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tbl>
      <w:tblPr>
        <w:tblStyle w:val="44"/>
        <w:tblW w:w="901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16"/>
      </w:tblGrid>
      <w:tr w14:paraId="5A3D8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90" w:hRule="atLeast"/>
        </w:trPr>
        <w:tc>
          <w:tcPr>
            <w:tcW w:w="9016" w:type="dxa"/>
          </w:tcPr>
          <w:p w14:paraId="4AAED649">
            <w:pPr>
              <w:autoSpaceDE w:val="0"/>
              <w:autoSpaceDN w:val="0"/>
              <w:adjustRightInd w:val="0"/>
              <w:snapToGrid w:val="0"/>
              <w:spacing w:line="500" w:lineRule="atLeast"/>
              <w:ind w:left="956"/>
              <w:rPr>
                <w:rFonts w:hint="eastAsia" w:ascii="宋体" w:hAnsi="宋体" w:eastAsia="宋体" w:cs="宋体"/>
                <w:b w:val="0"/>
                <w:bCs w:val="0"/>
                <w:color w:val="auto"/>
                <w:sz w:val="32"/>
                <w:szCs w:val="32"/>
                <w:highlight w:val="none"/>
                <w:lang w:val="zh-CN"/>
              </w:rPr>
            </w:pPr>
          </w:p>
          <w:p w14:paraId="60A66C54">
            <w:pPr>
              <w:autoSpaceDE w:val="0"/>
              <w:autoSpaceDN w:val="0"/>
              <w:adjustRightInd w:val="0"/>
              <w:snapToGrid w:val="0"/>
              <w:spacing w:line="500" w:lineRule="atLeast"/>
              <w:jc w:val="center"/>
              <w:rPr>
                <w:rFonts w:hint="eastAsia" w:ascii="宋体" w:hAnsi="宋体" w:eastAsia="宋体" w:cs="宋体"/>
                <w:color w:val="auto"/>
                <w:sz w:val="32"/>
                <w:szCs w:val="32"/>
                <w:highlight w:val="none"/>
                <w:lang w:val="zh-CN"/>
              </w:rPr>
            </w:pPr>
          </w:p>
          <w:p w14:paraId="12FA8DE4">
            <w:pPr>
              <w:jc w:val="center"/>
              <w:rPr>
                <w:rFonts w:hint="eastAsia" w:ascii="宋体" w:hAnsi="宋体" w:eastAsia="宋体" w:cs="宋体"/>
                <w:b/>
                <w:bCs/>
                <w:color w:val="auto"/>
                <w:sz w:val="72"/>
                <w:szCs w:val="72"/>
                <w:highlight w:val="none"/>
              </w:rPr>
            </w:pPr>
            <w:r>
              <w:rPr>
                <w:rFonts w:hint="eastAsia" w:ascii="宋体" w:hAnsi="宋体" w:eastAsia="宋体" w:cs="宋体"/>
                <w:b/>
                <w:bCs/>
                <w:color w:val="auto"/>
                <w:sz w:val="72"/>
                <w:szCs w:val="72"/>
                <w:highlight w:val="none"/>
              </w:rPr>
              <w:t>永嘉县政府采购</w:t>
            </w:r>
          </w:p>
          <w:p w14:paraId="7B0FE865">
            <w:pPr>
              <w:jc w:val="center"/>
              <w:rPr>
                <w:rFonts w:hint="eastAsia" w:ascii="宋体" w:hAnsi="宋体" w:eastAsia="宋体" w:cs="宋体"/>
                <w:b/>
                <w:bCs/>
                <w:color w:val="auto"/>
                <w:sz w:val="72"/>
                <w:szCs w:val="72"/>
                <w:highlight w:val="none"/>
              </w:rPr>
            </w:pPr>
            <w:r>
              <w:rPr>
                <w:rFonts w:hint="eastAsia" w:ascii="宋体" w:hAnsi="宋体" w:eastAsia="宋体" w:cs="宋体"/>
                <w:b/>
                <w:bCs/>
                <w:color w:val="auto"/>
                <w:sz w:val="72"/>
                <w:szCs w:val="72"/>
                <w:highlight w:val="none"/>
              </w:rPr>
              <w:t>竞争性磋商文件</w:t>
            </w:r>
          </w:p>
          <w:p w14:paraId="29BA0CC8">
            <w:pPr>
              <w:jc w:val="center"/>
              <w:rPr>
                <w:rFonts w:hint="eastAsia" w:ascii="宋体" w:hAnsi="宋体" w:eastAsia="宋体" w:cs="宋体"/>
                <w:color w:val="auto"/>
                <w:sz w:val="72"/>
                <w:szCs w:val="72"/>
                <w:highlight w:val="none"/>
              </w:rPr>
            </w:pPr>
            <w:r>
              <w:rPr>
                <w:rFonts w:hint="eastAsia" w:ascii="宋体" w:hAnsi="宋体" w:eastAsia="宋体" w:cs="宋体"/>
                <w:b/>
                <w:bCs/>
                <w:color w:val="auto"/>
                <w:sz w:val="72"/>
                <w:szCs w:val="72"/>
                <w:highlight w:val="none"/>
              </w:rPr>
              <w:t>（分散委托）</w:t>
            </w:r>
          </w:p>
          <w:p w14:paraId="568D7D2C">
            <w:pPr>
              <w:spacing w:line="440" w:lineRule="exact"/>
              <w:ind w:left="1260" w:leftChars="600" w:firstLine="2160" w:firstLineChars="300"/>
              <w:rPr>
                <w:rFonts w:hint="eastAsia" w:ascii="宋体" w:hAnsi="宋体" w:eastAsia="宋体" w:cs="宋体"/>
                <w:color w:val="auto"/>
                <w:sz w:val="72"/>
                <w:highlight w:val="none"/>
              </w:rPr>
            </w:pPr>
          </w:p>
          <w:p w14:paraId="594CBFB2">
            <w:pPr>
              <w:snapToGrid w:val="0"/>
              <w:spacing w:line="480" w:lineRule="auto"/>
              <w:ind w:left="2682" w:leftChars="569" w:hanging="1488" w:hangingChars="496"/>
              <w:rPr>
                <w:rFonts w:hint="eastAsia" w:ascii="宋体" w:hAnsi="宋体" w:eastAsia="宋体" w:cs="宋体"/>
                <w:color w:val="auto"/>
                <w:sz w:val="30"/>
                <w:szCs w:val="30"/>
                <w:highlight w:val="none"/>
              </w:rPr>
            </w:pPr>
          </w:p>
          <w:p w14:paraId="7C4B59CC">
            <w:pPr>
              <w:snapToGrid w:val="0"/>
              <w:spacing w:line="480" w:lineRule="auto"/>
              <w:ind w:left="2572" w:leftChars="572" w:right="1239" w:rightChars="590" w:hanging="1371" w:hangingChars="457"/>
              <w:rPr>
                <w:rFonts w:hint="eastAsia" w:ascii="宋体" w:hAnsi="宋体" w:eastAsia="宋体" w:cs="宋体"/>
                <w:color w:val="auto"/>
                <w:sz w:val="30"/>
                <w:szCs w:val="30"/>
                <w:highlight w:val="none"/>
              </w:rPr>
            </w:pPr>
          </w:p>
          <w:p w14:paraId="0F76B9CF">
            <w:pPr>
              <w:snapToGrid w:val="0"/>
              <w:spacing w:line="480" w:lineRule="auto"/>
              <w:ind w:left="2572" w:leftChars="572" w:right="1239" w:rightChars="590" w:hanging="1371" w:hangingChars="457"/>
              <w:rPr>
                <w:rFonts w:hint="eastAsia" w:ascii="宋体" w:hAnsi="宋体" w:eastAsia="宋体" w:cs="宋体"/>
                <w:color w:val="auto"/>
                <w:sz w:val="30"/>
                <w:szCs w:val="30"/>
                <w:highlight w:val="none"/>
                <w:lang w:eastAsia="zh-CN"/>
              </w:rPr>
            </w:pPr>
            <w:r>
              <w:rPr>
                <w:rFonts w:hint="eastAsia" w:ascii="宋体" w:hAnsi="宋体" w:eastAsia="宋体" w:cs="宋体"/>
                <w:color w:val="auto"/>
                <w:sz w:val="30"/>
                <w:szCs w:val="30"/>
                <w:highlight w:val="none"/>
              </w:rPr>
              <w:t>项目名称：</w:t>
            </w:r>
            <w:r>
              <w:rPr>
                <w:rFonts w:hint="eastAsia" w:ascii="宋体" w:eastAsia="宋体" w:cs="宋体"/>
                <w:color w:val="auto"/>
                <w:sz w:val="30"/>
                <w:szCs w:val="30"/>
                <w:highlight w:val="none"/>
                <w:lang w:eastAsia="zh-CN"/>
              </w:rPr>
              <w:t>2024年中共永嘉县委组织部干部智慧管理系统</w:t>
            </w:r>
          </w:p>
          <w:p w14:paraId="55BDD669">
            <w:pPr>
              <w:snapToGrid w:val="0"/>
              <w:spacing w:line="480" w:lineRule="auto"/>
              <w:ind w:firstLine="1200" w:firstLineChars="400"/>
              <w:rPr>
                <w:rFonts w:hint="eastAsia" w:ascii="宋体" w:hAnsi="宋体" w:eastAsia="宋体" w:cs="宋体"/>
                <w:color w:val="auto"/>
                <w:sz w:val="30"/>
                <w:szCs w:val="30"/>
                <w:highlight w:val="none"/>
                <w:lang w:eastAsia="zh-CN"/>
              </w:rPr>
            </w:pPr>
            <w:r>
              <w:rPr>
                <w:rFonts w:hint="eastAsia" w:ascii="宋体" w:hAnsi="宋体" w:eastAsia="宋体" w:cs="宋体"/>
                <w:color w:val="auto"/>
                <w:sz w:val="30"/>
                <w:szCs w:val="30"/>
                <w:highlight w:val="none"/>
              </w:rPr>
              <w:t>采购编号：</w:t>
            </w:r>
            <w:r>
              <w:rPr>
                <w:rFonts w:hint="eastAsia" w:ascii="宋体" w:eastAsia="宋体" w:cs="宋体"/>
                <w:color w:val="auto"/>
                <w:sz w:val="30"/>
                <w:szCs w:val="30"/>
                <w:highlight w:val="none"/>
                <w:lang w:eastAsia="zh-CN"/>
              </w:rPr>
              <w:t>ZGCG-20250328</w:t>
            </w:r>
          </w:p>
          <w:p w14:paraId="7D1AAC7A">
            <w:pPr>
              <w:spacing w:line="480" w:lineRule="auto"/>
              <w:rPr>
                <w:rFonts w:hint="eastAsia" w:ascii="宋体" w:hAnsi="宋体" w:eastAsia="宋体" w:cs="宋体"/>
                <w:color w:val="auto"/>
                <w:sz w:val="30"/>
                <w:szCs w:val="30"/>
                <w:highlight w:val="none"/>
              </w:rPr>
            </w:pPr>
          </w:p>
          <w:p w14:paraId="4B2440BF">
            <w:pPr>
              <w:pStyle w:val="19"/>
              <w:rPr>
                <w:rFonts w:hint="eastAsia" w:ascii="宋体" w:hAnsi="宋体" w:eastAsia="宋体" w:cs="宋体"/>
                <w:highlight w:val="none"/>
              </w:rPr>
            </w:pPr>
          </w:p>
          <w:p w14:paraId="50D619CF">
            <w:pPr>
              <w:rPr>
                <w:rFonts w:hint="eastAsia"/>
              </w:rPr>
            </w:pPr>
          </w:p>
          <w:p w14:paraId="68797ED9">
            <w:pPr>
              <w:snapToGrid w:val="0"/>
              <w:spacing w:line="480" w:lineRule="auto"/>
              <w:ind w:firstLine="1200" w:firstLineChars="400"/>
              <w:rPr>
                <w:rFonts w:hint="eastAsia" w:ascii="宋体" w:hAnsi="宋体" w:eastAsia="宋体" w:cs="宋体"/>
                <w:color w:val="auto"/>
                <w:sz w:val="30"/>
                <w:szCs w:val="30"/>
                <w:highlight w:val="none"/>
                <w:lang w:eastAsia="zh-CN"/>
              </w:rPr>
            </w:pPr>
            <w:r>
              <w:rPr>
                <w:rFonts w:hint="eastAsia" w:ascii="宋体" w:hAnsi="宋体" w:eastAsia="宋体" w:cs="宋体"/>
                <w:color w:val="auto"/>
                <w:sz w:val="30"/>
                <w:szCs w:val="30"/>
                <w:highlight w:val="none"/>
              </w:rPr>
              <w:t>采 购 人：</w:t>
            </w:r>
            <w:r>
              <w:rPr>
                <w:rFonts w:hint="eastAsia" w:ascii="宋体" w:eastAsia="宋体" w:cs="宋体"/>
                <w:color w:val="auto"/>
                <w:sz w:val="30"/>
                <w:szCs w:val="30"/>
                <w:highlight w:val="none"/>
                <w:lang w:eastAsia="zh-CN"/>
              </w:rPr>
              <w:t>中共永嘉县委组织部</w:t>
            </w:r>
          </w:p>
          <w:p w14:paraId="12337866">
            <w:pPr>
              <w:snapToGrid w:val="0"/>
              <w:spacing w:line="480" w:lineRule="auto"/>
              <w:ind w:firstLine="1200" w:firstLineChars="400"/>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代理机构：温州市中概工程管理咨询有限公司</w:t>
            </w:r>
          </w:p>
          <w:p w14:paraId="7F3E2696">
            <w:pPr>
              <w:autoSpaceDE w:val="0"/>
              <w:autoSpaceDN w:val="0"/>
              <w:adjustRightInd w:val="0"/>
              <w:snapToGrid w:val="0"/>
              <w:spacing w:line="480" w:lineRule="auto"/>
              <w:jc w:val="center"/>
              <w:rPr>
                <w:rFonts w:hint="eastAsia" w:ascii="宋体" w:hAnsi="宋体" w:eastAsia="宋体" w:cs="宋体"/>
                <w:color w:val="auto"/>
                <w:sz w:val="30"/>
                <w:szCs w:val="30"/>
                <w:highlight w:val="none"/>
              </w:rPr>
            </w:pPr>
          </w:p>
          <w:p w14:paraId="10DB6A0D">
            <w:pPr>
              <w:autoSpaceDE w:val="0"/>
              <w:autoSpaceDN w:val="0"/>
              <w:adjustRightInd w:val="0"/>
              <w:snapToGrid w:val="0"/>
              <w:spacing w:line="480" w:lineRule="auto"/>
              <w:jc w:val="center"/>
              <w:rPr>
                <w:rFonts w:hint="eastAsia" w:ascii="宋体" w:hAnsi="宋体" w:eastAsia="宋体" w:cs="宋体"/>
                <w:color w:val="auto"/>
                <w:sz w:val="32"/>
                <w:szCs w:val="32"/>
                <w:highlight w:val="none"/>
              </w:rPr>
            </w:pPr>
            <w:r>
              <w:rPr>
                <w:rFonts w:hint="eastAsia" w:ascii="宋体" w:hAnsi="宋体" w:eastAsia="宋体" w:cs="宋体"/>
                <w:color w:val="auto"/>
                <w:sz w:val="30"/>
                <w:szCs w:val="30"/>
                <w:highlight w:val="none"/>
              </w:rPr>
              <w:t>二○二</w:t>
            </w:r>
            <w:r>
              <w:rPr>
                <w:rFonts w:hint="eastAsia" w:ascii="宋体" w:hAnsi="宋体" w:eastAsia="宋体" w:cs="宋体"/>
                <w:color w:val="auto"/>
                <w:sz w:val="30"/>
                <w:szCs w:val="30"/>
                <w:highlight w:val="none"/>
                <w:lang w:val="en-US" w:eastAsia="zh-CN"/>
              </w:rPr>
              <w:t>五</w:t>
            </w:r>
            <w:r>
              <w:rPr>
                <w:rFonts w:hint="eastAsia" w:ascii="宋体" w:hAnsi="宋体" w:eastAsia="宋体" w:cs="宋体"/>
                <w:color w:val="auto"/>
                <w:sz w:val="30"/>
                <w:szCs w:val="30"/>
                <w:highlight w:val="none"/>
              </w:rPr>
              <w:t>年</w:t>
            </w:r>
            <w:r>
              <w:rPr>
                <w:rFonts w:hint="eastAsia" w:ascii="宋体" w:eastAsia="宋体" w:cs="宋体"/>
                <w:color w:val="auto"/>
                <w:sz w:val="30"/>
                <w:szCs w:val="30"/>
                <w:highlight w:val="none"/>
                <w:lang w:eastAsia="zh-CN"/>
              </w:rPr>
              <w:t>三</w:t>
            </w:r>
            <w:r>
              <w:rPr>
                <w:rFonts w:hint="eastAsia" w:ascii="宋体" w:hAnsi="宋体" w:eastAsia="宋体" w:cs="宋体"/>
                <w:color w:val="auto"/>
                <w:sz w:val="30"/>
                <w:szCs w:val="30"/>
                <w:highlight w:val="none"/>
              </w:rPr>
              <w:t>月</w:t>
            </w:r>
          </w:p>
        </w:tc>
      </w:tr>
    </w:tbl>
    <w:p w14:paraId="7400AFDE">
      <w:pPr>
        <w:spacing w:before="312" w:beforeLines="100" w:after="156" w:afterLines="50" w:line="340" w:lineRule="exact"/>
        <w:jc w:val="center"/>
        <w:rPr>
          <w:rFonts w:hint="eastAsia" w:ascii="宋体" w:hAnsi="宋体" w:eastAsia="宋体" w:cs="宋体"/>
          <w:b w:val="0"/>
          <w:bCs w:val="0"/>
          <w:color w:val="auto"/>
          <w:sz w:val="36"/>
          <w:szCs w:val="36"/>
          <w:highlight w:val="none"/>
        </w:rPr>
        <w:sectPr>
          <w:headerReference r:id="rId3" w:type="default"/>
          <w:headerReference r:id="rId4" w:type="even"/>
          <w:footerReference r:id="rId5" w:type="even"/>
          <w:pgSz w:w="11906" w:h="16838"/>
          <w:pgMar w:top="1440" w:right="1622" w:bottom="1440" w:left="1287" w:header="851" w:footer="992" w:gutter="0"/>
          <w:pgNumType w:start="0"/>
          <w:cols w:space="720" w:num="1"/>
          <w:titlePg/>
          <w:docGrid w:type="linesAndChars" w:linePitch="312" w:charSpace="0"/>
        </w:sectPr>
      </w:pPr>
    </w:p>
    <w:p w14:paraId="02E2438D">
      <w:pPr>
        <w:autoSpaceDE w:val="0"/>
        <w:autoSpaceDN w:val="0"/>
        <w:adjustRightInd w:val="0"/>
        <w:spacing w:line="460" w:lineRule="atLeast"/>
        <w:jc w:val="center"/>
        <w:rPr>
          <w:rFonts w:hint="eastAsia" w:ascii="宋体" w:hAnsi="宋体" w:eastAsia="宋体" w:cs="宋体"/>
          <w:color w:val="auto"/>
          <w:sz w:val="36"/>
          <w:szCs w:val="36"/>
          <w:highlight w:val="none"/>
          <w:lang w:val="zh-CN"/>
        </w:rPr>
      </w:pPr>
      <w:r>
        <w:rPr>
          <w:rFonts w:hint="eastAsia" w:ascii="宋体" w:hAnsi="宋体" w:eastAsia="宋体" w:cs="宋体"/>
          <w:color w:val="auto"/>
          <w:sz w:val="36"/>
          <w:szCs w:val="36"/>
          <w:highlight w:val="none"/>
          <w:lang w:val="zh-CN"/>
        </w:rPr>
        <w:t>磋商文件目录</w:t>
      </w:r>
    </w:p>
    <w:p w14:paraId="0FEE917D">
      <w:pPr>
        <w:pStyle w:val="33"/>
        <w:rPr>
          <w:rFonts w:hint="eastAsia" w:ascii="宋体" w:hAnsi="宋体" w:eastAsia="宋体" w:cs="宋体"/>
          <w:highlight w:val="none"/>
          <w:lang w:val="zh-CN"/>
        </w:rPr>
      </w:pPr>
    </w:p>
    <w:p w14:paraId="05B6099B">
      <w:pPr>
        <w:pStyle w:val="33"/>
        <w:keepNext w:val="0"/>
        <w:keepLines w:val="0"/>
        <w:pageBreakBefore w:val="0"/>
        <w:widowControl w:val="0"/>
        <w:tabs>
          <w:tab w:val="right" w:leader="dot" w:pos="9072"/>
          <w:tab w:val="clear" w:pos="8987"/>
        </w:tabs>
        <w:kinsoku/>
        <w:wordWrap/>
        <w:overflowPunct/>
        <w:topLinePunct w:val="0"/>
        <w:autoSpaceDE/>
        <w:autoSpaceDN/>
        <w:bidi w:val="0"/>
        <w:adjustRightInd/>
        <w:snapToGrid/>
        <w:spacing w:line="480" w:lineRule="auto"/>
        <w:jc w:val="both"/>
        <w:textAlignment w:val="auto"/>
        <w:rPr>
          <w:highlight w:val="none"/>
        </w:rPr>
      </w:pPr>
      <w:r>
        <w:rPr>
          <w:rFonts w:hint="eastAsia" w:ascii="宋体" w:hAnsi="宋体" w:eastAsia="宋体" w:cs="宋体"/>
          <w:sz w:val="24"/>
          <w:szCs w:val="24"/>
          <w:highlight w:val="none"/>
          <w:lang w:val="zh-CN"/>
        </w:rPr>
        <w:fldChar w:fldCharType="begin"/>
      </w:r>
      <w:r>
        <w:rPr>
          <w:rFonts w:hint="eastAsia" w:ascii="宋体" w:hAnsi="宋体" w:eastAsia="宋体" w:cs="宋体"/>
          <w:sz w:val="24"/>
          <w:szCs w:val="24"/>
          <w:highlight w:val="none"/>
          <w:lang w:val="zh-CN"/>
        </w:rPr>
        <w:instrText xml:space="preserve"> TOC \o "1-1" \h \z \u </w:instrText>
      </w:r>
      <w:r>
        <w:rPr>
          <w:rFonts w:hint="eastAsia" w:ascii="宋体" w:hAnsi="宋体" w:eastAsia="宋体" w:cs="宋体"/>
          <w:sz w:val="24"/>
          <w:szCs w:val="24"/>
          <w:highlight w:val="none"/>
          <w:lang w:val="zh-CN"/>
        </w:rPr>
        <w:fldChar w:fldCharType="separate"/>
      </w:r>
      <w:r>
        <w:rPr>
          <w:rFonts w:hint="eastAsia" w:ascii="宋体" w:hAnsi="宋体" w:eastAsia="宋体" w:cs="宋体"/>
          <w:szCs w:val="24"/>
          <w:highlight w:val="none"/>
          <w:lang w:val="zh-CN"/>
        </w:rPr>
        <w:fldChar w:fldCharType="begin"/>
      </w:r>
      <w:r>
        <w:rPr>
          <w:rFonts w:hint="eastAsia" w:ascii="宋体" w:hAnsi="宋体" w:eastAsia="宋体" w:cs="宋体"/>
          <w:szCs w:val="24"/>
          <w:highlight w:val="none"/>
          <w:lang w:val="zh-CN"/>
        </w:rPr>
        <w:instrText xml:space="preserve"> HYPERLINK \l _Toc32026 </w:instrText>
      </w:r>
      <w:r>
        <w:rPr>
          <w:rFonts w:hint="eastAsia" w:ascii="宋体" w:hAnsi="宋体" w:eastAsia="宋体" w:cs="宋体"/>
          <w:szCs w:val="24"/>
          <w:highlight w:val="none"/>
          <w:lang w:val="zh-CN"/>
        </w:rPr>
        <w:fldChar w:fldCharType="separate"/>
      </w:r>
      <w:r>
        <w:rPr>
          <w:rFonts w:hint="eastAsia" w:ascii="宋体" w:hAnsi="宋体" w:eastAsia="宋体" w:cs="宋体"/>
          <w:highlight w:val="none"/>
          <w:lang w:val="en-US" w:eastAsia="zh-CN"/>
        </w:rPr>
        <w:t>温州市中概工程管理咨询有限公司关于</w:t>
      </w:r>
      <w:r>
        <w:rPr>
          <w:rFonts w:hint="eastAsia" w:cs="宋体"/>
          <w:highlight w:val="none"/>
          <w:lang w:val="en-US" w:eastAsia="zh-CN"/>
        </w:rPr>
        <w:t>2024年中共永嘉县委组织部干部智慧管理系统</w:t>
      </w:r>
      <w:r>
        <w:rPr>
          <w:rFonts w:hint="eastAsia" w:ascii="宋体" w:hAnsi="宋体" w:eastAsia="宋体" w:cs="宋体"/>
          <w:highlight w:val="none"/>
          <w:lang w:val="en-US" w:eastAsia="zh-CN"/>
        </w:rPr>
        <w:t>的竞争性磋商公告</w:t>
      </w:r>
      <w:r>
        <w:rPr>
          <w:highlight w:val="none"/>
        </w:rPr>
        <w:tab/>
      </w:r>
      <w:r>
        <w:rPr>
          <w:highlight w:val="none"/>
        </w:rPr>
        <w:fldChar w:fldCharType="begin"/>
      </w:r>
      <w:r>
        <w:rPr>
          <w:highlight w:val="none"/>
        </w:rPr>
        <w:instrText xml:space="preserve"> PAGEREF _Toc32026 \h </w:instrText>
      </w:r>
      <w:r>
        <w:rPr>
          <w:highlight w:val="none"/>
        </w:rPr>
        <w:fldChar w:fldCharType="separate"/>
      </w:r>
      <w:r>
        <w:rPr>
          <w:highlight w:val="none"/>
        </w:rPr>
        <w:t>2</w:t>
      </w:r>
      <w:r>
        <w:rPr>
          <w:highlight w:val="none"/>
        </w:rPr>
        <w:fldChar w:fldCharType="end"/>
      </w:r>
      <w:r>
        <w:rPr>
          <w:rFonts w:hint="eastAsia" w:ascii="宋体" w:hAnsi="宋体" w:eastAsia="宋体" w:cs="宋体"/>
          <w:szCs w:val="24"/>
          <w:highlight w:val="none"/>
          <w:lang w:val="zh-CN"/>
        </w:rPr>
        <w:fldChar w:fldCharType="end"/>
      </w:r>
    </w:p>
    <w:p w14:paraId="54458E23">
      <w:pPr>
        <w:pStyle w:val="33"/>
        <w:keepNext w:val="0"/>
        <w:keepLines w:val="0"/>
        <w:pageBreakBefore w:val="0"/>
        <w:widowControl w:val="0"/>
        <w:tabs>
          <w:tab w:val="right" w:leader="dot" w:pos="9072"/>
          <w:tab w:val="clear" w:pos="8987"/>
        </w:tabs>
        <w:kinsoku/>
        <w:wordWrap/>
        <w:overflowPunct/>
        <w:topLinePunct w:val="0"/>
        <w:autoSpaceDE/>
        <w:autoSpaceDN/>
        <w:bidi w:val="0"/>
        <w:adjustRightInd/>
        <w:snapToGrid/>
        <w:spacing w:line="480" w:lineRule="auto"/>
        <w:textAlignment w:val="auto"/>
        <w:rPr>
          <w:highlight w:val="none"/>
        </w:rPr>
      </w:pPr>
      <w:r>
        <w:rPr>
          <w:rFonts w:hint="eastAsia" w:ascii="宋体" w:hAnsi="宋体" w:eastAsia="宋体" w:cs="宋体"/>
          <w:color w:val="auto"/>
          <w:szCs w:val="24"/>
          <w:highlight w:val="none"/>
          <w:lang w:val="zh-CN"/>
        </w:rPr>
        <w:fldChar w:fldCharType="begin"/>
      </w:r>
      <w:r>
        <w:rPr>
          <w:rFonts w:hint="eastAsia" w:ascii="宋体" w:hAnsi="宋体" w:eastAsia="宋体" w:cs="宋体"/>
          <w:szCs w:val="24"/>
          <w:highlight w:val="none"/>
          <w:lang w:val="zh-CN"/>
        </w:rPr>
        <w:instrText xml:space="preserve"> HYPERLINK \l _Toc15100 </w:instrText>
      </w:r>
      <w:r>
        <w:rPr>
          <w:rFonts w:hint="eastAsia" w:ascii="宋体" w:hAnsi="宋体" w:eastAsia="宋体" w:cs="宋体"/>
          <w:szCs w:val="24"/>
          <w:highlight w:val="none"/>
          <w:lang w:val="zh-CN"/>
        </w:rPr>
        <w:fldChar w:fldCharType="separate"/>
      </w:r>
      <w:r>
        <w:rPr>
          <w:rFonts w:hint="eastAsia" w:ascii="宋体" w:hAnsi="宋体" w:eastAsia="宋体" w:cs="宋体"/>
          <w:highlight w:val="none"/>
        </w:rPr>
        <w:t>第一部分 磋商通知(邀请)书</w:t>
      </w:r>
      <w:r>
        <w:rPr>
          <w:highlight w:val="none"/>
        </w:rPr>
        <w:tab/>
      </w:r>
      <w:r>
        <w:rPr>
          <w:highlight w:val="none"/>
        </w:rPr>
        <w:fldChar w:fldCharType="begin"/>
      </w:r>
      <w:r>
        <w:rPr>
          <w:highlight w:val="none"/>
        </w:rPr>
        <w:instrText xml:space="preserve"> PAGEREF _Toc15100 \h </w:instrText>
      </w:r>
      <w:r>
        <w:rPr>
          <w:highlight w:val="none"/>
        </w:rPr>
        <w:fldChar w:fldCharType="separate"/>
      </w:r>
      <w:r>
        <w:rPr>
          <w:highlight w:val="none"/>
        </w:rPr>
        <w:t>7</w:t>
      </w:r>
      <w:r>
        <w:rPr>
          <w:highlight w:val="none"/>
        </w:rPr>
        <w:fldChar w:fldCharType="end"/>
      </w:r>
      <w:r>
        <w:rPr>
          <w:rFonts w:hint="eastAsia" w:ascii="宋体" w:hAnsi="宋体" w:eastAsia="宋体" w:cs="宋体"/>
          <w:color w:val="auto"/>
          <w:szCs w:val="24"/>
          <w:highlight w:val="none"/>
          <w:lang w:val="zh-CN"/>
        </w:rPr>
        <w:fldChar w:fldCharType="end"/>
      </w:r>
    </w:p>
    <w:p w14:paraId="3835AC57">
      <w:pPr>
        <w:pStyle w:val="33"/>
        <w:keepNext w:val="0"/>
        <w:keepLines w:val="0"/>
        <w:pageBreakBefore w:val="0"/>
        <w:widowControl w:val="0"/>
        <w:tabs>
          <w:tab w:val="right" w:leader="dot" w:pos="9072"/>
          <w:tab w:val="clear" w:pos="8987"/>
        </w:tabs>
        <w:kinsoku/>
        <w:wordWrap/>
        <w:overflowPunct/>
        <w:topLinePunct w:val="0"/>
        <w:autoSpaceDE/>
        <w:autoSpaceDN/>
        <w:bidi w:val="0"/>
        <w:adjustRightInd/>
        <w:snapToGrid/>
        <w:spacing w:line="480" w:lineRule="auto"/>
        <w:textAlignment w:val="auto"/>
        <w:rPr>
          <w:highlight w:val="none"/>
        </w:rPr>
      </w:pPr>
      <w:r>
        <w:rPr>
          <w:rFonts w:hint="eastAsia" w:ascii="宋体" w:hAnsi="宋体" w:eastAsia="宋体" w:cs="宋体"/>
          <w:color w:val="auto"/>
          <w:szCs w:val="24"/>
          <w:highlight w:val="none"/>
          <w:lang w:val="zh-CN"/>
        </w:rPr>
        <w:fldChar w:fldCharType="begin"/>
      </w:r>
      <w:r>
        <w:rPr>
          <w:rFonts w:hint="eastAsia" w:ascii="宋体" w:hAnsi="宋体" w:eastAsia="宋体" w:cs="宋体"/>
          <w:szCs w:val="24"/>
          <w:highlight w:val="none"/>
          <w:lang w:val="zh-CN"/>
        </w:rPr>
        <w:instrText xml:space="preserve"> HYPERLINK \l _Toc25136 </w:instrText>
      </w:r>
      <w:r>
        <w:rPr>
          <w:rFonts w:hint="eastAsia" w:ascii="宋体" w:hAnsi="宋体" w:eastAsia="宋体" w:cs="宋体"/>
          <w:szCs w:val="24"/>
          <w:highlight w:val="none"/>
          <w:lang w:val="zh-CN"/>
        </w:rPr>
        <w:fldChar w:fldCharType="separate"/>
      </w:r>
      <w:r>
        <w:rPr>
          <w:rFonts w:hint="eastAsia" w:ascii="宋体" w:hAnsi="宋体" w:eastAsia="宋体" w:cs="宋体"/>
          <w:highlight w:val="none"/>
        </w:rPr>
        <w:t>第二部分 采购内容及要求</w:t>
      </w:r>
      <w:r>
        <w:rPr>
          <w:highlight w:val="none"/>
        </w:rPr>
        <w:tab/>
      </w:r>
      <w:r>
        <w:rPr>
          <w:highlight w:val="none"/>
        </w:rPr>
        <w:fldChar w:fldCharType="begin"/>
      </w:r>
      <w:r>
        <w:rPr>
          <w:highlight w:val="none"/>
        </w:rPr>
        <w:instrText xml:space="preserve"> PAGEREF _Toc25136 \h </w:instrText>
      </w:r>
      <w:r>
        <w:rPr>
          <w:highlight w:val="none"/>
        </w:rPr>
        <w:fldChar w:fldCharType="separate"/>
      </w:r>
      <w:r>
        <w:rPr>
          <w:highlight w:val="none"/>
        </w:rPr>
        <w:t>11</w:t>
      </w:r>
      <w:r>
        <w:rPr>
          <w:highlight w:val="none"/>
        </w:rPr>
        <w:fldChar w:fldCharType="end"/>
      </w:r>
      <w:r>
        <w:rPr>
          <w:rFonts w:hint="eastAsia" w:ascii="宋体" w:hAnsi="宋体" w:eastAsia="宋体" w:cs="宋体"/>
          <w:color w:val="auto"/>
          <w:szCs w:val="24"/>
          <w:highlight w:val="none"/>
          <w:lang w:val="zh-CN"/>
        </w:rPr>
        <w:fldChar w:fldCharType="end"/>
      </w:r>
    </w:p>
    <w:p w14:paraId="6239015F">
      <w:pPr>
        <w:pStyle w:val="33"/>
        <w:keepNext w:val="0"/>
        <w:keepLines w:val="0"/>
        <w:pageBreakBefore w:val="0"/>
        <w:widowControl w:val="0"/>
        <w:tabs>
          <w:tab w:val="right" w:leader="dot" w:pos="9072"/>
          <w:tab w:val="clear" w:pos="8987"/>
        </w:tabs>
        <w:kinsoku/>
        <w:wordWrap/>
        <w:overflowPunct/>
        <w:topLinePunct w:val="0"/>
        <w:autoSpaceDE/>
        <w:autoSpaceDN/>
        <w:bidi w:val="0"/>
        <w:adjustRightInd/>
        <w:snapToGrid/>
        <w:spacing w:line="480" w:lineRule="auto"/>
        <w:textAlignment w:val="auto"/>
        <w:rPr>
          <w:highlight w:val="none"/>
        </w:rPr>
      </w:pPr>
      <w:r>
        <w:rPr>
          <w:rFonts w:hint="eastAsia" w:ascii="宋体" w:hAnsi="宋体" w:eastAsia="宋体" w:cs="宋体"/>
          <w:color w:val="auto"/>
          <w:szCs w:val="24"/>
          <w:highlight w:val="none"/>
          <w:lang w:val="zh-CN"/>
        </w:rPr>
        <w:fldChar w:fldCharType="begin"/>
      </w:r>
      <w:r>
        <w:rPr>
          <w:rFonts w:hint="eastAsia" w:ascii="宋体" w:hAnsi="宋体" w:eastAsia="宋体" w:cs="宋体"/>
          <w:szCs w:val="24"/>
          <w:highlight w:val="none"/>
          <w:lang w:val="zh-CN"/>
        </w:rPr>
        <w:instrText xml:space="preserve"> HYPERLINK \l _Toc2103 </w:instrText>
      </w:r>
      <w:r>
        <w:rPr>
          <w:rFonts w:hint="eastAsia" w:ascii="宋体" w:hAnsi="宋体" w:eastAsia="宋体" w:cs="宋体"/>
          <w:szCs w:val="24"/>
          <w:highlight w:val="none"/>
          <w:lang w:val="zh-CN"/>
        </w:rPr>
        <w:fldChar w:fldCharType="separate"/>
      </w:r>
      <w:r>
        <w:rPr>
          <w:rFonts w:hint="eastAsia" w:ascii="宋体" w:hAnsi="宋体" w:eastAsia="宋体" w:cs="宋体"/>
          <w:highlight w:val="none"/>
        </w:rPr>
        <w:t>第三部分 投标供应商须知</w:t>
      </w:r>
      <w:r>
        <w:rPr>
          <w:highlight w:val="none"/>
        </w:rPr>
        <w:tab/>
      </w:r>
      <w:r>
        <w:rPr>
          <w:highlight w:val="none"/>
        </w:rPr>
        <w:fldChar w:fldCharType="begin"/>
      </w:r>
      <w:r>
        <w:rPr>
          <w:highlight w:val="none"/>
        </w:rPr>
        <w:instrText xml:space="preserve"> PAGEREF _Toc2103 \h </w:instrText>
      </w:r>
      <w:r>
        <w:rPr>
          <w:highlight w:val="none"/>
        </w:rPr>
        <w:fldChar w:fldCharType="separate"/>
      </w:r>
      <w:r>
        <w:rPr>
          <w:highlight w:val="none"/>
        </w:rPr>
        <w:t>25</w:t>
      </w:r>
      <w:r>
        <w:rPr>
          <w:highlight w:val="none"/>
        </w:rPr>
        <w:fldChar w:fldCharType="end"/>
      </w:r>
      <w:r>
        <w:rPr>
          <w:rFonts w:hint="eastAsia" w:ascii="宋体" w:hAnsi="宋体" w:eastAsia="宋体" w:cs="宋体"/>
          <w:color w:val="auto"/>
          <w:szCs w:val="24"/>
          <w:highlight w:val="none"/>
          <w:lang w:val="zh-CN"/>
        </w:rPr>
        <w:fldChar w:fldCharType="end"/>
      </w:r>
    </w:p>
    <w:p w14:paraId="3E5C9605">
      <w:pPr>
        <w:pStyle w:val="33"/>
        <w:keepNext w:val="0"/>
        <w:keepLines w:val="0"/>
        <w:pageBreakBefore w:val="0"/>
        <w:widowControl w:val="0"/>
        <w:tabs>
          <w:tab w:val="right" w:leader="dot" w:pos="9072"/>
          <w:tab w:val="clear" w:pos="8987"/>
        </w:tabs>
        <w:kinsoku/>
        <w:wordWrap/>
        <w:overflowPunct/>
        <w:topLinePunct w:val="0"/>
        <w:autoSpaceDE/>
        <w:autoSpaceDN/>
        <w:bidi w:val="0"/>
        <w:adjustRightInd/>
        <w:snapToGrid/>
        <w:spacing w:line="480" w:lineRule="auto"/>
        <w:textAlignment w:val="auto"/>
        <w:rPr>
          <w:highlight w:val="none"/>
        </w:rPr>
      </w:pPr>
      <w:r>
        <w:rPr>
          <w:rFonts w:hint="eastAsia" w:ascii="宋体" w:hAnsi="宋体" w:eastAsia="宋体" w:cs="宋体"/>
          <w:color w:val="auto"/>
          <w:szCs w:val="24"/>
          <w:highlight w:val="none"/>
          <w:lang w:val="zh-CN"/>
        </w:rPr>
        <w:fldChar w:fldCharType="begin"/>
      </w:r>
      <w:r>
        <w:rPr>
          <w:rFonts w:hint="eastAsia" w:ascii="宋体" w:hAnsi="宋体" w:eastAsia="宋体" w:cs="宋体"/>
          <w:szCs w:val="24"/>
          <w:highlight w:val="none"/>
          <w:lang w:val="zh-CN"/>
        </w:rPr>
        <w:instrText xml:space="preserve"> HYPERLINK \l _Toc18603 </w:instrText>
      </w:r>
      <w:r>
        <w:rPr>
          <w:rFonts w:hint="eastAsia" w:ascii="宋体" w:hAnsi="宋体" w:eastAsia="宋体" w:cs="宋体"/>
          <w:szCs w:val="24"/>
          <w:highlight w:val="none"/>
          <w:lang w:val="zh-CN"/>
        </w:rPr>
        <w:fldChar w:fldCharType="separate"/>
      </w:r>
      <w:r>
        <w:rPr>
          <w:rFonts w:hint="eastAsia" w:ascii="宋体" w:hAnsi="宋体" w:eastAsia="宋体" w:cs="宋体"/>
          <w:highlight w:val="none"/>
        </w:rPr>
        <w:t>第四部分 政府采购政策功能相关说明</w:t>
      </w:r>
      <w:r>
        <w:rPr>
          <w:highlight w:val="none"/>
        </w:rPr>
        <w:tab/>
      </w:r>
      <w:r>
        <w:rPr>
          <w:highlight w:val="none"/>
        </w:rPr>
        <w:fldChar w:fldCharType="begin"/>
      </w:r>
      <w:r>
        <w:rPr>
          <w:highlight w:val="none"/>
        </w:rPr>
        <w:instrText xml:space="preserve"> PAGEREF _Toc18603 \h </w:instrText>
      </w:r>
      <w:r>
        <w:rPr>
          <w:highlight w:val="none"/>
        </w:rPr>
        <w:fldChar w:fldCharType="separate"/>
      </w:r>
      <w:r>
        <w:rPr>
          <w:highlight w:val="none"/>
        </w:rPr>
        <w:t>36</w:t>
      </w:r>
      <w:r>
        <w:rPr>
          <w:highlight w:val="none"/>
        </w:rPr>
        <w:fldChar w:fldCharType="end"/>
      </w:r>
      <w:r>
        <w:rPr>
          <w:rFonts w:hint="eastAsia" w:ascii="宋体" w:hAnsi="宋体" w:eastAsia="宋体" w:cs="宋体"/>
          <w:color w:val="auto"/>
          <w:szCs w:val="24"/>
          <w:highlight w:val="none"/>
          <w:lang w:val="zh-CN"/>
        </w:rPr>
        <w:fldChar w:fldCharType="end"/>
      </w:r>
    </w:p>
    <w:p w14:paraId="42415CD1">
      <w:pPr>
        <w:pStyle w:val="33"/>
        <w:keepNext w:val="0"/>
        <w:keepLines w:val="0"/>
        <w:pageBreakBefore w:val="0"/>
        <w:widowControl w:val="0"/>
        <w:tabs>
          <w:tab w:val="right" w:leader="dot" w:pos="9072"/>
          <w:tab w:val="clear" w:pos="8987"/>
        </w:tabs>
        <w:kinsoku/>
        <w:wordWrap/>
        <w:overflowPunct/>
        <w:topLinePunct w:val="0"/>
        <w:autoSpaceDE/>
        <w:autoSpaceDN/>
        <w:bidi w:val="0"/>
        <w:adjustRightInd/>
        <w:snapToGrid/>
        <w:spacing w:line="480" w:lineRule="auto"/>
        <w:textAlignment w:val="auto"/>
        <w:rPr>
          <w:highlight w:val="none"/>
        </w:rPr>
      </w:pPr>
      <w:r>
        <w:rPr>
          <w:rFonts w:hint="eastAsia" w:ascii="宋体" w:hAnsi="宋体" w:eastAsia="宋体" w:cs="宋体"/>
          <w:color w:val="auto"/>
          <w:szCs w:val="24"/>
          <w:highlight w:val="none"/>
          <w:lang w:val="zh-CN"/>
        </w:rPr>
        <w:fldChar w:fldCharType="begin"/>
      </w:r>
      <w:r>
        <w:rPr>
          <w:rFonts w:hint="eastAsia" w:ascii="宋体" w:hAnsi="宋体" w:eastAsia="宋体" w:cs="宋体"/>
          <w:szCs w:val="24"/>
          <w:highlight w:val="none"/>
          <w:lang w:val="zh-CN"/>
        </w:rPr>
        <w:instrText xml:space="preserve"> HYPERLINK \l _Toc22282 </w:instrText>
      </w:r>
      <w:r>
        <w:rPr>
          <w:rFonts w:hint="eastAsia" w:ascii="宋体" w:hAnsi="宋体" w:eastAsia="宋体" w:cs="宋体"/>
          <w:szCs w:val="24"/>
          <w:highlight w:val="none"/>
          <w:lang w:val="zh-CN"/>
        </w:rPr>
        <w:fldChar w:fldCharType="separate"/>
      </w:r>
      <w:r>
        <w:rPr>
          <w:rFonts w:hint="eastAsia" w:ascii="宋体" w:hAnsi="宋体" w:eastAsia="宋体" w:cs="宋体"/>
          <w:highlight w:val="none"/>
        </w:rPr>
        <w:t>第五部分 合同格式（仅供参考）</w:t>
      </w:r>
      <w:r>
        <w:rPr>
          <w:highlight w:val="none"/>
        </w:rPr>
        <w:tab/>
      </w:r>
      <w:r>
        <w:rPr>
          <w:highlight w:val="none"/>
        </w:rPr>
        <w:fldChar w:fldCharType="begin"/>
      </w:r>
      <w:r>
        <w:rPr>
          <w:highlight w:val="none"/>
        </w:rPr>
        <w:instrText xml:space="preserve"> PAGEREF _Toc22282 \h </w:instrText>
      </w:r>
      <w:r>
        <w:rPr>
          <w:highlight w:val="none"/>
        </w:rPr>
        <w:fldChar w:fldCharType="separate"/>
      </w:r>
      <w:r>
        <w:rPr>
          <w:highlight w:val="none"/>
        </w:rPr>
        <w:t>41</w:t>
      </w:r>
      <w:r>
        <w:rPr>
          <w:highlight w:val="none"/>
        </w:rPr>
        <w:fldChar w:fldCharType="end"/>
      </w:r>
      <w:r>
        <w:rPr>
          <w:rFonts w:hint="eastAsia" w:ascii="宋体" w:hAnsi="宋体" w:eastAsia="宋体" w:cs="宋体"/>
          <w:color w:val="auto"/>
          <w:szCs w:val="24"/>
          <w:highlight w:val="none"/>
          <w:lang w:val="zh-CN"/>
        </w:rPr>
        <w:fldChar w:fldCharType="end"/>
      </w:r>
    </w:p>
    <w:p w14:paraId="6FEDF407">
      <w:pPr>
        <w:pStyle w:val="33"/>
        <w:keepNext w:val="0"/>
        <w:keepLines w:val="0"/>
        <w:pageBreakBefore w:val="0"/>
        <w:widowControl w:val="0"/>
        <w:tabs>
          <w:tab w:val="right" w:leader="dot" w:pos="9072"/>
          <w:tab w:val="clear" w:pos="8987"/>
        </w:tabs>
        <w:kinsoku/>
        <w:wordWrap/>
        <w:overflowPunct/>
        <w:topLinePunct w:val="0"/>
        <w:autoSpaceDE/>
        <w:autoSpaceDN/>
        <w:bidi w:val="0"/>
        <w:adjustRightInd/>
        <w:snapToGrid/>
        <w:spacing w:line="480" w:lineRule="auto"/>
        <w:textAlignment w:val="auto"/>
        <w:rPr>
          <w:highlight w:val="none"/>
        </w:rPr>
      </w:pPr>
      <w:r>
        <w:rPr>
          <w:rFonts w:hint="eastAsia" w:ascii="宋体" w:hAnsi="宋体" w:eastAsia="宋体" w:cs="宋体"/>
          <w:color w:val="auto"/>
          <w:szCs w:val="24"/>
          <w:highlight w:val="none"/>
          <w:lang w:val="zh-CN"/>
        </w:rPr>
        <w:fldChar w:fldCharType="begin"/>
      </w:r>
      <w:r>
        <w:rPr>
          <w:rFonts w:hint="eastAsia" w:ascii="宋体" w:hAnsi="宋体" w:eastAsia="宋体" w:cs="宋体"/>
          <w:szCs w:val="24"/>
          <w:highlight w:val="none"/>
          <w:lang w:val="zh-CN"/>
        </w:rPr>
        <w:instrText xml:space="preserve"> HYPERLINK \l _Toc10539 </w:instrText>
      </w:r>
      <w:r>
        <w:rPr>
          <w:rFonts w:hint="eastAsia" w:ascii="宋体" w:hAnsi="宋体" w:eastAsia="宋体" w:cs="宋体"/>
          <w:szCs w:val="24"/>
          <w:highlight w:val="none"/>
          <w:lang w:val="zh-CN"/>
        </w:rPr>
        <w:fldChar w:fldCharType="separate"/>
      </w:r>
      <w:r>
        <w:rPr>
          <w:rFonts w:hint="eastAsia" w:ascii="宋体" w:hAnsi="宋体" w:eastAsia="宋体" w:cs="宋体"/>
          <w:highlight w:val="none"/>
        </w:rPr>
        <w:t>第六部分 磋商响应文件格式</w:t>
      </w:r>
      <w:r>
        <w:rPr>
          <w:highlight w:val="none"/>
        </w:rPr>
        <w:tab/>
      </w:r>
      <w:r>
        <w:rPr>
          <w:highlight w:val="none"/>
        </w:rPr>
        <w:fldChar w:fldCharType="begin"/>
      </w:r>
      <w:r>
        <w:rPr>
          <w:highlight w:val="none"/>
        </w:rPr>
        <w:instrText xml:space="preserve"> PAGEREF _Toc10539 \h </w:instrText>
      </w:r>
      <w:r>
        <w:rPr>
          <w:highlight w:val="none"/>
        </w:rPr>
        <w:fldChar w:fldCharType="separate"/>
      </w:r>
      <w:r>
        <w:rPr>
          <w:highlight w:val="none"/>
        </w:rPr>
        <w:t>46</w:t>
      </w:r>
      <w:r>
        <w:rPr>
          <w:highlight w:val="none"/>
        </w:rPr>
        <w:fldChar w:fldCharType="end"/>
      </w:r>
      <w:r>
        <w:rPr>
          <w:rFonts w:hint="eastAsia" w:ascii="宋体" w:hAnsi="宋体" w:eastAsia="宋体" w:cs="宋体"/>
          <w:color w:val="auto"/>
          <w:szCs w:val="24"/>
          <w:highlight w:val="none"/>
          <w:lang w:val="zh-CN"/>
        </w:rPr>
        <w:fldChar w:fldCharType="end"/>
      </w:r>
    </w:p>
    <w:p w14:paraId="5632E56B">
      <w:pPr>
        <w:pStyle w:val="33"/>
        <w:keepNext w:val="0"/>
        <w:keepLines w:val="0"/>
        <w:pageBreakBefore w:val="0"/>
        <w:widowControl w:val="0"/>
        <w:tabs>
          <w:tab w:val="right" w:leader="dot" w:pos="9072"/>
          <w:tab w:val="clear" w:pos="8987"/>
        </w:tabs>
        <w:kinsoku/>
        <w:wordWrap/>
        <w:overflowPunct/>
        <w:topLinePunct w:val="0"/>
        <w:autoSpaceDE/>
        <w:autoSpaceDN/>
        <w:bidi w:val="0"/>
        <w:adjustRightInd/>
        <w:snapToGrid/>
        <w:spacing w:line="480" w:lineRule="auto"/>
        <w:textAlignment w:val="auto"/>
        <w:rPr>
          <w:highlight w:val="none"/>
        </w:rPr>
      </w:pPr>
      <w:r>
        <w:rPr>
          <w:rFonts w:hint="eastAsia" w:ascii="宋体" w:hAnsi="宋体" w:eastAsia="宋体" w:cs="宋体"/>
          <w:color w:val="auto"/>
          <w:szCs w:val="24"/>
          <w:highlight w:val="none"/>
          <w:lang w:val="zh-CN"/>
        </w:rPr>
        <w:fldChar w:fldCharType="begin"/>
      </w:r>
      <w:r>
        <w:rPr>
          <w:rFonts w:hint="eastAsia" w:ascii="宋体" w:hAnsi="宋体" w:eastAsia="宋体" w:cs="宋体"/>
          <w:szCs w:val="24"/>
          <w:highlight w:val="none"/>
          <w:lang w:val="zh-CN"/>
        </w:rPr>
        <w:instrText xml:space="preserve"> HYPERLINK \l _Toc16430 </w:instrText>
      </w:r>
      <w:r>
        <w:rPr>
          <w:rFonts w:hint="eastAsia" w:ascii="宋体" w:hAnsi="宋体" w:eastAsia="宋体" w:cs="宋体"/>
          <w:szCs w:val="24"/>
          <w:highlight w:val="none"/>
          <w:lang w:val="zh-CN"/>
        </w:rPr>
        <w:fldChar w:fldCharType="separate"/>
      </w:r>
      <w:r>
        <w:rPr>
          <w:rFonts w:hint="eastAsia" w:ascii="宋体" w:hAnsi="宋体" w:eastAsia="宋体" w:cs="宋体"/>
          <w:highlight w:val="none"/>
        </w:rPr>
        <w:t>一、资格文件部分格式</w:t>
      </w:r>
      <w:r>
        <w:rPr>
          <w:highlight w:val="none"/>
        </w:rPr>
        <w:tab/>
      </w:r>
      <w:r>
        <w:rPr>
          <w:highlight w:val="none"/>
        </w:rPr>
        <w:fldChar w:fldCharType="begin"/>
      </w:r>
      <w:r>
        <w:rPr>
          <w:highlight w:val="none"/>
        </w:rPr>
        <w:instrText xml:space="preserve"> PAGEREF _Toc16430 \h </w:instrText>
      </w:r>
      <w:r>
        <w:rPr>
          <w:highlight w:val="none"/>
        </w:rPr>
        <w:fldChar w:fldCharType="separate"/>
      </w:r>
      <w:r>
        <w:rPr>
          <w:highlight w:val="none"/>
        </w:rPr>
        <w:t>46</w:t>
      </w:r>
      <w:r>
        <w:rPr>
          <w:highlight w:val="none"/>
        </w:rPr>
        <w:fldChar w:fldCharType="end"/>
      </w:r>
      <w:r>
        <w:rPr>
          <w:rFonts w:hint="eastAsia" w:ascii="宋体" w:hAnsi="宋体" w:eastAsia="宋体" w:cs="宋体"/>
          <w:color w:val="auto"/>
          <w:szCs w:val="24"/>
          <w:highlight w:val="none"/>
          <w:lang w:val="zh-CN"/>
        </w:rPr>
        <w:fldChar w:fldCharType="end"/>
      </w:r>
    </w:p>
    <w:p w14:paraId="1CE5CA07">
      <w:pPr>
        <w:pStyle w:val="33"/>
        <w:keepNext w:val="0"/>
        <w:keepLines w:val="0"/>
        <w:pageBreakBefore w:val="0"/>
        <w:widowControl w:val="0"/>
        <w:tabs>
          <w:tab w:val="right" w:leader="dot" w:pos="9072"/>
          <w:tab w:val="clear" w:pos="8987"/>
        </w:tabs>
        <w:kinsoku/>
        <w:wordWrap/>
        <w:overflowPunct/>
        <w:topLinePunct w:val="0"/>
        <w:autoSpaceDE/>
        <w:autoSpaceDN/>
        <w:bidi w:val="0"/>
        <w:adjustRightInd/>
        <w:snapToGrid/>
        <w:spacing w:line="480" w:lineRule="auto"/>
        <w:textAlignment w:val="auto"/>
        <w:rPr>
          <w:highlight w:val="none"/>
        </w:rPr>
      </w:pPr>
      <w:r>
        <w:rPr>
          <w:rFonts w:hint="eastAsia" w:ascii="宋体" w:hAnsi="宋体" w:eastAsia="宋体" w:cs="宋体"/>
          <w:color w:val="auto"/>
          <w:szCs w:val="24"/>
          <w:highlight w:val="none"/>
          <w:lang w:val="zh-CN"/>
        </w:rPr>
        <w:fldChar w:fldCharType="begin"/>
      </w:r>
      <w:r>
        <w:rPr>
          <w:rFonts w:hint="eastAsia" w:ascii="宋体" w:hAnsi="宋体" w:eastAsia="宋体" w:cs="宋体"/>
          <w:szCs w:val="24"/>
          <w:highlight w:val="none"/>
          <w:lang w:val="zh-CN"/>
        </w:rPr>
        <w:instrText xml:space="preserve"> HYPERLINK \l _Toc29106 </w:instrText>
      </w:r>
      <w:r>
        <w:rPr>
          <w:rFonts w:hint="eastAsia" w:ascii="宋体" w:hAnsi="宋体" w:eastAsia="宋体" w:cs="宋体"/>
          <w:szCs w:val="24"/>
          <w:highlight w:val="none"/>
          <w:lang w:val="zh-CN"/>
        </w:rPr>
        <w:fldChar w:fldCharType="separate"/>
      </w:r>
      <w:r>
        <w:rPr>
          <w:rFonts w:hint="eastAsia" w:ascii="宋体" w:hAnsi="宋体" w:eastAsia="宋体" w:cs="宋体"/>
          <w:highlight w:val="none"/>
        </w:rPr>
        <w:t>二、报价文件部分格式</w:t>
      </w:r>
      <w:r>
        <w:rPr>
          <w:highlight w:val="none"/>
        </w:rPr>
        <w:tab/>
      </w:r>
      <w:r>
        <w:rPr>
          <w:highlight w:val="none"/>
        </w:rPr>
        <w:fldChar w:fldCharType="begin"/>
      </w:r>
      <w:r>
        <w:rPr>
          <w:highlight w:val="none"/>
        </w:rPr>
        <w:instrText xml:space="preserve"> PAGEREF _Toc29106 \h </w:instrText>
      </w:r>
      <w:r>
        <w:rPr>
          <w:highlight w:val="none"/>
        </w:rPr>
        <w:fldChar w:fldCharType="separate"/>
      </w:r>
      <w:r>
        <w:rPr>
          <w:highlight w:val="none"/>
        </w:rPr>
        <w:t>47</w:t>
      </w:r>
      <w:r>
        <w:rPr>
          <w:highlight w:val="none"/>
        </w:rPr>
        <w:fldChar w:fldCharType="end"/>
      </w:r>
      <w:r>
        <w:rPr>
          <w:rFonts w:hint="eastAsia" w:ascii="宋体" w:hAnsi="宋体" w:eastAsia="宋体" w:cs="宋体"/>
          <w:color w:val="auto"/>
          <w:szCs w:val="24"/>
          <w:highlight w:val="none"/>
          <w:lang w:val="zh-CN"/>
        </w:rPr>
        <w:fldChar w:fldCharType="end"/>
      </w:r>
    </w:p>
    <w:p w14:paraId="0F9B3F37">
      <w:pPr>
        <w:pStyle w:val="33"/>
        <w:keepNext w:val="0"/>
        <w:keepLines w:val="0"/>
        <w:pageBreakBefore w:val="0"/>
        <w:widowControl w:val="0"/>
        <w:tabs>
          <w:tab w:val="right" w:leader="dot" w:pos="9072"/>
          <w:tab w:val="clear" w:pos="8987"/>
        </w:tabs>
        <w:kinsoku/>
        <w:wordWrap/>
        <w:overflowPunct/>
        <w:topLinePunct w:val="0"/>
        <w:autoSpaceDE/>
        <w:autoSpaceDN/>
        <w:bidi w:val="0"/>
        <w:adjustRightInd/>
        <w:snapToGrid/>
        <w:spacing w:line="480" w:lineRule="auto"/>
        <w:textAlignment w:val="auto"/>
        <w:rPr>
          <w:highlight w:val="none"/>
        </w:rPr>
      </w:pPr>
      <w:r>
        <w:rPr>
          <w:rFonts w:hint="eastAsia" w:ascii="宋体" w:hAnsi="宋体" w:eastAsia="宋体" w:cs="宋体"/>
          <w:color w:val="auto"/>
          <w:szCs w:val="24"/>
          <w:highlight w:val="none"/>
          <w:lang w:val="zh-CN"/>
        </w:rPr>
        <w:fldChar w:fldCharType="begin"/>
      </w:r>
      <w:r>
        <w:rPr>
          <w:rFonts w:hint="eastAsia" w:ascii="宋体" w:hAnsi="宋体" w:eastAsia="宋体" w:cs="宋体"/>
          <w:szCs w:val="24"/>
          <w:highlight w:val="none"/>
          <w:lang w:val="zh-CN"/>
        </w:rPr>
        <w:instrText xml:space="preserve"> HYPERLINK \l _Toc15121 </w:instrText>
      </w:r>
      <w:r>
        <w:rPr>
          <w:rFonts w:hint="eastAsia" w:ascii="宋体" w:hAnsi="宋体" w:eastAsia="宋体" w:cs="宋体"/>
          <w:szCs w:val="24"/>
          <w:highlight w:val="none"/>
          <w:lang w:val="zh-CN"/>
        </w:rPr>
        <w:fldChar w:fldCharType="separate"/>
      </w:r>
      <w:r>
        <w:rPr>
          <w:rFonts w:hint="eastAsia" w:ascii="宋体" w:hAnsi="宋体" w:eastAsia="宋体" w:cs="宋体"/>
          <w:highlight w:val="none"/>
        </w:rPr>
        <w:t>三、商务技术文件部分格式</w:t>
      </w:r>
      <w:r>
        <w:rPr>
          <w:highlight w:val="none"/>
        </w:rPr>
        <w:tab/>
      </w:r>
      <w:r>
        <w:rPr>
          <w:highlight w:val="none"/>
        </w:rPr>
        <w:fldChar w:fldCharType="begin"/>
      </w:r>
      <w:r>
        <w:rPr>
          <w:highlight w:val="none"/>
        </w:rPr>
        <w:instrText xml:space="preserve"> PAGEREF _Toc15121 \h </w:instrText>
      </w:r>
      <w:r>
        <w:rPr>
          <w:highlight w:val="none"/>
        </w:rPr>
        <w:fldChar w:fldCharType="separate"/>
      </w:r>
      <w:r>
        <w:rPr>
          <w:highlight w:val="none"/>
        </w:rPr>
        <w:t>49</w:t>
      </w:r>
      <w:r>
        <w:rPr>
          <w:highlight w:val="none"/>
        </w:rPr>
        <w:fldChar w:fldCharType="end"/>
      </w:r>
      <w:r>
        <w:rPr>
          <w:rFonts w:hint="eastAsia" w:ascii="宋体" w:hAnsi="宋体" w:eastAsia="宋体" w:cs="宋体"/>
          <w:color w:val="auto"/>
          <w:szCs w:val="24"/>
          <w:highlight w:val="none"/>
          <w:lang w:val="zh-CN"/>
        </w:rPr>
        <w:fldChar w:fldCharType="end"/>
      </w:r>
    </w:p>
    <w:p w14:paraId="22CC0AAD">
      <w:pPr>
        <w:pStyle w:val="33"/>
        <w:keepNext w:val="0"/>
        <w:keepLines w:val="0"/>
        <w:pageBreakBefore w:val="0"/>
        <w:widowControl w:val="0"/>
        <w:tabs>
          <w:tab w:val="right" w:leader="dot" w:pos="9072"/>
          <w:tab w:val="clear" w:pos="8987"/>
        </w:tabs>
        <w:kinsoku/>
        <w:wordWrap/>
        <w:overflowPunct/>
        <w:topLinePunct w:val="0"/>
        <w:autoSpaceDE/>
        <w:autoSpaceDN/>
        <w:bidi w:val="0"/>
        <w:adjustRightInd/>
        <w:snapToGrid/>
        <w:spacing w:line="480" w:lineRule="auto"/>
        <w:textAlignment w:val="auto"/>
        <w:rPr>
          <w:highlight w:val="none"/>
        </w:rPr>
      </w:pPr>
      <w:r>
        <w:rPr>
          <w:rFonts w:hint="eastAsia" w:ascii="宋体" w:hAnsi="宋体" w:eastAsia="宋体" w:cs="宋体"/>
          <w:color w:val="auto"/>
          <w:szCs w:val="24"/>
          <w:highlight w:val="none"/>
          <w:lang w:val="zh-CN"/>
        </w:rPr>
        <w:fldChar w:fldCharType="begin"/>
      </w:r>
      <w:r>
        <w:rPr>
          <w:rFonts w:hint="eastAsia" w:ascii="宋体" w:hAnsi="宋体" w:eastAsia="宋体" w:cs="宋体"/>
          <w:szCs w:val="24"/>
          <w:highlight w:val="none"/>
          <w:lang w:val="zh-CN"/>
        </w:rPr>
        <w:instrText xml:space="preserve"> HYPERLINK \l _Toc23137 </w:instrText>
      </w:r>
      <w:r>
        <w:rPr>
          <w:rFonts w:hint="eastAsia" w:ascii="宋体" w:hAnsi="宋体" w:eastAsia="宋体" w:cs="宋体"/>
          <w:szCs w:val="24"/>
          <w:highlight w:val="none"/>
          <w:lang w:val="zh-CN"/>
        </w:rPr>
        <w:fldChar w:fldCharType="separate"/>
      </w:r>
      <w:r>
        <w:rPr>
          <w:rFonts w:hint="eastAsia" w:ascii="宋体" w:hAnsi="宋体" w:eastAsia="宋体" w:cs="宋体"/>
          <w:highlight w:val="none"/>
        </w:rPr>
        <w:t>第七部分 评标定标办法</w:t>
      </w:r>
      <w:r>
        <w:rPr>
          <w:highlight w:val="none"/>
        </w:rPr>
        <w:tab/>
      </w:r>
      <w:r>
        <w:rPr>
          <w:highlight w:val="none"/>
        </w:rPr>
        <w:fldChar w:fldCharType="begin"/>
      </w:r>
      <w:r>
        <w:rPr>
          <w:highlight w:val="none"/>
        </w:rPr>
        <w:instrText xml:space="preserve"> PAGEREF _Toc23137 \h </w:instrText>
      </w:r>
      <w:r>
        <w:rPr>
          <w:highlight w:val="none"/>
        </w:rPr>
        <w:fldChar w:fldCharType="separate"/>
      </w:r>
      <w:r>
        <w:rPr>
          <w:highlight w:val="none"/>
        </w:rPr>
        <w:t>56</w:t>
      </w:r>
      <w:r>
        <w:rPr>
          <w:highlight w:val="none"/>
        </w:rPr>
        <w:fldChar w:fldCharType="end"/>
      </w:r>
      <w:r>
        <w:rPr>
          <w:rFonts w:hint="eastAsia" w:ascii="宋体" w:hAnsi="宋体" w:eastAsia="宋体" w:cs="宋体"/>
          <w:color w:val="auto"/>
          <w:szCs w:val="24"/>
          <w:highlight w:val="none"/>
          <w:lang w:val="zh-CN"/>
        </w:rPr>
        <w:fldChar w:fldCharType="end"/>
      </w:r>
    </w:p>
    <w:p w14:paraId="035E7FD4">
      <w:pPr>
        <w:spacing w:line="480" w:lineRule="auto"/>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lang w:val="zh-CN"/>
        </w:rPr>
        <w:fldChar w:fldCharType="end"/>
      </w:r>
    </w:p>
    <w:p w14:paraId="7384437D">
      <w:pPr>
        <w:spacing w:line="480" w:lineRule="auto"/>
        <w:rPr>
          <w:rFonts w:hint="eastAsia" w:ascii="宋体" w:hAnsi="宋体" w:eastAsia="宋体" w:cs="宋体"/>
          <w:color w:val="auto"/>
          <w:szCs w:val="24"/>
          <w:highlight w:val="none"/>
          <w:lang w:val="zh-CN"/>
        </w:rPr>
      </w:pPr>
    </w:p>
    <w:p w14:paraId="3C7CC03B">
      <w:pPr>
        <w:spacing w:line="480" w:lineRule="auto"/>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注：</w:t>
      </w:r>
      <w:r>
        <w:rPr>
          <w:rFonts w:hint="eastAsia" w:ascii="宋体" w:eastAsia="宋体" w:cs="宋体"/>
          <w:b/>
          <w:bCs/>
          <w:color w:val="auto"/>
          <w:sz w:val="22"/>
          <w:szCs w:val="22"/>
          <w:highlight w:val="none"/>
          <w:lang w:eastAsia="zh-CN"/>
        </w:rPr>
        <w:t>采购文件</w:t>
      </w:r>
      <w:r>
        <w:rPr>
          <w:rFonts w:hint="eastAsia" w:ascii="宋体" w:hAnsi="宋体" w:eastAsia="宋体" w:cs="宋体"/>
          <w:b/>
          <w:bCs/>
          <w:color w:val="auto"/>
          <w:sz w:val="22"/>
          <w:szCs w:val="22"/>
          <w:highlight w:val="none"/>
        </w:rPr>
        <w:t>中部分加“▲”的条款，为招标的实质性要求和条件，着重提醒各</w:t>
      </w:r>
      <w:r>
        <w:rPr>
          <w:rFonts w:hint="eastAsia" w:ascii="宋体" w:hAnsi="宋体" w:eastAsia="宋体" w:cs="宋体"/>
          <w:b/>
          <w:bCs/>
          <w:color w:val="auto"/>
          <w:sz w:val="22"/>
          <w:szCs w:val="22"/>
          <w:highlight w:val="none"/>
          <w:lang w:eastAsia="zh-CN"/>
        </w:rPr>
        <w:t>投标供应商</w:t>
      </w:r>
      <w:r>
        <w:rPr>
          <w:rFonts w:hint="eastAsia" w:ascii="宋体" w:hAnsi="宋体" w:eastAsia="宋体" w:cs="宋体"/>
          <w:b/>
          <w:bCs/>
          <w:color w:val="auto"/>
          <w:sz w:val="22"/>
          <w:szCs w:val="22"/>
          <w:highlight w:val="none"/>
        </w:rPr>
        <w:t>注意，并认真查看</w:t>
      </w:r>
      <w:r>
        <w:rPr>
          <w:rFonts w:hint="eastAsia" w:ascii="宋体" w:eastAsia="宋体" w:cs="宋体"/>
          <w:b/>
          <w:bCs/>
          <w:color w:val="auto"/>
          <w:sz w:val="22"/>
          <w:szCs w:val="22"/>
          <w:highlight w:val="none"/>
          <w:lang w:eastAsia="zh-CN"/>
        </w:rPr>
        <w:t>采购文件</w:t>
      </w:r>
      <w:r>
        <w:rPr>
          <w:rFonts w:hint="eastAsia" w:ascii="宋体" w:hAnsi="宋体" w:eastAsia="宋体" w:cs="宋体"/>
          <w:b/>
          <w:bCs/>
          <w:color w:val="auto"/>
          <w:sz w:val="22"/>
          <w:szCs w:val="22"/>
          <w:highlight w:val="none"/>
        </w:rPr>
        <w:t>中的每一个条款及要求，因误读</w:t>
      </w:r>
      <w:r>
        <w:rPr>
          <w:rFonts w:hint="eastAsia" w:ascii="宋体" w:eastAsia="宋体" w:cs="宋体"/>
          <w:b/>
          <w:bCs/>
          <w:color w:val="auto"/>
          <w:sz w:val="22"/>
          <w:szCs w:val="22"/>
          <w:highlight w:val="none"/>
          <w:lang w:eastAsia="zh-CN"/>
        </w:rPr>
        <w:t>采购文件</w:t>
      </w:r>
      <w:r>
        <w:rPr>
          <w:rFonts w:hint="eastAsia" w:ascii="宋体" w:hAnsi="宋体" w:eastAsia="宋体" w:cs="宋体"/>
          <w:b/>
          <w:bCs/>
          <w:color w:val="auto"/>
          <w:sz w:val="22"/>
          <w:szCs w:val="22"/>
          <w:highlight w:val="none"/>
        </w:rPr>
        <w:t>而造成的后果，</w:t>
      </w:r>
      <w:r>
        <w:rPr>
          <w:rFonts w:hint="eastAsia" w:ascii="宋体" w:eastAsia="宋体" w:cs="宋体"/>
          <w:b/>
          <w:bCs/>
          <w:color w:val="auto"/>
          <w:sz w:val="22"/>
          <w:szCs w:val="22"/>
          <w:highlight w:val="none"/>
          <w:lang w:eastAsia="zh-CN"/>
        </w:rPr>
        <w:t>采购人</w:t>
      </w:r>
      <w:r>
        <w:rPr>
          <w:rFonts w:hint="eastAsia" w:ascii="宋体" w:hAnsi="宋体" w:eastAsia="宋体" w:cs="宋体"/>
          <w:b/>
          <w:bCs/>
          <w:color w:val="auto"/>
          <w:sz w:val="22"/>
          <w:szCs w:val="22"/>
          <w:highlight w:val="none"/>
        </w:rPr>
        <w:t>概不负责。</w:t>
      </w:r>
    </w:p>
    <w:p w14:paraId="51343411">
      <w:pPr>
        <w:rPr>
          <w:rFonts w:hint="eastAsia" w:ascii="宋体" w:hAnsi="宋体" w:eastAsia="宋体" w:cs="宋体"/>
          <w:color w:val="auto"/>
          <w:highlight w:val="none"/>
          <w:lang w:val="en-US" w:eastAsia="zh-CN"/>
        </w:rPr>
      </w:pPr>
      <w:bookmarkStart w:id="0" w:name="_Toc32026"/>
      <w:r>
        <w:rPr>
          <w:rFonts w:hint="eastAsia" w:ascii="宋体" w:hAnsi="宋体" w:eastAsia="宋体" w:cs="宋体"/>
          <w:color w:val="auto"/>
          <w:highlight w:val="none"/>
          <w:lang w:val="en-US" w:eastAsia="zh-CN"/>
        </w:rPr>
        <w:br w:type="page"/>
      </w:r>
    </w:p>
    <w:p w14:paraId="69169CDD">
      <w:pPr>
        <w:pStyle w:val="41"/>
        <w:spacing w:line="480" w:lineRule="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温州市中概工程管理咨询有限公司关于</w:t>
      </w:r>
      <w:r>
        <w:rPr>
          <w:rFonts w:hint="eastAsia" w:ascii="宋体" w:hAnsi="宋体" w:cs="宋体"/>
          <w:color w:val="auto"/>
          <w:highlight w:val="none"/>
          <w:lang w:val="en-US" w:eastAsia="zh-CN"/>
        </w:rPr>
        <w:t>2024年中共永嘉县委组织部干部智慧管理系统</w:t>
      </w:r>
      <w:r>
        <w:rPr>
          <w:rFonts w:hint="eastAsia" w:ascii="宋体" w:hAnsi="宋体" w:eastAsia="宋体" w:cs="宋体"/>
          <w:color w:val="auto"/>
          <w:highlight w:val="none"/>
          <w:lang w:val="en-US" w:eastAsia="zh-CN"/>
        </w:rPr>
        <w:t>的竞争性磋商公告</w:t>
      </w:r>
      <w:bookmarkEnd w:id="0"/>
    </w:p>
    <w:p w14:paraId="024B08BC">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textAlignment w:val="auto"/>
        <w:rPr>
          <w:rFonts w:hint="eastAsia" w:ascii="宋体" w:hAnsi="宋体" w:eastAsia="宋体" w:cs="宋体"/>
          <w:sz w:val="22"/>
          <w:szCs w:val="22"/>
          <w:highlight w:val="none"/>
        </w:rPr>
      </w:pPr>
      <w:r>
        <w:rPr>
          <w:rFonts w:hint="eastAsia" w:ascii="宋体" w:hAnsi="宋体" w:eastAsia="宋体" w:cs="宋体"/>
          <w:b/>
          <w:bCs/>
          <w:i w:val="0"/>
          <w:iCs w:val="0"/>
          <w:caps w:val="0"/>
          <w:color w:val="000000"/>
          <w:spacing w:val="0"/>
          <w:sz w:val="22"/>
          <w:szCs w:val="22"/>
          <w:highlight w:val="none"/>
        </w:rPr>
        <w:t>项目概况</w:t>
      </w:r>
      <w:r>
        <w:rPr>
          <w:rFonts w:hint="eastAsia" w:ascii="宋体" w:hAnsi="宋体" w:eastAsia="宋体" w:cs="宋体"/>
          <w:i w:val="0"/>
          <w:iCs w:val="0"/>
          <w:caps w:val="0"/>
          <w:color w:val="000000"/>
          <w:spacing w:val="0"/>
          <w:sz w:val="22"/>
          <w:szCs w:val="22"/>
          <w:highlight w:val="none"/>
        </w:rPr>
        <w:t>    </w:t>
      </w:r>
    </w:p>
    <w:p w14:paraId="03979922">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cs="宋体"/>
          <w:i w:val="0"/>
          <w:iCs w:val="0"/>
          <w:caps w:val="0"/>
          <w:color w:val="000000"/>
          <w:spacing w:val="0"/>
          <w:sz w:val="22"/>
          <w:szCs w:val="22"/>
          <w:highlight w:val="none"/>
          <w:lang w:eastAsia="zh-CN"/>
        </w:rPr>
        <w:t>2024年中共永嘉县委组织部干部智慧管理系统</w:t>
      </w:r>
      <w:r>
        <w:rPr>
          <w:rFonts w:hint="eastAsia" w:ascii="宋体" w:hAnsi="宋体" w:eastAsia="宋体" w:cs="宋体"/>
          <w:i w:val="0"/>
          <w:iCs w:val="0"/>
          <w:caps w:val="0"/>
          <w:color w:val="000000"/>
          <w:spacing w:val="0"/>
          <w:sz w:val="22"/>
          <w:szCs w:val="22"/>
          <w:highlight w:val="none"/>
        </w:rPr>
        <w:t>采购项目的潜在供应商应在政采云平台线上获取（下载）采购文件，并于2025年</w:t>
      </w:r>
      <w:r>
        <w:rPr>
          <w:rFonts w:hint="eastAsia" w:ascii="宋体" w:hAnsi="宋体" w:cs="宋体"/>
          <w:i w:val="0"/>
          <w:iCs w:val="0"/>
          <w:caps w:val="0"/>
          <w:color w:val="000000"/>
          <w:spacing w:val="0"/>
          <w:sz w:val="22"/>
          <w:szCs w:val="22"/>
          <w:highlight w:val="none"/>
          <w:lang w:val="en-US" w:eastAsia="zh-CN"/>
        </w:rPr>
        <w:t>04月11日</w:t>
      </w:r>
      <w:r>
        <w:rPr>
          <w:rFonts w:hint="eastAsia" w:ascii="宋体" w:hAnsi="宋体" w:eastAsia="宋体" w:cs="宋体"/>
          <w:i w:val="0"/>
          <w:iCs w:val="0"/>
          <w:caps w:val="0"/>
          <w:color w:val="000000"/>
          <w:spacing w:val="0"/>
          <w:sz w:val="22"/>
          <w:szCs w:val="22"/>
          <w:highlight w:val="none"/>
        </w:rPr>
        <w:t xml:space="preserve"> 09:30（北京时间）前提交（上传）响应文件。    </w:t>
      </w:r>
    </w:p>
    <w:p w14:paraId="2DB41ED0">
      <w:pPr>
        <w:pStyle w:val="40"/>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textAlignment w:val="auto"/>
        <w:rPr>
          <w:rFonts w:hint="eastAsia" w:ascii="宋体" w:hAnsi="宋体" w:eastAsia="宋体" w:cs="宋体"/>
          <w:b/>
          <w:bCs/>
          <w:sz w:val="22"/>
          <w:szCs w:val="22"/>
          <w:highlight w:val="none"/>
        </w:rPr>
      </w:pPr>
      <w:r>
        <w:rPr>
          <w:rFonts w:hint="eastAsia" w:ascii="宋体" w:hAnsi="宋体" w:eastAsia="宋体" w:cs="宋体"/>
          <w:b/>
          <w:bCs/>
          <w:i w:val="0"/>
          <w:iCs w:val="0"/>
          <w:caps w:val="0"/>
          <w:color w:val="000000"/>
          <w:spacing w:val="0"/>
          <w:sz w:val="22"/>
          <w:szCs w:val="22"/>
          <w:highlight w:val="none"/>
        </w:rPr>
        <w:t>一、项目基本情况</w:t>
      </w:r>
    </w:p>
    <w:p w14:paraId="54DC7EAD">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项目编号：</w:t>
      </w:r>
      <w:r>
        <w:rPr>
          <w:rFonts w:hint="eastAsia" w:ascii="宋体" w:hAnsi="宋体" w:cs="宋体"/>
          <w:i w:val="0"/>
          <w:iCs w:val="0"/>
          <w:caps w:val="0"/>
          <w:color w:val="000000"/>
          <w:spacing w:val="0"/>
          <w:sz w:val="22"/>
          <w:szCs w:val="22"/>
          <w:highlight w:val="none"/>
          <w:lang w:eastAsia="zh-CN"/>
        </w:rPr>
        <w:t>ZGCG-20250328</w:t>
      </w:r>
      <w:r>
        <w:rPr>
          <w:rFonts w:hint="eastAsia" w:ascii="宋体" w:hAnsi="宋体" w:eastAsia="宋体" w:cs="宋体"/>
          <w:i w:val="0"/>
          <w:iCs w:val="0"/>
          <w:caps w:val="0"/>
          <w:color w:val="000000"/>
          <w:spacing w:val="0"/>
          <w:sz w:val="22"/>
          <w:szCs w:val="22"/>
          <w:highlight w:val="none"/>
        </w:rPr>
        <w:t>      </w:t>
      </w:r>
    </w:p>
    <w:p w14:paraId="4A94C9F3">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项目名称：</w:t>
      </w:r>
      <w:r>
        <w:rPr>
          <w:rFonts w:hint="eastAsia" w:ascii="宋体" w:hAnsi="宋体" w:cs="宋体"/>
          <w:i w:val="0"/>
          <w:iCs w:val="0"/>
          <w:caps w:val="0"/>
          <w:color w:val="000000"/>
          <w:spacing w:val="0"/>
          <w:sz w:val="22"/>
          <w:szCs w:val="22"/>
          <w:highlight w:val="none"/>
          <w:lang w:eastAsia="zh-CN"/>
        </w:rPr>
        <w:t>2024年中共永嘉县委组织部干部智慧管理系统</w:t>
      </w:r>
      <w:r>
        <w:rPr>
          <w:rFonts w:hint="eastAsia" w:ascii="宋体" w:hAnsi="宋体" w:eastAsia="宋体" w:cs="宋体"/>
          <w:i w:val="0"/>
          <w:iCs w:val="0"/>
          <w:caps w:val="0"/>
          <w:color w:val="000000"/>
          <w:spacing w:val="0"/>
          <w:sz w:val="22"/>
          <w:szCs w:val="22"/>
          <w:highlight w:val="none"/>
        </w:rPr>
        <w:t>      </w:t>
      </w:r>
    </w:p>
    <w:p w14:paraId="3C5BAE72">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采购方式：竞争性磋商      </w:t>
      </w:r>
    </w:p>
    <w:p w14:paraId="44C26BBB">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预算金额（元）：</w:t>
      </w:r>
      <w:r>
        <w:rPr>
          <w:rFonts w:hint="eastAsia" w:ascii="宋体" w:hAnsi="宋体" w:cs="宋体"/>
          <w:i w:val="0"/>
          <w:iCs w:val="0"/>
          <w:caps w:val="0"/>
          <w:color w:val="000000"/>
          <w:spacing w:val="0"/>
          <w:sz w:val="22"/>
          <w:szCs w:val="22"/>
          <w:highlight w:val="none"/>
          <w:lang w:val="en-US" w:eastAsia="zh-CN"/>
        </w:rPr>
        <w:t>904700</w:t>
      </w:r>
      <w:r>
        <w:rPr>
          <w:rFonts w:hint="eastAsia" w:ascii="宋体" w:hAnsi="宋体" w:eastAsia="宋体" w:cs="宋体"/>
          <w:i w:val="0"/>
          <w:iCs w:val="0"/>
          <w:caps w:val="0"/>
          <w:color w:val="000000"/>
          <w:spacing w:val="0"/>
          <w:sz w:val="22"/>
          <w:szCs w:val="22"/>
          <w:highlight w:val="none"/>
        </w:rPr>
        <w:t>      </w:t>
      </w:r>
    </w:p>
    <w:p w14:paraId="4F46F3A8">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b w:val="0"/>
          <w:bCs w:val="0"/>
          <w:sz w:val="22"/>
          <w:szCs w:val="22"/>
          <w:highlight w:val="none"/>
        </w:rPr>
      </w:pPr>
      <w:r>
        <w:rPr>
          <w:rFonts w:hint="eastAsia" w:ascii="宋体" w:hAnsi="宋体" w:eastAsia="宋体" w:cs="宋体"/>
          <w:i w:val="0"/>
          <w:iCs w:val="0"/>
          <w:caps w:val="0"/>
          <w:color w:val="000000"/>
          <w:spacing w:val="0"/>
          <w:sz w:val="22"/>
          <w:szCs w:val="22"/>
          <w:highlight w:val="none"/>
        </w:rPr>
        <w:t>最高限</w:t>
      </w:r>
      <w:r>
        <w:rPr>
          <w:rFonts w:hint="eastAsia" w:ascii="宋体" w:hAnsi="宋体" w:eastAsia="宋体" w:cs="宋体"/>
          <w:b w:val="0"/>
          <w:bCs w:val="0"/>
          <w:i w:val="0"/>
          <w:iCs w:val="0"/>
          <w:caps w:val="0"/>
          <w:color w:val="000000"/>
          <w:spacing w:val="0"/>
          <w:sz w:val="22"/>
          <w:szCs w:val="22"/>
          <w:highlight w:val="none"/>
        </w:rPr>
        <w:t>价（元）：/      </w:t>
      </w:r>
    </w:p>
    <w:p w14:paraId="73192ADB">
      <w:pPr>
        <w:keepNext w:val="0"/>
        <w:keepLines w:val="0"/>
        <w:pageBreakBefore w:val="0"/>
        <w:widowControl/>
        <w:suppressLineNumbers w:val="0"/>
        <w:kinsoku/>
        <w:wordWrap/>
        <w:overflowPunct/>
        <w:topLinePunct w:val="0"/>
        <w:autoSpaceDE/>
        <w:autoSpaceDN/>
        <w:bidi w:val="0"/>
        <w:adjustRightInd/>
        <w:snapToGrid/>
        <w:spacing w:line="360" w:lineRule="auto"/>
        <w:ind w:left="0" w:firstLine="420"/>
        <w:jc w:val="left"/>
        <w:textAlignment w:val="auto"/>
        <w:rPr>
          <w:rFonts w:hint="eastAsia" w:ascii="宋体" w:hAnsi="宋体" w:eastAsia="宋体" w:cs="宋体"/>
          <w:i w:val="0"/>
          <w:iCs w:val="0"/>
          <w:caps w:val="0"/>
          <w:color w:val="000000"/>
          <w:spacing w:val="0"/>
          <w:sz w:val="22"/>
          <w:szCs w:val="22"/>
          <w:highlight w:val="none"/>
        </w:rPr>
      </w:pPr>
      <w:r>
        <w:rPr>
          <w:rFonts w:hint="eastAsia" w:ascii="宋体" w:hAnsi="宋体" w:eastAsia="宋体" w:cs="宋体"/>
          <w:b w:val="0"/>
          <w:bCs w:val="0"/>
          <w:i w:val="0"/>
          <w:iCs w:val="0"/>
          <w:caps w:val="0"/>
          <w:color w:val="000000"/>
          <w:spacing w:val="0"/>
          <w:kern w:val="0"/>
          <w:sz w:val="22"/>
          <w:szCs w:val="22"/>
          <w:highlight w:val="none"/>
          <w:lang w:val="en-US" w:eastAsia="zh-CN" w:bidi="ar"/>
        </w:rPr>
        <w:t>采购需求： 干部智慧管理系统</w:t>
      </w:r>
      <w:r>
        <w:rPr>
          <w:rFonts w:hint="eastAsia" w:ascii="宋体" w:eastAsia="宋体" w:cs="宋体"/>
          <w:b w:val="0"/>
          <w:bCs w:val="0"/>
          <w:i w:val="0"/>
          <w:iCs w:val="0"/>
          <w:caps w:val="0"/>
          <w:color w:val="000000"/>
          <w:spacing w:val="0"/>
          <w:kern w:val="0"/>
          <w:sz w:val="22"/>
          <w:szCs w:val="22"/>
          <w:highlight w:val="none"/>
          <w:lang w:val="en-US" w:eastAsia="zh-CN" w:bidi="ar"/>
        </w:rPr>
        <w:t>，详见磋商文件。</w:t>
      </w:r>
      <w:r>
        <w:rPr>
          <w:rFonts w:hint="eastAsia" w:ascii="宋体" w:hAnsi="宋体" w:eastAsia="宋体" w:cs="宋体"/>
          <w:b w:val="0"/>
          <w:bCs w:val="0"/>
          <w:i w:val="0"/>
          <w:iCs w:val="0"/>
          <w:caps w:val="0"/>
          <w:color w:val="000000"/>
          <w:spacing w:val="0"/>
          <w:kern w:val="0"/>
          <w:sz w:val="22"/>
          <w:szCs w:val="22"/>
          <w:highlight w:val="none"/>
          <w:lang w:val="en-US" w:eastAsia="zh-CN" w:bidi="ar"/>
        </w:rPr>
        <w:t> </w:t>
      </w:r>
      <w:r>
        <w:rPr>
          <w:rFonts w:hint="eastAsia" w:ascii="宋体" w:hAnsi="宋体" w:eastAsia="宋体" w:cs="宋体"/>
          <w:b/>
          <w:bCs/>
          <w:i w:val="0"/>
          <w:iCs w:val="0"/>
          <w:caps w:val="0"/>
          <w:color w:val="000000"/>
          <w:spacing w:val="0"/>
          <w:kern w:val="0"/>
          <w:sz w:val="22"/>
          <w:szCs w:val="22"/>
          <w:highlight w:val="none"/>
          <w:lang w:val="en-US" w:eastAsia="zh-CN" w:bidi="ar"/>
        </w:rPr>
        <w:t xml:space="preserve">      </w:t>
      </w:r>
    </w:p>
    <w:p w14:paraId="06A83770">
      <w:pPr>
        <w:pStyle w:val="40"/>
        <w:keepNext w:val="0"/>
        <w:keepLines w:val="0"/>
        <w:pageBreakBefore w:val="0"/>
        <w:widowControl/>
        <w:suppressLineNumbers w:val="0"/>
        <w:kinsoku/>
        <w:wordWrap/>
        <w:overflowPunct/>
        <w:topLinePunct w:val="0"/>
        <w:autoSpaceDE/>
        <w:autoSpaceDN/>
        <w:bidi w:val="0"/>
        <w:adjustRightInd/>
        <w:snapToGrid/>
        <w:spacing w:before="300" w:beforeAutospacing="0" w:after="300" w:afterAutospacing="0" w:line="360" w:lineRule="auto"/>
        <w:ind w:left="0" w:right="0"/>
        <w:textAlignment w:val="auto"/>
        <w:rPr>
          <w:rFonts w:hint="eastAsia" w:ascii="宋体" w:hAnsi="宋体" w:eastAsia="宋体" w:cs="宋体"/>
          <w:sz w:val="22"/>
          <w:szCs w:val="22"/>
          <w:highlight w:val="none"/>
          <w:shd w:val="clear" w:color="auto" w:fill="auto"/>
        </w:rPr>
      </w:pPr>
      <w:r>
        <w:rPr>
          <w:rFonts w:hint="eastAsia" w:ascii="宋体" w:hAnsi="宋体" w:eastAsia="宋体" w:cs="宋体"/>
          <w:i w:val="0"/>
          <w:iCs w:val="0"/>
          <w:caps w:val="0"/>
          <w:color w:val="000000"/>
          <w:spacing w:val="0"/>
          <w:sz w:val="22"/>
          <w:szCs w:val="22"/>
          <w:highlight w:val="none"/>
          <w:shd w:val="clear" w:color="auto" w:fill="auto"/>
        </w:rPr>
        <w:t>         </w:t>
      </w:r>
    </w:p>
    <w:p w14:paraId="7163D17C">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spacing w:val="0"/>
          <w:sz w:val="22"/>
          <w:szCs w:val="22"/>
          <w:highlight w:val="none"/>
        </w:rPr>
      </w:pPr>
      <w:r>
        <w:rPr>
          <w:rFonts w:hint="eastAsia" w:ascii="宋体" w:hAnsi="宋体" w:eastAsia="宋体" w:cs="宋体"/>
          <w:i w:val="0"/>
          <w:iCs w:val="0"/>
          <w:caps w:val="0"/>
          <w:color w:val="000000"/>
          <w:spacing w:val="0"/>
          <w:sz w:val="22"/>
          <w:szCs w:val="22"/>
          <w:highlight w:val="none"/>
        </w:rPr>
        <w:t>数量：</w:t>
      </w:r>
      <w:r>
        <w:rPr>
          <w:rFonts w:hint="eastAsia" w:ascii="宋体" w:hAnsi="宋体" w:cs="宋体"/>
          <w:i w:val="0"/>
          <w:iCs w:val="0"/>
          <w:caps w:val="0"/>
          <w:color w:val="000000"/>
          <w:spacing w:val="0"/>
          <w:sz w:val="22"/>
          <w:szCs w:val="22"/>
          <w:highlight w:val="none"/>
          <w:lang w:val="en-US" w:eastAsia="zh-CN"/>
        </w:rPr>
        <w:t>1</w:t>
      </w:r>
      <w:r>
        <w:rPr>
          <w:rFonts w:hint="eastAsia" w:ascii="宋体" w:hAnsi="宋体" w:eastAsia="宋体" w:cs="宋体"/>
          <w:i w:val="0"/>
          <w:iCs w:val="0"/>
          <w:caps w:val="0"/>
          <w:color w:val="000000"/>
          <w:spacing w:val="0"/>
          <w:sz w:val="22"/>
          <w:szCs w:val="22"/>
          <w:highlight w:val="none"/>
        </w:rPr>
        <w:t>          </w:t>
      </w:r>
    </w:p>
    <w:p w14:paraId="7A87853F">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spacing w:val="0"/>
          <w:sz w:val="22"/>
          <w:szCs w:val="22"/>
          <w:highlight w:val="none"/>
        </w:rPr>
      </w:pPr>
      <w:r>
        <w:rPr>
          <w:rFonts w:hint="eastAsia" w:ascii="宋体" w:hAnsi="宋体" w:eastAsia="宋体" w:cs="宋体"/>
          <w:i w:val="0"/>
          <w:iCs w:val="0"/>
          <w:caps w:val="0"/>
          <w:color w:val="000000"/>
          <w:spacing w:val="0"/>
          <w:sz w:val="22"/>
          <w:szCs w:val="22"/>
          <w:highlight w:val="none"/>
        </w:rPr>
        <w:t>预算金额（元）：</w:t>
      </w:r>
      <w:r>
        <w:rPr>
          <w:rFonts w:hint="eastAsia" w:ascii="宋体" w:hAnsi="宋体" w:cs="宋体"/>
          <w:i w:val="0"/>
          <w:iCs w:val="0"/>
          <w:caps w:val="0"/>
          <w:color w:val="000000"/>
          <w:spacing w:val="0"/>
          <w:sz w:val="22"/>
          <w:szCs w:val="22"/>
          <w:highlight w:val="none"/>
          <w:lang w:val="en-US" w:eastAsia="zh-CN"/>
        </w:rPr>
        <w:t>904700</w:t>
      </w:r>
      <w:r>
        <w:rPr>
          <w:rFonts w:hint="eastAsia" w:ascii="宋体" w:hAnsi="宋体" w:eastAsia="宋体" w:cs="宋体"/>
          <w:i w:val="0"/>
          <w:iCs w:val="0"/>
          <w:caps w:val="0"/>
          <w:color w:val="000000"/>
          <w:spacing w:val="0"/>
          <w:sz w:val="22"/>
          <w:szCs w:val="22"/>
          <w:highlight w:val="none"/>
        </w:rPr>
        <w:t>          </w:t>
      </w:r>
    </w:p>
    <w:p w14:paraId="3BA2F403">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spacing w:val="0"/>
          <w:sz w:val="22"/>
          <w:szCs w:val="22"/>
          <w:highlight w:val="none"/>
        </w:rPr>
      </w:pPr>
      <w:r>
        <w:rPr>
          <w:rFonts w:hint="eastAsia" w:ascii="宋体" w:hAnsi="宋体" w:eastAsia="宋体" w:cs="宋体"/>
          <w:i w:val="0"/>
          <w:iCs w:val="0"/>
          <w:caps w:val="0"/>
          <w:color w:val="000000"/>
          <w:spacing w:val="0"/>
          <w:sz w:val="22"/>
          <w:szCs w:val="22"/>
          <w:highlight w:val="none"/>
        </w:rPr>
        <w:t>单位：</w:t>
      </w:r>
      <w:r>
        <w:rPr>
          <w:rFonts w:hint="eastAsia" w:ascii="宋体" w:hAnsi="宋体" w:cs="宋体"/>
          <w:i w:val="0"/>
          <w:iCs w:val="0"/>
          <w:caps w:val="0"/>
          <w:color w:val="000000"/>
          <w:spacing w:val="0"/>
          <w:sz w:val="22"/>
          <w:szCs w:val="22"/>
          <w:highlight w:val="none"/>
          <w:lang w:eastAsia="zh-CN"/>
        </w:rPr>
        <w:t>项</w:t>
      </w:r>
      <w:r>
        <w:rPr>
          <w:rFonts w:hint="eastAsia" w:ascii="宋体" w:hAnsi="宋体" w:eastAsia="宋体" w:cs="宋体"/>
          <w:i w:val="0"/>
          <w:iCs w:val="0"/>
          <w:caps w:val="0"/>
          <w:color w:val="000000"/>
          <w:spacing w:val="0"/>
          <w:sz w:val="22"/>
          <w:szCs w:val="22"/>
          <w:highlight w:val="none"/>
        </w:rPr>
        <w:t>          </w:t>
      </w:r>
    </w:p>
    <w:p w14:paraId="304D7F91">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spacing w:val="0"/>
          <w:sz w:val="22"/>
          <w:szCs w:val="22"/>
          <w:highlight w:val="none"/>
        </w:rPr>
      </w:pPr>
      <w:r>
        <w:rPr>
          <w:rFonts w:hint="eastAsia" w:ascii="宋体" w:hAnsi="宋体" w:eastAsia="宋体" w:cs="宋体"/>
          <w:i w:val="0"/>
          <w:iCs w:val="0"/>
          <w:caps w:val="0"/>
          <w:color w:val="000000"/>
          <w:spacing w:val="0"/>
          <w:sz w:val="22"/>
          <w:szCs w:val="22"/>
          <w:highlight w:val="none"/>
        </w:rPr>
        <w:t>简要规格描述：</w:t>
      </w:r>
      <w:r>
        <w:rPr>
          <w:rFonts w:hint="eastAsia" w:ascii="宋体" w:hAnsi="宋体" w:cs="宋体"/>
          <w:i w:val="0"/>
          <w:iCs w:val="0"/>
          <w:caps w:val="0"/>
          <w:color w:val="000000"/>
          <w:spacing w:val="0"/>
          <w:sz w:val="22"/>
          <w:szCs w:val="22"/>
          <w:highlight w:val="none"/>
          <w:lang w:eastAsia="zh-CN"/>
        </w:rPr>
        <w:t>2024年中共永嘉县委组织部干部智慧管理系统</w:t>
      </w:r>
      <w:r>
        <w:rPr>
          <w:rFonts w:hint="eastAsia" w:ascii="宋体" w:hAnsi="宋体" w:eastAsia="宋体" w:cs="宋体"/>
          <w:i w:val="0"/>
          <w:iCs w:val="0"/>
          <w:caps w:val="0"/>
          <w:color w:val="000000"/>
          <w:spacing w:val="0"/>
          <w:sz w:val="22"/>
          <w:szCs w:val="22"/>
          <w:highlight w:val="none"/>
        </w:rPr>
        <w:t>，详见磋商文件          </w:t>
      </w:r>
    </w:p>
    <w:p w14:paraId="3F26DB0D">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shd w:val="clear" w:color="auto" w:fill="auto"/>
        </w:rPr>
      </w:pPr>
      <w:r>
        <w:rPr>
          <w:rFonts w:hint="eastAsia" w:ascii="宋体" w:hAnsi="宋体" w:eastAsia="宋体" w:cs="宋体"/>
          <w:i w:val="0"/>
          <w:iCs w:val="0"/>
          <w:caps w:val="0"/>
          <w:color w:val="000000"/>
          <w:spacing w:val="0"/>
          <w:sz w:val="22"/>
          <w:szCs w:val="22"/>
          <w:highlight w:val="none"/>
        </w:rPr>
        <w:t>备注：    </w:t>
      </w:r>
      <w:r>
        <w:rPr>
          <w:rFonts w:hint="eastAsia" w:ascii="宋体" w:hAnsi="宋体" w:eastAsia="宋体" w:cs="宋体"/>
          <w:i w:val="0"/>
          <w:iCs w:val="0"/>
          <w:caps w:val="0"/>
          <w:color w:val="000000"/>
          <w:spacing w:val="0"/>
          <w:sz w:val="22"/>
          <w:szCs w:val="22"/>
          <w:highlight w:val="none"/>
          <w:shd w:val="clear" w:color="auto" w:fill="auto"/>
        </w:rPr>
        <w:t xml:space="preserve">      </w:t>
      </w:r>
    </w:p>
    <w:p w14:paraId="7C3DE2D3">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合同履约期限：标项 1，详见磋商文件      </w:t>
      </w:r>
    </w:p>
    <w:p w14:paraId="6C0DA47B">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本项目（否）接受联合体投标。      </w:t>
      </w:r>
    </w:p>
    <w:p w14:paraId="03F01F83">
      <w:pPr>
        <w:pStyle w:val="40"/>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textAlignment w:val="auto"/>
        <w:rPr>
          <w:rFonts w:hint="eastAsia" w:ascii="宋体" w:hAnsi="宋体" w:eastAsia="宋体" w:cs="宋体"/>
          <w:b/>
          <w:bCs/>
          <w:sz w:val="22"/>
          <w:szCs w:val="22"/>
          <w:highlight w:val="none"/>
        </w:rPr>
      </w:pPr>
      <w:r>
        <w:rPr>
          <w:rFonts w:hint="eastAsia" w:ascii="宋体" w:hAnsi="宋体" w:eastAsia="宋体" w:cs="宋体"/>
          <w:b/>
          <w:bCs/>
          <w:i w:val="0"/>
          <w:iCs w:val="0"/>
          <w:caps w:val="0"/>
          <w:color w:val="000000"/>
          <w:spacing w:val="0"/>
          <w:sz w:val="22"/>
          <w:szCs w:val="22"/>
          <w:highlight w:val="none"/>
        </w:rPr>
        <w:t>二、申请人的资格要求：</w:t>
      </w:r>
    </w:p>
    <w:p w14:paraId="0AF81202">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1.满足《中华人民共和国政府采购法》第二十二条规定；未被“信用中国”（www.creditchina.gov.cn</w:t>
      </w:r>
      <w:r>
        <w:rPr>
          <w:rFonts w:hint="eastAsia" w:ascii="宋体" w:hAnsi="宋体" w:cs="宋体"/>
          <w:i w:val="0"/>
          <w:iCs w:val="0"/>
          <w:caps w:val="0"/>
          <w:color w:val="000000"/>
          <w:spacing w:val="0"/>
          <w:sz w:val="22"/>
          <w:szCs w:val="22"/>
          <w:highlight w:val="none"/>
          <w:lang w:eastAsia="zh-CN"/>
        </w:rPr>
        <w:t>）</w:t>
      </w:r>
      <w:r>
        <w:rPr>
          <w:rFonts w:hint="eastAsia" w:ascii="宋体" w:hAnsi="宋体" w:eastAsia="宋体" w:cs="宋体"/>
          <w:i w:val="0"/>
          <w:iCs w:val="0"/>
          <w:caps w:val="0"/>
          <w:color w:val="000000"/>
          <w:spacing w:val="0"/>
          <w:sz w:val="22"/>
          <w:szCs w:val="22"/>
          <w:highlight w:val="none"/>
        </w:rPr>
        <w:t>、中国政府采购网（www.ccgp.gov.cn）列入失信被执行人、重大税收违法失信主体、政府采购严重违法失信行为记录名单。      </w:t>
      </w:r>
    </w:p>
    <w:p w14:paraId="55D82E53">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2.落实政府采购政策需满足的资格要求：</w:t>
      </w:r>
      <w:r>
        <w:rPr>
          <w:rFonts w:hint="eastAsia" w:ascii="宋体" w:hAnsi="宋体" w:eastAsia="宋体" w:cs="宋体"/>
          <w:color w:val="auto"/>
          <w:kern w:val="0"/>
          <w:sz w:val="22"/>
          <w:szCs w:val="22"/>
          <w:highlight w:val="none"/>
        </w:rPr>
        <w:t>标项1：本项目整体专门面向中小企业采购。中小企业是指符合《政府采购促进中小企业发展管理办法》（财库〔2020〕46号）第二条规定的企业。监狱企业、残疾人福利性单位视同小型、微型企业。</w:t>
      </w:r>
      <w:r>
        <w:rPr>
          <w:rFonts w:hint="eastAsia" w:ascii="宋体" w:hAnsi="宋体" w:eastAsia="宋体" w:cs="宋体"/>
          <w:i w:val="0"/>
          <w:iCs w:val="0"/>
          <w:caps w:val="0"/>
          <w:color w:val="000000"/>
          <w:spacing w:val="0"/>
          <w:sz w:val="22"/>
          <w:szCs w:val="22"/>
          <w:highlight w:val="none"/>
        </w:rPr>
        <w:t>      </w:t>
      </w:r>
    </w:p>
    <w:p w14:paraId="6E8FD07D">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3.本项目的特定资格要求：</w:t>
      </w:r>
      <w:r>
        <w:rPr>
          <w:rFonts w:hint="eastAsia" w:ascii="宋体" w:hAnsi="宋体" w:eastAsia="宋体" w:cs="宋体"/>
          <w:i w:val="0"/>
          <w:iCs w:val="0"/>
          <w:caps w:val="0"/>
          <w:color w:val="000000"/>
          <w:spacing w:val="0"/>
          <w:sz w:val="22"/>
          <w:szCs w:val="22"/>
          <w:highlight w:val="none"/>
          <w:lang w:val="en-US" w:eastAsia="zh-CN"/>
        </w:rPr>
        <w:t>无</w:t>
      </w:r>
      <w:r>
        <w:rPr>
          <w:rFonts w:hint="eastAsia" w:ascii="宋体" w:hAnsi="宋体" w:eastAsia="宋体" w:cs="宋体"/>
          <w:i w:val="0"/>
          <w:iCs w:val="0"/>
          <w:caps w:val="0"/>
          <w:color w:val="000000"/>
          <w:spacing w:val="0"/>
          <w:sz w:val="22"/>
          <w:szCs w:val="22"/>
          <w:highlight w:val="none"/>
        </w:rPr>
        <w:t>     </w:t>
      </w:r>
    </w:p>
    <w:p w14:paraId="0521F962">
      <w:pPr>
        <w:pStyle w:val="40"/>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textAlignment w:val="auto"/>
        <w:rPr>
          <w:rFonts w:hint="eastAsia" w:ascii="宋体" w:hAnsi="宋体" w:eastAsia="宋体" w:cs="宋体"/>
          <w:b/>
          <w:bCs/>
          <w:sz w:val="22"/>
          <w:szCs w:val="22"/>
          <w:highlight w:val="none"/>
        </w:rPr>
      </w:pPr>
      <w:r>
        <w:rPr>
          <w:rFonts w:hint="eastAsia" w:ascii="宋体" w:hAnsi="宋体" w:eastAsia="宋体" w:cs="宋体"/>
          <w:b/>
          <w:bCs/>
          <w:i w:val="0"/>
          <w:iCs w:val="0"/>
          <w:caps w:val="0"/>
          <w:color w:val="000000"/>
          <w:spacing w:val="0"/>
          <w:sz w:val="22"/>
          <w:szCs w:val="22"/>
          <w:highlight w:val="none"/>
        </w:rPr>
        <w:t>三、获取（下载）采购文件</w:t>
      </w:r>
    </w:p>
    <w:p w14:paraId="6BCF39C0">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时间：/至2025年</w:t>
      </w:r>
      <w:r>
        <w:rPr>
          <w:rFonts w:hint="eastAsia" w:ascii="宋体" w:hAnsi="宋体" w:cs="宋体"/>
          <w:i w:val="0"/>
          <w:iCs w:val="0"/>
          <w:caps w:val="0"/>
          <w:color w:val="000000"/>
          <w:spacing w:val="0"/>
          <w:sz w:val="22"/>
          <w:szCs w:val="22"/>
          <w:highlight w:val="none"/>
          <w:lang w:val="en-US" w:eastAsia="zh-CN"/>
        </w:rPr>
        <w:t>04月11日</w:t>
      </w:r>
      <w:r>
        <w:rPr>
          <w:rFonts w:hint="eastAsia" w:ascii="宋体" w:hAnsi="宋体" w:eastAsia="宋体" w:cs="宋体"/>
          <w:i w:val="0"/>
          <w:iCs w:val="0"/>
          <w:caps w:val="0"/>
          <w:color w:val="000000"/>
          <w:spacing w:val="0"/>
          <w:sz w:val="22"/>
          <w:szCs w:val="22"/>
          <w:highlight w:val="none"/>
        </w:rPr>
        <w:t>，每天上午00:00至12:00，下午12:00至23:59（北京时间，线上获取法定节假日均可，线下获取文件法定节假日除外）      </w:t>
      </w:r>
    </w:p>
    <w:p w14:paraId="55493C3E">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地点（网址）：政采云平台线上获取      </w:t>
      </w:r>
    </w:p>
    <w:p w14:paraId="28A9A483">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方式：供应商登录政采云平台https://www.zcygov.cn/在线申请获取采购文件（进入“项目采购”应用，在获取采购文件菜单中选择项目，申请获取采购文件）      </w:t>
      </w:r>
    </w:p>
    <w:p w14:paraId="4EB30DF2">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售价（元）：0      </w:t>
      </w:r>
    </w:p>
    <w:p w14:paraId="75A46511">
      <w:pPr>
        <w:pStyle w:val="40"/>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textAlignment w:val="auto"/>
        <w:rPr>
          <w:rFonts w:hint="eastAsia" w:ascii="宋体" w:hAnsi="宋体" w:eastAsia="宋体" w:cs="宋体"/>
          <w:b/>
          <w:bCs/>
          <w:sz w:val="22"/>
          <w:szCs w:val="22"/>
          <w:highlight w:val="none"/>
        </w:rPr>
      </w:pPr>
      <w:r>
        <w:rPr>
          <w:rFonts w:hint="eastAsia" w:ascii="宋体" w:hAnsi="宋体" w:eastAsia="宋体" w:cs="宋体"/>
          <w:b/>
          <w:bCs/>
          <w:i w:val="0"/>
          <w:iCs w:val="0"/>
          <w:caps w:val="0"/>
          <w:color w:val="000000"/>
          <w:spacing w:val="0"/>
          <w:sz w:val="22"/>
          <w:szCs w:val="22"/>
          <w:highlight w:val="none"/>
        </w:rPr>
        <w:t>四、响应文件提交（上传）</w:t>
      </w:r>
    </w:p>
    <w:p w14:paraId="4CE6FD9E">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截止时间：2025年</w:t>
      </w:r>
      <w:r>
        <w:rPr>
          <w:rFonts w:hint="eastAsia" w:ascii="宋体" w:hAnsi="宋体" w:cs="宋体"/>
          <w:i w:val="0"/>
          <w:iCs w:val="0"/>
          <w:caps w:val="0"/>
          <w:color w:val="000000"/>
          <w:spacing w:val="0"/>
          <w:sz w:val="22"/>
          <w:szCs w:val="22"/>
          <w:highlight w:val="none"/>
          <w:lang w:val="en-US" w:eastAsia="zh-CN"/>
        </w:rPr>
        <w:t>04月11日</w:t>
      </w:r>
      <w:r>
        <w:rPr>
          <w:rFonts w:hint="eastAsia" w:ascii="宋体" w:hAnsi="宋体" w:eastAsia="宋体" w:cs="宋体"/>
          <w:i w:val="0"/>
          <w:iCs w:val="0"/>
          <w:caps w:val="0"/>
          <w:color w:val="000000"/>
          <w:spacing w:val="0"/>
          <w:sz w:val="22"/>
          <w:szCs w:val="22"/>
          <w:highlight w:val="none"/>
        </w:rPr>
        <w:t xml:space="preserve"> 09:30（北京时间）</w:t>
      </w:r>
    </w:p>
    <w:p w14:paraId="6CF2EA24">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地点（网址）：请登录政采云投标客户端投标      </w:t>
      </w:r>
    </w:p>
    <w:p w14:paraId="6ECB0F64">
      <w:pPr>
        <w:pStyle w:val="40"/>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textAlignment w:val="auto"/>
        <w:rPr>
          <w:rFonts w:hint="eastAsia" w:ascii="宋体" w:hAnsi="宋体" w:eastAsia="宋体" w:cs="宋体"/>
          <w:b/>
          <w:bCs/>
          <w:sz w:val="22"/>
          <w:szCs w:val="22"/>
          <w:highlight w:val="none"/>
        </w:rPr>
      </w:pPr>
      <w:r>
        <w:rPr>
          <w:rFonts w:hint="eastAsia" w:ascii="宋体" w:hAnsi="宋体" w:eastAsia="宋体" w:cs="宋体"/>
          <w:b/>
          <w:bCs/>
          <w:i w:val="0"/>
          <w:iCs w:val="0"/>
          <w:caps w:val="0"/>
          <w:color w:val="000000"/>
          <w:spacing w:val="0"/>
          <w:sz w:val="22"/>
          <w:szCs w:val="22"/>
          <w:highlight w:val="none"/>
        </w:rPr>
        <w:t>五、响应文件开启</w:t>
      </w:r>
    </w:p>
    <w:p w14:paraId="7AC9DDF8">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开启时间： 2025年</w:t>
      </w:r>
      <w:r>
        <w:rPr>
          <w:rFonts w:hint="eastAsia" w:ascii="宋体" w:hAnsi="宋体" w:cs="宋体"/>
          <w:i w:val="0"/>
          <w:iCs w:val="0"/>
          <w:caps w:val="0"/>
          <w:color w:val="000000"/>
          <w:spacing w:val="0"/>
          <w:sz w:val="22"/>
          <w:szCs w:val="22"/>
          <w:highlight w:val="none"/>
          <w:lang w:val="en-US" w:eastAsia="zh-CN"/>
        </w:rPr>
        <w:t>04月11日</w:t>
      </w:r>
      <w:r>
        <w:rPr>
          <w:rFonts w:hint="eastAsia" w:ascii="宋体" w:hAnsi="宋体" w:eastAsia="宋体" w:cs="宋体"/>
          <w:i w:val="0"/>
          <w:iCs w:val="0"/>
          <w:caps w:val="0"/>
          <w:color w:val="000000"/>
          <w:spacing w:val="0"/>
          <w:sz w:val="22"/>
          <w:szCs w:val="22"/>
          <w:highlight w:val="none"/>
        </w:rPr>
        <w:t xml:space="preserve"> 09:30（北京时间）</w:t>
      </w:r>
    </w:p>
    <w:p w14:paraId="4D8A9F13">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地点（网址）：政采云平台（https://www.zcygov.cn/）      </w:t>
      </w:r>
    </w:p>
    <w:p w14:paraId="6C6FE69D">
      <w:pPr>
        <w:pStyle w:val="40"/>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textAlignment w:val="auto"/>
        <w:rPr>
          <w:rFonts w:hint="eastAsia" w:ascii="宋体" w:hAnsi="宋体" w:eastAsia="宋体" w:cs="宋体"/>
          <w:b/>
          <w:bCs/>
          <w:sz w:val="22"/>
          <w:szCs w:val="22"/>
          <w:highlight w:val="none"/>
        </w:rPr>
      </w:pPr>
      <w:r>
        <w:rPr>
          <w:rFonts w:hint="eastAsia" w:ascii="宋体" w:hAnsi="宋体" w:eastAsia="宋体" w:cs="宋体"/>
          <w:b/>
          <w:bCs/>
          <w:i w:val="0"/>
          <w:iCs w:val="0"/>
          <w:caps w:val="0"/>
          <w:color w:val="000000"/>
          <w:spacing w:val="0"/>
          <w:sz w:val="22"/>
          <w:szCs w:val="22"/>
          <w:highlight w:val="none"/>
        </w:rPr>
        <w:t>六、公告期限</w:t>
      </w:r>
    </w:p>
    <w:p w14:paraId="623E1F1D">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自本公告发布之日起3个工作日。      </w:t>
      </w:r>
    </w:p>
    <w:p w14:paraId="32ABBD2E">
      <w:pPr>
        <w:pStyle w:val="40"/>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textAlignment w:val="auto"/>
        <w:rPr>
          <w:rFonts w:hint="eastAsia" w:ascii="宋体" w:hAnsi="宋体" w:eastAsia="宋体" w:cs="宋体"/>
          <w:b/>
          <w:bCs/>
          <w:sz w:val="22"/>
          <w:szCs w:val="22"/>
          <w:highlight w:val="none"/>
        </w:rPr>
      </w:pPr>
      <w:r>
        <w:rPr>
          <w:rFonts w:hint="eastAsia" w:ascii="宋体" w:hAnsi="宋体" w:eastAsia="宋体" w:cs="宋体"/>
          <w:b/>
          <w:bCs/>
          <w:i w:val="0"/>
          <w:iCs w:val="0"/>
          <w:caps w:val="0"/>
          <w:color w:val="000000"/>
          <w:spacing w:val="0"/>
          <w:sz w:val="22"/>
          <w:szCs w:val="22"/>
          <w:highlight w:val="none"/>
        </w:rPr>
        <w:t>七、其他补充事宜</w:t>
      </w:r>
    </w:p>
    <w:p w14:paraId="3DEE8C15">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1.《浙江省财政厅关于进一步发挥政府采购政策功能全力推动经济稳进提质的通知》（浙财采监</w:t>
      </w:r>
      <w:r>
        <w:rPr>
          <w:rFonts w:hint="eastAsia" w:ascii="宋体" w:hAnsi="宋体" w:cs="宋体"/>
          <w:i w:val="0"/>
          <w:iCs w:val="0"/>
          <w:caps w:val="0"/>
          <w:color w:val="000000"/>
          <w:spacing w:val="0"/>
          <w:sz w:val="22"/>
          <w:szCs w:val="22"/>
          <w:highlight w:val="none"/>
          <w:lang w:eastAsia="zh-CN"/>
        </w:rPr>
        <w:t>〔2022〕3号</w:t>
      </w:r>
      <w:r>
        <w:rPr>
          <w:rFonts w:hint="eastAsia" w:ascii="宋体" w:hAnsi="宋体" w:eastAsia="宋体" w:cs="宋体"/>
          <w:i w:val="0"/>
          <w:iCs w:val="0"/>
          <w:caps w:val="0"/>
          <w:color w:val="000000"/>
          <w:spacing w:val="0"/>
          <w:sz w:val="22"/>
          <w:szCs w:val="22"/>
          <w:highlight w:val="none"/>
        </w:rPr>
        <w:t>）、《浙江省财政厅关于进一步促进政府采购公平竞争打造最优营商环境的通知》（浙财采监</w:t>
      </w:r>
      <w:r>
        <w:rPr>
          <w:rFonts w:hint="eastAsia" w:ascii="宋体" w:hAnsi="宋体" w:cs="宋体"/>
          <w:i w:val="0"/>
          <w:iCs w:val="0"/>
          <w:caps w:val="0"/>
          <w:color w:val="000000"/>
          <w:spacing w:val="0"/>
          <w:sz w:val="22"/>
          <w:szCs w:val="22"/>
          <w:highlight w:val="none"/>
          <w:lang w:eastAsia="zh-CN"/>
        </w:rPr>
        <w:t>〔2021〕22号</w:t>
      </w:r>
      <w:r>
        <w:rPr>
          <w:rFonts w:hint="eastAsia" w:ascii="宋体" w:hAnsi="宋体" w:eastAsia="宋体" w:cs="宋体"/>
          <w:i w:val="0"/>
          <w:iCs w:val="0"/>
          <w:caps w:val="0"/>
          <w:color w:val="000000"/>
          <w:spacing w:val="0"/>
          <w:sz w:val="22"/>
          <w:szCs w:val="22"/>
          <w:highlight w:val="none"/>
        </w:rPr>
        <w:t>）、《浙江省财政厅关于进一步加大政府采购支持中小企业力度助力扎实稳住经济的通知》（浙财采监</w:t>
      </w:r>
      <w:r>
        <w:rPr>
          <w:rFonts w:hint="eastAsia" w:ascii="宋体" w:hAnsi="宋体" w:cs="宋体"/>
          <w:i w:val="0"/>
          <w:iCs w:val="0"/>
          <w:caps w:val="0"/>
          <w:color w:val="000000"/>
          <w:spacing w:val="0"/>
          <w:sz w:val="22"/>
          <w:szCs w:val="22"/>
          <w:highlight w:val="none"/>
          <w:lang w:eastAsia="zh-CN"/>
        </w:rPr>
        <w:t>〔2022〕8号</w:t>
      </w:r>
      <w:r>
        <w:rPr>
          <w:rFonts w:hint="eastAsia" w:ascii="宋体" w:hAnsi="宋体" w:eastAsia="宋体" w:cs="宋体"/>
          <w:i w:val="0"/>
          <w:iCs w:val="0"/>
          <w:caps w:val="0"/>
          <w:color w:val="000000"/>
          <w:spacing w:val="0"/>
          <w:sz w:val="22"/>
          <w:szCs w:val="22"/>
          <w:highlight w:val="none"/>
        </w:rPr>
        <w:t>）已分别于2022年1月29日、2022年2月1日和2022年7月1日开始实施，此前有关规定与上述文件内容不一致的，按上述文件要求执行。      </w:t>
      </w:r>
    </w:p>
    <w:p w14:paraId="1483ACC4">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2.根据《浙江省财政厅关于进一步促进政府采购公平竞争打造最优营商环境的通知》（浙财采监</w:t>
      </w:r>
      <w:r>
        <w:rPr>
          <w:rFonts w:hint="eastAsia" w:ascii="宋体" w:hAnsi="宋体" w:cs="宋体"/>
          <w:i w:val="0"/>
          <w:iCs w:val="0"/>
          <w:caps w:val="0"/>
          <w:color w:val="000000"/>
          <w:spacing w:val="0"/>
          <w:sz w:val="22"/>
          <w:szCs w:val="22"/>
          <w:highlight w:val="none"/>
          <w:lang w:eastAsia="zh-CN"/>
        </w:rPr>
        <w:t>〔2021〕22号</w:t>
      </w:r>
      <w:r>
        <w:rPr>
          <w:rFonts w:hint="eastAsia" w:ascii="宋体" w:hAnsi="宋体" w:eastAsia="宋体" w:cs="宋体"/>
          <w:i w:val="0"/>
          <w:iCs w:val="0"/>
          <w:caps w:val="0"/>
          <w:color w:val="000000"/>
          <w:spacing w:val="0"/>
          <w:sz w:val="22"/>
          <w:szCs w:val="22"/>
          <w:highlight w:val="none"/>
        </w:rPr>
        <w:t>）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      </w:t>
      </w:r>
    </w:p>
    <w:p w14:paraId="2A82E801">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      </w:t>
      </w:r>
    </w:p>
    <w:p w14:paraId="20CACFA6">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4.其他事项：1、本项目通过“政府采购云平台（www.zcygov.cn）”实行在线投标响应（电子投标），供应商应先安装“政采云电子交易客户端”，并按照本</w:t>
      </w:r>
      <w:r>
        <w:rPr>
          <w:rFonts w:hint="eastAsia" w:ascii="宋体" w:hAnsi="宋体" w:cs="宋体"/>
          <w:i w:val="0"/>
          <w:iCs w:val="0"/>
          <w:caps w:val="0"/>
          <w:color w:val="000000"/>
          <w:spacing w:val="0"/>
          <w:sz w:val="22"/>
          <w:szCs w:val="22"/>
          <w:highlight w:val="none"/>
          <w:lang w:eastAsia="zh-CN"/>
        </w:rPr>
        <w:t>采购文件</w:t>
      </w:r>
      <w:r>
        <w:rPr>
          <w:rFonts w:hint="eastAsia" w:ascii="宋体" w:hAnsi="宋体" w:eastAsia="宋体" w:cs="宋体"/>
          <w:i w:val="0"/>
          <w:iCs w:val="0"/>
          <w:caps w:val="0"/>
          <w:color w:val="000000"/>
          <w:spacing w:val="0"/>
          <w:sz w:val="22"/>
          <w:szCs w:val="22"/>
          <w:highlight w:val="none"/>
        </w:rPr>
        <w:t>和“政府采购云平台”的要求，通过“政采云电子交易客户端”编制并加密投标文件。供应商未按规定加密的投标文件，“政府采购云平台”将予以拒收。 “政采云电子交易客户端”请自行前往“浙江政府采购网-下载专区-电子交易客户端”进行下载；通过“政府采购云平台”参与在线投标时如遇平台技术问题详询95763。 2、为确保网上操作合法、有效和安全，投标供应商应当在投标截止时间前完成在“政府采购云平台”的身份认证，确保在电子投标过程中能够对相关数据电文进行加密和使用CA电子签章。使用“政采云电子交易客户端”需要提前申领CA数字证书，申领流程请自行前往“浙江政府采购网-下载专区-电子交易客户端-CA驱动和申领流程”进行查阅。 3、采购公告附件内的采购文件（或采购需求）仅供阅览使用，供应商只有在“政府采购云平台”完成获取采购文件申请并下载了采购文件后才视作依法获取采购文件（法律法规所指的供应商获取采购文件时间以供应商完成获取采购文件申请后下载采购文件的时间为准）。 注：请供应商按上述要求获取采购文件，如未在“政采云”系统内完成相关流程，引起的投标无效责任自负。      </w:t>
      </w:r>
    </w:p>
    <w:p w14:paraId="3FA96F78">
      <w:pPr>
        <w:pStyle w:val="40"/>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textAlignment w:val="auto"/>
        <w:rPr>
          <w:rFonts w:hint="eastAsia" w:ascii="宋体" w:hAnsi="宋体" w:eastAsia="宋体" w:cs="宋体"/>
          <w:b/>
          <w:bCs/>
          <w:sz w:val="22"/>
          <w:szCs w:val="22"/>
          <w:highlight w:val="none"/>
        </w:rPr>
      </w:pPr>
      <w:r>
        <w:rPr>
          <w:rFonts w:hint="eastAsia" w:ascii="宋体" w:hAnsi="宋体" w:eastAsia="宋体" w:cs="宋体"/>
          <w:b/>
          <w:bCs/>
          <w:i w:val="0"/>
          <w:iCs w:val="0"/>
          <w:caps w:val="0"/>
          <w:color w:val="000000"/>
          <w:spacing w:val="0"/>
          <w:sz w:val="22"/>
          <w:szCs w:val="22"/>
          <w:highlight w:val="none"/>
        </w:rPr>
        <w:t>八、凡对本次招标提出询问、质疑、投诉，请按以下方式联系</w:t>
      </w:r>
    </w:p>
    <w:p w14:paraId="6E3E6E69">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1.采购人信息        </w:t>
      </w:r>
    </w:p>
    <w:p w14:paraId="2AC3BABD">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名    称：</w:t>
      </w:r>
      <w:r>
        <w:rPr>
          <w:rFonts w:hint="eastAsia" w:ascii="宋体" w:hAnsi="宋体" w:cs="宋体"/>
          <w:i w:val="0"/>
          <w:iCs w:val="0"/>
          <w:caps w:val="0"/>
          <w:color w:val="000000"/>
          <w:spacing w:val="0"/>
          <w:sz w:val="22"/>
          <w:szCs w:val="22"/>
          <w:highlight w:val="none"/>
          <w:lang w:eastAsia="zh-CN"/>
        </w:rPr>
        <w:t>中共永嘉县委组织部</w:t>
      </w:r>
      <w:r>
        <w:rPr>
          <w:rFonts w:hint="eastAsia" w:ascii="宋体" w:hAnsi="宋体" w:eastAsia="宋体" w:cs="宋体"/>
          <w:i w:val="0"/>
          <w:iCs w:val="0"/>
          <w:caps w:val="0"/>
          <w:color w:val="000000"/>
          <w:spacing w:val="0"/>
          <w:sz w:val="22"/>
          <w:szCs w:val="22"/>
          <w:highlight w:val="none"/>
        </w:rPr>
        <w:t>        </w:t>
      </w:r>
    </w:p>
    <w:p w14:paraId="43CB4132">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spacing w:val="0"/>
          <w:sz w:val="22"/>
          <w:szCs w:val="22"/>
          <w:highlight w:val="none"/>
          <w:lang w:eastAsia="zh-CN"/>
        </w:rPr>
      </w:pPr>
      <w:r>
        <w:rPr>
          <w:rFonts w:hint="eastAsia" w:ascii="宋体" w:hAnsi="宋体" w:eastAsia="宋体" w:cs="宋体"/>
          <w:i w:val="0"/>
          <w:iCs w:val="0"/>
          <w:caps w:val="0"/>
          <w:color w:val="000000"/>
          <w:spacing w:val="0"/>
          <w:sz w:val="22"/>
          <w:szCs w:val="22"/>
          <w:highlight w:val="none"/>
          <w:lang w:eastAsia="zh-CN"/>
        </w:rPr>
        <w:t>地    址：永嘉县上塘镇县前路94号 </w:t>
      </w:r>
    </w:p>
    <w:p w14:paraId="6FE0C522">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spacing w:val="0"/>
          <w:sz w:val="22"/>
          <w:szCs w:val="22"/>
          <w:highlight w:val="none"/>
          <w:lang w:eastAsia="zh-CN"/>
        </w:rPr>
      </w:pPr>
      <w:r>
        <w:rPr>
          <w:rFonts w:hint="eastAsia" w:ascii="宋体" w:hAnsi="宋体" w:eastAsia="宋体" w:cs="宋体"/>
          <w:i w:val="0"/>
          <w:iCs w:val="0"/>
          <w:caps w:val="0"/>
          <w:color w:val="000000"/>
          <w:spacing w:val="0"/>
          <w:sz w:val="22"/>
          <w:szCs w:val="22"/>
          <w:highlight w:val="none"/>
          <w:lang w:eastAsia="zh-CN"/>
        </w:rPr>
        <w:t>项目联系人（询问）：</w:t>
      </w:r>
      <w:r>
        <w:rPr>
          <w:rFonts w:hint="eastAsia" w:ascii="宋体" w:hAnsi="宋体" w:cs="宋体"/>
          <w:i w:val="0"/>
          <w:iCs w:val="0"/>
          <w:caps w:val="0"/>
          <w:color w:val="000000"/>
          <w:spacing w:val="0"/>
          <w:sz w:val="22"/>
          <w:szCs w:val="22"/>
          <w:highlight w:val="none"/>
          <w:lang w:val="en-US" w:eastAsia="zh-CN"/>
        </w:rPr>
        <w:t>胡先生</w:t>
      </w:r>
      <w:r>
        <w:rPr>
          <w:rFonts w:hint="eastAsia" w:ascii="宋体" w:hAnsi="宋体" w:eastAsia="宋体" w:cs="宋体"/>
          <w:i w:val="0"/>
          <w:iCs w:val="0"/>
          <w:caps w:val="0"/>
          <w:color w:val="000000"/>
          <w:spacing w:val="0"/>
          <w:sz w:val="22"/>
          <w:szCs w:val="22"/>
          <w:highlight w:val="none"/>
          <w:lang w:eastAsia="zh-CN"/>
        </w:rPr>
        <w:t>  </w:t>
      </w:r>
    </w:p>
    <w:p w14:paraId="72DA6E71">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spacing w:val="0"/>
          <w:sz w:val="22"/>
          <w:szCs w:val="22"/>
          <w:highlight w:val="none"/>
          <w:lang w:val="en-US" w:eastAsia="zh-CN"/>
        </w:rPr>
      </w:pPr>
      <w:r>
        <w:rPr>
          <w:rFonts w:hint="eastAsia" w:ascii="宋体" w:hAnsi="宋体" w:eastAsia="宋体" w:cs="宋体"/>
          <w:i w:val="0"/>
          <w:iCs w:val="0"/>
          <w:caps w:val="0"/>
          <w:color w:val="000000"/>
          <w:spacing w:val="0"/>
          <w:sz w:val="22"/>
          <w:szCs w:val="22"/>
          <w:highlight w:val="none"/>
          <w:lang w:eastAsia="zh-CN"/>
        </w:rPr>
        <w:t>项目联系方式（询问）：0577-67222350</w:t>
      </w:r>
    </w:p>
    <w:p w14:paraId="5418C72E">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spacing w:val="0"/>
          <w:sz w:val="22"/>
          <w:szCs w:val="22"/>
          <w:highlight w:val="none"/>
          <w:lang w:eastAsia="zh-CN"/>
        </w:rPr>
      </w:pPr>
      <w:r>
        <w:rPr>
          <w:rFonts w:hint="eastAsia" w:ascii="宋体" w:hAnsi="宋体" w:eastAsia="宋体" w:cs="宋体"/>
          <w:i w:val="0"/>
          <w:iCs w:val="0"/>
          <w:caps w:val="0"/>
          <w:color w:val="000000"/>
          <w:spacing w:val="0"/>
          <w:sz w:val="22"/>
          <w:szCs w:val="22"/>
          <w:highlight w:val="none"/>
          <w:lang w:eastAsia="zh-CN"/>
        </w:rPr>
        <w:t>质疑联系人：</w:t>
      </w:r>
      <w:r>
        <w:rPr>
          <w:rFonts w:hint="eastAsia" w:ascii="宋体" w:hAnsi="宋体" w:cs="宋体"/>
          <w:i w:val="0"/>
          <w:iCs w:val="0"/>
          <w:caps w:val="0"/>
          <w:color w:val="000000"/>
          <w:spacing w:val="0"/>
          <w:sz w:val="22"/>
          <w:szCs w:val="22"/>
          <w:highlight w:val="none"/>
          <w:lang w:val="en-US" w:eastAsia="zh-CN"/>
        </w:rPr>
        <w:t>胡先生</w:t>
      </w:r>
      <w:r>
        <w:rPr>
          <w:rFonts w:hint="eastAsia" w:ascii="宋体" w:hAnsi="宋体" w:eastAsia="宋体" w:cs="宋体"/>
          <w:i w:val="0"/>
          <w:iCs w:val="0"/>
          <w:caps w:val="0"/>
          <w:color w:val="000000"/>
          <w:spacing w:val="0"/>
          <w:sz w:val="22"/>
          <w:szCs w:val="22"/>
          <w:highlight w:val="none"/>
          <w:lang w:eastAsia="zh-CN"/>
        </w:rPr>
        <w:t>    </w:t>
      </w:r>
    </w:p>
    <w:p w14:paraId="1A5A6145">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spacing w:val="0"/>
          <w:sz w:val="22"/>
          <w:szCs w:val="22"/>
          <w:highlight w:val="none"/>
          <w:lang w:eastAsia="zh-CN"/>
        </w:rPr>
      </w:pPr>
      <w:r>
        <w:rPr>
          <w:rFonts w:hint="eastAsia" w:ascii="宋体" w:hAnsi="宋体" w:eastAsia="宋体" w:cs="宋体"/>
          <w:i w:val="0"/>
          <w:iCs w:val="0"/>
          <w:caps w:val="0"/>
          <w:color w:val="000000"/>
          <w:spacing w:val="0"/>
          <w:sz w:val="22"/>
          <w:szCs w:val="22"/>
          <w:highlight w:val="none"/>
          <w:lang w:eastAsia="zh-CN"/>
        </w:rPr>
        <w:t>质疑联系方式：0577-67222350</w:t>
      </w:r>
    </w:p>
    <w:p w14:paraId="64A5A36E">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     </w:t>
      </w:r>
    </w:p>
    <w:p w14:paraId="4D50DFDB">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2.采购代理机构信息        </w:t>
      </w:r>
    </w:p>
    <w:p w14:paraId="007F460A">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名    称：温州市中概工程管理咨询有限公司        </w:t>
      </w:r>
    </w:p>
    <w:p w14:paraId="0D05199D">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地    址：温州市永嘉县南城街道环城北路618号云碓大厦503室        </w:t>
      </w:r>
    </w:p>
    <w:p w14:paraId="17A87FDC">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项目联系人（询问）：</w:t>
      </w:r>
      <w:r>
        <w:rPr>
          <w:rFonts w:hint="eastAsia" w:ascii="宋体" w:hAnsi="宋体" w:cs="宋体"/>
          <w:i w:val="0"/>
          <w:iCs w:val="0"/>
          <w:caps w:val="0"/>
          <w:color w:val="000000"/>
          <w:spacing w:val="0"/>
          <w:sz w:val="22"/>
          <w:szCs w:val="22"/>
          <w:highlight w:val="none"/>
          <w:lang w:eastAsia="zh-CN"/>
        </w:rPr>
        <w:t>黄曼曼</w:t>
      </w:r>
      <w:r>
        <w:rPr>
          <w:rFonts w:hint="eastAsia" w:ascii="宋体" w:hAnsi="宋体" w:eastAsia="宋体" w:cs="宋体"/>
          <w:i w:val="0"/>
          <w:iCs w:val="0"/>
          <w:caps w:val="0"/>
          <w:color w:val="000000"/>
          <w:spacing w:val="0"/>
          <w:sz w:val="22"/>
          <w:szCs w:val="22"/>
          <w:highlight w:val="none"/>
        </w:rPr>
        <w:t>        </w:t>
      </w:r>
    </w:p>
    <w:p w14:paraId="307D4003">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项目联系方式（询问）：</w:t>
      </w:r>
      <w:r>
        <w:rPr>
          <w:rFonts w:hint="eastAsia" w:ascii="宋体" w:hAnsi="宋体" w:cs="宋体"/>
          <w:i w:val="0"/>
          <w:iCs w:val="0"/>
          <w:caps w:val="0"/>
          <w:color w:val="000000"/>
          <w:spacing w:val="0"/>
          <w:sz w:val="22"/>
          <w:szCs w:val="22"/>
          <w:highlight w:val="none"/>
          <w:lang w:eastAsia="zh-CN"/>
        </w:rPr>
        <w:t>15858728890</w:t>
      </w:r>
      <w:r>
        <w:rPr>
          <w:rFonts w:hint="eastAsia" w:ascii="宋体" w:hAnsi="宋体" w:eastAsia="宋体" w:cs="宋体"/>
          <w:i w:val="0"/>
          <w:iCs w:val="0"/>
          <w:caps w:val="0"/>
          <w:color w:val="000000"/>
          <w:spacing w:val="0"/>
          <w:sz w:val="22"/>
          <w:szCs w:val="22"/>
          <w:highlight w:val="none"/>
        </w:rPr>
        <w:t>        </w:t>
      </w:r>
    </w:p>
    <w:p w14:paraId="2069AE0E">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质疑联系人：余茜茜        </w:t>
      </w:r>
    </w:p>
    <w:p w14:paraId="482EDEC6">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质疑联系方式：13567723502        </w:t>
      </w:r>
    </w:p>
    <w:p w14:paraId="368B5A0D">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3.</w:t>
      </w:r>
      <w:r>
        <w:rPr>
          <w:rStyle w:val="54"/>
          <w:rFonts w:hint="eastAsia" w:ascii="宋体" w:hAnsi="宋体" w:eastAsia="宋体" w:cs="宋体"/>
          <w:i w:val="0"/>
          <w:iCs w:val="0"/>
          <w:caps w:val="0"/>
          <w:color w:val="000000"/>
          <w:spacing w:val="0"/>
          <w:sz w:val="22"/>
          <w:szCs w:val="22"/>
          <w:highlight w:val="none"/>
        </w:rPr>
        <w:t>同级政府采购监督管理部门</w:t>
      </w:r>
    </w:p>
    <w:p w14:paraId="3BBD3B28">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名    称：永嘉县财政局</w:t>
      </w:r>
    </w:p>
    <w:p w14:paraId="52563387">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联 系 人：沈女士</w:t>
      </w:r>
    </w:p>
    <w:p w14:paraId="393D3DEF">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监督投诉电话：0577-67230257</w:t>
      </w:r>
    </w:p>
    <w:p w14:paraId="302FC4B8">
      <w:pPr>
        <w:pStyle w:val="40"/>
        <w:keepNext w:val="0"/>
        <w:keepLines w:val="0"/>
        <w:pageBreakBefore w:val="0"/>
        <w:widowControl/>
        <w:suppressLineNumbers w:val="0"/>
        <w:kinsoku/>
        <w:wordWrap/>
        <w:overflowPunct/>
        <w:topLinePunct w:val="0"/>
        <w:autoSpaceDE/>
        <w:autoSpaceDN/>
        <w:bidi w:val="0"/>
        <w:adjustRightInd/>
        <w:snapToGrid/>
        <w:spacing w:before="600" w:beforeAutospacing="0" w:after="0" w:afterAutospacing="0" w:line="360" w:lineRule="auto"/>
        <w:ind w:left="0" w:right="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若对项目采购电子交易系统操作有疑问，可登录政采云（https://www.zcygov.cn/），点击右侧咨询小采，获取采小蜜智能服务管家帮助，或拨打政采云服务热线95763获取热线服务帮助。</w:t>
      </w:r>
    </w:p>
    <w:p w14:paraId="550B8D95">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highlight w:val="none"/>
        </w:rPr>
        <w:t>CA问题联系电话（人工）：汇信CA 400-888-4636；天谷CA 400-087-8198。</w:t>
      </w:r>
    </w:p>
    <w:p w14:paraId="11653361">
      <w:pPr>
        <w:pStyle w:val="41"/>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p>
    <w:p w14:paraId="0FC0DDA1">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1B53EE00">
      <w:pPr>
        <w:pStyle w:val="41"/>
        <w:spacing w:line="480" w:lineRule="auto"/>
        <w:rPr>
          <w:rFonts w:hint="eastAsia" w:ascii="宋体" w:hAnsi="宋体" w:eastAsia="宋体" w:cs="宋体"/>
          <w:color w:val="auto"/>
          <w:highlight w:val="none"/>
        </w:rPr>
      </w:pPr>
      <w:bookmarkStart w:id="1" w:name="_Toc15100"/>
      <w:r>
        <w:rPr>
          <w:rFonts w:hint="eastAsia" w:ascii="宋体" w:hAnsi="宋体" w:eastAsia="宋体" w:cs="宋体"/>
          <w:color w:val="auto"/>
          <w:highlight w:val="none"/>
        </w:rPr>
        <w:t>第一部分 磋商通知</w:t>
      </w:r>
      <w:r>
        <w:rPr>
          <w:rFonts w:hint="eastAsia" w:ascii="宋体" w:hAnsi="宋体" w:cs="宋体"/>
          <w:color w:val="auto"/>
          <w:highlight w:val="none"/>
          <w:lang w:eastAsia="zh-CN"/>
        </w:rPr>
        <w:t>（</w:t>
      </w:r>
      <w:r>
        <w:rPr>
          <w:rFonts w:hint="eastAsia" w:ascii="宋体" w:hAnsi="宋体" w:eastAsia="宋体" w:cs="宋体"/>
          <w:color w:val="auto"/>
          <w:highlight w:val="none"/>
        </w:rPr>
        <w:t>邀请</w:t>
      </w:r>
      <w:r>
        <w:rPr>
          <w:rFonts w:hint="eastAsia" w:ascii="宋体" w:hAnsi="宋体" w:cs="宋体"/>
          <w:color w:val="auto"/>
          <w:highlight w:val="none"/>
          <w:lang w:eastAsia="zh-CN"/>
        </w:rPr>
        <w:t>）</w:t>
      </w:r>
      <w:r>
        <w:rPr>
          <w:rFonts w:hint="eastAsia" w:ascii="宋体" w:hAnsi="宋体" w:eastAsia="宋体" w:cs="宋体"/>
          <w:color w:val="auto"/>
          <w:highlight w:val="none"/>
        </w:rPr>
        <w:t>书</w:t>
      </w:r>
      <w:bookmarkEnd w:id="1"/>
    </w:p>
    <w:tbl>
      <w:tblPr>
        <w:tblStyle w:val="44"/>
        <w:tblW w:w="9165"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57" w:type="dxa"/>
          <w:left w:w="108" w:type="dxa"/>
          <w:bottom w:w="57" w:type="dxa"/>
          <w:right w:w="108" w:type="dxa"/>
        </w:tblCellMar>
      </w:tblPr>
      <w:tblGrid>
        <w:gridCol w:w="1245"/>
        <w:gridCol w:w="1293"/>
        <w:gridCol w:w="6627"/>
      </w:tblGrid>
      <w:tr w14:paraId="2E38CB9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12" w:hRule="atLeast"/>
          <w:jc w:val="center"/>
        </w:trPr>
        <w:tc>
          <w:tcPr>
            <w:tcW w:w="1245" w:type="dxa"/>
            <w:vAlign w:val="center"/>
          </w:tcPr>
          <w:p w14:paraId="4A16986A">
            <w:pPr>
              <w:spacing w:line="400" w:lineRule="atLeast"/>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序号</w:t>
            </w:r>
          </w:p>
        </w:tc>
        <w:tc>
          <w:tcPr>
            <w:tcW w:w="1293" w:type="dxa"/>
            <w:vAlign w:val="center"/>
          </w:tcPr>
          <w:p w14:paraId="214EA4D4">
            <w:pPr>
              <w:spacing w:line="400" w:lineRule="atLeast"/>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内容</w:t>
            </w:r>
          </w:p>
        </w:tc>
        <w:tc>
          <w:tcPr>
            <w:tcW w:w="6627" w:type="dxa"/>
            <w:vAlign w:val="center"/>
          </w:tcPr>
          <w:p w14:paraId="1112374C">
            <w:pPr>
              <w:spacing w:line="400" w:lineRule="atLeast"/>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说明与要求</w:t>
            </w:r>
          </w:p>
        </w:tc>
      </w:tr>
      <w:tr w14:paraId="7AD27A9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12" w:hRule="atLeast"/>
          <w:jc w:val="center"/>
        </w:trPr>
        <w:tc>
          <w:tcPr>
            <w:tcW w:w="1245" w:type="dxa"/>
            <w:vAlign w:val="center"/>
          </w:tcPr>
          <w:p w14:paraId="7937B53D">
            <w:pPr>
              <w:spacing w:line="400" w:lineRule="atLeast"/>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w:t>
            </w:r>
          </w:p>
        </w:tc>
        <w:tc>
          <w:tcPr>
            <w:tcW w:w="1293" w:type="dxa"/>
            <w:vAlign w:val="center"/>
          </w:tcPr>
          <w:p w14:paraId="7277EC19">
            <w:pPr>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项目名称</w:t>
            </w:r>
          </w:p>
        </w:tc>
        <w:tc>
          <w:tcPr>
            <w:tcW w:w="6627" w:type="dxa"/>
            <w:vAlign w:val="center"/>
          </w:tcPr>
          <w:p w14:paraId="139E2639">
            <w:pPr>
              <w:rPr>
                <w:rFonts w:hint="eastAsia" w:ascii="宋体" w:hAnsi="宋体" w:eastAsia="宋体" w:cs="宋体"/>
                <w:b w:val="0"/>
                <w:color w:val="auto"/>
                <w:sz w:val="22"/>
                <w:szCs w:val="22"/>
                <w:highlight w:val="none"/>
                <w:lang w:eastAsia="zh-CN"/>
              </w:rPr>
            </w:pPr>
            <w:r>
              <w:rPr>
                <w:rFonts w:hint="eastAsia" w:ascii="宋体" w:eastAsia="宋体" w:cs="宋体"/>
                <w:b w:val="0"/>
                <w:color w:val="auto"/>
                <w:sz w:val="22"/>
                <w:szCs w:val="22"/>
                <w:highlight w:val="none"/>
                <w:lang w:eastAsia="zh-CN"/>
              </w:rPr>
              <w:t>2024年中共永嘉县委组织部干部智慧管理系统</w:t>
            </w:r>
          </w:p>
        </w:tc>
      </w:tr>
      <w:tr w14:paraId="02F0433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12" w:hRule="atLeast"/>
          <w:jc w:val="center"/>
        </w:trPr>
        <w:tc>
          <w:tcPr>
            <w:tcW w:w="1245" w:type="dxa"/>
            <w:vAlign w:val="center"/>
          </w:tcPr>
          <w:p w14:paraId="43C4420D">
            <w:pPr>
              <w:spacing w:line="400" w:lineRule="atLeast"/>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w:t>
            </w:r>
          </w:p>
        </w:tc>
        <w:tc>
          <w:tcPr>
            <w:tcW w:w="1293" w:type="dxa"/>
            <w:vAlign w:val="center"/>
          </w:tcPr>
          <w:p w14:paraId="081F2935">
            <w:pPr>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项目编号</w:t>
            </w:r>
          </w:p>
        </w:tc>
        <w:tc>
          <w:tcPr>
            <w:tcW w:w="6627" w:type="dxa"/>
            <w:vAlign w:val="center"/>
          </w:tcPr>
          <w:p w14:paraId="0190FC83">
            <w:pPr>
              <w:rPr>
                <w:rFonts w:hint="eastAsia" w:ascii="宋体" w:hAnsi="宋体" w:eastAsia="宋体" w:cs="宋体"/>
                <w:b w:val="0"/>
                <w:color w:val="auto"/>
                <w:sz w:val="22"/>
                <w:szCs w:val="22"/>
                <w:highlight w:val="none"/>
                <w:lang w:eastAsia="zh-CN"/>
              </w:rPr>
            </w:pPr>
            <w:r>
              <w:rPr>
                <w:rFonts w:hint="eastAsia" w:ascii="宋体" w:eastAsia="宋体" w:cs="宋体"/>
                <w:b w:val="0"/>
                <w:color w:val="auto"/>
                <w:sz w:val="22"/>
                <w:szCs w:val="22"/>
                <w:highlight w:val="none"/>
                <w:lang w:eastAsia="zh-CN"/>
              </w:rPr>
              <w:t>ZGCG-20250328</w:t>
            </w:r>
          </w:p>
        </w:tc>
      </w:tr>
      <w:tr w14:paraId="1968EB4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12" w:hRule="atLeast"/>
          <w:jc w:val="center"/>
        </w:trPr>
        <w:tc>
          <w:tcPr>
            <w:tcW w:w="1245" w:type="dxa"/>
            <w:vAlign w:val="center"/>
          </w:tcPr>
          <w:p w14:paraId="00D593A7">
            <w:pPr>
              <w:spacing w:line="400" w:lineRule="atLeast"/>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3</w:t>
            </w:r>
          </w:p>
        </w:tc>
        <w:tc>
          <w:tcPr>
            <w:tcW w:w="1293" w:type="dxa"/>
            <w:shd w:val="clear" w:color="auto" w:fill="auto"/>
            <w:vAlign w:val="center"/>
          </w:tcPr>
          <w:p w14:paraId="6338E66D">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采购预算</w:t>
            </w:r>
          </w:p>
        </w:tc>
        <w:tc>
          <w:tcPr>
            <w:tcW w:w="6627" w:type="dxa"/>
            <w:shd w:val="clear" w:color="auto" w:fill="auto"/>
            <w:vAlign w:val="center"/>
          </w:tcPr>
          <w:p w14:paraId="6CBA2325">
            <w:pP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bCs/>
                <w:color w:val="auto"/>
                <w:sz w:val="22"/>
                <w:szCs w:val="22"/>
                <w:highlight w:val="none"/>
                <w:lang w:val="en-US" w:eastAsia="zh-CN" w:bidi="ar-SA"/>
              </w:rPr>
              <w:t>904700</w:t>
            </w:r>
            <w:r>
              <w:rPr>
                <w:rFonts w:hint="eastAsia" w:ascii="宋体" w:eastAsia="宋体" w:cs="宋体"/>
                <w:b w:val="0"/>
                <w:bCs/>
                <w:color w:val="auto"/>
                <w:sz w:val="22"/>
                <w:szCs w:val="22"/>
                <w:highlight w:val="none"/>
                <w:lang w:val="en-US" w:eastAsia="zh-CN" w:bidi="ar-SA"/>
              </w:rPr>
              <w:t>元</w:t>
            </w:r>
          </w:p>
        </w:tc>
      </w:tr>
      <w:tr w14:paraId="7AC7FAF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12" w:hRule="atLeast"/>
          <w:jc w:val="center"/>
        </w:trPr>
        <w:tc>
          <w:tcPr>
            <w:tcW w:w="1245" w:type="dxa"/>
            <w:vAlign w:val="center"/>
          </w:tcPr>
          <w:p w14:paraId="6731A8AF">
            <w:pPr>
              <w:spacing w:line="400" w:lineRule="atLeast"/>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4</w:t>
            </w:r>
          </w:p>
        </w:tc>
        <w:tc>
          <w:tcPr>
            <w:tcW w:w="1293" w:type="dxa"/>
            <w:shd w:val="clear" w:color="auto" w:fill="auto"/>
            <w:vAlign w:val="center"/>
          </w:tcPr>
          <w:p w14:paraId="03EE473D">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采购方式</w:t>
            </w:r>
          </w:p>
        </w:tc>
        <w:tc>
          <w:tcPr>
            <w:tcW w:w="6627" w:type="dxa"/>
            <w:shd w:val="clear" w:color="auto" w:fill="auto"/>
            <w:vAlign w:val="center"/>
          </w:tcPr>
          <w:p w14:paraId="67F29BCC">
            <w:pP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竞争性磋商</w:t>
            </w:r>
          </w:p>
        </w:tc>
      </w:tr>
      <w:tr w14:paraId="6026D6C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12" w:hRule="atLeast"/>
          <w:jc w:val="center"/>
        </w:trPr>
        <w:tc>
          <w:tcPr>
            <w:tcW w:w="1245" w:type="dxa"/>
            <w:vAlign w:val="center"/>
          </w:tcPr>
          <w:p w14:paraId="7A13F4E5">
            <w:pPr>
              <w:spacing w:line="400" w:lineRule="atLeast"/>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5</w:t>
            </w:r>
          </w:p>
        </w:tc>
        <w:tc>
          <w:tcPr>
            <w:tcW w:w="1293" w:type="dxa"/>
            <w:shd w:val="clear" w:color="auto" w:fill="auto"/>
            <w:vAlign w:val="center"/>
          </w:tcPr>
          <w:p w14:paraId="33E5F310">
            <w:pPr>
              <w:adjustRightInd w:val="0"/>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采购人</w:t>
            </w:r>
          </w:p>
        </w:tc>
        <w:tc>
          <w:tcPr>
            <w:tcW w:w="6627" w:type="dxa"/>
            <w:shd w:val="clear" w:color="auto" w:fill="auto"/>
            <w:vAlign w:val="center"/>
          </w:tcPr>
          <w:p w14:paraId="0091C556">
            <w:pPr>
              <w:adjustRightInd w:val="0"/>
              <w:rPr>
                <w:rFonts w:hint="eastAsia" w:ascii="宋体" w:hAnsi="宋体" w:eastAsia="宋体" w:cs="宋体"/>
                <w:b w:val="0"/>
                <w:color w:val="auto"/>
                <w:sz w:val="22"/>
                <w:szCs w:val="22"/>
                <w:highlight w:val="none"/>
                <w:lang w:eastAsia="zh-CN"/>
              </w:rPr>
            </w:pPr>
            <w:r>
              <w:rPr>
                <w:rFonts w:hint="eastAsia" w:ascii="宋体" w:hAnsi="宋体" w:eastAsia="宋体" w:cs="宋体"/>
                <w:b w:val="0"/>
                <w:color w:val="auto"/>
                <w:sz w:val="22"/>
                <w:szCs w:val="22"/>
                <w:highlight w:val="none"/>
              </w:rPr>
              <w:t>采 购 人：</w:t>
            </w:r>
            <w:r>
              <w:rPr>
                <w:rFonts w:hint="eastAsia" w:ascii="宋体" w:eastAsia="宋体" w:cs="宋体"/>
                <w:b w:val="0"/>
                <w:color w:val="auto"/>
                <w:sz w:val="22"/>
                <w:szCs w:val="22"/>
                <w:highlight w:val="none"/>
                <w:lang w:eastAsia="zh-CN"/>
              </w:rPr>
              <w:t>中共永嘉县委组织部</w:t>
            </w:r>
          </w:p>
          <w:p w14:paraId="33E4E392">
            <w:pPr>
              <w:adjustRightInd w:val="0"/>
              <w:rPr>
                <w:rFonts w:hint="eastAsia" w:ascii="宋体" w:hAnsi="宋体" w:eastAsia="宋体" w:cs="宋体"/>
                <w:b w:val="0"/>
                <w:color w:val="auto"/>
                <w:sz w:val="22"/>
                <w:szCs w:val="22"/>
                <w:highlight w:val="none"/>
                <w:lang w:eastAsia="zh-CN"/>
              </w:rPr>
            </w:pPr>
            <w:r>
              <w:rPr>
                <w:rFonts w:hint="eastAsia" w:ascii="宋体" w:hAnsi="宋体" w:eastAsia="宋体" w:cs="宋体"/>
                <w:b w:val="0"/>
                <w:color w:val="auto"/>
                <w:sz w:val="22"/>
                <w:szCs w:val="22"/>
                <w:highlight w:val="none"/>
              </w:rPr>
              <w:t>联 系 人：</w:t>
            </w:r>
            <w:r>
              <w:rPr>
                <w:rFonts w:hint="eastAsia" w:ascii="宋体" w:eastAsia="宋体" w:cs="宋体"/>
                <w:b w:val="0"/>
                <w:color w:val="auto"/>
                <w:sz w:val="22"/>
                <w:szCs w:val="22"/>
                <w:highlight w:val="none"/>
                <w:lang w:val="en-US" w:eastAsia="zh-CN"/>
              </w:rPr>
              <w:t>胡先生</w:t>
            </w:r>
            <w:r>
              <w:rPr>
                <w:rFonts w:hint="eastAsia" w:ascii="宋体" w:hAnsi="宋体" w:eastAsia="宋体" w:cs="宋体"/>
                <w:b w:val="0"/>
                <w:color w:val="auto"/>
                <w:sz w:val="22"/>
                <w:szCs w:val="22"/>
                <w:highlight w:val="none"/>
                <w:lang w:eastAsia="zh-CN"/>
              </w:rPr>
              <w:t>  </w:t>
            </w:r>
          </w:p>
          <w:p w14:paraId="2706C06B">
            <w:pPr>
              <w:adjustRightInd w:val="0"/>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lang w:eastAsia="zh-CN"/>
              </w:rPr>
              <w:t>项目联系方式：0577-67222350</w:t>
            </w:r>
          </w:p>
        </w:tc>
      </w:tr>
      <w:tr w14:paraId="5C02DD2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12" w:hRule="atLeast"/>
          <w:jc w:val="center"/>
        </w:trPr>
        <w:tc>
          <w:tcPr>
            <w:tcW w:w="1245" w:type="dxa"/>
            <w:vAlign w:val="center"/>
          </w:tcPr>
          <w:p w14:paraId="4FD427EA">
            <w:pPr>
              <w:spacing w:line="400" w:lineRule="atLeast"/>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6</w:t>
            </w:r>
          </w:p>
        </w:tc>
        <w:tc>
          <w:tcPr>
            <w:tcW w:w="1293" w:type="dxa"/>
            <w:shd w:val="clear" w:color="auto" w:fill="auto"/>
            <w:vAlign w:val="center"/>
          </w:tcPr>
          <w:p w14:paraId="20FF860A">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采购代理机构</w:t>
            </w:r>
          </w:p>
        </w:tc>
        <w:tc>
          <w:tcPr>
            <w:tcW w:w="6627" w:type="dxa"/>
            <w:shd w:val="clear" w:color="auto" w:fill="auto"/>
            <w:vAlign w:val="center"/>
          </w:tcPr>
          <w:p w14:paraId="770B28E7">
            <w:pPr>
              <w:adjustRightInd w:val="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采购代理机构名称：温州市中概工程管理咨询有限公司</w:t>
            </w:r>
          </w:p>
          <w:p w14:paraId="62C59A6B">
            <w:pPr>
              <w:adjustRightInd w:val="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地    点：温州市永嘉县南城街道环城北路618号云碓大厦503室</w:t>
            </w:r>
          </w:p>
          <w:p w14:paraId="6A08E8DD">
            <w:pPr>
              <w:adjustRightInd w:val="0"/>
              <w:rPr>
                <w:rFonts w:hint="eastAsia" w:ascii="宋体" w:hAnsi="宋体" w:eastAsia="宋体" w:cs="宋体"/>
                <w:b w:val="0"/>
                <w:color w:val="auto"/>
                <w:sz w:val="22"/>
                <w:highlight w:val="none"/>
              </w:rPr>
            </w:pPr>
            <w:r>
              <w:rPr>
                <w:rFonts w:hint="eastAsia" w:ascii="宋体" w:hAnsi="宋体" w:eastAsia="宋体" w:cs="宋体"/>
                <w:b w:val="0"/>
                <w:color w:val="auto"/>
                <w:sz w:val="22"/>
                <w:highlight w:val="none"/>
              </w:rPr>
              <w:t>联 系 人：</w:t>
            </w:r>
            <w:r>
              <w:rPr>
                <w:rFonts w:hint="eastAsia" w:ascii="宋体" w:eastAsia="宋体" w:cs="宋体"/>
                <w:b w:val="0"/>
                <w:color w:val="auto"/>
                <w:sz w:val="22"/>
                <w:highlight w:val="none"/>
                <w:lang w:eastAsia="zh-CN"/>
              </w:rPr>
              <w:t>黄曼曼</w:t>
            </w:r>
            <w:r>
              <w:rPr>
                <w:rFonts w:hint="eastAsia" w:ascii="宋体" w:hAnsi="宋体" w:eastAsia="宋体" w:cs="宋体"/>
                <w:b w:val="0"/>
                <w:color w:val="auto"/>
                <w:sz w:val="22"/>
                <w:highlight w:val="none"/>
              </w:rPr>
              <w:t xml:space="preserve">   </w:t>
            </w:r>
          </w:p>
          <w:p w14:paraId="10BF2156">
            <w:pPr>
              <w:adjustRightInd w:val="0"/>
              <w:rPr>
                <w:rFonts w:hint="eastAsia" w:ascii="宋体" w:hAnsi="宋体" w:eastAsia="宋体" w:cs="宋体"/>
                <w:b w:val="0"/>
                <w:bCs/>
                <w:color w:val="auto"/>
                <w:sz w:val="22"/>
                <w:szCs w:val="21"/>
                <w:highlight w:val="none"/>
                <w:lang w:val="en-US" w:eastAsia="zh-CN" w:bidi="ar-SA"/>
              </w:rPr>
            </w:pPr>
            <w:r>
              <w:rPr>
                <w:rFonts w:hint="eastAsia" w:ascii="宋体" w:hAnsi="宋体" w:eastAsia="宋体" w:cs="宋体"/>
                <w:b w:val="0"/>
                <w:color w:val="auto"/>
                <w:sz w:val="22"/>
                <w:highlight w:val="none"/>
              </w:rPr>
              <w:t>联系电话：</w:t>
            </w:r>
            <w:r>
              <w:rPr>
                <w:rFonts w:hint="eastAsia" w:ascii="宋体" w:eastAsia="宋体" w:cs="宋体"/>
                <w:b w:val="0"/>
                <w:color w:val="auto"/>
                <w:sz w:val="22"/>
                <w:highlight w:val="none"/>
                <w:lang w:eastAsia="zh-CN"/>
              </w:rPr>
              <w:t>15858728890</w:t>
            </w:r>
          </w:p>
        </w:tc>
      </w:tr>
      <w:tr w14:paraId="2381513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12" w:hRule="atLeast"/>
          <w:jc w:val="center"/>
        </w:trPr>
        <w:tc>
          <w:tcPr>
            <w:tcW w:w="1245" w:type="dxa"/>
            <w:vAlign w:val="center"/>
          </w:tcPr>
          <w:p w14:paraId="5887A1CB">
            <w:pPr>
              <w:spacing w:line="400" w:lineRule="atLeast"/>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7</w:t>
            </w:r>
          </w:p>
        </w:tc>
        <w:tc>
          <w:tcPr>
            <w:tcW w:w="1293" w:type="dxa"/>
            <w:shd w:val="clear" w:color="auto" w:fill="auto"/>
            <w:vAlign w:val="center"/>
          </w:tcPr>
          <w:p w14:paraId="135E4116">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评标办法</w:t>
            </w:r>
          </w:p>
        </w:tc>
        <w:tc>
          <w:tcPr>
            <w:tcW w:w="6627" w:type="dxa"/>
            <w:shd w:val="clear" w:color="auto" w:fill="auto"/>
            <w:vAlign w:val="center"/>
          </w:tcPr>
          <w:p w14:paraId="2EA7BD60">
            <w:pPr>
              <w:adjustRightInd w:val="0"/>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综合评分法</w:t>
            </w:r>
          </w:p>
        </w:tc>
      </w:tr>
      <w:tr w14:paraId="6528E5B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12" w:hRule="atLeast"/>
          <w:jc w:val="center"/>
        </w:trPr>
        <w:tc>
          <w:tcPr>
            <w:tcW w:w="1245" w:type="dxa"/>
            <w:vAlign w:val="center"/>
          </w:tcPr>
          <w:p w14:paraId="552E79E2">
            <w:pPr>
              <w:spacing w:line="400" w:lineRule="atLeast"/>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8</w:t>
            </w:r>
          </w:p>
        </w:tc>
        <w:tc>
          <w:tcPr>
            <w:tcW w:w="1293" w:type="dxa"/>
            <w:shd w:val="clear" w:color="auto" w:fill="auto"/>
            <w:vAlign w:val="center"/>
          </w:tcPr>
          <w:p w14:paraId="26AA801C">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采购内容</w:t>
            </w:r>
          </w:p>
        </w:tc>
        <w:tc>
          <w:tcPr>
            <w:tcW w:w="6627" w:type="dxa"/>
            <w:shd w:val="clear" w:color="auto" w:fill="auto"/>
            <w:vAlign w:val="center"/>
          </w:tcPr>
          <w:p w14:paraId="0D88853F">
            <w:pPr>
              <w:adjustRightInd w:val="0"/>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具体内容见磋商文件。</w:t>
            </w:r>
          </w:p>
        </w:tc>
      </w:tr>
      <w:tr w14:paraId="1159A64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12" w:hRule="atLeast"/>
          <w:jc w:val="center"/>
        </w:trPr>
        <w:tc>
          <w:tcPr>
            <w:tcW w:w="1245" w:type="dxa"/>
            <w:vAlign w:val="center"/>
          </w:tcPr>
          <w:p w14:paraId="35423594">
            <w:pPr>
              <w:spacing w:line="400" w:lineRule="atLeast"/>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9</w:t>
            </w:r>
          </w:p>
        </w:tc>
        <w:tc>
          <w:tcPr>
            <w:tcW w:w="1293" w:type="dxa"/>
            <w:shd w:val="clear" w:color="auto" w:fill="auto"/>
            <w:vAlign w:val="center"/>
          </w:tcPr>
          <w:p w14:paraId="79B173D5">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供应商资格要求</w:t>
            </w:r>
          </w:p>
        </w:tc>
        <w:tc>
          <w:tcPr>
            <w:tcW w:w="6627" w:type="dxa"/>
            <w:shd w:val="clear" w:color="auto" w:fill="auto"/>
            <w:vAlign w:val="center"/>
          </w:tcPr>
          <w:p w14:paraId="18881603">
            <w:pPr>
              <w:adjustRightInd w:val="0"/>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lang w:val="en-US" w:eastAsia="zh-CN"/>
              </w:rPr>
              <w:t>详见采购公告</w:t>
            </w:r>
          </w:p>
        </w:tc>
      </w:tr>
      <w:tr w14:paraId="11B1B0D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91" w:hRule="atLeast"/>
          <w:jc w:val="center"/>
        </w:trPr>
        <w:tc>
          <w:tcPr>
            <w:tcW w:w="1245" w:type="dxa"/>
            <w:vAlign w:val="center"/>
          </w:tcPr>
          <w:p w14:paraId="153C272F">
            <w:pPr>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10</w:t>
            </w:r>
          </w:p>
        </w:tc>
        <w:tc>
          <w:tcPr>
            <w:tcW w:w="1293" w:type="dxa"/>
            <w:shd w:val="clear" w:color="auto" w:fill="auto"/>
            <w:vAlign w:val="center"/>
          </w:tcPr>
          <w:p w14:paraId="4AD3F92E">
            <w:pPr>
              <w:adjustRightInd w:val="0"/>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是否接受联合体投标</w:t>
            </w:r>
          </w:p>
        </w:tc>
        <w:tc>
          <w:tcPr>
            <w:tcW w:w="6627" w:type="dxa"/>
            <w:shd w:val="clear" w:color="auto" w:fill="auto"/>
            <w:vAlign w:val="center"/>
          </w:tcPr>
          <w:p w14:paraId="55934A0B">
            <w:pPr>
              <w:adjustRightInd w:val="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fldChar w:fldCharType="begin"/>
            </w:r>
            <w:r>
              <w:rPr>
                <w:rFonts w:hint="eastAsia" w:ascii="宋体" w:hAnsi="宋体" w:eastAsia="宋体" w:cs="宋体"/>
                <w:b w:val="0"/>
                <w:color w:val="auto"/>
                <w:sz w:val="22"/>
                <w:szCs w:val="22"/>
                <w:highlight w:val="none"/>
              </w:rPr>
              <w:instrText xml:space="preserve"> eq \o\ac(□,√)</w:instrText>
            </w:r>
            <w:r>
              <w:rPr>
                <w:rFonts w:hint="eastAsia" w:ascii="宋体" w:hAnsi="宋体" w:eastAsia="宋体" w:cs="宋体"/>
                <w:b w:val="0"/>
                <w:color w:val="auto"/>
                <w:sz w:val="22"/>
                <w:szCs w:val="22"/>
                <w:highlight w:val="none"/>
              </w:rPr>
              <w:fldChar w:fldCharType="end"/>
            </w:r>
            <w:r>
              <w:rPr>
                <w:rFonts w:hint="eastAsia" w:ascii="宋体" w:hAnsi="宋体" w:eastAsia="宋体" w:cs="宋体"/>
                <w:b w:val="0"/>
                <w:color w:val="auto"/>
                <w:sz w:val="22"/>
                <w:szCs w:val="22"/>
                <w:highlight w:val="none"/>
              </w:rPr>
              <w:t>不接受</w:t>
            </w:r>
          </w:p>
          <w:p w14:paraId="531A20A4">
            <w:pPr>
              <w:adjustRightInd w:val="0"/>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□接受</w:t>
            </w:r>
          </w:p>
        </w:tc>
      </w:tr>
      <w:tr w14:paraId="50F34C0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91" w:hRule="atLeast"/>
          <w:jc w:val="center"/>
        </w:trPr>
        <w:tc>
          <w:tcPr>
            <w:tcW w:w="1245" w:type="dxa"/>
            <w:vAlign w:val="center"/>
          </w:tcPr>
          <w:p w14:paraId="47F14ACF">
            <w:pPr>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11</w:t>
            </w:r>
          </w:p>
        </w:tc>
        <w:tc>
          <w:tcPr>
            <w:tcW w:w="1293" w:type="dxa"/>
            <w:shd w:val="clear" w:color="auto" w:fill="auto"/>
            <w:vAlign w:val="center"/>
          </w:tcPr>
          <w:p w14:paraId="50063A04">
            <w:pPr>
              <w:adjustRightInd w:val="0"/>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踏勘现场</w:t>
            </w:r>
          </w:p>
        </w:tc>
        <w:tc>
          <w:tcPr>
            <w:tcW w:w="6627" w:type="dxa"/>
            <w:shd w:val="clear" w:color="auto" w:fill="auto"/>
            <w:vAlign w:val="center"/>
          </w:tcPr>
          <w:p w14:paraId="00205139">
            <w:pPr>
              <w:adjustRightInd w:val="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fldChar w:fldCharType="begin"/>
            </w:r>
            <w:r>
              <w:rPr>
                <w:rFonts w:hint="eastAsia" w:ascii="宋体" w:hAnsi="宋体" w:eastAsia="宋体" w:cs="宋体"/>
                <w:b w:val="0"/>
                <w:color w:val="auto"/>
                <w:sz w:val="22"/>
                <w:szCs w:val="22"/>
                <w:highlight w:val="none"/>
              </w:rPr>
              <w:instrText xml:space="preserve"> eq \o\ac(□,√)</w:instrText>
            </w:r>
            <w:r>
              <w:rPr>
                <w:rFonts w:hint="eastAsia" w:ascii="宋体" w:hAnsi="宋体" w:eastAsia="宋体" w:cs="宋体"/>
                <w:b w:val="0"/>
                <w:color w:val="auto"/>
                <w:sz w:val="22"/>
                <w:szCs w:val="22"/>
                <w:highlight w:val="none"/>
              </w:rPr>
              <w:fldChar w:fldCharType="end"/>
            </w:r>
            <w:r>
              <w:rPr>
                <w:rFonts w:hint="eastAsia" w:ascii="宋体" w:hAnsi="宋体" w:eastAsia="宋体" w:cs="宋体"/>
                <w:b w:val="0"/>
                <w:color w:val="auto"/>
                <w:sz w:val="22"/>
                <w:szCs w:val="22"/>
                <w:highlight w:val="none"/>
              </w:rPr>
              <w:t>不组织</w:t>
            </w:r>
          </w:p>
          <w:p w14:paraId="14ABD782">
            <w:pPr>
              <w:adjustRightInd w:val="0"/>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 xml:space="preserve">□组织   </w:t>
            </w:r>
          </w:p>
        </w:tc>
      </w:tr>
      <w:tr w14:paraId="2B0B9CE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91" w:hRule="atLeast"/>
          <w:jc w:val="center"/>
        </w:trPr>
        <w:tc>
          <w:tcPr>
            <w:tcW w:w="1245" w:type="dxa"/>
            <w:vAlign w:val="center"/>
          </w:tcPr>
          <w:p w14:paraId="4AC194D6">
            <w:pPr>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12</w:t>
            </w:r>
          </w:p>
        </w:tc>
        <w:tc>
          <w:tcPr>
            <w:tcW w:w="1293" w:type="dxa"/>
            <w:shd w:val="clear" w:color="auto" w:fill="auto"/>
            <w:vAlign w:val="center"/>
          </w:tcPr>
          <w:p w14:paraId="2843C5BC">
            <w:pPr>
              <w:adjustRightInd w:val="0"/>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是否允许递交备选投标方案</w:t>
            </w:r>
          </w:p>
        </w:tc>
        <w:tc>
          <w:tcPr>
            <w:tcW w:w="6627" w:type="dxa"/>
            <w:shd w:val="clear" w:color="auto" w:fill="auto"/>
            <w:vAlign w:val="center"/>
          </w:tcPr>
          <w:p w14:paraId="0CF81445">
            <w:pPr>
              <w:adjustRightInd w:val="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fldChar w:fldCharType="begin"/>
            </w:r>
            <w:r>
              <w:rPr>
                <w:rFonts w:hint="eastAsia" w:ascii="宋体" w:hAnsi="宋体" w:eastAsia="宋体" w:cs="宋体"/>
                <w:b w:val="0"/>
                <w:color w:val="auto"/>
                <w:sz w:val="22"/>
                <w:szCs w:val="22"/>
                <w:highlight w:val="none"/>
              </w:rPr>
              <w:instrText xml:space="preserve"> eq \o\ac(□,√)</w:instrText>
            </w:r>
            <w:r>
              <w:rPr>
                <w:rFonts w:hint="eastAsia" w:ascii="宋体" w:hAnsi="宋体" w:eastAsia="宋体" w:cs="宋体"/>
                <w:b w:val="0"/>
                <w:color w:val="auto"/>
                <w:sz w:val="22"/>
                <w:szCs w:val="22"/>
                <w:highlight w:val="none"/>
              </w:rPr>
              <w:fldChar w:fldCharType="end"/>
            </w:r>
            <w:r>
              <w:rPr>
                <w:rFonts w:hint="eastAsia" w:ascii="宋体" w:hAnsi="宋体" w:eastAsia="宋体" w:cs="宋体"/>
                <w:b w:val="0"/>
                <w:color w:val="auto"/>
                <w:sz w:val="22"/>
                <w:szCs w:val="22"/>
                <w:highlight w:val="none"/>
              </w:rPr>
              <w:t xml:space="preserve"> 不允许</w:t>
            </w:r>
          </w:p>
          <w:p w14:paraId="33FAD4B1">
            <w:pPr>
              <w:adjustRightInd w:val="0"/>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 允许</w:t>
            </w:r>
          </w:p>
        </w:tc>
      </w:tr>
      <w:tr w14:paraId="549A0F3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91" w:hRule="atLeast"/>
          <w:jc w:val="center"/>
        </w:trPr>
        <w:tc>
          <w:tcPr>
            <w:tcW w:w="1245" w:type="dxa"/>
            <w:vAlign w:val="center"/>
          </w:tcPr>
          <w:p w14:paraId="0BC911F1">
            <w:pPr>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13</w:t>
            </w:r>
          </w:p>
        </w:tc>
        <w:tc>
          <w:tcPr>
            <w:tcW w:w="1293" w:type="dxa"/>
            <w:shd w:val="clear" w:color="auto" w:fill="auto"/>
            <w:vAlign w:val="center"/>
          </w:tcPr>
          <w:p w14:paraId="556BEB3B">
            <w:pPr>
              <w:adjustRightInd w:val="0"/>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分包</w:t>
            </w:r>
          </w:p>
        </w:tc>
        <w:tc>
          <w:tcPr>
            <w:tcW w:w="6627" w:type="dxa"/>
            <w:shd w:val="clear" w:color="auto" w:fill="auto"/>
            <w:vAlign w:val="center"/>
          </w:tcPr>
          <w:p w14:paraId="659E7EBD">
            <w:pPr>
              <w:adjustRightInd w:val="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fldChar w:fldCharType="begin"/>
            </w:r>
            <w:r>
              <w:rPr>
                <w:rFonts w:hint="eastAsia" w:ascii="宋体" w:hAnsi="宋体" w:eastAsia="宋体" w:cs="宋体"/>
                <w:b w:val="0"/>
                <w:color w:val="auto"/>
                <w:sz w:val="22"/>
                <w:szCs w:val="22"/>
                <w:highlight w:val="none"/>
              </w:rPr>
              <w:instrText xml:space="preserve"> eq \o\ac(□,√)</w:instrText>
            </w:r>
            <w:r>
              <w:rPr>
                <w:rFonts w:hint="eastAsia" w:ascii="宋体" w:hAnsi="宋体" w:eastAsia="宋体" w:cs="宋体"/>
                <w:b w:val="0"/>
                <w:color w:val="auto"/>
                <w:sz w:val="22"/>
                <w:szCs w:val="22"/>
                <w:highlight w:val="none"/>
              </w:rPr>
              <w:fldChar w:fldCharType="end"/>
            </w:r>
            <w:r>
              <w:rPr>
                <w:rFonts w:hint="eastAsia" w:ascii="宋体" w:hAnsi="宋体" w:eastAsia="宋体" w:cs="宋体"/>
                <w:b w:val="0"/>
                <w:color w:val="auto"/>
                <w:sz w:val="22"/>
                <w:szCs w:val="22"/>
                <w:highlight w:val="none"/>
              </w:rPr>
              <w:t>不允许</w:t>
            </w:r>
          </w:p>
          <w:p w14:paraId="3E60D3D5">
            <w:pPr>
              <w:adjustRightInd w:val="0"/>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fldChar w:fldCharType="begin"/>
            </w:r>
            <w:r>
              <w:rPr>
                <w:rFonts w:hint="eastAsia" w:ascii="宋体" w:hAnsi="宋体" w:eastAsia="宋体" w:cs="宋体"/>
                <w:b w:val="0"/>
                <w:color w:val="auto"/>
                <w:sz w:val="22"/>
                <w:szCs w:val="22"/>
                <w:highlight w:val="none"/>
              </w:rPr>
              <w:instrText xml:space="preserve"> eq \o\ac(□)</w:instrText>
            </w:r>
            <w:r>
              <w:rPr>
                <w:rFonts w:hint="eastAsia" w:ascii="宋体" w:hAnsi="宋体" w:eastAsia="宋体" w:cs="宋体"/>
                <w:b w:val="0"/>
                <w:color w:val="auto"/>
                <w:sz w:val="22"/>
                <w:szCs w:val="22"/>
                <w:highlight w:val="none"/>
              </w:rPr>
              <w:fldChar w:fldCharType="end"/>
            </w:r>
            <w:r>
              <w:rPr>
                <w:rFonts w:hint="eastAsia" w:ascii="宋体" w:hAnsi="宋体" w:eastAsia="宋体" w:cs="宋体"/>
                <w:b w:val="0"/>
                <w:color w:val="auto"/>
                <w:sz w:val="22"/>
                <w:szCs w:val="22"/>
                <w:highlight w:val="none"/>
              </w:rPr>
              <w:t>允许</w:t>
            </w:r>
          </w:p>
        </w:tc>
      </w:tr>
      <w:tr w14:paraId="1DFCEB8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91" w:hRule="atLeast"/>
          <w:jc w:val="center"/>
        </w:trPr>
        <w:tc>
          <w:tcPr>
            <w:tcW w:w="1245" w:type="dxa"/>
            <w:vAlign w:val="center"/>
          </w:tcPr>
          <w:p w14:paraId="2F86AA8F">
            <w:pPr>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14</w:t>
            </w:r>
          </w:p>
        </w:tc>
        <w:tc>
          <w:tcPr>
            <w:tcW w:w="1293" w:type="dxa"/>
            <w:shd w:val="clear" w:color="auto" w:fill="auto"/>
            <w:vAlign w:val="center"/>
          </w:tcPr>
          <w:p w14:paraId="3DC71D34">
            <w:pPr>
              <w:adjustRightInd w:val="0"/>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报价货币</w:t>
            </w:r>
          </w:p>
        </w:tc>
        <w:tc>
          <w:tcPr>
            <w:tcW w:w="6627" w:type="dxa"/>
            <w:shd w:val="clear" w:color="auto" w:fill="auto"/>
            <w:vAlign w:val="center"/>
          </w:tcPr>
          <w:p w14:paraId="71328309">
            <w:pPr>
              <w:adjustRightInd w:val="0"/>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人民币</w:t>
            </w:r>
          </w:p>
        </w:tc>
      </w:tr>
      <w:tr w14:paraId="7F010F9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80" w:hRule="atLeast"/>
          <w:jc w:val="center"/>
        </w:trPr>
        <w:tc>
          <w:tcPr>
            <w:tcW w:w="1245" w:type="dxa"/>
            <w:vAlign w:val="center"/>
          </w:tcPr>
          <w:p w14:paraId="61166C6F">
            <w:pPr>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15</w:t>
            </w:r>
          </w:p>
        </w:tc>
        <w:tc>
          <w:tcPr>
            <w:tcW w:w="1293" w:type="dxa"/>
            <w:shd w:val="clear" w:color="auto" w:fill="auto"/>
            <w:vAlign w:val="center"/>
          </w:tcPr>
          <w:p w14:paraId="52D21F7E">
            <w:pPr>
              <w:adjustRightInd w:val="0"/>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报价语言</w:t>
            </w:r>
          </w:p>
        </w:tc>
        <w:tc>
          <w:tcPr>
            <w:tcW w:w="6627" w:type="dxa"/>
            <w:shd w:val="clear" w:color="auto" w:fill="auto"/>
            <w:vAlign w:val="center"/>
          </w:tcPr>
          <w:p w14:paraId="35F6A7FB">
            <w:pPr>
              <w:adjustRightInd w:val="0"/>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中文</w:t>
            </w:r>
          </w:p>
        </w:tc>
      </w:tr>
      <w:tr w14:paraId="5025DDD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0" w:hRule="atLeast"/>
          <w:jc w:val="center"/>
        </w:trPr>
        <w:tc>
          <w:tcPr>
            <w:tcW w:w="1245" w:type="dxa"/>
            <w:vAlign w:val="center"/>
          </w:tcPr>
          <w:p w14:paraId="6810CA2E">
            <w:pPr>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16</w:t>
            </w:r>
          </w:p>
        </w:tc>
        <w:tc>
          <w:tcPr>
            <w:tcW w:w="1293" w:type="dxa"/>
            <w:shd w:val="clear" w:color="auto" w:fill="auto"/>
            <w:vAlign w:val="center"/>
          </w:tcPr>
          <w:p w14:paraId="0CA1B3D1">
            <w:pPr>
              <w:adjustRightInd w:val="0"/>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响应文件的编制</w:t>
            </w:r>
          </w:p>
        </w:tc>
        <w:tc>
          <w:tcPr>
            <w:tcW w:w="6627" w:type="dxa"/>
            <w:shd w:val="clear" w:color="auto" w:fill="auto"/>
            <w:vAlign w:val="center"/>
          </w:tcPr>
          <w:p w14:paraId="1652A07A">
            <w:pPr>
              <w:adjustRightInd w:val="0"/>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供应商应先安装“政采云电子交易客户端”，并按照本采购文件和“政采云平台”的要求，通过“政采云电子交易客户端”编制并加密响应文件。</w:t>
            </w:r>
          </w:p>
        </w:tc>
      </w:tr>
      <w:tr w14:paraId="19B8B27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2" w:hRule="atLeast"/>
          <w:jc w:val="center"/>
        </w:trPr>
        <w:tc>
          <w:tcPr>
            <w:tcW w:w="1245" w:type="dxa"/>
            <w:vAlign w:val="center"/>
          </w:tcPr>
          <w:p w14:paraId="755B9B75">
            <w:pPr>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17</w:t>
            </w:r>
          </w:p>
        </w:tc>
        <w:tc>
          <w:tcPr>
            <w:tcW w:w="1293" w:type="dxa"/>
            <w:shd w:val="clear" w:color="auto" w:fill="auto"/>
            <w:vAlign w:val="center"/>
          </w:tcPr>
          <w:p w14:paraId="36F85F12">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报价有效期</w:t>
            </w:r>
          </w:p>
        </w:tc>
        <w:tc>
          <w:tcPr>
            <w:tcW w:w="6627" w:type="dxa"/>
            <w:shd w:val="clear" w:color="auto" w:fill="auto"/>
            <w:vAlign w:val="center"/>
          </w:tcPr>
          <w:p w14:paraId="449E338D">
            <w:pPr>
              <w:rPr>
                <w:rFonts w:hint="eastAsia" w:ascii="宋体" w:hAnsi="宋体" w:eastAsia="宋体" w:cs="宋体"/>
                <w:b/>
                <w:bCs/>
                <w:color w:val="auto"/>
                <w:sz w:val="21"/>
                <w:szCs w:val="21"/>
                <w:highlight w:val="none"/>
                <w:lang w:val="en-US" w:eastAsia="zh-CN" w:bidi="ar-SA"/>
              </w:rPr>
            </w:pPr>
            <w:r>
              <w:rPr>
                <w:rFonts w:hint="eastAsia" w:ascii="宋体" w:hAnsi="宋体" w:eastAsia="宋体" w:cs="宋体"/>
                <w:b w:val="0"/>
                <w:color w:val="auto"/>
                <w:sz w:val="22"/>
                <w:szCs w:val="22"/>
                <w:highlight w:val="none"/>
              </w:rPr>
              <w:t>提交响应文件截止时间起90天内</w:t>
            </w:r>
          </w:p>
        </w:tc>
      </w:tr>
      <w:tr w14:paraId="6B304F2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08" w:hRule="atLeast"/>
          <w:jc w:val="center"/>
        </w:trPr>
        <w:tc>
          <w:tcPr>
            <w:tcW w:w="1245" w:type="dxa"/>
            <w:vAlign w:val="center"/>
          </w:tcPr>
          <w:p w14:paraId="789B7CC5">
            <w:pPr>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18</w:t>
            </w:r>
          </w:p>
        </w:tc>
        <w:tc>
          <w:tcPr>
            <w:tcW w:w="1293" w:type="dxa"/>
            <w:shd w:val="clear" w:color="auto" w:fill="auto"/>
            <w:vAlign w:val="center"/>
          </w:tcPr>
          <w:p w14:paraId="30FA11AB">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签字或盖章要求</w:t>
            </w:r>
          </w:p>
        </w:tc>
        <w:tc>
          <w:tcPr>
            <w:tcW w:w="6627" w:type="dxa"/>
            <w:shd w:val="clear" w:color="auto" w:fill="auto"/>
            <w:vAlign w:val="center"/>
          </w:tcPr>
          <w:p w14:paraId="58F1EC2B">
            <w:pP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响应文件的相应位置应加盖：电子签章。</w:t>
            </w:r>
          </w:p>
          <w:p w14:paraId="4AFA2130">
            <w:pPr>
              <w:rPr>
                <w:rFonts w:hint="eastAsia" w:ascii="宋体" w:hAnsi="宋体" w:eastAsia="宋体" w:cs="宋体"/>
                <w:b/>
                <w:bCs/>
                <w:color w:val="auto"/>
                <w:sz w:val="21"/>
                <w:szCs w:val="21"/>
                <w:highlight w:val="none"/>
                <w:lang w:val="en-US" w:eastAsia="zh-CN" w:bidi="ar-SA"/>
              </w:rPr>
            </w:pPr>
            <w:r>
              <w:rPr>
                <w:rFonts w:hint="eastAsia" w:ascii="宋体" w:hAnsi="宋体" w:eastAsia="宋体" w:cs="宋体"/>
                <w:b w:val="0"/>
                <w:color w:val="auto"/>
                <w:sz w:val="22"/>
                <w:szCs w:val="22"/>
                <w:highlight w:val="none"/>
              </w:rPr>
              <w:t>注：本项目电子招投标活动中的签字与电子签章具有同等法律效应。</w:t>
            </w:r>
          </w:p>
        </w:tc>
      </w:tr>
      <w:tr w14:paraId="0F83BE9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08" w:hRule="atLeast"/>
          <w:jc w:val="center"/>
        </w:trPr>
        <w:tc>
          <w:tcPr>
            <w:tcW w:w="1245" w:type="dxa"/>
            <w:vAlign w:val="center"/>
          </w:tcPr>
          <w:p w14:paraId="3A416C6B">
            <w:pPr>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19</w:t>
            </w:r>
          </w:p>
        </w:tc>
        <w:tc>
          <w:tcPr>
            <w:tcW w:w="1293" w:type="dxa"/>
            <w:shd w:val="clear" w:color="auto" w:fill="auto"/>
            <w:vAlign w:val="center"/>
          </w:tcPr>
          <w:p w14:paraId="4C90C540">
            <w:pP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响应文件的形式、制作及组成</w:t>
            </w:r>
          </w:p>
        </w:tc>
        <w:tc>
          <w:tcPr>
            <w:tcW w:w="6627" w:type="dxa"/>
            <w:shd w:val="clear" w:color="auto" w:fill="auto"/>
            <w:vAlign w:val="center"/>
          </w:tcPr>
          <w:p w14:paraId="1896103C">
            <w:pP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本项目实行在线投标响应（电子投标）。</w:t>
            </w:r>
          </w:p>
          <w:p w14:paraId="5141E2C1">
            <w:pP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投标供应商须准备电子响应文件（包括“电子加密响应文件”和“备份响应文件”两类，在响应文件编制完成后同时生成）。</w:t>
            </w:r>
          </w:p>
          <w:p w14:paraId="750AC106">
            <w:pP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（1）“电子加密响应文件”是指通过“政采云电子交易客户端”完成响应文件编制后生成并加密的数据电文形式的响应文件。</w:t>
            </w:r>
          </w:p>
          <w:p w14:paraId="697229CA">
            <w:pP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（2）“备份响应文件”是指与“电子加密响应文件”同时生成的数据电文形式的电子文件（备份标书），其他方式编制的备份响应文件视为无效备份响应文件。</w:t>
            </w:r>
          </w:p>
          <w:p w14:paraId="38DF393A">
            <w:pP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以上两类响应文件均由资格文件、报价文件、商务技术文件三部分组成。</w:t>
            </w:r>
          </w:p>
        </w:tc>
      </w:tr>
      <w:tr w14:paraId="7176C96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08" w:hRule="atLeast"/>
          <w:jc w:val="center"/>
        </w:trPr>
        <w:tc>
          <w:tcPr>
            <w:tcW w:w="1245" w:type="dxa"/>
            <w:vAlign w:val="center"/>
          </w:tcPr>
          <w:p w14:paraId="56BDDBF4">
            <w:pPr>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20</w:t>
            </w:r>
          </w:p>
        </w:tc>
        <w:tc>
          <w:tcPr>
            <w:tcW w:w="1293" w:type="dxa"/>
            <w:shd w:val="clear" w:color="auto" w:fill="auto"/>
            <w:vAlign w:val="center"/>
          </w:tcPr>
          <w:p w14:paraId="709FFE16">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投标保证金</w:t>
            </w:r>
          </w:p>
        </w:tc>
        <w:tc>
          <w:tcPr>
            <w:tcW w:w="6627" w:type="dxa"/>
            <w:shd w:val="clear" w:color="auto" w:fill="auto"/>
            <w:vAlign w:val="center"/>
          </w:tcPr>
          <w:p w14:paraId="2D2F222D">
            <w:pP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fldChar w:fldCharType="begin"/>
            </w:r>
            <w:r>
              <w:rPr>
                <w:rFonts w:hint="eastAsia" w:ascii="宋体" w:hAnsi="宋体" w:eastAsia="宋体" w:cs="宋体"/>
                <w:b w:val="0"/>
                <w:color w:val="auto"/>
                <w:sz w:val="22"/>
                <w:szCs w:val="22"/>
                <w:highlight w:val="none"/>
              </w:rPr>
              <w:instrText xml:space="preserve"> eq \o\ac(□,√)</w:instrText>
            </w:r>
            <w:r>
              <w:rPr>
                <w:rFonts w:hint="eastAsia" w:ascii="宋体" w:hAnsi="宋体" w:eastAsia="宋体" w:cs="宋体"/>
                <w:b w:val="0"/>
                <w:color w:val="auto"/>
                <w:sz w:val="22"/>
                <w:szCs w:val="22"/>
                <w:highlight w:val="none"/>
              </w:rPr>
              <w:fldChar w:fldCharType="end"/>
            </w:r>
            <w:r>
              <w:rPr>
                <w:rFonts w:hint="eastAsia" w:ascii="宋体" w:hAnsi="宋体" w:eastAsia="宋体" w:cs="宋体"/>
                <w:b w:val="0"/>
                <w:color w:val="auto"/>
                <w:sz w:val="22"/>
                <w:szCs w:val="22"/>
                <w:highlight w:val="none"/>
              </w:rPr>
              <w:t>不需要</w:t>
            </w:r>
          </w:p>
          <w:p w14:paraId="4E8304C5">
            <w:pP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□需要</w:t>
            </w:r>
          </w:p>
        </w:tc>
      </w:tr>
      <w:tr w14:paraId="696CEEF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08" w:hRule="atLeast"/>
          <w:jc w:val="center"/>
        </w:trPr>
        <w:tc>
          <w:tcPr>
            <w:tcW w:w="1245" w:type="dxa"/>
            <w:vAlign w:val="center"/>
          </w:tcPr>
          <w:p w14:paraId="6D0FABA4">
            <w:pPr>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21</w:t>
            </w:r>
          </w:p>
        </w:tc>
        <w:tc>
          <w:tcPr>
            <w:tcW w:w="1293" w:type="dxa"/>
            <w:shd w:val="clear" w:color="auto" w:fill="auto"/>
            <w:vAlign w:val="center"/>
          </w:tcPr>
          <w:p w14:paraId="2882B70F">
            <w:pPr>
              <w:adjustRightInd w:val="0"/>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履约担保</w:t>
            </w:r>
          </w:p>
        </w:tc>
        <w:tc>
          <w:tcPr>
            <w:tcW w:w="6627" w:type="dxa"/>
            <w:shd w:val="clear" w:color="auto" w:fill="auto"/>
            <w:vAlign w:val="center"/>
          </w:tcPr>
          <w:p w14:paraId="2748C7ED">
            <w:pPr>
              <w:rPr>
                <w:rFonts w:hint="eastAsia" w:ascii="宋体" w:hAnsi="宋体" w:eastAsia="宋体" w:cs="宋体"/>
                <w:b/>
                <w:bCs w:val="0"/>
                <w:color w:val="auto"/>
                <w:sz w:val="22"/>
                <w:szCs w:val="22"/>
                <w:highlight w:val="none"/>
              </w:rPr>
            </w:pPr>
            <w:r>
              <w:rPr>
                <w:rFonts w:hint="eastAsia" w:ascii="宋体" w:hAnsi="宋体" w:eastAsia="宋体" w:cs="宋体"/>
                <w:b w:val="0"/>
                <w:color w:val="auto"/>
                <w:sz w:val="22"/>
                <w:szCs w:val="22"/>
                <w:highlight w:val="none"/>
              </w:rPr>
              <w:fldChar w:fldCharType="begin"/>
            </w:r>
            <w:r>
              <w:rPr>
                <w:rFonts w:hint="eastAsia" w:ascii="宋体" w:hAnsi="宋体" w:eastAsia="宋体" w:cs="宋体"/>
                <w:b w:val="0"/>
                <w:color w:val="auto"/>
                <w:sz w:val="22"/>
                <w:szCs w:val="22"/>
                <w:highlight w:val="none"/>
              </w:rPr>
              <w:instrText xml:space="preserve"> eq \o\ac(□,√)</w:instrText>
            </w:r>
            <w:r>
              <w:rPr>
                <w:rFonts w:hint="eastAsia" w:ascii="宋体" w:hAnsi="宋体" w:eastAsia="宋体" w:cs="宋体"/>
                <w:b w:val="0"/>
                <w:color w:val="auto"/>
                <w:sz w:val="22"/>
                <w:szCs w:val="22"/>
                <w:highlight w:val="none"/>
              </w:rPr>
              <w:fldChar w:fldCharType="end"/>
            </w:r>
            <w:r>
              <w:rPr>
                <w:rFonts w:hint="eastAsia" w:ascii="宋体" w:hAnsi="宋体" w:eastAsia="宋体" w:cs="宋体"/>
                <w:b w:val="0"/>
                <w:bCs/>
                <w:color w:val="auto"/>
                <w:sz w:val="22"/>
                <w:szCs w:val="22"/>
                <w:highlight w:val="none"/>
              </w:rPr>
              <w:t>不需要</w:t>
            </w:r>
          </w:p>
          <w:p w14:paraId="5161E137">
            <w:pPr>
              <w:adjustRightInd w:val="0"/>
              <w:rPr>
                <w:rFonts w:hint="eastAsia" w:ascii="宋体" w:hAnsi="宋体" w:eastAsia="宋体" w:cs="宋体"/>
                <w:b/>
                <w:bCs/>
                <w:color w:val="auto"/>
                <w:sz w:val="22"/>
                <w:szCs w:val="22"/>
                <w:highlight w:val="none"/>
                <w:lang w:val="en-US" w:eastAsia="zh-CN" w:bidi="ar-SA"/>
              </w:rPr>
            </w:pPr>
            <w:r>
              <w:rPr>
                <w:rFonts w:hint="eastAsia" w:ascii="宋体" w:hAnsi="宋体" w:eastAsia="宋体" w:cs="宋体"/>
                <w:b w:val="0"/>
                <w:color w:val="auto"/>
                <w:sz w:val="22"/>
                <w:szCs w:val="22"/>
                <w:highlight w:val="none"/>
              </w:rPr>
              <w:fldChar w:fldCharType="begin"/>
            </w:r>
            <w:r>
              <w:rPr>
                <w:rFonts w:hint="eastAsia" w:ascii="宋体" w:hAnsi="宋体" w:eastAsia="宋体" w:cs="宋体"/>
                <w:b w:val="0"/>
                <w:color w:val="auto"/>
                <w:sz w:val="22"/>
                <w:szCs w:val="22"/>
                <w:highlight w:val="none"/>
              </w:rPr>
              <w:instrText xml:space="preserve"> eq \o\ac(□)</w:instrText>
            </w:r>
            <w:r>
              <w:rPr>
                <w:rFonts w:hint="eastAsia" w:ascii="宋体" w:hAnsi="宋体" w:eastAsia="宋体" w:cs="宋体"/>
                <w:b w:val="0"/>
                <w:color w:val="auto"/>
                <w:sz w:val="22"/>
                <w:szCs w:val="22"/>
                <w:highlight w:val="none"/>
              </w:rPr>
              <w:fldChar w:fldCharType="end"/>
            </w:r>
            <w:r>
              <w:rPr>
                <w:rFonts w:hint="eastAsia" w:ascii="宋体" w:hAnsi="宋体" w:eastAsia="宋体" w:cs="宋体"/>
                <w:b w:val="0"/>
                <w:bCs w:val="0"/>
                <w:color w:val="auto"/>
                <w:sz w:val="22"/>
                <w:szCs w:val="22"/>
                <w:highlight w:val="none"/>
              </w:rPr>
              <w:t>需要  合同签订后成交供应商应提供合同金额的1%履约保证金至采购人指定账户，履约保证金可以以银行或保险公司出具的保函作为履约保函。</w:t>
            </w:r>
          </w:p>
        </w:tc>
      </w:tr>
      <w:tr w14:paraId="292626F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08" w:hRule="atLeast"/>
          <w:jc w:val="center"/>
        </w:trPr>
        <w:tc>
          <w:tcPr>
            <w:tcW w:w="1245" w:type="dxa"/>
            <w:vAlign w:val="center"/>
          </w:tcPr>
          <w:p w14:paraId="31CE5ECD">
            <w:pPr>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22</w:t>
            </w:r>
          </w:p>
        </w:tc>
        <w:tc>
          <w:tcPr>
            <w:tcW w:w="1293" w:type="dxa"/>
            <w:shd w:val="clear" w:color="auto" w:fill="auto"/>
            <w:vAlign w:val="center"/>
          </w:tcPr>
          <w:p w14:paraId="3725FEAF">
            <w:pPr>
              <w:adjustRightInd w:val="0"/>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响应文件份数</w:t>
            </w:r>
          </w:p>
        </w:tc>
        <w:tc>
          <w:tcPr>
            <w:tcW w:w="6627" w:type="dxa"/>
            <w:shd w:val="clear" w:color="auto" w:fill="auto"/>
            <w:vAlign w:val="center"/>
          </w:tcPr>
          <w:p w14:paraId="3F9BDED9">
            <w:pPr>
              <w:adjustRightInd w:val="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（1）“电子加密响应文件”：在线上传递交、一份。</w:t>
            </w:r>
          </w:p>
          <w:p w14:paraId="5E779FCD">
            <w:pPr>
              <w:adjustRightInd w:val="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备份响应文件”：可以U盘存储，密封包装后（顺丰快递形式）在响应文件递交截止时间及开标时间前递交，送达时间以签收人签收时间为准，一份，邮寄地址：温州市永嘉县南城街道环城北路618号云碓大厦503室，</w:t>
            </w:r>
            <w:r>
              <w:rPr>
                <w:rFonts w:hint="eastAsia" w:ascii="宋体" w:eastAsia="宋体" w:cs="宋体"/>
                <w:b w:val="0"/>
                <w:color w:val="auto"/>
                <w:sz w:val="22"/>
                <w:szCs w:val="22"/>
                <w:highlight w:val="none"/>
                <w:lang w:eastAsia="zh-CN"/>
              </w:rPr>
              <w:t>黄曼曼</w:t>
            </w:r>
            <w:r>
              <w:rPr>
                <w:rFonts w:hint="eastAsia" w:ascii="宋体" w:hAnsi="宋体" w:eastAsia="宋体" w:cs="宋体"/>
                <w:b w:val="0"/>
                <w:color w:val="auto"/>
                <w:sz w:val="22"/>
                <w:szCs w:val="22"/>
                <w:highlight w:val="none"/>
              </w:rPr>
              <w:t xml:space="preserve"> （收）联系电话：</w:t>
            </w:r>
            <w:r>
              <w:rPr>
                <w:rFonts w:hint="eastAsia" w:ascii="宋体" w:eastAsia="宋体" w:cs="宋体"/>
                <w:b w:val="0"/>
                <w:color w:val="auto"/>
                <w:sz w:val="22"/>
                <w:szCs w:val="22"/>
                <w:highlight w:val="none"/>
                <w:lang w:eastAsia="zh-CN"/>
              </w:rPr>
              <w:t>15858728890</w:t>
            </w:r>
            <w:r>
              <w:rPr>
                <w:rFonts w:hint="eastAsia" w:ascii="宋体" w:hAnsi="宋体" w:eastAsia="宋体" w:cs="宋体"/>
                <w:b w:val="0"/>
                <w:color w:val="auto"/>
                <w:sz w:val="22"/>
                <w:szCs w:val="22"/>
                <w:highlight w:val="none"/>
              </w:rPr>
              <w:t>。</w:t>
            </w:r>
          </w:p>
          <w:p w14:paraId="10921EC9">
            <w:pPr>
              <w:adjustRightInd w:val="0"/>
              <w:rPr>
                <w:rFonts w:hint="eastAsia" w:ascii="宋体" w:hAnsi="宋体" w:eastAsia="宋体" w:cs="宋体"/>
                <w:b/>
                <w:bCs/>
                <w:color w:val="auto"/>
                <w:sz w:val="21"/>
                <w:szCs w:val="21"/>
                <w:highlight w:val="none"/>
                <w:lang w:val="en-US" w:eastAsia="zh-CN" w:bidi="ar-SA"/>
              </w:rPr>
            </w:pPr>
            <w:r>
              <w:rPr>
                <w:rFonts w:hint="eastAsia" w:ascii="宋体" w:hAnsi="宋体" w:eastAsia="宋体" w:cs="宋体"/>
                <w:b w:val="0"/>
                <w:color w:val="auto"/>
                <w:sz w:val="22"/>
                <w:szCs w:val="22"/>
                <w:highlight w:val="none"/>
              </w:rPr>
              <w:t>注：“备份响应文件”由供应商自行是否提供。</w:t>
            </w:r>
          </w:p>
        </w:tc>
      </w:tr>
      <w:tr w14:paraId="47F9766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07" w:hRule="atLeast"/>
          <w:jc w:val="center"/>
        </w:trPr>
        <w:tc>
          <w:tcPr>
            <w:tcW w:w="1245" w:type="dxa"/>
            <w:vAlign w:val="center"/>
          </w:tcPr>
          <w:p w14:paraId="4CA3519B">
            <w:pPr>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23</w:t>
            </w:r>
          </w:p>
        </w:tc>
        <w:tc>
          <w:tcPr>
            <w:tcW w:w="1293" w:type="dxa"/>
            <w:shd w:val="clear" w:color="auto" w:fill="auto"/>
            <w:vAlign w:val="center"/>
          </w:tcPr>
          <w:p w14:paraId="55FD313F">
            <w:pPr>
              <w:rPr>
                <w:rFonts w:hint="eastAsia" w:ascii="宋体" w:hAnsi="宋体" w:eastAsia="宋体" w:cs="宋体"/>
                <w:b/>
                <w:bCs/>
                <w:color w:val="auto"/>
                <w:sz w:val="22"/>
                <w:szCs w:val="22"/>
                <w:highlight w:val="none"/>
                <w:lang w:val="en-US" w:eastAsia="zh-CN" w:bidi="ar-SA"/>
              </w:rPr>
            </w:pPr>
            <w:r>
              <w:rPr>
                <w:rFonts w:hint="eastAsia" w:ascii="宋体" w:hAnsi="宋体" w:eastAsia="宋体" w:cs="宋体"/>
                <w:color w:val="auto"/>
                <w:sz w:val="22"/>
                <w:szCs w:val="22"/>
                <w:highlight w:val="none"/>
              </w:rPr>
              <w:t>响应文件递交截止时间及开标时间</w:t>
            </w:r>
          </w:p>
        </w:tc>
        <w:tc>
          <w:tcPr>
            <w:tcW w:w="6627" w:type="dxa"/>
            <w:shd w:val="clear" w:color="auto" w:fill="auto"/>
            <w:vAlign w:val="center"/>
          </w:tcPr>
          <w:p w14:paraId="36E2867F">
            <w:pPr>
              <w:rPr>
                <w:rFonts w:hint="eastAsia" w:ascii="宋体" w:hAnsi="宋体" w:eastAsia="宋体" w:cs="宋体"/>
                <w:b/>
                <w:bCs/>
                <w:i/>
                <w:color w:val="auto"/>
                <w:sz w:val="22"/>
                <w:szCs w:val="22"/>
                <w:highlight w:val="none"/>
                <w:lang w:val="en-US" w:eastAsia="zh-CN" w:bidi="ar-SA"/>
              </w:rPr>
            </w:pPr>
            <w:r>
              <w:rPr>
                <w:rFonts w:hint="eastAsia" w:ascii="宋体" w:hAnsi="宋体" w:eastAsia="宋体" w:cs="宋体"/>
                <w:i/>
                <w:color w:val="auto"/>
                <w:sz w:val="22"/>
                <w:szCs w:val="22"/>
                <w:highlight w:val="none"/>
              </w:rPr>
              <w:t>2025年</w:t>
            </w:r>
            <w:r>
              <w:rPr>
                <w:rFonts w:hint="eastAsia" w:ascii="宋体" w:eastAsia="宋体" w:cs="宋体"/>
                <w:i/>
                <w:color w:val="auto"/>
                <w:sz w:val="22"/>
                <w:szCs w:val="22"/>
                <w:highlight w:val="none"/>
                <w:lang w:eastAsia="zh-CN"/>
              </w:rPr>
              <w:t>04月11日</w:t>
            </w:r>
            <w:r>
              <w:rPr>
                <w:rFonts w:hint="eastAsia" w:ascii="宋体" w:hAnsi="宋体" w:eastAsia="宋体" w:cs="宋体"/>
                <w:i/>
                <w:color w:val="auto"/>
                <w:sz w:val="22"/>
                <w:szCs w:val="22"/>
                <w:highlight w:val="none"/>
              </w:rPr>
              <w:t>09:30 截止(北京时间)。</w:t>
            </w:r>
          </w:p>
        </w:tc>
      </w:tr>
      <w:tr w14:paraId="13E4E46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07" w:hRule="atLeast"/>
          <w:jc w:val="center"/>
        </w:trPr>
        <w:tc>
          <w:tcPr>
            <w:tcW w:w="1245" w:type="dxa"/>
            <w:shd w:val="clear" w:color="auto" w:fill="auto"/>
            <w:vAlign w:val="center"/>
          </w:tcPr>
          <w:p w14:paraId="3C3782FE">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24</w:t>
            </w:r>
          </w:p>
        </w:tc>
        <w:tc>
          <w:tcPr>
            <w:tcW w:w="1293" w:type="dxa"/>
            <w:shd w:val="clear" w:color="auto" w:fill="auto"/>
            <w:vAlign w:val="center"/>
          </w:tcPr>
          <w:p w14:paraId="3BEB9C06">
            <w:pPr>
              <w:jc w:val="center"/>
              <w:rPr>
                <w:rFonts w:hint="eastAsia" w:cs="宋体" w:asciiTheme="majorEastAsia" w:hAnsiTheme="majorEastAsia" w:eastAsiaTheme="majorEastAsia"/>
                <w:b/>
                <w:bCs/>
                <w:color w:val="auto"/>
                <w:sz w:val="22"/>
                <w:szCs w:val="22"/>
                <w:highlight w:val="none"/>
                <w:lang w:val="en-US" w:eastAsia="zh-CN" w:bidi="ar-SA"/>
              </w:rPr>
            </w:pPr>
            <w:r>
              <w:rPr>
                <w:rFonts w:hint="eastAsia" w:cs="宋体" w:asciiTheme="majorEastAsia" w:hAnsiTheme="majorEastAsia" w:eastAsiaTheme="majorEastAsia"/>
                <w:b/>
                <w:color w:val="auto"/>
                <w:sz w:val="22"/>
                <w:szCs w:val="22"/>
                <w:highlight w:val="none"/>
                <w:lang w:bidi="ar"/>
              </w:rPr>
              <w:t>评标地址</w:t>
            </w:r>
          </w:p>
        </w:tc>
        <w:tc>
          <w:tcPr>
            <w:tcW w:w="6627" w:type="dxa"/>
            <w:shd w:val="clear" w:color="auto" w:fill="auto"/>
            <w:vAlign w:val="center"/>
          </w:tcPr>
          <w:p w14:paraId="29BC38CE">
            <w:pPr>
              <w:rPr>
                <w:rFonts w:hint="eastAsia" w:cs="宋体" w:asciiTheme="majorEastAsia" w:hAnsiTheme="majorEastAsia" w:eastAsiaTheme="majorEastAsia"/>
                <w:b/>
                <w:bCs/>
                <w:color w:val="auto"/>
                <w:sz w:val="22"/>
                <w:szCs w:val="22"/>
                <w:highlight w:val="none"/>
                <w:lang w:val="en-US" w:eastAsia="zh-CN" w:bidi="ar-SA"/>
              </w:rPr>
            </w:pPr>
            <w:r>
              <w:rPr>
                <w:rFonts w:hint="eastAsia" w:asciiTheme="majorEastAsia" w:hAnsiTheme="majorEastAsia" w:eastAsiaTheme="majorEastAsia"/>
                <w:b/>
                <w:color w:val="auto"/>
                <w:sz w:val="22"/>
                <w:szCs w:val="22"/>
                <w:highlight w:val="none"/>
                <w:lang w:eastAsia="zh-CN"/>
              </w:rPr>
              <w:t>温州市永嘉县南城街道环城北路云碓大厦502室</w:t>
            </w:r>
          </w:p>
        </w:tc>
      </w:tr>
      <w:tr w14:paraId="01DE23A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032" w:hRule="atLeast"/>
          <w:jc w:val="center"/>
        </w:trPr>
        <w:tc>
          <w:tcPr>
            <w:tcW w:w="1245" w:type="dxa"/>
            <w:shd w:val="clear" w:color="auto" w:fill="auto"/>
            <w:vAlign w:val="center"/>
          </w:tcPr>
          <w:p w14:paraId="1C442FE4">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25</w:t>
            </w:r>
          </w:p>
        </w:tc>
        <w:tc>
          <w:tcPr>
            <w:tcW w:w="1293" w:type="dxa"/>
            <w:shd w:val="clear" w:color="auto" w:fill="auto"/>
            <w:vAlign w:val="center"/>
          </w:tcPr>
          <w:p w14:paraId="768C8615">
            <w:pPr>
              <w:autoSpaceDE w:val="0"/>
              <w:autoSpaceDN w:val="0"/>
              <w:adjustRightInd w:val="0"/>
              <w:spacing w:line="300" w:lineRule="atLeast"/>
              <w:rPr>
                <w:rFonts w:hint="eastAsia" w:ascii="宋体" w:hAnsi="宋体" w:eastAsia="宋体" w:cs="宋体"/>
                <w:b w:val="0"/>
                <w:bCs/>
                <w:color w:val="auto"/>
                <w:sz w:val="22"/>
                <w:szCs w:val="22"/>
                <w:highlight w:val="none"/>
                <w:lang w:val="zh-CN" w:eastAsia="zh-CN" w:bidi="ar-SA"/>
              </w:rPr>
            </w:pPr>
            <w:r>
              <w:rPr>
                <w:rFonts w:hint="eastAsia" w:ascii="宋体" w:hAnsi="宋体" w:eastAsia="宋体" w:cs="宋体"/>
                <w:b w:val="0"/>
                <w:color w:val="auto"/>
                <w:sz w:val="22"/>
                <w:szCs w:val="22"/>
                <w:highlight w:val="none"/>
                <w:lang w:val="zh-CN"/>
              </w:rPr>
              <w:t>响应文件的上传和递交</w:t>
            </w:r>
          </w:p>
        </w:tc>
        <w:tc>
          <w:tcPr>
            <w:tcW w:w="6627" w:type="dxa"/>
            <w:shd w:val="clear" w:color="auto" w:fill="auto"/>
            <w:vAlign w:val="center"/>
          </w:tcPr>
          <w:p w14:paraId="38C49C1D">
            <w:pPr>
              <w:pStyle w:val="118"/>
              <w:autoSpaceDE w:val="0"/>
              <w:autoSpaceDN w:val="0"/>
              <w:adjustRightInd w:val="0"/>
              <w:spacing w:line="300" w:lineRule="atLeast"/>
              <w:jc w:val="both"/>
              <w:rPr>
                <w:rFonts w:hint="eastAsia" w:ascii="宋体" w:hAnsi="宋体" w:eastAsia="宋体" w:cs="宋体"/>
                <w:sz w:val="22"/>
                <w:highlight w:val="none"/>
              </w:rPr>
            </w:pPr>
            <w:r>
              <w:rPr>
                <w:rFonts w:hint="eastAsia" w:ascii="宋体" w:hAnsi="宋体" w:eastAsia="宋体" w:cs="宋体"/>
                <w:sz w:val="22"/>
                <w:highlight w:val="none"/>
              </w:rPr>
              <w:t>一、“电子加密响应文件”的上传、递交：</w:t>
            </w:r>
          </w:p>
          <w:p w14:paraId="78510287">
            <w:pPr>
              <w:pStyle w:val="118"/>
              <w:autoSpaceDE w:val="0"/>
              <w:autoSpaceDN w:val="0"/>
              <w:adjustRightInd w:val="0"/>
              <w:spacing w:line="300" w:lineRule="atLeast"/>
              <w:ind w:firstLine="440" w:firstLineChars="200"/>
              <w:jc w:val="both"/>
              <w:rPr>
                <w:rFonts w:hint="eastAsia" w:ascii="宋体" w:hAnsi="宋体" w:eastAsia="宋体" w:cs="宋体"/>
                <w:sz w:val="22"/>
                <w:highlight w:val="none"/>
              </w:rPr>
            </w:pPr>
            <w:r>
              <w:rPr>
                <w:rFonts w:hint="eastAsia" w:ascii="宋体" w:hAnsi="宋体" w:eastAsia="宋体" w:cs="宋体"/>
                <w:sz w:val="22"/>
                <w:highlight w:val="none"/>
              </w:rPr>
              <w:t>a.投标供应商应在响应文件递交截止时间前将“电子加密响应文件”成功上传递交至“政采云平台”，否则投标无效。</w:t>
            </w:r>
          </w:p>
          <w:p w14:paraId="5EF391C1">
            <w:pPr>
              <w:pStyle w:val="118"/>
              <w:autoSpaceDE w:val="0"/>
              <w:autoSpaceDN w:val="0"/>
              <w:adjustRightInd w:val="0"/>
              <w:spacing w:line="300" w:lineRule="atLeast"/>
              <w:ind w:firstLine="440" w:firstLineChars="200"/>
              <w:jc w:val="both"/>
              <w:rPr>
                <w:rFonts w:hint="eastAsia" w:ascii="宋体" w:hAnsi="宋体" w:eastAsia="宋体" w:cs="宋体"/>
                <w:sz w:val="22"/>
                <w:highlight w:val="none"/>
              </w:rPr>
            </w:pPr>
            <w:r>
              <w:rPr>
                <w:rFonts w:hint="eastAsia" w:ascii="宋体" w:hAnsi="宋体" w:eastAsia="宋体" w:cs="宋体"/>
                <w:sz w:val="22"/>
                <w:highlight w:val="none"/>
              </w:rPr>
              <w:t>b.“电子加密响应文件”成功上传递交后，供应商可自行打印响应文件接收回执。</w:t>
            </w:r>
          </w:p>
          <w:p w14:paraId="07721400">
            <w:pPr>
              <w:pStyle w:val="118"/>
              <w:autoSpaceDE w:val="0"/>
              <w:autoSpaceDN w:val="0"/>
              <w:adjustRightInd w:val="0"/>
              <w:spacing w:line="300" w:lineRule="atLeast"/>
              <w:jc w:val="both"/>
              <w:rPr>
                <w:rFonts w:hint="eastAsia" w:ascii="宋体" w:hAnsi="宋体" w:eastAsia="宋体" w:cs="宋体"/>
                <w:sz w:val="22"/>
                <w:highlight w:val="none"/>
              </w:rPr>
            </w:pPr>
            <w:r>
              <w:rPr>
                <w:rFonts w:hint="eastAsia" w:ascii="宋体" w:hAnsi="宋体" w:eastAsia="宋体" w:cs="宋体"/>
                <w:sz w:val="22"/>
                <w:highlight w:val="none"/>
              </w:rPr>
              <w:t>二、“备份响应文件”的密封包装、递交：</w:t>
            </w:r>
          </w:p>
          <w:p w14:paraId="07FA5AA5">
            <w:pPr>
              <w:pStyle w:val="118"/>
              <w:autoSpaceDE w:val="0"/>
              <w:autoSpaceDN w:val="0"/>
              <w:adjustRightInd w:val="0"/>
              <w:spacing w:line="300" w:lineRule="atLeast"/>
              <w:ind w:firstLine="440" w:firstLineChars="200"/>
              <w:jc w:val="both"/>
              <w:rPr>
                <w:rFonts w:hint="eastAsia" w:ascii="宋体" w:hAnsi="宋体" w:eastAsia="宋体" w:cs="宋体"/>
                <w:sz w:val="22"/>
                <w:highlight w:val="none"/>
              </w:rPr>
            </w:pPr>
            <w:r>
              <w:rPr>
                <w:rFonts w:hint="eastAsia" w:ascii="宋体" w:hAnsi="宋体" w:eastAsia="宋体" w:cs="宋体"/>
                <w:sz w:val="22"/>
                <w:highlight w:val="none"/>
              </w:rPr>
              <w:t>a.投标供应商在“政采云平台”完成“电子加密响应文件”的上传递交后，还可以（建议顺丰快递形式）递交以介质（U盘）存储的 “备份响应文件”（一份）</w:t>
            </w:r>
            <w:r>
              <w:rPr>
                <w:rFonts w:hint="eastAsia" w:cs="宋体"/>
                <w:sz w:val="22"/>
                <w:highlight w:val="none"/>
                <w:lang w:eastAsia="zh-CN"/>
              </w:rPr>
              <w:t>；以</w:t>
            </w:r>
            <w:r>
              <w:rPr>
                <w:rFonts w:hint="eastAsia" w:ascii="宋体" w:hAnsi="宋体" w:eastAsia="宋体" w:cs="宋体"/>
                <w:sz w:val="22"/>
                <w:highlight w:val="none"/>
              </w:rPr>
              <w:t>顺丰快递形式快递至采购代理机构地址（地址详见招标采购文件）；解密CA必须是上传并制作电子响应文件CA锁。</w:t>
            </w:r>
          </w:p>
          <w:p w14:paraId="7E48D34C">
            <w:pPr>
              <w:autoSpaceDE w:val="0"/>
              <w:autoSpaceDN w:val="0"/>
              <w:adjustRightInd w:val="0"/>
              <w:spacing w:line="300" w:lineRule="atLeast"/>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b.“备份响应文件”应当密封包装，并在包装上标注投标项目名称、投标单位名称并加盖公章。没有密封包装或者逾期邮寄</w:t>
            </w:r>
            <w:r>
              <w:rPr>
                <w:rFonts w:hint="eastAsia" w:ascii="宋体" w:eastAsia="宋体" w:cs="宋体"/>
                <w:b w:val="0"/>
                <w:color w:val="auto"/>
                <w:sz w:val="22"/>
                <w:szCs w:val="22"/>
                <w:highlight w:val="none"/>
                <w:lang w:val="zh-CN"/>
              </w:rPr>
              <w:t>送达</w:t>
            </w:r>
            <w:r>
              <w:rPr>
                <w:rFonts w:hint="eastAsia" w:ascii="宋体" w:hAnsi="宋体" w:eastAsia="宋体" w:cs="宋体"/>
                <w:b w:val="0"/>
                <w:color w:val="auto"/>
                <w:sz w:val="22"/>
                <w:szCs w:val="22"/>
                <w:highlight w:val="none"/>
                <w:lang w:val="zh-CN"/>
              </w:rPr>
              <w:t>投标地点的“备份响应文件”将不予接收。</w:t>
            </w:r>
          </w:p>
          <w:p w14:paraId="6EF6E84F">
            <w:pPr>
              <w:autoSpaceDE w:val="0"/>
              <w:autoSpaceDN w:val="0"/>
              <w:adjustRightInd w:val="0"/>
              <w:spacing w:line="300" w:lineRule="atLeast"/>
              <w:ind w:firstLine="440" w:firstLineChars="200"/>
              <w:rPr>
                <w:rFonts w:hint="eastAsia" w:ascii="宋体" w:hAnsi="宋体" w:eastAsia="宋体" w:cs="宋体"/>
                <w:b w:val="0"/>
                <w:bCs/>
                <w:color w:val="auto"/>
                <w:sz w:val="22"/>
                <w:szCs w:val="22"/>
                <w:highlight w:val="none"/>
                <w:lang w:val="zh-CN" w:eastAsia="zh-CN" w:bidi="ar-SA"/>
              </w:rPr>
            </w:pPr>
            <w:r>
              <w:rPr>
                <w:rFonts w:hint="eastAsia" w:ascii="宋体" w:hAnsi="宋体" w:eastAsia="宋体" w:cs="宋体"/>
                <w:b w:val="0"/>
                <w:color w:val="auto"/>
                <w:sz w:val="22"/>
                <w:szCs w:val="22"/>
                <w:highlight w:val="none"/>
                <w:lang w:val="zh-CN"/>
              </w:rPr>
              <w:t>c.通过“政采云平台”成功上传递交的“电子加密响应文件”已按时解密的，“备份响应文件”自动失效。响应文件递交截止时间前，投标供应商仅递交了“备份响应文件”而未将“电子加密响应文件”成功上传至“政采云平台”的，投标无效。</w:t>
            </w:r>
          </w:p>
        </w:tc>
      </w:tr>
      <w:tr w14:paraId="4009AF0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07" w:hRule="atLeast"/>
          <w:jc w:val="center"/>
        </w:trPr>
        <w:tc>
          <w:tcPr>
            <w:tcW w:w="1245" w:type="dxa"/>
            <w:shd w:val="clear" w:color="auto" w:fill="auto"/>
            <w:vAlign w:val="center"/>
          </w:tcPr>
          <w:p w14:paraId="5862C04E">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26</w:t>
            </w:r>
          </w:p>
        </w:tc>
        <w:tc>
          <w:tcPr>
            <w:tcW w:w="1293" w:type="dxa"/>
            <w:shd w:val="clear" w:color="auto" w:fill="auto"/>
            <w:vAlign w:val="center"/>
          </w:tcPr>
          <w:p w14:paraId="58D2625C">
            <w:pPr>
              <w:autoSpaceDE w:val="0"/>
              <w:autoSpaceDN w:val="0"/>
              <w:adjustRightInd w:val="0"/>
              <w:spacing w:line="300" w:lineRule="atLeast"/>
              <w:rPr>
                <w:rFonts w:hint="eastAsia" w:ascii="宋体" w:hAnsi="宋体" w:eastAsia="宋体" w:cs="宋体"/>
                <w:b w:val="0"/>
                <w:bCs/>
                <w:color w:val="auto"/>
                <w:sz w:val="22"/>
                <w:szCs w:val="22"/>
                <w:highlight w:val="none"/>
                <w:lang w:val="zh-CN" w:eastAsia="zh-CN" w:bidi="ar-SA"/>
              </w:rPr>
            </w:pPr>
            <w:r>
              <w:rPr>
                <w:rFonts w:hint="eastAsia" w:ascii="宋体" w:hAnsi="宋体" w:eastAsia="宋体" w:cs="宋体"/>
                <w:b w:val="0"/>
                <w:color w:val="auto"/>
                <w:sz w:val="22"/>
                <w:szCs w:val="22"/>
                <w:highlight w:val="none"/>
                <w:lang w:val="zh-CN"/>
              </w:rPr>
              <w:t>电子加密响应文件的解密和异常情况处理</w:t>
            </w:r>
          </w:p>
        </w:tc>
        <w:tc>
          <w:tcPr>
            <w:tcW w:w="6627" w:type="dxa"/>
            <w:shd w:val="clear" w:color="auto" w:fill="auto"/>
            <w:vAlign w:val="center"/>
          </w:tcPr>
          <w:p w14:paraId="690173F8">
            <w:pPr>
              <w:autoSpaceDE w:val="0"/>
              <w:autoSpaceDN w:val="0"/>
              <w:adjustRightInd w:val="0"/>
              <w:spacing w:line="300" w:lineRule="atLeast"/>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（1）开标后，采购组织机构将向各投标供应商发出“电子加密响应文件”的解密通知，各投标供应商代表应当在接到解密通知后30分钟内自行完成“电子加密响应文件”的在线解密。</w:t>
            </w:r>
          </w:p>
          <w:p w14:paraId="5585D0B5">
            <w:pPr>
              <w:autoSpaceDE w:val="0"/>
              <w:autoSpaceDN w:val="0"/>
              <w:adjustRightInd w:val="0"/>
              <w:spacing w:line="300" w:lineRule="atLeast"/>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2）通过“政采云平台”成功上传递交的“电子加密响应文件”无法按时解密，投标供应商如按规定递交了“备份响应文件”的，以“备份响应文件”为依据（由采购组织机构按“政采云平台”操作规范将“备份响应文件”上传至“政采云平台”，上传成功后，“电子加密响应文件”自动失效），否则视为响应文件撤回。</w:t>
            </w:r>
          </w:p>
          <w:p w14:paraId="59A46472">
            <w:pPr>
              <w:autoSpaceDE w:val="0"/>
              <w:autoSpaceDN w:val="0"/>
              <w:adjustRightInd w:val="0"/>
              <w:spacing w:line="300" w:lineRule="atLeast"/>
              <w:rPr>
                <w:rFonts w:hint="eastAsia" w:ascii="宋体" w:hAnsi="宋体" w:eastAsia="宋体" w:cs="宋体"/>
                <w:b w:val="0"/>
                <w:bCs/>
                <w:color w:val="auto"/>
                <w:sz w:val="22"/>
                <w:szCs w:val="22"/>
                <w:highlight w:val="none"/>
                <w:lang w:val="zh-CN" w:eastAsia="zh-CN" w:bidi="ar-SA"/>
              </w:rPr>
            </w:pPr>
            <w:r>
              <w:rPr>
                <w:rFonts w:hint="eastAsia" w:ascii="宋体" w:hAnsi="宋体" w:eastAsia="宋体" w:cs="宋体"/>
                <w:b w:val="0"/>
                <w:color w:val="auto"/>
                <w:sz w:val="22"/>
                <w:szCs w:val="22"/>
                <w:highlight w:val="none"/>
                <w:lang w:val="zh-CN"/>
              </w:rPr>
              <w:t>（3）响应文件递交截止时间前，投标供应商仅递交了“备份响应文件”而未将电子加密响应文件上传至“政采云平台”的，投标无效。</w:t>
            </w:r>
          </w:p>
        </w:tc>
      </w:tr>
      <w:tr w14:paraId="66ADC29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97" w:hRule="atLeast"/>
          <w:jc w:val="center"/>
        </w:trPr>
        <w:tc>
          <w:tcPr>
            <w:tcW w:w="1245" w:type="dxa"/>
            <w:shd w:val="clear" w:color="auto" w:fill="auto"/>
            <w:vAlign w:val="center"/>
          </w:tcPr>
          <w:p w14:paraId="7C42BBCC">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27</w:t>
            </w:r>
          </w:p>
        </w:tc>
        <w:tc>
          <w:tcPr>
            <w:tcW w:w="1293" w:type="dxa"/>
            <w:shd w:val="clear" w:color="auto" w:fill="auto"/>
            <w:vAlign w:val="center"/>
          </w:tcPr>
          <w:p w14:paraId="1F1B936C">
            <w:pPr>
              <w:jc w:val="center"/>
              <w:rPr>
                <w:rFonts w:hint="eastAsia" w:ascii="宋体" w:hAnsi="宋体" w:eastAsia="宋体" w:cs="宋体"/>
                <w:b w:val="0"/>
                <w:bCs/>
                <w:color w:val="auto"/>
                <w:sz w:val="22"/>
                <w:szCs w:val="22"/>
                <w:highlight w:val="none"/>
                <w:lang w:val="zh-CN" w:eastAsia="zh-CN" w:bidi="ar-SA"/>
              </w:rPr>
            </w:pPr>
            <w:r>
              <w:rPr>
                <w:rFonts w:hint="eastAsia" w:ascii="宋体" w:hAnsi="宋体" w:eastAsia="宋体" w:cs="宋体"/>
                <w:b w:val="0"/>
                <w:color w:val="auto"/>
                <w:sz w:val="22"/>
                <w:szCs w:val="22"/>
                <w:highlight w:val="none"/>
              </w:rPr>
              <w:t>竞争性磋商采购小组的组建</w:t>
            </w:r>
          </w:p>
        </w:tc>
        <w:tc>
          <w:tcPr>
            <w:tcW w:w="6627" w:type="dxa"/>
            <w:shd w:val="clear" w:color="auto" w:fill="auto"/>
            <w:vAlign w:val="center"/>
          </w:tcPr>
          <w:p w14:paraId="13C42FA5">
            <w:pPr>
              <w:rPr>
                <w:rFonts w:hint="eastAsia" w:ascii="宋体" w:hAnsi="宋体" w:eastAsia="宋体" w:cs="宋体"/>
                <w:b w:val="0"/>
                <w:bCs/>
                <w:color w:val="auto"/>
                <w:sz w:val="22"/>
                <w:szCs w:val="22"/>
                <w:highlight w:val="none"/>
                <w:lang w:val="zh-CN" w:eastAsia="zh-CN" w:bidi="ar-SA"/>
              </w:rPr>
            </w:pPr>
            <w:r>
              <w:rPr>
                <w:rFonts w:hint="eastAsia" w:ascii="宋体" w:hAnsi="宋体" w:eastAsia="宋体" w:cs="宋体"/>
                <w:b w:val="0"/>
                <w:color w:val="auto"/>
                <w:sz w:val="22"/>
                <w:szCs w:val="22"/>
                <w:highlight w:val="none"/>
              </w:rPr>
              <w:t>竞争性磋商采购小组构成： 由采购人代表以及有关技术、经济等方面的专家组成，成员为3人及以上单数，其中技术、经济类专家不得少于总人数的2/3；评标专家确定方式：按相关规定从专家库中抽取。</w:t>
            </w:r>
          </w:p>
        </w:tc>
      </w:tr>
      <w:tr w14:paraId="29F34AF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26" w:hRule="atLeast"/>
          <w:jc w:val="center"/>
        </w:trPr>
        <w:tc>
          <w:tcPr>
            <w:tcW w:w="1245" w:type="dxa"/>
            <w:shd w:val="clear" w:color="auto" w:fill="auto"/>
            <w:vAlign w:val="center"/>
          </w:tcPr>
          <w:p w14:paraId="3983F84A">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28</w:t>
            </w:r>
          </w:p>
        </w:tc>
        <w:tc>
          <w:tcPr>
            <w:tcW w:w="1293" w:type="dxa"/>
            <w:shd w:val="clear" w:color="auto" w:fill="auto"/>
            <w:vAlign w:val="center"/>
          </w:tcPr>
          <w:p w14:paraId="55676363">
            <w:pPr>
              <w:adjustRightInd w:val="0"/>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政府采购</w:t>
            </w:r>
          </w:p>
          <w:p w14:paraId="288566A3">
            <w:pPr>
              <w:adjustRightInd w:val="0"/>
              <w:jc w:val="center"/>
              <w:rPr>
                <w:rFonts w:hint="eastAsia" w:ascii="宋体" w:hAnsi="宋体" w:eastAsia="宋体" w:cs="宋体"/>
                <w:b w:val="0"/>
                <w:bCs/>
                <w:color w:val="auto"/>
                <w:sz w:val="22"/>
                <w:szCs w:val="22"/>
                <w:highlight w:val="none"/>
                <w:lang w:val="zh-CN" w:eastAsia="zh-CN" w:bidi="ar-SA"/>
              </w:rPr>
            </w:pPr>
            <w:r>
              <w:rPr>
                <w:rFonts w:hint="eastAsia" w:ascii="宋体" w:hAnsi="宋体" w:eastAsia="宋体" w:cs="宋体"/>
                <w:b w:val="0"/>
                <w:color w:val="auto"/>
                <w:sz w:val="22"/>
                <w:szCs w:val="22"/>
                <w:highlight w:val="none"/>
              </w:rPr>
              <w:t>扶持政策</w:t>
            </w:r>
          </w:p>
        </w:tc>
        <w:tc>
          <w:tcPr>
            <w:tcW w:w="6627" w:type="dxa"/>
            <w:shd w:val="clear" w:color="auto" w:fill="auto"/>
            <w:vAlign w:val="center"/>
          </w:tcPr>
          <w:p w14:paraId="0D1DBB27">
            <w:pP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1.对节能、环保产品优先采购。</w:t>
            </w:r>
          </w:p>
          <w:p w14:paraId="6F2F2992">
            <w:pPr>
              <w:rPr>
                <w:rFonts w:hint="eastAsia" w:ascii="宋体" w:hAnsi="宋体" w:eastAsia="宋体" w:cs="宋体"/>
                <w:b/>
                <w:bCs/>
                <w:color w:val="auto"/>
                <w:sz w:val="21"/>
                <w:szCs w:val="21"/>
                <w:highlight w:val="none"/>
                <w:lang w:val="zh-CN" w:eastAsia="zh-CN" w:bidi="ar-SA"/>
              </w:rPr>
            </w:pPr>
            <w:r>
              <w:rPr>
                <w:rFonts w:hint="eastAsia" w:ascii="宋体" w:hAnsi="宋体" w:eastAsia="宋体" w:cs="宋体"/>
                <w:b w:val="0"/>
                <w:color w:val="auto"/>
                <w:sz w:val="22"/>
                <w:szCs w:val="22"/>
                <w:highlight w:val="none"/>
              </w:rPr>
              <w:t>2.对符合财政扶持政策的小微企业（或监狱企业</w:t>
            </w:r>
            <w:r>
              <w:rPr>
                <w:rFonts w:hint="eastAsia" w:ascii="宋体" w:eastAsia="宋体" w:cs="宋体"/>
                <w:b w:val="0"/>
                <w:color w:val="auto"/>
                <w:sz w:val="22"/>
                <w:szCs w:val="22"/>
                <w:highlight w:val="none"/>
                <w:lang w:eastAsia="zh-CN"/>
              </w:rPr>
              <w:t>或</w:t>
            </w:r>
            <w:r>
              <w:rPr>
                <w:rFonts w:hint="eastAsia" w:ascii="宋体" w:hAnsi="宋体" w:eastAsia="宋体" w:cs="宋体"/>
                <w:b w:val="0"/>
                <w:color w:val="auto"/>
                <w:sz w:val="22"/>
                <w:szCs w:val="22"/>
                <w:highlight w:val="none"/>
              </w:rPr>
              <w:t>残疾人福利性单位）给予评标价格折扣。供应商企业属于以上多种性质的，不重复享受扶持政策。</w:t>
            </w:r>
          </w:p>
        </w:tc>
      </w:tr>
      <w:tr w14:paraId="2B09781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25" w:hRule="atLeast"/>
          <w:jc w:val="center"/>
        </w:trPr>
        <w:tc>
          <w:tcPr>
            <w:tcW w:w="1245" w:type="dxa"/>
            <w:shd w:val="clear" w:color="auto" w:fill="auto"/>
            <w:vAlign w:val="center"/>
          </w:tcPr>
          <w:p w14:paraId="31C130CE">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29</w:t>
            </w:r>
          </w:p>
        </w:tc>
        <w:tc>
          <w:tcPr>
            <w:tcW w:w="1293" w:type="dxa"/>
            <w:shd w:val="clear" w:color="auto" w:fill="auto"/>
            <w:vAlign w:val="center"/>
          </w:tcPr>
          <w:p w14:paraId="1964A3C1">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供应商信用查询</w:t>
            </w:r>
          </w:p>
        </w:tc>
        <w:tc>
          <w:tcPr>
            <w:tcW w:w="6627" w:type="dxa"/>
            <w:shd w:val="clear" w:color="auto" w:fill="auto"/>
            <w:vAlign w:val="center"/>
          </w:tcPr>
          <w:p w14:paraId="759A757D">
            <w:pPr>
              <w:spacing w:line="360" w:lineRule="exac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（1）供应商信用信息查询的查询渠道：“信用中国”</w:t>
            </w:r>
            <w:r>
              <w:rPr>
                <w:rFonts w:hint="eastAsia" w:ascii="宋体" w:hAnsi="宋体" w:eastAsia="宋体" w:cs="宋体"/>
                <w:b w:val="0"/>
                <w:bCs w:val="0"/>
                <w:color w:val="auto"/>
                <w:sz w:val="22"/>
                <w:szCs w:val="22"/>
                <w:highlight w:val="none"/>
                <w:lang w:eastAsia="zh-CN"/>
              </w:rPr>
              <w:t>（https://www.creditchina.gov.cn/</w:t>
            </w:r>
            <w:r>
              <w:rPr>
                <w:rFonts w:hint="eastAsia" w:ascii="宋体" w:hAnsi="宋体" w:eastAsia="宋体" w:cs="宋体"/>
                <w:b w:val="0"/>
                <w:bCs w:val="0"/>
                <w:color w:val="auto"/>
                <w:sz w:val="22"/>
                <w:szCs w:val="22"/>
                <w:highlight w:val="none"/>
              </w:rPr>
              <w:t>)；“中国政府采购网”（http://www.ccgp.gov.cn/）；</w:t>
            </w:r>
          </w:p>
          <w:p w14:paraId="6A2E004A">
            <w:pPr>
              <w:spacing w:line="360" w:lineRule="exac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（2）供应商信用信息查询截止时点：本项目投标文件递交截止时间。</w:t>
            </w:r>
          </w:p>
          <w:p w14:paraId="166024CE">
            <w:pPr>
              <w:spacing w:line="360" w:lineRule="exac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（3）供应商信用信息查询记录和证据留存的具体方式：网页截图打印；</w:t>
            </w:r>
          </w:p>
          <w:p w14:paraId="61D1D4AE">
            <w:pPr>
              <w:spacing w:line="360" w:lineRule="exac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（4）信用信息的使用规则：</w:t>
            </w:r>
          </w:p>
          <w:p w14:paraId="63B38F16">
            <w:pPr>
              <w:spacing w:line="360" w:lineRule="exac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①在“信用中国”具有负面记录：列入失信被执行人、重大税收违法案件当事人名单、政府采购严重违法失信行为名单；</w:t>
            </w:r>
          </w:p>
          <w:p w14:paraId="7444E8D8">
            <w:pPr>
              <w:spacing w:line="360" w:lineRule="exac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②被“中国政府采购网”</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www.ccgp.gov.cn</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列入政府采购严重违法失信行为记录名单。</w:t>
            </w:r>
          </w:p>
          <w:p w14:paraId="654F08FB">
            <w:pPr>
              <w:spacing w:line="360" w:lineRule="exac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（5）具有以上（4）所述信息记录的供应商，其投标</w:t>
            </w:r>
            <w:r>
              <w:rPr>
                <w:rFonts w:hint="eastAsia" w:ascii="宋体" w:hAnsi="宋体" w:eastAsia="宋体" w:cs="宋体"/>
                <w:b w:val="0"/>
                <w:bCs w:val="0"/>
                <w:color w:val="auto"/>
                <w:sz w:val="22"/>
                <w:szCs w:val="22"/>
                <w:highlight w:val="none"/>
                <w:lang w:eastAsia="zh-CN"/>
              </w:rPr>
              <w:t>作</w:t>
            </w:r>
            <w:r>
              <w:rPr>
                <w:rFonts w:hint="eastAsia" w:ascii="宋体" w:hAnsi="宋体" w:eastAsia="宋体" w:cs="宋体"/>
                <w:b w:val="0"/>
                <w:bCs w:val="0"/>
                <w:color w:val="auto"/>
                <w:sz w:val="22"/>
                <w:szCs w:val="22"/>
                <w:highlight w:val="none"/>
              </w:rPr>
              <w:t>无效投标处理。</w:t>
            </w:r>
          </w:p>
          <w:p w14:paraId="3A7F1030">
            <w:pPr>
              <w:spacing w:line="360" w:lineRule="exac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（6）具体结果以开标当日采购人或采购代理机构对</w:t>
            </w:r>
            <w:r>
              <w:rPr>
                <w:rFonts w:hint="eastAsia" w:ascii="宋体" w:hAnsi="宋体" w:eastAsia="宋体" w:cs="宋体"/>
                <w:b w:val="0"/>
                <w:bCs w:val="0"/>
                <w:color w:val="auto"/>
                <w:sz w:val="22"/>
                <w:szCs w:val="22"/>
                <w:highlight w:val="none"/>
                <w:lang w:eastAsia="zh-CN"/>
              </w:rPr>
              <w:t>投标供应商</w:t>
            </w:r>
            <w:r>
              <w:rPr>
                <w:rFonts w:hint="eastAsia" w:ascii="宋体" w:hAnsi="宋体" w:eastAsia="宋体" w:cs="宋体"/>
                <w:b w:val="0"/>
                <w:bCs w:val="0"/>
                <w:color w:val="auto"/>
                <w:sz w:val="22"/>
                <w:szCs w:val="22"/>
                <w:highlight w:val="none"/>
              </w:rPr>
              <w:t>信用查询网页的查询结果为准。</w:t>
            </w:r>
          </w:p>
          <w:p w14:paraId="77245534">
            <w:pP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bCs w:val="0"/>
                <w:color w:val="auto"/>
                <w:sz w:val="22"/>
                <w:szCs w:val="22"/>
                <w:highlight w:val="none"/>
              </w:rPr>
              <w:t>（7）联合体成员存在上述不良信用记录的，视同联合体存在不良信用记录。</w:t>
            </w:r>
          </w:p>
        </w:tc>
      </w:tr>
      <w:tr w14:paraId="5E76FE7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71" w:hRule="atLeast"/>
          <w:jc w:val="center"/>
        </w:trPr>
        <w:tc>
          <w:tcPr>
            <w:tcW w:w="1245" w:type="dxa"/>
            <w:shd w:val="clear" w:color="auto" w:fill="auto"/>
            <w:vAlign w:val="center"/>
          </w:tcPr>
          <w:p w14:paraId="69D63E5D">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30</w:t>
            </w:r>
          </w:p>
        </w:tc>
        <w:tc>
          <w:tcPr>
            <w:tcW w:w="1293" w:type="dxa"/>
            <w:shd w:val="clear" w:color="auto" w:fill="auto"/>
            <w:vAlign w:val="center"/>
          </w:tcPr>
          <w:p w14:paraId="70C1823C">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合同备案</w:t>
            </w:r>
          </w:p>
        </w:tc>
        <w:tc>
          <w:tcPr>
            <w:tcW w:w="6627" w:type="dxa"/>
            <w:shd w:val="clear" w:color="auto" w:fill="auto"/>
            <w:vAlign w:val="center"/>
          </w:tcPr>
          <w:p w14:paraId="18409BFF">
            <w:pPr>
              <w:numPr>
                <w:ilvl w:val="0"/>
                <w:numId w:val="2"/>
              </w:numPr>
              <w:rPr>
                <w:rFonts w:hint="eastAsia" w:ascii="宋体" w:hAnsi="宋体" w:eastAsia="宋体" w:cs="宋体"/>
                <w:color w:val="auto"/>
                <w:highlight w:val="none"/>
              </w:rPr>
            </w:pPr>
            <w:r>
              <w:rPr>
                <w:rFonts w:hint="eastAsia" w:ascii="宋体" w:hAnsi="宋体" w:eastAsia="宋体" w:cs="宋体"/>
                <w:b w:val="0"/>
                <w:color w:val="auto"/>
                <w:sz w:val="22"/>
                <w:szCs w:val="22"/>
                <w:highlight w:val="none"/>
              </w:rPr>
              <w:t>中标供应商须在发出成交通知书之日起30日历天内与采购人签订合同。</w:t>
            </w:r>
          </w:p>
          <w:p w14:paraId="005BEA52">
            <w:pP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2、本项目政府采购合同按规定在浙江政府采购网（http://www.zjzfcg.gov.cn）予以公告。</w:t>
            </w:r>
          </w:p>
        </w:tc>
      </w:tr>
      <w:tr w14:paraId="1FFF431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05" w:hRule="atLeast"/>
          <w:jc w:val="center"/>
        </w:trPr>
        <w:tc>
          <w:tcPr>
            <w:tcW w:w="1245" w:type="dxa"/>
            <w:shd w:val="clear" w:color="auto" w:fill="auto"/>
            <w:vAlign w:val="center"/>
          </w:tcPr>
          <w:p w14:paraId="6E69A12A">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31</w:t>
            </w:r>
          </w:p>
        </w:tc>
        <w:tc>
          <w:tcPr>
            <w:tcW w:w="1293" w:type="dxa"/>
            <w:shd w:val="clear" w:color="auto" w:fill="auto"/>
            <w:vAlign w:val="center"/>
          </w:tcPr>
          <w:p w14:paraId="0E1DC472">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合同履约管理</w:t>
            </w:r>
          </w:p>
        </w:tc>
        <w:tc>
          <w:tcPr>
            <w:tcW w:w="6627" w:type="dxa"/>
            <w:shd w:val="clear" w:color="auto" w:fill="auto"/>
            <w:vAlign w:val="center"/>
          </w:tcPr>
          <w:p w14:paraId="0D774C3B">
            <w:pP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合同签订后，采购人依法加强对合同履约进行管理，并在成交供应商服务、项目验收等</w:t>
            </w:r>
            <w:r>
              <w:rPr>
                <w:rFonts w:hint="eastAsia" w:ascii="宋体" w:eastAsia="宋体" w:cs="宋体"/>
                <w:b w:val="0"/>
                <w:color w:val="auto"/>
                <w:sz w:val="22"/>
                <w:szCs w:val="22"/>
                <w:highlight w:val="none"/>
                <w:lang w:eastAsia="zh-CN"/>
              </w:rPr>
              <w:t>重要环节</w:t>
            </w:r>
            <w:r>
              <w:rPr>
                <w:rFonts w:hint="eastAsia" w:ascii="宋体" w:hAnsi="宋体" w:eastAsia="宋体" w:cs="宋体"/>
                <w:b w:val="0"/>
                <w:color w:val="auto"/>
                <w:sz w:val="22"/>
                <w:szCs w:val="22"/>
                <w:highlight w:val="none"/>
              </w:rPr>
              <w:t>，如实填写《合同验收报告》，并及时向同级财政部门报告验收过程中遇到的问题。</w:t>
            </w:r>
          </w:p>
        </w:tc>
      </w:tr>
      <w:tr w14:paraId="4B3B382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83" w:hRule="atLeast"/>
          <w:jc w:val="center"/>
        </w:trPr>
        <w:tc>
          <w:tcPr>
            <w:tcW w:w="1245" w:type="dxa"/>
            <w:shd w:val="clear" w:color="auto" w:fill="auto"/>
            <w:vAlign w:val="center"/>
          </w:tcPr>
          <w:p w14:paraId="234D6227">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32</w:t>
            </w:r>
          </w:p>
        </w:tc>
        <w:tc>
          <w:tcPr>
            <w:tcW w:w="1293" w:type="dxa"/>
            <w:shd w:val="clear" w:color="auto" w:fill="auto"/>
            <w:vAlign w:val="center"/>
          </w:tcPr>
          <w:p w14:paraId="71BDB389">
            <w:pPr>
              <w:jc w:val="center"/>
              <w:rPr>
                <w:rFonts w:hint="eastAsia" w:ascii="宋体" w:hAnsi="宋体" w:eastAsia="宋体" w:cs="宋体"/>
                <w:b w:val="0"/>
                <w:bCs/>
                <w:color w:val="auto"/>
                <w:sz w:val="22"/>
                <w:szCs w:val="22"/>
                <w:highlight w:val="none"/>
                <w:lang w:val="en-US" w:eastAsia="zh-CN" w:bidi="ar-SA"/>
              </w:rPr>
            </w:pPr>
            <w:r>
              <w:rPr>
                <w:rFonts w:hint="eastAsia" w:ascii="宋体" w:eastAsia="宋体" w:cs="宋体"/>
                <w:b w:val="0"/>
                <w:color w:val="auto"/>
                <w:sz w:val="22"/>
                <w:szCs w:val="22"/>
                <w:highlight w:val="none"/>
                <w:lang w:eastAsia="zh-CN"/>
              </w:rPr>
              <w:t>免责</w:t>
            </w:r>
            <w:r>
              <w:rPr>
                <w:rFonts w:hint="eastAsia" w:ascii="宋体" w:hAnsi="宋体" w:eastAsia="宋体" w:cs="宋体"/>
                <w:b w:val="0"/>
                <w:color w:val="auto"/>
                <w:sz w:val="22"/>
                <w:szCs w:val="22"/>
                <w:highlight w:val="none"/>
              </w:rPr>
              <w:t>声明</w:t>
            </w:r>
          </w:p>
        </w:tc>
        <w:tc>
          <w:tcPr>
            <w:tcW w:w="6627" w:type="dxa"/>
            <w:shd w:val="clear" w:color="auto" w:fill="auto"/>
            <w:vAlign w:val="center"/>
          </w:tcPr>
          <w:p w14:paraId="0F4EE4B9">
            <w:pP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1、供应商自行承担投标过程中产生的费用。无论何种因素导致采购项目延期开标、废标（流标）、供应商未成交、项目终止采购的，采购人与代理机构均不承担供应商投标费用。</w:t>
            </w:r>
          </w:p>
          <w:p w14:paraId="41216646">
            <w:pP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2、供应商在投标、合同履行过程中必须做好安全保障工作，不因项目实施而危及自身及第三方人员、财产安全。若发生任何安全事故，由成交供应商自行承担一切责任并赔偿损失。</w:t>
            </w:r>
          </w:p>
        </w:tc>
      </w:tr>
      <w:tr w14:paraId="3B170E2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776" w:hRule="atLeast"/>
          <w:jc w:val="center"/>
        </w:trPr>
        <w:tc>
          <w:tcPr>
            <w:tcW w:w="1245" w:type="dxa"/>
            <w:shd w:val="clear" w:color="auto" w:fill="auto"/>
            <w:vAlign w:val="center"/>
          </w:tcPr>
          <w:p w14:paraId="643211B3">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lang w:val="en-US" w:eastAsia="zh-CN"/>
              </w:rPr>
              <w:t>33</w:t>
            </w:r>
          </w:p>
        </w:tc>
        <w:tc>
          <w:tcPr>
            <w:tcW w:w="1293" w:type="dxa"/>
            <w:shd w:val="clear" w:color="auto" w:fill="auto"/>
            <w:vAlign w:val="center"/>
          </w:tcPr>
          <w:p w14:paraId="518A3D8D">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解释权</w:t>
            </w:r>
          </w:p>
        </w:tc>
        <w:tc>
          <w:tcPr>
            <w:tcW w:w="6627" w:type="dxa"/>
            <w:shd w:val="clear" w:color="auto" w:fill="auto"/>
            <w:vAlign w:val="center"/>
          </w:tcPr>
          <w:p w14:paraId="0F9B7674">
            <w:pP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构成本磋商文件的各个组成文件应互为解释，互为说明；如有不明确或不一致，构成合同文件组成内容的，以合同文件约定内容为准，且以专用合同条款约定的合同文件优先顺序解释；仅适用于采购阶段的约定，按采购公告、供应商须知、评标办法、响应文件格式的先后顺序解释；同一文件中就同一事项的约定不一致的，以逻辑顺序在后者为准；同一文件不同版本之间有不一致的，以形成时间在后者为准。按本款前述约定仍不能形成结论的，由采购人负责解释。</w:t>
            </w:r>
          </w:p>
        </w:tc>
      </w:tr>
      <w:tr w14:paraId="23484CB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776" w:hRule="atLeast"/>
          <w:jc w:val="center"/>
        </w:trPr>
        <w:tc>
          <w:tcPr>
            <w:tcW w:w="1245" w:type="dxa"/>
            <w:vAlign w:val="center"/>
          </w:tcPr>
          <w:p w14:paraId="313D8548">
            <w:pPr>
              <w:jc w:val="center"/>
              <w:rPr>
                <w:rFonts w:hint="default" w:ascii="宋体" w:hAnsi="宋体" w:eastAsia="宋体" w:cs="宋体"/>
                <w:b w:val="0"/>
                <w:color w:val="auto"/>
                <w:sz w:val="22"/>
                <w:szCs w:val="22"/>
                <w:highlight w:val="none"/>
                <w:lang w:val="en-US" w:eastAsia="zh-CN"/>
              </w:rPr>
            </w:pPr>
            <w:r>
              <w:rPr>
                <w:rFonts w:hint="eastAsia" w:ascii="宋体" w:eastAsia="宋体" w:cs="宋体"/>
                <w:b w:val="0"/>
                <w:color w:val="auto"/>
                <w:sz w:val="22"/>
                <w:szCs w:val="22"/>
                <w:highlight w:val="none"/>
                <w:lang w:val="en-US" w:eastAsia="zh-CN"/>
              </w:rPr>
              <w:t>34</w:t>
            </w:r>
          </w:p>
        </w:tc>
        <w:tc>
          <w:tcPr>
            <w:tcW w:w="1293" w:type="dxa"/>
            <w:shd w:val="clear" w:color="auto" w:fill="auto"/>
            <w:vAlign w:val="center"/>
          </w:tcPr>
          <w:p w14:paraId="34C60009">
            <w:pPr>
              <w:jc w:val="center"/>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b w:val="0"/>
                <w:bCs w:val="0"/>
                <w:color w:val="auto"/>
                <w:sz w:val="22"/>
                <w:szCs w:val="22"/>
                <w:highlight w:val="none"/>
              </w:rPr>
              <w:t>项目类型</w:t>
            </w:r>
          </w:p>
        </w:tc>
        <w:tc>
          <w:tcPr>
            <w:tcW w:w="6627" w:type="dxa"/>
            <w:shd w:val="clear" w:color="auto" w:fill="auto"/>
            <w:vAlign w:val="center"/>
          </w:tcPr>
          <w:p w14:paraId="29FD98EA">
            <w:pPr>
              <w:adjustRightInd w:val="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fldChar w:fldCharType="begin"/>
            </w:r>
            <w:r>
              <w:rPr>
                <w:rFonts w:hint="eastAsia" w:ascii="宋体" w:hAnsi="宋体" w:eastAsia="宋体" w:cs="宋体"/>
                <w:b w:val="0"/>
                <w:bCs w:val="0"/>
                <w:color w:val="auto"/>
                <w:sz w:val="22"/>
                <w:szCs w:val="22"/>
                <w:highlight w:val="none"/>
              </w:rPr>
              <w:instrText xml:space="preserve">eq \o\ac(□)</w:instrText>
            </w:r>
            <w:r>
              <w:rPr>
                <w:rFonts w:hint="eastAsia" w:ascii="宋体" w:hAnsi="宋体" w:eastAsia="宋体" w:cs="宋体"/>
                <w:b w:val="0"/>
                <w:bCs w:val="0"/>
                <w:color w:val="auto"/>
                <w:sz w:val="22"/>
                <w:szCs w:val="22"/>
                <w:highlight w:val="none"/>
              </w:rPr>
              <w:fldChar w:fldCharType="end"/>
            </w:r>
            <w:r>
              <w:rPr>
                <w:rFonts w:hint="eastAsia" w:ascii="宋体" w:hAnsi="宋体" w:eastAsia="宋体" w:cs="宋体"/>
                <w:b w:val="0"/>
                <w:bCs w:val="0"/>
                <w:color w:val="auto"/>
                <w:sz w:val="22"/>
                <w:szCs w:val="22"/>
                <w:highlight w:val="none"/>
              </w:rPr>
              <w:t>货物类</w:t>
            </w:r>
          </w:p>
          <w:p w14:paraId="1185F768">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sym w:font="Wingdings 2" w:char="F052"/>
            </w:r>
            <w:r>
              <w:rPr>
                <w:rFonts w:hint="eastAsia" w:ascii="宋体" w:hAnsi="宋体" w:eastAsia="宋体" w:cs="宋体"/>
                <w:b w:val="0"/>
                <w:bCs w:val="0"/>
                <w:color w:val="auto"/>
                <w:sz w:val="22"/>
                <w:szCs w:val="22"/>
                <w:highlight w:val="none"/>
              </w:rPr>
              <w:t>服务类</w:t>
            </w:r>
          </w:p>
          <w:p w14:paraId="5FC8E067">
            <w:pPr>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b w:val="0"/>
                <w:bCs w:val="0"/>
                <w:color w:val="auto"/>
                <w:sz w:val="22"/>
                <w:szCs w:val="22"/>
                <w:highlight w:val="none"/>
              </w:rPr>
              <w:t>采购标的对应的中小企业划分标准所属行业：</w:t>
            </w:r>
            <w:r>
              <w:rPr>
                <w:rFonts w:hint="eastAsia" w:ascii="宋体" w:hAnsi="宋体" w:eastAsia="宋体" w:cs="宋体"/>
                <w:b w:val="0"/>
                <w:bCs w:val="0"/>
                <w:color w:val="auto"/>
                <w:sz w:val="22"/>
                <w:szCs w:val="22"/>
                <w:highlight w:val="none"/>
                <w:u w:val="single"/>
                <w:lang w:val="en-US" w:eastAsia="zh-CN"/>
              </w:rPr>
              <w:t>软件和信息技术服务业</w:t>
            </w:r>
            <w:r>
              <w:rPr>
                <w:rFonts w:hint="eastAsia" w:ascii="宋体" w:hAnsi="宋体" w:eastAsia="宋体" w:cs="宋体"/>
                <w:b w:val="0"/>
                <w:bCs w:val="0"/>
                <w:color w:val="auto"/>
                <w:sz w:val="22"/>
                <w:szCs w:val="22"/>
                <w:highlight w:val="none"/>
              </w:rPr>
              <w:t>行业</w:t>
            </w:r>
          </w:p>
        </w:tc>
      </w:tr>
    </w:tbl>
    <w:p w14:paraId="47D8A1BE">
      <w:pPr>
        <w:pStyle w:val="41"/>
        <w:rPr>
          <w:rFonts w:hint="eastAsia" w:ascii="宋体" w:hAnsi="宋体" w:eastAsia="宋体" w:cs="宋体"/>
          <w:color w:val="auto"/>
          <w:highlight w:val="none"/>
        </w:rPr>
        <w:sectPr>
          <w:footerReference r:id="rId6" w:type="default"/>
          <w:footerReference r:id="rId7" w:type="even"/>
          <w:pgSz w:w="11906" w:h="16838"/>
          <w:pgMar w:top="1440" w:right="1417" w:bottom="1440" w:left="1417" w:header="851" w:footer="992" w:gutter="0"/>
          <w:pgNumType w:start="1"/>
          <w:cols w:space="425" w:num="1"/>
          <w:docGrid w:type="lines" w:linePitch="312" w:charSpace="0"/>
        </w:sectPr>
      </w:pPr>
      <w:r>
        <w:rPr>
          <w:rFonts w:hint="eastAsia" w:ascii="宋体" w:hAnsi="宋体" w:eastAsia="宋体" w:cs="宋体"/>
          <w:color w:val="auto"/>
          <w:highlight w:val="none"/>
        </w:rPr>
        <w:br w:type="page"/>
      </w:r>
    </w:p>
    <w:p w14:paraId="645BDD17">
      <w:pPr>
        <w:pStyle w:val="41"/>
        <w:rPr>
          <w:rFonts w:hint="eastAsia" w:ascii="宋体" w:hAnsi="宋体" w:eastAsia="宋体" w:cs="宋体"/>
          <w:color w:val="auto"/>
          <w:highlight w:val="none"/>
        </w:rPr>
      </w:pPr>
      <w:bookmarkStart w:id="2" w:name="_Toc25136"/>
      <w:r>
        <w:rPr>
          <w:rFonts w:hint="eastAsia" w:ascii="宋体" w:hAnsi="宋体" w:eastAsia="宋体" w:cs="宋体"/>
          <w:color w:val="auto"/>
          <w:highlight w:val="none"/>
        </w:rPr>
        <w:t>第二部分 采购内容及要求</w:t>
      </w:r>
      <w:bookmarkEnd w:id="2"/>
    </w:p>
    <w:p w14:paraId="3F63183F">
      <w:pPr>
        <w:keepNext w:val="0"/>
        <w:keepLines w:val="0"/>
        <w:pageBreakBefore w:val="0"/>
        <w:widowControl/>
        <w:kinsoku/>
        <w:wordWrap/>
        <w:overflowPunct/>
        <w:topLinePunct w:val="0"/>
        <w:autoSpaceDE/>
        <w:autoSpaceDN/>
        <w:bidi w:val="0"/>
        <w:adjustRightInd/>
        <w:snapToGrid/>
        <w:spacing w:before="144" w:beforeLines="50" w:line="360" w:lineRule="auto"/>
        <w:ind w:firstLine="442" w:firstLineChars="200"/>
        <w:jc w:val="left"/>
        <w:textAlignment w:val="auto"/>
        <w:rPr>
          <w:rStyle w:val="80"/>
          <w:rFonts w:hint="eastAsia" w:ascii="宋体" w:hAnsi="宋体" w:eastAsia="宋体" w:cs="宋体"/>
          <w:b/>
          <w:color w:val="000000" w:themeColor="text1"/>
          <w:sz w:val="22"/>
          <w:szCs w:val="22"/>
          <w:highlight w:val="none"/>
          <w:lang w:val="en-US" w:eastAsia="zh-CN"/>
          <w14:textFill>
            <w14:solidFill>
              <w14:schemeClr w14:val="tx1"/>
            </w14:solidFill>
          </w14:textFill>
        </w:rPr>
      </w:pPr>
      <w:bookmarkStart w:id="3" w:name="_Toc1598439912"/>
      <w:r>
        <w:rPr>
          <w:rStyle w:val="80"/>
          <w:rFonts w:hint="eastAsia" w:ascii="宋体" w:hAnsi="宋体" w:eastAsia="宋体" w:cs="宋体"/>
          <w:b/>
          <w:color w:val="000000" w:themeColor="text1"/>
          <w:sz w:val="22"/>
          <w:szCs w:val="22"/>
          <w:highlight w:val="none"/>
          <w14:textFill>
            <w14:solidFill>
              <w14:schemeClr w14:val="tx1"/>
            </w14:solidFill>
          </w14:textFill>
        </w:rPr>
        <w:t>一、</w:t>
      </w:r>
      <w:r>
        <w:rPr>
          <w:rStyle w:val="80"/>
          <w:rFonts w:hint="eastAsia" w:ascii="宋体" w:eastAsia="宋体" w:cs="宋体"/>
          <w:b/>
          <w:color w:val="000000" w:themeColor="text1"/>
          <w:sz w:val="22"/>
          <w:szCs w:val="22"/>
          <w:highlight w:val="none"/>
          <w:lang w:eastAsia="zh-CN"/>
          <w14:textFill>
            <w14:solidFill>
              <w14:schemeClr w14:val="tx1"/>
            </w14:solidFill>
          </w14:textFill>
        </w:rPr>
        <w:t>项目背景和建设目标</w:t>
      </w:r>
    </w:p>
    <w:p w14:paraId="7DBDBEC7">
      <w:pPr>
        <w:pStyle w:val="19"/>
        <w:keepNext w:val="0"/>
        <w:keepLines w:val="0"/>
        <w:pageBreakBefore w:val="0"/>
        <w:kinsoku/>
        <w:wordWrap/>
        <w:overflowPunct/>
        <w:topLinePunct w:val="0"/>
        <w:autoSpaceDE/>
        <w:autoSpaceDN/>
        <w:bidi w:val="0"/>
        <w:adjustRightInd/>
        <w:snapToGrid/>
        <w:spacing w:line="360" w:lineRule="auto"/>
        <w:ind w:firstLine="660" w:firstLineChars="300"/>
        <w:textAlignment w:val="auto"/>
        <w:rPr>
          <w:rFonts w:hint="eastAsia" w:ascii="宋体" w:hAnsi="宋体" w:eastAsia="宋体" w:cs="宋体"/>
          <w:b w:val="0"/>
          <w:bCs w:val="0"/>
          <w:color w:val="000000" w:themeColor="text1"/>
          <w:sz w:val="22"/>
          <w:szCs w:val="22"/>
          <w:highlight w:val="none"/>
          <w:lang w:val="en-US" w:eastAsia="zh-CN"/>
          <w14:textFill>
            <w14:solidFill>
              <w14:schemeClr w14:val="tx1"/>
            </w14:solidFill>
          </w14:textFill>
        </w:rPr>
      </w:pPr>
      <w:r>
        <w:rPr>
          <w:rFonts w:hint="eastAsia" w:ascii="宋体" w:hAnsi="宋体" w:eastAsia="宋体" w:cs="宋体"/>
          <w:b w:val="0"/>
          <w:bCs w:val="0"/>
          <w:color w:val="000000" w:themeColor="text1"/>
          <w:sz w:val="22"/>
          <w:szCs w:val="22"/>
          <w:highlight w:val="none"/>
          <w:lang w:val="en-US" w:eastAsia="zh-CN"/>
          <w14:textFill>
            <w14:solidFill>
              <w14:schemeClr w14:val="tx1"/>
            </w14:solidFill>
          </w14:textFill>
        </w:rPr>
        <w:t>当前，干部工作管理存在较多问题。主要表现为：一是集成度不高，数据与业务</w:t>
      </w:r>
      <w:r>
        <w:rPr>
          <w:rFonts w:hint="eastAsia" w:ascii="宋体" w:eastAsia="宋体" w:cs="宋体"/>
          <w:b w:val="0"/>
          <w:bCs w:val="0"/>
          <w:color w:val="000000" w:themeColor="text1"/>
          <w:sz w:val="22"/>
          <w:szCs w:val="22"/>
          <w:highlight w:val="none"/>
          <w:lang w:val="en-US" w:eastAsia="zh-CN"/>
          <w14:textFill>
            <w14:solidFill>
              <w14:schemeClr w14:val="tx1"/>
            </w14:solidFill>
          </w14:textFill>
        </w:rPr>
        <w:t>不能很好地共享</w:t>
      </w:r>
      <w:r>
        <w:rPr>
          <w:rFonts w:hint="eastAsia" w:ascii="宋体" w:hAnsi="宋体" w:eastAsia="宋体" w:cs="宋体"/>
          <w:b w:val="0"/>
          <w:bCs w:val="0"/>
          <w:color w:val="000000" w:themeColor="text1"/>
          <w:sz w:val="22"/>
          <w:szCs w:val="22"/>
          <w:highlight w:val="none"/>
          <w:lang w:val="en-US" w:eastAsia="zh-CN"/>
          <w14:textFill>
            <w14:solidFill>
              <w14:schemeClr w14:val="tx1"/>
            </w14:solidFill>
          </w14:textFill>
        </w:rPr>
        <w:t>，工作人员需要在各个工具间切换；二是业务覆盖面小，业务应用局限于干部信息的存储和查找，缺乏对干部数据信息结构化的处理，包括干部智能查询，干部任免、干部统计、干部分析等主要业务的支撑，应该通过数据准确采集与有效关联整合，真实反映工作对象的情况，呈现存在的问题以及政策措施的执行情况与执行效果；三是网络化程度低，没有充分利用网络优势，沟通还局限在电话、邮件、现场沟通、文件通知等方式。需要通过信息化实现各个科室之间的网上协同，提高工作效率。</w:t>
      </w:r>
    </w:p>
    <w:p w14:paraId="05944EBC">
      <w:pPr>
        <w:pStyle w:val="19"/>
        <w:keepNext w:val="0"/>
        <w:keepLines w:val="0"/>
        <w:pageBreakBefore w:val="0"/>
        <w:kinsoku/>
        <w:wordWrap/>
        <w:overflowPunct/>
        <w:topLinePunct w:val="0"/>
        <w:autoSpaceDE/>
        <w:autoSpaceDN/>
        <w:bidi w:val="0"/>
        <w:adjustRightInd/>
        <w:snapToGrid/>
        <w:spacing w:line="360" w:lineRule="auto"/>
        <w:ind w:firstLine="660" w:firstLineChars="300"/>
        <w:textAlignment w:val="auto"/>
        <w:rPr>
          <w:rFonts w:hint="eastAsia" w:ascii="宋体" w:hAnsi="宋体" w:eastAsia="宋体" w:cs="宋体"/>
          <w:color w:val="000000" w:themeColor="text1"/>
          <w:sz w:val="22"/>
          <w:szCs w:val="22"/>
          <w:highlight w:val="none"/>
          <w:lang w:val="en-US" w:eastAsia="zh-CN"/>
          <w14:textFill>
            <w14:solidFill>
              <w14:schemeClr w14:val="tx1"/>
            </w14:solidFill>
          </w14:textFill>
        </w:rPr>
      </w:pPr>
      <w:r>
        <w:rPr>
          <w:rFonts w:hint="eastAsia" w:ascii="宋体" w:hAnsi="宋体" w:eastAsia="宋体" w:cs="宋体"/>
          <w:b w:val="0"/>
          <w:bCs w:val="0"/>
          <w:color w:val="000000" w:themeColor="text1"/>
          <w:sz w:val="22"/>
          <w:szCs w:val="22"/>
          <w:highlight w:val="none"/>
          <w:lang w:val="en-US" w:eastAsia="zh-CN"/>
          <w14:textFill>
            <w14:solidFill>
              <w14:schemeClr w14:val="tx1"/>
            </w14:solidFill>
          </w14:textFill>
        </w:rPr>
        <w:t>本项目立足浙江“数字化改革”背景，在县委组织部现有信息化建设的基础上，将全县组工信息资源管理工作纳入进来，拓展到干部队伍信息化管理，合理利用全县组织系统信息资源，进一步增进干部队伍信息管理业务应用深度和广度，准确把握全县干部队伍发展状况和趋势，为干部选拔任用和管理监督等业务提供更加快捷高效的信息服务，打造永嘉县组工一体化平台。按照“统一服务标准规范体系、统一数据标准规范体系、统一技术标准规范体系”三统一的标准建设组织工作各业务应用系统，实现各类组工信息共建共用共享、各类组工业务有效融通，实现“网络畅通、数据打通、业务融通”，全面赋能我市组工系统数字化工作。</w:t>
      </w:r>
    </w:p>
    <w:p w14:paraId="3890CFE2">
      <w:pPr>
        <w:keepNext w:val="0"/>
        <w:keepLines w:val="0"/>
        <w:pageBreakBefore w:val="0"/>
        <w:widowControl/>
        <w:kinsoku/>
        <w:wordWrap/>
        <w:overflowPunct/>
        <w:topLinePunct w:val="0"/>
        <w:autoSpaceDE/>
        <w:autoSpaceDN/>
        <w:bidi w:val="0"/>
        <w:adjustRightInd/>
        <w:snapToGrid/>
        <w:spacing w:line="360" w:lineRule="auto"/>
        <w:ind w:firstLine="442" w:firstLineChars="200"/>
        <w:jc w:val="left"/>
        <w:textAlignment w:val="auto"/>
        <w:rPr>
          <w:rStyle w:val="80"/>
          <w:rFonts w:hint="eastAsia" w:ascii="宋体" w:hAnsi="宋体" w:eastAsia="宋体" w:cs="宋体"/>
          <w:b/>
          <w:color w:val="000000" w:themeColor="text1"/>
          <w:sz w:val="22"/>
          <w:szCs w:val="22"/>
          <w:highlight w:val="none"/>
          <w:lang w:eastAsia="zh-CN"/>
          <w14:textFill>
            <w14:solidFill>
              <w14:schemeClr w14:val="tx1"/>
            </w14:solidFill>
          </w14:textFill>
        </w:rPr>
      </w:pPr>
      <w:r>
        <w:rPr>
          <w:rStyle w:val="80"/>
          <w:rFonts w:hint="eastAsia" w:ascii="宋体" w:hAnsi="宋体" w:eastAsia="宋体" w:cs="宋体"/>
          <w:b/>
          <w:color w:val="000000" w:themeColor="text1"/>
          <w:sz w:val="22"/>
          <w:szCs w:val="22"/>
          <w:highlight w:val="none"/>
          <w14:textFill>
            <w14:solidFill>
              <w14:schemeClr w14:val="tx1"/>
            </w14:solidFill>
          </w14:textFill>
        </w:rPr>
        <w:t>二、</w:t>
      </w:r>
      <w:r>
        <w:rPr>
          <w:rStyle w:val="80"/>
          <w:rFonts w:hint="eastAsia" w:ascii="宋体" w:eastAsia="宋体" w:cs="宋体"/>
          <w:b/>
          <w:color w:val="000000" w:themeColor="text1"/>
          <w:sz w:val="22"/>
          <w:szCs w:val="22"/>
          <w:highlight w:val="none"/>
          <w:lang w:eastAsia="zh-CN"/>
          <w14:textFill>
            <w14:solidFill>
              <w14:schemeClr w14:val="tx1"/>
            </w14:solidFill>
          </w14:textFill>
        </w:rPr>
        <w:t>项目建设内容</w:t>
      </w:r>
    </w:p>
    <w:p w14:paraId="2E7758A6">
      <w:pPr>
        <w:pStyle w:val="19"/>
        <w:keepNext w:val="0"/>
        <w:keepLines w:val="0"/>
        <w:pageBreakBefore w:val="0"/>
        <w:widowControl w:val="0"/>
        <w:kinsoku/>
        <w:wordWrap/>
        <w:overflowPunct/>
        <w:topLinePunct w:val="0"/>
        <w:autoSpaceDE/>
        <w:autoSpaceDN/>
        <w:bidi w:val="0"/>
        <w:adjustRightInd/>
        <w:snapToGrid/>
        <w:spacing w:after="0" w:line="360" w:lineRule="auto"/>
        <w:ind w:firstLine="420"/>
        <w:textAlignment w:val="auto"/>
        <w:rPr>
          <w:rFonts w:hint="eastAsia" w:ascii="宋体" w:hAnsi="宋体" w:eastAsia="宋体" w:cs="宋体"/>
          <w:b w:val="0"/>
          <w:bCs w:val="0"/>
          <w:sz w:val="22"/>
          <w:szCs w:val="22"/>
          <w:highlight w:val="none"/>
        </w:rPr>
      </w:pPr>
      <w:r>
        <w:rPr>
          <w:rFonts w:hint="eastAsia" w:ascii="宋体" w:hAnsi="宋体" w:eastAsia="宋体" w:cs="宋体"/>
          <w:b w:val="0"/>
          <w:bCs w:val="0"/>
          <w:sz w:val="22"/>
          <w:szCs w:val="22"/>
          <w:highlight w:val="none"/>
        </w:rPr>
        <w:t>总体建设内容可概括为“一库、一平台，多应用”。</w:t>
      </w:r>
    </w:p>
    <w:p w14:paraId="392CA267">
      <w:pPr>
        <w:pStyle w:val="19"/>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sz w:val="22"/>
          <w:szCs w:val="22"/>
          <w:highlight w:val="none"/>
        </w:rPr>
      </w:pPr>
      <w:r>
        <w:rPr>
          <w:rFonts w:hint="eastAsia" w:ascii="宋体" w:hAnsi="宋体" w:eastAsia="宋体" w:cs="宋体"/>
          <w:b w:val="0"/>
          <w:bCs w:val="0"/>
          <w:sz w:val="22"/>
          <w:szCs w:val="22"/>
          <w:highlight w:val="none"/>
        </w:rPr>
        <w:t>“一库”指的是干部信息资源库，主要对本项目建设信息系统中所产生、获取、处理、存储、传输和使用的一切信息资源进行规划管理，实现干部数据资源的有效汇聚、开放共享和集中管控，实现数据的实时同步、及时更新，保障各系统之间的业务协同联动、数据来源统一，提升数据资源服务的水平与效能。</w:t>
      </w:r>
    </w:p>
    <w:p w14:paraId="1CAB856C">
      <w:pPr>
        <w:pStyle w:val="19"/>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sz w:val="22"/>
          <w:szCs w:val="22"/>
          <w:highlight w:val="none"/>
        </w:rPr>
      </w:pPr>
      <w:r>
        <w:rPr>
          <w:rFonts w:hint="eastAsia" w:ascii="宋体" w:hAnsi="宋体" w:eastAsia="宋体" w:cs="宋体"/>
          <w:b w:val="0"/>
          <w:bCs w:val="0"/>
          <w:sz w:val="22"/>
          <w:szCs w:val="22"/>
          <w:highlight w:val="none"/>
        </w:rPr>
        <w:t>“一平台”指的是应用支撑平台，采用组件式框架机制，能够满足当前和今后较长时间范围内信息化工作的一般性、基础性要求，为各项业务系统建设提供丰富的基础应用能力和坚实的开发技术基础。对公共服务资源进行统一管理，形成业务中台有助于优化使用性能、提升响应速度、方便外部接入，实现模块间解决解耦的需求，摆脱现有各应用系统重复建设、资源浪费等问题。</w:t>
      </w:r>
    </w:p>
    <w:p w14:paraId="40158F81">
      <w:pPr>
        <w:pStyle w:val="19"/>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sz w:val="22"/>
          <w:szCs w:val="22"/>
          <w:highlight w:val="none"/>
        </w:rPr>
      </w:pPr>
      <w:r>
        <w:rPr>
          <w:rFonts w:hint="eastAsia" w:ascii="宋体" w:hAnsi="宋体" w:eastAsia="宋体" w:cs="宋体"/>
          <w:b w:val="0"/>
          <w:bCs w:val="0"/>
          <w:sz w:val="22"/>
          <w:szCs w:val="22"/>
          <w:highlight w:val="none"/>
        </w:rPr>
        <w:t>“多应用”包括干部人事信息管理、编制职数管理、干部教育培训管理、出国境管理、干部岗位胜任力模型分析系统、干部任免上会系统、领导便携式查询系统等，实现日常人员管理的流程化和数字化，为领导直观地提供本单位干部人事数据，从而辅助人事决策，提高决策过程的量化分析能力，降低决策风险。</w:t>
      </w:r>
    </w:p>
    <w:p w14:paraId="28EDF6A1">
      <w:pPr>
        <w:rPr>
          <w:rFonts w:hint="eastAsia" w:ascii="宋体" w:eastAsia="宋体" w:cs="宋体"/>
          <w:color w:val="000000" w:themeColor="text1"/>
          <w:sz w:val="22"/>
          <w:szCs w:val="22"/>
          <w:highlight w:val="none"/>
          <w:lang w:val="en-US" w:eastAsia="zh-CN"/>
          <w14:textFill>
            <w14:solidFill>
              <w14:schemeClr w14:val="tx1"/>
            </w14:solidFill>
          </w14:textFill>
        </w:rPr>
      </w:pPr>
      <w:r>
        <w:rPr>
          <w:rFonts w:hint="eastAsia" w:ascii="宋体" w:eastAsia="宋体" w:cs="宋体"/>
          <w:color w:val="000000" w:themeColor="text1"/>
          <w:sz w:val="22"/>
          <w:szCs w:val="22"/>
          <w:highlight w:val="none"/>
          <w:lang w:val="en-US" w:eastAsia="zh-CN"/>
          <w14:textFill>
            <w14:solidFill>
              <w14:schemeClr w14:val="tx1"/>
            </w14:solidFill>
          </w14:textFill>
        </w:rPr>
        <w:br w:type="page"/>
      </w:r>
    </w:p>
    <w:p w14:paraId="05E2A902">
      <w:pPr>
        <w:keepNext w:val="0"/>
        <w:keepLines w:val="0"/>
        <w:pageBreakBefore w:val="0"/>
        <w:kinsoku/>
        <w:wordWrap/>
        <w:overflowPunct/>
        <w:topLinePunct w:val="0"/>
        <w:autoSpaceDE/>
        <w:autoSpaceDN/>
        <w:bidi w:val="0"/>
        <w:adjustRightInd/>
        <w:snapToGrid/>
        <w:spacing w:line="360" w:lineRule="auto"/>
        <w:ind w:firstLine="433" w:firstLineChars="196"/>
        <w:textAlignment w:val="auto"/>
        <w:rPr>
          <w:rFonts w:hint="eastAsia" w:ascii="宋体" w:hAnsi="宋体" w:eastAsia="宋体" w:cs="宋体"/>
          <w:color w:val="000000" w:themeColor="text1"/>
          <w:sz w:val="22"/>
          <w:szCs w:val="22"/>
          <w:highlight w:val="none"/>
          <w:lang w:val="en-US" w:eastAsia="zh-CN"/>
          <w14:textFill>
            <w14:solidFill>
              <w14:schemeClr w14:val="tx1"/>
            </w14:solidFill>
          </w14:textFill>
        </w:rPr>
      </w:pPr>
      <w:r>
        <w:rPr>
          <w:rFonts w:hint="eastAsia" w:ascii="宋体" w:eastAsia="宋体" w:cs="宋体"/>
          <w:color w:val="000000" w:themeColor="text1"/>
          <w:sz w:val="22"/>
          <w:szCs w:val="22"/>
          <w:highlight w:val="none"/>
          <w:lang w:val="en-US" w:eastAsia="zh-CN"/>
          <w14:textFill>
            <w14:solidFill>
              <w14:schemeClr w14:val="tx1"/>
            </w14:solidFill>
          </w14:textFill>
        </w:rPr>
        <w:t>三</w:t>
      </w:r>
      <w:r>
        <w:rPr>
          <w:rFonts w:hint="eastAsia" w:ascii="宋体" w:hAnsi="宋体" w:eastAsia="宋体" w:cs="宋体"/>
          <w:color w:val="000000" w:themeColor="text1"/>
          <w:sz w:val="22"/>
          <w:szCs w:val="22"/>
          <w:highlight w:val="none"/>
          <w:lang w:val="en-US" w:eastAsia="zh-CN"/>
          <w14:textFill>
            <w14:solidFill>
              <w14:schemeClr w14:val="tx1"/>
            </w14:solidFill>
          </w14:textFill>
        </w:rPr>
        <w:t>、</w:t>
      </w:r>
      <w:r>
        <w:rPr>
          <w:rFonts w:hint="eastAsia" w:ascii="宋体" w:eastAsia="宋体" w:cs="宋体"/>
          <w:color w:val="000000" w:themeColor="text1"/>
          <w:sz w:val="22"/>
          <w:szCs w:val="22"/>
          <w:highlight w:val="none"/>
          <w:lang w:val="en-US" w:eastAsia="zh-CN"/>
          <w14:textFill>
            <w14:solidFill>
              <w14:schemeClr w14:val="tx1"/>
            </w14:solidFill>
          </w14:textFill>
        </w:rPr>
        <w:t>采购内容及</w:t>
      </w:r>
      <w:r>
        <w:rPr>
          <w:rFonts w:hint="eastAsia" w:ascii="宋体" w:hAnsi="宋体" w:eastAsia="宋体" w:cs="宋体"/>
          <w:color w:val="000000" w:themeColor="text1"/>
          <w:sz w:val="22"/>
          <w:szCs w:val="22"/>
          <w:highlight w:val="none"/>
          <w:lang w:val="en-US" w:eastAsia="zh-CN"/>
          <w14:textFill>
            <w14:solidFill>
              <w14:schemeClr w14:val="tx1"/>
            </w14:solidFill>
          </w14:textFill>
        </w:rPr>
        <w:t>具体建设要求</w:t>
      </w:r>
    </w:p>
    <w:tbl>
      <w:tblPr>
        <w:tblStyle w:val="44"/>
        <w:tblpPr w:leftFromText="180" w:rightFromText="180" w:vertAnchor="text" w:tblpXSpec="center" w:tblpY="1"/>
        <w:tblOverlap w:val="never"/>
        <w:tblW w:w="8759" w:type="dxa"/>
        <w:tblInd w:w="11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0"/>
        <w:gridCol w:w="2885"/>
        <w:gridCol w:w="4884"/>
      </w:tblGrid>
      <w:tr w14:paraId="74855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990" w:type="dxa"/>
            <w:noWrap w:val="0"/>
            <w:vAlign w:val="center"/>
          </w:tcPr>
          <w:p w14:paraId="60A582E9">
            <w:pPr>
              <w:autoSpaceDE w:val="0"/>
              <w:autoSpaceDN w:val="0"/>
              <w:adjustRightInd w:val="0"/>
              <w:spacing w:line="460" w:lineRule="atLeast"/>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标项</w:t>
            </w:r>
          </w:p>
        </w:tc>
        <w:tc>
          <w:tcPr>
            <w:tcW w:w="2885" w:type="dxa"/>
            <w:noWrap w:val="0"/>
            <w:vAlign w:val="center"/>
          </w:tcPr>
          <w:p w14:paraId="1C53605D">
            <w:pPr>
              <w:autoSpaceDE w:val="0"/>
              <w:autoSpaceDN w:val="0"/>
              <w:adjustRightInd w:val="0"/>
              <w:spacing w:line="460" w:lineRule="atLeast"/>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项目名称</w:t>
            </w:r>
          </w:p>
        </w:tc>
        <w:tc>
          <w:tcPr>
            <w:tcW w:w="4884" w:type="dxa"/>
            <w:noWrap w:val="0"/>
            <w:vAlign w:val="center"/>
          </w:tcPr>
          <w:p w14:paraId="49129DB2">
            <w:pPr>
              <w:autoSpaceDE w:val="0"/>
              <w:autoSpaceDN w:val="0"/>
              <w:adjustRightInd w:val="0"/>
              <w:spacing w:line="460" w:lineRule="atLeast"/>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项目内容</w:t>
            </w:r>
          </w:p>
        </w:tc>
      </w:tr>
      <w:tr w14:paraId="2BF60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990" w:type="dxa"/>
            <w:vMerge w:val="restart"/>
            <w:noWrap w:val="0"/>
            <w:vAlign w:val="center"/>
          </w:tcPr>
          <w:p w14:paraId="0ACB4AFE">
            <w:pPr>
              <w:autoSpaceDE w:val="0"/>
              <w:autoSpaceDN w:val="0"/>
              <w:adjustRightInd w:val="0"/>
              <w:spacing w:line="460" w:lineRule="atLeast"/>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w:t>
            </w:r>
          </w:p>
        </w:tc>
        <w:tc>
          <w:tcPr>
            <w:tcW w:w="2885" w:type="dxa"/>
            <w:vMerge w:val="restart"/>
            <w:noWrap w:val="0"/>
            <w:vAlign w:val="center"/>
          </w:tcPr>
          <w:p w14:paraId="506502A1">
            <w:pPr>
              <w:autoSpaceDE w:val="0"/>
              <w:autoSpaceDN w:val="0"/>
              <w:adjustRightInd w:val="0"/>
              <w:spacing w:line="460" w:lineRule="atLeast"/>
              <w:jc w:val="center"/>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2024年中共永嘉县委组织部干部智慧管理系统</w:t>
            </w:r>
          </w:p>
        </w:tc>
        <w:tc>
          <w:tcPr>
            <w:tcW w:w="4884" w:type="dxa"/>
            <w:noWrap w:val="0"/>
            <w:vAlign w:val="center"/>
          </w:tcPr>
          <w:p w14:paraId="3A8DDE45">
            <w:pPr>
              <w:autoSpaceDE w:val="0"/>
              <w:autoSpaceDN w:val="0"/>
              <w:adjustRightInd w:val="0"/>
              <w:spacing w:line="460" w:lineRule="atLeast"/>
              <w:jc w:val="center"/>
              <w:rPr>
                <w:rFonts w:hint="eastAsia" w:ascii="宋体" w:hAnsi="宋体" w:eastAsia="宋体" w:cs="宋体"/>
                <w:b/>
                <w:bCs/>
                <w:color w:val="auto"/>
                <w:sz w:val="24"/>
                <w:szCs w:val="24"/>
                <w:highlight w:val="none"/>
                <w:lang w:val="en-US" w:eastAsia="zh-CN"/>
              </w:rPr>
            </w:pPr>
            <w:r>
              <w:rPr>
                <w:rFonts w:hint="default" w:ascii="宋体" w:hAnsi="宋体" w:eastAsia="宋体" w:cs="宋体"/>
                <w:b/>
                <w:bCs/>
                <w:color w:val="auto"/>
                <w:sz w:val="24"/>
                <w:szCs w:val="24"/>
                <w:highlight w:val="none"/>
                <w:lang w:val="en-US" w:eastAsia="zh-CN"/>
              </w:rPr>
              <w:t>应用软件开发费用</w:t>
            </w:r>
          </w:p>
        </w:tc>
      </w:tr>
      <w:tr w14:paraId="04E46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990" w:type="dxa"/>
            <w:vMerge w:val="continue"/>
            <w:noWrap w:val="0"/>
            <w:vAlign w:val="center"/>
          </w:tcPr>
          <w:p w14:paraId="23FA17C4">
            <w:pPr>
              <w:autoSpaceDE w:val="0"/>
              <w:autoSpaceDN w:val="0"/>
              <w:adjustRightInd w:val="0"/>
              <w:spacing w:line="460" w:lineRule="atLeast"/>
              <w:jc w:val="center"/>
              <w:rPr>
                <w:rFonts w:hint="eastAsia" w:ascii="宋体" w:hAnsi="宋体" w:eastAsia="宋体" w:cs="宋体"/>
                <w:b/>
                <w:bCs/>
                <w:color w:val="auto"/>
                <w:sz w:val="24"/>
                <w:szCs w:val="24"/>
                <w:highlight w:val="none"/>
                <w:lang w:val="en-US" w:eastAsia="zh-CN"/>
              </w:rPr>
            </w:pPr>
          </w:p>
        </w:tc>
        <w:tc>
          <w:tcPr>
            <w:tcW w:w="2885" w:type="dxa"/>
            <w:vMerge w:val="continue"/>
            <w:noWrap w:val="0"/>
            <w:vAlign w:val="center"/>
          </w:tcPr>
          <w:p w14:paraId="2714E6A7">
            <w:pPr>
              <w:autoSpaceDE w:val="0"/>
              <w:autoSpaceDN w:val="0"/>
              <w:adjustRightInd w:val="0"/>
              <w:spacing w:line="460" w:lineRule="atLeast"/>
              <w:jc w:val="center"/>
              <w:rPr>
                <w:rFonts w:hint="eastAsia" w:ascii="宋体" w:hAnsi="宋体" w:eastAsia="宋体" w:cs="宋体"/>
                <w:b/>
                <w:bCs/>
                <w:color w:val="auto"/>
                <w:sz w:val="24"/>
                <w:szCs w:val="24"/>
                <w:highlight w:val="none"/>
                <w:lang w:eastAsia="zh-CN"/>
              </w:rPr>
            </w:pPr>
          </w:p>
        </w:tc>
        <w:tc>
          <w:tcPr>
            <w:tcW w:w="4884" w:type="dxa"/>
            <w:noWrap w:val="0"/>
            <w:vAlign w:val="center"/>
          </w:tcPr>
          <w:p w14:paraId="22B5AE7A">
            <w:pPr>
              <w:autoSpaceDE w:val="0"/>
              <w:autoSpaceDN w:val="0"/>
              <w:adjustRightInd w:val="0"/>
              <w:spacing w:line="460" w:lineRule="atLeast"/>
              <w:jc w:val="center"/>
              <w:rPr>
                <w:rFonts w:hint="eastAsia" w:ascii="宋体" w:hAnsi="宋体" w:eastAsia="宋体" w:cs="宋体"/>
                <w:b/>
                <w:bCs/>
                <w:color w:val="auto"/>
                <w:sz w:val="24"/>
                <w:szCs w:val="24"/>
                <w:highlight w:val="none"/>
                <w:lang w:val="en-US" w:eastAsia="zh-CN"/>
              </w:rPr>
            </w:pPr>
            <w:r>
              <w:rPr>
                <w:rFonts w:hint="default" w:ascii="宋体" w:hAnsi="宋体" w:eastAsia="宋体" w:cs="宋体"/>
                <w:b/>
                <w:bCs/>
                <w:color w:val="auto"/>
                <w:sz w:val="24"/>
                <w:szCs w:val="24"/>
                <w:highlight w:val="none"/>
                <w:lang w:val="en-US" w:eastAsia="zh-CN"/>
              </w:rPr>
              <w:t>数据库</w:t>
            </w:r>
          </w:p>
        </w:tc>
      </w:tr>
      <w:tr w14:paraId="1BE6C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990" w:type="dxa"/>
            <w:vMerge w:val="continue"/>
            <w:noWrap w:val="0"/>
            <w:vAlign w:val="center"/>
          </w:tcPr>
          <w:p w14:paraId="6CA0A8BC">
            <w:pPr>
              <w:autoSpaceDE w:val="0"/>
              <w:autoSpaceDN w:val="0"/>
              <w:adjustRightInd w:val="0"/>
              <w:spacing w:line="460" w:lineRule="atLeast"/>
              <w:jc w:val="center"/>
              <w:rPr>
                <w:rFonts w:hint="eastAsia" w:ascii="宋体" w:hAnsi="宋体" w:eastAsia="宋体" w:cs="宋体"/>
                <w:b/>
                <w:bCs/>
                <w:color w:val="auto"/>
                <w:sz w:val="24"/>
                <w:szCs w:val="24"/>
                <w:highlight w:val="none"/>
                <w:lang w:val="en-US" w:eastAsia="zh-CN"/>
              </w:rPr>
            </w:pPr>
          </w:p>
        </w:tc>
        <w:tc>
          <w:tcPr>
            <w:tcW w:w="2885" w:type="dxa"/>
            <w:vMerge w:val="continue"/>
            <w:noWrap w:val="0"/>
            <w:vAlign w:val="center"/>
          </w:tcPr>
          <w:p w14:paraId="6DC7F1CB">
            <w:pPr>
              <w:autoSpaceDE w:val="0"/>
              <w:autoSpaceDN w:val="0"/>
              <w:adjustRightInd w:val="0"/>
              <w:spacing w:line="460" w:lineRule="atLeast"/>
              <w:jc w:val="center"/>
              <w:rPr>
                <w:rFonts w:hint="eastAsia" w:ascii="宋体" w:hAnsi="宋体" w:eastAsia="宋体" w:cs="宋体"/>
                <w:b/>
                <w:bCs/>
                <w:color w:val="auto"/>
                <w:sz w:val="24"/>
                <w:szCs w:val="24"/>
                <w:highlight w:val="none"/>
                <w:lang w:eastAsia="zh-CN"/>
              </w:rPr>
            </w:pPr>
          </w:p>
        </w:tc>
        <w:tc>
          <w:tcPr>
            <w:tcW w:w="4884" w:type="dxa"/>
            <w:noWrap w:val="0"/>
            <w:vAlign w:val="center"/>
          </w:tcPr>
          <w:p w14:paraId="1471EE6C">
            <w:pPr>
              <w:autoSpaceDE w:val="0"/>
              <w:autoSpaceDN w:val="0"/>
              <w:adjustRightInd w:val="0"/>
              <w:spacing w:line="460" w:lineRule="atLeast"/>
              <w:jc w:val="center"/>
              <w:rPr>
                <w:rFonts w:hint="eastAsia" w:ascii="宋体" w:hAnsi="宋体" w:eastAsia="宋体" w:cs="宋体"/>
                <w:b/>
                <w:bCs/>
                <w:color w:val="auto"/>
                <w:sz w:val="24"/>
                <w:szCs w:val="24"/>
                <w:highlight w:val="none"/>
                <w:lang w:val="en-US" w:eastAsia="zh-CN"/>
              </w:rPr>
            </w:pPr>
            <w:r>
              <w:rPr>
                <w:rFonts w:hint="default" w:ascii="宋体" w:hAnsi="宋体" w:eastAsia="宋体" w:cs="宋体"/>
                <w:b/>
                <w:bCs/>
                <w:color w:val="auto"/>
                <w:sz w:val="24"/>
                <w:szCs w:val="24"/>
                <w:highlight w:val="none"/>
                <w:lang w:val="en-US" w:eastAsia="zh-CN"/>
              </w:rPr>
              <w:t>等保测评费用</w:t>
            </w:r>
            <w:r>
              <w:rPr>
                <w:rFonts w:hint="eastAsia" w:ascii="宋体" w:hAnsi="宋体" w:eastAsia="宋体" w:cs="宋体"/>
                <w:b/>
                <w:bCs/>
                <w:color w:val="auto"/>
                <w:sz w:val="24"/>
                <w:szCs w:val="24"/>
                <w:highlight w:val="none"/>
                <w:lang w:val="en-US" w:eastAsia="zh-CN"/>
              </w:rPr>
              <w:t>（按照二级等保要求）</w:t>
            </w:r>
          </w:p>
        </w:tc>
      </w:tr>
    </w:tbl>
    <w:p w14:paraId="44AB738D">
      <w:pPr>
        <w:keepNext w:val="0"/>
        <w:keepLines w:val="0"/>
        <w:pageBreakBefore w:val="0"/>
        <w:kinsoku/>
        <w:wordWrap/>
        <w:overflowPunct/>
        <w:topLinePunct w:val="0"/>
        <w:autoSpaceDE/>
        <w:autoSpaceDN/>
        <w:bidi w:val="0"/>
        <w:adjustRightInd/>
        <w:snapToGrid/>
        <w:spacing w:line="360" w:lineRule="auto"/>
        <w:ind w:firstLine="433" w:firstLineChars="196"/>
        <w:textAlignment w:val="auto"/>
        <w:rPr>
          <w:rFonts w:hint="eastAsia" w:ascii="宋体" w:hAnsi="宋体" w:eastAsia="宋体" w:cs="宋体"/>
          <w:color w:val="000000" w:themeColor="text1"/>
          <w:sz w:val="22"/>
          <w:szCs w:val="22"/>
          <w:highlight w:val="none"/>
          <w:lang w:val="en-US" w:eastAsia="zh-CN"/>
          <w14:textFill>
            <w14:solidFill>
              <w14:schemeClr w14:val="tx1"/>
            </w14:solidFill>
          </w14:textFill>
        </w:rPr>
      </w:pPr>
    </w:p>
    <w:p w14:paraId="2F8828BD">
      <w:pPr>
        <w:pStyle w:val="5"/>
        <w:tabs>
          <w:tab w:val="left" w:pos="3600"/>
        </w:tabs>
        <w:spacing w:before="0" w:after="0"/>
        <w:rPr>
          <w:rFonts w:hint="eastAsia" w:ascii="宋体" w:hAnsi="宋体" w:eastAsia="宋体" w:cs="宋体"/>
          <w:b w:val="0"/>
          <w:bCs w:val="0"/>
          <w:color w:val="000000"/>
          <w:spacing w:val="0"/>
          <w:sz w:val="22"/>
          <w:szCs w:val="22"/>
          <w:highlight w:val="none"/>
          <w:lang w:val="en-US" w:eastAsia="zh-CN" w:bidi="ar-SA"/>
        </w:rPr>
      </w:pPr>
      <w:bookmarkStart w:id="4" w:name="_Toc149649008"/>
      <w:bookmarkStart w:id="5" w:name="_Toc528072589"/>
      <w:r>
        <w:rPr>
          <w:rFonts w:hint="eastAsia" w:ascii="宋体" w:hAnsi="宋体" w:eastAsia="宋体" w:cs="宋体"/>
          <w:b w:val="0"/>
          <w:bCs w:val="0"/>
          <w:color w:val="000000"/>
          <w:spacing w:val="0"/>
          <w:sz w:val="22"/>
          <w:szCs w:val="22"/>
          <w:highlight w:val="none"/>
          <w:lang w:val="en-US" w:eastAsia="zh-CN" w:bidi="ar-SA"/>
        </w:rPr>
        <w:t>（一）系统框架设计</w:t>
      </w:r>
      <w:bookmarkEnd w:id="4"/>
    </w:p>
    <w:p w14:paraId="58D2B62C">
      <w:pPr>
        <w:pStyle w:val="19"/>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cs="宋体"/>
        </w:rPr>
      </w:pPr>
      <w:r>
        <w:rPr>
          <w:rFonts w:hint="eastAsia" w:ascii="宋体" w:hAnsi="宋体" w:eastAsia="宋体" w:cs="宋体"/>
          <w:b w:val="0"/>
          <w:bCs w:val="0"/>
          <w:color w:val="000000"/>
          <w:sz w:val="22"/>
          <w:szCs w:val="22"/>
          <w:highlight w:val="none"/>
          <w:lang w:val="en-US" w:eastAsia="zh-CN" w:bidi="ar-SA"/>
        </w:rPr>
        <w:t>本项目建设应基于SOA架构体系，结合数据建模、业务模型、可视化流程引擎、动态表单设计等多种实现工具。系统主体为B/S架构，PC客户端的信息维护、查看、浏览等功能均应通过PC端的浏览器来操作</w:t>
      </w:r>
      <w:r>
        <w:rPr>
          <w:rFonts w:hint="eastAsia" w:ascii="宋体" w:hAnsi="宋体" w:eastAsia="宋体" w:cs="宋体"/>
          <w:b w:val="0"/>
          <w:bCs w:val="0"/>
          <w:sz w:val="22"/>
          <w:szCs w:val="22"/>
          <w:highlight w:val="none"/>
          <w:lang w:val="en-US" w:eastAsia="zh-CN"/>
        </w:rPr>
        <w:t>实现</w:t>
      </w:r>
      <w:r>
        <w:rPr>
          <w:rFonts w:hint="eastAsia" w:ascii="宋体" w:hAnsi="宋体" w:eastAsia="宋体" w:cs="宋体"/>
          <w:b w:val="0"/>
          <w:bCs w:val="0"/>
          <w:color w:val="000000"/>
          <w:sz w:val="22"/>
          <w:szCs w:val="22"/>
          <w:highlight w:val="none"/>
          <w:lang w:val="en-US" w:eastAsia="zh-CN" w:bidi="ar-SA"/>
        </w:rPr>
        <w:t>。系统采用技术手段保证数据传输存储的安全、准确和有效。从本期信息化建设应用的范围和管理的层次出发，遵循项目建设的技术原则，应充分考虑系统的高可用性、实用性、可维护性、先进性、可扩展性和安全性各方面</w:t>
      </w:r>
      <w:r>
        <w:rPr>
          <w:rFonts w:hint="eastAsia" w:ascii="宋体" w:hAnsi="宋体" w:eastAsia="宋体" w:cs="宋体"/>
          <w:b w:val="0"/>
          <w:bCs w:val="0"/>
          <w:color w:val="000000"/>
          <w:spacing w:val="0"/>
          <w:sz w:val="22"/>
          <w:szCs w:val="22"/>
          <w:highlight w:val="none"/>
          <w:lang w:val="en-US" w:eastAsia="zh-CN" w:bidi="ar-SA"/>
        </w:rPr>
        <w:t>。</w:t>
      </w:r>
    </w:p>
    <w:p w14:paraId="1A65DF73">
      <w:pPr>
        <w:pStyle w:val="5"/>
        <w:tabs>
          <w:tab w:val="left" w:pos="3600"/>
        </w:tabs>
        <w:spacing w:before="0" w:after="0"/>
        <w:rPr>
          <w:rFonts w:hint="eastAsia" w:ascii="宋体" w:hAnsi="宋体" w:eastAsia="宋体" w:cs="宋体"/>
          <w:b w:val="0"/>
          <w:bCs w:val="0"/>
          <w:color w:val="000000"/>
          <w:spacing w:val="0"/>
          <w:sz w:val="22"/>
          <w:szCs w:val="22"/>
          <w:highlight w:val="none"/>
          <w:lang w:val="en-US" w:eastAsia="zh-CN" w:bidi="ar-SA"/>
        </w:rPr>
      </w:pPr>
      <w:bookmarkStart w:id="6" w:name="_Toc149649009"/>
      <w:r>
        <w:rPr>
          <w:rFonts w:hint="eastAsia" w:ascii="宋体" w:hAnsi="宋体" w:eastAsia="宋体" w:cs="宋体"/>
          <w:b w:val="0"/>
          <w:bCs w:val="0"/>
          <w:color w:val="000000"/>
          <w:spacing w:val="0"/>
          <w:sz w:val="22"/>
          <w:szCs w:val="22"/>
          <w:highlight w:val="none"/>
          <w:lang w:val="en-US" w:eastAsia="zh-CN" w:bidi="ar-SA"/>
        </w:rPr>
        <w:t>（二）系统对接</w:t>
      </w:r>
      <w:bookmarkEnd w:id="6"/>
    </w:p>
    <w:p w14:paraId="6F4A25F5">
      <w:pPr>
        <w:pStyle w:val="19"/>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b/>
          <w:bCs/>
          <w:color w:val="FF0000"/>
          <w:sz w:val="22"/>
          <w:szCs w:val="22"/>
          <w:highlight w:val="none"/>
          <w:lang w:val="en-US" w:eastAsia="zh-CN" w:bidi="ar-SA"/>
        </w:rPr>
      </w:pPr>
      <w:r>
        <w:rPr>
          <w:rFonts w:hint="eastAsia" w:ascii="宋体" w:hAnsi="宋体" w:eastAsia="宋体" w:cs="宋体"/>
          <w:b/>
          <w:bCs/>
          <w:color w:val="FF0000"/>
          <w:sz w:val="22"/>
          <w:szCs w:val="22"/>
          <w:highlight w:val="none"/>
          <w:lang w:val="en-US" w:eastAsia="zh-CN" w:bidi="ar-SA"/>
        </w:rPr>
        <w:t>▲系统须无缝对接上级主管部门干部系统。（响应供应商须提供承诺函，格式自拟）</w:t>
      </w:r>
    </w:p>
    <w:p w14:paraId="72824AC0">
      <w:pPr>
        <w:pStyle w:val="5"/>
        <w:tabs>
          <w:tab w:val="left" w:pos="3600"/>
        </w:tabs>
        <w:spacing w:before="0" w:after="0"/>
        <w:rPr>
          <w:rFonts w:hint="eastAsia" w:ascii="宋体" w:hAnsi="宋体" w:eastAsia="宋体" w:cs="宋体"/>
          <w:b w:val="0"/>
          <w:bCs w:val="0"/>
          <w:color w:val="000000"/>
          <w:spacing w:val="0"/>
          <w:sz w:val="22"/>
          <w:szCs w:val="22"/>
          <w:highlight w:val="none"/>
          <w:lang w:val="en-US" w:eastAsia="zh-CN" w:bidi="ar-SA"/>
        </w:rPr>
      </w:pPr>
      <w:bookmarkStart w:id="7" w:name="_Toc149649010"/>
      <w:r>
        <w:rPr>
          <w:rFonts w:hint="eastAsia" w:ascii="宋体" w:hAnsi="宋体" w:eastAsia="宋体" w:cs="宋体"/>
          <w:b w:val="0"/>
          <w:bCs w:val="0"/>
          <w:color w:val="000000"/>
          <w:spacing w:val="0"/>
          <w:sz w:val="22"/>
          <w:szCs w:val="22"/>
          <w:highlight w:val="none"/>
          <w:lang w:val="en-US" w:eastAsia="zh-CN" w:bidi="ar-SA"/>
        </w:rPr>
        <w:t>（三）</w:t>
      </w:r>
      <w:bookmarkEnd w:id="7"/>
      <w:r>
        <w:rPr>
          <w:rFonts w:hint="eastAsia" w:ascii="宋体" w:hAnsi="宋体" w:eastAsia="宋体" w:cs="宋体"/>
          <w:b w:val="0"/>
          <w:bCs w:val="0"/>
          <w:color w:val="000000"/>
          <w:spacing w:val="0"/>
          <w:sz w:val="22"/>
          <w:szCs w:val="22"/>
          <w:highlight w:val="none"/>
          <w:lang w:val="en-US" w:eastAsia="zh-CN" w:bidi="ar-SA"/>
        </w:rPr>
        <w:t>建设范围</w:t>
      </w:r>
    </w:p>
    <w:p w14:paraId="711D7B94">
      <w:pPr>
        <w:pStyle w:val="19"/>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000000"/>
          <w:sz w:val="22"/>
          <w:szCs w:val="22"/>
          <w:highlight w:val="none"/>
          <w:lang w:val="en-US" w:eastAsia="zh-CN" w:bidi="ar-SA"/>
        </w:rPr>
      </w:pPr>
      <w:r>
        <w:rPr>
          <w:rFonts w:hint="eastAsia" w:ascii="宋体" w:hAnsi="宋体" w:eastAsia="宋体" w:cs="宋体"/>
          <w:b w:val="0"/>
          <w:bCs w:val="0"/>
          <w:color w:val="000000"/>
          <w:sz w:val="22"/>
          <w:szCs w:val="22"/>
          <w:highlight w:val="none"/>
          <w:lang w:val="en-US" w:eastAsia="zh-CN" w:bidi="ar-SA"/>
        </w:rPr>
        <w:t>本项目使用范围为</w:t>
      </w:r>
      <w:r>
        <w:rPr>
          <w:rFonts w:hint="eastAsia" w:ascii="宋体" w:hAnsi="宋体" w:eastAsia="宋体" w:cs="宋体"/>
          <w:b/>
          <w:bCs/>
          <w:color w:val="000000"/>
          <w:sz w:val="22"/>
          <w:szCs w:val="22"/>
          <w:highlight w:val="none"/>
          <w:lang w:val="en-US" w:eastAsia="zh-CN" w:bidi="ar-SA"/>
        </w:rPr>
        <w:t>县委组织部本级</w:t>
      </w:r>
      <w:r>
        <w:rPr>
          <w:rFonts w:hint="eastAsia" w:ascii="宋体" w:hAnsi="宋体" w:eastAsia="宋体" w:cs="宋体"/>
          <w:b w:val="0"/>
          <w:bCs w:val="0"/>
          <w:color w:val="000000"/>
          <w:sz w:val="22"/>
          <w:szCs w:val="22"/>
          <w:highlight w:val="none"/>
          <w:lang w:val="en-US" w:eastAsia="zh-CN" w:bidi="ar-SA"/>
        </w:rPr>
        <w:t>，系统全部部署在县委组织部指定的物理机房，故系统采用集中部署、集中接入方式，以县委组织部干部人事数据库及其他相关信息资源库为基础，统一开发、统一部署、统一接入，部内各角色用户按权限分级维护和浏览。</w:t>
      </w:r>
    </w:p>
    <w:p w14:paraId="58B0ABF9">
      <w:pPr>
        <w:pStyle w:val="19"/>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000000"/>
          <w:sz w:val="22"/>
          <w:szCs w:val="22"/>
          <w:highlight w:val="none"/>
          <w:lang w:val="en-US" w:eastAsia="zh-CN" w:bidi="ar-SA"/>
        </w:rPr>
      </w:pPr>
      <w:r>
        <w:rPr>
          <w:rFonts w:hint="eastAsia" w:ascii="宋体" w:hAnsi="宋体" w:eastAsia="宋体" w:cs="宋体"/>
          <w:b w:val="0"/>
          <w:bCs w:val="0"/>
          <w:color w:val="000000"/>
          <w:sz w:val="22"/>
          <w:szCs w:val="22"/>
          <w:highlight w:val="none"/>
          <w:lang w:val="en-US" w:eastAsia="zh-CN" w:bidi="ar-SA"/>
        </w:rPr>
        <w:t>本项目核心应用部署在</w:t>
      </w:r>
      <w:r>
        <w:rPr>
          <w:rFonts w:hint="eastAsia" w:ascii="宋体" w:hAnsi="宋体" w:eastAsia="宋体" w:cs="宋体"/>
          <w:b/>
          <w:bCs/>
          <w:color w:val="000000"/>
          <w:sz w:val="22"/>
          <w:szCs w:val="22"/>
          <w:highlight w:val="none"/>
          <w:lang w:val="en-US" w:eastAsia="zh-CN" w:bidi="ar-SA"/>
        </w:rPr>
        <w:t>县委组织部独立局域网</w:t>
      </w:r>
      <w:r>
        <w:rPr>
          <w:rFonts w:hint="eastAsia" w:ascii="宋体" w:hAnsi="宋体" w:eastAsia="宋体" w:cs="宋体"/>
          <w:b w:val="0"/>
          <w:bCs w:val="0"/>
          <w:color w:val="000000"/>
          <w:sz w:val="22"/>
          <w:szCs w:val="22"/>
          <w:highlight w:val="none"/>
          <w:lang w:val="en-US" w:eastAsia="zh-CN" w:bidi="ar-SA"/>
        </w:rPr>
        <w:t>。</w:t>
      </w:r>
    </w:p>
    <w:p w14:paraId="4D606507">
      <w:pPr>
        <w:pStyle w:val="19"/>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000000"/>
          <w:sz w:val="22"/>
          <w:szCs w:val="22"/>
          <w:highlight w:val="none"/>
          <w:lang w:val="en-US" w:eastAsia="zh-CN" w:bidi="ar-SA"/>
        </w:rPr>
      </w:pPr>
      <w:r>
        <w:rPr>
          <w:rFonts w:hint="eastAsia" w:ascii="宋体" w:hAnsi="宋体" w:eastAsia="宋体" w:cs="宋体"/>
          <w:b w:val="0"/>
          <w:bCs w:val="0"/>
          <w:color w:val="000000"/>
          <w:sz w:val="22"/>
          <w:szCs w:val="22"/>
          <w:highlight w:val="none"/>
          <w:lang w:val="en-US" w:eastAsia="zh-CN" w:bidi="ar-SA"/>
        </w:rPr>
        <w:t>在县委组织部独立局域网用户通过本项目建成的统一访问视图和系统界面，对系统进行统一访问。</w:t>
      </w:r>
    </w:p>
    <w:p w14:paraId="365B9B9E">
      <w:pPr>
        <w:pStyle w:val="19"/>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000000"/>
          <w:sz w:val="22"/>
          <w:szCs w:val="22"/>
          <w:highlight w:val="none"/>
          <w:lang w:val="en-US" w:eastAsia="zh-CN" w:bidi="ar-SA"/>
        </w:rPr>
      </w:pPr>
      <w:r>
        <w:rPr>
          <w:rFonts w:hint="eastAsia" w:ascii="宋体" w:hAnsi="宋体" w:eastAsia="宋体" w:cs="宋体"/>
          <w:b w:val="0"/>
          <w:bCs w:val="0"/>
          <w:color w:val="000000"/>
          <w:sz w:val="22"/>
          <w:szCs w:val="22"/>
          <w:highlight w:val="none"/>
          <w:lang w:val="en-US" w:eastAsia="zh-CN" w:bidi="ar-SA"/>
        </w:rPr>
        <w:t>其他网域相关数据通过标准结构数据包离线报盘的形式进行数据交换。</w:t>
      </w:r>
    </w:p>
    <w:p w14:paraId="3DF240E4">
      <w:pPr>
        <w:rPr>
          <w:rFonts w:hint="eastAsia"/>
        </w:rPr>
      </w:pPr>
    </w:p>
    <w:p w14:paraId="4606E930">
      <w:pPr>
        <w:pStyle w:val="5"/>
        <w:tabs>
          <w:tab w:val="left" w:pos="3600"/>
        </w:tabs>
        <w:spacing w:before="0" w:after="0"/>
        <w:rPr>
          <w:rFonts w:hint="eastAsia" w:ascii="宋体" w:hAnsi="宋体" w:eastAsia="宋体" w:cs="宋体"/>
          <w:b w:val="0"/>
          <w:bCs w:val="0"/>
          <w:color w:val="000000"/>
          <w:spacing w:val="0"/>
          <w:sz w:val="22"/>
          <w:szCs w:val="22"/>
          <w:highlight w:val="none"/>
          <w:lang w:val="en-US" w:eastAsia="zh-CN" w:bidi="ar-SA"/>
        </w:rPr>
      </w:pPr>
      <w:r>
        <w:rPr>
          <w:rFonts w:hint="eastAsia" w:ascii="宋体" w:hAnsi="宋体" w:eastAsia="宋体" w:cs="宋体"/>
          <w:b w:val="0"/>
          <w:bCs w:val="0"/>
          <w:color w:val="000000"/>
          <w:spacing w:val="0"/>
          <w:sz w:val="22"/>
          <w:szCs w:val="22"/>
          <w:highlight w:val="none"/>
          <w:lang w:val="en-US" w:eastAsia="zh-CN" w:bidi="ar-SA"/>
        </w:rPr>
        <w:t>（四）建设内容</w:t>
      </w:r>
    </w:p>
    <w:tbl>
      <w:tblPr>
        <w:tblStyle w:val="44"/>
        <w:tblW w:w="9420" w:type="dxa"/>
        <w:tblInd w:w="0" w:type="dxa"/>
        <w:tblLayout w:type="autofit"/>
        <w:tblCellMar>
          <w:top w:w="0" w:type="dxa"/>
          <w:left w:w="108" w:type="dxa"/>
          <w:bottom w:w="0" w:type="dxa"/>
          <w:right w:w="108" w:type="dxa"/>
        </w:tblCellMar>
      </w:tblPr>
      <w:tblGrid>
        <w:gridCol w:w="1171"/>
        <w:gridCol w:w="1179"/>
        <w:gridCol w:w="1179"/>
        <w:gridCol w:w="1413"/>
        <w:gridCol w:w="4478"/>
      </w:tblGrid>
      <w:tr w14:paraId="4E022352">
        <w:tblPrEx>
          <w:tblCellMar>
            <w:top w:w="0" w:type="dxa"/>
            <w:left w:w="108" w:type="dxa"/>
            <w:bottom w:w="0" w:type="dxa"/>
            <w:right w:w="108" w:type="dxa"/>
          </w:tblCellMar>
        </w:tblPrEx>
        <w:trPr>
          <w:trHeight w:val="280" w:hRule="atLeast"/>
        </w:trPr>
        <w:tc>
          <w:tcPr>
            <w:tcW w:w="1171" w:type="dxa"/>
            <w:vMerge w:val="restart"/>
            <w:tcBorders>
              <w:top w:val="single" w:color="auto" w:sz="4" w:space="0"/>
              <w:left w:val="single" w:color="auto" w:sz="4" w:space="0"/>
              <w:bottom w:val="single" w:color="auto" w:sz="4" w:space="0"/>
              <w:right w:val="single" w:color="auto" w:sz="4" w:space="0"/>
            </w:tcBorders>
            <w:shd w:val="clear" w:color="auto" w:fill="FFFFFF"/>
            <w:noWrap/>
            <w:vAlign w:val="center"/>
          </w:tcPr>
          <w:p w14:paraId="04AC7DB2">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序号</w:t>
            </w:r>
          </w:p>
        </w:tc>
        <w:tc>
          <w:tcPr>
            <w:tcW w:w="1179" w:type="dxa"/>
            <w:vMerge w:val="restart"/>
            <w:tcBorders>
              <w:top w:val="single" w:color="auto" w:sz="4" w:space="0"/>
              <w:left w:val="single" w:color="auto" w:sz="4" w:space="0"/>
              <w:bottom w:val="single" w:color="auto" w:sz="4" w:space="0"/>
              <w:right w:val="single" w:color="auto" w:sz="4" w:space="0"/>
            </w:tcBorders>
            <w:shd w:val="clear" w:color="auto" w:fill="FFFFFF"/>
            <w:noWrap w:val="0"/>
            <w:vAlign w:val="center"/>
          </w:tcPr>
          <w:p w14:paraId="7D4AD92E">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业务系统</w:t>
            </w:r>
          </w:p>
        </w:tc>
        <w:tc>
          <w:tcPr>
            <w:tcW w:w="1179" w:type="dxa"/>
            <w:vMerge w:val="restart"/>
            <w:tcBorders>
              <w:top w:val="single" w:color="auto" w:sz="4" w:space="0"/>
              <w:left w:val="single" w:color="auto" w:sz="4" w:space="0"/>
              <w:bottom w:val="single" w:color="auto" w:sz="4" w:space="0"/>
              <w:right w:val="single" w:color="auto" w:sz="4" w:space="0"/>
            </w:tcBorders>
            <w:shd w:val="clear" w:color="auto" w:fill="FFFFFF"/>
            <w:noWrap w:val="0"/>
            <w:vAlign w:val="center"/>
          </w:tcPr>
          <w:p w14:paraId="02896B21">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业务模块</w:t>
            </w:r>
          </w:p>
        </w:tc>
        <w:tc>
          <w:tcPr>
            <w:tcW w:w="1413" w:type="dxa"/>
            <w:vMerge w:val="restart"/>
            <w:tcBorders>
              <w:top w:val="single" w:color="auto" w:sz="4" w:space="0"/>
              <w:left w:val="single" w:color="auto" w:sz="4" w:space="0"/>
              <w:bottom w:val="single" w:color="auto" w:sz="4" w:space="0"/>
              <w:right w:val="single" w:color="auto" w:sz="4" w:space="0"/>
            </w:tcBorders>
            <w:shd w:val="clear" w:color="auto" w:fill="FFFFFF"/>
            <w:noWrap w:val="0"/>
            <w:vAlign w:val="center"/>
          </w:tcPr>
          <w:p w14:paraId="26A09BC4">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功能模块</w:t>
            </w:r>
          </w:p>
        </w:tc>
        <w:tc>
          <w:tcPr>
            <w:tcW w:w="4478" w:type="dxa"/>
            <w:tcBorders>
              <w:top w:val="single" w:color="auto" w:sz="4" w:space="0"/>
              <w:left w:val="nil"/>
              <w:bottom w:val="single" w:color="auto" w:sz="4" w:space="0"/>
              <w:right w:val="single" w:color="auto" w:sz="4" w:space="0"/>
            </w:tcBorders>
            <w:shd w:val="clear" w:color="auto" w:fill="FFFFFF"/>
            <w:noWrap w:val="0"/>
            <w:vAlign w:val="center"/>
          </w:tcPr>
          <w:p w14:paraId="230A15F4">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功能描述</w:t>
            </w:r>
          </w:p>
        </w:tc>
      </w:tr>
      <w:tr w14:paraId="2BA7C0E5">
        <w:tblPrEx>
          <w:tblCellMar>
            <w:top w:w="0" w:type="dxa"/>
            <w:left w:w="108" w:type="dxa"/>
            <w:bottom w:w="0" w:type="dxa"/>
            <w:right w:w="108" w:type="dxa"/>
          </w:tblCellMar>
        </w:tblPrEx>
        <w:trPr>
          <w:trHeight w:val="280" w:hRule="atLeast"/>
        </w:trPr>
        <w:tc>
          <w:tcPr>
            <w:tcW w:w="1171" w:type="dxa"/>
            <w:vMerge w:val="continue"/>
            <w:tcBorders>
              <w:top w:val="single" w:color="auto" w:sz="4" w:space="0"/>
              <w:left w:val="single" w:color="auto" w:sz="4" w:space="0"/>
              <w:bottom w:val="single" w:color="auto" w:sz="4" w:space="0"/>
              <w:right w:val="single" w:color="auto" w:sz="4" w:space="0"/>
            </w:tcBorders>
            <w:shd w:val="clear" w:color="auto" w:fill="FFFFFF"/>
            <w:noWrap w:val="0"/>
            <w:vAlign w:val="center"/>
          </w:tcPr>
          <w:p w14:paraId="29550818">
            <w:pPr>
              <w:rPr>
                <w:rFonts w:hint="eastAsia" w:ascii="宋体" w:hAnsi="宋体" w:eastAsia="宋体" w:cs="宋体"/>
                <w:b w:val="0"/>
                <w:bCs w:val="0"/>
                <w:color w:val="auto"/>
                <w:sz w:val="22"/>
                <w:szCs w:val="22"/>
                <w:highlight w:val="none"/>
              </w:rPr>
            </w:pPr>
          </w:p>
        </w:tc>
        <w:tc>
          <w:tcPr>
            <w:tcW w:w="1179" w:type="dxa"/>
            <w:vMerge w:val="continue"/>
            <w:tcBorders>
              <w:top w:val="single" w:color="auto" w:sz="4" w:space="0"/>
              <w:left w:val="single" w:color="auto" w:sz="4" w:space="0"/>
              <w:bottom w:val="single" w:color="auto" w:sz="4" w:space="0"/>
              <w:right w:val="single" w:color="auto" w:sz="4" w:space="0"/>
            </w:tcBorders>
            <w:shd w:val="clear" w:color="auto" w:fill="FFFFFF"/>
            <w:noWrap w:val="0"/>
            <w:vAlign w:val="center"/>
          </w:tcPr>
          <w:p w14:paraId="594C14DE">
            <w:pPr>
              <w:rPr>
                <w:rFonts w:hint="eastAsia" w:ascii="宋体" w:hAnsi="宋体" w:eastAsia="宋体" w:cs="宋体"/>
                <w:b w:val="0"/>
                <w:bCs w:val="0"/>
                <w:color w:val="auto"/>
                <w:sz w:val="22"/>
                <w:szCs w:val="22"/>
                <w:highlight w:val="none"/>
              </w:rPr>
            </w:pPr>
          </w:p>
        </w:tc>
        <w:tc>
          <w:tcPr>
            <w:tcW w:w="1179" w:type="dxa"/>
            <w:vMerge w:val="continue"/>
            <w:tcBorders>
              <w:top w:val="single" w:color="auto" w:sz="4" w:space="0"/>
              <w:left w:val="single" w:color="auto" w:sz="4" w:space="0"/>
              <w:bottom w:val="single" w:color="auto" w:sz="4" w:space="0"/>
              <w:right w:val="single" w:color="auto" w:sz="4" w:space="0"/>
            </w:tcBorders>
            <w:shd w:val="clear" w:color="auto" w:fill="FFFFFF"/>
            <w:noWrap w:val="0"/>
            <w:vAlign w:val="center"/>
          </w:tcPr>
          <w:p w14:paraId="42458B87">
            <w:pPr>
              <w:rPr>
                <w:rFonts w:hint="eastAsia" w:ascii="宋体" w:hAnsi="宋体" w:eastAsia="宋体" w:cs="宋体"/>
                <w:b w:val="0"/>
                <w:bCs w:val="0"/>
                <w:color w:val="auto"/>
                <w:sz w:val="22"/>
                <w:szCs w:val="22"/>
                <w:highlight w:val="none"/>
              </w:rPr>
            </w:pPr>
          </w:p>
        </w:tc>
        <w:tc>
          <w:tcPr>
            <w:tcW w:w="1413" w:type="dxa"/>
            <w:vMerge w:val="continue"/>
            <w:tcBorders>
              <w:top w:val="single" w:color="auto" w:sz="4" w:space="0"/>
              <w:left w:val="single" w:color="auto" w:sz="4" w:space="0"/>
              <w:bottom w:val="single" w:color="auto" w:sz="4" w:space="0"/>
              <w:right w:val="single" w:color="auto" w:sz="4" w:space="0"/>
            </w:tcBorders>
            <w:shd w:val="clear" w:color="auto" w:fill="FFFFFF"/>
            <w:noWrap w:val="0"/>
            <w:vAlign w:val="center"/>
          </w:tcPr>
          <w:p w14:paraId="18922A9F">
            <w:pPr>
              <w:rPr>
                <w:rFonts w:hint="eastAsia" w:ascii="宋体" w:hAnsi="宋体" w:eastAsia="宋体" w:cs="宋体"/>
                <w:b w:val="0"/>
                <w:bCs w:val="0"/>
                <w:color w:val="auto"/>
                <w:sz w:val="22"/>
                <w:szCs w:val="22"/>
                <w:highlight w:val="none"/>
              </w:rPr>
            </w:pPr>
          </w:p>
        </w:tc>
        <w:tc>
          <w:tcPr>
            <w:tcW w:w="4478" w:type="dxa"/>
            <w:tcBorders>
              <w:top w:val="nil"/>
              <w:left w:val="nil"/>
              <w:bottom w:val="single" w:color="auto" w:sz="4" w:space="0"/>
              <w:right w:val="single" w:color="auto" w:sz="4" w:space="0"/>
            </w:tcBorders>
            <w:shd w:val="clear" w:color="auto" w:fill="FFFFFF"/>
            <w:noWrap w:val="0"/>
            <w:vAlign w:val="center"/>
          </w:tcPr>
          <w:p w14:paraId="72D7B5CE">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（详细的功能描述）</w:t>
            </w:r>
          </w:p>
        </w:tc>
      </w:tr>
      <w:tr w14:paraId="4B232448">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2003D372">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w:t>
            </w:r>
          </w:p>
        </w:tc>
        <w:tc>
          <w:tcPr>
            <w:tcW w:w="1179" w:type="dxa"/>
            <w:vMerge w:val="restart"/>
            <w:tcBorders>
              <w:top w:val="nil"/>
              <w:left w:val="single" w:color="auto" w:sz="4" w:space="0"/>
              <w:right w:val="single" w:color="auto" w:sz="4" w:space="0"/>
            </w:tcBorders>
            <w:noWrap w:val="0"/>
            <w:vAlign w:val="center"/>
          </w:tcPr>
          <w:p w14:paraId="5D9F84A9">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干部智慧管理系统</w:t>
            </w:r>
          </w:p>
        </w:tc>
        <w:tc>
          <w:tcPr>
            <w:tcW w:w="1179" w:type="dxa"/>
            <w:vMerge w:val="restart"/>
            <w:tcBorders>
              <w:top w:val="nil"/>
              <w:left w:val="single" w:color="auto" w:sz="4" w:space="0"/>
              <w:bottom w:val="single" w:color="auto" w:sz="4" w:space="0"/>
              <w:right w:val="single" w:color="auto" w:sz="4" w:space="0"/>
            </w:tcBorders>
            <w:noWrap w:val="0"/>
            <w:vAlign w:val="center"/>
          </w:tcPr>
          <w:p w14:paraId="00971795">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系统门户</w:t>
            </w:r>
          </w:p>
        </w:tc>
        <w:tc>
          <w:tcPr>
            <w:tcW w:w="1413" w:type="dxa"/>
            <w:tcBorders>
              <w:top w:val="nil"/>
              <w:left w:val="nil"/>
              <w:bottom w:val="single" w:color="auto" w:sz="4" w:space="0"/>
              <w:right w:val="single" w:color="auto" w:sz="4" w:space="0"/>
            </w:tcBorders>
            <w:noWrap w:val="0"/>
            <w:vAlign w:val="center"/>
          </w:tcPr>
          <w:p w14:paraId="3D04512B">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待办事项</w:t>
            </w:r>
          </w:p>
        </w:tc>
        <w:tc>
          <w:tcPr>
            <w:tcW w:w="4478" w:type="dxa"/>
            <w:tcBorders>
              <w:top w:val="nil"/>
              <w:left w:val="nil"/>
              <w:bottom w:val="single" w:color="auto" w:sz="4" w:space="0"/>
              <w:right w:val="single" w:color="auto" w:sz="4" w:space="0"/>
            </w:tcBorders>
            <w:noWrap w:val="0"/>
            <w:vAlign w:val="center"/>
          </w:tcPr>
          <w:p w14:paraId="5F38D7DF">
            <w:pPr>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待办事项显示当前登录用户的待办，待办事项分为普通待办事项和紧急待办事项。</w:t>
            </w:r>
          </w:p>
          <w:p w14:paraId="20C5793D">
            <w:pPr>
              <w:jc w:val="left"/>
              <w:rPr>
                <w:rFonts w:hint="eastAsia" w:ascii="宋体" w:hAnsi="宋体" w:eastAsia="宋体" w:cs="宋体"/>
                <w:b w:val="0"/>
                <w:bCs w:val="0"/>
                <w:color w:val="auto"/>
                <w:sz w:val="22"/>
                <w:szCs w:val="22"/>
                <w:highlight w:val="none"/>
              </w:rPr>
            </w:pPr>
            <w:r>
              <w:rPr>
                <w:rFonts w:hint="eastAsia" w:ascii="宋体" w:eastAsia="宋体" w:cs="宋体"/>
                <w:b w:val="0"/>
                <w:bCs w:val="0"/>
                <w:color w:val="auto"/>
                <w:sz w:val="22"/>
                <w:szCs w:val="22"/>
                <w:highlight w:val="none"/>
                <w:lang w:eastAsia="zh-CN"/>
              </w:rPr>
              <w:t>（</w:t>
            </w:r>
            <w:r>
              <w:rPr>
                <w:rFonts w:hint="eastAsia" w:ascii="宋体" w:eastAsia="宋体" w:cs="宋体"/>
                <w:b w:val="0"/>
                <w:bCs w:val="0"/>
                <w:color w:val="auto"/>
                <w:sz w:val="22"/>
                <w:szCs w:val="22"/>
                <w:highlight w:val="none"/>
                <w:lang w:val="en-US" w:eastAsia="zh-CN"/>
              </w:rPr>
              <w:t>1</w:t>
            </w:r>
            <w:r>
              <w:rPr>
                <w:rFonts w:hint="eastAsia" w:asci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普通待办事项</w:t>
            </w:r>
          </w:p>
          <w:p w14:paraId="3F9BAA5A">
            <w:pPr>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普通待办事项是指那些需要完成但不一定要求立即行动的任务。</w:t>
            </w:r>
            <w:r>
              <w:rPr>
                <w:rFonts w:hint="eastAsia" w:ascii="宋体" w:eastAsia="宋体" w:cs="宋体"/>
                <w:b w:val="0"/>
                <w:bCs w:val="0"/>
                <w:color w:val="auto"/>
                <w:sz w:val="22"/>
                <w:szCs w:val="22"/>
                <w:highlight w:val="none"/>
                <w:lang w:eastAsia="zh-CN"/>
              </w:rPr>
              <w:t>它们</w:t>
            </w:r>
            <w:r>
              <w:rPr>
                <w:rFonts w:hint="eastAsia" w:ascii="宋体" w:hAnsi="宋体" w:eastAsia="宋体" w:cs="宋体"/>
                <w:b w:val="0"/>
                <w:bCs w:val="0"/>
                <w:color w:val="auto"/>
                <w:sz w:val="22"/>
                <w:szCs w:val="22"/>
                <w:highlight w:val="none"/>
              </w:rPr>
              <w:t>通常是日常工作流程的一部分，可以在每次登录设置提醒。</w:t>
            </w:r>
          </w:p>
          <w:p w14:paraId="692141D4">
            <w:pPr>
              <w:jc w:val="left"/>
              <w:rPr>
                <w:rFonts w:hint="eastAsia" w:ascii="宋体" w:hAnsi="宋体" w:eastAsia="宋体" w:cs="宋体"/>
                <w:b w:val="0"/>
                <w:bCs w:val="0"/>
                <w:color w:val="auto"/>
                <w:sz w:val="22"/>
                <w:szCs w:val="22"/>
                <w:highlight w:val="none"/>
              </w:rPr>
            </w:pPr>
            <w:r>
              <w:rPr>
                <w:rFonts w:hint="eastAsia" w:ascii="宋体" w:eastAsia="宋体" w:cs="宋体"/>
                <w:b w:val="0"/>
                <w:bCs w:val="0"/>
                <w:color w:val="auto"/>
                <w:sz w:val="22"/>
                <w:szCs w:val="22"/>
                <w:highlight w:val="none"/>
                <w:lang w:eastAsia="zh-CN"/>
              </w:rPr>
              <w:t>（</w:t>
            </w:r>
            <w:r>
              <w:rPr>
                <w:rFonts w:hint="eastAsia" w:ascii="宋体" w:eastAsia="宋体" w:cs="宋体"/>
                <w:b w:val="0"/>
                <w:bCs w:val="0"/>
                <w:color w:val="auto"/>
                <w:sz w:val="22"/>
                <w:szCs w:val="22"/>
                <w:highlight w:val="none"/>
                <w:lang w:val="en-US" w:eastAsia="zh-CN"/>
              </w:rPr>
              <w:t>2</w:t>
            </w:r>
            <w:r>
              <w:rPr>
                <w:rFonts w:hint="eastAsia" w:asci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紧急待办事项</w:t>
            </w:r>
          </w:p>
          <w:p w14:paraId="57BFA317">
            <w:pPr>
              <w:jc w:val="left"/>
              <w:rPr>
                <w:rFonts w:hint="eastAsia" w:eastAsia="宋体"/>
                <w:color w:val="auto"/>
                <w:highlight w:val="none"/>
                <w:lang w:val="en-US" w:eastAsia="zh-CN"/>
              </w:rPr>
            </w:pPr>
            <w:r>
              <w:rPr>
                <w:rFonts w:hint="eastAsia" w:ascii="宋体" w:hAnsi="宋体" w:eastAsia="宋体" w:cs="宋体"/>
                <w:b w:val="0"/>
                <w:bCs w:val="0"/>
                <w:color w:val="auto"/>
                <w:sz w:val="22"/>
                <w:szCs w:val="22"/>
                <w:highlight w:val="none"/>
              </w:rPr>
              <w:t>紧急待办事项是指那些需要立即或在短时间内完成的任务，通常由于突发事件或高优先级的需求而产生。系统可能会提供更频繁或更强烈的提醒，以确保用户注意到这些紧急任务</w:t>
            </w:r>
            <w:r>
              <w:rPr>
                <w:rFonts w:hint="eastAsia" w:ascii="宋体" w:eastAsia="宋体" w:cs="宋体"/>
                <w:b w:val="0"/>
                <w:bCs w:val="0"/>
                <w:color w:val="auto"/>
                <w:sz w:val="22"/>
                <w:szCs w:val="22"/>
                <w:highlight w:val="none"/>
                <w:lang w:eastAsia="zh-CN"/>
              </w:rPr>
              <w:t>。</w:t>
            </w:r>
          </w:p>
        </w:tc>
      </w:tr>
      <w:tr w14:paraId="76682717">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3F7149DA">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w:t>
            </w:r>
          </w:p>
        </w:tc>
        <w:tc>
          <w:tcPr>
            <w:tcW w:w="1179" w:type="dxa"/>
            <w:vMerge w:val="continue"/>
            <w:tcBorders>
              <w:left w:val="single" w:color="auto" w:sz="4" w:space="0"/>
              <w:right w:val="single" w:color="auto" w:sz="4" w:space="0"/>
            </w:tcBorders>
            <w:noWrap w:val="0"/>
            <w:vAlign w:val="center"/>
          </w:tcPr>
          <w:p w14:paraId="0CA94139">
            <w:pPr>
              <w:rPr>
                <w:rFonts w:hint="eastAsia" w:ascii="宋体" w:hAnsi="宋体" w:eastAsia="宋体" w:cs="宋体"/>
                <w:b w:val="0"/>
                <w:bCs w:val="0"/>
                <w:color w:val="auto"/>
                <w:sz w:val="22"/>
                <w:szCs w:val="22"/>
                <w:highlight w:val="none"/>
              </w:rPr>
            </w:pPr>
          </w:p>
        </w:tc>
        <w:tc>
          <w:tcPr>
            <w:tcW w:w="1179" w:type="dxa"/>
            <w:vMerge w:val="continue"/>
            <w:tcBorders>
              <w:top w:val="nil"/>
              <w:left w:val="single" w:color="auto" w:sz="4" w:space="0"/>
              <w:bottom w:val="single" w:color="auto" w:sz="4" w:space="0"/>
              <w:right w:val="single" w:color="auto" w:sz="4" w:space="0"/>
            </w:tcBorders>
            <w:noWrap w:val="0"/>
            <w:vAlign w:val="center"/>
          </w:tcPr>
          <w:p w14:paraId="0DAB9300">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6542D8DC">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工作台账</w:t>
            </w:r>
          </w:p>
        </w:tc>
        <w:tc>
          <w:tcPr>
            <w:tcW w:w="4478" w:type="dxa"/>
            <w:tcBorders>
              <w:top w:val="nil"/>
              <w:left w:val="nil"/>
              <w:bottom w:val="single" w:color="auto" w:sz="4" w:space="0"/>
              <w:right w:val="single" w:color="auto" w:sz="4" w:space="0"/>
            </w:tcBorders>
            <w:noWrap w:val="0"/>
            <w:vAlign w:val="center"/>
          </w:tcPr>
          <w:p w14:paraId="316F2CE7">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一般可适用于日常领导交办的台账信息或业务处室经常查阅的动态名册，系统支持线上推送台账信息，一次查询保存后以后可快速调阅查看。</w:t>
            </w:r>
          </w:p>
        </w:tc>
      </w:tr>
      <w:tr w14:paraId="64FF1E4C">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66D4FEB0">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3</w:t>
            </w:r>
          </w:p>
        </w:tc>
        <w:tc>
          <w:tcPr>
            <w:tcW w:w="1179" w:type="dxa"/>
            <w:vMerge w:val="continue"/>
            <w:tcBorders>
              <w:left w:val="single" w:color="auto" w:sz="4" w:space="0"/>
              <w:right w:val="single" w:color="auto" w:sz="4" w:space="0"/>
            </w:tcBorders>
            <w:noWrap w:val="0"/>
            <w:vAlign w:val="center"/>
          </w:tcPr>
          <w:p w14:paraId="5B4FD4ED">
            <w:pPr>
              <w:rPr>
                <w:rFonts w:hint="eastAsia" w:ascii="宋体" w:hAnsi="宋体" w:eastAsia="宋体" w:cs="宋体"/>
                <w:b w:val="0"/>
                <w:bCs w:val="0"/>
                <w:color w:val="auto"/>
                <w:sz w:val="22"/>
                <w:szCs w:val="22"/>
                <w:highlight w:val="none"/>
              </w:rPr>
            </w:pPr>
          </w:p>
        </w:tc>
        <w:tc>
          <w:tcPr>
            <w:tcW w:w="1179" w:type="dxa"/>
            <w:vMerge w:val="continue"/>
            <w:tcBorders>
              <w:top w:val="nil"/>
              <w:left w:val="single" w:color="auto" w:sz="4" w:space="0"/>
              <w:bottom w:val="single" w:color="auto" w:sz="4" w:space="0"/>
              <w:right w:val="single" w:color="auto" w:sz="4" w:space="0"/>
            </w:tcBorders>
            <w:noWrap w:val="0"/>
            <w:vAlign w:val="center"/>
          </w:tcPr>
          <w:p w14:paraId="5E5B052A">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1176B2DE">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快捷功能</w:t>
            </w:r>
          </w:p>
        </w:tc>
        <w:tc>
          <w:tcPr>
            <w:tcW w:w="4478" w:type="dxa"/>
            <w:tcBorders>
              <w:top w:val="nil"/>
              <w:left w:val="nil"/>
              <w:bottom w:val="single" w:color="auto" w:sz="4" w:space="0"/>
              <w:right w:val="single" w:color="auto" w:sz="4" w:space="0"/>
            </w:tcBorders>
            <w:noWrap w:val="0"/>
            <w:vAlign w:val="center"/>
          </w:tcPr>
          <w:p w14:paraId="0F90F2D8">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系统支持用户根据自己的业务或角色需要自定义添加自己常用的功能。</w:t>
            </w:r>
          </w:p>
        </w:tc>
      </w:tr>
      <w:tr w14:paraId="4A94B69F">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4BA4656E">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4</w:t>
            </w:r>
          </w:p>
        </w:tc>
        <w:tc>
          <w:tcPr>
            <w:tcW w:w="1179" w:type="dxa"/>
            <w:vMerge w:val="continue"/>
            <w:tcBorders>
              <w:left w:val="single" w:color="auto" w:sz="4" w:space="0"/>
              <w:right w:val="single" w:color="auto" w:sz="4" w:space="0"/>
            </w:tcBorders>
            <w:noWrap w:val="0"/>
            <w:vAlign w:val="center"/>
          </w:tcPr>
          <w:p w14:paraId="6EE19A8C">
            <w:pPr>
              <w:rPr>
                <w:rFonts w:hint="eastAsia" w:ascii="宋体" w:hAnsi="宋体" w:eastAsia="宋体" w:cs="宋体"/>
                <w:b w:val="0"/>
                <w:bCs w:val="0"/>
                <w:color w:val="auto"/>
                <w:sz w:val="22"/>
                <w:szCs w:val="22"/>
                <w:highlight w:val="none"/>
              </w:rPr>
            </w:pPr>
          </w:p>
        </w:tc>
        <w:tc>
          <w:tcPr>
            <w:tcW w:w="1179" w:type="dxa"/>
            <w:vMerge w:val="continue"/>
            <w:tcBorders>
              <w:top w:val="nil"/>
              <w:left w:val="single" w:color="auto" w:sz="4" w:space="0"/>
              <w:bottom w:val="single" w:color="auto" w:sz="4" w:space="0"/>
              <w:right w:val="single" w:color="auto" w:sz="4" w:space="0"/>
            </w:tcBorders>
            <w:noWrap w:val="0"/>
            <w:vAlign w:val="center"/>
          </w:tcPr>
          <w:p w14:paraId="27C82774">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0B055AA2">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预警提醒</w:t>
            </w:r>
          </w:p>
        </w:tc>
        <w:tc>
          <w:tcPr>
            <w:tcW w:w="4478" w:type="dxa"/>
            <w:tcBorders>
              <w:top w:val="nil"/>
              <w:left w:val="nil"/>
              <w:bottom w:val="single" w:color="auto" w:sz="4" w:space="0"/>
              <w:right w:val="single" w:color="auto" w:sz="4" w:space="0"/>
            </w:tcBorders>
            <w:noWrap w:val="0"/>
            <w:vAlign w:val="center"/>
          </w:tcPr>
          <w:p w14:paraId="07863BAC">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系统默认内置了</w:t>
            </w:r>
            <w:r>
              <w:rPr>
                <w:rFonts w:hint="eastAsia" w:ascii="宋体" w:eastAsia="宋体" w:cs="宋体"/>
                <w:b w:val="0"/>
                <w:bCs w:val="0"/>
                <w:color w:val="auto"/>
                <w:sz w:val="22"/>
                <w:szCs w:val="22"/>
                <w:highlight w:val="none"/>
                <w:lang w:val="en-US" w:eastAsia="zh-CN"/>
              </w:rPr>
              <w:t>几类</w:t>
            </w:r>
            <w:r>
              <w:rPr>
                <w:rFonts w:hint="eastAsia" w:ascii="宋体" w:hAnsi="宋体" w:eastAsia="宋体" w:cs="宋体"/>
                <w:b w:val="0"/>
                <w:bCs w:val="0"/>
                <w:color w:val="auto"/>
                <w:sz w:val="22"/>
                <w:szCs w:val="22"/>
                <w:highlight w:val="none"/>
              </w:rPr>
              <w:t>提醒，</w:t>
            </w:r>
            <w:r>
              <w:rPr>
                <w:rFonts w:hint="eastAsia" w:ascii="宋体" w:eastAsia="宋体" w:cs="宋体"/>
                <w:b w:val="0"/>
                <w:bCs w:val="0"/>
                <w:color w:val="auto"/>
                <w:sz w:val="22"/>
                <w:szCs w:val="22"/>
                <w:highlight w:val="none"/>
                <w:lang w:val="en-US" w:eastAsia="zh-CN"/>
              </w:rPr>
              <w:t>包括但不限于</w:t>
            </w:r>
            <w:r>
              <w:rPr>
                <w:rFonts w:hint="eastAsia" w:ascii="宋体" w:hAnsi="宋体" w:eastAsia="宋体" w:cs="宋体"/>
                <w:b w:val="0"/>
                <w:bCs w:val="0"/>
                <w:color w:val="auto"/>
                <w:sz w:val="22"/>
                <w:szCs w:val="22"/>
                <w:highlight w:val="none"/>
              </w:rPr>
              <w:t>为生日提醒、退休提醒、当月退休提醒、下月退休提醒、一年退休提醒、三年退休提醒，通过点击具体的提醒类别，可以查看此类提醒包含的人员列表。</w:t>
            </w:r>
          </w:p>
        </w:tc>
      </w:tr>
      <w:tr w14:paraId="666307C0">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56CDA47C">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5</w:t>
            </w:r>
          </w:p>
        </w:tc>
        <w:tc>
          <w:tcPr>
            <w:tcW w:w="1179" w:type="dxa"/>
            <w:vMerge w:val="continue"/>
            <w:tcBorders>
              <w:left w:val="single" w:color="auto" w:sz="4" w:space="0"/>
              <w:right w:val="single" w:color="auto" w:sz="4" w:space="0"/>
            </w:tcBorders>
            <w:noWrap w:val="0"/>
            <w:vAlign w:val="center"/>
          </w:tcPr>
          <w:p w14:paraId="4008941B">
            <w:pPr>
              <w:rPr>
                <w:rFonts w:hint="eastAsia" w:ascii="宋体" w:hAnsi="宋体" w:eastAsia="宋体" w:cs="宋体"/>
                <w:b w:val="0"/>
                <w:bCs w:val="0"/>
                <w:color w:val="auto"/>
                <w:sz w:val="22"/>
                <w:szCs w:val="22"/>
                <w:highlight w:val="none"/>
              </w:rPr>
            </w:pPr>
          </w:p>
        </w:tc>
        <w:tc>
          <w:tcPr>
            <w:tcW w:w="1179" w:type="dxa"/>
            <w:vMerge w:val="continue"/>
            <w:tcBorders>
              <w:top w:val="nil"/>
              <w:left w:val="single" w:color="auto" w:sz="4" w:space="0"/>
              <w:bottom w:val="single" w:color="auto" w:sz="4" w:space="0"/>
              <w:right w:val="single" w:color="auto" w:sz="4" w:space="0"/>
            </w:tcBorders>
            <w:noWrap w:val="0"/>
            <w:vAlign w:val="center"/>
          </w:tcPr>
          <w:p w14:paraId="032B2359">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352E90EB">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通知公告</w:t>
            </w:r>
          </w:p>
        </w:tc>
        <w:tc>
          <w:tcPr>
            <w:tcW w:w="4478" w:type="dxa"/>
            <w:tcBorders>
              <w:top w:val="nil"/>
              <w:left w:val="nil"/>
              <w:bottom w:val="single" w:color="auto" w:sz="4" w:space="0"/>
              <w:right w:val="single" w:color="auto" w:sz="4" w:space="0"/>
            </w:tcBorders>
            <w:noWrap w:val="0"/>
            <w:vAlign w:val="center"/>
          </w:tcPr>
          <w:p w14:paraId="4D7267D9">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通知公告分为两部分，一个是通知管理功能，由拥有此功能权限的用户，新建、修改、发布通知公告，另一个是通知公告浏览功能，在首页进行显示，方便查看上级下发的通知公告。</w:t>
            </w:r>
          </w:p>
        </w:tc>
      </w:tr>
      <w:tr w14:paraId="2880B9A0">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15E9E58E">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6</w:t>
            </w:r>
          </w:p>
        </w:tc>
        <w:tc>
          <w:tcPr>
            <w:tcW w:w="1179" w:type="dxa"/>
            <w:vMerge w:val="continue"/>
            <w:tcBorders>
              <w:left w:val="single" w:color="auto" w:sz="4" w:space="0"/>
              <w:right w:val="single" w:color="auto" w:sz="4" w:space="0"/>
            </w:tcBorders>
            <w:noWrap w:val="0"/>
            <w:vAlign w:val="center"/>
          </w:tcPr>
          <w:p w14:paraId="093AB4A0">
            <w:pPr>
              <w:rPr>
                <w:rFonts w:hint="eastAsia" w:ascii="宋体" w:hAnsi="宋体" w:eastAsia="宋体" w:cs="宋体"/>
                <w:b w:val="0"/>
                <w:bCs w:val="0"/>
                <w:color w:val="auto"/>
                <w:sz w:val="22"/>
                <w:szCs w:val="22"/>
                <w:highlight w:val="none"/>
              </w:rPr>
            </w:pPr>
          </w:p>
        </w:tc>
        <w:tc>
          <w:tcPr>
            <w:tcW w:w="1179" w:type="dxa"/>
            <w:vMerge w:val="continue"/>
            <w:tcBorders>
              <w:top w:val="nil"/>
              <w:left w:val="single" w:color="auto" w:sz="4" w:space="0"/>
              <w:bottom w:val="single" w:color="auto" w:sz="4" w:space="0"/>
              <w:right w:val="single" w:color="auto" w:sz="4" w:space="0"/>
            </w:tcBorders>
            <w:noWrap w:val="0"/>
            <w:vAlign w:val="center"/>
          </w:tcPr>
          <w:p w14:paraId="20A68ED6">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1D531EC0">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查询搜索</w:t>
            </w:r>
          </w:p>
        </w:tc>
        <w:tc>
          <w:tcPr>
            <w:tcW w:w="4478" w:type="dxa"/>
            <w:tcBorders>
              <w:top w:val="nil"/>
              <w:left w:val="nil"/>
              <w:bottom w:val="single" w:color="auto" w:sz="4" w:space="0"/>
              <w:right w:val="single" w:color="auto" w:sz="4" w:space="0"/>
            </w:tcBorders>
            <w:noWrap w:val="0"/>
            <w:vAlign w:val="center"/>
          </w:tcPr>
          <w:p w14:paraId="563E3701">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在搜索区域输入将要查询的单位、人员或者关键词即可搜索查询。若输入相应的字符，搜索框会出现模糊匹配下拉列表，通过点击人员姓名直接跳转至人员信息浏览界面。</w:t>
            </w:r>
          </w:p>
        </w:tc>
      </w:tr>
      <w:tr w14:paraId="229EE402">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2792D0ED">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7</w:t>
            </w:r>
          </w:p>
        </w:tc>
        <w:tc>
          <w:tcPr>
            <w:tcW w:w="1179" w:type="dxa"/>
            <w:vMerge w:val="continue"/>
            <w:tcBorders>
              <w:left w:val="single" w:color="auto" w:sz="4" w:space="0"/>
              <w:right w:val="single" w:color="auto" w:sz="4" w:space="0"/>
            </w:tcBorders>
            <w:noWrap w:val="0"/>
            <w:vAlign w:val="center"/>
          </w:tcPr>
          <w:p w14:paraId="6958B2C4">
            <w:pPr>
              <w:rPr>
                <w:rFonts w:hint="eastAsia" w:ascii="宋体" w:hAnsi="宋体" w:eastAsia="宋体" w:cs="宋体"/>
                <w:b w:val="0"/>
                <w:bCs w:val="0"/>
                <w:color w:val="auto"/>
                <w:sz w:val="22"/>
                <w:szCs w:val="22"/>
                <w:highlight w:val="none"/>
              </w:rPr>
            </w:pPr>
          </w:p>
        </w:tc>
        <w:tc>
          <w:tcPr>
            <w:tcW w:w="1179" w:type="dxa"/>
            <w:vMerge w:val="restart"/>
            <w:tcBorders>
              <w:top w:val="nil"/>
              <w:left w:val="single" w:color="auto" w:sz="4" w:space="0"/>
              <w:bottom w:val="single" w:color="auto" w:sz="4" w:space="0"/>
              <w:right w:val="single" w:color="auto" w:sz="4" w:space="0"/>
            </w:tcBorders>
            <w:noWrap w:val="0"/>
            <w:vAlign w:val="center"/>
          </w:tcPr>
          <w:p w14:paraId="463CBD6A">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干部信息管理</w:t>
            </w:r>
          </w:p>
        </w:tc>
        <w:tc>
          <w:tcPr>
            <w:tcW w:w="1413" w:type="dxa"/>
            <w:tcBorders>
              <w:top w:val="nil"/>
              <w:left w:val="nil"/>
              <w:bottom w:val="single" w:color="auto" w:sz="4" w:space="0"/>
              <w:right w:val="single" w:color="auto" w:sz="4" w:space="0"/>
            </w:tcBorders>
            <w:noWrap w:val="0"/>
            <w:vAlign w:val="center"/>
          </w:tcPr>
          <w:p w14:paraId="5A88939B">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组织机构管理</w:t>
            </w:r>
          </w:p>
        </w:tc>
        <w:tc>
          <w:tcPr>
            <w:tcW w:w="4478" w:type="dxa"/>
            <w:tcBorders>
              <w:top w:val="nil"/>
              <w:left w:val="nil"/>
              <w:bottom w:val="single" w:color="auto" w:sz="4" w:space="0"/>
              <w:right w:val="single" w:color="auto" w:sz="4" w:space="0"/>
            </w:tcBorders>
            <w:noWrap w:val="0"/>
            <w:vAlign w:val="center"/>
          </w:tcPr>
          <w:p w14:paraId="72E29AFB">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实现用户单位及其下属单位组织机构的管理。以机构树的形式直观查看一级单位及其下属单位组织。并实现对单位的信息进行搜索、修改及删除功能。</w:t>
            </w:r>
          </w:p>
        </w:tc>
      </w:tr>
      <w:tr w14:paraId="3FC78D66">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21AD0AF8">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8</w:t>
            </w:r>
          </w:p>
        </w:tc>
        <w:tc>
          <w:tcPr>
            <w:tcW w:w="1179" w:type="dxa"/>
            <w:vMerge w:val="continue"/>
            <w:tcBorders>
              <w:left w:val="single" w:color="auto" w:sz="4" w:space="0"/>
              <w:right w:val="single" w:color="auto" w:sz="4" w:space="0"/>
            </w:tcBorders>
            <w:noWrap w:val="0"/>
            <w:vAlign w:val="center"/>
          </w:tcPr>
          <w:p w14:paraId="0D5E9F32">
            <w:pPr>
              <w:rPr>
                <w:rFonts w:hint="eastAsia" w:ascii="宋体" w:hAnsi="宋体" w:eastAsia="宋体" w:cs="宋体"/>
                <w:b w:val="0"/>
                <w:bCs w:val="0"/>
                <w:color w:val="auto"/>
                <w:sz w:val="22"/>
                <w:szCs w:val="22"/>
                <w:highlight w:val="none"/>
              </w:rPr>
            </w:pPr>
          </w:p>
        </w:tc>
        <w:tc>
          <w:tcPr>
            <w:tcW w:w="1179" w:type="dxa"/>
            <w:vMerge w:val="continue"/>
            <w:tcBorders>
              <w:top w:val="nil"/>
              <w:left w:val="single" w:color="auto" w:sz="4" w:space="0"/>
              <w:bottom w:val="single" w:color="auto" w:sz="4" w:space="0"/>
              <w:right w:val="single" w:color="auto" w:sz="4" w:space="0"/>
            </w:tcBorders>
            <w:noWrap w:val="0"/>
            <w:vAlign w:val="center"/>
          </w:tcPr>
          <w:p w14:paraId="7731441B">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4DC216EE">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干部信息维护</w:t>
            </w:r>
          </w:p>
        </w:tc>
        <w:tc>
          <w:tcPr>
            <w:tcW w:w="4478" w:type="dxa"/>
            <w:tcBorders>
              <w:top w:val="nil"/>
              <w:left w:val="nil"/>
              <w:bottom w:val="single" w:color="auto" w:sz="4" w:space="0"/>
              <w:right w:val="single" w:color="auto" w:sz="4" w:space="0"/>
            </w:tcBorders>
            <w:noWrap w:val="0"/>
            <w:vAlign w:val="center"/>
          </w:tcPr>
          <w:p w14:paraId="4F5E1DBA">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干部信息维护支持对领导干部基础信息、职务、学历学位、考核、奖励、履历、家庭成员、培训、奖惩等信息的浏览和维护，能够实现对领导干部的非关键信息进行修改和保存。支持对关键信息的锁定，支持对信息项的逻辑校核与填写提示，支持对照片更新的填写提示，支持对人员信息维护的日志记录。系统支持以人员列表、干部任免审批表等不同的方式进行人员信息的展现。</w:t>
            </w:r>
          </w:p>
        </w:tc>
      </w:tr>
      <w:tr w14:paraId="06231433">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6F096A67">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9</w:t>
            </w:r>
          </w:p>
        </w:tc>
        <w:tc>
          <w:tcPr>
            <w:tcW w:w="1179" w:type="dxa"/>
            <w:vMerge w:val="continue"/>
            <w:tcBorders>
              <w:left w:val="single" w:color="auto" w:sz="4" w:space="0"/>
              <w:right w:val="single" w:color="auto" w:sz="4" w:space="0"/>
            </w:tcBorders>
            <w:noWrap w:val="0"/>
            <w:vAlign w:val="center"/>
          </w:tcPr>
          <w:p w14:paraId="7F9B8189">
            <w:pPr>
              <w:rPr>
                <w:rFonts w:hint="eastAsia" w:ascii="宋体" w:hAnsi="宋体" w:eastAsia="宋体" w:cs="宋体"/>
                <w:b w:val="0"/>
                <w:bCs w:val="0"/>
                <w:color w:val="auto"/>
                <w:sz w:val="22"/>
                <w:szCs w:val="22"/>
                <w:highlight w:val="none"/>
              </w:rPr>
            </w:pPr>
          </w:p>
        </w:tc>
        <w:tc>
          <w:tcPr>
            <w:tcW w:w="1179" w:type="dxa"/>
            <w:vMerge w:val="continue"/>
            <w:tcBorders>
              <w:top w:val="nil"/>
              <w:left w:val="single" w:color="auto" w:sz="4" w:space="0"/>
              <w:bottom w:val="single" w:color="auto" w:sz="4" w:space="0"/>
              <w:right w:val="single" w:color="auto" w:sz="4" w:space="0"/>
            </w:tcBorders>
            <w:noWrap w:val="0"/>
            <w:vAlign w:val="center"/>
          </w:tcPr>
          <w:p w14:paraId="6EC127A3">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3A15FA45">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干部信息浏览</w:t>
            </w:r>
          </w:p>
        </w:tc>
        <w:tc>
          <w:tcPr>
            <w:tcW w:w="4478" w:type="dxa"/>
            <w:tcBorders>
              <w:top w:val="nil"/>
              <w:left w:val="nil"/>
              <w:bottom w:val="single" w:color="auto" w:sz="4" w:space="0"/>
              <w:right w:val="single" w:color="auto" w:sz="4" w:space="0"/>
            </w:tcBorders>
            <w:noWrap w:val="0"/>
            <w:vAlign w:val="center"/>
          </w:tcPr>
          <w:p w14:paraId="1339E982">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干部信息浏览主要包括单位信息浏览、人员信息浏览等多种方式，实现从不同维度或角度对干部信息进行全面的浏览展示。</w:t>
            </w:r>
          </w:p>
        </w:tc>
      </w:tr>
      <w:tr w14:paraId="6F4B2E80">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2C553A7A">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10</w:t>
            </w:r>
          </w:p>
        </w:tc>
        <w:tc>
          <w:tcPr>
            <w:tcW w:w="1179" w:type="dxa"/>
            <w:vMerge w:val="continue"/>
            <w:tcBorders>
              <w:left w:val="single" w:color="auto" w:sz="4" w:space="0"/>
              <w:right w:val="single" w:color="auto" w:sz="4" w:space="0"/>
            </w:tcBorders>
            <w:noWrap w:val="0"/>
            <w:vAlign w:val="center"/>
          </w:tcPr>
          <w:p w14:paraId="72ADE328">
            <w:pPr>
              <w:rPr>
                <w:rFonts w:hint="eastAsia" w:ascii="宋体" w:hAnsi="宋体" w:eastAsia="宋体" w:cs="宋体"/>
                <w:b w:val="0"/>
                <w:bCs w:val="0"/>
                <w:color w:val="auto"/>
                <w:sz w:val="22"/>
                <w:szCs w:val="22"/>
                <w:highlight w:val="none"/>
              </w:rPr>
            </w:pPr>
          </w:p>
        </w:tc>
        <w:tc>
          <w:tcPr>
            <w:tcW w:w="1179" w:type="dxa"/>
            <w:vMerge w:val="continue"/>
            <w:tcBorders>
              <w:top w:val="nil"/>
              <w:left w:val="single" w:color="auto" w:sz="4" w:space="0"/>
              <w:bottom w:val="single" w:color="auto" w:sz="4" w:space="0"/>
              <w:right w:val="single" w:color="auto" w:sz="4" w:space="0"/>
            </w:tcBorders>
            <w:noWrap w:val="0"/>
            <w:vAlign w:val="center"/>
          </w:tcPr>
          <w:p w14:paraId="777478D8">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609C91B3">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干部信息审核</w:t>
            </w:r>
          </w:p>
        </w:tc>
        <w:tc>
          <w:tcPr>
            <w:tcW w:w="4478" w:type="dxa"/>
            <w:tcBorders>
              <w:top w:val="nil"/>
              <w:left w:val="nil"/>
              <w:bottom w:val="single" w:color="auto" w:sz="4" w:space="0"/>
              <w:right w:val="single" w:color="auto" w:sz="4" w:space="0"/>
            </w:tcBorders>
            <w:noWrap w:val="0"/>
            <w:vAlign w:val="center"/>
          </w:tcPr>
          <w:p w14:paraId="0DE02394">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干部信息审核主要包括干部信息校核和批量信息校核，实现对干部数据质量的管理，从逻辑关系、是否漏填、预警规则等方面进行审核，确保数据的真实性、合理性、准确性。</w:t>
            </w:r>
          </w:p>
        </w:tc>
      </w:tr>
      <w:tr w14:paraId="218F00CA">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6FED9E66">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11</w:t>
            </w:r>
          </w:p>
        </w:tc>
        <w:tc>
          <w:tcPr>
            <w:tcW w:w="1179" w:type="dxa"/>
            <w:vMerge w:val="continue"/>
            <w:tcBorders>
              <w:left w:val="single" w:color="auto" w:sz="4" w:space="0"/>
              <w:right w:val="single" w:color="auto" w:sz="4" w:space="0"/>
            </w:tcBorders>
            <w:noWrap w:val="0"/>
            <w:vAlign w:val="center"/>
          </w:tcPr>
          <w:p w14:paraId="610138A1">
            <w:pPr>
              <w:rPr>
                <w:rFonts w:hint="eastAsia" w:ascii="宋体" w:hAnsi="宋体" w:eastAsia="宋体" w:cs="宋体"/>
                <w:b w:val="0"/>
                <w:bCs w:val="0"/>
                <w:color w:val="auto"/>
                <w:sz w:val="22"/>
                <w:szCs w:val="22"/>
                <w:highlight w:val="none"/>
              </w:rPr>
            </w:pPr>
          </w:p>
        </w:tc>
        <w:tc>
          <w:tcPr>
            <w:tcW w:w="1179" w:type="dxa"/>
            <w:vMerge w:val="continue"/>
            <w:tcBorders>
              <w:top w:val="nil"/>
              <w:left w:val="single" w:color="auto" w:sz="4" w:space="0"/>
              <w:bottom w:val="single" w:color="auto" w:sz="4" w:space="0"/>
              <w:right w:val="single" w:color="auto" w:sz="4" w:space="0"/>
            </w:tcBorders>
            <w:noWrap w:val="0"/>
            <w:vAlign w:val="center"/>
          </w:tcPr>
          <w:p w14:paraId="39722493">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1F2C3637">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名册制作管理</w:t>
            </w:r>
          </w:p>
        </w:tc>
        <w:tc>
          <w:tcPr>
            <w:tcW w:w="4478" w:type="dxa"/>
            <w:tcBorders>
              <w:top w:val="nil"/>
              <w:left w:val="nil"/>
              <w:bottom w:val="single" w:color="auto" w:sz="4" w:space="0"/>
              <w:right w:val="single" w:color="auto" w:sz="4" w:space="0"/>
            </w:tcBorders>
            <w:noWrap w:val="0"/>
            <w:vAlign w:val="center"/>
          </w:tcPr>
          <w:p w14:paraId="7B9DD6A8">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系统支持在线编辑修改名册信息项，方便工作人员在输出名册前进行快速调整，确保呈报名册的准确性。主要包括标准名册、自定义名册、名册信息差异对比、名册输出及打印、历史名册管理等功能。</w:t>
            </w:r>
          </w:p>
        </w:tc>
      </w:tr>
      <w:tr w14:paraId="6EA3BE3D">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6DFB2242">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12</w:t>
            </w:r>
          </w:p>
        </w:tc>
        <w:tc>
          <w:tcPr>
            <w:tcW w:w="1179" w:type="dxa"/>
            <w:vMerge w:val="continue"/>
            <w:tcBorders>
              <w:left w:val="single" w:color="auto" w:sz="4" w:space="0"/>
              <w:right w:val="single" w:color="auto" w:sz="4" w:space="0"/>
            </w:tcBorders>
            <w:noWrap w:val="0"/>
            <w:vAlign w:val="center"/>
          </w:tcPr>
          <w:p w14:paraId="1A271FC7">
            <w:pPr>
              <w:rPr>
                <w:rFonts w:hint="eastAsia" w:ascii="宋体" w:hAnsi="宋体" w:eastAsia="宋体" w:cs="宋体"/>
                <w:b w:val="0"/>
                <w:bCs w:val="0"/>
                <w:color w:val="auto"/>
                <w:sz w:val="22"/>
                <w:szCs w:val="22"/>
                <w:highlight w:val="none"/>
              </w:rPr>
            </w:pPr>
          </w:p>
        </w:tc>
        <w:tc>
          <w:tcPr>
            <w:tcW w:w="1179" w:type="dxa"/>
            <w:vMerge w:val="continue"/>
            <w:tcBorders>
              <w:top w:val="nil"/>
              <w:left w:val="single" w:color="auto" w:sz="4" w:space="0"/>
              <w:bottom w:val="single" w:color="auto" w:sz="4" w:space="0"/>
              <w:right w:val="single" w:color="auto" w:sz="4" w:space="0"/>
            </w:tcBorders>
            <w:noWrap w:val="0"/>
            <w:vAlign w:val="center"/>
          </w:tcPr>
          <w:p w14:paraId="51EABD60">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3BD7BAC1">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干部信息输出</w:t>
            </w:r>
          </w:p>
        </w:tc>
        <w:tc>
          <w:tcPr>
            <w:tcW w:w="4478" w:type="dxa"/>
            <w:tcBorders>
              <w:top w:val="nil"/>
              <w:left w:val="nil"/>
              <w:bottom w:val="single" w:color="auto" w:sz="4" w:space="0"/>
              <w:right w:val="single" w:color="auto" w:sz="4" w:space="0"/>
            </w:tcBorders>
            <w:noWrap w:val="0"/>
            <w:vAlign w:val="center"/>
          </w:tcPr>
          <w:p w14:paraId="66973E99">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干部信息输出包括任免表编辑器文件输出、干部任免表输出、干部任免单输出、标准结构数据包输出。</w:t>
            </w:r>
          </w:p>
        </w:tc>
      </w:tr>
      <w:tr w14:paraId="76071D69">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32CE3124">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13</w:t>
            </w:r>
          </w:p>
        </w:tc>
        <w:tc>
          <w:tcPr>
            <w:tcW w:w="1179" w:type="dxa"/>
            <w:vMerge w:val="continue"/>
            <w:tcBorders>
              <w:left w:val="single" w:color="auto" w:sz="4" w:space="0"/>
              <w:right w:val="single" w:color="auto" w:sz="4" w:space="0"/>
            </w:tcBorders>
            <w:noWrap w:val="0"/>
            <w:vAlign w:val="center"/>
          </w:tcPr>
          <w:p w14:paraId="63EB77FB">
            <w:pPr>
              <w:rPr>
                <w:rFonts w:hint="eastAsia" w:ascii="宋体" w:hAnsi="宋体" w:eastAsia="宋体" w:cs="宋体"/>
                <w:b w:val="0"/>
                <w:bCs w:val="0"/>
                <w:color w:val="auto"/>
                <w:sz w:val="22"/>
                <w:szCs w:val="22"/>
                <w:highlight w:val="none"/>
              </w:rPr>
            </w:pPr>
          </w:p>
        </w:tc>
        <w:tc>
          <w:tcPr>
            <w:tcW w:w="1179" w:type="dxa"/>
            <w:vMerge w:val="continue"/>
            <w:tcBorders>
              <w:top w:val="nil"/>
              <w:left w:val="single" w:color="auto" w:sz="4" w:space="0"/>
              <w:bottom w:val="single" w:color="auto" w:sz="4" w:space="0"/>
              <w:right w:val="single" w:color="auto" w:sz="4" w:space="0"/>
            </w:tcBorders>
            <w:noWrap w:val="0"/>
            <w:vAlign w:val="center"/>
          </w:tcPr>
          <w:p w14:paraId="24710DD6">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2D593BB2">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资料管理</w:t>
            </w:r>
          </w:p>
        </w:tc>
        <w:tc>
          <w:tcPr>
            <w:tcW w:w="4478" w:type="dxa"/>
            <w:tcBorders>
              <w:top w:val="nil"/>
              <w:left w:val="nil"/>
              <w:bottom w:val="single" w:color="auto" w:sz="4" w:space="0"/>
              <w:right w:val="single" w:color="auto" w:sz="4" w:space="0"/>
            </w:tcBorders>
            <w:noWrap w:val="0"/>
            <w:vAlign w:val="center"/>
          </w:tcPr>
          <w:p w14:paraId="48A9B0C6">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资料管理主要包括单位资料管理和干部资料管理。实现日常工作对非结构化文件管理的需要。</w:t>
            </w:r>
          </w:p>
        </w:tc>
      </w:tr>
      <w:tr w14:paraId="6F05A93A">
        <w:tblPrEx>
          <w:tblCellMar>
            <w:top w:w="0" w:type="dxa"/>
            <w:left w:w="108" w:type="dxa"/>
            <w:bottom w:w="0" w:type="dxa"/>
            <w:right w:w="108" w:type="dxa"/>
          </w:tblCellMar>
        </w:tblPrEx>
        <w:trPr>
          <w:trHeight w:val="324" w:hRule="atLeast"/>
        </w:trPr>
        <w:tc>
          <w:tcPr>
            <w:tcW w:w="1171" w:type="dxa"/>
            <w:tcBorders>
              <w:top w:val="nil"/>
              <w:left w:val="single" w:color="auto" w:sz="4" w:space="0"/>
              <w:bottom w:val="single" w:color="auto" w:sz="4" w:space="0"/>
              <w:right w:val="single" w:color="auto" w:sz="4" w:space="0"/>
            </w:tcBorders>
            <w:noWrap/>
            <w:vAlign w:val="center"/>
          </w:tcPr>
          <w:p w14:paraId="7B658FD6">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14</w:t>
            </w:r>
          </w:p>
        </w:tc>
        <w:tc>
          <w:tcPr>
            <w:tcW w:w="1179" w:type="dxa"/>
            <w:vMerge w:val="continue"/>
            <w:tcBorders>
              <w:left w:val="single" w:color="auto" w:sz="4" w:space="0"/>
              <w:right w:val="single" w:color="auto" w:sz="4" w:space="0"/>
            </w:tcBorders>
            <w:noWrap w:val="0"/>
            <w:vAlign w:val="center"/>
          </w:tcPr>
          <w:p w14:paraId="6FF1572F">
            <w:pPr>
              <w:rPr>
                <w:rFonts w:hint="eastAsia" w:ascii="宋体" w:hAnsi="宋体" w:eastAsia="宋体" w:cs="宋体"/>
                <w:b w:val="0"/>
                <w:bCs w:val="0"/>
                <w:color w:val="auto"/>
                <w:sz w:val="22"/>
                <w:szCs w:val="22"/>
                <w:highlight w:val="none"/>
              </w:rPr>
            </w:pPr>
          </w:p>
        </w:tc>
        <w:tc>
          <w:tcPr>
            <w:tcW w:w="1179" w:type="dxa"/>
            <w:vMerge w:val="restart"/>
            <w:tcBorders>
              <w:top w:val="nil"/>
              <w:left w:val="single" w:color="auto" w:sz="4" w:space="0"/>
              <w:bottom w:val="single" w:color="auto" w:sz="4" w:space="0"/>
              <w:right w:val="single" w:color="auto" w:sz="4" w:space="0"/>
            </w:tcBorders>
            <w:noWrap w:val="0"/>
            <w:vAlign w:val="center"/>
          </w:tcPr>
          <w:p w14:paraId="6F1BA80B">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编制</w:t>
            </w:r>
            <w:r>
              <w:rPr>
                <w:rFonts w:hint="eastAsia" w:ascii="宋体" w:eastAsia="宋体" w:cs="宋体"/>
                <w:b w:val="0"/>
                <w:bCs w:val="0"/>
                <w:color w:val="auto"/>
                <w:sz w:val="22"/>
                <w:szCs w:val="22"/>
                <w:highlight w:val="none"/>
                <w:lang w:val="en-US" w:eastAsia="zh-CN"/>
              </w:rPr>
              <w:t>职数</w:t>
            </w:r>
            <w:r>
              <w:rPr>
                <w:rFonts w:hint="eastAsia" w:ascii="宋体" w:hAnsi="宋体" w:eastAsia="宋体" w:cs="宋体"/>
                <w:b w:val="0"/>
                <w:bCs w:val="0"/>
                <w:color w:val="auto"/>
                <w:sz w:val="22"/>
                <w:szCs w:val="22"/>
                <w:highlight w:val="none"/>
              </w:rPr>
              <w:t>管理</w:t>
            </w:r>
          </w:p>
        </w:tc>
        <w:tc>
          <w:tcPr>
            <w:tcW w:w="1413" w:type="dxa"/>
            <w:tcBorders>
              <w:top w:val="nil"/>
              <w:left w:val="single" w:color="auto" w:sz="4" w:space="0"/>
              <w:bottom w:val="single" w:color="auto" w:sz="4" w:space="0"/>
              <w:right w:val="single" w:color="auto" w:sz="4" w:space="0"/>
            </w:tcBorders>
            <w:noWrap w:val="0"/>
            <w:vAlign w:val="center"/>
          </w:tcPr>
          <w:p w14:paraId="4650A3A6">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编制职数管理</w:t>
            </w:r>
          </w:p>
        </w:tc>
        <w:tc>
          <w:tcPr>
            <w:tcW w:w="4478" w:type="dxa"/>
            <w:tcBorders>
              <w:top w:val="nil"/>
              <w:left w:val="single" w:color="auto" w:sz="4" w:space="0"/>
              <w:bottom w:val="single" w:color="auto" w:sz="4" w:space="0"/>
              <w:right w:val="single" w:color="auto" w:sz="4" w:space="0"/>
            </w:tcBorders>
            <w:noWrap w:val="0"/>
            <w:vAlign w:val="center"/>
          </w:tcPr>
          <w:p w14:paraId="445B6D80">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编制职数管支持采集单位领导职数应配信息以及维护职数对应的实配人员信息，实现维护浏览每个单位的编制信息、职数信息以及人员配备信息。</w:t>
            </w:r>
          </w:p>
        </w:tc>
      </w:tr>
      <w:tr w14:paraId="0B10AF71">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4214879D">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15</w:t>
            </w:r>
          </w:p>
        </w:tc>
        <w:tc>
          <w:tcPr>
            <w:tcW w:w="1179" w:type="dxa"/>
            <w:vMerge w:val="continue"/>
            <w:tcBorders>
              <w:left w:val="single" w:color="auto" w:sz="4" w:space="0"/>
              <w:right w:val="single" w:color="auto" w:sz="4" w:space="0"/>
            </w:tcBorders>
            <w:noWrap w:val="0"/>
            <w:vAlign w:val="center"/>
          </w:tcPr>
          <w:p w14:paraId="192839E4">
            <w:pPr>
              <w:rPr>
                <w:rFonts w:hint="eastAsia" w:ascii="宋体" w:hAnsi="宋体" w:eastAsia="宋体" w:cs="宋体"/>
                <w:b w:val="0"/>
                <w:bCs w:val="0"/>
                <w:color w:val="auto"/>
                <w:sz w:val="22"/>
                <w:szCs w:val="22"/>
                <w:highlight w:val="none"/>
              </w:rPr>
            </w:pPr>
          </w:p>
        </w:tc>
        <w:tc>
          <w:tcPr>
            <w:tcW w:w="1179" w:type="dxa"/>
            <w:vMerge w:val="continue"/>
            <w:tcBorders>
              <w:top w:val="nil"/>
              <w:left w:val="single" w:color="auto" w:sz="4" w:space="0"/>
              <w:bottom w:val="single" w:color="auto" w:sz="4" w:space="0"/>
              <w:right w:val="single" w:color="auto" w:sz="4" w:space="0"/>
            </w:tcBorders>
            <w:noWrap w:val="0"/>
            <w:vAlign w:val="center"/>
          </w:tcPr>
          <w:p w14:paraId="4B2688B3">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07423364">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职数统计管理</w:t>
            </w:r>
          </w:p>
        </w:tc>
        <w:tc>
          <w:tcPr>
            <w:tcW w:w="4478" w:type="dxa"/>
            <w:tcBorders>
              <w:top w:val="nil"/>
              <w:left w:val="nil"/>
              <w:bottom w:val="single" w:color="auto" w:sz="4" w:space="0"/>
              <w:right w:val="single" w:color="auto" w:sz="4" w:space="0"/>
            </w:tcBorders>
            <w:noWrap w:val="0"/>
            <w:vAlign w:val="center"/>
          </w:tcPr>
          <w:p w14:paraId="0295E914">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职数统计管理主要实现对全部单位的职数配备情况和超缺配情况进行统计输出。</w:t>
            </w:r>
          </w:p>
        </w:tc>
      </w:tr>
      <w:tr w14:paraId="00947543">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60B5A7D4">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16</w:t>
            </w:r>
          </w:p>
        </w:tc>
        <w:tc>
          <w:tcPr>
            <w:tcW w:w="1179" w:type="dxa"/>
            <w:vMerge w:val="continue"/>
            <w:tcBorders>
              <w:left w:val="single" w:color="auto" w:sz="4" w:space="0"/>
              <w:right w:val="single" w:color="auto" w:sz="4" w:space="0"/>
            </w:tcBorders>
            <w:noWrap w:val="0"/>
            <w:vAlign w:val="center"/>
          </w:tcPr>
          <w:p w14:paraId="620A5D02">
            <w:pPr>
              <w:rPr>
                <w:rFonts w:hint="eastAsia" w:ascii="宋体" w:hAnsi="宋体" w:eastAsia="宋体" w:cs="宋体"/>
                <w:b w:val="0"/>
                <w:bCs w:val="0"/>
                <w:color w:val="auto"/>
                <w:sz w:val="22"/>
                <w:szCs w:val="22"/>
                <w:highlight w:val="none"/>
              </w:rPr>
            </w:pPr>
          </w:p>
        </w:tc>
        <w:tc>
          <w:tcPr>
            <w:tcW w:w="1179" w:type="dxa"/>
            <w:vMerge w:val="restart"/>
            <w:tcBorders>
              <w:top w:val="nil"/>
              <w:left w:val="single" w:color="auto" w:sz="4" w:space="0"/>
              <w:bottom w:val="single" w:color="auto" w:sz="4" w:space="0"/>
              <w:right w:val="single" w:color="auto" w:sz="4" w:space="0"/>
            </w:tcBorders>
            <w:noWrap w:val="0"/>
            <w:vAlign w:val="center"/>
          </w:tcPr>
          <w:p w14:paraId="224BD70A">
            <w:pPr>
              <w:jc w:val="center"/>
              <w:rPr>
                <w:rFonts w:hint="eastAsia" w:ascii="宋体" w:hAnsi="宋体" w:eastAsia="宋体" w:cs="宋体"/>
                <w:b w:val="0"/>
                <w:bCs w:val="0"/>
                <w:color w:val="auto"/>
                <w:sz w:val="22"/>
                <w:szCs w:val="22"/>
                <w:highlight w:val="none"/>
              </w:rPr>
            </w:pPr>
            <w:r>
              <w:rPr>
                <w:rFonts w:hint="eastAsia" w:ascii="宋体" w:eastAsia="宋体" w:cs="宋体"/>
                <w:b w:val="0"/>
                <w:bCs w:val="0"/>
                <w:color w:val="auto"/>
                <w:sz w:val="22"/>
                <w:szCs w:val="22"/>
                <w:highlight w:val="none"/>
                <w:lang w:val="en-US" w:eastAsia="zh-CN"/>
              </w:rPr>
              <w:t>干部</w:t>
            </w:r>
            <w:r>
              <w:rPr>
                <w:rFonts w:hint="eastAsia" w:ascii="宋体" w:hAnsi="宋体" w:eastAsia="宋体" w:cs="宋体"/>
                <w:b w:val="0"/>
                <w:bCs w:val="0"/>
                <w:color w:val="auto"/>
                <w:sz w:val="22"/>
                <w:szCs w:val="22"/>
                <w:highlight w:val="none"/>
              </w:rPr>
              <w:t>教育培训</w:t>
            </w:r>
          </w:p>
        </w:tc>
        <w:tc>
          <w:tcPr>
            <w:tcW w:w="1413" w:type="dxa"/>
            <w:tcBorders>
              <w:top w:val="nil"/>
              <w:left w:val="nil"/>
              <w:bottom w:val="single" w:color="auto" w:sz="4" w:space="0"/>
              <w:right w:val="single" w:color="auto" w:sz="4" w:space="0"/>
            </w:tcBorders>
            <w:noWrap w:val="0"/>
            <w:vAlign w:val="center"/>
          </w:tcPr>
          <w:p w14:paraId="5E2622C7">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培训班管理</w:t>
            </w:r>
          </w:p>
        </w:tc>
        <w:tc>
          <w:tcPr>
            <w:tcW w:w="4478" w:type="dxa"/>
            <w:tcBorders>
              <w:top w:val="nil"/>
              <w:left w:val="nil"/>
              <w:bottom w:val="single" w:color="auto" w:sz="4" w:space="0"/>
              <w:right w:val="single" w:color="auto" w:sz="4" w:space="0"/>
            </w:tcBorders>
            <w:noWrap w:val="0"/>
            <w:vAlign w:val="center"/>
          </w:tcPr>
          <w:p w14:paraId="1FC23E3B">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支持对培训班的开展情况进行详细记录与查询。</w:t>
            </w:r>
          </w:p>
        </w:tc>
      </w:tr>
      <w:tr w14:paraId="41DB499F">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27F311DA">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17</w:t>
            </w:r>
          </w:p>
        </w:tc>
        <w:tc>
          <w:tcPr>
            <w:tcW w:w="1179" w:type="dxa"/>
            <w:vMerge w:val="continue"/>
            <w:tcBorders>
              <w:left w:val="single" w:color="auto" w:sz="4" w:space="0"/>
              <w:right w:val="single" w:color="auto" w:sz="4" w:space="0"/>
            </w:tcBorders>
            <w:noWrap w:val="0"/>
            <w:vAlign w:val="center"/>
          </w:tcPr>
          <w:p w14:paraId="765E0A6E">
            <w:pPr>
              <w:rPr>
                <w:rFonts w:hint="eastAsia" w:ascii="宋体" w:hAnsi="宋体" w:eastAsia="宋体" w:cs="宋体"/>
                <w:b w:val="0"/>
                <w:bCs w:val="0"/>
                <w:color w:val="auto"/>
                <w:sz w:val="22"/>
                <w:szCs w:val="22"/>
                <w:highlight w:val="none"/>
              </w:rPr>
            </w:pPr>
          </w:p>
        </w:tc>
        <w:tc>
          <w:tcPr>
            <w:tcW w:w="1179" w:type="dxa"/>
            <w:vMerge w:val="continue"/>
            <w:tcBorders>
              <w:top w:val="nil"/>
              <w:left w:val="single" w:color="auto" w:sz="4" w:space="0"/>
              <w:bottom w:val="single" w:color="auto" w:sz="4" w:space="0"/>
              <w:right w:val="single" w:color="auto" w:sz="4" w:space="0"/>
            </w:tcBorders>
            <w:noWrap w:val="0"/>
            <w:vAlign w:val="center"/>
          </w:tcPr>
          <w:p w14:paraId="19E0AD28">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7743769B">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培训人员管理</w:t>
            </w:r>
          </w:p>
        </w:tc>
        <w:tc>
          <w:tcPr>
            <w:tcW w:w="4478" w:type="dxa"/>
            <w:tcBorders>
              <w:top w:val="nil"/>
              <w:left w:val="nil"/>
              <w:bottom w:val="single" w:color="auto" w:sz="4" w:space="0"/>
              <w:right w:val="single" w:color="auto" w:sz="4" w:space="0"/>
            </w:tcBorders>
            <w:noWrap w:val="0"/>
            <w:vAlign w:val="center"/>
          </w:tcPr>
          <w:p w14:paraId="28ACCC48">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采集人员培训情况，包括培训学时、培训班情况。在添加的培训班后，可在培训班内添加培训班人员，实现对培训班人员的添加、编辑、删除、查询功能。</w:t>
            </w:r>
          </w:p>
        </w:tc>
      </w:tr>
      <w:tr w14:paraId="64B40F30">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585BBDBB">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18</w:t>
            </w:r>
          </w:p>
        </w:tc>
        <w:tc>
          <w:tcPr>
            <w:tcW w:w="1179" w:type="dxa"/>
            <w:vMerge w:val="continue"/>
            <w:tcBorders>
              <w:left w:val="single" w:color="auto" w:sz="4" w:space="0"/>
              <w:right w:val="single" w:color="auto" w:sz="4" w:space="0"/>
            </w:tcBorders>
            <w:noWrap w:val="0"/>
            <w:vAlign w:val="center"/>
          </w:tcPr>
          <w:p w14:paraId="5D36ABC2">
            <w:pPr>
              <w:rPr>
                <w:rFonts w:hint="eastAsia" w:ascii="宋体" w:hAnsi="宋体" w:eastAsia="宋体" w:cs="宋体"/>
                <w:b w:val="0"/>
                <w:bCs w:val="0"/>
                <w:color w:val="auto"/>
                <w:sz w:val="22"/>
                <w:szCs w:val="22"/>
                <w:highlight w:val="none"/>
              </w:rPr>
            </w:pPr>
          </w:p>
        </w:tc>
        <w:tc>
          <w:tcPr>
            <w:tcW w:w="1179" w:type="dxa"/>
            <w:vMerge w:val="continue"/>
            <w:tcBorders>
              <w:top w:val="nil"/>
              <w:left w:val="single" w:color="auto" w:sz="4" w:space="0"/>
              <w:bottom w:val="single" w:color="auto" w:sz="4" w:space="0"/>
              <w:right w:val="single" w:color="auto" w:sz="4" w:space="0"/>
            </w:tcBorders>
            <w:noWrap w:val="0"/>
            <w:vAlign w:val="center"/>
          </w:tcPr>
          <w:p w14:paraId="058BE7C1">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6D33BD4A">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信息查询</w:t>
            </w:r>
          </w:p>
        </w:tc>
        <w:tc>
          <w:tcPr>
            <w:tcW w:w="4478" w:type="dxa"/>
            <w:tcBorders>
              <w:top w:val="nil"/>
              <w:left w:val="nil"/>
              <w:bottom w:val="single" w:color="auto" w:sz="4" w:space="0"/>
              <w:right w:val="single" w:color="auto" w:sz="4" w:space="0"/>
            </w:tcBorders>
            <w:noWrap w:val="0"/>
            <w:vAlign w:val="center"/>
          </w:tcPr>
          <w:p w14:paraId="0F98F461">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系统支持按照组合查询</w:t>
            </w:r>
            <w:r>
              <w:rPr>
                <w:rFonts w:hint="eastAsia" w:ascii="宋体" w:eastAsia="宋体" w:cs="宋体"/>
                <w:b w:val="0"/>
                <w:bCs w:val="0"/>
                <w:color w:val="auto"/>
                <w:sz w:val="22"/>
                <w:szCs w:val="22"/>
                <w:highlight w:val="none"/>
                <w:lang w:eastAsia="zh-CN"/>
              </w:rPr>
              <w:t>模</w:t>
            </w:r>
            <w:r>
              <w:rPr>
                <w:rFonts w:hint="eastAsia" w:ascii="宋体" w:eastAsia="宋体" w:cs="宋体"/>
                <w:b w:val="0"/>
                <w:bCs w:val="0"/>
                <w:color w:val="auto"/>
                <w:sz w:val="22"/>
                <w:szCs w:val="22"/>
                <w:highlight w:val="none"/>
                <w:lang w:val="en-US" w:eastAsia="zh-CN"/>
              </w:rPr>
              <w:t>版</w:t>
            </w:r>
            <w:r>
              <w:rPr>
                <w:rFonts w:hint="eastAsia" w:ascii="宋体" w:hAnsi="宋体" w:eastAsia="宋体" w:cs="宋体"/>
                <w:b w:val="0"/>
                <w:bCs w:val="0"/>
                <w:color w:val="auto"/>
                <w:sz w:val="22"/>
                <w:szCs w:val="22"/>
                <w:highlight w:val="none"/>
              </w:rPr>
              <w:t>实现对参加培训班人员信息进行查询。查询模板包括参加培训日期、培训类别、主办单位、培训离岗状态、政治面貌等。支持在线输出查询结果。</w:t>
            </w:r>
          </w:p>
        </w:tc>
      </w:tr>
      <w:tr w14:paraId="0C39DE5C">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140A70F9">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19</w:t>
            </w:r>
          </w:p>
        </w:tc>
        <w:tc>
          <w:tcPr>
            <w:tcW w:w="1179" w:type="dxa"/>
            <w:vMerge w:val="continue"/>
            <w:tcBorders>
              <w:left w:val="single" w:color="auto" w:sz="4" w:space="0"/>
              <w:right w:val="single" w:color="auto" w:sz="4" w:space="0"/>
            </w:tcBorders>
            <w:noWrap w:val="0"/>
            <w:vAlign w:val="center"/>
          </w:tcPr>
          <w:p w14:paraId="1A1088C7">
            <w:pPr>
              <w:rPr>
                <w:rFonts w:hint="eastAsia" w:ascii="宋体" w:hAnsi="宋体" w:eastAsia="宋体" w:cs="宋体"/>
                <w:b w:val="0"/>
                <w:bCs w:val="0"/>
                <w:color w:val="auto"/>
                <w:sz w:val="22"/>
                <w:szCs w:val="22"/>
                <w:highlight w:val="none"/>
              </w:rPr>
            </w:pPr>
          </w:p>
        </w:tc>
        <w:tc>
          <w:tcPr>
            <w:tcW w:w="1179" w:type="dxa"/>
            <w:vMerge w:val="continue"/>
            <w:tcBorders>
              <w:top w:val="nil"/>
              <w:left w:val="single" w:color="auto" w:sz="4" w:space="0"/>
              <w:bottom w:val="single" w:color="auto" w:sz="4" w:space="0"/>
              <w:right w:val="single" w:color="auto" w:sz="4" w:space="0"/>
            </w:tcBorders>
            <w:noWrap w:val="0"/>
            <w:vAlign w:val="center"/>
          </w:tcPr>
          <w:p w14:paraId="6383705B">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647610E9">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批量导入</w:t>
            </w:r>
          </w:p>
        </w:tc>
        <w:tc>
          <w:tcPr>
            <w:tcW w:w="4478" w:type="dxa"/>
            <w:tcBorders>
              <w:top w:val="nil"/>
              <w:left w:val="nil"/>
              <w:bottom w:val="single" w:color="auto" w:sz="4" w:space="0"/>
              <w:right w:val="single" w:color="auto" w:sz="4" w:space="0"/>
            </w:tcBorders>
            <w:noWrap w:val="0"/>
            <w:vAlign w:val="center"/>
          </w:tcPr>
          <w:p w14:paraId="4265753A">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支持相关部门对培训信息进行批量导入和维护，并能够对维护结果信息进行查看浏览。支持对个人培训信息进行详细内容的查看。</w:t>
            </w:r>
          </w:p>
        </w:tc>
      </w:tr>
      <w:tr w14:paraId="21AE0F99">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021AB5AE">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20</w:t>
            </w:r>
          </w:p>
        </w:tc>
        <w:tc>
          <w:tcPr>
            <w:tcW w:w="1179" w:type="dxa"/>
            <w:vMerge w:val="continue"/>
            <w:tcBorders>
              <w:left w:val="single" w:color="auto" w:sz="4" w:space="0"/>
              <w:right w:val="single" w:color="auto" w:sz="4" w:space="0"/>
            </w:tcBorders>
            <w:noWrap w:val="0"/>
            <w:vAlign w:val="center"/>
          </w:tcPr>
          <w:p w14:paraId="204734D8">
            <w:pPr>
              <w:rPr>
                <w:rFonts w:hint="eastAsia" w:ascii="宋体" w:hAnsi="宋体" w:eastAsia="宋体" w:cs="宋体"/>
                <w:b w:val="0"/>
                <w:bCs w:val="0"/>
                <w:color w:val="auto"/>
                <w:sz w:val="22"/>
                <w:szCs w:val="22"/>
                <w:highlight w:val="none"/>
              </w:rPr>
            </w:pPr>
          </w:p>
        </w:tc>
        <w:tc>
          <w:tcPr>
            <w:tcW w:w="1179" w:type="dxa"/>
            <w:vMerge w:val="continue"/>
            <w:tcBorders>
              <w:top w:val="nil"/>
              <w:left w:val="single" w:color="auto" w:sz="4" w:space="0"/>
              <w:bottom w:val="single" w:color="auto" w:sz="4" w:space="0"/>
              <w:right w:val="single" w:color="auto" w:sz="4" w:space="0"/>
            </w:tcBorders>
            <w:noWrap w:val="0"/>
            <w:vAlign w:val="center"/>
          </w:tcPr>
          <w:p w14:paraId="069A83A5">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51135841">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单位培训分析</w:t>
            </w:r>
          </w:p>
        </w:tc>
        <w:tc>
          <w:tcPr>
            <w:tcW w:w="4478" w:type="dxa"/>
            <w:tcBorders>
              <w:top w:val="nil"/>
              <w:left w:val="nil"/>
              <w:bottom w:val="single" w:color="auto" w:sz="4" w:space="0"/>
              <w:right w:val="single" w:color="auto" w:sz="4" w:space="0"/>
            </w:tcBorders>
            <w:noWrap w:val="0"/>
            <w:vAlign w:val="center"/>
          </w:tcPr>
          <w:p w14:paraId="4E6151D1">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系统支持对本年培训情况进行统计、分析、预警，统计包括本年应参加的干部人数、实际参加的干部人数；预警包括近5年未培训人员情况，支持按每年进行统计，以及按每个单位参训情况比例进行展示等。</w:t>
            </w:r>
          </w:p>
        </w:tc>
      </w:tr>
      <w:tr w14:paraId="7BC824A7">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09AF863F">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21</w:t>
            </w:r>
          </w:p>
        </w:tc>
        <w:tc>
          <w:tcPr>
            <w:tcW w:w="1179" w:type="dxa"/>
            <w:vMerge w:val="continue"/>
            <w:tcBorders>
              <w:left w:val="single" w:color="auto" w:sz="4" w:space="0"/>
              <w:right w:val="single" w:color="auto" w:sz="4" w:space="0"/>
            </w:tcBorders>
            <w:noWrap w:val="0"/>
            <w:vAlign w:val="center"/>
          </w:tcPr>
          <w:p w14:paraId="743C6F9F">
            <w:pPr>
              <w:rPr>
                <w:rFonts w:hint="eastAsia" w:ascii="宋体" w:hAnsi="宋体" w:eastAsia="宋体" w:cs="宋体"/>
                <w:b w:val="0"/>
                <w:bCs w:val="0"/>
                <w:color w:val="auto"/>
                <w:sz w:val="22"/>
                <w:szCs w:val="22"/>
                <w:highlight w:val="none"/>
              </w:rPr>
            </w:pPr>
          </w:p>
        </w:tc>
        <w:tc>
          <w:tcPr>
            <w:tcW w:w="1179" w:type="dxa"/>
            <w:vMerge w:val="restart"/>
            <w:tcBorders>
              <w:top w:val="nil"/>
              <w:left w:val="single" w:color="auto" w:sz="4" w:space="0"/>
              <w:bottom w:val="single" w:color="000000" w:sz="4" w:space="0"/>
              <w:right w:val="single" w:color="auto" w:sz="4" w:space="0"/>
            </w:tcBorders>
            <w:noWrap w:val="0"/>
            <w:vAlign w:val="center"/>
          </w:tcPr>
          <w:p w14:paraId="1B6BBF02">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出国</w:t>
            </w:r>
            <w:r>
              <w:rPr>
                <w:rFonts w:hint="eastAsia" w:asci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境</w:t>
            </w:r>
            <w:r>
              <w:rPr>
                <w:rFonts w:hint="eastAsia" w:asci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管理</w:t>
            </w:r>
          </w:p>
        </w:tc>
        <w:tc>
          <w:tcPr>
            <w:tcW w:w="1413" w:type="dxa"/>
            <w:tcBorders>
              <w:top w:val="nil"/>
              <w:left w:val="nil"/>
              <w:bottom w:val="single" w:color="auto" w:sz="4" w:space="0"/>
              <w:right w:val="single" w:color="auto" w:sz="4" w:space="0"/>
            </w:tcBorders>
            <w:noWrap w:val="0"/>
            <w:vAlign w:val="center"/>
          </w:tcPr>
          <w:p w14:paraId="5DD1E384">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因私出国</w:t>
            </w:r>
            <w:r>
              <w:rPr>
                <w:rFonts w:hint="eastAsia" w:asci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境</w:t>
            </w:r>
            <w:r>
              <w:rPr>
                <w:rFonts w:hint="eastAsia" w:asci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管理</w:t>
            </w:r>
          </w:p>
        </w:tc>
        <w:tc>
          <w:tcPr>
            <w:tcW w:w="4478" w:type="dxa"/>
            <w:tcBorders>
              <w:top w:val="nil"/>
              <w:left w:val="nil"/>
              <w:bottom w:val="single" w:color="auto" w:sz="4" w:space="0"/>
              <w:right w:val="single" w:color="auto" w:sz="4" w:space="0"/>
            </w:tcBorders>
            <w:noWrap w:val="0"/>
            <w:vAlign w:val="center"/>
          </w:tcPr>
          <w:p w14:paraId="407EECA2">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系统支持因私出国（境）人员审批表的备案，包含人员基本信息，如申请人姓名、申请人所在部门、申请人代号、申请人婚姻状况、婚姻状况变动时间、参加工作时间、申请人职务等内容，申请人持有证件的类别、证件号码、证件及签注有效期、签注有效次数信息、证件状态。同时支持审批表的下载、导出和打印。</w:t>
            </w:r>
          </w:p>
        </w:tc>
      </w:tr>
      <w:tr w14:paraId="55BC79BF">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76F90B0F">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22</w:t>
            </w:r>
          </w:p>
        </w:tc>
        <w:tc>
          <w:tcPr>
            <w:tcW w:w="1179" w:type="dxa"/>
            <w:vMerge w:val="continue"/>
            <w:tcBorders>
              <w:left w:val="single" w:color="auto" w:sz="4" w:space="0"/>
              <w:right w:val="single" w:color="auto" w:sz="4" w:space="0"/>
            </w:tcBorders>
            <w:noWrap w:val="0"/>
            <w:vAlign w:val="center"/>
          </w:tcPr>
          <w:p w14:paraId="03F318A9">
            <w:pPr>
              <w:rPr>
                <w:rFonts w:hint="eastAsia" w:ascii="宋体" w:hAnsi="宋体" w:eastAsia="宋体" w:cs="宋体"/>
                <w:b w:val="0"/>
                <w:bCs w:val="0"/>
                <w:color w:val="auto"/>
                <w:sz w:val="22"/>
                <w:szCs w:val="22"/>
                <w:highlight w:val="none"/>
              </w:rPr>
            </w:pPr>
          </w:p>
        </w:tc>
        <w:tc>
          <w:tcPr>
            <w:tcW w:w="1179" w:type="dxa"/>
            <w:vMerge w:val="continue"/>
            <w:tcBorders>
              <w:top w:val="nil"/>
              <w:left w:val="single" w:color="auto" w:sz="4" w:space="0"/>
              <w:bottom w:val="single" w:color="000000" w:sz="4" w:space="0"/>
              <w:right w:val="single" w:color="auto" w:sz="4" w:space="0"/>
            </w:tcBorders>
            <w:noWrap w:val="0"/>
            <w:vAlign w:val="center"/>
          </w:tcPr>
          <w:p w14:paraId="014D6F82">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3BAD6991">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因公出国</w:t>
            </w:r>
            <w:r>
              <w:rPr>
                <w:rFonts w:hint="eastAsia" w:asci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境</w:t>
            </w:r>
            <w:r>
              <w:rPr>
                <w:rFonts w:hint="eastAsia" w:asci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管理</w:t>
            </w:r>
          </w:p>
        </w:tc>
        <w:tc>
          <w:tcPr>
            <w:tcW w:w="4478" w:type="dxa"/>
            <w:tcBorders>
              <w:top w:val="nil"/>
              <w:left w:val="nil"/>
              <w:bottom w:val="single" w:color="auto" w:sz="4" w:space="0"/>
              <w:right w:val="single" w:color="auto" w:sz="4" w:space="0"/>
            </w:tcBorders>
            <w:noWrap w:val="0"/>
            <w:vAlign w:val="center"/>
          </w:tcPr>
          <w:p w14:paraId="778CF6B8">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系统支持对干部因公出国信息进行备案，选择人员进入本批因公出国境团中，维护相关出国境信息，支持上传相关扫描附件，完成因公出国境备案。</w:t>
            </w:r>
          </w:p>
        </w:tc>
      </w:tr>
      <w:tr w14:paraId="27409887">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63DEDD74">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23</w:t>
            </w:r>
          </w:p>
        </w:tc>
        <w:tc>
          <w:tcPr>
            <w:tcW w:w="1179" w:type="dxa"/>
            <w:vMerge w:val="continue"/>
            <w:tcBorders>
              <w:left w:val="single" w:color="auto" w:sz="4" w:space="0"/>
              <w:right w:val="single" w:color="auto" w:sz="4" w:space="0"/>
            </w:tcBorders>
            <w:noWrap w:val="0"/>
            <w:vAlign w:val="center"/>
          </w:tcPr>
          <w:p w14:paraId="3E66A020">
            <w:pPr>
              <w:rPr>
                <w:rFonts w:hint="eastAsia" w:ascii="宋体" w:hAnsi="宋体" w:eastAsia="宋体" w:cs="宋体"/>
                <w:b w:val="0"/>
                <w:bCs w:val="0"/>
                <w:color w:val="auto"/>
                <w:sz w:val="22"/>
                <w:szCs w:val="22"/>
                <w:highlight w:val="none"/>
              </w:rPr>
            </w:pPr>
          </w:p>
        </w:tc>
        <w:tc>
          <w:tcPr>
            <w:tcW w:w="1179" w:type="dxa"/>
            <w:vMerge w:val="continue"/>
            <w:tcBorders>
              <w:top w:val="nil"/>
              <w:left w:val="single" w:color="auto" w:sz="4" w:space="0"/>
              <w:bottom w:val="single" w:color="000000" w:sz="4" w:space="0"/>
              <w:right w:val="single" w:color="auto" w:sz="4" w:space="0"/>
            </w:tcBorders>
            <w:noWrap w:val="0"/>
            <w:vAlign w:val="center"/>
          </w:tcPr>
          <w:p w14:paraId="4E70CC39">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41EF2372">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证照管理</w:t>
            </w:r>
          </w:p>
        </w:tc>
        <w:tc>
          <w:tcPr>
            <w:tcW w:w="4478" w:type="dxa"/>
            <w:tcBorders>
              <w:top w:val="nil"/>
              <w:left w:val="nil"/>
              <w:bottom w:val="single" w:color="auto" w:sz="4" w:space="0"/>
              <w:right w:val="single" w:color="auto" w:sz="4" w:space="0"/>
            </w:tcBorders>
            <w:noWrap w:val="0"/>
            <w:vAlign w:val="center"/>
          </w:tcPr>
          <w:p w14:paraId="3E0E93DC">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干部证照管理包括证照信息登记浏览、出入库登记、证件查询</w:t>
            </w:r>
            <w:r>
              <w:rPr>
                <w:rFonts w:hint="eastAsia" w:ascii="宋体" w:eastAsia="宋体" w:cs="宋体"/>
                <w:b w:val="0"/>
                <w:bCs w:val="0"/>
                <w:color w:val="auto"/>
                <w:sz w:val="22"/>
                <w:szCs w:val="22"/>
                <w:highlight w:val="none"/>
                <w:lang w:eastAsia="zh-CN"/>
              </w:rPr>
              <w:t>、</w:t>
            </w:r>
            <w:r>
              <w:rPr>
                <w:rFonts w:hint="eastAsia" w:ascii="宋体" w:eastAsia="宋体" w:cs="宋体"/>
                <w:b w:val="0"/>
                <w:bCs w:val="0"/>
                <w:color w:val="auto"/>
                <w:sz w:val="22"/>
                <w:szCs w:val="22"/>
                <w:highlight w:val="none"/>
                <w:lang w:val="en-US" w:eastAsia="zh-CN"/>
              </w:rPr>
              <w:t>证件统计、数据导入导出、证件过期提醒</w:t>
            </w:r>
            <w:r>
              <w:rPr>
                <w:rFonts w:hint="eastAsia" w:ascii="宋体" w:hAnsi="宋体" w:eastAsia="宋体" w:cs="宋体"/>
                <w:b w:val="0"/>
                <w:bCs w:val="0"/>
                <w:color w:val="auto"/>
                <w:sz w:val="22"/>
                <w:szCs w:val="22"/>
                <w:highlight w:val="none"/>
              </w:rPr>
              <w:t>等功能。</w:t>
            </w:r>
          </w:p>
        </w:tc>
      </w:tr>
      <w:tr w14:paraId="1F06D1B5">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2DE4680A">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24</w:t>
            </w:r>
          </w:p>
        </w:tc>
        <w:tc>
          <w:tcPr>
            <w:tcW w:w="1179" w:type="dxa"/>
            <w:vMerge w:val="continue"/>
            <w:tcBorders>
              <w:left w:val="single" w:color="auto" w:sz="4" w:space="0"/>
              <w:right w:val="single" w:color="auto" w:sz="4" w:space="0"/>
            </w:tcBorders>
            <w:noWrap w:val="0"/>
            <w:vAlign w:val="center"/>
          </w:tcPr>
          <w:p w14:paraId="1E2A2158">
            <w:pPr>
              <w:rPr>
                <w:rFonts w:hint="eastAsia" w:ascii="宋体" w:hAnsi="宋体" w:eastAsia="宋体" w:cs="宋体"/>
                <w:b w:val="0"/>
                <w:bCs w:val="0"/>
                <w:color w:val="auto"/>
                <w:sz w:val="22"/>
                <w:szCs w:val="22"/>
                <w:highlight w:val="none"/>
              </w:rPr>
            </w:pPr>
          </w:p>
        </w:tc>
        <w:tc>
          <w:tcPr>
            <w:tcW w:w="1179" w:type="dxa"/>
            <w:vMerge w:val="restart"/>
            <w:tcBorders>
              <w:top w:val="nil"/>
              <w:left w:val="single" w:color="auto" w:sz="4" w:space="0"/>
              <w:bottom w:val="single" w:color="000000" w:sz="4" w:space="0"/>
              <w:right w:val="single" w:color="auto" w:sz="4" w:space="0"/>
            </w:tcBorders>
            <w:noWrap w:val="0"/>
            <w:vAlign w:val="center"/>
          </w:tcPr>
          <w:p w14:paraId="274D581E">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查询分析</w:t>
            </w:r>
          </w:p>
        </w:tc>
        <w:tc>
          <w:tcPr>
            <w:tcW w:w="1413" w:type="dxa"/>
            <w:tcBorders>
              <w:top w:val="nil"/>
              <w:left w:val="nil"/>
              <w:bottom w:val="single" w:color="auto" w:sz="4" w:space="0"/>
              <w:right w:val="single" w:color="auto" w:sz="4" w:space="0"/>
            </w:tcBorders>
            <w:noWrap w:val="0"/>
            <w:vAlign w:val="center"/>
          </w:tcPr>
          <w:p w14:paraId="521DDEF8">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干部信息查询</w:t>
            </w:r>
          </w:p>
        </w:tc>
        <w:tc>
          <w:tcPr>
            <w:tcW w:w="4478" w:type="dxa"/>
            <w:tcBorders>
              <w:top w:val="nil"/>
              <w:left w:val="nil"/>
              <w:bottom w:val="single" w:color="auto" w:sz="4" w:space="0"/>
              <w:right w:val="single" w:color="auto" w:sz="4" w:space="0"/>
            </w:tcBorders>
            <w:noWrap w:val="0"/>
            <w:vAlign w:val="center"/>
          </w:tcPr>
          <w:p w14:paraId="2F9A6F76">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干部信息查询支持固定查询、组合查询、自定义查询、关键字查询等查询方式，支持查询结果输出功能。</w:t>
            </w:r>
          </w:p>
        </w:tc>
      </w:tr>
      <w:tr w14:paraId="12E30F0C">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72C1129E">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25</w:t>
            </w:r>
          </w:p>
        </w:tc>
        <w:tc>
          <w:tcPr>
            <w:tcW w:w="1179" w:type="dxa"/>
            <w:vMerge w:val="continue"/>
            <w:tcBorders>
              <w:left w:val="single" w:color="auto" w:sz="4" w:space="0"/>
              <w:right w:val="single" w:color="auto" w:sz="4" w:space="0"/>
            </w:tcBorders>
            <w:noWrap w:val="0"/>
            <w:vAlign w:val="center"/>
          </w:tcPr>
          <w:p w14:paraId="585C55D2">
            <w:pPr>
              <w:rPr>
                <w:rFonts w:hint="eastAsia" w:ascii="宋体" w:hAnsi="宋体" w:eastAsia="宋体" w:cs="宋体"/>
                <w:b w:val="0"/>
                <w:bCs w:val="0"/>
                <w:color w:val="auto"/>
                <w:sz w:val="22"/>
                <w:szCs w:val="22"/>
                <w:highlight w:val="none"/>
              </w:rPr>
            </w:pPr>
          </w:p>
        </w:tc>
        <w:tc>
          <w:tcPr>
            <w:tcW w:w="1179" w:type="dxa"/>
            <w:vMerge w:val="continue"/>
            <w:tcBorders>
              <w:top w:val="nil"/>
              <w:left w:val="single" w:color="auto" w:sz="4" w:space="0"/>
              <w:bottom w:val="single" w:color="000000" w:sz="4" w:space="0"/>
              <w:right w:val="single" w:color="auto" w:sz="4" w:space="0"/>
            </w:tcBorders>
            <w:noWrap w:val="0"/>
            <w:vAlign w:val="center"/>
          </w:tcPr>
          <w:p w14:paraId="4D9DC379">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5C7CD1AE">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干部统计分析</w:t>
            </w:r>
          </w:p>
        </w:tc>
        <w:tc>
          <w:tcPr>
            <w:tcW w:w="4478" w:type="dxa"/>
            <w:tcBorders>
              <w:top w:val="nil"/>
              <w:left w:val="nil"/>
              <w:bottom w:val="single" w:color="auto" w:sz="4" w:space="0"/>
              <w:right w:val="single" w:color="auto" w:sz="4" w:space="0"/>
            </w:tcBorders>
            <w:noWrap w:val="0"/>
            <w:vAlign w:val="center"/>
          </w:tcPr>
          <w:p w14:paraId="42DB1503">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干部统计分析主要包括：干部总体情况统计分析、各业务处室统计分析、干部信息查询统计分析三类。满足领导、归口单位或部门对干部整体情况了解需要。</w:t>
            </w:r>
          </w:p>
        </w:tc>
      </w:tr>
      <w:tr w14:paraId="0904282D">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478DB0B5">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26</w:t>
            </w:r>
          </w:p>
        </w:tc>
        <w:tc>
          <w:tcPr>
            <w:tcW w:w="1179" w:type="dxa"/>
            <w:vMerge w:val="continue"/>
            <w:tcBorders>
              <w:left w:val="single" w:color="auto" w:sz="4" w:space="0"/>
              <w:right w:val="single" w:color="auto" w:sz="4" w:space="0"/>
            </w:tcBorders>
            <w:noWrap w:val="0"/>
            <w:vAlign w:val="center"/>
          </w:tcPr>
          <w:p w14:paraId="3F3CAD4B">
            <w:pPr>
              <w:rPr>
                <w:rFonts w:hint="eastAsia" w:ascii="宋体" w:hAnsi="宋体" w:eastAsia="宋体" w:cs="宋体"/>
                <w:b w:val="0"/>
                <w:bCs w:val="0"/>
                <w:color w:val="auto"/>
                <w:sz w:val="22"/>
                <w:szCs w:val="22"/>
                <w:highlight w:val="none"/>
              </w:rPr>
            </w:pPr>
          </w:p>
        </w:tc>
        <w:tc>
          <w:tcPr>
            <w:tcW w:w="1179" w:type="dxa"/>
            <w:vMerge w:val="restart"/>
            <w:tcBorders>
              <w:top w:val="nil"/>
              <w:left w:val="single" w:color="auto" w:sz="4" w:space="0"/>
              <w:bottom w:val="single" w:color="auto" w:sz="4" w:space="0"/>
              <w:right w:val="single" w:color="auto" w:sz="4" w:space="0"/>
            </w:tcBorders>
            <w:noWrap w:val="0"/>
            <w:vAlign w:val="center"/>
          </w:tcPr>
          <w:p w14:paraId="6A3A19B4">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系统对接</w:t>
            </w:r>
          </w:p>
        </w:tc>
        <w:tc>
          <w:tcPr>
            <w:tcW w:w="1413" w:type="dxa"/>
            <w:tcBorders>
              <w:top w:val="nil"/>
              <w:left w:val="single" w:color="auto" w:sz="4" w:space="0"/>
              <w:bottom w:val="single" w:color="auto" w:sz="4" w:space="0"/>
              <w:right w:val="single" w:color="auto" w:sz="4" w:space="0"/>
            </w:tcBorders>
            <w:noWrap w:val="0"/>
            <w:vAlign w:val="center"/>
          </w:tcPr>
          <w:p w14:paraId="1C40C85F">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与干部任免表编辑器文件数据交换</w:t>
            </w:r>
          </w:p>
        </w:tc>
        <w:tc>
          <w:tcPr>
            <w:tcW w:w="4478" w:type="dxa"/>
            <w:tcBorders>
              <w:top w:val="nil"/>
              <w:left w:val="single" w:color="auto" w:sz="4" w:space="0"/>
              <w:bottom w:val="single" w:color="auto" w:sz="4" w:space="0"/>
              <w:right w:val="single" w:color="auto" w:sz="4" w:space="0"/>
            </w:tcBorders>
            <w:noWrap w:val="0"/>
            <w:vAlign w:val="center"/>
          </w:tcPr>
          <w:p w14:paraId="73A0001F">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系统支持与干部任免表编辑器格式文件无缝对接，能够将任免表编辑器格式的文件内容完整无缺地快速导入到系统中，并且支持批量导入。方便系统外干部信息快速进入系统。</w:t>
            </w:r>
          </w:p>
        </w:tc>
      </w:tr>
      <w:tr w14:paraId="27C17677">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5FEAA300">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27</w:t>
            </w:r>
          </w:p>
        </w:tc>
        <w:tc>
          <w:tcPr>
            <w:tcW w:w="1179" w:type="dxa"/>
            <w:vMerge w:val="continue"/>
            <w:tcBorders>
              <w:left w:val="single" w:color="auto" w:sz="4" w:space="0"/>
              <w:right w:val="single" w:color="auto" w:sz="4" w:space="0"/>
            </w:tcBorders>
            <w:noWrap w:val="0"/>
            <w:vAlign w:val="center"/>
          </w:tcPr>
          <w:p w14:paraId="0980A56A">
            <w:pPr>
              <w:rPr>
                <w:rFonts w:hint="eastAsia" w:ascii="宋体" w:hAnsi="宋体" w:eastAsia="宋体" w:cs="宋体"/>
                <w:b w:val="0"/>
                <w:bCs w:val="0"/>
                <w:color w:val="auto"/>
                <w:sz w:val="22"/>
                <w:szCs w:val="22"/>
                <w:highlight w:val="none"/>
              </w:rPr>
            </w:pPr>
          </w:p>
        </w:tc>
        <w:tc>
          <w:tcPr>
            <w:tcW w:w="1179" w:type="dxa"/>
            <w:vMerge w:val="continue"/>
            <w:tcBorders>
              <w:top w:val="nil"/>
              <w:left w:val="single" w:color="auto" w:sz="4" w:space="0"/>
              <w:bottom w:val="single" w:color="auto" w:sz="4" w:space="0"/>
              <w:right w:val="single" w:color="auto" w:sz="4" w:space="0"/>
            </w:tcBorders>
            <w:noWrap w:val="0"/>
            <w:vAlign w:val="center"/>
          </w:tcPr>
          <w:p w14:paraId="266D282D">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55D6A214">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与干部任免表文件数据交换</w:t>
            </w:r>
          </w:p>
        </w:tc>
        <w:tc>
          <w:tcPr>
            <w:tcW w:w="4478" w:type="dxa"/>
            <w:tcBorders>
              <w:top w:val="nil"/>
              <w:left w:val="nil"/>
              <w:bottom w:val="single" w:color="auto" w:sz="4" w:space="0"/>
              <w:right w:val="single" w:color="auto" w:sz="4" w:space="0"/>
            </w:tcBorders>
            <w:noWrap w:val="0"/>
            <w:vAlign w:val="center"/>
          </w:tcPr>
          <w:p w14:paraId="62244709">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支持导入导出标准格式word、excel任免表文件</w:t>
            </w:r>
          </w:p>
        </w:tc>
      </w:tr>
      <w:tr w14:paraId="290D5897">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3888175A">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28</w:t>
            </w:r>
          </w:p>
        </w:tc>
        <w:tc>
          <w:tcPr>
            <w:tcW w:w="1179" w:type="dxa"/>
            <w:vMerge w:val="continue"/>
            <w:tcBorders>
              <w:left w:val="single" w:color="auto" w:sz="4" w:space="0"/>
              <w:right w:val="single" w:color="auto" w:sz="4" w:space="0"/>
            </w:tcBorders>
            <w:noWrap w:val="0"/>
            <w:vAlign w:val="center"/>
          </w:tcPr>
          <w:p w14:paraId="720C26DE">
            <w:pPr>
              <w:rPr>
                <w:rFonts w:hint="eastAsia" w:ascii="宋体" w:hAnsi="宋体" w:eastAsia="宋体" w:cs="宋体"/>
                <w:b w:val="0"/>
                <w:bCs w:val="0"/>
                <w:color w:val="auto"/>
                <w:sz w:val="22"/>
                <w:szCs w:val="22"/>
                <w:highlight w:val="none"/>
              </w:rPr>
            </w:pPr>
          </w:p>
        </w:tc>
        <w:tc>
          <w:tcPr>
            <w:tcW w:w="1179" w:type="dxa"/>
            <w:vMerge w:val="continue"/>
            <w:tcBorders>
              <w:top w:val="nil"/>
              <w:left w:val="single" w:color="auto" w:sz="4" w:space="0"/>
              <w:bottom w:val="single" w:color="auto" w:sz="4" w:space="0"/>
              <w:right w:val="single" w:color="auto" w:sz="4" w:space="0"/>
            </w:tcBorders>
            <w:noWrap w:val="0"/>
            <w:vAlign w:val="center"/>
          </w:tcPr>
          <w:p w14:paraId="28C78B0B">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44DB802A">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与上级系统对接</w:t>
            </w:r>
          </w:p>
        </w:tc>
        <w:tc>
          <w:tcPr>
            <w:tcW w:w="4478" w:type="dxa"/>
            <w:tcBorders>
              <w:top w:val="nil"/>
              <w:left w:val="nil"/>
              <w:bottom w:val="single" w:color="auto" w:sz="4" w:space="0"/>
              <w:right w:val="single" w:color="auto" w:sz="4" w:space="0"/>
            </w:tcBorders>
            <w:noWrap w:val="0"/>
            <w:vAlign w:val="center"/>
          </w:tcPr>
          <w:p w14:paraId="0F11FED9">
            <w:pPr>
              <w:rPr>
                <w:rFonts w:hint="eastAsia" w:ascii="宋体" w:hAnsi="宋体" w:eastAsia="宋体" w:cs="宋体"/>
                <w:b w:val="0"/>
                <w:bCs w:val="0"/>
                <w:color w:val="auto"/>
                <w:sz w:val="22"/>
                <w:szCs w:val="22"/>
                <w:highlight w:val="none"/>
                <w:lang w:eastAsia="zh-CN"/>
              </w:rPr>
            </w:pPr>
            <w:r>
              <w:rPr>
                <w:rFonts w:hint="eastAsia" w:ascii="宋体" w:eastAsia="宋体"/>
                <w:b w:val="0"/>
                <w:bCs w:val="0"/>
                <w:color w:val="auto"/>
                <w:sz w:val="22"/>
                <w:szCs w:val="22"/>
                <w:highlight w:val="none"/>
              </w:rPr>
              <w:t>系统能与上级单位的干部系统数据无缝对接</w:t>
            </w:r>
          </w:p>
        </w:tc>
      </w:tr>
      <w:tr w14:paraId="153E88B8">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55C0CCEC">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29</w:t>
            </w:r>
          </w:p>
        </w:tc>
        <w:tc>
          <w:tcPr>
            <w:tcW w:w="1179" w:type="dxa"/>
            <w:vMerge w:val="continue"/>
            <w:tcBorders>
              <w:left w:val="single" w:color="auto" w:sz="4" w:space="0"/>
              <w:right w:val="single" w:color="auto" w:sz="4" w:space="0"/>
            </w:tcBorders>
            <w:noWrap w:val="0"/>
            <w:vAlign w:val="center"/>
          </w:tcPr>
          <w:p w14:paraId="2806FB99">
            <w:pPr>
              <w:jc w:val="center"/>
              <w:rPr>
                <w:rFonts w:hint="eastAsia" w:ascii="宋体" w:hAnsi="宋体" w:eastAsia="宋体" w:cs="宋体"/>
                <w:b w:val="0"/>
                <w:bCs w:val="0"/>
                <w:color w:val="auto"/>
                <w:sz w:val="22"/>
                <w:szCs w:val="22"/>
                <w:highlight w:val="none"/>
              </w:rPr>
            </w:pPr>
          </w:p>
        </w:tc>
        <w:tc>
          <w:tcPr>
            <w:tcW w:w="1179" w:type="dxa"/>
            <w:vMerge w:val="restart"/>
            <w:tcBorders>
              <w:top w:val="nil"/>
              <w:left w:val="single" w:color="auto" w:sz="4" w:space="0"/>
              <w:right w:val="single" w:color="auto" w:sz="4" w:space="0"/>
            </w:tcBorders>
            <w:noWrap w:val="0"/>
            <w:vAlign w:val="center"/>
          </w:tcPr>
          <w:p w14:paraId="7A104C41">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领导便携式查询系统</w:t>
            </w:r>
          </w:p>
        </w:tc>
        <w:tc>
          <w:tcPr>
            <w:tcW w:w="1413" w:type="dxa"/>
            <w:tcBorders>
              <w:top w:val="nil"/>
              <w:left w:val="nil"/>
              <w:bottom w:val="single" w:color="auto" w:sz="4" w:space="0"/>
              <w:right w:val="single" w:color="auto" w:sz="4" w:space="0"/>
            </w:tcBorders>
            <w:noWrap w:val="0"/>
            <w:vAlign w:val="center"/>
          </w:tcPr>
          <w:p w14:paraId="20A9C39C">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名册浏览</w:t>
            </w:r>
          </w:p>
        </w:tc>
        <w:tc>
          <w:tcPr>
            <w:tcW w:w="4478" w:type="dxa"/>
            <w:tcBorders>
              <w:top w:val="nil"/>
              <w:left w:val="nil"/>
              <w:bottom w:val="single" w:color="auto" w:sz="4" w:space="0"/>
              <w:right w:val="single" w:color="auto" w:sz="4" w:space="0"/>
            </w:tcBorders>
            <w:noWrap w:val="0"/>
            <w:vAlign w:val="center"/>
          </w:tcPr>
          <w:p w14:paraId="2A5B1687">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以电子名册方式浏览单位及干部，代替纸质干部大名册，便于领导在无需联网环境下随时掌握干部信息，多本名册摆放位置及样式灵活配置。内置30多种机构展示模版，灵活配置选择。</w:t>
            </w:r>
          </w:p>
        </w:tc>
      </w:tr>
      <w:tr w14:paraId="5DADD820">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3F6EB722">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30</w:t>
            </w:r>
          </w:p>
        </w:tc>
        <w:tc>
          <w:tcPr>
            <w:tcW w:w="1179" w:type="dxa"/>
            <w:vMerge w:val="continue"/>
            <w:tcBorders>
              <w:left w:val="single" w:color="auto" w:sz="4" w:space="0"/>
              <w:right w:val="single" w:color="auto" w:sz="4" w:space="0"/>
            </w:tcBorders>
            <w:noWrap w:val="0"/>
            <w:vAlign w:val="center"/>
          </w:tcPr>
          <w:p w14:paraId="6AA9FD1D">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548ECB59">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1145AF26">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名册分析</w:t>
            </w:r>
          </w:p>
        </w:tc>
        <w:tc>
          <w:tcPr>
            <w:tcW w:w="4478" w:type="dxa"/>
            <w:tcBorders>
              <w:top w:val="nil"/>
              <w:left w:val="nil"/>
              <w:bottom w:val="single" w:color="auto" w:sz="4" w:space="0"/>
              <w:right w:val="single" w:color="auto" w:sz="4" w:space="0"/>
            </w:tcBorders>
            <w:noWrap w:val="0"/>
            <w:vAlign w:val="center"/>
          </w:tcPr>
          <w:p w14:paraId="314553E6">
            <w:pPr>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内置</w:t>
            </w:r>
            <w:r>
              <w:rPr>
                <w:rFonts w:hint="eastAsia" w:ascii="宋体" w:eastAsia="宋体" w:cs="宋体"/>
                <w:b w:val="0"/>
                <w:bCs w:val="0"/>
                <w:color w:val="auto"/>
                <w:sz w:val="22"/>
                <w:szCs w:val="22"/>
                <w:highlight w:val="none"/>
                <w:lang w:val="en-US" w:eastAsia="zh-CN"/>
              </w:rPr>
              <w:t>50</w:t>
            </w:r>
            <w:r>
              <w:rPr>
                <w:rFonts w:hint="eastAsia" w:ascii="宋体" w:hAnsi="宋体" w:eastAsia="宋体" w:cs="宋体"/>
                <w:b w:val="0"/>
                <w:bCs w:val="0"/>
                <w:color w:val="auto"/>
                <w:sz w:val="22"/>
                <w:szCs w:val="22"/>
                <w:highlight w:val="none"/>
              </w:rPr>
              <w:t>余种分析样式与维度，包括统计分析文本描述、统计表、分析图；提供直观的数据分析结果，支持钻取</w:t>
            </w:r>
            <w:r>
              <w:rPr>
                <w:rFonts w:hint="eastAsia" w:ascii="宋体" w:eastAsia="宋体" w:cs="宋体"/>
                <w:b w:val="0"/>
                <w:bCs w:val="0"/>
                <w:color w:val="auto"/>
                <w:sz w:val="22"/>
                <w:szCs w:val="22"/>
                <w:highlight w:val="none"/>
                <w:lang w:eastAsia="zh-CN"/>
              </w:rPr>
              <w:t>。</w:t>
            </w:r>
          </w:p>
        </w:tc>
      </w:tr>
      <w:tr w14:paraId="31FC7E47">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6DA69C91">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31</w:t>
            </w:r>
          </w:p>
        </w:tc>
        <w:tc>
          <w:tcPr>
            <w:tcW w:w="1179" w:type="dxa"/>
            <w:vMerge w:val="continue"/>
            <w:tcBorders>
              <w:left w:val="single" w:color="auto" w:sz="4" w:space="0"/>
              <w:right w:val="single" w:color="auto" w:sz="4" w:space="0"/>
            </w:tcBorders>
            <w:noWrap w:val="0"/>
            <w:vAlign w:val="center"/>
          </w:tcPr>
          <w:p w14:paraId="221F1E7C">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6D16B87D">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57C18D79">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分类名册</w:t>
            </w:r>
          </w:p>
        </w:tc>
        <w:tc>
          <w:tcPr>
            <w:tcW w:w="4478" w:type="dxa"/>
            <w:tcBorders>
              <w:top w:val="nil"/>
              <w:left w:val="nil"/>
              <w:bottom w:val="single" w:color="auto" w:sz="4" w:space="0"/>
              <w:right w:val="single" w:color="auto" w:sz="4" w:space="0"/>
            </w:tcBorders>
            <w:noWrap w:val="0"/>
            <w:vAlign w:val="center"/>
          </w:tcPr>
          <w:p w14:paraId="1149215D">
            <w:pPr>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系统通过海量数据智能挖掘分析，自动生成分类规则，将每个人员根据管理要求分类生成各智能名册。保证数据的准确性</w:t>
            </w:r>
            <w:r>
              <w:rPr>
                <w:rFonts w:hint="eastAsia" w:ascii="宋体" w:eastAsia="宋体" w:cs="宋体"/>
                <w:b w:val="0"/>
                <w:bCs w:val="0"/>
                <w:color w:val="auto"/>
                <w:sz w:val="22"/>
                <w:szCs w:val="22"/>
                <w:highlight w:val="none"/>
                <w:lang w:val="en-US" w:eastAsia="zh-CN"/>
              </w:rPr>
              <w:t>与</w:t>
            </w:r>
            <w:r>
              <w:rPr>
                <w:rFonts w:hint="eastAsia" w:ascii="宋体" w:hAnsi="宋体" w:eastAsia="宋体" w:cs="宋体"/>
                <w:b w:val="0"/>
                <w:bCs w:val="0"/>
                <w:color w:val="auto"/>
                <w:sz w:val="22"/>
                <w:szCs w:val="22"/>
                <w:highlight w:val="none"/>
              </w:rPr>
              <w:t>权威性</w:t>
            </w:r>
            <w:r>
              <w:rPr>
                <w:rFonts w:hint="eastAsia" w:ascii="宋体" w:eastAsia="宋体" w:cs="宋体"/>
                <w:b w:val="0"/>
                <w:bCs w:val="0"/>
                <w:color w:val="auto"/>
                <w:sz w:val="22"/>
                <w:szCs w:val="22"/>
                <w:highlight w:val="none"/>
                <w:lang w:eastAsia="zh-CN"/>
              </w:rPr>
              <w:t>。</w:t>
            </w:r>
          </w:p>
        </w:tc>
      </w:tr>
      <w:tr w14:paraId="2198D38E">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391A846E">
            <w:pPr>
              <w:jc w:val="center"/>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3</w:t>
            </w:r>
            <w:r>
              <w:rPr>
                <w:rFonts w:hint="eastAsia" w:ascii="宋体" w:eastAsia="宋体" w:cs="宋体"/>
                <w:b w:val="0"/>
                <w:bCs w:val="0"/>
                <w:color w:val="auto"/>
                <w:sz w:val="22"/>
                <w:szCs w:val="22"/>
                <w:highlight w:val="none"/>
                <w:lang w:val="en-US" w:eastAsia="zh-CN"/>
              </w:rPr>
              <w:t>2</w:t>
            </w:r>
          </w:p>
        </w:tc>
        <w:tc>
          <w:tcPr>
            <w:tcW w:w="1179" w:type="dxa"/>
            <w:vMerge w:val="continue"/>
            <w:tcBorders>
              <w:left w:val="single" w:color="auto" w:sz="4" w:space="0"/>
              <w:right w:val="single" w:color="auto" w:sz="4" w:space="0"/>
            </w:tcBorders>
            <w:noWrap w:val="0"/>
            <w:vAlign w:val="center"/>
          </w:tcPr>
          <w:p w14:paraId="6BA54755">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43FABC26">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23771989">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高级查询</w:t>
            </w:r>
          </w:p>
        </w:tc>
        <w:tc>
          <w:tcPr>
            <w:tcW w:w="4478" w:type="dxa"/>
            <w:tcBorders>
              <w:top w:val="nil"/>
              <w:left w:val="nil"/>
              <w:bottom w:val="single" w:color="auto" w:sz="4" w:space="0"/>
              <w:right w:val="single" w:color="auto" w:sz="4" w:space="0"/>
            </w:tcBorders>
            <w:noWrap w:val="0"/>
            <w:vAlign w:val="center"/>
          </w:tcPr>
          <w:p w14:paraId="5741FD19">
            <w:pPr>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组合检索，根据业务提供查询条件，如干部类别、年龄段、任现职时间、任现职级别时间、履历等；智能搜索，根据标签知识库，建立标签索引，快速定位精准检索；关联查询，根据输入的部分关键字段，系统自动结合内置知识库进行联想，快速进行关联信息查询。</w:t>
            </w:r>
          </w:p>
        </w:tc>
      </w:tr>
      <w:tr w14:paraId="1E4606B4">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5C0B0AFF">
            <w:pPr>
              <w:jc w:val="center"/>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3</w:t>
            </w:r>
            <w:r>
              <w:rPr>
                <w:rFonts w:hint="eastAsia" w:ascii="宋体" w:eastAsia="宋体" w:cs="宋体"/>
                <w:b w:val="0"/>
                <w:bCs w:val="0"/>
                <w:color w:val="auto"/>
                <w:sz w:val="22"/>
                <w:szCs w:val="22"/>
                <w:highlight w:val="none"/>
                <w:lang w:val="en-US" w:eastAsia="zh-CN"/>
              </w:rPr>
              <w:t>3</w:t>
            </w:r>
          </w:p>
        </w:tc>
        <w:tc>
          <w:tcPr>
            <w:tcW w:w="1179" w:type="dxa"/>
            <w:vMerge w:val="continue"/>
            <w:tcBorders>
              <w:left w:val="single" w:color="auto" w:sz="4" w:space="0"/>
              <w:right w:val="single" w:color="auto" w:sz="4" w:space="0"/>
            </w:tcBorders>
            <w:noWrap w:val="0"/>
            <w:vAlign w:val="center"/>
          </w:tcPr>
          <w:p w14:paraId="62D78A5E">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5E09AD67">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380AFBB5">
            <w:pPr>
              <w:jc w:val="center"/>
              <w:rPr>
                <w:rFonts w:hint="eastAsia" w:ascii="宋体" w:hAnsi="宋体" w:eastAsia="宋体" w:cs="宋体"/>
                <w:b w:val="0"/>
                <w:bCs w:val="0"/>
                <w:color w:val="auto"/>
                <w:sz w:val="22"/>
                <w:szCs w:val="22"/>
                <w:highlight w:val="none"/>
              </w:rPr>
            </w:pPr>
            <w:r>
              <w:rPr>
                <w:rFonts w:hint="eastAsia" w:ascii="宋体" w:eastAsia="宋体" w:cs="宋体"/>
                <w:b w:val="0"/>
                <w:bCs w:val="0"/>
                <w:color w:val="auto"/>
                <w:sz w:val="22"/>
                <w:szCs w:val="22"/>
                <w:highlight w:val="none"/>
                <w:lang w:val="en-US" w:eastAsia="zh-CN"/>
              </w:rPr>
              <w:t>智能</w:t>
            </w:r>
            <w:r>
              <w:rPr>
                <w:rFonts w:hint="eastAsia" w:ascii="宋体" w:hAnsi="宋体" w:eastAsia="宋体" w:cs="宋体"/>
                <w:b w:val="0"/>
                <w:bCs w:val="0"/>
                <w:color w:val="auto"/>
                <w:sz w:val="22"/>
                <w:szCs w:val="22"/>
                <w:highlight w:val="none"/>
              </w:rPr>
              <w:t>语音识别</w:t>
            </w:r>
          </w:p>
        </w:tc>
        <w:tc>
          <w:tcPr>
            <w:tcW w:w="4478" w:type="dxa"/>
            <w:tcBorders>
              <w:top w:val="nil"/>
              <w:left w:val="nil"/>
              <w:bottom w:val="single" w:color="auto" w:sz="4" w:space="0"/>
              <w:right w:val="single" w:color="auto" w:sz="4" w:space="0"/>
            </w:tcBorders>
            <w:noWrap w:val="0"/>
            <w:vAlign w:val="center"/>
          </w:tcPr>
          <w:p w14:paraId="19BEC56D">
            <w:pPr>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系统支持智能语音识别，通过语义识别，支持用户通过语音发出相关操作指令，系统通过语义分析，确认用户需求并进行操作。</w:t>
            </w:r>
          </w:p>
        </w:tc>
      </w:tr>
      <w:tr w14:paraId="7B880775">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2716AE7D">
            <w:pPr>
              <w:jc w:val="center"/>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3</w:t>
            </w:r>
            <w:r>
              <w:rPr>
                <w:rFonts w:hint="eastAsia" w:ascii="宋体" w:eastAsia="宋体" w:cs="宋体"/>
                <w:b w:val="0"/>
                <w:bCs w:val="0"/>
                <w:color w:val="auto"/>
                <w:sz w:val="22"/>
                <w:szCs w:val="22"/>
                <w:highlight w:val="none"/>
                <w:lang w:val="en-US" w:eastAsia="zh-CN"/>
              </w:rPr>
              <w:t>4</w:t>
            </w:r>
          </w:p>
        </w:tc>
        <w:tc>
          <w:tcPr>
            <w:tcW w:w="1179" w:type="dxa"/>
            <w:vMerge w:val="continue"/>
            <w:tcBorders>
              <w:left w:val="single" w:color="auto" w:sz="4" w:space="0"/>
              <w:right w:val="single" w:color="auto" w:sz="4" w:space="0"/>
            </w:tcBorders>
            <w:noWrap w:val="0"/>
            <w:vAlign w:val="center"/>
          </w:tcPr>
          <w:p w14:paraId="3863FF28">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62AF5C6B">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62E7A090">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班子浏览</w:t>
            </w:r>
          </w:p>
        </w:tc>
        <w:tc>
          <w:tcPr>
            <w:tcW w:w="4478" w:type="dxa"/>
            <w:tcBorders>
              <w:top w:val="nil"/>
              <w:left w:val="nil"/>
              <w:bottom w:val="single" w:color="auto" w:sz="4" w:space="0"/>
              <w:right w:val="single" w:color="auto" w:sz="4" w:space="0"/>
            </w:tcBorders>
            <w:noWrap w:val="0"/>
            <w:vAlign w:val="center"/>
          </w:tcPr>
          <w:p w14:paraId="3232F222">
            <w:pPr>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基本情况、核定职数、配备情况、相关材料多方位展示；班子内特殊干部标星提醒；分为名册浏览样式、照片样式等多种界面进行浏览。</w:t>
            </w:r>
          </w:p>
        </w:tc>
      </w:tr>
      <w:tr w14:paraId="63829E78">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737C4BCE">
            <w:pPr>
              <w:jc w:val="center"/>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rPr>
              <w:t>3</w:t>
            </w:r>
            <w:r>
              <w:rPr>
                <w:rFonts w:hint="eastAsia" w:ascii="宋体" w:eastAsia="宋体" w:cs="宋体"/>
                <w:b w:val="0"/>
                <w:bCs w:val="0"/>
                <w:color w:val="auto"/>
                <w:sz w:val="22"/>
                <w:szCs w:val="22"/>
                <w:highlight w:val="none"/>
                <w:lang w:val="en-US" w:eastAsia="zh-CN"/>
              </w:rPr>
              <w:t>5</w:t>
            </w:r>
          </w:p>
        </w:tc>
        <w:tc>
          <w:tcPr>
            <w:tcW w:w="1179" w:type="dxa"/>
            <w:vMerge w:val="continue"/>
            <w:tcBorders>
              <w:left w:val="single" w:color="auto" w:sz="4" w:space="0"/>
              <w:right w:val="single" w:color="auto" w:sz="4" w:space="0"/>
            </w:tcBorders>
            <w:noWrap w:val="0"/>
            <w:vAlign w:val="center"/>
          </w:tcPr>
          <w:p w14:paraId="5F0AD602">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46A81933">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3C8A98ED">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班子分析</w:t>
            </w:r>
          </w:p>
        </w:tc>
        <w:tc>
          <w:tcPr>
            <w:tcW w:w="4478" w:type="dxa"/>
            <w:tcBorders>
              <w:top w:val="nil"/>
              <w:left w:val="nil"/>
              <w:bottom w:val="single" w:color="auto" w:sz="4" w:space="0"/>
              <w:right w:val="single" w:color="auto" w:sz="4" w:space="0"/>
            </w:tcBorders>
            <w:noWrap w:val="0"/>
            <w:vAlign w:val="center"/>
          </w:tcPr>
          <w:p w14:paraId="3BE66601">
            <w:pPr>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通过分析班子配备情况、班子年龄、职级、任职时间等维度分析，掌握一个班子结构，支持纯文本、图、表等形式展现</w:t>
            </w:r>
          </w:p>
        </w:tc>
      </w:tr>
      <w:tr w14:paraId="3992B2BE">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0D9A8778">
            <w:pPr>
              <w:jc w:val="center"/>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rPr>
              <w:t>3</w:t>
            </w:r>
            <w:r>
              <w:rPr>
                <w:rFonts w:hint="eastAsia" w:ascii="宋体" w:eastAsia="宋体" w:cs="宋体"/>
                <w:b w:val="0"/>
                <w:bCs w:val="0"/>
                <w:color w:val="auto"/>
                <w:sz w:val="22"/>
                <w:szCs w:val="22"/>
                <w:highlight w:val="none"/>
                <w:lang w:val="en-US" w:eastAsia="zh-CN"/>
              </w:rPr>
              <w:t>6</w:t>
            </w:r>
          </w:p>
        </w:tc>
        <w:tc>
          <w:tcPr>
            <w:tcW w:w="1179" w:type="dxa"/>
            <w:vMerge w:val="continue"/>
            <w:tcBorders>
              <w:left w:val="single" w:color="auto" w:sz="4" w:space="0"/>
              <w:right w:val="single" w:color="auto" w:sz="4" w:space="0"/>
            </w:tcBorders>
            <w:noWrap w:val="0"/>
            <w:vAlign w:val="center"/>
          </w:tcPr>
          <w:p w14:paraId="3ADD8479">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528B496D">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4BDDF8C7">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人员浏览</w:t>
            </w:r>
          </w:p>
        </w:tc>
        <w:tc>
          <w:tcPr>
            <w:tcW w:w="4478" w:type="dxa"/>
            <w:tcBorders>
              <w:top w:val="nil"/>
              <w:left w:val="nil"/>
              <w:bottom w:val="single" w:color="auto" w:sz="4" w:space="0"/>
              <w:right w:val="single" w:color="auto" w:sz="4" w:space="0"/>
            </w:tcBorders>
            <w:noWrap w:val="0"/>
            <w:vAlign w:val="center"/>
          </w:tcPr>
          <w:p w14:paraId="1C84403B">
            <w:pPr>
              <w:jc w:val="both"/>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电子任免表</w:t>
            </w:r>
            <w:r>
              <w:rPr>
                <w:rFonts w:hint="eastAsia" w:asci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以干部任免审批表形式展现干部信息，代替纸质任免表，横竖屏能够切换，任免表显示大小多指缩放；干部百科</w:t>
            </w:r>
            <w:r>
              <w:rPr>
                <w:rFonts w:hint="eastAsia" w:asci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多维度展现及快速定位干部信息，包括：基本信息、班子分工、简历信息、学历信息、专业技术、奖惩信息、年度考核、家庭成员、住址通讯、出国信息、重大事项、考察材料、审计结果、巡视报告、影音资料、廉洁自律情况、监督信息、信访举报信息、表现特点等；干部资料信息，查看干部的考察报告等材料。</w:t>
            </w:r>
          </w:p>
        </w:tc>
      </w:tr>
      <w:tr w14:paraId="297900F6">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1F6A52FE">
            <w:pPr>
              <w:jc w:val="center"/>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rPr>
              <w:t>3</w:t>
            </w:r>
            <w:r>
              <w:rPr>
                <w:rFonts w:hint="eastAsia" w:ascii="宋体" w:eastAsia="宋体" w:cs="宋体"/>
                <w:b w:val="0"/>
                <w:bCs w:val="0"/>
                <w:color w:val="auto"/>
                <w:sz w:val="22"/>
                <w:szCs w:val="22"/>
                <w:highlight w:val="none"/>
                <w:lang w:val="en-US" w:eastAsia="zh-CN"/>
              </w:rPr>
              <w:t>7</w:t>
            </w:r>
          </w:p>
        </w:tc>
        <w:tc>
          <w:tcPr>
            <w:tcW w:w="1179" w:type="dxa"/>
            <w:vMerge w:val="continue"/>
            <w:tcBorders>
              <w:left w:val="single" w:color="auto" w:sz="4" w:space="0"/>
              <w:right w:val="single" w:color="auto" w:sz="4" w:space="0"/>
            </w:tcBorders>
            <w:noWrap w:val="0"/>
            <w:vAlign w:val="center"/>
          </w:tcPr>
          <w:p w14:paraId="363AA188">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5C854117">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7C2A4674">
            <w:pPr>
              <w:jc w:val="center"/>
              <w:rPr>
                <w:rFonts w:hint="default" w:ascii="宋体" w:hAns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信息关注</w:t>
            </w:r>
          </w:p>
        </w:tc>
        <w:tc>
          <w:tcPr>
            <w:tcW w:w="4478" w:type="dxa"/>
            <w:tcBorders>
              <w:top w:val="nil"/>
              <w:left w:val="nil"/>
              <w:bottom w:val="single" w:color="auto" w:sz="4" w:space="0"/>
              <w:right w:val="single" w:color="auto" w:sz="4" w:space="0"/>
            </w:tcBorders>
            <w:noWrap w:val="0"/>
            <w:vAlign w:val="center"/>
          </w:tcPr>
          <w:p w14:paraId="356F3BFF">
            <w:pPr>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可在使用过程中给人员与组织进行个性化批注，更贴合领导管理需求。批注信息支持清空与回复。同时系统可实现对关注人员进行标记，以便快速锁定关注人员。</w:t>
            </w:r>
          </w:p>
        </w:tc>
      </w:tr>
      <w:tr w14:paraId="2D330C69">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6075F1FA">
            <w:pPr>
              <w:jc w:val="center"/>
              <w:rPr>
                <w:rFonts w:hint="default" w:ascii="宋体" w:hAns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38</w:t>
            </w:r>
          </w:p>
        </w:tc>
        <w:tc>
          <w:tcPr>
            <w:tcW w:w="1179" w:type="dxa"/>
            <w:vMerge w:val="continue"/>
            <w:tcBorders>
              <w:left w:val="single" w:color="auto" w:sz="4" w:space="0"/>
              <w:right w:val="single" w:color="auto" w:sz="4" w:space="0"/>
            </w:tcBorders>
            <w:noWrap w:val="0"/>
            <w:vAlign w:val="center"/>
          </w:tcPr>
          <w:p w14:paraId="079AAC13">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00141541">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4F2151DD">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资料库</w:t>
            </w:r>
          </w:p>
        </w:tc>
        <w:tc>
          <w:tcPr>
            <w:tcW w:w="4478" w:type="dxa"/>
            <w:tcBorders>
              <w:top w:val="nil"/>
              <w:left w:val="nil"/>
              <w:bottom w:val="single" w:color="auto" w:sz="4" w:space="0"/>
              <w:right w:val="single" w:color="auto" w:sz="4" w:space="0"/>
            </w:tcBorders>
            <w:noWrap w:val="0"/>
            <w:vAlign w:val="center"/>
          </w:tcPr>
          <w:p w14:paraId="421C63CF">
            <w:pPr>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支持拍照上传资料，能够将word、excel、pdf、jpg等文件放置在资料库，方便查阅，支持用户自行拍摄相关资料进资料库。将有</w:t>
            </w:r>
            <w:r>
              <w:rPr>
                <w:rFonts w:hint="eastAsia" w:ascii="宋体" w:eastAsia="宋体" w:cs="宋体"/>
                <w:b w:val="0"/>
                <w:bCs w:val="0"/>
                <w:color w:val="auto"/>
                <w:sz w:val="22"/>
                <w:szCs w:val="22"/>
                <w:highlight w:val="none"/>
                <w:lang w:eastAsia="zh-CN"/>
              </w:rPr>
              <w:t>关</w:t>
            </w:r>
            <w:r>
              <w:rPr>
                <w:rFonts w:hint="eastAsia" w:ascii="宋体" w:hAnsi="宋体" w:eastAsia="宋体" w:cs="宋体"/>
                <w:b w:val="0"/>
                <w:bCs w:val="0"/>
                <w:color w:val="auto"/>
                <w:sz w:val="22"/>
                <w:szCs w:val="22"/>
                <w:highlight w:val="none"/>
              </w:rPr>
              <w:t>个人的相关材料以及某个单位</w:t>
            </w:r>
            <w:r>
              <w:rPr>
                <w:rFonts w:hint="eastAsia" w:ascii="宋体" w:eastAsia="宋体" w:cs="宋体"/>
                <w:b w:val="0"/>
                <w:bCs w:val="0"/>
                <w:color w:val="auto"/>
                <w:sz w:val="22"/>
                <w:szCs w:val="22"/>
                <w:highlight w:val="none"/>
                <w:lang w:eastAsia="zh-CN"/>
              </w:rPr>
              <w:t>涉及的</w:t>
            </w:r>
            <w:r>
              <w:rPr>
                <w:rFonts w:hint="eastAsia" w:ascii="宋体" w:hAnsi="宋体" w:eastAsia="宋体" w:cs="宋体"/>
                <w:b w:val="0"/>
                <w:bCs w:val="0"/>
                <w:color w:val="auto"/>
                <w:sz w:val="22"/>
                <w:szCs w:val="22"/>
                <w:highlight w:val="none"/>
              </w:rPr>
              <w:t>材料，显示在相应的人员与单位下。</w:t>
            </w:r>
          </w:p>
        </w:tc>
      </w:tr>
      <w:tr w14:paraId="3F0E4DEE">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7DDBB110">
            <w:pPr>
              <w:jc w:val="center"/>
              <w:rPr>
                <w:rFonts w:hint="default" w:asci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39</w:t>
            </w:r>
          </w:p>
        </w:tc>
        <w:tc>
          <w:tcPr>
            <w:tcW w:w="1179" w:type="dxa"/>
            <w:vMerge w:val="continue"/>
            <w:tcBorders>
              <w:left w:val="single" w:color="auto" w:sz="4" w:space="0"/>
              <w:right w:val="single" w:color="auto" w:sz="4" w:space="0"/>
            </w:tcBorders>
            <w:noWrap w:val="0"/>
            <w:vAlign w:val="center"/>
          </w:tcPr>
          <w:p w14:paraId="7CB22396">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1CAB483A">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1088D191">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安全加固</w:t>
            </w:r>
          </w:p>
        </w:tc>
        <w:tc>
          <w:tcPr>
            <w:tcW w:w="4478" w:type="dxa"/>
            <w:tcBorders>
              <w:top w:val="nil"/>
              <w:left w:val="nil"/>
              <w:bottom w:val="single" w:color="auto" w:sz="4" w:space="0"/>
              <w:right w:val="single" w:color="auto" w:sz="4" w:space="0"/>
            </w:tcBorders>
            <w:noWrap w:val="0"/>
            <w:vAlign w:val="center"/>
          </w:tcPr>
          <w:p w14:paraId="230CE3F5">
            <w:pPr>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对操作系统进行安全加固，保证数据安全；密码5次错误清空数据；信息加密存储；数据包加密存储。</w:t>
            </w:r>
          </w:p>
        </w:tc>
      </w:tr>
      <w:tr w14:paraId="6C60D99E">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143D0D2B">
            <w:pPr>
              <w:jc w:val="center"/>
              <w:rPr>
                <w:rFonts w:hint="default" w:asci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40</w:t>
            </w:r>
          </w:p>
        </w:tc>
        <w:tc>
          <w:tcPr>
            <w:tcW w:w="1179" w:type="dxa"/>
            <w:vMerge w:val="continue"/>
            <w:tcBorders>
              <w:left w:val="single" w:color="auto" w:sz="4" w:space="0"/>
              <w:right w:val="single" w:color="auto" w:sz="4" w:space="0"/>
            </w:tcBorders>
            <w:noWrap w:val="0"/>
            <w:vAlign w:val="center"/>
          </w:tcPr>
          <w:p w14:paraId="364914B9">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bottom w:val="single" w:color="auto" w:sz="4" w:space="0"/>
              <w:right w:val="single" w:color="auto" w:sz="4" w:space="0"/>
            </w:tcBorders>
            <w:noWrap w:val="0"/>
            <w:vAlign w:val="center"/>
          </w:tcPr>
          <w:p w14:paraId="0A51E75C">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508E2874">
            <w:pPr>
              <w:jc w:val="center"/>
              <w:rPr>
                <w:rFonts w:hint="default" w:ascii="宋体" w:hAns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系统配置</w:t>
            </w:r>
          </w:p>
        </w:tc>
        <w:tc>
          <w:tcPr>
            <w:tcW w:w="4478" w:type="dxa"/>
            <w:tcBorders>
              <w:top w:val="nil"/>
              <w:left w:val="nil"/>
              <w:bottom w:val="single" w:color="auto" w:sz="4" w:space="0"/>
              <w:right w:val="single" w:color="auto" w:sz="4" w:space="0"/>
            </w:tcBorders>
            <w:noWrap w:val="0"/>
            <w:vAlign w:val="center"/>
          </w:tcPr>
          <w:p w14:paraId="0B3EEB48">
            <w:pPr>
              <w:jc w:val="left"/>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系统提供基于用户的个性化配置功能。例如：默认展示人员任免表信息或百科信息，切换系统界面颜色等；提供数据包自检并更新服务</w:t>
            </w:r>
            <w:r>
              <w:rPr>
                <w:rFonts w:hint="eastAsia" w:ascii="宋体" w:eastAsia="宋体" w:cs="宋体"/>
                <w:b w:val="0"/>
                <w:bCs w:val="0"/>
                <w:color w:val="auto"/>
                <w:sz w:val="22"/>
                <w:szCs w:val="22"/>
                <w:highlight w:val="none"/>
                <w:lang w:eastAsia="zh-CN"/>
              </w:rPr>
              <w:t>。</w:t>
            </w:r>
          </w:p>
        </w:tc>
      </w:tr>
      <w:tr w14:paraId="08C1A57C">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05177E9F">
            <w:pPr>
              <w:jc w:val="center"/>
              <w:rPr>
                <w:rFonts w:hint="default" w:asci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41</w:t>
            </w:r>
          </w:p>
        </w:tc>
        <w:tc>
          <w:tcPr>
            <w:tcW w:w="1179" w:type="dxa"/>
            <w:vMerge w:val="continue"/>
            <w:tcBorders>
              <w:left w:val="single" w:color="auto" w:sz="4" w:space="0"/>
              <w:right w:val="single" w:color="auto" w:sz="4" w:space="0"/>
            </w:tcBorders>
            <w:noWrap w:val="0"/>
            <w:vAlign w:val="center"/>
          </w:tcPr>
          <w:p w14:paraId="256F54BA">
            <w:pPr>
              <w:rPr>
                <w:rFonts w:hint="eastAsia" w:ascii="宋体" w:hAnsi="宋体" w:eastAsia="宋体" w:cs="宋体"/>
                <w:b w:val="0"/>
                <w:bCs w:val="0"/>
                <w:color w:val="auto"/>
                <w:sz w:val="22"/>
                <w:szCs w:val="22"/>
                <w:highlight w:val="none"/>
              </w:rPr>
            </w:pPr>
          </w:p>
        </w:tc>
        <w:tc>
          <w:tcPr>
            <w:tcW w:w="1179" w:type="dxa"/>
            <w:vMerge w:val="restart"/>
            <w:tcBorders>
              <w:left w:val="single" w:color="auto" w:sz="4" w:space="0"/>
              <w:right w:val="single" w:color="auto" w:sz="4" w:space="0"/>
            </w:tcBorders>
            <w:noWrap w:val="0"/>
            <w:vAlign w:val="center"/>
          </w:tcPr>
          <w:p w14:paraId="79296794">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便携式领导查询运维管理</w:t>
            </w:r>
          </w:p>
        </w:tc>
        <w:tc>
          <w:tcPr>
            <w:tcW w:w="1413" w:type="dxa"/>
            <w:tcBorders>
              <w:top w:val="nil"/>
              <w:left w:val="nil"/>
              <w:bottom w:val="single" w:color="auto" w:sz="4" w:space="0"/>
              <w:right w:val="single" w:color="auto" w:sz="4" w:space="0"/>
            </w:tcBorders>
            <w:noWrap w:val="0"/>
            <w:vAlign w:val="center"/>
          </w:tcPr>
          <w:p w14:paraId="545BCABD">
            <w:pPr>
              <w:jc w:val="center"/>
              <w:rPr>
                <w:rFonts w:hint="eastAsia" w:ascii="宋体" w:eastAsia="宋体" w:cs="宋体"/>
                <w:b w:val="0"/>
                <w:bCs w:val="0"/>
                <w:color w:val="auto"/>
                <w:sz w:val="22"/>
                <w:szCs w:val="22"/>
                <w:highlight w:val="none"/>
                <w:lang w:val="en-US" w:eastAsia="zh-CN"/>
              </w:rPr>
            </w:pPr>
            <w:r>
              <w:rPr>
                <w:rFonts w:hint="eastAsia" w:ascii="宋体" w:hAnsi="宋体" w:eastAsia="宋体"/>
                <w:color w:val="auto"/>
                <w:szCs w:val="24"/>
                <w:highlight w:val="none"/>
              </w:rPr>
              <w:t>★</w:t>
            </w:r>
            <w:r>
              <w:rPr>
                <w:rFonts w:hint="eastAsia" w:ascii="宋体" w:eastAsia="宋体" w:cs="宋体"/>
                <w:b w:val="0"/>
                <w:bCs w:val="0"/>
                <w:color w:val="auto"/>
                <w:sz w:val="22"/>
                <w:szCs w:val="22"/>
                <w:highlight w:val="none"/>
                <w:lang w:val="en-US" w:eastAsia="zh-CN"/>
              </w:rPr>
              <w:t>干部名册管理</w:t>
            </w:r>
          </w:p>
        </w:tc>
        <w:tc>
          <w:tcPr>
            <w:tcW w:w="4478" w:type="dxa"/>
            <w:tcBorders>
              <w:top w:val="nil"/>
              <w:left w:val="nil"/>
              <w:bottom w:val="single" w:color="auto" w:sz="4" w:space="0"/>
              <w:right w:val="single" w:color="auto" w:sz="4" w:space="0"/>
            </w:tcBorders>
            <w:noWrap w:val="0"/>
            <w:vAlign w:val="center"/>
          </w:tcPr>
          <w:p w14:paraId="7D10119C">
            <w:pPr>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名册数据生成</w:t>
            </w:r>
            <w:r>
              <w:rPr>
                <w:rFonts w:hint="eastAsia" w:asci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支持对名册数据进行维护，可配置名册中人员数据范围，配置名册展示模板和统计分析模板，形成相应的名册数据。</w:t>
            </w:r>
          </w:p>
        </w:tc>
      </w:tr>
      <w:tr w14:paraId="6CFAA617">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3B5BD907">
            <w:pPr>
              <w:jc w:val="center"/>
              <w:rPr>
                <w:rFonts w:hint="default" w:asci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42</w:t>
            </w:r>
          </w:p>
        </w:tc>
        <w:tc>
          <w:tcPr>
            <w:tcW w:w="1179" w:type="dxa"/>
            <w:vMerge w:val="continue"/>
            <w:tcBorders>
              <w:left w:val="single" w:color="auto" w:sz="4" w:space="0"/>
              <w:right w:val="single" w:color="auto" w:sz="4" w:space="0"/>
            </w:tcBorders>
            <w:noWrap w:val="0"/>
            <w:vAlign w:val="center"/>
          </w:tcPr>
          <w:p w14:paraId="6818B106">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4A90704C">
            <w:pPr>
              <w:jc w:val="cente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293EAE13">
            <w:pPr>
              <w:jc w:val="center"/>
              <w:rPr>
                <w:rFonts w:hint="eastAsia" w:ascii="宋体" w:eastAsia="宋体" w:cs="宋体"/>
                <w:b w:val="0"/>
                <w:bCs w:val="0"/>
                <w:color w:val="auto"/>
                <w:sz w:val="22"/>
                <w:szCs w:val="22"/>
                <w:highlight w:val="none"/>
                <w:lang w:val="en-US" w:eastAsia="zh-CN"/>
              </w:rPr>
            </w:pPr>
            <w:r>
              <w:rPr>
                <w:rFonts w:hint="eastAsia" w:ascii="宋体" w:hAnsi="宋体" w:eastAsia="宋体"/>
                <w:color w:val="auto"/>
                <w:szCs w:val="24"/>
                <w:highlight w:val="none"/>
              </w:rPr>
              <w:t>★</w:t>
            </w:r>
            <w:r>
              <w:rPr>
                <w:rFonts w:hint="eastAsia" w:ascii="宋体" w:eastAsia="宋体" w:cs="宋体"/>
                <w:b w:val="0"/>
                <w:bCs w:val="0"/>
                <w:color w:val="auto"/>
                <w:sz w:val="22"/>
                <w:szCs w:val="22"/>
                <w:highlight w:val="none"/>
                <w:lang w:val="en-US" w:eastAsia="zh-CN"/>
              </w:rPr>
              <w:t>分类名册管理</w:t>
            </w:r>
          </w:p>
        </w:tc>
        <w:tc>
          <w:tcPr>
            <w:tcW w:w="4478" w:type="dxa"/>
            <w:tcBorders>
              <w:top w:val="nil"/>
              <w:left w:val="nil"/>
              <w:bottom w:val="single" w:color="auto" w:sz="4" w:space="0"/>
              <w:right w:val="single" w:color="auto" w:sz="4" w:space="0"/>
            </w:tcBorders>
            <w:noWrap w:val="0"/>
            <w:vAlign w:val="center"/>
          </w:tcPr>
          <w:p w14:paraId="5CEA5909">
            <w:pPr>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提供分类名册模板并能够对名册内数据进行调整。</w:t>
            </w:r>
          </w:p>
        </w:tc>
      </w:tr>
      <w:tr w14:paraId="6555F4E6">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4928BEFC">
            <w:pPr>
              <w:jc w:val="center"/>
              <w:rPr>
                <w:rFonts w:hint="default" w:asci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43</w:t>
            </w:r>
          </w:p>
        </w:tc>
        <w:tc>
          <w:tcPr>
            <w:tcW w:w="1179" w:type="dxa"/>
            <w:vMerge w:val="continue"/>
            <w:tcBorders>
              <w:left w:val="single" w:color="auto" w:sz="4" w:space="0"/>
              <w:right w:val="single" w:color="auto" w:sz="4" w:space="0"/>
            </w:tcBorders>
            <w:noWrap w:val="0"/>
            <w:vAlign w:val="center"/>
          </w:tcPr>
          <w:p w14:paraId="10C38E87">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788B80AD">
            <w:pPr>
              <w:jc w:val="cente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51DF16F3">
            <w:pPr>
              <w:jc w:val="center"/>
              <w:rPr>
                <w:rFonts w:hint="default" w:ascii="宋体" w:eastAsia="宋体" w:cs="宋体"/>
                <w:b w:val="0"/>
                <w:bCs w:val="0"/>
                <w:color w:val="auto"/>
                <w:sz w:val="22"/>
                <w:szCs w:val="22"/>
                <w:highlight w:val="none"/>
                <w:lang w:val="en-US" w:eastAsia="zh-CN"/>
              </w:rPr>
            </w:pPr>
            <w:r>
              <w:rPr>
                <w:rFonts w:hint="eastAsia" w:ascii="宋体" w:hAnsi="宋体" w:eastAsia="宋体"/>
                <w:color w:val="auto"/>
                <w:szCs w:val="24"/>
                <w:highlight w:val="none"/>
              </w:rPr>
              <w:t>★</w:t>
            </w:r>
            <w:r>
              <w:rPr>
                <w:rFonts w:hint="eastAsia" w:ascii="宋体" w:eastAsia="宋体" w:cs="宋体"/>
                <w:b w:val="0"/>
                <w:bCs w:val="0"/>
                <w:color w:val="auto"/>
                <w:sz w:val="22"/>
                <w:szCs w:val="22"/>
                <w:highlight w:val="none"/>
                <w:lang w:val="en-US" w:eastAsia="zh-CN"/>
              </w:rPr>
              <w:t>单位管理</w:t>
            </w:r>
          </w:p>
        </w:tc>
        <w:tc>
          <w:tcPr>
            <w:tcW w:w="4478" w:type="dxa"/>
            <w:tcBorders>
              <w:top w:val="nil"/>
              <w:left w:val="nil"/>
              <w:bottom w:val="single" w:color="auto" w:sz="4" w:space="0"/>
              <w:right w:val="single" w:color="auto" w:sz="4" w:space="0"/>
            </w:tcBorders>
            <w:noWrap w:val="0"/>
            <w:vAlign w:val="center"/>
          </w:tcPr>
          <w:p w14:paraId="47AA5123">
            <w:pPr>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单位数据生成</w:t>
            </w:r>
            <w:r>
              <w:rPr>
                <w:rFonts w:hint="eastAsia" w:asci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能够对单位数据信息进行维护，形成相应的单位树，方便查看。支持单位映射。</w:t>
            </w:r>
          </w:p>
        </w:tc>
      </w:tr>
      <w:tr w14:paraId="7901CA5A">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5797B6A0">
            <w:pPr>
              <w:jc w:val="center"/>
              <w:rPr>
                <w:rFonts w:hint="default" w:asci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44</w:t>
            </w:r>
          </w:p>
        </w:tc>
        <w:tc>
          <w:tcPr>
            <w:tcW w:w="1179" w:type="dxa"/>
            <w:vMerge w:val="continue"/>
            <w:tcBorders>
              <w:left w:val="single" w:color="auto" w:sz="4" w:space="0"/>
              <w:right w:val="single" w:color="auto" w:sz="4" w:space="0"/>
            </w:tcBorders>
            <w:noWrap w:val="0"/>
            <w:vAlign w:val="center"/>
          </w:tcPr>
          <w:p w14:paraId="06CE207C">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304170BC">
            <w:pPr>
              <w:jc w:val="cente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416E4A93">
            <w:pPr>
              <w:jc w:val="center"/>
              <w:rPr>
                <w:rFonts w:hint="default" w:ascii="宋体" w:eastAsia="宋体" w:cs="宋体"/>
                <w:b w:val="0"/>
                <w:bCs w:val="0"/>
                <w:color w:val="auto"/>
                <w:sz w:val="22"/>
                <w:szCs w:val="22"/>
                <w:highlight w:val="none"/>
                <w:lang w:val="en-US" w:eastAsia="zh-CN"/>
              </w:rPr>
            </w:pPr>
            <w:r>
              <w:rPr>
                <w:rFonts w:hint="eastAsia" w:ascii="宋体" w:hAnsi="宋体" w:eastAsia="宋体"/>
                <w:color w:val="auto"/>
                <w:szCs w:val="24"/>
                <w:highlight w:val="none"/>
              </w:rPr>
              <w:t>★</w:t>
            </w:r>
            <w:r>
              <w:rPr>
                <w:rFonts w:hint="eastAsia" w:ascii="宋体" w:eastAsia="宋体" w:cs="宋体"/>
                <w:b w:val="0"/>
                <w:bCs w:val="0"/>
                <w:color w:val="auto"/>
                <w:sz w:val="22"/>
                <w:szCs w:val="22"/>
                <w:highlight w:val="none"/>
                <w:lang w:val="en-US" w:eastAsia="zh-CN"/>
              </w:rPr>
              <w:t>资料管理</w:t>
            </w:r>
          </w:p>
        </w:tc>
        <w:tc>
          <w:tcPr>
            <w:tcW w:w="4478" w:type="dxa"/>
            <w:tcBorders>
              <w:top w:val="nil"/>
              <w:left w:val="nil"/>
              <w:bottom w:val="single" w:color="auto" w:sz="4" w:space="0"/>
              <w:right w:val="single" w:color="auto" w:sz="4" w:space="0"/>
            </w:tcBorders>
            <w:noWrap w:val="0"/>
            <w:vAlign w:val="center"/>
          </w:tcPr>
          <w:p w14:paraId="1D44963C">
            <w:pPr>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维护单位和人员相关材料、政策规定等。</w:t>
            </w:r>
          </w:p>
          <w:p w14:paraId="657E7F64">
            <w:pPr>
              <w:jc w:val="left"/>
              <w:rPr>
                <w:rFonts w:hint="eastAsia" w:ascii="宋体" w:hAnsi="宋体" w:eastAsia="宋体" w:cs="宋体"/>
                <w:b w:val="0"/>
                <w:bCs w:val="0"/>
                <w:color w:val="auto"/>
                <w:sz w:val="22"/>
                <w:szCs w:val="22"/>
                <w:highlight w:val="none"/>
              </w:rPr>
            </w:pPr>
          </w:p>
        </w:tc>
      </w:tr>
      <w:tr w14:paraId="6EABD21A">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46D9F36B">
            <w:pPr>
              <w:jc w:val="center"/>
              <w:rPr>
                <w:rFonts w:hint="default" w:asci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45</w:t>
            </w:r>
          </w:p>
        </w:tc>
        <w:tc>
          <w:tcPr>
            <w:tcW w:w="1179" w:type="dxa"/>
            <w:vMerge w:val="continue"/>
            <w:tcBorders>
              <w:left w:val="single" w:color="auto" w:sz="4" w:space="0"/>
              <w:right w:val="single" w:color="auto" w:sz="4" w:space="0"/>
            </w:tcBorders>
            <w:noWrap w:val="0"/>
            <w:vAlign w:val="center"/>
          </w:tcPr>
          <w:p w14:paraId="137D1629">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1EC3CB96">
            <w:pPr>
              <w:jc w:val="cente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267B021F">
            <w:pPr>
              <w:jc w:val="center"/>
              <w:rPr>
                <w:rFonts w:hint="default" w:ascii="宋体" w:eastAsia="宋体" w:cs="宋体"/>
                <w:b w:val="0"/>
                <w:bCs w:val="0"/>
                <w:color w:val="auto"/>
                <w:sz w:val="22"/>
                <w:szCs w:val="22"/>
                <w:highlight w:val="none"/>
                <w:lang w:val="en-US" w:eastAsia="zh-CN"/>
              </w:rPr>
            </w:pPr>
            <w:r>
              <w:rPr>
                <w:rFonts w:hint="eastAsia" w:ascii="宋体" w:hAnsi="宋体" w:eastAsia="宋体"/>
                <w:color w:val="auto"/>
                <w:szCs w:val="24"/>
                <w:highlight w:val="none"/>
              </w:rPr>
              <w:t>★</w:t>
            </w:r>
            <w:r>
              <w:rPr>
                <w:rFonts w:hint="eastAsia" w:ascii="宋体" w:eastAsia="宋体" w:cs="宋体"/>
                <w:b w:val="0"/>
                <w:bCs w:val="0"/>
                <w:color w:val="auto"/>
                <w:sz w:val="22"/>
                <w:szCs w:val="22"/>
                <w:highlight w:val="none"/>
                <w:lang w:val="en-US" w:eastAsia="zh-CN"/>
              </w:rPr>
              <w:t>设备管理</w:t>
            </w:r>
          </w:p>
        </w:tc>
        <w:tc>
          <w:tcPr>
            <w:tcW w:w="4478" w:type="dxa"/>
            <w:tcBorders>
              <w:top w:val="nil"/>
              <w:left w:val="nil"/>
              <w:bottom w:val="single" w:color="auto" w:sz="4" w:space="0"/>
              <w:right w:val="single" w:color="auto" w:sz="4" w:space="0"/>
            </w:tcBorders>
            <w:noWrap w:val="0"/>
            <w:vAlign w:val="center"/>
          </w:tcPr>
          <w:p w14:paraId="633CD855">
            <w:pPr>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PAD硬件设备管理，能够记录PAD的使用对象与编码，并且与安装的软件版本与数据版本一一对应。</w:t>
            </w:r>
          </w:p>
        </w:tc>
      </w:tr>
      <w:tr w14:paraId="009FA8FB">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3FC1C040">
            <w:pPr>
              <w:jc w:val="center"/>
              <w:rPr>
                <w:rFonts w:hint="default" w:asci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46</w:t>
            </w:r>
          </w:p>
        </w:tc>
        <w:tc>
          <w:tcPr>
            <w:tcW w:w="1179" w:type="dxa"/>
            <w:vMerge w:val="continue"/>
            <w:tcBorders>
              <w:left w:val="single" w:color="auto" w:sz="4" w:space="0"/>
              <w:right w:val="single" w:color="auto" w:sz="4" w:space="0"/>
            </w:tcBorders>
            <w:noWrap w:val="0"/>
            <w:vAlign w:val="center"/>
          </w:tcPr>
          <w:p w14:paraId="27459A79">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7D2A6CD1">
            <w:pPr>
              <w:jc w:val="cente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6A67AFCD">
            <w:pPr>
              <w:jc w:val="center"/>
              <w:rPr>
                <w:rFonts w:hint="default" w:asci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全局配置</w:t>
            </w:r>
          </w:p>
        </w:tc>
        <w:tc>
          <w:tcPr>
            <w:tcW w:w="4478" w:type="dxa"/>
            <w:tcBorders>
              <w:top w:val="nil"/>
              <w:left w:val="nil"/>
              <w:bottom w:val="single" w:color="auto" w:sz="4" w:space="0"/>
              <w:right w:val="single" w:color="auto" w:sz="4" w:space="0"/>
            </w:tcBorders>
            <w:noWrap w:val="0"/>
            <w:vAlign w:val="center"/>
          </w:tcPr>
          <w:p w14:paraId="7B60B80E">
            <w:pPr>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能够配置相应的表单展现形式与展现位置；能够对表单统计维度的范围进行定义维护。定制显示功能、统计图表样式、个性化图。</w:t>
            </w:r>
          </w:p>
          <w:p w14:paraId="58293F87">
            <w:pPr>
              <w:jc w:val="left"/>
              <w:rPr>
                <w:rFonts w:hint="eastAsia" w:ascii="宋体" w:hAnsi="宋体" w:eastAsia="宋体" w:cs="宋体"/>
                <w:b w:val="0"/>
                <w:bCs w:val="0"/>
                <w:color w:val="auto"/>
                <w:sz w:val="22"/>
                <w:szCs w:val="22"/>
                <w:highlight w:val="none"/>
              </w:rPr>
            </w:pPr>
          </w:p>
        </w:tc>
      </w:tr>
      <w:tr w14:paraId="07F9BE38">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222053B2">
            <w:pPr>
              <w:jc w:val="center"/>
              <w:rPr>
                <w:rFonts w:hint="default" w:asci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47</w:t>
            </w:r>
          </w:p>
        </w:tc>
        <w:tc>
          <w:tcPr>
            <w:tcW w:w="1179" w:type="dxa"/>
            <w:vMerge w:val="continue"/>
            <w:tcBorders>
              <w:left w:val="single" w:color="auto" w:sz="4" w:space="0"/>
              <w:right w:val="single" w:color="auto" w:sz="4" w:space="0"/>
            </w:tcBorders>
            <w:noWrap w:val="0"/>
            <w:vAlign w:val="center"/>
          </w:tcPr>
          <w:p w14:paraId="4ADDE626">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152B0EB1">
            <w:pPr>
              <w:jc w:val="cente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28CBE018">
            <w:pPr>
              <w:jc w:val="center"/>
              <w:rPr>
                <w:rFonts w:hint="default" w:asci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数据包管理</w:t>
            </w:r>
          </w:p>
        </w:tc>
        <w:tc>
          <w:tcPr>
            <w:tcW w:w="4478" w:type="dxa"/>
            <w:tcBorders>
              <w:top w:val="nil"/>
              <w:left w:val="nil"/>
              <w:bottom w:val="single" w:color="auto" w:sz="4" w:space="0"/>
              <w:right w:val="single" w:color="auto" w:sz="4" w:space="0"/>
            </w:tcBorders>
            <w:noWrap w:val="0"/>
            <w:vAlign w:val="center"/>
          </w:tcPr>
          <w:p w14:paraId="12147314">
            <w:pPr>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数据生成、数据包历史版本管理、数据比对。</w:t>
            </w:r>
          </w:p>
          <w:p w14:paraId="3A04EB5C">
            <w:pPr>
              <w:jc w:val="left"/>
              <w:rPr>
                <w:rFonts w:hint="eastAsia" w:ascii="宋体" w:hAnsi="宋体" w:eastAsia="宋体" w:cs="宋体"/>
                <w:b w:val="0"/>
                <w:bCs w:val="0"/>
                <w:color w:val="auto"/>
                <w:sz w:val="22"/>
                <w:szCs w:val="22"/>
                <w:highlight w:val="none"/>
              </w:rPr>
            </w:pPr>
          </w:p>
        </w:tc>
      </w:tr>
      <w:tr w14:paraId="5CB43070">
        <w:tblPrEx>
          <w:tblCellMar>
            <w:top w:w="0" w:type="dxa"/>
            <w:left w:w="108" w:type="dxa"/>
            <w:bottom w:w="0" w:type="dxa"/>
            <w:right w:w="108" w:type="dxa"/>
          </w:tblCellMar>
        </w:tblPrEx>
        <w:trPr>
          <w:trHeight w:val="547" w:hRule="atLeast"/>
        </w:trPr>
        <w:tc>
          <w:tcPr>
            <w:tcW w:w="1171" w:type="dxa"/>
            <w:tcBorders>
              <w:top w:val="nil"/>
              <w:left w:val="single" w:color="auto" w:sz="4" w:space="0"/>
              <w:bottom w:val="single" w:color="auto" w:sz="4" w:space="0"/>
              <w:right w:val="single" w:color="auto" w:sz="4" w:space="0"/>
            </w:tcBorders>
            <w:noWrap/>
            <w:vAlign w:val="center"/>
          </w:tcPr>
          <w:p w14:paraId="7FD332FE">
            <w:pPr>
              <w:jc w:val="center"/>
              <w:rPr>
                <w:rFonts w:hint="default" w:asci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48</w:t>
            </w:r>
          </w:p>
        </w:tc>
        <w:tc>
          <w:tcPr>
            <w:tcW w:w="1179" w:type="dxa"/>
            <w:vMerge w:val="continue"/>
            <w:tcBorders>
              <w:left w:val="single" w:color="auto" w:sz="4" w:space="0"/>
              <w:right w:val="single" w:color="auto" w:sz="4" w:space="0"/>
            </w:tcBorders>
            <w:noWrap w:val="0"/>
            <w:vAlign w:val="center"/>
          </w:tcPr>
          <w:p w14:paraId="1436B01A">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641D31BC">
            <w:pPr>
              <w:jc w:val="cente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3BCAE23E">
            <w:pPr>
              <w:jc w:val="center"/>
              <w:rPr>
                <w:rFonts w:hint="default" w:asci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数据包可视化编辑</w:t>
            </w:r>
          </w:p>
        </w:tc>
        <w:tc>
          <w:tcPr>
            <w:tcW w:w="4478" w:type="dxa"/>
            <w:tcBorders>
              <w:top w:val="nil"/>
              <w:left w:val="nil"/>
              <w:bottom w:val="single" w:color="auto" w:sz="4" w:space="0"/>
              <w:right w:val="single" w:color="auto" w:sz="4" w:space="0"/>
            </w:tcBorders>
            <w:noWrap w:val="0"/>
            <w:vAlign w:val="center"/>
          </w:tcPr>
          <w:p w14:paraId="2DCD0C33">
            <w:pPr>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支持对抽出的数据包进行维护。</w:t>
            </w:r>
          </w:p>
        </w:tc>
      </w:tr>
      <w:tr w14:paraId="201EC57D">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79A8EFA7">
            <w:pPr>
              <w:jc w:val="center"/>
              <w:rPr>
                <w:rFonts w:hint="default" w:asci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49</w:t>
            </w:r>
          </w:p>
        </w:tc>
        <w:tc>
          <w:tcPr>
            <w:tcW w:w="1179" w:type="dxa"/>
            <w:vMerge w:val="continue"/>
            <w:tcBorders>
              <w:left w:val="single" w:color="auto" w:sz="4" w:space="0"/>
              <w:right w:val="single" w:color="auto" w:sz="4" w:space="0"/>
            </w:tcBorders>
            <w:noWrap w:val="0"/>
            <w:vAlign w:val="center"/>
          </w:tcPr>
          <w:p w14:paraId="7D91DB04">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344E3E2D">
            <w:pPr>
              <w:jc w:val="cente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3DBA4B1E">
            <w:pPr>
              <w:jc w:val="center"/>
              <w:rPr>
                <w:rFonts w:hint="default" w:asci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数据转换</w:t>
            </w:r>
          </w:p>
        </w:tc>
        <w:tc>
          <w:tcPr>
            <w:tcW w:w="4478" w:type="dxa"/>
            <w:tcBorders>
              <w:top w:val="nil"/>
              <w:left w:val="nil"/>
              <w:bottom w:val="single" w:color="auto" w:sz="4" w:space="0"/>
              <w:right w:val="single" w:color="auto" w:sz="4" w:space="0"/>
            </w:tcBorders>
            <w:noWrap w:val="0"/>
            <w:vAlign w:val="center"/>
          </w:tcPr>
          <w:p w14:paraId="781D3CDF">
            <w:pPr>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通过数据标准化与清洗，进行业务数据入库。</w:t>
            </w:r>
          </w:p>
        </w:tc>
      </w:tr>
      <w:tr w14:paraId="0526777A">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0EE98773">
            <w:pPr>
              <w:jc w:val="center"/>
              <w:rPr>
                <w:rFonts w:hint="default" w:asci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50</w:t>
            </w:r>
          </w:p>
        </w:tc>
        <w:tc>
          <w:tcPr>
            <w:tcW w:w="1179" w:type="dxa"/>
            <w:vMerge w:val="continue"/>
            <w:tcBorders>
              <w:left w:val="single" w:color="auto" w:sz="4" w:space="0"/>
              <w:right w:val="single" w:color="auto" w:sz="4" w:space="0"/>
            </w:tcBorders>
            <w:noWrap w:val="0"/>
            <w:vAlign w:val="center"/>
          </w:tcPr>
          <w:p w14:paraId="312BC6F1">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7E16B890">
            <w:pPr>
              <w:jc w:val="cente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3043E7A5">
            <w:pPr>
              <w:jc w:val="center"/>
              <w:rPr>
                <w:rFonts w:hint="default" w:asci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数据包权限配置</w:t>
            </w:r>
          </w:p>
        </w:tc>
        <w:tc>
          <w:tcPr>
            <w:tcW w:w="4478" w:type="dxa"/>
            <w:tcBorders>
              <w:top w:val="nil"/>
              <w:left w:val="nil"/>
              <w:bottom w:val="single" w:color="auto" w:sz="4" w:space="0"/>
              <w:right w:val="single" w:color="auto" w:sz="4" w:space="0"/>
            </w:tcBorders>
            <w:noWrap w:val="0"/>
            <w:vAlign w:val="center"/>
          </w:tcPr>
          <w:p w14:paraId="548C70EA">
            <w:pPr>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对数据包角色进行配置，不同角色不同权限。</w:t>
            </w:r>
          </w:p>
          <w:p w14:paraId="75021C2B">
            <w:pPr>
              <w:jc w:val="left"/>
              <w:rPr>
                <w:rFonts w:hint="eastAsia" w:ascii="宋体" w:hAnsi="宋体" w:eastAsia="宋体" w:cs="宋体"/>
                <w:b w:val="0"/>
                <w:bCs w:val="0"/>
                <w:color w:val="auto"/>
                <w:sz w:val="22"/>
                <w:szCs w:val="22"/>
                <w:highlight w:val="none"/>
              </w:rPr>
            </w:pPr>
          </w:p>
        </w:tc>
      </w:tr>
      <w:tr w14:paraId="29D44E0B">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642CE88D">
            <w:pPr>
              <w:jc w:val="center"/>
              <w:rPr>
                <w:rFonts w:hint="default" w:asci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51</w:t>
            </w:r>
          </w:p>
        </w:tc>
        <w:tc>
          <w:tcPr>
            <w:tcW w:w="1179" w:type="dxa"/>
            <w:vMerge w:val="continue"/>
            <w:tcBorders>
              <w:left w:val="single" w:color="auto" w:sz="4" w:space="0"/>
              <w:right w:val="single" w:color="auto" w:sz="4" w:space="0"/>
            </w:tcBorders>
            <w:noWrap w:val="0"/>
            <w:vAlign w:val="center"/>
          </w:tcPr>
          <w:p w14:paraId="43AF2B77">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bottom w:val="single" w:color="auto" w:sz="4" w:space="0"/>
              <w:right w:val="single" w:color="auto" w:sz="4" w:space="0"/>
            </w:tcBorders>
            <w:noWrap w:val="0"/>
            <w:vAlign w:val="center"/>
          </w:tcPr>
          <w:p w14:paraId="6F23D001">
            <w:pPr>
              <w:jc w:val="cente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67246270">
            <w:pPr>
              <w:jc w:val="center"/>
              <w:rPr>
                <w:rFonts w:hint="default" w:asci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引擎与知识库</w:t>
            </w:r>
          </w:p>
        </w:tc>
        <w:tc>
          <w:tcPr>
            <w:tcW w:w="4478" w:type="dxa"/>
            <w:tcBorders>
              <w:top w:val="nil"/>
              <w:left w:val="nil"/>
              <w:bottom w:val="single" w:color="auto" w:sz="4" w:space="0"/>
              <w:right w:val="single" w:color="auto" w:sz="4" w:space="0"/>
            </w:tcBorders>
            <w:noWrap w:val="0"/>
            <w:vAlign w:val="center"/>
          </w:tcPr>
          <w:p w14:paraId="4464E7E0">
            <w:pPr>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内置语义分析引擎，500+分析规则，50余套分析模板，20余种分析维度；准确查询的词库索引库，快速响应自定义分析视图。</w:t>
            </w:r>
          </w:p>
          <w:p w14:paraId="2C1655B0">
            <w:pPr>
              <w:jc w:val="left"/>
              <w:rPr>
                <w:rFonts w:hint="eastAsia" w:ascii="宋体" w:hAnsi="宋体" w:eastAsia="宋体" w:cs="宋体"/>
                <w:b w:val="0"/>
                <w:bCs w:val="0"/>
                <w:color w:val="auto"/>
                <w:sz w:val="22"/>
                <w:szCs w:val="22"/>
                <w:highlight w:val="none"/>
              </w:rPr>
            </w:pPr>
          </w:p>
        </w:tc>
      </w:tr>
      <w:tr w14:paraId="706CAD1C">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596A9D01">
            <w:pPr>
              <w:jc w:val="center"/>
              <w:rPr>
                <w:rFonts w:hint="default" w:ascii="宋体" w:hAns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52</w:t>
            </w:r>
          </w:p>
        </w:tc>
        <w:tc>
          <w:tcPr>
            <w:tcW w:w="1179" w:type="dxa"/>
            <w:vMerge w:val="continue"/>
            <w:tcBorders>
              <w:left w:val="single" w:color="auto" w:sz="4" w:space="0"/>
              <w:right w:val="single" w:color="auto" w:sz="4" w:space="0"/>
            </w:tcBorders>
            <w:noWrap w:val="0"/>
            <w:vAlign w:val="center"/>
          </w:tcPr>
          <w:p w14:paraId="61822C05">
            <w:pPr>
              <w:rPr>
                <w:rFonts w:hint="eastAsia" w:ascii="宋体" w:hAnsi="宋体" w:eastAsia="宋体" w:cs="宋体"/>
                <w:b w:val="0"/>
                <w:bCs w:val="0"/>
                <w:color w:val="auto"/>
                <w:sz w:val="22"/>
                <w:szCs w:val="22"/>
                <w:highlight w:val="none"/>
              </w:rPr>
            </w:pPr>
          </w:p>
        </w:tc>
        <w:tc>
          <w:tcPr>
            <w:tcW w:w="1179" w:type="dxa"/>
            <w:vMerge w:val="restart"/>
            <w:tcBorders>
              <w:top w:val="nil"/>
              <w:left w:val="single" w:color="auto" w:sz="4" w:space="0"/>
              <w:right w:val="single" w:color="auto" w:sz="4" w:space="0"/>
            </w:tcBorders>
            <w:noWrap w:val="0"/>
            <w:vAlign w:val="center"/>
          </w:tcPr>
          <w:p w14:paraId="34E16086">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val="en-US" w:eastAsia="zh-CN"/>
              </w:rPr>
              <w:t>干</w:t>
            </w:r>
            <w:r>
              <w:rPr>
                <w:rFonts w:hint="eastAsia" w:ascii="宋体" w:hAnsi="宋体" w:eastAsia="宋体" w:cs="宋体"/>
                <w:b w:val="0"/>
                <w:bCs w:val="0"/>
                <w:color w:val="auto"/>
                <w:sz w:val="22"/>
                <w:szCs w:val="22"/>
                <w:highlight w:val="none"/>
              </w:rPr>
              <w:t>部任免上会系统</w:t>
            </w:r>
          </w:p>
        </w:tc>
        <w:tc>
          <w:tcPr>
            <w:tcW w:w="1413" w:type="dxa"/>
            <w:tcBorders>
              <w:top w:val="nil"/>
              <w:left w:val="nil"/>
              <w:bottom w:val="single" w:color="auto" w:sz="4" w:space="0"/>
              <w:right w:val="single" w:color="auto" w:sz="4" w:space="0"/>
            </w:tcBorders>
            <w:noWrap w:val="0"/>
            <w:vAlign w:val="center"/>
          </w:tcPr>
          <w:p w14:paraId="0D7C9B68">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会议管理</w:t>
            </w:r>
          </w:p>
        </w:tc>
        <w:tc>
          <w:tcPr>
            <w:tcW w:w="4478" w:type="dxa"/>
            <w:tcBorders>
              <w:top w:val="nil"/>
              <w:left w:val="nil"/>
              <w:bottom w:val="single" w:color="auto" w:sz="4" w:space="0"/>
              <w:right w:val="single" w:color="auto" w:sz="4" w:space="0"/>
            </w:tcBorders>
            <w:noWrap w:val="0"/>
            <w:vAlign w:val="center"/>
          </w:tcPr>
          <w:p w14:paraId="2449B1CD">
            <w:pPr>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会议管理支持对PAD端演示会议内容进行定制，会议定制可以为不同任免工作定制讨论决定阶段的会议，包括部务会、书记会、常委会、党委会、党组会等会议。会议管理包括添加会议、编辑会议、删除会议。</w:t>
            </w:r>
          </w:p>
        </w:tc>
      </w:tr>
      <w:tr w14:paraId="630B1594">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78B11AED">
            <w:pPr>
              <w:jc w:val="center"/>
              <w:rPr>
                <w:rFonts w:hint="default" w:ascii="宋体" w:hAns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53</w:t>
            </w:r>
          </w:p>
        </w:tc>
        <w:tc>
          <w:tcPr>
            <w:tcW w:w="1179" w:type="dxa"/>
            <w:vMerge w:val="continue"/>
            <w:tcBorders>
              <w:left w:val="single" w:color="auto" w:sz="4" w:space="0"/>
              <w:right w:val="single" w:color="auto" w:sz="4" w:space="0"/>
            </w:tcBorders>
            <w:noWrap w:val="0"/>
            <w:vAlign w:val="center"/>
          </w:tcPr>
          <w:p w14:paraId="046D9CF4">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66D37245">
            <w:pPr>
              <w:jc w:val="cente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39AB5C61">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议题管理</w:t>
            </w:r>
          </w:p>
        </w:tc>
        <w:tc>
          <w:tcPr>
            <w:tcW w:w="4478" w:type="dxa"/>
            <w:tcBorders>
              <w:top w:val="nil"/>
              <w:left w:val="nil"/>
              <w:bottom w:val="single" w:color="auto" w:sz="4" w:space="0"/>
              <w:right w:val="single" w:color="auto" w:sz="4" w:space="0"/>
            </w:tcBorders>
            <w:noWrap w:val="0"/>
            <w:vAlign w:val="center"/>
          </w:tcPr>
          <w:p w14:paraId="2DC8C080">
            <w:pPr>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会议议题管理主要用于描述本次上会主要讨论的内容。会议议题包括添加议题、编辑议题、删除议题。</w:t>
            </w:r>
          </w:p>
        </w:tc>
      </w:tr>
      <w:tr w14:paraId="4050ADA1">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4383400F">
            <w:pPr>
              <w:jc w:val="center"/>
              <w:rPr>
                <w:rFonts w:hint="default" w:ascii="宋体" w:hAns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54</w:t>
            </w:r>
          </w:p>
        </w:tc>
        <w:tc>
          <w:tcPr>
            <w:tcW w:w="1179" w:type="dxa"/>
            <w:vMerge w:val="continue"/>
            <w:tcBorders>
              <w:left w:val="single" w:color="auto" w:sz="4" w:space="0"/>
              <w:right w:val="single" w:color="auto" w:sz="4" w:space="0"/>
            </w:tcBorders>
            <w:noWrap w:val="0"/>
            <w:vAlign w:val="center"/>
          </w:tcPr>
          <w:p w14:paraId="58ADCE8C">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3DB57461">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0E71632C">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上会人员管理</w:t>
            </w:r>
          </w:p>
        </w:tc>
        <w:tc>
          <w:tcPr>
            <w:tcW w:w="4478" w:type="dxa"/>
            <w:tcBorders>
              <w:top w:val="nil"/>
              <w:left w:val="nil"/>
              <w:bottom w:val="single" w:color="auto" w:sz="4" w:space="0"/>
              <w:right w:val="single" w:color="auto" w:sz="4" w:space="0"/>
            </w:tcBorders>
            <w:noWrap w:val="0"/>
            <w:vAlign w:val="center"/>
          </w:tcPr>
          <w:p w14:paraId="6471788B">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添加完会议和议题后就可以与需要上会的人员进行关联，通过登记人员的方式将相关的干部添加至上会需要讨论的议题中。上会人员管理包括查询、登记、删除。</w:t>
            </w:r>
          </w:p>
        </w:tc>
      </w:tr>
      <w:tr w14:paraId="131AD00E">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1DA46BCB">
            <w:pPr>
              <w:jc w:val="center"/>
              <w:rPr>
                <w:rFonts w:hint="default" w:asci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55</w:t>
            </w:r>
          </w:p>
        </w:tc>
        <w:tc>
          <w:tcPr>
            <w:tcW w:w="1179" w:type="dxa"/>
            <w:vMerge w:val="continue"/>
            <w:tcBorders>
              <w:left w:val="single" w:color="auto" w:sz="4" w:space="0"/>
              <w:right w:val="single" w:color="auto" w:sz="4" w:space="0"/>
            </w:tcBorders>
            <w:noWrap w:val="0"/>
            <w:vAlign w:val="center"/>
          </w:tcPr>
          <w:p w14:paraId="6E5B1E8E">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1C73F5E9">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2B75CC81">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数据包管理</w:t>
            </w:r>
          </w:p>
        </w:tc>
        <w:tc>
          <w:tcPr>
            <w:tcW w:w="4478" w:type="dxa"/>
            <w:tcBorders>
              <w:top w:val="nil"/>
              <w:left w:val="nil"/>
              <w:bottom w:val="single" w:color="auto" w:sz="4" w:space="0"/>
              <w:right w:val="single" w:color="auto" w:sz="4" w:space="0"/>
            </w:tcBorders>
            <w:noWrap w:val="0"/>
            <w:vAlign w:val="center"/>
          </w:tcPr>
          <w:p w14:paraId="5C26F347">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该功能提供将上会内容、人员信息、配置信息、相关资料等生成最终数据包，同时将数据包存在服务器上，并留下记录，方便查看与使用。</w:t>
            </w:r>
          </w:p>
        </w:tc>
      </w:tr>
      <w:tr w14:paraId="1C499DF1">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495DEC97">
            <w:pPr>
              <w:jc w:val="center"/>
              <w:rPr>
                <w:rFonts w:hint="default" w:asci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56</w:t>
            </w:r>
          </w:p>
        </w:tc>
        <w:tc>
          <w:tcPr>
            <w:tcW w:w="1179" w:type="dxa"/>
            <w:vMerge w:val="continue"/>
            <w:tcBorders>
              <w:left w:val="single" w:color="auto" w:sz="4" w:space="0"/>
              <w:right w:val="single" w:color="auto" w:sz="4" w:space="0"/>
            </w:tcBorders>
            <w:noWrap w:val="0"/>
            <w:vAlign w:val="center"/>
          </w:tcPr>
          <w:p w14:paraId="0B563558">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3A86AD63">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0FEB6245">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初始化设置</w:t>
            </w:r>
          </w:p>
        </w:tc>
        <w:tc>
          <w:tcPr>
            <w:tcW w:w="4478" w:type="dxa"/>
            <w:tcBorders>
              <w:top w:val="nil"/>
              <w:left w:val="nil"/>
              <w:bottom w:val="single" w:color="auto" w:sz="4" w:space="0"/>
              <w:right w:val="single" w:color="auto" w:sz="4" w:space="0"/>
            </w:tcBorders>
            <w:noWrap w:val="0"/>
            <w:vAlign w:val="center"/>
          </w:tcPr>
          <w:p w14:paraId="454EF31A">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提供对PAD端显示样式进行初始化设置。包含会议名称、主要内容、议题，名册的字体字号等样式，议题分组的颜色、加粗，任免横单显示列调整等。</w:t>
            </w:r>
          </w:p>
        </w:tc>
      </w:tr>
      <w:tr w14:paraId="67C61295">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2444AB71">
            <w:pPr>
              <w:jc w:val="center"/>
              <w:rPr>
                <w:rFonts w:hint="default" w:asci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57</w:t>
            </w:r>
          </w:p>
        </w:tc>
        <w:tc>
          <w:tcPr>
            <w:tcW w:w="1179" w:type="dxa"/>
            <w:vMerge w:val="continue"/>
            <w:tcBorders>
              <w:left w:val="single" w:color="auto" w:sz="4" w:space="0"/>
              <w:right w:val="single" w:color="auto" w:sz="4" w:space="0"/>
            </w:tcBorders>
            <w:noWrap w:val="0"/>
            <w:vAlign w:val="center"/>
          </w:tcPr>
          <w:p w14:paraId="0269EAA7">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13619218">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086075BA">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会议浏览</w:t>
            </w:r>
          </w:p>
        </w:tc>
        <w:tc>
          <w:tcPr>
            <w:tcW w:w="4478" w:type="dxa"/>
            <w:tcBorders>
              <w:top w:val="nil"/>
              <w:left w:val="nil"/>
              <w:bottom w:val="single" w:color="auto" w:sz="4" w:space="0"/>
              <w:right w:val="single" w:color="auto" w:sz="4" w:space="0"/>
            </w:tcBorders>
            <w:noWrap w:val="0"/>
            <w:vAlign w:val="center"/>
          </w:tcPr>
          <w:p w14:paraId="4A58C218">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所有会议在首页展示，不上会的会议会自动置灰。系统支持查看授权信息和销毁权限，上会结束需要清理数据，可点击右上角销毁数据。议题浏览</w:t>
            </w:r>
          </w:p>
          <w:p w14:paraId="7B8834B5">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议题浏览主支持按不同的议题进行查看，支持不同的议题制定不同的名单目录表。</w:t>
            </w:r>
          </w:p>
        </w:tc>
      </w:tr>
      <w:tr w14:paraId="35DA5D08">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62EEEE42">
            <w:pPr>
              <w:jc w:val="center"/>
              <w:rPr>
                <w:rFonts w:hint="default" w:asci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58</w:t>
            </w:r>
          </w:p>
        </w:tc>
        <w:tc>
          <w:tcPr>
            <w:tcW w:w="1179" w:type="dxa"/>
            <w:vMerge w:val="continue"/>
            <w:tcBorders>
              <w:left w:val="single" w:color="auto" w:sz="4" w:space="0"/>
              <w:right w:val="single" w:color="auto" w:sz="4" w:space="0"/>
            </w:tcBorders>
            <w:noWrap w:val="0"/>
            <w:vAlign w:val="center"/>
          </w:tcPr>
          <w:p w14:paraId="6B9CFD14">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195F9402">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4FC19F24">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人员浏览</w:t>
            </w:r>
          </w:p>
        </w:tc>
        <w:tc>
          <w:tcPr>
            <w:tcW w:w="4478" w:type="dxa"/>
            <w:tcBorders>
              <w:top w:val="nil"/>
              <w:left w:val="nil"/>
              <w:bottom w:val="single" w:color="auto" w:sz="4" w:space="0"/>
              <w:right w:val="single" w:color="auto" w:sz="4" w:space="0"/>
            </w:tcBorders>
            <w:noWrap w:val="0"/>
            <w:vAlign w:val="center"/>
          </w:tcPr>
          <w:p w14:paraId="4AFDFFCA">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系统支持以列表的形式展现上会人员，上会人员可按不同的单位、拟任免职务的顺序进行排序。通过列表清晰明了</w:t>
            </w:r>
            <w:r>
              <w:rPr>
                <w:rFonts w:hint="eastAsia" w:ascii="宋体" w:eastAsia="宋体" w:cs="宋体"/>
                <w:b w:val="0"/>
                <w:bCs w:val="0"/>
                <w:color w:val="auto"/>
                <w:sz w:val="22"/>
                <w:szCs w:val="22"/>
                <w:highlight w:val="none"/>
                <w:lang w:eastAsia="zh-CN"/>
              </w:rPr>
              <w:t>地</w:t>
            </w:r>
            <w:r>
              <w:rPr>
                <w:rFonts w:hint="eastAsia" w:ascii="宋体" w:hAnsi="宋体" w:eastAsia="宋体" w:cs="宋体"/>
                <w:b w:val="0"/>
                <w:bCs w:val="0"/>
                <w:color w:val="auto"/>
                <w:sz w:val="22"/>
                <w:szCs w:val="22"/>
                <w:highlight w:val="none"/>
              </w:rPr>
              <w:t>展现人员的详细信息。</w:t>
            </w:r>
          </w:p>
        </w:tc>
      </w:tr>
      <w:tr w14:paraId="1C2FBA81">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7155B96F">
            <w:pPr>
              <w:jc w:val="center"/>
              <w:rPr>
                <w:rFonts w:hint="default" w:asci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59</w:t>
            </w:r>
          </w:p>
        </w:tc>
        <w:tc>
          <w:tcPr>
            <w:tcW w:w="1179" w:type="dxa"/>
            <w:vMerge w:val="continue"/>
            <w:tcBorders>
              <w:left w:val="single" w:color="auto" w:sz="4" w:space="0"/>
              <w:right w:val="single" w:color="auto" w:sz="4" w:space="0"/>
            </w:tcBorders>
            <w:noWrap w:val="0"/>
            <w:vAlign w:val="center"/>
          </w:tcPr>
          <w:p w14:paraId="2CB852D1">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6A156A27">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5B70DEBB">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任免表浏览</w:t>
            </w:r>
          </w:p>
        </w:tc>
        <w:tc>
          <w:tcPr>
            <w:tcW w:w="4478" w:type="dxa"/>
            <w:tcBorders>
              <w:top w:val="nil"/>
              <w:left w:val="nil"/>
              <w:bottom w:val="single" w:color="auto" w:sz="4" w:space="0"/>
              <w:right w:val="single" w:color="auto" w:sz="4" w:space="0"/>
            </w:tcBorders>
            <w:noWrap w:val="0"/>
            <w:vAlign w:val="center"/>
          </w:tcPr>
          <w:p w14:paraId="1A03B40F">
            <w:pPr>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在人员列表或</w:t>
            </w:r>
            <w:r>
              <w:rPr>
                <w:rFonts w:hint="eastAsia" w:ascii="宋体" w:eastAsia="宋体" w:cs="宋体"/>
                <w:b w:val="0"/>
                <w:bCs w:val="0"/>
                <w:color w:val="auto"/>
                <w:sz w:val="22"/>
                <w:szCs w:val="22"/>
                <w:highlight w:val="none"/>
                <w:lang w:eastAsia="zh-CN"/>
              </w:rPr>
              <w:t>查询</w:t>
            </w:r>
            <w:r>
              <w:rPr>
                <w:rFonts w:hint="eastAsia" w:ascii="宋体" w:hAnsi="宋体" w:eastAsia="宋体" w:cs="宋体"/>
                <w:b w:val="0"/>
                <w:bCs w:val="0"/>
                <w:color w:val="auto"/>
                <w:sz w:val="22"/>
                <w:szCs w:val="22"/>
                <w:highlight w:val="none"/>
              </w:rPr>
              <w:t>结果视图下，点击人员，展现出人员的任免审批表，现任职务，履历信息，学历学位，奖惩信息等都能清晰可见</w:t>
            </w:r>
            <w:r>
              <w:rPr>
                <w:rFonts w:hint="eastAsia" w:ascii="宋体" w:eastAsia="宋体" w:cs="宋体"/>
                <w:b w:val="0"/>
                <w:bCs w:val="0"/>
                <w:color w:val="auto"/>
                <w:sz w:val="22"/>
                <w:szCs w:val="22"/>
                <w:highlight w:val="none"/>
                <w:lang w:eastAsia="zh-CN"/>
              </w:rPr>
              <w:t>。</w:t>
            </w:r>
          </w:p>
        </w:tc>
      </w:tr>
      <w:tr w14:paraId="75BE82E2">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2927C224">
            <w:pPr>
              <w:jc w:val="center"/>
              <w:rPr>
                <w:rFonts w:hint="default" w:asci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60</w:t>
            </w:r>
          </w:p>
        </w:tc>
        <w:tc>
          <w:tcPr>
            <w:tcW w:w="1179" w:type="dxa"/>
            <w:vMerge w:val="continue"/>
            <w:tcBorders>
              <w:left w:val="single" w:color="auto" w:sz="4" w:space="0"/>
              <w:right w:val="single" w:color="auto" w:sz="4" w:space="0"/>
            </w:tcBorders>
            <w:noWrap w:val="0"/>
            <w:vAlign w:val="center"/>
          </w:tcPr>
          <w:p w14:paraId="1E08FCA1">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23A731F8">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462902F4">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人员搜索</w:t>
            </w:r>
          </w:p>
        </w:tc>
        <w:tc>
          <w:tcPr>
            <w:tcW w:w="4478" w:type="dxa"/>
            <w:tcBorders>
              <w:top w:val="nil"/>
              <w:left w:val="nil"/>
              <w:bottom w:val="single" w:color="auto" w:sz="4" w:space="0"/>
              <w:right w:val="single" w:color="auto" w:sz="4" w:space="0"/>
            </w:tcBorders>
            <w:noWrap w:val="0"/>
            <w:vAlign w:val="center"/>
          </w:tcPr>
          <w:p w14:paraId="67689C54">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系统支持按照姓名检索，可直接查看到人员的基本信息，照片，职务信息等。</w:t>
            </w:r>
          </w:p>
        </w:tc>
      </w:tr>
      <w:tr w14:paraId="71574D75">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43C0CBEE">
            <w:pPr>
              <w:jc w:val="center"/>
              <w:rPr>
                <w:rFonts w:hint="default" w:asci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61</w:t>
            </w:r>
          </w:p>
        </w:tc>
        <w:tc>
          <w:tcPr>
            <w:tcW w:w="1179" w:type="dxa"/>
            <w:vMerge w:val="continue"/>
            <w:tcBorders>
              <w:left w:val="single" w:color="auto" w:sz="4" w:space="0"/>
              <w:right w:val="single" w:color="auto" w:sz="4" w:space="0"/>
            </w:tcBorders>
            <w:noWrap w:val="0"/>
            <w:vAlign w:val="center"/>
          </w:tcPr>
          <w:p w14:paraId="7CD29061">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3E1371E8">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427E6805">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上会材料</w:t>
            </w:r>
          </w:p>
        </w:tc>
        <w:tc>
          <w:tcPr>
            <w:tcW w:w="4478" w:type="dxa"/>
            <w:tcBorders>
              <w:top w:val="nil"/>
              <w:left w:val="nil"/>
              <w:bottom w:val="single" w:color="auto" w:sz="4" w:space="0"/>
              <w:right w:val="single" w:color="auto" w:sz="4" w:space="0"/>
            </w:tcBorders>
            <w:noWrap w:val="0"/>
            <w:vAlign w:val="center"/>
          </w:tcPr>
          <w:p w14:paraId="7A8294CE">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上会材料浏览支持任免单、任免表、常委会干部任免表决票、干部任免表决结果报告模板、任免</w:t>
            </w:r>
            <w:r>
              <w:rPr>
                <w:rFonts w:hint="eastAsia" w:ascii="宋体" w:eastAsia="宋体" w:cs="宋体"/>
                <w:b w:val="0"/>
                <w:bCs w:val="0"/>
                <w:color w:val="auto"/>
                <w:sz w:val="22"/>
                <w:szCs w:val="22"/>
                <w:highlight w:val="none"/>
                <w:lang w:eastAsia="zh-CN"/>
              </w:rPr>
              <w:t>文件</w:t>
            </w:r>
            <w:r>
              <w:rPr>
                <w:rFonts w:hint="eastAsia" w:ascii="宋体" w:hAnsi="宋体" w:eastAsia="宋体" w:cs="宋体"/>
                <w:b w:val="0"/>
                <w:bCs w:val="0"/>
                <w:color w:val="auto"/>
                <w:sz w:val="22"/>
                <w:szCs w:val="22"/>
                <w:highlight w:val="none"/>
              </w:rPr>
              <w:t>、谈话名单等材料的设置功能。</w:t>
            </w:r>
          </w:p>
        </w:tc>
      </w:tr>
      <w:tr w14:paraId="7CDCB984">
        <w:tblPrEx>
          <w:tblCellMar>
            <w:top w:w="0" w:type="dxa"/>
            <w:left w:w="108" w:type="dxa"/>
            <w:bottom w:w="0" w:type="dxa"/>
            <w:right w:w="108" w:type="dxa"/>
          </w:tblCellMar>
        </w:tblPrEx>
        <w:trPr>
          <w:trHeight w:val="560" w:hRule="atLeast"/>
        </w:trPr>
        <w:tc>
          <w:tcPr>
            <w:tcW w:w="1171" w:type="dxa"/>
            <w:tcBorders>
              <w:top w:val="nil"/>
              <w:left w:val="single" w:color="auto" w:sz="4" w:space="0"/>
              <w:bottom w:val="single" w:color="auto" w:sz="4" w:space="0"/>
              <w:right w:val="single" w:color="auto" w:sz="4" w:space="0"/>
            </w:tcBorders>
            <w:noWrap/>
            <w:vAlign w:val="center"/>
          </w:tcPr>
          <w:p w14:paraId="4684FA35">
            <w:pPr>
              <w:jc w:val="center"/>
              <w:rPr>
                <w:rFonts w:hint="default" w:asci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62</w:t>
            </w:r>
          </w:p>
        </w:tc>
        <w:tc>
          <w:tcPr>
            <w:tcW w:w="1179" w:type="dxa"/>
            <w:vMerge w:val="continue"/>
            <w:tcBorders>
              <w:left w:val="single" w:color="auto" w:sz="4" w:space="0"/>
              <w:right w:val="single" w:color="auto" w:sz="4" w:space="0"/>
            </w:tcBorders>
            <w:noWrap w:val="0"/>
            <w:vAlign w:val="center"/>
          </w:tcPr>
          <w:p w14:paraId="6889051E">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4F1F6730">
            <w:pPr>
              <w:rPr>
                <w:rFonts w:hint="eastAsia" w:ascii="宋体" w:hAnsi="宋体" w:eastAsia="宋体" w:cs="宋体"/>
                <w:b w:val="0"/>
                <w:bCs w:val="0"/>
                <w:color w:val="auto"/>
                <w:sz w:val="22"/>
                <w:szCs w:val="22"/>
                <w:highlight w:val="none"/>
              </w:rPr>
            </w:pPr>
          </w:p>
        </w:tc>
        <w:tc>
          <w:tcPr>
            <w:tcW w:w="1413" w:type="dxa"/>
            <w:tcBorders>
              <w:top w:val="nil"/>
              <w:left w:val="nil"/>
              <w:bottom w:val="single" w:color="auto" w:sz="4" w:space="0"/>
              <w:right w:val="single" w:color="auto" w:sz="4" w:space="0"/>
            </w:tcBorders>
            <w:noWrap w:val="0"/>
            <w:vAlign w:val="center"/>
          </w:tcPr>
          <w:p w14:paraId="16DD1B2E">
            <w:pPr>
              <w:jc w:val="center"/>
              <w:rPr>
                <w:rFonts w:hint="eastAsia" w:ascii="宋体" w:hAnsi="宋体" w:eastAsia="宋体" w:cs="宋体"/>
                <w:b w:val="0"/>
                <w:bCs w:val="0"/>
                <w:color w:val="auto"/>
                <w:sz w:val="22"/>
                <w:szCs w:val="22"/>
                <w:highlight w:val="none"/>
                <w:lang w:eastAsia="zh-CN"/>
              </w:rPr>
            </w:pPr>
            <w:r>
              <w:rPr>
                <w:rFonts w:hint="eastAsia" w:ascii="宋体" w:hAnsi="宋体" w:eastAsia="宋体"/>
                <w:color w:val="auto"/>
                <w:szCs w:val="24"/>
                <w:highlight w:val="none"/>
              </w:rPr>
              <w:t>★</w:t>
            </w:r>
            <w:r>
              <w:rPr>
                <w:rFonts w:hint="eastAsia" w:ascii="宋体" w:eastAsia="宋体" w:cs="宋体"/>
                <w:b w:val="0"/>
                <w:bCs w:val="0"/>
                <w:color w:val="auto"/>
                <w:sz w:val="22"/>
                <w:szCs w:val="22"/>
                <w:highlight w:val="none"/>
                <w:lang w:eastAsia="zh-CN"/>
              </w:rPr>
              <w:t>安全加固</w:t>
            </w:r>
          </w:p>
        </w:tc>
        <w:tc>
          <w:tcPr>
            <w:tcW w:w="4478" w:type="dxa"/>
            <w:tcBorders>
              <w:top w:val="nil"/>
              <w:left w:val="nil"/>
              <w:bottom w:val="single" w:color="auto" w:sz="4" w:space="0"/>
              <w:right w:val="single" w:color="auto" w:sz="4" w:space="0"/>
            </w:tcBorders>
            <w:noWrap w:val="0"/>
            <w:vAlign w:val="center"/>
          </w:tcPr>
          <w:p w14:paraId="1519FCF0">
            <w:pPr>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对操作系统进行安全加固，保证数据安全；系统在联网情况下删除数据</w:t>
            </w:r>
            <w:r>
              <w:rPr>
                <w:rFonts w:hint="eastAsia" w:ascii="宋体" w:eastAsia="宋体" w:cs="宋体"/>
                <w:b w:val="0"/>
                <w:bCs w:val="0"/>
                <w:color w:val="auto"/>
                <w:sz w:val="22"/>
                <w:szCs w:val="22"/>
                <w:highlight w:val="none"/>
                <w:lang w:eastAsia="zh-CN"/>
              </w:rPr>
              <w:t>。</w:t>
            </w:r>
          </w:p>
        </w:tc>
      </w:tr>
      <w:tr w14:paraId="13B36BC3">
        <w:tblPrEx>
          <w:tblCellMar>
            <w:top w:w="0" w:type="dxa"/>
            <w:left w:w="108" w:type="dxa"/>
            <w:bottom w:w="0" w:type="dxa"/>
            <w:right w:w="108" w:type="dxa"/>
          </w:tblCellMar>
        </w:tblPrEx>
        <w:trPr>
          <w:trHeight w:val="560" w:hRule="atLeast"/>
        </w:trPr>
        <w:tc>
          <w:tcPr>
            <w:tcW w:w="1171" w:type="dxa"/>
            <w:tcBorders>
              <w:top w:val="single" w:color="auto" w:sz="4" w:space="0"/>
              <w:left w:val="single" w:color="auto" w:sz="4" w:space="0"/>
              <w:bottom w:val="single" w:color="auto" w:sz="4" w:space="0"/>
              <w:right w:val="single" w:color="auto" w:sz="4" w:space="0"/>
            </w:tcBorders>
            <w:noWrap/>
            <w:vAlign w:val="center"/>
          </w:tcPr>
          <w:p w14:paraId="7ABED4C9">
            <w:pPr>
              <w:jc w:val="center"/>
              <w:rPr>
                <w:rFonts w:hint="default" w:ascii="宋体" w:hAns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63</w:t>
            </w:r>
          </w:p>
        </w:tc>
        <w:tc>
          <w:tcPr>
            <w:tcW w:w="1179" w:type="dxa"/>
            <w:vMerge w:val="continue"/>
            <w:tcBorders>
              <w:left w:val="single" w:color="auto" w:sz="4" w:space="0"/>
              <w:right w:val="single" w:color="auto" w:sz="4" w:space="0"/>
            </w:tcBorders>
            <w:noWrap w:val="0"/>
            <w:vAlign w:val="center"/>
          </w:tcPr>
          <w:p w14:paraId="01532183">
            <w:pPr>
              <w:rPr>
                <w:rFonts w:hint="eastAsia" w:ascii="宋体" w:hAnsi="宋体" w:eastAsia="宋体" w:cs="宋体"/>
                <w:b w:val="0"/>
                <w:bCs w:val="0"/>
                <w:color w:val="auto"/>
                <w:sz w:val="22"/>
                <w:szCs w:val="22"/>
                <w:highlight w:val="none"/>
              </w:rPr>
            </w:pPr>
          </w:p>
        </w:tc>
        <w:tc>
          <w:tcPr>
            <w:tcW w:w="1179" w:type="dxa"/>
            <w:vMerge w:val="restart"/>
            <w:tcBorders>
              <w:top w:val="single" w:color="auto" w:sz="4" w:space="0"/>
              <w:left w:val="single" w:color="auto" w:sz="4" w:space="0"/>
              <w:right w:val="single" w:color="auto" w:sz="4" w:space="0"/>
            </w:tcBorders>
            <w:noWrap w:val="0"/>
            <w:vAlign w:val="center"/>
          </w:tcPr>
          <w:p w14:paraId="482B70A4">
            <w:pPr>
              <w:jc w:val="center"/>
              <w:rPr>
                <w:rFonts w:hint="eastAsia" w:ascii="宋体" w:hAnsi="宋体" w:eastAsia="宋体" w:cs="宋体"/>
                <w:b w:val="0"/>
                <w:bCs w:val="0"/>
                <w:color w:val="auto"/>
                <w:sz w:val="22"/>
                <w:szCs w:val="22"/>
                <w:highlight w:val="none"/>
              </w:rPr>
            </w:pPr>
            <w:bookmarkStart w:id="8" w:name="_Toc166243162"/>
            <w:r>
              <w:rPr>
                <w:rFonts w:hint="eastAsia" w:ascii="宋体" w:hAnsi="宋体" w:eastAsia="宋体" w:cs="宋体"/>
                <w:b w:val="0"/>
                <w:bCs w:val="0"/>
                <w:color w:val="auto"/>
                <w:sz w:val="22"/>
                <w:szCs w:val="22"/>
                <w:highlight w:val="none"/>
              </w:rPr>
              <w:t>干部岗位胜任力模型分析</w:t>
            </w:r>
            <w:bookmarkEnd w:id="8"/>
            <w:r>
              <w:rPr>
                <w:rFonts w:hint="eastAsia" w:ascii="宋体" w:hAnsi="宋体" w:eastAsia="宋体" w:cs="宋体"/>
                <w:b w:val="0"/>
                <w:bCs w:val="0"/>
                <w:color w:val="auto"/>
                <w:sz w:val="22"/>
                <w:szCs w:val="22"/>
                <w:highlight w:val="none"/>
              </w:rPr>
              <w:t>系统</w:t>
            </w:r>
          </w:p>
        </w:tc>
        <w:tc>
          <w:tcPr>
            <w:tcW w:w="1413" w:type="dxa"/>
            <w:tcBorders>
              <w:top w:val="single" w:color="auto" w:sz="4" w:space="0"/>
              <w:left w:val="single" w:color="auto" w:sz="4" w:space="0"/>
              <w:bottom w:val="single" w:color="auto" w:sz="4" w:space="0"/>
              <w:right w:val="single" w:color="auto" w:sz="4" w:space="0"/>
            </w:tcBorders>
            <w:noWrap w:val="0"/>
            <w:vAlign w:val="center"/>
          </w:tcPr>
          <w:p w14:paraId="4FEFF05C">
            <w:pPr>
              <w:jc w:val="center"/>
              <w:rPr>
                <w:rFonts w:hint="eastAsia" w:ascii="宋体" w:hAnsi="宋体" w:eastAsia="宋体" w:cs="宋体"/>
                <w:b w:val="0"/>
                <w:bCs w:val="0"/>
                <w:color w:val="auto"/>
                <w:sz w:val="22"/>
                <w:szCs w:val="22"/>
                <w:highlight w:val="none"/>
              </w:rPr>
            </w:pPr>
            <w:bookmarkStart w:id="9" w:name="_Toc166243163"/>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政治忠诚度</w:t>
            </w:r>
            <w:bookmarkEnd w:id="9"/>
          </w:p>
        </w:tc>
        <w:tc>
          <w:tcPr>
            <w:tcW w:w="4478" w:type="dxa"/>
            <w:tcBorders>
              <w:top w:val="single" w:color="auto" w:sz="4" w:space="0"/>
              <w:left w:val="single" w:color="auto" w:sz="4" w:space="0"/>
              <w:bottom w:val="single" w:color="auto" w:sz="4" w:space="0"/>
              <w:right w:val="single" w:color="auto" w:sz="4" w:space="0"/>
            </w:tcBorders>
            <w:noWrap w:val="0"/>
            <w:vAlign w:val="center"/>
          </w:tcPr>
          <w:p w14:paraId="35F03CAF">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系统统计展示干部政治信念是否坚定、政治素养是否过硬情况。指标维度包括公道正派、担当精神、服从性。</w:t>
            </w:r>
          </w:p>
        </w:tc>
      </w:tr>
      <w:tr w14:paraId="2F786178">
        <w:tblPrEx>
          <w:tblCellMar>
            <w:top w:w="0" w:type="dxa"/>
            <w:left w:w="108" w:type="dxa"/>
            <w:bottom w:w="0" w:type="dxa"/>
            <w:right w:w="108" w:type="dxa"/>
          </w:tblCellMar>
        </w:tblPrEx>
        <w:trPr>
          <w:trHeight w:val="560" w:hRule="atLeast"/>
        </w:trPr>
        <w:tc>
          <w:tcPr>
            <w:tcW w:w="11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574041A">
            <w:pPr>
              <w:jc w:val="center"/>
              <w:rPr>
                <w:rFonts w:hint="default" w:ascii="宋体" w:hAnsi="宋体" w:eastAsia="宋体" w:cs="宋体"/>
                <w:b w:val="0"/>
                <w:bCs w:val="0"/>
                <w:color w:val="auto"/>
                <w:sz w:val="22"/>
                <w:szCs w:val="22"/>
                <w:highlight w:val="none"/>
                <w:lang w:val="en-US" w:eastAsia="zh-CN" w:bidi="ar-SA"/>
              </w:rPr>
            </w:pPr>
            <w:r>
              <w:rPr>
                <w:rFonts w:hint="eastAsia" w:ascii="宋体" w:eastAsia="宋体" w:cs="宋体"/>
                <w:b w:val="0"/>
                <w:bCs w:val="0"/>
                <w:color w:val="auto"/>
                <w:sz w:val="22"/>
                <w:szCs w:val="22"/>
                <w:highlight w:val="none"/>
                <w:lang w:val="en-US" w:eastAsia="zh-CN"/>
              </w:rPr>
              <w:t>64</w:t>
            </w:r>
          </w:p>
        </w:tc>
        <w:tc>
          <w:tcPr>
            <w:tcW w:w="1179" w:type="dxa"/>
            <w:vMerge w:val="continue"/>
            <w:tcBorders>
              <w:left w:val="single" w:color="auto" w:sz="4" w:space="0"/>
              <w:right w:val="single" w:color="auto" w:sz="4" w:space="0"/>
            </w:tcBorders>
            <w:noWrap w:val="0"/>
            <w:vAlign w:val="center"/>
          </w:tcPr>
          <w:p w14:paraId="77970332">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10779C14">
            <w:pPr>
              <w:rPr>
                <w:rFonts w:hint="eastAsia" w:ascii="宋体" w:hAnsi="宋体" w:eastAsia="宋体" w:cs="宋体"/>
                <w:b w:val="0"/>
                <w:bCs w:val="0"/>
                <w:color w:val="auto"/>
                <w:sz w:val="22"/>
                <w:szCs w:val="22"/>
                <w:highlight w:val="none"/>
              </w:rPr>
            </w:pPr>
          </w:p>
        </w:tc>
        <w:tc>
          <w:tcPr>
            <w:tcW w:w="1413" w:type="dxa"/>
            <w:tcBorders>
              <w:top w:val="single" w:color="auto" w:sz="4" w:space="0"/>
              <w:left w:val="single" w:color="auto" w:sz="4" w:space="0"/>
              <w:bottom w:val="single" w:color="auto" w:sz="4" w:space="0"/>
              <w:right w:val="single" w:color="auto" w:sz="4" w:space="0"/>
            </w:tcBorders>
            <w:noWrap w:val="0"/>
            <w:vAlign w:val="center"/>
          </w:tcPr>
          <w:p w14:paraId="3949DC0B">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eastAsia="宋体" w:cs="宋体"/>
                <w:b w:val="0"/>
                <w:bCs w:val="0"/>
                <w:color w:val="auto"/>
                <w:sz w:val="22"/>
                <w:szCs w:val="22"/>
                <w:highlight w:val="none"/>
                <w:lang w:val="en-US" w:eastAsia="zh-CN"/>
              </w:rPr>
              <w:t>能</w:t>
            </w:r>
            <w:r>
              <w:rPr>
                <w:rFonts w:hint="eastAsia" w:ascii="宋体" w:hAnsi="宋体" w:eastAsia="宋体" w:cs="宋体"/>
                <w:b w:val="0"/>
                <w:bCs w:val="0"/>
                <w:color w:val="auto"/>
                <w:sz w:val="22"/>
                <w:szCs w:val="22"/>
                <w:highlight w:val="none"/>
              </w:rPr>
              <w:t>力适配度</w:t>
            </w:r>
          </w:p>
        </w:tc>
        <w:tc>
          <w:tcPr>
            <w:tcW w:w="4478" w:type="dxa"/>
            <w:tcBorders>
              <w:top w:val="single" w:color="auto" w:sz="4" w:space="0"/>
              <w:left w:val="single" w:color="auto" w:sz="4" w:space="0"/>
              <w:bottom w:val="single" w:color="auto" w:sz="4" w:space="0"/>
              <w:right w:val="single" w:color="auto" w:sz="4" w:space="0"/>
            </w:tcBorders>
            <w:noWrap w:val="0"/>
            <w:vAlign w:val="center"/>
          </w:tcPr>
          <w:p w14:paraId="4C1FF26B">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系统统计展示干部综合能力是否符合现任岗位需要情况。指标维度包括领导力、决断力、沟通协调能力、处理复杂问题能力、谋划创新能力、应急处突能力、岗位适应能力、学习能力、带队伍能力。</w:t>
            </w:r>
          </w:p>
        </w:tc>
      </w:tr>
      <w:tr w14:paraId="436A6CF0">
        <w:tblPrEx>
          <w:tblCellMar>
            <w:top w:w="0" w:type="dxa"/>
            <w:left w:w="108" w:type="dxa"/>
            <w:bottom w:w="0" w:type="dxa"/>
            <w:right w:w="108" w:type="dxa"/>
          </w:tblCellMar>
        </w:tblPrEx>
        <w:trPr>
          <w:trHeight w:val="560" w:hRule="atLeast"/>
        </w:trPr>
        <w:tc>
          <w:tcPr>
            <w:tcW w:w="11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039FA16">
            <w:pPr>
              <w:jc w:val="center"/>
              <w:rPr>
                <w:rFonts w:hint="default" w:ascii="宋体" w:hAnsi="宋体" w:eastAsia="宋体" w:cs="宋体"/>
                <w:b w:val="0"/>
                <w:bCs w:val="0"/>
                <w:color w:val="auto"/>
                <w:sz w:val="22"/>
                <w:szCs w:val="22"/>
                <w:highlight w:val="none"/>
                <w:lang w:val="en-US" w:eastAsia="zh-CN" w:bidi="ar-SA"/>
              </w:rPr>
            </w:pPr>
            <w:r>
              <w:rPr>
                <w:rFonts w:hint="eastAsia" w:ascii="宋体" w:eastAsia="宋体" w:cs="宋体"/>
                <w:b w:val="0"/>
                <w:bCs w:val="0"/>
                <w:color w:val="auto"/>
                <w:sz w:val="22"/>
                <w:szCs w:val="22"/>
                <w:highlight w:val="none"/>
                <w:lang w:val="en-US" w:eastAsia="zh-CN"/>
              </w:rPr>
              <w:t>65</w:t>
            </w:r>
          </w:p>
        </w:tc>
        <w:tc>
          <w:tcPr>
            <w:tcW w:w="1179" w:type="dxa"/>
            <w:vMerge w:val="continue"/>
            <w:tcBorders>
              <w:left w:val="single" w:color="auto" w:sz="4" w:space="0"/>
              <w:right w:val="single" w:color="auto" w:sz="4" w:space="0"/>
            </w:tcBorders>
            <w:noWrap w:val="0"/>
            <w:vAlign w:val="center"/>
          </w:tcPr>
          <w:p w14:paraId="0CD5F29F">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374EC5FC">
            <w:pPr>
              <w:rPr>
                <w:rFonts w:hint="eastAsia" w:ascii="宋体" w:hAnsi="宋体" w:eastAsia="宋体" w:cs="宋体"/>
                <w:b w:val="0"/>
                <w:bCs w:val="0"/>
                <w:color w:val="auto"/>
                <w:sz w:val="22"/>
                <w:szCs w:val="22"/>
                <w:highlight w:val="none"/>
              </w:rPr>
            </w:pPr>
          </w:p>
        </w:tc>
        <w:tc>
          <w:tcPr>
            <w:tcW w:w="1413" w:type="dxa"/>
            <w:tcBorders>
              <w:top w:val="single" w:color="auto" w:sz="4" w:space="0"/>
              <w:left w:val="single" w:color="auto" w:sz="4" w:space="0"/>
              <w:bottom w:val="single" w:color="auto" w:sz="4" w:space="0"/>
              <w:right w:val="single" w:color="auto" w:sz="4" w:space="0"/>
            </w:tcBorders>
            <w:noWrap w:val="0"/>
            <w:vAlign w:val="center"/>
          </w:tcPr>
          <w:p w14:paraId="4AAE6F78">
            <w:pPr>
              <w:jc w:val="center"/>
              <w:rPr>
                <w:rFonts w:hint="eastAsia" w:ascii="宋体" w:hAnsi="宋体" w:eastAsia="宋体" w:cs="宋体"/>
                <w:b w:val="0"/>
                <w:bCs w:val="0"/>
                <w:color w:val="auto"/>
                <w:sz w:val="22"/>
                <w:szCs w:val="22"/>
                <w:highlight w:val="none"/>
              </w:rPr>
            </w:pPr>
            <w:bookmarkStart w:id="10" w:name="_Toc166243165"/>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人岗匹配度</w:t>
            </w:r>
            <w:bookmarkEnd w:id="10"/>
          </w:p>
        </w:tc>
        <w:tc>
          <w:tcPr>
            <w:tcW w:w="4478" w:type="dxa"/>
            <w:tcBorders>
              <w:top w:val="single" w:color="auto" w:sz="4" w:space="0"/>
              <w:left w:val="single" w:color="auto" w:sz="4" w:space="0"/>
              <w:bottom w:val="single" w:color="auto" w:sz="4" w:space="0"/>
              <w:right w:val="single" w:color="auto" w:sz="4" w:space="0"/>
            </w:tcBorders>
            <w:noWrap w:val="0"/>
            <w:vAlign w:val="center"/>
          </w:tcPr>
          <w:p w14:paraId="635D94BF">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系统统计展示干部知识结构、擅长或熟悉领域与现任岗位、班子功能定位是否耦合情况。指标维度包括专业、经历、职称。</w:t>
            </w:r>
          </w:p>
        </w:tc>
      </w:tr>
      <w:tr w14:paraId="22D6FEEF">
        <w:tblPrEx>
          <w:tblCellMar>
            <w:top w:w="0" w:type="dxa"/>
            <w:left w:w="108" w:type="dxa"/>
            <w:bottom w:w="0" w:type="dxa"/>
            <w:right w:w="108" w:type="dxa"/>
          </w:tblCellMar>
        </w:tblPrEx>
        <w:trPr>
          <w:trHeight w:val="560" w:hRule="atLeast"/>
        </w:trPr>
        <w:tc>
          <w:tcPr>
            <w:tcW w:w="11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6B775AB">
            <w:pPr>
              <w:jc w:val="center"/>
              <w:rPr>
                <w:rFonts w:hint="default" w:ascii="宋体" w:hAnsi="宋体" w:eastAsia="宋体" w:cs="宋体"/>
                <w:b w:val="0"/>
                <w:bCs w:val="0"/>
                <w:color w:val="auto"/>
                <w:sz w:val="22"/>
                <w:szCs w:val="22"/>
                <w:highlight w:val="none"/>
                <w:lang w:val="en-US" w:eastAsia="zh-CN" w:bidi="ar-SA"/>
              </w:rPr>
            </w:pPr>
            <w:r>
              <w:rPr>
                <w:rFonts w:hint="eastAsia" w:ascii="宋体" w:eastAsia="宋体" w:cs="宋体"/>
                <w:b w:val="0"/>
                <w:bCs w:val="0"/>
                <w:color w:val="auto"/>
                <w:sz w:val="22"/>
                <w:szCs w:val="22"/>
                <w:highlight w:val="none"/>
                <w:lang w:val="en-US" w:eastAsia="zh-CN"/>
              </w:rPr>
              <w:t>66</w:t>
            </w:r>
          </w:p>
        </w:tc>
        <w:tc>
          <w:tcPr>
            <w:tcW w:w="1179" w:type="dxa"/>
            <w:vMerge w:val="continue"/>
            <w:tcBorders>
              <w:left w:val="single" w:color="auto" w:sz="4" w:space="0"/>
              <w:right w:val="single" w:color="auto" w:sz="4" w:space="0"/>
            </w:tcBorders>
            <w:noWrap w:val="0"/>
            <w:vAlign w:val="center"/>
          </w:tcPr>
          <w:p w14:paraId="7EA090FF">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01CBA0DB">
            <w:pPr>
              <w:rPr>
                <w:rFonts w:hint="eastAsia" w:ascii="宋体" w:hAnsi="宋体" w:eastAsia="宋体" w:cs="宋体"/>
                <w:b w:val="0"/>
                <w:bCs w:val="0"/>
                <w:color w:val="auto"/>
                <w:sz w:val="22"/>
                <w:szCs w:val="22"/>
                <w:highlight w:val="none"/>
              </w:rPr>
            </w:pPr>
          </w:p>
        </w:tc>
        <w:tc>
          <w:tcPr>
            <w:tcW w:w="1413" w:type="dxa"/>
            <w:tcBorders>
              <w:top w:val="single" w:color="auto" w:sz="4" w:space="0"/>
              <w:left w:val="single" w:color="auto" w:sz="4" w:space="0"/>
              <w:bottom w:val="single" w:color="auto" w:sz="4" w:space="0"/>
              <w:right w:val="single" w:color="auto" w:sz="4" w:space="0"/>
            </w:tcBorders>
            <w:noWrap w:val="0"/>
            <w:vAlign w:val="center"/>
          </w:tcPr>
          <w:p w14:paraId="2867B5D9">
            <w:pPr>
              <w:jc w:val="center"/>
              <w:rPr>
                <w:rFonts w:hint="eastAsia" w:ascii="宋体" w:hAnsi="宋体" w:eastAsia="宋体" w:cs="宋体"/>
                <w:b w:val="0"/>
                <w:bCs w:val="0"/>
                <w:color w:val="auto"/>
                <w:sz w:val="22"/>
                <w:szCs w:val="22"/>
                <w:highlight w:val="none"/>
              </w:rPr>
            </w:pPr>
            <w:r>
              <w:rPr>
                <w:rFonts w:hint="eastAsia" w:ascii="宋体" w:hAnsi="宋体" w:eastAsia="宋体"/>
                <w:color w:val="auto"/>
                <w:szCs w:val="24"/>
                <w:highlight w:val="none"/>
              </w:rPr>
              <w:t>★</w:t>
            </w:r>
            <w:r>
              <w:rPr>
                <w:rFonts w:hint="eastAsia" w:ascii="宋体" w:eastAsia="宋体" w:cs="宋体"/>
                <w:b w:val="0"/>
                <w:bCs w:val="0"/>
                <w:color w:val="auto"/>
                <w:sz w:val="22"/>
                <w:szCs w:val="22"/>
                <w:highlight w:val="none"/>
                <w:lang w:val="en-US" w:eastAsia="zh-CN"/>
              </w:rPr>
              <w:t>班</w:t>
            </w:r>
            <w:r>
              <w:rPr>
                <w:rFonts w:hint="eastAsia" w:ascii="宋体" w:hAnsi="宋体" w:eastAsia="宋体" w:cs="宋体"/>
                <w:b w:val="0"/>
                <w:bCs w:val="0"/>
                <w:color w:val="auto"/>
                <w:sz w:val="22"/>
                <w:szCs w:val="22"/>
                <w:highlight w:val="none"/>
              </w:rPr>
              <w:t>子契合度</w:t>
            </w:r>
          </w:p>
        </w:tc>
        <w:tc>
          <w:tcPr>
            <w:tcW w:w="4478" w:type="dxa"/>
            <w:tcBorders>
              <w:top w:val="single" w:color="auto" w:sz="4" w:space="0"/>
              <w:left w:val="single" w:color="auto" w:sz="4" w:space="0"/>
              <w:bottom w:val="single" w:color="auto" w:sz="4" w:space="0"/>
              <w:right w:val="single" w:color="auto" w:sz="4" w:space="0"/>
            </w:tcBorders>
            <w:noWrap w:val="0"/>
            <w:vAlign w:val="center"/>
          </w:tcPr>
          <w:p w14:paraId="451F8E43">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系统统计展示干部是否与班子相融、与其他班子成员配合是否密切，能否维护班子团结、服从班子决策情况。指标维度包括团队协作能力、干群评价，执行力。</w:t>
            </w:r>
          </w:p>
        </w:tc>
      </w:tr>
      <w:tr w14:paraId="08B04964">
        <w:tblPrEx>
          <w:tblCellMar>
            <w:top w:w="0" w:type="dxa"/>
            <w:left w:w="108" w:type="dxa"/>
            <w:bottom w:w="0" w:type="dxa"/>
            <w:right w:w="108" w:type="dxa"/>
          </w:tblCellMar>
        </w:tblPrEx>
        <w:trPr>
          <w:trHeight w:val="560" w:hRule="atLeast"/>
        </w:trPr>
        <w:tc>
          <w:tcPr>
            <w:tcW w:w="11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3A9968A">
            <w:pPr>
              <w:jc w:val="center"/>
              <w:rPr>
                <w:rFonts w:hint="default" w:ascii="宋体" w:hAnsi="宋体" w:eastAsia="宋体" w:cs="宋体"/>
                <w:b w:val="0"/>
                <w:bCs w:val="0"/>
                <w:color w:val="auto"/>
                <w:sz w:val="22"/>
                <w:szCs w:val="22"/>
                <w:highlight w:val="none"/>
                <w:lang w:val="en-US" w:eastAsia="zh-CN" w:bidi="ar-SA"/>
              </w:rPr>
            </w:pPr>
            <w:r>
              <w:rPr>
                <w:rFonts w:hint="eastAsia" w:ascii="宋体" w:eastAsia="宋体" w:cs="宋体"/>
                <w:b w:val="0"/>
                <w:bCs w:val="0"/>
                <w:color w:val="auto"/>
                <w:sz w:val="22"/>
                <w:szCs w:val="22"/>
                <w:highlight w:val="none"/>
                <w:lang w:val="en-US" w:eastAsia="zh-CN"/>
              </w:rPr>
              <w:t>67</w:t>
            </w:r>
          </w:p>
        </w:tc>
        <w:tc>
          <w:tcPr>
            <w:tcW w:w="1179" w:type="dxa"/>
            <w:vMerge w:val="continue"/>
            <w:tcBorders>
              <w:left w:val="single" w:color="auto" w:sz="4" w:space="0"/>
              <w:right w:val="single" w:color="auto" w:sz="4" w:space="0"/>
            </w:tcBorders>
            <w:noWrap w:val="0"/>
            <w:vAlign w:val="center"/>
          </w:tcPr>
          <w:p w14:paraId="64C0611E">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5603C673">
            <w:pPr>
              <w:rPr>
                <w:rFonts w:hint="eastAsia" w:ascii="宋体" w:hAnsi="宋体" w:eastAsia="宋体" w:cs="宋体"/>
                <w:b w:val="0"/>
                <w:bCs w:val="0"/>
                <w:color w:val="auto"/>
                <w:sz w:val="22"/>
                <w:szCs w:val="22"/>
                <w:highlight w:val="none"/>
              </w:rPr>
            </w:pPr>
          </w:p>
        </w:tc>
        <w:tc>
          <w:tcPr>
            <w:tcW w:w="1413" w:type="dxa"/>
            <w:tcBorders>
              <w:top w:val="single" w:color="auto" w:sz="4" w:space="0"/>
              <w:left w:val="single" w:color="auto" w:sz="4" w:space="0"/>
              <w:bottom w:val="single" w:color="auto" w:sz="4" w:space="0"/>
              <w:right w:val="single" w:color="auto" w:sz="4" w:space="0"/>
            </w:tcBorders>
            <w:noWrap w:val="0"/>
            <w:vAlign w:val="center"/>
          </w:tcPr>
          <w:p w14:paraId="3CFB6888">
            <w:pPr>
              <w:jc w:val="center"/>
              <w:rPr>
                <w:rFonts w:hint="eastAsia" w:ascii="宋体" w:hAnsi="宋体" w:eastAsia="宋体" w:cs="宋体"/>
                <w:b w:val="0"/>
                <w:bCs w:val="0"/>
                <w:color w:val="auto"/>
                <w:sz w:val="22"/>
                <w:szCs w:val="22"/>
                <w:highlight w:val="none"/>
              </w:rPr>
            </w:pPr>
            <w:bookmarkStart w:id="11" w:name="_Toc166243167"/>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作风美誉度</w:t>
            </w:r>
            <w:bookmarkEnd w:id="11"/>
          </w:p>
        </w:tc>
        <w:tc>
          <w:tcPr>
            <w:tcW w:w="4478" w:type="dxa"/>
            <w:tcBorders>
              <w:top w:val="single" w:color="auto" w:sz="4" w:space="0"/>
              <w:left w:val="single" w:color="auto" w:sz="4" w:space="0"/>
              <w:bottom w:val="single" w:color="auto" w:sz="4" w:space="0"/>
              <w:right w:val="single" w:color="auto" w:sz="4" w:space="0"/>
            </w:tcBorders>
            <w:noWrap w:val="0"/>
            <w:vAlign w:val="center"/>
          </w:tcPr>
          <w:p w14:paraId="4EBA55ED">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系统统计展示干部作风是否务实情况。指标维度工作状态、敬业精神、廉政建设。</w:t>
            </w:r>
          </w:p>
        </w:tc>
      </w:tr>
      <w:tr w14:paraId="4ECD6683">
        <w:tblPrEx>
          <w:tblCellMar>
            <w:top w:w="0" w:type="dxa"/>
            <w:left w:w="108" w:type="dxa"/>
            <w:bottom w:w="0" w:type="dxa"/>
            <w:right w:w="108" w:type="dxa"/>
          </w:tblCellMar>
        </w:tblPrEx>
        <w:trPr>
          <w:trHeight w:val="560" w:hRule="atLeast"/>
        </w:trPr>
        <w:tc>
          <w:tcPr>
            <w:tcW w:w="11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B889830">
            <w:pPr>
              <w:jc w:val="center"/>
              <w:rPr>
                <w:rFonts w:hint="default" w:ascii="宋体" w:hAnsi="宋体" w:eastAsia="宋体" w:cs="宋体"/>
                <w:b w:val="0"/>
                <w:bCs w:val="0"/>
                <w:color w:val="auto"/>
                <w:sz w:val="22"/>
                <w:szCs w:val="22"/>
                <w:highlight w:val="none"/>
                <w:lang w:val="en-US" w:eastAsia="zh-CN" w:bidi="ar-SA"/>
              </w:rPr>
            </w:pPr>
            <w:r>
              <w:rPr>
                <w:rFonts w:hint="eastAsia" w:ascii="宋体" w:eastAsia="宋体" w:cs="宋体"/>
                <w:b w:val="0"/>
                <w:bCs w:val="0"/>
                <w:color w:val="auto"/>
                <w:sz w:val="22"/>
                <w:szCs w:val="22"/>
                <w:highlight w:val="none"/>
                <w:lang w:val="en-US" w:eastAsia="zh-CN"/>
              </w:rPr>
              <w:t>68</w:t>
            </w:r>
          </w:p>
        </w:tc>
        <w:tc>
          <w:tcPr>
            <w:tcW w:w="1179" w:type="dxa"/>
            <w:vMerge w:val="continue"/>
            <w:tcBorders>
              <w:left w:val="single" w:color="auto" w:sz="4" w:space="0"/>
              <w:right w:val="single" w:color="auto" w:sz="4" w:space="0"/>
            </w:tcBorders>
            <w:noWrap w:val="0"/>
            <w:vAlign w:val="center"/>
          </w:tcPr>
          <w:p w14:paraId="51BE4535">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bottom w:val="single" w:color="auto" w:sz="4" w:space="0"/>
              <w:right w:val="single" w:color="auto" w:sz="4" w:space="0"/>
            </w:tcBorders>
            <w:noWrap w:val="0"/>
            <w:vAlign w:val="center"/>
          </w:tcPr>
          <w:p w14:paraId="0B08077A">
            <w:pPr>
              <w:rPr>
                <w:rFonts w:hint="eastAsia" w:ascii="宋体" w:hAnsi="宋体" w:eastAsia="宋体" w:cs="宋体"/>
                <w:b w:val="0"/>
                <w:bCs w:val="0"/>
                <w:color w:val="auto"/>
                <w:sz w:val="22"/>
                <w:szCs w:val="22"/>
                <w:highlight w:val="none"/>
              </w:rPr>
            </w:pPr>
          </w:p>
        </w:tc>
        <w:tc>
          <w:tcPr>
            <w:tcW w:w="1413" w:type="dxa"/>
            <w:tcBorders>
              <w:top w:val="single" w:color="auto" w:sz="4" w:space="0"/>
              <w:left w:val="single" w:color="auto" w:sz="4" w:space="0"/>
              <w:bottom w:val="single" w:color="auto" w:sz="4" w:space="0"/>
              <w:right w:val="single" w:color="auto" w:sz="4" w:space="0"/>
            </w:tcBorders>
            <w:noWrap w:val="0"/>
            <w:vAlign w:val="center"/>
          </w:tcPr>
          <w:p w14:paraId="0C1905D1">
            <w:pPr>
              <w:jc w:val="center"/>
              <w:rPr>
                <w:rFonts w:hint="eastAsia" w:ascii="宋体" w:hAnsi="宋体" w:eastAsia="宋体" w:cs="宋体"/>
                <w:b w:val="0"/>
                <w:bCs w:val="0"/>
                <w:color w:val="auto"/>
                <w:sz w:val="22"/>
                <w:szCs w:val="22"/>
                <w:highlight w:val="none"/>
              </w:rPr>
            </w:pPr>
            <w:bookmarkStart w:id="12" w:name="_Toc166243168"/>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定量评价指标</w:t>
            </w:r>
            <w:bookmarkEnd w:id="12"/>
          </w:p>
        </w:tc>
        <w:tc>
          <w:tcPr>
            <w:tcW w:w="4478" w:type="dxa"/>
            <w:tcBorders>
              <w:top w:val="single" w:color="auto" w:sz="4" w:space="0"/>
              <w:left w:val="single" w:color="auto" w:sz="4" w:space="0"/>
              <w:bottom w:val="single" w:color="auto" w:sz="4" w:space="0"/>
              <w:right w:val="single" w:color="auto" w:sz="4" w:space="0"/>
            </w:tcBorders>
            <w:noWrap w:val="0"/>
            <w:vAlign w:val="center"/>
          </w:tcPr>
          <w:p w14:paraId="7C10D5CD">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定量评价指标重点展示干部工作实绩、奖励荣誉、党政纪处分、其他负面信息等。</w:t>
            </w:r>
          </w:p>
        </w:tc>
      </w:tr>
      <w:tr w14:paraId="062E9927">
        <w:tblPrEx>
          <w:tblCellMar>
            <w:top w:w="0" w:type="dxa"/>
            <w:left w:w="108" w:type="dxa"/>
            <w:bottom w:w="0" w:type="dxa"/>
            <w:right w:w="108" w:type="dxa"/>
          </w:tblCellMar>
        </w:tblPrEx>
        <w:trPr>
          <w:trHeight w:val="560" w:hRule="atLeast"/>
        </w:trPr>
        <w:tc>
          <w:tcPr>
            <w:tcW w:w="11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9819667">
            <w:pPr>
              <w:jc w:val="center"/>
              <w:rPr>
                <w:rFonts w:hint="default" w:ascii="宋体" w:hAnsi="宋体" w:eastAsia="宋体" w:cs="宋体"/>
                <w:b w:val="0"/>
                <w:bCs w:val="0"/>
                <w:color w:val="auto"/>
                <w:sz w:val="22"/>
                <w:szCs w:val="22"/>
                <w:highlight w:val="none"/>
                <w:lang w:val="en-US" w:eastAsia="zh-CN" w:bidi="ar-SA"/>
              </w:rPr>
            </w:pPr>
            <w:r>
              <w:rPr>
                <w:rFonts w:hint="eastAsia" w:ascii="宋体" w:eastAsia="宋体" w:cs="宋体"/>
                <w:b w:val="0"/>
                <w:bCs w:val="0"/>
                <w:color w:val="auto"/>
                <w:sz w:val="22"/>
                <w:szCs w:val="22"/>
                <w:highlight w:val="none"/>
                <w:lang w:val="en-US" w:eastAsia="zh-CN"/>
              </w:rPr>
              <w:t>69</w:t>
            </w:r>
          </w:p>
        </w:tc>
        <w:tc>
          <w:tcPr>
            <w:tcW w:w="1179" w:type="dxa"/>
            <w:vMerge w:val="continue"/>
            <w:tcBorders>
              <w:left w:val="single" w:color="auto" w:sz="4" w:space="0"/>
              <w:right w:val="single" w:color="auto" w:sz="4" w:space="0"/>
            </w:tcBorders>
            <w:noWrap w:val="0"/>
            <w:vAlign w:val="center"/>
          </w:tcPr>
          <w:p w14:paraId="2E40F3B4">
            <w:pPr>
              <w:rPr>
                <w:rFonts w:hint="eastAsia" w:ascii="宋体" w:hAnsi="宋体" w:eastAsia="宋体" w:cs="宋体"/>
                <w:b w:val="0"/>
                <w:bCs w:val="0"/>
                <w:color w:val="auto"/>
                <w:sz w:val="22"/>
                <w:szCs w:val="22"/>
                <w:highlight w:val="none"/>
              </w:rPr>
            </w:pPr>
          </w:p>
        </w:tc>
        <w:tc>
          <w:tcPr>
            <w:tcW w:w="1179" w:type="dxa"/>
            <w:vMerge w:val="restart"/>
            <w:tcBorders>
              <w:top w:val="single" w:color="auto" w:sz="4" w:space="0"/>
              <w:left w:val="single" w:color="auto" w:sz="4" w:space="0"/>
              <w:right w:val="single" w:color="auto" w:sz="4" w:space="0"/>
            </w:tcBorders>
            <w:noWrap w:val="0"/>
            <w:vAlign w:val="center"/>
          </w:tcPr>
          <w:p w14:paraId="600550CC">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系统管理</w:t>
            </w:r>
          </w:p>
        </w:tc>
        <w:tc>
          <w:tcPr>
            <w:tcW w:w="1413" w:type="dxa"/>
            <w:tcBorders>
              <w:top w:val="single" w:color="auto" w:sz="4" w:space="0"/>
              <w:left w:val="single" w:color="auto" w:sz="4" w:space="0"/>
              <w:bottom w:val="single" w:color="auto" w:sz="4" w:space="0"/>
              <w:right w:val="single" w:color="auto" w:sz="4" w:space="0"/>
            </w:tcBorders>
            <w:noWrap w:val="0"/>
            <w:vAlign w:val="center"/>
          </w:tcPr>
          <w:p w14:paraId="1262F09F">
            <w:pPr>
              <w:jc w:val="center"/>
              <w:rPr>
                <w:rFonts w:hint="eastAsia" w:ascii="宋体" w:hAnsi="宋体" w:eastAsia="宋体" w:cs="宋体"/>
                <w:b w:val="0"/>
                <w:bCs w:val="0"/>
                <w:color w:val="auto"/>
                <w:sz w:val="22"/>
                <w:szCs w:val="22"/>
                <w:highlight w:val="none"/>
              </w:rPr>
            </w:pPr>
            <w:bookmarkStart w:id="13" w:name="_Toc10016857"/>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用户管理</w:t>
            </w:r>
            <w:bookmarkEnd w:id="13"/>
          </w:p>
        </w:tc>
        <w:tc>
          <w:tcPr>
            <w:tcW w:w="4478" w:type="dxa"/>
            <w:tcBorders>
              <w:top w:val="single" w:color="auto" w:sz="4" w:space="0"/>
              <w:left w:val="single" w:color="auto" w:sz="4" w:space="0"/>
              <w:bottom w:val="single" w:color="auto" w:sz="4" w:space="0"/>
              <w:right w:val="single" w:color="auto" w:sz="4" w:space="0"/>
            </w:tcBorders>
            <w:noWrap w:val="0"/>
            <w:vAlign w:val="center"/>
          </w:tcPr>
          <w:p w14:paraId="70EC7580">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用户管理实现系统用户账户的管理、系统用户账户与角色绑定、用户单位信息管理功能。</w:t>
            </w:r>
          </w:p>
        </w:tc>
      </w:tr>
      <w:tr w14:paraId="7D4CF79A">
        <w:tblPrEx>
          <w:tblCellMar>
            <w:top w:w="0" w:type="dxa"/>
            <w:left w:w="108" w:type="dxa"/>
            <w:bottom w:w="0" w:type="dxa"/>
            <w:right w:w="108" w:type="dxa"/>
          </w:tblCellMar>
        </w:tblPrEx>
        <w:trPr>
          <w:trHeight w:val="560" w:hRule="atLeast"/>
        </w:trPr>
        <w:tc>
          <w:tcPr>
            <w:tcW w:w="11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CD28B39">
            <w:pPr>
              <w:jc w:val="center"/>
              <w:rPr>
                <w:rFonts w:hint="default" w:ascii="宋体" w:hAnsi="宋体" w:eastAsia="宋体" w:cs="宋体"/>
                <w:b w:val="0"/>
                <w:bCs w:val="0"/>
                <w:color w:val="auto"/>
                <w:sz w:val="22"/>
                <w:szCs w:val="22"/>
                <w:highlight w:val="none"/>
                <w:lang w:val="en-US" w:eastAsia="zh-CN" w:bidi="ar-SA"/>
              </w:rPr>
            </w:pPr>
            <w:r>
              <w:rPr>
                <w:rFonts w:hint="eastAsia" w:ascii="宋体" w:eastAsia="宋体" w:cs="宋体"/>
                <w:b w:val="0"/>
                <w:bCs w:val="0"/>
                <w:color w:val="auto"/>
                <w:sz w:val="22"/>
                <w:szCs w:val="22"/>
                <w:highlight w:val="none"/>
                <w:lang w:val="en-US" w:eastAsia="zh-CN"/>
              </w:rPr>
              <w:t>70</w:t>
            </w:r>
          </w:p>
        </w:tc>
        <w:tc>
          <w:tcPr>
            <w:tcW w:w="1179" w:type="dxa"/>
            <w:vMerge w:val="continue"/>
            <w:tcBorders>
              <w:left w:val="single" w:color="auto" w:sz="4" w:space="0"/>
              <w:right w:val="single" w:color="auto" w:sz="4" w:space="0"/>
            </w:tcBorders>
            <w:noWrap w:val="0"/>
            <w:vAlign w:val="center"/>
          </w:tcPr>
          <w:p w14:paraId="61F7632E">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22F4FD4C">
            <w:pPr>
              <w:rPr>
                <w:rFonts w:hint="eastAsia" w:ascii="宋体" w:hAnsi="宋体" w:eastAsia="宋体" w:cs="宋体"/>
                <w:b w:val="0"/>
                <w:bCs w:val="0"/>
                <w:color w:val="auto"/>
                <w:sz w:val="22"/>
                <w:szCs w:val="22"/>
                <w:highlight w:val="none"/>
              </w:rPr>
            </w:pPr>
          </w:p>
        </w:tc>
        <w:tc>
          <w:tcPr>
            <w:tcW w:w="1413" w:type="dxa"/>
            <w:tcBorders>
              <w:top w:val="single" w:color="auto" w:sz="4" w:space="0"/>
              <w:left w:val="single" w:color="auto" w:sz="4" w:space="0"/>
              <w:bottom w:val="single" w:color="auto" w:sz="4" w:space="0"/>
              <w:right w:val="single" w:color="auto" w:sz="4" w:space="0"/>
            </w:tcBorders>
            <w:noWrap w:val="0"/>
            <w:vAlign w:val="center"/>
          </w:tcPr>
          <w:p w14:paraId="6F191547">
            <w:pPr>
              <w:jc w:val="center"/>
              <w:rPr>
                <w:rFonts w:hint="eastAsia" w:ascii="宋体" w:hAnsi="宋体" w:eastAsia="宋体" w:cs="宋体"/>
                <w:b w:val="0"/>
                <w:bCs w:val="0"/>
                <w:color w:val="auto"/>
                <w:sz w:val="22"/>
                <w:szCs w:val="22"/>
                <w:highlight w:val="none"/>
              </w:rPr>
            </w:pPr>
            <w:bookmarkStart w:id="14" w:name="_Toc10016858"/>
            <w:r>
              <w:rPr>
                <w:rFonts w:hint="eastAsia" w:ascii="宋体" w:hAnsi="宋体" w:eastAsia="宋体"/>
                <w:color w:val="auto"/>
                <w:szCs w:val="24"/>
                <w:highlight w:val="none"/>
              </w:rPr>
              <w:t>★</w:t>
            </w:r>
            <w:r>
              <w:rPr>
                <w:rFonts w:hint="eastAsia" w:ascii="宋体" w:hAnsi="宋体" w:eastAsia="宋体" w:cs="宋体"/>
                <w:b w:val="0"/>
                <w:bCs w:val="0"/>
                <w:color w:val="auto"/>
                <w:sz w:val="22"/>
                <w:szCs w:val="22"/>
                <w:highlight w:val="none"/>
              </w:rPr>
              <w:t>角色管理</w:t>
            </w:r>
            <w:bookmarkEnd w:id="14"/>
          </w:p>
        </w:tc>
        <w:tc>
          <w:tcPr>
            <w:tcW w:w="4478" w:type="dxa"/>
            <w:tcBorders>
              <w:top w:val="single" w:color="auto" w:sz="4" w:space="0"/>
              <w:left w:val="single" w:color="auto" w:sz="4" w:space="0"/>
              <w:bottom w:val="single" w:color="auto" w:sz="4" w:space="0"/>
              <w:right w:val="single" w:color="auto" w:sz="4" w:space="0"/>
            </w:tcBorders>
            <w:noWrap w:val="0"/>
            <w:vAlign w:val="center"/>
          </w:tcPr>
          <w:p w14:paraId="3CD8EF3C">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角色管理主要用于进行授权管理。角色管理应该包括对角色信息进行设置、角色的继承设置、角色的约束设置，还要提供角色权限查询。</w:t>
            </w:r>
          </w:p>
        </w:tc>
      </w:tr>
      <w:tr w14:paraId="431DAFC5">
        <w:tblPrEx>
          <w:tblCellMar>
            <w:top w:w="0" w:type="dxa"/>
            <w:left w:w="108" w:type="dxa"/>
            <w:bottom w:w="0" w:type="dxa"/>
            <w:right w:w="108" w:type="dxa"/>
          </w:tblCellMar>
        </w:tblPrEx>
        <w:trPr>
          <w:trHeight w:val="560" w:hRule="atLeast"/>
        </w:trPr>
        <w:tc>
          <w:tcPr>
            <w:tcW w:w="11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2268407">
            <w:pPr>
              <w:jc w:val="center"/>
              <w:rPr>
                <w:rFonts w:hint="default" w:ascii="宋体" w:hAnsi="宋体" w:eastAsia="宋体" w:cs="宋体"/>
                <w:b w:val="0"/>
                <w:bCs w:val="0"/>
                <w:color w:val="auto"/>
                <w:sz w:val="22"/>
                <w:szCs w:val="22"/>
                <w:highlight w:val="none"/>
                <w:lang w:val="en-US" w:eastAsia="zh-CN" w:bidi="ar-SA"/>
              </w:rPr>
            </w:pPr>
            <w:r>
              <w:rPr>
                <w:rFonts w:hint="eastAsia" w:ascii="宋体" w:eastAsia="宋体" w:cs="宋体"/>
                <w:b w:val="0"/>
                <w:bCs w:val="0"/>
                <w:color w:val="auto"/>
                <w:sz w:val="22"/>
                <w:szCs w:val="22"/>
                <w:highlight w:val="none"/>
                <w:lang w:val="en-US" w:eastAsia="zh-CN"/>
              </w:rPr>
              <w:t>71</w:t>
            </w:r>
          </w:p>
        </w:tc>
        <w:tc>
          <w:tcPr>
            <w:tcW w:w="1179" w:type="dxa"/>
            <w:vMerge w:val="continue"/>
            <w:tcBorders>
              <w:left w:val="single" w:color="auto" w:sz="4" w:space="0"/>
              <w:right w:val="single" w:color="auto" w:sz="4" w:space="0"/>
            </w:tcBorders>
            <w:noWrap w:val="0"/>
            <w:vAlign w:val="center"/>
          </w:tcPr>
          <w:p w14:paraId="721136F5">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right w:val="single" w:color="auto" w:sz="4" w:space="0"/>
            </w:tcBorders>
            <w:noWrap w:val="0"/>
            <w:vAlign w:val="center"/>
          </w:tcPr>
          <w:p w14:paraId="4A0F53C2">
            <w:pPr>
              <w:rPr>
                <w:rFonts w:hint="eastAsia" w:ascii="宋体" w:hAnsi="宋体" w:eastAsia="宋体" w:cs="宋体"/>
                <w:b w:val="0"/>
                <w:bCs w:val="0"/>
                <w:color w:val="auto"/>
                <w:sz w:val="22"/>
                <w:szCs w:val="22"/>
                <w:highlight w:val="none"/>
              </w:rPr>
            </w:pPr>
          </w:p>
        </w:tc>
        <w:tc>
          <w:tcPr>
            <w:tcW w:w="1413" w:type="dxa"/>
            <w:tcBorders>
              <w:top w:val="single" w:color="auto" w:sz="4" w:space="0"/>
              <w:left w:val="single" w:color="auto" w:sz="4" w:space="0"/>
              <w:bottom w:val="single" w:color="auto" w:sz="4" w:space="0"/>
              <w:right w:val="single" w:color="auto" w:sz="4" w:space="0"/>
            </w:tcBorders>
            <w:noWrap w:val="0"/>
            <w:vAlign w:val="center"/>
          </w:tcPr>
          <w:p w14:paraId="0E2E406D">
            <w:pPr>
              <w:jc w:val="center"/>
              <w:rPr>
                <w:rFonts w:hint="eastAsia" w:ascii="宋体" w:hAnsi="宋体" w:eastAsia="宋体" w:cs="宋体"/>
                <w:b w:val="0"/>
                <w:bCs w:val="0"/>
                <w:color w:val="auto"/>
                <w:sz w:val="22"/>
                <w:szCs w:val="22"/>
                <w:highlight w:val="none"/>
              </w:rPr>
            </w:pPr>
            <w:bookmarkStart w:id="15" w:name="_Toc10016859"/>
            <w:r>
              <w:rPr>
                <w:rFonts w:hint="eastAsia" w:ascii="宋体" w:hAnsi="宋体" w:eastAsia="宋体" w:cs="宋体"/>
                <w:b w:val="0"/>
                <w:bCs w:val="0"/>
                <w:color w:val="auto"/>
                <w:sz w:val="22"/>
                <w:szCs w:val="22"/>
                <w:highlight w:val="none"/>
              </w:rPr>
              <w:t>权限管理</w:t>
            </w:r>
            <w:bookmarkEnd w:id="15"/>
          </w:p>
        </w:tc>
        <w:tc>
          <w:tcPr>
            <w:tcW w:w="4478" w:type="dxa"/>
            <w:tcBorders>
              <w:top w:val="single" w:color="auto" w:sz="4" w:space="0"/>
              <w:left w:val="single" w:color="auto" w:sz="4" w:space="0"/>
              <w:bottom w:val="single" w:color="auto" w:sz="4" w:space="0"/>
              <w:right w:val="single" w:color="auto" w:sz="4" w:space="0"/>
            </w:tcBorders>
            <w:noWrap w:val="0"/>
            <w:vAlign w:val="center"/>
          </w:tcPr>
          <w:p w14:paraId="2F611266">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支持分级授权模式，支持权限控制，支持根据用户、角色体系进行灵活的授权。可以定义每个菜单项的访问权限，可以分配到部门、人员、岗位、角色、用户组。</w:t>
            </w:r>
          </w:p>
          <w:p w14:paraId="4E105392">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系统可按任职机构、机构类别、干部管理权限、信息集（子表）等角度来控制权限，也可按授权导出数据、控制数据更新。支持按角色授权。权限控制既要便于管理，又要保证运行速度和效率。</w:t>
            </w:r>
          </w:p>
        </w:tc>
      </w:tr>
      <w:tr w14:paraId="677FAF4D">
        <w:tblPrEx>
          <w:tblCellMar>
            <w:top w:w="0" w:type="dxa"/>
            <w:left w:w="108" w:type="dxa"/>
            <w:bottom w:w="0" w:type="dxa"/>
            <w:right w:w="108" w:type="dxa"/>
          </w:tblCellMar>
        </w:tblPrEx>
        <w:trPr>
          <w:trHeight w:val="560" w:hRule="atLeast"/>
        </w:trPr>
        <w:tc>
          <w:tcPr>
            <w:tcW w:w="11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6767089">
            <w:pPr>
              <w:jc w:val="center"/>
              <w:rPr>
                <w:rFonts w:hint="default" w:ascii="宋体" w:hAnsi="宋体" w:eastAsia="宋体" w:cs="宋体"/>
                <w:b w:val="0"/>
                <w:bCs w:val="0"/>
                <w:color w:val="auto"/>
                <w:sz w:val="22"/>
                <w:szCs w:val="22"/>
                <w:highlight w:val="none"/>
                <w:lang w:val="en-US" w:eastAsia="zh-CN" w:bidi="ar-SA"/>
              </w:rPr>
            </w:pPr>
            <w:r>
              <w:rPr>
                <w:rFonts w:hint="eastAsia" w:ascii="宋体" w:eastAsia="宋体" w:cs="宋体"/>
                <w:b w:val="0"/>
                <w:bCs w:val="0"/>
                <w:color w:val="auto"/>
                <w:sz w:val="22"/>
                <w:szCs w:val="22"/>
                <w:highlight w:val="none"/>
                <w:lang w:val="en-US" w:eastAsia="zh-CN"/>
              </w:rPr>
              <w:t>72</w:t>
            </w:r>
          </w:p>
        </w:tc>
        <w:tc>
          <w:tcPr>
            <w:tcW w:w="1179" w:type="dxa"/>
            <w:vMerge w:val="continue"/>
            <w:tcBorders>
              <w:left w:val="single" w:color="auto" w:sz="4" w:space="0"/>
              <w:bottom w:val="single" w:color="auto" w:sz="4" w:space="0"/>
              <w:right w:val="single" w:color="auto" w:sz="4" w:space="0"/>
            </w:tcBorders>
            <w:noWrap w:val="0"/>
            <w:vAlign w:val="center"/>
          </w:tcPr>
          <w:p w14:paraId="591DC165">
            <w:pPr>
              <w:rPr>
                <w:rFonts w:hint="eastAsia" w:ascii="宋体" w:hAnsi="宋体" w:eastAsia="宋体" w:cs="宋体"/>
                <w:b w:val="0"/>
                <w:bCs w:val="0"/>
                <w:color w:val="auto"/>
                <w:sz w:val="22"/>
                <w:szCs w:val="22"/>
                <w:highlight w:val="none"/>
              </w:rPr>
            </w:pPr>
          </w:p>
        </w:tc>
        <w:tc>
          <w:tcPr>
            <w:tcW w:w="1179" w:type="dxa"/>
            <w:vMerge w:val="continue"/>
            <w:tcBorders>
              <w:left w:val="single" w:color="auto" w:sz="4" w:space="0"/>
              <w:bottom w:val="single" w:color="auto" w:sz="4" w:space="0"/>
              <w:right w:val="single" w:color="auto" w:sz="4" w:space="0"/>
            </w:tcBorders>
            <w:noWrap w:val="0"/>
            <w:vAlign w:val="center"/>
          </w:tcPr>
          <w:p w14:paraId="0C06440F">
            <w:pPr>
              <w:rPr>
                <w:rFonts w:hint="eastAsia" w:ascii="宋体" w:hAnsi="宋体" w:eastAsia="宋体" w:cs="宋体"/>
                <w:b w:val="0"/>
                <w:bCs w:val="0"/>
                <w:color w:val="auto"/>
                <w:sz w:val="22"/>
                <w:szCs w:val="22"/>
                <w:highlight w:val="none"/>
              </w:rPr>
            </w:pPr>
          </w:p>
        </w:tc>
        <w:tc>
          <w:tcPr>
            <w:tcW w:w="1413" w:type="dxa"/>
            <w:tcBorders>
              <w:top w:val="single" w:color="auto" w:sz="4" w:space="0"/>
              <w:left w:val="single" w:color="auto" w:sz="4" w:space="0"/>
              <w:bottom w:val="single" w:color="auto" w:sz="4" w:space="0"/>
              <w:right w:val="single" w:color="auto" w:sz="4" w:space="0"/>
            </w:tcBorders>
            <w:noWrap w:val="0"/>
            <w:vAlign w:val="center"/>
          </w:tcPr>
          <w:p w14:paraId="246AEFF3">
            <w:pPr>
              <w:jc w:val="center"/>
              <w:rPr>
                <w:rFonts w:hint="eastAsia" w:ascii="宋体" w:hAnsi="宋体" w:eastAsia="宋体" w:cs="宋体"/>
                <w:b w:val="0"/>
                <w:bCs w:val="0"/>
                <w:color w:val="auto"/>
                <w:sz w:val="22"/>
                <w:szCs w:val="22"/>
                <w:highlight w:val="none"/>
              </w:rPr>
            </w:pPr>
            <w:bookmarkStart w:id="16" w:name="_Toc10016860"/>
            <w:r>
              <w:rPr>
                <w:rFonts w:hint="eastAsia" w:ascii="宋体" w:hAnsi="宋体" w:eastAsia="宋体" w:cs="宋体"/>
                <w:b w:val="0"/>
                <w:bCs w:val="0"/>
                <w:color w:val="auto"/>
                <w:sz w:val="22"/>
                <w:szCs w:val="22"/>
                <w:highlight w:val="none"/>
              </w:rPr>
              <w:t>系统功能管理</w:t>
            </w:r>
            <w:bookmarkEnd w:id="16"/>
          </w:p>
        </w:tc>
        <w:tc>
          <w:tcPr>
            <w:tcW w:w="4478" w:type="dxa"/>
            <w:tcBorders>
              <w:top w:val="single" w:color="auto" w:sz="4" w:space="0"/>
              <w:left w:val="single" w:color="auto" w:sz="4" w:space="0"/>
              <w:bottom w:val="single" w:color="auto" w:sz="4" w:space="0"/>
              <w:right w:val="single" w:color="auto" w:sz="4" w:space="0"/>
            </w:tcBorders>
            <w:noWrap w:val="0"/>
            <w:vAlign w:val="center"/>
          </w:tcPr>
          <w:p w14:paraId="5F70E697">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支持对每个应用的功能模块进行配置，实现不同层级用户的个性化应用，包括子系统管理、功能管理、功能组管理、功能配置、业务参数配置功能。</w:t>
            </w:r>
          </w:p>
        </w:tc>
      </w:tr>
      <w:tr w14:paraId="5E9E3B04">
        <w:tblPrEx>
          <w:tblCellMar>
            <w:top w:w="0" w:type="dxa"/>
            <w:left w:w="108" w:type="dxa"/>
            <w:bottom w:w="0" w:type="dxa"/>
            <w:right w:w="108" w:type="dxa"/>
          </w:tblCellMar>
        </w:tblPrEx>
        <w:trPr>
          <w:trHeight w:val="560" w:hRule="atLeast"/>
        </w:trPr>
        <w:tc>
          <w:tcPr>
            <w:tcW w:w="11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EA79B0E">
            <w:pPr>
              <w:jc w:val="center"/>
              <w:rPr>
                <w:rFonts w:hint="default" w:ascii="仿宋_GB2312" w:hAnsi="宋体" w:eastAsia="仿宋_GB2312" w:cs="宋体"/>
                <w:b w:val="0"/>
                <w:bCs w:val="0"/>
                <w:color w:val="auto"/>
                <w:sz w:val="21"/>
                <w:szCs w:val="21"/>
                <w:highlight w:val="none"/>
                <w:lang w:val="en-US" w:eastAsia="zh-CN" w:bidi="ar-SA"/>
              </w:rPr>
            </w:pPr>
            <w:r>
              <w:rPr>
                <w:rFonts w:hint="eastAsia"/>
                <w:b w:val="0"/>
                <w:bCs w:val="0"/>
                <w:color w:val="auto"/>
                <w:highlight w:val="none"/>
                <w:lang w:val="en-US" w:eastAsia="zh-CN"/>
              </w:rPr>
              <w:t>73</w:t>
            </w:r>
          </w:p>
        </w:tc>
        <w:tc>
          <w:tcPr>
            <w:tcW w:w="1179" w:type="dxa"/>
            <w:vMerge w:val="continue"/>
            <w:tcBorders>
              <w:top w:val="single" w:color="auto" w:sz="4" w:space="0"/>
              <w:left w:val="single" w:color="auto" w:sz="4" w:space="0"/>
              <w:bottom w:val="single" w:color="auto" w:sz="4" w:space="0"/>
              <w:right w:val="single" w:color="auto" w:sz="4" w:space="0"/>
            </w:tcBorders>
            <w:noWrap w:val="0"/>
            <w:vAlign w:val="center"/>
          </w:tcPr>
          <w:p w14:paraId="28982C2B">
            <w:pPr>
              <w:rPr>
                <w:rFonts w:hint="eastAsia" w:ascii="宋体" w:hAnsi="宋体" w:eastAsia="宋体" w:cs="宋体"/>
                <w:b w:val="0"/>
                <w:bCs w:val="0"/>
                <w:color w:val="auto"/>
                <w:sz w:val="22"/>
                <w:szCs w:val="22"/>
                <w:highlight w:val="none"/>
              </w:rPr>
            </w:pPr>
          </w:p>
        </w:tc>
        <w:tc>
          <w:tcPr>
            <w:tcW w:w="1179" w:type="dxa"/>
            <w:vMerge w:val="continue"/>
            <w:tcBorders>
              <w:top w:val="single" w:color="auto" w:sz="4" w:space="0"/>
              <w:left w:val="single" w:color="auto" w:sz="4" w:space="0"/>
              <w:bottom w:val="single" w:color="auto" w:sz="4" w:space="0"/>
              <w:right w:val="single" w:color="auto" w:sz="4" w:space="0"/>
            </w:tcBorders>
            <w:noWrap w:val="0"/>
            <w:vAlign w:val="center"/>
          </w:tcPr>
          <w:p w14:paraId="1E00E698">
            <w:pPr>
              <w:rPr>
                <w:rFonts w:hint="eastAsia" w:ascii="宋体" w:hAnsi="宋体" w:eastAsia="宋体" w:cs="宋体"/>
                <w:b w:val="0"/>
                <w:bCs w:val="0"/>
                <w:color w:val="auto"/>
                <w:sz w:val="22"/>
                <w:szCs w:val="22"/>
                <w:highlight w:val="none"/>
              </w:rPr>
            </w:pPr>
          </w:p>
        </w:tc>
        <w:tc>
          <w:tcPr>
            <w:tcW w:w="1413" w:type="dxa"/>
            <w:tcBorders>
              <w:top w:val="single" w:color="auto" w:sz="4" w:space="0"/>
              <w:left w:val="single" w:color="auto" w:sz="4" w:space="0"/>
              <w:bottom w:val="single" w:color="auto" w:sz="4" w:space="0"/>
              <w:right w:val="single" w:color="auto" w:sz="4" w:space="0"/>
            </w:tcBorders>
            <w:noWrap w:val="0"/>
            <w:vAlign w:val="center"/>
          </w:tcPr>
          <w:p w14:paraId="5C98C351">
            <w:pPr>
              <w:jc w:val="center"/>
              <w:rPr>
                <w:rFonts w:hint="eastAsia" w:ascii="宋体" w:hAnsi="宋体" w:eastAsia="宋体" w:cs="宋体"/>
                <w:b w:val="0"/>
                <w:bCs w:val="0"/>
                <w:color w:val="auto"/>
                <w:sz w:val="22"/>
                <w:szCs w:val="22"/>
                <w:highlight w:val="none"/>
              </w:rPr>
            </w:pPr>
            <w:bookmarkStart w:id="17" w:name="_Toc10016861"/>
            <w:r>
              <w:rPr>
                <w:rFonts w:hint="eastAsia" w:ascii="宋体" w:hAnsi="宋体" w:eastAsia="宋体" w:cs="宋体"/>
                <w:b w:val="0"/>
                <w:bCs w:val="0"/>
                <w:color w:val="auto"/>
                <w:sz w:val="22"/>
                <w:szCs w:val="22"/>
                <w:highlight w:val="none"/>
              </w:rPr>
              <w:t>日志及审计管理</w:t>
            </w:r>
            <w:bookmarkEnd w:id="17"/>
          </w:p>
        </w:tc>
        <w:tc>
          <w:tcPr>
            <w:tcW w:w="4478" w:type="dxa"/>
            <w:tcBorders>
              <w:top w:val="single" w:color="auto" w:sz="4" w:space="0"/>
              <w:left w:val="single" w:color="auto" w:sz="4" w:space="0"/>
              <w:bottom w:val="single" w:color="auto" w:sz="4" w:space="0"/>
              <w:right w:val="single" w:color="auto" w:sz="4" w:space="0"/>
            </w:tcBorders>
            <w:noWrap w:val="0"/>
            <w:vAlign w:val="center"/>
          </w:tcPr>
          <w:p w14:paraId="05337678">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支持日志管理，主要包括登录日志、数据修改日志审计、操作日志审计、系统错误日志审计功能。系统用户行为都有审计日志，包括：用户名、IP地址、操作对象、操作时间、操作内容、操作结果信息。</w:t>
            </w:r>
          </w:p>
        </w:tc>
      </w:tr>
      <w:tr w14:paraId="3CA80216">
        <w:tblPrEx>
          <w:tblCellMar>
            <w:top w:w="0" w:type="dxa"/>
            <w:left w:w="108" w:type="dxa"/>
            <w:bottom w:w="0" w:type="dxa"/>
            <w:right w:w="108" w:type="dxa"/>
          </w:tblCellMar>
        </w:tblPrEx>
        <w:trPr>
          <w:trHeight w:val="560" w:hRule="atLeast"/>
        </w:trPr>
        <w:tc>
          <w:tcPr>
            <w:tcW w:w="11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E81DDCD">
            <w:pPr>
              <w:jc w:val="center"/>
              <w:rPr>
                <w:rFonts w:hint="default" w:ascii="仿宋_GB2312" w:hAnsi="宋体" w:eastAsia="仿宋_GB2312" w:cs="宋体"/>
                <w:b w:val="0"/>
                <w:bCs w:val="0"/>
                <w:color w:val="auto"/>
                <w:sz w:val="21"/>
                <w:szCs w:val="21"/>
                <w:highlight w:val="none"/>
                <w:lang w:val="en-US" w:eastAsia="zh-CN" w:bidi="ar-SA"/>
              </w:rPr>
            </w:pPr>
            <w:r>
              <w:rPr>
                <w:rFonts w:hint="eastAsia"/>
                <w:b w:val="0"/>
                <w:bCs w:val="0"/>
                <w:color w:val="auto"/>
                <w:highlight w:val="none"/>
                <w:lang w:val="en-US" w:eastAsia="zh-CN"/>
              </w:rPr>
              <w:t>74</w:t>
            </w:r>
          </w:p>
        </w:tc>
        <w:tc>
          <w:tcPr>
            <w:tcW w:w="1179" w:type="dxa"/>
            <w:tcBorders>
              <w:top w:val="single" w:color="auto" w:sz="4" w:space="0"/>
              <w:left w:val="single" w:color="auto" w:sz="4" w:space="0"/>
              <w:bottom w:val="single" w:color="auto" w:sz="4" w:space="0"/>
              <w:right w:val="single" w:color="auto" w:sz="4" w:space="0"/>
            </w:tcBorders>
            <w:noWrap w:val="0"/>
            <w:vAlign w:val="center"/>
          </w:tcPr>
          <w:p w14:paraId="7F37B0B6">
            <w:pPr>
              <w:rPr>
                <w:rFonts w:hint="eastAsia" w:ascii="宋体" w:hAnsi="宋体" w:eastAsia="宋体" w:cs="宋体"/>
                <w:b w:val="0"/>
                <w:bCs w:val="0"/>
                <w:color w:val="auto"/>
                <w:sz w:val="22"/>
                <w:szCs w:val="22"/>
                <w:highlight w:val="none"/>
              </w:rPr>
            </w:pPr>
            <w:r>
              <w:rPr>
                <w:rFonts w:hint="default" w:ascii="宋体" w:hAnsi="宋体" w:eastAsia="宋体" w:cs="宋体"/>
                <w:b w:val="0"/>
                <w:bCs w:val="0"/>
                <w:color w:val="auto"/>
                <w:sz w:val="24"/>
                <w:szCs w:val="24"/>
                <w:highlight w:val="none"/>
                <w:lang w:val="en-US" w:eastAsia="zh-CN"/>
              </w:rPr>
              <w:t>数据库</w:t>
            </w:r>
          </w:p>
        </w:tc>
        <w:tc>
          <w:tcPr>
            <w:tcW w:w="7070" w:type="dxa"/>
            <w:gridSpan w:val="3"/>
            <w:tcBorders>
              <w:top w:val="single" w:color="auto" w:sz="4" w:space="0"/>
              <w:left w:val="single" w:color="auto" w:sz="4" w:space="0"/>
              <w:bottom w:val="single" w:color="auto" w:sz="4" w:space="0"/>
              <w:right w:val="single" w:color="auto" w:sz="4" w:space="0"/>
            </w:tcBorders>
            <w:noWrap w:val="0"/>
            <w:vAlign w:val="center"/>
          </w:tcPr>
          <w:p w14:paraId="5202A0D6">
            <w:pPr>
              <w:rPr>
                <w:rFonts w:hint="default" w:ascii="宋体" w:hAns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w:t>
            </w:r>
          </w:p>
        </w:tc>
      </w:tr>
      <w:tr w14:paraId="5926675A">
        <w:tblPrEx>
          <w:tblCellMar>
            <w:top w:w="0" w:type="dxa"/>
            <w:left w:w="108" w:type="dxa"/>
            <w:bottom w:w="0" w:type="dxa"/>
            <w:right w:w="108" w:type="dxa"/>
          </w:tblCellMar>
        </w:tblPrEx>
        <w:trPr>
          <w:trHeight w:val="560" w:hRule="atLeast"/>
        </w:trPr>
        <w:tc>
          <w:tcPr>
            <w:tcW w:w="1171" w:type="dxa"/>
            <w:tcBorders>
              <w:top w:val="single" w:color="auto" w:sz="4" w:space="0"/>
              <w:left w:val="single" w:color="auto" w:sz="4" w:space="0"/>
              <w:bottom w:val="single" w:color="auto" w:sz="4" w:space="0"/>
              <w:right w:val="single" w:color="auto" w:sz="4" w:space="0"/>
            </w:tcBorders>
            <w:noWrap/>
            <w:vAlign w:val="center"/>
          </w:tcPr>
          <w:p w14:paraId="2426601E">
            <w:pPr>
              <w:jc w:val="center"/>
              <w:rPr>
                <w:rFonts w:hint="default"/>
                <w:b w:val="0"/>
                <w:bCs w:val="0"/>
                <w:color w:val="auto"/>
                <w:highlight w:val="none"/>
                <w:lang w:val="en-US" w:eastAsia="zh-CN"/>
              </w:rPr>
            </w:pPr>
            <w:r>
              <w:rPr>
                <w:rFonts w:hint="eastAsia"/>
                <w:b w:val="0"/>
                <w:bCs w:val="0"/>
                <w:color w:val="auto"/>
                <w:highlight w:val="none"/>
                <w:lang w:val="en-US" w:eastAsia="zh-CN"/>
              </w:rPr>
              <w:t>75</w:t>
            </w:r>
          </w:p>
        </w:tc>
        <w:tc>
          <w:tcPr>
            <w:tcW w:w="1179" w:type="dxa"/>
            <w:tcBorders>
              <w:top w:val="single" w:color="auto" w:sz="4" w:space="0"/>
              <w:left w:val="single" w:color="auto" w:sz="4" w:space="0"/>
              <w:bottom w:val="single" w:color="auto" w:sz="4" w:space="0"/>
              <w:right w:val="single" w:color="auto" w:sz="4" w:space="0"/>
            </w:tcBorders>
            <w:noWrap w:val="0"/>
            <w:vAlign w:val="center"/>
          </w:tcPr>
          <w:p w14:paraId="4BC29263">
            <w:pPr>
              <w:rPr>
                <w:rFonts w:hint="eastAsia" w:ascii="宋体" w:hAnsi="宋体" w:eastAsia="宋体" w:cs="宋体"/>
                <w:b w:val="0"/>
                <w:bCs w:val="0"/>
                <w:color w:val="auto"/>
                <w:sz w:val="22"/>
                <w:szCs w:val="22"/>
                <w:highlight w:val="none"/>
              </w:rPr>
            </w:pPr>
            <w:r>
              <w:rPr>
                <w:rFonts w:hint="default" w:ascii="宋体" w:hAnsi="宋体" w:eastAsia="宋体" w:cs="宋体"/>
                <w:b w:val="0"/>
                <w:bCs w:val="0"/>
                <w:color w:val="auto"/>
                <w:sz w:val="24"/>
                <w:szCs w:val="24"/>
                <w:highlight w:val="none"/>
                <w:lang w:val="en-US" w:eastAsia="zh-CN"/>
              </w:rPr>
              <w:t>等保测评费用</w:t>
            </w:r>
          </w:p>
        </w:tc>
        <w:tc>
          <w:tcPr>
            <w:tcW w:w="7070" w:type="dxa"/>
            <w:gridSpan w:val="3"/>
            <w:tcBorders>
              <w:top w:val="single" w:color="auto" w:sz="4" w:space="0"/>
              <w:left w:val="single" w:color="auto" w:sz="4" w:space="0"/>
              <w:bottom w:val="single" w:color="auto" w:sz="4" w:space="0"/>
              <w:right w:val="single" w:color="auto" w:sz="4" w:space="0"/>
            </w:tcBorders>
            <w:noWrap w:val="0"/>
            <w:vAlign w:val="center"/>
          </w:tcPr>
          <w:p w14:paraId="5EECD0D8">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4"/>
                <w:szCs w:val="24"/>
                <w:highlight w:val="none"/>
                <w:lang w:val="en-US" w:eastAsia="zh-CN"/>
              </w:rPr>
              <w:t>（按照二级等保要求）</w:t>
            </w:r>
          </w:p>
        </w:tc>
      </w:tr>
    </w:tbl>
    <w:p w14:paraId="018DF856">
      <w:pPr>
        <w:rPr>
          <w:rFonts w:hint="eastAsia"/>
        </w:rPr>
      </w:pPr>
    </w:p>
    <w:p w14:paraId="35A9922E">
      <w:pPr>
        <w:pStyle w:val="5"/>
        <w:tabs>
          <w:tab w:val="left" w:pos="3600"/>
        </w:tabs>
        <w:spacing w:before="0" w:after="0"/>
        <w:rPr>
          <w:rFonts w:hint="eastAsia" w:ascii="宋体" w:hAnsi="宋体" w:eastAsia="宋体" w:cs="宋体"/>
          <w:b w:val="0"/>
          <w:bCs w:val="0"/>
          <w:color w:val="000000"/>
          <w:spacing w:val="0"/>
          <w:sz w:val="22"/>
          <w:szCs w:val="22"/>
          <w:highlight w:val="none"/>
          <w:lang w:val="en-US" w:eastAsia="zh-CN" w:bidi="ar-SA"/>
        </w:rPr>
      </w:pPr>
      <w:r>
        <w:rPr>
          <w:rFonts w:hint="eastAsia" w:ascii="宋体" w:hAnsi="宋体" w:eastAsia="宋体" w:cs="宋体"/>
          <w:b w:val="0"/>
          <w:bCs w:val="0"/>
          <w:color w:val="000000"/>
          <w:spacing w:val="0"/>
          <w:sz w:val="22"/>
          <w:szCs w:val="22"/>
          <w:highlight w:val="none"/>
          <w:lang w:val="en-US" w:eastAsia="zh-CN" w:bidi="ar-SA"/>
        </w:rPr>
        <w:t>（五）</w:t>
      </w:r>
      <w:bookmarkStart w:id="18" w:name="_Toc149649014"/>
      <w:r>
        <w:rPr>
          <w:rFonts w:hint="eastAsia" w:ascii="宋体" w:hAnsi="宋体" w:eastAsia="宋体" w:cs="宋体"/>
          <w:b w:val="0"/>
          <w:bCs w:val="0"/>
          <w:color w:val="000000"/>
          <w:spacing w:val="0"/>
          <w:sz w:val="22"/>
          <w:szCs w:val="22"/>
          <w:highlight w:val="none"/>
          <w:lang w:val="en-US" w:eastAsia="zh-CN" w:bidi="ar-SA"/>
        </w:rPr>
        <w:t>应用支撑设计</w:t>
      </w:r>
      <w:bookmarkEnd w:id="18"/>
      <w:r>
        <w:rPr>
          <w:rFonts w:hint="eastAsia" w:ascii="宋体" w:hAnsi="宋体" w:eastAsia="宋体" w:cs="宋体"/>
          <w:b w:val="0"/>
          <w:bCs w:val="0"/>
          <w:color w:val="000000"/>
          <w:spacing w:val="0"/>
          <w:sz w:val="22"/>
          <w:szCs w:val="22"/>
          <w:highlight w:val="none"/>
          <w:lang w:val="en-US" w:eastAsia="zh-CN" w:bidi="ar-SA"/>
        </w:rPr>
        <w:t>要求</w:t>
      </w:r>
    </w:p>
    <w:p w14:paraId="568B30E5">
      <w:pPr>
        <w:spacing w:line="360" w:lineRule="auto"/>
        <w:ind w:firstLine="440" w:firstLineChars="200"/>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b w:val="0"/>
          <w:bCs w:val="0"/>
          <w:color w:val="000000"/>
          <w:sz w:val="22"/>
          <w:szCs w:val="22"/>
          <w:highlight w:val="none"/>
          <w:lang w:val="en-US" w:eastAsia="zh-CN" w:bidi="ar-SA"/>
        </w:rPr>
        <w:t>应用系统支撑平台应提供一个支持信息访问、传递</w:t>
      </w:r>
      <w:r>
        <w:rPr>
          <w:rFonts w:hint="eastAsia" w:ascii="宋体" w:eastAsia="宋体" w:cs="宋体"/>
          <w:b w:val="0"/>
          <w:bCs w:val="0"/>
          <w:color w:val="000000"/>
          <w:sz w:val="22"/>
          <w:szCs w:val="22"/>
          <w:highlight w:val="none"/>
          <w:lang w:val="en-US" w:eastAsia="zh-CN" w:bidi="ar-SA"/>
        </w:rPr>
        <w:t>以及</w:t>
      </w:r>
      <w:r>
        <w:rPr>
          <w:rFonts w:hint="eastAsia" w:ascii="宋体" w:hAnsi="宋体" w:eastAsia="宋体" w:cs="宋体"/>
          <w:b w:val="0"/>
          <w:bCs w:val="0"/>
          <w:color w:val="000000"/>
          <w:sz w:val="22"/>
          <w:szCs w:val="22"/>
          <w:highlight w:val="none"/>
          <w:lang w:val="en-US" w:eastAsia="zh-CN" w:bidi="ar-SA"/>
        </w:rPr>
        <w:t>协作的信息集成化环境，为中共永嘉县委组织部组工一体化平台项目奠定开放性的技术体系架构，为整个项目业务应用系统开发、运行、整合提供基础，为信息资源体系和各类应用系统之间连接的桥梁，提供整合现有应用系统和第三方工具的基础。应具有开放的体系结构，通过提供标准接口、丰富的构件集和完整的集成机制，通过构件技术提高开发效率、降低开发成本，以实现快速、高效和高质量地搭建本期系统功能，并能在此基础上</w:t>
      </w:r>
      <w:r>
        <w:rPr>
          <w:rFonts w:hint="eastAsia" w:ascii="宋体" w:hAnsi="宋体" w:eastAsia="宋体" w:cs="宋体"/>
          <w:b w:val="0"/>
          <w:bCs w:val="0"/>
          <w:color w:val="auto"/>
          <w:sz w:val="22"/>
          <w:szCs w:val="22"/>
          <w:highlight w:val="none"/>
          <w:lang w:val="en-US" w:eastAsia="zh-CN" w:bidi="ar-SA"/>
        </w:rPr>
        <w:t>进一步拓展未来各类应用，保证各部门之间实现业务资源、数据资源共享和协同工作</w:t>
      </w:r>
      <w:r>
        <w:rPr>
          <w:rFonts w:hint="eastAsia" w:ascii="宋体" w:eastAsia="宋体" w:cs="宋体"/>
          <w:b w:val="0"/>
          <w:bCs w:val="0"/>
          <w:color w:val="auto"/>
          <w:sz w:val="22"/>
          <w:szCs w:val="22"/>
          <w:highlight w:val="none"/>
          <w:lang w:val="en-US" w:eastAsia="zh-CN" w:bidi="ar-SA"/>
        </w:rPr>
        <w:t>，</w:t>
      </w:r>
      <w:r>
        <w:rPr>
          <w:rFonts w:hint="eastAsia" w:ascii="宋体" w:hAnsi="宋体" w:eastAsia="宋体" w:cs="宋体"/>
          <w:b w:val="0"/>
          <w:bCs w:val="0"/>
          <w:color w:val="auto"/>
          <w:sz w:val="22"/>
          <w:szCs w:val="22"/>
          <w:highlight w:val="none"/>
          <w:lang w:val="en-US" w:eastAsia="zh-CN" w:bidi="ar-SA"/>
        </w:rPr>
        <w:t>使系统各级各类应用能够有机整合。</w:t>
      </w:r>
    </w:p>
    <w:p w14:paraId="257EE090">
      <w:pPr>
        <w:spacing w:line="360" w:lineRule="auto"/>
        <w:ind w:firstLine="440" w:firstLineChars="200"/>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b w:val="0"/>
          <w:bCs w:val="0"/>
          <w:color w:val="auto"/>
          <w:sz w:val="22"/>
          <w:szCs w:val="22"/>
          <w:highlight w:val="none"/>
          <w:lang w:val="en-US" w:eastAsia="zh-CN" w:bidi="ar-SA"/>
        </w:rPr>
        <w:t>平台整体环境应采用最新版本平台架构，提升运行性能，增强运行环境兼容性。</w:t>
      </w:r>
    </w:p>
    <w:p w14:paraId="315223CE">
      <w:pPr>
        <w:spacing w:line="360" w:lineRule="auto"/>
        <w:ind w:firstLine="440" w:firstLineChars="200"/>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b w:val="0"/>
          <w:bCs w:val="0"/>
          <w:color w:val="auto"/>
          <w:sz w:val="22"/>
          <w:szCs w:val="22"/>
          <w:highlight w:val="none"/>
          <w:lang w:val="en-US" w:eastAsia="zh-CN" w:bidi="ar-SA"/>
        </w:rPr>
        <w:t>软件构件技术是系统开发中行之有效的技术，可复用构件的标准化是有效实施构件技术的关键，包括构件获取、构件分类、构件查询和构件组装等方面。在整个系统的建设过程中，将全面采用软件构件技术。本项目应用支撑平台提供基础构件包括：表示类构件、数据访问类构件、信息维护类构件、信息查询类构件、信息校核类构件、信息统计分析类、消息通讯类构件、信息安全类构件、异常处理类构件。</w:t>
      </w:r>
    </w:p>
    <w:tbl>
      <w:tblPr>
        <w:tblStyle w:val="44"/>
        <w:tblW w:w="8296" w:type="dxa"/>
        <w:jc w:val="center"/>
        <w:tblLayout w:type="fixed"/>
        <w:tblCellMar>
          <w:top w:w="0" w:type="dxa"/>
          <w:left w:w="108" w:type="dxa"/>
          <w:bottom w:w="0" w:type="dxa"/>
          <w:right w:w="108" w:type="dxa"/>
        </w:tblCellMar>
      </w:tblPr>
      <w:tblGrid>
        <w:gridCol w:w="1452"/>
        <w:gridCol w:w="2041"/>
        <w:gridCol w:w="4803"/>
      </w:tblGrid>
      <w:tr w14:paraId="59534B03">
        <w:trPr>
          <w:trHeight w:val="454" w:hRule="atLeast"/>
          <w:tblHeader/>
          <w:jc w:val="center"/>
        </w:trPr>
        <w:tc>
          <w:tcPr>
            <w:tcW w:w="1452" w:type="dxa"/>
            <w:tcBorders>
              <w:top w:val="single" w:color="auto" w:sz="4" w:space="0"/>
              <w:left w:val="single" w:color="auto" w:sz="4" w:space="0"/>
              <w:bottom w:val="single" w:color="auto" w:sz="4" w:space="0"/>
              <w:right w:val="single" w:color="auto" w:sz="4" w:space="0"/>
            </w:tcBorders>
            <w:shd w:val="clear" w:color="auto" w:fill="F3F3F3"/>
            <w:vAlign w:val="center"/>
          </w:tcPr>
          <w:p w14:paraId="6BAEE1DE">
            <w:pPr>
              <w:spacing w:line="240" w:lineRule="auto"/>
              <w:ind w:firstLine="0" w:firstLineChars="0"/>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构件类</w:t>
            </w:r>
          </w:p>
        </w:tc>
        <w:tc>
          <w:tcPr>
            <w:tcW w:w="2041" w:type="dxa"/>
            <w:tcBorders>
              <w:top w:val="single" w:color="auto" w:sz="4" w:space="0"/>
              <w:left w:val="nil"/>
              <w:bottom w:val="single" w:color="auto" w:sz="4" w:space="0"/>
              <w:right w:val="single" w:color="auto" w:sz="4" w:space="0"/>
            </w:tcBorders>
            <w:shd w:val="clear" w:color="auto" w:fill="F3F3F3"/>
            <w:vAlign w:val="center"/>
          </w:tcPr>
          <w:p w14:paraId="3D160E4E">
            <w:pPr>
              <w:spacing w:line="240" w:lineRule="auto"/>
              <w:ind w:firstLine="0" w:firstLineChars="0"/>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构件名称</w:t>
            </w:r>
          </w:p>
        </w:tc>
        <w:tc>
          <w:tcPr>
            <w:tcW w:w="4803" w:type="dxa"/>
            <w:tcBorders>
              <w:top w:val="single" w:color="auto" w:sz="4" w:space="0"/>
              <w:left w:val="nil"/>
              <w:bottom w:val="single" w:color="auto" w:sz="4" w:space="0"/>
              <w:right w:val="single" w:color="auto" w:sz="4" w:space="0"/>
            </w:tcBorders>
            <w:shd w:val="clear" w:color="auto" w:fill="F3F3F3"/>
            <w:noWrap/>
            <w:vAlign w:val="center"/>
          </w:tcPr>
          <w:p w14:paraId="35D22CF0">
            <w:pPr>
              <w:spacing w:line="240" w:lineRule="auto"/>
              <w:ind w:firstLine="0" w:firstLineChars="0"/>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说明</w:t>
            </w:r>
          </w:p>
        </w:tc>
      </w:tr>
      <w:tr w14:paraId="7C91FA4D">
        <w:tblPrEx>
          <w:tblCellMar>
            <w:top w:w="0" w:type="dxa"/>
            <w:left w:w="108" w:type="dxa"/>
            <w:bottom w:w="0" w:type="dxa"/>
            <w:right w:w="108" w:type="dxa"/>
          </w:tblCellMar>
        </w:tblPrEx>
        <w:trPr>
          <w:trHeight w:val="454" w:hRule="atLeast"/>
          <w:jc w:val="center"/>
        </w:trPr>
        <w:tc>
          <w:tcPr>
            <w:tcW w:w="1452" w:type="dxa"/>
            <w:vMerge w:val="restart"/>
            <w:tcBorders>
              <w:top w:val="nil"/>
              <w:left w:val="single" w:color="auto" w:sz="4" w:space="0"/>
              <w:bottom w:val="single" w:color="auto" w:sz="4" w:space="0"/>
              <w:right w:val="single" w:color="auto" w:sz="4" w:space="0"/>
            </w:tcBorders>
            <w:vAlign w:val="center"/>
          </w:tcPr>
          <w:p w14:paraId="26B8ECDC">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表示构件类</w:t>
            </w:r>
          </w:p>
        </w:tc>
        <w:tc>
          <w:tcPr>
            <w:tcW w:w="2041" w:type="dxa"/>
            <w:tcBorders>
              <w:top w:val="nil"/>
              <w:left w:val="nil"/>
              <w:bottom w:val="single" w:color="auto" w:sz="4" w:space="0"/>
              <w:right w:val="single" w:color="auto" w:sz="4" w:space="0"/>
            </w:tcBorders>
            <w:noWrap/>
            <w:vAlign w:val="center"/>
          </w:tcPr>
          <w:p w14:paraId="43EFEF1D">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视图构件包</w:t>
            </w:r>
          </w:p>
        </w:tc>
        <w:tc>
          <w:tcPr>
            <w:tcW w:w="4803" w:type="dxa"/>
            <w:tcBorders>
              <w:top w:val="nil"/>
              <w:left w:val="nil"/>
              <w:bottom w:val="single" w:color="auto" w:sz="4" w:space="0"/>
              <w:right w:val="single" w:color="auto" w:sz="4" w:space="0"/>
            </w:tcBorders>
            <w:vAlign w:val="center"/>
          </w:tcPr>
          <w:p w14:paraId="405EDC0B">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包括：列表、树形、网格、容器等</w:t>
            </w:r>
          </w:p>
        </w:tc>
      </w:tr>
      <w:tr w14:paraId="6C59F066">
        <w:tblPrEx>
          <w:tblCellMar>
            <w:top w:w="0" w:type="dxa"/>
            <w:left w:w="108" w:type="dxa"/>
            <w:bottom w:w="0" w:type="dxa"/>
            <w:right w:w="108" w:type="dxa"/>
          </w:tblCellMar>
        </w:tblPrEx>
        <w:trPr>
          <w:trHeight w:val="454" w:hRule="atLeast"/>
          <w:jc w:val="center"/>
        </w:trPr>
        <w:tc>
          <w:tcPr>
            <w:tcW w:w="1452" w:type="dxa"/>
            <w:vMerge w:val="continue"/>
            <w:tcBorders>
              <w:top w:val="nil"/>
              <w:left w:val="single" w:color="auto" w:sz="4" w:space="0"/>
              <w:bottom w:val="single" w:color="auto" w:sz="4" w:space="0"/>
              <w:right w:val="single" w:color="auto" w:sz="4" w:space="0"/>
            </w:tcBorders>
            <w:vAlign w:val="center"/>
          </w:tcPr>
          <w:p w14:paraId="0D1AE294">
            <w:pPr>
              <w:spacing w:line="240" w:lineRule="auto"/>
              <w:ind w:firstLine="0" w:firstLineChars="0"/>
              <w:rPr>
                <w:rFonts w:hint="eastAsia" w:ascii="宋体" w:hAnsi="宋体" w:eastAsia="宋体" w:cs="宋体"/>
                <w:b w:val="0"/>
                <w:bCs w:val="0"/>
                <w:sz w:val="22"/>
                <w:szCs w:val="22"/>
              </w:rPr>
            </w:pPr>
          </w:p>
        </w:tc>
        <w:tc>
          <w:tcPr>
            <w:tcW w:w="2041" w:type="dxa"/>
            <w:tcBorders>
              <w:top w:val="nil"/>
              <w:left w:val="nil"/>
              <w:bottom w:val="single" w:color="auto" w:sz="4" w:space="0"/>
              <w:right w:val="single" w:color="auto" w:sz="4" w:space="0"/>
            </w:tcBorders>
            <w:vAlign w:val="center"/>
          </w:tcPr>
          <w:p w14:paraId="6E00B721">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导航构件包</w:t>
            </w:r>
          </w:p>
        </w:tc>
        <w:tc>
          <w:tcPr>
            <w:tcW w:w="4803" w:type="dxa"/>
            <w:tcBorders>
              <w:top w:val="nil"/>
              <w:left w:val="nil"/>
              <w:bottom w:val="single" w:color="auto" w:sz="4" w:space="0"/>
              <w:right w:val="single" w:color="auto" w:sz="4" w:space="0"/>
            </w:tcBorders>
            <w:vAlign w:val="center"/>
          </w:tcPr>
          <w:p w14:paraId="1B58A92C">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包括：菜单、工具栏、状态栏等</w:t>
            </w:r>
          </w:p>
        </w:tc>
      </w:tr>
      <w:tr w14:paraId="555819E2">
        <w:tblPrEx>
          <w:tblCellMar>
            <w:top w:w="0" w:type="dxa"/>
            <w:left w:w="108" w:type="dxa"/>
            <w:bottom w:w="0" w:type="dxa"/>
            <w:right w:w="108" w:type="dxa"/>
          </w:tblCellMar>
        </w:tblPrEx>
        <w:trPr>
          <w:trHeight w:val="454" w:hRule="atLeast"/>
          <w:jc w:val="center"/>
        </w:trPr>
        <w:tc>
          <w:tcPr>
            <w:tcW w:w="1452" w:type="dxa"/>
            <w:vMerge w:val="continue"/>
            <w:tcBorders>
              <w:top w:val="nil"/>
              <w:left w:val="single" w:color="auto" w:sz="4" w:space="0"/>
              <w:bottom w:val="single" w:color="auto" w:sz="4" w:space="0"/>
              <w:right w:val="single" w:color="auto" w:sz="4" w:space="0"/>
            </w:tcBorders>
            <w:vAlign w:val="center"/>
          </w:tcPr>
          <w:p w14:paraId="633C7DD4">
            <w:pPr>
              <w:spacing w:line="240" w:lineRule="auto"/>
              <w:ind w:firstLine="0" w:firstLineChars="0"/>
              <w:rPr>
                <w:rFonts w:hint="eastAsia" w:ascii="宋体" w:hAnsi="宋体" w:eastAsia="宋体" w:cs="宋体"/>
                <w:b w:val="0"/>
                <w:bCs w:val="0"/>
                <w:sz w:val="22"/>
                <w:szCs w:val="22"/>
              </w:rPr>
            </w:pPr>
          </w:p>
        </w:tc>
        <w:tc>
          <w:tcPr>
            <w:tcW w:w="2041" w:type="dxa"/>
            <w:tcBorders>
              <w:top w:val="nil"/>
              <w:left w:val="nil"/>
              <w:bottom w:val="single" w:color="auto" w:sz="4" w:space="0"/>
              <w:right w:val="single" w:color="auto" w:sz="4" w:space="0"/>
            </w:tcBorders>
            <w:vAlign w:val="center"/>
          </w:tcPr>
          <w:p w14:paraId="389D204D">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图形显示构件包</w:t>
            </w:r>
          </w:p>
        </w:tc>
        <w:tc>
          <w:tcPr>
            <w:tcW w:w="4803" w:type="dxa"/>
            <w:tcBorders>
              <w:top w:val="nil"/>
              <w:left w:val="nil"/>
              <w:bottom w:val="single" w:color="auto" w:sz="4" w:space="0"/>
              <w:right w:val="single" w:color="auto" w:sz="4" w:space="0"/>
            </w:tcBorders>
            <w:vAlign w:val="center"/>
          </w:tcPr>
          <w:p w14:paraId="41CE0C1B">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包括：直方图、柱形图、饼图、曲线等</w:t>
            </w:r>
          </w:p>
        </w:tc>
      </w:tr>
      <w:tr w14:paraId="69460994">
        <w:tblPrEx>
          <w:tblCellMar>
            <w:top w:w="0" w:type="dxa"/>
            <w:left w:w="108" w:type="dxa"/>
            <w:bottom w:w="0" w:type="dxa"/>
            <w:right w:w="108" w:type="dxa"/>
          </w:tblCellMar>
        </w:tblPrEx>
        <w:trPr>
          <w:trHeight w:val="454" w:hRule="atLeast"/>
          <w:jc w:val="center"/>
        </w:trPr>
        <w:tc>
          <w:tcPr>
            <w:tcW w:w="1452" w:type="dxa"/>
            <w:vMerge w:val="restart"/>
            <w:tcBorders>
              <w:top w:val="nil"/>
              <w:left w:val="single" w:color="auto" w:sz="4" w:space="0"/>
              <w:bottom w:val="single" w:color="auto" w:sz="4" w:space="0"/>
              <w:right w:val="single" w:color="auto" w:sz="4" w:space="0"/>
            </w:tcBorders>
            <w:vAlign w:val="center"/>
          </w:tcPr>
          <w:p w14:paraId="0E25A1A4">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数据访问类</w:t>
            </w:r>
          </w:p>
        </w:tc>
        <w:tc>
          <w:tcPr>
            <w:tcW w:w="2041" w:type="dxa"/>
            <w:tcBorders>
              <w:top w:val="nil"/>
              <w:left w:val="nil"/>
              <w:bottom w:val="single" w:color="auto" w:sz="4" w:space="0"/>
              <w:right w:val="single" w:color="auto" w:sz="4" w:space="0"/>
            </w:tcBorders>
            <w:vAlign w:val="center"/>
          </w:tcPr>
          <w:p w14:paraId="7B83A69C">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数据对象定制构件</w:t>
            </w:r>
          </w:p>
        </w:tc>
        <w:tc>
          <w:tcPr>
            <w:tcW w:w="4803" w:type="dxa"/>
            <w:tcBorders>
              <w:top w:val="nil"/>
              <w:left w:val="nil"/>
              <w:bottom w:val="single" w:color="auto" w:sz="4" w:space="0"/>
              <w:right w:val="single" w:color="auto" w:sz="4" w:space="0"/>
            </w:tcBorders>
            <w:vAlign w:val="center"/>
          </w:tcPr>
          <w:p w14:paraId="058316F1">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包括：数据对象、数据对象属性等数据对象信息的定制</w:t>
            </w:r>
          </w:p>
        </w:tc>
      </w:tr>
      <w:tr w14:paraId="19A09C56">
        <w:tblPrEx>
          <w:tblCellMar>
            <w:top w:w="0" w:type="dxa"/>
            <w:left w:w="108" w:type="dxa"/>
            <w:bottom w:w="0" w:type="dxa"/>
            <w:right w:w="108" w:type="dxa"/>
          </w:tblCellMar>
        </w:tblPrEx>
        <w:trPr>
          <w:trHeight w:val="454" w:hRule="atLeast"/>
          <w:jc w:val="center"/>
        </w:trPr>
        <w:tc>
          <w:tcPr>
            <w:tcW w:w="1452" w:type="dxa"/>
            <w:vMerge w:val="continue"/>
            <w:tcBorders>
              <w:top w:val="nil"/>
              <w:left w:val="single" w:color="auto" w:sz="4" w:space="0"/>
              <w:bottom w:val="single" w:color="auto" w:sz="4" w:space="0"/>
              <w:right w:val="single" w:color="auto" w:sz="4" w:space="0"/>
            </w:tcBorders>
            <w:vAlign w:val="center"/>
          </w:tcPr>
          <w:p w14:paraId="1C326353">
            <w:pPr>
              <w:spacing w:line="240" w:lineRule="auto"/>
              <w:ind w:firstLine="0" w:firstLineChars="0"/>
              <w:rPr>
                <w:rFonts w:hint="eastAsia" w:ascii="宋体" w:hAnsi="宋体" w:eastAsia="宋体" w:cs="宋体"/>
                <w:b w:val="0"/>
                <w:bCs w:val="0"/>
                <w:sz w:val="22"/>
                <w:szCs w:val="22"/>
              </w:rPr>
            </w:pPr>
          </w:p>
        </w:tc>
        <w:tc>
          <w:tcPr>
            <w:tcW w:w="2041" w:type="dxa"/>
            <w:tcBorders>
              <w:top w:val="nil"/>
              <w:left w:val="nil"/>
              <w:bottom w:val="single" w:color="auto" w:sz="4" w:space="0"/>
              <w:right w:val="single" w:color="auto" w:sz="4" w:space="0"/>
            </w:tcBorders>
            <w:vAlign w:val="center"/>
          </w:tcPr>
          <w:p w14:paraId="31236877">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数据对象管理构件</w:t>
            </w:r>
          </w:p>
        </w:tc>
        <w:tc>
          <w:tcPr>
            <w:tcW w:w="4803" w:type="dxa"/>
            <w:tcBorders>
              <w:top w:val="nil"/>
              <w:left w:val="nil"/>
              <w:bottom w:val="single" w:color="auto" w:sz="4" w:space="0"/>
              <w:right w:val="single" w:color="auto" w:sz="4" w:space="0"/>
            </w:tcBorders>
            <w:vAlign w:val="center"/>
          </w:tcPr>
          <w:p w14:paraId="66838880">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包括：提供对数据对象的分类、查询、检索等功能</w:t>
            </w:r>
          </w:p>
        </w:tc>
      </w:tr>
      <w:tr w14:paraId="3E55E2C8">
        <w:tblPrEx>
          <w:tblCellMar>
            <w:top w:w="0" w:type="dxa"/>
            <w:left w:w="108" w:type="dxa"/>
            <w:bottom w:w="0" w:type="dxa"/>
            <w:right w:w="108" w:type="dxa"/>
          </w:tblCellMar>
        </w:tblPrEx>
        <w:trPr>
          <w:trHeight w:val="454" w:hRule="atLeast"/>
          <w:jc w:val="center"/>
        </w:trPr>
        <w:tc>
          <w:tcPr>
            <w:tcW w:w="1452" w:type="dxa"/>
            <w:vMerge w:val="continue"/>
            <w:tcBorders>
              <w:top w:val="nil"/>
              <w:left w:val="single" w:color="auto" w:sz="4" w:space="0"/>
              <w:bottom w:val="single" w:color="auto" w:sz="4" w:space="0"/>
              <w:right w:val="single" w:color="auto" w:sz="4" w:space="0"/>
            </w:tcBorders>
            <w:vAlign w:val="center"/>
          </w:tcPr>
          <w:p w14:paraId="57368186">
            <w:pPr>
              <w:spacing w:line="240" w:lineRule="auto"/>
              <w:ind w:firstLine="0" w:firstLineChars="0"/>
              <w:rPr>
                <w:rFonts w:hint="eastAsia" w:ascii="宋体" w:hAnsi="宋体" w:eastAsia="宋体" w:cs="宋体"/>
                <w:b w:val="0"/>
                <w:bCs w:val="0"/>
                <w:sz w:val="22"/>
                <w:szCs w:val="22"/>
              </w:rPr>
            </w:pPr>
          </w:p>
        </w:tc>
        <w:tc>
          <w:tcPr>
            <w:tcW w:w="2041" w:type="dxa"/>
            <w:tcBorders>
              <w:top w:val="nil"/>
              <w:left w:val="nil"/>
              <w:bottom w:val="single" w:color="auto" w:sz="4" w:space="0"/>
              <w:right w:val="single" w:color="auto" w:sz="4" w:space="0"/>
            </w:tcBorders>
            <w:vAlign w:val="center"/>
          </w:tcPr>
          <w:p w14:paraId="6C6335BB">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数据模式库管理构件</w:t>
            </w:r>
          </w:p>
        </w:tc>
        <w:tc>
          <w:tcPr>
            <w:tcW w:w="4803" w:type="dxa"/>
            <w:tcBorders>
              <w:top w:val="nil"/>
              <w:left w:val="nil"/>
              <w:bottom w:val="single" w:color="auto" w:sz="4" w:space="0"/>
              <w:right w:val="single" w:color="auto" w:sz="4" w:space="0"/>
            </w:tcBorders>
            <w:vAlign w:val="center"/>
          </w:tcPr>
          <w:p w14:paraId="3C130E82">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包括：对数据模式（如领域、数据对象之间的关系等）的分类管理及查询、检索功能</w:t>
            </w:r>
          </w:p>
        </w:tc>
      </w:tr>
      <w:tr w14:paraId="2C51DACF">
        <w:tblPrEx>
          <w:tblCellMar>
            <w:top w:w="0" w:type="dxa"/>
            <w:left w:w="108" w:type="dxa"/>
            <w:bottom w:w="0" w:type="dxa"/>
            <w:right w:w="108" w:type="dxa"/>
          </w:tblCellMar>
        </w:tblPrEx>
        <w:trPr>
          <w:trHeight w:val="454" w:hRule="atLeast"/>
          <w:jc w:val="center"/>
        </w:trPr>
        <w:tc>
          <w:tcPr>
            <w:tcW w:w="1452" w:type="dxa"/>
            <w:vMerge w:val="continue"/>
            <w:tcBorders>
              <w:top w:val="nil"/>
              <w:left w:val="single" w:color="auto" w:sz="4" w:space="0"/>
              <w:bottom w:val="single" w:color="auto" w:sz="4" w:space="0"/>
              <w:right w:val="single" w:color="auto" w:sz="4" w:space="0"/>
            </w:tcBorders>
            <w:vAlign w:val="center"/>
          </w:tcPr>
          <w:p w14:paraId="77046B8D">
            <w:pPr>
              <w:spacing w:line="240" w:lineRule="auto"/>
              <w:ind w:firstLine="0" w:firstLineChars="0"/>
              <w:rPr>
                <w:rFonts w:hint="eastAsia" w:ascii="宋体" w:hAnsi="宋体" w:eastAsia="宋体" w:cs="宋体"/>
                <w:b w:val="0"/>
                <w:bCs w:val="0"/>
                <w:sz w:val="22"/>
                <w:szCs w:val="22"/>
              </w:rPr>
            </w:pPr>
          </w:p>
        </w:tc>
        <w:tc>
          <w:tcPr>
            <w:tcW w:w="2041" w:type="dxa"/>
            <w:tcBorders>
              <w:top w:val="nil"/>
              <w:left w:val="nil"/>
              <w:bottom w:val="single" w:color="auto" w:sz="4" w:space="0"/>
              <w:right w:val="single" w:color="auto" w:sz="4" w:space="0"/>
            </w:tcBorders>
            <w:vAlign w:val="center"/>
          </w:tcPr>
          <w:p w14:paraId="39782A1A">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数据访问层构件</w:t>
            </w:r>
          </w:p>
        </w:tc>
        <w:tc>
          <w:tcPr>
            <w:tcW w:w="4803" w:type="dxa"/>
            <w:tcBorders>
              <w:top w:val="nil"/>
              <w:left w:val="nil"/>
              <w:bottom w:val="single" w:color="auto" w:sz="4" w:space="0"/>
              <w:right w:val="single" w:color="auto" w:sz="4" w:space="0"/>
            </w:tcBorders>
            <w:vAlign w:val="center"/>
          </w:tcPr>
          <w:p w14:paraId="7CA6A34B">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在已定制的数据对象的基础之上，提供对数据对象的封装，为上层用户提供访问接口</w:t>
            </w:r>
          </w:p>
        </w:tc>
      </w:tr>
      <w:tr w14:paraId="587C60DD">
        <w:tblPrEx>
          <w:tblCellMar>
            <w:top w:w="0" w:type="dxa"/>
            <w:left w:w="108" w:type="dxa"/>
            <w:bottom w:w="0" w:type="dxa"/>
            <w:right w:w="108" w:type="dxa"/>
          </w:tblCellMar>
        </w:tblPrEx>
        <w:trPr>
          <w:trHeight w:val="454" w:hRule="atLeast"/>
          <w:jc w:val="center"/>
        </w:trPr>
        <w:tc>
          <w:tcPr>
            <w:tcW w:w="1452" w:type="dxa"/>
            <w:vMerge w:val="continue"/>
            <w:tcBorders>
              <w:top w:val="nil"/>
              <w:left w:val="single" w:color="auto" w:sz="4" w:space="0"/>
              <w:bottom w:val="single" w:color="auto" w:sz="4" w:space="0"/>
              <w:right w:val="single" w:color="auto" w:sz="4" w:space="0"/>
            </w:tcBorders>
            <w:vAlign w:val="center"/>
          </w:tcPr>
          <w:p w14:paraId="75B60C57">
            <w:pPr>
              <w:spacing w:line="240" w:lineRule="auto"/>
              <w:ind w:firstLine="0" w:firstLineChars="0"/>
              <w:rPr>
                <w:rFonts w:hint="eastAsia" w:ascii="宋体" w:hAnsi="宋体" w:eastAsia="宋体" w:cs="宋体"/>
                <w:b w:val="0"/>
                <w:bCs w:val="0"/>
                <w:sz w:val="22"/>
                <w:szCs w:val="22"/>
              </w:rPr>
            </w:pPr>
          </w:p>
        </w:tc>
        <w:tc>
          <w:tcPr>
            <w:tcW w:w="2041" w:type="dxa"/>
            <w:tcBorders>
              <w:top w:val="nil"/>
              <w:left w:val="nil"/>
              <w:bottom w:val="single" w:color="auto" w:sz="4" w:space="0"/>
              <w:right w:val="single" w:color="auto" w:sz="4" w:space="0"/>
            </w:tcBorders>
            <w:vAlign w:val="center"/>
          </w:tcPr>
          <w:p w14:paraId="3582853B">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数据对象映射构件</w:t>
            </w:r>
          </w:p>
        </w:tc>
        <w:tc>
          <w:tcPr>
            <w:tcW w:w="4803" w:type="dxa"/>
            <w:tcBorders>
              <w:top w:val="nil"/>
              <w:left w:val="nil"/>
              <w:bottom w:val="single" w:color="auto" w:sz="4" w:space="0"/>
              <w:right w:val="single" w:color="auto" w:sz="4" w:space="0"/>
            </w:tcBorders>
            <w:vAlign w:val="center"/>
          </w:tcPr>
          <w:p w14:paraId="09F87A2B">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提供异构数据对象之间属性映射的定制，实现异构数据的相互转换</w:t>
            </w:r>
          </w:p>
        </w:tc>
      </w:tr>
      <w:tr w14:paraId="2E057F45">
        <w:tblPrEx>
          <w:tblCellMar>
            <w:top w:w="0" w:type="dxa"/>
            <w:left w:w="108" w:type="dxa"/>
            <w:bottom w:w="0" w:type="dxa"/>
            <w:right w:w="108" w:type="dxa"/>
          </w:tblCellMar>
        </w:tblPrEx>
        <w:trPr>
          <w:trHeight w:val="454" w:hRule="atLeast"/>
          <w:jc w:val="center"/>
        </w:trPr>
        <w:tc>
          <w:tcPr>
            <w:tcW w:w="1452" w:type="dxa"/>
            <w:vMerge w:val="continue"/>
            <w:tcBorders>
              <w:top w:val="nil"/>
              <w:left w:val="single" w:color="auto" w:sz="4" w:space="0"/>
              <w:bottom w:val="single" w:color="auto" w:sz="4" w:space="0"/>
              <w:right w:val="single" w:color="auto" w:sz="4" w:space="0"/>
            </w:tcBorders>
            <w:vAlign w:val="center"/>
          </w:tcPr>
          <w:p w14:paraId="37F7E750">
            <w:pPr>
              <w:spacing w:line="240" w:lineRule="auto"/>
              <w:ind w:firstLine="0" w:firstLineChars="0"/>
              <w:rPr>
                <w:rFonts w:hint="eastAsia" w:ascii="宋体" w:hAnsi="宋体" w:eastAsia="宋体" w:cs="宋体"/>
                <w:b w:val="0"/>
                <w:bCs w:val="0"/>
                <w:sz w:val="22"/>
                <w:szCs w:val="22"/>
              </w:rPr>
            </w:pPr>
          </w:p>
        </w:tc>
        <w:tc>
          <w:tcPr>
            <w:tcW w:w="2041" w:type="dxa"/>
            <w:tcBorders>
              <w:top w:val="nil"/>
              <w:left w:val="nil"/>
              <w:bottom w:val="single" w:color="auto" w:sz="4" w:space="0"/>
              <w:right w:val="single" w:color="auto" w:sz="4" w:space="0"/>
            </w:tcBorders>
            <w:vAlign w:val="center"/>
          </w:tcPr>
          <w:p w14:paraId="3E15CB45">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数据导入导出构件</w:t>
            </w:r>
          </w:p>
        </w:tc>
        <w:tc>
          <w:tcPr>
            <w:tcW w:w="4803" w:type="dxa"/>
            <w:tcBorders>
              <w:top w:val="nil"/>
              <w:left w:val="nil"/>
              <w:bottom w:val="single" w:color="auto" w:sz="4" w:space="0"/>
              <w:right w:val="single" w:color="auto" w:sz="4" w:space="0"/>
            </w:tcBorders>
            <w:vAlign w:val="center"/>
          </w:tcPr>
          <w:p w14:paraId="76DBF22D">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对系统中所管理的信息按已定格式导出或将已导出的数据导入到系统中</w:t>
            </w:r>
          </w:p>
        </w:tc>
      </w:tr>
      <w:tr w14:paraId="7563B914">
        <w:tblPrEx>
          <w:tblCellMar>
            <w:top w:w="0" w:type="dxa"/>
            <w:left w:w="108" w:type="dxa"/>
            <w:bottom w:w="0" w:type="dxa"/>
            <w:right w:w="108" w:type="dxa"/>
          </w:tblCellMar>
        </w:tblPrEx>
        <w:trPr>
          <w:trHeight w:val="454" w:hRule="atLeast"/>
          <w:jc w:val="center"/>
        </w:trPr>
        <w:tc>
          <w:tcPr>
            <w:tcW w:w="1452" w:type="dxa"/>
            <w:vMerge w:val="restart"/>
            <w:tcBorders>
              <w:top w:val="nil"/>
              <w:left w:val="single" w:color="auto" w:sz="4" w:space="0"/>
              <w:bottom w:val="single" w:color="auto" w:sz="4" w:space="0"/>
              <w:right w:val="single" w:color="auto" w:sz="4" w:space="0"/>
            </w:tcBorders>
            <w:vAlign w:val="center"/>
          </w:tcPr>
          <w:p w14:paraId="019C7DB8">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信息维护类</w:t>
            </w:r>
          </w:p>
        </w:tc>
        <w:tc>
          <w:tcPr>
            <w:tcW w:w="2041" w:type="dxa"/>
            <w:tcBorders>
              <w:top w:val="nil"/>
              <w:left w:val="nil"/>
              <w:bottom w:val="single" w:color="auto" w:sz="4" w:space="0"/>
              <w:right w:val="single" w:color="auto" w:sz="4" w:space="0"/>
            </w:tcBorders>
            <w:vAlign w:val="center"/>
          </w:tcPr>
          <w:p w14:paraId="793B65D4">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维护模板定制构件</w:t>
            </w:r>
          </w:p>
        </w:tc>
        <w:tc>
          <w:tcPr>
            <w:tcW w:w="4803" w:type="dxa"/>
            <w:tcBorders>
              <w:top w:val="nil"/>
              <w:left w:val="nil"/>
              <w:bottom w:val="single" w:color="auto" w:sz="4" w:space="0"/>
              <w:right w:val="single" w:color="auto" w:sz="4" w:space="0"/>
            </w:tcBorders>
            <w:vAlign w:val="center"/>
          </w:tcPr>
          <w:p w14:paraId="59B42B10">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包括：定制维护界面的内容、风格等</w:t>
            </w:r>
          </w:p>
        </w:tc>
      </w:tr>
      <w:tr w14:paraId="3037EBDB">
        <w:tblPrEx>
          <w:tblCellMar>
            <w:top w:w="0" w:type="dxa"/>
            <w:left w:w="108" w:type="dxa"/>
            <w:bottom w:w="0" w:type="dxa"/>
            <w:right w:w="108" w:type="dxa"/>
          </w:tblCellMar>
        </w:tblPrEx>
        <w:trPr>
          <w:trHeight w:val="454" w:hRule="atLeast"/>
          <w:jc w:val="center"/>
        </w:trPr>
        <w:tc>
          <w:tcPr>
            <w:tcW w:w="1452" w:type="dxa"/>
            <w:vMerge w:val="continue"/>
            <w:tcBorders>
              <w:top w:val="nil"/>
              <w:left w:val="single" w:color="auto" w:sz="4" w:space="0"/>
              <w:bottom w:val="single" w:color="auto" w:sz="4" w:space="0"/>
              <w:right w:val="single" w:color="auto" w:sz="4" w:space="0"/>
            </w:tcBorders>
            <w:vAlign w:val="center"/>
          </w:tcPr>
          <w:p w14:paraId="79D70250">
            <w:pPr>
              <w:spacing w:line="240" w:lineRule="auto"/>
              <w:ind w:firstLine="0" w:firstLineChars="0"/>
              <w:rPr>
                <w:rFonts w:hint="eastAsia" w:ascii="宋体" w:hAnsi="宋体" w:eastAsia="宋体" w:cs="宋体"/>
                <w:b w:val="0"/>
                <w:bCs w:val="0"/>
                <w:sz w:val="22"/>
                <w:szCs w:val="22"/>
              </w:rPr>
            </w:pPr>
          </w:p>
        </w:tc>
        <w:tc>
          <w:tcPr>
            <w:tcW w:w="2041" w:type="dxa"/>
            <w:tcBorders>
              <w:top w:val="nil"/>
              <w:left w:val="nil"/>
              <w:bottom w:val="single" w:color="auto" w:sz="4" w:space="0"/>
              <w:right w:val="single" w:color="auto" w:sz="4" w:space="0"/>
            </w:tcBorders>
            <w:vAlign w:val="center"/>
          </w:tcPr>
          <w:p w14:paraId="264D34CA">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维护模板运行构件</w:t>
            </w:r>
          </w:p>
        </w:tc>
        <w:tc>
          <w:tcPr>
            <w:tcW w:w="4803" w:type="dxa"/>
            <w:tcBorders>
              <w:top w:val="nil"/>
              <w:left w:val="nil"/>
              <w:bottom w:val="single" w:color="auto" w:sz="4" w:space="0"/>
              <w:right w:val="single" w:color="auto" w:sz="4" w:space="0"/>
            </w:tcBorders>
            <w:vAlign w:val="center"/>
          </w:tcPr>
          <w:p w14:paraId="4CA47423">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包括：将维护模板加载为Web页面或WinForm形式，并支持修改、删除、保存等操作</w:t>
            </w:r>
          </w:p>
        </w:tc>
      </w:tr>
      <w:tr w14:paraId="5580E252">
        <w:tblPrEx>
          <w:tblCellMar>
            <w:top w:w="0" w:type="dxa"/>
            <w:left w:w="108" w:type="dxa"/>
            <w:bottom w:w="0" w:type="dxa"/>
            <w:right w:w="108" w:type="dxa"/>
          </w:tblCellMar>
        </w:tblPrEx>
        <w:trPr>
          <w:trHeight w:val="454" w:hRule="atLeast"/>
          <w:jc w:val="center"/>
        </w:trPr>
        <w:tc>
          <w:tcPr>
            <w:tcW w:w="1452" w:type="dxa"/>
            <w:vMerge w:val="continue"/>
            <w:tcBorders>
              <w:top w:val="nil"/>
              <w:left w:val="single" w:color="auto" w:sz="4" w:space="0"/>
              <w:bottom w:val="single" w:color="auto" w:sz="4" w:space="0"/>
              <w:right w:val="single" w:color="auto" w:sz="4" w:space="0"/>
            </w:tcBorders>
            <w:vAlign w:val="center"/>
          </w:tcPr>
          <w:p w14:paraId="3ADE2119">
            <w:pPr>
              <w:spacing w:line="240" w:lineRule="auto"/>
              <w:ind w:firstLine="0" w:firstLineChars="0"/>
              <w:rPr>
                <w:rFonts w:hint="eastAsia" w:ascii="宋体" w:hAnsi="宋体" w:eastAsia="宋体" w:cs="宋体"/>
                <w:b w:val="0"/>
                <w:bCs w:val="0"/>
                <w:sz w:val="22"/>
                <w:szCs w:val="22"/>
              </w:rPr>
            </w:pPr>
          </w:p>
        </w:tc>
        <w:tc>
          <w:tcPr>
            <w:tcW w:w="2041" w:type="dxa"/>
            <w:tcBorders>
              <w:top w:val="nil"/>
              <w:left w:val="nil"/>
              <w:bottom w:val="single" w:color="auto" w:sz="4" w:space="0"/>
              <w:right w:val="single" w:color="auto" w:sz="4" w:space="0"/>
            </w:tcBorders>
            <w:vAlign w:val="center"/>
          </w:tcPr>
          <w:p w14:paraId="008BC4B3">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维护模板管理构件</w:t>
            </w:r>
          </w:p>
        </w:tc>
        <w:tc>
          <w:tcPr>
            <w:tcW w:w="4803" w:type="dxa"/>
            <w:tcBorders>
              <w:top w:val="nil"/>
              <w:left w:val="nil"/>
              <w:bottom w:val="single" w:color="auto" w:sz="4" w:space="0"/>
              <w:right w:val="single" w:color="auto" w:sz="4" w:space="0"/>
            </w:tcBorders>
            <w:vAlign w:val="center"/>
          </w:tcPr>
          <w:p w14:paraId="361E8A83">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包括：对维护模板的分类、查询、增、删、改等管理操作</w:t>
            </w:r>
          </w:p>
        </w:tc>
      </w:tr>
      <w:tr w14:paraId="35C6DDB0">
        <w:tblPrEx>
          <w:tblCellMar>
            <w:top w:w="0" w:type="dxa"/>
            <w:left w:w="108" w:type="dxa"/>
            <w:bottom w:w="0" w:type="dxa"/>
            <w:right w:w="108" w:type="dxa"/>
          </w:tblCellMar>
        </w:tblPrEx>
        <w:trPr>
          <w:trHeight w:val="454" w:hRule="atLeast"/>
          <w:jc w:val="center"/>
        </w:trPr>
        <w:tc>
          <w:tcPr>
            <w:tcW w:w="1452" w:type="dxa"/>
            <w:vMerge w:val="restart"/>
            <w:tcBorders>
              <w:top w:val="nil"/>
              <w:left w:val="single" w:color="auto" w:sz="4" w:space="0"/>
              <w:bottom w:val="single" w:color="auto" w:sz="4" w:space="0"/>
              <w:right w:val="single" w:color="auto" w:sz="4" w:space="0"/>
            </w:tcBorders>
            <w:vAlign w:val="center"/>
          </w:tcPr>
          <w:p w14:paraId="47BEFB15">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信息查询类</w:t>
            </w:r>
          </w:p>
        </w:tc>
        <w:tc>
          <w:tcPr>
            <w:tcW w:w="2041" w:type="dxa"/>
            <w:tcBorders>
              <w:top w:val="nil"/>
              <w:left w:val="nil"/>
              <w:bottom w:val="single" w:color="auto" w:sz="4" w:space="0"/>
              <w:right w:val="single" w:color="auto" w:sz="4" w:space="0"/>
            </w:tcBorders>
            <w:vAlign w:val="center"/>
          </w:tcPr>
          <w:p w14:paraId="0A692DD8">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查询模板定制构件</w:t>
            </w:r>
          </w:p>
        </w:tc>
        <w:tc>
          <w:tcPr>
            <w:tcW w:w="4803" w:type="dxa"/>
            <w:tcBorders>
              <w:top w:val="nil"/>
              <w:left w:val="nil"/>
              <w:bottom w:val="single" w:color="auto" w:sz="4" w:space="0"/>
              <w:right w:val="single" w:color="auto" w:sz="4" w:space="0"/>
            </w:tcBorders>
            <w:vAlign w:val="center"/>
          </w:tcPr>
          <w:p w14:paraId="188AEA0B">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包括：查询内容、查询条件、查询内容的显示风格等的定制</w:t>
            </w:r>
          </w:p>
        </w:tc>
      </w:tr>
      <w:tr w14:paraId="4E35693E">
        <w:tblPrEx>
          <w:tblCellMar>
            <w:top w:w="0" w:type="dxa"/>
            <w:left w:w="108" w:type="dxa"/>
            <w:bottom w:w="0" w:type="dxa"/>
            <w:right w:w="108" w:type="dxa"/>
          </w:tblCellMar>
        </w:tblPrEx>
        <w:trPr>
          <w:trHeight w:val="454" w:hRule="atLeast"/>
          <w:jc w:val="center"/>
        </w:trPr>
        <w:tc>
          <w:tcPr>
            <w:tcW w:w="1452" w:type="dxa"/>
            <w:vMerge w:val="continue"/>
            <w:tcBorders>
              <w:top w:val="nil"/>
              <w:left w:val="single" w:color="auto" w:sz="4" w:space="0"/>
              <w:bottom w:val="single" w:color="auto" w:sz="4" w:space="0"/>
              <w:right w:val="single" w:color="auto" w:sz="4" w:space="0"/>
            </w:tcBorders>
            <w:vAlign w:val="center"/>
          </w:tcPr>
          <w:p w14:paraId="39FEB065">
            <w:pPr>
              <w:spacing w:line="240" w:lineRule="auto"/>
              <w:ind w:firstLine="0" w:firstLineChars="0"/>
              <w:rPr>
                <w:rFonts w:hint="eastAsia" w:ascii="宋体" w:hAnsi="宋体" w:eastAsia="宋体" w:cs="宋体"/>
                <w:b w:val="0"/>
                <w:bCs w:val="0"/>
                <w:sz w:val="22"/>
                <w:szCs w:val="22"/>
              </w:rPr>
            </w:pPr>
          </w:p>
        </w:tc>
        <w:tc>
          <w:tcPr>
            <w:tcW w:w="2041" w:type="dxa"/>
            <w:tcBorders>
              <w:top w:val="nil"/>
              <w:left w:val="nil"/>
              <w:bottom w:val="single" w:color="auto" w:sz="4" w:space="0"/>
              <w:right w:val="single" w:color="auto" w:sz="4" w:space="0"/>
            </w:tcBorders>
            <w:vAlign w:val="center"/>
          </w:tcPr>
          <w:p w14:paraId="3DF4825E">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查询模板运行构件</w:t>
            </w:r>
          </w:p>
        </w:tc>
        <w:tc>
          <w:tcPr>
            <w:tcW w:w="4803" w:type="dxa"/>
            <w:tcBorders>
              <w:top w:val="nil"/>
              <w:left w:val="nil"/>
              <w:bottom w:val="single" w:color="auto" w:sz="4" w:space="0"/>
              <w:right w:val="single" w:color="auto" w:sz="4" w:space="0"/>
            </w:tcBorders>
            <w:vAlign w:val="center"/>
          </w:tcPr>
          <w:p w14:paraId="6A845ECD">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包括：查询模板的加载（Web页面或WinForm两种方式）、查询模板的执行</w:t>
            </w:r>
          </w:p>
        </w:tc>
      </w:tr>
      <w:tr w14:paraId="2340E1C0">
        <w:tblPrEx>
          <w:tblCellMar>
            <w:top w:w="0" w:type="dxa"/>
            <w:left w:w="108" w:type="dxa"/>
            <w:bottom w:w="0" w:type="dxa"/>
            <w:right w:w="108" w:type="dxa"/>
          </w:tblCellMar>
        </w:tblPrEx>
        <w:trPr>
          <w:trHeight w:val="454" w:hRule="atLeast"/>
          <w:jc w:val="center"/>
        </w:trPr>
        <w:tc>
          <w:tcPr>
            <w:tcW w:w="1452" w:type="dxa"/>
            <w:vMerge w:val="continue"/>
            <w:tcBorders>
              <w:top w:val="nil"/>
              <w:left w:val="single" w:color="auto" w:sz="4" w:space="0"/>
              <w:bottom w:val="single" w:color="auto" w:sz="4" w:space="0"/>
              <w:right w:val="single" w:color="auto" w:sz="4" w:space="0"/>
            </w:tcBorders>
            <w:vAlign w:val="center"/>
          </w:tcPr>
          <w:p w14:paraId="66CC2968">
            <w:pPr>
              <w:spacing w:line="240" w:lineRule="auto"/>
              <w:ind w:firstLine="0" w:firstLineChars="0"/>
              <w:rPr>
                <w:rFonts w:hint="eastAsia" w:ascii="宋体" w:hAnsi="宋体" w:eastAsia="宋体" w:cs="宋体"/>
                <w:b w:val="0"/>
                <w:bCs w:val="0"/>
                <w:sz w:val="22"/>
                <w:szCs w:val="22"/>
              </w:rPr>
            </w:pPr>
          </w:p>
        </w:tc>
        <w:tc>
          <w:tcPr>
            <w:tcW w:w="2041" w:type="dxa"/>
            <w:tcBorders>
              <w:top w:val="nil"/>
              <w:left w:val="nil"/>
              <w:bottom w:val="single" w:color="auto" w:sz="4" w:space="0"/>
              <w:right w:val="single" w:color="auto" w:sz="4" w:space="0"/>
            </w:tcBorders>
            <w:vAlign w:val="center"/>
          </w:tcPr>
          <w:p w14:paraId="6FCEC253">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查询模板管理构件</w:t>
            </w:r>
          </w:p>
        </w:tc>
        <w:tc>
          <w:tcPr>
            <w:tcW w:w="4803" w:type="dxa"/>
            <w:tcBorders>
              <w:top w:val="nil"/>
              <w:left w:val="nil"/>
              <w:bottom w:val="single" w:color="auto" w:sz="4" w:space="0"/>
              <w:right w:val="single" w:color="auto" w:sz="4" w:space="0"/>
            </w:tcBorders>
            <w:vAlign w:val="center"/>
          </w:tcPr>
          <w:p w14:paraId="3C510B3B">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包括：对查询模板的分类、目录结构、查询模板的应用范围、增、删、改等管理操作</w:t>
            </w:r>
          </w:p>
        </w:tc>
      </w:tr>
      <w:tr w14:paraId="2A3AE8D6">
        <w:tblPrEx>
          <w:tblCellMar>
            <w:top w:w="0" w:type="dxa"/>
            <w:left w:w="108" w:type="dxa"/>
            <w:bottom w:w="0" w:type="dxa"/>
            <w:right w:w="108" w:type="dxa"/>
          </w:tblCellMar>
        </w:tblPrEx>
        <w:trPr>
          <w:trHeight w:val="454" w:hRule="atLeast"/>
          <w:jc w:val="center"/>
        </w:trPr>
        <w:tc>
          <w:tcPr>
            <w:tcW w:w="1452" w:type="dxa"/>
            <w:vMerge w:val="continue"/>
            <w:tcBorders>
              <w:top w:val="nil"/>
              <w:left w:val="single" w:color="auto" w:sz="4" w:space="0"/>
              <w:bottom w:val="single" w:color="auto" w:sz="4" w:space="0"/>
              <w:right w:val="single" w:color="auto" w:sz="4" w:space="0"/>
            </w:tcBorders>
            <w:vAlign w:val="center"/>
          </w:tcPr>
          <w:p w14:paraId="5BF77893">
            <w:pPr>
              <w:spacing w:line="240" w:lineRule="auto"/>
              <w:ind w:firstLine="0" w:firstLineChars="0"/>
              <w:rPr>
                <w:rFonts w:hint="eastAsia" w:ascii="宋体" w:hAnsi="宋体" w:eastAsia="宋体" w:cs="宋体"/>
                <w:b w:val="0"/>
                <w:bCs w:val="0"/>
                <w:sz w:val="22"/>
                <w:szCs w:val="22"/>
              </w:rPr>
            </w:pPr>
          </w:p>
        </w:tc>
        <w:tc>
          <w:tcPr>
            <w:tcW w:w="2041" w:type="dxa"/>
            <w:tcBorders>
              <w:top w:val="nil"/>
              <w:left w:val="nil"/>
              <w:bottom w:val="single" w:color="auto" w:sz="4" w:space="0"/>
              <w:right w:val="single" w:color="auto" w:sz="4" w:space="0"/>
            </w:tcBorders>
            <w:vAlign w:val="center"/>
          </w:tcPr>
          <w:p w14:paraId="1ACB6C17">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查询结果输出构件</w:t>
            </w:r>
          </w:p>
        </w:tc>
        <w:tc>
          <w:tcPr>
            <w:tcW w:w="4803" w:type="dxa"/>
            <w:tcBorders>
              <w:top w:val="nil"/>
              <w:left w:val="nil"/>
              <w:bottom w:val="single" w:color="auto" w:sz="4" w:space="0"/>
              <w:right w:val="single" w:color="auto" w:sz="4" w:space="0"/>
            </w:tcBorders>
            <w:vAlign w:val="center"/>
          </w:tcPr>
          <w:p w14:paraId="2B52F11C">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包括：查询结果输出至Word、Excel、PowerPoint，支持按固定格式输出、自定义格式输出</w:t>
            </w:r>
          </w:p>
        </w:tc>
      </w:tr>
      <w:tr w14:paraId="60DEF630">
        <w:tblPrEx>
          <w:tblCellMar>
            <w:top w:w="0" w:type="dxa"/>
            <w:left w:w="108" w:type="dxa"/>
            <w:bottom w:w="0" w:type="dxa"/>
            <w:right w:w="108" w:type="dxa"/>
          </w:tblCellMar>
        </w:tblPrEx>
        <w:trPr>
          <w:trHeight w:val="454" w:hRule="atLeast"/>
          <w:jc w:val="center"/>
        </w:trPr>
        <w:tc>
          <w:tcPr>
            <w:tcW w:w="1452" w:type="dxa"/>
            <w:vMerge w:val="restart"/>
            <w:tcBorders>
              <w:top w:val="nil"/>
              <w:left w:val="single" w:color="auto" w:sz="4" w:space="0"/>
              <w:bottom w:val="single" w:color="auto" w:sz="4" w:space="0"/>
              <w:right w:val="single" w:color="auto" w:sz="4" w:space="0"/>
            </w:tcBorders>
            <w:vAlign w:val="center"/>
          </w:tcPr>
          <w:p w14:paraId="46824B06">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信息校核类</w:t>
            </w:r>
          </w:p>
        </w:tc>
        <w:tc>
          <w:tcPr>
            <w:tcW w:w="2041" w:type="dxa"/>
            <w:tcBorders>
              <w:top w:val="nil"/>
              <w:left w:val="nil"/>
              <w:bottom w:val="single" w:color="auto" w:sz="4" w:space="0"/>
              <w:right w:val="single" w:color="auto" w:sz="4" w:space="0"/>
            </w:tcBorders>
            <w:vAlign w:val="center"/>
          </w:tcPr>
          <w:p w14:paraId="011FD07C">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校核/计算式定义构件</w:t>
            </w:r>
          </w:p>
        </w:tc>
        <w:tc>
          <w:tcPr>
            <w:tcW w:w="4803" w:type="dxa"/>
            <w:tcBorders>
              <w:top w:val="nil"/>
              <w:left w:val="nil"/>
              <w:bottom w:val="single" w:color="auto" w:sz="4" w:space="0"/>
              <w:right w:val="single" w:color="auto" w:sz="4" w:space="0"/>
            </w:tcBorders>
            <w:vAlign w:val="center"/>
          </w:tcPr>
          <w:p w14:paraId="5ADA45BD">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包括：逻辑关系校核/计算、表间校核/计算、字段校核/计算等</w:t>
            </w:r>
          </w:p>
        </w:tc>
      </w:tr>
      <w:tr w14:paraId="551643FF">
        <w:tblPrEx>
          <w:tblCellMar>
            <w:top w:w="0" w:type="dxa"/>
            <w:left w:w="108" w:type="dxa"/>
            <w:bottom w:w="0" w:type="dxa"/>
            <w:right w:w="108" w:type="dxa"/>
          </w:tblCellMar>
        </w:tblPrEx>
        <w:trPr>
          <w:trHeight w:val="454" w:hRule="atLeast"/>
          <w:jc w:val="center"/>
        </w:trPr>
        <w:tc>
          <w:tcPr>
            <w:tcW w:w="1452" w:type="dxa"/>
            <w:vMerge w:val="continue"/>
            <w:tcBorders>
              <w:top w:val="nil"/>
              <w:left w:val="single" w:color="auto" w:sz="4" w:space="0"/>
              <w:bottom w:val="single" w:color="auto" w:sz="4" w:space="0"/>
              <w:right w:val="single" w:color="auto" w:sz="4" w:space="0"/>
            </w:tcBorders>
            <w:vAlign w:val="center"/>
          </w:tcPr>
          <w:p w14:paraId="2495D060">
            <w:pPr>
              <w:spacing w:line="240" w:lineRule="auto"/>
              <w:ind w:firstLine="0" w:firstLineChars="0"/>
              <w:rPr>
                <w:rFonts w:hint="eastAsia" w:ascii="宋体" w:hAnsi="宋体" w:eastAsia="宋体" w:cs="宋体"/>
                <w:b w:val="0"/>
                <w:bCs w:val="0"/>
                <w:sz w:val="22"/>
                <w:szCs w:val="22"/>
              </w:rPr>
            </w:pPr>
          </w:p>
        </w:tc>
        <w:tc>
          <w:tcPr>
            <w:tcW w:w="2041" w:type="dxa"/>
            <w:tcBorders>
              <w:top w:val="nil"/>
              <w:left w:val="nil"/>
              <w:bottom w:val="single" w:color="auto" w:sz="4" w:space="0"/>
              <w:right w:val="single" w:color="auto" w:sz="4" w:space="0"/>
            </w:tcBorders>
            <w:vAlign w:val="center"/>
          </w:tcPr>
          <w:p w14:paraId="55791F02">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校核/计算式运行构件</w:t>
            </w:r>
          </w:p>
        </w:tc>
        <w:tc>
          <w:tcPr>
            <w:tcW w:w="4803" w:type="dxa"/>
            <w:tcBorders>
              <w:top w:val="nil"/>
              <w:left w:val="nil"/>
              <w:bottom w:val="single" w:color="auto" w:sz="4" w:space="0"/>
              <w:right w:val="single" w:color="auto" w:sz="4" w:space="0"/>
            </w:tcBorders>
            <w:vAlign w:val="center"/>
          </w:tcPr>
          <w:p w14:paraId="3544CB66">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包括：各类校核/计算的执行、显示、支持对校核结果的处理、输出等操作</w:t>
            </w:r>
          </w:p>
        </w:tc>
      </w:tr>
      <w:tr w14:paraId="71D086E7">
        <w:tblPrEx>
          <w:tblCellMar>
            <w:top w:w="0" w:type="dxa"/>
            <w:left w:w="108" w:type="dxa"/>
            <w:bottom w:w="0" w:type="dxa"/>
            <w:right w:w="108" w:type="dxa"/>
          </w:tblCellMar>
        </w:tblPrEx>
        <w:trPr>
          <w:trHeight w:val="454" w:hRule="atLeast"/>
          <w:jc w:val="center"/>
        </w:trPr>
        <w:tc>
          <w:tcPr>
            <w:tcW w:w="1452" w:type="dxa"/>
            <w:vMerge w:val="restart"/>
            <w:tcBorders>
              <w:top w:val="nil"/>
              <w:left w:val="single" w:color="auto" w:sz="4" w:space="0"/>
              <w:bottom w:val="single" w:color="auto" w:sz="4" w:space="0"/>
              <w:right w:val="single" w:color="auto" w:sz="4" w:space="0"/>
            </w:tcBorders>
            <w:vAlign w:val="center"/>
          </w:tcPr>
          <w:p w14:paraId="45EFB892">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信息统计分析类</w:t>
            </w:r>
          </w:p>
        </w:tc>
        <w:tc>
          <w:tcPr>
            <w:tcW w:w="2041" w:type="dxa"/>
            <w:tcBorders>
              <w:top w:val="nil"/>
              <w:left w:val="nil"/>
              <w:bottom w:val="single" w:color="auto" w:sz="4" w:space="0"/>
              <w:right w:val="single" w:color="auto" w:sz="4" w:space="0"/>
            </w:tcBorders>
            <w:vAlign w:val="center"/>
          </w:tcPr>
          <w:p w14:paraId="674A1D27">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统计/分析指标管理构件</w:t>
            </w:r>
          </w:p>
        </w:tc>
        <w:tc>
          <w:tcPr>
            <w:tcW w:w="4803" w:type="dxa"/>
            <w:tcBorders>
              <w:top w:val="nil"/>
              <w:left w:val="nil"/>
              <w:bottom w:val="single" w:color="auto" w:sz="4" w:space="0"/>
              <w:right w:val="single" w:color="auto" w:sz="4" w:space="0"/>
            </w:tcBorders>
            <w:vAlign w:val="center"/>
          </w:tcPr>
          <w:p w14:paraId="44614F32">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包括：对统计/分析指标及体系的分类、查询、检索管理</w:t>
            </w:r>
          </w:p>
        </w:tc>
      </w:tr>
      <w:tr w14:paraId="27E002F2">
        <w:tblPrEx>
          <w:tblCellMar>
            <w:top w:w="0" w:type="dxa"/>
            <w:left w:w="108" w:type="dxa"/>
            <w:bottom w:w="0" w:type="dxa"/>
            <w:right w:w="108" w:type="dxa"/>
          </w:tblCellMar>
        </w:tblPrEx>
        <w:trPr>
          <w:trHeight w:val="454" w:hRule="atLeast"/>
          <w:jc w:val="center"/>
        </w:trPr>
        <w:tc>
          <w:tcPr>
            <w:tcW w:w="1452" w:type="dxa"/>
            <w:vMerge w:val="continue"/>
            <w:tcBorders>
              <w:top w:val="nil"/>
              <w:left w:val="single" w:color="auto" w:sz="4" w:space="0"/>
              <w:bottom w:val="single" w:color="auto" w:sz="4" w:space="0"/>
              <w:right w:val="single" w:color="auto" w:sz="4" w:space="0"/>
            </w:tcBorders>
            <w:vAlign w:val="center"/>
          </w:tcPr>
          <w:p w14:paraId="39FAD1C1">
            <w:pPr>
              <w:spacing w:line="240" w:lineRule="auto"/>
              <w:ind w:firstLine="0" w:firstLineChars="0"/>
              <w:rPr>
                <w:rFonts w:hint="eastAsia" w:ascii="宋体" w:hAnsi="宋体" w:eastAsia="宋体" w:cs="宋体"/>
                <w:b w:val="0"/>
                <w:bCs w:val="0"/>
                <w:sz w:val="22"/>
                <w:szCs w:val="22"/>
              </w:rPr>
            </w:pPr>
          </w:p>
        </w:tc>
        <w:tc>
          <w:tcPr>
            <w:tcW w:w="2041" w:type="dxa"/>
            <w:tcBorders>
              <w:top w:val="nil"/>
              <w:left w:val="nil"/>
              <w:bottom w:val="single" w:color="auto" w:sz="4" w:space="0"/>
              <w:right w:val="single" w:color="auto" w:sz="4" w:space="0"/>
            </w:tcBorders>
            <w:vAlign w:val="center"/>
          </w:tcPr>
          <w:p w14:paraId="09A882AC">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统计模型定制构件</w:t>
            </w:r>
          </w:p>
        </w:tc>
        <w:tc>
          <w:tcPr>
            <w:tcW w:w="4803" w:type="dxa"/>
            <w:tcBorders>
              <w:top w:val="nil"/>
              <w:left w:val="nil"/>
              <w:bottom w:val="single" w:color="auto" w:sz="4" w:space="0"/>
              <w:right w:val="single" w:color="auto" w:sz="4" w:space="0"/>
            </w:tcBorders>
            <w:vAlign w:val="center"/>
          </w:tcPr>
          <w:p w14:paraId="5606B4C7">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支持统计指标体系定制、统计方式定制；考核测评主体、对象、指标的关系的定制</w:t>
            </w:r>
          </w:p>
        </w:tc>
      </w:tr>
      <w:tr w14:paraId="283626BE">
        <w:tblPrEx>
          <w:tblCellMar>
            <w:top w:w="0" w:type="dxa"/>
            <w:left w:w="108" w:type="dxa"/>
            <w:bottom w:w="0" w:type="dxa"/>
            <w:right w:w="108" w:type="dxa"/>
          </w:tblCellMar>
        </w:tblPrEx>
        <w:trPr>
          <w:trHeight w:val="454" w:hRule="atLeast"/>
          <w:jc w:val="center"/>
        </w:trPr>
        <w:tc>
          <w:tcPr>
            <w:tcW w:w="1452" w:type="dxa"/>
            <w:vMerge w:val="continue"/>
            <w:tcBorders>
              <w:top w:val="nil"/>
              <w:left w:val="single" w:color="auto" w:sz="4" w:space="0"/>
              <w:bottom w:val="single" w:color="auto" w:sz="4" w:space="0"/>
              <w:right w:val="single" w:color="auto" w:sz="4" w:space="0"/>
            </w:tcBorders>
            <w:vAlign w:val="center"/>
          </w:tcPr>
          <w:p w14:paraId="07B54E1F">
            <w:pPr>
              <w:spacing w:line="240" w:lineRule="auto"/>
              <w:ind w:firstLine="0" w:firstLineChars="0"/>
              <w:rPr>
                <w:rFonts w:hint="eastAsia" w:ascii="宋体" w:hAnsi="宋体" w:eastAsia="宋体" w:cs="宋体"/>
                <w:b w:val="0"/>
                <w:bCs w:val="0"/>
                <w:sz w:val="22"/>
                <w:szCs w:val="22"/>
              </w:rPr>
            </w:pPr>
          </w:p>
        </w:tc>
        <w:tc>
          <w:tcPr>
            <w:tcW w:w="2041" w:type="dxa"/>
            <w:tcBorders>
              <w:top w:val="nil"/>
              <w:left w:val="nil"/>
              <w:bottom w:val="single" w:color="auto" w:sz="4" w:space="0"/>
              <w:right w:val="single" w:color="auto" w:sz="4" w:space="0"/>
            </w:tcBorders>
            <w:vAlign w:val="center"/>
          </w:tcPr>
          <w:p w14:paraId="4B3AC4AF">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分析模型定制构件</w:t>
            </w:r>
          </w:p>
        </w:tc>
        <w:tc>
          <w:tcPr>
            <w:tcW w:w="4803" w:type="dxa"/>
            <w:tcBorders>
              <w:top w:val="nil"/>
              <w:left w:val="nil"/>
              <w:bottom w:val="single" w:color="auto" w:sz="4" w:space="0"/>
              <w:right w:val="single" w:color="auto" w:sz="4" w:space="0"/>
            </w:tcBorders>
            <w:vAlign w:val="center"/>
          </w:tcPr>
          <w:p w14:paraId="75B36236">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根据分析模式在系统中定制数据分析模型</w:t>
            </w:r>
          </w:p>
        </w:tc>
      </w:tr>
      <w:tr w14:paraId="33629FB4">
        <w:tblPrEx>
          <w:tblCellMar>
            <w:top w:w="0" w:type="dxa"/>
            <w:left w:w="108" w:type="dxa"/>
            <w:bottom w:w="0" w:type="dxa"/>
            <w:right w:w="108" w:type="dxa"/>
          </w:tblCellMar>
        </w:tblPrEx>
        <w:trPr>
          <w:trHeight w:val="454" w:hRule="atLeast"/>
          <w:jc w:val="center"/>
        </w:trPr>
        <w:tc>
          <w:tcPr>
            <w:tcW w:w="1452" w:type="dxa"/>
            <w:vMerge w:val="continue"/>
            <w:tcBorders>
              <w:top w:val="nil"/>
              <w:left w:val="single" w:color="auto" w:sz="4" w:space="0"/>
              <w:bottom w:val="single" w:color="auto" w:sz="4" w:space="0"/>
              <w:right w:val="single" w:color="auto" w:sz="4" w:space="0"/>
            </w:tcBorders>
            <w:vAlign w:val="center"/>
          </w:tcPr>
          <w:p w14:paraId="00B7B8AA">
            <w:pPr>
              <w:spacing w:line="240" w:lineRule="auto"/>
              <w:ind w:firstLine="0" w:firstLineChars="0"/>
              <w:rPr>
                <w:rFonts w:hint="eastAsia" w:ascii="宋体" w:hAnsi="宋体" w:eastAsia="宋体" w:cs="宋体"/>
                <w:b w:val="0"/>
                <w:bCs w:val="0"/>
                <w:sz w:val="22"/>
                <w:szCs w:val="22"/>
              </w:rPr>
            </w:pPr>
          </w:p>
        </w:tc>
        <w:tc>
          <w:tcPr>
            <w:tcW w:w="2041" w:type="dxa"/>
            <w:tcBorders>
              <w:top w:val="nil"/>
              <w:left w:val="nil"/>
              <w:bottom w:val="single" w:color="auto" w:sz="4" w:space="0"/>
              <w:right w:val="single" w:color="auto" w:sz="4" w:space="0"/>
            </w:tcBorders>
            <w:vAlign w:val="center"/>
          </w:tcPr>
          <w:p w14:paraId="2A5781B8">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统计/分析模型管理构件</w:t>
            </w:r>
          </w:p>
        </w:tc>
        <w:tc>
          <w:tcPr>
            <w:tcW w:w="4803" w:type="dxa"/>
            <w:tcBorders>
              <w:top w:val="nil"/>
              <w:left w:val="nil"/>
              <w:bottom w:val="single" w:color="auto" w:sz="4" w:space="0"/>
              <w:right w:val="single" w:color="auto" w:sz="4" w:space="0"/>
            </w:tcBorders>
            <w:vAlign w:val="center"/>
          </w:tcPr>
          <w:p w14:paraId="44D298E8">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包括：对统计/分析模型的分类、检索、维护等管理操作</w:t>
            </w:r>
          </w:p>
        </w:tc>
      </w:tr>
      <w:tr w14:paraId="2ED4424A">
        <w:tblPrEx>
          <w:tblCellMar>
            <w:top w:w="0" w:type="dxa"/>
            <w:left w:w="108" w:type="dxa"/>
            <w:bottom w:w="0" w:type="dxa"/>
            <w:right w:w="108" w:type="dxa"/>
          </w:tblCellMar>
        </w:tblPrEx>
        <w:trPr>
          <w:trHeight w:val="454" w:hRule="atLeast"/>
          <w:jc w:val="center"/>
        </w:trPr>
        <w:tc>
          <w:tcPr>
            <w:tcW w:w="1452" w:type="dxa"/>
            <w:vMerge w:val="continue"/>
            <w:tcBorders>
              <w:top w:val="nil"/>
              <w:left w:val="single" w:color="auto" w:sz="4" w:space="0"/>
              <w:bottom w:val="single" w:color="auto" w:sz="4" w:space="0"/>
              <w:right w:val="single" w:color="auto" w:sz="4" w:space="0"/>
            </w:tcBorders>
            <w:vAlign w:val="center"/>
          </w:tcPr>
          <w:p w14:paraId="34F7FBCA">
            <w:pPr>
              <w:spacing w:line="240" w:lineRule="auto"/>
              <w:ind w:firstLine="0" w:firstLineChars="0"/>
              <w:rPr>
                <w:rFonts w:hint="eastAsia" w:ascii="宋体" w:hAnsi="宋体" w:eastAsia="宋体" w:cs="宋体"/>
                <w:b w:val="0"/>
                <w:bCs w:val="0"/>
                <w:sz w:val="22"/>
                <w:szCs w:val="22"/>
              </w:rPr>
            </w:pPr>
          </w:p>
        </w:tc>
        <w:tc>
          <w:tcPr>
            <w:tcW w:w="2041" w:type="dxa"/>
            <w:tcBorders>
              <w:top w:val="nil"/>
              <w:left w:val="nil"/>
              <w:bottom w:val="single" w:color="auto" w:sz="4" w:space="0"/>
              <w:right w:val="single" w:color="auto" w:sz="4" w:space="0"/>
            </w:tcBorders>
            <w:vAlign w:val="center"/>
          </w:tcPr>
          <w:p w14:paraId="16572FCB">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统计模型运行构件</w:t>
            </w:r>
          </w:p>
        </w:tc>
        <w:tc>
          <w:tcPr>
            <w:tcW w:w="4803" w:type="dxa"/>
            <w:tcBorders>
              <w:top w:val="nil"/>
              <w:left w:val="nil"/>
              <w:bottom w:val="single" w:color="auto" w:sz="4" w:space="0"/>
              <w:right w:val="single" w:color="auto" w:sz="4" w:space="0"/>
            </w:tcBorders>
            <w:vAlign w:val="center"/>
          </w:tcPr>
          <w:p w14:paraId="6E1D365A">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根据定制的统计模型对系统中的数据进行统计，生成统计结果</w:t>
            </w:r>
          </w:p>
        </w:tc>
      </w:tr>
      <w:tr w14:paraId="1D526F90">
        <w:tblPrEx>
          <w:tblCellMar>
            <w:top w:w="0" w:type="dxa"/>
            <w:left w:w="108" w:type="dxa"/>
            <w:bottom w:w="0" w:type="dxa"/>
            <w:right w:w="108" w:type="dxa"/>
          </w:tblCellMar>
        </w:tblPrEx>
        <w:trPr>
          <w:trHeight w:val="454" w:hRule="atLeast"/>
          <w:jc w:val="center"/>
        </w:trPr>
        <w:tc>
          <w:tcPr>
            <w:tcW w:w="1452" w:type="dxa"/>
            <w:vMerge w:val="continue"/>
            <w:tcBorders>
              <w:top w:val="nil"/>
              <w:left w:val="single" w:color="auto" w:sz="4" w:space="0"/>
              <w:bottom w:val="single" w:color="auto" w:sz="4" w:space="0"/>
              <w:right w:val="single" w:color="auto" w:sz="4" w:space="0"/>
            </w:tcBorders>
            <w:vAlign w:val="center"/>
          </w:tcPr>
          <w:p w14:paraId="00374390">
            <w:pPr>
              <w:spacing w:line="240" w:lineRule="auto"/>
              <w:ind w:firstLine="0" w:firstLineChars="0"/>
              <w:rPr>
                <w:rFonts w:hint="eastAsia" w:ascii="宋体" w:hAnsi="宋体" w:eastAsia="宋体" w:cs="宋体"/>
                <w:b w:val="0"/>
                <w:bCs w:val="0"/>
                <w:sz w:val="22"/>
                <w:szCs w:val="22"/>
              </w:rPr>
            </w:pPr>
          </w:p>
        </w:tc>
        <w:tc>
          <w:tcPr>
            <w:tcW w:w="2041" w:type="dxa"/>
            <w:tcBorders>
              <w:top w:val="nil"/>
              <w:left w:val="nil"/>
              <w:bottom w:val="single" w:color="auto" w:sz="4" w:space="0"/>
              <w:right w:val="single" w:color="auto" w:sz="4" w:space="0"/>
            </w:tcBorders>
            <w:vAlign w:val="center"/>
          </w:tcPr>
          <w:p w14:paraId="698DD371">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分析模型运行构件</w:t>
            </w:r>
          </w:p>
        </w:tc>
        <w:tc>
          <w:tcPr>
            <w:tcW w:w="4803" w:type="dxa"/>
            <w:tcBorders>
              <w:top w:val="nil"/>
              <w:left w:val="nil"/>
              <w:bottom w:val="single" w:color="auto" w:sz="4" w:space="0"/>
              <w:right w:val="single" w:color="auto" w:sz="4" w:space="0"/>
            </w:tcBorders>
            <w:vAlign w:val="center"/>
          </w:tcPr>
          <w:p w14:paraId="099D9FB6">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根据定制的分析模型对系统中的数据进行分析，生成分析结果</w:t>
            </w:r>
          </w:p>
        </w:tc>
      </w:tr>
      <w:tr w14:paraId="61A6EF93">
        <w:tblPrEx>
          <w:tblCellMar>
            <w:top w:w="0" w:type="dxa"/>
            <w:left w:w="108" w:type="dxa"/>
            <w:bottom w:w="0" w:type="dxa"/>
            <w:right w:w="108" w:type="dxa"/>
          </w:tblCellMar>
        </w:tblPrEx>
        <w:trPr>
          <w:trHeight w:val="454" w:hRule="atLeast"/>
          <w:jc w:val="center"/>
        </w:trPr>
        <w:tc>
          <w:tcPr>
            <w:tcW w:w="1452" w:type="dxa"/>
            <w:vMerge w:val="continue"/>
            <w:tcBorders>
              <w:top w:val="nil"/>
              <w:left w:val="single" w:color="auto" w:sz="4" w:space="0"/>
              <w:bottom w:val="single" w:color="auto" w:sz="4" w:space="0"/>
              <w:right w:val="single" w:color="auto" w:sz="4" w:space="0"/>
            </w:tcBorders>
            <w:vAlign w:val="center"/>
          </w:tcPr>
          <w:p w14:paraId="1EE0B594">
            <w:pPr>
              <w:spacing w:line="240" w:lineRule="auto"/>
              <w:ind w:firstLine="0" w:firstLineChars="0"/>
              <w:rPr>
                <w:rFonts w:hint="eastAsia" w:ascii="宋体" w:hAnsi="宋体" w:eastAsia="宋体" w:cs="宋体"/>
                <w:b w:val="0"/>
                <w:bCs w:val="0"/>
                <w:sz w:val="22"/>
                <w:szCs w:val="22"/>
              </w:rPr>
            </w:pPr>
          </w:p>
        </w:tc>
        <w:tc>
          <w:tcPr>
            <w:tcW w:w="2041" w:type="dxa"/>
            <w:tcBorders>
              <w:top w:val="nil"/>
              <w:left w:val="nil"/>
              <w:bottom w:val="single" w:color="auto" w:sz="4" w:space="0"/>
              <w:right w:val="single" w:color="auto" w:sz="4" w:space="0"/>
            </w:tcBorders>
            <w:vAlign w:val="center"/>
          </w:tcPr>
          <w:p w14:paraId="55CF2472">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统计/分析结果输出构件</w:t>
            </w:r>
          </w:p>
        </w:tc>
        <w:tc>
          <w:tcPr>
            <w:tcW w:w="4803" w:type="dxa"/>
            <w:tcBorders>
              <w:top w:val="nil"/>
              <w:left w:val="nil"/>
              <w:bottom w:val="single" w:color="auto" w:sz="4" w:space="0"/>
              <w:right w:val="single" w:color="auto" w:sz="4" w:space="0"/>
            </w:tcBorders>
            <w:vAlign w:val="center"/>
          </w:tcPr>
          <w:p w14:paraId="2F77EA87">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输出统计/分析模型运行时生成的结果</w:t>
            </w:r>
          </w:p>
        </w:tc>
      </w:tr>
      <w:tr w14:paraId="2AE0CBD5">
        <w:tblPrEx>
          <w:tblCellMar>
            <w:top w:w="0" w:type="dxa"/>
            <w:left w:w="108" w:type="dxa"/>
            <w:bottom w:w="0" w:type="dxa"/>
            <w:right w:w="108" w:type="dxa"/>
          </w:tblCellMar>
        </w:tblPrEx>
        <w:trPr>
          <w:trHeight w:val="454" w:hRule="atLeast"/>
          <w:jc w:val="center"/>
        </w:trPr>
        <w:tc>
          <w:tcPr>
            <w:tcW w:w="1452" w:type="dxa"/>
            <w:vMerge w:val="restart"/>
            <w:tcBorders>
              <w:top w:val="nil"/>
              <w:left w:val="single" w:color="auto" w:sz="4" w:space="0"/>
              <w:bottom w:val="single" w:color="auto" w:sz="4" w:space="0"/>
              <w:right w:val="single" w:color="auto" w:sz="4" w:space="0"/>
            </w:tcBorders>
            <w:vAlign w:val="center"/>
          </w:tcPr>
          <w:p w14:paraId="5EC9B7AB">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消息通讯构件类</w:t>
            </w:r>
          </w:p>
        </w:tc>
        <w:tc>
          <w:tcPr>
            <w:tcW w:w="2041" w:type="dxa"/>
            <w:tcBorders>
              <w:top w:val="nil"/>
              <w:left w:val="nil"/>
              <w:bottom w:val="single" w:color="auto" w:sz="4" w:space="0"/>
              <w:right w:val="single" w:color="auto" w:sz="4" w:space="0"/>
            </w:tcBorders>
            <w:vAlign w:val="center"/>
          </w:tcPr>
          <w:p w14:paraId="2F085B06">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消息定制构件</w:t>
            </w:r>
          </w:p>
        </w:tc>
        <w:tc>
          <w:tcPr>
            <w:tcW w:w="4803" w:type="dxa"/>
            <w:tcBorders>
              <w:top w:val="nil"/>
              <w:left w:val="nil"/>
              <w:bottom w:val="single" w:color="auto" w:sz="4" w:space="0"/>
              <w:right w:val="single" w:color="auto" w:sz="4" w:space="0"/>
            </w:tcBorders>
            <w:vAlign w:val="center"/>
          </w:tcPr>
          <w:p w14:paraId="6C7F6FB0">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按消息通讯标准对消息结构进行定制</w:t>
            </w:r>
          </w:p>
        </w:tc>
      </w:tr>
      <w:tr w14:paraId="2F29C374">
        <w:tblPrEx>
          <w:tblCellMar>
            <w:top w:w="0" w:type="dxa"/>
            <w:left w:w="108" w:type="dxa"/>
            <w:bottom w:w="0" w:type="dxa"/>
            <w:right w:w="108" w:type="dxa"/>
          </w:tblCellMar>
        </w:tblPrEx>
        <w:trPr>
          <w:trHeight w:val="454" w:hRule="atLeast"/>
          <w:jc w:val="center"/>
        </w:trPr>
        <w:tc>
          <w:tcPr>
            <w:tcW w:w="1452" w:type="dxa"/>
            <w:vMerge w:val="continue"/>
            <w:tcBorders>
              <w:top w:val="nil"/>
              <w:left w:val="single" w:color="auto" w:sz="4" w:space="0"/>
              <w:bottom w:val="single" w:color="auto" w:sz="4" w:space="0"/>
              <w:right w:val="single" w:color="auto" w:sz="4" w:space="0"/>
            </w:tcBorders>
            <w:vAlign w:val="center"/>
          </w:tcPr>
          <w:p w14:paraId="0B1CF50B">
            <w:pPr>
              <w:spacing w:line="240" w:lineRule="auto"/>
              <w:ind w:firstLine="0" w:firstLineChars="0"/>
              <w:rPr>
                <w:rFonts w:hint="eastAsia" w:ascii="宋体" w:hAnsi="宋体" w:eastAsia="宋体" w:cs="宋体"/>
                <w:b w:val="0"/>
                <w:bCs w:val="0"/>
                <w:sz w:val="22"/>
                <w:szCs w:val="22"/>
              </w:rPr>
            </w:pPr>
          </w:p>
        </w:tc>
        <w:tc>
          <w:tcPr>
            <w:tcW w:w="2041" w:type="dxa"/>
            <w:tcBorders>
              <w:top w:val="nil"/>
              <w:left w:val="nil"/>
              <w:bottom w:val="single" w:color="auto" w:sz="4" w:space="0"/>
              <w:right w:val="single" w:color="auto" w:sz="4" w:space="0"/>
            </w:tcBorders>
            <w:vAlign w:val="center"/>
          </w:tcPr>
          <w:p w14:paraId="69A0E195">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消息存储构件</w:t>
            </w:r>
          </w:p>
        </w:tc>
        <w:tc>
          <w:tcPr>
            <w:tcW w:w="4803" w:type="dxa"/>
            <w:tcBorders>
              <w:top w:val="nil"/>
              <w:left w:val="nil"/>
              <w:bottom w:val="single" w:color="auto" w:sz="4" w:space="0"/>
              <w:right w:val="single" w:color="auto" w:sz="4" w:space="0"/>
            </w:tcBorders>
            <w:vAlign w:val="center"/>
          </w:tcPr>
          <w:p w14:paraId="6C6FAB68">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对通讯时生成的消息进行存储</w:t>
            </w:r>
          </w:p>
        </w:tc>
      </w:tr>
      <w:tr w14:paraId="4F6AD5CC">
        <w:tblPrEx>
          <w:tblCellMar>
            <w:top w:w="0" w:type="dxa"/>
            <w:left w:w="108" w:type="dxa"/>
            <w:bottom w:w="0" w:type="dxa"/>
            <w:right w:w="108" w:type="dxa"/>
          </w:tblCellMar>
        </w:tblPrEx>
        <w:trPr>
          <w:trHeight w:val="454" w:hRule="atLeast"/>
          <w:jc w:val="center"/>
        </w:trPr>
        <w:tc>
          <w:tcPr>
            <w:tcW w:w="1452" w:type="dxa"/>
            <w:vMerge w:val="continue"/>
            <w:tcBorders>
              <w:top w:val="nil"/>
              <w:left w:val="single" w:color="auto" w:sz="4" w:space="0"/>
              <w:bottom w:val="single" w:color="auto" w:sz="4" w:space="0"/>
              <w:right w:val="single" w:color="auto" w:sz="4" w:space="0"/>
            </w:tcBorders>
            <w:vAlign w:val="center"/>
          </w:tcPr>
          <w:p w14:paraId="0D2E71D7">
            <w:pPr>
              <w:spacing w:line="240" w:lineRule="auto"/>
              <w:ind w:firstLine="0" w:firstLineChars="0"/>
              <w:rPr>
                <w:rFonts w:hint="eastAsia" w:ascii="宋体" w:hAnsi="宋体" w:eastAsia="宋体" w:cs="宋体"/>
                <w:b w:val="0"/>
                <w:bCs w:val="0"/>
                <w:sz w:val="22"/>
                <w:szCs w:val="22"/>
              </w:rPr>
            </w:pPr>
          </w:p>
        </w:tc>
        <w:tc>
          <w:tcPr>
            <w:tcW w:w="2041" w:type="dxa"/>
            <w:tcBorders>
              <w:top w:val="nil"/>
              <w:left w:val="nil"/>
              <w:bottom w:val="single" w:color="auto" w:sz="4" w:space="0"/>
              <w:right w:val="single" w:color="auto" w:sz="4" w:space="0"/>
            </w:tcBorders>
            <w:vAlign w:val="center"/>
          </w:tcPr>
          <w:p w14:paraId="5B934211">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消息传输构件</w:t>
            </w:r>
          </w:p>
        </w:tc>
        <w:tc>
          <w:tcPr>
            <w:tcW w:w="4803" w:type="dxa"/>
            <w:tcBorders>
              <w:top w:val="nil"/>
              <w:left w:val="nil"/>
              <w:bottom w:val="single" w:color="auto" w:sz="4" w:space="0"/>
              <w:right w:val="single" w:color="auto" w:sz="4" w:space="0"/>
            </w:tcBorders>
            <w:vAlign w:val="center"/>
          </w:tcPr>
          <w:p w14:paraId="219B29DD">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对消息进行传输，支持HTTP、HTTPS等多种传输协议</w:t>
            </w:r>
          </w:p>
        </w:tc>
      </w:tr>
      <w:tr w14:paraId="1434F842">
        <w:tblPrEx>
          <w:tblCellMar>
            <w:top w:w="0" w:type="dxa"/>
            <w:left w:w="108" w:type="dxa"/>
            <w:bottom w:w="0" w:type="dxa"/>
            <w:right w:w="108" w:type="dxa"/>
          </w:tblCellMar>
        </w:tblPrEx>
        <w:trPr>
          <w:trHeight w:val="454" w:hRule="atLeast"/>
          <w:jc w:val="center"/>
        </w:trPr>
        <w:tc>
          <w:tcPr>
            <w:tcW w:w="1452" w:type="dxa"/>
            <w:vMerge w:val="continue"/>
            <w:tcBorders>
              <w:top w:val="nil"/>
              <w:left w:val="single" w:color="auto" w:sz="4" w:space="0"/>
              <w:bottom w:val="single" w:color="auto" w:sz="4" w:space="0"/>
              <w:right w:val="single" w:color="auto" w:sz="4" w:space="0"/>
            </w:tcBorders>
            <w:vAlign w:val="center"/>
          </w:tcPr>
          <w:p w14:paraId="6C15A319">
            <w:pPr>
              <w:spacing w:line="240" w:lineRule="auto"/>
              <w:ind w:firstLine="0" w:firstLineChars="0"/>
              <w:rPr>
                <w:rFonts w:hint="eastAsia" w:ascii="宋体" w:hAnsi="宋体" w:eastAsia="宋体" w:cs="宋体"/>
                <w:b w:val="0"/>
                <w:bCs w:val="0"/>
                <w:sz w:val="22"/>
                <w:szCs w:val="22"/>
              </w:rPr>
            </w:pPr>
          </w:p>
        </w:tc>
        <w:tc>
          <w:tcPr>
            <w:tcW w:w="2041" w:type="dxa"/>
            <w:tcBorders>
              <w:top w:val="nil"/>
              <w:left w:val="nil"/>
              <w:bottom w:val="single" w:color="auto" w:sz="4" w:space="0"/>
              <w:right w:val="single" w:color="auto" w:sz="4" w:space="0"/>
            </w:tcBorders>
            <w:vAlign w:val="center"/>
          </w:tcPr>
          <w:p w14:paraId="0967C1B6">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消息日志构件</w:t>
            </w:r>
          </w:p>
        </w:tc>
        <w:tc>
          <w:tcPr>
            <w:tcW w:w="4803" w:type="dxa"/>
            <w:tcBorders>
              <w:top w:val="nil"/>
              <w:left w:val="nil"/>
              <w:bottom w:val="single" w:color="auto" w:sz="4" w:space="0"/>
              <w:right w:val="single" w:color="auto" w:sz="4" w:space="0"/>
            </w:tcBorders>
            <w:vAlign w:val="center"/>
          </w:tcPr>
          <w:p w14:paraId="213E4666">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记录消息发送、传输、接收时各种过程的状态</w:t>
            </w:r>
          </w:p>
        </w:tc>
      </w:tr>
      <w:tr w14:paraId="67B778F9">
        <w:tblPrEx>
          <w:tblCellMar>
            <w:top w:w="0" w:type="dxa"/>
            <w:left w:w="108" w:type="dxa"/>
            <w:bottom w:w="0" w:type="dxa"/>
            <w:right w:w="108" w:type="dxa"/>
          </w:tblCellMar>
        </w:tblPrEx>
        <w:trPr>
          <w:trHeight w:val="454" w:hRule="atLeast"/>
          <w:jc w:val="center"/>
        </w:trPr>
        <w:tc>
          <w:tcPr>
            <w:tcW w:w="1452" w:type="dxa"/>
            <w:vMerge w:val="continue"/>
            <w:tcBorders>
              <w:top w:val="nil"/>
              <w:left w:val="single" w:color="auto" w:sz="4" w:space="0"/>
              <w:bottom w:val="single" w:color="auto" w:sz="4" w:space="0"/>
              <w:right w:val="single" w:color="auto" w:sz="4" w:space="0"/>
            </w:tcBorders>
            <w:vAlign w:val="center"/>
          </w:tcPr>
          <w:p w14:paraId="5EAE6170">
            <w:pPr>
              <w:spacing w:line="240" w:lineRule="auto"/>
              <w:ind w:firstLine="0" w:firstLineChars="0"/>
              <w:rPr>
                <w:rFonts w:hint="eastAsia" w:ascii="宋体" w:hAnsi="宋体" w:eastAsia="宋体" w:cs="宋体"/>
                <w:b w:val="0"/>
                <w:bCs w:val="0"/>
                <w:sz w:val="22"/>
                <w:szCs w:val="22"/>
              </w:rPr>
            </w:pPr>
          </w:p>
        </w:tc>
        <w:tc>
          <w:tcPr>
            <w:tcW w:w="2041" w:type="dxa"/>
            <w:tcBorders>
              <w:top w:val="nil"/>
              <w:left w:val="nil"/>
              <w:bottom w:val="single" w:color="auto" w:sz="4" w:space="0"/>
              <w:right w:val="single" w:color="auto" w:sz="4" w:space="0"/>
            </w:tcBorders>
            <w:vAlign w:val="center"/>
          </w:tcPr>
          <w:p w14:paraId="4DD2AF60">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消息加密/解密</w:t>
            </w:r>
          </w:p>
        </w:tc>
        <w:tc>
          <w:tcPr>
            <w:tcW w:w="4803" w:type="dxa"/>
            <w:tcBorders>
              <w:top w:val="nil"/>
              <w:left w:val="nil"/>
              <w:bottom w:val="single" w:color="auto" w:sz="4" w:space="0"/>
              <w:right w:val="single" w:color="auto" w:sz="4" w:space="0"/>
            </w:tcBorders>
            <w:vAlign w:val="center"/>
          </w:tcPr>
          <w:p w14:paraId="71896584">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对消息的内容进行加/解密</w:t>
            </w:r>
          </w:p>
        </w:tc>
      </w:tr>
      <w:tr w14:paraId="196812DF">
        <w:tblPrEx>
          <w:tblCellMar>
            <w:top w:w="0" w:type="dxa"/>
            <w:left w:w="108" w:type="dxa"/>
            <w:bottom w:w="0" w:type="dxa"/>
            <w:right w:w="108" w:type="dxa"/>
          </w:tblCellMar>
        </w:tblPrEx>
        <w:trPr>
          <w:trHeight w:val="454" w:hRule="atLeast"/>
          <w:jc w:val="center"/>
        </w:trPr>
        <w:tc>
          <w:tcPr>
            <w:tcW w:w="1452" w:type="dxa"/>
            <w:vMerge w:val="restart"/>
            <w:tcBorders>
              <w:top w:val="nil"/>
              <w:left w:val="single" w:color="auto" w:sz="4" w:space="0"/>
              <w:right w:val="single" w:color="auto" w:sz="4" w:space="0"/>
            </w:tcBorders>
            <w:vAlign w:val="center"/>
          </w:tcPr>
          <w:p w14:paraId="31784B7E">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信息安全构件类</w:t>
            </w:r>
          </w:p>
        </w:tc>
        <w:tc>
          <w:tcPr>
            <w:tcW w:w="2041" w:type="dxa"/>
            <w:tcBorders>
              <w:top w:val="nil"/>
              <w:left w:val="nil"/>
              <w:bottom w:val="single" w:color="auto" w:sz="4" w:space="0"/>
              <w:right w:val="single" w:color="auto" w:sz="4" w:space="0"/>
            </w:tcBorders>
            <w:vAlign w:val="center"/>
          </w:tcPr>
          <w:p w14:paraId="668F3D21">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单点登录构件</w:t>
            </w:r>
          </w:p>
        </w:tc>
        <w:tc>
          <w:tcPr>
            <w:tcW w:w="4803" w:type="dxa"/>
            <w:tcBorders>
              <w:top w:val="nil"/>
              <w:left w:val="nil"/>
              <w:bottom w:val="single" w:color="auto" w:sz="4" w:space="0"/>
              <w:right w:val="single" w:color="auto" w:sz="4" w:space="0"/>
            </w:tcBorders>
            <w:vAlign w:val="center"/>
          </w:tcPr>
          <w:p w14:paraId="4B93161A">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支持访问单点登录服务</w:t>
            </w:r>
          </w:p>
        </w:tc>
      </w:tr>
      <w:tr w14:paraId="22F4449E">
        <w:tblPrEx>
          <w:tblCellMar>
            <w:top w:w="0" w:type="dxa"/>
            <w:left w:w="108" w:type="dxa"/>
            <w:bottom w:w="0" w:type="dxa"/>
            <w:right w:w="108" w:type="dxa"/>
          </w:tblCellMar>
        </w:tblPrEx>
        <w:trPr>
          <w:trHeight w:val="454" w:hRule="atLeast"/>
          <w:jc w:val="center"/>
        </w:trPr>
        <w:tc>
          <w:tcPr>
            <w:tcW w:w="1452" w:type="dxa"/>
            <w:vMerge w:val="continue"/>
            <w:tcBorders>
              <w:left w:val="single" w:color="auto" w:sz="4" w:space="0"/>
              <w:right w:val="single" w:color="auto" w:sz="4" w:space="0"/>
            </w:tcBorders>
            <w:vAlign w:val="center"/>
          </w:tcPr>
          <w:p w14:paraId="5650E0E4">
            <w:pPr>
              <w:spacing w:line="240" w:lineRule="auto"/>
              <w:ind w:firstLine="0" w:firstLineChars="0"/>
              <w:rPr>
                <w:rFonts w:hint="eastAsia" w:ascii="宋体" w:hAnsi="宋体" w:eastAsia="宋体" w:cs="宋体"/>
                <w:b w:val="0"/>
                <w:bCs w:val="0"/>
                <w:sz w:val="22"/>
                <w:szCs w:val="22"/>
              </w:rPr>
            </w:pPr>
          </w:p>
        </w:tc>
        <w:tc>
          <w:tcPr>
            <w:tcW w:w="2041" w:type="dxa"/>
            <w:tcBorders>
              <w:top w:val="nil"/>
              <w:left w:val="nil"/>
              <w:bottom w:val="single" w:color="auto" w:sz="4" w:space="0"/>
              <w:right w:val="single" w:color="auto" w:sz="4" w:space="0"/>
            </w:tcBorders>
            <w:vAlign w:val="center"/>
          </w:tcPr>
          <w:p w14:paraId="71CA8EBC">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基于角色的访问控制构件</w:t>
            </w:r>
          </w:p>
        </w:tc>
        <w:tc>
          <w:tcPr>
            <w:tcW w:w="4803" w:type="dxa"/>
            <w:tcBorders>
              <w:top w:val="nil"/>
              <w:left w:val="nil"/>
              <w:bottom w:val="single" w:color="auto" w:sz="4" w:space="0"/>
              <w:right w:val="single" w:color="auto" w:sz="4" w:space="0"/>
            </w:tcBorders>
            <w:vAlign w:val="center"/>
          </w:tcPr>
          <w:p w14:paraId="7A47ECBE">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支持基于角色的访问控制</w:t>
            </w:r>
          </w:p>
        </w:tc>
      </w:tr>
      <w:tr w14:paraId="58B6DAB6">
        <w:tblPrEx>
          <w:tblCellMar>
            <w:top w:w="0" w:type="dxa"/>
            <w:left w:w="108" w:type="dxa"/>
            <w:bottom w:w="0" w:type="dxa"/>
            <w:right w:w="108" w:type="dxa"/>
          </w:tblCellMar>
        </w:tblPrEx>
        <w:trPr>
          <w:trHeight w:val="454" w:hRule="atLeast"/>
          <w:jc w:val="center"/>
        </w:trPr>
        <w:tc>
          <w:tcPr>
            <w:tcW w:w="1452" w:type="dxa"/>
            <w:tcBorders>
              <w:top w:val="single" w:color="auto" w:sz="4" w:space="0"/>
              <w:left w:val="single" w:color="auto" w:sz="4" w:space="0"/>
              <w:bottom w:val="single" w:color="auto" w:sz="4" w:space="0"/>
              <w:right w:val="single" w:color="auto" w:sz="4" w:space="0"/>
            </w:tcBorders>
            <w:vAlign w:val="center"/>
          </w:tcPr>
          <w:p w14:paraId="2DFE33C0">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异常处理构件类</w:t>
            </w:r>
          </w:p>
        </w:tc>
        <w:tc>
          <w:tcPr>
            <w:tcW w:w="2041" w:type="dxa"/>
            <w:tcBorders>
              <w:top w:val="single" w:color="auto" w:sz="4" w:space="0"/>
              <w:left w:val="nil"/>
              <w:bottom w:val="single" w:color="auto" w:sz="4" w:space="0"/>
              <w:right w:val="single" w:color="auto" w:sz="4" w:space="0"/>
            </w:tcBorders>
            <w:vAlign w:val="center"/>
          </w:tcPr>
          <w:p w14:paraId="79768437">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异常处理定制构件</w:t>
            </w:r>
          </w:p>
        </w:tc>
        <w:tc>
          <w:tcPr>
            <w:tcW w:w="4803" w:type="dxa"/>
            <w:tcBorders>
              <w:top w:val="single" w:color="auto" w:sz="4" w:space="0"/>
              <w:left w:val="nil"/>
              <w:bottom w:val="single" w:color="auto" w:sz="4" w:space="0"/>
              <w:right w:val="single" w:color="auto" w:sz="4" w:space="0"/>
            </w:tcBorders>
            <w:vAlign w:val="center"/>
          </w:tcPr>
          <w:p w14:paraId="396D5AD9">
            <w:pPr>
              <w:spacing w:line="240" w:lineRule="auto"/>
              <w:ind w:firstLine="0" w:firstLineChars="0"/>
              <w:rPr>
                <w:rFonts w:hint="eastAsia" w:ascii="宋体" w:hAnsi="宋体" w:eastAsia="宋体" w:cs="宋体"/>
                <w:b w:val="0"/>
                <w:bCs w:val="0"/>
                <w:sz w:val="22"/>
                <w:szCs w:val="22"/>
              </w:rPr>
            </w:pPr>
            <w:r>
              <w:rPr>
                <w:rFonts w:hint="eastAsia" w:ascii="宋体" w:hAnsi="宋体" w:eastAsia="宋体" w:cs="宋体"/>
                <w:b w:val="0"/>
                <w:bCs w:val="0"/>
                <w:sz w:val="22"/>
                <w:szCs w:val="22"/>
              </w:rPr>
              <w:t>通过定制支持多种形式的异常处理，如：异常严重性的级别划分、异常信息的记录和异常信息的发</w:t>
            </w:r>
            <w:r>
              <w:rPr>
                <w:rFonts w:hint="eastAsia" w:ascii="宋体" w:eastAsia="宋体" w:cs="宋体"/>
                <w:b w:val="0"/>
                <w:bCs w:val="0"/>
                <w:sz w:val="22"/>
                <w:szCs w:val="22"/>
                <w:lang w:eastAsia="zh-CN"/>
              </w:rPr>
              <w:t>布</w:t>
            </w:r>
            <w:r>
              <w:rPr>
                <w:rFonts w:hint="eastAsia" w:ascii="宋体" w:hAnsi="宋体" w:eastAsia="宋体" w:cs="宋体"/>
                <w:b w:val="0"/>
                <w:bCs w:val="0"/>
                <w:sz w:val="22"/>
                <w:szCs w:val="22"/>
              </w:rPr>
              <w:t>等</w:t>
            </w:r>
          </w:p>
        </w:tc>
      </w:tr>
    </w:tbl>
    <w:p w14:paraId="17EEE297">
      <w:pPr>
        <w:pStyle w:val="43"/>
        <w:ind w:left="0" w:leftChars="0" w:firstLine="0" w:firstLineChars="0"/>
        <w:rPr>
          <w:rFonts w:hint="eastAsia"/>
          <w:lang w:val="en-US" w:eastAsia="zh-CN"/>
        </w:rPr>
      </w:pPr>
    </w:p>
    <w:p w14:paraId="0518BEA1">
      <w:pPr>
        <w:pStyle w:val="5"/>
        <w:tabs>
          <w:tab w:val="left" w:pos="3600"/>
        </w:tabs>
        <w:spacing w:before="0" w:after="0"/>
        <w:rPr>
          <w:rFonts w:hint="eastAsia" w:ascii="宋体" w:hAnsi="宋体" w:eastAsia="宋体" w:cs="宋体"/>
          <w:b w:val="0"/>
          <w:bCs w:val="0"/>
          <w:color w:val="000000"/>
          <w:spacing w:val="0"/>
          <w:sz w:val="22"/>
          <w:szCs w:val="22"/>
          <w:highlight w:val="none"/>
          <w:lang w:val="en-US" w:eastAsia="zh-CN" w:bidi="ar-SA"/>
        </w:rPr>
      </w:pPr>
      <w:r>
        <w:rPr>
          <w:rFonts w:hint="eastAsia" w:ascii="宋体" w:hAnsi="宋体" w:eastAsia="宋体" w:cs="宋体"/>
          <w:b w:val="0"/>
          <w:bCs w:val="0"/>
          <w:color w:val="000000"/>
          <w:spacing w:val="0"/>
          <w:sz w:val="22"/>
          <w:szCs w:val="22"/>
          <w:highlight w:val="none"/>
          <w:lang w:val="en-US" w:eastAsia="zh-CN" w:bidi="ar-SA"/>
        </w:rPr>
        <w:t>（六）</w:t>
      </w:r>
      <w:bookmarkStart w:id="19" w:name="_Toc68861799"/>
      <w:bookmarkStart w:id="20" w:name="_Toc68861921"/>
      <w:bookmarkStart w:id="21" w:name="_Toc71362349"/>
      <w:bookmarkStart w:id="22" w:name="_Toc149649055"/>
      <w:bookmarkStart w:id="23" w:name="_Toc46431157"/>
      <w:bookmarkStart w:id="24" w:name="_Toc68862649"/>
      <w:bookmarkStart w:id="25" w:name="_Toc28474"/>
      <w:bookmarkStart w:id="26" w:name="_Toc68862444"/>
      <w:r>
        <w:rPr>
          <w:rFonts w:hint="eastAsia" w:ascii="宋体" w:hAnsi="宋体" w:eastAsia="宋体" w:cs="宋体"/>
          <w:b w:val="0"/>
          <w:bCs w:val="0"/>
          <w:color w:val="000000"/>
          <w:spacing w:val="0"/>
          <w:sz w:val="22"/>
          <w:szCs w:val="22"/>
          <w:highlight w:val="none"/>
          <w:lang w:val="en-US" w:eastAsia="zh-CN" w:bidi="ar-SA"/>
        </w:rPr>
        <w:t>数据标准规范</w:t>
      </w:r>
      <w:bookmarkEnd w:id="19"/>
      <w:bookmarkEnd w:id="20"/>
      <w:bookmarkEnd w:id="21"/>
      <w:bookmarkEnd w:id="22"/>
      <w:bookmarkEnd w:id="23"/>
      <w:bookmarkEnd w:id="24"/>
      <w:bookmarkEnd w:id="25"/>
      <w:bookmarkEnd w:id="26"/>
      <w:r>
        <w:rPr>
          <w:rFonts w:hint="eastAsia" w:ascii="宋体" w:hAnsi="宋体" w:eastAsia="宋体" w:cs="宋体"/>
          <w:b w:val="0"/>
          <w:bCs w:val="0"/>
          <w:color w:val="000000"/>
          <w:spacing w:val="0"/>
          <w:sz w:val="22"/>
          <w:szCs w:val="22"/>
          <w:highlight w:val="none"/>
          <w:lang w:val="en-US" w:eastAsia="zh-CN" w:bidi="ar-SA"/>
        </w:rPr>
        <w:t>要求</w:t>
      </w:r>
    </w:p>
    <w:p w14:paraId="6EF79240">
      <w:pPr>
        <w:spacing w:line="360" w:lineRule="auto"/>
        <w:ind w:firstLine="440" w:firstLineChars="200"/>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b w:val="0"/>
          <w:bCs w:val="0"/>
          <w:color w:val="auto"/>
          <w:sz w:val="22"/>
          <w:szCs w:val="22"/>
          <w:highlight w:val="none"/>
          <w:lang w:val="en-US" w:eastAsia="zh-CN" w:bidi="ar-SA"/>
        </w:rPr>
        <w:t>为了科学、规范地建设本项目，数据标准应以《全国组织、干部、人事管理信息系统信息结构体系</w:t>
      </w:r>
      <w:r>
        <w:rPr>
          <w:rFonts w:hint="eastAsia" w:ascii="宋体" w:eastAsia="宋体" w:cs="宋体"/>
          <w:b w:val="0"/>
          <w:bCs w:val="0"/>
          <w:color w:val="auto"/>
          <w:sz w:val="22"/>
          <w:szCs w:val="22"/>
          <w:highlight w:val="none"/>
          <w:lang w:val="en-US" w:eastAsia="zh-CN" w:bidi="ar-SA"/>
        </w:rPr>
        <w:t>》《</w:t>
      </w:r>
      <w:r>
        <w:rPr>
          <w:rFonts w:hint="eastAsia" w:ascii="宋体" w:hAnsi="宋体" w:eastAsia="宋体" w:cs="宋体"/>
          <w:b w:val="0"/>
          <w:bCs w:val="0"/>
          <w:color w:val="auto"/>
          <w:sz w:val="22"/>
          <w:szCs w:val="22"/>
          <w:highlight w:val="none"/>
          <w:lang w:val="en-US" w:eastAsia="zh-CN" w:bidi="ar-SA"/>
        </w:rPr>
        <w:t>干部人事管理信息系统信息采集、报送标准》和中共中央组织部全国组织、干部、人事管理信息系统信息结构体系为本项目的数据标准。</w:t>
      </w:r>
    </w:p>
    <w:p w14:paraId="415CE528">
      <w:pPr>
        <w:spacing w:line="360" w:lineRule="auto"/>
        <w:ind w:firstLine="440" w:firstLineChars="200"/>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b w:val="0"/>
          <w:bCs w:val="0"/>
          <w:color w:val="auto"/>
          <w:sz w:val="22"/>
          <w:szCs w:val="22"/>
          <w:highlight w:val="none"/>
          <w:lang w:val="en-US" w:eastAsia="zh-CN" w:bidi="ar-SA"/>
        </w:rPr>
        <w:t>1、《全国组织、干部、人事管理信息系统信息结构体系》</w:t>
      </w:r>
    </w:p>
    <w:p w14:paraId="0C273DD5">
      <w:pPr>
        <w:spacing w:line="360" w:lineRule="auto"/>
        <w:ind w:firstLine="440" w:firstLineChars="200"/>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b w:val="0"/>
          <w:bCs w:val="0"/>
          <w:color w:val="auto"/>
          <w:sz w:val="22"/>
          <w:szCs w:val="22"/>
          <w:highlight w:val="none"/>
          <w:lang w:val="en-US" w:eastAsia="zh-CN" w:bidi="ar-SA"/>
        </w:rPr>
        <w:t xml:space="preserve">《全国组织、干部、人事管理信息系统信息结构体系》分为信息群、信息集与信息项3个层次。含有人员管理、单位管理、中央组织管理4个信息群，64个信息集，698个信息项。 </w:t>
      </w:r>
    </w:p>
    <w:p w14:paraId="5F3B1FEF">
      <w:pPr>
        <w:spacing w:line="360" w:lineRule="auto"/>
        <w:ind w:firstLine="440" w:firstLineChars="200"/>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b w:val="0"/>
          <w:bCs w:val="0"/>
          <w:color w:val="auto"/>
          <w:sz w:val="22"/>
          <w:szCs w:val="22"/>
          <w:highlight w:val="none"/>
          <w:lang w:val="en-US" w:eastAsia="zh-CN" w:bidi="ar-SA"/>
        </w:rPr>
        <w:t xml:space="preserve">人员管理信息群含有43个信息集（其中两个信息集待编），共426个信息项。该信息群的各信息集，一部分属于通用信息集，即在组织、干部、人事管理工作中描述每个人的情况时都可能使用的信息集；另一部分是专用或选用信息集，即只有在描述少数特定人员情况时使用的信息集。 </w:t>
      </w:r>
    </w:p>
    <w:p w14:paraId="13EB4A87">
      <w:pPr>
        <w:spacing w:line="360" w:lineRule="auto"/>
        <w:ind w:firstLine="440" w:firstLineChars="200"/>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b w:val="0"/>
          <w:bCs w:val="0"/>
          <w:color w:val="auto"/>
          <w:sz w:val="22"/>
          <w:szCs w:val="22"/>
          <w:highlight w:val="none"/>
          <w:lang w:val="en-US" w:eastAsia="zh-CN" w:bidi="ar-SA"/>
        </w:rPr>
        <w:t>单位管理信息群含有8个信息集，共113个信息项。该信息群主要用于单位编制管理及各类统计信息的生成。</w:t>
      </w:r>
    </w:p>
    <w:p w14:paraId="7240ADB3">
      <w:pPr>
        <w:spacing w:line="360" w:lineRule="auto"/>
        <w:ind w:firstLine="440" w:firstLineChars="200"/>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b w:val="0"/>
          <w:bCs w:val="0"/>
          <w:color w:val="auto"/>
          <w:sz w:val="22"/>
          <w:szCs w:val="22"/>
          <w:highlight w:val="none"/>
          <w:lang w:val="en-US" w:eastAsia="zh-CN" w:bidi="ar-SA"/>
        </w:rPr>
        <w:t>中共组织管理信息群含有8个信息集，共112个信息项。该信息群是在上述单位管理信息群的基础上，增设的专门用于描述中共组织机构相对于一般单位特有信息的信息群。</w:t>
      </w:r>
    </w:p>
    <w:p w14:paraId="4E0664EE">
      <w:pPr>
        <w:spacing w:line="360" w:lineRule="auto"/>
        <w:ind w:firstLine="440" w:firstLineChars="200"/>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b w:val="0"/>
          <w:bCs w:val="0"/>
          <w:color w:val="auto"/>
          <w:sz w:val="22"/>
          <w:szCs w:val="22"/>
          <w:highlight w:val="none"/>
          <w:lang w:val="en-US" w:eastAsia="zh-CN" w:bidi="ar-SA"/>
        </w:rPr>
        <w:t>该《体系》中给出了各信息群、信息集、信息项的名称、定义及解说，并且为了满足建立组织、干部、人事管理信息系统的工作需要，列出了采用的26项国家标准代码和63项中央组织部编制的部标代码。</w:t>
      </w:r>
    </w:p>
    <w:p w14:paraId="4DA24A2C">
      <w:pPr>
        <w:spacing w:line="360" w:lineRule="auto"/>
        <w:ind w:firstLine="440" w:firstLineChars="200"/>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b w:val="0"/>
          <w:bCs w:val="0"/>
          <w:color w:val="auto"/>
          <w:sz w:val="22"/>
          <w:szCs w:val="22"/>
          <w:highlight w:val="none"/>
          <w:lang w:val="en-US" w:eastAsia="zh-CN" w:bidi="ar-SA"/>
        </w:rPr>
        <w:t>2、《干部人事管理信息系统信息采集、报送标准》</w:t>
      </w:r>
    </w:p>
    <w:p w14:paraId="7DF3FDE6">
      <w:pPr>
        <w:spacing w:line="360" w:lineRule="auto"/>
        <w:ind w:firstLine="440" w:firstLineChars="200"/>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b w:val="0"/>
          <w:bCs w:val="0"/>
          <w:color w:val="auto"/>
          <w:sz w:val="22"/>
          <w:szCs w:val="22"/>
          <w:highlight w:val="none"/>
          <w:lang w:val="en-US" w:eastAsia="zh-CN" w:bidi="ar-SA"/>
        </w:rPr>
        <w:t>标准共15个信息集，139</w:t>
      </w:r>
      <w:r>
        <w:rPr>
          <w:rFonts w:hint="eastAsia" w:ascii="宋体" w:eastAsia="宋体" w:cs="宋体"/>
          <w:b w:val="0"/>
          <w:bCs w:val="0"/>
          <w:color w:val="auto"/>
          <w:sz w:val="22"/>
          <w:szCs w:val="22"/>
          <w:highlight w:val="none"/>
          <w:lang w:val="en-US" w:eastAsia="zh-CN" w:bidi="ar-SA"/>
        </w:rPr>
        <w:t>个</w:t>
      </w:r>
      <w:r>
        <w:rPr>
          <w:rFonts w:hint="eastAsia" w:ascii="宋体" w:hAnsi="宋体" w:eastAsia="宋体" w:cs="宋体"/>
          <w:b w:val="0"/>
          <w:bCs w:val="0"/>
          <w:color w:val="auto"/>
          <w:sz w:val="22"/>
          <w:szCs w:val="22"/>
          <w:highlight w:val="none"/>
          <w:lang w:val="en-US" w:eastAsia="zh-CN" w:bidi="ar-SA"/>
        </w:rPr>
        <w:t>信息项。其中，引用《全国组织、干部、人事管理信息系统信息结构体系》中人员管理、单位管理两个信息群的96个信息项，新增43个信息项。</w:t>
      </w:r>
    </w:p>
    <w:p w14:paraId="22FD0376">
      <w:pPr>
        <w:spacing w:line="360" w:lineRule="auto"/>
        <w:ind w:firstLine="440" w:firstLineChars="200"/>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b w:val="0"/>
          <w:bCs w:val="0"/>
          <w:color w:val="auto"/>
          <w:sz w:val="22"/>
          <w:szCs w:val="22"/>
          <w:highlight w:val="none"/>
          <w:lang w:val="en-US" w:eastAsia="zh-CN" w:bidi="ar-SA"/>
        </w:rPr>
        <w:t>标准引用39个代码集，其中含6个国家标准代码集，24个部颁标准代码集（其中14个代码集有调整），9个新增代码集。ZB122至ZB132为新增代码集，其他标“*”号的代码集在信息结构体系标准基础上有调整。</w:t>
      </w:r>
    </w:p>
    <w:p w14:paraId="04B1BEA1">
      <w:pPr>
        <w:spacing w:line="360" w:lineRule="auto"/>
        <w:ind w:firstLine="440" w:firstLineChars="200"/>
        <w:rPr>
          <w:rFonts w:hint="eastAsia" w:ascii="宋体" w:hAnsi="宋体" w:eastAsia="宋体" w:cs="宋体"/>
          <w:b w:val="0"/>
          <w:bCs w:val="0"/>
          <w:color w:val="auto"/>
          <w:highlight w:val="none"/>
        </w:rPr>
      </w:pPr>
      <w:r>
        <w:rPr>
          <w:rFonts w:hint="eastAsia" w:ascii="宋体" w:hAnsi="宋体" w:eastAsia="宋体" w:cs="宋体"/>
          <w:b w:val="0"/>
          <w:bCs w:val="0"/>
          <w:color w:val="auto"/>
          <w:sz w:val="22"/>
          <w:szCs w:val="22"/>
          <w:highlight w:val="none"/>
          <w:lang w:val="en-US" w:eastAsia="zh-CN" w:bidi="ar-SA"/>
        </w:rPr>
        <w:t>标准要求，70个信息项列入全国统一的信息报送标准，须向中央组织部、人力资源和社会保障部、国家公务员局报送。各地各部门还可根据实际情况适当扩展，设定本地区本部门的信息采集、报送标准。此外，本标准中列出用于生产常用统计数据的统计参考项57项，供参考。</w:t>
      </w:r>
    </w:p>
    <w:p w14:paraId="204A3153">
      <w:pPr>
        <w:rPr>
          <w:rFonts w:hint="eastAsia" w:ascii="宋体" w:hAnsi="宋体" w:cs="宋体"/>
          <w:color w:val="auto"/>
          <w:sz w:val="22"/>
          <w:szCs w:val="22"/>
          <w:highlight w:val="none"/>
          <w:lang w:eastAsia="zh-Hans"/>
        </w:rPr>
      </w:pPr>
    </w:p>
    <w:bookmarkEnd w:id="5"/>
    <w:p w14:paraId="0C8605E1">
      <w:pPr>
        <w:pStyle w:val="5"/>
        <w:tabs>
          <w:tab w:val="left" w:pos="3600"/>
        </w:tabs>
        <w:spacing w:before="0" w:after="0"/>
        <w:rPr>
          <w:rFonts w:hint="eastAsia" w:ascii="宋体" w:hAnsi="宋体" w:eastAsia="宋体" w:cs="宋体"/>
          <w:b w:val="0"/>
          <w:bCs w:val="0"/>
          <w:color w:val="auto"/>
          <w:spacing w:val="0"/>
          <w:sz w:val="22"/>
          <w:szCs w:val="22"/>
          <w:highlight w:val="none"/>
          <w:lang w:val="en-US" w:eastAsia="zh-CN" w:bidi="ar-SA"/>
        </w:rPr>
      </w:pPr>
      <w:r>
        <w:rPr>
          <w:rFonts w:hint="eastAsia" w:ascii="宋体" w:hAnsi="宋体" w:eastAsia="宋体" w:cs="宋体"/>
          <w:b w:val="0"/>
          <w:bCs w:val="0"/>
          <w:color w:val="auto"/>
          <w:spacing w:val="0"/>
          <w:sz w:val="22"/>
          <w:szCs w:val="22"/>
          <w:highlight w:val="none"/>
          <w:lang w:val="en-US" w:eastAsia="zh-CN" w:bidi="ar-SA"/>
        </w:rPr>
        <w:t>（七）项目实施要求</w:t>
      </w:r>
    </w:p>
    <w:p w14:paraId="1BDFA21A">
      <w:pPr>
        <w:pStyle w:val="43"/>
        <w:spacing w:line="360" w:lineRule="auto"/>
        <w:ind w:left="440" w:hanging="440"/>
        <w:rPr>
          <w:rFonts w:hint="eastAsia" w:ascii="宋体" w:hAnsi="宋体"/>
          <w:sz w:val="22"/>
          <w:szCs w:val="22"/>
        </w:rPr>
      </w:pPr>
      <w:r>
        <w:rPr>
          <w:rFonts w:hint="eastAsia" w:ascii="宋体" w:hAnsi="宋体"/>
          <w:color w:val="auto"/>
          <w:sz w:val="22"/>
          <w:szCs w:val="22"/>
          <w:highlight w:val="none"/>
        </w:rPr>
        <w:t>（1）中标供应商须安排有经验的项目组成</w:t>
      </w:r>
      <w:r>
        <w:rPr>
          <w:rFonts w:hint="eastAsia" w:ascii="宋体" w:hAnsi="宋体"/>
          <w:sz w:val="22"/>
          <w:szCs w:val="22"/>
        </w:rPr>
        <w:t>员进行本次项目的开发建设。</w:t>
      </w:r>
    </w:p>
    <w:p w14:paraId="42FC3307">
      <w:pPr>
        <w:pStyle w:val="43"/>
        <w:spacing w:line="360" w:lineRule="auto"/>
        <w:ind w:left="440" w:hanging="440"/>
        <w:rPr>
          <w:rFonts w:hint="eastAsia" w:ascii="宋体" w:hAnsi="宋体"/>
          <w:sz w:val="22"/>
          <w:szCs w:val="22"/>
        </w:rPr>
      </w:pPr>
      <w:r>
        <w:rPr>
          <w:rFonts w:hint="eastAsia" w:ascii="宋体" w:hAnsi="宋体"/>
          <w:sz w:val="22"/>
          <w:szCs w:val="22"/>
        </w:rPr>
        <w:t>（2）中标供应商应在项目实施前进场实地调研，编制详细的实施方案，并提交采购人认可。</w:t>
      </w:r>
    </w:p>
    <w:p w14:paraId="1BCEC686">
      <w:pPr>
        <w:pStyle w:val="43"/>
        <w:spacing w:line="360" w:lineRule="auto"/>
        <w:ind w:left="440" w:hanging="440"/>
        <w:rPr>
          <w:rFonts w:hint="eastAsia" w:ascii="宋体" w:hAnsi="宋体"/>
          <w:sz w:val="22"/>
          <w:szCs w:val="22"/>
        </w:rPr>
      </w:pPr>
      <w:r>
        <w:rPr>
          <w:rFonts w:hint="eastAsia" w:ascii="宋体" w:hAnsi="宋体"/>
          <w:sz w:val="22"/>
          <w:szCs w:val="22"/>
        </w:rPr>
        <w:t>（3）实施过程应严格执行相关的规范，并保证安全。</w:t>
      </w:r>
    </w:p>
    <w:p w14:paraId="13782BB4">
      <w:pPr>
        <w:pStyle w:val="43"/>
        <w:spacing w:line="360" w:lineRule="auto"/>
        <w:ind w:left="440" w:hanging="440"/>
        <w:rPr>
          <w:rFonts w:hint="eastAsia" w:ascii="宋体" w:hAnsi="宋体"/>
          <w:sz w:val="22"/>
          <w:szCs w:val="22"/>
        </w:rPr>
      </w:pPr>
      <w:r>
        <w:rPr>
          <w:rFonts w:hint="eastAsia" w:ascii="宋体" w:hAnsi="宋体"/>
          <w:sz w:val="22"/>
          <w:szCs w:val="22"/>
        </w:rPr>
        <w:t>（4）中标供应商应根据采购人的需要，在规定的时间内，保证质量，完成系统建设。</w:t>
      </w:r>
    </w:p>
    <w:p w14:paraId="2CB65EB4">
      <w:pPr>
        <w:pStyle w:val="43"/>
        <w:spacing w:line="360" w:lineRule="auto"/>
        <w:ind w:left="440" w:hanging="440"/>
        <w:rPr>
          <w:rFonts w:hint="eastAsia" w:ascii="宋体" w:hAnsi="宋体"/>
          <w:sz w:val="22"/>
          <w:szCs w:val="22"/>
        </w:rPr>
      </w:pPr>
      <w:r>
        <w:rPr>
          <w:rFonts w:hint="eastAsia" w:ascii="宋体" w:hAnsi="宋体"/>
          <w:sz w:val="22"/>
          <w:szCs w:val="22"/>
        </w:rPr>
        <w:t>（5）质量控制要求：中标供应商需要配备专职的质量管理人员，全过程跟踪和管理项目质量，提交完成的项目文档，确保进度计划的执行和质量控制。</w:t>
      </w:r>
    </w:p>
    <w:p w14:paraId="25D322BE">
      <w:pPr>
        <w:pStyle w:val="5"/>
        <w:tabs>
          <w:tab w:val="left" w:pos="3600"/>
        </w:tabs>
        <w:spacing w:before="0" w:after="0"/>
        <w:rPr>
          <w:rFonts w:hint="eastAsia" w:ascii="宋体" w:hAnsi="宋体" w:eastAsia="宋体" w:cs="宋体"/>
          <w:b w:val="0"/>
          <w:bCs w:val="0"/>
          <w:color w:val="000000"/>
          <w:spacing w:val="0"/>
          <w:sz w:val="22"/>
          <w:szCs w:val="22"/>
          <w:highlight w:val="none"/>
          <w:lang w:val="en-US" w:eastAsia="zh-CN" w:bidi="ar-SA"/>
        </w:rPr>
      </w:pPr>
      <w:r>
        <w:rPr>
          <w:rFonts w:hint="eastAsia" w:ascii="宋体" w:hAnsi="宋体" w:eastAsia="宋体" w:cs="宋体"/>
          <w:b w:val="0"/>
          <w:bCs w:val="0"/>
          <w:color w:val="000000"/>
          <w:spacing w:val="0"/>
          <w:sz w:val="22"/>
          <w:szCs w:val="22"/>
          <w:highlight w:val="none"/>
          <w:lang w:val="en-US" w:eastAsia="zh-CN" w:bidi="ar-SA"/>
        </w:rPr>
        <w:t>（八）正版化要求</w:t>
      </w:r>
    </w:p>
    <w:p w14:paraId="36756848">
      <w:pPr>
        <w:pStyle w:val="43"/>
        <w:spacing w:line="360" w:lineRule="auto"/>
        <w:ind w:left="440" w:hanging="440"/>
        <w:rPr>
          <w:rFonts w:hint="eastAsia" w:ascii="宋体" w:hAnsi="宋体" w:eastAsia="宋体"/>
          <w:sz w:val="22"/>
          <w:szCs w:val="22"/>
          <w:lang w:val="en-US" w:eastAsia="zh-CN"/>
        </w:rPr>
      </w:pPr>
      <w:r>
        <w:rPr>
          <w:rFonts w:hint="eastAsia" w:ascii="宋体" w:hAnsi="宋体" w:eastAsia="宋体"/>
          <w:sz w:val="22"/>
          <w:szCs w:val="22"/>
        </w:rPr>
        <w:t>投标供应商须保证为本项目所提供的所有涉及第三方的软件产品均具有合法的版权或使用权，如在本项目范围内使用过程中出现版权或使用权纠纷，应由中标供应商负责，采购人和采购机构不承担责任。</w:t>
      </w:r>
    </w:p>
    <w:p w14:paraId="56AB95F4">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sz w:val="22"/>
          <w:szCs w:val="22"/>
          <w:highlight w:val="none"/>
          <w:lang w:val="en-US" w:eastAsia="zh-CN"/>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四、安装测试与验收</w:t>
      </w:r>
    </w:p>
    <w:p w14:paraId="59F5C209">
      <w:pPr>
        <w:pStyle w:val="6"/>
        <w:pageBreakBefore w:val="0"/>
        <w:widowControl w:val="0"/>
        <w:numPr>
          <w:ilvl w:val="0"/>
          <w:numId w:val="3"/>
        </w:numPr>
        <w:tabs>
          <w:tab w:val="left" w:pos="864"/>
          <w:tab w:val="left" w:pos="1440"/>
          <w:tab w:val="clear" w:pos="1079"/>
        </w:tabs>
        <w:kinsoku/>
        <w:wordWrap/>
        <w:overflowPunct/>
        <w:topLinePunct w:val="0"/>
        <w:autoSpaceDE/>
        <w:autoSpaceDN/>
        <w:bidi w:val="0"/>
        <w:adjustRightInd/>
        <w:snapToGrid/>
        <w:spacing w:before="0" w:after="0" w:line="360" w:lineRule="auto"/>
        <w:textAlignment w:val="auto"/>
        <w:rPr>
          <w:rFonts w:hint="eastAsia" w:ascii="宋体" w:hAnsi="宋体" w:eastAsia="宋体" w:cs="宋体"/>
          <w:i w:val="0"/>
          <w:iCs w:val="0"/>
          <w:sz w:val="22"/>
          <w:szCs w:val="22"/>
        </w:rPr>
      </w:pPr>
      <w:r>
        <w:rPr>
          <w:rFonts w:hint="eastAsia" w:ascii="宋体" w:hAnsi="宋体" w:eastAsia="宋体" w:cs="宋体"/>
          <w:i w:val="0"/>
          <w:iCs w:val="0"/>
          <w:sz w:val="22"/>
          <w:szCs w:val="22"/>
        </w:rPr>
        <w:t>安装测试</w:t>
      </w:r>
    </w:p>
    <w:p w14:paraId="651330A2">
      <w:pPr>
        <w:spacing w:line="360" w:lineRule="auto"/>
        <w:ind w:firstLine="440" w:firstLineChars="200"/>
        <w:rPr>
          <w:rFonts w:hint="eastAsia" w:ascii="宋体" w:hAnsi="宋体" w:eastAsia="宋体" w:cs="宋体"/>
          <w:b w:val="0"/>
          <w:bCs w:val="0"/>
          <w:color w:val="000000"/>
          <w:sz w:val="22"/>
          <w:szCs w:val="22"/>
          <w:highlight w:val="none"/>
          <w:lang w:val="en-US" w:eastAsia="zh-CN" w:bidi="ar-SA"/>
        </w:rPr>
      </w:pPr>
      <w:r>
        <w:rPr>
          <w:rFonts w:hint="eastAsia" w:ascii="宋体" w:hAnsi="宋体" w:eastAsia="宋体" w:cs="宋体"/>
          <w:b w:val="0"/>
          <w:bCs w:val="0"/>
          <w:color w:val="000000"/>
          <w:sz w:val="22"/>
          <w:szCs w:val="22"/>
          <w:highlight w:val="none"/>
          <w:lang w:val="en-US" w:eastAsia="zh-CN" w:bidi="ar-SA"/>
        </w:rPr>
        <w:t>要求具有完整的系统测试计划，包括根据用户需求编写；遍及系统全部功能、性能的测试用例；合理的测试方案和测试方法。要求保留完整的测试报告。</w:t>
      </w:r>
    </w:p>
    <w:p w14:paraId="567C263E">
      <w:pPr>
        <w:spacing w:line="360" w:lineRule="auto"/>
        <w:ind w:firstLine="440" w:firstLineChars="200"/>
        <w:rPr>
          <w:rFonts w:hint="eastAsia" w:ascii="宋体" w:hAnsi="宋体" w:eastAsia="宋体" w:cs="宋体"/>
          <w:b w:val="0"/>
          <w:bCs w:val="0"/>
          <w:color w:val="000000"/>
          <w:sz w:val="22"/>
          <w:szCs w:val="22"/>
          <w:highlight w:val="none"/>
          <w:lang w:val="en-US" w:eastAsia="zh-CN" w:bidi="ar-SA"/>
        </w:rPr>
      </w:pPr>
      <w:r>
        <w:rPr>
          <w:rFonts w:hint="eastAsia" w:ascii="宋体" w:hAnsi="宋体" w:eastAsia="宋体" w:cs="宋体"/>
          <w:b w:val="0"/>
          <w:bCs w:val="0"/>
          <w:color w:val="000000"/>
          <w:sz w:val="22"/>
          <w:szCs w:val="22"/>
          <w:highlight w:val="none"/>
          <w:lang w:val="en-US" w:eastAsia="zh-CN" w:bidi="ar-SA"/>
        </w:rPr>
        <w:t>包括单元测试、系统测试和性能测试等。</w:t>
      </w:r>
    </w:p>
    <w:p w14:paraId="0525C2F6">
      <w:pPr>
        <w:spacing w:line="360" w:lineRule="auto"/>
        <w:ind w:firstLine="440" w:firstLineChars="200"/>
        <w:rPr>
          <w:rFonts w:hint="eastAsia" w:ascii="宋体" w:hAnsi="宋体" w:eastAsia="宋体" w:cs="宋体"/>
          <w:b w:val="0"/>
          <w:bCs w:val="0"/>
          <w:color w:val="000000"/>
          <w:sz w:val="22"/>
          <w:szCs w:val="22"/>
          <w:highlight w:val="none"/>
          <w:lang w:val="en-US" w:eastAsia="zh-CN" w:bidi="ar-SA"/>
        </w:rPr>
      </w:pPr>
      <w:r>
        <w:rPr>
          <w:rFonts w:hint="eastAsia" w:ascii="宋体" w:hAnsi="宋体" w:eastAsia="宋体" w:cs="宋体"/>
          <w:b w:val="0"/>
          <w:bCs w:val="0"/>
          <w:color w:val="000000"/>
          <w:sz w:val="22"/>
          <w:szCs w:val="22"/>
          <w:highlight w:val="none"/>
          <w:lang w:val="en-US" w:eastAsia="zh-CN" w:bidi="ar-SA"/>
        </w:rPr>
        <w:t>在安装、配置和测试、调试过程中</w:t>
      </w:r>
      <w:r>
        <w:rPr>
          <w:rFonts w:hint="eastAsia" w:ascii="宋体" w:eastAsia="宋体" w:cs="宋体"/>
          <w:b w:val="0"/>
          <w:bCs w:val="0"/>
          <w:color w:val="000000"/>
          <w:sz w:val="22"/>
          <w:szCs w:val="22"/>
          <w:highlight w:val="none"/>
          <w:lang w:val="en-US" w:eastAsia="zh-CN" w:bidi="ar-SA"/>
        </w:rPr>
        <w:t>，</w:t>
      </w:r>
      <w:r>
        <w:rPr>
          <w:rFonts w:hint="eastAsia" w:ascii="宋体" w:hAnsi="宋体" w:eastAsia="宋体" w:cs="宋体"/>
          <w:b w:val="0"/>
          <w:bCs w:val="0"/>
          <w:color w:val="000000"/>
          <w:sz w:val="22"/>
          <w:szCs w:val="22"/>
          <w:highlight w:val="none"/>
          <w:lang w:val="en-US" w:eastAsia="zh-CN" w:bidi="ar-SA"/>
        </w:rPr>
        <w:t>中标供应商应对最终用户技术人员所提出的技术问题</w:t>
      </w:r>
      <w:r>
        <w:rPr>
          <w:rFonts w:hint="eastAsia" w:ascii="宋体" w:eastAsia="宋体" w:cs="宋体"/>
          <w:b w:val="0"/>
          <w:bCs w:val="0"/>
          <w:color w:val="000000"/>
          <w:sz w:val="22"/>
          <w:szCs w:val="22"/>
          <w:highlight w:val="none"/>
          <w:lang w:val="en-US" w:eastAsia="zh-CN" w:bidi="ar-SA"/>
        </w:rPr>
        <w:t>，</w:t>
      </w:r>
      <w:r>
        <w:rPr>
          <w:rFonts w:hint="eastAsia" w:ascii="宋体" w:hAnsi="宋体" w:eastAsia="宋体" w:cs="宋体"/>
          <w:b w:val="0"/>
          <w:bCs w:val="0"/>
          <w:color w:val="000000"/>
          <w:sz w:val="22"/>
          <w:szCs w:val="22"/>
          <w:highlight w:val="none"/>
          <w:lang w:val="en-US" w:eastAsia="zh-CN" w:bidi="ar-SA"/>
        </w:rPr>
        <w:t>给予满意的答复。</w:t>
      </w:r>
    </w:p>
    <w:p w14:paraId="771153C3">
      <w:pPr>
        <w:pStyle w:val="6"/>
        <w:pageBreakBefore w:val="0"/>
        <w:widowControl w:val="0"/>
        <w:numPr>
          <w:ilvl w:val="0"/>
          <w:numId w:val="3"/>
        </w:numPr>
        <w:tabs>
          <w:tab w:val="left" w:pos="864"/>
          <w:tab w:val="left" w:pos="1440"/>
          <w:tab w:val="clear" w:pos="1079"/>
        </w:tabs>
        <w:kinsoku/>
        <w:wordWrap/>
        <w:overflowPunct/>
        <w:topLinePunct w:val="0"/>
        <w:autoSpaceDE/>
        <w:autoSpaceDN/>
        <w:bidi w:val="0"/>
        <w:adjustRightInd/>
        <w:snapToGrid/>
        <w:spacing w:before="0" w:after="0" w:line="360" w:lineRule="auto"/>
        <w:textAlignment w:val="auto"/>
        <w:rPr>
          <w:rFonts w:hint="eastAsia" w:ascii="宋体" w:hAnsi="宋体" w:eastAsia="宋体" w:cs="宋体"/>
          <w:i w:val="0"/>
          <w:iCs w:val="0"/>
          <w:sz w:val="22"/>
          <w:szCs w:val="22"/>
        </w:rPr>
      </w:pPr>
      <w:r>
        <w:rPr>
          <w:rFonts w:hint="eastAsia" w:ascii="宋体" w:hAnsi="宋体" w:eastAsia="宋体" w:cs="宋体"/>
          <w:i w:val="0"/>
          <w:iCs w:val="0"/>
          <w:sz w:val="22"/>
          <w:szCs w:val="22"/>
        </w:rPr>
        <w:t>系统验收</w:t>
      </w:r>
    </w:p>
    <w:p w14:paraId="32F0F711">
      <w:pPr>
        <w:spacing w:line="360" w:lineRule="auto"/>
        <w:ind w:firstLine="440" w:firstLineChars="200"/>
        <w:rPr>
          <w:rFonts w:hint="eastAsia" w:ascii="宋体" w:hAnsi="宋体" w:eastAsia="宋体" w:cs="宋体"/>
          <w:b w:val="0"/>
          <w:bCs w:val="0"/>
          <w:color w:val="000000"/>
          <w:sz w:val="22"/>
          <w:szCs w:val="22"/>
          <w:highlight w:val="none"/>
          <w:lang w:val="en-US" w:eastAsia="zh-CN" w:bidi="ar-SA"/>
        </w:rPr>
      </w:pPr>
      <w:r>
        <w:rPr>
          <w:rFonts w:hint="eastAsia" w:ascii="宋体" w:hAnsi="宋体" w:eastAsia="宋体" w:cs="宋体"/>
          <w:b w:val="0"/>
          <w:bCs w:val="0"/>
          <w:color w:val="000000"/>
          <w:sz w:val="22"/>
          <w:szCs w:val="22"/>
          <w:highlight w:val="none"/>
          <w:lang w:val="en-US" w:eastAsia="zh-CN" w:bidi="ar-SA"/>
        </w:rPr>
        <w:t>（1）系统初验</w:t>
      </w:r>
    </w:p>
    <w:p w14:paraId="5AAD3EC5">
      <w:pPr>
        <w:spacing w:line="360" w:lineRule="auto"/>
        <w:ind w:firstLine="440" w:firstLineChars="200"/>
        <w:rPr>
          <w:rFonts w:hint="eastAsia" w:ascii="宋体" w:hAnsi="宋体" w:eastAsia="宋体" w:cs="宋体"/>
          <w:b w:val="0"/>
          <w:bCs w:val="0"/>
          <w:color w:val="000000"/>
          <w:sz w:val="22"/>
          <w:szCs w:val="22"/>
          <w:highlight w:val="none"/>
          <w:lang w:val="en-US" w:eastAsia="zh-CN" w:bidi="ar-SA"/>
        </w:rPr>
      </w:pPr>
      <w:r>
        <w:rPr>
          <w:rFonts w:hint="eastAsia" w:ascii="宋体" w:hAnsi="宋体" w:eastAsia="宋体" w:cs="宋体"/>
          <w:b w:val="0"/>
          <w:bCs w:val="0"/>
          <w:color w:val="000000"/>
          <w:sz w:val="22"/>
          <w:szCs w:val="22"/>
          <w:highlight w:val="none"/>
          <w:lang w:val="en-US" w:eastAsia="zh-CN" w:bidi="ar-SA"/>
        </w:rPr>
        <w:t>经过若干轮回的开发、完善工作，达到了系统初验的条件后，承建单位可以向采购人提交系统初验的申请，并经采购人同意后组织系统初验。采购人根据中华人民共和国现行技术标准，按磋商文件以及合同规定的验收评定标准等规范，组织验收。</w:t>
      </w:r>
    </w:p>
    <w:p w14:paraId="0FBCB1E6">
      <w:pPr>
        <w:spacing w:line="360" w:lineRule="auto"/>
        <w:ind w:firstLine="440" w:firstLineChars="200"/>
        <w:rPr>
          <w:rFonts w:hint="eastAsia" w:ascii="宋体" w:hAnsi="宋体" w:eastAsia="宋体" w:cs="宋体"/>
          <w:b w:val="0"/>
          <w:bCs w:val="0"/>
          <w:color w:val="000000"/>
          <w:sz w:val="22"/>
          <w:szCs w:val="22"/>
          <w:highlight w:val="none"/>
          <w:lang w:val="en-US" w:eastAsia="zh-CN" w:bidi="ar-SA"/>
        </w:rPr>
      </w:pPr>
      <w:r>
        <w:rPr>
          <w:rFonts w:hint="eastAsia" w:ascii="宋体" w:hAnsi="宋体" w:eastAsia="宋体" w:cs="宋体"/>
          <w:b w:val="0"/>
          <w:bCs w:val="0"/>
          <w:color w:val="000000"/>
          <w:sz w:val="22"/>
          <w:szCs w:val="22"/>
          <w:highlight w:val="none"/>
          <w:lang w:val="en-US" w:eastAsia="zh-CN" w:bidi="ar-SA"/>
        </w:rPr>
        <w:t>系统初验的基本条件是：全面完成系统的设计、开发、测试，基本达到功能、性能、使用、推广等方面的要求；用户对系统满意，达到了系统的设计目标；系统线上调试运行基本稳定，能满足业务部门的正常工作的需要。</w:t>
      </w:r>
    </w:p>
    <w:p w14:paraId="5E4C13FB">
      <w:pPr>
        <w:spacing w:line="360" w:lineRule="auto"/>
        <w:ind w:firstLine="440" w:firstLineChars="200"/>
        <w:rPr>
          <w:rFonts w:hint="eastAsia" w:ascii="宋体" w:hAnsi="宋体" w:eastAsia="宋体" w:cs="宋体"/>
          <w:b w:val="0"/>
          <w:bCs w:val="0"/>
          <w:color w:val="000000"/>
          <w:sz w:val="22"/>
          <w:szCs w:val="22"/>
          <w:highlight w:val="none"/>
          <w:lang w:val="en-US" w:eastAsia="zh-CN" w:bidi="ar-SA"/>
        </w:rPr>
      </w:pPr>
      <w:r>
        <w:rPr>
          <w:rFonts w:hint="eastAsia" w:ascii="宋体" w:hAnsi="宋体" w:eastAsia="宋体" w:cs="宋体"/>
          <w:b w:val="0"/>
          <w:bCs w:val="0"/>
          <w:color w:val="000000"/>
          <w:sz w:val="22"/>
          <w:szCs w:val="22"/>
          <w:highlight w:val="none"/>
          <w:lang w:val="en-US" w:eastAsia="zh-CN" w:bidi="ar-SA"/>
        </w:rPr>
        <w:t>（2）系统试运行</w:t>
      </w:r>
    </w:p>
    <w:p w14:paraId="09964DD9">
      <w:pPr>
        <w:spacing w:line="360" w:lineRule="auto"/>
        <w:ind w:firstLine="440" w:firstLineChars="200"/>
        <w:rPr>
          <w:rFonts w:hint="eastAsia" w:ascii="宋体" w:hAnsi="宋体" w:eastAsia="宋体" w:cs="宋体"/>
          <w:b w:val="0"/>
          <w:bCs w:val="0"/>
          <w:color w:val="000000"/>
          <w:sz w:val="22"/>
          <w:szCs w:val="22"/>
          <w:highlight w:val="none"/>
          <w:lang w:val="en-US" w:eastAsia="zh-CN" w:bidi="ar-SA"/>
        </w:rPr>
      </w:pPr>
      <w:r>
        <w:rPr>
          <w:rFonts w:hint="eastAsia" w:ascii="宋体" w:hAnsi="宋体" w:eastAsia="宋体" w:cs="宋体"/>
          <w:b w:val="0"/>
          <w:bCs w:val="0"/>
          <w:color w:val="000000"/>
          <w:sz w:val="22"/>
          <w:szCs w:val="22"/>
          <w:highlight w:val="none"/>
          <w:lang w:val="en-US" w:eastAsia="zh-CN" w:bidi="ar-SA"/>
        </w:rPr>
        <w:t>系统初验合格后，经确认系统进入试运行期。在试运行期间，一方面要提供足够的培训和技术支持，保障用户能够正确地理解和使用系统，另一方面，要根据运行中出现的问题以及用户需求情况，及时修改完善系统。试运行时间为3个月，所有试运行期间的程序修改和软件变化都将在试运行结束后写入操作和维修手册中。</w:t>
      </w:r>
    </w:p>
    <w:p w14:paraId="514E29A5">
      <w:pPr>
        <w:spacing w:line="360" w:lineRule="auto"/>
        <w:ind w:firstLine="440" w:firstLineChars="200"/>
        <w:rPr>
          <w:rFonts w:hint="eastAsia" w:ascii="宋体" w:hAnsi="宋体" w:eastAsia="宋体" w:cs="宋体"/>
          <w:b w:val="0"/>
          <w:bCs w:val="0"/>
          <w:color w:val="000000"/>
          <w:sz w:val="22"/>
          <w:szCs w:val="22"/>
          <w:highlight w:val="none"/>
          <w:lang w:val="en-US" w:eastAsia="zh-CN" w:bidi="ar-SA"/>
        </w:rPr>
      </w:pPr>
      <w:r>
        <w:rPr>
          <w:rFonts w:hint="eastAsia" w:ascii="宋体" w:hAnsi="宋体" w:eastAsia="宋体" w:cs="宋体"/>
          <w:b w:val="0"/>
          <w:bCs w:val="0"/>
          <w:color w:val="000000"/>
          <w:sz w:val="22"/>
          <w:szCs w:val="22"/>
          <w:highlight w:val="none"/>
          <w:lang w:val="en-US" w:eastAsia="zh-CN" w:bidi="ar-SA"/>
        </w:rPr>
        <w:t>（3）系统终验</w:t>
      </w:r>
    </w:p>
    <w:p w14:paraId="7AD8B0B2">
      <w:pPr>
        <w:spacing w:line="360" w:lineRule="auto"/>
        <w:ind w:firstLine="440" w:firstLineChars="200"/>
        <w:rPr>
          <w:rFonts w:hint="eastAsia" w:ascii="宋体" w:hAnsi="宋体" w:eastAsia="宋体" w:cs="宋体"/>
          <w:b w:val="0"/>
          <w:bCs w:val="0"/>
          <w:color w:val="000000"/>
          <w:sz w:val="22"/>
          <w:szCs w:val="22"/>
          <w:highlight w:val="none"/>
          <w:lang w:val="en-US" w:eastAsia="zh-CN" w:bidi="ar-SA"/>
        </w:rPr>
      </w:pPr>
      <w:r>
        <w:rPr>
          <w:rFonts w:hint="eastAsia" w:ascii="宋体" w:hAnsi="宋体" w:eastAsia="宋体" w:cs="宋体"/>
          <w:b w:val="0"/>
          <w:bCs w:val="0"/>
          <w:color w:val="000000"/>
          <w:sz w:val="22"/>
          <w:szCs w:val="22"/>
          <w:highlight w:val="none"/>
          <w:lang w:val="en-US" w:eastAsia="zh-CN" w:bidi="ar-SA"/>
        </w:rPr>
        <w:t>完成试运行后，系统达到了全部规定要求，供应商在提交全部相关文档、报告、代码等交付物的前提下，可以向采购人提出系统竣工验收的申请。终验合格后，工程建设完工，进入质量保证期。</w:t>
      </w:r>
    </w:p>
    <w:p w14:paraId="5F5ABB7C">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sz w:val="22"/>
          <w:szCs w:val="22"/>
          <w:highlight w:val="none"/>
          <w:lang w:val="en-US" w:eastAsia="zh-CN"/>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五、免费维护期要求</w:t>
      </w:r>
    </w:p>
    <w:p w14:paraId="38C8543B">
      <w:pPr>
        <w:spacing w:line="360" w:lineRule="auto"/>
        <w:ind w:firstLine="440" w:firstLineChars="200"/>
        <w:rPr>
          <w:rFonts w:hint="eastAsia" w:ascii="宋体" w:hAnsi="宋体" w:eastAsia="宋体" w:cs="宋体"/>
          <w:b w:val="0"/>
          <w:bCs w:val="0"/>
          <w:color w:val="000000"/>
          <w:sz w:val="22"/>
          <w:szCs w:val="22"/>
          <w:highlight w:val="none"/>
          <w:lang w:val="en-US" w:eastAsia="zh-CN" w:bidi="ar-SA"/>
        </w:rPr>
      </w:pPr>
      <w:r>
        <w:rPr>
          <w:rFonts w:hint="eastAsia" w:ascii="宋体" w:hAnsi="宋体" w:eastAsia="宋体" w:cs="宋体"/>
          <w:b w:val="0"/>
          <w:bCs w:val="0"/>
          <w:color w:val="000000"/>
          <w:sz w:val="22"/>
          <w:szCs w:val="22"/>
          <w:highlight w:val="none"/>
          <w:lang w:val="en-US" w:eastAsia="zh-CN" w:bidi="ar-SA"/>
        </w:rPr>
        <w:t>（1）免费维护期：自通过验收合格之日起三年。免费维护期间，中标供应商对采购人提出</w:t>
      </w:r>
      <w:r>
        <w:rPr>
          <w:rFonts w:hint="eastAsia" w:ascii="宋体" w:eastAsia="宋体" w:cs="宋体"/>
          <w:b w:val="0"/>
          <w:bCs w:val="0"/>
          <w:color w:val="000000"/>
          <w:sz w:val="22"/>
          <w:szCs w:val="22"/>
          <w:highlight w:val="none"/>
          <w:lang w:val="en-US" w:eastAsia="zh-CN" w:bidi="ar-SA"/>
        </w:rPr>
        <w:t>地在合同</w:t>
      </w:r>
      <w:r>
        <w:rPr>
          <w:rFonts w:hint="eastAsia" w:ascii="宋体" w:hAnsi="宋体" w:eastAsia="宋体" w:cs="宋体"/>
          <w:b w:val="0"/>
          <w:bCs w:val="0"/>
          <w:color w:val="000000"/>
          <w:sz w:val="22"/>
          <w:szCs w:val="22"/>
          <w:highlight w:val="none"/>
          <w:lang w:val="en-US" w:eastAsia="zh-CN" w:bidi="ar-SA"/>
        </w:rPr>
        <w:t>范围内具体需求进行调研、调整和完善。</w:t>
      </w:r>
    </w:p>
    <w:p w14:paraId="551D51B7">
      <w:pPr>
        <w:spacing w:line="360" w:lineRule="auto"/>
        <w:ind w:firstLine="440" w:firstLineChars="200"/>
        <w:rPr>
          <w:rFonts w:hint="eastAsia" w:ascii="宋体" w:hAnsi="宋体" w:eastAsia="宋体" w:cs="宋体"/>
          <w:b w:val="0"/>
          <w:bCs w:val="0"/>
          <w:color w:val="000000"/>
          <w:sz w:val="22"/>
          <w:szCs w:val="22"/>
          <w:highlight w:val="none"/>
          <w:lang w:val="en-US" w:eastAsia="zh-CN" w:bidi="ar-SA"/>
        </w:rPr>
      </w:pPr>
      <w:r>
        <w:rPr>
          <w:rFonts w:hint="eastAsia" w:ascii="宋体" w:hAnsi="宋体" w:eastAsia="宋体" w:cs="宋体"/>
          <w:b w:val="0"/>
          <w:bCs w:val="0"/>
          <w:color w:val="000000"/>
          <w:sz w:val="22"/>
          <w:szCs w:val="22"/>
          <w:highlight w:val="none"/>
          <w:lang w:val="en-US" w:eastAsia="zh-CN" w:bidi="ar-SA"/>
        </w:rPr>
        <w:t>（2）在免费维护期内，提供7*24小时热线电话技术支持，邮件服务和定期现场巡检服务等技术支持；对采购方提出的系统问题、发现的程序错误等，在最短的时间内予以响应，并及时解决问题。</w:t>
      </w:r>
    </w:p>
    <w:p w14:paraId="7DD43FCC">
      <w:pPr>
        <w:spacing w:line="360" w:lineRule="auto"/>
        <w:ind w:firstLine="440" w:firstLineChars="200"/>
        <w:rPr>
          <w:rFonts w:hint="eastAsia" w:ascii="宋体" w:hAnsi="宋体" w:eastAsia="宋体" w:cs="宋体"/>
          <w:b w:val="0"/>
          <w:bCs w:val="0"/>
          <w:color w:val="000000"/>
          <w:sz w:val="22"/>
          <w:szCs w:val="22"/>
          <w:highlight w:val="none"/>
          <w:lang w:val="en-US" w:eastAsia="zh-CN" w:bidi="ar-SA"/>
        </w:rPr>
      </w:pPr>
      <w:r>
        <w:rPr>
          <w:rFonts w:hint="eastAsia" w:ascii="宋体" w:hAnsi="宋体" w:eastAsia="宋体" w:cs="宋体"/>
          <w:b w:val="0"/>
          <w:bCs w:val="0"/>
          <w:color w:val="000000"/>
          <w:sz w:val="22"/>
          <w:szCs w:val="22"/>
          <w:highlight w:val="none"/>
          <w:lang w:val="en-US" w:eastAsia="zh-CN" w:bidi="ar-SA"/>
        </w:rPr>
        <w:t>（3）在维护期间，供应商应在本项目软件招标需求应用功能范围内及凡不涉及架构调整的情况下，根据采购人需求对系统进行必需的调整、修改以及版本免费升级服务，以满足系统之最优化。</w:t>
      </w:r>
    </w:p>
    <w:p w14:paraId="0B5FE7C5">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sz w:val="22"/>
          <w:szCs w:val="22"/>
          <w:highlight w:val="none"/>
          <w:lang w:val="en-US" w:eastAsia="zh-CN"/>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六、培训要求</w:t>
      </w:r>
    </w:p>
    <w:p w14:paraId="5DA390C1">
      <w:pPr>
        <w:spacing w:line="360" w:lineRule="auto"/>
        <w:ind w:firstLine="440" w:firstLineChars="200"/>
        <w:rPr>
          <w:rFonts w:hint="eastAsia" w:ascii="宋体" w:hAnsi="宋体" w:eastAsia="宋体" w:cs="宋体"/>
          <w:b w:val="0"/>
          <w:bCs w:val="0"/>
          <w:color w:val="000000"/>
          <w:sz w:val="22"/>
          <w:szCs w:val="22"/>
          <w:highlight w:val="none"/>
          <w:lang w:val="en-US" w:eastAsia="zh-CN" w:bidi="ar-SA"/>
        </w:rPr>
      </w:pPr>
      <w:r>
        <w:rPr>
          <w:rFonts w:hint="eastAsia" w:ascii="宋体" w:hAnsi="宋体" w:eastAsia="宋体" w:cs="宋体"/>
          <w:b w:val="0"/>
          <w:bCs w:val="0"/>
          <w:color w:val="000000"/>
          <w:sz w:val="22"/>
          <w:szCs w:val="22"/>
          <w:highlight w:val="none"/>
          <w:lang w:val="en-US" w:eastAsia="zh-CN" w:bidi="ar-SA"/>
        </w:rPr>
        <w:t>（1）提供高水平的培训，培训教员应参与过该项目的实施，并有一定的教学经验。</w:t>
      </w:r>
    </w:p>
    <w:p w14:paraId="485CD2D7">
      <w:pPr>
        <w:spacing w:line="360" w:lineRule="auto"/>
        <w:ind w:firstLine="440" w:firstLineChars="200"/>
        <w:rPr>
          <w:rFonts w:hint="eastAsia" w:ascii="宋体" w:hAnsi="宋体" w:eastAsia="宋体" w:cs="宋体"/>
          <w:b w:val="0"/>
          <w:bCs w:val="0"/>
          <w:color w:val="000000"/>
          <w:sz w:val="22"/>
          <w:szCs w:val="22"/>
          <w:highlight w:val="none"/>
          <w:lang w:val="en-US" w:eastAsia="zh-CN" w:bidi="ar-SA"/>
        </w:rPr>
      </w:pPr>
      <w:r>
        <w:rPr>
          <w:rFonts w:hint="eastAsia" w:ascii="宋体" w:hAnsi="宋体" w:eastAsia="宋体" w:cs="宋体"/>
          <w:b w:val="0"/>
          <w:bCs w:val="0"/>
          <w:color w:val="000000"/>
          <w:sz w:val="22"/>
          <w:szCs w:val="22"/>
          <w:highlight w:val="none"/>
          <w:lang w:val="en-US" w:eastAsia="zh-CN" w:bidi="ar-SA"/>
        </w:rPr>
        <w:t>（2）提供详细的培训计划，培训计划中对时间、地点、授课</w:t>
      </w:r>
      <w:r>
        <w:rPr>
          <w:rFonts w:hint="eastAsia" w:ascii="宋体" w:eastAsia="宋体" w:cs="宋体"/>
          <w:b w:val="0"/>
          <w:bCs w:val="0"/>
          <w:color w:val="000000"/>
          <w:sz w:val="22"/>
          <w:szCs w:val="22"/>
          <w:highlight w:val="none"/>
          <w:lang w:val="en-US" w:eastAsia="zh-CN" w:bidi="ar-SA"/>
        </w:rPr>
        <w:t>人员</w:t>
      </w:r>
      <w:r>
        <w:rPr>
          <w:rFonts w:hint="eastAsia" w:ascii="宋体" w:hAnsi="宋体" w:eastAsia="宋体" w:cs="宋体"/>
          <w:b w:val="0"/>
          <w:bCs w:val="0"/>
          <w:color w:val="000000"/>
          <w:sz w:val="22"/>
          <w:szCs w:val="22"/>
          <w:highlight w:val="none"/>
          <w:lang w:val="en-US" w:eastAsia="zh-CN" w:bidi="ar-SA"/>
        </w:rPr>
        <w:t>、培训内容、培训所要达到的目标等内容安排进行详细描述。</w:t>
      </w:r>
    </w:p>
    <w:p w14:paraId="5488855A">
      <w:pPr>
        <w:spacing w:line="360" w:lineRule="auto"/>
        <w:ind w:firstLine="440" w:firstLineChars="200"/>
        <w:rPr>
          <w:rFonts w:hint="eastAsia" w:ascii="宋体" w:hAnsi="宋体" w:eastAsia="宋体" w:cs="宋体"/>
          <w:b w:val="0"/>
          <w:bCs w:val="0"/>
          <w:color w:val="000000"/>
          <w:sz w:val="22"/>
          <w:szCs w:val="22"/>
          <w:highlight w:val="none"/>
          <w:lang w:val="en-US" w:eastAsia="zh-CN" w:bidi="ar-SA"/>
        </w:rPr>
      </w:pPr>
      <w:r>
        <w:rPr>
          <w:rFonts w:hint="eastAsia" w:ascii="宋体" w:hAnsi="宋体" w:eastAsia="宋体" w:cs="宋体"/>
          <w:b w:val="0"/>
          <w:bCs w:val="0"/>
          <w:color w:val="000000"/>
          <w:sz w:val="22"/>
          <w:szCs w:val="22"/>
          <w:highlight w:val="none"/>
          <w:lang w:val="en-US" w:eastAsia="zh-CN" w:bidi="ar-SA"/>
        </w:rPr>
        <w:t>（3）培训方式应包括技术讲课、操作示范、参观学习和其他必需的业务指导和技术咨询，确保培训对象对系统基本理论、技术特性、操作规范、运行规程、管理维护等方面获得全面了解和掌握。</w:t>
      </w:r>
    </w:p>
    <w:p w14:paraId="7116CE0C">
      <w:pPr>
        <w:spacing w:line="360" w:lineRule="auto"/>
        <w:ind w:firstLine="440" w:firstLineChars="200"/>
        <w:rPr>
          <w:rFonts w:hint="eastAsia" w:ascii="宋体" w:hAnsi="宋体" w:eastAsia="宋体" w:cs="宋体"/>
          <w:b w:val="0"/>
          <w:bCs w:val="0"/>
          <w:color w:val="000000"/>
          <w:sz w:val="22"/>
          <w:szCs w:val="22"/>
          <w:highlight w:val="none"/>
          <w:lang w:val="en-US" w:eastAsia="zh-CN" w:bidi="ar-SA"/>
        </w:rPr>
      </w:pPr>
      <w:r>
        <w:rPr>
          <w:rFonts w:hint="eastAsia" w:ascii="宋体" w:hAnsi="宋体" w:eastAsia="宋体" w:cs="宋体"/>
          <w:b w:val="0"/>
          <w:bCs w:val="0"/>
          <w:color w:val="000000"/>
          <w:sz w:val="22"/>
          <w:szCs w:val="22"/>
          <w:highlight w:val="none"/>
          <w:lang w:val="en-US" w:eastAsia="zh-CN" w:bidi="ar-SA"/>
        </w:rPr>
        <w:t>（4）在合同签订后征得采购人同意后实施培训工作，并按采购人要求对设计人员、操作人员等不同岗位人员进行培训。</w:t>
      </w:r>
    </w:p>
    <w:p w14:paraId="562B8393">
      <w:pPr>
        <w:spacing w:line="360" w:lineRule="auto"/>
        <w:ind w:firstLine="440" w:firstLineChars="200"/>
        <w:rPr>
          <w:rFonts w:hint="eastAsia" w:ascii="宋体" w:hAnsi="宋体" w:eastAsia="宋体" w:cs="宋体"/>
          <w:b w:val="0"/>
          <w:bCs w:val="0"/>
          <w:color w:val="000000"/>
          <w:sz w:val="22"/>
          <w:szCs w:val="22"/>
          <w:highlight w:val="none"/>
          <w:lang w:val="en-US" w:eastAsia="zh-CN" w:bidi="ar-SA"/>
        </w:rPr>
      </w:pPr>
      <w:r>
        <w:rPr>
          <w:rFonts w:hint="eastAsia" w:ascii="宋体" w:hAnsi="宋体" w:eastAsia="宋体" w:cs="宋体"/>
          <w:b w:val="0"/>
          <w:bCs w:val="0"/>
          <w:color w:val="000000"/>
          <w:sz w:val="22"/>
          <w:szCs w:val="22"/>
          <w:highlight w:val="none"/>
          <w:lang w:val="en-US" w:eastAsia="zh-CN" w:bidi="ar-SA"/>
        </w:rPr>
        <w:t>（5）所有培训费用包括在合同总价内，不另行收费。</w:t>
      </w:r>
    </w:p>
    <w:p w14:paraId="1CB07510">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sz w:val="22"/>
          <w:szCs w:val="22"/>
          <w:highlight w:val="none"/>
          <w:lang w:val="en-US" w:eastAsia="zh-CN"/>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七、文档要求</w:t>
      </w:r>
    </w:p>
    <w:p w14:paraId="265E2789">
      <w:pPr>
        <w:spacing w:line="360" w:lineRule="auto"/>
        <w:ind w:firstLine="440" w:firstLineChars="200"/>
        <w:rPr>
          <w:rFonts w:hint="eastAsia" w:ascii="宋体" w:hAnsi="宋体" w:eastAsia="宋体" w:cs="宋体"/>
          <w:b w:val="0"/>
          <w:bCs w:val="0"/>
          <w:color w:val="000000"/>
          <w:sz w:val="22"/>
          <w:szCs w:val="22"/>
          <w:highlight w:val="none"/>
          <w:lang w:val="en-US" w:eastAsia="zh-CN" w:bidi="ar-SA"/>
        </w:rPr>
      </w:pPr>
      <w:r>
        <w:rPr>
          <w:rFonts w:hint="eastAsia" w:ascii="宋体" w:hAnsi="宋体" w:eastAsia="宋体" w:cs="宋体"/>
          <w:b w:val="0"/>
          <w:bCs w:val="0"/>
          <w:color w:val="000000"/>
          <w:sz w:val="22"/>
          <w:szCs w:val="22"/>
          <w:highlight w:val="none"/>
          <w:lang w:val="en-US" w:eastAsia="zh-CN" w:bidi="ar-SA"/>
        </w:rPr>
        <w:t>本项目供应商无条件配合提供所有相关项目文档。</w:t>
      </w:r>
    </w:p>
    <w:p w14:paraId="5BD13213">
      <w:pPr>
        <w:spacing w:line="360" w:lineRule="auto"/>
        <w:ind w:firstLine="440" w:firstLineChars="200"/>
        <w:rPr>
          <w:rFonts w:hint="eastAsia" w:ascii="宋体" w:hAnsi="宋体" w:eastAsia="宋体" w:cs="宋体"/>
          <w:b w:val="0"/>
          <w:bCs w:val="0"/>
          <w:color w:val="000000"/>
          <w:sz w:val="22"/>
          <w:szCs w:val="22"/>
          <w:highlight w:val="none"/>
          <w:lang w:val="en-US" w:eastAsia="zh-CN" w:bidi="ar-SA"/>
        </w:rPr>
      </w:pPr>
      <w:r>
        <w:rPr>
          <w:rFonts w:hint="eastAsia" w:ascii="宋体" w:hAnsi="宋体" w:eastAsia="宋体" w:cs="宋体"/>
          <w:b w:val="0"/>
          <w:bCs w:val="0"/>
          <w:color w:val="000000"/>
          <w:sz w:val="22"/>
          <w:szCs w:val="22"/>
          <w:highlight w:val="none"/>
          <w:lang w:val="en-US" w:eastAsia="zh-CN" w:bidi="ar-SA"/>
        </w:rPr>
        <w:t>1）准备阶段：《项目计划》；</w:t>
      </w:r>
    </w:p>
    <w:p w14:paraId="650A7B64">
      <w:pPr>
        <w:spacing w:line="360" w:lineRule="auto"/>
        <w:ind w:firstLine="440" w:firstLineChars="200"/>
        <w:rPr>
          <w:rFonts w:hint="eastAsia" w:ascii="宋体" w:hAnsi="宋体" w:eastAsia="宋体" w:cs="宋体"/>
          <w:b w:val="0"/>
          <w:bCs w:val="0"/>
          <w:color w:val="000000"/>
          <w:sz w:val="22"/>
          <w:szCs w:val="22"/>
          <w:highlight w:val="none"/>
          <w:lang w:val="en-US" w:eastAsia="zh-CN" w:bidi="ar-SA"/>
        </w:rPr>
      </w:pPr>
      <w:r>
        <w:rPr>
          <w:rFonts w:hint="eastAsia" w:ascii="宋体" w:hAnsi="宋体" w:eastAsia="宋体" w:cs="宋体"/>
          <w:b w:val="0"/>
          <w:bCs w:val="0"/>
          <w:color w:val="000000"/>
          <w:sz w:val="22"/>
          <w:szCs w:val="22"/>
          <w:highlight w:val="none"/>
          <w:lang w:val="en-US" w:eastAsia="zh-CN" w:bidi="ar-SA"/>
        </w:rPr>
        <w:t>2）需求分析阶段：《需求规格说明书》；</w:t>
      </w:r>
    </w:p>
    <w:p w14:paraId="1737FD83">
      <w:pPr>
        <w:spacing w:line="360" w:lineRule="auto"/>
        <w:ind w:firstLine="440" w:firstLineChars="200"/>
        <w:rPr>
          <w:rFonts w:hint="eastAsia" w:ascii="宋体" w:hAnsi="宋体" w:eastAsia="宋体" w:cs="宋体"/>
          <w:b w:val="0"/>
          <w:bCs w:val="0"/>
          <w:color w:val="000000"/>
          <w:sz w:val="22"/>
          <w:szCs w:val="22"/>
          <w:highlight w:val="none"/>
          <w:lang w:val="en-US" w:eastAsia="zh-CN" w:bidi="ar-SA"/>
        </w:rPr>
      </w:pPr>
      <w:r>
        <w:rPr>
          <w:rFonts w:hint="eastAsia" w:ascii="宋体" w:hAnsi="宋体" w:eastAsia="宋体" w:cs="宋体"/>
          <w:b w:val="0"/>
          <w:bCs w:val="0"/>
          <w:color w:val="000000"/>
          <w:sz w:val="22"/>
          <w:szCs w:val="22"/>
          <w:highlight w:val="none"/>
          <w:lang w:val="en-US" w:eastAsia="zh-CN" w:bidi="ar-SA"/>
        </w:rPr>
        <w:t>3）设计阶段：《系统设计说明书</w:t>
      </w:r>
      <w:r>
        <w:rPr>
          <w:rFonts w:hint="eastAsia" w:ascii="宋体" w:eastAsia="宋体" w:cs="宋体"/>
          <w:b w:val="0"/>
          <w:bCs w:val="0"/>
          <w:color w:val="000000"/>
          <w:sz w:val="22"/>
          <w:szCs w:val="22"/>
          <w:highlight w:val="none"/>
          <w:lang w:val="en-US" w:eastAsia="zh-CN" w:bidi="ar-SA"/>
        </w:rPr>
        <w:t>》《</w:t>
      </w:r>
      <w:r>
        <w:rPr>
          <w:rFonts w:hint="eastAsia" w:ascii="宋体" w:hAnsi="宋体" w:eastAsia="宋体" w:cs="宋体"/>
          <w:b w:val="0"/>
          <w:bCs w:val="0"/>
          <w:color w:val="000000"/>
          <w:sz w:val="22"/>
          <w:szCs w:val="22"/>
          <w:highlight w:val="none"/>
          <w:lang w:val="en-US" w:eastAsia="zh-CN" w:bidi="ar-SA"/>
        </w:rPr>
        <w:t>数据库设计说明书》；</w:t>
      </w:r>
    </w:p>
    <w:p w14:paraId="0F9B6758">
      <w:pPr>
        <w:spacing w:line="360" w:lineRule="auto"/>
        <w:ind w:firstLine="440" w:firstLineChars="200"/>
        <w:rPr>
          <w:rFonts w:hint="eastAsia" w:ascii="宋体" w:hAnsi="宋体" w:eastAsia="宋体" w:cs="宋体"/>
          <w:b w:val="0"/>
          <w:bCs w:val="0"/>
          <w:color w:val="000000"/>
          <w:sz w:val="22"/>
          <w:szCs w:val="22"/>
          <w:highlight w:val="none"/>
          <w:lang w:val="en-US" w:eastAsia="zh-CN" w:bidi="ar-SA"/>
        </w:rPr>
      </w:pPr>
      <w:r>
        <w:rPr>
          <w:rFonts w:hint="eastAsia" w:ascii="宋体" w:hAnsi="宋体" w:eastAsia="宋体" w:cs="宋体"/>
          <w:b w:val="0"/>
          <w:bCs w:val="0"/>
          <w:color w:val="000000"/>
          <w:sz w:val="22"/>
          <w:szCs w:val="22"/>
          <w:highlight w:val="none"/>
          <w:lang w:val="en-US" w:eastAsia="zh-CN" w:bidi="ar-SA"/>
        </w:rPr>
        <w:t>4）测试阶段：《测试用例</w:t>
      </w:r>
      <w:r>
        <w:rPr>
          <w:rFonts w:hint="eastAsia" w:ascii="宋体" w:eastAsia="宋体" w:cs="宋体"/>
          <w:b w:val="0"/>
          <w:bCs w:val="0"/>
          <w:color w:val="000000"/>
          <w:sz w:val="22"/>
          <w:szCs w:val="22"/>
          <w:highlight w:val="none"/>
          <w:lang w:val="en-US" w:eastAsia="zh-CN" w:bidi="ar-SA"/>
        </w:rPr>
        <w:t>》《</w:t>
      </w:r>
      <w:r>
        <w:rPr>
          <w:rFonts w:hint="eastAsia" w:ascii="宋体" w:hAnsi="宋体" w:eastAsia="宋体" w:cs="宋体"/>
          <w:b w:val="0"/>
          <w:bCs w:val="0"/>
          <w:color w:val="000000"/>
          <w:sz w:val="22"/>
          <w:szCs w:val="22"/>
          <w:highlight w:val="none"/>
          <w:lang w:val="en-US" w:eastAsia="zh-CN" w:bidi="ar-SA"/>
        </w:rPr>
        <w:t>测试记录</w:t>
      </w:r>
      <w:r>
        <w:rPr>
          <w:rFonts w:hint="eastAsia" w:ascii="宋体" w:eastAsia="宋体" w:cs="宋体"/>
          <w:b w:val="0"/>
          <w:bCs w:val="0"/>
          <w:color w:val="000000"/>
          <w:sz w:val="22"/>
          <w:szCs w:val="22"/>
          <w:highlight w:val="none"/>
          <w:lang w:val="en-US" w:eastAsia="zh-CN" w:bidi="ar-SA"/>
        </w:rPr>
        <w:t>》《</w:t>
      </w:r>
      <w:r>
        <w:rPr>
          <w:rFonts w:hint="eastAsia" w:ascii="宋体" w:hAnsi="宋体" w:eastAsia="宋体" w:cs="宋体"/>
          <w:b w:val="0"/>
          <w:bCs w:val="0"/>
          <w:color w:val="000000"/>
          <w:sz w:val="22"/>
          <w:szCs w:val="22"/>
          <w:highlight w:val="none"/>
          <w:lang w:val="en-US" w:eastAsia="zh-CN" w:bidi="ar-SA"/>
        </w:rPr>
        <w:t>测试报告》。测试报告包括：单元测试、系统测试、性能测试等。</w:t>
      </w:r>
    </w:p>
    <w:p w14:paraId="5F3E9B05">
      <w:pPr>
        <w:spacing w:line="360" w:lineRule="auto"/>
        <w:ind w:firstLine="440" w:firstLineChars="200"/>
        <w:rPr>
          <w:rFonts w:hint="eastAsia" w:ascii="宋体" w:hAnsi="宋体" w:eastAsia="宋体" w:cs="宋体"/>
          <w:b w:val="0"/>
          <w:bCs w:val="0"/>
          <w:color w:val="000000"/>
          <w:sz w:val="22"/>
          <w:szCs w:val="22"/>
          <w:highlight w:val="none"/>
          <w:lang w:val="en-US" w:eastAsia="zh-CN" w:bidi="ar-SA"/>
        </w:rPr>
      </w:pPr>
      <w:r>
        <w:rPr>
          <w:rFonts w:hint="eastAsia" w:ascii="宋体" w:hAnsi="宋体" w:eastAsia="宋体" w:cs="宋体"/>
          <w:b w:val="0"/>
          <w:bCs w:val="0"/>
          <w:color w:val="000000"/>
          <w:sz w:val="22"/>
          <w:szCs w:val="22"/>
          <w:highlight w:val="none"/>
          <w:lang w:val="en-US" w:eastAsia="zh-CN" w:bidi="ar-SA"/>
        </w:rPr>
        <w:t>5）上线阶段：《试运行报告》。</w:t>
      </w:r>
    </w:p>
    <w:p w14:paraId="24045F17">
      <w:pPr>
        <w:spacing w:line="360" w:lineRule="auto"/>
        <w:ind w:firstLine="440" w:firstLineChars="200"/>
        <w:rPr>
          <w:rFonts w:hint="eastAsia" w:ascii="宋体" w:hAnsi="宋体" w:eastAsia="宋体" w:cs="宋体"/>
          <w:b w:val="0"/>
          <w:bCs w:val="0"/>
          <w:color w:val="000000"/>
          <w:sz w:val="22"/>
          <w:szCs w:val="22"/>
          <w:highlight w:val="none"/>
          <w:lang w:val="en-US" w:eastAsia="zh-CN" w:bidi="ar-SA"/>
        </w:rPr>
      </w:pPr>
      <w:r>
        <w:rPr>
          <w:rFonts w:hint="eastAsia" w:ascii="宋体" w:hAnsi="宋体" w:eastAsia="宋体" w:cs="宋体"/>
          <w:b w:val="0"/>
          <w:bCs w:val="0"/>
          <w:color w:val="000000"/>
          <w:sz w:val="22"/>
          <w:szCs w:val="22"/>
          <w:highlight w:val="none"/>
          <w:lang w:val="en-US" w:eastAsia="zh-CN" w:bidi="ar-SA"/>
        </w:rPr>
        <w:t>6）过程文档：《培训计划</w:t>
      </w:r>
      <w:r>
        <w:rPr>
          <w:rFonts w:hint="eastAsia" w:ascii="宋体" w:eastAsia="宋体" w:cs="宋体"/>
          <w:b w:val="0"/>
          <w:bCs w:val="0"/>
          <w:color w:val="000000"/>
          <w:sz w:val="22"/>
          <w:szCs w:val="22"/>
          <w:highlight w:val="none"/>
          <w:lang w:val="en-US" w:eastAsia="zh-CN" w:bidi="ar-SA"/>
        </w:rPr>
        <w:t>》《</w:t>
      </w:r>
      <w:r>
        <w:rPr>
          <w:rFonts w:hint="eastAsia" w:ascii="宋体" w:hAnsi="宋体" w:eastAsia="宋体" w:cs="宋体"/>
          <w:b w:val="0"/>
          <w:bCs w:val="0"/>
          <w:color w:val="000000"/>
          <w:sz w:val="22"/>
          <w:szCs w:val="22"/>
          <w:highlight w:val="none"/>
          <w:lang w:val="en-US" w:eastAsia="zh-CN" w:bidi="ar-SA"/>
        </w:rPr>
        <w:t>培训记录》；</w:t>
      </w:r>
    </w:p>
    <w:p w14:paraId="4EE35E34">
      <w:pPr>
        <w:spacing w:line="360" w:lineRule="auto"/>
        <w:ind w:firstLine="440" w:firstLineChars="200"/>
        <w:rPr>
          <w:rFonts w:hint="eastAsia" w:ascii="宋体" w:hAnsi="宋体" w:eastAsia="宋体" w:cs="宋体"/>
          <w:b w:val="0"/>
          <w:bCs w:val="0"/>
          <w:color w:val="000000"/>
          <w:sz w:val="22"/>
          <w:szCs w:val="22"/>
          <w:highlight w:val="none"/>
          <w:lang w:val="en-US" w:eastAsia="zh-CN" w:bidi="ar-SA"/>
        </w:rPr>
      </w:pPr>
      <w:r>
        <w:rPr>
          <w:rFonts w:hint="eastAsia" w:ascii="宋体" w:hAnsi="宋体" w:eastAsia="宋体" w:cs="宋体"/>
          <w:b w:val="0"/>
          <w:bCs w:val="0"/>
          <w:color w:val="000000"/>
          <w:sz w:val="22"/>
          <w:szCs w:val="22"/>
          <w:highlight w:val="none"/>
          <w:lang w:val="en-US" w:eastAsia="zh-CN" w:bidi="ar-SA"/>
        </w:rPr>
        <w:t>7）交付使用：《系统操作手册</w:t>
      </w:r>
      <w:r>
        <w:rPr>
          <w:rFonts w:hint="eastAsia" w:ascii="宋体" w:eastAsia="宋体" w:cs="宋体"/>
          <w:b w:val="0"/>
          <w:bCs w:val="0"/>
          <w:color w:val="000000"/>
          <w:sz w:val="22"/>
          <w:szCs w:val="22"/>
          <w:highlight w:val="none"/>
          <w:lang w:val="en-US" w:eastAsia="zh-CN" w:bidi="ar-SA"/>
        </w:rPr>
        <w:t>》《</w:t>
      </w:r>
      <w:r>
        <w:rPr>
          <w:rFonts w:hint="eastAsia" w:ascii="宋体" w:hAnsi="宋体" w:eastAsia="宋体" w:cs="宋体"/>
          <w:b w:val="0"/>
          <w:bCs w:val="0"/>
          <w:color w:val="000000"/>
          <w:sz w:val="22"/>
          <w:szCs w:val="22"/>
          <w:highlight w:val="none"/>
          <w:lang w:val="en-US" w:eastAsia="zh-CN" w:bidi="ar-SA"/>
        </w:rPr>
        <w:t>系统安装维护手册》。</w:t>
      </w:r>
    </w:p>
    <w:p w14:paraId="108B0114">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sz w:val="22"/>
          <w:szCs w:val="22"/>
          <w:highlight w:val="none"/>
          <w:lang w:val="en-US" w:eastAsia="zh-CN"/>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八、知识产权</w:t>
      </w:r>
    </w:p>
    <w:p w14:paraId="6638CEDE">
      <w:pPr>
        <w:spacing w:line="360" w:lineRule="auto"/>
        <w:ind w:firstLine="440" w:firstLineChars="200"/>
        <w:rPr>
          <w:rFonts w:hint="eastAsia" w:ascii="宋体" w:hAnsi="宋体" w:eastAsia="宋体" w:cs="宋体"/>
          <w:b w:val="0"/>
          <w:bCs w:val="0"/>
          <w:color w:val="000000"/>
          <w:sz w:val="22"/>
          <w:szCs w:val="22"/>
          <w:highlight w:val="none"/>
          <w:lang w:val="en-US" w:eastAsia="zh-CN" w:bidi="ar-SA"/>
        </w:rPr>
      </w:pPr>
      <w:r>
        <w:rPr>
          <w:rFonts w:hint="eastAsia" w:ascii="宋体" w:hAnsi="宋体" w:eastAsia="宋体" w:cs="宋体"/>
          <w:b w:val="0"/>
          <w:bCs w:val="0"/>
          <w:color w:val="000000"/>
          <w:sz w:val="22"/>
          <w:szCs w:val="22"/>
          <w:highlight w:val="none"/>
          <w:lang w:val="en-US" w:eastAsia="zh-CN" w:bidi="ar-SA"/>
        </w:rPr>
        <w:t>本项目建设完成后，因本项目而产生的相关的知识产权（包括源代码）归招标方所有。</w:t>
      </w:r>
    </w:p>
    <w:p w14:paraId="2C43F930">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sz w:val="22"/>
          <w:szCs w:val="22"/>
          <w:highlight w:val="none"/>
          <w:lang w:val="en-US" w:eastAsia="zh-CN"/>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九、安全保障服务</w:t>
      </w:r>
    </w:p>
    <w:p w14:paraId="2F4FAF1B">
      <w:pPr>
        <w:spacing w:line="360" w:lineRule="auto"/>
        <w:ind w:firstLine="440" w:firstLineChars="200"/>
        <w:rPr>
          <w:rFonts w:hint="eastAsia" w:ascii="宋体" w:hAnsi="宋体" w:eastAsia="宋体" w:cs="宋体"/>
          <w:b w:val="0"/>
          <w:bCs w:val="0"/>
          <w:color w:val="000000"/>
          <w:sz w:val="22"/>
          <w:szCs w:val="22"/>
          <w:highlight w:val="none"/>
          <w:lang w:val="en-US" w:eastAsia="zh-CN" w:bidi="ar-SA"/>
        </w:rPr>
      </w:pPr>
      <w:r>
        <w:rPr>
          <w:rFonts w:hint="eastAsia" w:ascii="宋体" w:hAnsi="宋体" w:eastAsia="宋体" w:cs="宋体"/>
          <w:b w:val="0"/>
          <w:bCs w:val="0"/>
          <w:color w:val="000000"/>
          <w:sz w:val="22"/>
          <w:szCs w:val="22"/>
          <w:highlight w:val="none"/>
          <w:lang w:val="en-US" w:eastAsia="zh-CN" w:bidi="ar-SA"/>
        </w:rPr>
        <w:t>完成等保测评（</w:t>
      </w:r>
      <w:r>
        <w:rPr>
          <w:rFonts w:hint="eastAsia" w:ascii="宋体" w:hAnsi="宋体" w:eastAsia="宋体" w:cs="宋体"/>
          <w:b w:val="0"/>
          <w:bCs w:val="0"/>
          <w:color w:val="000000"/>
          <w:sz w:val="22"/>
          <w:szCs w:val="22"/>
          <w:highlight w:val="none"/>
          <w:lang w:val="en-US" w:eastAsia="zh-Hans" w:bidi="ar-SA"/>
        </w:rPr>
        <w:t>二</w:t>
      </w:r>
      <w:r>
        <w:rPr>
          <w:rFonts w:hint="eastAsia" w:ascii="宋体" w:hAnsi="宋体" w:eastAsia="宋体" w:cs="宋体"/>
          <w:b w:val="0"/>
          <w:bCs w:val="0"/>
          <w:color w:val="000000"/>
          <w:sz w:val="22"/>
          <w:szCs w:val="22"/>
          <w:highlight w:val="none"/>
          <w:lang w:val="en-US" w:eastAsia="zh-CN" w:bidi="ar-SA"/>
        </w:rPr>
        <w:t>级）</w:t>
      </w:r>
    </w:p>
    <w:p w14:paraId="6C5EC21C">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sz w:val="22"/>
          <w:szCs w:val="22"/>
          <w:highlight w:val="none"/>
          <w:lang w:val="en-US" w:eastAsia="zh-CN"/>
          <w14:textFill>
            <w14:solidFill>
              <w14:schemeClr w14:val="tx1"/>
            </w14:solidFill>
          </w14:textFill>
        </w:rPr>
      </w:pPr>
      <w:bookmarkStart w:id="27" w:name="_Toc528072590"/>
      <w:r>
        <w:rPr>
          <w:rFonts w:hint="eastAsia" w:ascii="宋体" w:hAnsi="宋体" w:eastAsia="宋体" w:cs="宋体"/>
          <w:color w:val="000000" w:themeColor="text1"/>
          <w:sz w:val="22"/>
          <w:szCs w:val="22"/>
          <w:highlight w:val="none"/>
          <w:lang w:val="en-US" w:eastAsia="zh-CN"/>
          <w14:textFill>
            <w14:solidFill>
              <w14:schemeClr w14:val="tx1"/>
            </w14:solidFill>
          </w14:textFill>
        </w:rPr>
        <w:t>十、其他要求</w:t>
      </w:r>
      <w:bookmarkEnd w:id="27"/>
    </w:p>
    <w:p w14:paraId="31E984F2">
      <w:pPr>
        <w:pStyle w:val="43"/>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textAlignment w:val="auto"/>
        <w:rPr>
          <w:rFonts w:hint="eastAsia" w:ascii="宋体" w:hAnsi="宋体" w:eastAsia="宋体" w:cs="宋体"/>
          <w:i w:val="0"/>
          <w:iCs w:val="0"/>
          <w:sz w:val="22"/>
          <w:szCs w:val="22"/>
        </w:rPr>
      </w:pPr>
      <w:r>
        <w:rPr>
          <w:rFonts w:hint="eastAsia" w:ascii="宋体" w:hAnsi="宋体" w:eastAsia="宋体" w:cs="宋体"/>
          <w:i w:val="0"/>
          <w:iCs w:val="0"/>
          <w:sz w:val="22"/>
          <w:szCs w:val="22"/>
        </w:rPr>
        <w:t>供应商必须对全部内容进行报价，只对部分内容进行报价的供应商将按无效投标处理。</w:t>
      </w:r>
    </w:p>
    <w:p w14:paraId="1966DE39">
      <w:pPr>
        <w:pStyle w:val="43"/>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textAlignment w:val="auto"/>
        <w:rPr>
          <w:rFonts w:hint="eastAsia" w:ascii="宋体" w:hAnsi="宋体" w:eastAsia="宋体" w:cs="宋体"/>
          <w:i w:val="0"/>
          <w:iCs w:val="0"/>
          <w:sz w:val="22"/>
          <w:szCs w:val="22"/>
        </w:rPr>
      </w:pPr>
      <w:r>
        <w:rPr>
          <w:rFonts w:hint="eastAsia" w:ascii="宋体" w:hAnsi="宋体" w:eastAsia="宋体" w:cs="宋体"/>
          <w:i w:val="0"/>
          <w:iCs w:val="0"/>
          <w:sz w:val="22"/>
          <w:szCs w:val="22"/>
        </w:rPr>
        <w:t>本技术规范要求提出的是最低限度的基本技术要求，并未对所有技术细节作出规定，要求中标供应商在初步业务需求、技术要求和用户实际需求的基础上进行开发，投标供应商在中标后应进行进一步调研，根据具体需求深化分析，提供符合本技术要求和国家标准、行业标准的优质产品。用户需求在开发期和试运行期，仍有可能不断完善，投标供应商须承诺在采购需求和政策法规范围内，随着用户需求的变动随时做出响应，修改应用软件，并不断进行完善。</w:t>
      </w:r>
    </w:p>
    <w:p w14:paraId="4EA06693">
      <w:pPr>
        <w:pStyle w:val="43"/>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textAlignment w:val="auto"/>
        <w:rPr>
          <w:rFonts w:hint="eastAsia" w:ascii="宋体" w:hAnsi="宋体" w:eastAsia="宋体" w:cs="宋体"/>
          <w:i w:val="0"/>
          <w:iCs w:val="0"/>
          <w:sz w:val="22"/>
          <w:szCs w:val="22"/>
        </w:rPr>
      </w:pPr>
      <w:r>
        <w:rPr>
          <w:rFonts w:hint="eastAsia" w:ascii="宋体" w:hAnsi="宋体" w:eastAsia="宋体" w:cs="宋体"/>
          <w:i w:val="0"/>
          <w:iCs w:val="0"/>
          <w:sz w:val="22"/>
          <w:szCs w:val="22"/>
        </w:rPr>
        <w:t>投标产品与本技术要求不一致时，供应商应在投标文件中予以说明，并由评标委员会鉴定其服务能否达到要求。如供应商没有在投标文件中提出异议，则视为其提供的服务完全按照本</w:t>
      </w:r>
      <w:r>
        <w:rPr>
          <w:rFonts w:hint="eastAsia" w:ascii="宋体" w:hAnsi="宋体" w:cs="宋体"/>
          <w:i w:val="0"/>
          <w:iCs w:val="0"/>
          <w:sz w:val="22"/>
          <w:szCs w:val="22"/>
          <w:lang w:eastAsia="zh-CN"/>
        </w:rPr>
        <w:t>磋商文件</w:t>
      </w:r>
      <w:r>
        <w:rPr>
          <w:rFonts w:hint="eastAsia" w:ascii="宋体" w:hAnsi="宋体" w:eastAsia="宋体" w:cs="宋体"/>
          <w:i w:val="0"/>
          <w:iCs w:val="0"/>
          <w:sz w:val="22"/>
          <w:szCs w:val="22"/>
        </w:rPr>
        <w:t>要求，并在合同验收时按</w:t>
      </w:r>
      <w:r>
        <w:rPr>
          <w:rFonts w:hint="eastAsia" w:ascii="宋体" w:hAnsi="宋体" w:cs="宋体"/>
          <w:i w:val="0"/>
          <w:iCs w:val="0"/>
          <w:sz w:val="22"/>
          <w:szCs w:val="22"/>
          <w:lang w:eastAsia="zh-CN"/>
        </w:rPr>
        <w:t>磋商文件</w:t>
      </w:r>
      <w:r>
        <w:rPr>
          <w:rFonts w:hint="eastAsia" w:ascii="宋体" w:hAnsi="宋体" w:eastAsia="宋体" w:cs="宋体"/>
          <w:i w:val="0"/>
          <w:iCs w:val="0"/>
          <w:sz w:val="22"/>
          <w:szCs w:val="22"/>
        </w:rPr>
        <w:t>要求验收。</w:t>
      </w:r>
    </w:p>
    <w:p w14:paraId="52865E3D">
      <w:pPr>
        <w:pStyle w:val="43"/>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textAlignment w:val="auto"/>
        <w:rPr>
          <w:rFonts w:hint="eastAsia" w:ascii="宋体" w:hAnsi="宋体" w:eastAsia="宋体" w:cs="宋体"/>
          <w:i w:val="0"/>
          <w:iCs w:val="0"/>
          <w:sz w:val="22"/>
          <w:szCs w:val="22"/>
        </w:rPr>
      </w:pPr>
      <w:r>
        <w:rPr>
          <w:rFonts w:hint="eastAsia" w:ascii="宋体" w:hAnsi="宋体" w:eastAsia="宋体" w:cs="宋体"/>
          <w:i w:val="0"/>
          <w:iCs w:val="0"/>
          <w:sz w:val="22"/>
          <w:szCs w:val="22"/>
        </w:rPr>
        <w:t>正式验收通过后，若有需求变动，在免费维护期内，仍应免费按用户需求对整个系统做出相应修改，以满足用户的需求。</w:t>
      </w:r>
    </w:p>
    <w:p w14:paraId="5B91B25C">
      <w:pPr>
        <w:pStyle w:val="43"/>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textAlignment w:val="auto"/>
        <w:rPr>
          <w:rFonts w:hint="eastAsia" w:ascii="宋体" w:hAnsi="宋体" w:eastAsia="宋体" w:cs="宋体"/>
          <w:i w:val="0"/>
          <w:iCs w:val="0"/>
          <w:sz w:val="22"/>
          <w:szCs w:val="22"/>
        </w:rPr>
      </w:pPr>
      <w:r>
        <w:rPr>
          <w:rFonts w:hint="eastAsia" w:ascii="宋体" w:hAnsi="宋体" w:eastAsia="宋体" w:cs="宋体"/>
          <w:i w:val="0"/>
          <w:iCs w:val="0"/>
          <w:sz w:val="22"/>
          <w:szCs w:val="22"/>
        </w:rPr>
        <w:t>本项目建设过程中，供应商应充分考虑所提供解决方案的可行性和合理性，并保证项目落地实施，供应商负责承担实现功能所需的全部费用。</w:t>
      </w:r>
    </w:p>
    <w:p w14:paraId="51161E23">
      <w:pPr>
        <w:pStyle w:val="43"/>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textAlignment w:val="auto"/>
        <w:rPr>
          <w:rFonts w:hint="eastAsia" w:ascii="宋体" w:hAnsi="宋体" w:eastAsia="宋体" w:cs="宋体"/>
          <w:i w:val="0"/>
          <w:iCs w:val="0"/>
          <w:sz w:val="22"/>
          <w:szCs w:val="22"/>
        </w:rPr>
      </w:pPr>
      <w:r>
        <w:rPr>
          <w:rFonts w:hint="eastAsia" w:ascii="宋体" w:hAnsi="宋体" w:eastAsia="宋体" w:cs="宋体"/>
          <w:i w:val="0"/>
          <w:iCs w:val="0"/>
          <w:sz w:val="22"/>
          <w:szCs w:val="22"/>
        </w:rPr>
        <w:t>投标供应商应本着认真负责的态度组织技术队伍，做好投标的整体技术方案并提出开发、维护、服务以及今后技术支持的措施计划和承诺。</w:t>
      </w:r>
    </w:p>
    <w:p w14:paraId="6158A830">
      <w:pPr>
        <w:pStyle w:val="43"/>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textAlignment w:val="auto"/>
        <w:rPr>
          <w:rFonts w:hint="eastAsia" w:ascii="宋体" w:hAnsi="宋体" w:eastAsia="宋体" w:cs="宋体"/>
          <w:i w:val="0"/>
          <w:iCs w:val="0"/>
          <w:sz w:val="22"/>
          <w:szCs w:val="22"/>
        </w:rPr>
      </w:pPr>
      <w:r>
        <w:rPr>
          <w:rFonts w:hint="eastAsia" w:ascii="宋体" w:hAnsi="宋体" w:eastAsia="宋体" w:cs="宋体"/>
          <w:i w:val="0"/>
          <w:iCs w:val="0"/>
          <w:sz w:val="22"/>
          <w:szCs w:val="22"/>
        </w:rPr>
        <w:t>中标供应商在中标通知书发出之日起</w:t>
      </w:r>
      <w:r>
        <w:rPr>
          <w:rFonts w:hint="eastAsia" w:ascii="宋体" w:hAnsi="宋体" w:eastAsia="宋体" w:cs="宋体"/>
          <w:i w:val="0"/>
          <w:iCs w:val="0"/>
          <w:sz w:val="22"/>
          <w:szCs w:val="22"/>
          <w:lang w:val="en-US" w:eastAsia="zh-CN"/>
        </w:rPr>
        <w:t>20</w:t>
      </w:r>
      <w:r>
        <w:rPr>
          <w:rFonts w:hint="eastAsia" w:ascii="宋体" w:hAnsi="宋体" w:eastAsia="宋体" w:cs="宋体"/>
          <w:i w:val="0"/>
          <w:iCs w:val="0"/>
          <w:sz w:val="22"/>
          <w:szCs w:val="22"/>
        </w:rPr>
        <w:t>日内和采购人进行功能需求、技术规格和项目进度的确认并签订合同。</w:t>
      </w:r>
    </w:p>
    <w:p w14:paraId="1B26FCAB">
      <w:pPr>
        <w:pStyle w:val="43"/>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textAlignment w:val="auto"/>
        <w:rPr>
          <w:rFonts w:hint="eastAsia"/>
          <w:lang w:val="en-US" w:eastAsia="zh-CN"/>
        </w:rPr>
      </w:pPr>
      <w:r>
        <w:rPr>
          <w:rFonts w:hint="eastAsia" w:ascii="宋体" w:hAnsi="宋体" w:eastAsia="宋体" w:cs="宋体"/>
          <w:i w:val="0"/>
          <w:iCs w:val="0"/>
          <w:sz w:val="22"/>
          <w:szCs w:val="22"/>
        </w:rPr>
        <w:t>供应商应允许采购方的工作人员参与系统的安装、测试、诊断及解决问题等各</w:t>
      </w:r>
      <w:r>
        <w:rPr>
          <w:rFonts w:hint="eastAsia" w:ascii="宋体" w:hAnsi="宋体" w:eastAsia="宋体" w:cs="宋体"/>
          <w:i w:val="0"/>
          <w:iCs w:val="0"/>
          <w:sz w:val="22"/>
          <w:szCs w:val="22"/>
          <w:highlight w:val="none"/>
        </w:rPr>
        <w:t>项工作。</w:t>
      </w:r>
    </w:p>
    <w:p w14:paraId="5845C431">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sz w:val="22"/>
          <w:szCs w:val="22"/>
          <w:highlight w:val="none"/>
          <w:lang w:val="en-US" w:eastAsia="zh-CN"/>
          <w14:textFill>
            <w14:solidFill>
              <w14:schemeClr w14:val="tx1"/>
            </w14:solidFill>
          </w14:textFill>
        </w:rPr>
      </w:pPr>
      <w:bookmarkStart w:id="28" w:name="_Toc526020078"/>
      <w:bookmarkStart w:id="29" w:name="_Toc493072529"/>
      <w:r>
        <w:rPr>
          <w:rFonts w:hint="eastAsia" w:ascii="宋体" w:hAnsi="宋体" w:eastAsia="宋体" w:cs="宋体"/>
          <w:color w:val="000000" w:themeColor="text1"/>
          <w:sz w:val="22"/>
          <w:szCs w:val="22"/>
          <w:highlight w:val="none"/>
          <w:lang w:val="en-US" w:eastAsia="zh-CN"/>
          <w14:textFill>
            <w14:solidFill>
              <w14:schemeClr w14:val="tx1"/>
            </w14:solidFill>
          </w14:textFill>
        </w:rPr>
        <w:t>十一、商务要求</w:t>
      </w:r>
      <w:bookmarkEnd w:id="28"/>
      <w:bookmarkEnd w:id="29"/>
    </w:p>
    <w:tbl>
      <w:tblPr>
        <w:tblStyle w:val="44"/>
        <w:tblW w:w="9464"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675"/>
        <w:gridCol w:w="1452"/>
        <w:gridCol w:w="7337"/>
      </w:tblGrid>
      <w:tr w14:paraId="26F3DDB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21" w:hRule="atLeast"/>
          <w:tblHeader/>
          <w:jc w:val="center"/>
        </w:trPr>
        <w:tc>
          <w:tcPr>
            <w:tcW w:w="675" w:type="dxa"/>
            <w:noWrap w:val="0"/>
            <w:vAlign w:val="center"/>
          </w:tcPr>
          <w:p w14:paraId="647193C3">
            <w:pPr>
              <w:rPr>
                <w:rFonts w:hint="eastAsia" w:ascii="宋体" w:hAnsi="宋体" w:eastAsia="宋体" w:cs="宋体"/>
                <w:b/>
                <w:color w:val="000000"/>
              </w:rPr>
            </w:pPr>
            <w:r>
              <w:rPr>
                <w:rFonts w:hint="eastAsia" w:ascii="宋体" w:hAnsi="宋体" w:eastAsia="宋体" w:cs="宋体"/>
                <w:b/>
                <w:color w:val="000000"/>
              </w:rPr>
              <w:t>序号</w:t>
            </w:r>
          </w:p>
        </w:tc>
        <w:tc>
          <w:tcPr>
            <w:tcW w:w="1452" w:type="dxa"/>
            <w:noWrap w:val="0"/>
            <w:vAlign w:val="center"/>
          </w:tcPr>
          <w:p w14:paraId="4BCC2A70">
            <w:pPr>
              <w:jc w:val="center"/>
              <w:rPr>
                <w:rFonts w:hint="eastAsia" w:ascii="宋体" w:hAnsi="宋体" w:eastAsia="宋体" w:cs="宋体"/>
                <w:b/>
                <w:color w:val="000000"/>
              </w:rPr>
            </w:pPr>
            <w:r>
              <w:rPr>
                <w:rFonts w:hint="eastAsia" w:ascii="宋体" w:hAnsi="宋体" w:eastAsia="宋体" w:cs="宋体"/>
                <w:b/>
                <w:color w:val="000000"/>
              </w:rPr>
              <w:t>内容</w:t>
            </w:r>
          </w:p>
        </w:tc>
        <w:tc>
          <w:tcPr>
            <w:tcW w:w="7337" w:type="dxa"/>
            <w:noWrap w:val="0"/>
            <w:vAlign w:val="center"/>
          </w:tcPr>
          <w:p w14:paraId="6282A78C">
            <w:pPr>
              <w:jc w:val="center"/>
              <w:rPr>
                <w:rFonts w:hint="eastAsia" w:ascii="宋体" w:hAnsi="宋体" w:eastAsia="宋体" w:cs="宋体"/>
                <w:b/>
                <w:color w:val="000000"/>
              </w:rPr>
            </w:pPr>
            <w:r>
              <w:rPr>
                <w:rFonts w:hint="eastAsia" w:ascii="宋体" w:hAnsi="宋体" w:eastAsia="宋体" w:cs="宋体"/>
                <w:b/>
                <w:color w:val="000000"/>
              </w:rPr>
              <w:t>招标要求</w:t>
            </w:r>
          </w:p>
        </w:tc>
      </w:tr>
      <w:tr w14:paraId="6F2614A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9" w:hRule="atLeast"/>
          <w:jc w:val="center"/>
        </w:trPr>
        <w:tc>
          <w:tcPr>
            <w:tcW w:w="675" w:type="dxa"/>
            <w:noWrap w:val="0"/>
            <w:vAlign w:val="center"/>
          </w:tcPr>
          <w:p w14:paraId="174F6839">
            <w:pPr>
              <w:jc w:val="center"/>
              <w:rPr>
                <w:rFonts w:hint="eastAsia" w:ascii="宋体" w:hAnsi="宋体" w:eastAsia="宋体" w:cs="宋体"/>
                <w:color w:val="000000"/>
                <w:sz w:val="22"/>
                <w:szCs w:val="22"/>
                <w:lang w:eastAsia="zh-CN"/>
              </w:rPr>
            </w:pPr>
            <w:r>
              <w:rPr>
                <w:rFonts w:hint="eastAsia" w:ascii="宋体" w:hAnsi="宋体" w:eastAsia="宋体" w:cs="宋体"/>
                <w:color w:val="000000"/>
                <w:sz w:val="22"/>
                <w:szCs w:val="22"/>
                <w:lang w:val="en-US" w:eastAsia="zh-CN"/>
              </w:rPr>
              <w:t>1</w:t>
            </w:r>
          </w:p>
        </w:tc>
        <w:tc>
          <w:tcPr>
            <w:tcW w:w="1452" w:type="dxa"/>
            <w:noWrap w:val="0"/>
            <w:vAlign w:val="center"/>
          </w:tcPr>
          <w:p w14:paraId="1190C301">
            <w:pPr>
              <w:rPr>
                <w:rFonts w:hint="default" w:ascii="宋体" w:hAnsi="宋体" w:eastAsia="宋体" w:cs="宋体"/>
                <w:color w:val="auto"/>
                <w:sz w:val="22"/>
                <w:szCs w:val="22"/>
                <w:highlight w:val="none"/>
                <w:lang w:val="en-US" w:eastAsia="zh-CN"/>
              </w:rPr>
            </w:pPr>
            <w:r>
              <w:rPr>
                <w:rFonts w:hint="eastAsia" w:ascii="宋体" w:eastAsia="宋体" w:cs="宋体"/>
                <w:color w:val="auto"/>
                <w:sz w:val="22"/>
                <w:szCs w:val="22"/>
                <w:highlight w:val="none"/>
                <w:lang w:val="en-US" w:eastAsia="zh-CN"/>
              </w:rPr>
              <w:t>服务期限</w:t>
            </w:r>
          </w:p>
        </w:tc>
        <w:tc>
          <w:tcPr>
            <w:tcW w:w="7337" w:type="dxa"/>
            <w:noWrap w:val="0"/>
            <w:vAlign w:val="center"/>
          </w:tcPr>
          <w:p w14:paraId="03876C3C">
            <w:pPr>
              <w:spacing w:line="240" w:lineRule="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服务期限自合同签订起</w:t>
            </w:r>
            <w:r>
              <w:rPr>
                <w:rFonts w:hint="eastAsia" w:ascii="宋体" w:eastAsia="宋体" w:cs="宋体"/>
                <w:color w:val="auto"/>
                <w:sz w:val="22"/>
                <w:szCs w:val="22"/>
                <w:highlight w:val="none"/>
                <w:lang w:val="en-US" w:eastAsia="zh-CN"/>
              </w:rPr>
              <w:t>6</w:t>
            </w:r>
            <w:r>
              <w:rPr>
                <w:rFonts w:hint="eastAsia" w:ascii="宋体" w:hAnsi="宋体" w:eastAsia="宋体" w:cs="宋体"/>
                <w:color w:val="auto"/>
                <w:sz w:val="22"/>
                <w:szCs w:val="22"/>
                <w:highlight w:val="none"/>
                <w:lang w:val="en-US" w:eastAsia="zh-CN"/>
              </w:rPr>
              <w:t>个月，通过终验并完成系统上线试运行1个月。</w:t>
            </w:r>
          </w:p>
        </w:tc>
      </w:tr>
      <w:tr w14:paraId="58A18FE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9" w:hRule="atLeast"/>
          <w:jc w:val="center"/>
        </w:trPr>
        <w:tc>
          <w:tcPr>
            <w:tcW w:w="675" w:type="dxa"/>
            <w:noWrap w:val="0"/>
            <w:vAlign w:val="center"/>
          </w:tcPr>
          <w:p w14:paraId="7994BC5C">
            <w:pPr>
              <w:jc w:val="center"/>
              <w:rPr>
                <w:rFonts w:hint="default" w:ascii="宋体" w:hAnsi="宋体" w:eastAsia="宋体" w:cs="宋体"/>
                <w:color w:val="000000"/>
                <w:sz w:val="22"/>
                <w:szCs w:val="22"/>
                <w:lang w:val="en-US" w:eastAsia="zh-CN"/>
              </w:rPr>
            </w:pPr>
            <w:r>
              <w:rPr>
                <w:rFonts w:hint="eastAsia" w:ascii="宋体" w:hAnsi="宋体" w:eastAsia="宋体" w:cs="宋体"/>
                <w:color w:val="000000"/>
                <w:sz w:val="22"/>
                <w:szCs w:val="22"/>
                <w:lang w:val="en-US" w:eastAsia="zh-CN"/>
              </w:rPr>
              <w:t>2</w:t>
            </w:r>
          </w:p>
        </w:tc>
        <w:tc>
          <w:tcPr>
            <w:tcW w:w="1452" w:type="dxa"/>
            <w:noWrap w:val="0"/>
            <w:vAlign w:val="center"/>
          </w:tcPr>
          <w:p w14:paraId="6CBED62B">
            <w:pPr>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运维期</w:t>
            </w:r>
          </w:p>
        </w:tc>
        <w:tc>
          <w:tcPr>
            <w:tcW w:w="7337" w:type="dxa"/>
            <w:noWrap w:val="0"/>
            <w:vAlign w:val="center"/>
          </w:tcPr>
          <w:p w14:paraId="4DDFAB0B">
            <w:pPr>
              <w:spacing w:line="240" w:lineRule="auto"/>
              <w:rPr>
                <w:rFonts w:hint="eastAsia" w:ascii="宋体" w:hAnsi="宋体" w:eastAsia="宋体" w:cs="宋体"/>
                <w:b/>
                <w:bCs/>
                <w:color w:val="auto"/>
                <w:sz w:val="22"/>
                <w:szCs w:val="22"/>
                <w:highlight w:val="none"/>
                <w:lang w:val="en-US" w:eastAsia="zh-CN"/>
              </w:rPr>
            </w:pPr>
            <w:r>
              <w:rPr>
                <w:rFonts w:hint="eastAsia" w:ascii="宋体" w:eastAsia="宋体" w:cs="宋体"/>
                <w:b/>
                <w:bCs/>
                <w:color w:val="auto"/>
                <w:sz w:val="22"/>
                <w:szCs w:val="22"/>
                <w:highlight w:val="none"/>
                <w:lang w:val="en-US" w:eastAsia="zh-CN"/>
              </w:rPr>
              <w:t>3</w:t>
            </w:r>
            <w:r>
              <w:rPr>
                <w:rFonts w:hint="eastAsia" w:ascii="宋体" w:hAnsi="宋体" w:eastAsia="宋体" w:cs="宋体"/>
                <w:b/>
                <w:bCs/>
                <w:color w:val="auto"/>
                <w:sz w:val="22"/>
                <w:szCs w:val="22"/>
                <w:highlight w:val="none"/>
                <w:lang w:val="en-US" w:eastAsia="zh-CN"/>
              </w:rPr>
              <w:t>年（自最终验收通过之日起）</w:t>
            </w:r>
          </w:p>
        </w:tc>
      </w:tr>
      <w:tr w14:paraId="376B202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58" w:hRule="atLeast"/>
          <w:jc w:val="center"/>
        </w:trPr>
        <w:tc>
          <w:tcPr>
            <w:tcW w:w="675" w:type="dxa"/>
            <w:noWrap w:val="0"/>
            <w:vAlign w:val="center"/>
          </w:tcPr>
          <w:p w14:paraId="60414BD9">
            <w:pPr>
              <w:jc w:val="center"/>
              <w:rPr>
                <w:rFonts w:hint="eastAsia" w:ascii="宋体" w:hAnsi="宋体" w:eastAsia="宋体" w:cs="宋体"/>
                <w:color w:val="000000"/>
                <w:sz w:val="22"/>
                <w:szCs w:val="22"/>
                <w:lang w:val="en-US" w:eastAsia="zh-CN"/>
              </w:rPr>
            </w:pPr>
            <w:r>
              <w:rPr>
                <w:rFonts w:hint="eastAsia" w:ascii="宋体" w:hAnsi="宋体" w:eastAsia="宋体" w:cs="宋体"/>
                <w:color w:val="000000"/>
                <w:sz w:val="22"/>
                <w:szCs w:val="22"/>
                <w:lang w:val="en-US" w:eastAsia="zh-CN"/>
              </w:rPr>
              <w:t>3</w:t>
            </w:r>
          </w:p>
        </w:tc>
        <w:tc>
          <w:tcPr>
            <w:tcW w:w="1452" w:type="dxa"/>
            <w:noWrap w:val="0"/>
            <w:vAlign w:val="center"/>
          </w:tcPr>
          <w:p w14:paraId="23BAF880">
            <w:pPr>
              <w:rPr>
                <w:rFonts w:hint="eastAsia" w:ascii="宋体" w:hAnsi="宋体" w:eastAsia="宋体" w:cs="宋体"/>
                <w:color w:val="000000"/>
                <w:sz w:val="22"/>
                <w:szCs w:val="22"/>
                <w:lang w:eastAsia="zh-CN"/>
              </w:rPr>
            </w:pPr>
            <w:r>
              <w:rPr>
                <w:rFonts w:hint="eastAsia" w:ascii="宋体" w:hAnsi="宋体" w:eastAsia="宋体" w:cs="宋体"/>
                <w:color w:val="000000"/>
                <w:sz w:val="22"/>
                <w:szCs w:val="22"/>
                <w:lang w:eastAsia="zh-CN"/>
              </w:rPr>
              <w:t>履约保证金</w:t>
            </w:r>
          </w:p>
        </w:tc>
        <w:tc>
          <w:tcPr>
            <w:tcW w:w="7337" w:type="dxa"/>
            <w:noWrap w:val="0"/>
            <w:vAlign w:val="center"/>
          </w:tcPr>
          <w:p w14:paraId="40BF0659">
            <w:pPr>
              <w:spacing w:line="240" w:lineRule="auto"/>
              <w:rPr>
                <w:rFonts w:hint="eastAsia" w:ascii="宋体" w:hAnsi="宋体" w:eastAsia="宋体" w:cs="宋体"/>
                <w:b/>
                <w:color w:val="000000"/>
                <w:sz w:val="22"/>
                <w:szCs w:val="22"/>
                <w:lang w:val="en-US" w:eastAsia="zh-CN"/>
              </w:rPr>
            </w:pPr>
            <w:r>
              <w:rPr>
                <w:rFonts w:hint="eastAsia" w:ascii="宋体" w:hAnsi="宋体" w:eastAsia="宋体" w:cs="宋体"/>
                <w:b/>
                <w:color w:val="000000"/>
                <w:sz w:val="22"/>
                <w:szCs w:val="22"/>
                <w:lang w:val="en-US" w:eastAsia="zh-CN"/>
              </w:rPr>
              <w:t>不收取</w:t>
            </w:r>
          </w:p>
        </w:tc>
      </w:tr>
      <w:tr w14:paraId="36F8DC6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58" w:hRule="atLeast"/>
          <w:jc w:val="center"/>
        </w:trPr>
        <w:tc>
          <w:tcPr>
            <w:tcW w:w="675" w:type="dxa"/>
            <w:noWrap w:val="0"/>
            <w:vAlign w:val="center"/>
          </w:tcPr>
          <w:p w14:paraId="2483CDC3">
            <w:pPr>
              <w:jc w:val="center"/>
              <w:rPr>
                <w:rFonts w:hint="eastAsia" w:ascii="宋体" w:hAnsi="宋体" w:eastAsia="宋体" w:cs="宋体"/>
                <w:color w:val="000000"/>
                <w:sz w:val="22"/>
                <w:szCs w:val="22"/>
                <w:lang w:eastAsia="zh-CN"/>
              </w:rPr>
            </w:pPr>
            <w:r>
              <w:rPr>
                <w:rFonts w:hint="eastAsia" w:ascii="宋体" w:hAnsi="宋体" w:eastAsia="宋体" w:cs="宋体"/>
                <w:color w:val="000000"/>
                <w:sz w:val="22"/>
                <w:szCs w:val="22"/>
                <w:lang w:val="en-US" w:eastAsia="zh-CN"/>
              </w:rPr>
              <w:t>4</w:t>
            </w:r>
          </w:p>
        </w:tc>
        <w:tc>
          <w:tcPr>
            <w:tcW w:w="1452" w:type="dxa"/>
            <w:noWrap w:val="0"/>
            <w:vAlign w:val="center"/>
          </w:tcPr>
          <w:p w14:paraId="3A432327">
            <w:pPr>
              <w:rPr>
                <w:rFonts w:hint="eastAsia" w:ascii="宋体" w:hAnsi="宋体" w:eastAsia="宋体" w:cs="宋体"/>
                <w:color w:val="000000"/>
                <w:sz w:val="22"/>
                <w:szCs w:val="22"/>
              </w:rPr>
            </w:pPr>
            <w:r>
              <w:rPr>
                <w:rFonts w:hint="eastAsia" w:ascii="宋体" w:hAnsi="宋体" w:eastAsia="宋体" w:cs="宋体"/>
                <w:color w:val="000000"/>
                <w:sz w:val="22"/>
                <w:szCs w:val="22"/>
              </w:rPr>
              <w:t>付款方式</w:t>
            </w:r>
          </w:p>
        </w:tc>
        <w:tc>
          <w:tcPr>
            <w:tcW w:w="7337" w:type="dxa"/>
            <w:noWrap w:val="0"/>
            <w:vAlign w:val="center"/>
          </w:tcPr>
          <w:p w14:paraId="3FBB2D77">
            <w:pPr>
              <w:rPr>
                <w:rFonts w:hint="eastAsia" w:ascii="宋体" w:hAnsi="宋体" w:eastAsia="宋体" w:cs="宋体"/>
                <w:b/>
                <w:color w:val="000000"/>
                <w:sz w:val="22"/>
                <w:szCs w:val="22"/>
                <w:lang w:val="en-US" w:eastAsia="zh-CN"/>
              </w:rPr>
            </w:pPr>
            <w:r>
              <w:rPr>
                <w:rFonts w:hint="eastAsia" w:ascii="宋体" w:hAnsi="宋体" w:eastAsia="宋体" w:cs="宋体"/>
                <w:b/>
                <w:color w:val="000000"/>
                <w:sz w:val="22"/>
                <w:szCs w:val="22"/>
                <w:lang w:val="en-US" w:eastAsia="zh-CN"/>
              </w:rPr>
              <w:t>合同签订后支付合同金额</w:t>
            </w:r>
            <w:r>
              <w:rPr>
                <w:rFonts w:hint="eastAsia" w:ascii="宋体" w:eastAsia="宋体" w:cs="宋体"/>
                <w:b/>
                <w:color w:val="000000"/>
                <w:sz w:val="22"/>
                <w:szCs w:val="22"/>
                <w:lang w:val="en-US" w:eastAsia="zh-CN"/>
              </w:rPr>
              <w:t>4</w:t>
            </w:r>
            <w:r>
              <w:rPr>
                <w:rFonts w:hint="eastAsia" w:ascii="宋体" w:hAnsi="宋体" w:eastAsia="宋体" w:cs="宋体"/>
                <w:b/>
                <w:color w:val="000000"/>
                <w:sz w:val="22"/>
                <w:szCs w:val="22"/>
                <w:lang w:val="en-US" w:eastAsia="zh-CN"/>
              </w:rPr>
              <w:t>0%作为预付款，项目初验合格后付至合同金额的80%，项目最终验收合格后</w:t>
            </w:r>
            <w:r>
              <w:rPr>
                <w:rFonts w:hint="eastAsia" w:ascii="宋体" w:eastAsia="宋体" w:cs="宋体"/>
                <w:b/>
                <w:color w:val="000000"/>
                <w:sz w:val="22"/>
                <w:szCs w:val="22"/>
                <w:lang w:val="en-US" w:eastAsia="zh-CN"/>
              </w:rPr>
              <w:t>、运维期满</w:t>
            </w:r>
            <w:r>
              <w:rPr>
                <w:rFonts w:hint="eastAsia" w:ascii="宋体" w:hAnsi="宋体" w:eastAsia="宋体" w:cs="宋体"/>
                <w:b/>
                <w:color w:val="000000"/>
                <w:sz w:val="22"/>
                <w:szCs w:val="22"/>
                <w:lang w:val="en-US" w:eastAsia="zh-CN"/>
              </w:rPr>
              <w:t>付至合同金额的100%，发票应随付款进度及时提供。</w:t>
            </w:r>
          </w:p>
          <w:p w14:paraId="23F5C0C9">
            <w:pPr>
              <w:spacing w:line="240" w:lineRule="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val="0"/>
                <w:color w:val="000000"/>
                <w:kern w:val="2"/>
                <w:sz w:val="22"/>
                <w:szCs w:val="22"/>
                <w:lang w:val="en-US" w:eastAsia="zh-CN" w:bidi="ar-SA"/>
              </w:rPr>
              <w:t>预付款在合同生效以及具备实施条件后7个工作日内支付，对于满足合同约定支付条件的，采购人自收到发票之日起7个工作日内向供应商支付资</w:t>
            </w:r>
            <w:r>
              <w:rPr>
                <w:rFonts w:hint="eastAsia" w:ascii="宋体" w:hAnsi="宋体" w:eastAsia="宋体" w:cs="宋体"/>
                <w:b/>
                <w:bCs/>
                <w:color w:val="auto"/>
                <w:sz w:val="22"/>
                <w:szCs w:val="22"/>
                <w:highlight w:val="none"/>
                <w:lang w:val="en-US" w:eastAsia="zh-CN"/>
              </w:rPr>
              <w:t>金。</w:t>
            </w:r>
          </w:p>
          <w:p w14:paraId="1AD2FF24">
            <w:pPr>
              <w:spacing w:line="240" w:lineRule="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注意：具体以采购人支付时间为准。</w:t>
            </w:r>
          </w:p>
          <w:p w14:paraId="5823C2EC">
            <w:pPr>
              <w:spacing w:line="240" w:lineRule="auto"/>
              <w:rPr>
                <w:rFonts w:hint="eastAsia"/>
              </w:rPr>
            </w:pPr>
            <w:r>
              <w:rPr>
                <w:rFonts w:hint="eastAsia" w:ascii="宋体" w:hAnsi="宋体" w:eastAsia="宋体" w:cs="宋体"/>
                <w:b/>
                <w:bCs/>
                <w:color w:val="auto"/>
                <w:sz w:val="22"/>
                <w:szCs w:val="22"/>
                <w:highlight w:val="none"/>
                <w:lang w:val="en-US" w:eastAsia="zh-CN"/>
              </w:rPr>
              <w:t>（根据《浙江省财政厅关于进一步发挥政府采购政策功能全力推动经济稳进提质的通知》（浙财采监[2022]3号）的规定，双方协商决定付款比例，如采购人无法按上述约定期限支付对应款项的，采购人与中标服务商根据实际情况另行协商确定付款时间，中标服务商确认不因采购人延期付款的情形要求采购人承担逾期付款利息等违约责任）。</w:t>
            </w:r>
          </w:p>
        </w:tc>
      </w:tr>
      <w:tr w14:paraId="40FA695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58" w:hRule="atLeast"/>
          <w:jc w:val="center"/>
        </w:trPr>
        <w:tc>
          <w:tcPr>
            <w:tcW w:w="675" w:type="dxa"/>
            <w:noWrap w:val="0"/>
            <w:vAlign w:val="center"/>
          </w:tcPr>
          <w:p w14:paraId="4D760489">
            <w:pPr>
              <w:jc w:val="center"/>
              <w:rPr>
                <w:rFonts w:hint="eastAsia" w:ascii="宋体" w:hAnsi="宋体" w:eastAsia="宋体" w:cs="宋体"/>
                <w:color w:val="000000"/>
                <w:sz w:val="22"/>
                <w:szCs w:val="22"/>
                <w:lang w:eastAsia="zh-CN"/>
              </w:rPr>
            </w:pPr>
            <w:r>
              <w:rPr>
                <w:rFonts w:hint="eastAsia" w:ascii="宋体" w:hAnsi="宋体" w:eastAsia="宋体" w:cs="宋体"/>
                <w:color w:val="000000"/>
                <w:sz w:val="22"/>
                <w:szCs w:val="22"/>
                <w:lang w:val="en-US" w:eastAsia="zh-CN"/>
              </w:rPr>
              <w:t>5</w:t>
            </w:r>
          </w:p>
        </w:tc>
        <w:tc>
          <w:tcPr>
            <w:tcW w:w="1452" w:type="dxa"/>
            <w:noWrap w:val="0"/>
            <w:vAlign w:val="center"/>
          </w:tcPr>
          <w:p w14:paraId="2BAA9E88">
            <w:pPr>
              <w:rPr>
                <w:rFonts w:hint="eastAsia" w:ascii="宋体" w:hAnsi="宋体" w:eastAsia="宋体" w:cs="宋体"/>
                <w:color w:val="000000"/>
                <w:sz w:val="22"/>
                <w:szCs w:val="22"/>
              </w:rPr>
            </w:pPr>
            <w:r>
              <w:rPr>
                <w:rFonts w:hint="eastAsia" w:ascii="宋体" w:hAnsi="宋体" w:eastAsia="宋体" w:cs="宋体"/>
                <w:color w:val="000000"/>
                <w:sz w:val="22"/>
                <w:szCs w:val="22"/>
              </w:rPr>
              <w:t>质量标准</w:t>
            </w:r>
          </w:p>
        </w:tc>
        <w:tc>
          <w:tcPr>
            <w:tcW w:w="7337" w:type="dxa"/>
            <w:noWrap w:val="0"/>
            <w:vAlign w:val="center"/>
          </w:tcPr>
          <w:p w14:paraId="489866C7">
            <w:pPr>
              <w:spacing w:line="240" w:lineRule="auto"/>
              <w:rPr>
                <w:rFonts w:hint="eastAsia" w:ascii="宋体" w:hAnsi="宋体" w:eastAsia="宋体" w:cs="宋体"/>
                <w:color w:val="000000"/>
                <w:sz w:val="22"/>
                <w:szCs w:val="22"/>
              </w:rPr>
            </w:pPr>
            <w:r>
              <w:rPr>
                <w:rFonts w:hint="eastAsia" w:ascii="宋体" w:hAnsi="宋体" w:eastAsia="宋体" w:cs="宋体"/>
                <w:color w:val="000000"/>
                <w:sz w:val="22"/>
                <w:szCs w:val="22"/>
              </w:rPr>
              <w:t>合格</w:t>
            </w:r>
          </w:p>
        </w:tc>
      </w:tr>
    </w:tbl>
    <w:p w14:paraId="459F2B29">
      <w:pPr>
        <w:bidi w:val="0"/>
        <w:rPr>
          <w:rFonts w:hint="eastAsia"/>
        </w:rPr>
      </w:pPr>
    </w:p>
    <w:p w14:paraId="55A8BB39">
      <w:pPr>
        <w:pStyle w:val="155"/>
        <w:keepNext w:val="0"/>
        <w:keepLines w:val="0"/>
        <w:pageBreakBefore w:val="0"/>
        <w:kinsoku/>
        <w:wordWrap/>
        <w:overflowPunct/>
        <w:topLinePunct w:val="0"/>
        <w:autoSpaceDE/>
        <w:autoSpaceDN/>
        <w:bidi w:val="0"/>
        <w:adjustRightInd/>
        <w:snapToGrid/>
        <w:spacing w:line="360" w:lineRule="auto"/>
        <w:ind w:firstLine="440" w:firstLineChars="200"/>
        <w:textAlignment w:val="auto"/>
        <w:rPr>
          <w:rFonts w:hint="eastAsia" w:ascii="宋体" w:hAnsi="宋体" w:eastAsia="宋体" w:cs="宋体"/>
          <w:color w:val="auto"/>
          <w:sz w:val="22"/>
          <w:szCs w:val="22"/>
          <w:highlight w:val="none"/>
          <w:lang w:val="en-US" w:eastAsia="zh-CN"/>
        </w:rPr>
      </w:pPr>
    </w:p>
    <w:p w14:paraId="513D5D0E">
      <w:pPr>
        <w:keepNext w:val="0"/>
        <w:keepLines w:val="0"/>
        <w:pageBreakBefore w:val="0"/>
        <w:kinsoku/>
        <w:wordWrap/>
        <w:overflowPunct/>
        <w:topLinePunct w:val="0"/>
        <w:autoSpaceDE/>
        <w:autoSpaceDN/>
        <w:bidi w:val="0"/>
        <w:adjustRightInd/>
        <w:snapToGrid/>
        <w:spacing w:line="360" w:lineRule="auto"/>
        <w:ind w:firstLine="431" w:firstLineChars="196"/>
        <w:textAlignment w:val="auto"/>
        <w:rPr>
          <w:rFonts w:hint="eastAsia" w:ascii="宋体" w:hAnsi="宋体" w:eastAsia="宋体" w:cs="宋体"/>
          <w:b w:val="0"/>
          <w:color w:val="auto"/>
          <w:sz w:val="22"/>
          <w:szCs w:val="22"/>
          <w:highlight w:val="none"/>
          <w:u w:val="single"/>
        </w:rPr>
      </w:pPr>
    </w:p>
    <w:bookmarkEnd w:id="3"/>
    <w:p w14:paraId="000B8769">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4664A98A">
      <w:pPr>
        <w:pStyle w:val="41"/>
        <w:rPr>
          <w:rFonts w:hint="eastAsia" w:ascii="宋体" w:hAnsi="宋体" w:eastAsia="宋体" w:cs="宋体"/>
          <w:color w:val="auto"/>
          <w:highlight w:val="none"/>
        </w:rPr>
      </w:pPr>
      <w:bookmarkStart w:id="30" w:name="_Toc2103"/>
      <w:r>
        <w:rPr>
          <w:rFonts w:hint="eastAsia" w:ascii="宋体" w:hAnsi="宋体" w:eastAsia="宋体" w:cs="宋体"/>
          <w:color w:val="auto"/>
          <w:highlight w:val="none"/>
        </w:rPr>
        <w:t>第三部分 投标供应商须知</w:t>
      </w:r>
      <w:bookmarkEnd w:id="30"/>
    </w:p>
    <w:p w14:paraId="21C8EC00">
      <w:pPr>
        <w:widowControl/>
        <w:spacing w:line="360" w:lineRule="auto"/>
        <w:jc w:val="left"/>
        <w:rPr>
          <w:rFonts w:hint="eastAsia" w:ascii="宋体" w:hAnsi="宋体" w:eastAsia="宋体" w:cs="宋体"/>
          <w:bCs w:val="0"/>
          <w:color w:val="auto"/>
          <w:sz w:val="22"/>
          <w:szCs w:val="22"/>
          <w:highlight w:val="none"/>
        </w:rPr>
      </w:pPr>
      <w:r>
        <w:rPr>
          <w:rFonts w:hint="eastAsia" w:ascii="宋体" w:hAnsi="宋体" w:eastAsia="宋体" w:cs="宋体"/>
          <w:bCs w:val="0"/>
          <w:color w:val="auto"/>
          <w:sz w:val="22"/>
          <w:szCs w:val="22"/>
          <w:highlight w:val="none"/>
        </w:rPr>
        <w:t>一、说明</w:t>
      </w:r>
    </w:p>
    <w:p w14:paraId="12CCE0AE">
      <w:pPr>
        <w:widowControl/>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1、本次采购</w:t>
      </w:r>
      <w:r>
        <w:rPr>
          <w:rFonts w:hint="eastAsia" w:ascii="宋体" w:eastAsia="宋体" w:cs="宋体"/>
          <w:b w:val="0"/>
          <w:color w:val="auto"/>
          <w:sz w:val="22"/>
          <w:szCs w:val="22"/>
          <w:highlight w:val="none"/>
          <w:lang w:eastAsia="zh-CN"/>
        </w:rPr>
        <w:t>工作</w:t>
      </w:r>
      <w:r>
        <w:rPr>
          <w:rFonts w:hint="eastAsia" w:ascii="宋体" w:hAnsi="宋体" w:eastAsia="宋体" w:cs="宋体"/>
          <w:b w:val="0"/>
          <w:color w:val="auto"/>
          <w:sz w:val="22"/>
          <w:szCs w:val="22"/>
          <w:highlight w:val="none"/>
        </w:rPr>
        <w:t>按照《中华人民共和国政府采购法</w:t>
      </w:r>
      <w:r>
        <w:rPr>
          <w:rFonts w:hint="eastAsia" w:ascii="宋体" w:eastAsia="宋体" w:cs="宋体"/>
          <w:b w:val="0"/>
          <w:color w:val="auto"/>
          <w:sz w:val="22"/>
          <w:szCs w:val="22"/>
          <w:highlight w:val="none"/>
          <w:lang w:eastAsia="zh-CN"/>
        </w:rPr>
        <w:t>》《</w:t>
      </w:r>
      <w:r>
        <w:rPr>
          <w:rFonts w:hint="eastAsia" w:ascii="宋体" w:hAnsi="宋体" w:eastAsia="宋体" w:cs="宋体"/>
          <w:b w:val="0"/>
          <w:color w:val="auto"/>
          <w:sz w:val="22"/>
          <w:szCs w:val="22"/>
          <w:highlight w:val="none"/>
        </w:rPr>
        <w:t>政府采购竞争性磋商采购方式管理暂行办法》及相关法律规章组织和实施。</w:t>
      </w:r>
    </w:p>
    <w:p w14:paraId="26B4870B">
      <w:pPr>
        <w:widowControl/>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2、无论采购过程中</w:t>
      </w:r>
      <w:r>
        <w:rPr>
          <w:rFonts w:hint="eastAsia" w:ascii="宋体" w:eastAsia="宋体" w:cs="宋体"/>
          <w:b w:val="0"/>
          <w:color w:val="auto"/>
          <w:sz w:val="22"/>
          <w:szCs w:val="22"/>
          <w:highlight w:val="none"/>
          <w:lang w:eastAsia="zh-CN"/>
        </w:rPr>
        <w:t>的做法</w:t>
      </w:r>
      <w:r>
        <w:rPr>
          <w:rFonts w:hint="eastAsia" w:ascii="宋体" w:hAnsi="宋体" w:eastAsia="宋体" w:cs="宋体"/>
          <w:b w:val="0"/>
          <w:color w:val="auto"/>
          <w:sz w:val="22"/>
          <w:szCs w:val="22"/>
          <w:highlight w:val="none"/>
        </w:rPr>
        <w:t>和结果如何，投标供应商自行承担采购活动中所发生的全部费用。</w:t>
      </w:r>
    </w:p>
    <w:p w14:paraId="4E13CD61">
      <w:pPr>
        <w:adjustRightInd w:val="0"/>
        <w:spacing w:line="360" w:lineRule="auto"/>
        <w:ind w:firstLine="431" w:firstLineChars="196"/>
        <w:rPr>
          <w:rFonts w:hint="eastAsia" w:ascii="宋体" w:hAnsi="宋体" w:eastAsia="宋体" w:cs="宋体"/>
          <w:color w:val="auto"/>
          <w:sz w:val="22"/>
          <w:szCs w:val="22"/>
          <w:highlight w:val="none"/>
          <w:u w:val="single"/>
        </w:rPr>
      </w:pPr>
      <w:r>
        <w:rPr>
          <w:rFonts w:hint="eastAsia" w:ascii="宋体" w:hAnsi="宋体" w:eastAsia="宋体" w:cs="宋体"/>
          <w:b w:val="0"/>
          <w:color w:val="auto"/>
          <w:sz w:val="22"/>
          <w:szCs w:val="22"/>
          <w:highlight w:val="none"/>
        </w:rPr>
        <w:t>3、</w:t>
      </w:r>
      <w:r>
        <w:rPr>
          <w:rFonts w:hint="eastAsia" w:ascii="宋体" w:hAnsi="宋体" w:eastAsia="宋体" w:cs="宋体"/>
          <w:color w:val="auto"/>
          <w:sz w:val="22"/>
          <w:szCs w:val="22"/>
          <w:highlight w:val="none"/>
          <w:u w:val="single"/>
        </w:rPr>
        <w:t>投标供应商必须对全部服务内容进行投标。</w:t>
      </w:r>
    </w:p>
    <w:p w14:paraId="1266BE52">
      <w:pPr>
        <w:spacing w:line="360" w:lineRule="auto"/>
        <w:ind w:firstLine="442"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w:t>
      </w:r>
      <w:r>
        <w:rPr>
          <w:rFonts w:hint="eastAsia" w:ascii="宋体" w:hAnsi="宋体" w:eastAsia="宋体" w:cs="宋体"/>
          <w:color w:val="auto"/>
          <w:sz w:val="22"/>
          <w:szCs w:val="22"/>
          <w:highlight w:val="none"/>
          <w:u w:val="single"/>
        </w:rPr>
        <w:t>本项目采用竞争性磋商采购方式进行采购，在磋商过程中，磋商小组可以根据磋商文件和磋商情况实质性变动服务要求以及合同草案条款，但不得变动磋商文件中的其他内容。已提交磋商响应文件的投标供应商，在提交最后报价之前，可以根据磋商情况退出磋商。</w:t>
      </w:r>
    </w:p>
    <w:p w14:paraId="094CFCE3">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5、投标供应商领取磋商文件后如不前来投标，需在开标前三日书面通知采购代理机构，以便于本项目后续工作开展。</w:t>
      </w:r>
    </w:p>
    <w:p w14:paraId="7CE65C31">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6、使用综合评分法的采购项目，提供相同品牌产品且通过资格审查、符合性审查的不同投标供应商参加同一合同项下投标的，按一家投标供应商计算，评审后得分最高的同品牌投标供应商获得中标人推荐资格；评审得分相同的，采取随机抽取方式确定，其他同品牌投标供应商不作为中标候选人。</w:t>
      </w:r>
    </w:p>
    <w:p w14:paraId="1BDC1F85">
      <w:pPr>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b w:val="0"/>
          <w:bCs w:val="0"/>
          <w:color w:val="auto"/>
          <w:sz w:val="22"/>
          <w:szCs w:val="22"/>
          <w:highlight w:val="none"/>
        </w:rPr>
        <w:t>7、</w:t>
      </w:r>
      <w:r>
        <w:rPr>
          <w:rFonts w:hint="eastAsia" w:ascii="宋体" w:hAnsi="宋体" w:eastAsia="宋体" w:cs="宋体"/>
          <w:color w:val="auto"/>
          <w:sz w:val="22"/>
          <w:szCs w:val="22"/>
          <w:highlight w:val="none"/>
        </w:rPr>
        <w:t>本项目采用在线投标响应方式，执行《浙江省财政厅关于印发浙江省政府采购项目电子交易管理暂行办法的通知》（浙财采监〔2019〕10 号）等相关规定。</w:t>
      </w:r>
    </w:p>
    <w:p w14:paraId="70CD1F8C">
      <w:pPr>
        <w:widowControl/>
        <w:autoSpaceDE w:val="0"/>
        <w:autoSpaceDN w:val="0"/>
        <w:adjustRightInd w:val="0"/>
        <w:spacing w:line="360" w:lineRule="auto"/>
        <w:ind w:firstLine="442" w:firstLineChars="200"/>
        <w:textAlignment w:val="bottom"/>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8、执行节能产品政府强制采购和优先采购政策，执行环境标志产品政府优先采购政策；</w:t>
      </w:r>
    </w:p>
    <w:p w14:paraId="79E9AD78">
      <w:pPr>
        <w:spacing w:line="360" w:lineRule="auto"/>
        <w:ind w:firstLine="442"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9、根据浙江省财政厅《关于坚决打赢疫情防控狙击战进一步做好政府采购资金支持企业发展工作的通知》（浙财采监〔2020〕3号）和</w:t>
      </w:r>
      <w:r>
        <w:rPr>
          <w:rFonts w:hint="eastAsia" w:ascii="宋体" w:eastAsia="宋体" w:cs="宋体"/>
          <w:color w:val="auto"/>
          <w:sz w:val="22"/>
          <w:szCs w:val="22"/>
          <w:highlight w:val="none"/>
          <w:lang w:eastAsia="zh-CN"/>
        </w:rPr>
        <w:t>中共永嘉县委组织部</w:t>
      </w:r>
      <w:r>
        <w:rPr>
          <w:rFonts w:hint="eastAsia" w:ascii="宋体" w:hAnsi="宋体" w:eastAsia="宋体" w:cs="宋体"/>
          <w:color w:val="auto"/>
          <w:sz w:val="22"/>
          <w:szCs w:val="22"/>
          <w:highlight w:val="none"/>
        </w:rPr>
        <w:t>《关于做好政府采购相关工作应对新冠肺炎疫情支持中小企业共渡难关的通知》（永财采监〔2020〕47号）文件精神，</w:t>
      </w:r>
      <w:r>
        <w:rPr>
          <w:rFonts w:hint="eastAsia" w:ascii="宋体" w:eastAsia="宋体" w:cs="宋体"/>
          <w:color w:val="auto"/>
          <w:sz w:val="22"/>
          <w:szCs w:val="22"/>
          <w:highlight w:val="none"/>
          <w:lang w:eastAsia="zh-CN"/>
        </w:rPr>
        <w:t>中共永嘉县委组织部</w:t>
      </w:r>
      <w:r>
        <w:rPr>
          <w:rFonts w:hint="eastAsia" w:ascii="宋体" w:hAnsi="宋体" w:eastAsia="宋体" w:cs="宋体"/>
          <w:color w:val="auto"/>
          <w:sz w:val="22"/>
          <w:szCs w:val="22"/>
          <w:highlight w:val="none"/>
        </w:rPr>
        <w:t>积极协同永嘉县相关金融机构，加快推广政采贷、履约保函等政府采购金融服务。各中标供应商可直接在政采云上申请政采贷也可以通过线下申请政采贷活动，永嘉县域内金融机构政采贷服务业务介绍详见采购公告“政采贷融资”，如有需要可直接联系。</w:t>
      </w:r>
    </w:p>
    <w:p w14:paraId="645AD24A">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10、采用最低评标价法的采购项目，提供相同品牌产品的不同投标供应商参加同一合同项下投标的，以其中通过资格审查、符合性审查且报价最低的参加评标；报价相同的，采取随机抽取方式确定，其他投标无效。</w:t>
      </w:r>
    </w:p>
    <w:p w14:paraId="029A3EEF">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使用综合评分法的采购项目，提供相同品牌产品且通过资格审查、符合性审查的不同投标供应商参加同一合同项下投标的，按一家投标供应商计算，评审后得分最高的同品牌投标供应商获得中标人推荐资格；评审得分相同的，采取随机抽取方式确定，其他同品牌投标供应商不作为中标候选人。</w:t>
      </w:r>
    </w:p>
    <w:p w14:paraId="3DB62CA1">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 xml:space="preserve">非单一产品采购项目， 单项产品投标价格比重占总投标价 50% 及以上的认定为核心产品 （有效投标供应商中一家供应商该产品投标价格占总投标价 50% </w:t>
      </w:r>
      <w:r>
        <w:rPr>
          <w:rFonts w:hint="eastAsia" w:ascii="宋体" w:eastAsia="宋体" w:cs="宋体"/>
          <w:b w:val="0"/>
          <w:bCs w:val="0"/>
          <w:color w:val="auto"/>
          <w:sz w:val="22"/>
          <w:szCs w:val="22"/>
          <w:highlight w:val="none"/>
          <w:lang w:eastAsia="zh-CN"/>
        </w:rPr>
        <w:t>及</w:t>
      </w:r>
      <w:r>
        <w:rPr>
          <w:rFonts w:hint="eastAsia" w:ascii="宋体" w:hAnsi="宋体" w:eastAsia="宋体" w:cs="宋体"/>
          <w:b w:val="0"/>
          <w:bCs w:val="0"/>
          <w:color w:val="auto"/>
          <w:sz w:val="22"/>
          <w:szCs w:val="22"/>
          <w:highlight w:val="none"/>
        </w:rPr>
        <w:t>以上即认定）， 多家投标供应商提供的核心产品品牌相同的，按前两款规定处理。</w:t>
      </w:r>
    </w:p>
    <w:p w14:paraId="595B51F0">
      <w:pPr>
        <w:spacing w:line="360" w:lineRule="auto"/>
        <w:ind w:firstLine="440" w:firstLineChars="200"/>
        <w:rPr>
          <w:rFonts w:hint="default" w:ascii="宋体" w:hAns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11、</w:t>
      </w:r>
      <w:r>
        <w:rPr>
          <w:rFonts w:hint="eastAsia" w:ascii="宋体" w:hAnsi="宋体" w:eastAsia="宋体" w:cs="宋体"/>
          <w:b w:val="0"/>
          <w:bCs w:val="0"/>
          <w:color w:val="auto"/>
          <w:sz w:val="22"/>
          <w:szCs w:val="22"/>
          <w:highlight w:val="none"/>
        </w:rPr>
        <w:t>若同一标准已颁发新标准，则按最新标准执行。若同一产品同时有几个标准（国际标准、国家标准、行业标准、企业标准等），则按最高层次的标准执行。</w:t>
      </w:r>
    </w:p>
    <w:p w14:paraId="08FF5CA6">
      <w:pPr>
        <w:widowControl/>
        <w:spacing w:line="360" w:lineRule="auto"/>
        <w:jc w:val="left"/>
        <w:rPr>
          <w:rFonts w:hint="eastAsia" w:ascii="宋体" w:hAnsi="宋体" w:eastAsia="宋体" w:cs="宋体"/>
          <w:bCs w:val="0"/>
          <w:color w:val="auto"/>
          <w:sz w:val="22"/>
          <w:szCs w:val="22"/>
          <w:highlight w:val="none"/>
        </w:rPr>
      </w:pPr>
      <w:r>
        <w:rPr>
          <w:rFonts w:hint="eastAsia" w:ascii="宋体" w:hAnsi="宋体" w:eastAsia="宋体" w:cs="宋体"/>
          <w:bCs w:val="0"/>
          <w:color w:val="auto"/>
          <w:sz w:val="22"/>
          <w:szCs w:val="22"/>
          <w:highlight w:val="none"/>
        </w:rPr>
        <w:t>二、投标供应商资格条件</w:t>
      </w:r>
    </w:p>
    <w:p w14:paraId="4472DBE3">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按采购公告要求</w:t>
      </w:r>
    </w:p>
    <w:p w14:paraId="60137478">
      <w:pPr>
        <w:widowControl/>
        <w:spacing w:line="360" w:lineRule="auto"/>
        <w:jc w:val="left"/>
        <w:rPr>
          <w:rFonts w:hint="eastAsia" w:ascii="宋体" w:hAnsi="宋体" w:eastAsia="宋体" w:cs="宋体"/>
          <w:bCs w:val="0"/>
          <w:color w:val="auto"/>
          <w:sz w:val="22"/>
          <w:szCs w:val="22"/>
          <w:highlight w:val="none"/>
        </w:rPr>
      </w:pPr>
      <w:r>
        <w:rPr>
          <w:rFonts w:hint="eastAsia" w:ascii="宋体" w:hAnsi="宋体" w:eastAsia="宋体" w:cs="宋体"/>
          <w:bCs w:val="0"/>
          <w:color w:val="auto"/>
          <w:sz w:val="22"/>
          <w:szCs w:val="22"/>
          <w:highlight w:val="none"/>
        </w:rPr>
        <w:t>三、竞争性磋商文件</w:t>
      </w:r>
    </w:p>
    <w:p w14:paraId="4511030E">
      <w:pPr>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1、竞争性磋商文件</w:t>
      </w:r>
    </w:p>
    <w:p w14:paraId="50175723">
      <w:pPr>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1.1竞争性磋商文件发放</w:t>
      </w:r>
    </w:p>
    <w:p w14:paraId="6ED91B5D">
      <w:pPr>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采购文件实行“政采云平台”在线获取，不提供采购文件纸质版。</w:t>
      </w:r>
    </w:p>
    <w:p w14:paraId="28A88551">
      <w:pPr>
        <w:spacing w:line="360" w:lineRule="auto"/>
        <w:ind w:firstLine="442" w:firstLineChars="200"/>
        <w:rPr>
          <w:rFonts w:hint="eastAsia" w:ascii="宋体" w:hAnsi="宋体" w:eastAsia="宋体" w:cs="宋体"/>
          <w:color w:val="auto"/>
          <w:sz w:val="22"/>
          <w:szCs w:val="22"/>
          <w:highlight w:val="none"/>
          <w:u w:val="single"/>
          <w:lang w:val="zh-CN"/>
        </w:rPr>
      </w:pPr>
      <w:r>
        <w:rPr>
          <w:rFonts w:hint="eastAsia" w:ascii="宋体" w:hAnsi="宋体" w:eastAsia="宋体" w:cs="宋体"/>
          <w:color w:val="auto"/>
          <w:sz w:val="22"/>
          <w:szCs w:val="22"/>
          <w:highlight w:val="none"/>
          <w:u w:val="single"/>
          <w:lang w:val="zh-CN"/>
        </w:rPr>
        <w:t>1.2竞争性磋商文件约束力</w:t>
      </w:r>
    </w:p>
    <w:p w14:paraId="0301F6E0">
      <w:pPr>
        <w:autoSpaceDE w:val="0"/>
        <w:autoSpaceDN w:val="0"/>
        <w:adjustRightInd w:val="0"/>
        <w:spacing w:line="360" w:lineRule="auto"/>
        <w:ind w:firstLine="442" w:firstLineChars="200"/>
        <w:rPr>
          <w:rFonts w:hint="eastAsia" w:ascii="宋体" w:hAnsi="宋体" w:eastAsia="宋体" w:cs="宋体"/>
          <w:color w:val="auto"/>
          <w:sz w:val="22"/>
          <w:szCs w:val="22"/>
          <w:highlight w:val="none"/>
          <w:u w:val="single"/>
          <w:lang w:val="zh-CN"/>
        </w:rPr>
      </w:pPr>
      <w:r>
        <w:rPr>
          <w:rFonts w:hint="eastAsia" w:ascii="宋体" w:hAnsi="宋体" w:eastAsia="宋体" w:cs="宋体"/>
          <w:color w:val="auto"/>
          <w:sz w:val="22"/>
          <w:szCs w:val="22"/>
          <w:highlight w:val="none"/>
          <w:u w:val="single"/>
          <w:lang w:val="zh-CN"/>
        </w:rPr>
        <w:t>投标供应商一旦下载了本竞争性磋商文件并参加投标，即被认为接受了本竞争性磋商文件中所有条款和规定。</w:t>
      </w:r>
    </w:p>
    <w:p w14:paraId="35C0EDA8">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2、质疑</w:t>
      </w:r>
    </w:p>
    <w:p w14:paraId="592177C4">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2.1投标供应商认为采购文件、采购过程、中标或者成交结果使自己的权益受到损害的，可以在知道或者应知其权益受到损害之日起7个工作日内，以书面形式或在政采云（在线询问和质疑系统）中向采购人、采购代理机构提出质疑。逾期提出的，采购组织机构将不予受理、答复。</w:t>
      </w:r>
    </w:p>
    <w:p w14:paraId="4EB4619A">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2.2投标供应商提出质疑应当提交质疑函和必要的证明材料，质疑函范本请到“浙江政府采购网下载专区”下载，质疑函内容及签署等相关要求请参看《政府采购质疑和投诉办法》相关规定。</w:t>
      </w:r>
    </w:p>
    <w:p w14:paraId="41189F8D">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2.3提出质疑的投标供应商应当是参与本项目招标活动的投标供应商。投标供应商在法定质疑期内一次性提出针对同一采购程序环节的质疑。</w:t>
      </w:r>
    </w:p>
    <w:p w14:paraId="2EF75881">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2.4根据《政府采购质疑和投诉办法》第三十七条的规定，投诉人在全国范围12个月内三次以上投诉查无实据的，由财政部门列入不良行为记录名单。</w:t>
      </w:r>
    </w:p>
    <w:p w14:paraId="56F0D3DB">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3.投诉</w:t>
      </w:r>
    </w:p>
    <w:p w14:paraId="7C294347">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3.1质疑投标供应商对采购人、采购代理机构的答复不满意或者采购人、采购代理机构未在规定的时间内作出答复的，可以在答复期满后十五个工作日内向同级政府采购监督部门投诉。投诉书范本请到“浙江政府采购网下载专区”下载。</w:t>
      </w:r>
    </w:p>
    <w:p w14:paraId="3241D845">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4.采购文件的澄清或修改</w:t>
      </w:r>
    </w:p>
    <w:p w14:paraId="3B6D7409">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4.1采购人或者采购代理机构可以对已发出的采购文件进行必要的澄清或者修改。澄清或者修改在浙江政府采购网上发布公告，同时政采云系统会向所有已按采购文件规定方式获取采购文件的潜在投标供应商发送更正提醒信息，潜在投标供应商请自行到浙江省政府采购网上下载公告附件，潜在投标供应商在收到该公告附件后应于1日内，以书面或传真形式（签署意见并加盖公章）向采购代理机构回函给予确认。过期未回复的，视为默认接受。澄清或者修改的内容为采购文件的组成部分。</w:t>
      </w:r>
    </w:p>
    <w:p w14:paraId="6F0A1070">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4.2澄清或者修改的内容可能影响响应文件编制的，采购人或者采购代理机构应当在投标截止时间至少5日前，以书面形式（在浙江政府采购网上发布公告）通知所有获取采购文件的潜在投标供应商；不足5日的，采购人或者采购代理机构应当顺延提交响应文件的截止时间。</w:t>
      </w:r>
    </w:p>
    <w:p w14:paraId="1CC0F0F4">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4.3采购文件如有补充更正均见“政采云”（http://www.zjzfcg.gov.cn）。投标供应商须在开标前一日自行查看是否有补充更正文件，并按补充更正文件要求投标，否则责任自负。</w:t>
      </w:r>
    </w:p>
    <w:p w14:paraId="49F43A23">
      <w:pPr>
        <w:autoSpaceDE w:val="0"/>
        <w:autoSpaceDN w:val="0"/>
        <w:adjustRightInd w:val="0"/>
        <w:spacing w:line="360" w:lineRule="auto"/>
        <w:ind w:firstLine="442" w:firstLineChars="200"/>
        <w:rPr>
          <w:rFonts w:hint="eastAsia" w:ascii="宋体" w:hAnsi="宋体" w:eastAsia="宋体" w:cs="宋体"/>
          <w:bCs w:val="0"/>
          <w:color w:val="auto"/>
          <w:sz w:val="22"/>
          <w:szCs w:val="22"/>
          <w:highlight w:val="none"/>
        </w:rPr>
      </w:pPr>
      <w:r>
        <w:rPr>
          <w:rFonts w:hint="eastAsia" w:ascii="宋体" w:hAnsi="宋体" w:eastAsia="宋体" w:cs="宋体"/>
          <w:bCs w:val="0"/>
          <w:color w:val="auto"/>
          <w:sz w:val="22"/>
          <w:szCs w:val="22"/>
          <w:highlight w:val="none"/>
        </w:rPr>
        <w:t>四、磋商响应文件</w:t>
      </w:r>
    </w:p>
    <w:p w14:paraId="2207F27C">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1、磋商响应文件</w:t>
      </w:r>
    </w:p>
    <w:p w14:paraId="7F819866">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1.1投标供应商应仔细阅读竞争性磋商文件中的所有内容，按照竞争性磋商文件要求，详细编制磋商响应文件。并对竞争性磋商文件的要求做出实质上响应。实质上响应的报价应该是与竞争性磋商文件要求没有重大偏离的磋商响应文件。未实质上响应的磋商响应文件将被拒绝，但允许投标供应商在基本满足采购要求的前提下</w:t>
      </w:r>
      <w:r>
        <w:rPr>
          <w:rFonts w:hint="eastAsia" w:ascii="宋体" w:eastAsia="宋体" w:cs="宋体"/>
          <w:b w:val="0"/>
          <w:color w:val="auto"/>
          <w:sz w:val="22"/>
          <w:szCs w:val="22"/>
          <w:highlight w:val="none"/>
          <w:lang w:val="zh-CN"/>
        </w:rPr>
        <w:t>出现</w:t>
      </w:r>
      <w:r>
        <w:rPr>
          <w:rFonts w:hint="eastAsia" w:ascii="宋体" w:hAnsi="宋体" w:eastAsia="宋体" w:cs="宋体"/>
          <w:b w:val="0"/>
          <w:color w:val="auto"/>
          <w:sz w:val="22"/>
          <w:szCs w:val="22"/>
          <w:highlight w:val="none"/>
          <w:lang w:val="zh-CN"/>
        </w:rPr>
        <w:t>微小差异。</w:t>
      </w:r>
    </w:p>
    <w:p w14:paraId="3902D5C7">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1.2投标供应商必须按竞争性磋商文件的要求提供相关技术参数、资料，包括采用的计量单位，并保证磋商响应文件的正确性和真实性。磋商响应文件全部内容应保持一致，否则可能导致不利于其投标的评定甚至被拒绝。技术和商务如有偏离均应填写偏离表。</w:t>
      </w:r>
    </w:p>
    <w:p w14:paraId="00E9DF49">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1.3投标供应商应仔细阅读竞争性磋商文件中的所有内容，按照竞争性磋商文件要求，详细编制磋商响应文件，所有文件资料必须是针对本次投标。不按竞争性磋商文件的要求提供的磋商响应文件可能导致被拒绝。</w:t>
      </w:r>
    </w:p>
    <w:p w14:paraId="06DD6D53">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2、磋商响应文件的组成</w:t>
      </w:r>
    </w:p>
    <w:p w14:paraId="55F464B9">
      <w:pPr>
        <w:autoSpaceDE w:val="0"/>
        <w:autoSpaceDN w:val="0"/>
        <w:adjustRightInd w:val="0"/>
        <w:spacing w:line="360" w:lineRule="auto"/>
        <w:ind w:firstLine="442" w:firstLineChars="200"/>
        <w:rPr>
          <w:rFonts w:hint="eastAsia" w:ascii="宋体" w:hAnsi="宋体" w:eastAsia="宋体" w:cs="宋体"/>
          <w:color w:val="auto"/>
          <w:sz w:val="22"/>
          <w:szCs w:val="22"/>
          <w:highlight w:val="none"/>
          <w:u w:val="single"/>
          <w:lang w:val="zh-CN"/>
        </w:rPr>
      </w:pPr>
      <w:r>
        <w:rPr>
          <w:rFonts w:hint="eastAsia" w:ascii="宋体" w:hAnsi="宋体" w:eastAsia="宋体" w:cs="宋体"/>
          <w:color w:val="auto"/>
          <w:sz w:val="22"/>
          <w:szCs w:val="22"/>
          <w:highlight w:val="none"/>
          <w:u w:val="single"/>
          <w:lang w:val="zh-CN"/>
        </w:rPr>
        <w:t>磋商响应文件由资格文件、报价文件、商务技术文件三部分组成。</w:t>
      </w:r>
    </w:p>
    <w:p w14:paraId="18E6EC1D">
      <w:pPr>
        <w:autoSpaceDE w:val="0"/>
        <w:autoSpaceDN w:val="0"/>
        <w:adjustRightInd w:val="0"/>
        <w:spacing w:line="450" w:lineRule="atLeast"/>
        <w:ind w:firstLine="442" w:firstLineChars="200"/>
        <w:rPr>
          <w:rFonts w:hint="eastAsia" w:ascii="宋体" w:hAnsi="宋体" w:eastAsia="宋体" w:cs="宋体"/>
          <w:color w:val="auto"/>
          <w:sz w:val="22"/>
          <w:szCs w:val="22"/>
          <w:highlight w:val="none"/>
          <w:u w:val="single"/>
          <w:lang w:val="zh-CN"/>
        </w:rPr>
      </w:pPr>
      <w:r>
        <w:rPr>
          <w:rFonts w:hint="eastAsia" w:ascii="宋体" w:hAnsi="宋体" w:eastAsia="宋体" w:cs="宋体"/>
          <w:color w:val="auto"/>
          <w:sz w:val="22"/>
          <w:szCs w:val="22"/>
          <w:highlight w:val="none"/>
          <w:u w:val="single"/>
          <w:lang w:val="zh-CN"/>
        </w:rPr>
        <w:t>2.1、资格文件部分组成</w:t>
      </w:r>
    </w:p>
    <w:tbl>
      <w:tblPr>
        <w:tblStyle w:val="4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9"/>
        <w:gridCol w:w="7729"/>
        <w:gridCol w:w="1068"/>
      </w:tblGrid>
      <w:tr w14:paraId="3C551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2" w:type="pct"/>
            <w:tcBorders>
              <w:top w:val="single" w:color="auto" w:sz="4" w:space="0"/>
              <w:left w:val="single" w:color="auto" w:sz="4" w:space="0"/>
              <w:bottom w:val="single" w:color="auto" w:sz="4" w:space="0"/>
              <w:right w:val="single" w:color="auto" w:sz="4" w:space="0"/>
            </w:tcBorders>
            <w:vAlign w:val="center"/>
          </w:tcPr>
          <w:p w14:paraId="785866E7">
            <w:pPr>
              <w:autoSpaceDE w:val="0"/>
              <w:autoSpaceDN w:val="0"/>
              <w:adjustRightInd w:val="0"/>
              <w:snapToGrid w:val="0"/>
              <w:spacing w:line="430" w:lineRule="atLeast"/>
              <w:jc w:val="center"/>
              <w:rPr>
                <w:rFonts w:hint="eastAsia" w:ascii="宋体" w:hAnsi="宋体" w:eastAsia="宋体" w:cs="宋体"/>
                <w:b/>
                <w:bCs/>
                <w:color w:val="auto"/>
                <w:sz w:val="22"/>
                <w:szCs w:val="22"/>
                <w:highlight w:val="none"/>
                <w:lang w:val="zh-CN"/>
              </w:rPr>
            </w:pPr>
            <w:r>
              <w:rPr>
                <w:rFonts w:hint="eastAsia" w:ascii="宋体" w:hAnsi="宋体" w:eastAsia="宋体" w:cs="宋体"/>
                <w:color w:val="auto"/>
                <w:sz w:val="22"/>
                <w:szCs w:val="22"/>
                <w:highlight w:val="none"/>
                <w:lang w:val="zh-CN"/>
              </w:rPr>
              <w:t>序号</w:t>
            </w:r>
          </w:p>
        </w:tc>
        <w:tc>
          <w:tcPr>
            <w:tcW w:w="4038" w:type="pct"/>
            <w:tcBorders>
              <w:top w:val="single" w:color="auto" w:sz="4" w:space="0"/>
              <w:left w:val="single" w:color="auto" w:sz="4" w:space="0"/>
              <w:bottom w:val="single" w:color="auto" w:sz="4" w:space="0"/>
              <w:right w:val="single" w:color="auto" w:sz="4" w:space="0"/>
            </w:tcBorders>
          </w:tcPr>
          <w:p w14:paraId="2018EBBE">
            <w:pPr>
              <w:autoSpaceDE w:val="0"/>
              <w:autoSpaceDN w:val="0"/>
              <w:adjustRightInd w:val="0"/>
              <w:snapToGrid w:val="0"/>
              <w:spacing w:line="430" w:lineRule="atLeast"/>
              <w:jc w:val="center"/>
              <w:rPr>
                <w:rFonts w:hint="eastAsia" w:ascii="宋体" w:hAnsi="宋体" w:eastAsia="宋体" w:cs="宋体"/>
                <w:b/>
                <w:bCs/>
                <w:color w:val="auto"/>
                <w:sz w:val="22"/>
                <w:szCs w:val="22"/>
                <w:highlight w:val="none"/>
                <w:lang w:val="zh-CN"/>
              </w:rPr>
            </w:pPr>
            <w:r>
              <w:rPr>
                <w:rFonts w:hint="eastAsia" w:ascii="宋体" w:hAnsi="宋体" w:eastAsia="宋体" w:cs="宋体"/>
                <w:color w:val="auto"/>
                <w:sz w:val="22"/>
                <w:szCs w:val="22"/>
                <w:highlight w:val="none"/>
                <w:u w:val="single"/>
                <w:lang w:val="zh-CN"/>
              </w:rPr>
              <w:t>内容（▲以下资格证明文件必须提供，否则不能通过资格审查的，责任自负</w:t>
            </w:r>
            <w:r>
              <w:rPr>
                <w:rFonts w:hint="eastAsia" w:ascii="宋体" w:hAnsi="宋体" w:eastAsia="宋体" w:cs="宋体"/>
                <w:color w:val="auto"/>
                <w:sz w:val="22"/>
                <w:szCs w:val="22"/>
                <w:highlight w:val="none"/>
                <w:lang w:val="zh-CN"/>
              </w:rPr>
              <w:t>）</w:t>
            </w:r>
          </w:p>
        </w:tc>
        <w:tc>
          <w:tcPr>
            <w:tcW w:w="558" w:type="pct"/>
            <w:tcBorders>
              <w:top w:val="single" w:color="auto" w:sz="4" w:space="0"/>
              <w:left w:val="single" w:color="auto" w:sz="4" w:space="0"/>
              <w:bottom w:val="single" w:color="auto" w:sz="4" w:space="0"/>
              <w:right w:val="single" w:color="auto" w:sz="4" w:space="0"/>
            </w:tcBorders>
          </w:tcPr>
          <w:p w14:paraId="2D4DE26A">
            <w:pPr>
              <w:autoSpaceDE w:val="0"/>
              <w:autoSpaceDN w:val="0"/>
              <w:adjustRightInd w:val="0"/>
              <w:snapToGrid w:val="0"/>
              <w:spacing w:line="430" w:lineRule="atLeast"/>
              <w:jc w:val="center"/>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备注</w:t>
            </w:r>
          </w:p>
        </w:tc>
      </w:tr>
      <w:tr w14:paraId="2AF222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2" w:type="pct"/>
            <w:tcBorders>
              <w:top w:val="single" w:color="auto" w:sz="4" w:space="0"/>
              <w:left w:val="single" w:color="auto" w:sz="4" w:space="0"/>
              <w:bottom w:val="single" w:color="auto" w:sz="4" w:space="0"/>
              <w:right w:val="single" w:color="auto" w:sz="4" w:space="0"/>
            </w:tcBorders>
            <w:vAlign w:val="center"/>
          </w:tcPr>
          <w:p w14:paraId="38E0627C">
            <w:pPr>
              <w:tabs>
                <w:tab w:val="left" w:pos="4140"/>
              </w:tabs>
              <w:adjustRightInd w:val="0"/>
              <w:snapToGrid w:val="0"/>
              <w:spacing w:line="320" w:lineRule="atLeast"/>
              <w:jc w:val="center"/>
              <w:rPr>
                <w:rFonts w:hint="eastAsia" w:ascii="宋体" w:hAnsi="宋体" w:eastAsia="宋体" w:cs="宋体"/>
                <w:b w:val="0"/>
                <w:bCs w:val="0"/>
                <w:color w:val="auto"/>
                <w:sz w:val="22"/>
                <w:szCs w:val="22"/>
                <w:highlight w:val="none"/>
                <w:lang w:val="zh-CN" w:eastAsia="zh-CN"/>
              </w:rPr>
            </w:pPr>
            <w:r>
              <w:rPr>
                <w:rFonts w:hint="eastAsia" w:ascii="宋体" w:hAnsi="宋体" w:eastAsia="宋体" w:cs="宋体"/>
                <w:b w:val="0"/>
                <w:bCs w:val="0"/>
                <w:color w:val="auto"/>
                <w:sz w:val="22"/>
                <w:szCs w:val="22"/>
                <w:highlight w:val="none"/>
                <w:lang w:val="en-US" w:eastAsia="zh-CN"/>
              </w:rPr>
              <w:t>1</w:t>
            </w:r>
          </w:p>
        </w:tc>
        <w:tc>
          <w:tcPr>
            <w:tcW w:w="4038" w:type="pct"/>
            <w:tcBorders>
              <w:top w:val="single" w:color="auto" w:sz="4" w:space="0"/>
              <w:left w:val="single" w:color="auto" w:sz="4" w:space="0"/>
              <w:bottom w:val="single" w:color="auto" w:sz="4" w:space="0"/>
              <w:right w:val="single" w:color="auto" w:sz="4" w:space="0"/>
            </w:tcBorders>
          </w:tcPr>
          <w:p w14:paraId="53876845">
            <w:pPr>
              <w:tabs>
                <w:tab w:val="left" w:pos="4140"/>
              </w:tabs>
              <w:adjustRightInd w:val="0"/>
              <w:snapToGrid w:val="0"/>
              <w:spacing w:line="320" w:lineRule="atLeas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val="zh-CN"/>
              </w:rPr>
              <w:t>资格条件承诺函</w:t>
            </w:r>
          </w:p>
        </w:tc>
        <w:tc>
          <w:tcPr>
            <w:tcW w:w="558" w:type="pct"/>
            <w:tcBorders>
              <w:top w:val="single" w:color="auto" w:sz="4" w:space="0"/>
              <w:left w:val="single" w:color="auto" w:sz="4" w:space="0"/>
              <w:bottom w:val="single" w:color="auto" w:sz="4" w:space="0"/>
              <w:right w:val="single" w:color="auto" w:sz="4" w:space="0"/>
            </w:tcBorders>
          </w:tcPr>
          <w:p w14:paraId="0F1C3564">
            <w:pPr>
              <w:autoSpaceDE w:val="0"/>
              <w:autoSpaceDN w:val="0"/>
              <w:adjustRightInd w:val="0"/>
              <w:spacing w:line="430" w:lineRule="atLeast"/>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附件一</w:t>
            </w:r>
          </w:p>
        </w:tc>
      </w:tr>
      <w:tr w14:paraId="74361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2" w:type="pct"/>
            <w:tcBorders>
              <w:top w:val="single" w:color="auto" w:sz="4" w:space="0"/>
              <w:left w:val="single" w:color="auto" w:sz="4" w:space="0"/>
              <w:bottom w:val="single" w:color="auto" w:sz="4" w:space="0"/>
              <w:right w:val="single" w:color="auto" w:sz="4" w:space="0"/>
            </w:tcBorders>
            <w:vAlign w:val="center"/>
          </w:tcPr>
          <w:p w14:paraId="7BB30FE1">
            <w:pPr>
              <w:tabs>
                <w:tab w:val="left" w:pos="4140"/>
              </w:tabs>
              <w:adjustRightInd w:val="0"/>
              <w:snapToGrid w:val="0"/>
              <w:spacing w:line="320" w:lineRule="atLeast"/>
              <w:jc w:val="center"/>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2</w:t>
            </w:r>
          </w:p>
        </w:tc>
        <w:tc>
          <w:tcPr>
            <w:tcW w:w="4038" w:type="pct"/>
            <w:tcBorders>
              <w:top w:val="single" w:color="auto" w:sz="4" w:space="0"/>
              <w:left w:val="single" w:color="auto" w:sz="4" w:space="0"/>
              <w:bottom w:val="single" w:color="auto" w:sz="4" w:space="0"/>
              <w:right w:val="single" w:color="auto" w:sz="4" w:space="0"/>
            </w:tcBorders>
          </w:tcPr>
          <w:p w14:paraId="1AE61602">
            <w:pPr>
              <w:autoSpaceDE w:val="0"/>
              <w:autoSpaceDN w:val="0"/>
              <w:adjustRightInd w:val="0"/>
              <w:snapToGrid w:val="0"/>
              <w:spacing w:line="430" w:lineRule="atLeas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《中小企业声明函》（加盖供应商公章，格式见</w:t>
            </w:r>
            <w:r>
              <w:rPr>
                <w:rFonts w:hint="eastAsia" w:ascii="宋体" w:eastAsia="宋体" w:cs="宋体"/>
                <w:b w:val="0"/>
                <w:bCs w:val="0"/>
                <w:color w:val="auto"/>
                <w:sz w:val="22"/>
                <w:szCs w:val="22"/>
                <w:highlight w:val="none"/>
                <w:lang w:eastAsia="zh-CN"/>
              </w:rPr>
              <w:t>采购文件</w:t>
            </w:r>
            <w:r>
              <w:rPr>
                <w:rFonts w:hint="eastAsia" w:ascii="宋体" w:hAnsi="宋体" w:eastAsia="宋体" w:cs="宋体"/>
                <w:b w:val="0"/>
                <w:bCs w:val="0"/>
                <w:color w:val="auto"/>
                <w:sz w:val="22"/>
                <w:szCs w:val="22"/>
                <w:highlight w:val="none"/>
              </w:rPr>
              <w:t>第四部分）</w:t>
            </w:r>
            <w:r>
              <w:rPr>
                <w:rFonts w:hint="eastAsia" w:ascii="宋体" w:hAnsi="宋体" w:eastAsia="宋体" w:cs="宋体"/>
                <w:b w:val="0"/>
                <w:bCs w:val="0"/>
                <w:color w:val="auto"/>
                <w:sz w:val="22"/>
                <w:szCs w:val="22"/>
                <w:highlight w:val="none"/>
                <w:lang w:eastAsia="zh-CN"/>
              </w:rPr>
              <w:t>或</w:t>
            </w:r>
            <w:r>
              <w:rPr>
                <w:rFonts w:hint="eastAsia" w:ascii="宋体" w:hAnsi="宋体" w:eastAsia="宋体" w:cs="宋体"/>
                <w:b w:val="0"/>
                <w:bCs w:val="0"/>
                <w:color w:val="auto"/>
                <w:sz w:val="22"/>
                <w:szCs w:val="22"/>
                <w:highlight w:val="none"/>
              </w:rPr>
              <w:t>残疾人福利性单位声明函（加盖供应商公章，格式见</w:t>
            </w:r>
            <w:r>
              <w:rPr>
                <w:rFonts w:hint="eastAsia" w:ascii="宋体" w:eastAsia="宋体" w:cs="宋体"/>
                <w:b w:val="0"/>
                <w:bCs w:val="0"/>
                <w:color w:val="auto"/>
                <w:sz w:val="22"/>
                <w:szCs w:val="22"/>
                <w:highlight w:val="none"/>
                <w:lang w:eastAsia="zh-CN"/>
              </w:rPr>
              <w:t>采购文件</w:t>
            </w:r>
            <w:r>
              <w:rPr>
                <w:rFonts w:hint="eastAsia" w:ascii="宋体" w:hAnsi="宋体" w:eastAsia="宋体" w:cs="宋体"/>
                <w:b w:val="0"/>
                <w:bCs w:val="0"/>
                <w:color w:val="auto"/>
                <w:sz w:val="22"/>
                <w:szCs w:val="22"/>
                <w:highlight w:val="none"/>
              </w:rPr>
              <w:t>第四部分）</w:t>
            </w:r>
            <w:r>
              <w:rPr>
                <w:rFonts w:hint="eastAsia" w:ascii="宋体" w:hAnsi="宋体" w:eastAsia="宋体" w:cs="宋体"/>
                <w:b w:val="0"/>
                <w:bCs w:val="0"/>
                <w:color w:val="auto"/>
                <w:sz w:val="22"/>
                <w:szCs w:val="22"/>
                <w:highlight w:val="none"/>
                <w:lang w:eastAsia="zh-CN"/>
              </w:rPr>
              <w:t>或</w:t>
            </w:r>
            <w:r>
              <w:rPr>
                <w:rFonts w:hint="eastAsia" w:ascii="宋体" w:hAnsi="宋体" w:eastAsia="宋体" w:cs="宋体"/>
                <w:b w:val="0"/>
                <w:bCs w:val="0"/>
                <w:color w:val="auto"/>
                <w:sz w:val="22"/>
                <w:szCs w:val="22"/>
                <w:highlight w:val="none"/>
              </w:rPr>
              <w:t>省级以上监狱管理局、戒毒管理局</w:t>
            </w:r>
            <w:r>
              <w:rPr>
                <w:rFonts w:hint="eastAsia" w:asci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含新疆生产建设兵团</w:t>
            </w:r>
            <w:r>
              <w:rPr>
                <w:rFonts w:hint="eastAsia" w:asci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出具的属于监狱企业的证明文件</w:t>
            </w:r>
          </w:p>
        </w:tc>
        <w:tc>
          <w:tcPr>
            <w:tcW w:w="558" w:type="pct"/>
            <w:tcBorders>
              <w:top w:val="single" w:color="auto" w:sz="4" w:space="0"/>
              <w:left w:val="single" w:color="auto" w:sz="4" w:space="0"/>
              <w:bottom w:val="single" w:color="auto" w:sz="4" w:space="0"/>
              <w:right w:val="single" w:color="auto" w:sz="4" w:space="0"/>
            </w:tcBorders>
          </w:tcPr>
          <w:p w14:paraId="13F1F159">
            <w:pPr>
              <w:autoSpaceDE w:val="0"/>
              <w:autoSpaceDN w:val="0"/>
              <w:adjustRightInd w:val="0"/>
              <w:spacing w:line="430" w:lineRule="atLeast"/>
              <w:jc w:val="center"/>
              <w:rPr>
                <w:rFonts w:hint="eastAsia" w:ascii="宋体" w:hAnsi="宋体" w:eastAsia="宋体" w:cs="宋体"/>
                <w:b w:val="0"/>
                <w:bCs w:val="0"/>
                <w:color w:val="auto"/>
                <w:sz w:val="22"/>
                <w:szCs w:val="22"/>
                <w:highlight w:val="none"/>
              </w:rPr>
            </w:pPr>
          </w:p>
        </w:tc>
      </w:tr>
    </w:tbl>
    <w:p w14:paraId="2213A894">
      <w:pPr>
        <w:pStyle w:val="20"/>
        <w:ind w:left="2108"/>
        <w:rPr>
          <w:rFonts w:hint="eastAsia" w:ascii="宋体" w:hAnsi="宋体" w:eastAsia="宋体" w:cs="宋体"/>
          <w:color w:val="auto"/>
          <w:highlight w:val="none"/>
          <w:lang w:val="zh-CN"/>
        </w:rPr>
      </w:pPr>
    </w:p>
    <w:p w14:paraId="0B9D9DA9">
      <w:pPr>
        <w:autoSpaceDE w:val="0"/>
        <w:autoSpaceDN w:val="0"/>
        <w:adjustRightInd w:val="0"/>
        <w:spacing w:line="450" w:lineRule="atLeast"/>
        <w:ind w:firstLine="442" w:firstLineChars="200"/>
        <w:rPr>
          <w:rFonts w:hint="eastAsia" w:ascii="宋体" w:hAnsi="宋体" w:eastAsia="宋体" w:cs="宋体"/>
          <w:b w:val="0"/>
          <w:color w:val="auto"/>
          <w:sz w:val="22"/>
          <w:szCs w:val="22"/>
          <w:highlight w:val="none"/>
          <w:u w:val="single"/>
          <w:lang w:val="zh-CN"/>
        </w:rPr>
      </w:pPr>
      <w:r>
        <w:rPr>
          <w:rFonts w:hint="eastAsia" w:ascii="宋体" w:hAnsi="宋体" w:eastAsia="宋体" w:cs="宋体"/>
          <w:color w:val="auto"/>
          <w:sz w:val="22"/>
          <w:szCs w:val="22"/>
          <w:highlight w:val="none"/>
          <w:u w:val="single"/>
          <w:lang w:val="zh-CN"/>
        </w:rPr>
        <w:t>2.2、报价文件部分组成</w:t>
      </w:r>
    </w:p>
    <w:tbl>
      <w:tblPr>
        <w:tblStyle w:val="44"/>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5"/>
        <w:gridCol w:w="7868"/>
        <w:gridCol w:w="1053"/>
      </w:tblGrid>
      <w:tr w14:paraId="1BAC03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32" w:type="pct"/>
          </w:tcPr>
          <w:p w14:paraId="1A33723F">
            <w:pPr>
              <w:autoSpaceDE w:val="0"/>
              <w:autoSpaceDN w:val="0"/>
              <w:adjustRightInd w:val="0"/>
              <w:snapToGrid w:val="0"/>
              <w:spacing w:line="430" w:lineRule="atLeast"/>
              <w:rPr>
                <w:rFonts w:hint="eastAsia" w:ascii="宋体" w:hAnsi="宋体" w:eastAsia="宋体" w:cs="宋体"/>
                <w:b w:val="0"/>
                <w:bCs w:val="0"/>
                <w:color w:val="auto"/>
                <w:sz w:val="22"/>
                <w:highlight w:val="none"/>
                <w:lang w:val="zh-CN"/>
              </w:rPr>
            </w:pPr>
            <w:r>
              <w:rPr>
                <w:rFonts w:hint="eastAsia" w:ascii="宋体" w:hAnsi="宋体" w:eastAsia="宋体" w:cs="宋体"/>
                <w:b/>
                <w:bCs/>
                <w:color w:val="auto"/>
                <w:sz w:val="22"/>
                <w:szCs w:val="22"/>
                <w:highlight w:val="none"/>
                <w:lang w:val="zh-CN"/>
              </w:rPr>
              <w:t>序号</w:t>
            </w:r>
          </w:p>
        </w:tc>
        <w:tc>
          <w:tcPr>
            <w:tcW w:w="4116" w:type="pct"/>
            <w:vAlign w:val="center"/>
          </w:tcPr>
          <w:p w14:paraId="6DCFA30B">
            <w:pPr>
              <w:autoSpaceDE w:val="0"/>
              <w:autoSpaceDN w:val="0"/>
              <w:adjustRightInd w:val="0"/>
              <w:snapToGrid w:val="0"/>
              <w:spacing w:line="430" w:lineRule="atLeast"/>
              <w:rPr>
                <w:rFonts w:hint="eastAsia" w:ascii="宋体" w:hAnsi="宋体" w:eastAsia="宋体" w:cs="宋体"/>
                <w:b w:val="0"/>
                <w:bCs w:val="0"/>
                <w:color w:val="auto"/>
                <w:sz w:val="22"/>
                <w:highlight w:val="none"/>
                <w:lang w:val="zh-CN"/>
              </w:rPr>
            </w:pPr>
            <w:r>
              <w:rPr>
                <w:rFonts w:hint="eastAsia" w:ascii="宋体" w:hAnsi="宋体" w:eastAsia="宋体" w:cs="宋体"/>
                <w:color w:val="auto"/>
                <w:sz w:val="22"/>
                <w:szCs w:val="22"/>
                <w:highlight w:val="none"/>
                <w:lang w:val="zh-CN"/>
              </w:rPr>
              <w:t>内容（▲</w:t>
            </w:r>
            <w:r>
              <w:rPr>
                <w:rFonts w:hint="eastAsia" w:ascii="宋体" w:hAnsi="宋体" w:eastAsia="宋体" w:cs="宋体"/>
                <w:color w:val="auto"/>
                <w:sz w:val="22"/>
                <w:szCs w:val="22"/>
                <w:highlight w:val="none"/>
                <w:u w:val="single"/>
                <w:lang w:val="zh-CN"/>
              </w:rPr>
              <w:t>序号1-2项供应商必须提供，否则不能通过符合性审查的，责任自负</w:t>
            </w:r>
            <w:r>
              <w:rPr>
                <w:rFonts w:hint="eastAsia" w:ascii="宋体" w:hAnsi="宋体" w:eastAsia="宋体" w:cs="宋体"/>
                <w:color w:val="auto"/>
                <w:sz w:val="22"/>
                <w:szCs w:val="22"/>
                <w:highlight w:val="none"/>
                <w:lang w:val="zh-CN"/>
              </w:rPr>
              <w:t>）</w:t>
            </w:r>
          </w:p>
        </w:tc>
        <w:tc>
          <w:tcPr>
            <w:tcW w:w="551" w:type="pct"/>
            <w:vAlign w:val="center"/>
          </w:tcPr>
          <w:p w14:paraId="5499FA9B">
            <w:pPr>
              <w:autoSpaceDE w:val="0"/>
              <w:autoSpaceDN w:val="0"/>
              <w:adjustRightInd w:val="0"/>
              <w:snapToGrid w:val="0"/>
              <w:spacing w:line="430" w:lineRule="atLeas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备注</w:t>
            </w:r>
          </w:p>
        </w:tc>
      </w:tr>
      <w:tr w14:paraId="70DB93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32" w:type="pct"/>
          </w:tcPr>
          <w:p w14:paraId="2CC0E3D7">
            <w:pPr>
              <w:autoSpaceDE w:val="0"/>
              <w:autoSpaceDN w:val="0"/>
              <w:adjustRightInd w:val="0"/>
              <w:snapToGrid w:val="0"/>
              <w:spacing w:line="430" w:lineRule="atLeast"/>
              <w:jc w:val="center"/>
              <w:rPr>
                <w:rFonts w:hint="eastAsia" w:ascii="宋体" w:hAnsi="宋体" w:eastAsia="宋体" w:cs="宋体"/>
                <w:b w:val="0"/>
                <w:bCs w:val="0"/>
                <w:color w:val="auto"/>
                <w:sz w:val="22"/>
                <w:highlight w:val="none"/>
                <w:lang w:val="zh-CN"/>
              </w:rPr>
            </w:pPr>
            <w:r>
              <w:rPr>
                <w:rFonts w:hint="eastAsia" w:ascii="宋体" w:hAnsi="宋体" w:eastAsia="宋体" w:cs="宋体"/>
                <w:b w:val="0"/>
                <w:color w:val="auto"/>
                <w:sz w:val="22"/>
                <w:szCs w:val="22"/>
                <w:highlight w:val="none"/>
                <w:lang w:val="zh-CN"/>
              </w:rPr>
              <w:t>1</w:t>
            </w:r>
          </w:p>
        </w:tc>
        <w:tc>
          <w:tcPr>
            <w:tcW w:w="4116" w:type="pct"/>
          </w:tcPr>
          <w:p w14:paraId="0ED5BA96">
            <w:pPr>
              <w:autoSpaceDE w:val="0"/>
              <w:autoSpaceDN w:val="0"/>
              <w:adjustRightInd w:val="0"/>
              <w:spacing w:line="430" w:lineRule="atLeast"/>
              <w:textAlignment w:val="bottom"/>
              <w:rPr>
                <w:rFonts w:hint="eastAsia" w:ascii="宋体" w:hAnsi="宋体" w:eastAsia="宋体" w:cs="宋体"/>
                <w:b w:val="0"/>
                <w:bCs w:val="0"/>
                <w:color w:val="auto"/>
                <w:sz w:val="22"/>
                <w:highlight w:val="none"/>
              </w:rPr>
            </w:pPr>
            <w:r>
              <w:rPr>
                <w:rFonts w:hint="eastAsia" w:ascii="宋体" w:hAnsi="宋体" w:eastAsia="宋体" w:cs="宋体"/>
                <w:b w:val="0"/>
                <w:color w:val="auto"/>
                <w:sz w:val="22"/>
                <w:szCs w:val="22"/>
                <w:highlight w:val="none"/>
              </w:rPr>
              <w:t>报价一览表</w:t>
            </w:r>
          </w:p>
        </w:tc>
        <w:tc>
          <w:tcPr>
            <w:tcW w:w="551" w:type="pct"/>
          </w:tcPr>
          <w:p w14:paraId="509A06CA">
            <w:pPr>
              <w:tabs>
                <w:tab w:val="left" w:pos="4140"/>
              </w:tabs>
              <w:adjustRightInd w:val="0"/>
              <w:snapToGrid w:val="0"/>
              <w:spacing w:line="320" w:lineRule="atLeast"/>
              <w:jc w:val="center"/>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rPr>
              <w:t>附件</w:t>
            </w:r>
            <w:r>
              <w:rPr>
                <w:rFonts w:hint="eastAsia" w:ascii="宋体" w:hAnsi="宋体" w:eastAsia="宋体" w:cs="宋体"/>
                <w:b w:val="0"/>
                <w:bCs w:val="0"/>
                <w:color w:val="auto"/>
                <w:sz w:val="22"/>
                <w:szCs w:val="22"/>
                <w:highlight w:val="none"/>
                <w:lang w:val="en-US" w:eastAsia="zh-CN"/>
              </w:rPr>
              <w:t>二</w:t>
            </w:r>
          </w:p>
        </w:tc>
      </w:tr>
      <w:tr w14:paraId="54FF93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32" w:type="pct"/>
          </w:tcPr>
          <w:p w14:paraId="55AE06CA">
            <w:pPr>
              <w:autoSpaceDE w:val="0"/>
              <w:autoSpaceDN w:val="0"/>
              <w:adjustRightInd w:val="0"/>
              <w:snapToGrid w:val="0"/>
              <w:spacing w:line="430" w:lineRule="atLeast"/>
              <w:jc w:val="center"/>
              <w:rPr>
                <w:rFonts w:hint="eastAsia" w:ascii="宋体" w:hAnsi="宋体" w:eastAsia="宋体" w:cs="宋体"/>
                <w:b w:val="0"/>
                <w:bCs w:val="0"/>
                <w:color w:val="auto"/>
                <w:sz w:val="22"/>
                <w:highlight w:val="none"/>
                <w:lang w:val="zh-CN"/>
              </w:rPr>
            </w:pPr>
            <w:r>
              <w:rPr>
                <w:rFonts w:hint="eastAsia" w:ascii="宋体" w:hAnsi="宋体" w:eastAsia="宋体" w:cs="宋体"/>
                <w:b w:val="0"/>
                <w:color w:val="auto"/>
                <w:sz w:val="22"/>
                <w:szCs w:val="22"/>
                <w:highlight w:val="none"/>
                <w:lang w:val="zh-CN"/>
              </w:rPr>
              <w:t>2</w:t>
            </w:r>
          </w:p>
        </w:tc>
        <w:tc>
          <w:tcPr>
            <w:tcW w:w="4116" w:type="pct"/>
          </w:tcPr>
          <w:p w14:paraId="35164232">
            <w:pPr>
              <w:autoSpaceDE w:val="0"/>
              <w:autoSpaceDN w:val="0"/>
              <w:adjustRightInd w:val="0"/>
              <w:spacing w:line="500" w:lineRule="atLeast"/>
              <w:rPr>
                <w:rFonts w:hint="eastAsia" w:ascii="宋体" w:hAnsi="宋体" w:eastAsia="宋体" w:cs="宋体"/>
                <w:b w:val="0"/>
                <w:bCs w:val="0"/>
                <w:color w:val="auto"/>
                <w:sz w:val="22"/>
                <w:highlight w:val="none"/>
                <w:lang w:val="zh-CN"/>
              </w:rPr>
            </w:pPr>
            <w:r>
              <w:rPr>
                <w:rFonts w:hint="eastAsia" w:ascii="宋体" w:hAnsi="宋体" w:eastAsia="宋体" w:cs="宋体"/>
                <w:b w:val="0"/>
                <w:color w:val="auto"/>
                <w:sz w:val="22"/>
                <w:szCs w:val="22"/>
                <w:highlight w:val="none"/>
              </w:rPr>
              <w:t>分项报价明细表</w:t>
            </w:r>
          </w:p>
        </w:tc>
        <w:tc>
          <w:tcPr>
            <w:tcW w:w="551" w:type="pct"/>
          </w:tcPr>
          <w:p w14:paraId="1FE2ADB3">
            <w:pPr>
              <w:tabs>
                <w:tab w:val="left" w:pos="4140"/>
              </w:tabs>
              <w:adjustRightInd w:val="0"/>
              <w:snapToGrid w:val="0"/>
              <w:spacing w:line="320" w:lineRule="atLeast"/>
              <w:jc w:val="center"/>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附件</w:t>
            </w:r>
            <w:r>
              <w:rPr>
                <w:rFonts w:hint="eastAsia" w:ascii="宋体" w:hAnsi="宋体" w:eastAsia="宋体" w:cs="宋体"/>
                <w:b w:val="0"/>
                <w:bCs w:val="0"/>
                <w:color w:val="auto"/>
                <w:sz w:val="22"/>
                <w:szCs w:val="22"/>
                <w:highlight w:val="none"/>
                <w:lang w:val="en-US" w:eastAsia="zh-CN"/>
              </w:rPr>
              <w:t>三</w:t>
            </w:r>
          </w:p>
        </w:tc>
      </w:tr>
    </w:tbl>
    <w:p w14:paraId="0830FC35">
      <w:pPr>
        <w:autoSpaceDE w:val="0"/>
        <w:autoSpaceDN w:val="0"/>
        <w:adjustRightInd w:val="0"/>
        <w:spacing w:line="450" w:lineRule="atLeast"/>
        <w:ind w:firstLine="442" w:firstLineChars="200"/>
        <w:rPr>
          <w:rFonts w:hint="eastAsia" w:ascii="宋体" w:hAnsi="宋体" w:eastAsia="宋体" w:cs="宋体"/>
          <w:color w:val="auto"/>
          <w:sz w:val="22"/>
          <w:szCs w:val="22"/>
          <w:highlight w:val="none"/>
          <w:u w:val="single"/>
          <w:lang w:val="zh-CN"/>
        </w:rPr>
      </w:pPr>
      <w:bookmarkStart w:id="31" w:name="_Toc132122113"/>
      <w:bookmarkStart w:id="32" w:name="_Toc132122410"/>
      <w:r>
        <w:rPr>
          <w:rFonts w:hint="eastAsia" w:ascii="宋体" w:hAnsi="宋体" w:eastAsia="宋体" w:cs="宋体"/>
          <w:color w:val="auto"/>
          <w:sz w:val="22"/>
          <w:szCs w:val="22"/>
          <w:highlight w:val="none"/>
          <w:u w:val="single"/>
          <w:lang w:val="zh-CN"/>
        </w:rPr>
        <w:t>2.3、商务技术文件部分组成</w:t>
      </w:r>
    </w:p>
    <w:bookmarkEnd w:id="31"/>
    <w:bookmarkEnd w:id="32"/>
    <w:tbl>
      <w:tblPr>
        <w:tblStyle w:val="44"/>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2"/>
        <w:gridCol w:w="7843"/>
        <w:gridCol w:w="1065"/>
      </w:tblGrid>
      <w:tr w14:paraId="398E03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1" w:type="pct"/>
          </w:tcPr>
          <w:p w14:paraId="478DC841">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lang w:val="zh-CN"/>
              </w:rPr>
            </w:pPr>
            <w:r>
              <w:rPr>
                <w:rFonts w:hint="eastAsia" w:ascii="宋体" w:hAnsi="宋体" w:eastAsia="宋体" w:cs="宋体"/>
                <w:b w:val="0"/>
                <w:bCs w:val="0"/>
                <w:color w:val="auto"/>
                <w:sz w:val="22"/>
                <w:szCs w:val="22"/>
                <w:highlight w:val="none"/>
                <w:lang w:val="zh-CN"/>
              </w:rPr>
              <w:t>序号</w:t>
            </w:r>
          </w:p>
        </w:tc>
        <w:tc>
          <w:tcPr>
            <w:tcW w:w="4100" w:type="pct"/>
          </w:tcPr>
          <w:p w14:paraId="75BEB621">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lang w:val="zh-CN"/>
              </w:rPr>
            </w:pPr>
            <w:r>
              <w:rPr>
                <w:rFonts w:hint="eastAsia" w:ascii="宋体" w:hAnsi="宋体" w:eastAsia="宋体" w:cs="宋体"/>
                <w:b w:val="0"/>
                <w:bCs w:val="0"/>
                <w:color w:val="auto"/>
                <w:sz w:val="22"/>
                <w:szCs w:val="22"/>
                <w:highlight w:val="none"/>
                <w:lang w:val="zh-CN"/>
              </w:rPr>
              <w:t>内容</w:t>
            </w:r>
          </w:p>
        </w:tc>
        <w:tc>
          <w:tcPr>
            <w:tcW w:w="557" w:type="pct"/>
          </w:tcPr>
          <w:p w14:paraId="6DD9E327">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lang w:val="zh-CN"/>
              </w:rPr>
            </w:pPr>
            <w:r>
              <w:rPr>
                <w:rFonts w:hint="eastAsia" w:ascii="宋体" w:hAnsi="宋体" w:eastAsia="宋体" w:cs="宋体"/>
                <w:b w:val="0"/>
                <w:bCs w:val="0"/>
                <w:color w:val="auto"/>
                <w:sz w:val="22"/>
                <w:szCs w:val="22"/>
                <w:highlight w:val="none"/>
                <w:lang w:val="zh-CN"/>
              </w:rPr>
              <w:t>备注</w:t>
            </w:r>
          </w:p>
        </w:tc>
      </w:tr>
      <w:tr w14:paraId="75BA9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42" w:type="pct"/>
            <w:gridSpan w:val="2"/>
          </w:tcPr>
          <w:p w14:paraId="3BD3A621">
            <w:pPr>
              <w:autoSpaceDE w:val="0"/>
              <w:autoSpaceDN w:val="0"/>
              <w:adjustRightInd w:val="0"/>
              <w:snapToGrid w:val="0"/>
              <w:spacing w:line="430" w:lineRule="atLeast"/>
              <w:rPr>
                <w:rFonts w:hint="eastAsia" w:ascii="宋体" w:hAnsi="宋体" w:eastAsia="宋体" w:cs="宋体"/>
                <w:b w:val="0"/>
                <w:bCs w:val="0"/>
                <w:color w:val="auto"/>
                <w:sz w:val="22"/>
                <w:szCs w:val="22"/>
                <w:highlight w:val="none"/>
                <w:lang w:val="zh-CN"/>
              </w:rPr>
            </w:pPr>
            <w:r>
              <w:rPr>
                <w:rFonts w:hint="eastAsia" w:ascii="宋体" w:hAnsi="宋体" w:eastAsia="宋体" w:cs="宋体"/>
                <w:b w:val="0"/>
                <w:bCs w:val="0"/>
                <w:color w:val="auto"/>
                <w:sz w:val="22"/>
                <w:szCs w:val="22"/>
                <w:highlight w:val="none"/>
                <w:lang w:val="zh-CN"/>
              </w:rPr>
              <w:t>资信部分（▲</w:t>
            </w:r>
            <w:r>
              <w:rPr>
                <w:rFonts w:hint="eastAsia" w:ascii="宋体" w:hAnsi="宋体" w:eastAsia="宋体" w:cs="宋体"/>
                <w:b w:val="0"/>
                <w:bCs w:val="0"/>
                <w:color w:val="auto"/>
                <w:sz w:val="22"/>
                <w:szCs w:val="22"/>
                <w:highlight w:val="none"/>
                <w:u w:val="single"/>
                <w:lang w:val="zh-CN"/>
              </w:rPr>
              <w:t>序号1-</w:t>
            </w:r>
            <w:r>
              <w:rPr>
                <w:rFonts w:hint="eastAsia" w:ascii="宋体" w:hAnsi="宋体" w:eastAsia="宋体" w:cs="宋体"/>
                <w:b w:val="0"/>
                <w:bCs w:val="0"/>
                <w:color w:val="auto"/>
                <w:sz w:val="22"/>
                <w:szCs w:val="22"/>
                <w:highlight w:val="none"/>
                <w:u w:val="single"/>
              </w:rPr>
              <w:t>2、</w:t>
            </w:r>
            <w:r>
              <w:rPr>
                <w:rFonts w:hint="eastAsia" w:ascii="宋体" w:hAnsi="宋体" w:eastAsia="宋体" w:cs="宋体"/>
                <w:b w:val="0"/>
                <w:bCs w:val="0"/>
                <w:color w:val="auto"/>
                <w:sz w:val="22"/>
                <w:szCs w:val="22"/>
                <w:highlight w:val="none"/>
                <w:u w:val="single"/>
                <w:lang w:val="en-US" w:eastAsia="zh-CN"/>
              </w:rPr>
              <w:t>8</w:t>
            </w:r>
            <w:r>
              <w:rPr>
                <w:rFonts w:hint="eastAsia" w:ascii="宋体" w:eastAsia="宋体" w:cs="宋体"/>
                <w:b w:val="0"/>
                <w:bCs w:val="0"/>
                <w:color w:val="auto"/>
                <w:sz w:val="22"/>
                <w:szCs w:val="22"/>
                <w:highlight w:val="none"/>
                <w:u w:val="single"/>
                <w:lang w:val="en-US" w:eastAsia="zh-CN"/>
              </w:rPr>
              <w:t>、11</w:t>
            </w:r>
            <w:r>
              <w:rPr>
                <w:rFonts w:hint="eastAsia" w:ascii="宋体" w:hAnsi="宋体" w:eastAsia="宋体" w:cs="宋体"/>
                <w:b w:val="0"/>
                <w:bCs w:val="0"/>
                <w:color w:val="auto"/>
                <w:sz w:val="22"/>
                <w:szCs w:val="22"/>
                <w:highlight w:val="none"/>
                <w:u w:val="single"/>
                <w:lang w:val="zh-CN"/>
              </w:rPr>
              <w:t>项供应商必须提供，否则不能通过符合性审查的，责任自负。</w:t>
            </w:r>
            <w:r>
              <w:rPr>
                <w:rFonts w:hint="eastAsia" w:ascii="宋体" w:hAnsi="宋体" w:eastAsia="宋体" w:cs="宋体"/>
                <w:b w:val="0"/>
                <w:bCs w:val="0"/>
                <w:color w:val="auto"/>
                <w:sz w:val="22"/>
                <w:szCs w:val="22"/>
                <w:highlight w:val="none"/>
                <w:lang w:val="zh-CN"/>
              </w:rPr>
              <w:t>）</w:t>
            </w:r>
          </w:p>
        </w:tc>
        <w:tc>
          <w:tcPr>
            <w:tcW w:w="557" w:type="pct"/>
          </w:tcPr>
          <w:p w14:paraId="0EA4BAD0">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lang w:val="zh-CN"/>
              </w:rPr>
            </w:pPr>
          </w:p>
        </w:tc>
      </w:tr>
      <w:tr w14:paraId="4A0F5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41" w:type="pct"/>
          </w:tcPr>
          <w:p w14:paraId="33FA6A13">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w:t>
            </w:r>
          </w:p>
        </w:tc>
        <w:tc>
          <w:tcPr>
            <w:tcW w:w="4100" w:type="pct"/>
          </w:tcPr>
          <w:p w14:paraId="4A0E29AF">
            <w:pPr>
              <w:autoSpaceDE w:val="0"/>
              <w:autoSpaceDN w:val="0"/>
              <w:adjustRightInd w:val="0"/>
              <w:snapToGrid w:val="0"/>
              <w:spacing w:line="430" w:lineRule="atLeast"/>
              <w:rPr>
                <w:rFonts w:hint="eastAsia" w:ascii="宋体" w:hAnsi="宋体" w:eastAsia="宋体" w:cs="宋体"/>
                <w:b w:val="0"/>
                <w:bCs w:val="0"/>
                <w:color w:val="auto"/>
                <w:sz w:val="22"/>
                <w:szCs w:val="22"/>
                <w:highlight w:val="none"/>
                <w:lang w:val="zh-CN" w:eastAsia="zh-CN"/>
              </w:rPr>
            </w:pPr>
            <w:r>
              <w:rPr>
                <w:rFonts w:hint="eastAsia" w:ascii="宋体" w:eastAsia="宋体" w:cs="宋体"/>
                <w:b w:val="0"/>
                <w:bCs w:val="0"/>
                <w:color w:val="auto"/>
                <w:sz w:val="22"/>
                <w:szCs w:val="22"/>
                <w:highlight w:val="none"/>
                <w:lang w:eastAsia="zh-CN"/>
              </w:rPr>
              <w:t>磋商函</w:t>
            </w:r>
          </w:p>
        </w:tc>
        <w:tc>
          <w:tcPr>
            <w:tcW w:w="557" w:type="pct"/>
          </w:tcPr>
          <w:p w14:paraId="5C1779C0">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附件</w:t>
            </w:r>
            <w:r>
              <w:rPr>
                <w:rFonts w:hint="eastAsia" w:ascii="宋体" w:hAnsi="宋体" w:eastAsia="宋体" w:cs="宋体"/>
                <w:b w:val="0"/>
                <w:bCs w:val="0"/>
                <w:color w:val="auto"/>
                <w:sz w:val="22"/>
                <w:szCs w:val="22"/>
                <w:highlight w:val="none"/>
                <w:lang w:val="en-US" w:eastAsia="zh-CN"/>
              </w:rPr>
              <w:t>四</w:t>
            </w:r>
          </w:p>
        </w:tc>
      </w:tr>
      <w:tr w14:paraId="3E00E8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1" w:type="pct"/>
          </w:tcPr>
          <w:p w14:paraId="0D30E67F">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w:t>
            </w:r>
          </w:p>
        </w:tc>
        <w:tc>
          <w:tcPr>
            <w:tcW w:w="4100" w:type="pct"/>
          </w:tcPr>
          <w:p w14:paraId="69D239D5">
            <w:pPr>
              <w:autoSpaceDE w:val="0"/>
              <w:autoSpaceDN w:val="0"/>
              <w:adjustRightInd w:val="0"/>
              <w:snapToGrid w:val="0"/>
              <w:spacing w:line="430" w:lineRule="atLeas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法定代表人诚信投标承诺书</w:t>
            </w:r>
          </w:p>
        </w:tc>
        <w:tc>
          <w:tcPr>
            <w:tcW w:w="557" w:type="pct"/>
          </w:tcPr>
          <w:p w14:paraId="77BC1B33">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附件</w:t>
            </w:r>
            <w:r>
              <w:rPr>
                <w:rFonts w:hint="eastAsia" w:ascii="宋体" w:hAnsi="宋体" w:eastAsia="宋体" w:cs="宋体"/>
                <w:b w:val="0"/>
                <w:bCs w:val="0"/>
                <w:color w:val="auto"/>
                <w:sz w:val="22"/>
                <w:szCs w:val="22"/>
                <w:highlight w:val="none"/>
                <w:lang w:val="en-US" w:eastAsia="zh-CN"/>
              </w:rPr>
              <w:t>五</w:t>
            </w:r>
          </w:p>
        </w:tc>
      </w:tr>
      <w:tr w14:paraId="6C6675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1" w:type="pct"/>
            <w:shd w:val="clear" w:color="auto" w:fill="auto"/>
            <w:vAlign w:val="top"/>
          </w:tcPr>
          <w:p w14:paraId="1D1E2017">
            <w:pPr>
              <w:autoSpaceDE w:val="0"/>
              <w:autoSpaceDN w:val="0"/>
              <w:adjustRightInd w:val="0"/>
              <w:snapToGrid w:val="0"/>
              <w:spacing w:line="430" w:lineRule="atLeast"/>
              <w:jc w:val="center"/>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sz w:val="22"/>
                <w:szCs w:val="22"/>
                <w:highlight w:val="none"/>
              </w:rPr>
              <w:t>3</w:t>
            </w:r>
          </w:p>
        </w:tc>
        <w:tc>
          <w:tcPr>
            <w:tcW w:w="4100" w:type="pct"/>
            <w:shd w:val="clear" w:color="auto" w:fill="auto"/>
            <w:vAlign w:val="top"/>
          </w:tcPr>
          <w:p w14:paraId="1CCC85ED">
            <w:pPr>
              <w:autoSpaceDE w:val="0"/>
              <w:autoSpaceDN w:val="0"/>
              <w:adjustRightInd w:val="0"/>
              <w:snapToGrid w:val="0"/>
              <w:spacing w:line="430" w:lineRule="atLeast"/>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sz w:val="22"/>
                <w:szCs w:val="22"/>
                <w:highlight w:val="none"/>
              </w:rPr>
              <w:t>供应商法定代表人授权书（如果投标供应商代表是法定代表人的，仅</w:t>
            </w:r>
            <w:r>
              <w:rPr>
                <w:rFonts w:hint="eastAsia" w:ascii="宋体" w:hAnsi="宋体" w:eastAsia="宋体" w:cs="宋体"/>
                <w:b w:val="0"/>
                <w:bCs w:val="0"/>
                <w:color w:val="auto"/>
                <w:sz w:val="22"/>
                <w:szCs w:val="22"/>
                <w:highlight w:val="none"/>
                <w:lang w:eastAsia="zh-CN"/>
              </w:rPr>
              <w:t>需</w:t>
            </w:r>
            <w:r>
              <w:rPr>
                <w:rFonts w:hint="eastAsia" w:ascii="宋体" w:hAnsi="宋体" w:eastAsia="宋体" w:cs="宋体"/>
                <w:b w:val="0"/>
                <w:bCs w:val="0"/>
                <w:color w:val="auto"/>
                <w:sz w:val="22"/>
                <w:szCs w:val="22"/>
                <w:highlight w:val="none"/>
              </w:rPr>
              <w:t>提供身份证扫描件；如果投标供应商代表不是法定代表人，须持有《法定代表人授权书》</w:t>
            </w:r>
          </w:p>
        </w:tc>
        <w:tc>
          <w:tcPr>
            <w:tcW w:w="557" w:type="pct"/>
          </w:tcPr>
          <w:p w14:paraId="6A3C12DD">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附件</w:t>
            </w:r>
            <w:r>
              <w:rPr>
                <w:rFonts w:hint="eastAsia" w:ascii="宋体" w:hAnsi="宋体" w:eastAsia="宋体" w:cs="宋体"/>
                <w:b w:val="0"/>
                <w:bCs w:val="0"/>
                <w:color w:val="auto"/>
                <w:sz w:val="22"/>
                <w:szCs w:val="22"/>
                <w:highlight w:val="none"/>
                <w:lang w:val="en-US" w:eastAsia="zh-CN"/>
              </w:rPr>
              <w:t>六</w:t>
            </w:r>
          </w:p>
        </w:tc>
      </w:tr>
      <w:tr w14:paraId="44C90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1" w:type="pct"/>
            <w:shd w:val="clear" w:color="auto" w:fill="auto"/>
            <w:vAlign w:val="top"/>
          </w:tcPr>
          <w:p w14:paraId="19D435E0">
            <w:pPr>
              <w:autoSpaceDE w:val="0"/>
              <w:autoSpaceDN w:val="0"/>
              <w:adjustRightInd w:val="0"/>
              <w:snapToGrid w:val="0"/>
              <w:spacing w:line="430" w:lineRule="atLeast"/>
              <w:jc w:val="center"/>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sz w:val="22"/>
                <w:szCs w:val="22"/>
                <w:highlight w:val="none"/>
              </w:rPr>
              <w:t>4</w:t>
            </w:r>
          </w:p>
        </w:tc>
        <w:tc>
          <w:tcPr>
            <w:tcW w:w="4100" w:type="pct"/>
            <w:shd w:val="clear" w:color="auto" w:fill="auto"/>
            <w:vAlign w:val="top"/>
          </w:tcPr>
          <w:p w14:paraId="4F3E5264">
            <w:pPr>
              <w:autoSpaceDE w:val="0"/>
              <w:autoSpaceDN w:val="0"/>
              <w:adjustRightInd w:val="0"/>
              <w:snapToGrid w:val="0"/>
              <w:spacing w:line="430" w:lineRule="atLeast"/>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sz w:val="22"/>
                <w:szCs w:val="22"/>
                <w:highlight w:val="none"/>
              </w:rPr>
              <w:t>投标供应商的营业执照（或事业法人登记证书或</w:t>
            </w:r>
            <w:r>
              <w:rPr>
                <w:rFonts w:hint="eastAsia" w:ascii="宋体" w:hAnsi="宋体" w:eastAsia="宋体" w:cs="宋体"/>
                <w:b w:val="0"/>
                <w:bCs w:val="0"/>
                <w:color w:val="auto"/>
                <w:sz w:val="22"/>
                <w:szCs w:val="22"/>
                <w:highlight w:val="none"/>
                <w:lang w:eastAsia="zh-CN"/>
              </w:rPr>
              <w:t>其他</w:t>
            </w:r>
            <w:r>
              <w:rPr>
                <w:rFonts w:hint="eastAsia" w:ascii="宋体" w:hAnsi="宋体" w:eastAsia="宋体" w:cs="宋体"/>
                <w:b w:val="0"/>
                <w:bCs w:val="0"/>
                <w:color w:val="auto"/>
                <w:sz w:val="22"/>
                <w:szCs w:val="22"/>
                <w:highlight w:val="none"/>
              </w:rPr>
              <w:t>工商等登记证明材料）、税务登记证（如为多证合一仅需提供营业执照（或事业法人登记证书或</w:t>
            </w:r>
            <w:r>
              <w:rPr>
                <w:rFonts w:hint="eastAsia" w:ascii="宋体" w:hAnsi="宋体" w:eastAsia="宋体" w:cs="宋体"/>
                <w:b w:val="0"/>
                <w:bCs w:val="0"/>
                <w:color w:val="auto"/>
                <w:sz w:val="22"/>
                <w:szCs w:val="22"/>
                <w:highlight w:val="none"/>
                <w:lang w:eastAsia="zh-CN"/>
              </w:rPr>
              <w:t>其他</w:t>
            </w:r>
            <w:r>
              <w:rPr>
                <w:rFonts w:hint="eastAsia" w:ascii="宋体" w:hAnsi="宋体" w:eastAsia="宋体" w:cs="宋体"/>
                <w:b w:val="0"/>
                <w:bCs w:val="0"/>
                <w:color w:val="auto"/>
                <w:sz w:val="22"/>
                <w:szCs w:val="22"/>
                <w:highlight w:val="none"/>
              </w:rPr>
              <w:t>工商等登记证明材料），扫描件加盖公章）</w:t>
            </w:r>
          </w:p>
        </w:tc>
        <w:tc>
          <w:tcPr>
            <w:tcW w:w="557" w:type="pct"/>
          </w:tcPr>
          <w:p w14:paraId="1BC2C964">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rPr>
            </w:pPr>
          </w:p>
        </w:tc>
      </w:tr>
      <w:tr w14:paraId="6977FF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1" w:type="pct"/>
            <w:shd w:val="clear" w:color="auto" w:fill="auto"/>
            <w:vAlign w:val="top"/>
          </w:tcPr>
          <w:p w14:paraId="1A6ED04E">
            <w:pPr>
              <w:autoSpaceDE w:val="0"/>
              <w:autoSpaceDN w:val="0"/>
              <w:adjustRightInd w:val="0"/>
              <w:snapToGrid w:val="0"/>
              <w:spacing w:line="430" w:lineRule="atLeast"/>
              <w:jc w:val="center"/>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sz w:val="22"/>
                <w:szCs w:val="22"/>
                <w:highlight w:val="none"/>
              </w:rPr>
              <w:t>5</w:t>
            </w:r>
          </w:p>
        </w:tc>
        <w:tc>
          <w:tcPr>
            <w:tcW w:w="4100" w:type="pct"/>
          </w:tcPr>
          <w:p w14:paraId="6A8F1FF0">
            <w:pPr>
              <w:autoSpaceDE w:val="0"/>
              <w:autoSpaceDN w:val="0"/>
              <w:adjustRightInd w:val="0"/>
              <w:snapToGrid w:val="0"/>
              <w:spacing w:line="430" w:lineRule="atLeas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供应商相关资质、资信或信用证书、获奖证书等（如有则提供，扫描件加盖有效公章）</w:t>
            </w:r>
          </w:p>
        </w:tc>
        <w:tc>
          <w:tcPr>
            <w:tcW w:w="557" w:type="pct"/>
          </w:tcPr>
          <w:p w14:paraId="2F20504A">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rPr>
            </w:pPr>
          </w:p>
        </w:tc>
      </w:tr>
      <w:tr w14:paraId="7954E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1" w:type="pct"/>
          </w:tcPr>
          <w:p w14:paraId="442F5ED0">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6</w:t>
            </w:r>
          </w:p>
        </w:tc>
        <w:tc>
          <w:tcPr>
            <w:tcW w:w="4100" w:type="pct"/>
          </w:tcPr>
          <w:p w14:paraId="188ECBD0">
            <w:pPr>
              <w:autoSpaceDE w:val="0"/>
              <w:autoSpaceDN w:val="0"/>
              <w:adjustRightInd w:val="0"/>
              <w:snapToGrid w:val="0"/>
              <w:spacing w:line="430" w:lineRule="atLeas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类似业绩（如有，具体以评分细则中的要求为准）</w:t>
            </w:r>
          </w:p>
        </w:tc>
        <w:tc>
          <w:tcPr>
            <w:tcW w:w="557" w:type="pct"/>
          </w:tcPr>
          <w:p w14:paraId="67701842">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lang w:val="zh-CN" w:eastAsia="zh-CN"/>
              </w:rPr>
            </w:pPr>
            <w:r>
              <w:rPr>
                <w:rFonts w:hint="eastAsia" w:ascii="宋体" w:hAnsi="宋体" w:eastAsia="宋体" w:cs="宋体"/>
                <w:b w:val="0"/>
                <w:bCs w:val="0"/>
                <w:color w:val="auto"/>
                <w:sz w:val="22"/>
                <w:szCs w:val="22"/>
                <w:highlight w:val="none"/>
              </w:rPr>
              <w:t>附件</w:t>
            </w:r>
            <w:r>
              <w:rPr>
                <w:rFonts w:hint="eastAsia" w:ascii="宋体" w:hAnsi="宋体" w:eastAsia="宋体" w:cs="宋体"/>
                <w:b w:val="0"/>
                <w:bCs w:val="0"/>
                <w:color w:val="auto"/>
                <w:sz w:val="22"/>
                <w:szCs w:val="22"/>
                <w:highlight w:val="none"/>
                <w:lang w:val="en-US" w:eastAsia="zh-CN"/>
              </w:rPr>
              <w:t>七</w:t>
            </w:r>
          </w:p>
        </w:tc>
      </w:tr>
      <w:tr w14:paraId="46DAC0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1" w:type="pct"/>
          </w:tcPr>
          <w:p w14:paraId="66CFE87A">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7</w:t>
            </w:r>
          </w:p>
        </w:tc>
        <w:tc>
          <w:tcPr>
            <w:tcW w:w="4100" w:type="pct"/>
            <w:vAlign w:val="center"/>
          </w:tcPr>
          <w:p w14:paraId="3CAF4B12">
            <w:pPr>
              <w:tabs>
                <w:tab w:val="left" w:pos="4140"/>
              </w:tabs>
              <w:adjustRightInd w:val="0"/>
              <w:snapToGrid w:val="0"/>
              <w:spacing w:line="320" w:lineRule="atLeast"/>
              <w:rPr>
                <w:rFonts w:hint="eastAsia" w:ascii="宋体" w:hAnsi="宋体" w:eastAsia="宋体" w:cs="宋体"/>
                <w:b w:val="0"/>
                <w:bCs w:val="0"/>
                <w:color w:val="auto"/>
                <w:sz w:val="22"/>
                <w:szCs w:val="22"/>
                <w:highlight w:val="none"/>
              </w:rPr>
            </w:pPr>
            <w:r>
              <w:rPr>
                <w:rFonts w:hint="eastAsia" w:ascii="宋体" w:eastAsia="宋体" w:cs="宋体"/>
                <w:b w:val="0"/>
                <w:bCs w:val="0"/>
                <w:color w:val="auto"/>
                <w:sz w:val="22"/>
                <w:szCs w:val="22"/>
                <w:highlight w:val="none"/>
                <w:lang w:eastAsia="zh-CN"/>
              </w:rPr>
              <w:t>其他</w:t>
            </w:r>
            <w:r>
              <w:rPr>
                <w:rFonts w:hint="eastAsia" w:ascii="宋体" w:hAnsi="宋体" w:eastAsia="宋体" w:cs="宋体"/>
                <w:b w:val="0"/>
                <w:bCs w:val="0"/>
                <w:color w:val="auto"/>
                <w:sz w:val="22"/>
                <w:szCs w:val="22"/>
                <w:highlight w:val="none"/>
                <w:lang w:eastAsia="zh-CN"/>
              </w:rPr>
              <w:t>需说明的</w:t>
            </w:r>
            <w:r>
              <w:rPr>
                <w:rFonts w:hint="eastAsia" w:ascii="宋体" w:hAnsi="宋体" w:eastAsia="宋体" w:cs="宋体"/>
                <w:b w:val="0"/>
                <w:bCs w:val="0"/>
                <w:color w:val="auto"/>
                <w:sz w:val="22"/>
                <w:szCs w:val="22"/>
                <w:highlight w:val="none"/>
              </w:rPr>
              <w:t>资料（如有则提供）</w:t>
            </w:r>
          </w:p>
        </w:tc>
        <w:tc>
          <w:tcPr>
            <w:tcW w:w="557" w:type="pct"/>
            <w:vAlign w:val="center"/>
          </w:tcPr>
          <w:p w14:paraId="5DCB674B">
            <w:pPr>
              <w:tabs>
                <w:tab w:val="left" w:pos="4140"/>
              </w:tabs>
              <w:adjustRightInd w:val="0"/>
              <w:snapToGrid w:val="0"/>
              <w:spacing w:line="320" w:lineRule="atLeast"/>
              <w:jc w:val="center"/>
              <w:rPr>
                <w:rFonts w:hint="eastAsia" w:ascii="宋体" w:hAnsi="宋体" w:eastAsia="宋体" w:cs="宋体"/>
                <w:b w:val="0"/>
                <w:bCs w:val="0"/>
                <w:color w:val="auto"/>
                <w:sz w:val="22"/>
                <w:szCs w:val="22"/>
                <w:highlight w:val="none"/>
                <w:lang w:val="zh-CN"/>
              </w:rPr>
            </w:pPr>
          </w:p>
        </w:tc>
      </w:tr>
      <w:tr w14:paraId="63EFB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42" w:type="pct"/>
            <w:gridSpan w:val="2"/>
          </w:tcPr>
          <w:p w14:paraId="2097E509">
            <w:pPr>
              <w:autoSpaceDE w:val="0"/>
              <w:autoSpaceDN w:val="0"/>
              <w:adjustRightInd w:val="0"/>
              <w:snapToGrid w:val="0"/>
              <w:spacing w:line="430" w:lineRule="atLeas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val="zh-CN"/>
              </w:rPr>
              <w:t>技术部分（如资料提供不齐全，将可能导致不利的评定）</w:t>
            </w:r>
          </w:p>
        </w:tc>
        <w:tc>
          <w:tcPr>
            <w:tcW w:w="557" w:type="pct"/>
          </w:tcPr>
          <w:p w14:paraId="4F045E66">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lang w:val="zh-CN"/>
              </w:rPr>
            </w:pPr>
          </w:p>
        </w:tc>
      </w:tr>
      <w:tr w14:paraId="7FA47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1" w:type="pct"/>
            <w:shd w:val="clear" w:color="auto" w:fill="auto"/>
            <w:vAlign w:val="top"/>
          </w:tcPr>
          <w:p w14:paraId="65405C60">
            <w:pPr>
              <w:autoSpaceDE w:val="0"/>
              <w:autoSpaceDN w:val="0"/>
              <w:adjustRightInd w:val="0"/>
              <w:snapToGrid w:val="0"/>
              <w:spacing w:line="430" w:lineRule="atLeast"/>
              <w:jc w:val="center"/>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sz w:val="22"/>
                <w:szCs w:val="22"/>
                <w:highlight w:val="none"/>
                <w:lang w:val="en-US" w:eastAsia="zh-CN"/>
              </w:rPr>
              <w:t>8</w:t>
            </w:r>
          </w:p>
        </w:tc>
        <w:tc>
          <w:tcPr>
            <w:tcW w:w="4100" w:type="pct"/>
          </w:tcPr>
          <w:p w14:paraId="43C88826">
            <w:pPr>
              <w:autoSpaceDE w:val="0"/>
              <w:autoSpaceDN w:val="0"/>
              <w:adjustRightInd w:val="0"/>
              <w:snapToGrid w:val="0"/>
              <w:spacing w:line="430" w:lineRule="atLeas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商务、技术偏离表</w:t>
            </w:r>
          </w:p>
        </w:tc>
        <w:tc>
          <w:tcPr>
            <w:tcW w:w="557" w:type="pct"/>
          </w:tcPr>
          <w:p w14:paraId="400D7544">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附件</w:t>
            </w:r>
            <w:r>
              <w:rPr>
                <w:rFonts w:hint="eastAsia" w:ascii="宋体" w:hAnsi="宋体" w:eastAsia="宋体" w:cs="宋体"/>
                <w:b w:val="0"/>
                <w:bCs w:val="0"/>
                <w:color w:val="auto"/>
                <w:sz w:val="22"/>
                <w:szCs w:val="22"/>
                <w:highlight w:val="none"/>
                <w:lang w:val="en-US" w:eastAsia="zh-CN"/>
              </w:rPr>
              <w:t>八</w:t>
            </w:r>
          </w:p>
        </w:tc>
      </w:tr>
      <w:tr w14:paraId="7D68B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1" w:type="pct"/>
            <w:shd w:val="clear" w:color="auto" w:fill="auto"/>
            <w:vAlign w:val="top"/>
          </w:tcPr>
          <w:p w14:paraId="58968F2E">
            <w:pPr>
              <w:autoSpaceDE w:val="0"/>
              <w:autoSpaceDN w:val="0"/>
              <w:adjustRightInd w:val="0"/>
              <w:snapToGrid w:val="0"/>
              <w:spacing w:line="430" w:lineRule="atLeast"/>
              <w:jc w:val="center"/>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sz w:val="22"/>
                <w:szCs w:val="22"/>
                <w:highlight w:val="none"/>
                <w:lang w:val="en-US" w:eastAsia="zh-CN"/>
              </w:rPr>
              <w:t>9</w:t>
            </w:r>
          </w:p>
        </w:tc>
        <w:tc>
          <w:tcPr>
            <w:tcW w:w="4100" w:type="pct"/>
          </w:tcPr>
          <w:p w14:paraId="44758AFB">
            <w:pPr>
              <w:autoSpaceDE w:val="0"/>
              <w:autoSpaceDN w:val="0"/>
              <w:adjustRightInd w:val="0"/>
              <w:snapToGrid w:val="0"/>
              <w:spacing w:line="430" w:lineRule="atLeas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eastAsia="zh-CN"/>
              </w:rPr>
              <w:t>投标供应商</w:t>
            </w:r>
            <w:r>
              <w:rPr>
                <w:rFonts w:hint="eastAsia" w:ascii="宋体" w:hAnsi="宋体" w:eastAsia="宋体" w:cs="宋体"/>
                <w:b w:val="0"/>
                <w:bCs w:val="0"/>
                <w:color w:val="auto"/>
                <w:sz w:val="22"/>
                <w:szCs w:val="22"/>
                <w:highlight w:val="none"/>
              </w:rPr>
              <w:t>情况介绍</w:t>
            </w:r>
          </w:p>
        </w:tc>
        <w:tc>
          <w:tcPr>
            <w:tcW w:w="557" w:type="pct"/>
          </w:tcPr>
          <w:p w14:paraId="432A365E">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rPr>
            </w:pPr>
          </w:p>
        </w:tc>
      </w:tr>
      <w:tr w14:paraId="331EE9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1" w:type="pct"/>
            <w:shd w:val="clear" w:color="auto" w:fill="auto"/>
            <w:vAlign w:val="top"/>
          </w:tcPr>
          <w:p w14:paraId="7ABC4259">
            <w:pPr>
              <w:autoSpaceDE w:val="0"/>
              <w:autoSpaceDN w:val="0"/>
              <w:adjustRightInd w:val="0"/>
              <w:snapToGrid w:val="0"/>
              <w:spacing w:line="430" w:lineRule="atLeast"/>
              <w:jc w:val="center"/>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sz w:val="22"/>
                <w:szCs w:val="22"/>
                <w:highlight w:val="none"/>
                <w:lang w:val="en-US" w:eastAsia="zh-CN"/>
              </w:rPr>
              <w:t>10</w:t>
            </w:r>
          </w:p>
        </w:tc>
        <w:tc>
          <w:tcPr>
            <w:tcW w:w="4100" w:type="pct"/>
            <w:vAlign w:val="top"/>
          </w:tcPr>
          <w:p w14:paraId="274DA386">
            <w:pPr>
              <w:autoSpaceDE w:val="0"/>
              <w:autoSpaceDN w:val="0"/>
              <w:adjustRightInd w:val="0"/>
              <w:snapToGrid w:val="0"/>
              <w:spacing w:line="430" w:lineRule="atLeast"/>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项目理解情况</w:t>
            </w:r>
          </w:p>
        </w:tc>
        <w:tc>
          <w:tcPr>
            <w:tcW w:w="557" w:type="pct"/>
          </w:tcPr>
          <w:p w14:paraId="692EDF43">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rPr>
            </w:pPr>
          </w:p>
        </w:tc>
      </w:tr>
      <w:tr w14:paraId="043E0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1" w:type="pct"/>
            <w:shd w:val="clear" w:color="auto" w:fill="auto"/>
            <w:vAlign w:val="top"/>
          </w:tcPr>
          <w:p w14:paraId="0DC6B54B">
            <w:pPr>
              <w:autoSpaceDE w:val="0"/>
              <w:autoSpaceDN w:val="0"/>
              <w:adjustRightInd w:val="0"/>
              <w:snapToGrid w:val="0"/>
              <w:spacing w:line="430" w:lineRule="atLeast"/>
              <w:jc w:val="center"/>
              <w:rPr>
                <w:rFonts w:hint="default" w:ascii="宋体" w:hAns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11</w:t>
            </w:r>
          </w:p>
        </w:tc>
        <w:tc>
          <w:tcPr>
            <w:tcW w:w="4100" w:type="pct"/>
            <w:vAlign w:val="top"/>
          </w:tcPr>
          <w:p w14:paraId="6C6A6BAE">
            <w:pPr>
              <w:autoSpaceDE w:val="0"/>
              <w:autoSpaceDN w:val="0"/>
              <w:adjustRightInd w:val="0"/>
              <w:snapToGrid w:val="0"/>
              <w:spacing w:line="430" w:lineRule="atLeast"/>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000000"/>
                <w:spacing w:val="0"/>
                <w:sz w:val="22"/>
                <w:szCs w:val="22"/>
                <w:highlight w:val="none"/>
                <w:lang w:val="en-US" w:eastAsia="zh-CN" w:bidi="ar-SA"/>
              </w:rPr>
              <w:t>系统对接</w:t>
            </w:r>
            <w:r>
              <w:rPr>
                <w:rFonts w:hint="eastAsia" w:ascii="宋体" w:eastAsia="宋体" w:cs="宋体"/>
                <w:b w:val="0"/>
                <w:bCs w:val="0"/>
                <w:color w:val="000000"/>
                <w:spacing w:val="0"/>
                <w:sz w:val="22"/>
                <w:szCs w:val="22"/>
                <w:highlight w:val="none"/>
                <w:lang w:val="en-US" w:eastAsia="zh-CN" w:bidi="ar-SA"/>
              </w:rPr>
              <w:t>承诺函（格式自拟）</w:t>
            </w:r>
          </w:p>
        </w:tc>
        <w:tc>
          <w:tcPr>
            <w:tcW w:w="557" w:type="pct"/>
          </w:tcPr>
          <w:p w14:paraId="7A1E061D">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rPr>
            </w:pPr>
          </w:p>
        </w:tc>
      </w:tr>
      <w:tr w14:paraId="0ECCC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1" w:type="pct"/>
            <w:shd w:val="clear" w:color="auto" w:fill="auto"/>
            <w:vAlign w:val="top"/>
          </w:tcPr>
          <w:p w14:paraId="49D51CF2">
            <w:pPr>
              <w:autoSpaceDE w:val="0"/>
              <w:autoSpaceDN w:val="0"/>
              <w:adjustRightInd w:val="0"/>
              <w:snapToGrid w:val="0"/>
              <w:spacing w:line="430" w:lineRule="atLeast"/>
              <w:jc w:val="center"/>
              <w:rPr>
                <w:rFonts w:hint="default" w:ascii="宋体" w:hAnsi="宋体" w:eastAsia="宋体" w:cs="宋体"/>
                <w:b w:val="0"/>
                <w:bCs w:val="0"/>
                <w:color w:val="auto"/>
                <w:kern w:val="2"/>
                <w:sz w:val="22"/>
                <w:szCs w:val="22"/>
                <w:highlight w:val="none"/>
                <w:lang w:val="en-US" w:eastAsia="zh-CN" w:bidi="ar-SA"/>
              </w:rPr>
            </w:pPr>
            <w:r>
              <w:rPr>
                <w:rFonts w:hint="eastAsia" w:ascii="宋体" w:eastAsia="宋体" w:cs="宋体"/>
                <w:b w:val="0"/>
                <w:bCs w:val="0"/>
                <w:color w:val="auto"/>
                <w:sz w:val="22"/>
                <w:szCs w:val="22"/>
                <w:highlight w:val="none"/>
                <w:lang w:val="en-US" w:eastAsia="zh-CN"/>
              </w:rPr>
              <w:t>12</w:t>
            </w:r>
          </w:p>
        </w:tc>
        <w:tc>
          <w:tcPr>
            <w:tcW w:w="4100" w:type="pct"/>
            <w:vAlign w:val="top"/>
          </w:tcPr>
          <w:p w14:paraId="3BF0DF90">
            <w:pPr>
              <w:autoSpaceDE w:val="0"/>
              <w:autoSpaceDN w:val="0"/>
              <w:adjustRightInd w:val="0"/>
              <w:snapToGrid w:val="0"/>
              <w:spacing w:line="430" w:lineRule="atLeast"/>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针对本项目</w:t>
            </w:r>
            <w:r>
              <w:rPr>
                <w:rFonts w:hint="eastAsia" w:ascii="宋体" w:hAnsi="宋体" w:eastAsia="宋体" w:cs="宋体"/>
                <w:b w:val="0"/>
                <w:bCs w:val="0"/>
                <w:color w:val="auto"/>
                <w:sz w:val="22"/>
                <w:szCs w:val="22"/>
                <w:highlight w:val="none"/>
              </w:rPr>
              <w:t>提出详细组织实施方案</w:t>
            </w:r>
            <w:r>
              <w:rPr>
                <w:rFonts w:hint="eastAsia" w:ascii="宋体" w:eastAsia="宋体" w:cs="宋体"/>
                <w:b w:val="0"/>
                <w:bCs w:val="0"/>
                <w:color w:val="auto"/>
                <w:sz w:val="22"/>
                <w:szCs w:val="22"/>
                <w:highlight w:val="none"/>
                <w:lang w:eastAsia="zh-CN"/>
              </w:rPr>
              <w:t>（</w:t>
            </w:r>
            <w:r>
              <w:rPr>
                <w:rFonts w:hint="eastAsia" w:ascii="宋体" w:eastAsia="宋体" w:cs="宋体"/>
                <w:b w:val="0"/>
                <w:bCs w:val="0"/>
                <w:color w:val="auto"/>
                <w:sz w:val="22"/>
                <w:szCs w:val="22"/>
                <w:highlight w:val="none"/>
                <w:lang w:val="en-US" w:eastAsia="zh-CN"/>
              </w:rPr>
              <w:t>系统总体设计方案、系统对接方案、功能应用建设方案、项目组织实施方案等</w:t>
            </w:r>
            <w:r>
              <w:rPr>
                <w:rFonts w:hint="eastAsia" w:ascii="宋体" w:eastAsia="宋体" w:cs="宋体"/>
                <w:b w:val="0"/>
                <w:bCs w:val="0"/>
                <w:color w:val="auto"/>
                <w:sz w:val="22"/>
                <w:szCs w:val="22"/>
                <w:highlight w:val="none"/>
                <w:lang w:eastAsia="zh-CN"/>
              </w:rPr>
              <w:t>）</w:t>
            </w:r>
          </w:p>
        </w:tc>
        <w:tc>
          <w:tcPr>
            <w:tcW w:w="557" w:type="pct"/>
          </w:tcPr>
          <w:p w14:paraId="7E812385">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rPr>
            </w:pPr>
          </w:p>
        </w:tc>
      </w:tr>
      <w:tr w14:paraId="06FC98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1" w:type="pct"/>
            <w:shd w:val="clear" w:color="auto" w:fill="auto"/>
            <w:vAlign w:val="top"/>
          </w:tcPr>
          <w:p w14:paraId="387C1958">
            <w:pPr>
              <w:autoSpaceDE w:val="0"/>
              <w:autoSpaceDN w:val="0"/>
              <w:adjustRightInd w:val="0"/>
              <w:snapToGrid w:val="0"/>
              <w:spacing w:line="430" w:lineRule="atLeast"/>
              <w:jc w:val="center"/>
              <w:rPr>
                <w:rFonts w:hint="default" w:ascii="宋体" w:hAnsi="宋体" w:eastAsia="宋体" w:cs="宋体"/>
                <w:b w:val="0"/>
                <w:bCs w:val="0"/>
                <w:color w:val="auto"/>
                <w:kern w:val="2"/>
                <w:sz w:val="22"/>
                <w:szCs w:val="22"/>
                <w:highlight w:val="none"/>
                <w:lang w:val="en-US" w:eastAsia="zh-CN" w:bidi="ar-SA"/>
              </w:rPr>
            </w:pPr>
            <w:r>
              <w:rPr>
                <w:rFonts w:hint="eastAsia" w:ascii="宋体" w:eastAsia="宋体" w:cs="宋体"/>
                <w:b w:val="0"/>
                <w:bCs w:val="0"/>
                <w:color w:val="auto"/>
                <w:sz w:val="22"/>
                <w:szCs w:val="22"/>
                <w:highlight w:val="none"/>
                <w:lang w:val="en-US" w:eastAsia="zh-CN"/>
              </w:rPr>
              <w:t>13</w:t>
            </w:r>
          </w:p>
        </w:tc>
        <w:tc>
          <w:tcPr>
            <w:tcW w:w="4100" w:type="pct"/>
            <w:vAlign w:val="top"/>
          </w:tcPr>
          <w:p w14:paraId="29348ECD">
            <w:pPr>
              <w:autoSpaceDE w:val="0"/>
              <w:autoSpaceDN w:val="0"/>
              <w:adjustRightInd w:val="0"/>
              <w:snapToGrid w:val="0"/>
              <w:spacing w:line="430" w:lineRule="atLeast"/>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rPr>
              <w:t>技术和服务方案</w:t>
            </w:r>
            <w:r>
              <w:rPr>
                <w:rFonts w:hint="eastAsia" w:ascii="宋体" w:hAnsi="宋体" w:eastAsia="宋体" w:cs="宋体"/>
                <w:b w:val="0"/>
                <w:bCs w:val="0"/>
                <w:color w:val="auto"/>
                <w:sz w:val="22"/>
                <w:szCs w:val="22"/>
                <w:highlight w:val="none"/>
                <w:lang w:eastAsia="zh-CN"/>
              </w:rPr>
              <w:t>、项目质量控制</w:t>
            </w:r>
            <w:r>
              <w:rPr>
                <w:rFonts w:hint="eastAsia" w:ascii="宋体" w:hAnsi="宋体" w:eastAsia="宋体" w:cs="宋体"/>
                <w:b w:val="0"/>
                <w:bCs w:val="0"/>
                <w:color w:val="auto"/>
                <w:sz w:val="22"/>
                <w:szCs w:val="22"/>
                <w:highlight w:val="none"/>
                <w:lang w:val="en-US" w:eastAsia="zh-CN"/>
              </w:rPr>
              <w:t>方案、合理化建议等</w:t>
            </w:r>
          </w:p>
        </w:tc>
        <w:tc>
          <w:tcPr>
            <w:tcW w:w="557" w:type="pct"/>
          </w:tcPr>
          <w:p w14:paraId="1C840721">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rPr>
            </w:pPr>
          </w:p>
        </w:tc>
      </w:tr>
      <w:tr w14:paraId="1E94E0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1" w:type="pct"/>
            <w:shd w:val="clear" w:color="auto" w:fill="auto"/>
            <w:vAlign w:val="top"/>
          </w:tcPr>
          <w:p w14:paraId="7180FA1A">
            <w:pPr>
              <w:autoSpaceDE w:val="0"/>
              <w:autoSpaceDN w:val="0"/>
              <w:adjustRightInd w:val="0"/>
              <w:snapToGrid w:val="0"/>
              <w:spacing w:line="430" w:lineRule="atLeast"/>
              <w:jc w:val="center"/>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sz w:val="22"/>
                <w:szCs w:val="22"/>
                <w:highlight w:val="none"/>
                <w:lang w:val="en-US" w:eastAsia="zh-CN"/>
              </w:rPr>
              <w:t>14</w:t>
            </w:r>
          </w:p>
        </w:tc>
        <w:tc>
          <w:tcPr>
            <w:tcW w:w="4100" w:type="pct"/>
            <w:vAlign w:val="center"/>
          </w:tcPr>
          <w:p w14:paraId="4A1EF6CF">
            <w:pPr>
              <w:autoSpaceDE w:val="0"/>
              <w:autoSpaceDN w:val="0"/>
              <w:adjustRightInd w:val="0"/>
              <w:snapToGrid w:val="0"/>
              <w:spacing w:line="430" w:lineRule="atLeast"/>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rPr>
              <w:t>项目服务人员汇总表</w:t>
            </w:r>
          </w:p>
        </w:tc>
        <w:tc>
          <w:tcPr>
            <w:tcW w:w="557" w:type="pct"/>
          </w:tcPr>
          <w:p w14:paraId="64D990B1">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lang w:eastAsia="zh-CN"/>
              </w:rPr>
              <w:t>附件</w:t>
            </w:r>
            <w:r>
              <w:rPr>
                <w:rFonts w:hint="eastAsia" w:ascii="宋体" w:hAnsi="宋体" w:eastAsia="宋体" w:cs="宋体"/>
                <w:b w:val="0"/>
                <w:bCs w:val="0"/>
                <w:color w:val="auto"/>
                <w:sz w:val="22"/>
                <w:szCs w:val="22"/>
                <w:highlight w:val="none"/>
                <w:lang w:val="en-US" w:eastAsia="zh-CN"/>
              </w:rPr>
              <w:t>九</w:t>
            </w:r>
          </w:p>
        </w:tc>
      </w:tr>
      <w:tr w14:paraId="4286B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1" w:type="pct"/>
            <w:shd w:val="clear" w:color="auto" w:fill="auto"/>
            <w:vAlign w:val="top"/>
          </w:tcPr>
          <w:p w14:paraId="4BAC027C">
            <w:pPr>
              <w:autoSpaceDE w:val="0"/>
              <w:autoSpaceDN w:val="0"/>
              <w:adjustRightInd w:val="0"/>
              <w:snapToGrid w:val="0"/>
              <w:spacing w:line="430" w:lineRule="atLeast"/>
              <w:jc w:val="center"/>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15</w:t>
            </w:r>
          </w:p>
        </w:tc>
        <w:tc>
          <w:tcPr>
            <w:tcW w:w="4100" w:type="pct"/>
            <w:vAlign w:val="center"/>
          </w:tcPr>
          <w:p w14:paraId="31906D83">
            <w:pPr>
              <w:autoSpaceDE w:val="0"/>
              <w:autoSpaceDN w:val="0"/>
              <w:adjustRightInd w:val="0"/>
              <w:snapToGrid w:val="0"/>
              <w:spacing w:line="430" w:lineRule="atLeas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本项目设备投入一览表（若有）</w:t>
            </w:r>
          </w:p>
        </w:tc>
        <w:tc>
          <w:tcPr>
            <w:tcW w:w="557" w:type="pct"/>
          </w:tcPr>
          <w:p w14:paraId="70FC0BF8">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lang w:eastAsia="zh-CN"/>
              </w:rPr>
            </w:pPr>
          </w:p>
        </w:tc>
      </w:tr>
      <w:tr w14:paraId="5D80B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1" w:type="pct"/>
            <w:shd w:val="clear" w:color="auto" w:fill="auto"/>
            <w:vAlign w:val="top"/>
          </w:tcPr>
          <w:p w14:paraId="0AC5622E">
            <w:pPr>
              <w:autoSpaceDE w:val="0"/>
              <w:autoSpaceDN w:val="0"/>
              <w:adjustRightInd w:val="0"/>
              <w:snapToGrid w:val="0"/>
              <w:spacing w:line="430" w:lineRule="atLeast"/>
              <w:jc w:val="center"/>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16</w:t>
            </w:r>
          </w:p>
        </w:tc>
        <w:tc>
          <w:tcPr>
            <w:tcW w:w="4100" w:type="pct"/>
            <w:vAlign w:val="center"/>
          </w:tcPr>
          <w:p w14:paraId="3841B835">
            <w:pPr>
              <w:autoSpaceDE w:val="0"/>
              <w:autoSpaceDN w:val="0"/>
              <w:adjustRightInd w:val="0"/>
              <w:snapToGrid w:val="0"/>
              <w:spacing w:line="430" w:lineRule="atLeast"/>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rPr>
              <w:t>人员培训计划</w:t>
            </w:r>
          </w:p>
        </w:tc>
        <w:tc>
          <w:tcPr>
            <w:tcW w:w="557" w:type="pct"/>
          </w:tcPr>
          <w:p w14:paraId="640821B1">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rPr>
            </w:pPr>
          </w:p>
        </w:tc>
      </w:tr>
      <w:tr w14:paraId="31D2A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1" w:type="pct"/>
            <w:shd w:val="clear" w:color="auto" w:fill="auto"/>
            <w:vAlign w:val="top"/>
          </w:tcPr>
          <w:p w14:paraId="70814287">
            <w:pPr>
              <w:autoSpaceDE w:val="0"/>
              <w:autoSpaceDN w:val="0"/>
              <w:adjustRightInd w:val="0"/>
              <w:snapToGrid w:val="0"/>
              <w:spacing w:line="430" w:lineRule="atLeast"/>
              <w:jc w:val="center"/>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17</w:t>
            </w:r>
          </w:p>
        </w:tc>
        <w:tc>
          <w:tcPr>
            <w:tcW w:w="4100" w:type="pct"/>
            <w:vAlign w:val="center"/>
          </w:tcPr>
          <w:p w14:paraId="3D293FDF">
            <w:pPr>
              <w:autoSpaceDE w:val="0"/>
              <w:autoSpaceDN w:val="0"/>
              <w:adjustRightInd w:val="0"/>
              <w:snapToGrid w:val="0"/>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sz w:val="22"/>
                <w:szCs w:val="22"/>
                <w:highlight w:val="none"/>
              </w:rPr>
              <w:t>售后服务承诺：技术服务和售后服务的内容、措施、承诺，包括质保期、距</w:t>
            </w:r>
            <w:r>
              <w:rPr>
                <w:rFonts w:hint="eastAsia" w:ascii="宋体" w:eastAsia="宋体" w:cs="宋体"/>
                <w:b w:val="0"/>
                <w:bCs w:val="0"/>
                <w:color w:val="auto"/>
                <w:sz w:val="22"/>
                <w:szCs w:val="22"/>
                <w:highlight w:val="none"/>
                <w:lang w:eastAsia="zh-CN"/>
              </w:rPr>
              <w:t>采购人</w:t>
            </w:r>
            <w:r>
              <w:rPr>
                <w:rFonts w:hint="eastAsia" w:ascii="宋体" w:hAnsi="宋体" w:eastAsia="宋体" w:cs="宋体"/>
                <w:b w:val="0"/>
                <w:bCs w:val="0"/>
                <w:color w:val="auto"/>
                <w:sz w:val="22"/>
                <w:szCs w:val="22"/>
                <w:highlight w:val="none"/>
              </w:rPr>
              <w:t xml:space="preserve">最近的服务网点的详细介绍，资质资格、技术力量、成立时间   </w:t>
            </w:r>
          </w:p>
        </w:tc>
        <w:tc>
          <w:tcPr>
            <w:tcW w:w="557" w:type="pct"/>
          </w:tcPr>
          <w:p w14:paraId="203DDFA2">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rPr>
            </w:pPr>
          </w:p>
        </w:tc>
      </w:tr>
      <w:tr w14:paraId="23B29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1" w:type="pct"/>
            <w:vAlign w:val="top"/>
          </w:tcPr>
          <w:p w14:paraId="06D21DB3">
            <w:pPr>
              <w:autoSpaceDE w:val="0"/>
              <w:autoSpaceDN w:val="0"/>
              <w:adjustRightInd w:val="0"/>
              <w:snapToGrid w:val="0"/>
              <w:spacing w:line="430" w:lineRule="atLeast"/>
              <w:jc w:val="center"/>
              <w:rPr>
                <w:rFonts w:hint="default" w:ascii="宋体" w:hAnsi="宋体" w:eastAsia="宋体" w:cs="宋体"/>
                <w:b w:val="0"/>
                <w:bCs w:val="0"/>
                <w:color w:val="auto"/>
                <w:kern w:val="2"/>
                <w:sz w:val="22"/>
                <w:szCs w:val="22"/>
                <w:highlight w:val="none"/>
                <w:lang w:val="en-US" w:eastAsia="zh-CN" w:bidi="ar-SA"/>
              </w:rPr>
            </w:pPr>
            <w:r>
              <w:rPr>
                <w:rFonts w:hint="eastAsia" w:ascii="宋体" w:eastAsia="宋体" w:cs="宋体"/>
                <w:b w:val="0"/>
                <w:bCs w:val="0"/>
                <w:color w:val="auto"/>
                <w:kern w:val="2"/>
                <w:sz w:val="22"/>
                <w:szCs w:val="22"/>
                <w:highlight w:val="none"/>
                <w:lang w:val="en-US" w:eastAsia="zh-CN" w:bidi="ar-SA"/>
              </w:rPr>
              <w:t>18</w:t>
            </w:r>
          </w:p>
        </w:tc>
        <w:tc>
          <w:tcPr>
            <w:tcW w:w="4100" w:type="pct"/>
            <w:vAlign w:val="top"/>
          </w:tcPr>
          <w:p w14:paraId="43C742D6">
            <w:pPr>
              <w:autoSpaceDE w:val="0"/>
              <w:autoSpaceDN w:val="0"/>
              <w:adjustRightInd w:val="0"/>
              <w:snapToGrid w:val="0"/>
              <w:spacing w:line="430" w:lineRule="atLeast"/>
              <w:rPr>
                <w:rFonts w:hint="eastAsia" w:ascii="宋体" w:hAnsi="宋体" w:eastAsia="宋体" w:cs="宋体"/>
                <w:b w:val="0"/>
                <w:bCs w:val="0"/>
                <w:color w:val="auto"/>
                <w:kern w:val="2"/>
                <w:sz w:val="22"/>
                <w:szCs w:val="22"/>
                <w:highlight w:val="none"/>
                <w:lang w:val="zh-CN" w:eastAsia="zh-CN" w:bidi="ar-SA"/>
              </w:rPr>
            </w:pPr>
            <w:r>
              <w:rPr>
                <w:rFonts w:hint="eastAsia" w:ascii="宋体" w:hAnsi="宋体" w:eastAsia="宋体" w:cs="宋体"/>
                <w:b w:val="0"/>
                <w:bCs w:val="0"/>
                <w:color w:val="auto"/>
                <w:sz w:val="22"/>
                <w:szCs w:val="22"/>
                <w:highlight w:val="none"/>
              </w:rPr>
              <w:t>根据</w:t>
            </w:r>
            <w:r>
              <w:rPr>
                <w:rFonts w:hint="eastAsia" w:ascii="宋体" w:eastAsia="宋体" w:cs="宋体"/>
                <w:b w:val="0"/>
                <w:bCs w:val="0"/>
                <w:color w:val="auto"/>
                <w:sz w:val="22"/>
                <w:szCs w:val="22"/>
                <w:highlight w:val="none"/>
                <w:lang w:eastAsia="zh-CN"/>
              </w:rPr>
              <w:t>采购文件</w:t>
            </w:r>
            <w:r>
              <w:rPr>
                <w:rFonts w:hint="eastAsia" w:ascii="宋体" w:hAnsi="宋体" w:eastAsia="宋体" w:cs="宋体"/>
                <w:b w:val="0"/>
                <w:bCs w:val="0"/>
                <w:color w:val="auto"/>
                <w:sz w:val="22"/>
                <w:szCs w:val="22"/>
                <w:highlight w:val="none"/>
              </w:rPr>
              <w:t>中的采购内容与技术要求、评标细则，需要提供的</w:t>
            </w:r>
            <w:r>
              <w:rPr>
                <w:rFonts w:hint="eastAsia" w:ascii="宋体" w:hAnsi="宋体" w:eastAsia="宋体" w:cs="宋体"/>
                <w:b w:val="0"/>
                <w:bCs w:val="0"/>
                <w:color w:val="auto"/>
                <w:sz w:val="22"/>
                <w:szCs w:val="22"/>
                <w:highlight w:val="none"/>
                <w:lang w:eastAsia="zh-CN"/>
              </w:rPr>
              <w:t>其他</w:t>
            </w:r>
            <w:r>
              <w:rPr>
                <w:rFonts w:hint="eastAsia" w:ascii="宋体" w:hAnsi="宋体" w:eastAsia="宋体" w:cs="宋体"/>
                <w:b w:val="0"/>
                <w:bCs w:val="0"/>
                <w:color w:val="auto"/>
                <w:sz w:val="22"/>
                <w:szCs w:val="22"/>
                <w:highlight w:val="none"/>
              </w:rPr>
              <w:t>文件和资料</w:t>
            </w:r>
          </w:p>
        </w:tc>
        <w:tc>
          <w:tcPr>
            <w:tcW w:w="557" w:type="pct"/>
          </w:tcPr>
          <w:p w14:paraId="4847EFDA">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rPr>
            </w:pPr>
          </w:p>
        </w:tc>
      </w:tr>
      <w:tr w14:paraId="75A498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1" w:type="pct"/>
            <w:vAlign w:val="top"/>
          </w:tcPr>
          <w:p w14:paraId="6A355682">
            <w:pPr>
              <w:autoSpaceDE w:val="0"/>
              <w:autoSpaceDN w:val="0"/>
              <w:adjustRightInd w:val="0"/>
              <w:snapToGrid w:val="0"/>
              <w:spacing w:line="430" w:lineRule="atLeast"/>
              <w:jc w:val="center"/>
              <w:rPr>
                <w:rFonts w:hint="default"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1</w:t>
            </w:r>
            <w:r>
              <w:rPr>
                <w:rFonts w:hint="eastAsia" w:ascii="宋体" w:eastAsia="宋体" w:cs="宋体"/>
                <w:b w:val="0"/>
                <w:bCs w:val="0"/>
                <w:color w:val="auto"/>
                <w:kern w:val="2"/>
                <w:sz w:val="22"/>
                <w:szCs w:val="22"/>
                <w:highlight w:val="none"/>
                <w:lang w:val="en-US" w:eastAsia="zh-CN" w:bidi="ar-SA"/>
              </w:rPr>
              <w:t>9</w:t>
            </w:r>
          </w:p>
        </w:tc>
        <w:tc>
          <w:tcPr>
            <w:tcW w:w="4100" w:type="pct"/>
            <w:vAlign w:val="center"/>
          </w:tcPr>
          <w:p w14:paraId="3DFCEB44">
            <w:pPr>
              <w:autoSpaceDE w:val="0"/>
              <w:autoSpaceDN w:val="0"/>
              <w:adjustRightInd w:val="0"/>
              <w:rPr>
                <w:rFonts w:hint="eastAsia" w:ascii="宋体" w:hAnsi="宋体" w:eastAsia="宋体" w:cs="宋体"/>
                <w:b w:val="0"/>
                <w:bCs w:val="0"/>
                <w:color w:val="auto"/>
                <w:kern w:val="2"/>
                <w:sz w:val="22"/>
                <w:szCs w:val="22"/>
                <w:highlight w:val="none"/>
                <w:lang w:val="zh-CN" w:eastAsia="zh-CN" w:bidi="ar-SA"/>
              </w:rPr>
            </w:pPr>
            <w:r>
              <w:rPr>
                <w:rFonts w:hint="eastAsia" w:ascii="宋体" w:eastAsia="宋体" w:cs="宋体"/>
                <w:b w:val="0"/>
                <w:bCs w:val="0"/>
                <w:color w:val="auto"/>
                <w:sz w:val="22"/>
                <w:szCs w:val="22"/>
                <w:highlight w:val="none"/>
                <w:lang w:eastAsia="zh-CN"/>
              </w:rPr>
              <w:t>其他</w:t>
            </w:r>
            <w:r>
              <w:rPr>
                <w:rFonts w:hint="eastAsia" w:ascii="宋体" w:hAnsi="宋体" w:eastAsia="宋体" w:cs="宋体"/>
                <w:b w:val="0"/>
                <w:bCs w:val="0"/>
                <w:color w:val="auto"/>
                <w:sz w:val="22"/>
                <w:szCs w:val="22"/>
                <w:highlight w:val="none"/>
              </w:rPr>
              <w:t>供应商须说明的资料（如有则提供）</w:t>
            </w:r>
          </w:p>
        </w:tc>
        <w:tc>
          <w:tcPr>
            <w:tcW w:w="557" w:type="pct"/>
          </w:tcPr>
          <w:p w14:paraId="4E1F3A45">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rPr>
            </w:pPr>
          </w:p>
        </w:tc>
      </w:tr>
    </w:tbl>
    <w:p w14:paraId="7BCECFFF">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注：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采购活动，由单位负责人签署相关文件材料。</w:t>
      </w:r>
    </w:p>
    <w:p w14:paraId="2FD0443F">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3、响应文件编制</w:t>
      </w:r>
    </w:p>
    <w:p w14:paraId="4CAA7F90">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3.1本项目通过“政采云平台（www.zcygov.cn）”实行在线投标响应（电子投标）。供应商应通过“政采云电子交易客户端”，并按照本采购文件和“政采云平台”的要求编制并加密响应文件。</w:t>
      </w:r>
    </w:p>
    <w:p w14:paraId="5D8A6316">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3.2投标供应商应当按照本章节 “响应文件组成”规定的内容及顺序在“政采云电子交易客户端”编制响应文件。</w:t>
      </w:r>
    </w:p>
    <w:p w14:paraId="6178F762">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3.3本采购文件“响应文件格式”中有提供格式的，投标供应商须参照格式进行编制（格式中要求提供相关证明材料的还需后附相关证明材料），并按格式要求在指定位置根据要求进行签章，否则视为未提供；本文件“响应文件格式”未提供格式的，请各投标单位自行拟定格式，并加盖单位公章并由法定代表人或其授权代表签署（签字或盖章），否则视为未提供。</w:t>
      </w:r>
    </w:p>
    <w:p w14:paraId="52072C6A">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3.4响应文件内容不完整、编排混乱导致响应文件被误读、漏读或者查找不到相关内容的，是投标供应商的责任。</w:t>
      </w:r>
    </w:p>
    <w:p w14:paraId="0C00AEDE">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3.5响应文件因字迹潦草或表达不清所引起的后果由投标供应商负责。</w:t>
      </w:r>
    </w:p>
    <w:p w14:paraId="5CFFEEF6">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bCs w:val="0"/>
          <w:color w:val="auto"/>
          <w:sz w:val="22"/>
          <w:szCs w:val="22"/>
          <w:highlight w:val="none"/>
        </w:rPr>
        <w:t>3.6 投标供应商没有按照本章节 “响应文件组成”要求提供全部资料，或者没有仔细阅读采购文件，或者没有对采购文件在各方面的要求</w:t>
      </w:r>
      <w:r>
        <w:rPr>
          <w:rFonts w:hint="eastAsia" w:ascii="宋体" w:eastAsia="宋体" w:cs="宋体"/>
          <w:b w:val="0"/>
          <w:bCs w:val="0"/>
          <w:color w:val="auto"/>
          <w:sz w:val="22"/>
          <w:szCs w:val="22"/>
          <w:highlight w:val="none"/>
          <w:lang w:eastAsia="zh-CN"/>
        </w:rPr>
        <w:t>做出</w:t>
      </w:r>
      <w:r>
        <w:rPr>
          <w:rFonts w:hint="eastAsia" w:ascii="宋体" w:hAnsi="宋体" w:eastAsia="宋体" w:cs="宋体"/>
          <w:b w:val="0"/>
          <w:bCs w:val="0"/>
          <w:color w:val="auto"/>
          <w:sz w:val="22"/>
          <w:szCs w:val="22"/>
          <w:highlight w:val="none"/>
        </w:rPr>
        <w:t>实质性响应是投标供应商的风险，由此造成的一切后果由投标供应商自行承担。</w:t>
      </w:r>
    </w:p>
    <w:p w14:paraId="12647D47">
      <w:pPr>
        <w:autoSpaceDE w:val="0"/>
        <w:autoSpaceDN w:val="0"/>
        <w:adjustRightInd w:val="0"/>
        <w:snapToGrid w:val="0"/>
        <w:spacing w:line="360" w:lineRule="auto"/>
        <w:ind w:firstLine="422"/>
        <w:textAlignment w:val="bottom"/>
        <w:rPr>
          <w:rFonts w:hint="eastAsia" w:ascii="宋体" w:hAnsi="宋体" w:eastAsia="宋体" w:cs="宋体"/>
          <w:b w:val="0"/>
          <w:color w:val="auto"/>
          <w:sz w:val="22"/>
          <w:szCs w:val="22"/>
          <w:highlight w:val="none"/>
        </w:rPr>
      </w:pPr>
      <w:bookmarkStart w:id="33" w:name="_Toc132122413"/>
      <w:bookmarkStart w:id="34" w:name="_Toc132122116"/>
      <w:r>
        <w:rPr>
          <w:rFonts w:hint="eastAsia" w:ascii="宋体" w:hAnsi="宋体" w:eastAsia="宋体" w:cs="宋体"/>
          <w:b w:val="0"/>
          <w:color w:val="auto"/>
          <w:sz w:val="22"/>
          <w:szCs w:val="22"/>
          <w:highlight w:val="none"/>
        </w:rPr>
        <w:t>4、投标报价</w:t>
      </w:r>
    </w:p>
    <w:p w14:paraId="18160D8D">
      <w:pPr>
        <w:autoSpaceDE w:val="0"/>
        <w:autoSpaceDN w:val="0"/>
        <w:adjustRightInd w:val="0"/>
        <w:snapToGrid w:val="0"/>
        <w:spacing w:line="360" w:lineRule="auto"/>
        <w:ind w:firstLine="422"/>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4.1、投标供应商应按磋商文件中《开标一览表》及《分项报价明细表》（如有）填写投标价。</w:t>
      </w:r>
    </w:p>
    <w:p w14:paraId="05559C51">
      <w:pPr>
        <w:autoSpaceDE w:val="0"/>
        <w:autoSpaceDN w:val="0"/>
        <w:adjustRightInd w:val="0"/>
        <w:snapToGrid w:val="0"/>
        <w:spacing w:line="360" w:lineRule="auto"/>
        <w:ind w:firstLine="422"/>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4.2、本次招标最终报价只允许有一个报价，有选择的报价将不予接受。</w:t>
      </w:r>
    </w:p>
    <w:p w14:paraId="038905A5">
      <w:pPr>
        <w:autoSpaceDE w:val="0"/>
        <w:autoSpaceDN w:val="0"/>
        <w:adjustRightInd w:val="0"/>
        <w:snapToGrid w:val="0"/>
        <w:spacing w:line="360" w:lineRule="auto"/>
        <w:ind w:firstLine="422"/>
        <w:textAlignment w:val="bottom"/>
        <w:rPr>
          <w:rFonts w:hint="eastAsia" w:ascii="宋体" w:hAnsi="宋体" w:eastAsia="宋体" w:cs="宋体"/>
          <w:bCs w:val="0"/>
          <w:color w:val="auto"/>
          <w:sz w:val="22"/>
          <w:szCs w:val="22"/>
          <w:highlight w:val="none"/>
        </w:rPr>
      </w:pPr>
      <w:r>
        <w:rPr>
          <w:rFonts w:hint="eastAsia" w:ascii="宋体" w:hAnsi="宋体" w:eastAsia="宋体" w:cs="宋体"/>
          <w:bCs w:val="0"/>
          <w:color w:val="auto"/>
          <w:sz w:val="22"/>
          <w:szCs w:val="22"/>
          <w:highlight w:val="none"/>
        </w:rPr>
        <w:t>4.3、供应商应当保持单项价格的合理性，严禁出现不平衡报价的情况，项目采购结束后，采购人有权对各单项价格进行核查，对于严重超过市场价格的单价，将在正式合同中明确：对于认定为不平衡报价的单项，如果发生数量变动，将按照有利于采购人的单价进行认价。</w:t>
      </w:r>
    </w:p>
    <w:p w14:paraId="7C18BBB6">
      <w:pPr>
        <w:autoSpaceDE w:val="0"/>
        <w:autoSpaceDN w:val="0"/>
        <w:adjustRightInd w:val="0"/>
        <w:snapToGrid w:val="0"/>
        <w:spacing w:line="360" w:lineRule="auto"/>
        <w:ind w:firstLine="422"/>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4.4、投标供应商应考虑自身实力、经验及项目实施过程中的各种因素，根据采购说明，详细说明所能提供的各项具体服务内容，自主确定报价。</w:t>
      </w:r>
    </w:p>
    <w:p w14:paraId="47C6337B">
      <w:pPr>
        <w:autoSpaceDE w:val="0"/>
        <w:autoSpaceDN w:val="0"/>
        <w:adjustRightInd w:val="0"/>
        <w:spacing w:line="360" w:lineRule="auto"/>
        <w:ind w:firstLine="442"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color w:val="auto"/>
          <w:sz w:val="22"/>
          <w:szCs w:val="22"/>
          <w:highlight w:val="none"/>
        </w:rPr>
        <w:t>4.5、</w:t>
      </w:r>
      <w:r>
        <w:rPr>
          <w:rFonts w:hint="eastAsia" w:ascii="宋体" w:hAnsi="宋体" w:eastAsia="宋体" w:cs="宋体"/>
          <w:b w:val="0"/>
          <w:bCs w:val="0"/>
          <w:color w:val="auto"/>
          <w:sz w:val="22"/>
          <w:szCs w:val="22"/>
          <w:highlight w:val="none"/>
        </w:rPr>
        <w:t>投标报价</w:t>
      </w:r>
      <w:r>
        <w:rPr>
          <w:rFonts w:hint="eastAsia" w:ascii="宋体" w:eastAsia="宋体" w:cs="宋体"/>
          <w:b w:val="0"/>
          <w:bCs w:val="0"/>
          <w:color w:val="auto"/>
          <w:sz w:val="22"/>
          <w:szCs w:val="22"/>
          <w:highlight w:val="none"/>
          <w:lang w:eastAsia="zh-CN"/>
        </w:rPr>
        <w:t>应</w:t>
      </w:r>
      <w:r>
        <w:rPr>
          <w:rFonts w:hint="eastAsia" w:ascii="宋体" w:hAnsi="宋体" w:eastAsia="宋体" w:cs="宋体"/>
          <w:b w:val="0"/>
          <w:bCs w:val="0"/>
          <w:color w:val="auto"/>
          <w:sz w:val="22"/>
          <w:szCs w:val="22"/>
          <w:highlight w:val="none"/>
        </w:rPr>
        <w:t>包含以下费用。</w:t>
      </w:r>
    </w:p>
    <w:p w14:paraId="27C70261">
      <w:pPr>
        <w:numPr>
          <w:ilvl w:val="0"/>
          <w:numId w:val="5"/>
        </w:numPr>
        <w:tabs>
          <w:tab w:val="left" w:pos="965"/>
          <w:tab w:val="left" w:pos="1025"/>
          <w:tab w:val="clear" w:pos="425"/>
        </w:tabs>
        <w:adjustRightInd w:val="0"/>
        <w:spacing w:line="360" w:lineRule="auto"/>
        <w:ind w:left="630" w:leftChars="3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服务价格</w:t>
      </w:r>
    </w:p>
    <w:p w14:paraId="1EECE902">
      <w:pPr>
        <w:numPr>
          <w:ilvl w:val="0"/>
          <w:numId w:val="5"/>
        </w:numPr>
        <w:tabs>
          <w:tab w:val="left" w:pos="965"/>
          <w:tab w:val="left" w:pos="1025"/>
          <w:tab w:val="clear" w:pos="425"/>
        </w:tabs>
        <w:adjustRightInd w:val="0"/>
        <w:spacing w:line="360" w:lineRule="auto"/>
        <w:ind w:left="630" w:leftChars="3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关税、增值税等</w:t>
      </w:r>
      <w:r>
        <w:rPr>
          <w:rFonts w:hint="eastAsia" w:ascii="宋体" w:eastAsia="宋体" w:cs="宋体"/>
          <w:b w:val="0"/>
          <w:color w:val="auto"/>
          <w:sz w:val="22"/>
          <w:szCs w:val="22"/>
          <w:highlight w:val="none"/>
          <w:lang w:eastAsia="zh-CN"/>
        </w:rPr>
        <w:t>其他税</w:t>
      </w:r>
      <w:r>
        <w:rPr>
          <w:rFonts w:hint="eastAsia" w:ascii="宋体" w:hAnsi="宋体" w:eastAsia="宋体" w:cs="宋体"/>
          <w:b w:val="0"/>
          <w:color w:val="auto"/>
          <w:sz w:val="22"/>
          <w:szCs w:val="22"/>
          <w:highlight w:val="none"/>
        </w:rPr>
        <w:t>，须将税费及税率单列</w:t>
      </w:r>
    </w:p>
    <w:p w14:paraId="659489D7">
      <w:pPr>
        <w:numPr>
          <w:ilvl w:val="0"/>
          <w:numId w:val="5"/>
        </w:numPr>
        <w:tabs>
          <w:tab w:val="left" w:pos="965"/>
          <w:tab w:val="left" w:pos="1025"/>
          <w:tab w:val="clear" w:pos="425"/>
        </w:tabs>
        <w:adjustRightInd w:val="0"/>
        <w:spacing w:line="360" w:lineRule="auto"/>
        <w:ind w:left="630" w:leftChars="3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代理服务费</w:t>
      </w:r>
    </w:p>
    <w:p w14:paraId="492B53C0">
      <w:pPr>
        <w:numPr>
          <w:ilvl w:val="0"/>
          <w:numId w:val="5"/>
        </w:numPr>
        <w:tabs>
          <w:tab w:val="left" w:pos="965"/>
          <w:tab w:val="left" w:pos="1025"/>
          <w:tab w:val="clear" w:pos="425"/>
        </w:tabs>
        <w:adjustRightInd w:val="0"/>
        <w:spacing w:line="360" w:lineRule="auto"/>
        <w:ind w:left="630" w:leftChars="3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其他费用</w:t>
      </w:r>
    </w:p>
    <w:p w14:paraId="2F2902F2">
      <w:pPr>
        <w:autoSpaceDE w:val="0"/>
        <w:autoSpaceDN w:val="0"/>
        <w:adjustRightInd w:val="0"/>
        <w:snapToGrid w:val="0"/>
        <w:spacing w:line="360" w:lineRule="auto"/>
        <w:ind w:firstLine="442" w:firstLineChars="200"/>
        <w:textAlignment w:val="bottom"/>
        <w:rPr>
          <w:rFonts w:hint="eastAsia" w:ascii="宋体" w:hAnsi="宋体" w:eastAsia="宋体" w:cs="宋体"/>
          <w:bCs w:val="0"/>
          <w:color w:val="auto"/>
          <w:sz w:val="22"/>
          <w:szCs w:val="22"/>
          <w:highlight w:val="none"/>
          <w:u w:val="single"/>
        </w:rPr>
      </w:pPr>
      <w:r>
        <w:rPr>
          <w:rFonts w:hint="eastAsia" w:ascii="宋体" w:hAnsi="宋体" w:eastAsia="宋体" w:cs="宋体"/>
          <w:bCs w:val="0"/>
          <w:color w:val="auto"/>
          <w:sz w:val="22"/>
          <w:szCs w:val="22"/>
          <w:highlight w:val="none"/>
          <w:u w:val="single"/>
        </w:rPr>
        <w:t>供应商在投标报价中应充分考虑所有可能发生的费用，否则采购人将视投标总价中已包括所有费用。</w:t>
      </w:r>
    </w:p>
    <w:p w14:paraId="5C93B747">
      <w:pPr>
        <w:autoSpaceDE w:val="0"/>
        <w:autoSpaceDN w:val="0"/>
        <w:adjustRightInd w:val="0"/>
        <w:spacing w:line="360" w:lineRule="auto"/>
        <w:ind w:firstLine="442" w:firstLineChars="200"/>
        <w:textAlignment w:val="bottom"/>
        <w:rPr>
          <w:rFonts w:hint="eastAsia" w:ascii="宋体" w:hAnsi="宋体" w:eastAsia="宋体" w:cs="宋体"/>
          <w:bCs w:val="0"/>
          <w:color w:val="auto"/>
          <w:sz w:val="22"/>
          <w:szCs w:val="22"/>
          <w:highlight w:val="none"/>
          <w:u w:val="single"/>
        </w:rPr>
      </w:pPr>
      <w:r>
        <w:rPr>
          <w:rFonts w:hint="eastAsia" w:ascii="宋体" w:hAnsi="宋体" w:eastAsia="宋体" w:cs="宋体"/>
          <w:bCs w:val="0"/>
          <w:color w:val="auto"/>
          <w:sz w:val="22"/>
          <w:szCs w:val="22"/>
          <w:highlight w:val="none"/>
          <w:u w:val="single"/>
        </w:rPr>
        <w:t>供应商对在合同执行中，除上述费用及竞争性磋商文件规定的由中标供应商负责的工作范围以外需要买方协调或提供便利的工作应当在响应文件中说明。</w:t>
      </w:r>
    </w:p>
    <w:p w14:paraId="292A4BDF">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5、在任何情况下不限制采购人以其认为最合适的条款签订合同的权利。</w:t>
      </w:r>
    </w:p>
    <w:bookmarkEnd w:id="33"/>
    <w:bookmarkEnd w:id="34"/>
    <w:p w14:paraId="0ABF8F60">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bookmarkStart w:id="35" w:name="_Toc132122414"/>
      <w:bookmarkStart w:id="36" w:name="_Toc132122117"/>
      <w:r>
        <w:rPr>
          <w:rFonts w:hint="eastAsia" w:ascii="宋体" w:hAnsi="宋体" w:eastAsia="宋体" w:cs="宋体"/>
          <w:b w:val="0"/>
          <w:bCs w:val="0"/>
          <w:color w:val="auto"/>
          <w:sz w:val="22"/>
          <w:szCs w:val="22"/>
          <w:highlight w:val="none"/>
        </w:rPr>
        <w:t>6、磋商响应文件的有效期</w:t>
      </w:r>
      <w:bookmarkEnd w:id="35"/>
      <w:bookmarkEnd w:id="36"/>
    </w:p>
    <w:p w14:paraId="50AA2A58">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bookmarkStart w:id="37" w:name="_Toc132125037"/>
      <w:bookmarkStart w:id="38" w:name="_Toc132123881"/>
      <w:bookmarkStart w:id="39" w:name="_Toc132655776"/>
      <w:bookmarkStart w:id="40" w:name="_Toc132125151"/>
      <w:bookmarkStart w:id="41" w:name="_Toc132123634"/>
      <w:bookmarkStart w:id="42" w:name="_Toc132125983"/>
      <w:bookmarkStart w:id="43" w:name="_Toc132123838"/>
      <w:bookmarkStart w:id="44" w:name="_Toc132122416"/>
      <w:bookmarkStart w:id="45" w:name="_Toc132122119"/>
      <w:bookmarkStart w:id="46" w:name="_Toc132125574"/>
      <w:bookmarkStart w:id="47" w:name="_Toc132123547"/>
      <w:bookmarkStart w:id="48" w:name="_Toc132125095"/>
      <w:bookmarkStart w:id="49" w:name="_Toc132126154"/>
      <w:bookmarkStart w:id="50" w:name="_Toc132124594"/>
      <w:bookmarkStart w:id="51" w:name="_Toc132123439"/>
      <w:r>
        <w:rPr>
          <w:rFonts w:hint="eastAsia" w:ascii="宋体" w:hAnsi="宋体" w:eastAsia="宋体" w:cs="宋体"/>
          <w:b w:val="0"/>
          <w:bCs w:val="0"/>
          <w:color w:val="auto"/>
          <w:sz w:val="22"/>
          <w:szCs w:val="22"/>
          <w:highlight w:val="none"/>
        </w:rPr>
        <w:t>6.1、自开标日起90日历天内，磋商响应文件应保持有效。有效期短于这个规定期限的投标将被拒绝。</w:t>
      </w:r>
    </w:p>
    <w:p w14:paraId="396F9AEF">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6.2、在特殊情况下，采购人可与投标供应商协商延长磋商响应文件的有效期，这种要求和答复均应以书面形式进行。</w:t>
      </w:r>
    </w:p>
    <w:p w14:paraId="78E81597">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7、响应文件的签章</w:t>
      </w:r>
    </w:p>
    <w:p w14:paraId="3239540D">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7.1响应文件的签章要求：投标供应商须知前附表；</w:t>
      </w:r>
    </w:p>
    <w:p w14:paraId="2756321F">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7.2响应文件应由投标供应商法定代表人或其授权代表签署，</w:t>
      </w:r>
      <w:r>
        <w:rPr>
          <w:rFonts w:hint="eastAsia" w:ascii="宋体" w:eastAsia="宋体" w:cs="宋体"/>
          <w:b w:val="0"/>
          <w:bCs w:val="0"/>
          <w:color w:val="auto"/>
          <w:sz w:val="22"/>
          <w:szCs w:val="22"/>
          <w:highlight w:val="none"/>
          <w:lang w:eastAsia="zh-CN"/>
        </w:rPr>
        <w:t>并同</w:t>
      </w:r>
      <w:r>
        <w:rPr>
          <w:rFonts w:hint="eastAsia" w:ascii="宋体" w:hAnsi="宋体" w:eastAsia="宋体" w:cs="宋体"/>
          <w:b w:val="0"/>
          <w:bCs w:val="0"/>
          <w:color w:val="auto"/>
          <w:sz w:val="22"/>
          <w:szCs w:val="22"/>
          <w:highlight w:val="none"/>
        </w:rPr>
        <w:t>时加盖投标供应商公章（电子签章）。</w:t>
      </w:r>
    </w:p>
    <w:p w14:paraId="15D9922A">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8、响应文件的形式</w:t>
      </w:r>
    </w:p>
    <w:p w14:paraId="34F58A06">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8.1响应文件的形式：见投标供应商须知前附表；</w:t>
      </w:r>
    </w:p>
    <w:p w14:paraId="30D01BA3">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8.2“电子加密响应文件”：“电子加密响应文件”是指通过“政采云电子交易客户端”完成响应文件编制后生成并加密的数据电文形式的响应文件。</w:t>
      </w:r>
    </w:p>
    <w:p w14:paraId="2323A3CB">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8.3“备份响应文件”：“备份响应文件”是指与“电子加密响应文件”同时生成的数据电文形式的电子文件（备份标书），其他方式编制的“备份响应文件”视为无效的“备份响应文件”。</w:t>
      </w:r>
    </w:p>
    <w:p w14:paraId="7664B0BA">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9、响应文件的份数</w:t>
      </w:r>
    </w:p>
    <w:p w14:paraId="6E1D27F9">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9.1响应文件的份数：见投标供应商须知前附表。</w:t>
      </w:r>
    </w:p>
    <w:p w14:paraId="798BB7AB">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10、 投标供应商如发生下列情况之一，将上报同级政府采购监督管理部门，追究其责任：</w:t>
      </w:r>
    </w:p>
    <w:p w14:paraId="5D04C0A4">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w:t>
      </w:r>
      <w:r>
        <w:rPr>
          <w:rFonts w:hint="eastAsia" w:ascii="宋体" w:hAnsi="宋体" w:eastAsia="宋体" w:cs="宋体"/>
          <w:b w:val="0"/>
          <w:bCs w:val="0"/>
          <w:color w:val="auto"/>
          <w:sz w:val="22"/>
          <w:szCs w:val="22"/>
          <w:highlight w:val="none"/>
        </w:rPr>
        <w:tab/>
      </w:r>
      <w:r>
        <w:rPr>
          <w:rFonts w:hint="eastAsia" w:ascii="宋体" w:hAnsi="宋体" w:eastAsia="宋体" w:cs="宋体"/>
          <w:b w:val="0"/>
          <w:bCs w:val="0"/>
          <w:color w:val="auto"/>
          <w:sz w:val="22"/>
          <w:szCs w:val="22"/>
          <w:highlight w:val="none"/>
        </w:rPr>
        <w:t>投标供应商在采购文件规定的投标有效期内撤回投标；</w:t>
      </w:r>
    </w:p>
    <w:p w14:paraId="26E2EE73">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w:t>
      </w:r>
      <w:r>
        <w:rPr>
          <w:rFonts w:hint="eastAsia" w:ascii="宋体" w:hAnsi="宋体" w:eastAsia="宋体" w:cs="宋体"/>
          <w:b w:val="0"/>
          <w:bCs w:val="0"/>
          <w:color w:val="auto"/>
          <w:sz w:val="22"/>
          <w:szCs w:val="22"/>
          <w:highlight w:val="none"/>
        </w:rPr>
        <w:tab/>
      </w:r>
      <w:r>
        <w:rPr>
          <w:rFonts w:hint="eastAsia" w:ascii="宋体" w:hAnsi="宋体" w:eastAsia="宋体" w:cs="宋体"/>
          <w:b w:val="0"/>
          <w:bCs w:val="0"/>
          <w:color w:val="auto"/>
          <w:sz w:val="22"/>
          <w:szCs w:val="22"/>
          <w:highlight w:val="none"/>
        </w:rPr>
        <w:t>中标人未按成交通知书中规定的时间与采购人签订合同；</w:t>
      </w:r>
    </w:p>
    <w:p w14:paraId="513BEB10">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（3）</w:t>
      </w:r>
      <w:r>
        <w:rPr>
          <w:rFonts w:hint="eastAsia" w:ascii="宋体" w:hAnsi="宋体" w:eastAsia="宋体" w:cs="宋体"/>
          <w:b w:val="0"/>
          <w:bCs w:val="0"/>
          <w:color w:val="auto"/>
          <w:sz w:val="22"/>
          <w:szCs w:val="22"/>
          <w:highlight w:val="none"/>
        </w:rPr>
        <w:tab/>
      </w:r>
      <w:r>
        <w:rPr>
          <w:rFonts w:hint="eastAsia" w:ascii="宋体" w:hAnsi="宋体" w:eastAsia="宋体" w:cs="宋体"/>
          <w:b w:val="0"/>
          <w:bCs w:val="0"/>
          <w:color w:val="auto"/>
          <w:sz w:val="22"/>
          <w:szCs w:val="22"/>
          <w:highlight w:val="none"/>
        </w:rPr>
        <w:t>投标供应商在采购文件中提供虚假技术指标及参数，经评标委员会确认属实的。</w:t>
      </w:r>
    </w:p>
    <w:p w14:paraId="5B1FB390">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（4）</w:t>
      </w:r>
      <w:r>
        <w:rPr>
          <w:rFonts w:hint="eastAsia" w:ascii="宋体" w:hAnsi="宋体" w:eastAsia="宋体" w:cs="宋体"/>
          <w:b w:val="0"/>
          <w:bCs w:val="0"/>
          <w:color w:val="auto"/>
          <w:sz w:val="22"/>
          <w:szCs w:val="22"/>
          <w:highlight w:val="none"/>
        </w:rPr>
        <w:tab/>
      </w:r>
      <w:r>
        <w:rPr>
          <w:rFonts w:hint="eastAsia" w:ascii="宋体" w:hAnsi="宋体" w:eastAsia="宋体" w:cs="宋体"/>
          <w:b w:val="0"/>
          <w:bCs w:val="0"/>
          <w:color w:val="auto"/>
          <w:sz w:val="22"/>
          <w:szCs w:val="22"/>
          <w:highlight w:val="none"/>
        </w:rPr>
        <w:t>经同级政府采购监督管理部门审查认定投标供应商有违反《中华人民共和国政府采购法》等有关法律法规的行为。</w:t>
      </w:r>
    </w:p>
    <w:p w14:paraId="29AF5A8D">
      <w:pPr>
        <w:widowControl/>
        <w:spacing w:line="360" w:lineRule="auto"/>
        <w:jc w:val="left"/>
        <w:rPr>
          <w:rFonts w:hint="eastAsia" w:ascii="宋体" w:hAnsi="宋体" w:eastAsia="宋体" w:cs="宋体"/>
          <w:bCs w:val="0"/>
          <w:color w:val="auto"/>
          <w:sz w:val="22"/>
          <w:szCs w:val="22"/>
          <w:highlight w:val="none"/>
        </w:rPr>
      </w:pPr>
      <w:r>
        <w:rPr>
          <w:rFonts w:hint="eastAsia" w:ascii="宋体" w:hAnsi="宋体" w:eastAsia="宋体" w:cs="宋体"/>
          <w:bCs w:val="0"/>
          <w:color w:val="auto"/>
          <w:sz w:val="22"/>
          <w:szCs w:val="22"/>
          <w:highlight w:val="none"/>
        </w:rPr>
        <w:t>五、磋商响应文件的递交</w:t>
      </w:r>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p>
    <w:p w14:paraId="05473C8C">
      <w:pPr>
        <w:pStyle w:val="26"/>
        <w:adjustRightInd w:val="0"/>
        <w:spacing w:line="360" w:lineRule="auto"/>
        <w:ind w:firstLine="440" w:firstLineChars="200"/>
        <w:rPr>
          <w:rFonts w:hint="eastAsia" w:ascii="宋体" w:hAnsi="宋体" w:eastAsia="宋体" w:cs="宋体"/>
          <w:b w:val="0"/>
          <w:color w:val="auto"/>
          <w:sz w:val="22"/>
          <w:szCs w:val="22"/>
          <w:highlight w:val="none"/>
        </w:rPr>
      </w:pPr>
      <w:bookmarkStart w:id="52" w:name="_Toc132122120"/>
      <w:bookmarkStart w:id="53" w:name="_Toc132123635"/>
      <w:bookmarkStart w:id="54" w:name="_Toc132122417"/>
      <w:bookmarkStart w:id="55" w:name="_Toc132125575"/>
      <w:bookmarkStart w:id="56" w:name="_Toc132125984"/>
      <w:bookmarkStart w:id="57" w:name="_Toc132655777"/>
      <w:bookmarkStart w:id="58" w:name="_Toc132124595"/>
      <w:bookmarkStart w:id="59" w:name="_Toc132123839"/>
      <w:bookmarkStart w:id="60" w:name="_Toc132125038"/>
      <w:bookmarkStart w:id="61" w:name="_Toc132126155"/>
      <w:bookmarkStart w:id="62" w:name="_Toc132123548"/>
      <w:bookmarkStart w:id="63" w:name="_Toc132123440"/>
      <w:bookmarkStart w:id="64" w:name="_Toc132123882"/>
      <w:bookmarkStart w:id="65" w:name="_Toc132125152"/>
      <w:bookmarkStart w:id="66" w:name="_Toc132125096"/>
      <w:r>
        <w:rPr>
          <w:rFonts w:hint="eastAsia" w:ascii="宋体" w:hAnsi="宋体" w:eastAsia="宋体" w:cs="宋体"/>
          <w:b w:val="0"/>
          <w:color w:val="auto"/>
          <w:sz w:val="22"/>
          <w:szCs w:val="22"/>
          <w:highlight w:val="none"/>
        </w:rPr>
        <w:t>1、 响应文件的递交</w:t>
      </w:r>
    </w:p>
    <w:p w14:paraId="524D00A3">
      <w:pPr>
        <w:pStyle w:val="26"/>
        <w:adjustRightInd w:val="0"/>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1.1响应文件的上传、递交：见投标供应商须知前附表。</w:t>
      </w:r>
    </w:p>
    <w:p w14:paraId="4419B443">
      <w:pPr>
        <w:pStyle w:val="26"/>
        <w:adjustRightInd w:val="0"/>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 “电子加密响应文件”解密和异常情况处理。</w:t>
      </w:r>
    </w:p>
    <w:p w14:paraId="77BAAC42">
      <w:pPr>
        <w:pStyle w:val="26"/>
        <w:adjustRightInd w:val="0"/>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2.1“电子加密响应文件”解密：见投标供应商须知前附表。</w:t>
      </w:r>
    </w:p>
    <w:p w14:paraId="244A0A73">
      <w:pPr>
        <w:pStyle w:val="26"/>
        <w:adjustRightInd w:val="0"/>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3、 响应文件的补充、修改或撤回</w:t>
      </w:r>
    </w:p>
    <w:p w14:paraId="7F53AD8A">
      <w:pPr>
        <w:pStyle w:val="26"/>
        <w:adjustRightInd w:val="0"/>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3.1供应商应当在响应文件递交截止时间前完成响应文件的上传、递交，并可以补充、修改或者撤回响应文件。补充或者修改响应文件的，应当先行撤回原文件，补充、修改后重新上传、递交。响应文件递交截止时间前未完成上传、递交的，视为撤回响应文件。响应文件递交截止时间后递交的响应文件，“政采云平台”将予以拒收。</w:t>
      </w:r>
    </w:p>
    <w:p w14:paraId="02C4D6C4">
      <w:pPr>
        <w:pStyle w:val="26"/>
        <w:adjustRightInd w:val="0"/>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3.2响应文件递交截止时间后，投标供应商不得撤回、修改响应文件。</w:t>
      </w:r>
    </w:p>
    <w:p w14:paraId="175E2E70">
      <w:pPr>
        <w:pStyle w:val="26"/>
        <w:adjustRightInd w:val="0"/>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4、 响应文件的备选方案</w:t>
      </w:r>
    </w:p>
    <w:p w14:paraId="0019CA63">
      <w:pPr>
        <w:pStyle w:val="26"/>
        <w:adjustRightIn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b w:val="0"/>
          <w:color w:val="auto"/>
          <w:sz w:val="22"/>
          <w:szCs w:val="22"/>
          <w:highlight w:val="none"/>
        </w:rPr>
        <w:t>4.1投标供应商不得递交任何的投标备选（替代）方案，否则其响应文件将作无效标处理。与“电子加密响应文件”同时生成的“备份响应文件”不是投标备选（替代）方案。</w:t>
      </w:r>
    </w:p>
    <w:p w14:paraId="64D58513">
      <w:pPr>
        <w:widowControl/>
        <w:spacing w:line="360" w:lineRule="auto"/>
        <w:jc w:val="left"/>
        <w:rPr>
          <w:rFonts w:hint="eastAsia" w:ascii="宋体" w:hAnsi="宋体" w:eastAsia="宋体" w:cs="宋体"/>
          <w:bCs w:val="0"/>
          <w:color w:val="auto"/>
          <w:sz w:val="22"/>
          <w:szCs w:val="22"/>
          <w:highlight w:val="none"/>
        </w:rPr>
      </w:pPr>
      <w:r>
        <w:rPr>
          <w:rFonts w:hint="eastAsia" w:ascii="宋体" w:hAnsi="宋体" w:eastAsia="宋体" w:cs="宋体"/>
          <w:bCs w:val="0"/>
          <w:color w:val="auto"/>
          <w:sz w:val="22"/>
          <w:szCs w:val="22"/>
          <w:highlight w:val="none"/>
        </w:rPr>
        <w:t>六、</w:t>
      </w:r>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r>
        <w:rPr>
          <w:rFonts w:hint="eastAsia" w:ascii="宋体" w:hAnsi="宋体" w:eastAsia="宋体" w:cs="宋体"/>
          <w:bCs w:val="0"/>
          <w:color w:val="auto"/>
          <w:sz w:val="22"/>
          <w:szCs w:val="22"/>
          <w:highlight w:val="none"/>
        </w:rPr>
        <w:t>磋商开始和评审</w:t>
      </w:r>
    </w:p>
    <w:p w14:paraId="319AD991">
      <w:pPr>
        <w:pStyle w:val="26"/>
        <w:adjustRightInd w:val="0"/>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1、磋商开始</w:t>
      </w:r>
    </w:p>
    <w:p w14:paraId="2F443615">
      <w:pPr>
        <w:pStyle w:val="26"/>
        <w:adjustRightInd w:val="0"/>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1.1、采购组织机构将按照采购文件规定的时间通过“政采云平台”组织开标、开启响应文件，所有供应商均应当准时在线参加。投标供应商如不参加开标大会的，视同认可开标结果，事后不得对采购相关人员、开标过程和开标结果提出异议，同时投标供应商因未在线参加开标而导致响应文件无法按时解密等一切后果由供应商自己承担。</w:t>
      </w:r>
    </w:p>
    <w:p w14:paraId="74E72ECC">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2、开标</w:t>
      </w:r>
    </w:p>
    <w:p w14:paraId="1B58D1D0">
      <w:pPr>
        <w:pStyle w:val="26"/>
        <w:adjustRightInd w:val="0"/>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color w:val="auto"/>
          <w:sz w:val="22"/>
          <w:szCs w:val="22"/>
          <w:highlight w:val="none"/>
        </w:rPr>
        <w:t>2</w:t>
      </w:r>
      <w:r>
        <w:rPr>
          <w:rFonts w:hint="eastAsia" w:ascii="宋体" w:hAnsi="宋体" w:eastAsia="宋体" w:cs="宋体"/>
          <w:b w:val="0"/>
          <w:bCs w:val="0"/>
          <w:color w:val="auto"/>
          <w:sz w:val="22"/>
          <w:szCs w:val="22"/>
          <w:highlight w:val="none"/>
        </w:rPr>
        <w:t>.1开标第一阶段</w:t>
      </w:r>
    </w:p>
    <w:p w14:paraId="43678085">
      <w:pPr>
        <w:pStyle w:val="26"/>
        <w:adjustRightInd w:val="0"/>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（1）向各</w:t>
      </w:r>
      <w:r>
        <w:rPr>
          <w:rFonts w:hint="eastAsia" w:ascii="宋体" w:hAnsi="宋体" w:eastAsia="宋体" w:cs="宋体"/>
          <w:b w:val="0"/>
          <w:color w:val="auto"/>
          <w:sz w:val="22"/>
          <w:szCs w:val="22"/>
          <w:highlight w:val="none"/>
        </w:rPr>
        <w:t>投标供应商</w:t>
      </w:r>
      <w:r>
        <w:rPr>
          <w:rFonts w:hint="eastAsia" w:ascii="宋体" w:hAnsi="宋体" w:eastAsia="宋体" w:cs="宋体"/>
          <w:b w:val="0"/>
          <w:bCs w:val="0"/>
          <w:color w:val="auto"/>
          <w:sz w:val="22"/>
          <w:szCs w:val="22"/>
          <w:highlight w:val="none"/>
        </w:rPr>
        <w:t>发出电子加密响应文件【开始解密】通知，由供应商按采购文件规定的时间内自行进行响应文件解密。投标供应商在规定的时间内（开标时间起半个小时内）无法完成已递交的“电子加密响应文件”解密的，如已按规定递交了备份响应文件的，将由采购组织机构按“政采云平台”操作规范将备份响应文件上传至“政采云平台”，上传成功后，“电子加密响应文件”自动失效；</w:t>
      </w:r>
    </w:p>
    <w:p w14:paraId="70083BB6">
      <w:pPr>
        <w:pStyle w:val="26"/>
        <w:adjustRightInd w:val="0"/>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（2）开启响应文件，进入资格审查，资格审查通过的供应商进入开标大会第二阶段程序；</w:t>
      </w:r>
    </w:p>
    <w:p w14:paraId="25604449">
      <w:pPr>
        <w:pStyle w:val="26"/>
        <w:adjustRightInd w:val="0"/>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2.2开标第二阶段</w:t>
      </w:r>
    </w:p>
    <w:p w14:paraId="52153A55">
      <w:pPr>
        <w:pStyle w:val="26"/>
        <w:adjustRightInd w:val="0"/>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w:t>
      </w:r>
      <w:r>
        <w:rPr>
          <w:rFonts w:hint="eastAsia" w:ascii="宋体" w:hAnsi="宋体" w:eastAsia="宋体" w:cs="宋体"/>
          <w:b w:val="0"/>
          <w:color w:val="auto"/>
          <w:sz w:val="22"/>
          <w:szCs w:val="22"/>
          <w:highlight w:val="none"/>
        </w:rPr>
        <w:t>由</w:t>
      </w:r>
      <w:r>
        <w:rPr>
          <w:rFonts w:hint="eastAsia" w:ascii="宋体" w:hAnsi="宋体" w:eastAsia="宋体" w:cs="宋体"/>
          <w:b w:val="0"/>
          <w:bCs w:val="0"/>
          <w:color w:val="auto"/>
          <w:sz w:val="22"/>
          <w:szCs w:val="22"/>
          <w:highlight w:val="none"/>
        </w:rPr>
        <w:t>竞争性</w:t>
      </w:r>
      <w:r>
        <w:rPr>
          <w:rFonts w:hint="eastAsia" w:ascii="宋体" w:hAnsi="宋体" w:eastAsia="宋体" w:cs="宋体"/>
          <w:b w:val="0"/>
          <w:color w:val="auto"/>
          <w:sz w:val="22"/>
          <w:szCs w:val="22"/>
          <w:highlight w:val="none"/>
        </w:rPr>
        <w:t>磋商采购小组对供应商</w:t>
      </w:r>
      <w:r>
        <w:rPr>
          <w:rFonts w:hint="eastAsia" w:ascii="宋体" w:hAnsi="宋体" w:eastAsia="宋体" w:cs="宋体"/>
          <w:b w:val="0"/>
          <w:bCs w:val="0"/>
          <w:color w:val="auto"/>
          <w:sz w:val="22"/>
          <w:szCs w:val="22"/>
          <w:highlight w:val="none"/>
        </w:rPr>
        <w:t>符合性审查、技术文件的评审，评审通过的供应商</w:t>
      </w:r>
      <w:r>
        <w:rPr>
          <w:rFonts w:hint="eastAsia" w:ascii="宋体" w:hAnsi="宋体" w:eastAsia="宋体" w:cs="宋体"/>
          <w:b w:val="0"/>
          <w:color w:val="auto"/>
          <w:sz w:val="22"/>
          <w:szCs w:val="22"/>
          <w:highlight w:val="none"/>
        </w:rPr>
        <w:t>进入最终报价程序。</w:t>
      </w:r>
    </w:p>
    <w:p w14:paraId="2D082539">
      <w:pPr>
        <w:pStyle w:val="26"/>
        <w:adjustRightInd w:val="0"/>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2.3举行开标第三</w:t>
      </w:r>
      <w:r>
        <w:rPr>
          <w:rFonts w:hint="eastAsia" w:hAnsi="宋体" w:eastAsia="宋体" w:cs="宋体"/>
          <w:b w:val="0"/>
          <w:bCs w:val="0"/>
          <w:color w:val="auto"/>
          <w:sz w:val="22"/>
          <w:szCs w:val="22"/>
          <w:highlight w:val="none"/>
          <w:lang w:eastAsia="zh-CN"/>
        </w:rPr>
        <w:t>阶段</w:t>
      </w:r>
    </w:p>
    <w:p w14:paraId="676805A3">
      <w:pPr>
        <w:pStyle w:val="26"/>
        <w:adjustRightInd w:val="0"/>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开标第二阶段会议结束后。首先在“政采云平台”系统平台上公布资格性审查、符合性审查、技术评审无效供应商名称及理由；在“政采云平台”系统平台上公布开标一览表有关内容，同时当场制作开标记录。开标结束后，由评标委员会对报价的合理性、准确性等进行审查核实。</w:t>
      </w:r>
    </w:p>
    <w:p w14:paraId="6B9DDBC7">
      <w:pPr>
        <w:pStyle w:val="26"/>
        <w:adjustRightInd w:val="0"/>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评审结束后，在“政采云平台”系统平台上公布中标（成交）候选供应商名单</w:t>
      </w:r>
      <w:r>
        <w:rPr>
          <w:rFonts w:hint="eastAsia" w:hAnsi="宋体" w:eastAsia="宋体" w:cs="宋体"/>
          <w:b w:val="0"/>
          <w:bCs w:val="0"/>
          <w:color w:val="auto"/>
          <w:sz w:val="22"/>
          <w:szCs w:val="22"/>
          <w:highlight w:val="none"/>
          <w:lang w:eastAsia="zh-CN"/>
        </w:rPr>
        <w:t>，以</w:t>
      </w:r>
      <w:r>
        <w:rPr>
          <w:rFonts w:hint="eastAsia" w:ascii="宋体" w:hAnsi="宋体" w:eastAsia="宋体" w:cs="宋体"/>
          <w:b w:val="0"/>
          <w:bCs w:val="0"/>
          <w:color w:val="auto"/>
          <w:sz w:val="22"/>
          <w:szCs w:val="22"/>
          <w:highlight w:val="none"/>
        </w:rPr>
        <w:t>及采购人最终确定中标或成交供应商名单的时间和公告方式等。</w:t>
      </w:r>
    </w:p>
    <w:p w14:paraId="7AABD069">
      <w:pPr>
        <w:autoSpaceDE w:val="0"/>
        <w:autoSpaceDN w:val="0"/>
        <w:adjustRightInd w:val="0"/>
        <w:spacing w:line="360" w:lineRule="auto"/>
        <w:ind w:firstLine="442" w:firstLineChars="200"/>
        <w:textAlignment w:val="bottom"/>
        <w:rPr>
          <w:rFonts w:hint="eastAsia" w:ascii="宋体" w:hAnsi="宋体" w:eastAsia="宋体" w:cs="宋体"/>
          <w:bCs w:val="0"/>
          <w:color w:val="auto"/>
          <w:sz w:val="22"/>
          <w:szCs w:val="22"/>
          <w:highlight w:val="none"/>
        </w:rPr>
      </w:pPr>
      <w:r>
        <w:rPr>
          <w:rFonts w:hint="eastAsia" w:ascii="宋体" w:hAnsi="宋体" w:eastAsia="宋体" w:cs="宋体"/>
          <w:bCs w:val="0"/>
          <w:color w:val="auto"/>
          <w:sz w:val="22"/>
          <w:szCs w:val="22"/>
          <w:highlight w:val="none"/>
        </w:rPr>
        <w:t>特别说明：</w:t>
      </w:r>
    </w:p>
    <w:p w14:paraId="6241B539">
      <w:pPr>
        <w:autoSpaceDE w:val="0"/>
        <w:autoSpaceDN w:val="0"/>
        <w:adjustRightInd w:val="0"/>
        <w:spacing w:line="360" w:lineRule="auto"/>
        <w:ind w:firstLine="442" w:firstLineChars="200"/>
        <w:textAlignment w:val="bottom"/>
        <w:rPr>
          <w:rFonts w:hint="eastAsia" w:ascii="宋体" w:hAnsi="宋体" w:eastAsia="宋体" w:cs="宋体"/>
          <w:color w:val="auto"/>
          <w:sz w:val="22"/>
          <w:szCs w:val="22"/>
          <w:highlight w:val="none"/>
        </w:rPr>
      </w:pPr>
      <w:r>
        <w:rPr>
          <w:rFonts w:hint="eastAsia" w:ascii="宋体" w:hAnsi="宋体" w:eastAsia="宋体" w:cs="宋体"/>
          <w:bCs w:val="0"/>
          <w:color w:val="auto"/>
          <w:sz w:val="22"/>
          <w:szCs w:val="22"/>
          <w:highlight w:val="none"/>
        </w:rPr>
        <w:t xml:space="preserve"> (1</w:t>
      </w:r>
      <w:r>
        <w:rPr>
          <w:rFonts w:hint="eastAsia" w:ascii="宋体" w:eastAsia="宋体" w:cs="宋体"/>
          <w:bCs w:val="0"/>
          <w:color w:val="auto"/>
          <w:sz w:val="22"/>
          <w:szCs w:val="22"/>
          <w:highlight w:val="none"/>
          <w:lang w:eastAsia="zh-CN"/>
        </w:rPr>
        <w:t>）</w:t>
      </w:r>
      <w:r>
        <w:rPr>
          <w:rFonts w:hint="eastAsia" w:ascii="宋体" w:hAnsi="宋体" w:eastAsia="宋体" w:cs="宋体"/>
          <w:bCs w:val="0"/>
          <w:color w:val="auto"/>
          <w:sz w:val="22"/>
          <w:szCs w:val="22"/>
          <w:highlight w:val="none"/>
        </w:rPr>
        <w:t>如遇“政采云平台”电子化开标或评审程序调整的，按调整后程序执行</w:t>
      </w:r>
      <w:r>
        <w:rPr>
          <w:rFonts w:hint="eastAsia" w:ascii="宋体" w:hAnsi="宋体" w:eastAsia="宋体" w:cs="宋体"/>
          <w:color w:val="auto"/>
          <w:sz w:val="22"/>
          <w:szCs w:val="22"/>
          <w:highlight w:val="none"/>
        </w:rPr>
        <w:t>。</w:t>
      </w:r>
    </w:p>
    <w:p w14:paraId="49404EA7">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2、资格审查</w:t>
      </w:r>
    </w:p>
    <w:p w14:paraId="60E12513">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开标后，磋商小组应当依法对投标供应商的资格进行审查，审查内容如下：</w:t>
      </w:r>
    </w:p>
    <w:tbl>
      <w:tblPr>
        <w:tblStyle w:val="4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4"/>
        <w:gridCol w:w="7859"/>
        <w:gridCol w:w="1003"/>
      </w:tblGrid>
      <w:tr w14:paraId="570616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68" w:type="pct"/>
            <w:tcBorders>
              <w:top w:val="single" w:color="auto" w:sz="4" w:space="0"/>
              <w:left w:val="single" w:color="auto" w:sz="4" w:space="0"/>
              <w:bottom w:val="single" w:color="auto" w:sz="4" w:space="0"/>
              <w:right w:val="single" w:color="auto" w:sz="4" w:space="0"/>
            </w:tcBorders>
            <w:vAlign w:val="center"/>
          </w:tcPr>
          <w:p w14:paraId="79F548E8">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lang w:val="zh-CN"/>
              </w:rPr>
            </w:pPr>
            <w:r>
              <w:rPr>
                <w:rFonts w:hint="eastAsia" w:ascii="宋体" w:hAnsi="宋体" w:eastAsia="宋体" w:cs="宋体"/>
                <w:b w:val="0"/>
                <w:bCs w:val="0"/>
                <w:color w:val="auto"/>
                <w:sz w:val="22"/>
                <w:szCs w:val="22"/>
                <w:highlight w:val="none"/>
                <w:lang w:val="zh-CN"/>
              </w:rPr>
              <w:t>序号</w:t>
            </w:r>
          </w:p>
        </w:tc>
        <w:tc>
          <w:tcPr>
            <w:tcW w:w="4107" w:type="pct"/>
            <w:tcBorders>
              <w:top w:val="single" w:color="auto" w:sz="4" w:space="0"/>
              <w:left w:val="single" w:color="auto" w:sz="4" w:space="0"/>
              <w:bottom w:val="single" w:color="auto" w:sz="4" w:space="0"/>
              <w:right w:val="single" w:color="auto" w:sz="4" w:space="0"/>
            </w:tcBorders>
          </w:tcPr>
          <w:p w14:paraId="777D7935">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lang w:val="zh-CN"/>
              </w:rPr>
            </w:pPr>
            <w:r>
              <w:rPr>
                <w:rFonts w:hint="eastAsia" w:ascii="宋体" w:hAnsi="宋体" w:eastAsia="宋体" w:cs="宋体"/>
                <w:b w:val="0"/>
                <w:bCs w:val="0"/>
                <w:color w:val="auto"/>
                <w:sz w:val="22"/>
                <w:szCs w:val="22"/>
                <w:highlight w:val="none"/>
                <w:u w:val="single"/>
                <w:lang w:val="zh-CN"/>
              </w:rPr>
              <w:t>内容（▲以下资格证明文件必须提供，否则不能通过资格审查的，责任自负</w:t>
            </w:r>
            <w:r>
              <w:rPr>
                <w:rFonts w:hint="eastAsia" w:ascii="宋体" w:hAnsi="宋体" w:eastAsia="宋体" w:cs="宋体"/>
                <w:b w:val="0"/>
                <w:bCs w:val="0"/>
                <w:color w:val="auto"/>
                <w:sz w:val="22"/>
                <w:szCs w:val="22"/>
                <w:highlight w:val="none"/>
                <w:lang w:val="zh-CN"/>
              </w:rPr>
              <w:t>）</w:t>
            </w:r>
          </w:p>
        </w:tc>
        <w:tc>
          <w:tcPr>
            <w:tcW w:w="524" w:type="pct"/>
            <w:tcBorders>
              <w:top w:val="single" w:color="auto" w:sz="4" w:space="0"/>
              <w:left w:val="single" w:color="auto" w:sz="4" w:space="0"/>
              <w:bottom w:val="single" w:color="auto" w:sz="4" w:space="0"/>
              <w:right w:val="single" w:color="auto" w:sz="4" w:space="0"/>
            </w:tcBorders>
          </w:tcPr>
          <w:p w14:paraId="00F7A43C">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lang w:val="zh-CN"/>
              </w:rPr>
            </w:pPr>
            <w:r>
              <w:rPr>
                <w:rFonts w:hint="eastAsia" w:ascii="宋体" w:hAnsi="宋体" w:eastAsia="宋体" w:cs="宋体"/>
                <w:b w:val="0"/>
                <w:bCs w:val="0"/>
                <w:color w:val="auto"/>
                <w:sz w:val="22"/>
                <w:szCs w:val="22"/>
                <w:highlight w:val="none"/>
                <w:lang w:val="zh-CN"/>
              </w:rPr>
              <w:t>备注</w:t>
            </w:r>
          </w:p>
        </w:tc>
      </w:tr>
      <w:tr w14:paraId="1CC2D9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68" w:type="pct"/>
            <w:tcBorders>
              <w:top w:val="single" w:color="auto" w:sz="4" w:space="0"/>
              <w:left w:val="single" w:color="auto" w:sz="4" w:space="0"/>
              <w:bottom w:val="single" w:color="auto" w:sz="4" w:space="0"/>
              <w:right w:val="single" w:color="auto" w:sz="4" w:space="0"/>
            </w:tcBorders>
            <w:vAlign w:val="center"/>
          </w:tcPr>
          <w:p w14:paraId="5009755B">
            <w:pPr>
              <w:tabs>
                <w:tab w:val="left" w:pos="4140"/>
              </w:tabs>
              <w:adjustRightInd w:val="0"/>
              <w:snapToGrid w:val="0"/>
              <w:spacing w:line="320" w:lineRule="atLeast"/>
              <w:jc w:val="center"/>
              <w:rPr>
                <w:rFonts w:hint="eastAsia" w:ascii="宋体" w:hAnsi="宋体" w:eastAsia="宋体" w:cs="宋体"/>
                <w:b w:val="0"/>
                <w:bCs w:val="0"/>
                <w:color w:val="auto"/>
                <w:sz w:val="22"/>
                <w:szCs w:val="22"/>
                <w:highlight w:val="none"/>
                <w:lang w:val="zh-CN" w:eastAsia="zh-CN"/>
              </w:rPr>
            </w:pPr>
            <w:r>
              <w:rPr>
                <w:rFonts w:hint="eastAsia" w:ascii="宋体" w:hAnsi="宋体" w:eastAsia="宋体" w:cs="宋体"/>
                <w:b w:val="0"/>
                <w:bCs w:val="0"/>
                <w:color w:val="auto"/>
                <w:sz w:val="22"/>
                <w:szCs w:val="22"/>
                <w:highlight w:val="none"/>
                <w:lang w:val="en-US" w:eastAsia="zh-CN"/>
              </w:rPr>
              <w:t>1</w:t>
            </w:r>
          </w:p>
        </w:tc>
        <w:tc>
          <w:tcPr>
            <w:tcW w:w="4107" w:type="pct"/>
            <w:tcBorders>
              <w:top w:val="single" w:color="auto" w:sz="4" w:space="0"/>
              <w:left w:val="single" w:color="auto" w:sz="4" w:space="0"/>
              <w:bottom w:val="single" w:color="auto" w:sz="4" w:space="0"/>
              <w:right w:val="single" w:color="auto" w:sz="4" w:space="0"/>
            </w:tcBorders>
          </w:tcPr>
          <w:p w14:paraId="456A2E0E">
            <w:pPr>
              <w:tabs>
                <w:tab w:val="left" w:pos="4140"/>
              </w:tabs>
              <w:adjustRightInd w:val="0"/>
              <w:snapToGrid w:val="0"/>
              <w:spacing w:line="320" w:lineRule="atLeas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val="zh-CN"/>
              </w:rPr>
              <w:t>资格条件承诺函</w:t>
            </w:r>
          </w:p>
        </w:tc>
        <w:tc>
          <w:tcPr>
            <w:tcW w:w="524" w:type="pct"/>
            <w:tcBorders>
              <w:top w:val="single" w:color="auto" w:sz="4" w:space="0"/>
              <w:left w:val="single" w:color="auto" w:sz="4" w:space="0"/>
              <w:bottom w:val="single" w:color="auto" w:sz="4" w:space="0"/>
              <w:right w:val="single" w:color="auto" w:sz="4" w:space="0"/>
            </w:tcBorders>
          </w:tcPr>
          <w:p w14:paraId="79F3DECD">
            <w:pPr>
              <w:autoSpaceDE w:val="0"/>
              <w:autoSpaceDN w:val="0"/>
              <w:adjustRightInd w:val="0"/>
              <w:spacing w:line="430" w:lineRule="atLeast"/>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附件一</w:t>
            </w:r>
          </w:p>
        </w:tc>
      </w:tr>
      <w:tr w14:paraId="0B99F0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68" w:type="pct"/>
            <w:tcBorders>
              <w:top w:val="single" w:color="auto" w:sz="4" w:space="0"/>
              <w:left w:val="single" w:color="auto" w:sz="4" w:space="0"/>
              <w:bottom w:val="single" w:color="auto" w:sz="4" w:space="0"/>
              <w:right w:val="single" w:color="auto" w:sz="4" w:space="0"/>
            </w:tcBorders>
            <w:vAlign w:val="center"/>
          </w:tcPr>
          <w:p w14:paraId="5160D265">
            <w:pPr>
              <w:tabs>
                <w:tab w:val="left" w:pos="4140"/>
              </w:tabs>
              <w:adjustRightInd w:val="0"/>
              <w:snapToGrid w:val="0"/>
              <w:spacing w:line="320" w:lineRule="atLeast"/>
              <w:jc w:val="center"/>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2</w:t>
            </w:r>
          </w:p>
        </w:tc>
        <w:tc>
          <w:tcPr>
            <w:tcW w:w="4107" w:type="pct"/>
            <w:tcBorders>
              <w:top w:val="single" w:color="auto" w:sz="4" w:space="0"/>
              <w:left w:val="single" w:color="auto" w:sz="4" w:space="0"/>
              <w:bottom w:val="single" w:color="auto" w:sz="4" w:space="0"/>
              <w:right w:val="single" w:color="auto" w:sz="4" w:space="0"/>
            </w:tcBorders>
          </w:tcPr>
          <w:p w14:paraId="35DD88BF">
            <w:pPr>
              <w:autoSpaceDE w:val="0"/>
              <w:autoSpaceDN w:val="0"/>
              <w:adjustRightInd w:val="0"/>
              <w:snapToGrid w:val="0"/>
              <w:spacing w:line="430" w:lineRule="atLeast"/>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《中小企业声明函》（加盖供应商公章，格式见</w:t>
            </w:r>
            <w:r>
              <w:rPr>
                <w:rFonts w:hint="eastAsia" w:ascii="宋体" w:eastAsia="宋体" w:cs="宋体"/>
                <w:b w:val="0"/>
                <w:bCs w:val="0"/>
                <w:color w:val="auto"/>
                <w:sz w:val="22"/>
                <w:szCs w:val="22"/>
                <w:highlight w:val="none"/>
                <w:lang w:eastAsia="zh-CN"/>
              </w:rPr>
              <w:t>采购文件</w:t>
            </w:r>
            <w:r>
              <w:rPr>
                <w:rFonts w:hint="eastAsia" w:ascii="宋体" w:hAnsi="宋体" w:eastAsia="宋体" w:cs="宋体"/>
                <w:b w:val="0"/>
                <w:bCs w:val="0"/>
                <w:color w:val="auto"/>
                <w:sz w:val="22"/>
                <w:szCs w:val="22"/>
                <w:highlight w:val="none"/>
              </w:rPr>
              <w:t>第四部分）</w:t>
            </w:r>
            <w:r>
              <w:rPr>
                <w:rFonts w:hint="eastAsia" w:ascii="宋体" w:hAnsi="宋体" w:eastAsia="宋体" w:cs="宋体"/>
                <w:b w:val="0"/>
                <w:bCs w:val="0"/>
                <w:color w:val="auto"/>
                <w:sz w:val="22"/>
                <w:szCs w:val="22"/>
                <w:highlight w:val="none"/>
                <w:lang w:eastAsia="zh-CN"/>
              </w:rPr>
              <w:t>或</w:t>
            </w:r>
            <w:r>
              <w:rPr>
                <w:rFonts w:hint="eastAsia" w:ascii="宋体" w:hAnsi="宋体" w:eastAsia="宋体" w:cs="宋体"/>
                <w:b w:val="0"/>
                <w:bCs w:val="0"/>
                <w:color w:val="auto"/>
                <w:sz w:val="22"/>
                <w:szCs w:val="22"/>
                <w:highlight w:val="none"/>
              </w:rPr>
              <w:t>残疾人福利性单位声明函（加盖供应商公章，格式见</w:t>
            </w:r>
            <w:r>
              <w:rPr>
                <w:rFonts w:hint="eastAsia" w:ascii="宋体" w:eastAsia="宋体" w:cs="宋体"/>
                <w:b w:val="0"/>
                <w:bCs w:val="0"/>
                <w:color w:val="auto"/>
                <w:sz w:val="22"/>
                <w:szCs w:val="22"/>
                <w:highlight w:val="none"/>
                <w:lang w:eastAsia="zh-CN"/>
              </w:rPr>
              <w:t>采购文件</w:t>
            </w:r>
            <w:r>
              <w:rPr>
                <w:rFonts w:hint="eastAsia" w:ascii="宋体" w:hAnsi="宋体" w:eastAsia="宋体" w:cs="宋体"/>
                <w:b w:val="0"/>
                <w:bCs w:val="0"/>
                <w:color w:val="auto"/>
                <w:sz w:val="22"/>
                <w:szCs w:val="22"/>
                <w:highlight w:val="none"/>
              </w:rPr>
              <w:t>第四部分）</w:t>
            </w:r>
            <w:r>
              <w:rPr>
                <w:rFonts w:hint="eastAsia" w:ascii="宋体" w:hAnsi="宋体" w:eastAsia="宋体" w:cs="宋体"/>
                <w:b w:val="0"/>
                <w:bCs w:val="0"/>
                <w:color w:val="auto"/>
                <w:sz w:val="22"/>
                <w:szCs w:val="22"/>
                <w:highlight w:val="none"/>
                <w:lang w:eastAsia="zh-CN"/>
              </w:rPr>
              <w:t>或</w:t>
            </w:r>
            <w:r>
              <w:rPr>
                <w:rFonts w:hint="eastAsia" w:ascii="宋体" w:hAnsi="宋体" w:eastAsia="宋体" w:cs="宋体"/>
                <w:b w:val="0"/>
                <w:bCs w:val="0"/>
                <w:color w:val="auto"/>
                <w:sz w:val="22"/>
                <w:szCs w:val="22"/>
                <w:highlight w:val="none"/>
              </w:rPr>
              <w:t>省级以上监狱管理局、戒毒管理局</w:t>
            </w:r>
            <w:r>
              <w:rPr>
                <w:rFonts w:hint="eastAsia" w:asci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含新疆生产建设兵团</w:t>
            </w:r>
            <w:r>
              <w:rPr>
                <w:rFonts w:hint="eastAsia" w:asci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出具的属于监狱企业的证明文件</w:t>
            </w:r>
          </w:p>
          <w:p w14:paraId="4308B33C">
            <w:pPr>
              <w:tabs>
                <w:tab w:val="left" w:pos="4140"/>
              </w:tabs>
              <w:adjustRightInd w:val="0"/>
              <w:snapToGrid w:val="0"/>
              <w:spacing w:line="320" w:lineRule="atLeast"/>
              <w:rPr>
                <w:rFonts w:hint="eastAsia" w:ascii="宋体" w:hAnsi="宋体" w:eastAsia="宋体" w:cs="宋体"/>
                <w:b w:val="0"/>
                <w:bCs w:val="0"/>
                <w:color w:val="auto"/>
                <w:sz w:val="22"/>
                <w:szCs w:val="22"/>
                <w:highlight w:val="none"/>
              </w:rPr>
            </w:pPr>
          </w:p>
        </w:tc>
        <w:tc>
          <w:tcPr>
            <w:tcW w:w="524" w:type="pct"/>
            <w:tcBorders>
              <w:top w:val="single" w:color="auto" w:sz="4" w:space="0"/>
              <w:left w:val="single" w:color="auto" w:sz="4" w:space="0"/>
              <w:bottom w:val="single" w:color="auto" w:sz="4" w:space="0"/>
              <w:right w:val="single" w:color="auto" w:sz="4" w:space="0"/>
            </w:tcBorders>
          </w:tcPr>
          <w:p w14:paraId="6ABFB1F3">
            <w:pPr>
              <w:autoSpaceDE w:val="0"/>
              <w:autoSpaceDN w:val="0"/>
              <w:adjustRightInd w:val="0"/>
              <w:spacing w:line="430" w:lineRule="atLeast"/>
              <w:jc w:val="center"/>
              <w:rPr>
                <w:rFonts w:hint="eastAsia" w:ascii="宋体" w:hAnsi="宋体" w:eastAsia="宋体" w:cs="宋体"/>
                <w:b w:val="0"/>
                <w:bCs w:val="0"/>
                <w:color w:val="auto"/>
                <w:sz w:val="22"/>
                <w:szCs w:val="22"/>
                <w:highlight w:val="none"/>
              </w:rPr>
            </w:pPr>
          </w:p>
        </w:tc>
      </w:tr>
    </w:tbl>
    <w:p w14:paraId="4B17EE52">
      <w:pPr>
        <w:pStyle w:val="26"/>
        <w:adjustRightInd w:val="0"/>
        <w:spacing w:line="360" w:lineRule="auto"/>
        <w:ind w:firstLine="440" w:firstLineChars="200"/>
        <w:rPr>
          <w:rFonts w:hint="eastAsia" w:ascii="宋体" w:hAnsi="宋体" w:eastAsia="宋体" w:cs="宋体"/>
          <w:b w:val="0"/>
          <w:color w:val="auto"/>
          <w:sz w:val="22"/>
          <w:highlight w:val="none"/>
        </w:rPr>
      </w:pPr>
      <w:r>
        <w:rPr>
          <w:rFonts w:hint="eastAsia" w:ascii="宋体" w:hAnsi="宋体" w:eastAsia="宋体" w:cs="宋体"/>
          <w:b w:val="0"/>
          <w:color w:val="auto"/>
          <w:sz w:val="22"/>
          <w:highlight w:val="none"/>
        </w:rPr>
        <w:t>3、评标</w:t>
      </w:r>
    </w:p>
    <w:p w14:paraId="0F002E16">
      <w:pPr>
        <w:pStyle w:val="26"/>
        <w:adjustRightInd w:val="0"/>
        <w:spacing w:line="360" w:lineRule="auto"/>
        <w:ind w:firstLine="431" w:firstLineChars="196"/>
        <w:rPr>
          <w:rFonts w:hint="eastAsia" w:ascii="宋体" w:hAnsi="宋体" w:eastAsia="宋体" w:cs="宋体"/>
          <w:b w:val="0"/>
          <w:color w:val="auto"/>
          <w:sz w:val="22"/>
          <w:highlight w:val="none"/>
        </w:rPr>
      </w:pPr>
      <w:r>
        <w:rPr>
          <w:rFonts w:hint="eastAsia" w:ascii="宋体" w:hAnsi="宋体" w:eastAsia="宋体" w:cs="宋体"/>
          <w:b w:val="0"/>
          <w:color w:val="auto"/>
          <w:sz w:val="22"/>
          <w:highlight w:val="none"/>
        </w:rPr>
        <w:t>3.1评标由采购人依法组建的竞争性磋商采购小组负责，并独立履行下列职责：</w:t>
      </w:r>
    </w:p>
    <w:p w14:paraId="4AB75462">
      <w:pPr>
        <w:pStyle w:val="26"/>
        <w:adjustRightInd w:val="0"/>
        <w:spacing w:line="360" w:lineRule="auto"/>
        <w:ind w:firstLine="431" w:firstLineChars="196"/>
        <w:rPr>
          <w:rFonts w:hint="eastAsia" w:ascii="宋体" w:hAnsi="宋体" w:eastAsia="宋体" w:cs="宋体"/>
          <w:b w:val="0"/>
          <w:color w:val="auto"/>
          <w:sz w:val="22"/>
          <w:highlight w:val="none"/>
        </w:rPr>
      </w:pPr>
      <w:r>
        <w:rPr>
          <w:rFonts w:hint="eastAsia" w:ascii="宋体" w:hAnsi="宋体" w:eastAsia="宋体" w:cs="宋体"/>
          <w:b w:val="0"/>
          <w:color w:val="auto"/>
          <w:sz w:val="22"/>
          <w:highlight w:val="none"/>
        </w:rPr>
        <w:t>1）审查响应文件是否符合磋商文件要求，并作出评价；</w:t>
      </w:r>
    </w:p>
    <w:p w14:paraId="315E1455">
      <w:pPr>
        <w:pStyle w:val="26"/>
        <w:adjustRightInd w:val="0"/>
        <w:spacing w:line="360" w:lineRule="auto"/>
        <w:ind w:firstLine="431" w:firstLineChars="196"/>
        <w:rPr>
          <w:rFonts w:hint="eastAsia" w:ascii="宋体" w:hAnsi="宋体" w:eastAsia="宋体" w:cs="宋体"/>
          <w:b w:val="0"/>
          <w:color w:val="auto"/>
          <w:sz w:val="22"/>
          <w:highlight w:val="none"/>
        </w:rPr>
      </w:pPr>
      <w:r>
        <w:rPr>
          <w:rFonts w:hint="eastAsia" w:ascii="宋体" w:hAnsi="宋体" w:eastAsia="宋体" w:cs="宋体"/>
          <w:b w:val="0"/>
          <w:color w:val="auto"/>
          <w:sz w:val="22"/>
          <w:highlight w:val="none"/>
        </w:rPr>
        <w:t>2）要求供应商对响应文件有关事项作出解释或者澄清；</w:t>
      </w:r>
    </w:p>
    <w:p w14:paraId="6CE76F71">
      <w:pPr>
        <w:pStyle w:val="26"/>
        <w:adjustRightInd w:val="0"/>
        <w:spacing w:line="360" w:lineRule="auto"/>
        <w:ind w:firstLine="431" w:firstLineChars="196"/>
        <w:rPr>
          <w:rFonts w:hint="eastAsia" w:ascii="宋体" w:hAnsi="宋体" w:eastAsia="宋体" w:cs="宋体"/>
          <w:b w:val="0"/>
          <w:color w:val="auto"/>
          <w:sz w:val="22"/>
          <w:highlight w:val="none"/>
        </w:rPr>
      </w:pPr>
      <w:r>
        <w:rPr>
          <w:rFonts w:hint="eastAsia" w:ascii="宋体" w:hAnsi="宋体" w:eastAsia="宋体" w:cs="宋体"/>
          <w:b w:val="0"/>
          <w:color w:val="auto"/>
          <w:sz w:val="22"/>
          <w:highlight w:val="none"/>
        </w:rPr>
        <w:t xml:space="preserve">3）按照磋商文件确定的评标办法直接确定成交供应商； </w:t>
      </w:r>
    </w:p>
    <w:p w14:paraId="5D4D4F62">
      <w:pPr>
        <w:pStyle w:val="26"/>
        <w:adjustRightInd w:val="0"/>
        <w:spacing w:line="360" w:lineRule="auto"/>
        <w:ind w:firstLine="431" w:firstLineChars="196"/>
        <w:rPr>
          <w:rFonts w:hint="eastAsia" w:ascii="宋体" w:hAnsi="宋体" w:eastAsia="宋体" w:cs="宋体"/>
          <w:b w:val="0"/>
          <w:color w:val="auto"/>
          <w:sz w:val="22"/>
          <w:highlight w:val="none"/>
        </w:rPr>
      </w:pPr>
      <w:r>
        <w:rPr>
          <w:rFonts w:hint="eastAsia" w:ascii="宋体" w:hAnsi="宋体" w:eastAsia="宋体" w:cs="宋体"/>
          <w:b w:val="0"/>
          <w:color w:val="auto"/>
          <w:sz w:val="22"/>
          <w:highlight w:val="none"/>
        </w:rPr>
        <w:t>4）向采购人或者有关部门报告非法干预评标工作的行为。</w:t>
      </w:r>
    </w:p>
    <w:p w14:paraId="2FB59AD8">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3.2 评标应当遵循下列工作程序：</w:t>
      </w:r>
    </w:p>
    <w:p w14:paraId="123E0E26">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1）响应文件符合性检查。依据磋商文件的规定，从响应文件的有效性、完整性和对磋商文件的响应程度进行审查，以确定是否对磋商文件的实质性要求作出响应。</w:t>
      </w:r>
    </w:p>
    <w:p w14:paraId="65097EDD">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2）竞争性磋商采购小组可以根据供应商响应文件情况，经采购人确认，调整磋商文件及采购方案，在统一采购要求的基础上，要求所有有效供应商重新修正响应文件及进行多轮次报价。</w:t>
      </w:r>
    </w:p>
    <w:p w14:paraId="1B3EA8B7">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3）比较与评价。按磋商文件中规定的评标方法和标准，对资格检查和符合性检查合格的响应文件进行商务和技术评估，综合比较与评价。</w:t>
      </w:r>
    </w:p>
    <w:p w14:paraId="21214050">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4）推荐成交供应商候选人名单，并根据采购人的授权确定成交供应商。</w:t>
      </w:r>
    </w:p>
    <w:p w14:paraId="0C8462AB">
      <w:pPr>
        <w:autoSpaceDE w:val="0"/>
        <w:autoSpaceDN w:val="0"/>
        <w:adjustRightInd w:val="0"/>
        <w:spacing w:line="360" w:lineRule="auto"/>
        <w:ind w:firstLine="440" w:firstLineChars="200"/>
        <w:textAlignment w:val="bottom"/>
        <w:rPr>
          <w:rFonts w:hint="eastAsia" w:ascii="宋体" w:hAnsi="宋体" w:eastAsia="宋体" w:cs="宋体"/>
          <w:color w:val="auto"/>
          <w:sz w:val="22"/>
          <w:szCs w:val="22"/>
          <w:highlight w:val="none"/>
          <w:u w:val="single"/>
        </w:rPr>
      </w:pPr>
      <w:r>
        <w:rPr>
          <w:rFonts w:hint="eastAsia" w:ascii="宋体" w:hAnsi="宋体" w:eastAsia="宋体" w:cs="宋体"/>
          <w:b w:val="0"/>
          <w:color w:val="auto"/>
          <w:sz w:val="22"/>
          <w:szCs w:val="22"/>
          <w:highlight w:val="none"/>
        </w:rPr>
        <w:t>3.3 ▲</w:t>
      </w:r>
      <w:r>
        <w:rPr>
          <w:rFonts w:hint="eastAsia" w:ascii="宋体" w:hAnsi="宋体" w:eastAsia="宋体" w:cs="宋体"/>
          <w:color w:val="auto"/>
          <w:sz w:val="22"/>
          <w:szCs w:val="22"/>
          <w:highlight w:val="none"/>
          <w:u w:val="single"/>
        </w:rPr>
        <w:t>供应商存在下列情况之一的，报价无效</w:t>
      </w:r>
      <w:r>
        <w:rPr>
          <w:rFonts w:hint="eastAsia" w:ascii="宋体" w:eastAsia="宋体" w:cs="宋体"/>
          <w:color w:val="auto"/>
          <w:sz w:val="22"/>
          <w:szCs w:val="22"/>
          <w:highlight w:val="none"/>
          <w:u w:val="single"/>
          <w:lang w:eastAsia="zh-CN"/>
        </w:rPr>
        <w:t>：</w:t>
      </w:r>
    </w:p>
    <w:p w14:paraId="4568EA21">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1）响应文件未按磋商文件要求签署、盖章的；</w:t>
      </w:r>
    </w:p>
    <w:p w14:paraId="1A308A9F">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2）不具备磋商文件中规定的资格要求的；</w:t>
      </w:r>
    </w:p>
    <w:p w14:paraId="0C359B2D">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3）最终报价超过磋商文件中规定的预算金额或者最高限价的；</w:t>
      </w:r>
    </w:p>
    <w:p w14:paraId="6F32D03F">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lang w:eastAsia="zh-CN"/>
        </w:rPr>
      </w:pPr>
      <w:r>
        <w:rPr>
          <w:rFonts w:hint="eastAsia" w:ascii="宋体" w:hAnsi="宋体" w:eastAsia="宋体" w:cs="宋体"/>
          <w:b w:val="0"/>
          <w:color w:val="auto"/>
          <w:sz w:val="22"/>
          <w:szCs w:val="22"/>
          <w:highlight w:val="none"/>
        </w:rPr>
        <w:t>4）不同供应商的电子投标（响应）文件上传计算机的网卡MAC地址或硬盘序列号等硬件信息相同的</w:t>
      </w:r>
      <w:r>
        <w:rPr>
          <w:rFonts w:hint="eastAsia" w:ascii="宋体" w:hAnsi="宋体" w:eastAsia="宋体" w:cs="宋体"/>
          <w:b w:val="0"/>
          <w:color w:val="auto"/>
          <w:sz w:val="22"/>
          <w:szCs w:val="22"/>
          <w:highlight w:val="none"/>
          <w:lang w:eastAsia="zh-CN"/>
        </w:rPr>
        <w:t>；</w:t>
      </w:r>
    </w:p>
    <w:p w14:paraId="495B4AF6">
      <w:pPr>
        <w:autoSpaceDE w:val="0"/>
        <w:autoSpaceDN w:val="0"/>
        <w:adjustRightInd w:val="0"/>
        <w:spacing w:line="360" w:lineRule="auto"/>
        <w:ind w:firstLine="440" w:firstLineChars="200"/>
        <w:textAlignment w:val="bottom"/>
        <w:rPr>
          <w:rFonts w:hint="eastAsia" w:ascii="宋体" w:eastAsia="宋体" w:cs="宋体"/>
          <w:b w:val="0"/>
          <w:color w:val="auto"/>
          <w:sz w:val="22"/>
          <w:szCs w:val="22"/>
          <w:highlight w:val="none"/>
          <w:lang w:eastAsia="zh-CN"/>
        </w:rPr>
      </w:pPr>
      <w:r>
        <w:rPr>
          <w:rFonts w:hint="eastAsia" w:ascii="宋体" w:hAnsi="宋体" w:eastAsia="宋体" w:cs="宋体"/>
          <w:b w:val="0"/>
          <w:color w:val="auto"/>
          <w:sz w:val="22"/>
          <w:szCs w:val="22"/>
          <w:highlight w:val="none"/>
        </w:rPr>
        <w:t>5）</w:t>
      </w:r>
      <w:r>
        <w:rPr>
          <w:rFonts w:hint="eastAsia" w:ascii="宋体" w:hAnsi="宋体" w:eastAsia="宋体" w:cs="宋体"/>
          <w:b w:val="0"/>
          <w:color w:val="auto"/>
          <w:sz w:val="22"/>
          <w:szCs w:val="22"/>
          <w:highlight w:val="none"/>
          <w:lang w:eastAsia="zh-CN"/>
        </w:rPr>
        <w:t>上传的电子投标（响应）文件若出现使用本项目其他投标（响应）供应商的数字证书加密的，或者加盖本项目其他投标（响应）供应商的电子印章的</w:t>
      </w:r>
      <w:r>
        <w:rPr>
          <w:rFonts w:hint="eastAsia" w:ascii="宋体" w:eastAsia="宋体" w:cs="宋体"/>
          <w:b w:val="0"/>
          <w:color w:val="auto"/>
          <w:sz w:val="22"/>
          <w:szCs w:val="22"/>
          <w:highlight w:val="none"/>
          <w:lang w:eastAsia="zh-CN"/>
        </w:rPr>
        <w:t>；</w:t>
      </w:r>
    </w:p>
    <w:p w14:paraId="3072C61E">
      <w:pPr>
        <w:autoSpaceDE w:val="0"/>
        <w:autoSpaceDN w:val="0"/>
        <w:adjustRightInd w:val="0"/>
        <w:spacing w:line="360" w:lineRule="auto"/>
        <w:ind w:firstLine="440" w:firstLineChars="200"/>
        <w:textAlignment w:val="bottom"/>
        <w:rPr>
          <w:rFonts w:hint="eastAsia" w:ascii="宋体" w:eastAsia="宋体" w:cs="宋体"/>
          <w:b w:val="0"/>
          <w:color w:val="auto"/>
          <w:sz w:val="22"/>
          <w:szCs w:val="22"/>
          <w:highlight w:val="none"/>
          <w:lang w:eastAsia="zh-CN"/>
        </w:rPr>
      </w:pPr>
      <w:r>
        <w:rPr>
          <w:rFonts w:hint="eastAsia" w:ascii="宋体" w:eastAsia="宋体" w:cs="宋体"/>
          <w:b w:val="0"/>
          <w:color w:val="auto"/>
          <w:sz w:val="22"/>
          <w:szCs w:val="22"/>
          <w:highlight w:val="none"/>
          <w:lang w:val="en-US" w:eastAsia="zh-CN"/>
        </w:rPr>
        <w:t>6</w:t>
      </w:r>
      <w:r>
        <w:rPr>
          <w:rFonts w:hint="eastAsia" w:ascii="宋体" w:hAnsi="宋体" w:eastAsia="宋体" w:cs="宋体"/>
          <w:b w:val="0"/>
          <w:color w:val="auto"/>
          <w:sz w:val="22"/>
          <w:szCs w:val="22"/>
          <w:highlight w:val="none"/>
        </w:rPr>
        <w:t>）</w:t>
      </w:r>
      <w:r>
        <w:rPr>
          <w:rFonts w:hint="eastAsia" w:ascii="宋体" w:eastAsia="宋体" w:cs="宋体"/>
          <w:b w:val="0"/>
          <w:color w:val="auto"/>
          <w:sz w:val="22"/>
          <w:szCs w:val="22"/>
          <w:highlight w:val="none"/>
          <w:lang w:eastAsia="zh-CN"/>
        </w:rPr>
        <w:t>不同供应商的投标（响应）文件的内容存在3处（含）以上错误一致的；</w:t>
      </w:r>
    </w:p>
    <w:p w14:paraId="5031F4BD">
      <w:pPr>
        <w:autoSpaceDE w:val="0"/>
        <w:autoSpaceDN w:val="0"/>
        <w:adjustRightInd w:val="0"/>
        <w:spacing w:line="360" w:lineRule="auto"/>
        <w:ind w:firstLine="440" w:firstLineChars="200"/>
        <w:textAlignment w:val="bottom"/>
        <w:rPr>
          <w:rFonts w:hint="eastAsia" w:ascii="宋体" w:eastAsia="宋体" w:cs="宋体"/>
          <w:b w:val="0"/>
          <w:color w:val="auto"/>
          <w:sz w:val="22"/>
          <w:szCs w:val="22"/>
          <w:highlight w:val="none"/>
          <w:lang w:eastAsia="zh-CN"/>
        </w:rPr>
      </w:pPr>
      <w:r>
        <w:rPr>
          <w:rFonts w:hint="eastAsia" w:ascii="宋体" w:eastAsia="宋体" w:cs="宋体"/>
          <w:b w:val="0"/>
          <w:color w:val="auto"/>
          <w:sz w:val="22"/>
          <w:szCs w:val="22"/>
          <w:highlight w:val="none"/>
          <w:lang w:val="en-US" w:eastAsia="zh-CN"/>
        </w:rPr>
        <w:t>7</w:t>
      </w:r>
      <w:r>
        <w:rPr>
          <w:rFonts w:hint="eastAsia" w:ascii="宋体" w:hAnsi="宋体" w:eastAsia="宋体" w:cs="宋体"/>
          <w:b w:val="0"/>
          <w:color w:val="auto"/>
          <w:sz w:val="22"/>
          <w:szCs w:val="22"/>
          <w:highlight w:val="none"/>
        </w:rPr>
        <w:t>）</w:t>
      </w:r>
      <w:r>
        <w:rPr>
          <w:rFonts w:hint="eastAsia" w:ascii="宋体" w:eastAsia="宋体" w:cs="宋体"/>
          <w:b w:val="0"/>
          <w:color w:val="auto"/>
          <w:sz w:val="22"/>
          <w:szCs w:val="22"/>
          <w:highlight w:val="none"/>
          <w:lang w:eastAsia="zh-CN"/>
        </w:rPr>
        <w:t>不同供应商联系人为同一人或不同联系人的联系电话一致的；</w:t>
      </w:r>
    </w:p>
    <w:p w14:paraId="06E4E20E">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eastAsia="宋体" w:cs="宋体"/>
          <w:b w:val="0"/>
          <w:color w:val="auto"/>
          <w:sz w:val="22"/>
          <w:szCs w:val="22"/>
          <w:highlight w:val="none"/>
          <w:lang w:val="en-US" w:eastAsia="zh-CN"/>
        </w:rPr>
        <w:t>8</w:t>
      </w:r>
      <w:r>
        <w:rPr>
          <w:rFonts w:hint="eastAsia" w:ascii="宋体" w:hAnsi="宋体" w:eastAsia="宋体" w:cs="宋体"/>
          <w:b w:val="0"/>
          <w:color w:val="auto"/>
          <w:sz w:val="22"/>
          <w:szCs w:val="22"/>
          <w:highlight w:val="none"/>
        </w:rPr>
        <w:t>）响应文件含有采购人不能接受的附加条件的（包括磋商文件中明确要求不得偏离的招标要求，存在负偏离的）</w:t>
      </w:r>
      <w:r>
        <w:rPr>
          <w:rFonts w:hint="eastAsia" w:ascii="宋体" w:eastAsia="宋体" w:cs="宋体"/>
          <w:b w:val="0"/>
          <w:color w:val="auto"/>
          <w:sz w:val="22"/>
          <w:szCs w:val="22"/>
          <w:highlight w:val="none"/>
          <w:lang w:eastAsia="zh-CN"/>
        </w:rPr>
        <w:t>；</w:t>
      </w:r>
    </w:p>
    <w:p w14:paraId="2D0291AF">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eastAsia="宋体" w:cs="宋体"/>
          <w:b w:val="0"/>
          <w:color w:val="auto"/>
          <w:sz w:val="22"/>
          <w:szCs w:val="22"/>
          <w:highlight w:val="none"/>
          <w:lang w:val="en-US" w:eastAsia="zh-CN"/>
        </w:rPr>
        <w:t>9</w:t>
      </w:r>
      <w:r>
        <w:rPr>
          <w:rFonts w:hint="eastAsia" w:ascii="宋体" w:hAnsi="宋体" w:eastAsia="宋体" w:cs="宋体"/>
          <w:b w:val="0"/>
          <w:color w:val="auto"/>
          <w:sz w:val="22"/>
          <w:szCs w:val="22"/>
          <w:highlight w:val="none"/>
        </w:rPr>
        <w:t>）对关键条文的偏离、保留或反对，例如关于报价保证金、付款方式、完工期（服务期）、免费质保期、适用法律法规、标准、税费等其他内容；</w:t>
      </w:r>
    </w:p>
    <w:p w14:paraId="2F4AEB0B">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eastAsia="宋体" w:cs="宋体"/>
          <w:b w:val="0"/>
          <w:color w:val="auto"/>
          <w:sz w:val="22"/>
          <w:szCs w:val="22"/>
          <w:highlight w:val="none"/>
          <w:lang w:val="en-US" w:eastAsia="zh-CN"/>
        </w:rPr>
        <w:t>10</w:t>
      </w:r>
      <w:r>
        <w:rPr>
          <w:rFonts w:hint="eastAsia" w:ascii="宋体" w:hAnsi="宋体" w:eastAsia="宋体" w:cs="宋体"/>
          <w:b w:val="0"/>
          <w:color w:val="auto"/>
          <w:sz w:val="22"/>
          <w:szCs w:val="22"/>
          <w:highlight w:val="none"/>
        </w:rPr>
        <w:t>）存在串标、抬标或弄虚作假情况的；</w:t>
      </w:r>
    </w:p>
    <w:p w14:paraId="69FD145F">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eastAsia="宋体" w:cs="宋体"/>
          <w:b w:val="0"/>
          <w:color w:val="auto"/>
          <w:sz w:val="22"/>
          <w:szCs w:val="22"/>
          <w:highlight w:val="none"/>
          <w:lang w:val="en-US" w:eastAsia="zh-CN"/>
        </w:rPr>
        <w:t>11</w:t>
      </w:r>
      <w:r>
        <w:rPr>
          <w:rFonts w:hint="eastAsia" w:ascii="宋体" w:hAnsi="宋体" w:eastAsia="宋体" w:cs="宋体"/>
          <w:b w:val="0"/>
          <w:color w:val="auto"/>
          <w:sz w:val="22"/>
          <w:szCs w:val="22"/>
          <w:highlight w:val="none"/>
        </w:rPr>
        <w:t>）</w:t>
      </w:r>
      <w:r>
        <w:rPr>
          <w:rFonts w:hint="eastAsia" w:ascii="宋体" w:eastAsia="宋体" w:cs="宋体"/>
          <w:b w:val="0"/>
          <w:color w:val="auto"/>
          <w:sz w:val="22"/>
          <w:szCs w:val="22"/>
          <w:highlight w:val="none"/>
          <w:lang w:eastAsia="zh-CN"/>
        </w:rPr>
        <w:t>法律法规</w:t>
      </w:r>
      <w:r>
        <w:rPr>
          <w:rFonts w:hint="eastAsia" w:ascii="宋体" w:hAnsi="宋体" w:eastAsia="宋体" w:cs="宋体"/>
          <w:b w:val="0"/>
          <w:color w:val="auto"/>
          <w:sz w:val="22"/>
          <w:szCs w:val="22"/>
          <w:highlight w:val="none"/>
        </w:rPr>
        <w:t>和磋商文件规定的其他无效情形（或出现重大偏差）。</w:t>
      </w:r>
    </w:p>
    <w:p w14:paraId="6045658B">
      <w:pPr>
        <w:autoSpaceDE w:val="0"/>
        <w:autoSpaceDN w:val="0"/>
        <w:adjustRightInd w:val="0"/>
        <w:spacing w:line="360" w:lineRule="auto"/>
        <w:ind w:firstLine="440" w:firstLineChars="200"/>
        <w:textAlignment w:val="bottom"/>
        <w:rPr>
          <w:rFonts w:hint="eastAsia" w:ascii="宋体" w:hAnsi="宋体" w:eastAsia="宋体" w:cs="宋体"/>
          <w:color w:val="auto"/>
          <w:sz w:val="22"/>
          <w:szCs w:val="22"/>
          <w:highlight w:val="none"/>
          <w:u w:val="single"/>
        </w:rPr>
      </w:pPr>
      <w:r>
        <w:rPr>
          <w:rFonts w:hint="eastAsia" w:ascii="宋体" w:hAnsi="宋体" w:eastAsia="宋体" w:cs="宋体"/>
          <w:b w:val="0"/>
          <w:color w:val="auto"/>
          <w:sz w:val="22"/>
          <w:szCs w:val="22"/>
          <w:highlight w:val="none"/>
        </w:rPr>
        <w:t>3.4 ▲</w:t>
      </w:r>
      <w:r>
        <w:rPr>
          <w:rFonts w:hint="eastAsia" w:ascii="宋体" w:hAnsi="宋体" w:eastAsia="宋体" w:cs="宋体"/>
          <w:color w:val="auto"/>
          <w:sz w:val="22"/>
          <w:szCs w:val="22"/>
          <w:highlight w:val="none"/>
          <w:u w:val="single"/>
        </w:rPr>
        <w:t>竞争性磋商采购小组发现响应文件有下列情形之一的属于重大偏差</w:t>
      </w:r>
      <w:r>
        <w:rPr>
          <w:rFonts w:hint="eastAsia" w:ascii="宋体" w:eastAsia="宋体" w:cs="宋体"/>
          <w:color w:val="auto"/>
          <w:sz w:val="22"/>
          <w:szCs w:val="22"/>
          <w:highlight w:val="none"/>
          <w:u w:val="single"/>
          <w:lang w:eastAsia="zh-CN"/>
        </w:rPr>
        <w:t>（</w:t>
      </w:r>
      <w:r>
        <w:rPr>
          <w:rFonts w:hint="eastAsia" w:ascii="宋体" w:hAnsi="宋体" w:eastAsia="宋体" w:cs="宋体"/>
          <w:color w:val="auto"/>
          <w:sz w:val="22"/>
          <w:szCs w:val="22"/>
          <w:highlight w:val="none"/>
          <w:u w:val="single"/>
        </w:rPr>
        <w:t>竞争性磋商采购小组按少数服从多数原则认定</w:t>
      </w:r>
      <w:r>
        <w:rPr>
          <w:rFonts w:hint="eastAsia" w:ascii="宋体" w:eastAsia="宋体" w:cs="宋体"/>
          <w:color w:val="auto"/>
          <w:sz w:val="22"/>
          <w:szCs w:val="22"/>
          <w:highlight w:val="none"/>
          <w:u w:val="single"/>
          <w:lang w:eastAsia="zh-CN"/>
        </w:rPr>
        <w:t>），</w:t>
      </w:r>
      <w:r>
        <w:rPr>
          <w:rFonts w:hint="eastAsia" w:ascii="宋体" w:hAnsi="宋体" w:eastAsia="宋体" w:cs="宋体"/>
          <w:color w:val="auto"/>
          <w:sz w:val="22"/>
          <w:szCs w:val="22"/>
          <w:highlight w:val="none"/>
          <w:u w:val="single"/>
        </w:rPr>
        <w:t>按照无效投标处理：</w:t>
      </w:r>
    </w:p>
    <w:p w14:paraId="28AC5BA5">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1）未按磋商文件要求编制或字迹模糊、辨认不清的响应文件；</w:t>
      </w:r>
    </w:p>
    <w:p w14:paraId="1769D0B4">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2）除3.3条款以外，出现</w:t>
      </w:r>
      <w:r>
        <w:rPr>
          <w:rFonts w:hint="eastAsia" w:ascii="宋体" w:eastAsia="宋体" w:cs="宋体"/>
          <w:b w:val="0"/>
          <w:color w:val="auto"/>
          <w:sz w:val="22"/>
          <w:szCs w:val="22"/>
          <w:highlight w:val="none"/>
          <w:lang w:eastAsia="zh-CN"/>
        </w:rPr>
        <w:t>其他</w:t>
      </w:r>
      <w:r>
        <w:rPr>
          <w:rFonts w:hint="eastAsia" w:ascii="宋体" w:hAnsi="宋体" w:eastAsia="宋体" w:cs="宋体"/>
          <w:b w:val="0"/>
          <w:color w:val="auto"/>
          <w:sz w:val="22"/>
          <w:szCs w:val="22"/>
          <w:highlight w:val="none"/>
        </w:rPr>
        <w:t>明显不符合采购要求的响应文件；</w:t>
      </w:r>
    </w:p>
    <w:p w14:paraId="6A025EBD">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3）除3.3条款以外，</w:t>
      </w:r>
      <w:r>
        <w:rPr>
          <w:rFonts w:hint="eastAsia" w:ascii="宋体" w:eastAsia="宋体" w:cs="宋体"/>
          <w:b w:val="0"/>
          <w:color w:val="auto"/>
          <w:sz w:val="22"/>
          <w:szCs w:val="22"/>
          <w:highlight w:val="none"/>
          <w:lang w:eastAsia="zh-CN"/>
        </w:rPr>
        <w:t>出现其他不</w:t>
      </w:r>
      <w:r>
        <w:rPr>
          <w:rFonts w:hint="eastAsia" w:ascii="宋体" w:hAnsi="宋体" w:eastAsia="宋体" w:cs="宋体"/>
          <w:b w:val="0"/>
          <w:color w:val="auto"/>
          <w:sz w:val="22"/>
          <w:szCs w:val="22"/>
          <w:highlight w:val="none"/>
        </w:rPr>
        <w:t>符合磋商文件中规定的实质性要求的响应文件，是否为偏离实质性要求由竞争性磋商采购小组认定。</w:t>
      </w:r>
    </w:p>
    <w:p w14:paraId="373C8759">
      <w:pPr>
        <w:autoSpaceDE w:val="0"/>
        <w:autoSpaceDN w:val="0"/>
        <w:adjustRightInd w:val="0"/>
        <w:spacing w:line="360" w:lineRule="auto"/>
        <w:ind w:firstLine="440" w:firstLineChars="200"/>
        <w:textAlignment w:val="bottom"/>
        <w:rPr>
          <w:rFonts w:hint="eastAsia" w:ascii="宋体" w:hAnsi="宋体" w:eastAsia="宋体" w:cs="宋体"/>
          <w:color w:val="auto"/>
          <w:sz w:val="22"/>
          <w:szCs w:val="22"/>
          <w:highlight w:val="none"/>
          <w:u w:val="single"/>
        </w:rPr>
      </w:pPr>
      <w:r>
        <w:rPr>
          <w:rFonts w:hint="eastAsia" w:ascii="宋体" w:hAnsi="宋体" w:eastAsia="宋体" w:cs="宋体"/>
          <w:b w:val="0"/>
          <w:color w:val="auto"/>
          <w:sz w:val="22"/>
          <w:szCs w:val="22"/>
          <w:highlight w:val="none"/>
        </w:rPr>
        <w:t>3.5 ▲</w:t>
      </w:r>
      <w:r>
        <w:rPr>
          <w:rFonts w:hint="eastAsia" w:ascii="宋体" w:hAnsi="宋体" w:eastAsia="宋体" w:cs="宋体"/>
          <w:color w:val="auto"/>
          <w:sz w:val="22"/>
          <w:szCs w:val="22"/>
          <w:highlight w:val="none"/>
          <w:u w:val="single"/>
        </w:rPr>
        <w:t>竞争性磋商采购小组认为供应商的最终报价明显低于其他有效供应商的最终报价，有可能影响采购质量或者不能诚信履约的，应当要求其在评标现场合理的时间内提供书面说明，必要时提交相关证明材料；供应商不能证明其报价合理性的，竞争性磋商采购小组应当将其作为无效投标处理。</w:t>
      </w:r>
    </w:p>
    <w:p w14:paraId="22C19A25">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3.6 竞争性磋商采购小组在评标中，不得改变磋商文件中规定的评标标准、方法和中标条件。</w:t>
      </w:r>
    </w:p>
    <w:p w14:paraId="115370EB">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3.7 评标时如遇到磋商文件未规定的特殊情况，由竞争性磋商采购小组按少数服从多数原则集体决定处理。</w:t>
      </w:r>
    </w:p>
    <w:p w14:paraId="22FFF6BB">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3.8竞争性磋商采购小组对未中标的供应商不作解释。同时根据政府采购法实施条例第四十条规定，本项目不对供应商公布详细的评审情况，不公布具体评标细则中小项得分。</w:t>
      </w:r>
    </w:p>
    <w:p w14:paraId="206120E4">
      <w:pPr>
        <w:pStyle w:val="26"/>
        <w:adjustRightInd w:val="0"/>
        <w:snapToGrid w:val="0"/>
        <w:spacing w:line="360" w:lineRule="auto"/>
        <w:ind w:firstLine="433" w:firstLineChars="197"/>
        <w:rPr>
          <w:rFonts w:hint="eastAsia" w:ascii="宋体" w:hAnsi="宋体" w:eastAsia="宋体" w:cs="宋体"/>
          <w:b w:val="0"/>
          <w:color w:val="auto"/>
          <w:sz w:val="22"/>
          <w:highlight w:val="none"/>
        </w:rPr>
      </w:pPr>
      <w:r>
        <w:rPr>
          <w:rFonts w:hint="eastAsia" w:ascii="宋体" w:hAnsi="宋体" w:eastAsia="宋体" w:cs="宋体"/>
          <w:b w:val="0"/>
          <w:color w:val="auto"/>
          <w:sz w:val="22"/>
          <w:highlight w:val="none"/>
        </w:rPr>
        <w:t>4、响应文件的澄清</w:t>
      </w:r>
    </w:p>
    <w:p w14:paraId="142BFEF0">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为有助于响应文件的审查、评价和比较，评标小组可以在“政采云平台”在线询标形式要求投标供应商对同一份响应文件含义不明确或同类问题表述不一致的内容（采购文件其它地方有规定处理方法的除外）</w:t>
      </w:r>
      <w:r>
        <w:rPr>
          <w:rFonts w:hint="eastAsia" w:ascii="宋体" w:eastAsia="宋体" w:cs="宋体"/>
          <w:b w:val="0"/>
          <w:color w:val="auto"/>
          <w:sz w:val="22"/>
          <w:szCs w:val="22"/>
          <w:highlight w:val="none"/>
          <w:lang w:eastAsia="zh-CN"/>
        </w:rPr>
        <w:t>做必要</w:t>
      </w:r>
      <w:r>
        <w:rPr>
          <w:rFonts w:hint="eastAsia" w:ascii="宋体" w:hAnsi="宋体" w:eastAsia="宋体" w:cs="宋体"/>
          <w:b w:val="0"/>
          <w:color w:val="auto"/>
          <w:sz w:val="22"/>
          <w:szCs w:val="22"/>
          <w:highlight w:val="none"/>
        </w:rPr>
        <w:t>的澄清或说明，投标供应商应采用在线回复在询标规定时间内进行澄清或说明（需盖电子签章或实体公章），但不得超出响应文件的范围或改变响应文件的实质性内容。凡属于评标小组在评标中发现的计算错误并进行核实的修改不在此列。</w:t>
      </w:r>
    </w:p>
    <w:p w14:paraId="10B40BEB">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5、有下列情形之一的，视为供应商相互串通投标：</w:t>
      </w:r>
    </w:p>
    <w:p w14:paraId="38FA184F">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5.1不同供应商的响应文件由同一单位或者个人编制；</w:t>
      </w:r>
    </w:p>
    <w:p w14:paraId="2CC8E6D5">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5.2不同供应商委托同一单位或者个人办理投标事宜；</w:t>
      </w:r>
    </w:p>
    <w:p w14:paraId="0C1F36C3">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5.3不同供应商的响应文件载明的项目管理成员为同一人；</w:t>
      </w:r>
    </w:p>
    <w:p w14:paraId="52A76466">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5.4不同供应商的响应文件异常一致或者投标报价呈规律性差异；</w:t>
      </w:r>
    </w:p>
    <w:p w14:paraId="131FB6A2">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5.5不同供应商的响应文件相互混装；</w:t>
      </w:r>
    </w:p>
    <w:p w14:paraId="411721A0">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5.6经竞争性磋商采购小组认定供应商进行串通投标的，竞争性磋商采购小组可以对相关供应商做出无效报价处理，并上报政府采购管理部门进行进一步处理。</w:t>
      </w:r>
    </w:p>
    <w:p w14:paraId="65157802">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6、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14:paraId="5BE954CE">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7、评标原则</w:t>
      </w:r>
    </w:p>
    <w:p w14:paraId="35A24DDE">
      <w:pPr>
        <w:autoSpaceDE w:val="0"/>
        <w:autoSpaceDN w:val="0"/>
        <w:adjustRightInd w:val="0"/>
        <w:spacing w:line="360" w:lineRule="auto"/>
        <w:ind w:firstLine="440" w:firstLineChars="200"/>
        <w:textAlignment w:val="bottom"/>
        <w:rPr>
          <w:rFonts w:hint="eastAsia" w:ascii="宋体" w:hAnsi="宋体" w:eastAsia="宋体" w:cs="宋体"/>
          <w:b w:val="0"/>
          <w:color w:val="auto"/>
          <w:sz w:val="22"/>
          <w:highlight w:val="none"/>
        </w:rPr>
      </w:pPr>
      <w:r>
        <w:rPr>
          <w:rFonts w:hint="eastAsia" w:ascii="宋体" w:hAnsi="宋体" w:eastAsia="宋体" w:cs="宋体"/>
          <w:b w:val="0"/>
          <w:color w:val="auto"/>
          <w:sz w:val="22"/>
          <w:szCs w:val="22"/>
          <w:highlight w:val="none"/>
        </w:rPr>
        <w:t xml:space="preserve">评标办法具体见本磋商文件第七部分。  </w:t>
      </w:r>
      <w:r>
        <w:rPr>
          <w:rFonts w:hint="eastAsia" w:ascii="宋体" w:hAnsi="宋体" w:eastAsia="宋体" w:cs="宋体"/>
          <w:b w:val="0"/>
          <w:color w:val="auto"/>
          <w:sz w:val="22"/>
          <w:highlight w:val="none"/>
        </w:rPr>
        <w:t xml:space="preserve"> </w:t>
      </w:r>
    </w:p>
    <w:p w14:paraId="64A382E9">
      <w:pPr>
        <w:widowControl/>
        <w:spacing w:line="360" w:lineRule="auto"/>
        <w:jc w:val="left"/>
        <w:rPr>
          <w:rFonts w:hint="eastAsia" w:ascii="宋体" w:hAnsi="宋体" w:eastAsia="宋体" w:cs="宋体"/>
          <w:bCs w:val="0"/>
          <w:color w:val="auto"/>
          <w:sz w:val="22"/>
          <w:szCs w:val="22"/>
          <w:highlight w:val="none"/>
        </w:rPr>
      </w:pPr>
      <w:bookmarkStart w:id="67" w:name="_Toc132126156"/>
      <w:bookmarkStart w:id="68" w:name="_Toc132124596"/>
      <w:bookmarkStart w:id="69" w:name="_Toc132125576"/>
      <w:bookmarkStart w:id="70" w:name="_Toc132122121"/>
      <w:bookmarkStart w:id="71" w:name="_Toc132122418"/>
      <w:bookmarkStart w:id="72" w:name="_Toc132123441"/>
      <w:bookmarkStart w:id="73" w:name="_Toc132123840"/>
      <w:bookmarkStart w:id="74" w:name="_Toc132125097"/>
      <w:bookmarkStart w:id="75" w:name="_Toc132123636"/>
      <w:bookmarkStart w:id="76" w:name="_Toc132125985"/>
      <w:bookmarkStart w:id="77" w:name="_Toc493530208"/>
      <w:bookmarkStart w:id="78" w:name="_Toc132655778"/>
      <w:bookmarkStart w:id="79" w:name="_Toc132125039"/>
      <w:bookmarkStart w:id="80" w:name="_Toc132125153"/>
      <w:bookmarkStart w:id="81" w:name="_Toc132123549"/>
      <w:bookmarkStart w:id="82" w:name="_Toc132123883"/>
      <w:r>
        <w:rPr>
          <w:rFonts w:hint="eastAsia" w:ascii="宋体" w:hAnsi="宋体" w:eastAsia="宋体" w:cs="宋体"/>
          <w:bCs w:val="0"/>
          <w:color w:val="auto"/>
          <w:sz w:val="22"/>
          <w:szCs w:val="22"/>
          <w:highlight w:val="none"/>
        </w:rPr>
        <w:t>七、授予合同</w:t>
      </w:r>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p>
    <w:p w14:paraId="59BDEFFD">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1、决标</w:t>
      </w:r>
    </w:p>
    <w:p w14:paraId="42F297C9">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评标结束后，竞争性磋商采购小组按照磋商文件确定的评标办法推荐成交供应商。</w:t>
      </w:r>
    </w:p>
    <w:p w14:paraId="1C088A77">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2、成交通知书</w:t>
      </w:r>
    </w:p>
    <w:p w14:paraId="5DDF29A3">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2.1 采购人依法确认成交供应商后，代理机构在浙江省政府采购网上公告成交结果，同时向成交供应商发出成交通知书，成交公告期限为1个工作日。</w:t>
      </w:r>
    </w:p>
    <w:p w14:paraId="157E69D0">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2.2 成交通知书对采购人和成交供应商具有法律约束力。成交通知书发出后，采购人改变中标结果或者成交供应商放弃中标的，应当承担法律责任。</w:t>
      </w:r>
    </w:p>
    <w:p w14:paraId="6DE8C205">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2.3 成交无效</w:t>
      </w:r>
    </w:p>
    <w:p w14:paraId="739935A8">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1）发现成交供应商资格无效或成交供应商放弃成交或拒绝与采购人签订合同的</w:t>
      </w:r>
      <w:r>
        <w:rPr>
          <w:rFonts w:hint="eastAsia" w:ascii="宋体" w:eastAsia="宋体" w:cs="宋体"/>
          <w:b w:val="0"/>
          <w:color w:val="auto"/>
          <w:sz w:val="22"/>
          <w:szCs w:val="22"/>
          <w:highlight w:val="none"/>
          <w:lang w:eastAsia="zh-CN"/>
        </w:rPr>
        <w:t>，</w:t>
      </w:r>
      <w:r>
        <w:rPr>
          <w:rFonts w:hint="eastAsia" w:ascii="宋体" w:hAnsi="宋体" w:eastAsia="宋体" w:cs="宋体"/>
          <w:b w:val="0"/>
          <w:color w:val="auto"/>
          <w:sz w:val="22"/>
          <w:szCs w:val="22"/>
          <w:highlight w:val="none"/>
        </w:rPr>
        <w:t>采购人可以按照评审报告推荐的成交候选人名单排序，确定下一候选人为成交供应商，也可以重新开展政府采购活动。</w:t>
      </w:r>
      <w:r>
        <w:rPr>
          <w:rFonts w:hint="eastAsia" w:ascii="宋体" w:hAnsi="宋体" w:eastAsia="宋体" w:cs="宋体"/>
          <w:b w:val="0"/>
          <w:color w:val="auto"/>
          <w:sz w:val="22"/>
          <w:szCs w:val="22"/>
          <w:highlight w:val="none"/>
        </w:rPr>
        <w:br w:type="textWrapping"/>
      </w:r>
      <w:r>
        <w:rPr>
          <w:rFonts w:hint="eastAsia" w:ascii="宋体" w:hAnsi="宋体" w:eastAsia="宋体" w:cs="宋体"/>
          <w:b w:val="0"/>
          <w:color w:val="auto"/>
          <w:sz w:val="22"/>
          <w:szCs w:val="22"/>
          <w:highlight w:val="none"/>
        </w:rPr>
        <w:t xml:space="preserve">    2）有《中华人民共和国政府采购法实施条例》第七十一条、第七十二条、第七十三条、第七十四条规定的违法行为之一，由政府采购监管部门依法处理。</w:t>
      </w:r>
    </w:p>
    <w:p w14:paraId="0ACE6492">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3、签订合同</w:t>
      </w:r>
    </w:p>
    <w:p w14:paraId="6379CBFE">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3.1 成交供应商须主动联系采购人或采购代理机构领取成交通知书。成交供应商应当在成交通知书发出之日起30日内与采购人签订合同。成交供应商未经采购人许可，在规定时间内未到采购人处与采购人签订合同，则视为拒签合同。</w:t>
      </w:r>
    </w:p>
    <w:p w14:paraId="0DEDE819">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3.2 磋商文件、成交供应商的响应文件及投标修改文件、评标过程中有关澄清文件及经双方签字的询标纪要（承诺）和成交通知书均作为合同附件。</w:t>
      </w:r>
    </w:p>
    <w:p w14:paraId="76A23546">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3.3 拒签合同的责任</w:t>
      </w:r>
    </w:p>
    <w:p w14:paraId="53651A79">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成交供应商在规定时间内（30日历天）借故否认已经承诺的条件、拒签合同者，以违约处理，并赔偿采购人由此造成的直接经济损失；采购人重新组织采购的，所需费用由原成交供应商承担。</w:t>
      </w:r>
    </w:p>
    <w:p w14:paraId="0CE9449E">
      <w:pPr>
        <w:pStyle w:val="26"/>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4、招标代理费用</w:t>
      </w:r>
    </w:p>
    <w:p w14:paraId="1BB76E0A">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4.1、本次项目招标代理服务费按计价格</w:t>
      </w:r>
      <w:r>
        <w:rPr>
          <w:rFonts w:hint="eastAsia" w:ascii="宋体" w:hAnsi="宋体" w:eastAsia="宋体" w:cs="宋体"/>
          <w:b w:val="0"/>
          <w:color w:val="auto"/>
          <w:sz w:val="22"/>
          <w:szCs w:val="22"/>
          <w:highlight w:val="none"/>
          <w:lang w:eastAsia="zh-CN"/>
        </w:rPr>
        <w:t>〔2002〕1980号</w:t>
      </w:r>
      <w:r>
        <w:rPr>
          <w:rFonts w:hint="eastAsia" w:ascii="宋体" w:hAnsi="宋体" w:eastAsia="宋体" w:cs="宋体"/>
          <w:b w:val="0"/>
          <w:color w:val="auto"/>
          <w:sz w:val="22"/>
          <w:szCs w:val="22"/>
          <w:highlight w:val="none"/>
        </w:rPr>
        <w:t>文计费标准</w:t>
      </w:r>
      <w:r>
        <w:rPr>
          <w:rFonts w:hint="eastAsia" w:ascii="宋体" w:eastAsia="宋体" w:cs="宋体"/>
          <w:b w:val="0"/>
          <w:color w:val="auto"/>
          <w:sz w:val="22"/>
          <w:szCs w:val="22"/>
          <w:highlight w:val="none"/>
          <w:lang w:eastAsia="zh-CN"/>
        </w:rPr>
        <w:t>服务类</w:t>
      </w:r>
      <w:r>
        <w:rPr>
          <w:rFonts w:hint="eastAsia" w:ascii="宋体" w:hAnsi="宋体" w:eastAsia="宋体" w:cs="宋体"/>
          <w:b w:val="0"/>
          <w:color w:val="auto"/>
          <w:sz w:val="22"/>
          <w:szCs w:val="22"/>
          <w:highlight w:val="none"/>
        </w:rPr>
        <w:t>收取。采购人不负责任何招标代理费用。招标代理费用由中标人支付，请报价人在报价时予以考虑。招标代理服务费汇入以下</w:t>
      </w:r>
      <w:r>
        <w:rPr>
          <w:rFonts w:hint="eastAsia" w:ascii="宋体" w:eastAsia="宋体" w:cs="宋体"/>
          <w:b w:val="0"/>
          <w:color w:val="auto"/>
          <w:sz w:val="22"/>
          <w:szCs w:val="22"/>
          <w:highlight w:val="none"/>
          <w:lang w:eastAsia="zh-CN"/>
        </w:rPr>
        <w:t>账户</w:t>
      </w:r>
      <w:r>
        <w:rPr>
          <w:rFonts w:hint="eastAsia" w:ascii="宋体" w:hAnsi="宋体" w:eastAsia="宋体" w:cs="宋体"/>
          <w:b w:val="0"/>
          <w:color w:val="auto"/>
          <w:sz w:val="22"/>
          <w:szCs w:val="22"/>
          <w:highlight w:val="none"/>
        </w:rPr>
        <w:t>：</w:t>
      </w:r>
    </w:p>
    <w:p w14:paraId="38670EB8">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bookmarkStart w:id="83" w:name="_Toc496528623"/>
      <w:r>
        <w:rPr>
          <w:rFonts w:hint="eastAsia" w:ascii="宋体" w:hAnsi="宋体" w:eastAsia="宋体" w:cs="宋体"/>
          <w:b w:val="0"/>
          <w:color w:val="auto"/>
          <w:sz w:val="22"/>
          <w:szCs w:val="22"/>
          <w:highlight w:val="none"/>
        </w:rPr>
        <w:t>开户银行：中国建设银行永嘉广场支行</w:t>
      </w:r>
    </w:p>
    <w:p w14:paraId="78777970">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开户名称：温州市中概工程管理咨询有限公司</w:t>
      </w:r>
    </w:p>
    <w:p w14:paraId="12101BC2">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eastAsia="宋体" w:cs="宋体"/>
          <w:b w:val="0"/>
          <w:color w:val="auto"/>
          <w:sz w:val="22"/>
          <w:szCs w:val="22"/>
          <w:highlight w:val="none"/>
          <w:lang w:eastAsia="zh-CN"/>
        </w:rPr>
        <w:t>开户账号</w:t>
      </w:r>
      <w:r>
        <w:rPr>
          <w:rFonts w:hint="eastAsia" w:ascii="宋体" w:hAnsi="宋体" w:eastAsia="宋体" w:cs="宋体"/>
          <w:b w:val="0"/>
          <w:color w:val="auto"/>
          <w:sz w:val="22"/>
          <w:szCs w:val="22"/>
          <w:highlight w:val="none"/>
        </w:rPr>
        <w:t>：33050162766300000011</w:t>
      </w:r>
    </w:p>
    <w:bookmarkEnd w:id="83"/>
    <w:p w14:paraId="09BB8031">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lang w:val="en-US" w:eastAsia="zh-CN"/>
        </w:rPr>
      </w:pPr>
      <w:r>
        <w:rPr>
          <w:rFonts w:hint="eastAsia" w:ascii="宋体" w:hAnsi="宋体" w:eastAsia="宋体" w:cs="宋体"/>
          <w:b w:val="0"/>
          <w:color w:val="auto"/>
          <w:sz w:val="22"/>
          <w:szCs w:val="22"/>
          <w:highlight w:val="none"/>
          <w:lang w:val="en-US" w:eastAsia="zh-CN"/>
        </w:rPr>
        <w:t>注：计价格〔2002〕1980号文计费标准计算的公式如下表（按差额定率累进法）：</w:t>
      </w:r>
    </w:p>
    <w:tbl>
      <w:tblPr>
        <w:tblStyle w:val="44"/>
        <w:tblW w:w="0" w:type="auto"/>
        <w:jc w:val="center"/>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902"/>
        <w:gridCol w:w="3118"/>
      </w:tblGrid>
      <w:tr w14:paraId="7497E7FD">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2902" w:type="dxa"/>
          </w:tcPr>
          <w:p w14:paraId="3F6F534A">
            <w:pPr>
              <w:autoSpaceDE w:val="0"/>
              <w:autoSpaceDN w:val="0"/>
              <w:adjustRightInd w:val="0"/>
              <w:spacing w:line="360" w:lineRule="auto"/>
              <w:jc w:val="center"/>
              <w:textAlignment w:val="bottom"/>
              <w:rPr>
                <w:rFonts w:hint="eastAsia" w:ascii="宋体" w:hAnsi="宋体" w:eastAsia="宋体" w:cs="宋体"/>
                <w:b w:val="0"/>
                <w:color w:val="auto"/>
                <w:sz w:val="22"/>
                <w:szCs w:val="22"/>
                <w:highlight w:val="none"/>
                <w:lang w:val="en-US" w:eastAsia="zh-CN"/>
              </w:rPr>
            </w:pPr>
            <w:bookmarkStart w:id="84" w:name="RANGE!A9"/>
            <w:r>
              <w:rPr>
                <w:rFonts w:hint="eastAsia" w:ascii="宋体" w:hAnsi="宋体" w:eastAsia="宋体" w:cs="宋体"/>
                <w:b w:val="0"/>
                <w:color w:val="auto"/>
                <w:sz w:val="22"/>
                <w:szCs w:val="22"/>
                <w:highlight w:val="none"/>
                <w:lang w:val="en-US" w:eastAsia="zh-CN"/>
              </w:rPr>
              <w:t>计费基数</w:t>
            </w:r>
          </w:p>
          <w:p w14:paraId="1749DB10">
            <w:pPr>
              <w:autoSpaceDE w:val="0"/>
              <w:autoSpaceDN w:val="0"/>
              <w:adjustRightInd w:val="0"/>
              <w:spacing w:line="360" w:lineRule="auto"/>
              <w:jc w:val="center"/>
              <w:textAlignment w:val="bottom"/>
              <w:rPr>
                <w:rFonts w:hint="eastAsia" w:ascii="宋体" w:hAnsi="宋体" w:eastAsia="宋体" w:cs="宋体"/>
                <w:b w:val="0"/>
                <w:color w:val="auto"/>
                <w:sz w:val="22"/>
                <w:szCs w:val="22"/>
                <w:highlight w:val="none"/>
                <w:lang w:val="en-US" w:eastAsia="zh-CN"/>
              </w:rPr>
            </w:pPr>
            <w:r>
              <w:rPr>
                <w:rFonts w:hint="eastAsia" w:ascii="宋体" w:hAnsi="宋体" w:eastAsia="宋体" w:cs="宋体"/>
                <w:b w:val="0"/>
                <w:color w:val="auto"/>
                <w:sz w:val="22"/>
                <w:szCs w:val="22"/>
                <w:highlight w:val="none"/>
                <w:lang w:val="en-US" w:eastAsia="zh-CN"/>
              </w:rPr>
              <w:t>（万元人民币）</w:t>
            </w:r>
          </w:p>
        </w:tc>
        <w:tc>
          <w:tcPr>
            <w:tcW w:w="3118" w:type="dxa"/>
          </w:tcPr>
          <w:p w14:paraId="749989FE">
            <w:pPr>
              <w:autoSpaceDE w:val="0"/>
              <w:autoSpaceDN w:val="0"/>
              <w:adjustRightInd w:val="0"/>
              <w:spacing w:line="360" w:lineRule="auto"/>
              <w:jc w:val="center"/>
              <w:textAlignment w:val="bottom"/>
              <w:rPr>
                <w:rFonts w:hint="eastAsia" w:ascii="宋体" w:hAnsi="宋体" w:eastAsia="宋体" w:cs="宋体"/>
                <w:b w:val="0"/>
                <w:color w:val="auto"/>
                <w:sz w:val="22"/>
                <w:szCs w:val="22"/>
                <w:highlight w:val="none"/>
                <w:lang w:val="en-US" w:eastAsia="zh-CN"/>
              </w:rPr>
            </w:pPr>
            <w:r>
              <w:rPr>
                <w:rFonts w:hint="eastAsia" w:ascii="宋体" w:hAnsi="宋体" w:eastAsia="宋体" w:cs="宋体"/>
                <w:b w:val="0"/>
                <w:color w:val="auto"/>
                <w:sz w:val="22"/>
                <w:szCs w:val="22"/>
                <w:highlight w:val="none"/>
                <w:lang w:val="en-US" w:eastAsia="zh-CN"/>
              </w:rPr>
              <w:t>服务招标服务费</w:t>
            </w:r>
          </w:p>
          <w:p w14:paraId="6D22360D">
            <w:pPr>
              <w:autoSpaceDE w:val="0"/>
              <w:autoSpaceDN w:val="0"/>
              <w:adjustRightInd w:val="0"/>
              <w:spacing w:line="360" w:lineRule="auto"/>
              <w:jc w:val="center"/>
              <w:textAlignment w:val="bottom"/>
              <w:rPr>
                <w:rFonts w:hint="eastAsia" w:ascii="宋体" w:hAnsi="宋体" w:eastAsia="宋体" w:cs="宋体"/>
                <w:b w:val="0"/>
                <w:color w:val="auto"/>
                <w:sz w:val="22"/>
                <w:szCs w:val="22"/>
                <w:highlight w:val="none"/>
                <w:lang w:val="en-US" w:eastAsia="zh-CN"/>
              </w:rPr>
            </w:pPr>
            <w:r>
              <w:rPr>
                <w:rFonts w:hint="eastAsia" w:ascii="宋体" w:hAnsi="宋体" w:eastAsia="宋体" w:cs="宋体"/>
                <w:b w:val="0"/>
                <w:color w:val="auto"/>
                <w:sz w:val="22"/>
                <w:szCs w:val="22"/>
                <w:highlight w:val="none"/>
                <w:lang w:val="en-US" w:eastAsia="zh-CN"/>
              </w:rPr>
              <w:t>（万元人民币）</w:t>
            </w:r>
          </w:p>
        </w:tc>
      </w:tr>
      <w:tr w14:paraId="0ECF90DE">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2902" w:type="dxa"/>
          </w:tcPr>
          <w:p w14:paraId="73DF7A43">
            <w:pPr>
              <w:autoSpaceDE w:val="0"/>
              <w:autoSpaceDN w:val="0"/>
              <w:adjustRightInd w:val="0"/>
              <w:spacing w:line="360" w:lineRule="auto"/>
              <w:jc w:val="center"/>
              <w:textAlignment w:val="bottom"/>
              <w:rPr>
                <w:rFonts w:hint="eastAsia" w:ascii="宋体" w:hAnsi="宋体" w:eastAsia="宋体" w:cs="宋体"/>
                <w:b w:val="0"/>
                <w:color w:val="auto"/>
                <w:sz w:val="22"/>
                <w:szCs w:val="22"/>
                <w:highlight w:val="none"/>
                <w:lang w:val="en-US" w:eastAsia="zh-CN"/>
              </w:rPr>
            </w:pPr>
            <w:r>
              <w:rPr>
                <w:rFonts w:hint="eastAsia" w:ascii="宋体" w:hAnsi="宋体" w:eastAsia="宋体" w:cs="宋体"/>
                <w:b w:val="0"/>
                <w:color w:val="auto"/>
                <w:sz w:val="22"/>
                <w:szCs w:val="22"/>
                <w:highlight w:val="none"/>
                <w:lang w:val="en-US" w:eastAsia="zh-CN"/>
              </w:rPr>
              <w:t>100以下</w:t>
            </w:r>
          </w:p>
        </w:tc>
        <w:tc>
          <w:tcPr>
            <w:tcW w:w="3118" w:type="dxa"/>
            <w:vAlign w:val="center"/>
          </w:tcPr>
          <w:p w14:paraId="1C16B8DF">
            <w:pPr>
              <w:autoSpaceDE w:val="0"/>
              <w:autoSpaceDN w:val="0"/>
              <w:adjustRightInd w:val="0"/>
              <w:spacing w:line="360" w:lineRule="auto"/>
              <w:jc w:val="center"/>
              <w:textAlignment w:val="bottom"/>
              <w:rPr>
                <w:rFonts w:hint="eastAsia" w:ascii="宋体" w:hAnsi="宋体" w:eastAsia="宋体" w:cs="宋体"/>
                <w:b w:val="0"/>
                <w:color w:val="auto"/>
                <w:sz w:val="22"/>
                <w:szCs w:val="22"/>
                <w:highlight w:val="none"/>
                <w:lang w:val="en-US" w:eastAsia="zh-CN"/>
              </w:rPr>
            </w:pPr>
            <w:r>
              <w:rPr>
                <w:rFonts w:hint="eastAsia" w:ascii="宋体" w:hAnsi="宋体" w:eastAsia="宋体" w:cs="宋体"/>
                <w:b w:val="0"/>
                <w:color w:val="auto"/>
                <w:sz w:val="22"/>
                <w:szCs w:val="22"/>
                <w:highlight w:val="none"/>
                <w:lang w:val="en-US" w:eastAsia="zh-CN"/>
              </w:rPr>
              <w:t>100*1.5%</w:t>
            </w:r>
          </w:p>
        </w:tc>
      </w:tr>
      <w:bookmarkEnd w:id="84"/>
    </w:tbl>
    <w:p w14:paraId="0D8FF882">
      <w:pPr>
        <w:pStyle w:val="41"/>
        <w:rPr>
          <w:rFonts w:hint="eastAsia" w:ascii="宋体" w:hAnsi="宋体" w:eastAsia="宋体" w:cs="宋体"/>
          <w:color w:val="auto"/>
          <w:highlight w:val="none"/>
        </w:rPr>
      </w:pPr>
    </w:p>
    <w:p w14:paraId="5615FFB5">
      <w:pPr>
        <w:pStyle w:val="41"/>
        <w:rPr>
          <w:rFonts w:hint="eastAsia" w:ascii="宋体" w:hAnsi="宋体" w:eastAsia="宋体" w:cs="宋体"/>
          <w:color w:val="auto"/>
          <w:highlight w:val="none"/>
        </w:rPr>
      </w:pPr>
      <w:r>
        <w:rPr>
          <w:rFonts w:hint="eastAsia" w:ascii="宋体" w:hAnsi="宋体" w:eastAsia="宋体" w:cs="宋体"/>
          <w:color w:val="auto"/>
          <w:highlight w:val="none"/>
        </w:rPr>
        <w:br w:type="page"/>
      </w:r>
      <w:bookmarkStart w:id="85" w:name="_Toc18603"/>
      <w:bookmarkStart w:id="86" w:name="_Toc61276418"/>
      <w:r>
        <w:rPr>
          <w:rFonts w:hint="eastAsia" w:ascii="宋体" w:hAnsi="宋体" w:eastAsia="宋体" w:cs="宋体"/>
          <w:color w:val="auto"/>
          <w:highlight w:val="none"/>
        </w:rPr>
        <w:t>第四部分 政府采购政策功能相关说明</w:t>
      </w:r>
      <w:bookmarkEnd w:id="85"/>
      <w:bookmarkEnd w:id="86"/>
    </w:p>
    <w:p w14:paraId="6D9FBA4B">
      <w:pPr>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一、小、微企业（含监狱企业、残疾人福利性单位）扶持政策说明</w:t>
      </w:r>
    </w:p>
    <w:p w14:paraId="451F8B46">
      <w:pPr>
        <w:spacing w:line="440" w:lineRule="atLeast"/>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1、文件依据</w:t>
      </w:r>
    </w:p>
    <w:p w14:paraId="624B7830">
      <w:pPr>
        <w:spacing w:line="440" w:lineRule="atLeast"/>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（1）关于印发《政府采购促进中小企业发展管理办法》的通知（财库〔2020〕46号）</w:t>
      </w:r>
    </w:p>
    <w:p w14:paraId="4AD263CB">
      <w:pPr>
        <w:spacing w:line="440" w:lineRule="atLeast"/>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w:t>
      </w:r>
      <w:r>
        <w:rPr>
          <w:rFonts w:hint="eastAsia" w:ascii="宋体" w:eastAsia="宋体" w:cs="宋体"/>
          <w:b w:val="0"/>
          <w:bCs w:val="0"/>
          <w:color w:val="auto"/>
          <w:sz w:val="22"/>
          <w:szCs w:val="22"/>
          <w:highlight w:val="none"/>
          <w:lang w:eastAsia="zh-CN"/>
        </w:rPr>
        <w:t>浙江省财政厅</w:t>
      </w:r>
      <w:r>
        <w:rPr>
          <w:rFonts w:hint="eastAsia" w:ascii="宋体" w:hAnsi="宋体" w:eastAsia="宋体" w:cs="宋体"/>
          <w:b w:val="0"/>
          <w:bCs w:val="0"/>
          <w:color w:val="auto"/>
          <w:sz w:val="22"/>
          <w:szCs w:val="22"/>
          <w:highlight w:val="none"/>
        </w:rPr>
        <w:t>《关于开展政府采购</w:t>
      </w:r>
      <w:r>
        <w:rPr>
          <w:rFonts w:hint="eastAsia" w:ascii="宋体" w:hAnsi="宋体" w:eastAsia="宋体" w:cs="宋体"/>
          <w:b w:val="0"/>
          <w:bCs w:val="0"/>
          <w:color w:val="auto"/>
          <w:sz w:val="22"/>
          <w:szCs w:val="22"/>
          <w:highlight w:val="none"/>
          <w:lang w:eastAsia="zh-CN"/>
        </w:rPr>
        <w:t>投标供应商</w:t>
      </w:r>
      <w:r>
        <w:rPr>
          <w:rFonts w:hint="eastAsia" w:ascii="宋体" w:hAnsi="宋体" w:eastAsia="宋体" w:cs="宋体"/>
          <w:b w:val="0"/>
          <w:bCs w:val="0"/>
          <w:color w:val="auto"/>
          <w:sz w:val="22"/>
          <w:szCs w:val="22"/>
          <w:highlight w:val="none"/>
        </w:rPr>
        <w:t>网上注册登记和诚信管理工作的通知》（浙财采监〔2010〕8号</w:t>
      </w:r>
      <w:r>
        <w:rPr>
          <w:rFonts w:hint="eastAsia" w:ascii="宋体" w:eastAsia="宋体" w:cs="宋体"/>
          <w:b w:val="0"/>
          <w:bCs w:val="0"/>
          <w:color w:val="auto"/>
          <w:sz w:val="22"/>
          <w:szCs w:val="22"/>
          <w:highlight w:val="none"/>
          <w:lang w:eastAsia="zh-CN"/>
        </w:rPr>
        <w:t>）</w:t>
      </w:r>
    </w:p>
    <w:p w14:paraId="2A856D20">
      <w:pPr>
        <w:spacing w:line="440" w:lineRule="atLeast"/>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（3）《工业和信息化部、国家统计局、国家发展和改革委员会、财政部关于印发中小企业划型标准规定的通知》（工信部联企业</w:t>
      </w:r>
      <w:r>
        <w:rPr>
          <w:rFonts w:hint="eastAsia" w:ascii="宋体" w:eastAsia="宋体" w:cs="宋体"/>
          <w:b w:val="0"/>
          <w:bCs w:val="0"/>
          <w:color w:val="auto"/>
          <w:sz w:val="22"/>
          <w:szCs w:val="22"/>
          <w:highlight w:val="none"/>
          <w:lang w:eastAsia="zh-CN"/>
        </w:rPr>
        <w:t>〔2011〕300号</w:t>
      </w:r>
      <w:r>
        <w:rPr>
          <w:rFonts w:hint="eastAsia" w:ascii="宋体" w:hAnsi="宋体" w:eastAsia="宋体" w:cs="宋体"/>
          <w:b w:val="0"/>
          <w:bCs w:val="0"/>
          <w:color w:val="auto"/>
          <w:sz w:val="22"/>
          <w:szCs w:val="22"/>
          <w:highlight w:val="none"/>
        </w:rPr>
        <w:t>）</w:t>
      </w:r>
    </w:p>
    <w:p w14:paraId="5B2C24DF">
      <w:pPr>
        <w:spacing w:line="440" w:lineRule="atLeast"/>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（4）财政部、司法部《关于政府采购支持监狱企业发展有关问题的通知》（财库〔2014〕68号）</w:t>
      </w:r>
    </w:p>
    <w:p w14:paraId="1729023F">
      <w:pPr>
        <w:spacing w:line="440" w:lineRule="atLeast"/>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（5）《财政部 民政部 中国残疾人联合会关于促进残疾人就业政府采购政策的通知》（财库</w:t>
      </w:r>
      <w:r>
        <w:rPr>
          <w:rFonts w:hint="eastAsia" w:ascii="宋体" w:eastAsia="宋体" w:cs="宋体"/>
          <w:b w:val="0"/>
          <w:bCs w:val="0"/>
          <w:color w:val="auto"/>
          <w:sz w:val="22"/>
          <w:szCs w:val="22"/>
          <w:highlight w:val="none"/>
          <w:lang w:eastAsia="zh-CN"/>
        </w:rPr>
        <w:t>〔2017〕141号</w:t>
      </w:r>
      <w:r>
        <w:rPr>
          <w:rFonts w:hint="eastAsia" w:ascii="宋体" w:hAnsi="宋体" w:eastAsia="宋体" w:cs="宋体"/>
          <w:b w:val="0"/>
          <w:bCs w:val="0"/>
          <w:color w:val="auto"/>
          <w:sz w:val="22"/>
          <w:szCs w:val="22"/>
          <w:highlight w:val="none"/>
        </w:rPr>
        <w:t>）</w:t>
      </w:r>
    </w:p>
    <w:p w14:paraId="5F738AEC">
      <w:pPr>
        <w:spacing w:line="440" w:lineRule="atLeast"/>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（6）《浙江省财政厅  浙江省经济和信息化委员会关于简化中小企业类别确认流程有关事项的通知》（浙财采监〔2018〕2号</w:t>
      </w:r>
      <w:r>
        <w:rPr>
          <w:rFonts w:hint="eastAsia" w:ascii="宋体" w:eastAsia="宋体" w:cs="宋体"/>
          <w:b w:val="0"/>
          <w:bCs w:val="0"/>
          <w:color w:val="auto"/>
          <w:sz w:val="22"/>
          <w:szCs w:val="22"/>
          <w:highlight w:val="none"/>
          <w:lang w:eastAsia="zh-CN"/>
        </w:rPr>
        <w:t>）</w:t>
      </w:r>
    </w:p>
    <w:p w14:paraId="7D2DF9AC">
      <w:pPr>
        <w:spacing w:line="440" w:lineRule="atLeast"/>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（7）《浙江省财政厅关于进一步发挥政府采购政策功能全力推动经济稳进提质的通知》（浙财采监〔2022〕3号）</w:t>
      </w:r>
    </w:p>
    <w:p w14:paraId="774D1899">
      <w:pPr>
        <w:spacing w:line="440" w:lineRule="atLeast"/>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（8）《浙江省财政厅关于进一步加大政府采购支持中小企业力度 助力扎实稳住经济的通知》（浙财采监〔2022〕8号）</w:t>
      </w:r>
    </w:p>
    <w:p w14:paraId="78C4616F">
      <w:pPr>
        <w:spacing w:line="440" w:lineRule="atLeast"/>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2、享受小微企业价格折扣应具备的条件与价格折扣比例</w:t>
      </w:r>
    </w:p>
    <w:p w14:paraId="7EB492EC">
      <w:pPr>
        <w:spacing w:line="440" w:lineRule="atLeast"/>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（1）在货物采购项目中，货物由中小企业制造，即货物由中小企业生产且使用该中小企业商号或者注册商标；</w:t>
      </w:r>
    </w:p>
    <w:p w14:paraId="48854375">
      <w:pPr>
        <w:spacing w:line="440" w:lineRule="atLeast"/>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（2）在工程采购项目中，工程由中小企业承建，即工程施工单位为中小企业；</w:t>
      </w:r>
    </w:p>
    <w:p w14:paraId="78DC7048">
      <w:pPr>
        <w:spacing w:line="440" w:lineRule="atLeast"/>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（3）在服务采购项目中，服务由中小企业承接，即提供服务的人员为中小企业依照《中华人民共和国劳动合同法》订立劳动合同的从业人员。</w:t>
      </w:r>
    </w:p>
    <w:p w14:paraId="7B4DC112">
      <w:pPr>
        <w:spacing w:line="440" w:lineRule="atLeast"/>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在货物采购项目中，供应商提供的货物既有中小企业制造货物，也有大型企业制造货物的，不享受本办法规定的中小企业扶持政策。</w:t>
      </w:r>
    </w:p>
    <w:p w14:paraId="7675C12A">
      <w:pPr>
        <w:spacing w:line="440" w:lineRule="atLeast"/>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以联合体形式参加政府采购活动，联合体各方均为中小企业的，联合体视同中小企业。其中，联合体各方均为小微企业的，联合体视同小微企业。</w:t>
      </w:r>
    </w:p>
    <w:p w14:paraId="796F7EB8">
      <w:pPr>
        <w:spacing w:line="440" w:lineRule="atLeast"/>
        <w:jc w:val="left"/>
        <w:rPr>
          <w:rFonts w:hint="eastAsia" w:ascii="宋体" w:hAnsi="宋体" w:eastAsia="宋体" w:cs="宋体"/>
          <w:b/>
          <w:bCs/>
          <w:color w:val="auto"/>
          <w:sz w:val="22"/>
          <w:szCs w:val="22"/>
          <w:highlight w:val="none"/>
          <w:u w:val="single"/>
        </w:rPr>
      </w:pPr>
      <w:r>
        <w:rPr>
          <w:rFonts w:hint="eastAsia" w:ascii="宋体" w:hAnsi="宋体" w:eastAsia="宋体" w:cs="宋体"/>
          <w:b/>
          <w:bCs/>
          <w:color w:val="auto"/>
          <w:sz w:val="22"/>
          <w:szCs w:val="22"/>
          <w:highlight w:val="none"/>
          <w:u w:val="single"/>
        </w:rPr>
        <w:t>（4）本项目专门面向中小微企业（监狱企业、残疾人企业等同中小微企业），不再执行价格评审优惠政策</w:t>
      </w:r>
      <w:r>
        <w:rPr>
          <w:rFonts w:hint="eastAsia" w:ascii="宋体" w:hAnsi="宋体" w:eastAsia="宋体" w:cs="宋体"/>
          <w:b/>
          <w:bCs/>
          <w:color w:val="auto"/>
          <w:sz w:val="22"/>
          <w:szCs w:val="22"/>
          <w:highlight w:val="none"/>
        </w:rPr>
        <w:t>。</w:t>
      </w:r>
    </w:p>
    <w:p w14:paraId="5DB1BAE4">
      <w:pPr>
        <w:spacing w:line="440" w:lineRule="atLeast"/>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u w:val="single"/>
        </w:rPr>
        <w:t>3、</w:t>
      </w:r>
      <w:r>
        <w:rPr>
          <w:rFonts w:hint="eastAsia" w:ascii="宋体" w:hAnsi="宋体" w:eastAsia="宋体" w:cs="宋体"/>
          <w:b w:val="0"/>
          <w:bCs w:val="0"/>
          <w:color w:val="auto"/>
          <w:sz w:val="22"/>
          <w:szCs w:val="22"/>
          <w:highlight w:val="none"/>
          <w:u w:val="single"/>
          <w:lang w:eastAsia="zh-CN"/>
        </w:rPr>
        <w:t>中</w:t>
      </w:r>
      <w:r>
        <w:rPr>
          <w:rFonts w:hint="eastAsia" w:ascii="宋体" w:hAnsi="宋体" w:eastAsia="宋体" w:cs="宋体"/>
          <w:b w:val="0"/>
          <w:bCs w:val="0"/>
          <w:color w:val="auto"/>
          <w:sz w:val="22"/>
          <w:szCs w:val="22"/>
          <w:highlight w:val="none"/>
          <w:u w:val="single"/>
        </w:rPr>
        <w:t>小微企业提供以下证明材料</w:t>
      </w:r>
      <w:r>
        <w:rPr>
          <w:rFonts w:hint="eastAsia" w:ascii="宋体" w:hAnsi="宋体" w:eastAsia="宋体" w:cs="宋体"/>
          <w:b w:val="0"/>
          <w:bCs w:val="0"/>
          <w:color w:val="auto"/>
          <w:sz w:val="22"/>
          <w:szCs w:val="22"/>
          <w:highlight w:val="none"/>
        </w:rPr>
        <w:t>：</w:t>
      </w:r>
    </w:p>
    <w:p w14:paraId="7AE42F1D">
      <w:pPr>
        <w:spacing w:line="440" w:lineRule="atLeast"/>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（1）《中小企业声明函》（原件，加盖</w:t>
      </w:r>
      <w:r>
        <w:rPr>
          <w:rFonts w:hint="eastAsia" w:ascii="宋体" w:hAnsi="宋体" w:eastAsia="宋体" w:cs="宋体"/>
          <w:b w:val="0"/>
          <w:bCs w:val="0"/>
          <w:color w:val="auto"/>
          <w:sz w:val="22"/>
          <w:szCs w:val="22"/>
          <w:highlight w:val="none"/>
          <w:lang w:eastAsia="zh-CN"/>
        </w:rPr>
        <w:t>投标供应商</w:t>
      </w:r>
      <w:r>
        <w:rPr>
          <w:rFonts w:hint="eastAsia" w:ascii="宋体" w:hAnsi="宋体" w:eastAsia="宋体" w:cs="宋体"/>
          <w:b w:val="0"/>
          <w:bCs w:val="0"/>
          <w:color w:val="auto"/>
          <w:sz w:val="22"/>
          <w:szCs w:val="22"/>
          <w:highlight w:val="none"/>
        </w:rPr>
        <w:t>公章，格式见附件1）</w:t>
      </w:r>
    </w:p>
    <w:p w14:paraId="6450C740">
      <w:pPr>
        <w:spacing w:line="440" w:lineRule="atLeast"/>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4、</w:t>
      </w:r>
      <w:r>
        <w:rPr>
          <w:rFonts w:hint="eastAsia" w:ascii="宋体" w:hAnsi="宋体" w:eastAsia="宋体" w:cs="宋体"/>
          <w:b w:val="0"/>
          <w:bCs w:val="0"/>
          <w:color w:val="auto"/>
          <w:sz w:val="22"/>
          <w:szCs w:val="22"/>
          <w:highlight w:val="none"/>
          <w:u w:val="single"/>
        </w:rPr>
        <w:t>监狱企业提供以下证明材料</w:t>
      </w:r>
      <w:r>
        <w:rPr>
          <w:rFonts w:hint="eastAsia" w:ascii="宋体" w:hAnsi="宋体" w:eastAsia="宋体" w:cs="宋体"/>
          <w:b w:val="0"/>
          <w:bCs w:val="0"/>
          <w:color w:val="auto"/>
          <w:sz w:val="22"/>
          <w:szCs w:val="22"/>
          <w:highlight w:val="none"/>
        </w:rPr>
        <w:t>：</w:t>
      </w:r>
    </w:p>
    <w:p w14:paraId="397F0B28">
      <w:pPr>
        <w:spacing w:line="440" w:lineRule="atLeast"/>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（1）监狱企业参加政府采购活动时，应当提供由省级以上监狱管理局、戒毒管理局</w:t>
      </w:r>
      <w:r>
        <w:rPr>
          <w:rFonts w:hint="eastAsia" w:asci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含新疆生产建设兵团</w:t>
      </w:r>
      <w:r>
        <w:rPr>
          <w:rFonts w:hint="eastAsia" w:asci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出具的属于监狱企业的证明文件（原件或扫描件加盖公章）。在政府采购活动中，监狱企业视同小型、微型企业。</w:t>
      </w:r>
    </w:p>
    <w:p w14:paraId="358ED0F3">
      <w:pPr>
        <w:spacing w:line="440" w:lineRule="atLeast"/>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5、</w:t>
      </w:r>
      <w:r>
        <w:rPr>
          <w:rFonts w:hint="eastAsia" w:ascii="宋体" w:hAnsi="宋体" w:eastAsia="宋体" w:cs="宋体"/>
          <w:b w:val="0"/>
          <w:bCs w:val="0"/>
          <w:color w:val="auto"/>
          <w:sz w:val="22"/>
          <w:szCs w:val="22"/>
          <w:highlight w:val="none"/>
          <w:u w:val="single"/>
        </w:rPr>
        <w:t>残疾人福利性单位提供以下证明材料</w:t>
      </w:r>
      <w:r>
        <w:rPr>
          <w:rFonts w:hint="eastAsia" w:ascii="宋体" w:hAnsi="宋体" w:eastAsia="宋体" w:cs="宋体"/>
          <w:b w:val="0"/>
          <w:bCs w:val="0"/>
          <w:color w:val="auto"/>
          <w:sz w:val="22"/>
          <w:szCs w:val="22"/>
          <w:highlight w:val="none"/>
        </w:rPr>
        <w:t>：</w:t>
      </w:r>
    </w:p>
    <w:p w14:paraId="6B53D04B">
      <w:pPr>
        <w:spacing w:line="440" w:lineRule="atLeast"/>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（1）残疾人福利性单位声明函（附件2）；</w:t>
      </w:r>
    </w:p>
    <w:p w14:paraId="3CA1BC51">
      <w:pPr>
        <w:spacing w:line="360" w:lineRule="auto"/>
        <w:jc w:val="left"/>
        <w:rPr>
          <w:rFonts w:hint="eastAsia" w:ascii="宋体" w:hAnsi="宋体" w:eastAsia="宋体" w:cs="宋体"/>
          <w:b w:val="0"/>
          <w:color w:val="auto"/>
          <w:sz w:val="22"/>
          <w:szCs w:val="22"/>
          <w:highlight w:val="none"/>
        </w:rPr>
      </w:pPr>
    </w:p>
    <w:p w14:paraId="74373FBE">
      <w:pP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br w:type="page"/>
      </w:r>
    </w:p>
    <w:p w14:paraId="735E0092">
      <w:pPr>
        <w:widowControl/>
        <w:spacing w:before="100" w:beforeAutospacing="1" w:after="100" w:afterAutospacing="1" w:line="360" w:lineRule="auto"/>
        <w:jc w:val="left"/>
        <w:rPr>
          <w:rFonts w:hint="eastAsia" w:ascii="宋体" w:hAnsi="宋体" w:eastAsia="宋体" w:cs="宋体"/>
          <w:b w:val="0"/>
          <w:bCs w:val="0"/>
          <w:color w:val="auto"/>
          <w:sz w:val="24"/>
          <w:szCs w:val="24"/>
          <w:highlight w:val="none"/>
        </w:rPr>
      </w:pPr>
      <w:r>
        <w:rPr>
          <w:rFonts w:hint="eastAsia" w:ascii="宋体" w:hAnsi="宋体" w:eastAsia="宋体" w:cs="宋体"/>
          <w:b w:val="0"/>
          <w:color w:val="auto"/>
          <w:sz w:val="24"/>
          <w:szCs w:val="24"/>
          <w:highlight w:val="none"/>
        </w:rPr>
        <w:t>附件1：</w:t>
      </w:r>
    </w:p>
    <w:p w14:paraId="7F10311B">
      <w:pPr>
        <w:pStyle w:val="41"/>
        <w:rPr>
          <w:rFonts w:hint="eastAsia" w:ascii="宋体" w:hAnsi="宋体" w:eastAsia="宋体" w:cs="宋体"/>
          <w:color w:val="auto"/>
          <w:highlight w:val="none"/>
        </w:rPr>
      </w:pPr>
      <w:bookmarkStart w:id="87" w:name="_Toc61276419"/>
      <w:bookmarkStart w:id="88" w:name="_Toc13167"/>
      <w:bookmarkStart w:id="89" w:name="_Toc8039"/>
      <w:r>
        <w:rPr>
          <w:rFonts w:hint="eastAsia" w:ascii="宋体" w:hAnsi="宋体" w:eastAsia="宋体" w:cs="宋体"/>
          <w:color w:val="auto"/>
          <w:highlight w:val="none"/>
        </w:rPr>
        <w:t>中小企业声明函（货物）</w:t>
      </w:r>
      <w:bookmarkEnd w:id="87"/>
      <w:bookmarkEnd w:id="88"/>
      <w:bookmarkEnd w:id="89"/>
    </w:p>
    <w:p w14:paraId="013CF820">
      <w:pPr>
        <w:widowControl/>
        <w:spacing w:before="100" w:beforeAutospacing="1" w:after="100" w:afterAutospacing="1" w:line="440" w:lineRule="atLeast"/>
        <w:ind w:firstLine="440" w:firstLineChars="200"/>
        <w:jc w:val="left"/>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本公司（联合体）郑重声明，根据《政府采购促进中小企业发展管理办法》（财库﹝2020﹞46 号）的规定，本公司（联合体）参加</w:t>
      </w:r>
      <w:r>
        <w:rPr>
          <w:rFonts w:hint="eastAsia" w:ascii="宋体" w:hAnsi="宋体" w:eastAsia="宋体" w:cs="宋体"/>
          <w:b w:val="0"/>
          <w:color w:val="auto"/>
          <w:sz w:val="22"/>
          <w:szCs w:val="22"/>
          <w:highlight w:val="none"/>
          <w:u w:val="single"/>
        </w:rPr>
        <w:t xml:space="preserve"> （单位名称）</w:t>
      </w:r>
      <w:r>
        <w:rPr>
          <w:rFonts w:hint="eastAsia" w:ascii="宋体" w:hAnsi="宋体" w:eastAsia="宋体" w:cs="宋体"/>
          <w:b w:val="0"/>
          <w:color w:val="auto"/>
          <w:sz w:val="22"/>
          <w:szCs w:val="22"/>
          <w:highlight w:val="none"/>
        </w:rPr>
        <w:t xml:space="preserve"> 的 </w:t>
      </w:r>
      <w:r>
        <w:rPr>
          <w:rFonts w:hint="eastAsia" w:ascii="宋体" w:hAnsi="宋体" w:eastAsia="宋体" w:cs="宋体"/>
          <w:b w:val="0"/>
          <w:color w:val="auto"/>
          <w:sz w:val="22"/>
          <w:szCs w:val="22"/>
          <w:highlight w:val="none"/>
          <w:u w:val="single"/>
        </w:rPr>
        <w:t>（项目名称）</w:t>
      </w:r>
      <w:r>
        <w:rPr>
          <w:rFonts w:hint="eastAsia" w:ascii="宋体" w:hAnsi="宋体" w:eastAsia="宋体" w:cs="宋体"/>
          <w:b w:val="0"/>
          <w:color w:val="auto"/>
          <w:sz w:val="22"/>
          <w:szCs w:val="22"/>
          <w:highlight w:val="none"/>
        </w:rPr>
        <w:t xml:space="preserve"> 采购活动，提供的货物全部由符合政策要求的中小企业制造。相关企业（含联合体中的中小企业、签订分包意向协议的中小企业）的具体情况如下：</w:t>
      </w:r>
    </w:p>
    <w:p w14:paraId="3A7C7AD1">
      <w:pPr>
        <w:widowControl/>
        <w:spacing w:before="100" w:beforeAutospacing="1" w:after="100" w:afterAutospacing="1" w:line="440" w:lineRule="atLeast"/>
        <w:ind w:firstLine="440" w:firstLineChars="200"/>
        <w:jc w:val="left"/>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 xml:space="preserve">1. </w:t>
      </w:r>
      <w:r>
        <w:rPr>
          <w:rFonts w:hint="eastAsia" w:ascii="宋体" w:hAnsi="宋体" w:eastAsia="宋体" w:cs="宋体"/>
          <w:b w:val="0"/>
          <w:color w:val="auto"/>
          <w:sz w:val="22"/>
          <w:szCs w:val="22"/>
          <w:highlight w:val="none"/>
          <w:u w:val="single"/>
        </w:rPr>
        <w:t xml:space="preserve">（标的名称） </w:t>
      </w:r>
      <w:r>
        <w:rPr>
          <w:rFonts w:hint="eastAsia" w:ascii="宋体" w:hAnsi="宋体" w:eastAsia="宋体" w:cs="宋体"/>
          <w:b w:val="0"/>
          <w:color w:val="auto"/>
          <w:sz w:val="22"/>
          <w:szCs w:val="22"/>
          <w:highlight w:val="none"/>
        </w:rPr>
        <w:t>，属于</w:t>
      </w:r>
      <w:r>
        <w:rPr>
          <w:rFonts w:hint="eastAsia" w:ascii="宋体" w:hAnsi="宋体" w:eastAsia="宋体" w:cs="宋体"/>
          <w:b w:val="0"/>
          <w:color w:val="auto"/>
          <w:sz w:val="22"/>
          <w:szCs w:val="22"/>
          <w:highlight w:val="none"/>
          <w:u w:val="single"/>
        </w:rPr>
        <w:t xml:space="preserve">    </w:t>
      </w:r>
      <w:r>
        <w:rPr>
          <w:rFonts w:hint="eastAsia" w:ascii="宋体" w:hAnsi="宋体" w:eastAsia="宋体" w:cs="宋体"/>
          <w:b w:val="0"/>
          <w:color w:val="auto"/>
          <w:sz w:val="22"/>
          <w:szCs w:val="22"/>
          <w:highlight w:val="none"/>
        </w:rPr>
        <w:t xml:space="preserve">行业 ；制造商为 </w:t>
      </w:r>
      <w:r>
        <w:rPr>
          <w:rFonts w:hint="eastAsia" w:ascii="宋体" w:hAnsi="宋体" w:eastAsia="宋体" w:cs="宋体"/>
          <w:b w:val="0"/>
          <w:color w:val="auto"/>
          <w:sz w:val="22"/>
          <w:szCs w:val="22"/>
          <w:highlight w:val="none"/>
          <w:u w:val="single"/>
        </w:rPr>
        <w:t>（企业名称）</w:t>
      </w:r>
      <w:r>
        <w:rPr>
          <w:rFonts w:hint="eastAsia" w:ascii="宋体" w:hAnsi="宋体" w:eastAsia="宋体" w:cs="宋体"/>
          <w:b w:val="0"/>
          <w:color w:val="auto"/>
          <w:sz w:val="22"/>
          <w:szCs w:val="22"/>
          <w:highlight w:val="none"/>
        </w:rPr>
        <w:t xml:space="preserve"> ，从业人员</w:t>
      </w:r>
      <w:r>
        <w:rPr>
          <w:rFonts w:hint="eastAsia" w:ascii="宋体" w:hAnsi="宋体" w:eastAsia="宋体" w:cs="宋体"/>
          <w:b w:val="0"/>
          <w:color w:val="auto"/>
          <w:sz w:val="22"/>
          <w:szCs w:val="22"/>
          <w:highlight w:val="none"/>
          <w:u w:val="single"/>
        </w:rPr>
        <w:t xml:space="preserve">        </w:t>
      </w:r>
      <w:r>
        <w:rPr>
          <w:rFonts w:hint="eastAsia" w:ascii="宋体" w:hAnsi="宋体" w:eastAsia="宋体" w:cs="宋体"/>
          <w:b w:val="0"/>
          <w:color w:val="auto"/>
          <w:sz w:val="22"/>
          <w:szCs w:val="22"/>
          <w:highlight w:val="none"/>
        </w:rPr>
        <w:t>人，营业收入为</w:t>
      </w:r>
      <w:r>
        <w:rPr>
          <w:rFonts w:hint="eastAsia" w:ascii="宋体" w:hAnsi="宋体" w:eastAsia="宋体" w:cs="宋体"/>
          <w:b w:val="0"/>
          <w:color w:val="auto"/>
          <w:sz w:val="22"/>
          <w:szCs w:val="22"/>
          <w:highlight w:val="none"/>
          <w:u w:val="single"/>
        </w:rPr>
        <w:t xml:space="preserve">        </w:t>
      </w:r>
      <w:r>
        <w:rPr>
          <w:rFonts w:hint="eastAsia" w:ascii="宋体" w:hAnsi="宋体" w:eastAsia="宋体" w:cs="宋体"/>
          <w:b w:val="0"/>
          <w:color w:val="auto"/>
          <w:sz w:val="22"/>
          <w:szCs w:val="22"/>
          <w:highlight w:val="none"/>
        </w:rPr>
        <w:t>万元，资产总额为</w:t>
      </w:r>
      <w:r>
        <w:rPr>
          <w:rFonts w:hint="eastAsia" w:ascii="宋体" w:hAnsi="宋体" w:eastAsia="宋体" w:cs="宋体"/>
          <w:b w:val="0"/>
          <w:color w:val="auto"/>
          <w:sz w:val="22"/>
          <w:szCs w:val="22"/>
          <w:highlight w:val="none"/>
          <w:u w:val="single"/>
        </w:rPr>
        <w:t xml:space="preserve">        </w:t>
      </w:r>
      <w:r>
        <w:rPr>
          <w:rFonts w:hint="eastAsia" w:ascii="宋体" w:hAnsi="宋体" w:eastAsia="宋体" w:cs="宋体"/>
          <w:b w:val="0"/>
          <w:color w:val="auto"/>
          <w:sz w:val="22"/>
          <w:szCs w:val="22"/>
          <w:highlight w:val="none"/>
        </w:rPr>
        <w:t xml:space="preserve">万元 ，属于 </w:t>
      </w:r>
      <w:r>
        <w:rPr>
          <w:rFonts w:hint="eastAsia" w:ascii="宋体" w:hAnsi="宋体" w:eastAsia="宋体" w:cs="宋体"/>
          <w:b w:val="0"/>
          <w:color w:val="auto"/>
          <w:sz w:val="22"/>
          <w:szCs w:val="22"/>
          <w:highlight w:val="none"/>
          <w:u w:val="single"/>
        </w:rPr>
        <w:t xml:space="preserve">（中型企业、小型企业、微型企业） </w:t>
      </w:r>
      <w:r>
        <w:rPr>
          <w:rFonts w:hint="eastAsia" w:ascii="宋体" w:hAnsi="宋体" w:eastAsia="宋体" w:cs="宋体"/>
          <w:b w:val="0"/>
          <w:color w:val="auto"/>
          <w:sz w:val="22"/>
          <w:szCs w:val="22"/>
          <w:highlight w:val="none"/>
        </w:rPr>
        <w:t>；</w:t>
      </w:r>
    </w:p>
    <w:p w14:paraId="11E9BACB">
      <w:pPr>
        <w:widowControl/>
        <w:spacing w:before="100" w:beforeAutospacing="1" w:after="100" w:afterAutospacing="1" w:line="440" w:lineRule="atLeast"/>
        <w:ind w:firstLine="440" w:firstLineChars="200"/>
        <w:jc w:val="left"/>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 xml:space="preserve">2. </w:t>
      </w:r>
      <w:r>
        <w:rPr>
          <w:rFonts w:hint="eastAsia" w:ascii="宋体" w:hAnsi="宋体" w:eastAsia="宋体" w:cs="宋体"/>
          <w:b w:val="0"/>
          <w:color w:val="auto"/>
          <w:sz w:val="22"/>
          <w:szCs w:val="22"/>
          <w:highlight w:val="none"/>
          <w:u w:val="single"/>
        </w:rPr>
        <w:t>（标的名称）</w:t>
      </w:r>
      <w:r>
        <w:rPr>
          <w:rFonts w:hint="eastAsia" w:ascii="宋体" w:hAnsi="宋体" w:eastAsia="宋体" w:cs="宋体"/>
          <w:b w:val="0"/>
          <w:color w:val="auto"/>
          <w:sz w:val="22"/>
          <w:szCs w:val="22"/>
          <w:highlight w:val="none"/>
        </w:rPr>
        <w:t xml:space="preserve"> ，属于 </w:t>
      </w:r>
      <w:r>
        <w:rPr>
          <w:rFonts w:hint="eastAsia" w:ascii="宋体" w:hAnsi="宋体" w:eastAsia="宋体" w:cs="宋体"/>
          <w:b w:val="0"/>
          <w:color w:val="auto"/>
          <w:sz w:val="22"/>
          <w:szCs w:val="22"/>
          <w:highlight w:val="none"/>
          <w:u w:val="single"/>
        </w:rPr>
        <w:t xml:space="preserve">    </w:t>
      </w:r>
      <w:r>
        <w:rPr>
          <w:rFonts w:hint="eastAsia" w:ascii="宋体" w:hAnsi="宋体" w:eastAsia="宋体" w:cs="宋体"/>
          <w:b w:val="0"/>
          <w:color w:val="auto"/>
          <w:sz w:val="22"/>
          <w:szCs w:val="22"/>
          <w:highlight w:val="none"/>
        </w:rPr>
        <w:t>行业 ；制造商为</w:t>
      </w:r>
      <w:r>
        <w:rPr>
          <w:rFonts w:hint="eastAsia" w:ascii="宋体" w:hAnsi="宋体" w:eastAsia="宋体" w:cs="宋体"/>
          <w:b w:val="0"/>
          <w:color w:val="auto"/>
          <w:sz w:val="22"/>
          <w:szCs w:val="22"/>
          <w:highlight w:val="none"/>
          <w:u w:val="single"/>
        </w:rPr>
        <w:t xml:space="preserve"> （企业名称）</w:t>
      </w:r>
      <w:r>
        <w:rPr>
          <w:rFonts w:hint="eastAsia" w:ascii="宋体" w:hAnsi="宋体" w:eastAsia="宋体" w:cs="宋体"/>
          <w:b w:val="0"/>
          <w:color w:val="auto"/>
          <w:sz w:val="22"/>
          <w:szCs w:val="22"/>
          <w:highlight w:val="none"/>
        </w:rPr>
        <w:t xml:space="preserve"> ，从业人员</w:t>
      </w:r>
      <w:r>
        <w:rPr>
          <w:rFonts w:hint="eastAsia" w:ascii="宋体" w:hAnsi="宋体" w:eastAsia="宋体" w:cs="宋体"/>
          <w:b w:val="0"/>
          <w:color w:val="auto"/>
          <w:sz w:val="22"/>
          <w:szCs w:val="22"/>
          <w:highlight w:val="none"/>
          <w:u w:val="single"/>
        </w:rPr>
        <w:t xml:space="preserve">        </w:t>
      </w:r>
      <w:r>
        <w:rPr>
          <w:rFonts w:hint="eastAsia" w:ascii="宋体" w:hAnsi="宋体" w:eastAsia="宋体" w:cs="宋体"/>
          <w:b w:val="0"/>
          <w:color w:val="auto"/>
          <w:sz w:val="22"/>
          <w:szCs w:val="22"/>
          <w:highlight w:val="none"/>
        </w:rPr>
        <w:t>人，营业收入为</w:t>
      </w:r>
      <w:r>
        <w:rPr>
          <w:rFonts w:hint="eastAsia" w:ascii="宋体" w:hAnsi="宋体" w:eastAsia="宋体" w:cs="宋体"/>
          <w:b w:val="0"/>
          <w:color w:val="auto"/>
          <w:sz w:val="22"/>
          <w:szCs w:val="22"/>
          <w:highlight w:val="none"/>
          <w:u w:val="single"/>
        </w:rPr>
        <w:t xml:space="preserve">        </w:t>
      </w:r>
      <w:r>
        <w:rPr>
          <w:rFonts w:hint="eastAsia" w:ascii="宋体" w:hAnsi="宋体" w:eastAsia="宋体" w:cs="宋体"/>
          <w:b w:val="0"/>
          <w:color w:val="auto"/>
          <w:sz w:val="22"/>
          <w:szCs w:val="22"/>
          <w:highlight w:val="none"/>
        </w:rPr>
        <w:t>万元，资产总额为</w:t>
      </w:r>
      <w:r>
        <w:rPr>
          <w:rFonts w:hint="eastAsia" w:ascii="宋体" w:hAnsi="宋体" w:eastAsia="宋体" w:cs="宋体"/>
          <w:b w:val="0"/>
          <w:color w:val="auto"/>
          <w:sz w:val="22"/>
          <w:szCs w:val="22"/>
          <w:highlight w:val="none"/>
          <w:u w:val="single"/>
        </w:rPr>
        <w:t xml:space="preserve">        </w:t>
      </w:r>
      <w:r>
        <w:rPr>
          <w:rFonts w:hint="eastAsia" w:ascii="宋体" w:hAnsi="宋体" w:eastAsia="宋体" w:cs="宋体"/>
          <w:b w:val="0"/>
          <w:color w:val="auto"/>
          <w:sz w:val="22"/>
          <w:szCs w:val="22"/>
          <w:highlight w:val="none"/>
        </w:rPr>
        <w:t xml:space="preserve">万元，属于 </w:t>
      </w:r>
      <w:r>
        <w:rPr>
          <w:rFonts w:hint="eastAsia" w:ascii="宋体" w:hAnsi="宋体" w:eastAsia="宋体" w:cs="宋体"/>
          <w:b w:val="0"/>
          <w:color w:val="auto"/>
          <w:sz w:val="22"/>
          <w:szCs w:val="22"/>
          <w:highlight w:val="none"/>
          <w:u w:val="single"/>
        </w:rPr>
        <w:t xml:space="preserve">（中型企业、小型企业、微型企业） </w:t>
      </w:r>
      <w:r>
        <w:rPr>
          <w:rFonts w:hint="eastAsia" w:ascii="宋体" w:hAnsi="宋体" w:eastAsia="宋体" w:cs="宋体"/>
          <w:b w:val="0"/>
          <w:color w:val="auto"/>
          <w:sz w:val="22"/>
          <w:szCs w:val="22"/>
          <w:highlight w:val="none"/>
        </w:rPr>
        <w:t>；</w:t>
      </w:r>
    </w:p>
    <w:p w14:paraId="400550A8">
      <w:pPr>
        <w:widowControl/>
        <w:spacing w:before="100" w:beforeAutospacing="1" w:after="100" w:afterAutospacing="1" w:line="440" w:lineRule="atLeast"/>
        <w:ind w:firstLine="440" w:firstLineChars="200"/>
        <w:jc w:val="left"/>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w:t>
      </w:r>
    </w:p>
    <w:p w14:paraId="0D8ADA45">
      <w:pPr>
        <w:widowControl/>
        <w:spacing w:before="100" w:beforeAutospacing="1" w:after="100" w:afterAutospacing="1" w:line="440" w:lineRule="atLeast"/>
        <w:ind w:firstLine="440" w:firstLineChars="200"/>
        <w:jc w:val="left"/>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以上企业，不属于大企业的分支机构，不存在控股股东为大企业的情形，也不存在与大企业的负责人为同一人的情形。</w:t>
      </w:r>
    </w:p>
    <w:p w14:paraId="7B191C82">
      <w:pPr>
        <w:widowControl/>
        <w:spacing w:before="100" w:beforeAutospacing="1" w:after="100" w:afterAutospacing="1" w:line="440" w:lineRule="atLeast"/>
        <w:ind w:firstLine="440" w:firstLineChars="200"/>
        <w:jc w:val="left"/>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本企业对上述声明内容的真实性负责。如有虚假，将依法承担相应责任。</w:t>
      </w:r>
    </w:p>
    <w:p w14:paraId="60EB998B">
      <w:pPr>
        <w:widowControl/>
        <w:spacing w:before="100" w:beforeAutospacing="1" w:after="100" w:afterAutospacing="1" w:line="440" w:lineRule="atLeast"/>
        <w:ind w:firstLine="440" w:firstLineChars="200"/>
        <w:jc w:val="left"/>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企业名称（盖章）：</w:t>
      </w:r>
    </w:p>
    <w:p w14:paraId="0B31DB43">
      <w:pPr>
        <w:widowControl/>
        <w:spacing w:before="100" w:beforeAutospacing="1" w:after="100" w:afterAutospacing="1" w:line="440" w:lineRule="atLeast"/>
        <w:ind w:firstLine="440" w:firstLineChars="200"/>
        <w:jc w:val="left"/>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日 期：</w:t>
      </w:r>
    </w:p>
    <w:p w14:paraId="4CEDE689">
      <w:pPr>
        <w:widowControl/>
        <w:jc w:val="left"/>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br w:type="page"/>
      </w:r>
    </w:p>
    <w:p w14:paraId="451A0BBF">
      <w:pPr>
        <w:pStyle w:val="41"/>
        <w:rPr>
          <w:rFonts w:hint="eastAsia" w:ascii="宋体" w:hAnsi="宋体" w:eastAsia="宋体" w:cs="宋体"/>
          <w:color w:val="auto"/>
          <w:highlight w:val="none"/>
        </w:rPr>
      </w:pPr>
      <w:bookmarkStart w:id="90" w:name="_Toc61276420"/>
      <w:bookmarkStart w:id="91" w:name="_Toc31622"/>
      <w:bookmarkStart w:id="92" w:name="_Toc988"/>
      <w:r>
        <w:rPr>
          <w:rFonts w:hint="eastAsia" w:ascii="宋体" w:hAnsi="宋体" w:eastAsia="宋体" w:cs="宋体"/>
          <w:color w:val="auto"/>
          <w:highlight w:val="none"/>
        </w:rPr>
        <w:t>中小企业声明函（工程、服务）</w:t>
      </w:r>
      <w:bookmarkEnd w:id="90"/>
      <w:bookmarkEnd w:id="91"/>
      <w:bookmarkEnd w:id="92"/>
    </w:p>
    <w:p w14:paraId="1C20B513">
      <w:pPr>
        <w:widowControl/>
        <w:spacing w:before="100" w:beforeAutospacing="1" w:after="100" w:afterAutospacing="1" w:line="440" w:lineRule="atLeast"/>
        <w:ind w:firstLine="440" w:firstLineChars="200"/>
        <w:jc w:val="left"/>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本公司（联合体）郑重声明，根据《政府采购促进中小企业发展管理办法》（财库﹝2020﹞46 号）的规定，本公司（联合体）参加</w:t>
      </w:r>
      <w:r>
        <w:rPr>
          <w:rFonts w:hint="eastAsia" w:ascii="宋体" w:hAnsi="宋体" w:eastAsia="宋体" w:cs="宋体"/>
          <w:b w:val="0"/>
          <w:color w:val="auto"/>
          <w:sz w:val="22"/>
          <w:szCs w:val="22"/>
          <w:highlight w:val="none"/>
          <w:u w:val="single"/>
        </w:rPr>
        <w:t xml:space="preserve"> （单位名称）</w:t>
      </w:r>
      <w:r>
        <w:rPr>
          <w:rFonts w:hint="eastAsia" w:ascii="宋体" w:hAnsi="宋体" w:eastAsia="宋体" w:cs="宋体"/>
          <w:b w:val="0"/>
          <w:color w:val="auto"/>
          <w:sz w:val="22"/>
          <w:szCs w:val="22"/>
          <w:highlight w:val="none"/>
        </w:rPr>
        <w:t xml:space="preserve"> 的 </w:t>
      </w:r>
      <w:r>
        <w:rPr>
          <w:rFonts w:hint="eastAsia" w:ascii="宋体" w:hAnsi="宋体" w:eastAsia="宋体" w:cs="宋体"/>
          <w:b w:val="0"/>
          <w:color w:val="auto"/>
          <w:sz w:val="22"/>
          <w:szCs w:val="22"/>
          <w:highlight w:val="none"/>
          <w:u w:val="single"/>
        </w:rPr>
        <w:t>（项目名称）</w:t>
      </w:r>
      <w:r>
        <w:rPr>
          <w:rFonts w:hint="eastAsia" w:ascii="宋体" w:hAnsi="宋体" w:eastAsia="宋体" w:cs="宋体"/>
          <w:b w:val="0"/>
          <w:color w:val="auto"/>
          <w:sz w:val="22"/>
          <w:szCs w:val="22"/>
          <w:highlight w:val="none"/>
        </w:rPr>
        <w:t xml:space="preserve"> 采购活动，工程的施工单位全部为符合政策要求的中小企业（或者：服务全部由符合政策要求的中小企业承接）。相关企业（含联合体中的中小企业、签订分包意向协议的中小企业）的具体情况如下：</w:t>
      </w:r>
    </w:p>
    <w:p w14:paraId="6C2318B5">
      <w:pPr>
        <w:widowControl/>
        <w:spacing w:before="100" w:beforeAutospacing="1" w:after="100" w:afterAutospacing="1" w:line="440" w:lineRule="atLeast"/>
        <w:ind w:firstLine="440" w:firstLineChars="200"/>
        <w:jc w:val="left"/>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 xml:space="preserve">1. </w:t>
      </w:r>
      <w:r>
        <w:rPr>
          <w:rFonts w:hint="eastAsia" w:ascii="宋体" w:hAnsi="宋体" w:eastAsia="宋体" w:cs="宋体"/>
          <w:b w:val="0"/>
          <w:color w:val="auto"/>
          <w:sz w:val="22"/>
          <w:szCs w:val="22"/>
          <w:highlight w:val="none"/>
          <w:u w:val="single"/>
        </w:rPr>
        <w:t xml:space="preserve">（标的名称） </w:t>
      </w:r>
      <w:r>
        <w:rPr>
          <w:rFonts w:hint="eastAsia" w:ascii="宋体" w:hAnsi="宋体" w:eastAsia="宋体" w:cs="宋体"/>
          <w:b w:val="0"/>
          <w:color w:val="auto"/>
          <w:sz w:val="22"/>
          <w:szCs w:val="22"/>
          <w:highlight w:val="none"/>
        </w:rPr>
        <w:t>，属于</w:t>
      </w:r>
      <w:r>
        <w:rPr>
          <w:rFonts w:hint="eastAsia" w:ascii="宋体" w:eastAsia="宋体" w:cs="宋体"/>
          <w:b w:val="0"/>
          <w:color w:val="auto"/>
          <w:sz w:val="22"/>
          <w:szCs w:val="22"/>
          <w:highlight w:val="none"/>
          <w:u w:val="single"/>
          <w:lang w:val="en-US" w:eastAsia="zh-CN"/>
        </w:rPr>
        <w:t xml:space="preserve">     </w:t>
      </w:r>
      <w:r>
        <w:rPr>
          <w:rFonts w:hint="eastAsia" w:ascii="宋体" w:hAnsi="宋体" w:eastAsia="宋体" w:cs="宋体"/>
          <w:b w:val="0"/>
          <w:color w:val="auto"/>
          <w:sz w:val="22"/>
          <w:szCs w:val="22"/>
          <w:highlight w:val="none"/>
          <w:u w:val="none"/>
        </w:rPr>
        <w:t>行业</w:t>
      </w:r>
      <w:r>
        <w:rPr>
          <w:rFonts w:hint="eastAsia" w:ascii="宋体" w:hAnsi="宋体" w:eastAsia="宋体" w:cs="宋体"/>
          <w:b w:val="0"/>
          <w:color w:val="auto"/>
          <w:sz w:val="22"/>
          <w:szCs w:val="22"/>
          <w:highlight w:val="none"/>
        </w:rPr>
        <w:t xml:space="preserve"> ；承建（承接）企业为 </w:t>
      </w:r>
      <w:r>
        <w:rPr>
          <w:rFonts w:hint="eastAsia" w:ascii="宋体" w:hAnsi="宋体" w:eastAsia="宋体" w:cs="宋体"/>
          <w:b w:val="0"/>
          <w:color w:val="auto"/>
          <w:sz w:val="22"/>
          <w:szCs w:val="22"/>
          <w:highlight w:val="none"/>
          <w:u w:val="single"/>
        </w:rPr>
        <w:t xml:space="preserve">（企业名称） </w:t>
      </w:r>
      <w:r>
        <w:rPr>
          <w:rFonts w:hint="eastAsia" w:ascii="宋体" w:hAnsi="宋体" w:eastAsia="宋体" w:cs="宋体"/>
          <w:b w:val="0"/>
          <w:color w:val="auto"/>
          <w:sz w:val="22"/>
          <w:szCs w:val="22"/>
          <w:highlight w:val="none"/>
        </w:rPr>
        <w:t>，从业人员</w:t>
      </w:r>
      <w:r>
        <w:rPr>
          <w:rFonts w:hint="eastAsia" w:ascii="宋体" w:hAnsi="宋体" w:eastAsia="宋体" w:cs="宋体"/>
          <w:b w:val="0"/>
          <w:color w:val="auto"/>
          <w:sz w:val="22"/>
          <w:szCs w:val="22"/>
          <w:highlight w:val="none"/>
          <w:u w:val="single"/>
        </w:rPr>
        <w:t xml:space="preserve">        </w:t>
      </w:r>
      <w:r>
        <w:rPr>
          <w:rFonts w:hint="eastAsia" w:ascii="宋体" w:hAnsi="宋体" w:eastAsia="宋体" w:cs="宋体"/>
          <w:b w:val="0"/>
          <w:color w:val="auto"/>
          <w:sz w:val="22"/>
          <w:szCs w:val="22"/>
          <w:highlight w:val="none"/>
        </w:rPr>
        <w:t>人，营业收入为</w:t>
      </w:r>
      <w:r>
        <w:rPr>
          <w:rFonts w:hint="eastAsia" w:ascii="宋体" w:hAnsi="宋体" w:eastAsia="宋体" w:cs="宋体"/>
          <w:b w:val="0"/>
          <w:color w:val="auto"/>
          <w:sz w:val="22"/>
          <w:szCs w:val="22"/>
          <w:highlight w:val="none"/>
          <w:u w:val="single"/>
        </w:rPr>
        <w:t xml:space="preserve">        </w:t>
      </w:r>
      <w:r>
        <w:rPr>
          <w:rFonts w:hint="eastAsia" w:ascii="宋体" w:hAnsi="宋体" w:eastAsia="宋体" w:cs="宋体"/>
          <w:b w:val="0"/>
          <w:color w:val="auto"/>
          <w:sz w:val="22"/>
          <w:szCs w:val="22"/>
          <w:highlight w:val="none"/>
        </w:rPr>
        <w:t>万元，资产总额为</w:t>
      </w:r>
      <w:r>
        <w:rPr>
          <w:rFonts w:hint="eastAsia" w:ascii="宋体" w:hAnsi="宋体" w:eastAsia="宋体" w:cs="宋体"/>
          <w:b w:val="0"/>
          <w:color w:val="auto"/>
          <w:sz w:val="22"/>
          <w:szCs w:val="22"/>
          <w:highlight w:val="none"/>
          <w:u w:val="single"/>
        </w:rPr>
        <w:t xml:space="preserve">        </w:t>
      </w:r>
      <w:r>
        <w:rPr>
          <w:rFonts w:hint="eastAsia" w:ascii="宋体" w:hAnsi="宋体" w:eastAsia="宋体" w:cs="宋体"/>
          <w:b w:val="0"/>
          <w:color w:val="auto"/>
          <w:sz w:val="22"/>
          <w:szCs w:val="22"/>
          <w:highlight w:val="none"/>
        </w:rPr>
        <w:t>万元 ，属于</w:t>
      </w:r>
      <w:r>
        <w:rPr>
          <w:rFonts w:hint="eastAsia" w:ascii="宋体" w:hAnsi="宋体" w:eastAsia="宋体" w:cs="宋体"/>
          <w:b w:val="0"/>
          <w:color w:val="auto"/>
          <w:sz w:val="22"/>
          <w:szCs w:val="22"/>
          <w:highlight w:val="none"/>
          <w:u w:val="single"/>
        </w:rPr>
        <w:t xml:space="preserve"> （中型企业、小型企业、微型企业） </w:t>
      </w:r>
      <w:r>
        <w:rPr>
          <w:rFonts w:hint="eastAsia" w:ascii="宋体" w:hAnsi="宋体" w:eastAsia="宋体" w:cs="宋体"/>
          <w:b w:val="0"/>
          <w:color w:val="auto"/>
          <w:sz w:val="22"/>
          <w:szCs w:val="22"/>
          <w:highlight w:val="none"/>
        </w:rPr>
        <w:t>；</w:t>
      </w:r>
    </w:p>
    <w:p w14:paraId="08529813">
      <w:pPr>
        <w:widowControl/>
        <w:spacing w:before="100" w:beforeAutospacing="1" w:after="100" w:afterAutospacing="1" w:line="440" w:lineRule="atLeast"/>
        <w:ind w:firstLine="440" w:firstLineChars="200"/>
        <w:jc w:val="left"/>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 xml:space="preserve">2. </w:t>
      </w:r>
      <w:r>
        <w:rPr>
          <w:rFonts w:hint="eastAsia" w:ascii="宋体" w:hAnsi="宋体" w:eastAsia="宋体" w:cs="宋体"/>
          <w:b w:val="0"/>
          <w:color w:val="auto"/>
          <w:sz w:val="22"/>
          <w:szCs w:val="22"/>
          <w:highlight w:val="none"/>
          <w:u w:val="single"/>
        </w:rPr>
        <w:t>（标的名称）</w:t>
      </w:r>
      <w:r>
        <w:rPr>
          <w:rFonts w:hint="eastAsia" w:ascii="宋体" w:hAnsi="宋体" w:eastAsia="宋体" w:cs="宋体"/>
          <w:b w:val="0"/>
          <w:color w:val="auto"/>
          <w:sz w:val="22"/>
          <w:szCs w:val="22"/>
          <w:highlight w:val="none"/>
        </w:rPr>
        <w:t xml:space="preserve"> ，属于 </w:t>
      </w:r>
      <w:r>
        <w:rPr>
          <w:rFonts w:hint="eastAsia" w:ascii="宋体" w:hAnsi="宋体" w:eastAsia="宋体" w:cs="宋体"/>
          <w:b w:val="0"/>
          <w:color w:val="auto"/>
          <w:sz w:val="22"/>
          <w:szCs w:val="22"/>
          <w:highlight w:val="none"/>
          <w:u w:val="single"/>
        </w:rPr>
        <w:t xml:space="preserve">其他未列明行业 </w:t>
      </w:r>
      <w:r>
        <w:rPr>
          <w:rFonts w:hint="eastAsia" w:ascii="宋体" w:hAnsi="宋体" w:eastAsia="宋体" w:cs="宋体"/>
          <w:b w:val="0"/>
          <w:color w:val="auto"/>
          <w:sz w:val="22"/>
          <w:szCs w:val="22"/>
          <w:highlight w:val="none"/>
        </w:rPr>
        <w:t>；承建（承接）企业为</w:t>
      </w:r>
      <w:r>
        <w:rPr>
          <w:rFonts w:hint="eastAsia" w:ascii="宋体" w:hAnsi="宋体" w:eastAsia="宋体" w:cs="宋体"/>
          <w:b w:val="0"/>
          <w:color w:val="auto"/>
          <w:sz w:val="22"/>
          <w:szCs w:val="22"/>
          <w:highlight w:val="none"/>
          <w:u w:val="single"/>
        </w:rPr>
        <w:t xml:space="preserve"> （企业名称）</w:t>
      </w:r>
      <w:r>
        <w:rPr>
          <w:rFonts w:hint="eastAsia" w:ascii="宋体" w:hAnsi="宋体" w:eastAsia="宋体" w:cs="宋体"/>
          <w:b w:val="0"/>
          <w:color w:val="auto"/>
          <w:sz w:val="22"/>
          <w:szCs w:val="22"/>
          <w:highlight w:val="none"/>
        </w:rPr>
        <w:t xml:space="preserve"> ，从业人员</w:t>
      </w:r>
      <w:r>
        <w:rPr>
          <w:rFonts w:hint="eastAsia" w:ascii="宋体" w:hAnsi="宋体" w:eastAsia="宋体" w:cs="宋体"/>
          <w:b w:val="0"/>
          <w:color w:val="auto"/>
          <w:sz w:val="22"/>
          <w:szCs w:val="22"/>
          <w:highlight w:val="none"/>
          <w:u w:val="single"/>
        </w:rPr>
        <w:t xml:space="preserve">        </w:t>
      </w:r>
      <w:r>
        <w:rPr>
          <w:rFonts w:hint="eastAsia" w:ascii="宋体" w:hAnsi="宋体" w:eastAsia="宋体" w:cs="宋体"/>
          <w:b w:val="0"/>
          <w:color w:val="auto"/>
          <w:sz w:val="22"/>
          <w:szCs w:val="22"/>
          <w:highlight w:val="none"/>
        </w:rPr>
        <w:t>人，营业收入为</w:t>
      </w:r>
      <w:r>
        <w:rPr>
          <w:rFonts w:hint="eastAsia" w:ascii="宋体" w:hAnsi="宋体" w:eastAsia="宋体" w:cs="宋体"/>
          <w:b w:val="0"/>
          <w:color w:val="auto"/>
          <w:sz w:val="22"/>
          <w:szCs w:val="22"/>
          <w:highlight w:val="none"/>
          <w:u w:val="single"/>
        </w:rPr>
        <w:t xml:space="preserve">        </w:t>
      </w:r>
      <w:r>
        <w:rPr>
          <w:rFonts w:hint="eastAsia" w:ascii="宋体" w:hAnsi="宋体" w:eastAsia="宋体" w:cs="宋体"/>
          <w:b w:val="0"/>
          <w:color w:val="auto"/>
          <w:sz w:val="22"/>
          <w:szCs w:val="22"/>
          <w:highlight w:val="none"/>
        </w:rPr>
        <w:t>万元，资产总额为</w:t>
      </w:r>
      <w:r>
        <w:rPr>
          <w:rFonts w:hint="eastAsia" w:ascii="宋体" w:hAnsi="宋体" w:eastAsia="宋体" w:cs="宋体"/>
          <w:b w:val="0"/>
          <w:color w:val="auto"/>
          <w:sz w:val="22"/>
          <w:szCs w:val="22"/>
          <w:highlight w:val="none"/>
          <w:u w:val="single"/>
        </w:rPr>
        <w:t xml:space="preserve">        </w:t>
      </w:r>
      <w:r>
        <w:rPr>
          <w:rFonts w:hint="eastAsia" w:ascii="宋体" w:hAnsi="宋体" w:eastAsia="宋体" w:cs="宋体"/>
          <w:b w:val="0"/>
          <w:color w:val="auto"/>
          <w:sz w:val="22"/>
          <w:szCs w:val="22"/>
          <w:highlight w:val="none"/>
        </w:rPr>
        <w:t xml:space="preserve">万元，属于 </w:t>
      </w:r>
      <w:r>
        <w:rPr>
          <w:rFonts w:hint="eastAsia" w:ascii="宋体" w:hAnsi="宋体" w:eastAsia="宋体" w:cs="宋体"/>
          <w:b w:val="0"/>
          <w:color w:val="auto"/>
          <w:sz w:val="22"/>
          <w:szCs w:val="22"/>
          <w:highlight w:val="none"/>
          <w:u w:val="single"/>
        </w:rPr>
        <w:t>（中型企业、小型企业、微型企业）</w:t>
      </w:r>
      <w:r>
        <w:rPr>
          <w:rFonts w:hint="eastAsia" w:ascii="宋体" w:hAnsi="宋体" w:eastAsia="宋体" w:cs="宋体"/>
          <w:b w:val="0"/>
          <w:color w:val="auto"/>
          <w:sz w:val="22"/>
          <w:szCs w:val="22"/>
          <w:highlight w:val="none"/>
        </w:rPr>
        <w:t xml:space="preserve"> ；</w:t>
      </w:r>
    </w:p>
    <w:p w14:paraId="0B6027E1">
      <w:pPr>
        <w:widowControl/>
        <w:spacing w:before="100" w:beforeAutospacing="1" w:after="100" w:afterAutospacing="1" w:line="440" w:lineRule="atLeast"/>
        <w:ind w:firstLine="440" w:firstLineChars="200"/>
        <w:jc w:val="left"/>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w:t>
      </w:r>
    </w:p>
    <w:p w14:paraId="75C57CBD">
      <w:pPr>
        <w:widowControl/>
        <w:spacing w:before="100" w:beforeAutospacing="1" w:after="100" w:afterAutospacing="1" w:line="440" w:lineRule="atLeast"/>
        <w:ind w:firstLine="440" w:firstLineChars="200"/>
        <w:jc w:val="left"/>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以上企业，不属于大企业的分支机构，不存在控股股东为大企业的情形，也不存在与大企业的负责人为同一人的情形。</w:t>
      </w:r>
    </w:p>
    <w:p w14:paraId="6F772BFC">
      <w:pPr>
        <w:widowControl/>
        <w:spacing w:before="100" w:beforeAutospacing="1" w:after="100" w:afterAutospacing="1" w:line="440" w:lineRule="atLeast"/>
        <w:ind w:firstLine="440" w:firstLineChars="200"/>
        <w:jc w:val="left"/>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本企业对上述声明内容的真实性负责。如有虚假，将依法承担相应责任。</w:t>
      </w:r>
    </w:p>
    <w:p w14:paraId="7C2A5405">
      <w:pPr>
        <w:widowControl/>
        <w:spacing w:before="100" w:beforeAutospacing="1" w:after="100" w:afterAutospacing="1" w:line="440" w:lineRule="atLeast"/>
        <w:ind w:firstLine="440" w:firstLineChars="200"/>
        <w:jc w:val="left"/>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企业名称（盖章）：</w:t>
      </w:r>
    </w:p>
    <w:p w14:paraId="6F63E098">
      <w:pPr>
        <w:widowControl/>
        <w:spacing w:before="100" w:beforeAutospacing="1" w:after="100" w:afterAutospacing="1" w:line="440" w:lineRule="atLeast"/>
        <w:ind w:firstLine="440" w:firstLineChars="200"/>
        <w:jc w:val="left"/>
        <w:rPr>
          <w:rFonts w:hint="eastAsia" w:ascii="宋体" w:hAnsi="宋体" w:eastAsia="宋体" w:cs="宋体"/>
          <w:b w:val="0"/>
          <w:bCs w:val="0"/>
          <w:color w:val="auto"/>
          <w:sz w:val="22"/>
          <w:szCs w:val="22"/>
          <w:highlight w:val="none"/>
        </w:rPr>
      </w:pPr>
      <w:r>
        <w:rPr>
          <w:rFonts w:hint="eastAsia" w:ascii="宋体" w:hAnsi="宋体" w:eastAsia="宋体" w:cs="宋体"/>
          <w:b w:val="0"/>
          <w:color w:val="auto"/>
          <w:sz w:val="22"/>
          <w:szCs w:val="22"/>
          <w:highlight w:val="none"/>
        </w:rPr>
        <w:t>日 期：            　　　　　</w:t>
      </w:r>
    </w:p>
    <w:p w14:paraId="0B201FB8">
      <w:pPr>
        <w:spacing w:line="440" w:lineRule="atLeast"/>
        <w:rPr>
          <w:rFonts w:hint="eastAsia" w:ascii="宋体" w:hAnsi="宋体" w:eastAsia="宋体" w:cs="宋体"/>
          <w:b w:val="0"/>
          <w:bCs w:val="0"/>
          <w:color w:val="auto"/>
          <w:sz w:val="22"/>
          <w:szCs w:val="22"/>
          <w:highlight w:val="none"/>
        </w:rPr>
      </w:pPr>
    </w:p>
    <w:p w14:paraId="599B2A62">
      <w:pPr>
        <w:widowControl/>
        <w:spacing w:before="100" w:beforeAutospacing="1" w:after="100" w:afterAutospacing="1" w:line="440" w:lineRule="atLeast"/>
        <w:jc w:val="left"/>
        <w:rPr>
          <w:rFonts w:hint="eastAsia" w:ascii="宋体" w:hAnsi="宋体" w:eastAsia="宋体" w:cs="宋体"/>
          <w:b w:val="0"/>
          <w:bCs w:val="0"/>
          <w:color w:val="auto"/>
          <w:sz w:val="22"/>
          <w:szCs w:val="22"/>
          <w:highlight w:val="none"/>
        </w:rPr>
      </w:pPr>
      <w:r>
        <w:rPr>
          <w:rFonts w:hint="eastAsia" w:ascii="宋体" w:hAnsi="宋体" w:eastAsia="宋体" w:cs="宋体"/>
          <w:b w:val="0"/>
          <w:color w:val="auto"/>
          <w:sz w:val="22"/>
          <w:szCs w:val="22"/>
          <w:highlight w:val="none"/>
        </w:rPr>
        <w:t>注：1 从业人员、营业收入、资产总额填报上一年度数据，无上一年度数据的新成立企业可不填报。</w:t>
      </w:r>
    </w:p>
    <w:p w14:paraId="0494F263">
      <w:pPr>
        <w:widowControl/>
        <w:jc w:val="left"/>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br w:type="page"/>
      </w:r>
    </w:p>
    <w:p w14:paraId="2E087EE9">
      <w:pPr>
        <w:spacing w:line="440" w:lineRule="atLeast"/>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附件2</w:t>
      </w:r>
    </w:p>
    <w:p w14:paraId="3B071715">
      <w:pPr>
        <w:pStyle w:val="41"/>
        <w:rPr>
          <w:rFonts w:hint="eastAsia" w:ascii="宋体" w:hAnsi="宋体" w:eastAsia="宋体" w:cs="宋体"/>
          <w:color w:val="auto"/>
          <w:highlight w:val="none"/>
        </w:rPr>
      </w:pPr>
      <w:bookmarkStart w:id="93" w:name="_Toc18864"/>
      <w:bookmarkStart w:id="94" w:name="_Toc27047"/>
      <w:bookmarkStart w:id="95" w:name="_Toc61276421"/>
      <w:bookmarkStart w:id="96" w:name="_Toc518153320"/>
      <w:r>
        <w:rPr>
          <w:rFonts w:hint="eastAsia" w:ascii="宋体" w:hAnsi="宋体" w:eastAsia="宋体" w:cs="宋体"/>
          <w:color w:val="auto"/>
          <w:highlight w:val="none"/>
        </w:rPr>
        <w:t>残疾人福利性单位声明函</w:t>
      </w:r>
      <w:bookmarkEnd w:id="93"/>
      <w:bookmarkEnd w:id="94"/>
      <w:bookmarkEnd w:id="95"/>
      <w:bookmarkEnd w:id="96"/>
    </w:p>
    <w:p w14:paraId="575E0D81">
      <w:pPr>
        <w:spacing w:line="500" w:lineRule="exact"/>
        <w:ind w:firstLine="440" w:firstLineChars="200"/>
        <w:rPr>
          <w:rFonts w:hint="eastAsia" w:ascii="宋体" w:hAnsi="宋体" w:eastAsia="宋体" w:cs="宋体"/>
          <w:color w:val="auto"/>
          <w:spacing w:val="6"/>
          <w:sz w:val="22"/>
          <w:szCs w:val="22"/>
          <w:highlight w:val="none"/>
        </w:rPr>
      </w:pPr>
      <w:r>
        <w:rPr>
          <w:rFonts w:hint="eastAsia" w:ascii="宋体" w:hAnsi="宋体" w:eastAsia="宋体" w:cs="宋体"/>
          <w:b w:val="0"/>
          <w:color w:val="auto"/>
          <w:sz w:val="22"/>
          <w:szCs w:val="22"/>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eastAsia="宋体" w:cs="宋体"/>
          <w:color w:val="auto"/>
          <w:spacing w:val="6"/>
          <w:sz w:val="22"/>
          <w:szCs w:val="22"/>
          <w:highlight w:val="none"/>
        </w:rPr>
        <w:t>______单位的______</w:t>
      </w:r>
      <w:r>
        <w:rPr>
          <w:rFonts w:hint="eastAsia" w:ascii="宋体" w:hAnsi="宋体" w:eastAsia="宋体" w:cs="宋体"/>
          <w:b w:val="0"/>
          <w:color w:val="auto"/>
          <w:sz w:val="22"/>
          <w:szCs w:val="22"/>
          <w:highlight w:val="none"/>
        </w:rPr>
        <w:t>项目采购活动提供本单位制造的货物（由本单位承担工程/提供服务），或者提供其他残疾人福利性单位制造的货物（不包括使用非残疾人福利性单位注册商标的货物）。</w:t>
      </w:r>
    </w:p>
    <w:p w14:paraId="3E4AD80E">
      <w:pPr>
        <w:spacing w:line="500" w:lineRule="exact"/>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本单位对上述声明的真实性负责。如有虚假，将依法承担相应责任。</w:t>
      </w:r>
    </w:p>
    <w:p w14:paraId="38D10BEE">
      <w:pPr>
        <w:spacing w:line="500" w:lineRule="exact"/>
        <w:ind w:firstLine="466" w:firstLineChars="200"/>
        <w:rPr>
          <w:rFonts w:hint="eastAsia" w:ascii="宋体" w:hAnsi="宋体" w:eastAsia="宋体" w:cs="宋体"/>
          <w:color w:val="auto"/>
          <w:spacing w:val="6"/>
          <w:sz w:val="22"/>
          <w:szCs w:val="22"/>
          <w:highlight w:val="none"/>
        </w:rPr>
      </w:pPr>
    </w:p>
    <w:p w14:paraId="3D3FC104">
      <w:pPr>
        <w:spacing w:line="500" w:lineRule="exact"/>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单位名称（盖章）：</w:t>
      </w:r>
    </w:p>
    <w:p w14:paraId="7BDDE36C">
      <w:pPr>
        <w:spacing w:line="500" w:lineRule="exact"/>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日  期：</w:t>
      </w:r>
    </w:p>
    <w:p w14:paraId="13FDE371">
      <w:pPr>
        <w:spacing w:line="500" w:lineRule="exact"/>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备注说明：</w:t>
      </w:r>
    </w:p>
    <w:p w14:paraId="58C7790B">
      <w:pPr>
        <w:spacing w:line="500" w:lineRule="exact"/>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1、如中标，将在中标公示中将此残疾人福利性单位声明函予以公示，接受社会监督；</w:t>
      </w:r>
    </w:p>
    <w:p w14:paraId="002DA36D">
      <w:pPr>
        <w:spacing w:line="500" w:lineRule="exact"/>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2、供应商提供的《残疾人福利性单位声明函》与事实不符的，依照《</w:t>
      </w:r>
      <w:r>
        <w:rPr>
          <w:rFonts w:hint="eastAsia" w:ascii="宋体" w:eastAsia="宋体" w:cs="宋体"/>
          <w:b w:val="0"/>
          <w:color w:val="auto"/>
          <w:sz w:val="22"/>
          <w:szCs w:val="22"/>
          <w:highlight w:val="none"/>
          <w:lang w:eastAsia="zh-CN"/>
        </w:rPr>
        <w:t>中华人民共和国政府采购法</w:t>
      </w:r>
      <w:r>
        <w:rPr>
          <w:rFonts w:hint="eastAsia" w:ascii="宋体" w:hAnsi="宋体" w:eastAsia="宋体" w:cs="宋体"/>
          <w:b w:val="0"/>
          <w:color w:val="auto"/>
          <w:sz w:val="22"/>
          <w:szCs w:val="22"/>
          <w:highlight w:val="none"/>
        </w:rPr>
        <w:t>》第七十七条第一款的规定追究法律责任。</w:t>
      </w:r>
    </w:p>
    <w:p w14:paraId="0CA6A8CF">
      <w:pPr>
        <w:pStyle w:val="19"/>
        <w:rPr>
          <w:rFonts w:hint="eastAsia" w:ascii="宋体" w:hAnsi="宋体" w:eastAsia="宋体" w:cs="宋体"/>
          <w:highlight w:val="none"/>
        </w:rPr>
      </w:pPr>
    </w:p>
    <w:p w14:paraId="32D4BB93">
      <w:pPr>
        <w:pStyle w:val="41"/>
        <w:rPr>
          <w:rFonts w:hint="eastAsia" w:ascii="宋体" w:hAnsi="宋体" w:eastAsia="宋体" w:cs="宋体"/>
          <w:color w:val="auto"/>
          <w:highlight w:val="none"/>
        </w:rPr>
      </w:pPr>
    </w:p>
    <w:p w14:paraId="0CADBD16">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01B00CE7">
      <w:pPr>
        <w:pStyle w:val="41"/>
        <w:numPr>
          <w:ilvl w:val="0"/>
          <w:numId w:val="6"/>
        </w:numPr>
        <w:rPr>
          <w:rFonts w:hint="eastAsia" w:ascii="宋体" w:hAnsi="宋体" w:eastAsia="宋体" w:cs="宋体"/>
          <w:color w:val="auto"/>
          <w:highlight w:val="none"/>
        </w:rPr>
      </w:pPr>
      <w:bookmarkStart w:id="97" w:name="_Toc22282"/>
      <w:r>
        <w:rPr>
          <w:rFonts w:hint="eastAsia" w:ascii="宋体" w:hAnsi="宋体" w:eastAsia="宋体" w:cs="宋体"/>
          <w:color w:val="auto"/>
          <w:highlight w:val="none"/>
        </w:rPr>
        <w:t>合同格式（仅供参考）</w:t>
      </w:r>
      <w:bookmarkEnd w:id="97"/>
    </w:p>
    <w:p w14:paraId="114C4AE2">
      <w:pPr>
        <w:pStyle w:val="128"/>
        <w:snapToGrid w:val="0"/>
        <w:spacing w:line="360" w:lineRule="auto"/>
        <w:ind w:firstLine="440"/>
        <w:jc w:val="center"/>
        <w:rPr>
          <w:rFonts w:hint="eastAsia" w:ascii="宋体" w:hAnsi="宋体" w:eastAsia="宋体" w:cs="宋体"/>
          <w:sz w:val="22"/>
          <w:highlight w:val="none"/>
        </w:rPr>
      </w:pPr>
    </w:p>
    <w:p w14:paraId="337E11A4">
      <w:pPr>
        <w:pStyle w:val="128"/>
        <w:snapToGrid w:val="0"/>
        <w:spacing w:line="360" w:lineRule="auto"/>
        <w:ind w:firstLine="440"/>
        <w:jc w:val="center"/>
        <w:rPr>
          <w:rFonts w:hint="eastAsia" w:ascii="宋体" w:hAnsi="宋体" w:eastAsia="宋体" w:cs="宋体"/>
          <w:sz w:val="22"/>
          <w:highlight w:val="none"/>
        </w:rPr>
      </w:pPr>
    </w:p>
    <w:p w14:paraId="5C4E849D">
      <w:pPr>
        <w:ind w:right="17"/>
        <w:jc w:val="center"/>
        <w:rPr>
          <w:rFonts w:hint="eastAsia" w:ascii="宋体" w:hAnsi="宋体" w:eastAsia="宋体" w:cs="宋体"/>
          <w:b/>
          <w:spacing w:val="120"/>
          <w:sz w:val="36"/>
          <w:highlight w:val="none"/>
        </w:rPr>
      </w:pPr>
      <w:r>
        <w:rPr>
          <w:rFonts w:hint="eastAsia" w:ascii="宋体" w:hAnsi="宋体" w:eastAsia="宋体" w:cs="宋体"/>
          <w:b/>
          <w:spacing w:val="120"/>
          <w:sz w:val="36"/>
          <w:highlight w:val="none"/>
        </w:rPr>
        <w:t>技术服务合同书</w:t>
      </w:r>
    </w:p>
    <w:p w14:paraId="3DF988FD">
      <w:pPr>
        <w:ind w:right="764"/>
        <w:rPr>
          <w:rFonts w:hint="eastAsia" w:ascii="宋体" w:hAnsi="宋体" w:eastAsia="宋体" w:cs="宋体"/>
          <w:highlight w:val="none"/>
        </w:rPr>
      </w:pPr>
    </w:p>
    <w:p w14:paraId="107C8CC1">
      <w:pPr>
        <w:ind w:right="764"/>
        <w:rPr>
          <w:rFonts w:hint="eastAsia" w:ascii="宋体" w:hAnsi="宋体" w:eastAsia="宋体" w:cs="宋体"/>
          <w:highlight w:val="none"/>
        </w:rPr>
      </w:pPr>
    </w:p>
    <w:p w14:paraId="1C0C90BE">
      <w:pPr>
        <w:ind w:right="764"/>
        <w:rPr>
          <w:rFonts w:hint="eastAsia" w:ascii="宋体" w:hAnsi="宋体" w:eastAsia="宋体" w:cs="宋体"/>
          <w:highlight w:val="none"/>
        </w:rPr>
      </w:pPr>
    </w:p>
    <w:p w14:paraId="30935B45">
      <w:pPr>
        <w:tabs>
          <w:tab w:val="left" w:pos="1878"/>
        </w:tabs>
        <w:spacing w:before="120"/>
        <w:jc w:val="left"/>
        <w:rPr>
          <w:rFonts w:hint="default" w:ascii="宋体" w:hAnsi="宋体" w:eastAsia="宋体" w:cs="宋体"/>
          <w:b/>
          <w:sz w:val="28"/>
          <w:szCs w:val="28"/>
          <w:highlight w:val="none"/>
          <w:u w:val="single"/>
          <w:lang w:val="en-US" w:eastAsia="zh-CN"/>
        </w:rPr>
      </w:pPr>
      <w:r>
        <w:rPr>
          <w:rFonts w:hint="eastAsia" w:ascii="宋体" w:hAnsi="宋体" w:eastAsia="宋体" w:cs="宋体"/>
          <w:b/>
          <w:sz w:val="30"/>
          <w:highlight w:val="none"/>
        </w:rPr>
        <w:t>项目名称：</w:t>
      </w:r>
      <w:r>
        <w:rPr>
          <w:rFonts w:hint="eastAsia" w:ascii="宋体" w:eastAsia="宋体" w:cs="宋体"/>
          <w:highlight w:val="none"/>
          <w:u w:val="single"/>
          <w:lang w:val="en-US" w:eastAsia="zh-CN"/>
        </w:rPr>
        <w:t xml:space="preserve">                                               </w:t>
      </w:r>
    </w:p>
    <w:p w14:paraId="4215CB4D">
      <w:pPr>
        <w:tabs>
          <w:tab w:val="left" w:pos="1878"/>
        </w:tabs>
        <w:rPr>
          <w:rFonts w:hint="eastAsia" w:ascii="宋体" w:hAnsi="宋体" w:eastAsia="宋体" w:cs="宋体"/>
          <w:sz w:val="28"/>
          <w:szCs w:val="28"/>
          <w:highlight w:val="none"/>
        </w:rPr>
      </w:pPr>
      <w:r>
        <w:rPr>
          <w:rFonts w:hint="eastAsia" w:ascii="宋体" w:hAnsi="宋体" w:eastAsia="宋体" w:cs="宋体"/>
          <w:sz w:val="30"/>
          <w:highlight w:val="none"/>
        </w:rPr>
        <w:tab/>
      </w:r>
    </w:p>
    <w:p w14:paraId="2D533FF2">
      <w:pPr>
        <w:tabs>
          <w:tab w:val="left" w:pos="1878"/>
        </w:tabs>
        <w:rPr>
          <w:rFonts w:hint="eastAsia" w:ascii="宋体" w:hAnsi="宋体" w:eastAsia="宋体" w:cs="宋体"/>
          <w:sz w:val="28"/>
          <w:szCs w:val="28"/>
          <w:highlight w:val="none"/>
        </w:rPr>
      </w:pPr>
      <w:r>
        <w:rPr>
          <w:rFonts w:hint="eastAsia" w:ascii="宋体" w:hAnsi="宋体" w:eastAsia="宋体" w:cs="宋体"/>
          <w:sz w:val="30"/>
          <w:highlight w:val="none"/>
        </w:rPr>
        <w:tab/>
      </w:r>
    </w:p>
    <w:p w14:paraId="22201631">
      <w:pPr>
        <w:rPr>
          <w:rFonts w:hint="eastAsia" w:ascii="宋体" w:hAnsi="宋体" w:eastAsia="宋体" w:cs="宋体"/>
          <w:b/>
          <w:sz w:val="30"/>
          <w:highlight w:val="none"/>
        </w:rPr>
      </w:pPr>
      <w:r>
        <w:rPr>
          <w:rFonts w:hint="eastAsia" w:ascii="宋体" w:hAnsi="宋体" w:eastAsia="宋体" w:cs="宋体"/>
          <w:b/>
          <w:sz w:val="30"/>
          <w:highlight w:val="none"/>
        </w:rPr>
        <w:t>委托方：</w:t>
      </w:r>
      <w:r>
        <w:rPr>
          <w:rFonts w:hint="eastAsia" w:ascii="宋体" w:eastAsia="宋体" w:cs="宋体"/>
          <w:highlight w:val="none"/>
          <w:u w:val="single"/>
          <w:lang w:val="en-US" w:eastAsia="zh-CN"/>
        </w:rPr>
        <w:t xml:space="preserve">                                                  </w:t>
      </w:r>
    </w:p>
    <w:p w14:paraId="7B91813B">
      <w:pPr>
        <w:tabs>
          <w:tab w:val="left" w:pos="1878"/>
        </w:tabs>
        <w:spacing w:before="120"/>
        <w:jc w:val="left"/>
        <w:rPr>
          <w:rFonts w:hint="eastAsia" w:ascii="宋体" w:hAnsi="宋体" w:eastAsia="宋体" w:cs="宋体"/>
          <w:b/>
          <w:sz w:val="28"/>
          <w:szCs w:val="28"/>
          <w:highlight w:val="none"/>
          <w:u w:val="single"/>
        </w:rPr>
      </w:pPr>
      <w:r>
        <w:rPr>
          <w:rFonts w:hint="eastAsia" w:ascii="宋体" w:hAnsi="宋体" w:eastAsia="宋体" w:cs="宋体"/>
          <w:b/>
          <w:sz w:val="30"/>
          <w:highlight w:val="none"/>
        </w:rPr>
        <w:t>（甲方）</w:t>
      </w:r>
      <w:r>
        <w:rPr>
          <w:rFonts w:hint="eastAsia" w:ascii="宋体" w:hAnsi="宋体" w:eastAsia="宋体" w:cs="宋体"/>
          <w:b/>
          <w:sz w:val="30"/>
          <w:highlight w:val="none"/>
        </w:rPr>
        <w:tab/>
      </w:r>
    </w:p>
    <w:p w14:paraId="489F27B0">
      <w:pPr>
        <w:tabs>
          <w:tab w:val="left" w:pos="1878"/>
        </w:tabs>
        <w:rPr>
          <w:rFonts w:hint="eastAsia" w:ascii="宋体" w:hAnsi="宋体" w:eastAsia="宋体" w:cs="宋体"/>
          <w:sz w:val="28"/>
          <w:szCs w:val="28"/>
          <w:highlight w:val="none"/>
          <w:u w:val="single"/>
        </w:rPr>
      </w:pPr>
      <w:r>
        <w:rPr>
          <w:rFonts w:hint="eastAsia" w:ascii="宋体" w:hAnsi="宋体" w:eastAsia="宋体" w:cs="宋体"/>
          <w:b/>
          <w:sz w:val="30"/>
          <w:highlight w:val="none"/>
        </w:rPr>
        <w:tab/>
      </w:r>
    </w:p>
    <w:p w14:paraId="55D908A9">
      <w:pPr>
        <w:tabs>
          <w:tab w:val="left" w:pos="1878"/>
        </w:tabs>
        <w:rPr>
          <w:rFonts w:hint="eastAsia" w:ascii="宋体" w:hAnsi="宋体" w:eastAsia="宋体" w:cs="宋体"/>
          <w:sz w:val="28"/>
          <w:szCs w:val="28"/>
          <w:highlight w:val="none"/>
          <w:u w:val="single"/>
        </w:rPr>
      </w:pPr>
      <w:r>
        <w:rPr>
          <w:rFonts w:hint="eastAsia" w:ascii="宋体" w:hAnsi="宋体" w:eastAsia="宋体" w:cs="宋体"/>
          <w:b/>
          <w:sz w:val="30"/>
          <w:highlight w:val="none"/>
        </w:rPr>
        <w:tab/>
      </w:r>
    </w:p>
    <w:p w14:paraId="4F6B9572">
      <w:pPr>
        <w:rPr>
          <w:rFonts w:hint="eastAsia" w:ascii="宋体" w:hAnsi="宋体" w:eastAsia="宋体" w:cs="宋体"/>
          <w:b/>
          <w:sz w:val="30"/>
          <w:highlight w:val="none"/>
        </w:rPr>
      </w:pPr>
      <w:r>
        <w:rPr>
          <w:rFonts w:hint="eastAsia" w:ascii="宋体" w:hAnsi="宋体" w:eastAsia="宋体" w:cs="宋体"/>
          <w:b/>
          <w:sz w:val="30"/>
          <w:highlight w:val="none"/>
        </w:rPr>
        <w:t>受托方：</w:t>
      </w:r>
      <w:r>
        <w:rPr>
          <w:rFonts w:hint="eastAsia" w:ascii="宋体" w:eastAsia="宋体" w:cs="宋体"/>
          <w:highlight w:val="none"/>
          <w:u w:val="single"/>
          <w:lang w:val="en-US" w:eastAsia="zh-CN"/>
        </w:rPr>
        <w:t xml:space="preserve">                                                  </w:t>
      </w:r>
    </w:p>
    <w:p w14:paraId="5FC40615">
      <w:pPr>
        <w:tabs>
          <w:tab w:val="left" w:pos="1878"/>
        </w:tabs>
        <w:rPr>
          <w:rFonts w:hint="eastAsia" w:ascii="宋体" w:hAnsi="宋体" w:eastAsia="宋体" w:cs="宋体"/>
          <w:b/>
          <w:sz w:val="28"/>
          <w:szCs w:val="28"/>
          <w:highlight w:val="none"/>
        </w:rPr>
      </w:pPr>
      <w:r>
        <w:rPr>
          <w:rFonts w:hint="eastAsia" w:ascii="宋体" w:hAnsi="宋体" w:eastAsia="宋体" w:cs="宋体"/>
          <w:b/>
          <w:sz w:val="30"/>
          <w:highlight w:val="none"/>
        </w:rPr>
        <w:t>（乙方）</w:t>
      </w:r>
      <w:r>
        <w:rPr>
          <w:rFonts w:hint="eastAsia" w:ascii="宋体" w:hAnsi="宋体" w:eastAsia="宋体" w:cs="宋体"/>
          <w:b/>
          <w:sz w:val="30"/>
          <w:highlight w:val="none"/>
        </w:rPr>
        <w:tab/>
      </w:r>
    </w:p>
    <w:p w14:paraId="46CB9F8C">
      <w:pPr>
        <w:tabs>
          <w:tab w:val="left" w:pos="1878"/>
        </w:tabs>
        <w:jc w:val="center"/>
        <w:rPr>
          <w:rFonts w:hint="eastAsia" w:ascii="宋体" w:hAnsi="宋体" w:eastAsia="宋体" w:cs="宋体"/>
          <w:sz w:val="30"/>
          <w:highlight w:val="none"/>
          <w:u w:val="single"/>
        </w:rPr>
      </w:pPr>
      <w:r>
        <w:rPr>
          <w:rFonts w:hint="eastAsia" w:ascii="宋体" w:hAnsi="宋体" w:eastAsia="宋体" w:cs="宋体"/>
          <w:sz w:val="30"/>
          <w:highlight w:val="none"/>
        </w:rPr>
        <w:tab/>
      </w:r>
    </w:p>
    <w:p w14:paraId="3842C335">
      <w:pPr>
        <w:tabs>
          <w:tab w:val="left" w:pos="1878"/>
        </w:tabs>
        <w:rPr>
          <w:rFonts w:hint="eastAsia" w:ascii="宋体" w:hAnsi="宋体" w:eastAsia="宋体" w:cs="宋体"/>
          <w:sz w:val="30"/>
          <w:highlight w:val="none"/>
        </w:rPr>
      </w:pPr>
      <w:r>
        <w:rPr>
          <w:rFonts w:hint="eastAsia" w:ascii="宋体" w:hAnsi="宋体" w:eastAsia="宋体" w:cs="宋体"/>
          <w:sz w:val="30"/>
          <w:highlight w:val="none"/>
        </w:rPr>
        <w:tab/>
      </w:r>
    </w:p>
    <w:p w14:paraId="688F08AC">
      <w:pPr>
        <w:spacing w:line="560" w:lineRule="exact"/>
        <w:rPr>
          <w:rFonts w:hint="eastAsia" w:ascii="宋体" w:hAnsi="宋体" w:eastAsia="宋体" w:cs="宋体"/>
          <w:b/>
          <w:sz w:val="28"/>
          <w:highlight w:val="none"/>
        </w:rPr>
      </w:pPr>
      <w:r>
        <w:rPr>
          <w:rFonts w:hint="eastAsia" w:ascii="宋体" w:hAnsi="宋体" w:eastAsia="宋体" w:cs="宋体"/>
          <w:b/>
          <w:sz w:val="28"/>
          <w:highlight w:val="none"/>
        </w:rPr>
        <w:t>签订地点：</w:t>
      </w:r>
      <w:r>
        <w:rPr>
          <w:rFonts w:hint="eastAsia" w:ascii="宋体" w:eastAsia="宋体" w:cs="宋体"/>
          <w:highlight w:val="none"/>
          <w:u w:val="single"/>
          <w:lang w:val="en-US" w:eastAsia="zh-CN"/>
        </w:rPr>
        <w:t xml:space="preserve">                                                </w:t>
      </w:r>
      <w:r>
        <w:rPr>
          <w:rFonts w:hint="eastAsia" w:ascii="宋体" w:hAnsi="宋体" w:eastAsia="宋体" w:cs="宋体"/>
          <w:b/>
          <w:sz w:val="28"/>
          <w:highlight w:val="none"/>
        </w:rPr>
        <w:t xml:space="preserve"> </w:t>
      </w:r>
    </w:p>
    <w:p w14:paraId="7F986F8F">
      <w:pPr>
        <w:spacing w:line="560" w:lineRule="exact"/>
        <w:rPr>
          <w:rFonts w:hint="eastAsia" w:ascii="宋体" w:hAnsi="宋体" w:eastAsia="宋体" w:cs="宋体"/>
          <w:b/>
          <w:sz w:val="28"/>
          <w:highlight w:val="none"/>
        </w:rPr>
      </w:pPr>
    </w:p>
    <w:p w14:paraId="118398B8">
      <w:pPr>
        <w:spacing w:line="560" w:lineRule="exact"/>
        <w:rPr>
          <w:rFonts w:hint="eastAsia" w:ascii="宋体" w:hAnsi="宋体" w:eastAsia="宋体" w:cs="宋体"/>
          <w:b/>
          <w:sz w:val="28"/>
          <w:highlight w:val="none"/>
        </w:rPr>
      </w:pPr>
      <w:r>
        <w:rPr>
          <w:rFonts w:hint="eastAsia" w:ascii="宋体" w:hAnsi="宋体" w:eastAsia="宋体" w:cs="宋体"/>
          <w:b/>
          <w:sz w:val="28"/>
          <w:highlight w:val="none"/>
        </w:rPr>
        <w:t>签订日期：</w:t>
      </w:r>
      <w:r>
        <w:rPr>
          <w:rFonts w:hint="eastAsia" w:ascii="宋体" w:eastAsia="宋体" w:cs="宋体"/>
          <w:b/>
          <w:sz w:val="28"/>
          <w:highlight w:val="none"/>
          <w:u w:val="single"/>
          <w:lang w:val="en-US" w:eastAsia="zh-CN"/>
        </w:rPr>
        <w:t xml:space="preserve">      </w:t>
      </w:r>
      <w:r>
        <w:rPr>
          <w:rFonts w:hint="eastAsia" w:ascii="宋体" w:hAnsi="宋体" w:eastAsia="宋体" w:cs="宋体"/>
          <w:b/>
          <w:sz w:val="28"/>
          <w:highlight w:val="none"/>
        </w:rPr>
        <w:t>年</w:t>
      </w:r>
      <w:r>
        <w:rPr>
          <w:rFonts w:hint="eastAsia" w:ascii="宋体" w:eastAsia="宋体" w:cs="宋体"/>
          <w:b/>
          <w:sz w:val="28"/>
          <w:highlight w:val="none"/>
          <w:u w:val="single"/>
          <w:lang w:val="en-US" w:eastAsia="zh-CN"/>
        </w:rPr>
        <w:t xml:space="preserve">     </w:t>
      </w:r>
      <w:r>
        <w:rPr>
          <w:rFonts w:hint="eastAsia" w:ascii="宋体" w:hAnsi="宋体" w:eastAsia="宋体" w:cs="宋体"/>
          <w:b/>
          <w:sz w:val="28"/>
          <w:highlight w:val="none"/>
        </w:rPr>
        <w:t>月</w:t>
      </w:r>
      <w:r>
        <w:rPr>
          <w:rFonts w:hint="eastAsia" w:ascii="宋体" w:eastAsia="宋体" w:cs="宋体"/>
          <w:b/>
          <w:sz w:val="28"/>
          <w:highlight w:val="none"/>
          <w:u w:val="single"/>
          <w:lang w:val="en-US" w:eastAsia="zh-CN"/>
        </w:rPr>
        <w:t xml:space="preserve">     </w:t>
      </w:r>
      <w:r>
        <w:rPr>
          <w:rFonts w:hint="eastAsia" w:ascii="宋体" w:hAnsi="宋体" w:eastAsia="宋体" w:cs="宋体"/>
          <w:b/>
          <w:sz w:val="28"/>
          <w:highlight w:val="none"/>
        </w:rPr>
        <w:t>日</w:t>
      </w:r>
    </w:p>
    <w:p w14:paraId="61335613">
      <w:pPr>
        <w:spacing w:line="560" w:lineRule="exact"/>
        <w:rPr>
          <w:rFonts w:hint="eastAsia" w:ascii="宋体" w:hAnsi="宋体" w:eastAsia="宋体" w:cs="宋体"/>
          <w:b/>
          <w:sz w:val="28"/>
          <w:highlight w:val="none"/>
        </w:rPr>
      </w:pPr>
    </w:p>
    <w:p w14:paraId="1C284F9E">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宋体" w:hAnsi="宋体" w:eastAsia="宋体" w:cs="宋体"/>
          <w:b w:val="0"/>
          <w:bCs w:val="0"/>
          <w:sz w:val="32"/>
          <w:szCs w:val="32"/>
          <w:highlight w:val="none"/>
        </w:rPr>
      </w:pPr>
      <w:r>
        <w:rPr>
          <w:rFonts w:hint="eastAsia" w:ascii="宋体" w:hAnsi="宋体" w:eastAsia="宋体" w:cs="宋体"/>
          <w:b/>
          <w:sz w:val="28"/>
          <w:highlight w:val="none"/>
        </w:rPr>
        <w:br w:type="page"/>
      </w:r>
    </w:p>
    <w:p w14:paraId="246F4B16">
      <w:pPr>
        <w:rPr>
          <w:rFonts w:hint="eastAsia" w:ascii="宋体" w:hAnsi="宋体" w:eastAsia="宋体" w:cs="宋体"/>
          <w:b w:val="0"/>
          <w:bCs w:val="0"/>
          <w:sz w:val="24"/>
          <w:szCs w:val="24"/>
          <w:u w:val="single"/>
        </w:rPr>
      </w:pPr>
      <w:r>
        <w:rPr>
          <w:rFonts w:hint="eastAsia" w:ascii="宋体" w:hAnsi="宋体" w:eastAsia="宋体" w:cs="宋体"/>
          <w:b w:val="0"/>
          <w:bCs w:val="0"/>
          <w:sz w:val="24"/>
          <w:szCs w:val="24"/>
        </w:rPr>
        <w:t>采  购  人：</w:t>
      </w:r>
      <w:r>
        <w:rPr>
          <w:rFonts w:hint="eastAsia" w:ascii="宋体" w:hAnsi="宋体" w:eastAsia="宋体" w:cs="宋体"/>
          <w:b w:val="0"/>
          <w:bCs w:val="0"/>
          <w:sz w:val="24"/>
          <w:szCs w:val="24"/>
          <w:u w:val="single"/>
        </w:rPr>
        <w:t>采购人                     （甲方）</w:t>
      </w:r>
    </w:p>
    <w:p w14:paraId="748E63A9">
      <w:pPr>
        <w:rPr>
          <w:rFonts w:hint="eastAsia" w:ascii="宋体" w:hAnsi="宋体" w:eastAsia="宋体" w:cs="宋体"/>
          <w:b w:val="0"/>
          <w:bCs w:val="0"/>
          <w:sz w:val="24"/>
          <w:szCs w:val="24"/>
          <w:u w:val="single"/>
        </w:rPr>
      </w:pPr>
      <w:r>
        <w:rPr>
          <w:rFonts w:hint="eastAsia" w:ascii="宋体" w:hAnsi="宋体" w:eastAsia="宋体" w:cs="宋体"/>
          <w:b w:val="0"/>
          <w:bCs w:val="0"/>
          <w:sz w:val="24"/>
          <w:szCs w:val="24"/>
        </w:rPr>
        <w:t>中标供应商：</w:t>
      </w:r>
      <w:r>
        <w:rPr>
          <w:rFonts w:hint="eastAsia" w:ascii="宋体" w:hAnsi="宋体" w:eastAsia="宋体" w:cs="宋体"/>
          <w:b w:val="0"/>
          <w:bCs w:val="0"/>
          <w:sz w:val="24"/>
          <w:szCs w:val="24"/>
          <w:u w:val="single"/>
        </w:rPr>
        <w:t>本次采购的</w:t>
      </w:r>
      <w:r>
        <w:rPr>
          <w:rFonts w:hint="eastAsia" w:ascii="宋体" w:hAnsi="宋体" w:eastAsia="宋体" w:cs="宋体"/>
          <w:b w:val="0"/>
          <w:bCs w:val="0"/>
          <w:sz w:val="24"/>
          <w:szCs w:val="24"/>
          <w:u w:val="single"/>
          <w:lang w:val="en-US" w:eastAsia="zh-CN"/>
        </w:rPr>
        <w:t>成交</w:t>
      </w:r>
      <w:r>
        <w:rPr>
          <w:rFonts w:hint="eastAsia" w:ascii="宋体" w:hAnsi="宋体" w:eastAsia="宋体" w:cs="宋体"/>
          <w:b w:val="0"/>
          <w:bCs w:val="0"/>
          <w:sz w:val="24"/>
          <w:szCs w:val="24"/>
          <w:u w:val="single"/>
        </w:rPr>
        <w:t>供应商       （乙方）</w:t>
      </w:r>
    </w:p>
    <w:p w14:paraId="7681A222">
      <w:pPr>
        <w:adjustRightInd w:val="0"/>
        <w:spacing w:line="560" w:lineRule="exact"/>
        <w:ind w:firstLine="480" w:firstLineChars="200"/>
        <w:rPr>
          <w:rFonts w:ascii="宋体" w:hAnsi="宋体" w:eastAsia="宋体" w:cs="Times New Roman"/>
          <w:b w:val="0"/>
          <w:bCs w:val="0"/>
          <w:sz w:val="24"/>
          <w:szCs w:val="24"/>
        </w:rPr>
      </w:pPr>
      <w:r>
        <w:rPr>
          <w:rFonts w:hint="eastAsia" w:ascii="宋体" w:hAnsi="宋体" w:eastAsia="宋体" w:cs="Times New Roman"/>
          <w:b w:val="0"/>
          <w:bCs w:val="0"/>
          <w:sz w:val="24"/>
          <w:szCs w:val="24"/>
          <w:lang w:val="zh-CN"/>
        </w:rPr>
        <w:t>根据《中华人民共和国民法典》《中华人民共和国政府采购法》等相关法律法规之规定，按照平等、自愿、公平和诚实信用的原则，经</w:t>
      </w:r>
      <w:r>
        <w:rPr>
          <w:rFonts w:ascii="宋体" w:hAnsi="宋体" w:eastAsia="宋体" w:cs="Times New Roman"/>
          <w:b w:val="0"/>
          <w:bCs w:val="0"/>
          <w:color w:val="auto"/>
          <w:sz w:val="24"/>
          <w:szCs w:val="24"/>
          <w:u w:val="single"/>
        </w:rPr>
        <w:t xml:space="preserve">   （采购人）  </w:t>
      </w:r>
      <w:r>
        <w:rPr>
          <w:rFonts w:ascii="宋体" w:hAnsi="宋体" w:eastAsia="宋体" w:cs="Times New Roman"/>
          <w:b w:val="0"/>
          <w:bCs w:val="0"/>
          <w:sz w:val="24"/>
          <w:szCs w:val="24"/>
          <w:u w:val="single"/>
        </w:rPr>
        <w:t xml:space="preserve"> </w:t>
      </w:r>
      <w:r>
        <w:rPr>
          <w:rFonts w:hint="eastAsia" w:ascii="宋体" w:eastAsia="宋体" w:cs="Times New Roman"/>
          <w:b w:val="0"/>
          <w:bCs w:val="0"/>
          <w:sz w:val="24"/>
          <w:szCs w:val="24"/>
          <w:u w:val="single"/>
          <w:lang w:eastAsia="zh-CN"/>
        </w:rPr>
        <w:t>（</w:t>
      </w:r>
      <w:r>
        <w:rPr>
          <w:rFonts w:ascii="宋体" w:hAnsi="宋体" w:eastAsia="宋体" w:cs="Times New Roman"/>
          <w:b w:val="0"/>
          <w:bCs w:val="0"/>
          <w:sz w:val="24"/>
          <w:szCs w:val="24"/>
          <w:lang w:val="zh-CN"/>
        </w:rPr>
        <w:t>以下简称：甲方</w:t>
      </w:r>
      <w:r>
        <w:rPr>
          <w:rFonts w:hint="eastAsia" w:ascii="宋体" w:eastAsia="宋体" w:cs="Times New Roman"/>
          <w:b w:val="0"/>
          <w:bCs w:val="0"/>
          <w:sz w:val="24"/>
          <w:szCs w:val="24"/>
          <w:lang w:val="zh-CN"/>
        </w:rPr>
        <w:t>）</w:t>
      </w:r>
      <w:r>
        <w:rPr>
          <w:rFonts w:ascii="宋体" w:hAnsi="宋体" w:eastAsia="宋体" w:cs="Times New Roman"/>
          <w:b w:val="0"/>
          <w:bCs w:val="0"/>
          <w:sz w:val="24"/>
          <w:szCs w:val="24"/>
          <w:lang w:val="zh-CN"/>
        </w:rPr>
        <w:t>和</w:t>
      </w:r>
      <w:r>
        <w:rPr>
          <w:rFonts w:ascii="宋体" w:hAnsi="宋体" w:eastAsia="宋体" w:cs="Times New Roman"/>
          <w:b w:val="0"/>
          <w:bCs w:val="0"/>
          <w:sz w:val="24"/>
          <w:szCs w:val="24"/>
          <w:u w:val="single"/>
        </w:rPr>
        <w:t xml:space="preserve">   （中</w:t>
      </w:r>
      <w:r>
        <w:rPr>
          <w:rFonts w:hint="eastAsia" w:ascii="宋体" w:hAnsi="宋体" w:eastAsia="宋体" w:cs="Times New Roman"/>
          <w:b w:val="0"/>
          <w:bCs w:val="0"/>
          <w:sz w:val="24"/>
          <w:szCs w:val="24"/>
          <w:u w:val="single"/>
        </w:rPr>
        <w:t>或者成交</w:t>
      </w:r>
      <w:r>
        <w:rPr>
          <w:rFonts w:ascii="宋体" w:hAnsi="宋体" w:eastAsia="宋体" w:cs="Times New Roman"/>
          <w:b w:val="0"/>
          <w:bCs w:val="0"/>
          <w:sz w:val="24"/>
          <w:szCs w:val="24"/>
          <w:u w:val="single"/>
        </w:rPr>
        <w:t xml:space="preserve">标供应商名称）   </w:t>
      </w:r>
      <w:r>
        <w:rPr>
          <w:rFonts w:hint="eastAsia" w:ascii="宋体" w:eastAsia="宋体" w:cs="Times New Roman"/>
          <w:b w:val="0"/>
          <w:bCs w:val="0"/>
          <w:sz w:val="24"/>
          <w:szCs w:val="24"/>
          <w:u w:val="single"/>
          <w:lang w:eastAsia="zh-CN"/>
        </w:rPr>
        <w:t>（</w:t>
      </w:r>
      <w:r>
        <w:rPr>
          <w:rFonts w:ascii="宋体" w:hAnsi="宋体" w:eastAsia="宋体" w:cs="Times New Roman"/>
          <w:b w:val="0"/>
          <w:bCs w:val="0"/>
          <w:sz w:val="24"/>
          <w:szCs w:val="24"/>
          <w:lang w:val="zh-CN"/>
        </w:rPr>
        <w:t>以下简称：乙方</w:t>
      </w:r>
      <w:r>
        <w:rPr>
          <w:rFonts w:hint="eastAsia" w:ascii="宋体" w:eastAsia="宋体" w:cs="Times New Roman"/>
          <w:b w:val="0"/>
          <w:bCs w:val="0"/>
          <w:sz w:val="24"/>
          <w:szCs w:val="24"/>
          <w:lang w:val="zh-CN"/>
        </w:rPr>
        <w:t>）</w:t>
      </w:r>
      <w:r>
        <w:rPr>
          <w:rFonts w:ascii="宋体" w:hAnsi="宋体" w:eastAsia="宋体" w:cs="Times New Roman"/>
          <w:b w:val="0"/>
          <w:bCs w:val="0"/>
          <w:sz w:val="24"/>
          <w:szCs w:val="24"/>
          <w:lang w:val="zh-CN"/>
        </w:rPr>
        <w:t>协商一致，约定以下合同</w:t>
      </w:r>
      <w:r>
        <w:rPr>
          <w:rFonts w:hint="eastAsia" w:ascii="宋体" w:hAnsi="宋体" w:eastAsia="宋体" w:cs="Times New Roman"/>
          <w:b w:val="0"/>
          <w:bCs w:val="0"/>
          <w:sz w:val="24"/>
          <w:szCs w:val="24"/>
        </w:rPr>
        <w:t>条款，以兹共同遵守、全面履行。</w:t>
      </w:r>
    </w:p>
    <w:p w14:paraId="5E0C0F1A">
      <w:pPr>
        <w:adjustRightInd w:val="0"/>
        <w:spacing w:line="560" w:lineRule="exact"/>
        <w:ind w:firstLine="480" w:firstLineChars="200"/>
        <w:outlineLvl w:val="0"/>
        <w:rPr>
          <w:rFonts w:ascii="宋体" w:hAnsi="宋体" w:eastAsia="宋体" w:cs="Times New Roman"/>
          <w:b w:val="0"/>
          <w:bCs w:val="0"/>
          <w:sz w:val="24"/>
          <w:szCs w:val="24"/>
        </w:rPr>
      </w:pPr>
      <w:bookmarkStart w:id="98" w:name="_Toc28855"/>
      <w:bookmarkStart w:id="99" w:name="_Toc20421"/>
      <w:bookmarkStart w:id="100" w:name="_Toc22967"/>
      <w:bookmarkStart w:id="101" w:name="_Toc19273"/>
      <w:bookmarkStart w:id="102" w:name="_Toc15367"/>
      <w:r>
        <w:rPr>
          <w:rFonts w:ascii="宋体" w:hAnsi="宋体" w:eastAsia="宋体" w:cs="Times New Roman"/>
          <w:b w:val="0"/>
          <w:bCs w:val="0"/>
          <w:sz w:val="24"/>
          <w:szCs w:val="24"/>
        </w:rPr>
        <w:t xml:space="preserve">1.1 </w:t>
      </w:r>
      <w:r>
        <w:rPr>
          <w:rFonts w:hint="eastAsia" w:ascii="宋体" w:hAnsi="宋体" w:eastAsia="宋体" w:cs="Times New Roman"/>
          <w:b w:val="0"/>
          <w:bCs w:val="0"/>
          <w:sz w:val="24"/>
          <w:szCs w:val="24"/>
        </w:rPr>
        <w:t>合同组成部分</w:t>
      </w:r>
      <w:bookmarkEnd w:id="98"/>
      <w:bookmarkEnd w:id="99"/>
      <w:bookmarkEnd w:id="100"/>
      <w:bookmarkEnd w:id="101"/>
      <w:bookmarkEnd w:id="102"/>
    </w:p>
    <w:p w14:paraId="6ABFBF89">
      <w:pPr>
        <w:adjustRightInd w:val="0"/>
        <w:spacing w:line="560" w:lineRule="exact"/>
        <w:ind w:firstLine="480" w:firstLineChars="200"/>
        <w:rPr>
          <w:rFonts w:ascii="宋体" w:hAnsi="宋体" w:eastAsia="宋体" w:cs="Times New Roman"/>
          <w:b w:val="0"/>
          <w:bCs w:val="0"/>
          <w:sz w:val="24"/>
          <w:szCs w:val="24"/>
        </w:rPr>
      </w:pPr>
      <w:r>
        <w:rPr>
          <w:rFonts w:hint="eastAsia" w:ascii="宋体" w:hAnsi="宋体" w:eastAsia="宋体" w:cs="Times New Roman"/>
          <w:b w:val="0"/>
          <w:bCs w:val="0"/>
          <w:sz w:val="24"/>
          <w:szCs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3D3A8F1A">
      <w:pPr>
        <w:adjustRightInd w:val="0"/>
        <w:spacing w:line="560" w:lineRule="exact"/>
        <w:ind w:firstLine="480" w:firstLineChars="200"/>
        <w:rPr>
          <w:rFonts w:ascii="宋体" w:hAnsi="宋体" w:eastAsia="宋体" w:cs="Times New Roman"/>
          <w:b w:val="0"/>
          <w:bCs w:val="0"/>
          <w:sz w:val="24"/>
          <w:szCs w:val="24"/>
        </w:rPr>
      </w:pPr>
      <w:r>
        <w:rPr>
          <w:rFonts w:ascii="宋体" w:hAnsi="宋体" w:eastAsia="宋体" w:cs="Times New Roman"/>
          <w:b w:val="0"/>
          <w:bCs w:val="0"/>
          <w:sz w:val="24"/>
          <w:szCs w:val="24"/>
        </w:rPr>
        <w:t xml:space="preserve">1.1.1 </w:t>
      </w:r>
      <w:r>
        <w:rPr>
          <w:rFonts w:hint="eastAsia" w:ascii="宋体" w:hAnsi="宋体" w:eastAsia="宋体" w:cs="Times New Roman"/>
          <w:b w:val="0"/>
          <w:bCs w:val="0"/>
          <w:sz w:val="24"/>
          <w:szCs w:val="24"/>
        </w:rPr>
        <w:t>本合同及其补充合同、变更协议；</w:t>
      </w:r>
    </w:p>
    <w:p w14:paraId="70B77841">
      <w:pPr>
        <w:adjustRightInd w:val="0"/>
        <w:spacing w:line="560" w:lineRule="exact"/>
        <w:ind w:firstLine="480" w:firstLineChars="200"/>
        <w:rPr>
          <w:rFonts w:ascii="宋体" w:hAnsi="宋体" w:eastAsia="宋体" w:cs="Times New Roman"/>
          <w:b w:val="0"/>
          <w:bCs w:val="0"/>
          <w:sz w:val="24"/>
          <w:szCs w:val="24"/>
        </w:rPr>
      </w:pPr>
      <w:r>
        <w:rPr>
          <w:rFonts w:ascii="宋体" w:hAnsi="宋体" w:eastAsia="宋体" w:cs="Times New Roman"/>
          <w:b w:val="0"/>
          <w:bCs w:val="0"/>
          <w:sz w:val="24"/>
          <w:szCs w:val="24"/>
        </w:rPr>
        <w:t xml:space="preserve">1.1.2 </w:t>
      </w:r>
      <w:r>
        <w:rPr>
          <w:rFonts w:hint="eastAsia" w:ascii="宋体" w:hAnsi="宋体" w:eastAsia="宋体" w:cs="Times New Roman"/>
          <w:b w:val="0"/>
          <w:bCs w:val="0"/>
          <w:sz w:val="24"/>
          <w:szCs w:val="24"/>
        </w:rPr>
        <w:t>中标或者成交通知书；</w:t>
      </w:r>
    </w:p>
    <w:p w14:paraId="18F343AB">
      <w:pPr>
        <w:adjustRightInd w:val="0"/>
        <w:spacing w:line="560" w:lineRule="exact"/>
        <w:ind w:firstLine="480" w:firstLineChars="200"/>
        <w:rPr>
          <w:rFonts w:ascii="宋体" w:hAnsi="宋体" w:eastAsia="宋体" w:cs="Times New Roman"/>
          <w:b w:val="0"/>
          <w:bCs w:val="0"/>
          <w:sz w:val="24"/>
          <w:szCs w:val="24"/>
        </w:rPr>
      </w:pPr>
      <w:r>
        <w:rPr>
          <w:rFonts w:ascii="宋体" w:hAnsi="宋体" w:eastAsia="宋体" w:cs="Times New Roman"/>
          <w:b w:val="0"/>
          <w:bCs w:val="0"/>
          <w:sz w:val="24"/>
          <w:szCs w:val="24"/>
        </w:rPr>
        <w:t xml:space="preserve">1.1.3 </w:t>
      </w:r>
      <w:r>
        <w:rPr>
          <w:rFonts w:hint="eastAsia" w:ascii="宋体" w:hAnsi="宋体" w:eastAsia="宋体" w:cs="Times New Roman"/>
          <w:b w:val="0"/>
          <w:bCs w:val="0"/>
          <w:sz w:val="24"/>
          <w:szCs w:val="24"/>
        </w:rPr>
        <w:t>投标或者响应文件（含澄清或者说明文件）；</w:t>
      </w:r>
    </w:p>
    <w:p w14:paraId="08270384">
      <w:pPr>
        <w:adjustRightInd w:val="0"/>
        <w:spacing w:line="560" w:lineRule="exact"/>
        <w:ind w:firstLine="480" w:firstLineChars="200"/>
        <w:rPr>
          <w:rFonts w:ascii="宋体" w:hAnsi="宋体" w:eastAsia="宋体" w:cs="Times New Roman"/>
          <w:b w:val="0"/>
          <w:bCs w:val="0"/>
          <w:sz w:val="24"/>
          <w:szCs w:val="24"/>
        </w:rPr>
      </w:pPr>
      <w:r>
        <w:rPr>
          <w:rFonts w:ascii="宋体" w:hAnsi="宋体" w:eastAsia="宋体" w:cs="Times New Roman"/>
          <w:b w:val="0"/>
          <w:bCs w:val="0"/>
          <w:sz w:val="24"/>
          <w:szCs w:val="24"/>
        </w:rPr>
        <w:t xml:space="preserve">1.1.4 </w:t>
      </w:r>
      <w:r>
        <w:rPr>
          <w:rFonts w:hint="eastAsia" w:ascii="宋体" w:hAnsi="宋体" w:eastAsia="宋体" w:cs="Times New Roman"/>
          <w:b w:val="0"/>
          <w:bCs w:val="0"/>
          <w:sz w:val="24"/>
          <w:szCs w:val="24"/>
        </w:rPr>
        <w:t>采购文件（含澄清或者修改文件）；</w:t>
      </w:r>
    </w:p>
    <w:p w14:paraId="1534595A">
      <w:pPr>
        <w:adjustRightInd w:val="0"/>
        <w:spacing w:line="560" w:lineRule="exact"/>
        <w:ind w:firstLine="480" w:firstLineChars="200"/>
        <w:rPr>
          <w:rFonts w:ascii="宋体" w:hAnsi="宋体" w:eastAsia="宋体" w:cs="Times New Roman"/>
          <w:b w:val="0"/>
          <w:bCs w:val="0"/>
          <w:sz w:val="24"/>
          <w:szCs w:val="24"/>
        </w:rPr>
      </w:pPr>
      <w:r>
        <w:rPr>
          <w:rFonts w:ascii="宋体" w:hAnsi="宋体" w:eastAsia="宋体" w:cs="Times New Roman"/>
          <w:b w:val="0"/>
          <w:bCs w:val="0"/>
          <w:sz w:val="24"/>
          <w:szCs w:val="24"/>
        </w:rPr>
        <w:t xml:space="preserve">1.1.5 </w:t>
      </w:r>
      <w:r>
        <w:rPr>
          <w:rFonts w:hint="eastAsia" w:ascii="宋体" w:hAnsi="宋体" w:eastAsia="宋体" w:cs="Times New Roman"/>
          <w:b w:val="0"/>
          <w:bCs w:val="0"/>
          <w:sz w:val="24"/>
          <w:szCs w:val="24"/>
        </w:rPr>
        <w:t>其他相关采购文件。</w:t>
      </w:r>
    </w:p>
    <w:p w14:paraId="67C8C50A">
      <w:pPr>
        <w:adjustRightInd w:val="0"/>
        <w:spacing w:line="560" w:lineRule="exact"/>
        <w:ind w:firstLine="480" w:firstLineChars="200"/>
        <w:outlineLvl w:val="0"/>
        <w:rPr>
          <w:rFonts w:ascii="宋体" w:hAnsi="宋体" w:eastAsia="宋体" w:cs="Times New Roman"/>
          <w:b w:val="0"/>
          <w:bCs w:val="0"/>
          <w:sz w:val="24"/>
          <w:szCs w:val="24"/>
        </w:rPr>
      </w:pPr>
      <w:bookmarkStart w:id="103" w:name="_Toc6773"/>
      <w:bookmarkStart w:id="104" w:name="_Toc18585"/>
      <w:bookmarkStart w:id="105" w:name="_Toc2918"/>
      <w:bookmarkStart w:id="106" w:name="_Toc6311"/>
      <w:bookmarkStart w:id="107" w:name="_Toc22185"/>
      <w:r>
        <w:rPr>
          <w:rFonts w:ascii="宋体" w:hAnsi="宋体" w:eastAsia="宋体" w:cs="Times New Roman"/>
          <w:b w:val="0"/>
          <w:bCs w:val="0"/>
          <w:sz w:val="24"/>
          <w:szCs w:val="24"/>
        </w:rPr>
        <w:t xml:space="preserve">1.2 </w:t>
      </w:r>
      <w:r>
        <w:rPr>
          <w:rFonts w:hint="eastAsia" w:ascii="宋体" w:hAnsi="宋体" w:eastAsia="宋体" w:cs="Times New Roman"/>
          <w:b w:val="0"/>
          <w:bCs w:val="0"/>
          <w:sz w:val="24"/>
          <w:szCs w:val="24"/>
        </w:rPr>
        <w:t>标的</w:t>
      </w:r>
      <w:bookmarkEnd w:id="103"/>
      <w:bookmarkEnd w:id="104"/>
      <w:bookmarkEnd w:id="105"/>
      <w:bookmarkEnd w:id="106"/>
      <w:bookmarkEnd w:id="107"/>
    </w:p>
    <w:p w14:paraId="69579653">
      <w:pPr>
        <w:adjustRightInd w:val="0"/>
        <w:spacing w:line="560" w:lineRule="exact"/>
        <w:ind w:firstLine="480" w:firstLineChars="200"/>
        <w:rPr>
          <w:rFonts w:ascii="宋体" w:hAnsi="宋体" w:eastAsia="宋体" w:cs="Times New Roman"/>
          <w:b w:val="0"/>
          <w:bCs w:val="0"/>
          <w:sz w:val="24"/>
          <w:szCs w:val="24"/>
          <w:u w:val="single"/>
        </w:rPr>
      </w:pPr>
      <w:r>
        <w:rPr>
          <w:rFonts w:ascii="宋体" w:hAnsi="宋体" w:eastAsia="宋体" w:cs="Times New Roman"/>
          <w:b w:val="0"/>
          <w:bCs w:val="0"/>
          <w:sz w:val="24"/>
          <w:szCs w:val="24"/>
        </w:rPr>
        <w:t xml:space="preserve">1.2.1 </w:t>
      </w:r>
      <w:r>
        <w:rPr>
          <w:rFonts w:hint="eastAsia" w:ascii="宋体" w:hAnsi="宋体" w:eastAsia="宋体" w:cs="Times New Roman"/>
          <w:b w:val="0"/>
          <w:bCs w:val="0"/>
          <w:sz w:val="24"/>
          <w:szCs w:val="24"/>
        </w:rPr>
        <w:t>服务内容</w:t>
      </w:r>
      <w:r>
        <w:rPr>
          <w:rFonts w:ascii="宋体" w:hAnsi="宋体" w:eastAsia="宋体" w:cs="Times New Roman"/>
          <w:b w:val="0"/>
          <w:bCs w:val="0"/>
          <w:sz w:val="24"/>
          <w:szCs w:val="24"/>
        </w:rPr>
        <w:t>：</w:t>
      </w:r>
      <w:r>
        <w:rPr>
          <w:rFonts w:ascii="宋体" w:hAnsi="宋体" w:eastAsia="宋体" w:cs="Times New Roman"/>
          <w:b w:val="0"/>
          <w:bCs w:val="0"/>
          <w:sz w:val="24"/>
          <w:szCs w:val="24"/>
          <w:u w:val="single"/>
        </w:rPr>
        <w:t xml:space="preserve">                                        </w:t>
      </w:r>
      <w:r>
        <w:rPr>
          <w:rFonts w:hint="eastAsia" w:ascii="宋体" w:hAnsi="宋体" w:eastAsia="宋体" w:cs="Times New Roman"/>
          <w:b w:val="0"/>
          <w:bCs w:val="0"/>
          <w:sz w:val="24"/>
          <w:szCs w:val="24"/>
        </w:rPr>
        <w:t>；</w:t>
      </w:r>
    </w:p>
    <w:p w14:paraId="462C6E95">
      <w:pPr>
        <w:adjustRightInd w:val="0"/>
        <w:spacing w:line="560" w:lineRule="exact"/>
        <w:ind w:firstLine="480" w:firstLineChars="200"/>
        <w:rPr>
          <w:rFonts w:ascii="宋体" w:hAnsi="宋体" w:eastAsia="宋体" w:cs="Times New Roman"/>
          <w:b w:val="0"/>
          <w:bCs w:val="0"/>
          <w:sz w:val="24"/>
          <w:szCs w:val="24"/>
          <w:u w:val="single"/>
        </w:rPr>
      </w:pPr>
      <w:r>
        <w:rPr>
          <w:rFonts w:ascii="宋体" w:hAnsi="宋体" w:eastAsia="宋体" w:cs="Times New Roman"/>
          <w:b w:val="0"/>
          <w:bCs w:val="0"/>
          <w:sz w:val="24"/>
          <w:szCs w:val="24"/>
        </w:rPr>
        <w:t xml:space="preserve">1.2.2 </w:t>
      </w:r>
      <w:r>
        <w:rPr>
          <w:rFonts w:hint="eastAsia" w:ascii="宋体" w:hAnsi="宋体" w:eastAsia="宋体" w:cs="Times New Roman"/>
          <w:b w:val="0"/>
          <w:bCs w:val="0"/>
          <w:sz w:val="24"/>
          <w:szCs w:val="24"/>
        </w:rPr>
        <w:t>服务标准</w:t>
      </w:r>
      <w:r>
        <w:rPr>
          <w:rFonts w:ascii="宋体" w:hAnsi="宋体" w:eastAsia="宋体" w:cs="Times New Roman"/>
          <w:b w:val="0"/>
          <w:bCs w:val="0"/>
          <w:sz w:val="24"/>
          <w:szCs w:val="24"/>
        </w:rPr>
        <w:t>：</w:t>
      </w:r>
      <w:r>
        <w:rPr>
          <w:rFonts w:ascii="宋体" w:hAnsi="宋体" w:eastAsia="宋体" w:cs="Times New Roman"/>
          <w:b w:val="0"/>
          <w:bCs w:val="0"/>
          <w:sz w:val="24"/>
          <w:szCs w:val="24"/>
          <w:u w:val="single"/>
        </w:rPr>
        <w:t xml:space="preserve">                                                </w:t>
      </w:r>
      <w:r>
        <w:rPr>
          <w:rFonts w:hint="eastAsia" w:ascii="宋体" w:hAnsi="宋体" w:eastAsia="宋体" w:cs="Times New Roman"/>
          <w:b w:val="0"/>
          <w:bCs w:val="0"/>
          <w:sz w:val="24"/>
          <w:szCs w:val="24"/>
        </w:rPr>
        <w:t>；</w:t>
      </w:r>
    </w:p>
    <w:p w14:paraId="16DA36A9">
      <w:pPr>
        <w:adjustRightInd w:val="0"/>
        <w:spacing w:line="560" w:lineRule="exact"/>
        <w:ind w:firstLine="480" w:firstLineChars="200"/>
        <w:rPr>
          <w:rFonts w:ascii="宋体" w:hAnsi="宋体" w:eastAsia="宋体" w:cs="Times New Roman"/>
          <w:b w:val="0"/>
          <w:bCs w:val="0"/>
          <w:sz w:val="24"/>
          <w:szCs w:val="24"/>
          <w:u w:val="single"/>
        </w:rPr>
      </w:pPr>
      <w:r>
        <w:rPr>
          <w:rFonts w:ascii="宋体" w:hAnsi="宋体" w:eastAsia="宋体" w:cs="Times New Roman"/>
          <w:b w:val="0"/>
          <w:bCs w:val="0"/>
          <w:sz w:val="24"/>
          <w:szCs w:val="24"/>
        </w:rPr>
        <w:t xml:space="preserve">1.2.3 </w:t>
      </w:r>
      <w:r>
        <w:rPr>
          <w:rFonts w:hint="eastAsia" w:ascii="宋体" w:hAnsi="宋体" w:eastAsia="宋体" w:cs="Times New Roman"/>
          <w:b w:val="0"/>
          <w:bCs w:val="0"/>
          <w:sz w:val="24"/>
          <w:szCs w:val="24"/>
        </w:rPr>
        <w:t>技术保障：</w:t>
      </w:r>
      <w:r>
        <w:rPr>
          <w:rFonts w:ascii="宋体" w:hAnsi="宋体" w:eastAsia="宋体" w:cs="Times New Roman"/>
          <w:b w:val="0"/>
          <w:bCs w:val="0"/>
          <w:sz w:val="24"/>
          <w:szCs w:val="24"/>
          <w:u w:val="single"/>
        </w:rPr>
        <w:t xml:space="preserve">　　　　　　　　　                      　      </w:t>
      </w:r>
      <w:r>
        <w:rPr>
          <w:rFonts w:hint="eastAsia" w:ascii="宋体" w:hAnsi="宋体" w:eastAsia="宋体" w:cs="Times New Roman"/>
          <w:b w:val="0"/>
          <w:bCs w:val="0"/>
          <w:sz w:val="24"/>
          <w:szCs w:val="24"/>
          <w:u w:val="single"/>
        </w:rPr>
        <w:t>；</w:t>
      </w:r>
    </w:p>
    <w:p w14:paraId="0FF7DABD">
      <w:pPr>
        <w:adjustRightInd w:val="0"/>
        <w:spacing w:line="560" w:lineRule="exact"/>
        <w:ind w:firstLine="480" w:firstLineChars="200"/>
        <w:jc w:val="left"/>
        <w:rPr>
          <w:rFonts w:ascii="宋体" w:hAnsi="宋体" w:eastAsia="宋体" w:cs="Times New Roman"/>
          <w:b w:val="0"/>
          <w:bCs w:val="0"/>
          <w:sz w:val="24"/>
          <w:szCs w:val="24"/>
        </w:rPr>
      </w:pPr>
      <w:r>
        <w:rPr>
          <w:rFonts w:hint="eastAsia" w:ascii="宋体" w:hAnsi="宋体" w:eastAsia="宋体" w:cs="Times New Roman"/>
          <w:b w:val="0"/>
          <w:bCs w:val="0"/>
          <w:sz w:val="24"/>
          <w:szCs w:val="24"/>
        </w:rPr>
        <w:t>1.2.4 服务人员组成：</w:t>
      </w:r>
      <w:r>
        <w:rPr>
          <w:rFonts w:ascii="宋体" w:hAnsi="宋体" w:eastAsia="宋体" w:cs="Times New Roman"/>
          <w:b w:val="0"/>
          <w:bCs w:val="0"/>
          <w:sz w:val="24"/>
          <w:szCs w:val="24"/>
          <w:u w:val="single"/>
        </w:rPr>
        <w:t xml:space="preserve">　　             　      </w:t>
      </w:r>
      <w:r>
        <w:rPr>
          <w:rFonts w:hint="eastAsia" w:ascii="宋体" w:hAnsi="宋体" w:eastAsia="宋体" w:cs="Times New Roman"/>
          <w:b w:val="0"/>
          <w:bCs w:val="0"/>
          <w:sz w:val="24"/>
          <w:szCs w:val="24"/>
        </w:rPr>
        <w:t>；</w:t>
      </w:r>
    </w:p>
    <w:p w14:paraId="581D4BDB">
      <w:pPr>
        <w:adjustRightInd w:val="0"/>
        <w:spacing w:line="560" w:lineRule="exact"/>
        <w:ind w:firstLine="480" w:firstLineChars="200"/>
        <w:outlineLvl w:val="0"/>
        <w:rPr>
          <w:rFonts w:ascii="宋体" w:hAnsi="宋体" w:eastAsia="宋体" w:cs="Times New Roman"/>
          <w:b w:val="0"/>
          <w:bCs w:val="0"/>
          <w:sz w:val="24"/>
          <w:szCs w:val="24"/>
        </w:rPr>
      </w:pPr>
      <w:bookmarkStart w:id="108" w:name="_Toc4929"/>
      <w:bookmarkStart w:id="109" w:name="_Toc5635"/>
      <w:bookmarkStart w:id="110" w:name="_Toc13918"/>
      <w:bookmarkStart w:id="111" w:name="_Toc21124"/>
      <w:bookmarkStart w:id="112" w:name="_Toc1386"/>
      <w:r>
        <w:rPr>
          <w:rFonts w:ascii="宋体" w:hAnsi="宋体" w:eastAsia="宋体" w:cs="Times New Roman"/>
          <w:b w:val="0"/>
          <w:bCs w:val="0"/>
          <w:sz w:val="24"/>
          <w:szCs w:val="24"/>
        </w:rPr>
        <w:t>1.3 价款</w:t>
      </w:r>
      <w:bookmarkEnd w:id="108"/>
      <w:bookmarkEnd w:id="109"/>
      <w:bookmarkEnd w:id="110"/>
      <w:bookmarkEnd w:id="111"/>
      <w:bookmarkEnd w:id="112"/>
    </w:p>
    <w:p w14:paraId="26107D27">
      <w:pPr>
        <w:adjustRightInd w:val="0"/>
        <w:spacing w:line="560" w:lineRule="exact"/>
        <w:ind w:firstLine="480" w:firstLineChars="200"/>
        <w:rPr>
          <w:rFonts w:ascii="宋体" w:hAnsi="宋体" w:eastAsia="宋体" w:cs="Times New Roman"/>
          <w:b w:val="0"/>
          <w:bCs w:val="0"/>
          <w:sz w:val="24"/>
          <w:szCs w:val="24"/>
        </w:rPr>
      </w:pPr>
      <w:r>
        <w:rPr>
          <w:rFonts w:hint="eastAsia" w:ascii="宋体" w:hAnsi="宋体" w:eastAsia="宋体" w:cs="宋体"/>
          <w:b w:val="0"/>
          <w:bCs w:val="0"/>
          <w:sz w:val="24"/>
          <w:szCs w:val="24"/>
        </w:rPr>
        <w:t>本项目采用以下第</w:t>
      </w:r>
      <w:r>
        <w:rPr>
          <w:rFonts w:hint="eastAsia" w:ascii="宋体" w:hAnsi="宋体" w:eastAsia="宋体" w:cs="宋体"/>
          <w:b w:val="0"/>
          <w:bCs w:val="0"/>
          <w:sz w:val="24"/>
          <w:szCs w:val="24"/>
          <w:u w:val="single"/>
        </w:rPr>
        <w:t xml:space="preserve">     </w:t>
      </w:r>
      <w:r>
        <w:rPr>
          <w:rFonts w:hint="eastAsia" w:ascii="宋体" w:hAnsi="宋体" w:eastAsia="宋体" w:cs="宋体"/>
          <w:b w:val="0"/>
          <w:bCs w:val="0"/>
          <w:sz w:val="24"/>
          <w:szCs w:val="24"/>
        </w:rPr>
        <w:t>条款规定的计价方式计价。</w:t>
      </w:r>
    </w:p>
    <w:p w14:paraId="2FED75F7">
      <w:pPr>
        <w:adjustRightInd w:val="0"/>
        <w:spacing w:line="560" w:lineRule="exact"/>
        <w:ind w:firstLine="480" w:firstLineChars="200"/>
        <w:rPr>
          <w:rFonts w:ascii="宋体" w:hAnsi="宋体" w:eastAsia="宋体" w:cs="Times New Roman"/>
          <w:b w:val="0"/>
          <w:bCs w:val="0"/>
          <w:sz w:val="24"/>
          <w:szCs w:val="24"/>
        </w:rPr>
      </w:pPr>
      <w:r>
        <w:rPr>
          <w:rFonts w:hint="eastAsia" w:ascii="宋体" w:hAnsi="宋体" w:eastAsia="宋体" w:cs="Times New Roman"/>
          <w:b w:val="0"/>
          <w:bCs w:val="0"/>
          <w:sz w:val="24"/>
          <w:szCs w:val="24"/>
        </w:rPr>
        <w:t>1.3.1总价合同，</w:t>
      </w:r>
      <w:r>
        <w:rPr>
          <w:rFonts w:ascii="宋体" w:hAnsi="宋体" w:eastAsia="宋体" w:cs="Times New Roman"/>
          <w:b w:val="0"/>
          <w:bCs w:val="0"/>
          <w:sz w:val="24"/>
          <w:szCs w:val="24"/>
        </w:rPr>
        <w:t>本合同总价</w:t>
      </w:r>
      <w:r>
        <w:rPr>
          <w:rFonts w:hint="eastAsia" w:ascii="宋体" w:hAnsi="宋体" w:eastAsia="宋体" w:cs="Times New Roman"/>
          <w:b w:val="0"/>
          <w:bCs w:val="0"/>
          <w:sz w:val="24"/>
          <w:szCs w:val="24"/>
        </w:rPr>
        <w:t>（含税）</w:t>
      </w:r>
      <w:r>
        <w:rPr>
          <w:rFonts w:ascii="宋体" w:hAnsi="宋体" w:eastAsia="宋体" w:cs="Times New Roman"/>
          <w:b w:val="0"/>
          <w:bCs w:val="0"/>
          <w:sz w:val="24"/>
          <w:szCs w:val="24"/>
        </w:rPr>
        <w:t>为</w:t>
      </w:r>
      <w:r>
        <w:rPr>
          <w:rFonts w:hint="eastAsia" w:ascii="宋体" w:hAnsi="宋体" w:eastAsia="宋体" w:cs="Times New Roman"/>
          <w:b w:val="0"/>
          <w:bCs w:val="0"/>
          <w:sz w:val="24"/>
          <w:szCs w:val="24"/>
        </w:rPr>
        <w:t>：￥</w:t>
      </w:r>
      <w:r>
        <w:rPr>
          <w:rFonts w:ascii="宋体" w:hAnsi="宋体" w:eastAsia="宋体" w:cs="Times New Roman"/>
          <w:b w:val="0"/>
          <w:bCs w:val="0"/>
          <w:sz w:val="24"/>
          <w:szCs w:val="24"/>
          <w:u w:val="single"/>
        </w:rPr>
        <w:t xml:space="preserve">           </w:t>
      </w:r>
      <w:r>
        <w:rPr>
          <w:rFonts w:ascii="宋体" w:hAnsi="宋体" w:eastAsia="宋体" w:cs="Times New Roman"/>
          <w:b w:val="0"/>
          <w:bCs w:val="0"/>
          <w:sz w:val="24"/>
          <w:szCs w:val="24"/>
        </w:rPr>
        <w:t>元</w:t>
      </w:r>
      <w:r>
        <w:rPr>
          <w:rFonts w:hint="eastAsia" w:ascii="宋体" w:hAnsi="宋体" w:eastAsia="宋体" w:cs="Times New Roman"/>
          <w:b w:val="0"/>
          <w:bCs w:val="0"/>
          <w:sz w:val="24"/>
          <w:szCs w:val="24"/>
        </w:rPr>
        <w:t>（大写：</w:t>
      </w:r>
      <w:r>
        <w:rPr>
          <w:rFonts w:ascii="宋体" w:hAnsi="宋体" w:eastAsia="宋体" w:cs="Times New Roman"/>
          <w:b w:val="0"/>
          <w:bCs w:val="0"/>
          <w:sz w:val="24"/>
          <w:szCs w:val="24"/>
          <w:u w:val="single"/>
        </w:rPr>
        <w:t xml:space="preserve">                 </w:t>
      </w:r>
      <w:r>
        <w:rPr>
          <w:rFonts w:hint="eastAsia" w:ascii="宋体" w:hAnsi="宋体" w:eastAsia="宋体" w:cs="Times New Roman"/>
          <w:b w:val="0"/>
          <w:bCs w:val="0"/>
          <w:sz w:val="24"/>
          <w:szCs w:val="24"/>
        </w:rPr>
        <w:t>元人民币）</w:t>
      </w:r>
      <w:r>
        <w:rPr>
          <w:rFonts w:ascii="宋体" w:hAnsi="宋体" w:eastAsia="宋体" w:cs="Times New Roman"/>
          <w:b w:val="0"/>
          <w:bCs w:val="0"/>
          <w:sz w:val="24"/>
          <w:szCs w:val="24"/>
        </w:rPr>
        <w:t>。</w:t>
      </w:r>
    </w:p>
    <w:p w14:paraId="66BFEC0A">
      <w:pPr>
        <w:adjustRightInd w:val="0"/>
        <w:spacing w:line="560" w:lineRule="exact"/>
        <w:ind w:firstLine="480" w:firstLineChars="200"/>
        <w:rPr>
          <w:rFonts w:ascii="宋体" w:hAnsi="宋体" w:eastAsia="宋体" w:cs="Times New Roman"/>
          <w:b w:val="0"/>
          <w:bCs w:val="0"/>
          <w:sz w:val="24"/>
          <w:szCs w:val="24"/>
          <w:u w:val="single"/>
        </w:rPr>
      </w:pPr>
      <w:r>
        <w:rPr>
          <w:rFonts w:ascii="宋体" w:hAnsi="宋体" w:eastAsia="宋体" w:cs="Times New Roman"/>
          <w:b w:val="0"/>
          <w:bCs w:val="0"/>
          <w:sz w:val="24"/>
          <w:szCs w:val="24"/>
        </w:rPr>
        <w:t>分项价格：</w:t>
      </w:r>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7C576A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1351784A">
            <w:pPr>
              <w:widowControl w:val="0"/>
              <w:adjustRightInd/>
              <w:spacing w:line="560" w:lineRule="exact"/>
              <w:jc w:val="center"/>
              <w:rPr>
                <w:rFonts w:ascii="宋体" w:hAnsi="宋体" w:eastAsia="宋体" w:cs="Times New Roman"/>
                <w:b w:val="0"/>
                <w:bCs w:val="0"/>
                <w:kern w:val="0"/>
                <w:sz w:val="24"/>
                <w:szCs w:val="24"/>
                <w:lang w:val="en-US" w:eastAsia="zh-CN" w:bidi="ar-SA"/>
              </w:rPr>
            </w:pPr>
            <w:r>
              <w:rPr>
                <w:rFonts w:ascii="宋体" w:hAnsi="宋体" w:eastAsia="宋体" w:cs="Times New Roman"/>
                <w:b w:val="0"/>
                <w:bCs w:val="0"/>
                <w:kern w:val="0"/>
                <w:sz w:val="24"/>
                <w:szCs w:val="24"/>
                <w:lang w:val="en-US" w:eastAsia="zh-CN" w:bidi="ar-SA"/>
              </w:rPr>
              <w:t>序号</w:t>
            </w:r>
          </w:p>
        </w:tc>
        <w:tc>
          <w:tcPr>
            <w:tcW w:w="3402" w:type="dxa"/>
            <w:noWrap w:val="0"/>
            <w:vAlign w:val="center"/>
          </w:tcPr>
          <w:p w14:paraId="5B21E22A">
            <w:pPr>
              <w:widowControl w:val="0"/>
              <w:adjustRightInd/>
              <w:spacing w:line="560" w:lineRule="exact"/>
              <w:ind w:firstLine="200"/>
              <w:jc w:val="center"/>
              <w:rPr>
                <w:rFonts w:ascii="宋体" w:hAnsi="宋体" w:eastAsia="宋体" w:cs="Times New Roman"/>
                <w:b w:val="0"/>
                <w:bCs w:val="0"/>
                <w:kern w:val="0"/>
                <w:sz w:val="24"/>
                <w:szCs w:val="24"/>
                <w:lang w:val="en-US" w:eastAsia="zh-CN" w:bidi="ar-SA"/>
              </w:rPr>
            </w:pPr>
            <w:r>
              <w:rPr>
                <w:rFonts w:hint="eastAsia" w:ascii="宋体" w:hAnsi="宋体" w:eastAsia="宋体" w:cs="Times New Roman"/>
                <w:b w:val="0"/>
                <w:bCs w:val="0"/>
                <w:kern w:val="0"/>
                <w:sz w:val="24"/>
                <w:szCs w:val="24"/>
                <w:lang w:val="en-US" w:eastAsia="zh-CN" w:bidi="ar-SA"/>
              </w:rPr>
              <w:t>分项名称</w:t>
            </w:r>
          </w:p>
        </w:tc>
        <w:tc>
          <w:tcPr>
            <w:tcW w:w="2552" w:type="dxa"/>
            <w:noWrap w:val="0"/>
            <w:vAlign w:val="center"/>
          </w:tcPr>
          <w:p w14:paraId="66680993">
            <w:pPr>
              <w:widowControl w:val="0"/>
              <w:adjustRightInd/>
              <w:spacing w:line="560" w:lineRule="exact"/>
              <w:jc w:val="center"/>
              <w:rPr>
                <w:rFonts w:ascii="宋体" w:hAnsi="宋体" w:eastAsia="宋体" w:cs="Times New Roman"/>
                <w:b w:val="0"/>
                <w:bCs w:val="0"/>
                <w:kern w:val="0"/>
                <w:sz w:val="24"/>
                <w:szCs w:val="24"/>
                <w:lang w:val="en-US" w:eastAsia="zh-CN" w:bidi="ar-SA"/>
              </w:rPr>
            </w:pPr>
            <w:r>
              <w:rPr>
                <w:rFonts w:ascii="宋体" w:hAnsi="宋体" w:eastAsia="宋体" w:cs="Times New Roman"/>
                <w:b w:val="0"/>
                <w:bCs w:val="0"/>
                <w:kern w:val="0"/>
                <w:sz w:val="24"/>
                <w:szCs w:val="24"/>
                <w:lang w:val="en-US" w:eastAsia="zh-CN" w:bidi="ar-SA"/>
              </w:rPr>
              <w:t>分项价格</w:t>
            </w:r>
          </w:p>
        </w:tc>
      </w:tr>
      <w:tr w14:paraId="767361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68ECDF74">
            <w:pPr>
              <w:widowControl w:val="0"/>
              <w:adjustRightInd/>
              <w:spacing w:line="560" w:lineRule="exact"/>
              <w:ind w:firstLine="200"/>
              <w:jc w:val="center"/>
              <w:rPr>
                <w:rFonts w:ascii="宋体" w:hAnsi="宋体" w:eastAsia="宋体" w:cs="Times New Roman"/>
                <w:b w:val="0"/>
                <w:bCs w:val="0"/>
                <w:kern w:val="0"/>
                <w:sz w:val="24"/>
                <w:szCs w:val="24"/>
                <w:lang w:val="en-US" w:eastAsia="zh-CN" w:bidi="ar-SA"/>
              </w:rPr>
            </w:pPr>
          </w:p>
        </w:tc>
        <w:tc>
          <w:tcPr>
            <w:tcW w:w="3402" w:type="dxa"/>
            <w:noWrap w:val="0"/>
            <w:vAlign w:val="center"/>
          </w:tcPr>
          <w:p w14:paraId="14F29204">
            <w:pPr>
              <w:widowControl w:val="0"/>
              <w:adjustRightInd/>
              <w:spacing w:line="560" w:lineRule="exact"/>
              <w:ind w:firstLine="200"/>
              <w:jc w:val="center"/>
              <w:rPr>
                <w:rFonts w:ascii="宋体" w:hAnsi="宋体" w:eastAsia="宋体" w:cs="Times New Roman"/>
                <w:b w:val="0"/>
                <w:bCs w:val="0"/>
                <w:kern w:val="0"/>
                <w:sz w:val="24"/>
                <w:szCs w:val="24"/>
                <w:lang w:val="en-US" w:eastAsia="zh-CN" w:bidi="ar-SA"/>
              </w:rPr>
            </w:pPr>
          </w:p>
        </w:tc>
        <w:tc>
          <w:tcPr>
            <w:tcW w:w="2552" w:type="dxa"/>
            <w:noWrap w:val="0"/>
            <w:vAlign w:val="center"/>
          </w:tcPr>
          <w:p w14:paraId="49E6FE42">
            <w:pPr>
              <w:widowControl w:val="0"/>
              <w:adjustRightInd/>
              <w:spacing w:line="560" w:lineRule="exact"/>
              <w:ind w:firstLine="200"/>
              <w:jc w:val="center"/>
              <w:rPr>
                <w:rFonts w:ascii="宋体" w:hAnsi="宋体" w:eastAsia="宋体" w:cs="Times New Roman"/>
                <w:b w:val="0"/>
                <w:bCs w:val="0"/>
                <w:kern w:val="0"/>
                <w:sz w:val="24"/>
                <w:szCs w:val="24"/>
                <w:lang w:val="en-US" w:eastAsia="zh-CN" w:bidi="ar-SA"/>
              </w:rPr>
            </w:pPr>
          </w:p>
        </w:tc>
      </w:tr>
      <w:tr w14:paraId="34AA9F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67668F62">
            <w:pPr>
              <w:widowControl w:val="0"/>
              <w:adjustRightInd/>
              <w:spacing w:line="560" w:lineRule="exact"/>
              <w:ind w:firstLine="200"/>
              <w:jc w:val="center"/>
              <w:rPr>
                <w:rFonts w:ascii="宋体" w:hAnsi="宋体" w:eastAsia="宋体" w:cs="Times New Roman"/>
                <w:b w:val="0"/>
                <w:bCs w:val="0"/>
                <w:kern w:val="0"/>
                <w:sz w:val="24"/>
                <w:szCs w:val="24"/>
                <w:lang w:val="en-US" w:eastAsia="zh-CN" w:bidi="ar-SA"/>
              </w:rPr>
            </w:pPr>
          </w:p>
        </w:tc>
        <w:tc>
          <w:tcPr>
            <w:tcW w:w="3402" w:type="dxa"/>
            <w:noWrap w:val="0"/>
            <w:vAlign w:val="center"/>
          </w:tcPr>
          <w:p w14:paraId="7F942D59">
            <w:pPr>
              <w:widowControl w:val="0"/>
              <w:adjustRightInd/>
              <w:spacing w:line="560" w:lineRule="exact"/>
              <w:ind w:firstLine="200"/>
              <w:jc w:val="center"/>
              <w:rPr>
                <w:rFonts w:ascii="宋体" w:hAnsi="宋体" w:eastAsia="宋体" w:cs="Times New Roman"/>
                <w:b w:val="0"/>
                <w:bCs w:val="0"/>
                <w:kern w:val="0"/>
                <w:sz w:val="24"/>
                <w:szCs w:val="24"/>
                <w:lang w:val="en-US" w:eastAsia="zh-CN" w:bidi="ar-SA"/>
              </w:rPr>
            </w:pPr>
          </w:p>
        </w:tc>
        <w:tc>
          <w:tcPr>
            <w:tcW w:w="2552" w:type="dxa"/>
            <w:noWrap w:val="0"/>
            <w:vAlign w:val="center"/>
          </w:tcPr>
          <w:p w14:paraId="06BD6581">
            <w:pPr>
              <w:widowControl w:val="0"/>
              <w:adjustRightInd/>
              <w:spacing w:line="560" w:lineRule="exact"/>
              <w:ind w:firstLine="200"/>
              <w:jc w:val="center"/>
              <w:rPr>
                <w:rFonts w:ascii="宋体" w:hAnsi="宋体" w:eastAsia="宋体" w:cs="Times New Roman"/>
                <w:b w:val="0"/>
                <w:bCs w:val="0"/>
                <w:kern w:val="0"/>
                <w:sz w:val="24"/>
                <w:szCs w:val="24"/>
                <w:lang w:val="en-US" w:eastAsia="zh-CN" w:bidi="ar-SA"/>
              </w:rPr>
            </w:pPr>
          </w:p>
        </w:tc>
      </w:tr>
      <w:tr w14:paraId="78C52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26AA562D">
            <w:pPr>
              <w:widowControl w:val="0"/>
              <w:adjustRightInd/>
              <w:spacing w:line="560" w:lineRule="exact"/>
              <w:ind w:firstLine="200"/>
              <w:jc w:val="center"/>
              <w:rPr>
                <w:rFonts w:ascii="宋体" w:hAnsi="宋体" w:eastAsia="宋体" w:cs="Times New Roman"/>
                <w:b w:val="0"/>
                <w:bCs w:val="0"/>
                <w:kern w:val="0"/>
                <w:sz w:val="24"/>
                <w:szCs w:val="24"/>
                <w:lang w:val="en-US" w:eastAsia="zh-CN" w:bidi="ar-SA"/>
              </w:rPr>
            </w:pPr>
          </w:p>
        </w:tc>
        <w:tc>
          <w:tcPr>
            <w:tcW w:w="3402" w:type="dxa"/>
            <w:noWrap w:val="0"/>
            <w:vAlign w:val="center"/>
          </w:tcPr>
          <w:p w14:paraId="6052812E">
            <w:pPr>
              <w:widowControl w:val="0"/>
              <w:adjustRightInd/>
              <w:spacing w:line="560" w:lineRule="exact"/>
              <w:ind w:firstLine="200"/>
              <w:jc w:val="center"/>
              <w:rPr>
                <w:rFonts w:ascii="宋体" w:hAnsi="宋体" w:eastAsia="宋体" w:cs="Times New Roman"/>
                <w:b w:val="0"/>
                <w:bCs w:val="0"/>
                <w:kern w:val="0"/>
                <w:sz w:val="24"/>
                <w:szCs w:val="24"/>
                <w:lang w:val="en-US" w:eastAsia="zh-CN" w:bidi="ar-SA"/>
              </w:rPr>
            </w:pPr>
          </w:p>
        </w:tc>
        <w:tc>
          <w:tcPr>
            <w:tcW w:w="2552" w:type="dxa"/>
            <w:noWrap w:val="0"/>
            <w:vAlign w:val="center"/>
          </w:tcPr>
          <w:p w14:paraId="70472CE8">
            <w:pPr>
              <w:widowControl w:val="0"/>
              <w:adjustRightInd/>
              <w:spacing w:line="560" w:lineRule="exact"/>
              <w:ind w:firstLine="200"/>
              <w:jc w:val="center"/>
              <w:rPr>
                <w:rFonts w:ascii="宋体" w:hAnsi="宋体" w:eastAsia="宋体" w:cs="Times New Roman"/>
                <w:b w:val="0"/>
                <w:bCs w:val="0"/>
                <w:kern w:val="0"/>
                <w:sz w:val="24"/>
                <w:szCs w:val="24"/>
                <w:lang w:val="en-US" w:eastAsia="zh-CN" w:bidi="ar-SA"/>
              </w:rPr>
            </w:pPr>
          </w:p>
        </w:tc>
      </w:tr>
      <w:tr w14:paraId="554DA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72C48A81">
            <w:pPr>
              <w:widowControl w:val="0"/>
              <w:adjustRightInd/>
              <w:spacing w:line="560" w:lineRule="exact"/>
              <w:ind w:firstLine="200"/>
              <w:jc w:val="center"/>
              <w:rPr>
                <w:rFonts w:ascii="宋体" w:hAnsi="宋体" w:eastAsia="宋体" w:cs="Times New Roman"/>
                <w:b w:val="0"/>
                <w:bCs w:val="0"/>
                <w:kern w:val="0"/>
                <w:sz w:val="24"/>
                <w:szCs w:val="24"/>
                <w:lang w:val="en-US" w:eastAsia="zh-CN" w:bidi="ar-SA"/>
              </w:rPr>
            </w:pPr>
          </w:p>
        </w:tc>
        <w:tc>
          <w:tcPr>
            <w:tcW w:w="3402" w:type="dxa"/>
            <w:noWrap w:val="0"/>
            <w:vAlign w:val="center"/>
          </w:tcPr>
          <w:p w14:paraId="0FF5BA09">
            <w:pPr>
              <w:widowControl w:val="0"/>
              <w:adjustRightInd/>
              <w:spacing w:line="560" w:lineRule="exact"/>
              <w:ind w:firstLine="200"/>
              <w:jc w:val="center"/>
              <w:rPr>
                <w:rFonts w:ascii="宋体" w:hAnsi="宋体" w:eastAsia="宋体" w:cs="Times New Roman"/>
                <w:b w:val="0"/>
                <w:bCs w:val="0"/>
                <w:kern w:val="0"/>
                <w:sz w:val="24"/>
                <w:szCs w:val="24"/>
                <w:lang w:val="en-US" w:eastAsia="zh-CN" w:bidi="ar-SA"/>
              </w:rPr>
            </w:pPr>
          </w:p>
        </w:tc>
        <w:tc>
          <w:tcPr>
            <w:tcW w:w="2552" w:type="dxa"/>
            <w:noWrap w:val="0"/>
            <w:vAlign w:val="center"/>
          </w:tcPr>
          <w:p w14:paraId="06261DC2">
            <w:pPr>
              <w:widowControl w:val="0"/>
              <w:adjustRightInd/>
              <w:spacing w:line="560" w:lineRule="exact"/>
              <w:ind w:firstLine="200"/>
              <w:jc w:val="center"/>
              <w:rPr>
                <w:rFonts w:ascii="宋体" w:hAnsi="宋体" w:eastAsia="宋体" w:cs="Times New Roman"/>
                <w:b w:val="0"/>
                <w:bCs w:val="0"/>
                <w:kern w:val="0"/>
                <w:sz w:val="24"/>
                <w:szCs w:val="24"/>
                <w:lang w:val="en-US" w:eastAsia="zh-CN" w:bidi="ar-SA"/>
              </w:rPr>
            </w:pPr>
          </w:p>
        </w:tc>
      </w:tr>
      <w:tr w14:paraId="07154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noWrap w:val="0"/>
            <w:vAlign w:val="center"/>
          </w:tcPr>
          <w:p w14:paraId="5955E225">
            <w:pPr>
              <w:widowControl w:val="0"/>
              <w:adjustRightInd/>
              <w:spacing w:line="560" w:lineRule="exact"/>
              <w:ind w:firstLine="200"/>
              <w:jc w:val="center"/>
              <w:rPr>
                <w:rFonts w:ascii="宋体" w:hAnsi="宋体" w:eastAsia="宋体" w:cs="Times New Roman"/>
                <w:b w:val="0"/>
                <w:bCs w:val="0"/>
                <w:kern w:val="0"/>
                <w:sz w:val="24"/>
                <w:szCs w:val="24"/>
                <w:lang w:val="en-US" w:eastAsia="zh-CN" w:bidi="ar-SA"/>
              </w:rPr>
            </w:pPr>
            <w:r>
              <w:rPr>
                <w:rFonts w:hint="eastAsia" w:ascii="宋体" w:hAnsi="宋体" w:eastAsia="宋体" w:cs="Times New Roman"/>
                <w:b w:val="0"/>
                <w:bCs w:val="0"/>
                <w:kern w:val="0"/>
                <w:sz w:val="24"/>
                <w:szCs w:val="24"/>
                <w:lang w:val="en-US" w:eastAsia="zh-CN" w:bidi="ar-SA"/>
              </w:rPr>
              <w:t>总价</w:t>
            </w:r>
          </w:p>
        </w:tc>
        <w:tc>
          <w:tcPr>
            <w:tcW w:w="2552" w:type="dxa"/>
            <w:noWrap w:val="0"/>
            <w:vAlign w:val="center"/>
          </w:tcPr>
          <w:p w14:paraId="1259826E">
            <w:pPr>
              <w:widowControl w:val="0"/>
              <w:adjustRightInd/>
              <w:spacing w:line="560" w:lineRule="exact"/>
              <w:ind w:firstLine="200"/>
              <w:jc w:val="center"/>
              <w:rPr>
                <w:rFonts w:ascii="宋体" w:hAnsi="宋体" w:eastAsia="宋体" w:cs="Times New Roman"/>
                <w:b w:val="0"/>
                <w:bCs w:val="0"/>
                <w:kern w:val="0"/>
                <w:sz w:val="24"/>
                <w:szCs w:val="24"/>
                <w:lang w:val="en-US" w:eastAsia="zh-CN" w:bidi="ar-SA"/>
              </w:rPr>
            </w:pPr>
          </w:p>
        </w:tc>
      </w:tr>
    </w:tbl>
    <w:p w14:paraId="0B26C9EA">
      <w:pPr>
        <w:adjustRightInd w:val="0"/>
        <w:spacing w:line="560" w:lineRule="exact"/>
        <w:ind w:firstLine="480" w:firstLineChars="200"/>
        <w:rPr>
          <w:rFonts w:ascii="宋体" w:hAnsi="宋体" w:eastAsia="宋体" w:cs="Times New Roman"/>
          <w:b w:val="0"/>
          <w:bCs w:val="0"/>
          <w:sz w:val="24"/>
          <w:szCs w:val="24"/>
        </w:rPr>
      </w:pPr>
      <w:bookmarkStart w:id="113" w:name="_Toc14993"/>
      <w:bookmarkStart w:id="114" w:name="_Toc3654"/>
      <w:bookmarkStart w:id="115" w:name="_Toc30158"/>
      <w:bookmarkStart w:id="116" w:name="_Toc30506"/>
      <w:bookmarkStart w:id="117" w:name="_Toc26916"/>
      <w:r>
        <w:rPr>
          <w:rFonts w:hint="eastAsia" w:ascii="宋体" w:hAnsi="宋体" w:eastAsia="宋体" w:cs="Times New Roman"/>
          <w:b w:val="0"/>
          <w:bCs w:val="0"/>
          <w:sz w:val="24"/>
          <w:szCs w:val="24"/>
        </w:rPr>
        <w:t>1.3.2单价合同，本合同单价（含税）标准为：</w:t>
      </w:r>
      <w:r>
        <w:rPr>
          <w:rFonts w:hint="eastAsia" w:ascii="宋体" w:hAnsi="宋体" w:eastAsia="宋体" w:cs="Times New Roman"/>
          <w:b w:val="0"/>
          <w:bCs w:val="0"/>
          <w:sz w:val="24"/>
          <w:szCs w:val="24"/>
          <w:u w:val="single"/>
        </w:rPr>
        <w:t xml:space="preserve">                   </w:t>
      </w:r>
      <w:r>
        <w:rPr>
          <w:rFonts w:ascii="宋体" w:hAnsi="宋体" w:eastAsia="宋体" w:cs="Times New Roman"/>
          <w:b w:val="0"/>
          <w:bCs w:val="0"/>
          <w:sz w:val="24"/>
          <w:szCs w:val="24"/>
        </w:rPr>
        <w:t>。</w:t>
      </w:r>
      <w:r>
        <w:rPr>
          <w:rFonts w:hint="eastAsia" w:ascii="宋体" w:hAnsi="宋体" w:eastAsia="宋体" w:cs="Times New Roman"/>
          <w:b w:val="0"/>
          <w:bCs w:val="0"/>
          <w:sz w:val="24"/>
          <w:szCs w:val="24"/>
        </w:rPr>
        <w:t>服务工作量的计量方式为：</w:t>
      </w:r>
      <w:r>
        <w:rPr>
          <w:rFonts w:hint="eastAsia" w:ascii="宋体" w:hAnsi="宋体" w:eastAsia="宋体" w:cs="Times New Roman"/>
          <w:b w:val="0"/>
          <w:bCs w:val="0"/>
          <w:sz w:val="24"/>
          <w:szCs w:val="24"/>
          <w:u w:val="single"/>
        </w:rPr>
        <w:t xml:space="preserve">       </w:t>
      </w:r>
      <w:r>
        <w:rPr>
          <w:rFonts w:hint="eastAsia" w:ascii="宋体" w:hAnsi="宋体" w:eastAsia="宋体" w:cs="宋体"/>
          <w:b w:val="0"/>
          <w:bCs w:val="0"/>
          <w:i/>
          <w:sz w:val="24"/>
          <w:szCs w:val="24"/>
          <w:u w:val="single"/>
        </w:rPr>
        <w:t>合同专用条款</w:t>
      </w:r>
      <w:r>
        <w:rPr>
          <w:rFonts w:hint="eastAsia" w:ascii="宋体" w:hAnsi="宋体" w:eastAsia="宋体" w:cs="Times New Roman"/>
          <w:b w:val="0"/>
          <w:bCs w:val="0"/>
          <w:sz w:val="24"/>
          <w:szCs w:val="24"/>
          <w:u w:val="single"/>
        </w:rPr>
        <w:t xml:space="preserve">     </w:t>
      </w:r>
      <w:r>
        <w:rPr>
          <w:rFonts w:ascii="宋体" w:hAnsi="宋体" w:eastAsia="宋体" w:cs="Times New Roman"/>
          <w:b w:val="0"/>
          <w:bCs w:val="0"/>
          <w:sz w:val="24"/>
          <w:szCs w:val="24"/>
        </w:rPr>
        <w:t>。</w:t>
      </w:r>
      <w:r>
        <w:rPr>
          <w:rFonts w:hint="eastAsia" w:ascii="宋体" w:hAnsi="宋体" w:eastAsia="宋体" w:cs="Times New Roman"/>
          <w:b w:val="0"/>
          <w:bCs w:val="0"/>
          <w:sz w:val="24"/>
          <w:szCs w:val="24"/>
        </w:rPr>
        <w:t>单价合同，在合同履行期间内，根据实际完成的工作量据实结算，但结算总价上限不得超过预算金额或者双方确定的金额￥</w:t>
      </w:r>
      <w:r>
        <w:rPr>
          <w:rFonts w:ascii="宋体" w:hAnsi="宋体" w:eastAsia="宋体" w:cs="Times New Roman"/>
          <w:b w:val="0"/>
          <w:bCs w:val="0"/>
          <w:sz w:val="24"/>
          <w:szCs w:val="24"/>
          <w:u w:val="single"/>
        </w:rPr>
        <w:t xml:space="preserve">           </w:t>
      </w:r>
      <w:r>
        <w:rPr>
          <w:rFonts w:ascii="宋体" w:hAnsi="宋体" w:eastAsia="宋体" w:cs="Times New Roman"/>
          <w:b w:val="0"/>
          <w:bCs w:val="0"/>
          <w:sz w:val="24"/>
          <w:szCs w:val="24"/>
        </w:rPr>
        <w:t>元</w:t>
      </w:r>
      <w:r>
        <w:rPr>
          <w:rFonts w:hint="eastAsia" w:ascii="宋体" w:hAnsi="宋体" w:eastAsia="宋体" w:cs="Times New Roman"/>
          <w:b w:val="0"/>
          <w:bCs w:val="0"/>
          <w:sz w:val="24"/>
          <w:szCs w:val="24"/>
        </w:rPr>
        <w:t>（大写：</w:t>
      </w:r>
      <w:r>
        <w:rPr>
          <w:rFonts w:ascii="宋体" w:hAnsi="宋体" w:eastAsia="宋体" w:cs="Times New Roman"/>
          <w:b w:val="0"/>
          <w:bCs w:val="0"/>
          <w:sz w:val="24"/>
          <w:szCs w:val="24"/>
          <w:u w:val="single"/>
        </w:rPr>
        <w:t xml:space="preserve">                 </w:t>
      </w:r>
      <w:r>
        <w:rPr>
          <w:rFonts w:hint="eastAsia" w:ascii="宋体" w:hAnsi="宋体" w:eastAsia="宋体" w:cs="Times New Roman"/>
          <w:b w:val="0"/>
          <w:bCs w:val="0"/>
          <w:sz w:val="24"/>
          <w:szCs w:val="24"/>
        </w:rPr>
        <w:t>元人民币）。</w:t>
      </w:r>
    </w:p>
    <w:p w14:paraId="5E8B7F1E">
      <w:pPr>
        <w:bidi w:val="0"/>
        <w:rPr>
          <w:rFonts w:ascii="仿宋_GB2312" w:hAnsi="仿宋" w:eastAsia="仿宋_GB2312" w:cs="Times New Roman"/>
          <w:b w:val="0"/>
          <w:bCs w:val="0"/>
          <w:kern w:val="2"/>
          <w:sz w:val="32"/>
          <w:szCs w:val="32"/>
          <w:lang w:val="en-US" w:eastAsia="zh-CN" w:bidi="ar-SA"/>
        </w:rPr>
      </w:pPr>
      <w:r>
        <w:rPr>
          <w:rFonts w:hint="eastAsia" w:ascii="宋体" w:hAnsi="宋体" w:eastAsia="仿宋_GB2312" w:cs="Times New Roman"/>
          <w:b w:val="0"/>
          <w:bCs w:val="0"/>
          <w:kern w:val="2"/>
          <w:sz w:val="24"/>
          <w:szCs w:val="32"/>
          <w:lang w:val="en-US" w:eastAsia="zh-CN" w:bidi="ar-SA"/>
        </w:rPr>
        <w:t xml:space="preserve">  </w:t>
      </w:r>
      <w:r>
        <w:rPr>
          <w:rFonts w:hint="eastAsia" w:ascii="宋体" w:hAnsi="宋体" w:eastAsia="宋体" w:cs="宋体"/>
          <w:b w:val="0"/>
          <w:bCs w:val="0"/>
          <w:kern w:val="2"/>
          <w:sz w:val="24"/>
          <w:szCs w:val="32"/>
          <w:lang w:val="en-US" w:eastAsia="zh-CN" w:bidi="ar-SA"/>
        </w:rPr>
        <w:t>1.3.3其他计价方式：</w:t>
      </w:r>
      <w:r>
        <w:rPr>
          <w:rFonts w:hint="eastAsia" w:ascii="宋体" w:hAnsi="宋体" w:eastAsia="宋体" w:cs="宋体"/>
          <w:b w:val="0"/>
          <w:bCs w:val="0"/>
          <w:kern w:val="2"/>
          <w:sz w:val="24"/>
          <w:szCs w:val="32"/>
          <w:u w:val="single"/>
          <w:lang w:val="en-US" w:eastAsia="zh-CN" w:bidi="ar-SA"/>
        </w:rPr>
        <w:t xml:space="preserve">                   </w:t>
      </w:r>
      <w:r>
        <w:rPr>
          <w:rFonts w:hint="eastAsia" w:ascii="宋体" w:hAnsi="宋体" w:eastAsia="宋体" w:cs="宋体"/>
          <w:b w:val="0"/>
          <w:bCs w:val="0"/>
          <w:kern w:val="2"/>
          <w:sz w:val="24"/>
          <w:szCs w:val="32"/>
          <w:lang w:val="zh-CN" w:eastAsia="zh-CN" w:bidi="ar-SA"/>
        </w:rPr>
        <w:t>。</w:t>
      </w:r>
    </w:p>
    <w:bookmarkEnd w:id="113"/>
    <w:bookmarkEnd w:id="114"/>
    <w:bookmarkEnd w:id="115"/>
    <w:bookmarkEnd w:id="116"/>
    <w:bookmarkEnd w:id="117"/>
    <w:p w14:paraId="46DE9F09">
      <w:pPr>
        <w:widowControl/>
        <w:adjustRightInd/>
        <w:spacing w:before="0" w:beforeAutospacing="0" w:after="0" w:afterAutospacing="0" w:line="360" w:lineRule="auto"/>
        <w:ind w:firstLine="480"/>
        <w:jc w:val="left"/>
        <w:rPr>
          <w:rFonts w:hint="default" w:ascii="宋体" w:hAnsi="宋体" w:eastAsia="宋体" w:cs="宋体"/>
          <w:b w:val="0"/>
          <w:bCs w:val="0"/>
          <w:kern w:val="0"/>
          <w:sz w:val="24"/>
          <w:szCs w:val="24"/>
          <w:lang w:val="en-US" w:eastAsia="zh-CN" w:bidi="ar-SA"/>
        </w:rPr>
      </w:pPr>
      <w:bookmarkStart w:id="118" w:name="_Toc10340"/>
      <w:bookmarkStart w:id="119" w:name="_Toc1814"/>
      <w:bookmarkStart w:id="120" w:name="_Toc22618"/>
      <w:bookmarkStart w:id="121" w:name="_Toc31421"/>
      <w:bookmarkStart w:id="122" w:name="_Toc3625"/>
      <w:bookmarkStart w:id="123" w:name="_Toc4760"/>
      <w:bookmarkStart w:id="124" w:name="_Toc8772"/>
      <w:bookmarkStart w:id="125" w:name="_Toc11108"/>
      <w:r>
        <w:rPr>
          <w:rFonts w:hint="eastAsia" w:ascii="宋体" w:hAnsi="宋体" w:eastAsia="宋体" w:cs="宋体"/>
          <w:b w:val="0"/>
          <w:bCs w:val="0"/>
          <w:kern w:val="0"/>
          <w:sz w:val="24"/>
          <w:szCs w:val="24"/>
          <w:lang w:val="en-US" w:eastAsia="zh-CN" w:bidi="ar-SA"/>
        </w:rPr>
        <w:t>1.4履约保证金：不收取</w:t>
      </w:r>
    </w:p>
    <w:p w14:paraId="343C4FF4">
      <w:pPr>
        <w:adjustRightInd w:val="0"/>
        <w:spacing w:line="560" w:lineRule="exact"/>
        <w:ind w:firstLine="480" w:firstLineChars="200"/>
        <w:outlineLvl w:val="0"/>
        <w:rPr>
          <w:rFonts w:ascii="宋体" w:hAnsi="宋体" w:eastAsia="宋体" w:cs="宋体"/>
          <w:b w:val="0"/>
          <w:bCs w:val="0"/>
          <w:sz w:val="24"/>
          <w:szCs w:val="24"/>
        </w:rPr>
      </w:pPr>
      <w:r>
        <w:rPr>
          <w:rFonts w:hint="eastAsia" w:ascii="宋体" w:hAnsi="宋体" w:eastAsia="宋体" w:cs="宋体"/>
          <w:b w:val="0"/>
          <w:bCs w:val="0"/>
          <w:sz w:val="24"/>
          <w:szCs w:val="24"/>
        </w:rPr>
        <w:t>1.5</w:t>
      </w:r>
      <w:bookmarkEnd w:id="118"/>
      <w:bookmarkEnd w:id="119"/>
      <w:bookmarkEnd w:id="120"/>
      <w:r>
        <w:rPr>
          <w:rFonts w:hint="eastAsia" w:ascii="宋体" w:hAnsi="宋体" w:eastAsia="宋体" w:cs="宋体"/>
          <w:b w:val="0"/>
          <w:bCs w:val="0"/>
          <w:sz w:val="24"/>
          <w:szCs w:val="24"/>
        </w:rPr>
        <w:t>预付款</w:t>
      </w:r>
    </w:p>
    <w:p w14:paraId="356AD6B4">
      <w:pPr>
        <w:widowControl/>
        <w:adjustRightInd/>
        <w:spacing w:before="0" w:beforeAutospacing="0" w:after="0" w:afterAutospacing="0" w:line="360" w:lineRule="auto"/>
        <w:ind w:firstLine="480"/>
        <w:jc w:val="left"/>
        <w:rPr>
          <w:rFonts w:ascii="宋体" w:hAnsi="宋体" w:eastAsia="宋体" w:cs="宋体"/>
          <w:b w:val="0"/>
          <w:bCs w:val="0"/>
          <w:kern w:val="0"/>
          <w:sz w:val="24"/>
          <w:szCs w:val="24"/>
          <w:lang w:val="en-US" w:eastAsia="zh-CN" w:bidi="ar-SA"/>
        </w:rPr>
      </w:pPr>
      <w:r>
        <w:rPr>
          <w:rFonts w:hint="eastAsia" w:ascii="宋体" w:hAnsi="宋体" w:eastAsia="宋体" w:cs="宋体"/>
          <w:b w:val="0"/>
          <w:bCs w:val="0"/>
          <w:kern w:val="0"/>
          <w:sz w:val="24"/>
          <w:szCs w:val="24"/>
          <w:lang w:val="en-US" w:eastAsia="zh-CN" w:bidi="ar-SA"/>
        </w:rPr>
        <w:t>甲方</w:t>
      </w:r>
      <w:r>
        <w:rPr>
          <w:rFonts w:hint="eastAsia" w:ascii="宋体" w:hAnsi="宋体" w:eastAsia="宋体" w:cs="宋体"/>
          <w:b w:val="0"/>
          <w:bCs w:val="0"/>
          <w:kern w:val="0"/>
          <w:sz w:val="24"/>
          <w:szCs w:val="24"/>
          <w:u w:val="single"/>
          <w:lang w:val="en-US" w:eastAsia="zh-CN" w:bidi="ar-SA"/>
        </w:rPr>
        <w:t xml:space="preserve">  是 </w:t>
      </w:r>
      <w:r>
        <w:rPr>
          <w:rFonts w:hint="eastAsia" w:ascii="宋体" w:hAnsi="宋体" w:eastAsia="宋体" w:cs="宋体"/>
          <w:b w:val="0"/>
          <w:bCs w:val="0"/>
          <w:kern w:val="0"/>
          <w:sz w:val="24"/>
          <w:szCs w:val="24"/>
          <w:lang w:val="en-US" w:eastAsia="zh-CN" w:bidi="ar-SA"/>
        </w:rPr>
        <w:t>（是</w:t>
      </w:r>
      <w:r>
        <w:rPr>
          <w:rFonts w:hint="eastAsia" w:ascii="仿宋" w:hAnsi="仿宋" w:eastAsia="仿宋" w:cs="仿宋"/>
          <w:b w:val="0"/>
          <w:bCs w:val="0"/>
          <w:kern w:val="0"/>
          <w:sz w:val="24"/>
          <w:szCs w:val="24"/>
          <w:lang w:val="en-US" w:eastAsia="zh-CN" w:bidi="ar-SA"/>
        </w:rPr>
        <w:t>/</w:t>
      </w:r>
      <w:r>
        <w:rPr>
          <w:rFonts w:hint="eastAsia" w:ascii="宋体" w:hAnsi="宋体" w:eastAsia="宋体" w:cs="宋体"/>
          <w:b w:val="0"/>
          <w:bCs w:val="0"/>
          <w:kern w:val="0"/>
          <w:sz w:val="24"/>
          <w:szCs w:val="24"/>
          <w:lang w:val="en-US" w:eastAsia="zh-CN" w:bidi="ar-SA"/>
        </w:rPr>
        <w:t>否）需要支付预付款。若需要支付预付款的，则：</w:t>
      </w:r>
    </w:p>
    <w:p w14:paraId="4C6529DB">
      <w:pPr>
        <w:adjustRightInd w:val="0"/>
        <w:spacing w:line="560" w:lineRule="exact"/>
        <w:ind w:firstLine="480" w:firstLineChars="200"/>
        <w:rPr>
          <w:rFonts w:ascii="宋体" w:hAnsi="宋体" w:eastAsia="宋体" w:cs="宋体"/>
          <w:b w:val="0"/>
          <w:bCs w:val="0"/>
          <w:kern w:val="0"/>
          <w:sz w:val="24"/>
          <w:szCs w:val="24"/>
        </w:rPr>
      </w:pPr>
      <w:r>
        <w:rPr>
          <w:rFonts w:hint="eastAsia" w:ascii="宋体" w:hAnsi="宋体" w:eastAsia="宋体" w:cs="宋体"/>
          <w:b w:val="0"/>
          <w:bCs w:val="0"/>
          <w:kern w:val="0"/>
          <w:sz w:val="24"/>
          <w:szCs w:val="24"/>
        </w:rPr>
        <w:t>1.5.1预付款比例、支付方式、时间详见</w:t>
      </w:r>
      <w:r>
        <w:rPr>
          <w:rFonts w:hint="eastAsia" w:ascii="宋体" w:hAnsi="宋体" w:eastAsia="宋体" w:cs="宋体"/>
          <w:b w:val="0"/>
          <w:bCs w:val="0"/>
          <w:kern w:val="0"/>
          <w:sz w:val="24"/>
          <w:szCs w:val="24"/>
          <w:u w:val="single"/>
        </w:rPr>
        <w:t xml:space="preserve">   </w:t>
      </w:r>
      <w:r>
        <w:rPr>
          <w:rFonts w:hint="eastAsia" w:ascii="宋体" w:eastAsia="宋体" w:cs="宋体"/>
          <w:b w:val="0"/>
          <w:bCs w:val="0"/>
          <w:kern w:val="0"/>
          <w:sz w:val="24"/>
          <w:szCs w:val="24"/>
          <w:u w:val="single"/>
          <w:lang w:val="en-US" w:eastAsia="zh-CN"/>
        </w:rPr>
        <w:t xml:space="preserve">    </w:t>
      </w:r>
      <w:r>
        <w:rPr>
          <w:rFonts w:hint="eastAsia" w:ascii="宋体" w:hAnsi="宋体" w:eastAsia="宋体" w:cs="宋体"/>
          <w:b w:val="0"/>
          <w:bCs w:val="0"/>
          <w:kern w:val="0"/>
          <w:sz w:val="24"/>
          <w:szCs w:val="24"/>
          <w:u w:val="single"/>
          <w:lang w:val="en-US" w:eastAsia="zh-CN"/>
        </w:rPr>
        <w:t>磋商文件</w:t>
      </w:r>
      <w:r>
        <w:rPr>
          <w:rFonts w:hint="eastAsia" w:ascii="宋体" w:hAnsi="宋体" w:eastAsia="宋体" w:cs="宋体"/>
          <w:b w:val="0"/>
          <w:bCs w:val="0"/>
          <w:kern w:val="0"/>
          <w:sz w:val="24"/>
          <w:szCs w:val="24"/>
          <w:u w:val="single"/>
        </w:rPr>
        <w:t xml:space="preserve">  </w:t>
      </w:r>
      <w:r>
        <w:rPr>
          <w:rFonts w:hint="eastAsia" w:ascii="宋体" w:hAnsi="宋体" w:eastAsia="宋体" w:cs="宋体"/>
          <w:b w:val="0"/>
          <w:bCs w:val="0"/>
          <w:kern w:val="0"/>
          <w:sz w:val="24"/>
          <w:szCs w:val="24"/>
        </w:rPr>
        <w:t>；</w:t>
      </w:r>
    </w:p>
    <w:p w14:paraId="57BBB46E">
      <w:pPr>
        <w:widowControl/>
        <w:adjustRightInd/>
        <w:spacing w:before="0" w:beforeAutospacing="0" w:after="0" w:afterAutospacing="0" w:line="360" w:lineRule="auto"/>
        <w:ind w:firstLine="480"/>
        <w:jc w:val="left"/>
        <w:rPr>
          <w:rFonts w:ascii="宋体" w:hAnsi="宋体" w:eastAsia="宋体" w:cs="宋体"/>
          <w:b w:val="0"/>
          <w:bCs w:val="0"/>
          <w:kern w:val="0"/>
          <w:sz w:val="24"/>
          <w:szCs w:val="24"/>
          <w:lang w:val="en-US" w:eastAsia="zh-CN" w:bidi="ar-SA"/>
        </w:rPr>
      </w:pPr>
      <w:r>
        <w:rPr>
          <w:rFonts w:hint="eastAsia" w:ascii="宋体" w:hAnsi="宋体" w:eastAsia="宋体" w:cs="宋体"/>
          <w:b w:val="0"/>
          <w:bCs w:val="0"/>
          <w:kern w:val="0"/>
          <w:sz w:val="24"/>
          <w:szCs w:val="24"/>
          <w:lang w:val="en-US" w:eastAsia="zh-CN" w:bidi="ar-SA"/>
        </w:rPr>
        <w:t>1.6资金支付</w:t>
      </w:r>
    </w:p>
    <w:p w14:paraId="09F875F8">
      <w:pPr>
        <w:adjustRightInd w:val="0"/>
        <w:spacing w:line="560" w:lineRule="exact"/>
        <w:ind w:firstLine="480" w:firstLineChars="200"/>
        <w:outlineLvl w:val="0"/>
        <w:rPr>
          <w:rFonts w:ascii="宋体" w:hAnsi="宋体" w:eastAsia="宋体" w:cs="宋体"/>
          <w:b w:val="0"/>
          <w:bCs w:val="0"/>
          <w:sz w:val="24"/>
          <w:szCs w:val="24"/>
        </w:rPr>
      </w:pPr>
      <w:r>
        <w:rPr>
          <w:rFonts w:hint="eastAsia" w:ascii="宋体" w:hAnsi="宋体" w:eastAsia="宋体" w:cs="宋体"/>
          <w:b w:val="0"/>
          <w:bCs w:val="0"/>
          <w:sz w:val="24"/>
          <w:szCs w:val="24"/>
        </w:rPr>
        <w:t>1.6.</w:t>
      </w:r>
      <w:r>
        <w:rPr>
          <w:rFonts w:hint="eastAsia" w:ascii="宋体" w:hAnsi="宋体" w:eastAsia="宋体" w:cs="宋体"/>
          <w:b w:val="0"/>
          <w:bCs w:val="0"/>
          <w:sz w:val="24"/>
          <w:szCs w:val="24"/>
          <w:lang w:val="en-US" w:eastAsia="zh-CN"/>
        </w:rPr>
        <w:t>1</w:t>
      </w:r>
      <w:r>
        <w:rPr>
          <w:rFonts w:hint="eastAsia" w:ascii="宋体" w:hAnsi="宋体" w:eastAsia="宋体" w:cs="宋体"/>
          <w:b w:val="0"/>
          <w:bCs w:val="0"/>
          <w:sz w:val="24"/>
          <w:szCs w:val="24"/>
        </w:rPr>
        <w:t>资金支付的方式、时间和条件详见</w:t>
      </w:r>
      <w:r>
        <w:rPr>
          <w:rFonts w:hint="eastAsia" w:ascii="宋体" w:hAnsi="宋体" w:eastAsia="宋体" w:cs="宋体"/>
          <w:b w:val="0"/>
          <w:bCs w:val="0"/>
          <w:sz w:val="24"/>
          <w:szCs w:val="24"/>
          <w:lang w:val="en-US" w:eastAsia="zh-CN"/>
        </w:rPr>
        <w:t xml:space="preserve"> </w:t>
      </w:r>
      <w:r>
        <w:rPr>
          <w:rFonts w:hint="eastAsia" w:ascii="宋体" w:hAnsi="宋体" w:eastAsia="宋体" w:cs="宋体"/>
          <w:b w:val="0"/>
          <w:bCs w:val="0"/>
          <w:kern w:val="0"/>
          <w:sz w:val="24"/>
          <w:szCs w:val="24"/>
          <w:u w:val="single"/>
          <w:lang w:val="en-US" w:eastAsia="zh-CN"/>
        </w:rPr>
        <w:t>磋商文件</w:t>
      </w:r>
      <w:r>
        <w:rPr>
          <w:rFonts w:hint="eastAsia" w:ascii="宋体" w:hAnsi="宋体" w:eastAsia="宋体" w:cs="宋体"/>
          <w:b w:val="0"/>
          <w:bCs w:val="0"/>
          <w:sz w:val="24"/>
          <w:szCs w:val="24"/>
        </w:rPr>
        <w:t>。</w:t>
      </w:r>
      <w:r>
        <w:rPr>
          <w:rFonts w:hint="eastAsia" w:ascii="宋体" w:hAnsi="宋体" w:eastAsia="宋体" w:cs="宋体"/>
          <w:b w:val="0"/>
          <w:bCs w:val="0"/>
          <w:color w:val="000000"/>
          <w:kern w:val="2"/>
          <w:sz w:val="22"/>
          <w:szCs w:val="22"/>
          <w:lang w:val="en-US" w:eastAsia="zh-CN" w:bidi="ar-SA"/>
        </w:rPr>
        <w:t>预付款在合同生效以及具备实施条件后7个工作日内支付，对于满足合同约定支付条件的，采购人自收到发票之日起7个工作日内向供应商支付资金。</w:t>
      </w:r>
    </w:p>
    <w:p w14:paraId="7D3B3DCA">
      <w:pPr>
        <w:adjustRightInd w:val="0"/>
        <w:spacing w:line="560" w:lineRule="exact"/>
        <w:ind w:firstLine="480" w:firstLineChars="200"/>
        <w:outlineLvl w:val="0"/>
        <w:rPr>
          <w:rFonts w:ascii="宋体" w:hAnsi="宋体" w:eastAsia="宋体" w:cs="Times New Roman"/>
          <w:b w:val="0"/>
          <w:bCs w:val="0"/>
          <w:sz w:val="24"/>
          <w:szCs w:val="24"/>
        </w:rPr>
      </w:pPr>
      <w:r>
        <w:rPr>
          <w:rFonts w:ascii="宋体" w:hAnsi="宋体" w:eastAsia="宋体" w:cs="Times New Roman"/>
          <w:b w:val="0"/>
          <w:bCs w:val="0"/>
          <w:sz w:val="24"/>
          <w:szCs w:val="24"/>
        </w:rPr>
        <w:t>1.</w:t>
      </w:r>
      <w:r>
        <w:rPr>
          <w:rFonts w:hint="eastAsia" w:ascii="宋体" w:hAnsi="宋体" w:eastAsia="宋体" w:cs="Times New Roman"/>
          <w:b w:val="0"/>
          <w:bCs w:val="0"/>
          <w:sz w:val="24"/>
          <w:szCs w:val="24"/>
        </w:rPr>
        <w:t>7</w:t>
      </w:r>
      <w:r>
        <w:rPr>
          <w:rFonts w:ascii="宋体" w:hAnsi="宋体" w:eastAsia="宋体" w:cs="Times New Roman"/>
          <w:b w:val="0"/>
          <w:bCs w:val="0"/>
          <w:sz w:val="24"/>
          <w:szCs w:val="24"/>
        </w:rPr>
        <w:t xml:space="preserve"> 履行期限</w:t>
      </w:r>
      <w:r>
        <w:rPr>
          <w:rFonts w:hint="eastAsia" w:ascii="宋体" w:hAnsi="宋体" w:eastAsia="宋体" w:cs="Times New Roman"/>
          <w:b w:val="0"/>
          <w:bCs w:val="0"/>
          <w:sz w:val="24"/>
          <w:szCs w:val="24"/>
        </w:rPr>
        <w:t>、地点和方式</w:t>
      </w:r>
      <w:bookmarkEnd w:id="121"/>
      <w:bookmarkEnd w:id="122"/>
      <w:bookmarkEnd w:id="123"/>
      <w:bookmarkEnd w:id="124"/>
      <w:bookmarkEnd w:id="125"/>
    </w:p>
    <w:p w14:paraId="1BB1D2AC">
      <w:pPr>
        <w:adjustRightInd w:val="0"/>
        <w:spacing w:line="560" w:lineRule="exact"/>
        <w:ind w:firstLine="480" w:firstLineChars="200"/>
        <w:rPr>
          <w:rFonts w:ascii="宋体" w:hAnsi="宋体" w:eastAsia="宋体" w:cs="Times New Roman"/>
          <w:b w:val="0"/>
          <w:bCs w:val="0"/>
          <w:sz w:val="24"/>
          <w:szCs w:val="24"/>
          <w:u w:val="single"/>
        </w:rPr>
      </w:pPr>
      <w:r>
        <w:rPr>
          <w:rFonts w:ascii="宋体" w:hAnsi="宋体" w:eastAsia="宋体" w:cs="Times New Roman"/>
          <w:b w:val="0"/>
          <w:bCs w:val="0"/>
          <w:sz w:val="24"/>
          <w:szCs w:val="24"/>
        </w:rPr>
        <w:t>1.</w:t>
      </w:r>
      <w:r>
        <w:rPr>
          <w:rFonts w:hint="eastAsia" w:ascii="宋体" w:hAnsi="宋体" w:eastAsia="宋体" w:cs="Times New Roman"/>
          <w:b w:val="0"/>
          <w:bCs w:val="0"/>
          <w:sz w:val="24"/>
          <w:szCs w:val="24"/>
        </w:rPr>
        <w:t>7</w:t>
      </w:r>
      <w:r>
        <w:rPr>
          <w:rFonts w:ascii="宋体" w:hAnsi="宋体" w:eastAsia="宋体" w:cs="Times New Roman"/>
          <w:b w:val="0"/>
          <w:bCs w:val="0"/>
          <w:sz w:val="24"/>
          <w:szCs w:val="24"/>
        </w:rPr>
        <w:t xml:space="preserve">.1 </w:t>
      </w:r>
      <w:r>
        <w:rPr>
          <w:rFonts w:hint="eastAsia" w:ascii="宋体" w:hAnsi="宋体" w:eastAsia="宋体" w:cs="Times New Roman"/>
          <w:b w:val="0"/>
          <w:bCs w:val="0"/>
          <w:sz w:val="24"/>
          <w:szCs w:val="24"/>
        </w:rPr>
        <w:t>服务交付（实施）的时间（期限）</w:t>
      </w:r>
      <w:r>
        <w:rPr>
          <w:rFonts w:ascii="宋体" w:hAnsi="宋体" w:eastAsia="宋体" w:cs="Times New Roman"/>
          <w:b w:val="0"/>
          <w:bCs w:val="0"/>
          <w:sz w:val="24"/>
          <w:szCs w:val="24"/>
        </w:rPr>
        <w:t>：</w:t>
      </w:r>
      <w:r>
        <w:rPr>
          <w:rFonts w:hint="eastAsia" w:ascii="宋体" w:hAnsi="宋体" w:eastAsia="宋体" w:cs="宋体"/>
          <w:b w:val="0"/>
          <w:bCs w:val="0"/>
          <w:kern w:val="0"/>
          <w:sz w:val="24"/>
          <w:szCs w:val="24"/>
          <w:u w:val="single"/>
          <w:lang w:val="en-US" w:eastAsia="zh-CN"/>
        </w:rPr>
        <w:t>见磋商文件</w:t>
      </w:r>
      <w:r>
        <w:rPr>
          <w:rFonts w:hint="eastAsia" w:ascii="宋体" w:hAnsi="宋体" w:eastAsia="宋体" w:cs="Times New Roman"/>
          <w:b w:val="0"/>
          <w:bCs w:val="0"/>
          <w:sz w:val="24"/>
          <w:szCs w:val="24"/>
        </w:rPr>
        <w:t>；</w:t>
      </w:r>
    </w:p>
    <w:p w14:paraId="1A535C8E">
      <w:pPr>
        <w:adjustRightInd w:val="0"/>
        <w:spacing w:line="560" w:lineRule="exact"/>
        <w:ind w:firstLine="480" w:firstLineChars="200"/>
        <w:rPr>
          <w:rFonts w:ascii="宋体" w:hAnsi="宋体" w:eastAsia="宋体" w:cs="Times New Roman"/>
          <w:b w:val="0"/>
          <w:bCs w:val="0"/>
          <w:sz w:val="24"/>
          <w:szCs w:val="24"/>
        </w:rPr>
      </w:pPr>
      <w:r>
        <w:rPr>
          <w:rFonts w:ascii="宋体" w:hAnsi="宋体" w:eastAsia="宋体" w:cs="Times New Roman"/>
          <w:b w:val="0"/>
          <w:bCs w:val="0"/>
          <w:sz w:val="24"/>
          <w:szCs w:val="24"/>
        </w:rPr>
        <w:t>1.</w:t>
      </w:r>
      <w:r>
        <w:rPr>
          <w:rFonts w:hint="eastAsia" w:ascii="宋体" w:hAnsi="宋体" w:eastAsia="宋体" w:cs="Times New Roman"/>
          <w:b w:val="0"/>
          <w:bCs w:val="0"/>
          <w:sz w:val="24"/>
          <w:szCs w:val="24"/>
        </w:rPr>
        <w:t>7</w:t>
      </w:r>
      <w:r>
        <w:rPr>
          <w:rFonts w:ascii="宋体" w:hAnsi="宋体" w:eastAsia="宋体" w:cs="Times New Roman"/>
          <w:b w:val="0"/>
          <w:bCs w:val="0"/>
          <w:sz w:val="24"/>
          <w:szCs w:val="24"/>
        </w:rPr>
        <w:t xml:space="preserve">.2 </w:t>
      </w:r>
      <w:r>
        <w:rPr>
          <w:rFonts w:hint="eastAsia" w:ascii="宋体" w:hAnsi="宋体" w:eastAsia="宋体" w:cs="Times New Roman"/>
          <w:b w:val="0"/>
          <w:bCs w:val="0"/>
          <w:sz w:val="24"/>
          <w:szCs w:val="24"/>
        </w:rPr>
        <w:t>服</w:t>
      </w:r>
      <w:r>
        <w:rPr>
          <w:rFonts w:hint="eastAsia" w:ascii="宋体" w:hAnsi="宋体" w:eastAsia="宋体" w:cs="宋体"/>
          <w:b w:val="0"/>
          <w:bCs w:val="0"/>
          <w:sz w:val="24"/>
          <w:szCs w:val="24"/>
        </w:rPr>
        <w:t>务交付（实施）的地点（地域范围）：</w:t>
      </w:r>
      <w:r>
        <w:rPr>
          <w:rFonts w:hint="eastAsia" w:ascii="宋体" w:hAnsi="宋体" w:eastAsia="宋体" w:cs="Times New Roman"/>
          <w:b w:val="0"/>
          <w:bCs w:val="0"/>
          <w:i/>
          <w:sz w:val="24"/>
          <w:szCs w:val="24"/>
          <w:u w:val="single"/>
          <w:lang w:val="en-US" w:eastAsia="zh-CN"/>
        </w:rPr>
        <w:t>浙江省永嘉县</w:t>
      </w:r>
      <w:r>
        <w:rPr>
          <w:rFonts w:hint="eastAsia" w:ascii="宋体" w:hAnsi="宋体" w:eastAsia="宋体" w:cs="Times New Roman"/>
          <w:b w:val="0"/>
          <w:bCs w:val="0"/>
          <w:sz w:val="24"/>
          <w:szCs w:val="24"/>
        </w:rPr>
        <w:t>；</w:t>
      </w:r>
    </w:p>
    <w:p w14:paraId="02F6AF90">
      <w:pPr>
        <w:adjustRightInd w:val="0"/>
        <w:spacing w:line="560" w:lineRule="exact"/>
        <w:ind w:firstLine="480" w:firstLineChars="200"/>
        <w:rPr>
          <w:rFonts w:ascii="宋体" w:hAnsi="宋体" w:eastAsia="宋体" w:cs="Times New Roman"/>
          <w:b w:val="0"/>
          <w:bCs w:val="0"/>
          <w:sz w:val="24"/>
          <w:szCs w:val="24"/>
        </w:rPr>
      </w:pPr>
      <w:r>
        <w:rPr>
          <w:rFonts w:ascii="宋体" w:hAnsi="宋体" w:eastAsia="宋体" w:cs="Times New Roman"/>
          <w:b w:val="0"/>
          <w:bCs w:val="0"/>
          <w:sz w:val="24"/>
          <w:szCs w:val="24"/>
        </w:rPr>
        <w:t>1.</w:t>
      </w:r>
      <w:r>
        <w:rPr>
          <w:rFonts w:hint="eastAsia" w:ascii="宋体" w:hAnsi="宋体" w:eastAsia="宋体" w:cs="Times New Roman"/>
          <w:b w:val="0"/>
          <w:bCs w:val="0"/>
          <w:sz w:val="24"/>
          <w:szCs w:val="24"/>
        </w:rPr>
        <w:t>7</w:t>
      </w:r>
      <w:r>
        <w:rPr>
          <w:rFonts w:ascii="宋体" w:hAnsi="宋体" w:eastAsia="宋体" w:cs="Times New Roman"/>
          <w:b w:val="0"/>
          <w:bCs w:val="0"/>
          <w:sz w:val="24"/>
          <w:szCs w:val="24"/>
        </w:rPr>
        <w:t xml:space="preserve">.3 </w:t>
      </w:r>
      <w:r>
        <w:rPr>
          <w:rFonts w:hint="eastAsia" w:ascii="宋体" w:hAnsi="宋体" w:eastAsia="宋体" w:cs="Times New Roman"/>
          <w:b w:val="0"/>
          <w:bCs w:val="0"/>
          <w:sz w:val="24"/>
          <w:szCs w:val="24"/>
        </w:rPr>
        <w:t>服务交付（实施）的方式：</w:t>
      </w:r>
      <w:r>
        <w:rPr>
          <w:rFonts w:hint="eastAsia" w:ascii="宋体" w:hAnsi="宋体" w:eastAsia="宋体" w:cs="宋体"/>
          <w:b w:val="0"/>
          <w:bCs w:val="0"/>
          <w:kern w:val="0"/>
          <w:sz w:val="24"/>
          <w:szCs w:val="24"/>
          <w:u w:val="single"/>
          <w:lang w:val="en-US" w:eastAsia="zh-CN"/>
        </w:rPr>
        <w:t>见磋商文件</w:t>
      </w:r>
      <w:r>
        <w:rPr>
          <w:rFonts w:hint="eastAsia" w:ascii="宋体" w:hAnsi="宋体" w:eastAsia="宋体" w:cs="Times New Roman"/>
          <w:b w:val="0"/>
          <w:bCs w:val="0"/>
          <w:sz w:val="24"/>
          <w:szCs w:val="24"/>
        </w:rPr>
        <w:t>。</w:t>
      </w:r>
    </w:p>
    <w:p w14:paraId="41260F53">
      <w:pPr>
        <w:adjustRightInd w:val="0"/>
        <w:spacing w:line="560" w:lineRule="exact"/>
        <w:ind w:firstLine="480" w:firstLineChars="200"/>
        <w:outlineLvl w:val="0"/>
        <w:rPr>
          <w:rFonts w:ascii="宋体" w:hAnsi="宋体" w:eastAsia="宋体" w:cs="Times New Roman"/>
          <w:b w:val="0"/>
          <w:bCs w:val="0"/>
          <w:sz w:val="24"/>
          <w:szCs w:val="24"/>
          <w:u w:val="single"/>
        </w:rPr>
      </w:pPr>
      <w:bookmarkStart w:id="126" w:name="_Toc5698"/>
      <w:bookmarkStart w:id="127" w:name="_Toc24662"/>
      <w:bookmarkStart w:id="128" w:name="_Toc3079"/>
      <w:bookmarkStart w:id="129" w:name="_Toc2375"/>
      <w:bookmarkStart w:id="130" w:name="_Toc8586"/>
      <w:r>
        <w:rPr>
          <w:rFonts w:ascii="宋体" w:hAnsi="宋体" w:eastAsia="宋体" w:cs="Times New Roman"/>
          <w:b w:val="0"/>
          <w:bCs w:val="0"/>
          <w:sz w:val="24"/>
          <w:szCs w:val="24"/>
        </w:rPr>
        <w:t>1.</w:t>
      </w:r>
      <w:r>
        <w:rPr>
          <w:rFonts w:hint="eastAsia" w:ascii="宋体" w:hAnsi="宋体" w:eastAsia="宋体" w:cs="Times New Roman"/>
          <w:b w:val="0"/>
          <w:bCs w:val="0"/>
          <w:sz w:val="24"/>
          <w:szCs w:val="24"/>
        </w:rPr>
        <w:t>8违约责任</w:t>
      </w:r>
      <w:bookmarkEnd w:id="126"/>
      <w:bookmarkEnd w:id="127"/>
      <w:bookmarkEnd w:id="128"/>
      <w:bookmarkEnd w:id="129"/>
      <w:bookmarkEnd w:id="130"/>
    </w:p>
    <w:p w14:paraId="49B49CEE">
      <w:pPr>
        <w:adjustRightInd w:val="0"/>
        <w:spacing w:line="560" w:lineRule="exact"/>
        <w:ind w:firstLine="480" w:firstLineChars="200"/>
        <w:rPr>
          <w:rFonts w:ascii="宋体" w:hAnsi="宋体" w:eastAsia="宋体" w:cs="Times New Roman"/>
          <w:b w:val="0"/>
          <w:bCs w:val="0"/>
          <w:sz w:val="24"/>
          <w:szCs w:val="24"/>
        </w:rPr>
      </w:pPr>
      <w:r>
        <w:rPr>
          <w:rFonts w:ascii="宋体" w:hAnsi="宋体" w:eastAsia="宋体" w:cs="Times New Roman"/>
          <w:b w:val="0"/>
          <w:bCs w:val="0"/>
          <w:sz w:val="24"/>
          <w:szCs w:val="24"/>
        </w:rPr>
        <w:t>1.</w:t>
      </w:r>
      <w:r>
        <w:rPr>
          <w:rFonts w:hint="eastAsia" w:ascii="宋体" w:hAnsi="宋体" w:eastAsia="宋体" w:cs="Times New Roman"/>
          <w:b w:val="0"/>
          <w:bCs w:val="0"/>
          <w:sz w:val="24"/>
          <w:szCs w:val="24"/>
        </w:rPr>
        <w:t>8</w:t>
      </w:r>
      <w:r>
        <w:rPr>
          <w:rFonts w:ascii="宋体" w:hAnsi="宋体" w:eastAsia="宋体" w:cs="Times New Roman"/>
          <w:b w:val="0"/>
          <w:bCs w:val="0"/>
          <w:sz w:val="24"/>
          <w:szCs w:val="24"/>
        </w:rPr>
        <w:t>.1 除不可抗力外，如果乙方没有按照本合同约定的期限</w:t>
      </w:r>
      <w:r>
        <w:rPr>
          <w:rFonts w:hint="eastAsia" w:ascii="宋体" w:hAnsi="宋体" w:eastAsia="宋体" w:cs="Times New Roman"/>
          <w:b w:val="0"/>
          <w:bCs w:val="0"/>
          <w:sz w:val="24"/>
          <w:szCs w:val="24"/>
        </w:rPr>
        <w:t>、</w:t>
      </w:r>
      <w:r>
        <w:rPr>
          <w:rFonts w:ascii="宋体" w:hAnsi="宋体" w:eastAsia="宋体" w:cs="Times New Roman"/>
          <w:b w:val="0"/>
          <w:bCs w:val="0"/>
          <w:sz w:val="24"/>
          <w:szCs w:val="24"/>
        </w:rPr>
        <w:t>地点和方式</w:t>
      </w:r>
      <w:r>
        <w:rPr>
          <w:rFonts w:hint="eastAsia" w:ascii="宋体" w:hAnsi="宋体" w:eastAsia="宋体" w:cs="Times New Roman"/>
          <w:b w:val="0"/>
          <w:bCs w:val="0"/>
          <w:sz w:val="24"/>
          <w:szCs w:val="24"/>
        </w:rPr>
        <w:t>交付服务成果或者实施服务</w:t>
      </w:r>
      <w:r>
        <w:rPr>
          <w:rFonts w:ascii="宋体" w:hAnsi="宋体" w:eastAsia="宋体" w:cs="Times New Roman"/>
          <w:b w:val="0"/>
          <w:bCs w:val="0"/>
          <w:sz w:val="24"/>
          <w:szCs w:val="24"/>
        </w:rPr>
        <w:t>，那么甲方可要求乙方支付违约金</w:t>
      </w:r>
      <w:r>
        <w:rPr>
          <w:rFonts w:hint="eastAsia" w:ascii="宋体" w:hAnsi="宋体" w:eastAsia="宋体" w:cs="Times New Roman"/>
          <w:b w:val="0"/>
          <w:bCs w:val="0"/>
          <w:sz w:val="24"/>
          <w:szCs w:val="24"/>
        </w:rPr>
        <w:t>，迟延履行</w:t>
      </w:r>
      <w:r>
        <w:rPr>
          <w:rFonts w:ascii="宋体" w:hAnsi="宋体" w:eastAsia="宋体" w:cs="Times New Roman"/>
          <w:b w:val="0"/>
          <w:bCs w:val="0"/>
          <w:sz w:val="24"/>
          <w:szCs w:val="24"/>
        </w:rPr>
        <w:t>违约金按每迟延</w:t>
      </w:r>
      <w:r>
        <w:rPr>
          <w:rFonts w:hint="eastAsia" w:ascii="宋体" w:hAnsi="宋体" w:eastAsia="宋体" w:cs="Times New Roman"/>
          <w:b w:val="0"/>
          <w:bCs w:val="0"/>
          <w:sz w:val="24"/>
          <w:szCs w:val="24"/>
        </w:rPr>
        <w:t>履行</w:t>
      </w:r>
      <w:r>
        <w:rPr>
          <w:rFonts w:ascii="宋体" w:hAnsi="宋体" w:eastAsia="宋体" w:cs="Times New Roman"/>
          <w:b w:val="0"/>
          <w:bCs w:val="0"/>
          <w:sz w:val="24"/>
          <w:szCs w:val="24"/>
        </w:rPr>
        <w:t>一日的应提供而未</w:t>
      </w:r>
      <w:r>
        <w:rPr>
          <w:rFonts w:hint="eastAsia" w:ascii="宋体" w:hAnsi="宋体" w:eastAsia="宋体" w:cs="Times New Roman"/>
          <w:b w:val="0"/>
          <w:bCs w:val="0"/>
          <w:sz w:val="24"/>
          <w:szCs w:val="24"/>
        </w:rPr>
        <w:t>提供</w:t>
      </w:r>
      <w:r>
        <w:rPr>
          <w:rFonts w:ascii="宋体" w:hAnsi="宋体" w:eastAsia="宋体" w:cs="Times New Roman"/>
          <w:b w:val="0"/>
          <w:bCs w:val="0"/>
          <w:sz w:val="24"/>
          <w:szCs w:val="24"/>
        </w:rPr>
        <w:t>服务价格的</w:t>
      </w:r>
      <w:r>
        <w:rPr>
          <w:rFonts w:hint="eastAsia" w:ascii="宋体" w:hAnsi="宋体" w:eastAsia="宋体" w:cs="Times New Roman"/>
          <w:b w:val="0"/>
          <w:bCs w:val="0"/>
          <w:sz w:val="24"/>
          <w:szCs w:val="24"/>
          <w:u w:val="single"/>
        </w:rPr>
        <w:t>0.05</w:t>
      </w:r>
      <w:r>
        <w:rPr>
          <w:rFonts w:ascii="宋体" w:hAnsi="宋体" w:eastAsia="宋体" w:cs="Times New Roman"/>
          <w:b w:val="0"/>
          <w:bCs w:val="0"/>
          <w:sz w:val="24"/>
          <w:szCs w:val="24"/>
          <w:u w:val="single"/>
        </w:rPr>
        <w:t xml:space="preserve"> </w:t>
      </w:r>
      <w:r>
        <w:rPr>
          <w:rFonts w:ascii="宋体" w:hAnsi="宋体" w:eastAsia="宋体" w:cs="Times New Roman"/>
          <w:b w:val="0"/>
          <w:bCs w:val="0"/>
          <w:sz w:val="24"/>
          <w:szCs w:val="24"/>
        </w:rPr>
        <w:t>%计算</w:t>
      </w:r>
      <w:r>
        <w:rPr>
          <w:rFonts w:hint="eastAsia" w:ascii="宋体" w:hAnsi="宋体" w:eastAsia="宋体" w:cs="Times New Roman"/>
          <w:b w:val="0"/>
          <w:bCs w:val="0"/>
          <w:sz w:val="24"/>
          <w:szCs w:val="24"/>
        </w:rPr>
        <w:t>，</w:t>
      </w:r>
      <w:r>
        <w:rPr>
          <w:rFonts w:ascii="宋体" w:hAnsi="宋体" w:eastAsia="宋体" w:cs="Times New Roman"/>
          <w:b w:val="0"/>
          <w:bCs w:val="0"/>
          <w:sz w:val="24"/>
          <w:szCs w:val="24"/>
        </w:rPr>
        <w:t>最高限额为</w:t>
      </w:r>
      <w:r>
        <w:rPr>
          <w:rFonts w:hint="eastAsia" w:ascii="宋体" w:hAnsi="宋体" w:eastAsia="宋体" w:cs="Times New Roman"/>
          <w:b w:val="0"/>
          <w:bCs w:val="0"/>
          <w:sz w:val="24"/>
          <w:szCs w:val="24"/>
        </w:rPr>
        <w:t>本</w:t>
      </w:r>
      <w:r>
        <w:rPr>
          <w:rFonts w:ascii="宋体" w:hAnsi="宋体" w:eastAsia="宋体" w:cs="Times New Roman"/>
          <w:b w:val="0"/>
          <w:bCs w:val="0"/>
          <w:sz w:val="24"/>
          <w:szCs w:val="24"/>
        </w:rPr>
        <w:t>合同总价的</w:t>
      </w:r>
      <w:r>
        <w:rPr>
          <w:rFonts w:ascii="宋体" w:hAnsi="宋体" w:eastAsia="宋体" w:cs="Times New Roman"/>
          <w:b w:val="0"/>
          <w:bCs w:val="0"/>
          <w:sz w:val="24"/>
          <w:szCs w:val="24"/>
          <w:u w:val="single"/>
        </w:rPr>
        <w:t xml:space="preserve">  </w:t>
      </w:r>
      <w:r>
        <w:rPr>
          <w:rFonts w:hint="eastAsia" w:ascii="宋体" w:hAnsi="宋体" w:eastAsia="宋体" w:cs="Times New Roman"/>
          <w:b w:val="0"/>
          <w:bCs w:val="0"/>
          <w:sz w:val="24"/>
          <w:szCs w:val="24"/>
          <w:u w:val="single"/>
          <w:lang w:val="en-US" w:eastAsia="zh-CN"/>
        </w:rPr>
        <w:t>10</w:t>
      </w:r>
      <w:r>
        <w:rPr>
          <w:rFonts w:hint="eastAsia" w:ascii="宋体" w:hAnsi="宋体" w:eastAsia="宋体" w:cs="宋体"/>
          <w:b w:val="0"/>
          <w:bCs w:val="0"/>
          <w:kern w:val="0"/>
          <w:sz w:val="24"/>
          <w:szCs w:val="24"/>
          <w:u w:val="single"/>
        </w:rPr>
        <w:t>（可根据情况修改）</w:t>
      </w:r>
      <w:r>
        <w:rPr>
          <w:rFonts w:ascii="宋体" w:hAnsi="宋体" w:eastAsia="宋体" w:cs="Times New Roman"/>
          <w:b w:val="0"/>
          <w:bCs w:val="0"/>
          <w:sz w:val="24"/>
          <w:szCs w:val="24"/>
          <w:u w:val="single"/>
        </w:rPr>
        <w:t xml:space="preserve">   </w:t>
      </w:r>
      <w:r>
        <w:rPr>
          <w:rFonts w:ascii="宋体" w:hAnsi="宋体" w:eastAsia="宋体" w:cs="Times New Roman"/>
          <w:b w:val="0"/>
          <w:bCs w:val="0"/>
          <w:sz w:val="24"/>
          <w:szCs w:val="24"/>
        </w:rPr>
        <w:t>%</w:t>
      </w:r>
      <w:r>
        <w:rPr>
          <w:rFonts w:hint="eastAsia" w:ascii="宋体" w:hAnsi="宋体" w:eastAsia="宋体" w:cs="Times New Roman"/>
          <w:b w:val="0"/>
          <w:bCs w:val="0"/>
          <w:sz w:val="24"/>
          <w:szCs w:val="24"/>
        </w:rPr>
        <w:t>；</w:t>
      </w:r>
      <w:r>
        <w:rPr>
          <w:rFonts w:ascii="宋体" w:hAnsi="宋体" w:eastAsia="宋体" w:cs="Times New Roman"/>
          <w:b w:val="0"/>
          <w:bCs w:val="0"/>
          <w:sz w:val="24"/>
          <w:szCs w:val="24"/>
        </w:rPr>
        <w:t>迟延</w:t>
      </w:r>
      <w:r>
        <w:rPr>
          <w:rFonts w:hint="eastAsia" w:ascii="宋体" w:hAnsi="宋体" w:eastAsia="宋体" w:cs="Times New Roman"/>
          <w:b w:val="0"/>
          <w:bCs w:val="0"/>
          <w:sz w:val="24"/>
          <w:szCs w:val="24"/>
        </w:rPr>
        <w:t>履行</w:t>
      </w:r>
      <w:r>
        <w:rPr>
          <w:rFonts w:ascii="宋体" w:hAnsi="宋体" w:eastAsia="宋体" w:cs="Times New Roman"/>
          <w:b w:val="0"/>
          <w:bCs w:val="0"/>
          <w:sz w:val="24"/>
          <w:szCs w:val="24"/>
        </w:rPr>
        <w:t>的违约金计算数额达到前述最高限额之日起</w:t>
      </w:r>
      <w:r>
        <w:rPr>
          <w:rFonts w:hint="eastAsia" w:ascii="宋体" w:hAnsi="宋体" w:eastAsia="宋体" w:cs="Times New Roman"/>
          <w:b w:val="0"/>
          <w:bCs w:val="0"/>
          <w:sz w:val="24"/>
          <w:szCs w:val="24"/>
        </w:rPr>
        <w:t>，</w:t>
      </w:r>
      <w:r>
        <w:rPr>
          <w:rFonts w:ascii="宋体" w:hAnsi="宋体" w:eastAsia="宋体" w:cs="Times New Roman"/>
          <w:b w:val="0"/>
          <w:bCs w:val="0"/>
          <w:sz w:val="24"/>
          <w:szCs w:val="24"/>
        </w:rPr>
        <w:t>甲方有权在要求乙方支付违约金的同时</w:t>
      </w:r>
      <w:r>
        <w:rPr>
          <w:rFonts w:hint="eastAsia" w:ascii="宋体" w:hAnsi="宋体" w:eastAsia="宋体" w:cs="Times New Roman"/>
          <w:b w:val="0"/>
          <w:bCs w:val="0"/>
          <w:sz w:val="24"/>
          <w:szCs w:val="24"/>
        </w:rPr>
        <w:t>，书面通知乙方</w:t>
      </w:r>
      <w:r>
        <w:rPr>
          <w:rFonts w:ascii="宋体" w:hAnsi="宋体" w:eastAsia="宋体" w:cs="Times New Roman"/>
          <w:b w:val="0"/>
          <w:bCs w:val="0"/>
          <w:sz w:val="24"/>
          <w:szCs w:val="24"/>
        </w:rPr>
        <w:t>解除本合同</w:t>
      </w:r>
      <w:r>
        <w:rPr>
          <w:rFonts w:hint="eastAsia" w:ascii="宋体" w:hAnsi="宋体" w:eastAsia="宋体" w:cs="Times New Roman"/>
          <w:b w:val="0"/>
          <w:bCs w:val="0"/>
          <w:sz w:val="24"/>
          <w:szCs w:val="24"/>
        </w:rPr>
        <w:t>；</w:t>
      </w:r>
    </w:p>
    <w:p w14:paraId="45AC71A1">
      <w:pPr>
        <w:adjustRightInd w:val="0"/>
        <w:spacing w:line="560" w:lineRule="exact"/>
        <w:ind w:firstLine="480" w:firstLineChars="200"/>
        <w:rPr>
          <w:rFonts w:ascii="宋体" w:hAnsi="宋体" w:eastAsia="宋体" w:cs="Times New Roman"/>
          <w:b w:val="0"/>
          <w:bCs w:val="0"/>
          <w:sz w:val="24"/>
          <w:szCs w:val="24"/>
        </w:rPr>
      </w:pPr>
      <w:r>
        <w:rPr>
          <w:rFonts w:ascii="宋体" w:hAnsi="宋体" w:eastAsia="宋体" w:cs="Times New Roman"/>
          <w:b w:val="0"/>
          <w:bCs w:val="0"/>
          <w:sz w:val="24"/>
          <w:szCs w:val="24"/>
        </w:rPr>
        <w:t>1.</w:t>
      </w:r>
      <w:r>
        <w:rPr>
          <w:rFonts w:hint="eastAsia" w:ascii="宋体" w:hAnsi="宋体" w:eastAsia="宋体" w:cs="Times New Roman"/>
          <w:b w:val="0"/>
          <w:bCs w:val="0"/>
          <w:sz w:val="24"/>
          <w:szCs w:val="24"/>
        </w:rPr>
        <w:t>8</w:t>
      </w:r>
      <w:r>
        <w:rPr>
          <w:rFonts w:ascii="宋体" w:hAnsi="宋体" w:eastAsia="宋体" w:cs="Times New Roman"/>
          <w:b w:val="0"/>
          <w:bCs w:val="0"/>
          <w:sz w:val="24"/>
          <w:szCs w:val="24"/>
        </w:rPr>
        <w:t>.</w:t>
      </w:r>
      <w:r>
        <w:rPr>
          <w:rFonts w:hint="eastAsia" w:ascii="宋体" w:hAnsi="宋体" w:eastAsia="宋体" w:cs="Times New Roman"/>
          <w:b w:val="0"/>
          <w:bCs w:val="0"/>
          <w:sz w:val="24"/>
          <w:szCs w:val="24"/>
          <w:lang w:val="en-US" w:eastAsia="zh-CN"/>
        </w:rPr>
        <w:t>2</w:t>
      </w:r>
      <w:r>
        <w:rPr>
          <w:rFonts w:hint="eastAsia" w:ascii="宋体" w:hAnsi="宋体" w:eastAsia="宋体" w:cs="宋体"/>
          <w:b w:val="0"/>
          <w:bCs w:val="0"/>
          <w:sz w:val="24"/>
          <w:szCs w:val="24"/>
        </w:rPr>
        <w:t>除不可抗力外，如果甲方没有按照本合同约定的付款方式付款，那么乙方可要求甲方支付违约金，违约金按每迟延付款一日的应付而未付款的</w:t>
      </w:r>
      <w:r>
        <w:rPr>
          <w:rFonts w:hint="eastAsia" w:ascii="宋体" w:hAnsi="宋体" w:eastAsia="宋体" w:cs="宋体"/>
          <w:b w:val="0"/>
          <w:bCs w:val="0"/>
          <w:sz w:val="24"/>
          <w:szCs w:val="24"/>
          <w:u w:val="single"/>
        </w:rPr>
        <w:t xml:space="preserve">   0.05   </w:t>
      </w:r>
      <w:r>
        <w:rPr>
          <w:rFonts w:hint="eastAsia" w:ascii="宋体" w:hAnsi="宋体" w:eastAsia="宋体" w:cs="宋体"/>
          <w:b w:val="0"/>
          <w:bCs w:val="0"/>
          <w:sz w:val="24"/>
          <w:szCs w:val="24"/>
        </w:rPr>
        <w:t>%计算，最高限额为本合同总价的</w:t>
      </w:r>
      <w:r>
        <w:rPr>
          <w:rFonts w:hint="eastAsia" w:ascii="宋体" w:hAnsi="宋体" w:eastAsia="宋体" w:cs="宋体"/>
          <w:b w:val="0"/>
          <w:bCs w:val="0"/>
          <w:sz w:val="24"/>
          <w:szCs w:val="24"/>
          <w:u w:val="single"/>
        </w:rPr>
        <w:t xml:space="preserve">   </w:t>
      </w:r>
      <w:r>
        <w:rPr>
          <w:rFonts w:hint="eastAsia" w:ascii="宋体" w:hAnsi="宋体" w:eastAsia="宋体" w:cs="宋体"/>
          <w:b w:val="0"/>
          <w:bCs w:val="0"/>
          <w:sz w:val="24"/>
          <w:szCs w:val="24"/>
          <w:u w:val="single"/>
          <w:lang w:val="en-US" w:eastAsia="zh-CN"/>
        </w:rPr>
        <w:t>10</w:t>
      </w:r>
      <w:r>
        <w:rPr>
          <w:rFonts w:hint="eastAsia" w:ascii="宋体" w:hAnsi="宋体" w:eastAsia="宋体" w:cs="宋体"/>
          <w:b w:val="0"/>
          <w:bCs w:val="0"/>
          <w:kern w:val="0"/>
          <w:sz w:val="24"/>
          <w:szCs w:val="24"/>
          <w:u w:val="single"/>
        </w:rPr>
        <w:t>（可根据情况修改）</w:t>
      </w:r>
      <w:r>
        <w:rPr>
          <w:rFonts w:hint="eastAsia" w:ascii="宋体" w:hAnsi="宋体" w:eastAsia="宋体" w:cs="宋体"/>
          <w:b w:val="0"/>
          <w:bCs w:val="0"/>
          <w:sz w:val="24"/>
          <w:szCs w:val="24"/>
          <w:u w:val="single"/>
        </w:rPr>
        <w:t xml:space="preserve">   </w:t>
      </w:r>
      <w:r>
        <w:rPr>
          <w:rFonts w:hint="eastAsia" w:ascii="宋体" w:hAnsi="宋体" w:eastAsia="宋体" w:cs="宋体"/>
          <w:b w:val="0"/>
          <w:bCs w:val="0"/>
          <w:sz w:val="24"/>
          <w:szCs w:val="24"/>
        </w:rPr>
        <w:t>%；迟延付款的违约金计算数额达到前述最高限额之日起，乙方有权在要求甲方支付违约金的同时，书面通知甲方解除本合同</w:t>
      </w:r>
      <w:r>
        <w:rPr>
          <w:rFonts w:hint="eastAsia" w:ascii="宋体" w:hAnsi="宋体" w:eastAsia="宋体" w:cs="Times New Roman"/>
          <w:b w:val="0"/>
          <w:bCs w:val="0"/>
          <w:sz w:val="24"/>
          <w:szCs w:val="24"/>
        </w:rPr>
        <w:t>；</w:t>
      </w:r>
    </w:p>
    <w:p w14:paraId="10DBF1DC">
      <w:pPr>
        <w:adjustRightInd w:val="0"/>
        <w:spacing w:line="560" w:lineRule="exact"/>
        <w:ind w:firstLine="480" w:firstLineChars="200"/>
        <w:rPr>
          <w:rFonts w:ascii="宋体" w:hAnsi="宋体" w:eastAsia="宋体" w:cs="宋体"/>
          <w:b w:val="0"/>
          <w:bCs w:val="0"/>
          <w:sz w:val="24"/>
          <w:szCs w:val="24"/>
        </w:rPr>
      </w:pPr>
      <w:bookmarkStart w:id="131" w:name="_Toc30329"/>
      <w:bookmarkStart w:id="132" w:name="_Toc9497"/>
      <w:bookmarkStart w:id="133" w:name="_Toc26807"/>
      <w:bookmarkStart w:id="134" w:name="_Toc18683"/>
      <w:bookmarkStart w:id="135" w:name="_Toc32454"/>
      <w:r>
        <w:rPr>
          <w:rFonts w:hint="eastAsia" w:ascii="宋体" w:hAnsi="宋体" w:eastAsia="宋体" w:cs="宋体"/>
          <w:b w:val="0"/>
          <w:bCs w:val="0"/>
          <w:sz w:val="24"/>
          <w:szCs w:val="24"/>
        </w:rPr>
        <w:t>1.8.</w:t>
      </w:r>
      <w:r>
        <w:rPr>
          <w:rFonts w:hint="eastAsia" w:ascii="宋体" w:hAnsi="宋体" w:eastAsia="宋体" w:cs="宋体"/>
          <w:b w:val="0"/>
          <w:bCs w:val="0"/>
          <w:sz w:val="24"/>
          <w:szCs w:val="24"/>
          <w:lang w:val="en-US" w:eastAsia="zh-CN"/>
        </w:rPr>
        <w:t>3</w:t>
      </w:r>
      <w:r>
        <w:rPr>
          <w:rFonts w:hint="eastAsia" w:ascii="宋体" w:hAnsi="宋体" w:eastAsia="宋体" w:cs="宋体"/>
          <w:b w:val="0"/>
          <w:bCs w:val="0"/>
          <w:sz w:val="24"/>
          <w:szCs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53937BDC">
      <w:pPr>
        <w:adjustRightInd w:val="0"/>
        <w:spacing w:line="560" w:lineRule="exact"/>
        <w:ind w:firstLine="480" w:firstLineChars="200"/>
        <w:rPr>
          <w:rFonts w:ascii="宋体" w:hAnsi="宋体" w:eastAsia="宋体" w:cs="宋体"/>
          <w:b w:val="0"/>
          <w:bCs w:val="0"/>
          <w:sz w:val="24"/>
          <w:szCs w:val="24"/>
        </w:rPr>
      </w:pPr>
      <w:r>
        <w:rPr>
          <w:rFonts w:hint="eastAsia" w:ascii="宋体" w:hAnsi="宋体" w:eastAsia="宋体" w:cs="宋体"/>
          <w:b w:val="0"/>
          <w:bCs w:val="0"/>
          <w:sz w:val="24"/>
          <w:szCs w:val="24"/>
        </w:rPr>
        <w:t>1.8.</w:t>
      </w:r>
      <w:r>
        <w:rPr>
          <w:rFonts w:hint="eastAsia" w:ascii="宋体" w:hAnsi="宋体" w:eastAsia="宋体" w:cs="宋体"/>
          <w:b w:val="0"/>
          <w:bCs w:val="0"/>
          <w:sz w:val="24"/>
          <w:szCs w:val="24"/>
          <w:lang w:val="en-US" w:eastAsia="zh-CN"/>
        </w:rPr>
        <w:t>4</w:t>
      </w:r>
      <w:r>
        <w:rPr>
          <w:rFonts w:hint="eastAsia" w:ascii="宋体" w:hAnsi="宋体" w:eastAsia="宋体" w:cs="宋体"/>
          <w:b w:val="0"/>
          <w:bCs w:val="0"/>
          <w:sz w:val="24"/>
          <w:szCs w:val="24"/>
        </w:rPr>
        <w:t xml:space="preserve">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2C4AEC4F">
      <w:pPr>
        <w:adjustRightInd w:val="0"/>
        <w:spacing w:line="560" w:lineRule="exact"/>
        <w:ind w:firstLine="480" w:firstLineChars="200"/>
        <w:rPr>
          <w:rFonts w:ascii="宋体" w:hAnsi="宋体" w:eastAsia="宋体" w:cs="宋体"/>
          <w:b w:val="0"/>
          <w:bCs w:val="0"/>
          <w:sz w:val="24"/>
          <w:szCs w:val="24"/>
        </w:rPr>
      </w:pPr>
      <w:r>
        <w:rPr>
          <w:rFonts w:hint="eastAsia" w:ascii="宋体" w:hAnsi="宋体" w:eastAsia="宋体" w:cs="宋体"/>
          <w:b w:val="0"/>
          <w:bCs w:val="0"/>
          <w:sz w:val="24"/>
          <w:szCs w:val="24"/>
        </w:rPr>
        <w:t>1.8.</w:t>
      </w:r>
      <w:r>
        <w:rPr>
          <w:rFonts w:hint="eastAsia" w:ascii="宋体" w:hAnsi="宋体" w:eastAsia="宋体" w:cs="宋体"/>
          <w:b w:val="0"/>
          <w:bCs w:val="0"/>
          <w:sz w:val="24"/>
          <w:szCs w:val="24"/>
          <w:lang w:val="en-US" w:eastAsia="zh-CN"/>
        </w:rPr>
        <w:t>5</w:t>
      </w:r>
      <w:r>
        <w:rPr>
          <w:rFonts w:hint="eastAsia" w:ascii="宋体" w:hAnsi="宋体" w:eastAsia="宋体" w:cs="宋体"/>
          <w:b w:val="0"/>
          <w:bCs w:val="0"/>
          <w:sz w:val="24"/>
          <w:szCs w:val="24"/>
        </w:rPr>
        <w:t>如果出现政府采购监督管理部门在处理投诉事项期间，书面通知甲方暂停采购活动的情形，或者询问或质疑事项可能影响中标或者成交结果的，导致甲方中止履行合同的情形，均不视为甲方违约。</w:t>
      </w:r>
    </w:p>
    <w:p w14:paraId="596B7071">
      <w:pPr>
        <w:adjustRightInd w:val="0"/>
        <w:spacing w:line="560" w:lineRule="exact"/>
        <w:ind w:right="-420" w:rightChars="-200" w:firstLine="480" w:firstLineChars="200"/>
        <w:rPr>
          <w:rFonts w:ascii="宋体" w:hAnsi="宋体" w:eastAsia="宋体" w:cs="宋体"/>
          <w:b w:val="0"/>
          <w:bCs w:val="0"/>
          <w:szCs w:val="24"/>
        </w:rPr>
      </w:pPr>
      <w:r>
        <w:rPr>
          <w:rFonts w:hint="eastAsia" w:ascii="宋体" w:hAnsi="宋体" w:eastAsia="宋体" w:cs="宋体"/>
          <w:b w:val="0"/>
          <w:bCs w:val="0"/>
          <w:sz w:val="24"/>
          <w:szCs w:val="24"/>
        </w:rPr>
        <w:t>1.8.</w:t>
      </w:r>
      <w:r>
        <w:rPr>
          <w:rFonts w:hint="eastAsia" w:ascii="宋体" w:hAnsi="宋体" w:eastAsia="宋体" w:cs="宋体"/>
          <w:b w:val="0"/>
          <w:bCs w:val="0"/>
          <w:sz w:val="24"/>
          <w:szCs w:val="24"/>
          <w:lang w:val="en-US" w:eastAsia="zh-CN"/>
        </w:rPr>
        <w:t>6</w:t>
      </w:r>
      <w:r>
        <w:rPr>
          <w:rFonts w:hint="eastAsia" w:ascii="宋体" w:hAnsi="宋体" w:eastAsia="宋体" w:cs="宋体"/>
          <w:b w:val="0"/>
          <w:bCs w:val="0"/>
          <w:sz w:val="24"/>
          <w:szCs w:val="24"/>
        </w:rPr>
        <w:t>违约责任另有约定的，从其约定。</w:t>
      </w:r>
    </w:p>
    <w:bookmarkEnd w:id="131"/>
    <w:bookmarkEnd w:id="132"/>
    <w:bookmarkEnd w:id="133"/>
    <w:bookmarkEnd w:id="134"/>
    <w:bookmarkEnd w:id="135"/>
    <w:p w14:paraId="2D573458">
      <w:pPr>
        <w:adjustRightInd w:val="0"/>
        <w:spacing w:line="560" w:lineRule="exact"/>
        <w:ind w:firstLine="480" w:firstLineChars="200"/>
        <w:outlineLvl w:val="0"/>
        <w:rPr>
          <w:rFonts w:ascii="宋体" w:hAnsi="宋体" w:eastAsia="宋体" w:cs="宋体"/>
          <w:b w:val="0"/>
          <w:bCs w:val="0"/>
          <w:sz w:val="24"/>
          <w:szCs w:val="24"/>
        </w:rPr>
      </w:pPr>
      <w:r>
        <w:rPr>
          <w:rFonts w:hint="eastAsia" w:ascii="宋体" w:hAnsi="宋体" w:eastAsia="宋体" w:cs="宋体"/>
          <w:b w:val="0"/>
          <w:bCs w:val="0"/>
          <w:sz w:val="24"/>
          <w:szCs w:val="24"/>
        </w:rPr>
        <w:t>1.9合同争议的解决</w:t>
      </w:r>
    </w:p>
    <w:p w14:paraId="0D47765E">
      <w:pPr>
        <w:adjustRightInd w:val="0"/>
        <w:spacing w:line="560" w:lineRule="exact"/>
        <w:ind w:left="-61" w:leftChars="-29" w:right="-420" w:rightChars="-200" w:firstLine="240" w:firstLineChars="100"/>
        <w:rPr>
          <w:rFonts w:ascii="宋体" w:hAnsi="宋体" w:eastAsia="宋体" w:cs="宋体"/>
          <w:b w:val="0"/>
          <w:bCs w:val="0"/>
          <w:sz w:val="24"/>
          <w:szCs w:val="24"/>
        </w:rPr>
      </w:pPr>
      <w:r>
        <w:rPr>
          <w:rFonts w:hint="eastAsia" w:ascii="宋体" w:hAnsi="宋体" w:eastAsia="宋体" w:cs="宋体"/>
          <w:b w:val="0"/>
          <w:bCs w:val="0"/>
          <w:sz w:val="24"/>
          <w:szCs w:val="24"/>
        </w:rPr>
        <w:t xml:space="preserve">  本合同履行过程中发生的任何争议，双方当事人均可通过和解或者调解解决；不愿和解、调解或者和解、调解不成的，可以选择以下第</w:t>
      </w:r>
      <w:r>
        <w:rPr>
          <w:rFonts w:hint="eastAsia" w:ascii="宋体" w:hAnsi="宋体" w:eastAsia="宋体" w:cs="宋体"/>
          <w:b w:val="0"/>
          <w:bCs w:val="0"/>
          <w:i/>
          <w:sz w:val="24"/>
          <w:szCs w:val="24"/>
          <w:u w:val="single"/>
        </w:rPr>
        <w:t xml:space="preserve"> </w:t>
      </w:r>
      <w:r>
        <w:rPr>
          <w:rFonts w:hint="eastAsia" w:ascii="宋体" w:hAnsi="宋体" w:eastAsia="宋体" w:cs="宋体"/>
          <w:b w:val="0"/>
          <w:bCs w:val="0"/>
          <w:i/>
          <w:sz w:val="24"/>
          <w:szCs w:val="24"/>
          <w:u w:val="single"/>
          <w:lang w:val="en-US" w:eastAsia="zh-CN"/>
        </w:rPr>
        <w:t>1.9.2</w:t>
      </w:r>
      <w:r>
        <w:rPr>
          <w:rFonts w:hint="eastAsia" w:ascii="宋体" w:hAnsi="宋体" w:eastAsia="宋体" w:cs="宋体"/>
          <w:b w:val="0"/>
          <w:bCs w:val="0"/>
          <w:i/>
          <w:sz w:val="24"/>
          <w:szCs w:val="24"/>
          <w:u w:val="single"/>
        </w:rPr>
        <w:t xml:space="preserve"> </w:t>
      </w:r>
      <w:r>
        <w:rPr>
          <w:rFonts w:hint="eastAsia" w:ascii="宋体" w:hAnsi="宋体" w:eastAsia="宋体" w:cs="宋体"/>
          <w:b w:val="0"/>
          <w:bCs w:val="0"/>
          <w:sz w:val="24"/>
          <w:szCs w:val="24"/>
        </w:rPr>
        <w:t>条款规定的方式解决：</w:t>
      </w:r>
    </w:p>
    <w:p w14:paraId="7796D747">
      <w:pPr>
        <w:adjustRightInd w:val="0"/>
        <w:spacing w:line="560" w:lineRule="exact"/>
        <w:ind w:left="-420" w:leftChars="-200" w:right="-420" w:rightChars="-200" w:firstLine="600" w:firstLineChars="250"/>
        <w:rPr>
          <w:rFonts w:ascii="宋体" w:hAnsi="宋体" w:eastAsia="宋体" w:cs="宋体"/>
          <w:b w:val="0"/>
          <w:bCs w:val="0"/>
          <w:sz w:val="24"/>
          <w:szCs w:val="24"/>
        </w:rPr>
      </w:pPr>
      <w:r>
        <w:rPr>
          <w:rFonts w:hint="eastAsia" w:ascii="宋体" w:hAnsi="宋体" w:eastAsia="宋体" w:cs="宋体"/>
          <w:b w:val="0"/>
          <w:bCs w:val="0"/>
          <w:sz w:val="24"/>
          <w:szCs w:val="24"/>
        </w:rPr>
        <w:t>1.9.1 将争议提交</w:t>
      </w:r>
      <w:r>
        <w:rPr>
          <w:rFonts w:hint="eastAsia" w:ascii="宋体" w:hAnsi="宋体" w:eastAsia="宋体" w:cs="宋体"/>
          <w:b w:val="0"/>
          <w:bCs w:val="0"/>
          <w:i/>
          <w:sz w:val="24"/>
          <w:szCs w:val="24"/>
          <w:u w:val="single"/>
          <w:lang w:val="en-US" w:eastAsia="zh-CN"/>
        </w:rPr>
        <w:t>温州市</w:t>
      </w:r>
      <w:r>
        <w:rPr>
          <w:rFonts w:hint="eastAsia" w:ascii="宋体" w:hAnsi="宋体" w:eastAsia="宋体" w:cs="宋体"/>
          <w:b w:val="0"/>
          <w:bCs w:val="0"/>
          <w:sz w:val="24"/>
          <w:szCs w:val="24"/>
        </w:rPr>
        <w:t>仲裁委员会依申请仲裁时其现行有效的仲裁规则裁决；</w:t>
      </w:r>
    </w:p>
    <w:p w14:paraId="7928679F">
      <w:pPr>
        <w:adjustRightInd w:val="0"/>
        <w:spacing w:line="560" w:lineRule="exact"/>
        <w:ind w:left="-420" w:leftChars="-200" w:right="-420" w:rightChars="-200" w:firstLine="600" w:firstLineChars="250"/>
        <w:rPr>
          <w:rFonts w:ascii="宋体" w:hAnsi="宋体" w:eastAsia="宋体" w:cs="宋体"/>
          <w:b w:val="0"/>
          <w:bCs w:val="0"/>
          <w:sz w:val="24"/>
          <w:szCs w:val="24"/>
        </w:rPr>
      </w:pPr>
      <w:r>
        <w:rPr>
          <w:rFonts w:hint="eastAsia" w:ascii="宋体" w:hAnsi="宋体" w:eastAsia="宋体" w:cs="宋体"/>
          <w:b w:val="0"/>
          <w:bCs w:val="0"/>
          <w:sz w:val="24"/>
          <w:szCs w:val="24"/>
        </w:rPr>
        <w:t>1.9.2 向</w:t>
      </w:r>
      <w:r>
        <w:rPr>
          <w:rFonts w:hint="eastAsia" w:ascii="宋体" w:hAnsi="宋体" w:eastAsia="宋体" w:cs="宋体"/>
          <w:b w:val="0"/>
          <w:bCs w:val="0"/>
          <w:i/>
          <w:sz w:val="24"/>
          <w:szCs w:val="24"/>
          <w:u w:val="single"/>
          <w:lang w:val="en-US" w:eastAsia="zh-CN"/>
        </w:rPr>
        <w:t>温州市</w:t>
      </w:r>
      <w:r>
        <w:rPr>
          <w:rFonts w:hint="eastAsia" w:ascii="宋体" w:hAnsi="宋体" w:eastAsia="宋体" w:cs="宋体"/>
          <w:b w:val="0"/>
          <w:bCs w:val="0"/>
          <w:sz w:val="24"/>
          <w:szCs w:val="24"/>
        </w:rPr>
        <w:t>人民法院起诉。</w:t>
      </w:r>
    </w:p>
    <w:p w14:paraId="49A2FD33">
      <w:pPr>
        <w:adjustRightInd w:val="0"/>
        <w:spacing w:line="560" w:lineRule="exact"/>
        <w:ind w:firstLine="480" w:firstLineChars="200"/>
        <w:outlineLvl w:val="0"/>
        <w:rPr>
          <w:rFonts w:ascii="宋体" w:hAnsi="宋体" w:eastAsia="宋体" w:cs="宋体"/>
          <w:b w:val="0"/>
          <w:bCs w:val="0"/>
          <w:sz w:val="24"/>
          <w:szCs w:val="24"/>
        </w:rPr>
      </w:pPr>
      <w:r>
        <w:rPr>
          <w:rFonts w:hint="eastAsia" w:ascii="宋体" w:hAnsi="宋体" w:eastAsia="宋体" w:cs="宋体"/>
          <w:b w:val="0"/>
          <w:bCs w:val="0"/>
          <w:sz w:val="24"/>
          <w:szCs w:val="24"/>
        </w:rPr>
        <w:t>2.0 合同生效</w:t>
      </w:r>
    </w:p>
    <w:p w14:paraId="35250765">
      <w:pPr>
        <w:adjustRightInd w:val="0"/>
        <w:spacing w:line="560" w:lineRule="exact"/>
        <w:ind w:firstLine="480" w:firstLineChars="200"/>
        <w:rPr>
          <w:rFonts w:ascii="宋体" w:hAnsi="宋体" w:eastAsia="宋体" w:cs="宋体"/>
          <w:b w:val="0"/>
          <w:bCs w:val="0"/>
          <w:sz w:val="24"/>
          <w:szCs w:val="24"/>
        </w:rPr>
      </w:pPr>
      <w:r>
        <w:rPr>
          <w:rFonts w:hint="eastAsia" w:ascii="宋体" w:hAnsi="宋体" w:eastAsia="宋体" w:cs="宋体"/>
          <w:b w:val="0"/>
          <w:bCs w:val="0"/>
          <w:sz w:val="24"/>
          <w:szCs w:val="24"/>
        </w:rPr>
        <w:t>本合同自双方当事人盖章签字时生效。</w:t>
      </w:r>
    </w:p>
    <w:p w14:paraId="12E8FF41">
      <w:pPr>
        <w:autoSpaceDE w:val="0"/>
        <w:autoSpaceDN w:val="0"/>
        <w:adjustRightInd w:val="0"/>
        <w:spacing w:line="560" w:lineRule="exact"/>
        <w:rPr>
          <w:rFonts w:ascii="宋体" w:hAnsi="宋体" w:eastAsia="宋体" w:cs="Times New Roman"/>
          <w:b w:val="0"/>
          <w:bCs w:val="0"/>
          <w:sz w:val="24"/>
          <w:szCs w:val="24"/>
          <w:lang w:val="zh-CN"/>
        </w:rPr>
      </w:pPr>
    </w:p>
    <w:p w14:paraId="2B2C2A27">
      <w:pPr>
        <w:autoSpaceDE w:val="0"/>
        <w:autoSpaceDN w:val="0"/>
        <w:adjustRightInd w:val="0"/>
        <w:spacing w:line="560" w:lineRule="exact"/>
        <w:rPr>
          <w:rFonts w:ascii="宋体" w:hAnsi="宋体" w:eastAsia="宋体" w:cs="Times New Roman"/>
          <w:b w:val="0"/>
          <w:bCs w:val="0"/>
          <w:sz w:val="24"/>
          <w:szCs w:val="24"/>
          <w:lang w:val="zh-CN"/>
        </w:rPr>
      </w:pPr>
      <w:r>
        <w:rPr>
          <w:rFonts w:hint="eastAsia" w:ascii="宋体" w:hAnsi="宋体" w:eastAsia="宋体" w:cs="Times New Roman"/>
          <w:b w:val="0"/>
          <w:bCs w:val="0"/>
          <w:sz w:val="24"/>
          <w:szCs w:val="24"/>
          <w:lang w:val="zh-CN"/>
        </w:rPr>
        <w:t>甲方：</w:t>
      </w:r>
      <w:r>
        <w:rPr>
          <w:rFonts w:ascii="宋体" w:hAnsi="宋体" w:eastAsia="宋体" w:cs="Times New Roman"/>
          <w:b w:val="0"/>
          <w:bCs w:val="0"/>
          <w:sz w:val="24"/>
          <w:szCs w:val="24"/>
          <w:lang w:val="zh-CN"/>
        </w:rPr>
        <w:t xml:space="preserve">                                   乙方</w:t>
      </w:r>
      <w:r>
        <w:rPr>
          <w:rFonts w:hint="eastAsia" w:ascii="宋体" w:hAnsi="宋体" w:eastAsia="宋体" w:cs="Times New Roman"/>
          <w:b w:val="0"/>
          <w:bCs w:val="0"/>
          <w:sz w:val="24"/>
          <w:szCs w:val="24"/>
          <w:lang w:val="zh-CN"/>
        </w:rPr>
        <w:t>：</w:t>
      </w:r>
    </w:p>
    <w:p w14:paraId="49BD297C">
      <w:pPr>
        <w:autoSpaceDE w:val="0"/>
        <w:autoSpaceDN w:val="0"/>
        <w:adjustRightInd w:val="0"/>
        <w:spacing w:line="560" w:lineRule="exact"/>
        <w:rPr>
          <w:rFonts w:ascii="宋体" w:hAnsi="宋体" w:eastAsia="宋体" w:cs="Times New Roman"/>
          <w:b w:val="0"/>
          <w:bCs w:val="0"/>
          <w:sz w:val="24"/>
          <w:szCs w:val="24"/>
          <w:lang w:val="zh-CN"/>
        </w:rPr>
      </w:pPr>
      <w:r>
        <w:rPr>
          <w:rFonts w:hint="eastAsia" w:ascii="宋体" w:hAnsi="宋体" w:eastAsia="宋体" w:cs="Times New Roman"/>
          <w:b w:val="0"/>
          <w:bCs w:val="0"/>
          <w:sz w:val="24"/>
          <w:szCs w:val="24"/>
          <w:lang w:val="zh-CN"/>
        </w:rPr>
        <w:t>统一社会信用代码：</w:t>
      </w:r>
      <w:r>
        <w:rPr>
          <w:rFonts w:ascii="宋体" w:hAnsi="宋体" w:eastAsia="宋体" w:cs="Times New Roman"/>
          <w:b w:val="0"/>
          <w:bCs w:val="0"/>
          <w:sz w:val="24"/>
          <w:szCs w:val="24"/>
          <w:lang w:val="zh-CN"/>
        </w:rPr>
        <w:t xml:space="preserve">                        </w:t>
      </w:r>
      <w:r>
        <w:rPr>
          <w:rFonts w:hint="eastAsia" w:ascii="宋体" w:hAnsi="宋体" w:eastAsia="宋体" w:cs="Times New Roman"/>
          <w:b w:val="0"/>
          <w:bCs w:val="0"/>
          <w:sz w:val="24"/>
          <w:szCs w:val="24"/>
          <w:lang w:val="zh-CN"/>
        </w:rPr>
        <w:t>统一社会信用代码或身份证号码：</w:t>
      </w:r>
    </w:p>
    <w:p w14:paraId="5BFF886B">
      <w:pPr>
        <w:autoSpaceDE w:val="0"/>
        <w:autoSpaceDN w:val="0"/>
        <w:adjustRightInd w:val="0"/>
        <w:spacing w:line="560" w:lineRule="exact"/>
        <w:rPr>
          <w:rFonts w:ascii="宋体" w:hAnsi="宋体" w:eastAsia="宋体" w:cs="Times New Roman"/>
          <w:b w:val="0"/>
          <w:bCs w:val="0"/>
          <w:sz w:val="24"/>
          <w:szCs w:val="24"/>
          <w:lang w:val="zh-CN"/>
        </w:rPr>
      </w:pPr>
    </w:p>
    <w:p w14:paraId="46DFB6F9">
      <w:pPr>
        <w:autoSpaceDE w:val="0"/>
        <w:autoSpaceDN w:val="0"/>
        <w:adjustRightInd w:val="0"/>
        <w:spacing w:line="560" w:lineRule="exact"/>
        <w:rPr>
          <w:rFonts w:ascii="宋体" w:hAnsi="宋体" w:eastAsia="宋体" w:cs="Times New Roman"/>
          <w:b w:val="0"/>
          <w:bCs w:val="0"/>
          <w:sz w:val="24"/>
          <w:szCs w:val="24"/>
          <w:lang w:val="zh-CN"/>
        </w:rPr>
      </w:pPr>
      <w:r>
        <w:rPr>
          <w:rFonts w:hint="eastAsia" w:ascii="宋体" w:hAnsi="宋体" w:eastAsia="宋体" w:cs="Times New Roman"/>
          <w:b w:val="0"/>
          <w:bCs w:val="0"/>
          <w:sz w:val="24"/>
          <w:szCs w:val="24"/>
          <w:lang w:val="zh-CN"/>
        </w:rPr>
        <w:t>住所：</w:t>
      </w:r>
      <w:r>
        <w:rPr>
          <w:rFonts w:ascii="宋体" w:hAnsi="宋体" w:eastAsia="宋体" w:cs="Times New Roman"/>
          <w:b w:val="0"/>
          <w:bCs w:val="0"/>
          <w:sz w:val="24"/>
          <w:szCs w:val="24"/>
          <w:lang w:val="zh-CN"/>
        </w:rPr>
        <w:t xml:space="preserve">                                   </w:t>
      </w:r>
      <w:r>
        <w:rPr>
          <w:rFonts w:hint="eastAsia" w:ascii="宋体" w:hAnsi="宋体" w:eastAsia="宋体" w:cs="Times New Roman"/>
          <w:b w:val="0"/>
          <w:bCs w:val="0"/>
          <w:sz w:val="24"/>
          <w:szCs w:val="24"/>
          <w:lang w:val="zh-CN"/>
        </w:rPr>
        <w:t>住所：</w:t>
      </w:r>
    </w:p>
    <w:p w14:paraId="599CC8AD">
      <w:pPr>
        <w:autoSpaceDE w:val="0"/>
        <w:autoSpaceDN w:val="0"/>
        <w:adjustRightInd w:val="0"/>
        <w:spacing w:line="560" w:lineRule="exact"/>
        <w:rPr>
          <w:rFonts w:ascii="宋体" w:hAnsi="宋体" w:eastAsia="宋体" w:cs="Times New Roman"/>
          <w:b w:val="0"/>
          <w:bCs w:val="0"/>
          <w:sz w:val="24"/>
          <w:szCs w:val="24"/>
          <w:lang w:val="zh-CN"/>
        </w:rPr>
      </w:pPr>
      <w:r>
        <w:rPr>
          <w:rFonts w:hint="eastAsia" w:ascii="宋体" w:hAnsi="宋体" w:eastAsia="宋体" w:cs="Times New Roman"/>
          <w:b w:val="0"/>
          <w:bCs w:val="0"/>
          <w:sz w:val="24"/>
          <w:szCs w:val="24"/>
          <w:lang w:val="zh-CN"/>
        </w:rPr>
        <w:t>法定代表人或</w:t>
      </w:r>
      <w:r>
        <w:rPr>
          <w:rFonts w:ascii="宋体" w:hAnsi="宋体" w:eastAsia="宋体" w:cs="Times New Roman"/>
          <w:b w:val="0"/>
          <w:bCs w:val="0"/>
          <w:sz w:val="24"/>
          <w:szCs w:val="24"/>
          <w:lang w:val="zh-CN"/>
        </w:rPr>
        <w:t xml:space="preserve">                             </w:t>
      </w:r>
      <w:r>
        <w:rPr>
          <w:rFonts w:hint="eastAsia" w:ascii="宋体" w:hAnsi="宋体" w:eastAsia="宋体" w:cs="Times New Roman"/>
          <w:b w:val="0"/>
          <w:bCs w:val="0"/>
          <w:sz w:val="24"/>
          <w:szCs w:val="24"/>
          <w:lang w:val="zh-CN"/>
        </w:rPr>
        <w:t>法定代表人或</w:t>
      </w:r>
    </w:p>
    <w:p w14:paraId="62B29BD3">
      <w:pPr>
        <w:autoSpaceDE w:val="0"/>
        <w:autoSpaceDN w:val="0"/>
        <w:adjustRightInd w:val="0"/>
        <w:spacing w:line="560" w:lineRule="exact"/>
        <w:rPr>
          <w:rFonts w:ascii="宋体" w:hAnsi="宋体" w:eastAsia="宋体" w:cs="Times New Roman"/>
          <w:b w:val="0"/>
          <w:bCs w:val="0"/>
          <w:sz w:val="24"/>
          <w:szCs w:val="24"/>
          <w:lang w:val="zh-CN"/>
        </w:rPr>
      </w:pPr>
      <w:r>
        <w:rPr>
          <w:rFonts w:hint="eastAsia" w:ascii="宋体" w:hAnsi="宋体" w:eastAsia="宋体" w:cs="Times New Roman"/>
          <w:b w:val="0"/>
          <w:bCs w:val="0"/>
          <w:sz w:val="24"/>
          <w:szCs w:val="24"/>
          <w:lang w:val="zh-CN"/>
        </w:rPr>
        <w:t>授权代表（签字）：</w:t>
      </w:r>
      <w:r>
        <w:rPr>
          <w:rFonts w:ascii="宋体" w:hAnsi="宋体" w:eastAsia="宋体" w:cs="Times New Roman"/>
          <w:b w:val="0"/>
          <w:bCs w:val="0"/>
          <w:sz w:val="24"/>
          <w:szCs w:val="24"/>
          <w:lang w:val="zh-CN"/>
        </w:rPr>
        <w:t xml:space="preserve">                       授权代表（签字）</w:t>
      </w:r>
      <w:r>
        <w:rPr>
          <w:rFonts w:hint="eastAsia" w:ascii="宋体" w:eastAsia="宋体" w:cs="Times New Roman"/>
          <w:b w:val="0"/>
          <w:bCs w:val="0"/>
          <w:sz w:val="24"/>
          <w:szCs w:val="24"/>
          <w:lang w:val="zh-CN"/>
        </w:rPr>
        <w:t>：</w:t>
      </w:r>
      <w:r>
        <w:rPr>
          <w:rFonts w:ascii="宋体" w:hAnsi="宋体" w:eastAsia="宋体" w:cs="Times New Roman"/>
          <w:b w:val="0"/>
          <w:bCs w:val="0"/>
          <w:sz w:val="24"/>
          <w:szCs w:val="24"/>
          <w:lang w:val="zh-CN"/>
        </w:rPr>
        <w:t xml:space="preserve"> </w:t>
      </w:r>
    </w:p>
    <w:p w14:paraId="51B35D0F">
      <w:pPr>
        <w:autoSpaceDE w:val="0"/>
        <w:autoSpaceDN w:val="0"/>
        <w:adjustRightInd w:val="0"/>
        <w:spacing w:line="560" w:lineRule="exact"/>
        <w:rPr>
          <w:rFonts w:ascii="宋体" w:hAnsi="宋体" w:eastAsia="宋体" w:cs="Times New Roman"/>
          <w:b w:val="0"/>
          <w:bCs w:val="0"/>
          <w:sz w:val="24"/>
          <w:szCs w:val="24"/>
          <w:lang w:val="zh-CN"/>
        </w:rPr>
      </w:pPr>
      <w:r>
        <w:rPr>
          <w:rFonts w:hint="eastAsia" w:ascii="宋体" w:hAnsi="宋体" w:eastAsia="宋体" w:cs="Times New Roman"/>
          <w:b w:val="0"/>
          <w:bCs w:val="0"/>
          <w:sz w:val="24"/>
          <w:szCs w:val="24"/>
          <w:lang w:val="zh-CN"/>
        </w:rPr>
        <w:t>联系人：</w:t>
      </w:r>
      <w:r>
        <w:rPr>
          <w:rFonts w:ascii="宋体" w:hAnsi="宋体" w:eastAsia="宋体" w:cs="Times New Roman"/>
          <w:b w:val="0"/>
          <w:bCs w:val="0"/>
          <w:sz w:val="24"/>
          <w:szCs w:val="24"/>
          <w:lang w:val="zh-CN"/>
        </w:rPr>
        <w:t xml:space="preserve">                                 </w:t>
      </w:r>
      <w:r>
        <w:rPr>
          <w:rFonts w:hint="eastAsia" w:ascii="宋体" w:hAnsi="宋体" w:eastAsia="宋体" w:cs="Times New Roman"/>
          <w:b w:val="0"/>
          <w:bCs w:val="0"/>
          <w:sz w:val="24"/>
          <w:szCs w:val="24"/>
          <w:lang w:val="zh-CN"/>
        </w:rPr>
        <w:t>联系人：</w:t>
      </w:r>
    </w:p>
    <w:p w14:paraId="65C1CC9B">
      <w:pPr>
        <w:autoSpaceDE w:val="0"/>
        <w:autoSpaceDN w:val="0"/>
        <w:adjustRightInd w:val="0"/>
        <w:spacing w:line="560" w:lineRule="exact"/>
        <w:rPr>
          <w:rFonts w:ascii="宋体" w:hAnsi="宋体" w:eastAsia="宋体" w:cs="Times New Roman"/>
          <w:b w:val="0"/>
          <w:bCs w:val="0"/>
          <w:sz w:val="24"/>
          <w:szCs w:val="24"/>
          <w:lang w:val="zh-CN"/>
        </w:rPr>
      </w:pPr>
      <w:r>
        <w:rPr>
          <w:rFonts w:hint="eastAsia" w:ascii="宋体" w:hAnsi="宋体" w:eastAsia="宋体" w:cs="Times New Roman"/>
          <w:b w:val="0"/>
          <w:bCs w:val="0"/>
          <w:sz w:val="24"/>
          <w:szCs w:val="24"/>
          <w:lang w:val="zh-CN"/>
        </w:rPr>
        <w:t>约定送达地址：</w:t>
      </w:r>
      <w:r>
        <w:rPr>
          <w:rFonts w:ascii="宋体" w:hAnsi="宋体" w:eastAsia="宋体" w:cs="Times New Roman"/>
          <w:b w:val="0"/>
          <w:bCs w:val="0"/>
          <w:sz w:val="24"/>
          <w:szCs w:val="24"/>
          <w:lang w:val="zh-CN"/>
        </w:rPr>
        <w:t xml:space="preserve">                           </w:t>
      </w:r>
      <w:r>
        <w:rPr>
          <w:rFonts w:hint="eastAsia" w:ascii="宋体" w:hAnsi="宋体" w:eastAsia="宋体" w:cs="Times New Roman"/>
          <w:b w:val="0"/>
          <w:bCs w:val="0"/>
          <w:sz w:val="24"/>
          <w:szCs w:val="24"/>
          <w:lang w:val="zh-CN"/>
        </w:rPr>
        <w:t>约定送达地址：</w:t>
      </w:r>
    </w:p>
    <w:p w14:paraId="1BDEE2AA">
      <w:pPr>
        <w:autoSpaceDE w:val="0"/>
        <w:autoSpaceDN w:val="0"/>
        <w:adjustRightInd w:val="0"/>
        <w:spacing w:line="560" w:lineRule="exact"/>
        <w:rPr>
          <w:rFonts w:ascii="宋体" w:hAnsi="宋体" w:eastAsia="宋体" w:cs="Times New Roman"/>
          <w:b w:val="0"/>
          <w:bCs w:val="0"/>
          <w:sz w:val="24"/>
          <w:szCs w:val="24"/>
        </w:rPr>
      </w:pPr>
      <w:r>
        <w:rPr>
          <w:rFonts w:hint="eastAsia" w:ascii="宋体" w:hAnsi="宋体" w:eastAsia="宋体" w:cs="Times New Roman"/>
          <w:b w:val="0"/>
          <w:bCs w:val="0"/>
          <w:sz w:val="24"/>
          <w:szCs w:val="24"/>
          <w:lang w:val="zh-CN"/>
        </w:rPr>
        <w:t>电子邮箱：</w:t>
      </w:r>
      <w:r>
        <w:rPr>
          <w:rFonts w:ascii="宋体" w:hAnsi="宋体" w:eastAsia="宋体" w:cs="Times New Roman"/>
          <w:b w:val="0"/>
          <w:bCs w:val="0"/>
          <w:sz w:val="24"/>
          <w:szCs w:val="24"/>
          <w:lang w:val="zh-CN"/>
        </w:rPr>
        <w:t xml:space="preserve">                               </w:t>
      </w:r>
      <w:r>
        <w:rPr>
          <w:rFonts w:hint="eastAsia" w:ascii="宋体" w:hAnsi="宋体" w:eastAsia="宋体" w:cs="Times New Roman"/>
          <w:b w:val="0"/>
          <w:bCs w:val="0"/>
          <w:sz w:val="24"/>
          <w:szCs w:val="24"/>
          <w:lang w:val="zh-CN"/>
        </w:rPr>
        <w:t>电子邮箱：</w:t>
      </w:r>
    </w:p>
    <w:p w14:paraId="1282D04A">
      <w:pPr>
        <w:autoSpaceDE w:val="0"/>
        <w:autoSpaceDN w:val="0"/>
        <w:adjustRightInd w:val="0"/>
        <w:spacing w:line="560" w:lineRule="exact"/>
        <w:rPr>
          <w:rFonts w:ascii="宋体" w:hAnsi="宋体" w:eastAsia="宋体" w:cs="Times New Roman"/>
          <w:b w:val="0"/>
          <w:bCs w:val="0"/>
          <w:sz w:val="24"/>
          <w:szCs w:val="24"/>
        </w:rPr>
      </w:pPr>
      <w:r>
        <w:rPr>
          <w:rFonts w:hint="eastAsia" w:ascii="宋体" w:hAnsi="宋体" w:eastAsia="宋体" w:cs="Times New Roman"/>
          <w:b w:val="0"/>
          <w:bCs w:val="0"/>
          <w:sz w:val="24"/>
          <w:szCs w:val="24"/>
        </w:rPr>
        <w:t>开户银行：</w:t>
      </w:r>
      <w:r>
        <w:rPr>
          <w:rFonts w:ascii="宋体" w:hAnsi="宋体" w:eastAsia="宋体" w:cs="Times New Roman"/>
          <w:b w:val="0"/>
          <w:bCs w:val="0"/>
          <w:sz w:val="24"/>
          <w:szCs w:val="24"/>
        </w:rPr>
        <w:t xml:space="preserve">                               开户银行： </w:t>
      </w:r>
    </w:p>
    <w:p w14:paraId="5DE60B46">
      <w:pPr>
        <w:autoSpaceDE w:val="0"/>
        <w:autoSpaceDN w:val="0"/>
        <w:adjustRightInd w:val="0"/>
        <w:spacing w:line="560" w:lineRule="exact"/>
        <w:rPr>
          <w:rFonts w:ascii="宋体" w:hAnsi="宋体" w:eastAsia="宋体" w:cs="Times New Roman"/>
          <w:b w:val="0"/>
          <w:bCs w:val="0"/>
          <w:sz w:val="24"/>
          <w:szCs w:val="24"/>
        </w:rPr>
      </w:pPr>
      <w:r>
        <w:rPr>
          <w:rFonts w:hint="eastAsia" w:ascii="宋体" w:hAnsi="宋体" w:eastAsia="宋体" w:cs="Times New Roman"/>
          <w:b w:val="0"/>
          <w:bCs w:val="0"/>
          <w:sz w:val="24"/>
          <w:szCs w:val="24"/>
        </w:rPr>
        <w:t>开户名称：</w:t>
      </w:r>
      <w:r>
        <w:rPr>
          <w:rFonts w:ascii="宋体" w:hAnsi="宋体" w:eastAsia="宋体" w:cs="Times New Roman"/>
          <w:b w:val="0"/>
          <w:bCs w:val="0"/>
          <w:sz w:val="24"/>
          <w:szCs w:val="24"/>
        </w:rPr>
        <w:t xml:space="preserve">                               开户名称： </w:t>
      </w:r>
    </w:p>
    <w:p w14:paraId="7D5C12F1">
      <w:pPr>
        <w:autoSpaceDE w:val="0"/>
        <w:autoSpaceDN w:val="0"/>
        <w:adjustRightInd w:val="0"/>
        <w:spacing w:line="560" w:lineRule="exact"/>
        <w:rPr>
          <w:rFonts w:ascii="宋体" w:hAnsi="宋体" w:eastAsia="宋体" w:cs="Times New Roman"/>
          <w:b w:val="0"/>
          <w:bCs w:val="0"/>
          <w:sz w:val="24"/>
          <w:szCs w:val="24"/>
        </w:rPr>
      </w:pPr>
      <w:r>
        <w:rPr>
          <w:rFonts w:hint="eastAsia" w:ascii="宋体" w:hAnsi="宋体" w:eastAsia="宋体" w:cs="Times New Roman"/>
          <w:b w:val="0"/>
          <w:bCs w:val="0"/>
          <w:sz w:val="24"/>
          <w:szCs w:val="24"/>
        </w:rPr>
        <w:t>开户账号：</w:t>
      </w:r>
      <w:r>
        <w:rPr>
          <w:rFonts w:ascii="宋体" w:hAnsi="宋体" w:eastAsia="宋体" w:cs="Times New Roman"/>
          <w:b w:val="0"/>
          <w:bCs w:val="0"/>
          <w:sz w:val="24"/>
          <w:szCs w:val="24"/>
          <w:lang w:val="zh-CN"/>
        </w:rPr>
        <w:t xml:space="preserve">                               </w:t>
      </w:r>
      <w:r>
        <w:rPr>
          <w:rFonts w:hint="eastAsia" w:ascii="宋体" w:hAnsi="宋体" w:eastAsia="宋体" w:cs="Times New Roman"/>
          <w:b w:val="0"/>
          <w:bCs w:val="0"/>
          <w:sz w:val="24"/>
          <w:szCs w:val="24"/>
        </w:rPr>
        <w:t>开户账号：</w:t>
      </w:r>
    </w:p>
    <w:p w14:paraId="661177C3">
      <w:pPr>
        <w:keepNext w:val="0"/>
        <w:keepLines w:val="0"/>
        <w:pageBreakBefore w:val="0"/>
        <w:kinsoku/>
        <w:wordWrap/>
        <w:overflowPunct/>
        <w:topLinePunct w:val="0"/>
        <w:autoSpaceDE/>
        <w:autoSpaceDN/>
        <w:bidi w:val="0"/>
        <w:snapToGrid/>
        <w:spacing w:line="360" w:lineRule="auto"/>
        <w:ind w:firstLine="1210" w:firstLineChars="550"/>
        <w:rPr>
          <w:rFonts w:hint="eastAsia" w:ascii="宋体" w:hAnsi="宋体" w:eastAsia="宋体" w:cs="宋体"/>
          <w:b w:val="0"/>
          <w:bCs w:val="0"/>
          <w:color w:val="auto"/>
          <w:sz w:val="22"/>
          <w:szCs w:val="22"/>
          <w:highlight w:val="none"/>
        </w:rPr>
      </w:pPr>
    </w:p>
    <w:p w14:paraId="3DD8DC00">
      <w:pPr>
        <w:rPr>
          <w:rFonts w:hint="eastAsia" w:ascii="宋体" w:hAnsi="宋体" w:eastAsia="宋体" w:cs="宋体"/>
          <w:b w:val="0"/>
          <w:bCs w:val="0"/>
          <w:color w:val="auto"/>
          <w:sz w:val="22"/>
          <w:szCs w:val="22"/>
          <w:highlight w:val="none"/>
        </w:rPr>
      </w:pPr>
      <w:bookmarkStart w:id="136" w:name="_Toc5404"/>
      <w:r>
        <w:rPr>
          <w:rFonts w:hint="eastAsia" w:ascii="宋体" w:hAnsi="宋体" w:eastAsia="宋体" w:cs="宋体"/>
          <w:b w:val="0"/>
          <w:bCs w:val="0"/>
          <w:color w:val="auto"/>
          <w:sz w:val="22"/>
          <w:szCs w:val="22"/>
          <w:highlight w:val="none"/>
        </w:rPr>
        <w:br w:type="page"/>
      </w:r>
    </w:p>
    <w:bookmarkEnd w:id="136"/>
    <w:p w14:paraId="69DF09CE">
      <w:pPr>
        <w:spacing w:line="360" w:lineRule="auto"/>
        <w:rPr>
          <w:rFonts w:hint="eastAsia" w:ascii="宋体" w:hAnsi="宋体" w:eastAsia="宋体" w:cs="宋体"/>
          <w:color w:val="auto"/>
          <w:sz w:val="22"/>
          <w:szCs w:val="22"/>
          <w:highlight w:val="none"/>
        </w:rPr>
        <w:sectPr>
          <w:footerReference r:id="rId11" w:type="first"/>
          <w:headerReference r:id="rId8" w:type="default"/>
          <w:footerReference r:id="rId9" w:type="default"/>
          <w:footerReference r:id="rId10" w:type="even"/>
          <w:pgSz w:w="11907" w:h="16840"/>
          <w:pgMar w:top="1440" w:right="1117" w:bottom="1440" w:left="1440" w:header="720" w:footer="720" w:gutter="0"/>
          <w:cols w:space="720" w:num="1"/>
          <w:titlePg/>
          <w:docGrid w:linePitch="286" w:charSpace="0"/>
        </w:sectPr>
      </w:pPr>
    </w:p>
    <w:p w14:paraId="08071F18">
      <w:pPr>
        <w:pStyle w:val="41"/>
        <w:rPr>
          <w:rFonts w:hint="eastAsia" w:ascii="宋体" w:hAnsi="宋体" w:eastAsia="宋体" w:cs="宋体"/>
          <w:color w:val="auto"/>
          <w:highlight w:val="none"/>
        </w:rPr>
      </w:pPr>
      <w:bookmarkStart w:id="137" w:name="_Toc10539"/>
      <w:r>
        <w:rPr>
          <w:rFonts w:hint="eastAsia" w:ascii="宋体" w:hAnsi="宋体" w:eastAsia="宋体" w:cs="宋体"/>
          <w:color w:val="auto"/>
          <w:highlight w:val="none"/>
        </w:rPr>
        <w:t>第六部分 磋商响应文件格式</w:t>
      </w:r>
      <w:bookmarkEnd w:id="137"/>
    </w:p>
    <w:p w14:paraId="339FD45F">
      <w:pPr>
        <w:pStyle w:val="41"/>
        <w:rPr>
          <w:rFonts w:hint="eastAsia" w:ascii="宋体" w:hAnsi="宋体" w:eastAsia="宋体" w:cs="宋体"/>
          <w:color w:val="auto"/>
          <w:highlight w:val="none"/>
        </w:rPr>
      </w:pPr>
      <w:bookmarkStart w:id="138" w:name="_Toc42678689"/>
      <w:bookmarkStart w:id="139" w:name="_Toc16430"/>
      <w:bookmarkStart w:id="140" w:name="_Toc65590090"/>
      <w:bookmarkStart w:id="141" w:name="_Toc161563051"/>
      <w:r>
        <w:rPr>
          <w:rFonts w:hint="eastAsia" w:ascii="宋体" w:hAnsi="宋体" w:eastAsia="宋体" w:cs="宋体"/>
          <w:color w:val="auto"/>
          <w:highlight w:val="none"/>
        </w:rPr>
        <w:t>一、资格文件部分格式</w:t>
      </w:r>
      <w:bookmarkEnd w:id="138"/>
      <w:bookmarkEnd w:id="139"/>
      <w:bookmarkEnd w:id="140"/>
    </w:p>
    <w:p w14:paraId="4C6052EC">
      <w:pPr>
        <w:widowControl/>
        <w:spacing w:line="460" w:lineRule="atLeast"/>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附件一</w:t>
      </w:r>
    </w:p>
    <w:p w14:paraId="5833834F">
      <w:pPr>
        <w:pStyle w:val="41"/>
        <w:rPr>
          <w:rFonts w:hint="eastAsia" w:ascii="宋体" w:hAnsi="宋体" w:eastAsia="宋体" w:cs="宋体"/>
          <w:color w:val="auto"/>
          <w:highlight w:val="none"/>
          <w:lang w:val="zh-CN"/>
        </w:rPr>
      </w:pPr>
      <w:bookmarkStart w:id="142" w:name="_Toc23773"/>
      <w:bookmarkStart w:id="143" w:name="_Toc7972"/>
      <w:r>
        <w:rPr>
          <w:rFonts w:hint="eastAsia" w:ascii="宋体" w:hAnsi="宋体" w:eastAsia="宋体" w:cs="宋体"/>
          <w:color w:val="auto"/>
          <w:highlight w:val="none"/>
          <w:lang w:val="zh-CN"/>
        </w:rPr>
        <w:t>资格条件承诺函</w:t>
      </w:r>
      <w:bookmarkEnd w:id="142"/>
      <w:bookmarkEnd w:id="143"/>
    </w:p>
    <w:p w14:paraId="3B1E8229">
      <w:pPr>
        <w:spacing w:line="420" w:lineRule="exact"/>
        <w:rPr>
          <w:rFonts w:hint="eastAsia" w:ascii="宋体" w:hAnsi="宋体" w:eastAsia="宋体" w:cs="宋体"/>
          <w:b w:val="0"/>
          <w:bCs w:val="0"/>
          <w:color w:val="auto"/>
          <w:sz w:val="22"/>
          <w:szCs w:val="22"/>
          <w:highlight w:val="none"/>
        </w:rPr>
      </w:pPr>
      <w:r>
        <w:rPr>
          <w:rFonts w:hint="eastAsia" w:ascii="宋体" w:eastAsia="宋体" w:cs="宋体"/>
          <w:b w:val="0"/>
          <w:bCs w:val="0"/>
          <w:color w:val="auto"/>
          <w:sz w:val="22"/>
          <w:szCs w:val="22"/>
          <w:highlight w:val="none"/>
          <w:lang w:eastAsia="zh-CN"/>
        </w:rPr>
        <w:t>中共永嘉县委组织部</w:t>
      </w:r>
      <w:r>
        <w:rPr>
          <w:rFonts w:hint="eastAsia" w:ascii="宋体" w:hAnsi="宋体" w:eastAsia="宋体" w:cs="宋体"/>
          <w:b w:val="0"/>
          <w:bCs w:val="0"/>
          <w:color w:val="auto"/>
          <w:sz w:val="22"/>
          <w:szCs w:val="22"/>
          <w:highlight w:val="none"/>
        </w:rPr>
        <w:t>：</w:t>
      </w:r>
    </w:p>
    <w:p w14:paraId="56D06934">
      <w:pPr>
        <w:spacing w:line="420" w:lineRule="exac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温州市中概工程管理咨询有限公司：</w:t>
      </w:r>
    </w:p>
    <w:p w14:paraId="1027D4BD">
      <w:pPr>
        <w:widowControl/>
        <w:spacing w:line="440" w:lineRule="exact"/>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我方参与</w:t>
      </w:r>
      <w:r>
        <w:rPr>
          <w:rFonts w:hint="eastAsia" w:ascii="宋体" w:hAnsi="宋体" w:eastAsia="宋体" w:cs="宋体"/>
          <w:b w:val="0"/>
          <w:bCs w:val="0"/>
          <w:color w:val="auto"/>
          <w:sz w:val="22"/>
          <w:szCs w:val="22"/>
          <w:highlight w:val="none"/>
          <w:u w:val="single"/>
        </w:rPr>
        <w:t xml:space="preserve">                          </w:t>
      </w:r>
      <w:r>
        <w:rPr>
          <w:rFonts w:hint="eastAsia" w:ascii="宋体" w:hAnsi="宋体" w:eastAsia="宋体" w:cs="宋体"/>
          <w:b w:val="0"/>
          <w:bCs w:val="0"/>
          <w:color w:val="auto"/>
          <w:sz w:val="22"/>
          <w:szCs w:val="22"/>
          <w:highlight w:val="none"/>
        </w:rPr>
        <w:t>（采购项目名称、编号）项目投标，现郑重承诺：</w:t>
      </w:r>
    </w:p>
    <w:p w14:paraId="59A29A88">
      <w:pPr>
        <w:widowControl/>
        <w:spacing w:line="440" w:lineRule="exact"/>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1.我方符合《中华人民共和国政府采购法》第二十二条规定的资格条件，即</w:t>
      </w:r>
    </w:p>
    <w:p w14:paraId="6008C34E">
      <w:pPr>
        <w:widowControl/>
        <w:snapToGrid w:val="0"/>
        <w:spacing w:line="440" w:lineRule="exact"/>
        <w:ind w:left="420" w:leftChars="200"/>
        <w:jc w:val="left"/>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（1）我方具有独立承担民事责任的能力；</w:t>
      </w:r>
    </w:p>
    <w:p w14:paraId="12AB7C62">
      <w:pPr>
        <w:widowControl/>
        <w:snapToGrid w:val="0"/>
        <w:spacing w:line="440" w:lineRule="exact"/>
        <w:ind w:left="420" w:leftChars="200"/>
        <w:jc w:val="left"/>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（2）我方具有良好的商业信誉和健全的财务会计制度；</w:t>
      </w:r>
    </w:p>
    <w:p w14:paraId="1DD2E0D9">
      <w:pPr>
        <w:widowControl/>
        <w:snapToGrid w:val="0"/>
        <w:spacing w:line="440" w:lineRule="exact"/>
        <w:ind w:left="420" w:leftChars="200"/>
        <w:jc w:val="left"/>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（3）我方具有履行合同所必需的设备和专业技术能力；</w:t>
      </w:r>
    </w:p>
    <w:p w14:paraId="30E7D7A9">
      <w:pPr>
        <w:widowControl/>
        <w:snapToGrid w:val="0"/>
        <w:spacing w:line="440" w:lineRule="exact"/>
        <w:ind w:left="420" w:leftChars="200"/>
        <w:jc w:val="left"/>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（4）我方有依法缴纳税收和社会保障资金的良好记录；</w:t>
      </w:r>
    </w:p>
    <w:p w14:paraId="0EB57104">
      <w:pPr>
        <w:widowControl/>
        <w:snapToGrid w:val="0"/>
        <w:spacing w:line="440" w:lineRule="exact"/>
        <w:ind w:left="970" w:leftChars="200" w:hanging="550" w:hangingChars="250"/>
        <w:jc w:val="left"/>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5）我方参加本次政府采购活动前3年内在经营活动中没有重大违法记录（没有因违法经营受到刑事处罚，没有被责令停产停业、被吊销许可证或者执照、被处以较大数额罚款等行政处罚，没有因违法经营被禁止参加政府采购活动的期限未满情形）。</w:t>
      </w:r>
    </w:p>
    <w:p w14:paraId="12D60C73">
      <w:pPr>
        <w:widowControl/>
        <w:snapToGrid w:val="0"/>
        <w:spacing w:line="440" w:lineRule="exact"/>
        <w:ind w:firstLine="440" w:firstLineChars="200"/>
        <w:jc w:val="left"/>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2.到本项目投标截止时间为止，我方未被“信用中国（</w:t>
      </w:r>
      <w:r>
        <w:rPr>
          <w:rFonts w:hint="eastAsia" w:ascii="宋体" w:hAnsi="宋体" w:eastAsia="宋体" w:cs="宋体"/>
          <w:b w:val="0"/>
          <w:bCs w:val="0"/>
          <w:color w:val="auto"/>
          <w:highlight w:val="none"/>
        </w:rPr>
        <w:fldChar w:fldCharType="begin"/>
      </w:r>
      <w:r>
        <w:rPr>
          <w:rFonts w:hint="eastAsia" w:ascii="宋体" w:hAnsi="宋体" w:eastAsia="宋体" w:cs="宋体"/>
          <w:b w:val="0"/>
          <w:bCs w:val="0"/>
          <w:color w:val="auto"/>
          <w:highlight w:val="none"/>
        </w:rPr>
        <w:instrText xml:space="preserve"> HYPERLINK "http://www.creditchina.gov.cn）、" </w:instrText>
      </w:r>
      <w:r>
        <w:rPr>
          <w:rFonts w:hint="eastAsia" w:ascii="宋体" w:hAnsi="宋体" w:eastAsia="宋体" w:cs="宋体"/>
          <w:b w:val="0"/>
          <w:bCs w:val="0"/>
          <w:color w:val="auto"/>
          <w:highlight w:val="none"/>
        </w:rPr>
        <w:fldChar w:fldCharType="separate"/>
      </w:r>
      <w:r>
        <w:rPr>
          <w:rStyle w:val="51"/>
          <w:rFonts w:hint="eastAsia" w:ascii="宋体" w:hAnsi="宋体" w:eastAsia="宋体" w:cs="宋体"/>
          <w:b w:val="0"/>
          <w:bCs w:val="0"/>
          <w:color w:val="auto"/>
          <w:kern w:val="0"/>
          <w:sz w:val="22"/>
          <w:szCs w:val="22"/>
          <w:highlight w:val="none"/>
        </w:rPr>
        <w:t>www.creditchina.gov.cn）、</w:t>
      </w:r>
      <w:r>
        <w:rPr>
          <w:rStyle w:val="51"/>
          <w:rFonts w:hint="eastAsia" w:ascii="宋体" w:hAnsi="宋体" w:eastAsia="宋体" w:cs="宋体"/>
          <w:b w:val="0"/>
          <w:bCs w:val="0"/>
          <w:color w:val="auto"/>
          <w:kern w:val="0"/>
          <w:sz w:val="22"/>
          <w:szCs w:val="22"/>
          <w:highlight w:val="none"/>
        </w:rPr>
        <w:fldChar w:fldCharType="end"/>
      </w:r>
      <w:r>
        <w:rPr>
          <w:rFonts w:hint="eastAsia" w:ascii="宋体" w:hAnsi="宋体" w:eastAsia="宋体" w:cs="宋体"/>
          <w:b w:val="0"/>
          <w:bCs w:val="0"/>
          <w:color w:val="auto"/>
          <w:kern w:val="0"/>
          <w:sz w:val="22"/>
          <w:szCs w:val="22"/>
          <w:highlight w:val="none"/>
        </w:rPr>
        <w:t xml:space="preserve"> 中国政府采购网（www.ccgp.gov.cn）列入失信被执行人名单、重大税收违法案件当事人名单、政府采购严重违法失信行为记录名单。</w:t>
      </w:r>
    </w:p>
    <w:p w14:paraId="59D65713">
      <w:pPr>
        <w:widowControl/>
        <w:snapToGrid w:val="0"/>
        <w:spacing w:line="440" w:lineRule="exact"/>
        <w:ind w:firstLine="440" w:firstLineChars="200"/>
        <w:jc w:val="left"/>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3.单位、法定代表人（单位负责人）、本项目被授权人及本项目负责人在参加本项目前三年内（以法院判决书生效日期为准）均无行贿犯罪记录。</w:t>
      </w:r>
    </w:p>
    <w:p w14:paraId="1DD6DA5C">
      <w:pPr>
        <w:widowControl/>
        <w:snapToGrid w:val="0"/>
        <w:spacing w:line="440" w:lineRule="exact"/>
        <w:ind w:firstLine="440" w:firstLineChars="200"/>
        <w:jc w:val="left"/>
        <w:rPr>
          <w:rFonts w:hint="eastAsia" w:ascii="宋体" w:hAnsi="宋体" w:eastAsia="宋体" w:cs="宋体"/>
          <w:b w:val="0"/>
          <w:bCs w:val="0"/>
          <w:color w:val="auto"/>
          <w:kern w:val="0"/>
          <w:sz w:val="22"/>
          <w:szCs w:val="22"/>
          <w:highlight w:val="none"/>
        </w:rPr>
      </w:pPr>
    </w:p>
    <w:p w14:paraId="0AD6B2CB">
      <w:pPr>
        <w:widowControl/>
        <w:snapToGrid w:val="0"/>
        <w:spacing w:line="440" w:lineRule="exact"/>
        <w:ind w:left="210" w:leftChars="100"/>
        <w:jc w:val="left"/>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以上承诺如有虚假，</w:t>
      </w:r>
      <w:r>
        <w:rPr>
          <w:rFonts w:hint="eastAsia" w:ascii="宋体" w:hAnsi="宋体" w:eastAsia="宋体" w:cs="宋体"/>
          <w:b w:val="0"/>
          <w:bCs w:val="0"/>
          <w:color w:val="auto"/>
          <w:sz w:val="22"/>
          <w:szCs w:val="22"/>
          <w:highlight w:val="none"/>
        </w:rPr>
        <w:t>愿接受取消</w:t>
      </w:r>
      <w:r>
        <w:rPr>
          <w:rFonts w:hint="eastAsia" w:ascii="宋体" w:hAnsi="宋体" w:eastAsia="宋体" w:cs="宋体"/>
          <w:b w:val="0"/>
          <w:bCs w:val="0"/>
          <w:color w:val="auto"/>
          <w:kern w:val="0"/>
          <w:sz w:val="22"/>
          <w:szCs w:val="22"/>
          <w:highlight w:val="none"/>
        </w:rPr>
        <w:t>我方任何资格（投标/中标/签订合同）</w:t>
      </w:r>
      <w:r>
        <w:rPr>
          <w:rFonts w:hint="eastAsia" w:ascii="宋体" w:hAnsi="宋体" w:eastAsia="宋体" w:cs="宋体"/>
          <w:b w:val="0"/>
          <w:bCs w:val="0"/>
          <w:color w:val="auto"/>
          <w:sz w:val="22"/>
          <w:szCs w:val="22"/>
          <w:highlight w:val="none"/>
        </w:rPr>
        <w:t>及其他任何形式的处理。</w:t>
      </w:r>
    </w:p>
    <w:p w14:paraId="3467C21B">
      <w:pPr>
        <w:spacing w:line="400" w:lineRule="exact"/>
        <w:ind w:firstLine="770" w:firstLineChars="350"/>
        <w:rPr>
          <w:rFonts w:hint="eastAsia" w:ascii="宋体" w:hAnsi="宋体" w:eastAsia="宋体" w:cs="宋体"/>
          <w:b w:val="0"/>
          <w:bCs w:val="0"/>
          <w:color w:val="auto"/>
          <w:sz w:val="22"/>
          <w:szCs w:val="22"/>
          <w:highlight w:val="none"/>
        </w:rPr>
      </w:pPr>
    </w:p>
    <w:p w14:paraId="189C18C3">
      <w:pPr>
        <w:spacing w:line="400" w:lineRule="exact"/>
        <w:ind w:firstLine="770" w:firstLineChars="35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eastAsia="zh-CN"/>
        </w:rPr>
        <w:t>投标供应商</w:t>
      </w:r>
      <w:r>
        <w:rPr>
          <w:rFonts w:hint="eastAsia" w:ascii="宋体" w:hAnsi="宋体" w:eastAsia="宋体" w:cs="宋体"/>
          <w:b w:val="0"/>
          <w:bCs w:val="0"/>
          <w:color w:val="auto"/>
          <w:sz w:val="22"/>
          <w:szCs w:val="22"/>
          <w:highlight w:val="none"/>
        </w:rPr>
        <w:t>全称（盖章）：</w:t>
      </w:r>
    </w:p>
    <w:p w14:paraId="61E7F93B">
      <w:pPr>
        <w:spacing w:line="400" w:lineRule="exact"/>
        <w:ind w:firstLine="770" w:firstLineChars="35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eastAsia="zh-CN"/>
        </w:rPr>
        <w:t>投标供应商</w:t>
      </w:r>
      <w:r>
        <w:rPr>
          <w:rFonts w:hint="eastAsia" w:ascii="宋体" w:hAnsi="宋体" w:eastAsia="宋体" w:cs="宋体"/>
          <w:b w:val="0"/>
          <w:bCs w:val="0"/>
          <w:color w:val="auto"/>
          <w:sz w:val="22"/>
          <w:szCs w:val="22"/>
          <w:highlight w:val="none"/>
        </w:rPr>
        <w:t>代表（签名或盖章）：</w:t>
      </w:r>
    </w:p>
    <w:p w14:paraId="5485A40D">
      <w:pPr>
        <w:spacing w:line="400" w:lineRule="exact"/>
        <w:ind w:firstLine="770" w:firstLineChars="35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日 期：  年  月  日</w:t>
      </w:r>
    </w:p>
    <w:p w14:paraId="113B5703">
      <w:pPr>
        <w:widowControl/>
        <w:spacing w:line="460" w:lineRule="atLeast"/>
        <w:jc w:val="left"/>
        <w:rPr>
          <w:rFonts w:hint="eastAsia" w:ascii="宋体" w:hAnsi="宋体" w:eastAsia="宋体" w:cs="宋体"/>
          <w:b/>
          <w:color w:val="auto"/>
          <w:sz w:val="22"/>
          <w:szCs w:val="22"/>
          <w:highlight w:val="none"/>
        </w:rPr>
      </w:pPr>
      <w:r>
        <w:rPr>
          <w:rFonts w:hint="eastAsia" w:ascii="宋体" w:hAnsi="宋体" w:eastAsia="宋体" w:cs="宋体"/>
          <w:b/>
          <w:bCs/>
          <w:color w:val="auto"/>
          <w:sz w:val="22"/>
          <w:szCs w:val="22"/>
          <w:highlight w:val="none"/>
        </w:rPr>
        <w:t>注：</w:t>
      </w:r>
      <w:r>
        <w:rPr>
          <w:rFonts w:hint="eastAsia" w:ascii="宋体" w:hAnsi="宋体" w:eastAsia="宋体" w:cs="宋体"/>
          <w:b/>
          <w:bCs/>
          <w:color w:val="auto"/>
          <w:sz w:val="22"/>
          <w:szCs w:val="22"/>
          <w:highlight w:val="none"/>
          <w:u w:val="single"/>
        </w:rPr>
        <w:t>▲不提交本承诺书按无效标处理。</w:t>
      </w:r>
    </w:p>
    <w:p w14:paraId="65E2D01E">
      <w:pPr>
        <w:pStyle w:val="41"/>
        <w:rPr>
          <w:rFonts w:hint="eastAsia" w:ascii="宋体" w:hAnsi="宋体" w:eastAsia="宋体" w:cs="宋体"/>
          <w:color w:val="auto"/>
          <w:highlight w:val="none"/>
        </w:rPr>
      </w:pPr>
      <w:r>
        <w:rPr>
          <w:rFonts w:hint="eastAsia" w:ascii="宋体" w:hAnsi="宋体" w:eastAsia="宋体" w:cs="宋体"/>
          <w:color w:val="auto"/>
          <w:sz w:val="36"/>
          <w:szCs w:val="32"/>
          <w:highlight w:val="none"/>
        </w:rPr>
        <w:br w:type="page"/>
      </w:r>
      <w:bookmarkStart w:id="144" w:name="_Toc29106"/>
      <w:r>
        <w:rPr>
          <w:rFonts w:hint="eastAsia" w:ascii="宋体" w:hAnsi="宋体" w:eastAsia="宋体" w:cs="宋体"/>
          <w:color w:val="auto"/>
          <w:highlight w:val="none"/>
        </w:rPr>
        <w:t>二、报价文件部分格式</w:t>
      </w:r>
      <w:bookmarkEnd w:id="144"/>
    </w:p>
    <w:p w14:paraId="6222AEC9">
      <w:pPr>
        <w:widowControl/>
        <w:spacing w:line="460" w:lineRule="atLeast"/>
        <w:jc w:val="left"/>
        <w:rPr>
          <w:rFonts w:hint="eastAsia" w:ascii="宋体" w:hAnsi="宋体" w:eastAsia="宋体" w:cs="宋体"/>
          <w:b/>
          <w:bCs/>
          <w:color w:val="auto"/>
          <w:sz w:val="22"/>
          <w:szCs w:val="22"/>
          <w:highlight w:val="none"/>
          <w:lang w:eastAsia="zh-CN"/>
        </w:rPr>
      </w:pPr>
      <w:bookmarkStart w:id="145" w:name="_Toc413747701"/>
      <w:bookmarkEnd w:id="145"/>
      <w:r>
        <w:rPr>
          <w:rFonts w:hint="eastAsia" w:ascii="宋体" w:hAnsi="宋体" w:eastAsia="宋体" w:cs="宋体"/>
          <w:b/>
          <w:color w:val="auto"/>
          <w:sz w:val="22"/>
          <w:szCs w:val="22"/>
          <w:highlight w:val="none"/>
        </w:rPr>
        <w:t>附件</w:t>
      </w:r>
      <w:r>
        <w:rPr>
          <w:rFonts w:hint="eastAsia" w:ascii="宋体" w:hAnsi="宋体" w:eastAsia="宋体" w:cs="宋体"/>
          <w:b/>
          <w:color w:val="auto"/>
          <w:sz w:val="22"/>
          <w:szCs w:val="22"/>
          <w:highlight w:val="none"/>
          <w:lang w:val="en-US" w:eastAsia="zh-CN"/>
        </w:rPr>
        <w:t>二</w:t>
      </w:r>
    </w:p>
    <w:p w14:paraId="28BC1200">
      <w:pPr>
        <w:pStyle w:val="41"/>
        <w:rPr>
          <w:rFonts w:hint="eastAsia" w:ascii="宋体" w:hAnsi="宋体" w:eastAsia="宋体" w:cs="宋体"/>
          <w:color w:val="auto"/>
          <w:sz w:val="22"/>
          <w:szCs w:val="22"/>
          <w:highlight w:val="none"/>
        </w:rPr>
      </w:pPr>
      <w:bookmarkStart w:id="146" w:name="_Toc42243286"/>
      <w:bookmarkEnd w:id="146"/>
      <w:bookmarkStart w:id="147" w:name="_Toc61444215"/>
      <w:bookmarkEnd w:id="147"/>
      <w:bookmarkStart w:id="148" w:name="_Toc8957"/>
      <w:bookmarkEnd w:id="148"/>
      <w:bookmarkStart w:id="149" w:name="_Toc65590096"/>
      <w:bookmarkEnd w:id="149"/>
      <w:bookmarkStart w:id="150" w:name="_Toc511045476"/>
      <w:bookmarkEnd w:id="150"/>
      <w:bookmarkStart w:id="151" w:name="_Toc42678028"/>
      <w:bookmarkEnd w:id="151"/>
      <w:bookmarkStart w:id="152" w:name="_Toc42678615"/>
      <w:bookmarkEnd w:id="152"/>
      <w:bookmarkStart w:id="153" w:name="_Toc65830024"/>
      <w:bookmarkEnd w:id="153"/>
      <w:bookmarkStart w:id="154" w:name="_Toc20005"/>
      <w:bookmarkEnd w:id="154"/>
      <w:bookmarkStart w:id="155" w:name="_Toc22422"/>
      <w:bookmarkEnd w:id="155"/>
      <w:bookmarkStart w:id="156" w:name="_Toc68187555"/>
      <w:bookmarkEnd w:id="156"/>
      <w:bookmarkStart w:id="157" w:name="_Toc496618930"/>
      <w:bookmarkEnd w:id="157"/>
      <w:bookmarkStart w:id="158" w:name="_Toc522469114"/>
      <w:bookmarkEnd w:id="158"/>
      <w:bookmarkStart w:id="159" w:name="_Toc96970930"/>
      <w:bookmarkEnd w:id="159"/>
      <w:bookmarkStart w:id="160" w:name="_Toc518512529"/>
      <w:bookmarkEnd w:id="160"/>
      <w:bookmarkStart w:id="161" w:name="_Toc42678694"/>
      <w:bookmarkEnd w:id="161"/>
      <w:bookmarkStart w:id="162" w:name="_Toc87518594"/>
      <w:bookmarkEnd w:id="162"/>
      <w:bookmarkStart w:id="163" w:name="_Toc10399"/>
      <w:bookmarkEnd w:id="163"/>
      <w:bookmarkStart w:id="164" w:name="_Toc42678183"/>
      <w:bookmarkEnd w:id="164"/>
      <w:bookmarkStart w:id="165" w:name="_Toc7030"/>
      <w:bookmarkEnd w:id="165"/>
      <w:bookmarkStart w:id="166" w:name="_Toc19204519"/>
      <w:bookmarkEnd w:id="166"/>
      <w:bookmarkStart w:id="167" w:name="_Toc68188791"/>
      <w:bookmarkEnd w:id="167"/>
      <w:bookmarkStart w:id="168" w:name="_Toc9334945"/>
      <w:bookmarkEnd w:id="168"/>
      <w:bookmarkStart w:id="169" w:name="_Toc68189105"/>
      <w:bookmarkEnd w:id="169"/>
      <w:bookmarkStart w:id="170" w:name="_Toc97033072"/>
      <w:bookmarkEnd w:id="170"/>
      <w:bookmarkStart w:id="171" w:name="_Toc87518417"/>
      <w:bookmarkEnd w:id="171"/>
      <w:bookmarkStart w:id="172" w:name="_Toc22889"/>
      <w:r>
        <w:rPr>
          <w:rFonts w:hint="eastAsia" w:ascii="宋体" w:hAnsi="宋体" w:eastAsia="宋体" w:cs="宋体"/>
          <w:color w:val="auto"/>
          <w:sz w:val="22"/>
          <w:szCs w:val="22"/>
          <w:highlight w:val="none"/>
        </w:rPr>
        <w:t>报价一览表</w:t>
      </w:r>
      <w:bookmarkEnd w:id="172"/>
    </w:p>
    <w:p w14:paraId="005C7572">
      <w:pPr>
        <w:autoSpaceDE w:val="0"/>
        <w:autoSpaceDN w:val="0"/>
        <w:adjustRightInd w:val="0"/>
        <w:rPr>
          <w:rFonts w:hint="eastAsia" w:ascii="宋体" w:hAnsi="宋体" w:eastAsia="宋体" w:cs="宋体"/>
          <w:b w:val="0"/>
          <w:bCs w:val="0"/>
          <w:color w:val="auto"/>
          <w:sz w:val="22"/>
          <w:szCs w:val="22"/>
          <w:highlight w:val="none"/>
          <w:u w:val="single"/>
          <w:lang w:val="zh-CN"/>
        </w:rPr>
      </w:pPr>
      <w:r>
        <w:rPr>
          <w:rFonts w:hint="eastAsia" w:ascii="宋体" w:hAnsi="宋体" w:eastAsia="宋体" w:cs="宋体"/>
          <w:b w:val="0"/>
          <w:bCs w:val="0"/>
          <w:color w:val="auto"/>
          <w:sz w:val="22"/>
          <w:szCs w:val="22"/>
          <w:highlight w:val="none"/>
          <w:lang w:val="en-US" w:eastAsia="zh-CN"/>
        </w:rPr>
        <w:t>项目</w:t>
      </w:r>
      <w:r>
        <w:rPr>
          <w:rFonts w:hint="eastAsia" w:ascii="宋体" w:hAnsi="宋体" w:eastAsia="宋体" w:cs="宋体"/>
          <w:b w:val="0"/>
          <w:bCs w:val="0"/>
          <w:color w:val="auto"/>
          <w:sz w:val="22"/>
          <w:szCs w:val="22"/>
          <w:highlight w:val="none"/>
          <w:lang w:val="zh-CN"/>
        </w:rPr>
        <w:t>名称：</w:t>
      </w:r>
      <w:r>
        <w:rPr>
          <w:rFonts w:hint="eastAsia" w:ascii="宋体" w:hAnsi="宋体" w:eastAsia="宋体" w:cs="宋体"/>
          <w:b w:val="0"/>
          <w:bCs w:val="0"/>
          <w:color w:val="auto"/>
          <w:sz w:val="22"/>
          <w:szCs w:val="22"/>
          <w:highlight w:val="none"/>
          <w:lang w:val="en-US" w:eastAsia="zh-CN"/>
        </w:rPr>
        <w:t xml:space="preserve">                 </w:t>
      </w:r>
      <w:r>
        <w:rPr>
          <w:rFonts w:hint="eastAsia" w:ascii="宋体" w:hAnsi="宋体" w:eastAsia="宋体" w:cs="宋体"/>
          <w:b w:val="0"/>
          <w:bCs w:val="0"/>
          <w:color w:val="auto"/>
          <w:sz w:val="22"/>
          <w:szCs w:val="22"/>
          <w:highlight w:val="none"/>
          <w:lang w:val="zh-CN"/>
        </w:rPr>
        <w:t>采购编号：  报价单位：</w:t>
      </w:r>
      <w:r>
        <w:rPr>
          <w:rFonts w:hint="eastAsia" w:ascii="宋体" w:hAnsi="宋体" w:eastAsia="宋体" w:cs="宋体"/>
          <w:b w:val="0"/>
          <w:bCs w:val="0"/>
          <w:color w:val="auto"/>
          <w:sz w:val="22"/>
          <w:szCs w:val="22"/>
          <w:highlight w:val="none"/>
          <w:u w:val="single"/>
          <w:lang w:val="zh-CN"/>
        </w:rPr>
        <w:t>人民币元</w:t>
      </w:r>
    </w:p>
    <w:tbl>
      <w:tblPr>
        <w:tblStyle w:val="44"/>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58"/>
        <w:gridCol w:w="2753"/>
        <w:gridCol w:w="1703"/>
        <w:gridCol w:w="1703"/>
      </w:tblGrid>
      <w:tr w14:paraId="58B13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8" w:hRule="atLeast"/>
        </w:trPr>
        <w:tc>
          <w:tcPr>
            <w:tcW w:w="1467" w:type="pct"/>
            <w:tcBorders>
              <w:right w:val="single" w:color="000000" w:sz="6" w:space="0"/>
            </w:tcBorders>
            <w:vAlign w:val="center"/>
          </w:tcPr>
          <w:p w14:paraId="1BD6C788">
            <w:pPr>
              <w:pStyle w:val="26"/>
              <w:snapToGrid w:val="0"/>
              <w:spacing w:line="460" w:lineRule="atLeast"/>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项目名称</w:t>
            </w:r>
          </w:p>
        </w:tc>
        <w:tc>
          <w:tcPr>
            <w:tcW w:w="1578" w:type="pct"/>
            <w:tcBorders>
              <w:left w:val="single" w:color="auto" w:sz="4" w:space="0"/>
              <w:right w:val="single" w:color="000000" w:sz="4" w:space="0"/>
            </w:tcBorders>
            <w:vAlign w:val="center"/>
          </w:tcPr>
          <w:p w14:paraId="7617FF2B">
            <w:pPr>
              <w:pStyle w:val="26"/>
              <w:snapToGrid w:val="0"/>
              <w:spacing w:line="460" w:lineRule="atLeast"/>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投标总价</w:t>
            </w:r>
          </w:p>
          <w:p w14:paraId="6484D85B">
            <w:pPr>
              <w:pStyle w:val="26"/>
              <w:snapToGrid w:val="0"/>
              <w:spacing w:line="460" w:lineRule="atLeast"/>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（元人民币）</w:t>
            </w:r>
          </w:p>
        </w:tc>
        <w:tc>
          <w:tcPr>
            <w:tcW w:w="976" w:type="pct"/>
            <w:tcBorders>
              <w:left w:val="single" w:color="000000" w:sz="4" w:space="0"/>
              <w:right w:val="single" w:color="000000" w:sz="4" w:space="0"/>
            </w:tcBorders>
            <w:vAlign w:val="center"/>
          </w:tcPr>
          <w:p w14:paraId="23383B07">
            <w:pPr>
              <w:pStyle w:val="26"/>
              <w:jc w:val="center"/>
              <w:rPr>
                <w:rFonts w:hint="eastAsia" w:ascii="宋体" w:hAnsi="宋体" w:eastAsia="宋体" w:cs="宋体"/>
                <w:b w:val="0"/>
                <w:bCs w:val="0"/>
                <w:color w:val="auto"/>
                <w:sz w:val="22"/>
                <w:szCs w:val="22"/>
                <w:highlight w:val="none"/>
                <w:lang w:eastAsia="zh-CN"/>
              </w:rPr>
            </w:pPr>
            <w:r>
              <w:rPr>
                <w:rFonts w:hint="eastAsia" w:hAnsi="宋体" w:eastAsia="宋体" w:cs="宋体"/>
                <w:b w:val="0"/>
                <w:bCs w:val="0"/>
                <w:color w:val="auto"/>
                <w:sz w:val="22"/>
                <w:szCs w:val="22"/>
                <w:highlight w:val="none"/>
                <w:lang w:eastAsia="zh-CN"/>
              </w:rPr>
              <w:t>完工期</w:t>
            </w:r>
          </w:p>
        </w:tc>
        <w:tc>
          <w:tcPr>
            <w:tcW w:w="976" w:type="pct"/>
            <w:tcBorders>
              <w:left w:val="single" w:color="000000" w:sz="4" w:space="0"/>
              <w:right w:val="single" w:color="000000" w:sz="4" w:space="0"/>
            </w:tcBorders>
            <w:vAlign w:val="center"/>
          </w:tcPr>
          <w:p w14:paraId="6A87E138">
            <w:pPr>
              <w:pStyle w:val="26"/>
              <w:jc w:val="center"/>
              <w:rPr>
                <w:rFonts w:hint="eastAsia" w:ascii="宋体" w:hAnsi="宋体" w:eastAsia="宋体" w:cs="宋体"/>
                <w:b w:val="0"/>
                <w:bCs w:val="0"/>
                <w:color w:val="auto"/>
                <w:sz w:val="22"/>
                <w:szCs w:val="22"/>
                <w:highlight w:val="none"/>
                <w:lang w:eastAsia="zh-CN"/>
              </w:rPr>
            </w:pPr>
            <w:r>
              <w:rPr>
                <w:rFonts w:hint="eastAsia" w:hAnsi="宋体" w:eastAsia="宋体" w:cs="宋体"/>
                <w:b w:val="0"/>
                <w:bCs w:val="0"/>
                <w:color w:val="auto"/>
                <w:sz w:val="22"/>
                <w:szCs w:val="22"/>
                <w:highlight w:val="none"/>
                <w:lang w:eastAsia="zh-CN"/>
              </w:rPr>
              <w:t>质量标准</w:t>
            </w:r>
          </w:p>
        </w:tc>
      </w:tr>
      <w:tr w14:paraId="4674F8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68" w:hRule="atLeast"/>
        </w:trPr>
        <w:tc>
          <w:tcPr>
            <w:tcW w:w="1467" w:type="pct"/>
            <w:tcBorders>
              <w:right w:val="single" w:color="000000" w:sz="6" w:space="0"/>
            </w:tcBorders>
            <w:vAlign w:val="center"/>
          </w:tcPr>
          <w:p w14:paraId="1F15057A">
            <w:pPr>
              <w:pStyle w:val="26"/>
              <w:snapToGrid w:val="0"/>
              <w:spacing w:line="460" w:lineRule="atLeast"/>
              <w:jc w:val="center"/>
              <w:rPr>
                <w:rFonts w:hint="eastAsia" w:ascii="宋体" w:hAnsi="宋体" w:eastAsia="宋体" w:cs="宋体"/>
                <w:b w:val="0"/>
                <w:bCs w:val="0"/>
                <w:color w:val="auto"/>
                <w:sz w:val="22"/>
                <w:szCs w:val="22"/>
                <w:highlight w:val="none"/>
                <w:lang w:eastAsia="zh-CN"/>
              </w:rPr>
            </w:pPr>
            <w:r>
              <w:rPr>
                <w:rFonts w:hint="eastAsia" w:hAnsi="宋体" w:eastAsia="宋体" w:cs="宋体"/>
                <w:b w:val="0"/>
                <w:bCs w:val="0"/>
                <w:color w:val="auto"/>
                <w:sz w:val="22"/>
                <w:szCs w:val="22"/>
                <w:highlight w:val="none"/>
                <w:lang w:eastAsia="zh-CN"/>
              </w:rPr>
              <w:t>2024年中共永嘉县委组织部干部智慧管理系统</w:t>
            </w:r>
          </w:p>
        </w:tc>
        <w:tc>
          <w:tcPr>
            <w:tcW w:w="1578" w:type="pct"/>
            <w:tcBorders>
              <w:left w:val="single" w:color="auto" w:sz="4" w:space="0"/>
              <w:right w:val="single" w:color="000000" w:sz="4" w:space="0"/>
            </w:tcBorders>
            <w:vAlign w:val="center"/>
          </w:tcPr>
          <w:p w14:paraId="67270C0F">
            <w:pPr>
              <w:pStyle w:val="26"/>
              <w:spacing w:line="460" w:lineRule="atLeas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大写：</w:t>
            </w:r>
          </w:p>
          <w:p w14:paraId="5F3BC48E">
            <w:pPr>
              <w:pStyle w:val="26"/>
              <w:spacing w:line="460" w:lineRule="atLeas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小写：</w:t>
            </w:r>
          </w:p>
        </w:tc>
        <w:tc>
          <w:tcPr>
            <w:tcW w:w="976" w:type="pct"/>
            <w:tcBorders>
              <w:left w:val="single" w:color="000000" w:sz="4" w:space="0"/>
              <w:right w:val="single" w:color="000000" w:sz="4" w:space="0"/>
            </w:tcBorders>
            <w:vAlign w:val="center"/>
          </w:tcPr>
          <w:p w14:paraId="5699FD79">
            <w:pPr>
              <w:pStyle w:val="26"/>
              <w:jc w:val="center"/>
              <w:rPr>
                <w:rFonts w:hint="eastAsia" w:ascii="宋体" w:hAnsi="宋体" w:eastAsia="宋体" w:cs="宋体"/>
                <w:b w:val="0"/>
                <w:bCs w:val="0"/>
                <w:color w:val="auto"/>
                <w:sz w:val="22"/>
                <w:szCs w:val="22"/>
                <w:highlight w:val="none"/>
                <w:lang w:eastAsia="zh-CN"/>
              </w:rPr>
            </w:pPr>
            <w:r>
              <w:rPr>
                <w:rFonts w:hint="eastAsia" w:hAnsi="宋体" w:eastAsia="宋体" w:cs="宋体"/>
                <w:b w:val="0"/>
                <w:bCs w:val="0"/>
                <w:color w:val="auto"/>
                <w:sz w:val="22"/>
                <w:szCs w:val="22"/>
                <w:highlight w:val="none"/>
                <w:lang w:eastAsia="zh-CN"/>
              </w:rPr>
              <w:t>按磋商文件要求</w:t>
            </w:r>
          </w:p>
        </w:tc>
        <w:tc>
          <w:tcPr>
            <w:tcW w:w="976" w:type="pct"/>
            <w:tcBorders>
              <w:left w:val="single" w:color="000000" w:sz="4" w:space="0"/>
              <w:right w:val="single" w:color="000000" w:sz="4" w:space="0"/>
            </w:tcBorders>
            <w:vAlign w:val="center"/>
          </w:tcPr>
          <w:p w14:paraId="7FB6AA74">
            <w:pPr>
              <w:pStyle w:val="26"/>
              <w:jc w:val="center"/>
              <w:rPr>
                <w:rFonts w:hint="eastAsia" w:ascii="宋体" w:hAnsi="宋体" w:eastAsia="宋体" w:cs="宋体"/>
                <w:b w:val="0"/>
                <w:bCs w:val="0"/>
                <w:color w:val="auto"/>
                <w:sz w:val="22"/>
                <w:szCs w:val="22"/>
                <w:highlight w:val="none"/>
                <w:lang w:eastAsia="zh-CN"/>
              </w:rPr>
            </w:pPr>
            <w:r>
              <w:rPr>
                <w:rFonts w:hint="eastAsia" w:hAnsi="宋体" w:eastAsia="宋体" w:cs="宋体"/>
                <w:b w:val="0"/>
                <w:bCs w:val="0"/>
                <w:color w:val="auto"/>
                <w:sz w:val="22"/>
                <w:szCs w:val="22"/>
                <w:highlight w:val="none"/>
                <w:lang w:eastAsia="zh-CN"/>
              </w:rPr>
              <w:t>合格</w:t>
            </w:r>
          </w:p>
        </w:tc>
      </w:tr>
    </w:tbl>
    <w:p w14:paraId="0BC1E9CD">
      <w:pPr>
        <w:tabs>
          <w:tab w:val="left" w:pos="540"/>
        </w:tabs>
        <w:spacing w:line="460" w:lineRule="exac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说明：</w:t>
      </w:r>
    </w:p>
    <w:p w14:paraId="4A4570C7">
      <w:pPr>
        <w:autoSpaceDE w:val="0"/>
        <w:autoSpaceDN w:val="0"/>
        <w:adjustRightInd w:val="0"/>
        <w:spacing w:line="400" w:lineRule="atLeast"/>
        <w:ind w:left="400"/>
        <w:rPr>
          <w:rFonts w:hint="eastAsia" w:ascii="宋体" w:hAnsi="宋体" w:eastAsia="宋体" w:cs="宋体"/>
          <w:b/>
          <w:bCs/>
          <w:color w:val="auto"/>
          <w:kern w:val="0"/>
          <w:sz w:val="22"/>
          <w:szCs w:val="22"/>
          <w:highlight w:val="none"/>
          <w:lang w:val="zh-CN"/>
        </w:rPr>
      </w:pPr>
      <w:r>
        <w:rPr>
          <w:rFonts w:hint="eastAsia" w:ascii="宋体" w:hAnsi="宋体" w:eastAsia="宋体" w:cs="宋体"/>
          <w:b/>
          <w:bCs/>
          <w:color w:val="auto"/>
          <w:kern w:val="0"/>
          <w:sz w:val="22"/>
          <w:szCs w:val="22"/>
          <w:highlight w:val="none"/>
          <w:lang w:val="zh-CN"/>
        </w:rPr>
        <w:t>供应商的</w:t>
      </w:r>
      <w:r>
        <w:rPr>
          <w:rFonts w:hint="eastAsia" w:ascii="宋体" w:eastAsia="宋体" w:cs="宋体"/>
          <w:b/>
          <w:bCs/>
          <w:color w:val="auto"/>
          <w:kern w:val="0"/>
          <w:sz w:val="22"/>
          <w:szCs w:val="22"/>
          <w:highlight w:val="none"/>
          <w:lang w:val="zh-CN"/>
        </w:rPr>
        <w:t>投标总价</w:t>
      </w:r>
      <w:r>
        <w:rPr>
          <w:rFonts w:hint="eastAsia" w:ascii="宋体" w:hAnsi="宋体" w:eastAsia="宋体" w:cs="宋体"/>
          <w:b/>
          <w:bCs/>
          <w:color w:val="auto"/>
          <w:kern w:val="0"/>
          <w:sz w:val="22"/>
          <w:szCs w:val="22"/>
          <w:highlight w:val="none"/>
          <w:lang w:val="zh-CN"/>
        </w:rPr>
        <w:t>应包括为完成本项目服务可能发生的全部费用及供应商的利润和应交纳的税金等（包括软件建设、人员工资、福利、各种社会保险、人员食宿与交通、办公费等）。供应商对合同内容的费用、质量、安全、文明服务等实行全面承包。</w:t>
      </w:r>
    </w:p>
    <w:p w14:paraId="7C9F7883">
      <w:pPr>
        <w:numPr>
          <w:ilvl w:val="0"/>
          <w:numId w:val="7"/>
        </w:numPr>
        <w:autoSpaceDE w:val="0"/>
        <w:autoSpaceDN w:val="0"/>
        <w:adjustRightInd w:val="0"/>
        <w:spacing w:line="400" w:lineRule="atLeast"/>
        <w:rPr>
          <w:rFonts w:hint="eastAsia" w:ascii="宋体" w:hAnsi="宋体" w:eastAsia="宋体" w:cs="宋体"/>
          <w:b/>
          <w:bCs/>
          <w:color w:val="auto"/>
          <w:kern w:val="0"/>
          <w:sz w:val="22"/>
          <w:szCs w:val="22"/>
          <w:highlight w:val="none"/>
          <w:u w:val="wave"/>
          <w:lang w:val="zh-CN"/>
        </w:rPr>
      </w:pPr>
      <w:r>
        <w:rPr>
          <w:rFonts w:hint="eastAsia" w:ascii="宋体" w:hAnsi="宋体" w:eastAsia="宋体" w:cs="宋体"/>
          <w:b/>
          <w:color w:val="auto"/>
          <w:sz w:val="22"/>
          <w:szCs w:val="22"/>
          <w:highlight w:val="none"/>
          <w:u w:val="single"/>
        </w:rPr>
        <w:t>▲</w:t>
      </w:r>
      <w:r>
        <w:rPr>
          <w:rFonts w:hint="eastAsia" w:ascii="宋体" w:hAnsi="宋体" w:eastAsia="宋体" w:cs="宋体"/>
          <w:b/>
          <w:bCs/>
          <w:color w:val="auto"/>
          <w:sz w:val="22"/>
          <w:szCs w:val="22"/>
          <w:highlight w:val="none"/>
          <w:u w:val="single"/>
        </w:rPr>
        <w:t>不提供此表格将被视为没有实质性响应</w:t>
      </w:r>
      <w:r>
        <w:rPr>
          <w:rFonts w:hint="eastAsia" w:ascii="宋体" w:eastAsia="宋体" w:cs="宋体"/>
          <w:b/>
          <w:bCs/>
          <w:color w:val="auto"/>
          <w:sz w:val="22"/>
          <w:szCs w:val="22"/>
          <w:highlight w:val="none"/>
          <w:u w:val="single"/>
          <w:lang w:eastAsia="zh-CN"/>
        </w:rPr>
        <w:t>采购文件</w:t>
      </w:r>
      <w:r>
        <w:rPr>
          <w:rFonts w:hint="eastAsia" w:ascii="宋体" w:hAnsi="宋体" w:eastAsia="宋体" w:cs="宋体"/>
          <w:b/>
          <w:bCs/>
          <w:color w:val="auto"/>
          <w:sz w:val="22"/>
          <w:szCs w:val="22"/>
          <w:highlight w:val="none"/>
          <w:u w:val="single"/>
        </w:rPr>
        <w:t>。</w:t>
      </w:r>
    </w:p>
    <w:p w14:paraId="6B355E4D">
      <w:pPr>
        <w:numPr>
          <w:ilvl w:val="0"/>
          <w:numId w:val="7"/>
        </w:numPr>
        <w:autoSpaceDE w:val="0"/>
        <w:autoSpaceDN w:val="0"/>
        <w:adjustRightInd w:val="0"/>
        <w:spacing w:line="400" w:lineRule="atLeast"/>
        <w:rPr>
          <w:rFonts w:hint="eastAsia" w:ascii="宋体" w:hAnsi="宋体" w:eastAsia="宋体" w:cs="宋体"/>
          <w:b/>
          <w:bCs/>
          <w:color w:val="auto"/>
          <w:kern w:val="0"/>
          <w:sz w:val="22"/>
          <w:szCs w:val="22"/>
          <w:highlight w:val="none"/>
          <w:u w:val="single"/>
          <w:lang w:val="zh-CN"/>
        </w:rPr>
      </w:pPr>
      <w:r>
        <w:rPr>
          <w:rFonts w:hint="eastAsia" w:ascii="宋体" w:hAnsi="宋体" w:eastAsia="宋体" w:cs="宋体"/>
          <w:b/>
          <w:color w:val="auto"/>
          <w:sz w:val="22"/>
          <w:szCs w:val="22"/>
          <w:highlight w:val="none"/>
          <w:u w:val="single"/>
        </w:rPr>
        <w:t>▲</w:t>
      </w:r>
      <w:r>
        <w:rPr>
          <w:rFonts w:hint="eastAsia" w:ascii="宋体" w:hAnsi="宋体" w:eastAsia="宋体" w:cs="宋体"/>
          <w:b/>
          <w:bCs/>
          <w:color w:val="auto"/>
          <w:sz w:val="22"/>
          <w:szCs w:val="22"/>
          <w:highlight w:val="none"/>
          <w:u w:val="single"/>
        </w:rPr>
        <w:t>投标总价须与分项报价表中的总计价相一致。</w:t>
      </w:r>
    </w:p>
    <w:p w14:paraId="7CB38CE0">
      <w:pPr>
        <w:autoSpaceDE w:val="0"/>
        <w:autoSpaceDN w:val="0"/>
        <w:adjustRightInd w:val="0"/>
        <w:spacing w:line="500" w:lineRule="atLeast"/>
        <w:rPr>
          <w:rFonts w:hint="eastAsia" w:ascii="宋体" w:hAnsi="宋体" w:eastAsia="宋体" w:cs="宋体"/>
          <w:color w:val="auto"/>
          <w:sz w:val="30"/>
          <w:szCs w:val="30"/>
          <w:highlight w:val="none"/>
        </w:rPr>
      </w:pPr>
    </w:p>
    <w:p w14:paraId="6F1D1316">
      <w:pPr>
        <w:widowControl/>
        <w:spacing w:line="460" w:lineRule="exact"/>
        <w:ind w:firstLine="440"/>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eastAsia="zh-CN"/>
        </w:rPr>
        <w:t>投标供应商</w:t>
      </w:r>
      <w:r>
        <w:rPr>
          <w:rFonts w:hint="eastAsia" w:ascii="宋体" w:hAnsi="宋体" w:eastAsia="宋体" w:cs="宋体"/>
          <w:b w:val="0"/>
          <w:bCs w:val="0"/>
          <w:color w:val="auto"/>
          <w:sz w:val="22"/>
          <w:szCs w:val="22"/>
          <w:highlight w:val="none"/>
        </w:rPr>
        <w:t>（盖章） ：</w:t>
      </w:r>
    </w:p>
    <w:p w14:paraId="0CFE1202">
      <w:pPr>
        <w:spacing w:line="460" w:lineRule="atLeast"/>
        <w:ind w:firstLine="440"/>
        <w:rPr>
          <w:rFonts w:hint="eastAsia" w:ascii="宋体" w:hAnsi="宋体" w:eastAsia="宋体" w:cs="宋体"/>
          <w:b w:val="0"/>
          <w:bCs w:val="0"/>
          <w:color w:val="auto"/>
          <w:sz w:val="36"/>
          <w:highlight w:val="none"/>
        </w:rPr>
      </w:pPr>
      <w:r>
        <w:rPr>
          <w:rFonts w:hint="eastAsia" w:ascii="宋体" w:hAnsi="宋体" w:eastAsia="宋体" w:cs="宋体"/>
          <w:b w:val="0"/>
          <w:bCs w:val="0"/>
          <w:color w:val="auto"/>
          <w:sz w:val="22"/>
          <w:szCs w:val="22"/>
          <w:highlight w:val="none"/>
        </w:rPr>
        <w:t>日期：</w:t>
      </w:r>
    </w:p>
    <w:p w14:paraId="730AA41F">
      <w:pPr>
        <w:pStyle w:val="19"/>
        <w:ind w:firstLine="210"/>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53390CBB">
      <w:pPr>
        <w:widowControl/>
        <w:spacing w:line="460" w:lineRule="atLeast"/>
        <w:jc w:val="left"/>
        <w:rPr>
          <w:rFonts w:hint="eastAsia" w:ascii="宋体" w:hAnsi="宋体" w:eastAsia="宋体" w:cs="宋体"/>
          <w:b/>
          <w:bCs/>
          <w:color w:val="auto"/>
          <w:sz w:val="22"/>
          <w:szCs w:val="22"/>
          <w:highlight w:val="none"/>
          <w:lang w:eastAsia="zh-CN"/>
        </w:rPr>
      </w:pPr>
      <w:r>
        <w:rPr>
          <w:rFonts w:hint="eastAsia" w:ascii="宋体" w:hAnsi="宋体" w:eastAsia="宋体" w:cs="宋体"/>
          <w:b/>
          <w:color w:val="auto"/>
          <w:sz w:val="22"/>
          <w:szCs w:val="22"/>
          <w:highlight w:val="none"/>
        </w:rPr>
        <w:t>附件</w:t>
      </w:r>
      <w:r>
        <w:rPr>
          <w:rFonts w:hint="eastAsia" w:ascii="宋体" w:hAnsi="宋体" w:eastAsia="宋体" w:cs="宋体"/>
          <w:b/>
          <w:color w:val="auto"/>
          <w:sz w:val="22"/>
          <w:szCs w:val="22"/>
          <w:highlight w:val="none"/>
          <w:lang w:val="en-US" w:eastAsia="zh-CN"/>
        </w:rPr>
        <w:t>三</w:t>
      </w:r>
    </w:p>
    <w:p w14:paraId="76E8319A">
      <w:pPr>
        <w:autoSpaceDE w:val="0"/>
        <w:autoSpaceDN w:val="0"/>
        <w:adjustRightInd w:val="0"/>
        <w:spacing w:line="360" w:lineRule="atLeast"/>
        <w:ind w:right="220"/>
        <w:jc w:val="center"/>
        <w:rPr>
          <w:rFonts w:hint="eastAsia" w:ascii="宋体" w:hAnsi="宋体" w:eastAsia="宋体" w:cs="宋体"/>
          <w:b/>
          <w:color w:val="auto"/>
          <w:sz w:val="22"/>
          <w:highlight w:val="none"/>
        </w:rPr>
      </w:pPr>
      <w:r>
        <w:rPr>
          <w:rFonts w:hint="eastAsia" w:ascii="宋体" w:hAnsi="宋体" w:eastAsia="宋体" w:cs="宋体"/>
          <w:b/>
          <w:bCs/>
          <w:color w:val="auto"/>
          <w:kern w:val="0"/>
          <w:sz w:val="28"/>
          <w:szCs w:val="28"/>
          <w:highlight w:val="none"/>
          <w:lang w:val="zh-CN"/>
        </w:rPr>
        <w:t>分项报价表</w:t>
      </w:r>
    </w:p>
    <w:p w14:paraId="7F469B60">
      <w:pPr>
        <w:spacing w:line="360" w:lineRule="exact"/>
        <w:jc w:val="right"/>
        <w:rPr>
          <w:rFonts w:hint="eastAsia" w:ascii="宋体" w:hAnsi="宋体" w:eastAsia="宋体" w:cs="宋体"/>
          <w:b w:val="0"/>
          <w:bCs w:val="0"/>
          <w:color w:val="auto"/>
          <w:sz w:val="22"/>
          <w:highlight w:val="none"/>
        </w:rPr>
      </w:pPr>
      <w:r>
        <w:rPr>
          <w:rFonts w:hint="eastAsia" w:ascii="宋体" w:hAnsi="宋体" w:eastAsia="宋体" w:cs="宋体"/>
          <w:b w:val="0"/>
          <w:bCs w:val="0"/>
          <w:color w:val="auto"/>
          <w:sz w:val="22"/>
          <w:highlight w:val="none"/>
        </w:rPr>
        <w:t>（单位价格：元）</w:t>
      </w:r>
    </w:p>
    <w:tbl>
      <w:tblPr>
        <w:tblStyle w:val="44"/>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40"/>
        <w:gridCol w:w="3788"/>
        <w:gridCol w:w="4389"/>
      </w:tblGrid>
      <w:tr w14:paraId="43B3F6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trPr>
        <w:tc>
          <w:tcPr>
            <w:tcW w:w="310" w:type="pct"/>
            <w:vAlign w:val="center"/>
          </w:tcPr>
          <w:p w14:paraId="056B53E6">
            <w:pPr>
              <w:jc w:val="center"/>
              <w:rPr>
                <w:rFonts w:ascii="宋体" w:eastAsia="宋体"/>
                <w:b w:val="0"/>
                <w:bCs w:val="0"/>
                <w:color w:val="auto"/>
                <w:sz w:val="22"/>
                <w:szCs w:val="22"/>
                <w:highlight w:val="none"/>
              </w:rPr>
            </w:pPr>
            <w:r>
              <w:rPr>
                <w:rFonts w:hint="eastAsia" w:ascii="宋体" w:eastAsia="宋体"/>
                <w:b w:val="0"/>
                <w:bCs w:val="0"/>
                <w:color w:val="auto"/>
                <w:sz w:val="22"/>
                <w:szCs w:val="22"/>
                <w:highlight w:val="none"/>
              </w:rPr>
              <w:t>序号</w:t>
            </w:r>
          </w:p>
        </w:tc>
        <w:tc>
          <w:tcPr>
            <w:tcW w:w="2172" w:type="pct"/>
            <w:vAlign w:val="center"/>
          </w:tcPr>
          <w:p w14:paraId="1468E1DE">
            <w:pPr>
              <w:jc w:val="center"/>
              <w:rPr>
                <w:rFonts w:ascii="宋体" w:eastAsia="宋体"/>
                <w:b w:val="0"/>
                <w:bCs w:val="0"/>
                <w:color w:val="auto"/>
                <w:sz w:val="22"/>
                <w:szCs w:val="22"/>
                <w:highlight w:val="none"/>
              </w:rPr>
            </w:pPr>
            <w:r>
              <w:rPr>
                <w:rFonts w:hint="eastAsia" w:ascii="宋体" w:eastAsia="宋体"/>
                <w:b w:val="0"/>
                <w:bCs w:val="0"/>
                <w:color w:val="auto"/>
                <w:sz w:val="22"/>
                <w:szCs w:val="22"/>
                <w:highlight w:val="none"/>
              </w:rPr>
              <w:t>项目内容</w:t>
            </w:r>
          </w:p>
        </w:tc>
        <w:tc>
          <w:tcPr>
            <w:tcW w:w="2517" w:type="pct"/>
            <w:vAlign w:val="center"/>
          </w:tcPr>
          <w:p w14:paraId="3CC89989">
            <w:pPr>
              <w:jc w:val="center"/>
              <w:rPr>
                <w:rFonts w:ascii="宋体" w:eastAsia="宋体"/>
                <w:b w:val="0"/>
                <w:bCs w:val="0"/>
                <w:color w:val="auto"/>
                <w:sz w:val="22"/>
                <w:szCs w:val="22"/>
                <w:highlight w:val="none"/>
              </w:rPr>
            </w:pPr>
            <w:r>
              <w:rPr>
                <w:rFonts w:hint="eastAsia" w:ascii="宋体" w:eastAsia="宋体"/>
                <w:b w:val="0"/>
                <w:bCs w:val="0"/>
                <w:color w:val="auto"/>
                <w:sz w:val="22"/>
                <w:szCs w:val="22"/>
                <w:highlight w:val="none"/>
              </w:rPr>
              <w:t>报价</w:t>
            </w:r>
          </w:p>
        </w:tc>
      </w:tr>
      <w:tr w14:paraId="39432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trPr>
        <w:tc>
          <w:tcPr>
            <w:tcW w:w="310" w:type="pct"/>
            <w:vAlign w:val="center"/>
          </w:tcPr>
          <w:p w14:paraId="24ECC644">
            <w:pPr>
              <w:jc w:val="center"/>
              <w:rPr>
                <w:rFonts w:ascii="宋体" w:eastAsia="宋体"/>
                <w:b w:val="0"/>
                <w:bCs w:val="0"/>
                <w:color w:val="auto"/>
                <w:sz w:val="22"/>
                <w:szCs w:val="22"/>
                <w:highlight w:val="none"/>
              </w:rPr>
            </w:pPr>
            <w:r>
              <w:rPr>
                <w:rFonts w:hint="eastAsia" w:ascii="宋体" w:eastAsia="宋体"/>
                <w:b w:val="0"/>
                <w:bCs w:val="0"/>
                <w:color w:val="auto"/>
                <w:sz w:val="22"/>
                <w:szCs w:val="22"/>
                <w:highlight w:val="none"/>
              </w:rPr>
              <w:t>1</w:t>
            </w:r>
          </w:p>
        </w:tc>
        <w:tc>
          <w:tcPr>
            <w:tcW w:w="2172" w:type="pct"/>
            <w:vAlign w:val="center"/>
          </w:tcPr>
          <w:p w14:paraId="406EC527">
            <w:pPr>
              <w:jc w:val="center"/>
              <w:rPr>
                <w:rFonts w:hint="eastAsia" w:ascii="宋体" w:eastAsia="宋体"/>
                <w:b w:val="0"/>
                <w:bCs w:val="0"/>
                <w:color w:val="auto"/>
                <w:sz w:val="22"/>
                <w:szCs w:val="22"/>
                <w:highlight w:val="none"/>
                <w:lang w:eastAsia="zh-CN"/>
              </w:rPr>
            </w:pPr>
          </w:p>
        </w:tc>
        <w:tc>
          <w:tcPr>
            <w:tcW w:w="2517" w:type="pct"/>
            <w:vAlign w:val="center"/>
          </w:tcPr>
          <w:p w14:paraId="04484098">
            <w:pPr>
              <w:jc w:val="center"/>
              <w:rPr>
                <w:rFonts w:ascii="宋体" w:eastAsia="宋体"/>
                <w:b w:val="0"/>
                <w:bCs w:val="0"/>
                <w:color w:val="auto"/>
                <w:sz w:val="22"/>
                <w:szCs w:val="22"/>
                <w:highlight w:val="none"/>
              </w:rPr>
            </w:pPr>
          </w:p>
        </w:tc>
      </w:tr>
      <w:tr w14:paraId="4D88D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trPr>
        <w:tc>
          <w:tcPr>
            <w:tcW w:w="310" w:type="pct"/>
            <w:vAlign w:val="center"/>
          </w:tcPr>
          <w:p w14:paraId="459D4B68">
            <w:pPr>
              <w:jc w:val="center"/>
              <w:rPr>
                <w:rFonts w:ascii="宋体" w:eastAsia="宋体"/>
                <w:b w:val="0"/>
                <w:bCs w:val="0"/>
                <w:color w:val="auto"/>
                <w:sz w:val="22"/>
                <w:szCs w:val="22"/>
                <w:highlight w:val="none"/>
              </w:rPr>
            </w:pPr>
            <w:r>
              <w:rPr>
                <w:rFonts w:hint="eastAsia" w:ascii="宋体" w:eastAsia="宋体"/>
                <w:b w:val="0"/>
                <w:bCs w:val="0"/>
                <w:color w:val="auto"/>
                <w:sz w:val="22"/>
                <w:szCs w:val="22"/>
                <w:highlight w:val="none"/>
              </w:rPr>
              <w:t>2</w:t>
            </w:r>
          </w:p>
        </w:tc>
        <w:tc>
          <w:tcPr>
            <w:tcW w:w="2172" w:type="pct"/>
            <w:vAlign w:val="center"/>
          </w:tcPr>
          <w:p w14:paraId="1FB200C1">
            <w:pPr>
              <w:jc w:val="center"/>
              <w:rPr>
                <w:rFonts w:ascii="宋体" w:eastAsia="宋体"/>
                <w:b w:val="0"/>
                <w:bCs w:val="0"/>
                <w:color w:val="auto"/>
                <w:sz w:val="22"/>
                <w:szCs w:val="22"/>
                <w:highlight w:val="none"/>
              </w:rPr>
            </w:pPr>
          </w:p>
        </w:tc>
        <w:tc>
          <w:tcPr>
            <w:tcW w:w="2517" w:type="pct"/>
            <w:vAlign w:val="center"/>
          </w:tcPr>
          <w:p w14:paraId="26F3B3B4">
            <w:pPr>
              <w:jc w:val="center"/>
              <w:rPr>
                <w:rFonts w:ascii="宋体" w:eastAsia="宋体"/>
                <w:b w:val="0"/>
                <w:bCs w:val="0"/>
                <w:color w:val="auto"/>
                <w:sz w:val="22"/>
                <w:szCs w:val="22"/>
                <w:highlight w:val="none"/>
              </w:rPr>
            </w:pPr>
          </w:p>
        </w:tc>
      </w:tr>
      <w:tr w14:paraId="23030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trPr>
        <w:tc>
          <w:tcPr>
            <w:tcW w:w="310" w:type="pct"/>
            <w:vAlign w:val="center"/>
          </w:tcPr>
          <w:p w14:paraId="32505806">
            <w:pPr>
              <w:jc w:val="center"/>
              <w:rPr>
                <w:rFonts w:ascii="宋体" w:eastAsia="宋体"/>
                <w:b w:val="0"/>
                <w:bCs w:val="0"/>
                <w:color w:val="auto"/>
                <w:sz w:val="22"/>
                <w:szCs w:val="22"/>
                <w:highlight w:val="none"/>
              </w:rPr>
            </w:pPr>
            <w:r>
              <w:rPr>
                <w:rFonts w:hint="eastAsia" w:ascii="宋体" w:eastAsia="宋体"/>
                <w:b w:val="0"/>
                <w:bCs w:val="0"/>
                <w:color w:val="auto"/>
                <w:sz w:val="22"/>
                <w:szCs w:val="22"/>
                <w:highlight w:val="none"/>
              </w:rPr>
              <w:t>3</w:t>
            </w:r>
          </w:p>
        </w:tc>
        <w:tc>
          <w:tcPr>
            <w:tcW w:w="2172" w:type="pct"/>
            <w:vAlign w:val="center"/>
          </w:tcPr>
          <w:p w14:paraId="07144EE3">
            <w:pPr>
              <w:jc w:val="center"/>
              <w:rPr>
                <w:rFonts w:ascii="宋体" w:eastAsia="宋体"/>
                <w:b w:val="0"/>
                <w:bCs w:val="0"/>
                <w:color w:val="auto"/>
                <w:sz w:val="22"/>
                <w:szCs w:val="22"/>
                <w:highlight w:val="none"/>
              </w:rPr>
            </w:pPr>
          </w:p>
        </w:tc>
        <w:tc>
          <w:tcPr>
            <w:tcW w:w="2517" w:type="pct"/>
            <w:vAlign w:val="center"/>
          </w:tcPr>
          <w:p w14:paraId="165D5DB2">
            <w:pPr>
              <w:jc w:val="center"/>
              <w:rPr>
                <w:rFonts w:ascii="宋体" w:eastAsia="宋体"/>
                <w:b w:val="0"/>
                <w:bCs w:val="0"/>
                <w:color w:val="auto"/>
                <w:sz w:val="22"/>
                <w:szCs w:val="22"/>
                <w:highlight w:val="none"/>
              </w:rPr>
            </w:pPr>
          </w:p>
        </w:tc>
      </w:tr>
      <w:tr w14:paraId="0A0460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trPr>
        <w:tc>
          <w:tcPr>
            <w:tcW w:w="310" w:type="pct"/>
            <w:vAlign w:val="center"/>
          </w:tcPr>
          <w:p w14:paraId="6B17B147">
            <w:pPr>
              <w:jc w:val="center"/>
              <w:rPr>
                <w:rFonts w:ascii="宋体" w:eastAsia="宋体"/>
                <w:b w:val="0"/>
                <w:bCs w:val="0"/>
                <w:color w:val="auto"/>
                <w:sz w:val="22"/>
                <w:szCs w:val="22"/>
                <w:highlight w:val="none"/>
              </w:rPr>
            </w:pPr>
            <w:r>
              <w:rPr>
                <w:rFonts w:hint="eastAsia" w:ascii="宋体" w:eastAsia="宋体"/>
                <w:b w:val="0"/>
                <w:bCs w:val="0"/>
                <w:color w:val="auto"/>
                <w:sz w:val="22"/>
                <w:szCs w:val="22"/>
                <w:highlight w:val="none"/>
              </w:rPr>
              <w:t>4</w:t>
            </w:r>
          </w:p>
        </w:tc>
        <w:tc>
          <w:tcPr>
            <w:tcW w:w="2172" w:type="pct"/>
            <w:vAlign w:val="center"/>
          </w:tcPr>
          <w:p w14:paraId="0AA9A76C">
            <w:pPr>
              <w:jc w:val="center"/>
              <w:rPr>
                <w:rFonts w:ascii="宋体" w:eastAsia="宋体"/>
                <w:b w:val="0"/>
                <w:bCs w:val="0"/>
                <w:color w:val="auto"/>
                <w:sz w:val="22"/>
                <w:szCs w:val="22"/>
                <w:highlight w:val="none"/>
              </w:rPr>
            </w:pPr>
          </w:p>
        </w:tc>
        <w:tc>
          <w:tcPr>
            <w:tcW w:w="2517" w:type="pct"/>
            <w:vAlign w:val="center"/>
          </w:tcPr>
          <w:p w14:paraId="5D8825DD">
            <w:pPr>
              <w:jc w:val="center"/>
              <w:rPr>
                <w:rFonts w:ascii="宋体" w:eastAsia="宋体"/>
                <w:b w:val="0"/>
                <w:bCs w:val="0"/>
                <w:color w:val="auto"/>
                <w:sz w:val="22"/>
                <w:szCs w:val="22"/>
                <w:highlight w:val="none"/>
              </w:rPr>
            </w:pPr>
          </w:p>
        </w:tc>
      </w:tr>
      <w:tr w14:paraId="1A5DE1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trPr>
        <w:tc>
          <w:tcPr>
            <w:tcW w:w="310" w:type="pct"/>
            <w:vAlign w:val="center"/>
          </w:tcPr>
          <w:p w14:paraId="73EF4758">
            <w:pPr>
              <w:jc w:val="center"/>
              <w:rPr>
                <w:rFonts w:ascii="宋体" w:eastAsia="宋体"/>
                <w:b w:val="0"/>
                <w:bCs w:val="0"/>
                <w:color w:val="auto"/>
                <w:sz w:val="22"/>
                <w:szCs w:val="22"/>
                <w:highlight w:val="none"/>
              </w:rPr>
            </w:pPr>
            <w:r>
              <w:rPr>
                <w:rFonts w:hint="eastAsia" w:ascii="宋体" w:eastAsia="宋体"/>
                <w:b w:val="0"/>
                <w:bCs w:val="0"/>
                <w:color w:val="auto"/>
                <w:sz w:val="22"/>
                <w:szCs w:val="22"/>
                <w:highlight w:val="none"/>
              </w:rPr>
              <w:t>5</w:t>
            </w:r>
          </w:p>
        </w:tc>
        <w:tc>
          <w:tcPr>
            <w:tcW w:w="2172" w:type="pct"/>
            <w:vAlign w:val="center"/>
          </w:tcPr>
          <w:p w14:paraId="0176AE8D">
            <w:pPr>
              <w:jc w:val="center"/>
              <w:rPr>
                <w:rFonts w:ascii="宋体" w:eastAsia="宋体"/>
                <w:b w:val="0"/>
                <w:bCs w:val="0"/>
                <w:color w:val="auto"/>
                <w:sz w:val="22"/>
                <w:szCs w:val="22"/>
                <w:highlight w:val="none"/>
              </w:rPr>
            </w:pPr>
          </w:p>
        </w:tc>
        <w:tc>
          <w:tcPr>
            <w:tcW w:w="2517" w:type="pct"/>
            <w:vAlign w:val="center"/>
          </w:tcPr>
          <w:p w14:paraId="64C12417">
            <w:pPr>
              <w:jc w:val="center"/>
              <w:rPr>
                <w:rFonts w:ascii="宋体" w:eastAsia="宋体"/>
                <w:b w:val="0"/>
                <w:bCs w:val="0"/>
                <w:color w:val="auto"/>
                <w:sz w:val="22"/>
                <w:szCs w:val="22"/>
                <w:highlight w:val="none"/>
              </w:rPr>
            </w:pPr>
          </w:p>
        </w:tc>
      </w:tr>
      <w:tr w14:paraId="5920E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trPr>
        <w:tc>
          <w:tcPr>
            <w:tcW w:w="2482" w:type="pct"/>
            <w:gridSpan w:val="2"/>
            <w:vAlign w:val="center"/>
          </w:tcPr>
          <w:p w14:paraId="1032413A">
            <w:pPr>
              <w:jc w:val="center"/>
              <w:rPr>
                <w:rFonts w:ascii="宋体" w:eastAsia="宋体"/>
                <w:b w:val="0"/>
                <w:bCs w:val="0"/>
                <w:color w:val="auto"/>
                <w:sz w:val="22"/>
                <w:szCs w:val="22"/>
                <w:highlight w:val="none"/>
              </w:rPr>
            </w:pPr>
            <w:r>
              <w:rPr>
                <w:rFonts w:hint="eastAsia" w:ascii="宋体" w:eastAsia="宋体"/>
                <w:b w:val="0"/>
                <w:bCs w:val="0"/>
                <w:color w:val="auto"/>
                <w:sz w:val="22"/>
                <w:szCs w:val="22"/>
                <w:highlight w:val="none"/>
              </w:rPr>
              <w:t>总    计   价</w:t>
            </w:r>
          </w:p>
        </w:tc>
        <w:tc>
          <w:tcPr>
            <w:tcW w:w="2517" w:type="pct"/>
            <w:vAlign w:val="center"/>
          </w:tcPr>
          <w:p w14:paraId="499B69DC">
            <w:pPr>
              <w:jc w:val="center"/>
              <w:rPr>
                <w:rFonts w:ascii="宋体" w:eastAsia="宋体"/>
                <w:b w:val="0"/>
                <w:bCs w:val="0"/>
                <w:color w:val="auto"/>
                <w:sz w:val="22"/>
                <w:szCs w:val="22"/>
                <w:highlight w:val="none"/>
              </w:rPr>
            </w:pPr>
          </w:p>
        </w:tc>
      </w:tr>
    </w:tbl>
    <w:p w14:paraId="112C556A">
      <w:pPr>
        <w:autoSpaceDE w:val="0"/>
        <w:autoSpaceDN w:val="0"/>
        <w:adjustRightInd w:val="0"/>
        <w:spacing w:line="460" w:lineRule="atLeas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 xml:space="preserve">注：1. </w:t>
      </w:r>
      <w:r>
        <w:rPr>
          <w:rFonts w:hint="eastAsia" w:ascii="宋体" w:eastAsia="宋体" w:cs="宋体"/>
          <w:color w:val="auto"/>
          <w:sz w:val="22"/>
          <w:szCs w:val="22"/>
          <w:highlight w:val="none"/>
          <w:lang w:val="en-US" w:eastAsia="zh-CN"/>
        </w:rPr>
        <w:t>总计价</w:t>
      </w:r>
      <w:r>
        <w:rPr>
          <w:rFonts w:hint="eastAsia" w:ascii="宋体" w:hAnsi="宋体" w:eastAsia="宋体" w:cs="宋体"/>
          <w:color w:val="auto"/>
          <w:sz w:val="22"/>
          <w:szCs w:val="22"/>
          <w:highlight w:val="none"/>
          <w:lang w:val="zh-CN"/>
        </w:rPr>
        <w:t>应与“开标一览表”中投标总价相一致。</w:t>
      </w:r>
    </w:p>
    <w:p w14:paraId="2AD20BF5">
      <w:pPr>
        <w:autoSpaceDE w:val="0"/>
        <w:autoSpaceDN w:val="0"/>
        <w:adjustRightInd w:val="0"/>
        <w:spacing w:line="460" w:lineRule="atLeast"/>
        <w:ind w:firstLine="442" w:firstLineChars="200"/>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 xml:space="preserve">2. 本表所列费用为本项目的全部费用，除此外，不允许增加任何费用。                    </w:t>
      </w:r>
    </w:p>
    <w:p w14:paraId="06CDBADC">
      <w:pPr>
        <w:autoSpaceDE w:val="0"/>
        <w:autoSpaceDN w:val="0"/>
        <w:adjustRightInd w:val="0"/>
        <w:spacing w:line="460" w:lineRule="atLeast"/>
        <w:ind w:firstLine="442" w:firstLineChars="200"/>
        <w:rPr>
          <w:rFonts w:hint="eastAsia" w:ascii="宋体" w:hAnsi="宋体" w:eastAsia="宋体" w:cs="宋体"/>
          <w:b/>
          <w:color w:val="auto"/>
          <w:sz w:val="22"/>
          <w:szCs w:val="22"/>
          <w:highlight w:val="none"/>
          <w:lang w:val="zh-CN"/>
        </w:rPr>
      </w:pPr>
      <w:r>
        <w:rPr>
          <w:rFonts w:hint="eastAsia" w:ascii="宋体" w:hAnsi="宋体" w:eastAsia="宋体" w:cs="宋体"/>
          <w:b/>
          <w:color w:val="auto"/>
          <w:sz w:val="22"/>
          <w:szCs w:val="22"/>
          <w:highlight w:val="none"/>
          <w:lang w:val="zh-CN"/>
        </w:rPr>
        <w:t>▲</w:t>
      </w:r>
      <w:r>
        <w:rPr>
          <w:rFonts w:hint="eastAsia" w:ascii="宋体" w:hAnsi="宋体" w:eastAsia="宋体" w:cs="宋体"/>
          <w:b/>
          <w:color w:val="auto"/>
          <w:sz w:val="22"/>
          <w:szCs w:val="22"/>
          <w:highlight w:val="none"/>
          <w:u w:val="single"/>
          <w:lang w:val="zh-CN"/>
        </w:rPr>
        <w:t>3. 不提供详细分项的投标价将视为没有实质性响应</w:t>
      </w:r>
      <w:r>
        <w:rPr>
          <w:rFonts w:hint="eastAsia" w:ascii="宋体" w:eastAsia="宋体" w:cs="宋体"/>
          <w:b/>
          <w:color w:val="auto"/>
          <w:sz w:val="22"/>
          <w:szCs w:val="22"/>
          <w:highlight w:val="none"/>
          <w:u w:val="single"/>
          <w:lang w:val="zh-CN"/>
        </w:rPr>
        <w:t>采购文件</w:t>
      </w:r>
      <w:r>
        <w:rPr>
          <w:rFonts w:hint="eastAsia" w:ascii="宋体" w:hAnsi="宋体" w:eastAsia="宋体" w:cs="宋体"/>
          <w:b/>
          <w:color w:val="auto"/>
          <w:sz w:val="22"/>
          <w:szCs w:val="22"/>
          <w:highlight w:val="none"/>
          <w:u w:val="single"/>
          <w:lang w:val="zh-CN"/>
        </w:rPr>
        <w:t>。</w:t>
      </w:r>
    </w:p>
    <w:p w14:paraId="5B71CA99">
      <w:pPr>
        <w:autoSpaceDE w:val="0"/>
        <w:autoSpaceDN w:val="0"/>
        <w:adjustRightInd w:val="0"/>
        <w:spacing w:line="460" w:lineRule="atLeast"/>
        <w:ind w:firstLine="442" w:firstLineChars="200"/>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 xml:space="preserve">4．本表可在不改变格式的情况下根据具体需要自行增减。                         </w:t>
      </w:r>
    </w:p>
    <w:p w14:paraId="1E719F54">
      <w:pPr>
        <w:autoSpaceDE w:val="0"/>
        <w:autoSpaceDN w:val="0"/>
        <w:adjustRightInd w:val="0"/>
        <w:spacing w:line="460" w:lineRule="atLeast"/>
        <w:ind w:firstLine="442" w:firstLineChars="200"/>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5、 带有“……”的为本表未列的其他费用，供应商需视情况自行列出。</w:t>
      </w:r>
    </w:p>
    <w:p w14:paraId="362BF885">
      <w:pPr>
        <w:widowControl/>
        <w:spacing w:line="460" w:lineRule="exact"/>
        <w:ind w:firstLine="440"/>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eastAsia="zh-CN"/>
        </w:rPr>
        <w:t>投标供应商</w:t>
      </w:r>
      <w:r>
        <w:rPr>
          <w:rFonts w:hint="eastAsia" w:ascii="宋体" w:hAnsi="宋体" w:eastAsia="宋体" w:cs="宋体"/>
          <w:b w:val="0"/>
          <w:bCs w:val="0"/>
          <w:color w:val="auto"/>
          <w:sz w:val="22"/>
          <w:szCs w:val="22"/>
          <w:highlight w:val="none"/>
        </w:rPr>
        <w:t>（盖章） ：</w:t>
      </w:r>
    </w:p>
    <w:p w14:paraId="08435855">
      <w:pPr>
        <w:spacing w:line="460" w:lineRule="atLeast"/>
        <w:ind w:firstLine="440"/>
        <w:rPr>
          <w:rFonts w:hint="eastAsia" w:ascii="宋体" w:hAnsi="宋体" w:eastAsia="宋体" w:cs="宋体"/>
          <w:b w:val="0"/>
          <w:bCs w:val="0"/>
          <w:color w:val="auto"/>
          <w:sz w:val="36"/>
          <w:highlight w:val="none"/>
        </w:rPr>
      </w:pPr>
      <w:r>
        <w:rPr>
          <w:rFonts w:hint="eastAsia" w:ascii="宋体" w:hAnsi="宋体" w:eastAsia="宋体" w:cs="宋体"/>
          <w:b w:val="0"/>
          <w:bCs w:val="0"/>
          <w:color w:val="auto"/>
          <w:sz w:val="22"/>
          <w:szCs w:val="22"/>
          <w:highlight w:val="none"/>
        </w:rPr>
        <w:t>日期：</w:t>
      </w:r>
    </w:p>
    <w:p w14:paraId="108FA2F7">
      <w:pPr>
        <w:snapToGrid w:val="0"/>
        <w:spacing w:line="500" w:lineRule="atLeast"/>
        <w:ind w:firstLine="4367" w:firstLineChars="1450"/>
        <w:rPr>
          <w:rFonts w:hint="eastAsia" w:ascii="宋体" w:hAnsi="宋体" w:eastAsia="宋体" w:cs="宋体"/>
          <w:b/>
          <w:color w:val="auto"/>
          <w:sz w:val="30"/>
          <w:highlight w:val="none"/>
        </w:rPr>
        <w:sectPr>
          <w:headerReference r:id="rId12" w:type="default"/>
          <w:footerReference r:id="rId13" w:type="default"/>
          <w:pgSz w:w="11906" w:h="16838"/>
          <w:pgMar w:top="1440" w:right="1701" w:bottom="1440" w:left="1701" w:header="851" w:footer="992" w:gutter="0"/>
          <w:pgBorders>
            <w:top w:val="none" w:sz="0" w:space="0"/>
            <w:left w:val="none" w:sz="0" w:space="0"/>
            <w:bottom w:val="none" w:sz="0" w:space="0"/>
            <w:right w:val="none" w:sz="0" w:space="0"/>
          </w:pgBorders>
          <w:cols w:space="720" w:num="1"/>
          <w:docGrid w:linePitch="312" w:charSpace="0"/>
        </w:sectPr>
      </w:pPr>
    </w:p>
    <w:p w14:paraId="758EDEE1">
      <w:pPr>
        <w:pStyle w:val="41"/>
        <w:rPr>
          <w:rFonts w:hint="eastAsia" w:ascii="宋体" w:hAnsi="宋体" w:eastAsia="宋体" w:cs="宋体"/>
          <w:color w:val="auto"/>
          <w:highlight w:val="none"/>
        </w:rPr>
      </w:pPr>
      <w:bookmarkStart w:id="173" w:name="_Toc65830025"/>
      <w:bookmarkEnd w:id="173"/>
      <w:bookmarkStart w:id="174" w:name="_Toc42243287"/>
      <w:bookmarkEnd w:id="174"/>
      <w:bookmarkStart w:id="175" w:name="_Toc65590097"/>
      <w:bookmarkEnd w:id="175"/>
      <w:bookmarkStart w:id="176" w:name="_Toc42678695"/>
      <w:bookmarkEnd w:id="176"/>
      <w:bookmarkStart w:id="177" w:name="_Toc1040"/>
      <w:bookmarkEnd w:id="177"/>
      <w:bookmarkStart w:id="178" w:name="_Toc15121"/>
      <w:r>
        <w:rPr>
          <w:rFonts w:hint="eastAsia" w:ascii="宋体" w:hAnsi="宋体" w:eastAsia="宋体" w:cs="宋体"/>
          <w:color w:val="auto"/>
          <w:highlight w:val="none"/>
        </w:rPr>
        <w:t>三、商务技术文件部分格式</w:t>
      </w:r>
      <w:bookmarkEnd w:id="178"/>
    </w:p>
    <w:p w14:paraId="7662C384">
      <w:pPr>
        <w:widowControl/>
        <w:spacing w:line="460" w:lineRule="atLeast"/>
        <w:jc w:val="left"/>
        <w:rPr>
          <w:rFonts w:hint="eastAsia" w:ascii="宋体" w:hAnsi="宋体" w:eastAsia="宋体" w:cs="宋体"/>
          <w:b/>
          <w:bCs/>
          <w:color w:val="auto"/>
          <w:sz w:val="22"/>
          <w:szCs w:val="22"/>
          <w:highlight w:val="none"/>
          <w:lang w:eastAsia="zh-CN"/>
        </w:rPr>
      </w:pPr>
      <w:bookmarkStart w:id="179" w:name="_Toc493530215"/>
      <w:bookmarkEnd w:id="179"/>
      <w:r>
        <w:rPr>
          <w:rFonts w:hint="eastAsia" w:ascii="宋体" w:hAnsi="宋体" w:eastAsia="宋体" w:cs="宋体"/>
          <w:b/>
          <w:color w:val="auto"/>
          <w:sz w:val="22"/>
          <w:szCs w:val="22"/>
          <w:highlight w:val="none"/>
        </w:rPr>
        <w:t>附件</w:t>
      </w:r>
      <w:r>
        <w:rPr>
          <w:rFonts w:hint="eastAsia" w:ascii="宋体" w:hAnsi="宋体" w:eastAsia="宋体" w:cs="宋体"/>
          <w:b/>
          <w:color w:val="auto"/>
          <w:sz w:val="22"/>
          <w:szCs w:val="22"/>
          <w:highlight w:val="none"/>
          <w:lang w:val="en-US" w:eastAsia="zh-CN"/>
        </w:rPr>
        <w:t>四</w:t>
      </w:r>
    </w:p>
    <w:p w14:paraId="16FF9A94">
      <w:pPr>
        <w:pStyle w:val="41"/>
        <w:rPr>
          <w:rFonts w:hint="eastAsia" w:ascii="宋体" w:hAnsi="宋体" w:eastAsia="宋体" w:cs="宋体"/>
          <w:color w:val="auto"/>
          <w:highlight w:val="none"/>
        </w:rPr>
      </w:pPr>
      <w:bookmarkStart w:id="180" w:name="_Toc42678617"/>
      <w:bookmarkEnd w:id="180"/>
      <w:bookmarkStart w:id="181" w:name="_Toc65830026"/>
      <w:bookmarkEnd w:id="181"/>
      <w:bookmarkStart w:id="182" w:name="_Toc96970932"/>
      <w:bookmarkEnd w:id="182"/>
      <w:bookmarkStart w:id="183" w:name="_Toc68187557"/>
      <w:bookmarkEnd w:id="183"/>
      <w:bookmarkStart w:id="184" w:name="_Toc511045481"/>
      <w:bookmarkEnd w:id="184"/>
      <w:bookmarkStart w:id="185" w:name="_Toc68189107"/>
      <w:bookmarkEnd w:id="185"/>
      <w:bookmarkStart w:id="186" w:name="_Toc42678030"/>
      <w:bookmarkEnd w:id="186"/>
      <w:bookmarkStart w:id="187" w:name="_Toc42678185"/>
      <w:bookmarkEnd w:id="187"/>
      <w:bookmarkStart w:id="188" w:name="_Toc19204521"/>
      <w:bookmarkEnd w:id="188"/>
      <w:bookmarkStart w:id="189" w:name="_Toc42243288"/>
      <w:bookmarkEnd w:id="189"/>
      <w:bookmarkStart w:id="190" w:name="_Toc65590098"/>
      <w:bookmarkEnd w:id="190"/>
      <w:bookmarkStart w:id="191" w:name="_Toc18949"/>
      <w:bookmarkEnd w:id="191"/>
      <w:bookmarkStart w:id="192" w:name="_Toc9334949"/>
      <w:bookmarkEnd w:id="192"/>
      <w:bookmarkStart w:id="193" w:name="_Toc87518419"/>
      <w:bookmarkEnd w:id="193"/>
      <w:bookmarkStart w:id="194" w:name="_Toc518512534"/>
      <w:bookmarkEnd w:id="194"/>
      <w:bookmarkStart w:id="195" w:name="_Toc21520"/>
      <w:bookmarkEnd w:id="195"/>
      <w:bookmarkStart w:id="196" w:name="_Toc29259"/>
      <w:bookmarkEnd w:id="196"/>
      <w:bookmarkStart w:id="197" w:name="_Toc42678696"/>
      <w:bookmarkEnd w:id="197"/>
      <w:bookmarkStart w:id="198" w:name="_Toc522469119"/>
      <w:bookmarkEnd w:id="198"/>
      <w:bookmarkStart w:id="199" w:name="_Toc87518596"/>
      <w:bookmarkEnd w:id="199"/>
      <w:bookmarkStart w:id="200" w:name="_Toc97033074"/>
      <w:bookmarkEnd w:id="200"/>
      <w:bookmarkStart w:id="201" w:name="_Toc68188793"/>
      <w:bookmarkEnd w:id="201"/>
      <w:bookmarkStart w:id="202" w:name="_Toc61444217"/>
      <w:bookmarkEnd w:id="202"/>
      <w:bookmarkStart w:id="203" w:name="_Toc12111"/>
      <w:bookmarkEnd w:id="203"/>
      <w:bookmarkStart w:id="204" w:name="_Toc26337"/>
      <w:r>
        <w:rPr>
          <w:rFonts w:hint="eastAsia" w:ascii="宋体" w:hAnsi="宋体" w:cs="宋体"/>
          <w:color w:val="auto"/>
          <w:highlight w:val="none"/>
          <w:lang w:val="en-US" w:eastAsia="zh-CN"/>
        </w:rPr>
        <w:t>磋 商</w:t>
      </w:r>
      <w:r>
        <w:rPr>
          <w:rFonts w:hint="eastAsia" w:ascii="宋体" w:hAnsi="宋体" w:eastAsia="宋体" w:cs="宋体"/>
          <w:color w:val="auto"/>
          <w:highlight w:val="none"/>
        </w:rPr>
        <w:t xml:space="preserve"> 函</w:t>
      </w:r>
      <w:bookmarkEnd w:id="204"/>
    </w:p>
    <w:p w14:paraId="1BE487B4">
      <w:pPr>
        <w:autoSpaceDE w:val="0"/>
        <w:autoSpaceDN w:val="0"/>
        <w:adjustRightInd w:val="0"/>
        <w:snapToGrid w:val="0"/>
        <w:spacing w:line="480" w:lineRule="atLeast"/>
        <w:rPr>
          <w:rFonts w:hint="eastAsia" w:ascii="宋体" w:hAnsi="宋体" w:eastAsia="宋体" w:cs="宋体"/>
          <w:b w:val="0"/>
          <w:bCs w:val="0"/>
          <w:color w:val="auto"/>
          <w:sz w:val="22"/>
          <w:highlight w:val="none"/>
          <w:u w:val="single"/>
        </w:rPr>
      </w:pPr>
      <w:r>
        <w:rPr>
          <w:rFonts w:hint="eastAsia" w:ascii="宋体" w:hAnsi="宋体" w:eastAsia="宋体" w:cs="宋体"/>
          <w:b w:val="0"/>
          <w:bCs w:val="0"/>
          <w:color w:val="auto"/>
          <w:sz w:val="22"/>
          <w:highlight w:val="none"/>
          <w:u w:val="single"/>
          <w:lang w:val="zh-CN"/>
        </w:rPr>
        <w:t xml:space="preserve">  （</w:t>
      </w:r>
      <w:r>
        <w:rPr>
          <w:rFonts w:hint="eastAsia" w:ascii="宋体" w:eastAsia="宋体" w:cs="宋体"/>
          <w:b w:val="0"/>
          <w:bCs w:val="0"/>
          <w:color w:val="auto"/>
          <w:sz w:val="22"/>
          <w:highlight w:val="none"/>
          <w:u w:val="single"/>
          <w:lang w:val="zh-CN"/>
        </w:rPr>
        <w:t>采购人</w:t>
      </w:r>
      <w:r>
        <w:rPr>
          <w:rFonts w:hint="eastAsia" w:ascii="宋体" w:hAnsi="宋体" w:eastAsia="宋体" w:cs="宋体"/>
          <w:b w:val="0"/>
          <w:bCs w:val="0"/>
          <w:color w:val="auto"/>
          <w:sz w:val="22"/>
          <w:highlight w:val="none"/>
          <w:u w:val="single"/>
          <w:lang w:val="zh-CN"/>
        </w:rPr>
        <w:t>）   ：</w:t>
      </w:r>
    </w:p>
    <w:p w14:paraId="0A7BFCC5">
      <w:pPr>
        <w:spacing w:line="420" w:lineRule="exact"/>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根据贵方为</w:t>
      </w:r>
      <w:r>
        <w:rPr>
          <w:rFonts w:hint="eastAsia" w:ascii="宋体" w:hAnsi="宋体" w:eastAsia="宋体" w:cs="宋体"/>
          <w:b w:val="0"/>
          <w:bCs w:val="0"/>
          <w:color w:val="auto"/>
          <w:sz w:val="22"/>
          <w:szCs w:val="22"/>
          <w:highlight w:val="none"/>
          <w:u w:val="single"/>
        </w:rPr>
        <w:t xml:space="preserve">             </w:t>
      </w:r>
      <w:r>
        <w:rPr>
          <w:rFonts w:hint="eastAsia" w:ascii="宋体" w:hAnsi="宋体" w:eastAsia="宋体" w:cs="宋体"/>
          <w:b w:val="0"/>
          <w:bCs w:val="0"/>
          <w:color w:val="auto"/>
          <w:sz w:val="22"/>
          <w:szCs w:val="22"/>
          <w:highlight w:val="none"/>
        </w:rPr>
        <w:t>项目（项目编号：</w:t>
      </w:r>
      <w:r>
        <w:rPr>
          <w:rFonts w:hint="eastAsia" w:ascii="宋体" w:hAnsi="宋体" w:eastAsia="宋体" w:cs="宋体"/>
          <w:b w:val="0"/>
          <w:bCs w:val="0"/>
          <w:color w:val="auto"/>
          <w:sz w:val="22"/>
          <w:szCs w:val="22"/>
          <w:highlight w:val="none"/>
          <w:u w:val="single"/>
        </w:rPr>
        <w:t xml:space="preserve">        </w:t>
      </w:r>
      <w:r>
        <w:rPr>
          <w:rFonts w:hint="eastAsia" w:ascii="宋体" w:hAnsi="宋体" w:eastAsia="宋体" w:cs="宋体"/>
          <w:b w:val="0"/>
          <w:bCs w:val="0"/>
          <w:color w:val="auto"/>
          <w:sz w:val="22"/>
          <w:szCs w:val="22"/>
          <w:highlight w:val="none"/>
        </w:rPr>
        <w:t>）的投标邀请，我方</w:t>
      </w:r>
      <w:r>
        <w:rPr>
          <w:rFonts w:hint="eastAsia" w:ascii="宋体" w:hAnsi="宋体" w:eastAsia="宋体" w:cs="宋体"/>
          <w:b w:val="0"/>
          <w:bCs w:val="0"/>
          <w:color w:val="auto"/>
          <w:sz w:val="22"/>
          <w:szCs w:val="22"/>
          <w:highlight w:val="none"/>
          <w:u w:val="single"/>
        </w:rPr>
        <w:t xml:space="preserve">           　　</w:t>
      </w:r>
      <w:r>
        <w:rPr>
          <w:rFonts w:hint="eastAsia" w:ascii="宋体" w:hAnsi="宋体" w:eastAsia="宋体" w:cs="宋体"/>
          <w:b w:val="0"/>
          <w:bCs w:val="0"/>
          <w:color w:val="auto"/>
          <w:sz w:val="22"/>
          <w:szCs w:val="22"/>
          <w:highlight w:val="none"/>
        </w:rPr>
        <w:t>（供应商名称）作为供应商正式授权</w:t>
      </w:r>
      <w:r>
        <w:rPr>
          <w:rFonts w:hint="eastAsia" w:ascii="宋体" w:hAnsi="宋体" w:eastAsia="宋体" w:cs="宋体"/>
          <w:b w:val="0"/>
          <w:bCs w:val="0"/>
          <w:color w:val="auto"/>
          <w:sz w:val="22"/>
          <w:szCs w:val="22"/>
          <w:highlight w:val="none"/>
          <w:u w:val="single"/>
        </w:rPr>
        <w:t xml:space="preserve">　           </w:t>
      </w:r>
      <w:r>
        <w:rPr>
          <w:rFonts w:hint="eastAsia" w:ascii="宋体" w:hAnsi="宋体" w:eastAsia="宋体" w:cs="宋体"/>
          <w:b w:val="0"/>
          <w:bCs w:val="0"/>
          <w:color w:val="auto"/>
          <w:sz w:val="22"/>
          <w:szCs w:val="22"/>
          <w:highlight w:val="none"/>
        </w:rPr>
        <w:t>（授权代表全名，职务）代表我方处理有关本项目投标的一切事宜。</w:t>
      </w:r>
    </w:p>
    <w:p w14:paraId="475CCC53">
      <w:pPr>
        <w:autoSpaceDE w:val="0"/>
        <w:autoSpaceDN w:val="0"/>
        <w:adjustRightInd w:val="0"/>
        <w:spacing w:line="420" w:lineRule="atLeast"/>
        <w:ind w:firstLine="440" w:firstLineChars="200"/>
        <w:rPr>
          <w:rFonts w:hint="eastAsia" w:ascii="宋体" w:hAnsi="宋体" w:eastAsia="宋体" w:cs="宋体"/>
          <w:b w:val="0"/>
          <w:bCs w:val="0"/>
          <w:color w:val="auto"/>
          <w:kern w:val="0"/>
          <w:sz w:val="22"/>
          <w:szCs w:val="22"/>
          <w:highlight w:val="none"/>
          <w:lang w:val="zh-CN"/>
        </w:rPr>
      </w:pPr>
      <w:r>
        <w:rPr>
          <w:rFonts w:hint="eastAsia" w:ascii="宋体" w:hAnsi="宋体" w:eastAsia="宋体" w:cs="宋体"/>
          <w:b w:val="0"/>
          <w:bCs w:val="0"/>
          <w:color w:val="auto"/>
          <w:kern w:val="0"/>
          <w:sz w:val="22"/>
          <w:szCs w:val="22"/>
          <w:highlight w:val="none"/>
          <w:lang w:val="zh-CN"/>
        </w:rPr>
        <w:t>在此提交的投标文件中，包括如下内容，并已分别单独提交：</w:t>
      </w:r>
    </w:p>
    <w:p w14:paraId="5B799462">
      <w:pPr>
        <w:numPr>
          <w:ilvl w:val="0"/>
          <w:numId w:val="8"/>
        </w:numPr>
        <w:spacing w:line="420" w:lineRule="exact"/>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 w:val="22"/>
          <w:highlight w:val="none"/>
        </w:rPr>
        <w:t>按“供应商须知”要求编制的投标文件资格审查资料 ；</w:t>
      </w:r>
    </w:p>
    <w:p w14:paraId="5175D1CC">
      <w:pPr>
        <w:numPr>
          <w:ilvl w:val="0"/>
          <w:numId w:val="8"/>
        </w:numPr>
        <w:spacing w:line="420" w:lineRule="exact"/>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 w:val="22"/>
          <w:highlight w:val="none"/>
        </w:rPr>
        <w:t>按“供应商须知”要求编制的投标文件商务技术文件 ；</w:t>
      </w:r>
    </w:p>
    <w:p w14:paraId="20D57787">
      <w:pPr>
        <w:numPr>
          <w:ilvl w:val="0"/>
          <w:numId w:val="8"/>
        </w:numPr>
        <w:spacing w:line="420" w:lineRule="exact"/>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 w:val="22"/>
          <w:highlight w:val="none"/>
        </w:rPr>
        <w:t>按“供应商须知”要求编制的投标文件报价文件 。</w:t>
      </w:r>
    </w:p>
    <w:p w14:paraId="5D4B6CB7">
      <w:pPr>
        <w:autoSpaceDE w:val="0"/>
        <w:autoSpaceDN w:val="0"/>
        <w:adjustRightInd w:val="0"/>
        <w:spacing w:line="420" w:lineRule="atLeast"/>
        <w:ind w:firstLine="440"/>
        <w:rPr>
          <w:rFonts w:hint="eastAsia" w:ascii="宋体" w:hAnsi="宋体" w:eastAsia="宋体" w:cs="宋体"/>
          <w:b w:val="0"/>
          <w:bCs w:val="0"/>
          <w:color w:val="auto"/>
          <w:kern w:val="0"/>
          <w:sz w:val="22"/>
          <w:szCs w:val="22"/>
          <w:highlight w:val="none"/>
          <w:lang w:val="zh-CN"/>
        </w:rPr>
      </w:pPr>
      <w:r>
        <w:rPr>
          <w:rFonts w:hint="eastAsia" w:ascii="宋体" w:hAnsi="宋体" w:eastAsia="宋体" w:cs="宋体"/>
          <w:b w:val="0"/>
          <w:bCs w:val="0"/>
          <w:color w:val="auto"/>
          <w:kern w:val="0"/>
          <w:sz w:val="22"/>
          <w:szCs w:val="22"/>
          <w:highlight w:val="none"/>
          <w:lang w:val="zh-CN"/>
        </w:rPr>
        <w:t>我方已完全明白</w:t>
      </w:r>
      <w:r>
        <w:rPr>
          <w:rFonts w:hint="eastAsia" w:ascii="宋体" w:eastAsia="宋体" w:cs="宋体"/>
          <w:b w:val="0"/>
          <w:bCs w:val="0"/>
          <w:color w:val="auto"/>
          <w:kern w:val="0"/>
          <w:sz w:val="22"/>
          <w:szCs w:val="22"/>
          <w:highlight w:val="none"/>
          <w:lang w:val="zh-CN"/>
        </w:rPr>
        <w:t>采购文件</w:t>
      </w:r>
      <w:r>
        <w:rPr>
          <w:rFonts w:hint="eastAsia" w:ascii="宋体" w:hAnsi="宋体" w:eastAsia="宋体" w:cs="宋体"/>
          <w:b w:val="0"/>
          <w:bCs w:val="0"/>
          <w:color w:val="auto"/>
          <w:kern w:val="0"/>
          <w:sz w:val="22"/>
          <w:szCs w:val="22"/>
          <w:highlight w:val="none"/>
          <w:lang w:val="zh-CN"/>
        </w:rPr>
        <w:t>的所有条款要求，并重申以下几点：</w:t>
      </w:r>
    </w:p>
    <w:p w14:paraId="26B063BF">
      <w:pPr>
        <w:numPr>
          <w:ilvl w:val="0"/>
          <w:numId w:val="9"/>
        </w:numPr>
        <w:spacing w:line="420" w:lineRule="exact"/>
        <w:rPr>
          <w:rFonts w:hint="eastAsia" w:ascii="宋体" w:hAnsi="宋体" w:eastAsia="宋体" w:cs="宋体"/>
          <w:b w:val="0"/>
          <w:bCs w:val="0"/>
          <w:color w:val="auto"/>
          <w:sz w:val="22"/>
          <w:highlight w:val="none"/>
        </w:rPr>
      </w:pPr>
      <w:r>
        <w:rPr>
          <w:rFonts w:hint="eastAsia" w:ascii="宋体" w:hAnsi="宋体" w:eastAsia="宋体" w:cs="宋体"/>
          <w:b w:val="0"/>
          <w:bCs w:val="0"/>
          <w:color w:val="auto"/>
          <w:sz w:val="22"/>
          <w:highlight w:val="none"/>
        </w:rPr>
        <w:t>已详细阅读全部</w:t>
      </w:r>
      <w:r>
        <w:rPr>
          <w:rFonts w:hint="eastAsia" w:ascii="宋体" w:eastAsia="宋体" w:cs="宋体"/>
          <w:b w:val="0"/>
          <w:bCs w:val="0"/>
          <w:color w:val="auto"/>
          <w:sz w:val="22"/>
          <w:highlight w:val="none"/>
          <w:lang w:eastAsia="zh-CN"/>
        </w:rPr>
        <w:t>采购文件</w:t>
      </w:r>
      <w:r>
        <w:rPr>
          <w:rFonts w:hint="eastAsia" w:ascii="宋体" w:hAnsi="宋体" w:eastAsia="宋体" w:cs="宋体"/>
          <w:b w:val="0"/>
          <w:bCs w:val="0"/>
          <w:color w:val="auto"/>
          <w:sz w:val="22"/>
          <w:highlight w:val="none"/>
        </w:rPr>
        <w:t>，包括</w:t>
      </w:r>
      <w:r>
        <w:rPr>
          <w:rFonts w:hint="eastAsia" w:ascii="宋体" w:eastAsia="宋体" w:cs="宋体"/>
          <w:b w:val="0"/>
          <w:bCs w:val="0"/>
          <w:color w:val="auto"/>
          <w:sz w:val="22"/>
          <w:highlight w:val="none"/>
          <w:lang w:eastAsia="zh-CN"/>
        </w:rPr>
        <w:t>采购文件</w:t>
      </w:r>
      <w:r>
        <w:rPr>
          <w:rFonts w:hint="eastAsia" w:ascii="宋体" w:hAnsi="宋体" w:eastAsia="宋体" w:cs="宋体"/>
          <w:b w:val="0"/>
          <w:bCs w:val="0"/>
          <w:color w:val="auto"/>
          <w:sz w:val="22"/>
          <w:highlight w:val="none"/>
        </w:rPr>
        <w:t>补充文件（如果有，包括相关的补充、更正、澄清公告和文件）、参考资料及有关附件，确认无误。我方完全理解并接受</w:t>
      </w:r>
      <w:r>
        <w:rPr>
          <w:rFonts w:hint="eastAsia" w:ascii="宋体" w:eastAsia="宋体" w:cs="宋体"/>
          <w:b w:val="0"/>
          <w:bCs w:val="0"/>
          <w:color w:val="auto"/>
          <w:sz w:val="22"/>
          <w:highlight w:val="none"/>
          <w:lang w:eastAsia="zh-CN"/>
        </w:rPr>
        <w:t>采购文件</w:t>
      </w:r>
      <w:r>
        <w:rPr>
          <w:rFonts w:hint="eastAsia" w:ascii="宋体" w:hAnsi="宋体" w:eastAsia="宋体" w:cs="宋体"/>
          <w:b w:val="0"/>
          <w:bCs w:val="0"/>
          <w:color w:val="auto"/>
          <w:sz w:val="22"/>
          <w:highlight w:val="none"/>
        </w:rPr>
        <w:t>的各项规定和要求。</w:t>
      </w:r>
    </w:p>
    <w:p w14:paraId="150AC51F">
      <w:pPr>
        <w:numPr>
          <w:ilvl w:val="0"/>
          <w:numId w:val="9"/>
        </w:numPr>
        <w:spacing w:line="420" w:lineRule="exact"/>
        <w:rPr>
          <w:rFonts w:hint="eastAsia" w:ascii="宋体" w:hAnsi="宋体" w:eastAsia="宋体" w:cs="宋体"/>
          <w:b w:val="0"/>
          <w:bCs w:val="0"/>
          <w:color w:val="auto"/>
          <w:sz w:val="22"/>
          <w:highlight w:val="none"/>
        </w:rPr>
      </w:pPr>
      <w:r>
        <w:rPr>
          <w:rFonts w:hint="eastAsia" w:ascii="宋体" w:hAnsi="宋体" w:eastAsia="宋体" w:cs="宋体"/>
          <w:b w:val="0"/>
          <w:bCs w:val="0"/>
          <w:color w:val="auto"/>
          <w:sz w:val="22"/>
          <w:highlight w:val="none"/>
        </w:rPr>
        <w:t>同意提供按照贵方可能要求的与投标有关的一切数据或资料等。若贵方需要，我方愿意提供我方</w:t>
      </w:r>
      <w:r>
        <w:rPr>
          <w:rFonts w:hint="eastAsia" w:ascii="宋体" w:hAnsi="宋体" w:eastAsia="宋体" w:cs="宋体"/>
          <w:b w:val="0"/>
          <w:bCs w:val="0"/>
          <w:color w:val="auto"/>
          <w:sz w:val="22"/>
          <w:highlight w:val="none"/>
          <w:lang w:eastAsia="zh-CN"/>
        </w:rPr>
        <w:t>做出</w:t>
      </w:r>
      <w:r>
        <w:rPr>
          <w:rFonts w:hint="eastAsia" w:ascii="宋体" w:hAnsi="宋体" w:eastAsia="宋体" w:cs="宋体"/>
          <w:b w:val="0"/>
          <w:bCs w:val="0"/>
          <w:color w:val="auto"/>
          <w:sz w:val="22"/>
          <w:highlight w:val="none"/>
        </w:rPr>
        <w:t>的一切承诺的证明材料。</w:t>
      </w:r>
    </w:p>
    <w:p w14:paraId="0C32C1CC">
      <w:pPr>
        <w:numPr>
          <w:ilvl w:val="0"/>
          <w:numId w:val="9"/>
        </w:numPr>
        <w:spacing w:line="420" w:lineRule="exact"/>
        <w:rPr>
          <w:rFonts w:hint="eastAsia" w:ascii="宋体" w:hAnsi="宋体" w:eastAsia="宋体" w:cs="宋体"/>
          <w:b w:val="0"/>
          <w:bCs w:val="0"/>
          <w:color w:val="auto"/>
          <w:sz w:val="22"/>
          <w:highlight w:val="none"/>
        </w:rPr>
      </w:pPr>
      <w:r>
        <w:rPr>
          <w:rFonts w:hint="eastAsia" w:ascii="宋体" w:hAnsi="宋体" w:eastAsia="宋体" w:cs="宋体"/>
          <w:b w:val="0"/>
          <w:bCs w:val="0"/>
          <w:color w:val="auto"/>
          <w:sz w:val="22"/>
          <w:highlight w:val="none"/>
        </w:rPr>
        <w:t>如中标，保证按照</w:t>
      </w:r>
      <w:r>
        <w:rPr>
          <w:rFonts w:hint="eastAsia" w:ascii="宋体" w:eastAsia="宋体" w:cs="宋体"/>
          <w:b w:val="0"/>
          <w:bCs w:val="0"/>
          <w:color w:val="auto"/>
          <w:sz w:val="22"/>
          <w:highlight w:val="none"/>
          <w:lang w:eastAsia="zh-CN"/>
        </w:rPr>
        <w:t>采购文件</w:t>
      </w:r>
      <w:r>
        <w:rPr>
          <w:rFonts w:hint="eastAsia" w:ascii="宋体" w:hAnsi="宋体" w:eastAsia="宋体" w:cs="宋体"/>
          <w:b w:val="0"/>
          <w:bCs w:val="0"/>
          <w:color w:val="auto"/>
          <w:sz w:val="22"/>
          <w:highlight w:val="none"/>
        </w:rPr>
        <w:t>要求及投标文件的承诺与</w:t>
      </w:r>
      <w:r>
        <w:rPr>
          <w:rFonts w:hint="eastAsia" w:ascii="宋体" w:eastAsia="宋体" w:cs="宋体"/>
          <w:b w:val="0"/>
          <w:bCs w:val="0"/>
          <w:color w:val="auto"/>
          <w:sz w:val="22"/>
          <w:highlight w:val="none"/>
          <w:lang w:eastAsia="zh-CN"/>
        </w:rPr>
        <w:t>采购人</w:t>
      </w:r>
      <w:r>
        <w:rPr>
          <w:rFonts w:hint="eastAsia" w:ascii="宋体" w:hAnsi="宋体" w:eastAsia="宋体" w:cs="宋体"/>
          <w:b w:val="0"/>
          <w:bCs w:val="0"/>
          <w:color w:val="auto"/>
          <w:sz w:val="22"/>
          <w:highlight w:val="none"/>
        </w:rPr>
        <w:t>签订合同，保证履行合同条款。</w:t>
      </w:r>
    </w:p>
    <w:p w14:paraId="207A75AA">
      <w:pPr>
        <w:numPr>
          <w:ilvl w:val="0"/>
          <w:numId w:val="9"/>
        </w:numPr>
        <w:spacing w:line="420" w:lineRule="exact"/>
        <w:rPr>
          <w:rFonts w:hint="eastAsia" w:ascii="宋体" w:hAnsi="宋体" w:eastAsia="宋体" w:cs="宋体"/>
          <w:b w:val="0"/>
          <w:bCs w:val="0"/>
          <w:color w:val="auto"/>
          <w:sz w:val="22"/>
          <w:highlight w:val="none"/>
        </w:rPr>
      </w:pPr>
      <w:r>
        <w:rPr>
          <w:rFonts w:hint="eastAsia" w:ascii="宋体" w:hAnsi="宋体" w:eastAsia="宋体" w:cs="宋体"/>
          <w:b w:val="0"/>
          <w:bCs w:val="0"/>
          <w:color w:val="auto"/>
          <w:sz w:val="22"/>
          <w:highlight w:val="none"/>
        </w:rPr>
        <w:t>同意在</w:t>
      </w:r>
      <w:r>
        <w:rPr>
          <w:rFonts w:hint="eastAsia" w:ascii="宋体" w:eastAsia="宋体" w:cs="宋体"/>
          <w:b w:val="0"/>
          <w:bCs w:val="0"/>
          <w:color w:val="auto"/>
          <w:sz w:val="22"/>
          <w:highlight w:val="none"/>
          <w:lang w:eastAsia="zh-CN"/>
        </w:rPr>
        <w:t>采购文件</w:t>
      </w:r>
      <w:r>
        <w:rPr>
          <w:rFonts w:hint="eastAsia" w:ascii="宋体" w:hAnsi="宋体" w:eastAsia="宋体" w:cs="宋体"/>
          <w:b w:val="0"/>
          <w:bCs w:val="0"/>
          <w:color w:val="auto"/>
          <w:sz w:val="22"/>
          <w:highlight w:val="none"/>
        </w:rPr>
        <w:t>中供应商须知规定的开标日期起遵守本投标书中的承诺且在投标有效期满之前均具有约束力。</w:t>
      </w:r>
    </w:p>
    <w:p w14:paraId="485A7DB1">
      <w:pPr>
        <w:numPr>
          <w:ilvl w:val="0"/>
          <w:numId w:val="9"/>
        </w:numPr>
        <w:spacing w:line="420" w:lineRule="exact"/>
        <w:rPr>
          <w:rFonts w:hint="eastAsia" w:ascii="宋体" w:hAnsi="宋体" w:eastAsia="宋体" w:cs="宋体"/>
          <w:b w:val="0"/>
          <w:bCs w:val="0"/>
          <w:color w:val="auto"/>
          <w:sz w:val="22"/>
          <w:highlight w:val="none"/>
        </w:rPr>
      </w:pPr>
      <w:r>
        <w:rPr>
          <w:rFonts w:hint="eastAsia" w:ascii="宋体" w:hAnsi="宋体" w:eastAsia="宋体" w:cs="宋体"/>
          <w:b w:val="0"/>
          <w:bCs w:val="0"/>
          <w:color w:val="auto"/>
          <w:sz w:val="22"/>
          <w:highlight w:val="none"/>
        </w:rPr>
        <w:t>如果在开标后规定的投标有效期内撤回投标，我方接受贵方处罚。</w:t>
      </w:r>
    </w:p>
    <w:p w14:paraId="11277603">
      <w:pPr>
        <w:numPr>
          <w:ilvl w:val="0"/>
          <w:numId w:val="9"/>
        </w:numPr>
        <w:spacing w:line="420" w:lineRule="exact"/>
        <w:rPr>
          <w:rFonts w:hint="eastAsia" w:ascii="宋体" w:hAnsi="宋体" w:eastAsia="宋体" w:cs="宋体"/>
          <w:b w:val="0"/>
          <w:bCs w:val="0"/>
          <w:color w:val="auto"/>
          <w:sz w:val="22"/>
          <w:highlight w:val="none"/>
        </w:rPr>
      </w:pPr>
      <w:r>
        <w:rPr>
          <w:rFonts w:hint="eastAsia" w:ascii="宋体" w:hAnsi="宋体" w:eastAsia="宋体" w:cs="宋体"/>
          <w:b w:val="0"/>
          <w:bCs w:val="0"/>
          <w:color w:val="auto"/>
          <w:sz w:val="22"/>
          <w:highlight w:val="none"/>
        </w:rPr>
        <w:t>完全理解贵方不一定要接受最低价的投标。</w:t>
      </w:r>
    </w:p>
    <w:p w14:paraId="1E736950">
      <w:pPr>
        <w:numPr>
          <w:ilvl w:val="0"/>
          <w:numId w:val="9"/>
        </w:numPr>
        <w:spacing w:line="420" w:lineRule="exact"/>
        <w:rPr>
          <w:rFonts w:hint="eastAsia" w:ascii="宋体" w:hAnsi="宋体" w:eastAsia="宋体" w:cs="宋体"/>
          <w:b w:val="0"/>
          <w:bCs w:val="0"/>
          <w:color w:val="auto"/>
          <w:sz w:val="22"/>
          <w:highlight w:val="none"/>
        </w:rPr>
      </w:pPr>
      <w:r>
        <w:rPr>
          <w:rFonts w:hint="eastAsia" w:ascii="宋体" w:hAnsi="宋体" w:eastAsia="宋体" w:cs="宋体"/>
          <w:b w:val="0"/>
          <w:bCs w:val="0"/>
          <w:color w:val="auto"/>
          <w:sz w:val="22"/>
          <w:highlight w:val="none"/>
        </w:rPr>
        <w:t>在参加本项目前三年内（被通报或者处罚的违法行为有：</w:t>
      </w:r>
      <w:r>
        <w:rPr>
          <w:rFonts w:hint="eastAsia" w:ascii="宋体" w:hAnsi="宋体" w:eastAsia="宋体" w:cs="宋体"/>
          <w:b w:val="0"/>
          <w:bCs w:val="0"/>
          <w:color w:val="auto"/>
          <w:sz w:val="22"/>
          <w:highlight w:val="none"/>
          <w:u w:val="single"/>
        </w:rPr>
        <w:t xml:space="preserve">                  </w:t>
      </w:r>
      <w:r>
        <w:rPr>
          <w:rFonts w:hint="eastAsia" w:ascii="宋体" w:hAnsi="宋体" w:eastAsia="宋体" w:cs="宋体"/>
          <w:b w:val="0"/>
          <w:bCs w:val="0"/>
          <w:color w:val="auto"/>
          <w:sz w:val="22"/>
          <w:highlight w:val="none"/>
        </w:rPr>
        <w:t>）或（没有因违法经营受到刑事处罚或者责令停产停业、吊销许可证或者执照、较大数额罚款等行政处罚或处罚）或（在</w:t>
      </w:r>
      <w:r>
        <w:rPr>
          <w:rFonts w:hint="eastAsia" w:ascii="宋体" w:hAnsi="宋体" w:eastAsia="宋体" w:cs="宋体"/>
          <w:b w:val="0"/>
          <w:bCs w:val="0"/>
          <w:color w:val="auto"/>
          <w:sz w:val="22"/>
          <w:highlight w:val="none"/>
          <w:u w:val="single"/>
        </w:rPr>
        <w:t xml:space="preserve">  </w:t>
      </w:r>
      <w:r>
        <w:rPr>
          <w:rFonts w:hint="eastAsia" w:ascii="宋体" w:hAnsi="宋体" w:eastAsia="宋体" w:cs="宋体"/>
          <w:b w:val="0"/>
          <w:bCs w:val="0"/>
          <w:color w:val="auto"/>
          <w:sz w:val="22"/>
          <w:highlight w:val="none"/>
        </w:rPr>
        <w:t>至</w:t>
      </w:r>
      <w:r>
        <w:rPr>
          <w:rFonts w:hint="eastAsia" w:ascii="宋体" w:hAnsi="宋体" w:eastAsia="宋体" w:cs="宋体"/>
          <w:b w:val="0"/>
          <w:bCs w:val="0"/>
          <w:color w:val="auto"/>
          <w:sz w:val="22"/>
          <w:highlight w:val="none"/>
          <w:u w:val="single"/>
        </w:rPr>
        <w:t xml:space="preserve">  </w:t>
      </w:r>
      <w:r>
        <w:rPr>
          <w:rFonts w:hint="eastAsia" w:ascii="宋体" w:hAnsi="宋体" w:eastAsia="宋体" w:cs="宋体"/>
          <w:b w:val="0"/>
          <w:bCs w:val="0"/>
          <w:color w:val="auto"/>
          <w:sz w:val="22"/>
          <w:highlight w:val="none"/>
        </w:rPr>
        <w:t>期间禁止参加政府采购活动但是期限届满，须附相关证明文件）</w:t>
      </w:r>
    </w:p>
    <w:p w14:paraId="0AE02743">
      <w:pPr>
        <w:numPr>
          <w:ilvl w:val="0"/>
          <w:numId w:val="9"/>
        </w:numPr>
        <w:spacing w:line="420" w:lineRule="exact"/>
        <w:rPr>
          <w:rFonts w:hint="eastAsia" w:ascii="宋体" w:hAnsi="宋体" w:eastAsia="宋体" w:cs="宋体"/>
          <w:b w:val="0"/>
          <w:bCs w:val="0"/>
          <w:color w:val="auto"/>
          <w:sz w:val="22"/>
          <w:highlight w:val="none"/>
        </w:rPr>
      </w:pPr>
      <w:r>
        <w:rPr>
          <w:rFonts w:hint="eastAsia" w:ascii="宋体" w:hAnsi="宋体" w:eastAsia="宋体" w:cs="宋体"/>
          <w:b w:val="0"/>
          <w:bCs w:val="0"/>
          <w:color w:val="auto"/>
          <w:sz w:val="22"/>
          <w:highlight w:val="none"/>
        </w:rPr>
        <w:t>在投标截止前（未被“信用中国”网站</w:t>
      </w:r>
      <w:r>
        <w:rPr>
          <w:rFonts w:hint="eastAsia" w:ascii="宋体" w:eastAsia="宋体" w:cs="宋体"/>
          <w:b w:val="0"/>
          <w:bCs w:val="0"/>
          <w:color w:val="auto"/>
          <w:sz w:val="22"/>
          <w:highlight w:val="none"/>
          <w:lang w:eastAsia="zh-CN"/>
        </w:rPr>
        <w:t>（</w:t>
      </w:r>
      <w:r>
        <w:rPr>
          <w:rFonts w:hint="eastAsia" w:ascii="宋体" w:hAnsi="宋体" w:eastAsia="宋体" w:cs="宋体"/>
          <w:b w:val="0"/>
          <w:bCs w:val="0"/>
          <w:color w:val="auto"/>
          <w:sz w:val="22"/>
          <w:highlight w:val="none"/>
        </w:rPr>
        <w:t>)列入失信被执行人、重大税收违法案件当事人名单；未被“中国政府采购网”)列入政府采购严重违法失信行为记录名单。）或（被“信用中国”或“中国政府采购网”列入……名单。）</w:t>
      </w:r>
    </w:p>
    <w:p w14:paraId="43F1C0A5">
      <w:pPr>
        <w:numPr>
          <w:ilvl w:val="0"/>
          <w:numId w:val="9"/>
        </w:numPr>
        <w:spacing w:line="420" w:lineRule="exact"/>
        <w:rPr>
          <w:rFonts w:hint="eastAsia" w:ascii="宋体" w:hAnsi="宋体" w:eastAsia="宋体" w:cs="宋体"/>
          <w:b w:val="0"/>
          <w:bCs w:val="0"/>
          <w:color w:val="auto"/>
          <w:sz w:val="22"/>
          <w:highlight w:val="none"/>
        </w:rPr>
      </w:pPr>
      <w:r>
        <w:rPr>
          <w:rFonts w:hint="eastAsia" w:ascii="宋体" w:hAnsi="宋体" w:eastAsia="宋体" w:cs="宋体"/>
          <w:b w:val="0"/>
          <w:bCs w:val="0"/>
          <w:color w:val="auto"/>
          <w:sz w:val="22"/>
          <w:highlight w:val="none"/>
        </w:rPr>
        <w:t>如</w:t>
      </w:r>
      <w:r>
        <w:rPr>
          <w:rFonts w:hint="eastAsia" w:ascii="宋体" w:hAnsi="宋体" w:eastAsia="宋体" w:cs="宋体"/>
          <w:b w:val="0"/>
          <w:bCs w:val="0"/>
          <w:color w:val="auto"/>
          <w:sz w:val="22"/>
          <w:highlight w:val="none"/>
          <w:lang w:eastAsia="zh-CN"/>
        </w:rPr>
        <w:t>有下</w:t>
      </w:r>
      <w:r>
        <w:rPr>
          <w:rFonts w:hint="eastAsia" w:ascii="宋体" w:hAnsi="宋体" w:eastAsia="宋体" w:cs="宋体"/>
          <w:b w:val="0"/>
          <w:bCs w:val="0"/>
          <w:color w:val="auto"/>
          <w:sz w:val="22"/>
          <w:highlight w:val="none"/>
        </w:rPr>
        <w:t>列情形之一的，我方愿意被取消中标资格（如中标），同时继续承担其他一切法律后果，并不再寻求任何旨在减轻或免除法律责任的解释：</w:t>
      </w:r>
    </w:p>
    <w:p w14:paraId="07A098A3">
      <w:pPr>
        <w:spacing w:line="420" w:lineRule="exact"/>
        <w:ind w:firstLine="440" w:firstLineChars="200"/>
        <w:rPr>
          <w:rFonts w:hint="eastAsia" w:ascii="宋体" w:hAnsi="宋体" w:eastAsia="宋体" w:cs="宋体"/>
          <w:b w:val="0"/>
          <w:bCs w:val="0"/>
          <w:color w:val="auto"/>
          <w:sz w:val="22"/>
          <w:highlight w:val="none"/>
        </w:rPr>
      </w:pPr>
      <w:r>
        <w:rPr>
          <w:rFonts w:hint="eastAsia" w:ascii="宋体" w:eastAsia="宋体" w:cs="宋体"/>
          <w:b w:val="0"/>
          <w:bCs w:val="0"/>
          <w:color w:val="auto"/>
          <w:sz w:val="22"/>
          <w:highlight w:val="none"/>
          <w:lang w:eastAsia="zh-CN"/>
        </w:rPr>
        <w:t>（</w:t>
      </w:r>
      <w:r>
        <w:rPr>
          <w:rFonts w:hint="eastAsia" w:ascii="宋体" w:hAnsi="宋体" w:eastAsia="宋体" w:cs="宋体"/>
          <w:b w:val="0"/>
          <w:bCs w:val="0"/>
          <w:color w:val="auto"/>
          <w:sz w:val="22"/>
          <w:highlight w:val="none"/>
        </w:rPr>
        <w:t>1</w:t>
      </w:r>
      <w:r>
        <w:rPr>
          <w:rFonts w:hint="eastAsia" w:ascii="宋体" w:eastAsia="宋体" w:cs="宋体"/>
          <w:b w:val="0"/>
          <w:bCs w:val="0"/>
          <w:color w:val="auto"/>
          <w:sz w:val="22"/>
          <w:highlight w:val="none"/>
          <w:lang w:eastAsia="zh-CN"/>
        </w:rPr>
        <w:t>）</w:t>
      </w:r>
      <w:r>
        <w:rPr>
          <w:rFonts w:hint="eastAsia" w:ascii="宋体" w:hAnsi="宋体" w:eastAsia="宋体" w:cs="宋体"/>
          <w:b w:val="0"/>
          <w:bCs w:val="0"/>
          <w:color w:val="auto"/>
          <w:sz w:val="22"/>
          <w:highlight w:val="none"/>
        </w:rPr>
        <w:t>提供虚假材料（承诺）谋取中标、成交的；</w:t>
      </w:r>
    </w:p>
    <w:p w14:paraId="6467635C">
      <w:pPr>
        <w:spacing w:line="420" w:lineRule="exact"/>
        <w:ind w:firstLine="440" w:firstLineChars="200"/>
        <w:rPr>
          <w:rFonts w:hint="eastAsia" w:ascii="宋体" w:hAnsi="宋体" w:eastAsia="宋体" w:cs="宋体"/>
          <w:b w:val="0"/>
          <w:bCs w:val="0"/>
          <w:color w:val="auto"/>
          <w:sz w:val="22"/>
          <w:highlight w:val="none"/>
        </w:rPr>
      </w:pPr>
      <w:r>
        <w:rPr>
          <w:rFonts w:hint="eastAsia" w:ascii="宋体" w:eastAsia="宋体" w:cs="宋体"/>
          <w:b w:val="0"/>
          <w:bCs w:val="0"/>
          <w:color w:val="auto"/>
          <w:sz w:val="22"/>
          <w:highlight w:val="none"/>
          <w:lang w:eastAsia="zh-CN"/>
        </w:rPr>
        <w:t>（</w:t>
      </w:r>
      <w:r>
        <w:rPr>
          <w:rFonts w:hint="eastAsia" w:ascii="宋体" w:hAnsi="宋体" w:eastAsia="宋体" w:cs="宋体"/>
          <w:b w:val="0"/>
          <w:bCs w:val="0"/>
          <w:color w:val="auto"/>
          <w:sz w:val="22"/>
          <w:highlight w:val="none"/>
        </w:rPr>
        <w:t>2</w:t>
      </w:r>
      <w:r>
        <w:rPr>
          <w:rFonts w:hint="eastAsia" w:ascii="宋体" w:eastAsia="宋体" w:cs="宋体"/>
          <w:b w:val="0"/>
          <w:bCs w:val="0"/>
          <w:color w:val="auto"/>
          <w:sz w:val="22"/>
          <w:highlight w:val="none"/>
          <w:lang w:eastAsia="zh-CN"/>
        </w:rPr>
        <w:t>）</w:t>
      </w:r>
      <w:r>
        <w:rPr>
          <w:rFonts w:hint="eastAsia" w:ascii="宋体" w:hAnsi="宋体" w:eastAsia="宋体" w:cs="宋体"/>
          <w:b w:val="0"/>
          <w:bCs w:val="0"/>
          <w:color w:val="auto"/>
          <w:sz w:val="22"/>
          <w:highlight w:val="none"/>
        </w:rPr>
        <w:t>采取不正当手段诋毁、排挤其他供应商的；</w:t>
      </w:r>
    </w:p>
    <w:p w14:paraId="6A3871E9">
      <w:pPr>
        <w:spacing w:line="420" w:lineRule="exact"/>
        <w:ind w:firstLine="440" w:firstLineChars="200"/>
        <w:rPr>
          <w:rFonts w:hint="eastAsia" w:ascii="宋体" w:hAnsi="宋体" w:eastAsia="宋体" w:cs="宋体"/>
          <w:b w:val="0"/>
          <w:bCs w:val="0"/>
          <w:color w:val="auto"/>
          <w:sz w:val="22"/>
          <w:highlight w:val="none"/>
        </w:rPr>
      </w:pPr>
      <w:r>
        <w:rPr>
          <w:rFonts w:hint="eastAsia" w:ascii="宋体" w:eastAsia="宋体" w:cs="宋体"/>
          <w:b w:val="0"/>
          <w:bCs w:val="0"/>
          <w:color w:val="auto"/>
          <w:sz w:val="22"/>
          <w:highlight w:val="none"/>
          <w:lang w:eastAsia="zh-CN"/>
        </w:rPr>
        <w:t>（</w:t>
      </w:r>
      <w:r>
        <w:rPr>
          <w:rFonts w:hint="eastAsia" w:ascii="宋体" w:hAnsi="宋体" w:eastAsia="宋体" w:cs="宋体"/>
          <w:b w:val="0"/>
          <w:bCs w:val="0"/>
          <w:color w:val="auto"/>
          <w:sz w:val="22"/>
          <w:highlight w:val="none"/>
        </w:rPr>
        <w:t>3</w:t>
      </w:r>
      <w:r>
        <w:rPr>
          <w:rFonts w:hint="eastAsia" w:ascii="宋体" w:eastAsia="宋体" w:cs="宋体"/>
          <w:b w:val="0"/>
          <w:bCs w:val="0"/>
          <w:color w:val="auto"/>
          <w:sz w:val="22"/>
          <w:highlight w:val="none"/>
          <w:lang w:eastAsia="zh-CN"/>
        </w:rPr>
        <w:t>）</w:t>
      </w:r>
      <w:r>
        <w:rPr>
          <w:rFonts w:hint="eastAsia" w:ascii="宋体" w:hAnsi="宋体" w:eastAsia="宋体" w:cs="宋体"/>
          <w:b w:val="0"/>
          <w:bCs w:val="0"/>
          <w:color w:val="auto"/>
          <w:sz w:val="22"/>
          <w:highlight w:val="none"/>
        </w:rPr>
        <w:t>与</w:t>
      </w:r>
      <w:r>
        <w:rPr>
          <w:rFonts w:hint="eastAsia" w:ascii="宋体" w:eastAsia="宋体" w:cs="宋体"/>
          <w:b w:val="0"/>
          <w:bCs w:val="0"/>
          <w:color w:val="auto"/>
          <w:sz w:val="22"/>
          <w:highlight w:val="none"/>
          <w:lang w:eastAsia="zh-CN"/>
        </w:rPr>
        <w:t>采购人</w:t>
      </w:r>
      <w:r>
        <w:rPr>
          <w:rFonts w:hint="eastAsia" w:ascii="宋体" w:hAnsi="宋体" w:eastAsia="宋体" w:cs="宋体"/>
          <w:b w:val="0"/>
          <w:bCs w:val="0"/>
          <w:color w:val="auto"/>
          <w:sz w:val="22"/>
          <w:highlight w:val="none"/>
        </w:rPr>
        <w:t>、</w:t>
      </w:r>
      <w:r>
        <w:rPr>
          <w:rFonts w:hint="eastAsia" w:ascii="宋体" w:eastAsia="宋体" w:cs="宋体"/>
          <w:b w:val="0"/>
          <w:bCs w:val="0"/>
          <w:color w:val="auto"/>
          <w:sz w:val="22"/>
          <w:highlight w:val="none"/>
          <w:lang w:eastAsia="zh-CN"/>
        </w:rPr>
        <w:t>其他</w:t>
      </w:r>
      <w:r>
        <w:rPr>
          <w:rFonts w:hint="eastAsia" w:ascii="宋体" w:hAnsi="宋体" w:eastAsia="宋体" w:cs="宋体"/>
          <w:b w:val="0"/>
          <w:bCs w:val="0"/>
          <w:color w:val="auto"/>
          <w:sz w:val="22"/>
          <w:highlight w:val="none"/>
        </w:rPr>
        <w:t>供应商或者采购代理机构恶意串通的；</w:t>
      </w:r>
    </w:p>
    <w:p w14:paraId="7C576B36">
      <w:pPr>
        <w:spacing w:line="420" w:lineRule="exact"/>
        <w:ind w:firstLine="440" w:firstLineChars="200"/>
        <w:rPr>
          <w:rFonts w:hint="eastAsia" w:ascii="宋体" w:hAnsi="宋体" w:eastAsia="宋体" w:cs="宋体"/>
          <w:b w:val="0"/>
          <w:bCs w:val="0"/>
          <w:color w:val="auto"/>
          <w:sz w:val="22"/>
          <w:highlight w:val="none"/>
        </w:rPr>
      </w:pPr>
      <w:r>
        <w:rPr>
          <w:rFonts w:hint="eastAsia" w:ascii="宋体" w:eastAsia="宋体" w:cs="宋体"/>
          <w:b w:val="0"/>
          <w:bCs w:val="0"/>
          <w:color w:val="auto"/>
          <w:sz w:val="22"/>
          <w:highlight w:val="none"/>
          <w:lang w:eastAsia="zh-CN"/>
        </w:rPr>
        <w:t>（</w:t>
      </w:r>
      <w:r>
        <w:rPr>
          <w:rFonts w:hint="eastAsia" w:ascii="宋体" w:hAnsi="宋体" w:eastAsia="宋体" w:cs="宋体"/>
          <w:b w:val="0"/>
          <w:bCs w:val="0"/>
          <w:color w:val="auto"/>
          <w:sz w:val="22"/>
          <w:highlight w:val="none"/>
        </w:rPr>
        <w:t>4</w:t>
      </w:r>
      <w:r>
        <w:rPr>
          <w:rFonts w:hint="eastAsia" w:ascii="宋体" w:eastAsia="宋体" w:cs="宋体"/>
          <w:b w:val="0"/>
          <w:bCs w:val="0"/>
          <w:color w:val="auto"/>
          <w:sz w:val="22"/>
          <w:highlight w:val="none"/>
          <w:lang w:eastAsia="zh-CN"/>
        </w:rPr>
        <w:t>）</w:t>
      </w:r>
      <w:r>
        <w:rPr>
          <w:rFonts w:hint="eastAsia" w:ascii="宋体" w:hAnsi="宋体" w:eastAsia="宋体" w:cs="宋体"/>
          <w:b w:val="0"/>
          <w:bCs w:val="0"/>
          <w:color w:val="auto"/>
          <w:sz w:val="22"/>
          <w:highlight w:val="none"/>
        </w:rPr>
        <w:t>向</w:t>
      </w:r>
      <w:r>
        <w:rPr>
          <w:rFonts w:hint="eastAsia" w:ascii="宋体" w:eastAsia="宋体" w:cs="宋体"/>
          <w:b w:val="0"/>
          <w:bCs w:val="0"/>
          <w:color w:val="auto"/>
          <w:sz w:val="22"/>
          <w:highlight w:val="none"/>
          <w:lang w:eastAsia="zh-CN"/>
        </w:rPr>
        <w:t>采购人</w:t>
      </w:r>
      <w:r>
        <w:rPr>
          <w:rFonts w:hint="eastAsia" w:ascii="宋体" w:hAnsi="宋体" w:eastAsia="宋体" w:cs="宋体"/>
          <w:b w:val="0"/>
          <w:bCs w:val="0"/>
          <w:color w:val="auto"/>
          <w:sz w:val="22"/>
          <w:highlight w:val="none"/>
        </w:rPr>
        <w:t>、采购代理机构行贿或者提供其他不正当利益的；</w:t>
      </w:r>
    </w:p>
    <w:p w14:paraId="3AA0D2DF">
      <w:pPr>
        <w:spacing w:line="420" w:lineRule="exact"/>
        <w:ind w:firstLine="440" w:firstLineChars="200"/>
        <w:rPr>
          <w:rFonts w:hint="eastAsia" w:ascii="宋体" w:hAnsi="宋体" w:eastAsia="宋体" w:cs="宋体"/>
          <w:b w:val="0"/>
          <w:bCs w:val="0"/>
          <w:color w:val="auto"/>
          <w:sz w:val="22"/>
          <w:highlight w:val="none"/>
        </w:rPr>
      </w:pPr>
      <w:r>
        <w:rPr>
          <w:rFonts w:hint="eastAsia" w:ascii="宋体" w:eastAsia="宋体" w:cs="宋体"/>
          <w:b w:val="0"/>
          <w:bCs w:val="0"/>
          <w:color w:val="auto"/>
          <w:sz w:val="22"/>
          <w:highlight w:val="none"/>
          <w:lang w:eastAsia="zh-CN"/>
        </w:rPr>
        <w:t>（</w:t>
      </w:r>
      <w:r>
        <w:rPr>
          <w:rFonts w:hint="eastAsia" w:ascii="宋体" w:hAnsi="宋体" w:eastAsia="宋体" w:cs="宋体"/>
          <w:b w:val="0"/>
          <w:bCs w:val="0"/>
          <w:color w:val="auto"/>
          <w:sz w:val="22"/>
          <w:highlight w:val="none"/>
        </w:rPr>
        <w:t>5</w:t>
      </w:r>
      <w:r>
        <w:rPr>
          <w:rFonts w:hint="eastAsia" w:ascii="宋体" w:eastAsia="宋体" w:cs="宋体"/>
          <w:b w:val="0"/>
          <w:bCs w:val="0"/>
          <w:color w:val="auto"/>
          <w:sz w:val="22"/>
          <w:highlight w:val="none"/>
          <w:lang w:eastAsia="zh-CN"/>
        </w:rPr>
        <w:t>）</w:t>
      </w:r>
      <w:r>
        <w:rPr>
          <w:rFonts w:hint="eastAsia" w:ascii="宋体" w:hAnsi="宋体" w:eastAsia="宋体" w:cs="宋体"/>
          <w:b w:val="0"/>
          <w:bCs w:val="0"/>
          <w:color w:val="auto"/>
          <w:sz w:val="22"/>
          <w:highlight w:val="none"/>
        </w:rPr>
        <w:t>在招标采购过程中与</w:t>
      </w:r>
      <w:r>
        <w:rPr>
          <w:rFonts w:hint="eastAsia" w:ascii="宋体" w:eastAsia="宋体" w:cs="宋体"/>
          <w:b w:val="0"/>
          <w:bCs w:val="0"/>
          <w:color w:val="auto"/>
          <w:sz w:val="22"/>
          <w:highlight w:val="none"/>
          <w:lang w:eastAsia="zh-CN"/>
        </w:rPr>
        <w:t>采购人</w:t>
      </w:r>
      <w:r>
        <w:rPr>
          <w:rFonts w:hint="eastAsia" w:ascii="宋体" w:hAnsi="宋体" w:eastAsia="宋体" w:cs="宋体"/>
          <w:b w:val="0"/>
          <w:bCs w:val="0"/>
          <w:color w:val="auto"/>
          <w:sz w:val="22"/>
          <w:highlight w:val="none"/>
        </w:rPr>
        <w:t>进行协商谈判的；</w:t>
      </w:r>
    </w:p>
    <w:p w14:paraId="3000FEDE">
      <w:pPr>
        <w:spacing w:line="420" w:lineRule="exact"/>
        <w:ind w:firstLine="440" w:firstLineChars="200"/>
        <w:rPr>
          <w:rFonts w:hint="eastAsia" w:ascii="宋体" w:hAnsi="宋体" w:eastAsia="宋体" w:cs="宋体"/>
          <w:b w:val="0"/>
          <w:bCs w:val="0"/>
          <w:color w:val="auto"/>
          <w:sz w:val="22"/>
          <w:highlight w:val="none"/>
        </w:rPr>
      </w:pPr>
      <w:r>
        <w:rPr>
          <w:rFonts w:hint="eastAsia" w:ascii="宋体" w:eastAsia="宋体" w:cs="宋体"/>
          <w:b w:val="0"/>
          <w:bCs w:val="0"/>
          <w:color w:val="auto"/>
          <w:sz w:val="22"/>
          <w:highlight w:val="none"/>
          <w:lang w:eastAsia="zh-CN"/>
        </w:rPr>
        <w:t>（</w:t>
      </w:r>
      <w:r>
        <w:rPr>
          <w:rFonts w:hint="eastAsia" w:ascii="宋体" w:hAnsi="宋体" w:eastAsia="宋体" w:cs="宋体"/>
          <w:b w:val="0"/>
          <w:bCs w:val="0"/>
          <w:color w:val="auto"/>
          <w:sz w:val="22"/>
          <w:highlight w:val="none"/>
        </w:rPr>
        <w:t>6</w:t>
      </w:r>
      <w:r>
        <w:rPr>
          <w:rFonts w:hint="eastAsia" w:ascii="宋体" w:eastAsia="宋体" w:cs="宋体"/>
          <w:b w:val="0"/>
          <w:bCs w:val="0"/>
          <w:color w:val="auto"/>
          <w:sz w:val="22"/>
          <w:highlight w:val="none"/>
          <w:lang w:eastAsia="zh-CN"/>
        </w:rPr>
        <w:t>）</w:t>
      </w:r>
      <w:r>
        <w:rPr>
          <w:rFonts w:hint="eastAsia" w:ascii="宋体" w:hAnsi="宋体" w:eastAsia="宋体" w:cs="宋体"/>
          <w:b w:val="0"/>
          <w:bCs w:val="0"/>
          <w:color w:val="auto"/>
          <w:sz w:val="22"/>
          <w:highlight w:val="none"/>
        </w:rPr>
        <w:t>拒绝有关部门监督检查或提供虚假情况的。</w:t>
      </w:r>
    </w:p>
    <w:p w14:paraId="5537BF0B">
      <w:pPr>
        <w:numPr>
          <w:ilvl w:val="0"/>
          <w:numId w:val="9"/>
        </w:numPr>
        <w:spacing w:line="420" w:lineRule="exact"/>
        <w:rPr>
          <w:rFonts w:hint="eastAsia" w:ascii="宋体" w:hAnsi="宋体" w:eastAsia="宋体" w:cs="宋体"/>
          <w:b w:val="0"/>
          <w:bCs w:val="0"/>
          <w:color w:val="auto"/>
          <w:sz w:val="22"/>
          <w:highlight w:val="none"/>
        </w:rPr>
      </w:pPr>
      <w:r>
        <w:rPr>
          <w:rFonts w:hint="eastAsia" w:ascii="宋体" w:hAnsi="宋体" w:eastAsia="宋体" w:cs="宋体"/>
          <w:b w:val="0"/>
          <w:bCs w:val="0"/>
          <w:color w:val="auto"/>
          <w:sz w:val="22"/>
          <w:highlight w:val="none"/>
        </w:rPr>
        <w:t>所有与本投标有关的函件请发往下列地址：</w:t>
      </w:r>
    </w:p>
    <w:p w14:paraId="6B489C40">
      <w:pPr>
        <w:spacing w:line="420" w:lineRule="exact"/>
        <w:ind w:firstLine="43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 xml:space="preserve">   地址</w:t>
      </w:r>
      <w:r>
        <w:rPr>
          <w:rFonts w:hint="eastAsia" w:ascii="宋体" w:hAnsi="宋体" w:eastAsia="宋体" w:cs="宋体"/>
          <w:b w:val="0"/>
          <w:bCs w:val="0"/>
          <w:color w:val="auto"/>
          <w:sz w:val="22"/>
          <w:szCs w:val="22"/>
          <w:highlight w:val="none"/>
          <w:u w:val="single"/>
        </w:rPr>
        <w:t xml:space="preserve">                           </w:t>
      </w:r>
    </w:p>
    <w:p w14:paraId="5C4A2F57">
      <w:pPr>
        <w:spacing w:line="420" w:lineRule="exact"/>
        <w:ind w:firstLine="43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 xml:space="preserve">   电话</w:t>
      </w:r>
      <w:r>
        <w:rPr>
          <w:rFonts w:hint="eastAsia" w:ascii="宋体" w:hAnsi="宋体" w:eastAsia="宋体" w:cs="宋体"/>
          <w:b w:val="0"/>
          <w:bCs w:val="0"/>
          <w:color w:val="auto"/>
          <w:sz w:val="22"/>
          <w:szCs w:val="22"/>
          <w:highlight w:val="none"/>
          <w:u w:val="single"/>
        </w:rPr>
        <w:t xml:space="preserve">                           </w:t>
      </w:r>
    </w:p>
    <w:p w14:paraId="3842EB21">
      <w:pPr>
        <w:spacing w:line="420" w:lineRule="exact"/>
        <w:ind w:firstLine="435"/>
        <w:rPr>
          <w:rFonts w:hint="eastAsia" w:ascii="宋体" w:hAnsi="宋体" w:eastAsia="宋体" w:cs="宋体"/>
          <w:b w:val="0"/>
          <w:bCs w:val="0"/>
          <w:color w:val="auto"/>
          <w:sz w:val="22"/>
          <w:szCs w:val="22"/>
          <w:highlight w:val="none"/>
          <w:u w:val="single"/>
        </w:rPr>
      </w:pPr>
      <w:r>
        <w:rPr>
          <w:rFonts w:hint="eastAsia" w:ascii="宋体" w:hAnsi="宋体" w:eastAsia="宋体" w:cs="宋体"/>
          <w:b w:val="0"/>
          <w:bCs w:val="0"/>
          <w:color w:val="auto"/>
          <w:sz w:val="22"/>
          <w:szCs w:val="22"/>
          <w:highlight w:val="none"/>
        </w:rPr>
        <w:t xml:space="preserve">   传真</w:t>
      </w:r>
      <w:r>
        <w:rPr>
          <w:rFonts w:hint="eastAsia" w:ascii="宋体" w:hAnsi="宋体" w:eastAsia="宋体" w:cs="宋体"/>
          <w:b w:val="0"/>
          <w:bCs w:val="0"/>
          <w:color w:val="auto"/>
          <w:sz w:val="22"/>
          <w:szCs w:val="22"/>
          <w:highlight w:val="none"/>
          <w:u w:val="single"/>
        </w:rPr>
        <w:t xml:space="preserve">                           </w:t>
      </w:r>
    </w:p>
    <w:p w14:paraId="2598B716">
      <w:pPr>
        <w:spacing w:line="420" w:lineRule="exact"/>
        <w:ind w:firstLine="770" w:firstLineChars="35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电子邮件</w:t>
      </w:r>
      <w:r>
        <w:rPr>
          <w:rFonts w:hint="eastAsia" w:ascii="宋体" w:hAnsi="宋体" w:eastAsia="宋体" w:cs="宋体"/>
          <w:b w:val="0"/>
          <w:bCs w:val="0"/>
          <w:color w:val="auto"/>
          <w:sz w:val="22"/>
          <w:szCs w:val="22"/>
          <w:highlight w:val="none"/>
          <w:u w:val="single"/>
        </w:rPr>
        <w:t xml:space="preserve">                           </w:t>
      </w:r>
    </w:p>
    <w:p w14:paraId="6165CB61">
      <w:pPr>
        <w:autoSpaceDE w:val="0"/>
        <w:autoSpaceDN w:val="0"/>
        <w:adjustRightInd w:val="0"/>
        <w:spacing w:line="440" w:lineRule="atLeast"/>
        <w:rPr>
          <w:rFonts w:hint="eastAsia" w:ascii="宋体" w:hAnsi="宋体" w:eastAsia="宋体" w:cs="宋体"/>
          <w:color w:val="auto"/>
          <w:sz w:val="22"/>
          <w:szCs w:val="22"/>
          <w:highlight w:val="none"/>
        </w:rPr>
      </w:pPr>
    </w:p>
    <w:p w14:paraId="5FD6C3AD">
      <w:pPr>
        <w:autoSpaceDE w:val="0"/>
        <w:autoSpaceDN w:val="0"/>
        <w:adjustRightInd w:val="0"/>
        <w:spacing w:line="440" w:lineRule="atLeast"/>
        <w:ind w:firstLine="1988" w:firstLineChars="900"/>
        <w:rPr>
          <w:rFonts w:hint="eastAsia" w:ascii="宋体" w:hAnsi="宋体" w:eastAsia="宋体" w:cs="宋体"/>
          <w:color w:val="auto"/>
          <w:sz w:val="22"/>
          <w:szCs w:val="22"/>
          <w:highlight w:val="none"/>
          <w:lang w:val="zh-CN"/>
        </w:rPr>
      </w:pPr>
    </w:p>
    <w:p w14:paraId="1978B7A5">
      <w:pPr>
        <w:autoSpaceDE w:val="0"/>
        <w:autoSpaceDN w:val="0"/>
        <w:adjustRightInd w:val="0"/>
        <w:spacing w:line="440" w:lineRule="atLeast"/>
        <w:jc w:val="left"/>
        <w:rPr>
          <w:rFonts w:hint="eastAsia" w:ascii="宋体" w:hAnsi="宋体" w:eastAsia="宋体" w:cs="宋体"/>
          <w:b w:val="0"/>
          <w:bCs w:val="0"/>
          <w:color w:val="auto"/>
          <w:sz w:val="22"/>
          <w:szCs w:val="22"/>
          <w:highlight w:val="none"/>
          <w:lang w:val="zh-CN"/>
        </w:rPr>
      </w:pPr>
      <w:r>
        <w:rPr>
          <w:rFonts w:hint="eastAsia" w:ascii="宋体" w:hAnsi="宋体" w:eastAsia="宋体" w:cs="宋体"/>
          <w:b w:val="0"/>
          <w:bCs w:val="0"/>
          <w:color w:val="auto"/>
          <w:sz w:val="22"/>
          <w:szCs w:val="22"/>
          <w:highlight w:val="none"/>
          <w:lang w:val="zh-CN"/>
        </w:rPr>
        <w:t>供应商全称（盖章）：</w:t>
      </w:r>
    </w:p>
    <w:p w14:paraId="5390003B">
      <w:pPr>
        <w:autoSpaceDE w:val="0"/>
        <w:autoSpaceDN w:val="0"/>
        <w:adjustRightInd w:val="0"/>
        <w:spacing w:line="440" w:lineRule="atLeast"/>
        <w:jc w:val="left"/>
        <w:rPr>
          <w:rFonts w:hint="eastAsia" w:ascii="宋体" w:hAnsi="宋体" w:eastAsia="宋体" w:cs="宋体"/>
          <w:b w:val="0"/>
          <w:bCs w:val="0"/>
          <w:color w:val="auto"/>
          <w:sz w:val="22"/>
          <w:szCs w:val="22"/>
          <w:highlight w:val="none"/>
          <w:lang w:val="zh-CN"/>
        </w:rPr>
      </w:pPr>
      <w:r>
        <w:rPr>
          <w:rFonts w:hint="eastAsia" w:ascii="宋体" w:hAnsi="宋体" w:eastAsia="宋体" w:cs="宋体"/>
          <w:b w:val="0"/>
          <w:bCs w:val="0"/>
          <w:color w:val="auto"/>
          <w:sz w:val="22"/>
          <w:szCs w:val="22"/>
          <w:highlight w:val="none"/>
          <w:lang w:val="zh-CN"/>
        </w:rPr>
        <w:t>日期：</w:t>
      </w:r>
    </w:p>
    <w:p w14:paraId="4F99EC7E">
      <w:pPr>
        <w:autoSpaceDE w:val="0"/>
        <w:autoSpaceDN w:val="0"/>
        <w:adjustRightInd w:val="0"/>
        <w:snapToGrid w:val="0"/>
        <w:spacing w:line="480" w:lineRule="atLeast"/>
        <w:ind w:firstLine="442" w:firstLineChars="200"/>
        <w:jc w:val="left"/>
        <w:rPr>
          <w:rFonts w:hint="eastAsia" w:ascii="宋体" w:hAnsi="宋体" w:eastAsia="宋体" w:cs="宋体"/>
          <w:color w:val="auto"/>
          <w:sz w:val="22"/>
          <w:highlight w:val="none"/>
          <w:lang w:val="zh-CN"/>
        </w:rPr>
      </w:pPr>
    </w:p>
    <w:p w14:paraId="7F577C3B">
      <w:pPr>
        <w:rPr>
          <w:rFonts w:hint="eastAsia" w:ascii="宋体" w:hAnsi="宋体" w:eastAsia="宋体" w:cs="宋体"/>
          <w:b/>
          <w:bCs/>
          <w:color w:val="auto"/>
          <w:sz w:val="22"/>
          <w:szCs w:val="22"/>
          <w:highlight w:val="none"/>
        </w:rPr>
      </w:pPr>
      <w:bookmarkStart w:id="205" w:name="_Toc493530219"/>
      <w:r>
        <w:rPr>
          <w:rFonts w:hint="eastAsia" w:ascii="宋体" w:hAnsi="宋体" w:eastAsia="宋体" w:cs="宋体"/>
          <w:b/>
          <w:bCs/>
          <w:color w:val="auto"/>
          <w:sz w:val="22"/>
          <w:szCs w:val="22"/>
          <w:highlight w:val="none"/>
        </w:rPr>
        <w:br w:type="page"/>
      </w:r>
    </w:p>
    <w:bookmarkEnd w:id="205"/>
    <w:p w14:paraId="6FBFEB29">
      <w:pPr>
        <w:widowControl/>
        <w:spacing w:line="460" w:lineRule="atLeast"/>
        <w:jc w:val="left"/>
        <w:rPr>
          <w:rFonts w:hint="eastAsia" w:ascii="宋体" w:hAnsi="宋体" w:eastAsia="宋体" w:cs="宋体"/>
          <w:b/>
          <w:bCs/>
          <w:color w:val="auto"/>
          <w:sz w:val="22"/>
          <w:szCs w:val="22"/>
          <w:highlight w:val="none"/>
          <w:lang w:eastAsia="zh-CN"/>
        </w:rPr>
      </w:pPr>
      <w:r>
        <w:rPr>
          <w:rFonts w:hint="eastAsia" w:ascii="宋体" w:hAnsi="宋体" w:eastAsia="宋体" w:cs="宋体"/>
          <w:b/>
          <w:bCs/>
          <w:color w:val="auto"/>
          <w:sz w:val="22"/>
          <w:szCs w:val="22"/>
          <w:highlight w:val="none"/>
        </w:rPr>
        <w:t>附件</w:t>
      </w:r>
      <w:r>
        <w:rPr>
          <w:rFonts w:hint="eastAsia" w:ascii="宋体" w:hAnsi="宋体" w:eastAsia="宋体" w:cs="宋体"/>
          <w:b/>
          <w:bCs/>
          <w:color w:val="auto"/>
          <w:sz w:val="22"/>
          <w:szCs w:val="22"/>
          <w:highlight w:val="none"/>
          <w:lang w:val="en-US" w:eastAsia="zh-CN"/>
        </w:rPr>
        <w:t>五</w:t>
      </w:r>
    </w:p>
    <w:p w14:paraId="607B56D9">
      <w:pPr>
        <w:tabs>
          <w:tab w:val="left" w:pos="1080"/>
        </w:tabs>
        <w:autoSpaceDE w:val="0"/>
        <w:autoSpaceDN w:val="0"/>
        <w:adjustRightInd w:val="0"/>
        <w:spacing w:line="440" w:lineRule="atLeast"/>
        <w:jc w:val="center"/>
        <w:rPr>
          <w:rFonts w:hint="eastAsia" w:ascii="宋体" w:hAnsi="宋体" w:eastAsia="宋体" w:cs="宋体"/>
          <w:b/>
          <w:color w:val="auto"/>
          <w:sz w:val="32"/>
          <w:szCs w:val="32"/>
          <w:highlight w:val="none"/>
          <w:lang w:val="zh-CN"/>
        </w:rPr>
      </w:pPr>
      <w:r>
        <w:rPr>
          <w:rFonts w:hint="eastAsia" w:ascii="宋体" w:hAnsi="宋体" w:eastAsia="宋体" w:cs="宋体"/>
          <w:b/>
          <w:color w:val="auto"/>
          <w:sz w:val="32"/>
          <w:szCs w:val="32"/>
          <w:highlight w:val="none"/>
          <w:lang w:val="zh-CN"/>
        </w:rPr>
        <w:t>法定代表人诚信投标承诺书</w:t>
      </w:r>
    </w:p>
    <w:p w14:paraId="1D833496">
      <w:pPr>
        <w:spacing w:line="360" w:lineRule="auto"/>
        <w:jc w:val="left"/>
        <w:rPr>
          <w:rFonts w:hint="eastAsia" w:ascii="宋体" w:hAnsi="宋体" w:eastAsia="宋体" w:cs="宋体"/>
          <w:b/>
          <w:color w:val="auto"/>
          <w:sz w:val="24"/>
          <w:highlight w:val="none"/>
        </w:rPr>
      </w:pPr>
    </w:p>
    <w:p w14:paraId="77F864E0">
      <w:pPr>
        <w:spacing w:line="460" w:lineRule="atLeast"/>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本人以企业法定代表人的身份郑重承诺：</w:t>
      </w:r>
    </w:p>
    <w:p w14:paraId="6113E40E">
      <w:pPr>
        <w:spacing w:line="460" w:lineRule="atLeast"/>
        <w:ind w:firstLine="440" w:firstLineChars="200"/>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将遵循公开、公平、公正和诚信信用的原则参加</w:t>
      </w:r>
      <w:r>
        <w:rPr>
          <w:rFonts w:hint="eastAsia" w:ascii="宋体" w:hAnsi="宋体" w:eastAsia="宋体" w:cs="宋体"/>
          <w:b w:val="0"/>
          <w:bCs w:val="0"/>
          <w:color w:val="auto"/>
          <w:sz w:val="22"/>
          <w:szCs w:val="22"/>
          <w:highlight w:val="none"/>
          <w:u w:val="single"/>
        </w:rPr>
        <w:t xml:space="preserve">              项目（项目编号：   ）</w:t>
      </w:r>
      <w:r>
        <w:rPr>
          <w:rFonts w:hint="eastAsia" w:ascii="宋体" w:hAnsi="宋体" w:eastAsia="宋体" w:cs="宋体"/>
          <w:b w:val="0"/>
          <w:bCs w:val="0"/>
          <w:color w:val="auto"/>
          <w:sz w:val="22"/>
          <w:szCs w:val="22"/>
          <w:highlight w:val="none"/>
        </w:rPr>
        <w:t>的投标；</w:t>
      </w:r>
    </w:p>
    <w:p w14:paraId="600FB383">
      <w:pPr>
        <w:spacing w:line="460" w:lineRule="atLeast"/>
        <w:ind w:firstLine="440" w:firstLineChars="200"/>
        <w:jc w:val="left"/>
        <w:rPr>
          <w:rFonts w:hint="eastAsia" w:ascii="宋体" w:hAnsi="宋体" w:eastAsia="宋体" w:cs="宋体"/>
          <w:b w:val="0"/>
          <w:bCs w:val="0"/>
          <w:color w:val="auto"/>
          <w:sz w:val="22"/>
          <w:szCs w:val="22"/>
          <w:highlight w:val="none"/>
          <w:u w:val="single"/>
        </w:rPr>
      </w:pPr>
      <w:r>
        <w:rPr>
          <w:rFonts w:hint="eastAsia" w:ascii="宋体" w:hAnsi="宋体" w:eastAsia="宋体" w:cs="宋体"/>
          <w:b w:val="0"/>
          <w:bCs w:val="0"/>
          <w:color w:val="auto"/>
          <w:sz w:val="22"/>
          <w:szCs w:val="22"/>
          <w:highlight w:val="none"/>
        </w:rPr>
        <w:t>一、杜绝以收取管理费等形式的一切挂靠、违法转包、分包行为；并选派有丰富经验、无不良行为记录</w:t>
      </w:r>
      <w:r>
        <w:rPr>
          <w:rFonts w:hint="eastAsia" w:ascii="宋体" w:hAnsi="宋体" w:eastAsia="宋体" w:cs="宋体"/>
          <w:b w:val="0"/>
          <w:bCs w:val="0"/>
          <w:color w:val="auto"/>
          <w:sz w:val="22"/>
          <w:szCs w:val="22"/>
          <w:highlight w:val="none"/>
          <w:lang w:eastAsia="zh-CN"/>
        </w:rPr>
        <w:t>的</w:t>
      </w:r>
      <w:r>
        <w:rPr>
          <w:rFonts w:hint="eastAsia" w:ascii="宋体" w:hAnsi="宋体" w:eastAsia="宋体" w:cs="宋体"/>
          <w:b w:val="0"/>
          <w:bCs w:val="0"/>
          <w:color w:val="auto"/>
          <w:sz w:val="22"/>
          <w:szCs w:val="22"/>
          <w:highlight w:val="none"/>
        </w:rPr>
        <w:t>项目管理人员、技术人员，严格按</w:t>
      </w:r>
      <w:r>
        <w:rPr>
          <w:rFonts w:hint="eastAsia" w:ascii="宋体" w:eastAsia="宋体" w:cs="宋体"/>
          <w:b w:val="0"/>
          <w:bCs w:val="0"/>
          <w:color w:val="auto"/>
          <w:sz w:val="22"/>
          <w:szCs w:val="22"/>
          <w:highlight w:val="none"/>
          <w:lang w:eastAsia="zh-CN"/>
        </w:rPr>
        <w:t>采购文件</w:t>
      </w:r>
      <w:r>
        <w:rPr>
          <w:rFonts w:hint="eastAsia" w:ascii="宋体" w:hAnsi="宋体" w:eastAsia="宋体" w:cs="宋体"/>
          <w:b w:val="0"/>
          <w:bCs w:val="0"/>
          <w:color w:val="auto"/>
          <w:sz w:val="22"/>
          <w:szCs w:val="22"/>
          <w:highlight w:val="none"/>
        </w:rPr>
        <w:t>、投标文件及合同等要求保证拟派人员</w:t>
      </w:r>
      <w:r>
        <w:rPr>
          <w:rFonts w:hint="eastAsia" w:ascii="宋体" w:eastAsia="宋体" w:cs="宋体"/>
          <w:b w:val="0"/>
          <w:bCs w:val="0"/>
          <w:color w:val="auto"/>
          <w:sz w:val="22"/>
          <w:szCs w:val="22"/>
          <w:highlight w:val="none"/>
          <w:lang w:eastAsia="zh-CN"/>
        </w:rPr>
        <w:t>地到</w:t>
      </w:r>
      <w:r>
        <w:rPr>
          <w:rFonts w:hint="eastAsia" w:ascii="宋体" w:hAnsi="宋体" w:eastAsia="宋体" w:cs="宋体"/>
          <w:b w:val="0"/>
          <w:bCs w:val="0"/>
          <w:color w:val="auto"/>
          <w:sz w:val="22"/>
          <w:szCs w:val="22"/>
          <w:highlight w:val="none"/>
        </w:rPr>
        <w:t>岗率。</w:t>
      </w:r>
    </w:p>
    <w:p w14:paraId="48E69745">
      <w:pPr>
        <w:spacing w:line="460" w:lineRule="atLeast"/>
        <w:ind w:firstLine="440" w:firstLineChars="200"/>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二、投标文件所提供的一切材料都是真实、有效、合法的。</w:t>
      </w:r>
    </w:p>
    <w:p w14:paraId="6F828429">
      <w:pPr>
        <w:spacing w:line="460" w:lineRule="atLeast"/>
        <w:ind w:firstLine="440" w:firstLineChars="200"/>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三、不与其他</w:t>
      </w:r>
      <w:r>
        <w:rPr>
          <w:rFonts w:hint="eastAsia" w:ascii="宋体" w:hAnsi="宋体" w:eastAsia="宋体" w:cs="宋体"/>
          <w:b w:val="0"/>
          <w:bCs w:val="0"/>
          <w:color w:val="auto"/>
          <w:sz w:val="22"/>
          <w:szCs w:val="22"/>
          <w:highlight w:val="none"/>
          <w:lang w:eastAsia="zh-CN"/>
        </w:rPr>
        <w:t>投标供应商</w:t>
      </w:r>
      <w:r>
        <w:rPr>
          <w:rFonts w:hint="eastAsia" w:ascii="宋体" w:hAnsi="宋体" w:eastAsia="宋体" w:cs="宋体"/>
          <w:b w:val="0"/>
          <w:bCs w:val="0"/>
          <w:color w:val="auto"/>
          <w:sz w:val="22"/>
          <w:szCs w:val="22"/>
          <w:highlight w:val="none"/>
        </w:rPr>
        <w:t>相互串通投标报价，不排挤其他</w:t>
      </w:r>
      <w:r>
        <w:rPr>
          <w:rFonts w:hint="eastAsia" w:ascii="宋体" w:hAnsi="宋体" w:eastAsia="宋体" w:cs="宋体"/>
          <w:b w:val="0"/>
          <w:bCs w:val="0"/>
          <w:color w:val="auto"/>
          <w:sz w:val="22"/>
          <w:szCs w:val="22"/>
          <w:highlight w:val="none"/>
          <w:lang w:eastAsia="zh-CN"/>
        </w:rPr>
        <w:t>投标供应商</w:t>
      </w:r>
      <w:r>
        <w:rPr>
          <w:rFonts w:hint="eastAsia" w:ascii="宋体" w:hAnsi="宋体" w:eastAsia="宋体" w:cs="宋体"/>
          <w:b w:val="0"/>
          <w:bCs w:val="0"/>
          <w:color w:val="auto"/>
          <w:sz w:val="22"/>
          <w:szCs w:val="22"/>
          <w:highlight w:val="none"/>
        </w:rPr>
        <w:t>的公平竞争，不损害</w:t>
      </w:r>
      <w:r>
        <w:rPr>
          <w:rFonts w:hint="eastAsia" w:ascii="宋体" w:eastAsia="宋体" w:cs="宋体"/>
          <w:b w:val="0"/>
          <w:bCs w:val="0"/>
          <w:color w:val="auto"/>
          <w:sz w:val="22"/>
          <w:szCs w:val="22"/>
          <w:highlight w:val="none"/>
          <w:lang w:eastAsia="zh-CN"/>
        </w:rPr>
        <w:t>采购人</w:t>
      </w:r>
      <w:r>
        <w:rPr>
          <w:rFonts w:hint="eastAsia" w:ascii="宋体" w:hAnsi="宋体" w:eastAsia="宋体" w:cs="宋体"/>
          <w:b w:val="0"/>
          <w:bCs w:val="0"/>
          <w:color w:val="auto"/>
          <w:sz w:val="22"/>
          <w:szCs w:val="22"/>
          <w:highlight w:val="none"/>
        </w:rPr>
        <w:t>或其他</w:t>
      </w:r>
      <w:r>
        <w:rPr>
          <w:rFonts w:hint="eastAsia" w:ascii="宋体" w:hAnsi="宋体" w:eastAsia="宋体" w:cs="宋体"/>
          <w:b w:val="0"/>
          <w:bCs w:val="0"/>
          <w:color w:val="auto"/>
          <w:sz w:val="22"/>
          <w:szCs w:val="22"/>
          <w:highlight w:val="none"/>
          <w:lang w:eastAsia="zh-CN"/>
        </w:rPr>
        <w:t>投标供应商</w:t>
      </w:r>
      <w:r>
        <w:rPr>
          <w:rFonts w:hint="eastAsia" w:ascii="宋体" w:hAnsi="宋体" w:eastAsia="宋体" w:cs="宋体"/>
          <w:b w:val="0"/>
          <w:bCs w:val="0"/>
          <w:color w:val="auto"/>
          <w:sz w:val="22"/>
          <w:szCs w:val="22"/>
          <w:highlight w:val="none"/>
        </w:rPr>
        <w:t>的合法权益。</w:t>
      </w:r>
    </w:p>
    <w:p w14:paraId="00436CF7">
      <w:pPr>
        <w:spacing w:line="460" w:lineRule="atLeast"/>
        <w:ind w:firstLine="440" w:firstLineChars="200"/>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四、不与</w:t>
      </w:r>
      <w:r>
        <w:rPr>
          <w:rFonts w:hint="eastAsia" w:ascii="宋体" w:eastAsia="宋体" w:cs="宋体"/>
          <w:b w:val="0"/>
          <w:bCs w:val="0"/>
          <w:color w:val="auto"/>
          <w:sz w:val="22"/>
          <w:szCs w:val="22"/>
          <w:highlight w:val="none"/>
          <w:lang w:eastAsia="zh-CN"/>
        </w:rPr>
        <w:t>采购人</w:t>
      </w:r>
      <w:r>
        <w:rPr>
          <w:rFonts w:hint="eastAsia" w:ascii="宋体" w:hAnsi="宋体" w:eastAsia="宋体" w:cs="宋体"/>
          <w:b w:val="0"/>
          <w:bCs w:val="0"/>
          <w:color w:val="auto"/>
          <w:sz w:val="22"/>
          <w:szCs w:val="22"/>
          <w:highlight w:val="none"/>
        </w:rPr>
        <w:t>或采购代理机构串通投标，不损害国家利益，社会公共利益或其他人的合法权益。</w:t>
      </w:r>
    </w:p>
    <w:p w14:paraId="66A425DC">
      <w:pPr>
        <w:spacing w:line="460" w:lineRule="atLeast"/>
        <w:ind w:firstLine="440" w:firstLineChars="200"/>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五、不向</w:t>
      </w:r>
      <w:r>
        <w:rPr>
          <w:rFonts w:hint="eastAsia" w:ascii="宋体" w:eastAsia="宋体" w:cs="宋体"/>
          <w:b w:val="0"/>
          <w:bCs w:val="0"/>
          <w:color w:val="auto"/>
          <w:sz w:val="22"/>
          <w:szCs w:val="22"/>
          <w:highlight w:val="none"/>
          <w:lang w:eastAsia="zh-CN"/>
        </w:rPr>
        <w:t>采购人</w:t>
      </w:r>
      <w:r>
        <w:rPr>
          <w:rFonts w:hint="eastAsia" w:ascii="宋体" w:hAnsi="宋体" w:eastAsia="宋体" w:cs="宋体"/>
          <w:b w:val="0"/>
          <w:bCs w:val="0"/>
          <w:color w:val="auto"/>
          <w:sz w:val="22"/>
          <w:szCs w:val="22"/>
          <w:highlight w:val="none"/>
        </w:rPr>
        <w:t>或者评标委员会成员行贿以牟取中标。</w:t>
      </w:r>
    </w:p>
    <w:p w14:paraId="1C67ED51">
      <w:pPr>
        <w:spacing w:line="460" w:lineRule="atLeast"/>
        <w:ind w:firstLine="440" w:firstLineChars="200"/>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六、不以</w:t>
      </w:r>
      <w:r>
        <w:rPr>
          <w:rFonts w:hint="eastAsia" w:ascii="宋体" w:eastAsia="宋体" w:cs="宋体"/>
          <w:b w:val="0"/>
          <w:bCs w:val="0"/>
          <w:color w:val="auto"/>
          <w:sz w:val="22"/>
          <w:szCs w:val="22"/>
          <w:highlight w:val="none"/>
          <w:lang w:eastAsia="zh-CN"/>
        </w:rPr>
        <w:t>他人</w:t>
      </w:r>
      <w:r>
        <w:rPr>
          <w:rFonts w:hint="eastAsia" w:ascii="宋体" w:hAnsi="宋体" w:eastAsia="宋体" w:cs="宋体"/>
          <w:b w:val="0"/>
          <w:bCs w:val="0"/>
          <w:color w:val="auto"/>
          <w:sz w:val="22"/>
          <w:szCs w:val="22"/>
          <w:highlight w:val="none"/>
        </w:rPr>
        <w:t>名义投标或者以其他方式弄虚作假，骗取中标。</w:t>
      </w:r>
    </w:p>
    <w:p w14:paraId="7FCACF89">
      <w:pPr>
        <w:spacing w:line="460" w:lineRule="atLeast"/>
        <w:ind w:firstLine="440" w:firstLineChars="200"/>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七、不在开标后进行虚假恶意投诉。</w:t>
      </w:r>
    </w:p>
    <w:p w14:paraId="22D16DB5">
      <w:pPr>
        <w:spacing w:line="460" w:lineRule="atLeast"/>
        <w:ind w:firstLine="440" w:firstLineChars="200"/>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八、我单位没有被政府机关列入失信被执行人名单、重大税收违法案件当事人名单、政府采购严重违法失信行为记录名单及其他不符合《中华人民共和国政府采购法》第二十二条规定条件的情形：</w:t>
      </w:r>
    </w:p>
    <w:p w14:paraId="70D11550">
      <w:pPr>
        <w:spacing w:line="460" w:lineRule="atLeast"/>
        <w:ind w:firstLine="440" w:firstLineChars="200"/>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 xml:space="preserve">九、没有被各地、各级财政部门禁止参加政府采购活动，且在限制期限内：    </w:t>
      </w:r>
    </w:p>
    <w:p w14:paraId="67D20A6E">
      <w:pPr>
        <w:spacing w:line="460" w:lineRule="atLeast"/>
        <w:ind w:firstLine="440" w:firstLineChars="200"/>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十、参与本项目政府采购活动3年内没有重大违法记录情况。</w:t>
      </w:r>
    </w:p>
    <w:p w14:paraId="5F34108E">
      <w:pPr>
        <w:spacing w:line="460" w:lineRule="atLeast"/>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本公司若有违反本承诺内容的行为，愿意承担法律责任，包括不限于：愿意接受相关行政主管部门作出的处罚；给</w:t>
      </w:r>
      <w:r>
        <w:rPr>
          <w:rFonts w:hint="eastAsia" w:ascii="宋体" w:eastAsia="宋体" w:cs="宋体"/>
          <w:b w:val="0"/>
          <w:bCs w:val="0"/>
          <w:color w:val="auto"/>
          <w:sz w:val="22"/>
          <w:szCs w:val="22"/>
          <w:highlight w:val="none"/>
          <w:lang w:eastAsia="zh-CN"/>
        </w:rPr>
        <w:t>采购人</w:t>
      </w:r>
      <w:r>
        <w:rPr>
          <w:rFonts w:hint="eastAsia" w:ascii="宋体" w:hAnsi="宋体" w:eastAsia="宋体" w:cs="宋体"/>
          <w:b w:val="0"/>
          <w:bCs w:val="0"/>
          <w:color w:val="auto"/>
          <w:sz w:val="22"/>
          <w:szCs w:val="22"/>
          <w:highlight w:val="none"/>
        </w:rPr>
        <w:t>造成损失的，依法承担相应的赔偿责任。</w:t>
      </w:r>
    </w:p>
    <w:p w14:paraId="46B83274">
      <w:pPr>
        <w:spacing w:line="460" w:lineRule="atLeast"/>
        <w:ind w:right="1120" w:firstLine="2970" w:firstLineChars="135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法定代表人（签字或盖章）：</w:t>
      </w:r>
    </w:p>
    <w:p w14:paraId="0C6515E8">
      <w:pPr>
        <w:spacing w:line="460" w:lineRule="atLeast"/>
        <w:ind w:right="1120" w:firstLine="2970" w:firstLineChars="135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eastAsia="zh-CN"/>
        </w:rPr>
        <w:t>投标供应商</w:t>
      </w:r>
      <w:r>
        <w:rPr>
          <w:rFonts w:hint="eastAsia" w:ascii="宋体" w:hAnsi="宋体" w:eastAsia="宋体" w:cs="宋体"/>
          <w:b w:val="0"/>
          <w:bCs w:val="0"/>
          <w:color w:val="auto"/>
          <w:sz w:val="22"/>
          <w:szCs w:val="22"/>
          <w:highlight w:val="none"/>
        </w:rPr>
        <w:t>（盖章）</w:t>
      </w:r>
    </w:p>
    <w:p w14:paraId="2F36F177">
      <w:pPr>
        <w:spacing w:line="460" w:lineRule="atLeast"/>
        <w:ind w:right="1120" w:firstLine="2970" w:firstLineChars="1350"/>
        <w:rPr>
          <w:rFonts w:hint="eastAsia" w:ascii="宋体" w:hAnsi="宋体" w:eastAsia="宋体" w:cs="宋体"/>
          <w:b w:val="0"/>
          <w:bCs w:val="0"/>
          <w:color w:val="auto"/>
          <w:highlight w:val="none"/>
        </w:rPr>
      </w:pPr>
      <w:r>
        <w:rPr>
          <w:rFonts w:hint="eastAsia" w:ascii="宋体" w:hAnsi="宋体" w:eastAsia="宋体" w:cs="宋体"/>
          <w:b w:val="0"/>
          <w:bCs w:val="0"/>
          <w:color w:val="auto"/>
          <w:sz w:val="22"/>
          <w:szCs w:val="22"/>
          <w:highlight w:val="none"/>
        </w:rPr>
        <w:t>承诺书签署日期：         年  月  日</w:t>
      </w:r>
    </w:p>
    <w:p w14:paraId="0AE5403D">
      <w:pPr>
        <w:spacing w:line="360" w:lineRule="exact"/>
        <w:jc w:val="left"/>
        <w:rPr>
          <w:rFonts w:hint="eastAsia" w:ascii="宋体" w:hAnsi="宋体" w:eastAsia="宋体" w:cs="宋体"/>
          <w:b/>
          <w:bCs/>
          <w:color w:val="auto"/>
          <w:sz w:val="22"/>
          <w:szCs w:val="22"/>
          <w:highlight w:val="none"/>
          <w:u w:val="single"/>
        </w:rPr>
      </w:pPr>
    </w:p>
    <w:p w14:paraId="3D940AE1">
      <w:pPr>
        <w:spacing w:line="360" w:lineRule="exact"/>
        <w:jc w:val="left"/>
        <w:rPr>
          <w:rFonts w:hint="eastAsia" w:ascii="宋体" w:hAnsi="宋体" w:eastAsia="宋体" w:cs="宋体"/>
          <w:b/>
          <w:color w:val="auto"/>
          <w:sz w:val="22"/>
          <w:szCs w:val="22"/>
          <w:highlight w:val="none"/>
          <w:u w:val="single"/>
        </w:rPr>
      </w:pPr>
      <w:r>
        <w:rPr>
          <w:rFonts w:hint="eastAsia" w:ascii="宋体" w:hAnsi="宋体" w:eastAsia="宋体" w:cs="宋体"/>
          <w:b/>
          <w:color w:val="auto"/>
          <w:sz w:val="22"/>
          <w:szCs w:val="22"/>
          <w:highlight w:val="none"/>
          <w:u w:val="single"/>
        </w:rPr>
        <w:t>备注：▲</w:t>
      </w:r>
      <w:r>
        <w:rPr>
          <w:rFonts w:hint="eastAsia" w:ascii="宋体" w:hAnsi="宋体" w:eastAsia="宋体" w:cs="宋体"/>
          <w:b/>
          <w:color w:val="auto"/>
          <w:sz w:val="22"/>
          <w:szCs w:val="22"/>
          <w:highlight w:val="none"/>
          <w:u w:val="single"/>
          <w:lang w:eastAsia="zh-CN"/>
        </w:rPr>
        <w:t>投标供应商</w:t>
      </w:r>
      <w:r>
        <w:rPr>
          <w:rFonts w:hint="eastAsia" w:ascii="宋体" w:hAnsi="宋体" w:eastAsia="宋体" w:cs="宋体"/>
          <w:b/>
          <w:color w:val="auto"/>
          <w:sz w:val="22"/>
          <w:szCs w:val="22"/>
          <w:highlight w:val="none"/>
          <w:u w:val="single"/>
        </w:rPr>
        <w:t>必须提供本承诺书，不提供按无效投标处理。</w:t>
      </w:r>
    </w:p>
    <w:p w14:paraId="6F8664D6">
      <w:pPr>
        <w:rPr>
          <w:rFonts w:hint="eastAsia" w:ascii="宋体" w:hAnsi="宋体" w:eastAsia="宋体" w:cs="宋体"/>
          <w:b/>
          <w:color w:val="auto"/>
          <w:sz w:val="22"/>
          <w:szCs w:val="22"/>
          <w:highlight w:val="none"/>
          <w:u w:val="single"/>
        </w:rPr>
      </w:pPr>
      <w:r>
        <w:rPr>
          <w:rFonts w:hint="eastAsia" w:ascii="宋体" w:hAnsi="宋体" w:eastAsia="宋体" w:cs="宋体"/>
          <w:b/>
          <w:color w:val="auto"/>
          <w:sz w:val="22"/>
          <w:szCs w:val="22"/>
          <w:highlight w:val="none"/>
          <w:u w:val="single"/>
        </w:rPr>
        <w:br w:type="page"/>
      </w:r>
    </w:p>
    <w:p w14:paraId="46F40F78">
      <w:pPr>
        <w:spacing w:line="460" w:lineRule="atLeast"/>
        <w:ind w:firstLine="440"/>
        <w:rPr>
          <w:rFonts w:hint="eastAsia" w:ascii="宋体" w:hAnsi="宋体" w:eastAsia="宋体" w:cs="宋体"/>
          <w:b/>
          <w:bCs/>
          <w:color w:val="auto"/>
          <w:sz w:val="22"/>
          <w:szCs w:val="22"/>
          <w:highlight w:val="none"/>
          <w:lang w:eastAsia="zh-CN"/>
        </w:rPr>
      </w:pPr>
      <w:r>
        <w:rPr>
          <w:rFonts w:hint="eastAsia" w:ascii="宋体" w:hAnsi="宋体" w:eastAsia="宋体" w:cs="宋体"/>
          <w:b/>
          <w:color w:val="auto"/>
          <w:sz w:val="22"/>
          <w:szCs w:val="22"/>
          <w:highlight w:val="none"/>
        </w:rPr>
        <w:t>附件</w:t>
      </w:r>
      <w:r>
        <w:rPr>
          <w:rFonts w:hint="eastAsia" w:ascii="宋体" w:hAnsi="宋体" w:eastAsia="宋体" w:cs="宋体"/>
          <w:b/>
          <w:color w:val="auto"/>
          <w:sz w:val="22"/>
          <w:szCs w:val="22"/>
          <w:highlight w:val="none"/>
          <w:lang w:val="en-US" w:eastAsia="zh-CN"/>
        </w:rPr>
        <w:t>六</w:t>
      </w:r>
    </w:p>
    <w:p w14:paraId="09246AFD">
      <w:pPr>
        <w:pStyle w:val="41"/>
        <w:rPr>
          <w:rFonts w:hint="eastAsia" w:ascii="宋体" w:hAnsi="宋体" w:eastAsia="宋体" w:cs="宋体"/>
          <w:color w:val="auto"/>
          <w:highlight w:val="none"/>
        </w:rPr>
      </w:pPr>
      <w:bookmarkStart w:id="206" w:name="_Toc87518415"/>
      <w:bookmarkEnd w:id="206"/>
      <w:bookmarkStart w:id="207" w:name="_Toc65590099"/>
      <w:bookmarkEnd w:id="207"/>
      <w:bookmarkStart w:id="208" w:name="_Toc438150553"/>
      <w:bookmarkEnd w:id="208"/>
      <w:bookmarkStart w:id="209" w:name="_Toc459361857"/>
      <w:bookmarkEnd w:id="209"/>
      <w:bookmarkStart w:id="210" w:name="_Toc42243289"/>
      <w:bookmarkEnd w:id="210"/>
      <w:bookmarkStart w:id="211" w:name="_Toc65830027"/>
      <w:bookmarkEnd w:id="211"/>
      <w:bookmarkStart w:id="212" w:name="_Toc427581337"/>
      <w:bookmarkEnd w:id="212"/>
      <w:bookmarkStart w:id="213" w:name="_Toc402361081"/>
      <w:bookmarkEnd w:id="213"/>
      <w:bookmarkStart w:id="214" w:name="_Toc404262445"/>
      <w:bookmarkEnd w:id="214"/>
      <w:bookmarkStart w:id="215" w:name="_Toc68187558"/>
      <w:bookmarkEnd w:id="215"/>
      <w:bookmarkStart w:id="216" w:name="_Toc522469121"/>
      <w:bookmarkEnd w:id="216"/>
      <w:bookmarkStart w:id="217" w:name="_Toc96970928"/>
      <w:bookmarkEnd w:id="217"/>
      <w:bookmarkStart w:id="218" w:name="_Toc9334951"/>
      <w:bookmarkEnd w:id="218"/>
      <w:bookmarkStart w:id="219" w:name="_Toc68188794"/>
      <w:bookmarkEnd w:id="219"/>
      <w:bookmarkStart w:id="220" w:name="_Toc511045483"/>
      <w:bookmarkEnd w:id="220"/>
      <w:bookmarkStart w:id="221" w:name="_Toc87518592"/>
      <w:bookmarkEnd w:id="221"/>
      <w:bookmarkStart w:id="222" w:name="_Toc68189108"/>
      <w:bookmarkEnd w:id="222"/>
      <w:bookmarkStart w:id="223" w:name="_Toc410055446"/>
      <w:bookmarkEnd w:id="223"/>
      <w:bookmarkStart w:id="224" w:name="_Toc7335"/>
      <w:bookmarkEnd w:id="224"/>
      <w:bookmarkStart w:id="225" w:name="_Toc518512536"/>
      <w:bookmarkEnd w:id="225"/>
      <w:bookmarkStart w:id="226" w:name="_Toc15893"/>
      <w:bookmarkEnd w:id="226"/>
      <w:bookmarkStart w:id="227" w:name="_Toc496618934"/>
      <w:bookmarkEnd w:id="227"/>
      <w:bookmarkStart w:id="228" w:name="_Toc491606420"/>
      <w:bookmarkEnd w:id="228"/>
      <w:bookmarkStart w:id="229" w:name="_Toc61444218"/>
      <w:bookmarkEnd w:id="229"/>
      <w:bookmarkStart w:id="230" w:name="_Toc19204522"/>
      <w:bookmarkEnd w:id="230"/>
      <w:bookmarkStart w:id="231" w:name="_Toc7382"/>
      <w:bookmarkEnd w:id="231"/>
      <w:bookmarkStart w:id="232" w:name="_Toc42678031"/>
      <w:bookmarkEnd w:id="232"/>
      <w:bookmarkStart w:id="233" w:name="_Toc430717503"/>
      <w:bookmarkEnd w:id="233"/>
      <w:bookmarkStart w:id="234" w:name="_Toc459450868"/>
      <w:bookmarkEnd w:id="234"/>
      <w:bookmarkStart w:id="235" w:name="_Toc42678186"/>
      <w:bookmarkEnd w:id="235"/>
      <w:bookmarkStart w:id="236" w:name="_Toc402360964"/>
      <w:bookmarkEnd w:id="236"/>
      <w:bookmarkStart w:id="237" w:name="_Toc42678697"/>
      <w:bookmarkEnd w:id="237"/>
      <w:bookmarkStart w:id="238" w:name="_Toc42678618"/>
      <w:bookmarkEnd w:id="238"/>
      <w:bookmarkStart w:id="239" w:name="_Toc26971"/>
      <w:bookmarkEnd w:id="239"/>
      <w:bookmarkStart w:id="240" w:name="_Toc855"/>
      <w:bookmarkEnd w:id="240"/>
      <w:bookmarkStart w:id="241" w:name="_Toc97033070"/>
      <w:bookmarkEnd w:id="241"/>
      <w:bookmarkStart w:id="242" w:name="_Toc24456"/>
      <w:bookmarkStart w:id="243" w:name="_Toc42243285"/>
      <w:bookmarkStart w:id="244" w:name="_Toc65830023"/>
      <w:bookmarkStart w:id="245" w:name="_Toc65590095"/>
      <w:bookmarkStart w:id="246" w:name="_Toc42678693"/>
      <w:r>
        <w:rPr>
          <w:rFonts w:hint="eastAsia" w:ascii="宋体" w:hAnsi="宋体" w:eastAsia="宋体" w:cs="宋体"/>
          <w:color w:val="auto"/>
          <w:highlight w:val="none"/>
        </w:rPr>
        <w:t>法定代表人授权书</w:t>
      </w:r>
      <w:bookmarkEnd w:id="242"/>
    </w:p>
    <w:p w14:paraId="1A8A51A6">
      <w:pPr>
        <w:spacing w:line="480" w:lineRule="auto"/>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u w:val="single"/>
        </w:rPr>
        <w:t>（</w:t>
      </w:r>
      <w:r>
        <w:rPr>
          <w:rFonts w:hint="eastAsia" w:ascii="宋体" w:eastAsia="宋体" w:cs="宋体"/>
          <w:b w:val="0"/>
          <w:bCs w:val="0"/>
          <w:color w:val="auto"/>
          <w:sz w:val="22"/>
          <w:szCs w:val="22"/>
          <w:highlight w:val="none"/>
          <w:u w:val="single"/>
          <w:lang w:eastAsia="zh-CN"/>
        </w:rPr>
        <w:t>采购人</w:t>
      </w:r>
      <w:r>
        <w:rPr>
          <w:rFonts w:hint="eastAsia" w:ascii="宋体" w:hAnsi="宋体" w:eastAsia="宋体" w:cs="宋体"/>
          <w:b w:val="0"/>
          <w:bCs w:val="0"/>
          <w:color w:val="auto"/>
          <w:sz w:val="22"/>
          <w:szCs w:val="22"/>
          <w:highlight w:val="none"/>
          <w:u w:val="single"/>
        </w:rPr>
        <w:t>名称）</w:t>
      </w:r>
      <w:r>
        <w:rPr>
          <w:rFonts w:hint="eastAsia" w:ascii="宋体" w:hAnsi="宋体" w:eastAsia="宋体" w:cs="宋体"/>
          <w:b w:val="0"/>
          <w:bCs w:val="0"/>
          <w:color w:val="auto"/>
          <w:sz w:val="22"/>
          <w:szCs w:val="22"/>
          <w:highlight w:val="none"/>
          <w:lang w:val="zh-CN"/>
        </w:rPr>
        <w:t>：</w:t>
      </w:r>
    </w:p>
    <w:p w14:paraId="76EA4434">
      <w:pPr>
        <w:spacing w:line="48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本授权委托书声明：我</w:t>
      </w:r>
      <w:r>
        <w:rPr>
          <w:rFonts w:hint="eastAsia" w:ascii="宋体" w:hAnsi="宋体" w:eastAsia="宋体" w:cs="宋体"/>
          <w:b w:val="0"/>
          <w:bCs w:val="0"/>
          <w:color w:val="auto"/>
          <w:sz w:val="22"/>
          <w:szCs w:val="22"/>
          <w:highlight w:val="none"/>
          <w:u w:val="single"/>
        </w:rPr>
        <w:t xml:space="preserve">   （法定代表人姓名）   </w:t>
      </w:r>
      <w:r>
        <w:rPr>
          <w:rFonts w:hint="eastAsia" w:ascii="宋体" w:hAnsi="宋体" w:eastAsia="宋体" w:cs="宋体"/>
          <w:b w:val="0"/>
          <w:bCs w:val="0"/>
          <w:color w:val="auto"/>
          <w:sz w:val="22"/>
          <w:szCs w:val="22"/>
          <w:highlight w:val="none"/>
        </w:rPr>
        <w:t>系</w:t>
      </w:r>
      <w:r>
        <w:rPr>
          <w:rFonts w:hint="eastAsia" w:ascii="宋体" w:hAnsi="宋体" w:eastAsia="宋体" w:cs="宋体"/>
          <w:b w:val="0"/>
          <w:bCs w:val="0"/>
          <w:color w:val="auto"/>
          <w:sz w:val="22"/>
          <w:szCs w:val="22"/>
          <w:highlight w:val="none"/>
          <w:u w:val="single"/>
        </w:rPr>
        <w:t xml:space="preserve">   （供 应 商 名 称）  </w:t>
      </w:r>
      <w:r>
        <w:rPr>
          <w:rFonts w:hint="eastAsia" w:ascii="宋体" w:hAnsi="宋体" w:eastAsia="宋体" w:cs="宋体"/>
          <w:b w:val="0"/>
          <w:bCs w:val="0"/>
          <w:color w:val="auto"/>
          <w:sz w:val="22"/>
          <w:szCs w:val="22"/>
          <w:highlight w:val="none"/>
        </w:rPr>
        <w:t>的法定代表人，现授权委托</w:t>
      </w:r>
      <w:r>
        <w:rPr>
          <w:rFonts w:hint="eastAsia" w:ascii="宋体" w:hAnsi="宋体" w:eastAsia="宋体" w:cs="宋体"/>
          <w:b w:val="0"/>
          <w:bCs w:val="0"/>
          <w:color w:val="auto"/>
          <w:sz w:val="22"/>
          <w:szCs w:val="22"/>
          <w:highlight w:val="none"/>
          <w:u w:val="single"/>
        </w:rPr>
        <w:t xml:space="preserve">  （单 位 名 称）   </w:t>
      </w:r>
      <w:r>
        <w:rPr>
          <w:rFonts w:hint="eastAsia" w:ascii="宋体" w:hAnsi="宋体" w:eastAsia="宋体" w:cs="宋体"/>
          <w:b w:val="0"/>
          <w:bCs w:val="0"/>
          <w:color w:val="auto"/>
          <w:sz w:val="22"/>
          <w:szCs w:val="22"/>
          <w:highlight w:val="none"/>
        </w:rPr>
        <w:t>的</w:t>
      </w:r>
      <w:r>
        <w:rPr>
          <w:rFonts w:hint="eastAsia" w:ascii="宋体" w:hAnsi="宋体" w:eastAsia="宋体" w:cs="宋体"/>
          <w:b w:val="0"/>
          <w:bCs w:val="0"/>
          <w:color w:val="auto"/>
          <w:sz w:val="22"/>
          <w:szCs w:val="22"/>
          <w:highlight w:val="none"/>
          <w:u w:val="single"/>
        </w:rPr>
        <w:t xml:space="preserve">  （授权代表姓名）  </w:t>
      </w:r>
      <w:r>
        <w:rPr>
          <w:rFonts w:hint="eastAsia" w:ascii="宋体" w:hAnsi="宋体" w:eastAsia="宋体" w:cs="宋体"/>
          <w:b w:val="0"/>
          <w:bCs w:val="0"/>
          <w:color w:val="auto"/>
          <w:sz w:val="22"/>
          <w:szCs w:val="22"/>
          <w:highlight w:val="none"/>
        </w:rPr>
        <w:t>为我公司法定代表人授权代表，参加贵处组织的</w:t>
      </w:r>
      <w:r>
        <w:rPr>
          <w:rFonts w:hint="eastAsia" w:ascii="宋体" w:hAnsi="宋体" w:eastAsia="宋体" w:cs="宋体"/>
          <w:b w:val="0"/>
          <w:bCs w:val="0"/>
          <w:color w:val="auto"/>
          <w:sz w:val="22"/>
          <w:szCs w:val="22"/>
          <w:highlight w:val="none"/>
          <w:u w:val="single"/>
        </w:rPr>
        <w:t xml:space="preserve">  （招标项目名称，括号中填写项目编号）  </w:t>
      </w:r>
      <w:r>
        <w:rPr>
          <w:rFonts w:hint="eastAsia" w:ascii="宋体" w:hAnsi="宋体" w:eastAsia="宋体" w:cs="宋体"/>
          <w:b w:val="0"/>
          <w:bCs w:val="0"/>
          <w:color w:val="auto"/>
          <w:sz w:val="22"/>
          <w:szCs w:val="22"/>
          <w:highlight w:val="none"/>
        </w:rPr>
        <w:t>项目投标，全权处理本次招投标活动中的一切事宜，我承认授权代表全权代表我所签署的本项目的投标文件的内容。</w:t>
      </w:r>
    </w:p>
    <w:p w14:paraId="34ABF9C6">
      <w:pPr>
        <w:spacing w:line="48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授权代表无转授权，特此授权</w:t>
      </w:r>
    </w:p>
    <w:p w14:paraId="75B712AA">
      <w:pPr>
        <w:spacing w:line="360" w:lineRule="auto"/>
        <w:ind w:left="1260"/>
        <w:rPr>
          <w:rFonts w:hint="eastAsia" w:ascii="宋体" w:hAnsi="宋体" w:eastAsia="宋体" w:cs="宋体"/>
          <w:b w:val="0"/>
          <w:bCs w:val="0"/>
          <w:color w:val="auto"/>
          <w:sz w:val="22"/>
          <w:szCs w:val="22"/>
          <w:highlight w:val="none"/>
        </w:rPr>
      </w:pPr>
    </w:p>
    <w:p w14:paraId="285A3F53">
      <w:pPr>
        <w:spacing w:line="480" w:lineRule="auto"/>
        <w:ind w:left="2100" w:leftChars="1000" w:firstLine="440" w:firstLineChars="200"/>
        <w:rPr>
          <w:rFonts w:hint="eastAsia" w:ascii="宋体" w:eastAsia="宋体" w:cs="宋体"/>
          <w:b w:val="0"/>
          <w:bCs w:val="0"/>
          <w:color w:val="auto"/>
          <w:sz w:val="22"/>
          <w:szCs w:val="22"/>
          <w:highlight w:val="none"/>
          <w:u w:val="single"/>
          <w:lang w:val="en-US" w:eastAsia="zh-CN"/>
        </w:rPr>
      </w:pPr>
      <w:r>
        <w:rPr>
          <w:rFonts w:hint="eastAsia" w:ascii="宋体" w:hAnsi="宋体" w:eastAsia="宋体" w:cs="宋体"/>
          <w:b w:val="0"/>
          <w:bCs w:val="0"/>
          <w:color w:val="auto"/>
          <w:sz w:val="22"/>
          <w:szCs w:val="22"/>
          <w:highlight w:val="none"/>
        </w:rPr>
        <w:t>授权代表：</w:t>
      </w:r>
      <w:r>
        <w:rPr>
          <w:rFonts w:hint="eastAsia" w:ascii="宋体" w:eastAsia="宋体" w:cs="宋体"/>
          <w:b w:val="0"/>
          <w:bCs w:val="0"/>
          <w:color w:val="auto"/>
          <w:sz w:val="22"/>
          <w:szCs w:val="22"/>
          <w:highlight w:val="none"/>
          <w:u w:val="single"/>
          <w:lang w:val="en-US" w:eastAsia="zh-CN"/>
        </w:rPr>
        <w:t xml:space="preserve">          </w:t>
      </w:r>
      <w:r>
        <w:rPr>
          <w:rFonts w:hint="eastAsia" w:ascii="宋体" w:hAnsi="宋体" w:eastAsia="宋体" w:cs="宋体"/>
          <w:b w:val="0"/>
          <w:bCs w:val="0"/>
          <w:color w:val="auto"/>
          <w:sz w:val="22"/>
          <w:szCs w:val="22"/>
          <w:highlight w:val="none"/>
          <w:u w:val="single"/>
        </w:rPr>
        <w:t xml:space="preserve"> </w:t>
      </w:r>
      <w:r>
        <w:rPr>
          <w:rFonts w:hint="eastAsia" w:ascii="宋体" w:hAnsi="宋体" w:eastAsia="宋体" w:cs="宋体"/>
          <w:b w:val="0"/>
          <w:bCs w:val="0"/>
          <w:color w:val="auto"/>
          <w:sz w:val="22"/>
          <w:szCs w:val="22"/>
          <w:highlight w:val="none"/>
        </w:rPr>
        <w:t>性别 ：</w:t>
      </w:r>
      <w:r>
        <w:rPr>
          <w:rFonts w:hint="eastAsia" w:ascii="宋体" w:eastAsia="宋体" w:cs="宋体"/>
          <w:b w:val="0"/>
          <w:bCs w:val="0"/>
          <w:color w:val="auto"/>
          <w:sz w:val="22"/>
          <w:szCs w:val="22"/>
          <w:highlight w:val="none"/>
          <w:u w:val="single"/>
          <w:lang w:val="en-US" w:eastAsia="zh-CN"/>
        </w:rPr>
        <w:t xml:space="preserve">              </w:t>
      </w:r>
    </w:p>
    <w:p w14:paraId="79D57FE1">
      <w:pPr>
        <w:spacing w:line="480" w:lineRule="auto"/>
        <w:ind w:left="2100" w:leftChars="1000" w:firstLine="440" w:firstLineChars="200"/>
        <w:rPr>
          <w:rFonts w:hint="default" w:ascii="宋体" w:hAnsi="宋体" w:eastAsia="宋体" w:cs="宋体"/>
          <w:b w:val="0"/>
          <w:bCs w:val="0"/>
          <w:color w:val="auto"/>
          <w:sz w:val="22"/>
          <w:szCs w:val="22"/>
          <w:highlight w:val="none"/>
          <w:u w:val="single"/>
          <w:lang w:val="en-US" w:eastAsia="zh-CN"/>
        </w:rPr>
      </w:pPr>
      <w:r>
        <w:rPr>
          <w:rFonts w:hint="eastAsia" w:ascii="宋体" w:hAnsi="宋体" w:eastAsia="宋体" w:cs="宋体"/>
          <w:b w:val="0"/>
          <w:bCs w:val="0"/>
          <w:color w:val="auto"/>
          <w:sz w:val="22"/>
          <w:szCs w:val="22"/>
          <w:highlight w:val="none"/>
        </w:rPr>
        <w:t>职务：</w:t>
      </w:r>
      <w:r>
        <w:rPr>
          <w:rFonts w:hint="eastAsia" w:ascii="宋体" w:eastAsia="宋体" w:cs="宋体"/>
          <w:b w:val="0"/>
          <w:bCs w:val="0"/>
          <w:color w:val="auto"/>
          <w:sz w:val="22"/>
          <w:szCs w:val="22"/>
          <w:highlight w:val="none"/>
          <w:u w:val="single"/>
          <w:lang w:val="en-US" w:eastAsia="zh-CN"/>
        </w:rPr>
        <w:t xml:space="preserve">        </w:t>
      </w:r>
      <w:r>
        <w:rPr>
          <w:rFonts w:hint="eastAsia" w:ascii="宋体" w:hAnsi="宋体" w:eastAsia="宋体" w:cs="宋体"/>
          <w:b w:val="0"/>
          <w:bCs w:val="0"/>
          <w:color w:val="auto"/>
          <w:sz w:val="22"/>
          <w:szCs w:val="22"/>
          <w:highlight w:val="none"/>
        </w:rPr>
        <w:t>年龄：</w:t>
      </w:r>
      <w:r>
        <w:rPr>
          <w:rFonts w:hint="eastAsia" w:ascii="宋体" w:eastAsia="宋体" w:cs="宋体"/>
          <w:b w:val="0"/>
          <w:bCs w:val="0"/>
          <w:color w:val="auto"/>
          <w:sz w:val="22"/>
          <w:szCs w:val="22"/>
          <w:highlight w:val="none"/>
          <w:u w:val="single"/>
          <w:lang w:val="en-US" w:eastAsia="zh-CN"/>
        </w:rPr>
        <w:t xml:space="preserve">                </w:t>
      </w:r>
    </w:p>
    <w:p w14:paraId="01397333">
      <w:pPr>
        <w:spacing w:line="480" w:lineRule="auto"/>
        <w:ind w:left="2100" w:leftChars="1000" w:firstLine="440" w:firstLineChars="200"/>
        <w:rPr>
          <w:rFonts w:hint="default" w:ascii="宋体" w:hAnsi="宋体" w:eastAsia="宋体" w:cs="宋体"/>
          <w:b w:val="0"/>
          <w:bCs w:val="0"/>
          <w:color w:val="auto"/>
          <w:sz w:val="22"/>
          <w:szCs w:val="22"/>
          <w:highlight w:val="none"/>
          <w:u w:val="single"/>
          <w:lang w:val="en-US" w:eastAsia="zh-CN"/>
        </w:rPr>
      </w:pPr>
      <w:r>
        <w:rPr>
          <w:rFonts w:hint="eastAsia" w:ascii="宋体" w:eastAsia="宋体" w:cs="宋体"/>
          <w:b w:val="0"/>
          <w:bCs w:val="0"/>
          <w:color w:val="auto"/>
          <w:sz w:val="22"/>
          <w:szCs w:val="22"/>
          <w:highlight w:val="none"/>
          <w:lang w:eastAsia="zh-CN"/>
        </w:rPr>
        <w:t>详细通信地址</w:t>
      </w:r>
      <w:r>
        <w:rPr>
          <w:rFonts w:hint="eastAsia" w:ascii="宋体" w:hAnsi="宋体" w:eastAsia="宋体" w:cs="宋体"/>
          <w:b w:val="0"/>
          <w:bCs w:val="0"/>
          <w:color w:val="auto"/>
          <w:sz w:val="22"/>
          <w:szCs w:val="22"/>
          <w:highlight w:val="none"/>
        </w:rPr>
        <w:t>：</w:t>
      </w:r>
      <w:r>
        <w:rPr>
          <w:rFonts w:hint="eastAsia" w:ascii="宋体" w:eastAsia="宋体" w:cs="宋体"/>
          <w:b w:val="0"/>
          <w:bCs w:val="0"/>
          <w:color w:val="auto"/>
          <w:sz w:val="22"/>
          <w:szCs w:val="22"/>
          <w:highlight w:val="none"/>
          <w:u w:val="single"/>
          <w:lang w:val="en-US" w:eastAsia="zh-CN"/>
        </w:rPr>
        <w:t xml:space="preserve">        </w:t>
      </w:r>
      <w:r>
        <w:rPr>
          <w:rFonts w:hint="eastAsia" w:ascii="宋体" w:hAnsi="宋体" w:eastAsia="宋体" w:cs="宋体"/>
          <w:b w:val="0"/>
          <w:bCs w:val="0"/>
          <w:color w:val="auto"/>
          <w:sz w:val="22"/>
          <w:szCs w:val="22"/>
          <w:highlight w:val="none"/>
          <w:u w:val="single"/>
        </w:rPr>
        <w:t xml:space="preserve"> </w:t>
      </w:r>
      <w:r>
        <w:rPr>
          <w:rFonts w:hint="eastAsia" w:ascii="宋体" w:hAnsi="宋体" w:eastAsia="宋体" w:cs="宋体"/>
          <w:b w:val="0"/>
          <w:bCs w:val="0"/>
          <w:color w:val="auto"/>
          <w:sz w:val="22"/>
          <w:szCs w:val="22"/>
          <w:highlight w:val="none"/>
        </w:rPr>
        <w:t>邮政编码：</w:t>
      </w:r>
      <w:r>
        <w:rPr>
          <w:rFonts w:hint="eastAsia" w:ascii="宋体" w:eastAsia="宋体" w:cs="宋体"/>
          <w:b w:val="0"/>
          <w:bCs w:val="0"/>
          <w:color w:val="auto"/>
          <w:sz w:val="22"/>
          <w:szCs w:val="22"/>
          <w:highlight w:val="none"/>
          <w:u w:val="single"/>
          <w:lang w:val="en-US" w:eastAsia="zh-CN"/>
        </w:rPr>
        <w:t xml:space="preserve">             </w:t>
      </w:r>
    </w:p>
    <w:p w14:paraId="7D1F2892">
      <w:pPr>
        <w:spacing w:line="480" w:lineRule="auto"/>
        <w:ind w:left="1" w:firstLine="2510" w:firstLineChars="1141"/>
        <w:rPr>
          <w:rFonts w:hint="eastAsia" w:ascii="宋体" w:eastAsia="宋体" w:cs="宋体"/>
          <w:b w:val="0"/>
          <w:bCs w:val="0"/>
          <w:color w:val="auto"/>
          <w:sz w:val="22"/>
          <w:szCs w:val="22"/>
          <w:highlight w:val="none"/>
          <w:u w:val="single"/>
          <w:lang w:val="en-US" w:eastAsia="zh-CN"/>
        </w:rPr>
      </w:pPr>
      <w:r>
        <w:rPr>
          <w:rFonts w:hint="eastAsia" w:ascii="宋体" w:hAnsi="宋体" w:eastAsia="宋体" w:cs="宋体"/>
          <w:b w:val="0"/>
          <w:bCs w:val="0"/>
          <w:color w:val="auto"/>
          <w:sz w:val="22"/>
          <w:szCs w:val="22"/>
          <w:highlight w:val="none"/>
        </w:rPr>
        <w:t>电话：</w:t>
      </w:r>
      <w:r>
        <w:rPr>
          <w:rFonts w:hint="eastAsia" w:ascii="宋体" w:hAnsi="宋体" w:eastAsia="宋体" w:cs="宋体"/>
          <w:b w:val="0"/>
          <w:bCs w:val="0"/>
          <w:color w:val="auto"/>
          <w:sz w:val="22"/>
          <w:szCs w:val="22"/>
          <w:highlight w:val="none"/>
          <w:u w:val="single"/>
        </w:rPr>
        <w:t xml:space="preserve"> </w:t>
      </w:r>
      <w:r>
        <w:rPr>
          <w:rFonts w:hint="eastAsia" w:ascii="宋体" w:eastAsia="宋体" w:cs="宋体"/>
          <w:b w:val="0"/>
          <w:bCs w:val="0"/>
          <w:color w:val="auto"/>
          <w:sz w:val="22"/>
          <w:szCs w:val="22"/>
          <w:highlight w:val="none"/>
          <w:u w:val="single"/>
          <w:lang w:val="en-US" w:eastAsia="zh-CN"/>
        </w:rPr>
        <w:t xml:space="preserve">            </w:t>
      </w:r>
      <w:r>
        <w:rPr>
          <w:rFonts w:hint="eastAsia" w:ascii="宋体" w:hAnsi="宋体" w:eastAsia="宋体" w:cs="宋体"/>
          <w:b w:val="0"/>
          <w:bCs w:val="0"/>
          <w:color w:val="auto"/>
          <w:sz w:val="22"/>
          <w:szCs w:val="22"/>
          <w:highlight w:val="none"/>
        </w:rPr>
        <w:t>传真：</w:t>
      </w:r>
      <w:r>
        <w:rPr>
          <w:rFonts w:hint="eastAsia" w:ascii="宋体" w:eastAsia="宋体" w:cs="宋体"/>
          <w:b w:val="0"/>
          <w:bCs w:val="0"/>
          <w:color w:val="auto"/>
          <w:sz w:val="22"/>
          <w:szCs w:val="22"/>
          <w:highlight w:val="none"/>
          <w:u w:val="single"/>
          <w:lang w:val="en-US" w:eastAsia="zh-CN"/>
        </w:rPr>
        <w:t xml:space="preserve">                    </w:t>
      </w:r>
    </w:p>
    <w:p w14:paraId="793BA102">
      <w:pPr>
        <w:spacing w:line="480" w:lineRule="auto"/>
        <w:ind w:firstLine="2640" w:firstLineChars="1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eastAsia="zh-CN"/>
        </w:rPr>
        <w:t>投标供应商</w:t>
      </w:r>
      <w:r>
        <w:rPr>
          <w:rFonts w:hint="eastAsia" w:ascii="宋体" w:hAnsi="宋体" w:eastAsia="宋体" w:cs="宋体"/>
          <w:b w:val="0"/>
          <w:bCs w:val="0"/>
          <w:color w:val="auto"/>
          <w:sz w:val="22"/>
          <w:szCs w:val="22"/>
          <w:highlight w:val="none"/>
        </w:rPr>
        <w:t>：</w:t>
      </w:r>
      <w:r>
        <w:rPr>
          <w:rFonts w:hint="eastAsia" w:ascii="宋体" w:hAnsi="宋体" w:eastAsia="宋体" w:cs="宋体"/>
          <w:b w:val="0"/>
          <w:bCs w:val="0"/>
          <w:color w:val="auto"/>
          <w:sz w:val="22"/>
          <w:szCs w:val="22"/>
          <w:highlight w:val="none"/>
          <w:u w:val="single"/>
        </w:rPr>
        <w:t xml:space="preserve">                              （盖章）</w:t>
      </w:r>
    </w:p>
    <w:p w14:paraId="79068CAD">
      <w:pPr>
        <w:spacing w:line="480" w:lineRule="auto"/>
        <w:ind w:right="440" w:firstLine="2640" w:firstLineChars="1200"/>
        <w:jc w:val="both"/>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法定代表人：</w:t>
      </w:r>
      <w:r>
        <w:rPr>
          <w:rFonts w:hint="eastAsia" w:ascii="宋体" w:hAnsi="宋体" w:eastAsia="宋体" w:cs="宋体"/>
          <w:b w:val="0"/>
          <w:bCs w:val="0"/>
          <w:color w:val="auto"/>
          <w:sz w:val="22"/>
          <w:szCs w:val="22"/>
          <w:highlight w:val="none"/>
          <w:u w:val="single"/>
        </w:rPr>
        <w:t xml:space="preserve">                       （签字或盖章）</w:t>
      </w:r>
    </w:p>
    <w:p w14:paraId="3D2DA8B4">
      <w:pPr>
        <w:spacing w:line="480" w:lineRule="auto"/>
        <w:ind w:right="440" w:firstLine="3300" w:firstLineChars="1500"/>
        <w:jc w:val="righ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授权委托日期：</w:t>
      </w:r>
      <w:r>
        <w:rPr>
          <w:rFonts w:hint="eastAsia" w:ascii="宋体" w:eastAsia="宋体" w:cs="宋体"/>
          <w:b w:val="0"/>
          <w:bCs w:val="0"/>
          <w:color w:val="auto"/>
          <w:sz w:val="22"/>
          <w:szCs w:val="22"/>
          <w:highlight w:val="none"/>
          <w:u w:val="single"/>
          <w:lang w:val="en-US" w:eastAsia="zh-CN"/>
        </w:rPr>
        <w:t xml:space="preserve">     </w:t>
      </w:r>
      <w:r>
        <w:rPr>
          <w:rFonts w:hint="eastAsia" w:ascii="宋体" w:hAnsi="宋体" w:eastAsia="宋体" w:cs="宋体"/>
          <w:b w:val="0"/>
          <w:bCs w:val="0"/>
          <w:color w:val="auto"/>
          <w:sz w:val="22"/>
          <w:szCs w:val="22"/>
          <w:highlight w:val="none"/>
        </w:rPr>
        <w:t>年</w:t>
      </w:r>
      <w:r>
        <w:rPr>
          <w:rFonts w:hint="eastAsia" w:ascii="宋体" w:hAnsi="宋体" w:eastAsia="宋体" w:cs="宋体"/>
          <w:b w:val="0"/>
          <w:bCs w:val="0"/>
          <w:color w:val="auto"/>
          <w:sz w:val="22"/>
          <w:szCs w:val="22"/>
          <w:highlight w:val="none"/>
          <w:u w:val="single"/>
        </w:rPr>
        <w:t xml:space="preserve"> </w:t>
      </w:r>
      <w:r>
        <w:rPr>
          <w:rFonts w:hint="eastAsia" w:ascii="宋体" w:eastAsia="宋体" w:cs="宋体"/>
          <w:b w:val="0"/>
          <w:bCs w:val="0"/>
          <w:color w:val="auto"/>
          <w:sz w:val="22"/>
          <w:szCs w:val="22"/>
          <w:highlight w:val="none"/>
          <w:u w:val="single"/>
          <w:lang w:val="en-US" w:eastAsia="zh-CN"/>
        </w:rPr>
        <w:t xml:space="preserve">  </w:t>
      </w:r>
      <w:r>
        <w:rPr>
          <w:rFonts w:hint="eastAsia" w:ascii="宋体" w:hAnsi="宋体" w:eastAsia="宋体" w:cs="宋体"/>
          <w:b w:val="0"/>
          <w:bCs w:val="0"/>
          <w:color w:val="auto"/>
          <w:sz w:val="22"/>
          <w:szCs w:val="22"/>
          <w:highlight w:val="none"/>
        </w:rPr>
        <w:t>月</w:t>
      </w:r>
      <w:r>
        <w:rPr>
          <w:rFonts w:hint="eastAsia" w:ascii="宋体" w:eastAsia="宋体" w:cs="宋体"/>
          <w:b w:val="0"/>
          <w:bCs w:val="0"/>
          <w:color w:val="auto"/>
          <w:sz w:val="22"/>
          <w:szCs w:val="22"/>
          <w:highlight w:val="none"/>
          <w:u w:val="single"/>
          <w:lang w:val="en-US" w:eastAsia="zh-CN"/>
        </w:rPr>
        <w:t xml:space="preserve">   </w:t>
      </w:r>
      <w:r>
        <w:rPr>
          <w:rFonts w:hint="eastAsia" w:ascii="宋体" w:hAnsi="宋体" w:eastAsia="宋体" w:cs="宋体"/>
          <w:b w:val="0"/>
          <w:bCs w:val="0"/>
          <w:color w:val="auto"/>
          <w:sz w:val="22"/>
          <w:szCs w:val="22"/>
          <w:highlight w:val="none"/>
        </w:rPr>
        <w:t>日</w:t>
      </w:r>
    </w:p>
    <w:tbl>
      <w:tblPr>
        <w:tblStyle w:val="44"/>
        <w:tblW w:w="9060" w:type="dxa"/>
        <w:tblInd w:w="31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0"/>
      </w:tblGrid>
      <w:tr w14:paraId="5AA36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5" w:hRule="atLeast"/>
        </w:trPr>
        <w:tc>
          <w:tcPr>
            <w:tcW w:w="9060" w:type="dxa"/>
          </w:tcPr>
          <w:p w14:paraId="24D5DF52">
            <w:pPr>
              <w:pStyle w:val="26"/>
              <w:spacing w:line="440" w:lineRule="atLeast"/>
              <w:rPr>
                <w:rFonts w:hint="eastAsia" w:ascii="宋体" w:hAnsi="宋体" w:eastAsia="宋体" w:cs="宋体"/>
                <w:b w:val="0"/>
                <w:bCs w:val="0"/>
                <w:color w:val="auto"/>
                <w:sz w:val="36"/>
                <w:highlight w:val="none"/>
              </w:rPr>
            </w:pPr>
          </w:p>
          <w:p w14:paraId="372EC4DA">
            <w:pPr>
              <w:pStyle w:val="26"/>
              <w:spacing w:line="440" w:lineRule="atLeast"/>
              <w:jc w:val="center"/>
              <w:rPr>
                <w:rFonts w:hint="eastAsia" w:ascii="宋体" w:hAnsi="宋体" w:eastAsia="宋体" w:cs="宋体"/>
                <w:b w:val="0"/>
                <w:bCs w:val="0"/>
                <w:color w:val="auto"/>
                <w:sz w:val="36"/>
                <w:highlight w:val="none"/>
              </w:rPr>
            </w:pPr>
          </w:p>
          <w:p w14:paraId="02FF625D">
            <w:pPr>
              <w:pStyle w:val="26"/>
              <w:spacing w:line="440" w:lineRule="atLeast"/>
              <w:jc w:val="center"/>
              <w:rPr>
                <w:rFonts w:hint="eastAsia" w:hAnsi="宋体" w:eastAsia="宋体" w:cs="宋体"/>
                <w:b w:val="0"/>
                <w:bCs w:val="0"/>
                <w:color w:val="auto"/>
                <w:sz w:val="36"/>
                <w:highlight w:val="none"/>
                <w:lang w:val="en-US" w:eastAsia="zh-CN"/>
              </w:rPr>
            </w:pPr>
            <w:r>
              <w:rPr>
                <w:rFonts w:hint="eastAsia" w:hAnsi="宋体" w:eastAsia="宋体" w:cs="宋体"/>
                <w:b w:val="0"/>
                <w:bCs w:val="0"/>
                <w:color w:val="auto"/>
                <w:sz w:val="36"/>
                <w:highlight w:val="none"/>
                <w:lang w:val="en-US" w:eastAsia="zh-CN"/>
              </w:rPr>
              <w:t xml:space="preserve"> </w:t>
            </w:r>
          </w:p>
          <w:p w14:paraId="08CCDEE1">
            <w:pPr>
              <w:pStyle w:val="26"/>
              <w:spacing w:line="440" w:lineRule="atLeast"/>
              <w:jc w:val="center"/>
              <w:rPr>
                <w:rFonts w:hint="eastAsia" w:ascii="宋体" w:hAnsi="宋体" w:eastAsia="宋体" w:cs="宋体"/>
                <w:b w:val="0"/>
                <w:bCs w:val="0"/>
                <w:color w:val="auto"/>
                <w:sz w:val="36"/>
                <w:highlight w:val="none"/>
              </w:rPr>
            </w:pPr>
            <w:r>
              <w:rPr>
                <w:rFonts w:hint="eastAsia" w:ascii="宋体" w:hAnsi="宋体" w:eastAsia="宋体" w:cs="宋体"/>
                <w:b w:val="0"/>
                <w:bCs w:val="0"/>
                <w:color w:val="auto"/>
                <w:sz w:val="36"/>
                <w:highlight w:val="none"/>
              </w:rPr>
              <w:t>（授权代表身份证扫描件或影印件）</w:t>
            </w:r>
          </w:p>
          <w:p w14:paraId="672CBF8A">
            <w:pPr>
              <w:pStyle w:val="26"/>
              <w:spacing w:line="440" w:lineRule="atLeast"/>
              <w:ind w:left="5271" w:firstLine="1080" w:firstLineChars="300"/>
              <w:rPr>
                <w:rFonts w:hint="eastAsia" w:ascii="宋体" w:hAnsi="宋体" w:eastAsia="宋体" w:cs="宋体"/>
                <w:b w:val="0"/>
                <w:bCs w:val="0"/>
                <w:color w:val="auto"/>
                <w:sz w:val="36"/>
                <w:highlight w:val="none"/>
              </w:rPr>
            </w:pPr>
          </w:p>
        </w:tc>
      </w:tr>
      <w:bookmarkEnd w:id="243"/>
      <w:bookmarkEnd w:id="244"/>
      <w:bookmarkEnd w:id="245"/>
      <w:bookmarkEnd w:id="246"/>
    </w:tbl>
    <w:p w14:paraId="0F549B83">
      <w:pPr>
        <w:spacing w:line="360" w:lineRule="exact"/>
        <w:jc w:val="left"/>
        <w:rPr>
          <w:rFonts w:hint="eastAsia" w:ascii="宋体" w:hAnsi="宋体" w:eastAsia="宋体" w:cs="宋体"/>
          <w:b/>
          <w:bCs/>
          <w:color w:val="auto"/>
          <w:sz w:val="22"/>
          <w:szCs w:val="22"/>
          <w:highlight w:val="none"/>
          <w:lang w:eastAsia="zh-CN"/>
        </w:rPr>
      </w:pPr>
      <w:r>
        <w:rPr>
          <w:rFonts w:hint="eastAsia" w:ascii="宋体" w:hAnsi="宋体" w:eastAsia="宋体" w:cs="宋体"/>
          <w:b/>
          <w:color w:val="auto"/>
          <w:sz w:val="22"/>
          <w:szCs w:val="22"/>
          <w:highlight w:val="none"/>
        </w:rPr>
        <w:t>附件</w:t>
      </w:r>
      <w:r>
        <w:rPr>
          <w:rFonts w:hint="eastAsia" w:ascii="宋体" w:hAnsi="宋体" w:eastAsia="宋体" w:cs="宋体"/>
          <w:b/>
          <w:color w:val="auto"/>
          <w:sz w:val="22"/>
          <w:szCs w:val="22"/>
          <w:highlight w:val="none"/>
          <w:lang w:val="en-US" w:eastAsia="zh-CN"/>
        </w:rPr>
        <w:t>七</w:t>
      </w:r>
    </w:p>
    <w:p w14:paraId="158F9B61">
      <w:pPr>
        <w:tabs>
          <w:tab w:val="left" w:pos="1080"/>
        </w:tabs>
        <w:autoSpaceDE w:val="0"/>
        <w:autoSpaceDN w:val="0"/>
        <w:adjustRightInd w:val="0"/>
        <w:spacing w:line="440" w:lineRule="atLeast"/>
        <w:jc w:val="center"/>
        <w:rPr>
          <w:rFonts w:hint="eastAsia" w:ascii="宋体" w:hAnsi="宋体" w:eastAsia="宋体" w:cs="宋体"/>
          <w:b/>
          <w:color w:val="auto"/>
          <w:sz w:val="32"/>
          <w:szCs w:val="32"/>
          <w:highlight w:val="none"/>
          <w:lang w:val="zh-CN"/>
        </w:rPr>
      </w:pPr>
      <w:r>
        <w:rPr>
          <w:rFonts w:hint="eastAsia" w:ascii="宋体" w:hAnsi="宋体" w:eastAsia="宋体" w:cs="宋体"/>
          <w:b/>
          <w:color w:val="auto"/>
          <w:sz w:val="32"/>
          <w:szCs w:val="32"/>
          <w:highlight w:val="none"/>
          <w:lang w:val="zh-CN"/>
        </w:rPr>
        <w:t>类似业绩（时间以签订的时间为准）</w:t>
      </w:r>
    </w:p>
    <w:p w14:paraId="0ABF7BE4">
      <w:pPr>
        <w:spacing w:line="460" w:lineRule="exac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项目名称：                                              项目编号：</w:t>
      </w:r>
    </w:p>
    <w:tbl>
      <w:tblPr>
        <w:tblStyle w:val="44"/>
        <w:tblW w:w="9380" w:type="dxa"/>
        <w:tblInd w:w="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6"/>
        <w:gridCol w:w="1285"/>
        <w:gridCol w:w="1299"/>
        <w:gridCol w:w="1355"/>
        <w:gridCol w:w="1296"/>
        <w:gridCol w:w="1064"/>
        <w:gridCol w:w="1271"/>
        <w:gridCol w:w="1064"/>
      </w:tblGrid>
      <w:tr w14:paraId="5ACA20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746" w:type="dxa"/>
            <w:vAlign w:val="center"/>
          </w:tcPr>
          <w:p w14:paraId="7BB0FF05">
            <w:pPr>
              <w:tabs>
                <w:tab w:val="left" w:pos="4140"/>
              </w:tabs>
              <w:adjustRightInd w:val="0"/>
              <w:snapToGrid w:val="0"/>
              <w:spacing w:line="320" w:lineRule="atLeast"/>
              <w:jc w:val="center"/>
              <w:rPr>
                <w:rFonts w:hint="eastAsia" w:ascii="宋体" w:hAnsi="宋体" w:eastAsia="宋体" w:cs="宋体"/>
                <w:b w:val="0"/>
                <w:bCs w:val="0"/>
                <w:caps/>
                <w:color w:val="auto"/>
                <w:spacing w:val="20"/>
                <w:sz w:val="22"/>
                <w:highlight w:val="none"/>
              </w:rPr>
            </w:pPr>
            <w:r>
              <w:rPr>
                <w:rFonts w:hint="eastAsia" w:ascii="宋体" w:hAnsi="宋体" w:eastAsia="宋体" w:cs="宋体"/>
                <w:b w:val="0"/>
                <w:bCs w:val="0"/>
                <w:caps/>
                <w:color w:val="auto"/>
                <w:spacing w:val="20"/>
                <w:sz w:val="22"/>
                <w:szCs w:val="22"/>
                <w:highlight w:val="none"/>
              </w:rPr>
              <w:t>序号</w:t>
            </w:r>
          </w:p>
        </w:tc>
        <w:tc>
          <w:tcPr>
            <w:tcW w:w="1285" w:type="dxa"/>
            <w:vAlign w:val="center"/>
          </w:tcPr>
          <w:p w14:paraId="1BCE15A6">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r>
              <w:rPr>
                <w:rFonts w:hint="eastAsia" w:ascii="宋体" w:hAnsi="宋体" w:eastAsia="宋体" w:cs="宋体"/>
                <w:b w:val="0"/>
                <w:bCs w:val="0"/>
                <w:color w:val="auto"/>
                <w:spacing w:val="20"/>
                <w:sz w:val="22"/>
                <w:szCs w:val="22"/>
                <w:highlight w:val="none"/>
              </w:rPr>
              <w:t>采购单位</w:t>
            </w:r>
          </w:p>
        </w:tc>
        <w:tc>
          <w:tcPr>
            <w:tcW w:w="1299" w:type="dxa"/>
            <w:vAlign w:val="center"/>
          </w:tcPr>
          <w:p w14:paraId="107D35E8">
            <w:pPr>
              <w:tabs>
                <w:tab w:val="left" w:pos="4140"/>
              </w:tabs>
              <w:adjustRightInd w:val="0"/>
              <w:snapToGrid w:val="0"/>
              <w:spacing w:line="320" w:lineRule="atLeast"/>
              <w:jc w:val="center"/>
              <w:rPr>
                <w:rFonts w:hint="eastAsia" w:ascii="宋体" w:hAnsi="宋体" w:eastAsia="宋体" w:cs="宋体"/>
                <w:b w:val="0"/>
                <w:bCs w:val="0"/>
                <w:caps/>
                <w:color w:val="auto"/>
                <w:spacing w:val="20"/>
                <w:sz w:val="22"/>
                <w:highlight w:val="none"/>
              </w:rPr>
            </w:pPr>
            <w:r>
              <w:rPr>
                <w:rFonts w:hint="eastAsia" w:ascii="宋体" w:hAnsi="宋体" w:eastAsia="宋体" w:cs="宋体"/>
                <w:b w:val="0"/>
                <w:bCs w:val="0"/>
                <w:caps/>
                <w:color w:val="auto"/>
                <w:spacing w:val="20"/>
                <w:sz w:val="22"/>
                <w:szCs w:val="22"/>
                <w:highlight w:val="none"/>
              </w:rPr>
              <w:t>项目名称</w:t>
            </w:r>
          </w:p>
        </w:tc>
        <w:tc>
          <w:tcPr>
            <w:tcW w:w="1355" w:type="dxa"/>
            <w:vAlign w:val="center"/>
          </w:tcPr>
          <w:p w14:paraId="3409516C">
            <w:pPr>
              <w:tabs>
                <w:tab w:val="left" w:pos="4140"/>
              </w:tabs>
              <w:adjustRightInd w:val="0"/>
              <w:snapToGrid w:val="0"/>
              <w:spacing w:line="320" w:lineRule="atLeast"/>
              <w:jc w:val="center"/>
              <w:rPr>
                <w:rFonts w:hint="eastAsia" w:ascii="宋体" w:hAnsi="宋体" w:eastAsia="宋体" w:cs="宋体"/>
                <w:b w:val="0"/>
                <w:bCs w:val="0"/>
                <w:caps/>
                <w:color w:val="auto"/>
                <w:spacing w:val="20"/>
                <w:sz w:val="22"/>
                <w:highlight w:val="none"/>
              </w:rPr>
            </w:pPr>
            <w:r>
              <w:rPr>
                <w:rFonts w:hint="eastAsia" w:ascii="宋体" w:hAnsi="宋体" w:eastAsia="宋体" w:cs="宋体"/>
                <w:b w:val="0"/>
                <w:bCs w:val="0"/>
                <w:caps/>
                <w:color w:val="auto"/>
                <w:spacing w:val="20"/>
                <w:sz w:val="22"/>
                <w:szCs w:val="22"/>
                <w:highlight w:val="none"/>
              </w:rPr>
              <w:t>合同金额</w:t>
            </w:r>
          </w:p>
        </w:tc>
        <w:tc>
          <w:tcPr>
            <w:tcW w:w="1296" w:type="dxa"/>
            <w:vAlign w:val="center"/>
          </w:tcPr>
          <w:p w14:paraId="66F48D9C">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r>
              <w:rPr>
                <w:rFonts w:hint="eastAsia" w:ascii="宋体" w:hAnsi="宋体" w:eastAsia="宋体" w:cs="宋体"/>
                <w:b w:val="0"/>
                <w:bCs w:val="0"/>
                <w:color w:val="auto"/>
                <w:spacing w:val="20"/>
                <w:sz w:val="22"/>
                <w:szCs w:val="22"/>
                <w:highlight w:val="none"/>
              </w:rPr>
              <w:t>签约日期</w:t>
            </w:r>
          </w:p>
        </w:tc>
        <w:tc>
          <w:tcPr>
            <w:tcW w:w="1064" w:type="dxa"/>
            <w:vAlign w:val="center"/>
          </w:tcPr>
          <w:p w14:paraId="645C2D92">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r>
              <w:rPr>
                <w:rFonts w:hint="eastAsia" w:ascii="宋体" w:hAnsi="宋体" w:eastAsia="宋体" w:cs="宋体"/>
                <w:b w:val="0"/>
                <w:bCs w:val="0"/>
                <w:color w:val="auto"/>
                <w:spacing w:val="20"/>
                <w:sz w:val="22"/>
                <w:szCs w:val="22"/>
                <w:highlight w:val="none"/>
              </w:rPr>
              <w:t>联系人</w:t>
            </w:r>
          </w:p>
        </w:tc>
        <w:tc>
          <w:tcPr>
            <w:tcW w:w="1271" w:type="dxa"/>
            <w:vAlign w:val="center"/>
          </w:tcPr>
          <w:p w14:paraId="3911365D">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r>
              <w:rPr>
                <w:rFonts w:hint="eastAsia" w:ascii="宋体" w:hAnsi="宋体" w:eastAsia="宋体" w:cs="宋体"/>
                <w:b w:val="0"/>
                <w:bCs w:val="0"/>
                <w:color w:val="auto"/>
                <w:spacing w:val="20"/>
                <w:sz w:val="22"/>
                <w:szCs w:val="22"/>
                <w:highlight w:val="none"/>
              </w:rPr>
              <w:t>联系电话</w:t>
            </w:r>
          </w:p>
        </w:tc>
        <w:tc>
          <w:tcPr>
            <w:tcW w:w="1064" w:type="dxa"/>
            <w:vAlign w:val="center"/>
          </w:tcPr>
          <w:p w14:paraId="396C6F3F">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r>
              <w:rPr>
                <w:rFonts w:hint="eastAsia" w:ascii="宋体" w:hAnsi="宋体" w:eastAsia="宋体" w:cs="宋体"/>
                <w:b w:val="0"/>
                <w:bCs w:val="0"/>
                <w:color w:val="auto"/>
                <w:spacing w:val="20"/>
                <w:sz w:val="22"/>
                <w:szCs w:val="22"/>
                <w:highlight w:val="none"/>
              </w:rPr>
              <w:t>备注</w:t>
            </w:r>
          </w:p>
        </w:tc>
      </w:tr>
      <w:tr w14:paraId="6A81B5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746" w:type="dxa"/>
            <w:vAlign w:val="center"/>
          </w:tcPr>
          <w:p w14:paraId="2576D6A3">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85" w:type="dxa"/>
            <w:vAlign w:val="center"/>
          </w:tcPr>
          <w:p w14:paraId="39F53E4E">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99" w:type="dxa"/>
            <w:vAlign w:val="center"/>
          </w:tcPr>
          <w:p w14:paraId="0B2B2209">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355" w:type="dxa"/>
            <w:vAlign w:val="center"/>
          </w:tcPr>
          <w:p w14:paraId="74D1DB1E">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96" w:type="dxa"/>
            <w:vAlign w:val="center"/>
          </w:tcPr>
          <w:p w14:paraId="2D846767">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064" w:type="dxa"/>
            <w:vAlign w:val="center"/>
          </w:tcPr>
          <w:p w14:paraId="5B4B4352">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71" w:type="dxa"/>
            <w:vAlign w:val="center"/>
          </w:tcPr>
          <w:p w14:paraId="3FAF960F">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064" w:type="dxa"/>
            <w:vAlign w:val="center"/>
          </w:tcPr>
          <w:p w14:paraId="512C9A53">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r>
      <w:tr w14:paraId="7BE57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746" w:type="dxa"/>
            <w:vAlign w:val="center"/>
          </w:tcPr>
          <w:p w14:paraId="37D1A597">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85" w:type="dxa"/>
            <w:vAlign w:val="center"/>
          </w:tcPr>
          <w:p w14:paraId="39677129">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99" w:type="dxa"/>
            <w:vAlign w:val="center"/>
          </w:tcPr>
          <w:p w14:paraId="4F5EF72F">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355" w:type="dxa"/>
            <w:vAlign w:val="center"/>
          </w:tcPr>
          <w:p w14:paraId="142B3537">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96" w:type="dxa"/>
            <w:vAlign w:val="center"/>
          </w:tcPr>
          <w:p w14:paraId="6A13FF74">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064" w:type="dxa"/>
            <w:vAlign w:val="center"/>
          </w:tcPr>
          <w:p w14:paraId="1579B757">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71" w:type="dxa"/>
            <w:vAlign w:val="center"/>
          </w:tcPr>
          <w:p w14:paraId="38108431">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064" w:type="dxa"/>
            <w:vAlign w:val="center"/>
          </w:tcPr>
          <w:p w14:paraId="2529BEF0">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r>
      <w:tr w14:paraId="3DD10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746" w:type="dxa"/>
            <w:vAlign w:val="center"/>
          </w:tcPr>
          <w:p w14:paraId="559183FC">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85" w:type="dxa"/>
            <w:vAlign w:val="center"/>
          </w:tcPr>
          <w:p w14:paraId="24A7F3A7">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99" w:type="dxa"/>
            <w:vAlign w:val="center"/>
          </w:tcPr>
          <w:p w14:paraId="0F1E6F2C">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355" w:type="dxa"/>
            <w:vAlign w:val="center"/>
          </w:tcPr>
          <w:p w14:paraId="37685306">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96" w:type="dxa"/>
            <w:vAlign w:val="center"/>
          </w:tcPr>
          <w:p w14:paraId="186E7C1D">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064" w:type="dxa"/>
            <w:vAlign w:val="center"/>
          </w:tcPr>
          <w:p w14:paraId="1B4E856E">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71" w:type="dxa"/>
            <w:vAlign w:val="center"/>
          </w:tcPr>
          <w:p w14:paraId="0BDDDC21">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064" w:type="dxa"/>
            <w:vAlign w:val="center"/>
          </w:tcPr>
          <w:p w14:paraId="09B139C2">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r>
      <w:tr w14:paraId="27B60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746" w:type="dxa"/>
            <w:vAlign w:val="center"/>
          </w:tcPr>
          <w:p w14:paraId="4A756336">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85" w:type="dxa"/>
            <w:vAlign w:val="center"/>
          </w:tcPr>
          <w:p w14:paraId="03CE25E2">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99" w:type="dxa"/>
            <w:vAlign w:val="center"/>
          </w:tcPr>
          <w:p w14:paraId="07293F90">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355" w:type="dxa"/>
            <w:vAlign w:val="center"/>
          </w:tcPr>
          <w:p w14:paraId="1D933F27">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96" w:type="dxa"/>
            <w:vAlign w:val="center"/>
          </w:tcPr>
          <w:p w14:paraId="20C05A53">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064" w:type="dxa"/>
            <w:vAlign w:val="center"/>
          </w:tcPr>
          <w:p w14:paraId="11CE5186">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71" w:type="dxa"/>
            <w:vAlign w:val="center"/>
          </w:tcPr>
          <w:p w14:paraId="5D2A93E4">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064" w:type="dxa"/>
            <w:vAlign w:val="center"/>
          </w:tcPr>
          <w:p w14:paraId="27896AA8">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r>
      <w:tr w14:paraId="4AD95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746" w:type="dxa"/>
            <w:vAlign w:val="center"/>
          </w:tcPr>
          <w:p w14:paraId="79CCD158">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85" w:type="dxa"/>
            <w:vAlign w:val="center"/>
          </w:tcPr>
          <w:p w14:paraId="1C6304E9">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99" w:type="dxa"/>
            <w:vAlign w:val="center"/>
          </w:tcPr>
          <w:p w14:paraId="58E07E6E">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355" w:type="dxa"/>
            <w:vAlign w:val="center"/>
          </w:tcPr>
          <w:p w14:paraId="1AB4DFEC">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96" w:type="dxa"/>
            <w:vAlign w:val="center"/>
          </w:tcPr>
          <w:p w14:paraId="456524EB">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064" w:type="dxa"/>
            <w:vAlign w:val="center"/>
          </w:tcPr>
          <w:p w14:paraId="0431C687">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71" w:type="dxa"/>
            <w:vAlign w:val="center"/>
          </w:tcPr>
          <w:p w14:paraId="7E8CDEA1">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064" w:type="dxa"/>
            <w:vAlign w:val="center"/>
          </w:tcPr>
          <w:p w14:paraId="64B3A892">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r>
      <w:tr w14:paraId="2F619B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746" w:type="dxa"/>
            <w:vAlign w:val="center"/>
          </w:tcPr>
          <w:p w14:paraId="29F02202">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85" w:type="dxa"/>
            <w:vAlign w:val="center"/>
          </w:tcPr>
          <w:p w14:paraId="293255A0">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99" w:type="dxa"/>
            <w:vAlign w:val="center"/>
          </w:tcPr>
          <w:p w14:paraId="0DDE0261">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355" w:type="dxa"/>
            <w:vAlign w:val="center"/>
          </w:tcPr>
          <w:p w14:paraId="05C765F3">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96" w:type="dxa"/>
            <w:vAlign w:val="center"/>
          </w:tcPr>
          <w:p w14:paraId="55550286">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064" w:type="dxa"/>
            <w:vAlign w:val="center"/>
          </w:tcPr>
          <w:p w14:paraId="388A17C3">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71" w:type="dxa"/>
            <w:vAlign w:val="center"/>
          </w:tcPr>
          <w:p w14:paraId="2F613CCE">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064" w:type="dxa"/>
            <w:vAlign w:val="center"/>
          </w:tcPr>
          <w:p w14:paraId="13511E72">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r>
      <w:tr w14:paraId="187E0B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746" w:type="dxa"/>
            <w:vAlign w:val="center"/>
          </w:tcPr>
          <w:p w14:paraId="7556A7BF">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85" w:type="dxa"/>
            <w:vAlign w:val="center"/>
          </w:tcPr>
          <w:p w14:paraId="6F910CC6">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99" w:type="dxa"/>
            <w:vAlign w:val="center"/>
          </w:tcPr>
          <w:p w14:paraId="4D2FB5BF">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355" w:type="dxa"/>
            <w:vAlign w:val="center"/>
          </w:tcPr>
          <w:p w14:paraId="3A9AF5D3">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96" w:type="dxa"/>
            <w:vAlign w:val="center"/>
          </w:tcPr>
          <w:p w14:paraId="7EDED62F">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064" w:type="dxa"/>
            <w:vAlign w:val="center"/>
          </w:tcPr>
          <w:p w14:paraId="22765E86">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71" w:type="dxa"/>
            <w:vAlign w:val="center"/>
          </w:tcPr>
          <w:p w14:paraId="69A1DD16">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064" w:type="dxa"/>
            <w:vAlign w:val="center"/>
          </w:tcPr>
          <w:p w14:paraId="61CE8010">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r>
      <w:tr w14:paraId="7B0FA2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746" w:type="dxa"/>
            <w:vAlign w:val="center"/>
          </w:tcPr>
          <w:p w14:paraId="510672E4">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85" w:type="dxa"/>
            <w:vAlign w:val="center"/>
          </w:tcPr>
          <w:p w14:paraId="2CE7D8BF">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99" w:type="dxa"/>
            <w:vAlign w:val="center"/>
          </w:tcPr>
          <w:p w14:paraId="713BEADF">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355" w:type="dxa"/>
            <w:vAlign w:val="center"/>
          </w:tcPr>
          <w:p w14:paraId="51928971">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96" w:type="dxa"/>
            <w:vAlign w:val="center"/>
          </w:tcPr>
          <w:p w14:paraId="71089CF1">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064" w:type="dxa"/>
            <w:vAlign w:val="center"/>
          </w:tcPr>
          <w:p w14:paraId="0248517B">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71" w:type="dxa"/>
            <w:vAlign w:val="center"/>
          </w:tcPr>
          <w:p w14:paraId="09F89668">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064" w:type="dxa"/>
            <w:vAlign w:val="center"/>
          </w:tcPr>
          <w:p w14:paraId="39BBF1BE">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r>
      <w:tr w14:paraId="214642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746" w:type="dxa"/>
            <w:vAlign w:val="center"/>
          </w:tcPr>
          <w:p w14:paraId="2F234780">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85" w:type="dxa"/>
            <w:vAlign w:val="center"/>
          </w:tcPr>
          <w:p w14:paraId="63A7A4A4">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99" w:type="dxa"/>
            <w:vAlign w:val="center"/>
          </w:tcPr>
          <w:p w14:paraId="3E1D45D5">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355" w:type="dxa"/>
            <w:vAlign w:val="center"/>
          </w:tcPr>
          <w:p w14:paraId="33C3E577">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96" w:type="dxa"/>
            <w:vAlign w:val="center"/>
          </w:tcPr>
          <w:p w14:paraId="24448CAE">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064" w:type="dxa"/>
            <w:vAlign w:val="center"/>
          </w:tcPr>
          <w:p w14:paraId="67036C44">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71" w:type="dxa"/>
            <w:vAlign w:val="center"/>
          </w:tcPr>
          <w:p w14:paraId="68684E22">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064" w:type="dxa"/>
            <w:vAlign w:val="center"/>
          </w:tcPr>
          <w:p w14:paraId="6B897307">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r>
      <w:tr w14:paraId="193E6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746" w:type="dxa"/>
            <w:vAlign w:val="center"/>
          </w:tcPr>
          <w:p w14:paraId="36866540">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85" w:type="dxa"/>
            <w:vAlign w:val="center"/>
          </w:tcPr>
          <w:p w14:paraId="11BC7417">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99" w:type="dxa"/>
            <w:vAlign w:val="center"/>
          </w:tcPr>
          <w:p w14:paraId="3DB78DE9">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355" w:type="dxa"/>
            <w:vAlign w:val="center"/>
          </w:tcPr>
          <w:p w14:paraId="59D80AEE">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96" w:type="dxa"/>
            <w:vAlign w:val="center"/>
          </w:tcPr>
          <w:p w14:paraId="63C039F6">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064" w:type="dxa"/>
            <w:vAlign w:val="center"/>
          </w:tcPr>
          <w:p w14:paraId="7FB30C11">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71" w:type="dxa"/>
            <w:vAlign w:val="center"/>
          </w:tcPr>
          <w:p w14:paraId="23365ADF">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064" w:type="dxa"/>
            <w:vAlign w:val="center"/>
          </w:tcPr>
          <w:p w14:paraId="21463902">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r>
      <w:tr w14:paraId="17D4B3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746" w:type="dxa"/>
            <w:vAlign w:val="center"/>
          </w:tcPr>
          <w:p w14:paraId="3E32BACC">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85" w:type="dxa"/>
            <w:vAlign w:val="center"/>
          </w:tcPr>
          <w:p w14:paraId="7A23B6E7">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99" w:type="dxa"/>
            <w:vAlign w:val="center"/>
          </w:tcPr>
          <w:p w14:paraId="167DFE2B">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355" w:type="dxa"/>
            <w:vAlign w:val="center"/>
          </w:tcPr>
          <w:p w14:paraId="658467B1">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96" w:type="dxa"/>
            <w:vAlign w:val="center"/>
          </w:tcPr>
          <w:p w14:paraId="0AD8C02C">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064" w:type="dxa"/>
            <w:vAlign w:val="center"/>
          </w:tcPr>
          <w:p w14:paraId="47CF89BB">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71" w:type="dxa"/>
            <w:vAlign w:val="center"/>
          </w:tcPr>
          <w:p w14:paraId="0FF18AA1">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064" w:type="dxa"/>
            <w:vAlign w:val="center"/>
          </w:tcPr>
          <w:p w14:paraId="1BE59212">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r>
      <w:tr w14:paraId="5B17B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746" w:type="dxa"/>
            <w:vAlign w:val="center"/>
          </w:tcPr>
          <w:p w14:paraId="19CBB09E">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85" w:type="dxa"/>
            <w:vAlign w:val="center"/>
          </w:tcPr>
          <w:p w14:paraId="20427019">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99" w:type="dxa"/>
            <w:vAlign w:val="center"/>
          </w:tcPr>
          <w:p w14:paraId="39E33CC5">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355" w:type="dxa"/>
            <w:vAlign w:val="center"/>
          </w:tcPr>
          <w:p w14:paraId="40382196">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96" w:type="dxa"/>
            <w:vAlign w:val="center"/>
          </w:tcPr>
          <w:p w14:paraId="44DD5E59">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064" w:type="dxa"/>
            <w:vAlign w:val="center"/>
          </w:tcPr>
          <w:p w14:paraId="101A3049">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71" w:type="dxa"/>
            <w:vAlign w:val="center"/>
          </w:tcPr>
          <w:p w14:paraId="51786A9E">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064" w:type="dxa"/>
            <w:vAlign w:val="center"/>
          </w:tcPr>
          <w:p w14:paraId="05914FC2">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r>
      <w:tr w14:paraId="77135F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746" w:type="dxa"/>
            <w:vAlign w:val="center"/>
          </w:tcPr>
          <w:p w14:paraId="75946A9F">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85" w:type="dxa"/>
            <w:vAlign w:val="center"/>
          </w:tcPr>
          <w:p w14:paraId="3BEF4FE7">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99" w:type="dxa"/>
            <w:vAlign w:val="center"/>
          </w:tcPr>
          <w:p w14:paraId="0C982625">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355" w:type="dxa"/>
            <w:vAlign w:val="center"/>
          </w:tcPr>
          <w:p w14:paraId="0F3E953D">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96" w:type="dxa"/>
            <w:vAlign w:val="center"/>
          </w:tcPr>
          <w:p w14:paraId="396BE9BC">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064" w:type="dxa"/>
            <w:vAlign w:val="center"/>
          </w:tcPr>
          <w:p w14:paraId="59648BBE">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271" w:type="dxa"/>
            <w:vAlign w:val="center"/>
          </w:tcPr>
          <w:p w14:paraId="17FE0A48">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c>
          <w:tcPr>
            <w:tcW w:w="1064" w:type="dxa"/>
            <w:vAlign w:val="center"/>
          </w:tcPr>
          <w:p w14:paraId="08291162">
            <w:pPr>
              <w:tabs>
                <w:tab w:val="left" w:pos="4140"/>
              </w:tabs>
              <w:adjustRightInd w:val="0"/>
              <w:snapToGrid w:val="0"/>
              <w:spacing w:line="320" w:lineRule="atLeast"/>
              <w:jc w:val="center"/>
              <w:rPr>
                <w:rFonts w:hint="eastAsia" w:ascii="宋体" w:hAnsi="宋体" w:eastAsia="宋体" w:cs="宋体"/>
                <w:b w:val="0"/>
                <w:bCs w:val="0"/>
                <w:color w:val="auto"/>
                <w:spacing w:val="20"/>
                <w:sz w:val="22"/>
                <w:highlight w:val="none"/>
              </w:rPr>
            </w:pPr>
          </w:p>
        </w:tc>
      </w:tr>
    </w:tbl>
    <w:p w14:paraId="16A080B7">
      <w:pPr>
        <w:spacing w:line="460" w:lineRule="exact"/>
        <w:ind w:left="755" w:hanging="754" w:hangingChars="343"/>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注：</w:t>
      </w:r>
      <w:r>
        <w:rPr>
          <w:rFonts w:hint="eastAsia" w:ascii="宋体" w:hAnsi="宋体" w:eastAsia="宋体" w:cs="宋体"/>
          <w:b w:val="0"/>
          <w:bCs w:val="0"/>
          <w:color w:val="auto"/>
          <w:sz w:val="22"/>
          <w:szCs w:val="22"/>
          <w:highlight w:val="none"/>
          <w:lang w:eastAsia="zh-CN"/>
        </w:rPr>
        <w:t>投标供应商</w:t>
      </w:r>
      <w:r>
        <w:rPr>
          <w:rFonts w:hint="eastAsia" w:ascii="宋体" w:hAnsi="宋体" w:eastAsia="宋体" w:cs="宋体"/>
          <w:b w:val="0"/>
          <w:bCs w:val="0"/>
          <w:color w:val="auto"/>
          <w:sz w:val="22"/>
          <w:szCs w:val="22"/>
          <w:highlight w:val="none"/>
        </w:rPr>
        <w:t>可按此表格式复制，需后附合同扫描件加盖公章。</w:t>
      </w:r>
    </w:p>
    <w:p w14:paraId="70880B6C">
      <w:pPr>
        <w:spacing w:line="460" w:lineRule="exact"/>
        <w:ind w:left="755" w:hanging="754" w:hangingChars="343"/>
        <w:rPr>
          <w:rFonts w:hint="eastAsia" w:ascii="宋体" w:hAnsi="宋体" w:eastAsia="宋体" w:cs="宋体"/>
          <w:b w:val="0"/>
          <w:bCs w:val="0"/>
          <w:color w:val="auto"/>
          <w:sz w:val="22"/>
          <w:szCs w:val="22"/>
          <w:highlight w:val="none"/>
        </w:rPr>
      </w:pPr>
    </w:p>
    <w:p w14:paraId="290E2A52">
      <w:pPr>
        <w:spacing w:line="440" w:lineRule="atLeas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供应商全称（盖章）：</w:t>
      </w:r>
    </w:p>
    <w:p w14:paraId="2A1BBC67">
      <w:pPr>
        <w:autoSpaceDE w:val="0"/>
        <w:autoSpaceDN w:val="0"/>
        <w:adjustRightInd w:val="0"/>
        <w:spacing w:line="460" w:lineRule="atLeas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日期：</w:t>
      </w:r>
    </w:p>
    <w:p w14:paraId="111300CF">
      <w:pPr>
        <w:autoSpaceDE w:val="0"/>
        <w:autoSpaceDN w:val="0"/>
        <w:adjustRightInd w:val="0"/>
        <w:spacing w:line="460" w:lineRule="atLeast"/>
        <w:rPr>
          <w:rFonts w:hint="eastAsia" w:ascii="宋体" w:hAnsi="宋体" w:eastAsia="宋体" w:cs="宋体"/>
          <w:b w:val="0"/>
          <w:bCs w:val="0"/>
          <w:color w:val="auto"/>
          <w:sz w:val="22"/>
          <w:highlight w:val="none"/>
        </w:rPr>
      </w:pPr>
    </w:p>
    <w:p w14:paraId="4A9A9D80">
      <w:pPr>
        <w:autoSpaceDE w:val="0"/>
        <w:autoSpaceDN w:val="0"/>
        <w:adjustRightInd w:val="0"/>
        <w:spacing w:line="460" w:lineRule="atLeast"/>
        <w:rPr>
          <w:rFonts w:hint="eastAsia" w:ascii="宋体" w:hAnsi="宋体" w:eastAsia="宋体" w:cs="宋体"/>
          <w:color w:val="auto"/>
          <w:sz w:val="22"/>
          <w:highlight w:val="none"/>
        </w:rPr>
      </w:pPr>
    </w:p>
    <w:p w14:paraId="4E761EF6">
      <w:pPr>
        <w:pStyle w:val="41"/>
        <w:rPr>
          <w:rFonts w:hint="eastAsia" w:ascii="宋体" w:hAnsi="宋体" w:eastAsia="宋体" w:cs="宋体"/>
          <w:color w:val="auto"/>
          <w:highlight w:val="none"/>
        </w:rPr>
      </w:pPr>
    </w:p>
    <w:p w14:paraId="128A8047">
      <w:pP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br w:type="page"/>
      </w:r>
    </w:p>
    <w:p w14:paraId="5A92AC6C">
      <w:pPr>
        <w:widowControl/>
        <w:jc w:val="left"/>
        <w:rPr>
          <w:rFonts w:hint="eastAsia" w:ascii="宋体" w:hAnsi="宋体" w:eastAsia="宋体" w:cs="宋体"/>
          <w:b/>
          <w:bCs/>
          <w:color w:val="auto"/>
          <w:sz w:val="22"/>
          <w:szCs w:val="22"/>
          <w:highlight w:val="none"/>
          <w:lang w:eastAsia="zh-CN"/>
        </w:rPr>
      </w:pPr>
      <w:r>
        <w:rPr>
          <w:rFonts w:hint="eastAsia" w:ascii="宋体" w:hAnsi="宋体" w:eastAsia="宋体" w:cs="宋体"/>
          <w:b/>
          <w:color w:val="auto"/>
          <w:sz w:val="22"/>
          <w:szCs w:val="22"/>
          <w:highlight w:val="none"/>
        </w:rPr>
        <w:t>附件</w:t>
      </w:r>
      <w:r>
        <w:rPr>
          <w:rFonts w:hint="eastAsia" w:ascii="宋体" w:hAnsi="宋体" w:eastAsia="宋体" w:cs="宋体"/>
          <w:b/>
          <w:color w:val="auto"/>
          <w:sz w:val="22"/>
          <w:szCs w:val="22"/>
          <w:highlight w:val="none"/>
          <w:lang w:val="en-US" w:eastAsia="zh-CN"/>
        </w:rPr>
        <w:t>八</w:t>
      </w:r>
    </w:p>
    <w:p w14:paraId="6D09648C">
      <w:pPr>
        <w:pStyle w:val="41"/>
        <w:rPr>
          <w:rFonts w:hint="eastAsia" w:ascii="宋体" w:hAnsi="宋体" w:eastAsia="宋体" w:cs="宋体"/>
          <w:color w:val="auto"/>
          <w:highlight w:val="none"/>
        </w:rPr>
      </w:pPr>
      <w:bookmarkStart w:id="247" w:name="_Toc24095"/>
      <w:bookmarkEnd w:id="247"/>
      <w:bookmarkStart w:id="248" w:name="_Toc30209"/>
      <w:r>
        <w:rPr>
          <w:rFonts w:hint="eastAsia" w:ascii="宋体" w:hAnsi="宋体" w:eastAsia="宋体" w:cs="宋体"/>
          <w:color w:val="auto"/>
          <w:highlight w:val="none"/>
        </w:rPr>
        <w:t>商务、技术偏离表</w:t>
      </w:r>
      <w:bookmarkEnd w:id="248"/>
    </w:p>
    <w:p w14:paraId="5E2FE415">
      <w:pPr>
        <w:spacing w:line="560" w:lineRule="exact"/>
        <w:ind w:firstLine="431" w:firstLineChars="196"/>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项目名称：                                       项目编号：</w:t>
      </w:r>
    </w:p>
    <w:tbl>
      <w:tblPr>
        <w:tblStyle w:val="44"/>
        <w:tblW w:w="98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1434"/>
        <w:gridCol w:w="2743"/>
        <w:gridCol w:w="3023"/>
        <w:gridCol w:w="1260"/>
      </w:tblGrid>
      <w:tr w14:paraId="2134E3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1368" w:type="dxa"/>
            <w:vAlign w:val="center"/>
          </w:tcPr>
          <w:p w14:paraId="4B0B5156">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内   容</w:t>
            </w:r>
          </w:p>
        </w:tc>
        <w:tc>
          <w:tcPr>
            <w:tcW w:w="1434" w:type="dxa"/>
            <w:vAlign w:val="center"/>
          </w:tcPr>
          <w:p w14:paraId="6A0E7DF7">
            <w:pPr>
              <w:jc w:val="center"/>
              <w:rPr>
                <w:rFonts w:hint="eastAsia" w:ascii="宋体" w:hAnsi="宋体" w:eastAsia="宋体" w:cs="宋体"/>
                <w:b w:val="0"/>
                <w:bCs w:val="0"/>
                <w:color w:val="auto"/>
                <w:sz w:val="22"/>
                <w:szCs w:val="22"/>
                <w:highlight w:val="none"/>
                <w:lang w:eastAsia="zh-CN"/>
              </w:rPr>
            </w:pPr>
            <w:r>
              <w:rPr>
                <w:rFonts w:hint="eastAsia" w:ascii="宋体" w:eastAsia="宋体" w:cs="宋体"/>
                <w:b w:val="0"/>
                <w:bCs w:val="0"/>
                <w:color w:val="auto"/>
                <w:sz w:val="22"/>
                <w:szCs w:val="22"/>
                <w:highlight w:val="none"/>
                <w:lang w:eastAsia="zh-CN"/>
              </w:rPr>
              <w:t>采购文件</w:t>
            </w:r>
          </w:p>
          <w:p w14:paraId="3425F9BF">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条目</w:t>
            </w:r>
          </w:p>
        </w:tc>
        <w:tc>
          <w:tcPr>
            <w:tcW w:w="2743" w:type="dxa"/>
            <w:vAlign w:val="center"/>
          </w:tcPr>
          <w:p w14:paraId="131ADB42">
            <w:pPr>
              <w:jc w:val="center"/>
              <w:rPr>
                <w:rFonts w:hint="eastAsia" w:ascii="宋体" w:hAnsi="宋体" w:eastAsia="宋体" w:cs="宋体"/>
                <w:b w:val="0"/>
                <w:bCs w:val="0"/>
                <w:color w:val="auto"/>
                <w:sz w:val="22"/>
                <w:szCs w:val="22"/>
                <w:highlight w:val="none"/>
                <w:lang w:eastAsia="zh-CN"/>
              </w:rPr>
            </w:pPr>
            <w:r>
              <w:rPr>
                <w:rFonts w:hint="eastAsia" w:ascii="宋体" w:eastAsia="宋体" w:cs="宋体"/>
                <w:b w:val="0"/>
                <w:bCs w:val="0"/>
                <w:color w:val="auto"/>
                <w:sz w:val="22"/>
                <w:szCs w:val="22"/>
                <w:highlight w:val="none"/>
                <w:lang w:eastAsia="zh-CN"/>
              </w:rPr>
              <w:t>采购文件</w:t>
            </w:r>
          </w:p>
          <w:p w14:paraId="57FAA960">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规格要求</w:t>
            </w:r>
          </w:p>
        </w:tc>
        <w:tc>
          <w:tcPr>
            <w:tcW w:w="3023" w:type="dxa"/>
            <w:vAlign w:val="center"/>
          </w:tcPr>
          <w:p w14:paraId="66DB37F7">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投标文件</w:t>
            </w:r>
          </w:p>
          <w:p w14:paraId="43AC1872">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对应规格</w:t>
            </w:r>
          </w:p>
        </w:tc>
        <w:tc>
          <w:tcPr>
            <w:tcW w:w="1260" w:type="dxa"/>
            <w:vAlign w:val="center"/>
          </w:tcPr>
          <w:p w14:paraId="5EFDDC08">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说   明</w:t>
            </w:r>
          </w:p>
        </w:tc>
      </w:tr>
      <w:tr w14:paraId="27FBA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368" w:type="dxa"/>
            <w:vMerge w:val="restart"/>
            <w:vAlign w:val="center"/>
          </w:tcPr>
          <w:p w14:paraId="4FFD37E8">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技术偏离</w:t>
            </w:r>
          </w:p>
        </w:tc>
        <w:tc>
          <w:tcPr>
            <w:tcW w:w="1434" w:type="dxa"/>
            <w:vAlign w:val="center"/>
          </w:tcPr>
          <w:p w14:paraId="4D2481FA">
            <w:pPr>
              <w:jc w:val="center"/>
              <w:rPr>
                <w:rFonts w:hint="eastAsia" w:ascii="宋体" w:hAnsi="宋体" w:eastAsia="宋体" w:cs="宋体"/>
                <w:b w:val="0"/>
                <w:bCs w:val="0"/>
                <w:color w:val="auto"/>
                <w:sz w:val="22"/>
                <w:szCs w:val="22"/>
                <w:highlight w:val="none"/>
              </w:rPr>
            </w:pPr>
          </w:p>
        </w:tc>
        <w:tc>
          <w:tcPr>
            <w:tcW w:w="2743" w:type="dxa"/>
            <w:vAlign w:val="center"/>
          </w:tcPr>
          <w:p w14:paraId="7887B47E">
            <w:pPr>
              <w:jc w:val="center"/>
              <w:rPr>
                <w:rFonts w:hint="eastAsia" w:ascii="宋体" w:hAnsi="宋体" w:eastAsia="宋体" w:cs="宋体"/>
                <w:b w:val="0"/>
                <w:bCs w:val="0"/>
                <w:color w:val="auto"/>
                <w:sz w:val="22"/>
                <w:szCs w:val="22"/>
                <w:highlight w:val="none"/>
              </w:rPr>
            </w:pPr>
          </w:p>
        </w:tc>
        <w:tc>
          <w:tcPr>
            <w:tcW w:w="3023" w:type="dxa"/>
            <w:vAlign w:val="center"/>
          </w:tcPr>
          <w:p w14:paraId="63C26B68">
            <w:pPr>
              <w:jc w:val="center"/>
              <w:rPr>
                <w:rFonts w:hint="eastAsia" w:ascii="宋体" w:hAnsi="宋体" w:eastAsia="宋体" w:cs="宋体"/>
                <w:b w:val="0"/>
                <w:bCs w:val="0"/>
                <w:color w:val="auto"/>
                <w:sz w:val="22"/>
                <w:szCs w:val="22"/>
                <w:highlight w:val="none"/>
              </w:rPr>
            </w:pPr>
          </w:p>
        </w:tc>
        <w:tc>
          <w:tcPr>
            <w:tcW w:w="1260" w:type="dxa"/>
            <w:vAlign w:val="center"/>
          </w:tcPr>
          <w:p w14:paraId="6B4D375F">
            <w:pPr>
              <w:jc w:val="center"/>
              <w:rPr>
                <w:rFonts w:hint="eastAsia" w:ascii="宋体" w:hAnsi="宋体" w:eastAsia="宋体" w:cs="宋体"/>
                <w:b w:val="0"/>
                <w:bCs w:val="0"/>
                <w:color w:val="auto"/>
                <w:sz w:val="22"/>
                <w:szCs w:val="22"/>
                <w:highlight w:val="none"/>
              </w:rPr>
            </w:pPr>
          </w:p>
        </w:tc>
      </w:tr>
      <w:tr w14:paraId="477E0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368" w:type="dxa"/>
            <w:vMerge w:val="continue"/>
            <w:vAlign w:val="center"/>
          </w:tcPr>
          <w:p w14:paraId="23F35F44">
            <w:pPr>
              <w:jc w:val="center"/>
              <w:rPr>
                <w:rFonts w:hint="eastAsia" w:ascii="宋体" w:hAnsi="宋体" w:eastAsia="宋体" w:cs="宋体"/>
                <w:b w:val="0"/>
                <w:bCs w:val="0"/>
                <w:color w:val="auto"/>
                <w:sz w:val="22"/>
                <w:szCs w:val="22"/>
                <w:highlight w:val="none"/>
              </w:rPr>
            </w:pPr>
          </w:p>
        </w:tc>
        <w:tc>
          <w:tcPr>
            <w:tcW w:w="1434" w:type="dxa"/>
            <w:vAlign w:val="center"/>
          </w:tcPr>
          <w:p w14:paraId="37C61367">
            <w:pPr>
              <w:jc w:val="center"/>
              <w:rPr>
                <w:rFonts w:hint="eastAsia" w:ascii="宋体" w:hAnsi="宋体" w:eastAsia="宋体" w:cs="宋体"/>
                <w:b w:val="0"/>
                <w:bCs w:val="0"/>
                <w:color w:val="auto"/>
                <w:sz w:val="22"/>
                <w:szCs w:val="22"/>
                <w:highlight w:val="none"/>
              </w:rPr>
            </w:pPr>
          </w:p>
        </w:tc>
        <w:tc>
          <w:tcPr>
            <w:tcW w:w="2743" w:type="dxa"/>
            <w:vAlign w:val="center"/>
          </w:tcPr>
          <w:p w14:paraId="0BECE6D4">
            <w:pPr>
              <w:jc w:val="center"/>
              <w:rPr>
                <w:rFonts w:hint="eastAsia" w:ascii="宋体" w:hAnsi="宋体" w:eastAsia="宋体" w:cs="宋体"/>
                <w:b w:val="0"/>
                <w:bCs w:val="0"/>
                <w:color w:val="auto"/>
                <w:sz w:val="22"/>
                <w:szCs w:val="22"/>
                <w:highlight w:val="none"/>
              </w:rPr>
            </w:pPr>
          </w:p>
        </w:tc>
        <w:tc>
          <w:tcPr>
            <w:tcW w:w="3023" w:type="dxa"/>
            <w:vAlign w:val="center"/>
          </w:tcPr>
          <w:p w14:paraId="62B7786C">
            <w:pPr>
              <w:jc w:val="center"/>
              <w:rPr>
                <w:rFonts w:hint="eastAsia" w:ascii="宋体" w:hAnsi="宋体" w:eastAsia="宋体" w:cs="宋体"/>
                <w:b w:val="0"/>
                <w:bCs w:val="0"/>
                <w:color w:val="auto"/>
                <w:sz w:val="22"/>
                <w:szCs w:val="22"/>
                <w:highlight w:val="none"/>
              </w:rPr>
            </w:pPr>
          </w:p>
        </w:tc>
        <w:tc>
          <w:tcPr>
            <w:tcW w:w="1260" w:type="dxa"/>
            <w:vAlign w:val="center"/>
          </w:tcPr>
          <w:p w14:paraId="5D68BF7F">
            <w:pPr>
              <w:jc w:val="center"/>
              <w:rPr>
                <w:rFonts w:hint="eastAsia" w:ascii="宋体" w:hAnsi="宋体" w:eastAsia="宋体" w:cs="宋体"/>
                <w:b w:val="0"/>
                <w:bCs w:val="0"/>
                <w:color w:val="auto"/>
                <w:sz w:val="22"/>
                <w:szCs w:val="22"/>
                <w:highlight w:val="none"/>
              </w:rPr>
            </w:pPr>
          </w:p>
        </w:tc>
      </w:tr>
      <w:tr w14:paraId="61B9A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368" w:type="dxa"/>
            <w:vMerge w:val="continue"/>
            <w:vAlign w:val="center"/>
          </w:tcPr>
          <w:p w14:paraId="1EE10089">
            <w:pPr>
              <w:jc w:val="center"/>
              <w:rPr>
                <w:rFonts w:hint="eastAsia" w:ascii="宋体" w:hAnsi="宋体" w:eastAsia="宋体" w:cs="宋体"/>
                <w:b w:val="0"/>
                <w:bCs w:val="0"/>
                <w:color w:val="auto"/>
                <w:sz w:val="22"/>
                <w:szCs w:val="22"/>
                <w:highlight w:val="none"/>
              </w:rPr>
            </w:pPr>
          </w:p>
        </w:tc>
        <w:tc>
          <w:tcPr>
            <w:tcW w:w="1434" w:type="dxa"/>
            <w:vAlign w:val="center"/>
          </w:tcPr>
          <w:p w14:paraId="4AD627D0">
            <w:pPr>
              <w:jc w:val="center"/>
              <w:rPr>
                <w:rFonts w:hint="eastAsia" w:ascii="宋体" w:hAnsi="宋体" w:eastAsia="宋体" w:cs="宋体"/>
                <w:b w:val="0"/>
                <w:bCs w:val="0"/>
                <w:color w:val="auto"/>
                <w:sz w:val="22"/>
                <w:szCs w:val="22"/>
                <w:highlight w:val="none"/>
              </w:rPr>
            </w:pPr>
          </w:p>
        </w:tc>
        <w:tc>
          <w:tcPr>
            <w:tcW w:w="2743" w:type="dxa"/>
            <w:vAlign w:val="center"/>
          </w:tcPr>
          <w:p w14:paraId="158D1433">
            <w:pPr>
              <w:jc w:val="center"/>
              <w:rPr>
                <w:rFonts w:hint="eastAsia" w:ascii="宋体" w:hAnsi="宋体" w:eastAsia="宋体" w:cs="宋体"/>
                <w:b w:val="0"/>
                <w:bCs w:val="0"/>
                <w:color w:val="auto"/>
                <w:sz w:val="22"/>
                <w:szCs w:val="22"/>
                <w:highlight w:val="none"/>
              </w:rPr>
            </w:pPr>
          </w:p>
        </w:tc>
        <w:tc>
          <w:tcPr>
            <w:tcW w:w="3023" w:type="dxa"/>
            <w:vAlign w:val="center"/>
          </w:tcPr>
          <w:p w14:paraId="60F6BCCB">
            <w:pPr>
              <w:jc w:val="center"/>
              <w:rPr>
                <w:rFonts w:hint="eastAsia" w:ascii="宋体" w:hAnsi="宋体" w:eastAsia="宋体" w:cs="宋体"/>
                <w:b w:val="0"/>
                <w:bCs w:val="0"/>
                <w:color w:val="auto"/>
                <w:sz w:val="22"/>
                <w:szCs w:val="22"/>
                <w:highlight w:val="none"/>
              </w:rPr>
            </w:pPr>
          </w:p>
        </w:tc>
        <w:tc>
          <w:tcPr>
            <w:tcW w:w="1260" w:type="dxa"/>
            <w:vAlign w:val="center"/>
          </w:tcPr>
          <w:p w14:paraId="1DC5BD1E">
            <w:pPr>
              <w:jc w:val="center"/>
              <w:rPr>
                <w:rFonts w:hint="eastAsia" w:ascii="宋体" w:hAnsi="宋体" w:eastAsia="宋体" w:cs="宋体"/>
                <w:b w:val="0"/>
                <w:bCs w:val="0"/>
                <w:color w:val="auto"/>
                <w:sz w:val="22"/>
                <w:szCs w:val="22"/>
                <w:highlight w:val="none"/>
              </w:rPr>
            </w:pPr>
          </w:p>
        </w:tc>
      </w:tr>
      <w:tr w14:paraId="0D977D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368" w:type="dxa"/>
            <w:vMerge w:val="continue"/>
            <w:vAlign w:val="center"/>
          </w:tcPr>
          <w:p w14:paraId="7DECEF4B">
            <w:pPr>
              <w:jc w:val="center"/>
              <w:rPr>
                <w:rFonts w:hint="eastAsia" w:ascii="宋体" w:hAnsi="宋体" w:eastAsia="宋体" w:cs="宋体"/>
                <w:b w:val="0"/>
                <w:bCs w:val="0"/>
                <w:color w:val="auto"/>
                <w:sz w:val="22"/>
                <w:szCs w:val="22"/>
                <w:highlight w:val="none"/>
              </w:rPr>
            </w:pPr>
          </w:p>
        </w:tc>
        <w:tc>
          <w:tcPr>
            <w:tcW w:w="1434" w:type="dxa"/>
            <w:vAlign w:val="center"/>
          </w:tcPr>
          <w:p w14:paraId="095865FC">
            <w:pPr>
              <w:jc w:val="center"/>
              <w:rPr>
                <w:rFonts w:hint="eastAsia" w:ascii="宋体" w:hAnsi="宋体" w:eastAsia="宋体" w:cs="宋体"/>
                <w:b w:val="0"/>
                <w:bCs w:val="0"/>
                <w:color w:val="auto"/>
                <w:sz w:val="22"/>
                <w:szCs w:val="22"/>
                <w:highlight w:val="none"/>
              </w:rPr>
            </w:pPr>
          </w:p>
        </w:tc>
        <w:tc>
          <w:tcPr>
            <w:tcW w:w="2743" w:type="dxa"/>
            <w:vAlign w:val="center"/>
          </w:tcPr>
          <w:p w14:paraId="34C0F957">
            <w:pPr>
              <w:jc w:val="center"/>
              <w:rPr>
                <w:rFonts w:hint="eastAsia" w:ascii="宋体" w:hAnsi="宋体" w:eastAsia="宋体" w:cs="宋体"/>
                <w:b w:val="0"/>
                <w:bCs w:val="0"/>
                <w:color w:val="auto"/>
                <w:sz w:val="22"/>
                <w:szCs w:val="22"/>
                <w:highlight w:val="none"/>
              </w:rPr>
            </w:pPr>
          </w:p>
        </w:tc>
        <w:tc>
          <w:tcPr>
            <w:tcW w:w="3023" w:type="dxa"/>
            <w:vAlign w:val="center"/>
          </w:tcPr>
          <w:p w14:paraId="4B7F6F4A">
            <w:pPr>
              <w:jc w:val="center"/>
              <w:rPr>
                <w:rFonts w:hint="eastAsia" w:ascii="宋体" w:hAnsi="宋体" w:eastAsia="宋体" w:cs="宋体"/>
                <w:b w:val="0"/>
                <w:bCs w:val="0"/>
                <w:color w:val="auto"/>
                <w:sz w:val="22"/>
                <w:szCs w:val="22"/>
                <w:highlight w:val="none"/>
              </w:rPr>
            </w:pPr>
          </w:p>
        </w:tc>
        <w:tc>
          <w:tcPr>
            <w:tcW w:w="1260" w:type="dxa"/>
            <w:vAlign w:val="center"/>
          </w:tcPr>
          <w:p w14:paraId="01D30C51">
            <w:pPr>
              <w:jc w:val="center"/>
              <w:rPr>
                <w:rFonts w:hint="eastAsia" w:ascii="宋体" w:hAnsi="宋体" w:eastAsia="宋体" w:cs="宋体"/>
                <w:b w:val="0"/>
                <w:bCs w:val="0"/>
                <w:color w:val="auto"/>
                <w:sz w:val="22"/>
                <w:szCs w:val="22"/>
                <w:highlight w:val="none"/>
              </w:rPr>
            </w:pPr>
          </w:p>
        </w:tc>
      </w:tr>
      <w:tr w14:paraId="493B6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368" w:type="dxa"/>
            <w:vMerge w:val="continue"/>
            <w:vAlign w:val="center"/>
          </w:tcPr>
          <w:p w14:paraId="357D36C9">
            <w:pPr>
              <w:jc w:val="center"/>
              <w:rPr>
                <w:rFonts w:hint="eastAsia" w:ascii="宋体" w:hAnsi="宋体" w:eastAsia="宋体" w:cs="宋体"/>
                <w:b w:val="0"/>
                <w:bCs w:val="0"/>
                <w:color w:val="auto"/>
                <w:sz w:val="22"/>
                <w:szCs w:val="22"/>
                <w:highlight w:val="none"/>
              </w:rPr>
            </w:pPr>
          </w:p>
        </w:tc>
        <w:tc>
          <w:tcPr>
            <w:tcW w:w="1434" w:type="dxa"/>
            <w:vAlign w:val="center"/>
          </w:tcPr>
          <w:p w14:paraId="7C62B0C9">
            <w:pPr>
              <w:jc w:val="center"/>
              <w:rPr>
                <w:rFonts w:hint="eastAsia" w:ascii="宋体" w:hAnsi="宋体" w:eastAsia="宋体" w:cs="宋体"/>
                <w:b w:val="0"/>
                <w:bCs w:val="0"/>
                <w:color w:val="auto"/>
                <w:sz w:val="22"/>
                <w:szCs w:val="22"/>
                <w:highlight w:val="none"/>
              </w:rPr>
            </w:pPr>
          </w:p>
        </w:tc>
        <w:tc>
          <w:tcPr>
            <w:tcW w:w="2743" w:type="dxa"/>
            <w:vAlign w:val="center"/>
          </w:tcPr>
          <w:p w14:paraId="53F90F7C">
            <w:pPr>
              <w:jc w:val="center"/>
              <w:rPr>
                <w:rFonts w:hint="eastAsia" w:ascii="宋体" w:hAnsi="宋体" w:eastAsia="宋体" w:cs="宋体"/>
                <w:b w:val="0"/>
                <w:bCs w:val="0"/>
                <w:color w:val="auto"/>
                <w:sz w:val="22"/>
                <w:szCs w:val="22"/>
                <w:highlight w:val="none"/>
              </w:rPr>
            </w:pPr>
          </w:p>
        </w:tc>
        <w:tc>
          <w:tcPr>
            <w:tcW w:w="3023" w:type="dxa"/>
            <w:vAlign w:val="center"/>
          </w:tcPr>
          <w:p w14:paraId="35A5A64C">
            <w:pPr>
              <w:jc w:val="center"/>
              <w:rPr>
                <w:rFonts w:hint="eastAsia" w:ascii="宋体" w:hAnsi="宋体" w:eastAsia="宋体" w:cs="宋体"/>
                <w:b w:val="0"/>
                <w:bCs w:val="0"/>
                <w:color w:val="auto"/>
                <w:sz w:val="22"/>
                <w:szCs w:val="22"/>
                <w:highlight w:val="none"/>
              </w:rPr>
            </w:pPr>
          </w:p>
        </w:tc>
        <w:tc>
          <w:tcPr>
            <w:tcW w:w="1260" w:type="dxa"/>
            <w:vAlign w:val="center"/>
          </w:tcPr>
          <w:p w14:paraId="5F84B0E9">
            <w:pPr>
              <w:jc w:val="center"/>
              <w:rPr>
                <w:rFonts w:hint="eastAsia" w:ascii="宋体" w:hAnsi="宋体" w:eastAsia="宋体" w:cs="宋体"/>
                <w:b w:val="0"/>
                <w:bCs w:val="0"/>
                <w:color w:val="auto"/>
                <w:sz w:val="22"/>
                <w:szCs w:val="22"/>
                <w:highlight w:val="none"/>
              </w:rPr>
            </w:pPr>
          </w:p>
        </w:tc>
      </w:tr>
      <w:tr w14:paraId="545E21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368" w:type="dxa"/>
            <w:vMerge w:val="restart"/>
            <w:vAlign w:val="center"/>
          </w:tcPr>
          <w:p w14:paraId="3F7C3913">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商务偏离</w:t>
            </w:r>
          </w:p>
        </w:tc>
        <w:tc>
          <w:tcPr>
            <w:tcW w:w="1434" w:type="dxa"/>
            <w:vAlign w:val="center"/>
          </w:tcPr>
          <w:p w14:paraId="07AE9172">
            <w:pPr>
              <w:jc w:val="center"/>
              <w:rPr>
                <w:rFonts w:hint="eastAsia" w:ascii="宋体" w:hAnsi="宋体" w:eastAsia="宋体" w:cs="宋体"/>
                <w:b w:val="0"/>
                <w:bCs w:val="0"/>
                <w:color w:val="auto"/>
                <w:sz w:val="22"/>
                <w:szCs w:val="22"/>
                <w:highlight w:val="none"/>
              </w:rPr>
            </w:pPr>
          </w:p>
        </w:tc>
        <w:tc>
          <w:tcPr>
            <w:tcW w:w="2743" w:type="dxa"/>
            <w:vAlign w:val="center"/>
          </w:tcPr>
          <w:p w14:paraId="476C268D">
            <w:pPr>
              <w:jc w:val="center"/>
              <w:rPr>
                <w:rFonts w:hint="eastAsia" w:ascii="宋体" w:hAnsi="宋体" w:eastAsia="宋体" w:cs="宋体"/>
                <w:b w:val="0"/>
                <w:bCs w:val="0"/>
                <w:color w:val="auto"/>
                <w:sz w:val="22"/>
                <w:szCs w:val="22"/>
                <w:highlight w:val="none"/>
              </w:rPr>
            </w:pPr>
          </w:p>
        </w:tc>
        <w:tc>
          <w:tcPr>
            <w:tcW w:w="3023" w:type="dxa"/>
            <w:vAlign w:val="center"/>
          </w:tcPr>
          <w:p w14:paraId="2ECCEB1B">
            <w:pPr>
              <w:jc w:val="center"/>
              <w:rPr>
                <w:rFonts w:hint="eastAsia" w:ascii="宋体" w:hAnsi="宋体" w:eastAsia="宋体" w:cs="宋体"/>
                <w:b w:val="0"/>
                <w:bCs w:val="0"/>
                <w:color w:val="auto"/>
                <w:sz w:val="22"/>
                <w:szCs w:val="22"/>
                <w:highlight w:val="none"/>
              </w:rPr>
            </w:pPr>
          </w:p>
        </w:tc>
        <w:tc>
          <w:tcPr>
            <w:tcW w:w="1260" w:type="dxa"/>
            <w:vAlign w:val="center"/>
          </w:tcPr>
          <w:p w14:paraId="28A1280E">
            <w:pPr>
              <w:jc w:val="center"/>
              <w:rPr>
                <w:rFonts w:hint="eastAsia" w:ascii="宋体" w:hAnsi="宋体" w:eastAsia="宋体" w:cs="宋体"/>
                <w:b w:val="0"/>
                <w:bCs w:val="0"/>
                <w:color w:val="auto"/>
                <w:sz w:val="22"/>
                <w:szCs w:val="22"/>
                <w:highlight w:val="none"/>
              </w:rPr>
            </w:pPr>
          </w:p>
        </w:tc>
      </w:tr>
      <w:tr w14:paraId="314269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368" w:type="dxa"/>
            <w:vMerge w:val="continue"/>
            <w:vAlign w:val="center"/>
          </w:tcPr>
          <w:p w14:paraId="1B2C1669">
            <w:pPr>
              <w:jc w:val="center"/>
              <w:rPr>
                <w:rFonts w:hint="eastAsia" w:ascii="宋体" w:hAnsi="宋体" w:eastAsia="宋体" w:cs="宋体"/>
                <w:b w:val="0"/>
                <w:bCs w:val="0"/>
                <w:color w:val="auto"/>
                <w:sz w:val="22"/>
                <w:szCs w:val="22"/>
                <w:highlight w:val="none"/>
              </w:rPr>
            </w:pPr>
          </w:p>
        </w:tc>
        <w:tc>
          <w:tcPr>
            <w:tcW w:w="1434" w:type="dxa"/>
            <w:vAlign w:val="center"/>
          </w:tcPr>
          <w:p w14:paraId="3A0DDEF1">
            <w:pPr>
              <w:jc w:val="center"/>
              <w:rPr>
                <w:rFonts w:hint="eastAsia" w:ascii="宋体" w:hAnsi="宋体" w:eastAsia="宋体" w:cs="宋体"/>
                <w:b w:val="0"/>
                <w:bCs w:val="0"/>
                <w:color w:val="auto"/>
                <w:sz w:val="22"/>
                <w:szCs w:val="22"/>
                <w:highlight w:val="none"/>
              </w:rPr>
            </w:pPr>
          </w:p>
        </w:tc>
        <w:tc>
          <w:tcPr>
            <w:tcW w:w="2743" w:type="dxa"/>
            <w:vAlign w:val="center"/>
          </w:tcPr>
          <w:p w14:paraId="0BE901E5">
            <w:pPr>
              <w:jc w:val="center"/>
              <w:rPr>
                <w:rFonts w:hint="eastAsia" w:ascii="宋体" w:hAnsi="宋体" w:eastAsia="宋体" w:cs="宋体"/>
                <w:b w:val="0"/>
                <w:bCs w:val="0"/>
                <w:color w:val="auto"/>
                <w:sz w:val="22"/>
                <w:szCs w:val="22"/>
                <w:highlight w:val="none"/>
              </w:rPr>
            </w:pPr>
          </w:p>
        </w:tc>
        <w:tc>
          <w:tcPr>
            <w:tcW w:w="3023" w:type="dxa"/>
            <w:vAlign w:val="center"/>
          </w:tcPr>
          <w:p w14:paraId="74A36B67">
            <w:pPr>
              <w:jc w:val="center"/>
              <w:rPr>
                <w:rFonts w:hint="eastAsia" w:ascii="宋体" w:hAnsi="宋体" w:eastAsia="宋体" w:cs="宋体"/>
                <w:b w:val="0"/>
                <w:bCs w:val="0"/>
                <w:color w:val="auto"/>
                <w:sz w:val="22"/>
                <w:szCs w:val="22"/>
                <w:highlight w:val="none"/>
              </w:rPr>
            </w:pPr>
          </w:p>
        </w:tc>
        <w:tc>
          <w:tcPr>
            <w:tcW w:w="1260" w:type="dxa"/>
            <w:vAlign w:val="center"/>
          </w:tcPr>
          <w:p w14:paraId="000F739D">
            <w:pPr>
              <w:jc w:val="center"/>
              <w:rPr>
                <w:rFonts w:hint="eastAsia" w:ascii="宋体" w:hAnsi="宋体" w:eastAsia="宋体" w:cs="宋体"/>
                <w:b w:val="0"/>
                <w:bCs w:val="0"/>
                <w:color w:val="auto"/>
                <w:sz w:val="22"/>
                <w:szCs w:val="22"/>
                <w:highlight w:val="none"/>
              </w:rPr>
            </w:pPr>
          </w:p>
        </w:tc>
      </w:tr>
      <w:tr w14:paraId="5C9514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368" w:type="dxa"/>
            <w:vMerge w:val="continue"/>
            <w:vAlign w:val="center"/>
          </w:tcPr>
          <w:p w14:paraId="7735EAD5">
            <w:pPr>
              <w:jc w:val="center"/>
              <w:rPr>
                <w:rFonts w:hint="eastAsia" w:ascii="宋体" w:hAnsi="宋体" w:eastAsia="宋体" w:cs="宋体"/>
                <w:b w:val="0"/>
                <w:bCs w:val="0"/>
                <w:color w:val="auto"/>
                <w:sz w:val="22"/>
                <w:szCs w:val="22"/>
                <w:highlight w:val="none"/>
              </w:rPr>
            </w:pPr>
          </w:p>
        </w:tc>
        <w:tc>
          <w:tcPr>
            <w:tcW w:w="1434" w:type="dxa"/>
            <w:vAlign w:val="center"/>
          </w:tcPr>
          <w:p w14:paraId="6E20D548">
            <w:pPr>
              <w:jc w:val="center"/>
              <w:rPr>
                <w:rFonts w:hint="eastAsia" w:ascii="宋体" w:hAnsi="宋体" w:eastAsia="宋体" w:cs="宋体"/>
                <w:b w:val="0"/>
                <w:bCs w:val="0"/>
                <w:color w:val="auto"/>
                <w:sz w:val="22"/>
                <w:szCs w:val="22"/>
                <w:highlight w:val="none"/>
              </w:rPr>
            </w:pPr>
          </w:p>
        </w:tc>
        <w:tc>
          <w:tcPr>
            <w:tcW w:w="2743" w:type="dxa"/>
            <w:vAlign w:val="center"/>
          </w:tcPr>
          <w:p w14:paraId="4E7EF81A">
            <w:pPr>
              <w:jc w:val="center"/>
              <w:rPr>
                <w:rFonts w:hint="eastAsia" w:ascii="宋体" w:hAnsi="宋体" w:eastAsia="宋体" w:cs="宋体"/>
                <w:b w:val="0"/>
                <w:bCs w:val="0"/>
                <w:color w:val="auto"/>
                <w:sz w:val="22"/>
                <w:szCs w:val="22"/>
                <w:highlight w:val="none"/>
              </w:rPr>
            </w:pPr>
          </w:p>
        </w:tc>
        <w:tc>
          <w:tcPr>
            <w:tcW w:w="3023" w:type="dxa"/>
            <w:vAlign w:val="center"/>
          </w:tcPr>
          <w:p w14:paraId="20DCFFC1">
            <w:pPr>
              <w:jc w:val="center"/>
              <w:rPr>
                <w:rFonts w:hint="eastAsia" w:ascii="宋体" w:hAnsi="宋体" w:eastAsia="宋体" w:cs="宋体"/>
                <w:b w:val="0"/>
                <w:bCs w:val="0"/>
                <w:color w:val="auto"/>
                <w:sz w:val="22"/>
                <w:szCs w:val="22"/>
                <w:highlight w:val="none"/>
              </w:rPr>
            </w:pPr>
          </w:p>
        </w:tc>
        <w:tc>
          <w:tcPr>
            <w:tcW w:w="1260" w:type="dxa"/>
            <w:vAlign w:val="center"/>
          </w:tcPr>
          <w:p w14:paraId="2E5E2CCF">
            <w:pPr>
              <w:jc w:val="center"/>
              <w:rPr>
                <w:rFonts w:hint="eastAsia" w:ascii="宋体" w:hAnsi="宋体" w:eastAsia="宋体" w:cs="宋体"/>
                <w:b w:val="0"/>
                <w:bCs w:val="0"/>
                <w:color w:val="auto"/>
                <w:sz w:val="22"/>
                <w:szCs w:val="22"/>
                <w:highlight w:val="none"/>
              </w:rPr>
            </w:pPr>
          </w:p>
        </w:tc>
      </w:tr>
      <w:tr w14:paraId="76516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368" w:type="dxa"/>
            <w:vMerge w:val="continue"/>
            <w:vAlign w:val="center"/>
          </w:tcPr>
          <w:p w14:paraId="53303A9E">
            <w:pPr>
              <w:jc w:val="center"/>
              <w:rPr>
                <w:rFonts w:hint="eastAsia" w:ascii="宋体" w:hAnsi="宋体" w:eastAsia="宋体" w:cs="宋体"/>
                <w:b w:val="0"/>
                <w:bCs w:val="0"/>
                <w:color w:val="auto"/>
                <w:sz w:val="22"/>
                <w:szCs w:val="22"/>
                <w:highlight w:val="none"/>
              </w:rPr>
            </w:pPr>
          </w:p>
        </w:tc>
        <w:tc>
          <w:tcPr>
            <w:tcW w:w="1434" w:type="dxa"/>
            <w:vAlign w:val="center"/>
          </w:tcPr>
          <w:p w14:paraId="573C4B8A">
            <w:pPr>
              <w:jc w:val="center"/>
              <w:rPr>
                <w:rFonts w:hint="eastAsia" w:ascii="宋体" w:hAnsi="宋体" w:eastAsia="宋体" w:cs="宋体"/>
                <w:b w:val="0"/>
                <w:bCs w:val="0"/>
                <w:color w:val="auto"/>
                <w:sz w:val="22"/>
                <w:szCs w:val="22"/>
                <w:highlight w:val="none"/>
              </w:rPr>
            </w:pPr>
          </w:p>
        </w:tc>
        <w:tc>
          <w:tcPr>
            <w:tcW w:w="2743" w:type="dxa"/>
            <w:vAlign w:val="center"/>
          </w:tcPr>
          <w:p w14:paraId="49DFB28A">
            <w:pPr>
              <w:jc w:val="center"/>
              <w:rPr>
                <w:rFonts w:hint="eastAsia" w:ascii="宋体" w:hAnsi="宋体" w:eastAsia="宋体" w:cs="宋体"/>
                <w:b w:val="0"/>
                <w:bCs w:val="0"/>
                <w:color w:val="auto"/>
                <w:sz w:val="22"/>
                <w:szCs w:val="22"/>
                <w:highlight w:val="none"/>
              </w:rPr>
            </w:pPr>
          </w:p>
        </w:tc>
        <w:tc>
          <w:tcPr>
            <w:tcW w:w="3023" w:type="dxa"/>
            <w:vAlign w:val="center"/>
          </w:tcPr>
          <w:p w14:paraId="66CEBB54">
            <w:pPr>
              <w:jc w:val="center"/>
              <w:rPr>
                <w:rFonts w:hint="eastAsia" w:ascii="宋体" w:hAnsi="宋体" w:eastAsia="宋体" w:cs="宋体"/>
                <w:b w:val="0"/>
                <w:bCs w:val="0"/>
                <w:color w:val="auto"/>
                <w:sz w:val="22"/>
                <w:szCs w:val="22"/>
                <w:highlight w:val="none"/>
              </w:rPr>
            </w:pPr>
          </w:p>
        </w:tc>
        <w:tc>
          <w:tcPr>
            <w:tcW w:w="1260" w:type="dxa"/>
            <w:vAlign w:val="center"/>
          </w:tcPr>
          <w:p w14:paraId="5F03FB7D">
            <w:pPr>
              <w:jc w:val="center"/>
              <w:rPr>
                <w:rFonts w:hint="eastAsia" w:ascii="宋体" w:hAnsi="宋体" w:eastAsia="宋体" w:cs="宋体"/>
                <w:b w:val="0"/>
                <w:bCs w:val="0"/>
                <w:color w:val="auto"/>
                <w:sz w:val="22"/>
                <w:szCs w:val="22"/>
                <w:highlight w:val="none"/>
              </w:rPr>
            </w:pPr>
          </w:p>
        </w:tc>
      </w:tr>
      <w:tr w14:paraId="49907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368" w:type="dxa"/>
            <w:vMerge w:val="continue"/>
            <w:vAlign w:val="center"/>
          </w:tcPr>
          <w:p w14:paraId="321EAFED">
            <w:pPr>
              <w:jc w:val="center"/>
              <w:rPr>
                <w:rFonts w:hint="eastAsia" w:ascii="宋体" w:hAnsi="宋体" w:eastAsia="宋体" w:cs="宋体"/>
                <w:b w:val="0"/>
                <w:bCs w:val="0"/>
                <w:color w:val="auto"/>
                <w:sz w:val="22"/>
                <w:szCs w:val="22"/>
                <w:highlight w:val="none"/>
              </w:rPr>
            </w:pPr>
          </w:p>
        </w:tc>
        <w:tc>
          <w:tcPr>
            <w:tcW w:w="1434" w:type="dxa"/>
            <w:vAlign w:val="center"/>
          </w:tcPr>
          <w:p w14:paraId="3CF95A61">
            <w:pPr>
              <w:jc w:val="center"/>
              <w:rPr>
                <w:rFonts w:hint="eastAsia" w:ascii="宋体" w:hAnsi="宋体" w:eastAsia="宋体" w:cs="宋体"/>
                <w:b w:val="0"/>
                <w:bCs w:val="0"/>
                <w:color w:val="auto"/>
                <w:sz w:val="22"/>
                <w:szCs w:val="22"/>
                <w:highlight w:val="none"/>
              </w:rPr>
            </w:pPr>
          </w:p>
        </w:tc>
        <w:tc>
          <w:tcPr>
            <w:tcW w:w="2743" w:type="dxa"/>
            <w:vAlign w:val="center"/>
          </w:tcPr>
          <w:p w14:paraId="251636DD">
            <w:pPr>
              <w:jc w:val="center"/>
              <w:rPr>
                <w:rFonts w:hint="eastAsia" w:ascii="宋体" w:hAnsi="宋体" w:eastAsia="宋体" w:cs="宋体"/>
                <w:b w:val="0"/>
                <w:bCs w:val="0"/>
                <w:color w:val="auto"/>
                <w:sz w:val="22"/>
                <w:szCs w:val="22"/>
                <w:highlight w:val="none"/>
              </w:rPr>
            </w:pPr>
          </w:p>
        </w:tc>
        <w:tc>
          <w:tcPr>
            <w:tcW w:w="3023" w:type="dxa"/>
            <w:vAlign w:val="center"/>
          </w:tcPr>
          <w:p w14:paraId="6F7250A5">
            <w:pPr>
              <w:jc w:val="center"/>
              <w:rPr>
                <w:rFonts w:hint="eastAsia" w:ascii="宋体" w:hAnsi="宋体" w:eastAsia="宋体" w:cs="宋体"/>
                <w:b w:val="0"/>
                <w:bCs w:val="0"/>
                <w:color w:val="auto"/>
                <w:sz w:val="22"/>
                <w:szCs w:val="22"/>
                <w:highlight w:val="none"/>
              </w:rPr>
            </w:pPr>
          </w:p>
        </w:tc>
        <w:tc>
          <w:tcPr>
            <w:tcW w:w="1260" w:type="dxa"/>
            <w:vAlign w:val="center"/>
          </w:tcPr>
          <w:p w14:paraId="66305477">
            <w:pPr>
              <w:jc w:val="center"/>
              <w:rPr>
                <w:rFonts w:hint="eastAsia" w:ascii="宋体" w:hAnsi="宋体" w:eastAsia="宋体" w:cs="宋体"/>
                <w:b w:val="0"/>
                <w:bCs w:val="0"/>
                <w:color w:val="auto"/>
                <w:sz w:val="22"/>
                <w:szCs w:val="22"/>
                <w:highlight w:val="none"/>
              </w:rPr>
            </w:pPr>
          </w:p>
        </w:tc>
      </w:tr>
    </w:tbl>
    <w:p w14:paraId="1A867299">
      <w:pPr>
        <w:pStyle w:val="26"/>
        <w:spacing w:line="340" w:lineRule="exact"/>
        <w:rPr>
          <w:rFonts w:hint="eastAsia" w:ascii="宋体" w:hAnsi="宋体" w:eastAsia="宋体" w:cs="宋体"/>
          <w:color w:val="auto"/>
          <w:sz w:val="22"/>
          <w:szCs w:val="22"/>
          <w:highlight w:val="none"/>
        </w:rPr>
      </w:pPr>
      <w:r>
        <w:rPr>
          <w:rFonts w:hint="eastAsia" w:ascii="宋体" w:hAnsi="宋体" w:eastAsia="宋体" w:cs="宋体"/>
          <w:b/>
          <w:color w:val="auto"/>
          <w:sz w:val="22"/>
          <w:szCs w:val="22"/>
          <w:highlight w:val="none"/>
        </w:rPr>
        <w:t>注：1、偏离表中进行如实填写详细对比说明并注明无偏离、正偏离和负偏离。</w:t>
      </w:r>
    </w:p>
    <w:p w14:paraId="588E7CC8">
      <w:pPr>
        <w:pStyle w:val="26"/>
        <w:spacing w:line="340" w:lineRule="exact"/>
        <w:ind w:firstLine="442"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2、不填写此表视作完全响应</w:t>
      </w:r>
      <w:r>
        <w:rPr>
          <w:rFonts w:hint="eastAsia" w:hAnsi="宋体" w:eastAsia="宋体" w:cs="宋体"/>
          <w:color w:val="auto"/>
          <w:sz w:val="22"/>
          <w:szCs w:val="22"/>
          <w:highlight w:val="none"/>
          <w:lang w:eastAsia="zh-CN"/>
        </w:rPr>
        <w:t>采购文件</w:t>
      </w:r>
      <w:r>
        <w:rPr>
          <w:rFonts w:hint="eastAsia" w:ascii="宋体" w:hAnsi="宋体" w:eastAsia="宋体" w:cs="宋体"/>
          <w:color w:val="auto"/>
          <w:sz w:val="22"/>
          <w:szCs w:val="22"/>
          <w:highlight w:val="none"/>
        </w:rPr>
        <w:t>要求。</w:t>
      </w:r>
    </w:p>
    <w:p w14:paraId="0A0706EA">
      <w:pPr>
        <w:pStyle w:val="26"/>
        <w:spacing w:line="340" w:lineRule="exact"/>
        <w:ind w:firstLine="442" w:firstLineChars="200"/>
        <w:rPr>
          <w:rFonts w:hint="eastAsia" w:ascii="宋体" w:hAnsi="宋体" w:eastAsia="宋体" w:cs="宋体"/>
          <w:b/>
          <w:bCs/>
          <w:color w:val="auto"/>
          <w:sz w:val="22"/>
          <w:szCs w:val="22"/>
          <w:highlight w:val="none"/>
          <w:u w:val="single"/>
        </w:rPr>
      </w:pPr>
      <w:r>
        <w:rPr>
          <w:rFonts w:hint="eastAsia" w:ascii="宋体" w:hAnsi="宋体" w:eastAsia="宋体" w:cs="宋体"/>
          <w:b/>
          <w:bCs/>
          <w:color w:val="auto"/>
          <w:sz w:val="22"/>
          <w:szCs w:val="22"/>
          <w:highlight w:val="none"/>
        </w:rPr>
        <w:t>3、▲</w:t>
      </w:r>
      <w:r>
        <w:rPr>
          <w:rFonts w:hint="eastAsia" w:ascii="宋体" w:hAnsi="宋体" w:eastAsia="宋体" w:cs="宋体"/>
          <w:b/>
          <w:bCs/>
          <w:color w:val="auto"/>
          <w:sz w:val="22"/>
          <w:szCs w:val="22"/>
          <w:highlight w:val="none"/>
          <w:u w:val="single"/>
          <w:lang w:val="zh-CN"/>
        </w:rPr>
        <w:t>不提供此表的视为没有实质性响应</w:t>
      </w:r>
      <w:r>
        <w:rPr>
          <w:rFonts w:hint="eastAsia" w:hAnsi="宋体" w:eastAsia="宋体" w:cs="宋体"/>
          <w:b/>
          <w:bCs/>
          <w:color w:val="auto"/>
          <w:sz w:val="22"/>
          <w:szCs w:val="22"/>
          <w:highlight w:val="none"/>
          <w:u w:val="single"/>
          <w:lang w:val="zh-CN"/>
        </w:rPr>
        <w:t>采购文件，</w:t>
      </w:r>
      <w:r>
        <w:rPr>
          <w:rFonts w:hint="eastAsia" w:ascii="宋体" w:hAnsi="宋体" w:eastAsia="宋体" w:cs="宋体"/>
          <w:b/>
          <w:bCs/>
          <w:color w:val="auto"/>
          <w:sz w:val="22"/>
          <w:szCs w:val="22"/>
          <w:highlight w:val="none"/>
          <w:u w:val="single"/>
          <w:lang w:val="zh-CN"/>
        </w:rPr>
        <w:t>其投标将被拒绝。</w:t>
      </w:r>
    </w:p>
    <w:p w14:paraId="69FD375F">
      <w:pPr>
        <w:pStyle w:val="26"/>
        <w:spacing w:line="340" w:lineRule="exact"/>
        <w:rPr>
          <w:rFonts w:hint="eastAsia" w:ascii="宋体" w:hAnsi="宋体" w:eastAsia="宋体" w:cs="宋体"/>
          <w:b/>
          <w:color w:val="auto"/>
          <w:sz w:val="22"/>
          <w:highlight w:val="none"/>
        </w:rPr>
      </w:pPr>
    </w:p>
    <w:p w14:paraId="3C169742">
      <w:pPr>
        <w:pStyle w:val="26"/>
        <w:spacing w:line="340" w:lineRule="exact"/>
        <w:ind w:left="657" w:leftChars="313" w:firstLine="4196" w:firstLineChars="1900"/>
        <w:rPr>
          <w:rFonts w:hint="eastAsia" w:ascii="宋体" w:hAnsi="宋体" w:eastAsia="宋体" w:cs="宋体"/>
          <w:b/>
          <w:color w:val="auto"/>
          <w:sz w:val="22"/>
          <w:highlight w:val="none"/>
        </w:rPr>
      </w:pPr>
    </w:p>
    <w:p w14:paraId="10517976">
      <w:pPr>
        <w:pStyle w:val="26"/>
        <w:spacing w:line="360" w:lineRule="auto"/>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eastAsia="zh-CN"/>
        </w:rPr>
        <w:t>投标供应商</w:t>
      </w:r>
      <w:r>
        <w:rPr>
          <w:rFonts w:hint="eastAsia" w:ascii="宋体" w:hAnsi="宋体" w:eastAsia="宋体" w:cs="宋体"/>
          <w:b w:val="0"/>
          <w:bCs w:val="0"/>
          <w:color w:val="auto"/>
          <w:sz w:val="22"/>
          <w:szCs w:val="22"/>
          <w:highlight w:val="none"/>
        </w:rPr>
        <w:t>全称（盖章）：</w:t>
      </w:r>
    </w:p>
    <w:p w14:paraId="09BF0759">
      <w:pPr>
        <w:pStyle w:val="26"/>
        <w:spacing w:line="360" w:lineRule="auto"/>
        <w:rPr>
          <w:rFonts w:hint="eastAsia" w:ascii="宋体" w:hAnsi="宋体" w:eastAsia="宋体" w:cs="宋体"/>
          <w:b w:val="0"/>
          <w:bCs w:val="0"/>
          <w:color w:val="auto"/>
          <w:sz w:val="22"/>
          <w:szCs w:val="22"/>
          <w:highlight w:val="none"/>
        </w:rPr>
        <w:sectPr>
          <w:pgSz w:w="11906" w:h="16838"/>
          <w:pgMar w:top="1134" w:right="1134" w:bottom="1134" w:left="1134" w:header="851" w:footer="850" w:gutter="0"/>
          <w:cols w:space="720" w:num="1"/>
          <w:titlePg/>
          <w:docGrid w:type="lines" w:linePitch="312" w:charSpace="0"/>
        </w:sectPr>
      </w:pPr>
      <w:r>
        <w:rPr>
          <w:rFonts w:hint="eastAsia" w:ascii="宋体" w:hAnsi="宋体" w:eastAsia="宋体" w:cs="宋体"/>
          <w:b w:val="0"/>
          <w:bCs w:val="0"/>
          <w:color w:val="auto"/>
          <w:sz w:val="22"/>
          <w:szCs w:val="22"/>
          <w:highlight w:val="none"/>
        </w:rPr>
        <w:t>日 期：       年      月      日</w:t>
      </w:r>
    </w:p>
    <w:p w14:paraId="51E4E112">
      <w:pPr>
        <w:pStyle w:val="41"/>
        <w:jc w:val="left"/>
        <w:rPr>
          <w:rFonts w:hint="eastAsia" w:ascii="宋体" w:hAnsi="宋体" w:eastAsia="宋体" w:cs="宋体"/>
          <w:b/>
          <w:bCs/>
          <w:color w:val="auto"/>
          <w:kern w:val="0"/>
          <w:sz w:val="22"/>
          <w:szCs w:val="22"/>
          <w:highlight w:val="none"/>
          <w:lang w:eastAsia="zh-CN"/>
        </w:rPr>
      </w:pPr>
      <w:bookmarkStart w:id="249" w:name="_Toc11714"/>
      <w:bookmarkEnd w:id="249"/>
      <w:bookmarkStart w:id="250" w:name="_Toc4918"/>
      <w:r>
        <w:rPr>
          <w:rFonts w:hint="eastAsia" w:ascii="宋体" w:hAnsi="宋体" w:eastAsia="宋体" w:cs="宋体"/>
          <w:b/>
          <w:bCs/>
          <w:color w:val="auto"/>
          <w:kern w:val="0"/>
          <w:sz w:val="22"/>
          <w:szCs w:val="22"/>
          <w:highlight w:val="none"/>
        </w:rPr>
        <w:t>附件</w:t>
      </w:r>
      <w:r>
        <w:rPr>
          <w:rFonts w:hint="eastAsia" w:ascii="宋体" w:hAnsi="宋体" w:eastAsia="宋体" w:cs="宋体"/>
          <w:b/>
          <w:bCs/>
          <w:color w:val="auto"/>
          <w:kern w:val="0"/>
          <w:sz w:val="22"/>
          <w:szCs w:val="22"/>
          <w:highlight w:val="none"/>
          <w:lang w:val="en-US" w:eastAsia="zh-CN"/>
        </w:rPr>
        <w:t>九</w:t>
      </w:r>
      <w:bookmarkEnd w:id="250"/>
    </w:p>
    <w:p w14:paraId="0714887C">
      <w:pPr>
        <w:pStyle w:val="41"/>
        <w:rPr>
          <w:rFonts w:hint="eastAsia" w:ascii="宋体" w:hAnsi="宋体" w:eastAsia="宋体" w:cs="宋体"/>
          <w:color w:val="auto"/>
          <w:highlight w:val="none"/>
        </w:rPr>
      </w:pPr>
      <w:bookmarkStart w:id="251" w:name="_Toc13133"/>
      <w:bookmarkEnd w:id="251"/>
      <w:bookmarkStart w:id="252" w:name="_Toc13285"/>
      <w:r>
        <w:rPr>
          <w:rFonts w:hint="eastAsia" w:ascii="宋体" w:hAnsi="宋体" w:eastAsia="宋体" w:cs="宋体"/>
          <w:color w:val="auto"/>
          <w:highlight w:val="none"/>
        </w:rPr>
        <w:t>供应商项目服务人员汇总表</w:t>
      </w:r>
      <w:bookmarkEnd w:id="252"/>
    </w:p>
    <w:p w14:paraId="27BBF612">
      <w:pPr>
        <w:spacing w:line="360" w:lineRule="auto"/>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 xml:space="preserve">项目名称：                                 招标编号：                                                 </w:t>
      </w:r>
    </w:p>
    <w:tbl>
      <w:tblPr>
        <w:tblStyle w:val="4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520"/>
        <w:gridCol w:w="720"/>
        <w:gridCol w:w="720"/>
        <w:gridCol w:w="720"/>
        <w:gridCol w:w="1080"/>
        <w:gridCol w:w="1458"/>
        <w:gridCol w:w="1560"/>
      </w:tblGrid>
      <w:tr w14:paraId="23466B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828" w:type="dxa"/>
            <w:tcBorders>
              <w:top w:val="single" w:color="auto" w:sz="4" w:space="0"/>
              <w:left w:val="single" w:color="auto" w:sz="4" w:space="0"/>
              <w:bottom w:val="single" w:color="auto" w:sz="4" w:space="0"/>
              <w:right w:val="single" w:color="auto" w:sz="4" w:space="0"/>
            </w:tcBorders>
            <w:vAlign w:val="center"/>
          </w:tcPr>
          <w:p w14:paraId="0EDA0289">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姓名</w:t>
            </w:r>
          </w:p>
        </w:tc>
        <w:tc>
          <w:tcPr>
            <w:tcW w:w="2520" w:type="dxa"/>
            <w:tcBorders>
              <w:top w:val="single" w:color="auto" w:sz="4" w:space="0"/>
              <w:left w:val="single" w:color="auto" w:sz="4" w:space="0"/>
              <w:bottom w:val="single" w:color="auto" w:sz="4" w:space="0"/>
              <w:right w:val="single" w:color="auto" w:sz="4" w:space="0"/>
            </w:tcBorders>
            <w:vAlign w:val="center"/>
          </w:tcPr>
          <w:p w14:paraId="370D8CFA">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本项目主要工作</w:t>
            </w:r>
          </w:p>
        </w:tc>
        <w:tc>
          <w:tcPr>
            <w:tcW w:w="720" w:type="dxa"/>
            <w:tcBorders>
              <w:top w:val="single" w:color="auto" w:sz="4" w:space="0"/>
              <w:left w:val="single" w:color="auto" w:sz="4" w:space="0"/>
              <w:bottom w:val="single" w:color="auto" w:sz="4" w:space="0"/>
              <w:right w:val="single" w:color="auto" w:sz="4" w:space="0"/>
            </w:tcBorders>
            <w:vAlign w:val="center"/>
          </w:tcPr>
          <w:p w14:paraId="09052F03">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年龄</w:t>
            </w:r>
          </w:p>
        </w:tc>
        <w:tc>
          <w:tcPr>
            <w:tcW w:w="720" w:type="dxa"/>
            <w:tcBorders>
              <w:top w:val="single" w:color="auto" w:sz="4" w:space="0"/>
              <w:left w:val="single" w:color="auto" w:sz="4" w:space="0"/>
              <w:bottom w:val="single" w:color="auto" w:sz="4" w:space="0"/>
              <w:right w:val="single" w:color="auto" w:sz="4" w:space="0"/>
            </w:tcBorders>
            <w:vAlign w:val="center"/>
          </w:tcPr>
          <w:p w14:paraId="580A1CAB">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性别</w:t>
            </w:r>
          </w:p>
        </w:tc>
        <w:tc>
          <w:tcPr>
            <w:tcW w:w="720" w:type="dxa"/>
            <w:tcBorders>
              <w:top w:val="single" w:color="auto" w:sz="4" w:space="0"/>
              <w:left w:val="single" w:color="auto" w:sz="4" w:space="0"/>
              <w:bottom w:val="single" w:color="auto" w:sz="4" w:space="0"/>
              <w:right w:val="single" w:color="auto" w:sz="4" w:space="0"/>
            </w:tcBorders>
            <w:vAlign w:val="center"/>
          </w:tcPr>
          <w:p w14:paraId="403BD9B6">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专业</w:t>
            </w:r>
          </w:p>
        </w:tc>
        <w:tc>
          <w:tcPr>
            <w:tcW w:w="1080" w:type="dxa"/>
            <w:tcBorders>
              <w:top w:val="single" w:color="auto" w:sz="4" w:space="0"/>
              <w:left w:val="single" w:color="auto" w:sz="4" w:space="0"/>
              <w:bottom w:val="single" w:color="auto" w:sz="4" w:space="0"/>
              <w:right w:val="single" w:color="auto" w:sz="4" w:space="0"/>
            </w:tcBorders>
            <w:vAlign w:val="center"/>
          </w:tcPr>
          <w:p w14:paraId="31572271">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专业</w:t>
            </w:r>
          </w:p>
          <w:p w14:paraId="663C4554">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年限</w:t>
            </w:r>
          </w:p>
        </w:tc>
        <w:tc>
          <w:tcPr>
            <w:tcW w:w="1458" w:type="dxa"/>
            <w:tcBorders>
              <w:top w:val="single" w:color="auto" w:sz="4" w:space="0"/>
              <w:left w:val="single" w:color="auto" w:sz="4" w:space="0"/>
              <w:bottom w:val="single" w:color="auto" w:sz="4" w:space="0"/>
              <w:right w:val="single" w:color="auto" w:sz="4" w:space="0"/>
            </w:tcBorders>
            <w:vAlign w:val="center"/>
          </w:tcPr>
          <w:p w14:paraId="5C2B4F93">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职务</w:t>
            </w:r>
          </w:p>
          <w:p w14:paraId="3D79E7C9">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和职称/认证</w:t>
            </w:r>
          </w:p>
        </w:tc>
        <w:tc>
          <w:tcPr>
            <w:tcW w:w="1560" w:type="dxa"/>
            <w:tcBorders>
              <w:top w:val="single" w:color="auto" w:sz="4" w:space="0"/>
              <w:left w:val="single" w:color="auto" w:sz="4" w:space="0"/>
              <w:bottom w:val="single" w:color="auto" w:sz="4" w:space="0"/>
              <w:right w:val="single" w:color="auto" w:sz="4" w:space="0"/>
            </w:tcBorders>
            <w:vAlign w:val="center"/>
          </w:tcPr>
          <w:p w14:paraId="046CE609">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到现场服务</w:t>
            </w:r>
          </w:p>
          <w:p w14:paraId="657B6093">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起止时间</w:t>
            </w:r>
          </w:p>
        </w:tc>
      </w:tr>
      <w:tr w14:paraId="7742D1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tcBorders>
              <w:top w:val="single" w:color="auto" w:sz="4" w:space="0"/>
              <w:left w:val="single" w:color="auto" w:sz="4" w:space="0"/>
              <w:bottom w:val="single" w:color="auto" w:sz="4" w:space="0"/>
              <w:right w:val="single" w:color="auto" w:sz="4" w:space="0"/>
            </w:tcBorders>
            <w:vAlign w:val="center"/>
          </w:tcPr>
          <w:p w14:paraId="4930EC69">
            <w:pPr>
              <w:spacing w:line="360" w:lineRule="auto"/>
              <w:rPr>
                <w:rFonts w:hint="eastAsia" w:ascii="宋体" w:hAnsi="宋体" w:eastAsia="宋体" w:cs="宋体"/>
                <w:b w:val="0"/>
                <w:bCs w:val="0"/>
                <w:color w:val="auto"/>
                <w:sz w:val="22"/>
                <w:szCs w:val="22"/>
                <w:highlight w:val="none"/>
              </w:rPr>
            </w:pPr>
          </w:p>
        </w:tc>
        <w:tc>
          <w:tcPr>
            <w:tcW w:w="2520" w:type="dxa"/>
            <w:tcBorders>
              <w:top w:val="single" w:color="auto" w:sz="4" w:space="0"/>
              <w:left w:val="single" w:color="auto" w:sz="4" w:space="0"/>
              <w:bottom w:val="single" w:color="auto" w:sz="4" w:space="0"/>
              <w:right w:val="single" w:color="auto" w:sz="4" w:space="0"/>
            </w:tcBorders>
            <w:vAlign w:val="center"/>
          </w:tcPr>
          <w:p w14:paraId="01E6CD6E">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2E03D517">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4DC1767A">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7CCEB6A0">
            <w:pPr>
              <w:spacing w:line="360" w:lineRule="auto"/>
              <w:rPr>
                <w:rFonts w:hint="eastAsia" w:ascii="宋体" w:hAnsi="宋体" w:eastAsia="宋体" w:cs="宋体"/>
                <w:b w:val="0"/>
                <w:bCs w:val="0"/>
                <w:color w:val="auto"/>
                <w:sz w:val="22"/>
                <w:szCs w:val="22"/>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14:paraId="5D157A74">
            <w:pPr>
              <w:spacing w:line="360" w:lineRule="auto"/>
              <w:rPr>
                <w:rFonts w:hint="eastAsia" w:ascii="宋体" w:hAnsi="宋体" w:eastAsia="宋体" w:cs="宋体"/>
                <w:b w:val="0"/>
                <w:bCs w:val="0"/>
                <w:color w:val="auto"/>
                <w:sz w:val="22"/>
                <w:szCs w:val="22"/>
                <w:highlight w:val="none"/>
              </w:rPr>
            </w:pPr>
          </w:p>
        </w:tc>
        <w:tc>
          <w:tcPr>
            <w:tcW w:w="1458" w:type="dxa"/>
            <w:tcBorders>
              <w:top w:val="single" w:color="auto" w:sz="4" w:space="0"/>
              <w:left w:val="single" w:color="auto" w:sz="4" w:space="0"/>
              <w:bottom w:val="single" w:color="auto" w:sz="4" w:space="0"/>
              <w:right w:val="single" w:color="auto" w:sz="4" w:space="0"/>
            </w:tcBorders>
            <w:vAlign w:val="center"/>
          </w:tcPr>
          <w:p w14:paraId="4FA9F797">
            <w:pPr>
              <w:spacing w:line="360" w:lineRule="auto"/>
              <w:ind w:left="5250"/>
              <w:rPr>
                <w:rFonts w:hint="eastAsia" w:ascii="宋体" w:hAnsi="宋体" w:eastAsia="宋体" w:cs="宋体"/>
                <w:b w:val="0"/>
                <w:bCs w:val="0"/>
                <w:color w:val="auto"/>
                <w:spacing w:val="12"/>
                <w:sz w:val="22"/>
                <w:szCs w:val="22"/>
                <w:highlight w:val="none"/>
              </w:rPr>
            </w:pPr>
          </w:p>
        </w:tc>
        <w:tc>
          <w:tcPr>
            <w:tcW w:w="1560" w:type="dxa"/>
            <w:tcBorders>
              <w:top w:val="single" w:color="auto" w:sz="4" w:space="0"/>
              <w:left w:val="single" w:color="auto" w:sz="4" w:space="0"/>
              <w:bottom w:val="single" w:color="auto" w:sz="4" w:space="0"/>
              <w:right w:val="single" w:color="auto" w:sz="4" w:space="0"/>
            </w:tcBorders>
            <w:vAlign w:val="center"/>
          </w:tcPr>
          <w:p w14:paraId="7A0BAF37">
            <w:pPr>
              <w:spacing w:line="360" w:lineRule="auto"/>
              <w:rPr>
                <w:rFonts w:hint="eastAsia" w:ascii="宋体" w:hAnsi="宋体" w:eastAsia="宋体" w:cs="宋体"/>
                <w:b w:val="0"/>
                <w:bCs w:val="0"/>
                <w:color w:val="auto"/>
                <w:sz w:val="22"/>
                <w:szCs w:val="22"/>
                <w:highlight w:val="none"/>
              </w:rPr>
            </w:pPr>
          </w:p>
        </w:tc>
      </w:tr>
      <w:tr w14:paraId="6592A7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tcBorders>
              <w:top w:val="single" w:color="auto" w:sz="4" w:space="0"/>
              <w:left w:val="single" w:color="auto" w:sz="4" w:space="0"/>
              <w:bottom w:val="single" w:color="auto" w:sz="4" w:space="0"/>
              <w:right w:val="single" w:color="auto" w:sz="4" w:space="0"/>
            </w:tcBorders>
            <w:vAlign w:val="center"/>
          </w:tcPr>
          <w:p w14:paraId="7D3FF8B7">
            <w:pPr>
              <w:spacing w:line="360" w:lineRule="auto"/>
              <w:rPr>
                <w:rFonts w:hint="eastAsia" w:ascii="宋体" w:hAnsi="宋体" w:eastAsia="宋体" w:cs="宋体"/>
                <w:b w:val="0"/>
                <w:bCs w:val="0"/>
                <w:color w:val="auto"/>
                <w:sz w:val="22"/>
                <w:szCs w:val="22"/>
                <w:highlight w:val="none"/>
              </w:rPr>
            </w:pPr>
          </w:p>
        </w:tc>
        <w:tc>
          <w:tcPr>
            <w:tcW w:w="2520" w:type="dxa"/>
            <w:tcBorders>
              <w:top w:val="single" w:color="auto" w:sz="4" w:space="0"/>
              <w:left w:val="single" w:color="auto" w:sz="4" w:space="0"/>
              <w:bottom w:val="single" w:color="auto" w:sz="4" w:space="0"/>
              <w:right w:val="single" w:color="auto" w:sz="4" w:space="0"/>
            </w:tcBorders>
            <w:vAlign w:val="center"/>
          </w:tcPr>
          <w:p w14:paraId="0EE4A7DD">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1CA707DB">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12EE8F4C">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22D06B7D">
            <w:pPr>
              <w:spacing w:line="360" w:lineRule="auto"/>
              <w:rPr>
                <w:rFonts w:hint="eastAsia" w:ascii="宋体" w:hAnsi="宋体" w:eastAsia="宋体" w:cs="宋体"/>
                <w:b w:val="0"/>
                <w:bCs w:val="0"/>
                <w:color w:val="auto"/>
                <w:sz w:val="22"/>
                <w:szCs w:val="22"/>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14:paraId="013A82D4">
            <w:pPr>
              <w:spacing w:line="360" w:lineRule="auto"/>
              <w:rPr>
                <w:rFonts w:hint="eastAsia" w:ascii="宋体" w:hAnsi="宋体" w:eastAsia="宋体" w:cs="宋体"/>
                <w:b w:val="0"/>
                <w:bCs w:val="0"/>
                <w:color w:val="auto"/>
                <w:sz w:val="22"/>
                <w:szCs w:val="22"/>
                <w:highlight w:val="none"/>
              </w:rPr>
            </w:pPr>
          </w:p>
        </w:tc>
        <w:tc>
          <w:tcPr>
            <w:tcW w:w="1458" w:type="dxa"/>
            <w:tcBorders>
              <w:top w:val="single" w:color="auto" w:sz="4" w:space="0"/>
              <w:left w:val="single" w:color="auto" w:sz="4" w:space="0"/>
              <w:bottom w:val="single" w:color="auto" w:sz="4" w:space="0"/>
              <w:right w:val="single" w:color="auto" w:sz="4" w:space="0"/>
            </w:tcBorders>
            <w:vAlign w:val="center"/>
          </w:tcPr>
          <w:p w14:paraId="3BA6F85D">
            <w:pPr>
              <w:spacing w:line="360" w:lineRule="auto"/>
              <w:rPr>
                <w:rFonts w:hint="eastAsia" w:ascii="宋体" w:hAnsi="宋体" w:eastAsia="宋体" w:cs="宋体"/>
                <w:b w:val="0"/>
                <w:bCs w:val="0"/>
                <w:color w:val="auto"/>
                <w:sz w:val="22"/>
                <w:szCs w:val="22"/>
                <w:highlight w:val="none"/>
              </w:rPr>
            </w:pPr>
          </w:p>
        </w:tc>
        <w:tc>
          <w:tcPr>
            <w:tcW w:w="1560" w:type="dxa"/>
            <w:tcBorders>
              <w:top w:val="single" w:color="auto" w:sz="4" w:space="0"/>
              <w:left w:val="single" w:color="auto" w:sz="4" w:space="0"/>
              <w:bottom w:val="single" w:color="auto" w:sz="4" w:space="0"/>
              <w:right w:val="single" w:color="auto" w:sz="4" w:space="0"/>
            </w:tcBorders>
            <w:vAlign w:val="center"/>
          </w:tcPr>
          <w:p w14:paraId="13DCF1FB">
            <w:pPr>
              <w:spacing w:line="360" w:lineRule="auto"/>
              <w:ind w:left="5250"/>
              <w:rPr>
                <w:rFonts w:hint="eastAsia" w:ascii="宋体" w:hAnsi="宋体" w:eastAsia="宋体" w:cs="宋体"/>
                <w:b w:val="0"/>
                <w:bCs w:val="0"/>
                <w:color w:val="auto"/>
                <w:spacing w:val="12"/>
                <w:sz w:val="22"/>
                <w:szCs w:val="22"/>
                <w:highlight w:val="none"/>
              </w:rPr>
            </w:pPr>
          </w:p>
        </w:tc>
      </w:tr>
      <w:tr w14:paraId="666A87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tcBorders>
              <w:top w:val="single" w:color="auto" w:sz="4" w:space="0"/>
              <w:left w:val="single" w:color="auto" w:sz="4" w:space="0"/>
              <w:bottom w:val="single" w:color="auto" w:sz="4" w:space="0"/>
              <w:right w:val="single" w:color="auto" w:sz="4" w:space="0"/>
            </w:tcBorders>
            <w:vAlign w:val="center"/>
          </w:tcPr>
          <w:p w14:paraId="0085BDD4">
            <w:pPr>
              <w:spacing w:line="360" w:lineRule="auto"/>
              <w:rPr>
                <w:rFonts w:hint="eastAsia" w:ascii="宋体" w:hAnsi="宋体" w:eastAsia="宋体" w:cs="宋体"/>
                <w:b w:val="0"/>
                <w:bCs w:val="0"/>
                <w:color w:val="auto"/>
                <w:sz w:val="22"/>
                <w:szCs w:val="22"/>
                <w:highlight w:val="none"/>
              </w:rPr>
            </w:pPr>
          </w:p>
        </w:tc>
        <w:tc>
          <w:tcPr>
            <w:tcW w:w="2520" w:type="dxa"/>
            <w:tcBorders>
              <w:top w:val="single" w:color="auto" w:sz="4" w:space="0"/>
              <w:left w:val="single" w:color="auto" w:sz="4" w:space="0"/>
              <w:bottom w:val="single" w:color="auto" w:sz="4" w:space="0"/>
              <w:right w:val="single" w:color="auto" w:sz="4" w:space="0"/>
            </w:tcBorders>
            <w:vAlign w:val="center"/>
          </w:tcPr>
          <w:p w14:paraId="3D0C9056">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0198F4A5">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14E955A5">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5CBA1762">
            <w:pPr>
              <w:spacing w:line="360" w:lineRule="auto"/>
              <w:rPr>
                <w:rFonts w:hint="eastAsia" w:ascii="宋体" w:hAnsi="宋体" w:eastAsia="宋体" w:cs="宋体"/>
                <w:b w:val="0"/>
                <w:bCs w:val="0"/>
                <w:color w:val="auto"/>
                <w:sz w:val="22"/>
                <w:szCs w:val="22"/>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14:paraId="1C3DC7E5">
            <w:pPr>
              <w:spacing w:line="360" w:lineRule="auto"/>
              <w:rPr>
                <w:rFonts w:hint="eastAsia" w:ascii="宋体" w:hAnsi="宋体" w:eastAsia="宋体" w:cs="宋体"/>
                <w:b w:val="0"/>
                <w:bCs w:val="0"/>
                <w:color w:val="auto"/>
                <w:sz w:val="22"/>
                <w:szCs w:val="22"/>
                <w:highlight w:val="none"/>
              </w:rPr>
            </w:pPr>
          </w:p>
        </w:tc>
        <w:tc>
          <w:tcPr>
            <w:tcW w:w="1458" w:type="dxa"/>
            <w:tcBorders>
              <w:top w:val="single" w:color="auto" w:sz="4" w:space="0"/>
              <w:left w:val="single" w:color="auto" w:sz="4" w:space="0"/>
              <w:bottom w:val="single" w:color="auto" w:sz="4" w:space="0"/>
              <w:right w:val="single" w:color="auto" w:sz="4" w:space="0"/>
            </w:tcBorders>
            <w:vAlign w:val="center"/>
          </w:tcPr>
          <w:p w14:paraId="70B3B20D">
            <w:pPr>
              <w:spacing w:line="360" w:lineRule="auto"/>
              <w:rPr>
                <w:rFonts w:hint="eastAsia" w:ascii="宋体" w:hAnsi="宋体" w:eastAsia="宋体" w:cs="宋体"/>
                <w:b w:val="0"/>
                <w:bCs w:val="0"/>
                <w:color w:val="auto"/>
                <w:sz w:val="22"/>
                <w:szCs w:val="22"/>
                <w:highlight w:val="none"/>
              </w:rPr>
            </w:pPr>
          </w:p>
        </w:tc>
        <w:tc>
          <w:tcPr>
            <w:tcW w:w="1560" w:type="dxa"/>
            <w:tcBorders>
              <w:top w:val="single" w:color="auto" w:sz="4" w:space="0"/>
              <w:left w:val="single" w:color="auto" w:sz="4" w:space="0"/>
              <w:bottom w:val="single" w:color="auto" w:sz="4" w:space="0"/>
              <w:right w:val="single" w:color="auto" w:sz="4" w:space="0"/>
            </w:tcBorders>
            <w:vAlign w:val="center"/>
          </w:tcPr>
          <w:p w14:paraId="6C5D6230">
            <w:pPr>
              <w:spacing w:line="360" w:lineRule="auto"/>
              <w:rPr>
                <w:rFonts w:hint="eastAsia" w:ascii="宋体" w:hAnsi="宋体" w:eastAsia="宋体" w:cs="宋体"/>
                <w:b w:val="0"/>
                <w:bCs w:val="0"/>
                <w:color w:val="auto"/>
                <w:sz w:val="22"/>
                <w:szCs w:val="22"/>
                <w:highlight w:val="none"/>
              </w:rPr>
            </w:pPr>
          </w:p>
        </w:tc>
      </w:tr>
      <w:tr w14:paraId="0B81F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tcBorders>
              <w:top w:val="single" w:color="auto" w:sz="4" w:space="0"/>
              <w:left w:val="single" w:color="auto" w:sz="4" w:space="0"/>
              <w:bottom w:val="single" w:color="auto" w:sz="4" w:space="0"/>
              <w:right w:val="single" w:color="auto" w:sz="4" w:space="0"/>
            </w:tcBorders>
            <w:vAlign w:val="center"/>
          </w:tcPr>
          <w:p w14:paraId="5A201917">
            <w:pPr>
              <w:spacing w:line="360" w:lineRule="auto"/>
              <w:rPr>
                <w:rFonts w:hint="eastAsia" w:ascii="宋体" w:hAnsi="宋体" w:eastAsia="宋体" w:cs="宋体"/>
                <w:b w:val="0"/>
                <w:bCs w:val="0"/>
                <w:color w:val="auto"/>
                <w:sz w:val="22"/>
                <w:szCs w:val="22"/>
                <w:highlight w:val="none"/>
              </w:rPr>
            </w:pPr>
          </w:p>
        </w:tc>
        <w:tc>
          <w:tcPr>
            <w:tcW w:w="2520" w:type="dxa"/>
            <w:tcBorders>
              <w:top w:val="single" w:color="auto" w:sz="4" w:space="0"/>
              <w:left w:val="single" w:color="auto" w:sz="4" w:space="0"/>
              <w:bottom w:val="single" w:color="auto" w:sz="4" w:space="0"/>
              <w:right w:val="single" w:color="auto" w:sz="4" w:space="0"/>
            </w:tcBorders>
            <w:vAlign w:val="center"/>
          </w:tcPr>
          <w:p w14:paraId="60C943F1">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2C00A3E3">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2BAA9360">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2738671A">
            <w:pPr>
              <w:spacing w:line="360" w:lineRule="auto"/>
              <w:rPr>
                <w:rFonts w:hint="eastAsia" w:ascii="宋体" w:hAnsi="宋体" w:eastAsia="宋体" w:cs="宋体"/>
                <w:b w:val="0"/>
                <w:bCs w:val="0"/>
                <w:color w:val="auto"/>
                <w:sz w:val="22"/>
                <w:szCs w:val="22"/>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14:paraId="5AEADF17">
            <w:pPr>
              <w:spacing w:line="360" w:lineRule="auto"/>
              <w:rPr>
                <w:rFonts w:hint="eastAsia" w:ascii="宋体" w:hAnsi="宋体" w:eastAsia="宋体" w:cs="宋体"/>
                <w:b w:val="0"/>
                <w:bCs w:val="0"/>
                <w:color w:val="auto"/>
                <w:sz w:val="22"/>
                <w:szCs w:val="22"/>
                <w:highlight w:val="none"/>
              </w:rPr>
            </w:pPr>
          </w:p>
        </w:tc>
        <w:tc>
          <w:tcPr>
            <w:tcW w:w="1458" w:type="dxa"/>
            <w:tcBorders>
              <w:top w:val="single" w:color="auto" w:sz="4" w:space="0"/>
              <w:left w:val="single" w:color="auto" w:sz="4" w:space="0"/>
              <w:bottom w:val="single" w:color="auto" w:sz="4" w:space="0"/>
              <w:right w:val="single" w:color="auto" w:sz="4" w:space="0"/>
            </w:tcBorders>
            <w:vAlign w:val="center"/>
          </w:tcPr>
          <w:p w14:paraId="55DB5B94">
            <w:pPr>
              <w:spacing w:line="360" w:lineRule="auto"/>
              <w:rPr>
                <w:rFonts w:hint="eastAsia" w:ascii="宋体" w:hAnsi="宋体" w:eastAsia="宋体" w:cs="宋体"/>
                <w:b w:val="0"/>
                <w:bCs w:val="0"/>
                <w:color w:val="auto"/>
                <w:sz w:val="22"/>
                <w:szCs w:val="22"/>
                <w:highlight w:val="none"/>
              </w:rPr>
            </w:pPr>
          </w:p>
        </w:tc>
        <w:tc>
          <w:tcPr>
            <w:tcW w:w="1560" w:type="dxa"/>
            <w:tcBorders>
              <w:top w:val="single" w:color="auto" w:sz="4" w:space="0"/>
              <w:left w:val="single" w:color="auto" w:sz="4" w:space="0"/>
              <w:bottom w:val="single" w:color="auto" w:sz="4" w:space="0"/>
              <w:right w:val="single" w:color="auto" w:sz="4" w:space="0"/>
            </w:tcBorders>
            <w:vAlign w:val="center"/>
          </w:tcPr>
          <w:p w14:paraId="67397B10">
            <w:pPr>
              <w:spacing w:line="360" w:lineRule="auto"/>
              <w:rPr>
                <w:rFonts w:hint="eastAsia" w:ascii="宋体" w:hAnsi="宋体" w:eastAsia="宋体" w:cs="宋体"/>
                <w:b w:val="0"/>
                <w:bCs w:val="0"/>
                <w:color w:val="auto"/>
                <w:sz w:val="22"/>
                <w:szCs w:val="22"/>
                <w:highlight w:val="none"/>
              </w:rPr>
            </w:pPr>
          </w:p>
        </w:tc>
      </w:tr>
      <w:tr w14:paraId="3980A3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tcBorders>
              <w:top w:val="single" w:color="auto" w:sz="4" w:space="0"/>
              <w:left w:val="single" w:color="auto" w:sz="4" w:space="0"/>
              <w:bottom w:val="single" w:color="auto" w:sz="4" w:space="0"/>
              <w:right w:val="single" w:color="auto" w:sz="4" w:space="0"/>
            </w:tcBorders>
            <w:vAlign w:val="center"/>
          </w:tcPr>
          <w:p w14:paraId="25AFDC9D">
            <w:pPr>
              <w:spacing w:line="360" w:lineRule="auto"/>
              <w:rPr>
                <w:rFonts w:hint="eastAsia" w:ascii="宋体" w:hAnsi="宋体" w:eastAsia="宋体" w:cs="宋体"/>
                <w:b w:val="0"/>
                <w:bCs w:val="0"/>
                <w:color w:val="auto"/>
                <w:sz w:val="22"/>
                <w:szCs w:val="22"/>
                <w:highlight w:val="none"/>
              </w:rPr>
            </w:pPr>
          </w:p>
        </w:tc>
        <w:tc>
          <w:tcPr>
            <w:tcW w:w="2520" w:type="dxa"/>
            <w:tcBorders>
              <w:top w:val="single" w:color="auto" w:sz="4" w:space="0"/>
              <w:left w:val="single" w:color="auto" w:sz="4" w:space="0"/>
              <w:bottom w:val="single" w:color="auto" w:sz="4" w:space="0"/>
              <w:right w:val="single" w:color="auto" w:sz="4" w:space="0"/>
            </w:tcBorders>
            <w:vAlign w:val="center"/>
          </w:tcPr>
          <w:p w14:paraId="732B879A">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4E478346">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5E76E2D3">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42008C2A">
            <w:pPr>
              <w:spacing w:line="360" w:lineRule="auto"/>
              <w:rPr>
                <w:rFonts w:hint="eastAsia" w:ascii="宋体" w:hAnsi="宋体" w:eastAsia="宋体" w:cs="宋体"/>
                <w:b w:val="0"/>
                <w:bCs w:val="0"/>
                <w:color w:val="auto"/>
                <w:sz w:val="22"/>
                <w:szCs w:val="22"/>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14:paraId="6AFC29CC">
            <w:pPr>
              <w:spacing w:line="360" w:lineRule="auto"/>
              <w:rPr>
                <w:rFonts w:hint="eastAsia" w:ascii="宋体" w:hAnsi="宋体" w:eastAsia="宋体" w:cs="宋体"/>
                <w:b w:val="0"/>
                <w:bCs w:val="0"/>
                <w:color w:val="auto"/>
                <w:sz w:val="22"/>
                <w:szCs w:val="22"/>
                <w:highlight w:val="none"/>
              </w:rPr>
            </w:pPr>
          </w:p>
        </w:tc>
        <w:tc>
          <w:tcPr>
            <w:tcW w:w="1458" w:type="dxa"/>
            <w:tcBorders>
              <w:top w:val="single" w:color="auto" w:sz="4" w:space="0"/>
              <w:left w:val="single" w:color="auto" w:sz="4" w:space="0"/>
              <w:bottom w:val="single" w:color="auto" w:sz="4" w:space="0"/>
              <w:right w:val="single" w:color="auto" w:sz="4" w:space="0"/>
            </w:tcBorders>
            <w:vAlign w:val="center"/>
          </w:tcPr>
          <w:p w14:paraId="64D79802">
            <w:pPr>
              <w:spacing w:line="360" w:lineRule="auto"/>
              <w:rPr>
                <w:rFonts w:hint="eastAsia" w:ascii="宋体" w:hAnsi="宋体" w:eastAsia="宋体" w:cs="宋体"/>
                <w:b w:val="0"/>
                <w:bCs w:val="0"/>
                <w:color w:val="auto"/>
                <w:sz w:val="22"/>
                <w:szCs w:val="22"/>
                <w:highlight w:val="none"/>
              </w:rPr>
            </w:pPr>
          </w:p>
        </w:tc>
        <w:tc>
          <w:tcPr>
            <w:tcW w:w="1560" w:type="dxa"/>
            <w:tcBorders>
              <w:top w:val="single" w:color="auto" w:sz="4" w:space="0"/>
              <w:left w:val="single" w:color="auto" w:sz="4" w:space="0"/>
              <w:bottom w:val="single" w:color="auto" w:sz="4" w:space="0"/>
              <w:right w:val="single" w:color="auto" w:sz="4" w:space="0"/>
            </w:tcBorders>
            <w:vAlign w:val="center"/>
          </w:tcPr>
          <w:p w14:paraId="5DAB6751">
            <w:pPr>
              <w:spacing w:line="360" w:lineRule="auto"/>
              <w:rPr>
                <w:rFonts w:hint="eastAsia" w:ascii="宋体" w:hAnsi="宋体" w:eastAsia="宋体" w:cs="宋体"/>
                <w:b w:val="0"/>
                <w:bCs w:val="0"/>
                <w:color w:val="auto"/>
                <w:sz w:val="22"/>
                <w:szCs w:val="22"/>
                <w:highlight w:val="none"/>
              </w:rPr>
            </w:pPr>
          </w:p>
        </w:tc>
      </w:tr>
      <w:tr w14:paraId="357A4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tcBorders>
              <w:top w:val="single" w:color="auto" w:sz="4" w:space="0"/>
              <w:left w:val="single" w:color="auto" w:sz="4" w:space="0"/>
              <w:bottom w:val="single" w:color="auto" w:sz="4" w:space="0"/>
              <w:right w:val="single" w:color="auto" w:sz="4" w:space="0"/>
            </w:tcBorders>
            <w:vAlign w:val="center"/>
          </w:tcPr>
          <w:p w14:paraId="13EC995F">
            <w:pPr>
              <w:spacing w:line="360" w:lineRule="auto"/>
              <w:rPr>
                <w:rFonts w:hint="eastAsia" w:ascii="宋体" w:hAnsi="宋体" w:eastAsia="宋体" w:cs="宋体"/>
                <w:b w:val="0"/>
                <w:bCs w:val="0"/>
                <w:color w:val="auto"/>
                <w:sz w:val="22"/>
                <w:szCs w:val="22"/>
                <w:highlight w:val="none"/>
              </w:rPr>
            </w:pPr>
          </w:p>
        </w:tc>
        <w:tc>
          <w:tcPr>
            <w:tcW w:w="2520" w:type="dxa"/>
            <w:tcBorders>
              <w:top w:val="single" w:color="auto" w:sz="4" w:space="0"/>
              <w:left w:val="single" w:color="auto" w:sz="4" w:space="0"/>
              <w:bottom w:val="single" w:color="auto" w:sz="4" w:space="0"/>
              <w:right w:val="single" w:color="auto" w:sz="4" w:space="0"/>
            </w:tcBorders>
            <w:vAlign w:val="center"/>
          </w:tcPr>
          <w:p w14:paraId="0E1A1F0C">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5B85A5AA">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50C43221">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79FFC196">
            <w:pPr>
              <w:spacing w:line="360" w:lineRule="auto"/>
              <w:rPr>
                <w:rFonts w:hint="eastAsia" w:ascii="宋体" w:hAnsi="宋体" w:eastAsia="宋体" w:cs="宋体"/>
                <w:b w:val="0"/>
                <w:bCs w:val="0"/>
                <w:color w:val="auto"/>
                <w:sz w:val="22"/>
                <w:szCs w:val="22"/>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14:paraId="055AA345">
            <w:pPr>
              <w:spacing w:line="360" w:lineRule="auto"/>
              <w:rPr>
                <w:rFonts w:hint="eastAsia" w:ascii="宋体" w:hAnsi="宋体" w:eastAsia="宋体" w:cs="宋体"/>
                <w:b w:val="0"/>
                <w:bCs w:val="0"/>
                <w:color w:val="auto"/>
                <w:sz w:val="22"/>
                <w:szCs w:val="22"/>
                <w:highlight w:val="none"/>
              </w:rPr>
            </w:pPr>
          </w:p>
        </w:tc>
        <w:tc>
          <w:tcPr>
            <w:tcW w:w="1458" w:type="dxa"/>
            <w:tcBorders>
              <w:top w:val="single" w:color="auto" w:sz="4" w:space="0"/>
              <w:left w:val="single" w:color="auto" w:sz="4" w:space="0"/>
              <w:bottom w:val="single" w:color="auto" w:sz="4" w:space="0"/>
              <w:right w:val="single" w:color="auto" w:sz="4" w:space="0"/>
            </w:tcBorders>
            <w:vAlign w:val="center"/>
          </w:tcPr>
          <w:p w14:paraId="395A9543">
            <w:pPr>
              <w:spacing w:line="360" w:lineRule="auto"/>
              <w:rPr>
                <w:rFonts w:hint="eastAsia" w:ascii="宋体" w:hAnsi="宋体" w:eastAsia="宋体" w:cs="宋体"/>
                <w:b w:val="0"/>
                <w:bCs w:val="0"/>
                <w:color w:val="auto"/>
                <w:sz w:val="22"/>
                <w:szCs w:val="22"/>
                <w:highlight w:val="none"/>
              </w:rPr>
            </w:pPr>
          </w:p>
        </w:tc>
        <w:tc>
          <w:tcPr>
            <w:tcW w:w="1560" w:type="dxa"/>
            <w:tcBorders>
              <w:top w:val="single" w:color="auto" w:sz="4" w:space="0"/>
              <w:left w:val="single" w:color="auto" w:sz="4" w:space="0"/>
              <w:bottom w:val="single" w:color="auto" w:sz="4" w:space="0"/>
              <w:right w:val="single" w:color="auto" w:sz="4" w:space="0"/>
            </w:tcBorders>
            <w:vAlign w:val="center"/>
          </w:tcPr>
          <w:p w14:paraId="4D537ED9">
            <w:pPr>
              <w:spacing w:line="360" w:lineRule="auto"/>
              <w:rPr>
                <w:rFonts w:hint="eastAsia" w:ascii="宋体" w:hAnsi="宋体" w:eastAsia="宋体" w:cs="宋体"/>
                <w:b w:val="0"/>
                <w:bCs w:val="0"/>
                <w:color w:val="auto"/>
                <w:sz w:val="22"/>
                <w:szCs w:val="22"/>
                <w:highlight w:val="none"/>
              </w:rPr>
            </w:pPr>
          </w:p>
        </w:tc>
      </w:tr>
      <w:tr w14:paraId="19EF49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tcBorders>
              <w:top w:val="single" w:color="auto" w:sz="4" w:space="0"/>
              <w:left w:val="single" w:color="auto" w:sz="4" w:space="0"/>
              <w:bottom w:val="single" w:color="auto" w:sz="4" w:space="0"/>
              <w:right w:val="single" w:color="auto" w:sz="4" w:space="0"/>
            </w:tcBorders>
            <w:vAlign w:val="center"/>
          </w:tcPr>
          <w:p w14:paraId="3052CD70">
            <w:pPr>
              <w:spacing w:line="360" w:lineRule="auto"/>
              <w:rPr>
                <w:rFonts w:hint="eastAsia" w:ascii="宋体" w:hAnsi="宋体" w:eastAsia="宋体" w:cs="宋体"/>
                <w:b w:val="0"/>
                <w:bCs w:val="0"/>
                <w:color w:val="auto"/>
                <w:sz w:val="22"/>
                <w:szCs w:val="22"/>
                <w:highlight w:val="none"/>
              </w:rPr>
            </w:pPr>
          </w:p>
        </w:tc>
        <w:tc>
          <w:tcPr>
            <w:tcW w:w="2520" w:type="dxa"/>
            <w:tcBorders>
              <w:top w:val="single" w:color="auto" w:sz="4" w:space="0"/>
              <w:left w:val="single" w:color="auto" w:sz="4" w:space="0"/>
              <w:bottom w:val="single" w:color="auto" w:sz="4" w:space="0"/>
              <w:right w:val="single" w:color="auto" w:sz="4" w:space="0"/>
            </w:tcBorders>
            <w:vAlign w:val="center"/>
          </w:tcPr>
          <w:p w14:paraId="02CE5028">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6BA542F0">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4CA9826A">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015E9D3A">
            <w:pPr>
              <w:spacing w:line="360" w:lineRule="auto"/>
              <w:rPr>
                <w:rFonts w:hint="eastAsia" w:ascii="宋体" w:hAnsi="宋体" w:eastAsia="宋体" w:cs="宋体"/>
                <w:b w:val="0"/>
                <w:bCs w:val="0"/>
                <w:color w:val="auto"/>
                <w:sz w:val="22"/>
                <w:szCs w:val="22"/>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14:paraId="55DF9825">
            <w:pPr>
              <w:spacing w:line="360" w:lineRule="auto"/>
              <w:rPr>
                <w:rFonts w:hint="eastAsia" w:ascii="宋体" w:hAnsi="宋体" w:eastAsia="宋体" w:cs="宋体"/>
                <w:b w:val="0"/>
                <w:bCs w:val="0"/>
                <w:color w:val="auto"/>
                <w:sz w:val="22"/>
                <w:szCs w:val="22"/>
                <w:highlight w:val="none"/>
              </w:rPr>
            </w:pPr>
          </w:p>
        </w:tc>
        <w:tc>
          <w:tcPr>
            <w:tcW w:w="1458" w:type="dxa"/>
            <w:tcBorders>
              <w:top w:val="single" w:color="auto" w:sz="4" w:space="0"/>
              <w:left w:val="single" w:color="auto" w:sz="4" w:space="0"/>
              <w:bottom w:val="single" w:color="auto" w:sz="4" w:space="0"/>
              <w:right w:val="single" w:color="auto" w:sz="4" w:space="0"/>
            </w:tcBorders>
            <w:vAlign w:val="center"/>
          </w:tcPr>
          <w:p w14:paraId="3DAEE19D">
            <w:pPr>
              <w:spacing w:line="360" w:lineRule="auto"/>
              <w:rPr>
                <w:rFonts w:hint="eastAsia" w:ascii="宋体" w:hAnsi="宋体" w:eastAsia="宋体" w:cs="宋体"/>
                <w:b w:val="0"/>
                <w:bCs w:val="0"/>
                <w:color w:val="auto"/>
                <w:sz w:val="22"/>
                <w:szCs w:val="22"/>
                <w:highlight w:val="none"/>
              </w:rPr>
            </w:pPr>
          </w:p>
        </w:tc>
        <w:tc>
          <w:tcPr>
            <w:tcW w:w="1560" w:type="dxa"/>
            <w:tcBorders>
              <w:top w:val="single" w:color="auto" w:sz="4" w:space="0"/>
              <w:left w:val="single" w:color="auto" w:sz="4" w:space="0"/>
              <w:bottom w:val="single" w:color="auto" w:sz="4" w:space="0"/>
              <w:right w:val="single" w:color="auto" w:sz="4" w:space="0"/>
            </w:tcBorders>
            <w:vAlign w:val="center"/>
          </w:tcPr>
          <w:p w14:paraId="4CA986CF">
            <w:pPr>
              <w:spacing w:line="360" w:lineRule="auto"/>
              <w:rPr>
                <w:rFonts w:hint="eastAsia" w:ascii="宋体" w:hAnsi="宋体" w:eastAsia="宋体" w:cs="宋体"/>
                <w:b w:val="0"/>
                <w:bCs w:val="0"/>
                <w:color w:val="auto"/>
                <w:sz w:val="22"/>
                <w:szCs w:val="22"/>
                <w:highlight w:val="none"/>
              </w:rPr>
            </w:pPr>
          </w:p>
        </w:tc>
      </w:tr>
      <w:tr w14:paraId="68784E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tcBorders>
              <w:top w:val="single" w:color="auto" w:sz="4" w:space="0"/>
              <w:left w:val="single" w:color="auto" w:sz="4" w:space="0"/>
              <w:bottom w:val="single" w:color="auto" w:sz="4" w:space="0"/>
              <w:right w:val="single" w:color="auto" w:sz="4" w:space="0"/>
            </w:tcBorders>
            <w:vAlign w:val="center"/>
          </w:tcPr>
          <w:p w14:paraId="0D2A23F1">
            <w:pPr>
              <w:spacing w:line="360" w:lineRule="auto"/>
              <w:rPr>
                <w:rFonts w:hint="eastAsia" w:ascii="宋体" w:hAnsi="宋体" w:eastAsia="宋体" w:cs="宋体"/>
                <w:b w:val="0"/>
                <w:bCs w:val="0"/>
                <w:color w:val="auto"/>
                <w:sz w:val="22"/>
                <w:szCs w:val="22"/>
                <w:highlight w:val="none"/>
              </w:rPr>
            </w:pPr>
          </w:p>
        </w:tc>
        <w:tc>
          <w:tcPr>
            <w:tcW w:w="2520" w:type="dxa"/>
            <w:tcBorders>
              <w:top w:val="single" w:color="auto" w:sz="4" w:space="0"/>
              <w:left w:val="single" w:color="auto" w:sz="4" w:space="0"/>
              <w:bottom w:val="single" w:color="auto" w:sz="4" w:space="0"/>
              <w:right w:val="single" w:color="auto" w:sz="4" w:space="0"/>
            </w:tcBorders>
            <w:vAlign w:val="center"/>
          </w:tcPr>
          <w:p w14:paraId="0BEA21CB">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7814B2E3">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6939FCC2">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13D40B27">
            <w:pPr>
              <w:spacing w:line="360" w:lineRule="auto"/>
              <w:rPr>
                <w:rFonts w:hint="eastAsia" w:ascii="宋体" w:hAnsi="宋体" w:eastAsia="宋体" w:cs="宋体"/>
                <w:b w:val="0"/>
                <w:bCs w:val="0"/>
                <w:color w:val="auto"/>
                <w:sz w:val="22"/>
                <w:szCs w:val="22"/>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14:paraId="61D5CF0A">
            <w:pPr>
              <w:spacing w:line="360" w:lineRule="auto"/>
              <w:rPr>
                <w:rFonts w:hint="eastAsia" w:ascii="宋体" w:hAnsi="宋体" w:eastAsia="宋体" w:cs="宋体"/>
                <w:b w:val="0"/>
                <w:bCs w:val="0"/>
                <w:color w:val="auto"/>
                <w:sz w:val="22"/>
                <w:szCs w:val="22"/>
                <w:highlight w:val="none"/>
              </w:rPr>
            </w:pPr>
          </w:p>
        </w:tc>
        <w:tc>
          <w:tcPr>
            <w:tcW w:w="1458" w:type="dxa"/>
            <w:tcBorders>
              <w:top w:val="single" w:color="auto" w:sz="4" w:space="0"/>
              <w:left w:val="single" w:color="auto" w:sz="4" w:space="0"/>
              <w:bottom w:val="single" w:color="auto" w:sz="4" w:space="0"/>
              <w:right w:val="single" w:color="auto" w:sz="4" w:space="0"/>
            </w:tcBorders>
            <w:vAlign w:val="center"/>
          </w:tcPr>
          <w:p w14:paraId="5B3B25B3">
            <w:pPr>
              <w:spacing w:line="360" w:lineRule="auto"/>
              <w:rPr>
                <w:rFonts w:hint="eastAsia" w:ascii="宋体" w:hAnsi="宋体" w:eastAsia="宋体" w:cs="宋体"/>
                <w:b w:val="0"/>
                <w:bCs w:val="0"/>
                <w:color w:val="auto"/>
                <w:sz w:val="22"/>
                <w:szCs w:val="22"/>
                <w:highlight w:val="none"/>
              </w:rPr>
            </w:pPr>
          </w:p>
        </w:tc>
        <w:tc>
          <w:tcPr>
            <w:tcW w:w="1560" w:type="dxa"/>
            <w:tcBorders>
              <w:top w:val="single" w:color="auto" w:sz="4" w:space="0"/>
              <w:left w:val="single" w:color="auto" w:sz="4" w:space="0"/>
              <w:bottom w:val="single" w:color="auto" w:sz="4" w:space="0"/>
              <w:right w:val="single" w:color="auto" w:sz="4" w:space="0"/>
            </w:tcBorders>
            <w:vAlign w:val="center"/>
          </w:tcPr>
          <w:p w14:paraId="4DBEF48D">
            <w:pPr>
              <w:spacing w:line="360" w:lineRule="auto"/>
              <w:rPr>
                <w:rFonts w:hint="eastAsia" w:ascii="宋体" w:hAnsi="宋体" w:eastAsia="宋体" w:cs="宋体"/>
                <w:b w:val="0"/>
                <w:bCs w:val="0"/>
                <w:color w:val="auto"/>
                <w:sz w:val="22"/>
                <w:szCs w:val="22"/>
                <w:highlight w:val="none"/>
              </w:rPr>
            </w:pPr>
          </w:p>
        </w:tc>
      </w:tr>
      <w:tr w14:paraId="54AEE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tcBorders>
              <w:top w:val="single" w:color="auto" w:sz="4" w:space="0"/>
              <w:left w:val="single" w:color="auto" w:sz="4" w:space="0"/>
              <w:bottom w:val="single" w:color="auto" w:sz="4" w:space="0"/>
              <w:right w:val="single" w:color="auto" w:sz="4" w:space="0"/>
            </w:tcBorders>
            <w:vAlign w:val="center"/>
          </w:tcPr>
          <w:p w14:paraId="78991F32">
            <w:pPr>
              <w:spacing w:line="360" w:lineRule="auto"/>
              <w:rPr>
                <w:rFonts w:hint="eastAsia" w:ascii="宋体" w:hAnsi="宋体" w:eastAsia="宋体" w:cs="宋体"/>
                <w:b w:val="0"/>
                <w:bCs w:val="0"/>
                <w:color w:val="auto"/>
                <w:sz w:val="22"/>
                <w:szCs w:val="22"/>
                <w:highlight w:val="none"/>
              </w:rPr>
            </w:pPr>
          </w:p>
        </w:tc>
        <w:tc>
          <w:tcPr>
            <w:tcW w:w="2520" w:type="dxa"/>
            <w:tcBorders>
              <w:top w:val="single" w:color="auto" w:sz="4" w:space="0"/>
              <w:left w:val="single" w:color="auto" w:sz="4" w:space="0"/>
              <w:bottom w:val="single" w:color="auto" w:sz="4" w:space="0"/>
              <w:right w:val="single" w:color="auto" w:sz="4" w:space="0"/>
            </w:tcBorders>
            <w:vAlign w:val="center"/>
          </w:tcPr>
          <w:p w14:paraId="1C355AA1">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1B4A78FD">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5375C9A0">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39434BC8">
            <w:pPr>
              <w:spacing w:line="360" w:lineRule="auto"/>
              <w:rPr>
                <w:rFonts w:hint="eastAsia" w:ascii="宋体" w:hAnsi="宋体" w:eastAsia="宋体" w:cs="宋体"/>
                <w:b w:val="0"/>
                <w:bCs w:val="0"/>
                <w:color w:val="auto"/>
                <w:sz w:val="22"/>
                <w:szCs w:val="22"/>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14:paraId="7733AAED">
            <w:pPr>
              <w:spacing w:line="360" w:lineRule="auto"/>
              <w:rPr>
                <w:rFonts w:hint="eastAsia" w:ascii="宋体" w:hAnsi="宋体" w:eastAsia="宋体" w:cs="宋体"/>
                <w:b w:val="0"/>
                <w:bCs w:val="0"/>
                <w:color w:val="auto"/>
                <w:sz w:val="22"/>
                <w:szCs w:val="22"/>
                <w:highlight w:val="none"/>
              </w:rPr>
            </w:pPr>
          </w:p>
        </w:tc>
        <w:tc>
          <w:tcPr>
            <w:tcW w:w="1458" w:type="dxa"/>
            <w:tcBorders>
              <w:top w:val="single" w:color="auto" w:sz="4" w:space="0"/>
              <w:left w:val="single" w:color="auto" w:sz="4" w:space="0"/>
              <w:bottom w:val="single" w:color="auto" w:sz="4" w:space="0"/>
              <w:right w:val="single" w:color="auto" w:sz="4" w:space="0"/>
            </w:tcBorders>
            <w:vAlign w:val="center"/>
          </w:tcPr>
          <w:p w14:paraId="2ECC5F39">
            <w:pPr>
              <w:spacing w:line="360" w:lineRule="auto"/>
              <w:rPr>
                <w:rFonts w:hint="eastAsia" w:ascii="宋体" w:hAnsi="宋体" w:eastAsia="宋体" w:cs="宋体"/>
                <w:b w:val="0"/>
                <w:bCs w:val="0"/>
                <w:color w:val="auto"/>
                <w:sz w:val="22"/>
                <w:szCs w:val="22"/>
                <w:highlight w:val="none"/>
              </w:rPr>
            </w:pPr>
          </w:p>
        </w:tc>
        <w:tc>
          <w:tcPr>
            <w:tcW w:w="1560" w:type="dxa"/>
            <w:tcBorders>
              <w:top w:val="single" w:color="auto" w:sz="4" w:space="0"/>
              <w:left w:val="single" w:color="auto" w:sz="4" w:space="0"/>
              <w:bottom w:val="single" w:color="auto" w:sz="4" w:space="0"/>
              <w:right w:val="single" w:color="auto" w:sz="4" w:space="0"/>
            </w:tcBorders>
            <w:vAlign w:val="center"/>
          </w:tcPr>
          <w:p w14:paraId="2B22CA7C">
            <w:pPr>
              <w:spacing w:line="360" w:lineRule="auto"/>
              <w:rPr>
                <w:rFonts w:hint="eastAsia" w:ascii="宋体" w:hAnsi="宋体" w:eastAsia="宋体" w:cs="宋体"/>
                <w:b w:val="0"/>
                <w:bCs w:val="0"/>
                <w:color w:val="auto"/>
                <w:sz w:val="22"/>
                <w:szCs w:val="22"/>
                <w:highlight w:val="none"/>
              </w:rPr>
            </w:pPr>
          </w:p>
        </w:tc>
      </w:tr>
      <w:tr w14:paraId="1C4BA3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tcBorders>
              <w:top w:val="single" w:color="auto" w:sz="4" w:space="0"/>
              <w:left w:val="single" w:color="auto" w:sz="4" w:space="0"/>
              <w:bottom w:val="single" w:color="auto" w:sz="4" w:space="0"/>
              <w:right w:val="single" w:color="auto" w:sz="4" w:space="0"/>
            </w:tcBorders>
            <w:vAlign w:val="center"/>
          </w:tcPr>
          <w:p w14:paraId="51922497">
            <w:pPr>
              <w:spacing w:line="360" w:lineRule="auto"/>
              <w:rPr>
                <w:rFonts w:hint="eastAsia" w:ascii="宋体" w:hAnsi="宋体" w:eastAsia="宋体" w:cs="宋体"/>
                <w:b w:val="0"/>
                <w:bCs w:val="0"/>
                <w:color w:val="auto"/>
                <w:sz w:val="22"/>
                <w:szCs w:val="22"/>
                <w:highlight w:val="none"/>
              </w:rPr>
            </w:pPr>
          </w:p>
        </w:tc>
        <w:tc>
          <w:tcPr>
            <w:tcW w:w="2520" w:type="dxa"/>
            <w:tcBorders>
              <w:top w:val="single" w:color="auto" w:sz="4" w:space="0"/>
              <w:left w:val="single" w:color="auto" w:sz="4" w:space="0"/>
              <w:bottom w:val="single" w:color="auto" w:sz="4" w:space="0"/>
              <w:right w:val="single" w:color="auto" w:sz="4" w:space="0"/>
            </w:tcBorders>
            <w:vAlign w:val="center"/>
          </w:tcPr>
          <w:p w14:paraId="6CB2EAF8">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0D9031F3">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6F19BA48">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267F8B7B">
            <w:pPr>
              <w:spacing w:line="360" w:lineRule="auto"/>
              <w:rPr>
                <w:rFonts w:hint="eastAsia" w:ascii="宋体" w:hAnsi="宋体" w:eastAsia="宋体" w:cs="宋体"/>
                <w:b w:val="0"/>
                <w:bCs w:val="0"/>
                <w:color w:val="auto"/>
                <w:sz w:val="22"/>
                <w:szCs w:val="22"/>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14:paraId="66F3DDF4">
            <w:pPr>
              <w:spacing w:line="360" w:lineRule="auto"/>
              <w:rPr>
                <w:rFonts w:hint="eastAsia" w:ascii="宋体" w:hAnsi="宋体" w:eastAsia="宋体" w:cs="宋体"/>
                <w:b w:val="0"/>
                <w:bCs w:val="0"/>
                <w:color w:val="auto"/>
                <w:sz w:val="22"/>
                <w:szCs w:val="22"/>
                <w:highlight w:val="none"/>
              </w:rPr>
            </w:pPr>
          </w:p>
        </w:tc>
        <w:tc>
          <w:tcPr>
            <w:tcW w:w="1458" w:type="dxa"/>
            <w:tcBorders>
              <w:top w:val="single" w:color="auto" w:sz="4" w:space="0"/>
              <w:left w:val="single" w:color="auto" w:sz="4" w:space="0"/>
              <w:bottom w:val="single" w:color="auto" w:sz="4" w:space="0"/>
              <w:right w:val="single" w:color="auto" w:sz="4" w:space="0"/>
            </w:tcBorders>
            <w:vAlign w:val="center"/>
          </w:tcPr>
          <w:p w14:paraId="175CDB2E">
            <w:pPr>
              <w:spacing w:line="360" w:lineRule="auto"/>
              <w:rPr>
                <w:rFonts w:hint="eastAsia" w:ascii="宋体" w:hAnsi="宋体" w:eastAsia="宋体" w:cs="宋体"/>
                <w:b w:val="0"/>
                <w:bCs w:val="0"/>
                <w:color w:val="auto"/>
                <w:sz w:val="22"/>
                <w:szCs w:val="22"/>
                <w:highlight w:val="none"/>
              </w:rPr>
            </w:pPr>
          </w:p>
        </w:tc>
        <w:tc>
          <w:tcPr>
            <w:tcW w:w="1560" w:type="dxa"/>
            <w:tcBorders>
              <w:top w:val="single" w:color="auto" w:sz="4" w:space="0"/>
              <w:left w:val="single" w:color="auto" w:sz="4" w:space="0"/>
              <w:bottom w:val="single" w:color="auto" w:sz="4" w:space="0"/>
              <w:right w:val="single" w:color="auto" w:sz="4" w:space="0"/>
            </w:tcBorders>
            <w:vAlign w:val="center"/>
          </w:tcPr>
          <w:p w14:paraId="485DC150">
            <w:pPr>
              <w:spacing w:line="360" w:lineRule="auto"/>
              <w:rPr>
                <w:rFonts w:hint="eastAsia" w:ascii="宋体" w:hAnsi="宋体" w:eastAsia="宋体" w:cs="宋体"/>
                <w:b w:val="0"/>
                <w:bCs w:val="0"/>
                <w:color w:val="auto"/>
                <w:sz w:val="22"/>
                <w:szCs w:val="22"/>
                <w:highlight w:val="none"/>
              </w:rPr>
            </w:pPr>
          </w:p>
        </w:tc>
      </w:tr>
      <w:tr w14:paraId="20E6FE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tcBorders>
              <w:top w:val="single" w:color="auto" w:sz="4" w:space="0"/>
              <w:left w:val="single" w:color="auto" w:sz="4" w:space="0"/>
              <w:bottom w:val="single" w:color="auto" w:sz="4" w:space="0"/>
              <w:right w:val="single" w:color="auto" w:sz="4" w:space="0"/>
            </w:tcBorders>
            <w:vAlign w:val="center"/>
          </w:tcPr>
          <w:p w14:paraId="01809E17">
            <w:pPr>
              <w:spacing w:line="360" w:lineRule="auto"/>
              <w:rPr>
                <w:rFonts w:hint="eastAsia" w:ascii="宋体" w:hAnsi="宋体" w:eastAsia="宋体" w:cs="宋体"/>
                <w:b w:val="0"/>
                <w:bCs w:val="0"/>
                <w:color w:val="auto"/>
                <w:sz w:val="22"/>
                <w:szCs w:val="22"/>
                <w:highlight w:val="none"/>
              </w:rPr>
            </w:pPr>
          </w:p>
        </w:tc>
        <w:tc>
          <w:tcPr>
            <w:tcW w:w="2520" w:type="dxa"/>
            <w:tcBorders>
              <w:top w:val="single" w:color="auto" w:sz="4" w:space="0"/>
              <w:left w:val="single" w:color="auto" w:sz="4" w:space="0"/>
              <w:bottom w:val="single" w:color="auto" w:sz="4" w:space="0"/>
              <w:right w:val="single" w:color="auto" w:sz="4" w:space="0"/>
            </w:tcBorders>
            <w:vAlign w:val="center"/>
          </w:tcPr>
          <w:p w14:paraId="793AAA62">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24D4E6B3">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5977CC5D">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22B362D9">
            <w:pPr>
              <w:spacing w:line="360" w:lineRule="auto"/>
              <w:rPr>
                <w:rFonts w:hint="eastAsia" w:ascii="宋体" w:hAnsi="宋体" w:eastAsia="宋体" w:cs="宋体"/>
                <w:b w:val="0"/>
                <w:bCs w:val="0"/>
                <w:color w:val="auto"/>
                <w:sz w:val="22"/>
                <w:szCs w:val="22"/>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14:paraId="13E1F0FD">
            <w:pPr>
              <w:spacing w:line="360" w:lineRule="auto"/>
              <w:rPr>
                <w:rFonts w:hint="eastAsia" w:ascii="宋体" w:hAnsi="宋体" w:eastAsia="宋体" w:cs="宋体"/>
                <w:b w:val="0"/>
                <w:bCs w:val="0"/>
                <w:color w:val="auto"/>
                <w:sz w:val="22"/>
                <w:szCs w:val="22"/>
                <w:highlight w:val="none"/>
              </w:rPr>
            </w:pPr>
          </w:p>
        </w:tc>
        <w:tc>
          <w:tcPr>
            <w:tcW w:w="1458" w:type="dxa"/>
            <w:tcBorders>
              <w:top w:val="single" w:color="auto" w:sz="4" w:space="0"/>
              <w:left w:val="single" w:color="auto" w:sz="4" w:space="0"/>
              <w:bottom w:val="single" w:color="auto" w:sz="4" w:space="0"/>
              <w:right w:val="single" w:color="auto" w:sz="4" w:space="0"/>
            </w:tcBorders>
            <w:vAlign w:val="center"/>
          </w:tcPr>
          <w:p w14:paraId="4214446B">
            <w:pPr>
              <w:spacing w:line="360" w:lineRule="auto"/>
              <w:rPr>
                <w:rFonts w:hint="eastAsia" w:ascii="宋体" w:hAnsi="宋体" w:eastAsia="宋体" w:cs="宋体"/>
                <w:b w:val="0"/>
                <w:bCs w:val="0"/>
                <w:color w:val="auto"/>
                <w:sz w:val="22"/>
                <w:szCs w:val="22"/>
                <w:highlight w:val="none"/>
              </w:rPr>
            </w:pPr>
          </w:p>
        </w:tc>
        <w:tc>
          <w:tcPr>
            <w:tcW w:w="1560" w:type="dxa"/>
            <w:tcBorders>
              <w:top w:val="single" w:color="auto" w:sz="4" w:space="0"/>
              <w:left w:val="single" w:color="auto" w:sz="4" w:space="0"/>
              <w:bottom w:val="single" w:color="auto" w:sz="4" w:space="0"/>
              <w:right w:val="single" w:color="auto" w:sz="4" w:space="0"/>
            </w:tcBorders>
            <w:vAlign w:val="center"/>
          </w:tcPr>
          <w:p w14:paraId="126BFCD7">
            <w:pPr>
              <w:spacing w:line="360" w:lineRule="auto"/>
              <w:rPr>
                <w:rFonts w:hint="eastAsia" w:ascii="宋体" w:hAnsi="宋体" w:eastAsia="宋体" w:cs="宋体"/>
                <w:b w:val="0"/>
                <w:bCs w:val="0"/>
                <w:color w:val="auto"/>
                <w:sz w:val="22"/>
                <w:szCs w:val="22"/>
                <w:highlight w:val="none"/>
              </w:rPr>
            </w:pPr>
          </w:p>
        </w:tc>
      </w:tr>
      <w:tr w14:paraId="09B76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tcBorders>
              <w:top w:val="single" w:color="auto" w:sz="4" w:space="0"/>
              <w:left w:val="single" w:color="auto" w:sz="4" w:space="0"/>
              <w:bottom w:val="single" w:color="auto" w:sz="4" w:space="0"/>
              <w:right w:val="single" w:color="auto" w:sz="4" w:space="0"/>
            </w:tcBorders>
            <w:vAlign w:val="center"/>
          </w:tcPr>
          <w:p w14:paraId="0B4AACB0">
            <w:pPr>
              <w:spacing w:line="360" w:lineRule="auto"/>
              <w:rPr>
                <w:rFonts w:hint="eastAsia" w:ascii="宋体" w:hAnsi="宋体" w:eastAsia="宋体" w:cs="宋体"/>
                <w:b w:val="0"/>
                <w:bCs w:val="0"/>
                <w:color w:val="auto"/>
                <w:sz w:val="22"/>
                <w:szCs w:val="22"/>
                <w:highlight w:val="none"/>
              </w:rPr>
            </w:pPr>
          </w:p>
        </w:tc>
        <w:tc>
          <w:tcPr>
            <w:tcW w:w="2520" w:type="dxa"/>
            <w:tcBorders>
              <w:top w:val="single" w:color="auto" w:sz="4" w:space="0"/>
              <w:left w:val="single" w:color="auto" w:sz="4" w:space="0"/>
              <w:bottom w:val="single" w:color="auto" w:sz="4" w:space="0"/>
              <w:right w:val="single" w:color="auto" w:sz="4" w:space="0"/>
            </w:tcBorders>
            <w:vAlign w:val="center"/>
          </w:tcPr>
          <w:p w14:paraId="720B0C1B">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32179C19">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58476F2C">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0833F4D1">
            <w:pPr>
              <w:spacing w:line="360" w:lineRule="auto"/>
              <w:rPr>
                <w:rFonts w:hint="eastAsia" w:ascii="宋体" w:hAnsi="宋体" w:eastAsia="宋体" w:cs="宋体"/>
                <w:b w:val="0"/>
                <w:bCs w:val="0"/>
                <w:color w:val="auto"/>
                <w:sz w:val="22"/>
                <w:szCs w:val="22"/>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14:paraId="0413A1F9">
            <w:pPr>
              <w:spacing w:line="360" w:lineRule="auto"/>
              <w:rPr>
                <w:rFonts w:hint="eastAsia" w:ascii="宋体" w:hAnsi="宋体" w:eastAsia="宋体" w:cs="宋体"/>
                <w:b w:val="0"/>
                <w:bCs w:val="0"/>
                <w:color w:val="auto"/>
                <w:sz w:val="22"/>
                <w:szCs w:val="22"/>
                <w:highlight w:val="none"/>
              </w:rPr>
            </w:pPr>
          </w:p>
        </w:tc>
        <w:tc>
          <w:tcPr>
            <w:tcW w:w="1458" w:type="dxa"/>
            <w:tcBorders>
              <w:top w:val="single" w:color="auto" w:sz="4" w:space="0"/>
              <w:left w:val="single" w:color="auto" w:sz="4" w:space="0"/>
              <w:bottom w:val="single" w:color="auto" w:sz="4" w:space="0"/>
              <w:right w:val="single" w:color="auto" w:sz="4" w:space="0"/>
            </w:tcBorders>
            <w:vAlign w:val="center"/>
          </w:tcPr>
          <w:p w14:paraId="14ADE18B">
            <w:pPr>
              <w:spacing w:line="360" w:lineRule="auto"/>
              <w:rPr>
                <w:rFonts w:hint="eastAsia" w:ascii="宋体" w:hAnsi="宋体" w:eastAsia="宋体" w:cs="宋体"/>
                <w:b w:val="0"/>
                <w:bCs w:val="0"/>
                <w:color w:val="auto"/>
                <w:sz w:val="22"/>
                <w:szCs w:val="22"/>
                <w:highlight w:val="none"/>
              </w:rPr>
            </w:pPr>
          </w:p>
        </w:tc>
        <w:tc>
          <w:tcPr>
            <w:tcW w:w="1560" w:type="dxa"/>
            <w:tcBorders>
              <w:top w:val="single" w:color="auto" w:sz="4" w:space="0"/>
              <w:left w:val="single" w:color="auto" w:sz="4" w:space="0"/>
              <w:bottom w:val="single" w:color="auto" w:sz="4" w:space="0"/>
              <w:right w:val="single" w:color="auto" w:sz="4" w:space="0"/>
            </w:tcBorders>
            <w:vAlign w:val="center"/>
          </w:tcPr>
          <w:p w14:paraId="75FBBBA4">
            <w:pPr>
              <w:spacing w:line="360" w:lineRule="auto"/>
              <w:rPr>
                <w:rFonts w:hint="eastAsia" w:ascii="宋体" w:hAnsi="宋体" w:eastAsia="宋体" w:cs="宋体"/>
                <w:b w:val="0"/>
                <w:bCs w:val="0"/>
                <w:color w:val="auto"/>
                <w:sz w:val="22"/>
                <w:szCs w:val="22"/>
                <w:highlight w:val="none"/>
              </w:rPr>
            </w:pPr>
          </w:p>
        </w:tc>
      </w:tr>
      <w:tr w14:paraId="5A7010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tcBorders>
              <w:top w:val="single" w:color="auto" w:sz="4" w:space="0"/>
              <w:left w:val="single" w:color="auto" w:sz="4" w:space="0"/>
              <w:bottom w:val="single" w:color="auto" w:sz="4" w:space="0"/>
              <w:right w:val="single" w:color="auto" w:sz="4" w:space="0"/>
            </w:tcBorders>
            <w:vAlign w:val="center"/>
          </w:tcPr>
          <w:p w14:paraId="1F55D8EE">
            <w:pPr>
              <w:spacing w:line="360" w:lineRule="auto"/>
              <w:rPr>
                <w:rFonts w:hint="eastAsia" w:ascii="宋体" w:hAnsi="宋体" w:eastAsia="宋体" w:cs="宋体"/>
                <w:b w:val="0"/>
                <w:bCs w:val="0"/>
                <w:color w:val="auto"/>
                <w:sz w:val="22"/>
                <w:szCs w:val="22"/>
                <w:highlight w:val="none"/>
              </w:rPr>
            </w:pPr>
          </w:p>
        </w:tc>
        <w:tc>
          <w:tcPr>
            <w:tcW w:w="2520" w:type="dxa"/>
            <w:tcBorders>
              <w:top w:val="single" w:color="auto" w:sz="4" w:space="0"/>
              <w:left w:val="single" w:color="auto" w:sz="4" w:space="0"/>
              <w:bottom w:val="single" w:color="auto" w:sz="4" w:space="0"/>
              <w:right w:val="single" w:color="auto" w:sz="4" w:space="0"/>
            </w:tcBorders>
            <w:vAlign w:val="center"/>
          </w:tcPr>
          <w:p w14:paraId="2C3E98D3">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60BE4DF5">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7926AE73">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433B4112">
            <w:pPr>
              <w:spacing w:line="360" w:lineRule="auto"/>
              <w:rPr>
                <w:rFonts w:hint="eastAsia" w:ascii="宋体" w:hAnsi="宋体" w:eastAsia="宋体" w:cs="宋体"/>
                <w:b w:val="0"/>
                <w:bCs w:val="0"/>
                <w:color w:val="auto"/>
                <w:sz w:val="22"/>
                <w:szCs w:val="22"/>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14:paraId="6DA05E36">
            <w:pPr>
              <w:spacing w:line="360" w:lineRule="auto"/>
              <w:rPr>
                <w:rFonts w:hint="eastAsia" w:ascii="宋体" w:hAnsi="宋体" w:eastAsia="宋体" w:cs="宋体"/>
                <w:b w:val="0"/>
                <w:bCs w:val="0"/>
                <w:color w:val="auto"/>
                <w:sz w:val="22"/>
                <w:szCs w:val="22"/>
                <w:highlight w:val="none"/>
              </w:rPr>
            </w:pPr>
          </w:p>
        </w:tc>
        <w:tc>
          <w:tcPr>
            <w:tcW w:w="1458" w:type="dxa"/>
            <w:tcBorders>
              <w:top w:val="single" w:color="auto" w:sz="4" w:space="0"/>
              <w:left w:val="single" w:color="auto" w:sz="4" w:space="0"/>
              <w:bottom w:val="single" w:color="auto" w:sz="4" w:space="0"/>
              <w:right w:val="single" w:color="auto" w:sz="4" w:space="0"/>
            </w:tcBorders>
            <w:vAlign w:val="center"/>
          </w:tcPr>
          <w:p w14:paraId="1D216C32">
            <w:pPr>
              <w:spacing w:line="360" w:lineRule="auto"/>
              <w:rPr>
                <w:rFonts w:hint="eastAsia" w:ascii="宋体" w:hAnsi="宋体" w:eastAsia="宋体" w:cs="宋体"/>
                <w:b w:val="0"/>
                <w:bCs w:val="0"/>
                <w:color w:val="auto"/>
                <w:sz w:val="22"/>
                <w:szCs w:val="22"/>
                <w:highlight w:val="none"/>
              </w:rPr>
            </w:pPr>
          </w:p>
        </w:tc>
        <w:tc>
          <w:tcPr>
            <w:tcW w:w="1560" w:type="dxa"/>
            <w:tcBorders>
              <w:top w:val="single" w:color="auto" w:sz="4" w:space="0"/>
              <w:left w:val="single" w:color="auto" w:sz="4" w:space="0"/>
              <w:bottom w:val="single" w:color="auto" w:sz="4" w:space="0"/>
              <w:right w:val="single" w:color="auto" w:sz="4" w:space="0"/>
            </w:tcBorders>
            <w:vAlign w:val="center"/>
          </w:tcPr>
          <w:p w14:paraId="3833BF7D">
            <w:pPr>
              <w:spacing w:line="360" w:lineRule="auto"/>
              <w:rPr>
                <w:rFonts w:hint="eastAsia" w:ascii="宋体" w:hAnsi="宋体" w:eastAsia="宋体" w:cs="宋体"/>
                <w:b w:val="0"/>
                <w:bCs w:val="0"/>
                <w:color w:val="auto"/>
                <w:sz w:val="22"/>
                <w:szCs w:val="22"/>
                <w:highlight w:val="none"/>
              </w:rPr>
            </w:pPr>
          </w:p>
        </w:tc>
      </w:tr>
      <w:tr w14:paraId="3964B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tcBorders>
              <w:top w:val="single" w:color="auto" w:sz="4" w:space="0"/>
              <w:left w:val="single" w:color="auto" w:sz="4" w:space="0"/>
              <w:bottom w:val="single" w:color="auto" w:sz="4" w:space="0"/>
              <w:right w:val="single" w:color="auto" w:sz="4" w:space="0"/>
            </w:tcBorders>
            <w:vAlign w:val="center"/>
          </w:tcPr>
          <w:p w14:paraId="0E90B5F7">
            <w:pPr>
              <w:spacing w:line="360" w:lineRule="auto"/>
              <w:rPr>
                <w:rFonts w:hint="eastAsia" w:ascii="宋体" w:hAnsi="宋体" w:eastAsia="宋体" w:cs="宋体"/>
                <w:b w:val="0"/>
                <w:bCs w:val="0"/>
                <w:color w:val="auto"/>
                <w:sz w:val="22"/>
                <w:szCs w:val="22"/>
                <w:highlight w:val="none"/>
              </w:rPr>
            </w:pPr>
          </w:p>
        </w:tc>
        <w:tc>
          <w:tcPr>
            <w:tcW w:w="2520" w:type="dxa"/>
            <w:tcBorders>
              <w:top w:val="single" w:color="auto" w:sz="4" w:space="0"/>
              <w:left w:val="single" w:color="auto" w:sz="4" w:space="0"/>
              <w:bottom w:val="single" w:color="auto" w:sz="4" w:space="0"/>
              <w:right w:val="single" w:color="auto" w:sz="4" w:space="0"/>
            </w:tcBorders>
            <w:vAlign w:val="center"/>
          </w:tcPr>
          <w:p w14:paraId="105A80FE">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1B0894CF">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12BA6855">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71EE12B0">
            <w:pPr>
              <w:spacing w:line="360" w:lineRule="auto"/>
              <w:rPr>
                <w:rFonts w:hint="eastAsia" w:ascii="宋体" w:hAnsi="宋体" w:eastAsia="宋体" w:cs="宋体"/>
                <w:b w:val="0"/>
                <w:bCs w:val="0"/>
                <w:color w:val="auto"/>
                <w:sz w:val="22"/>
                <w:szCs w:val="22"/>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14:paraId="1F1899BC">
            <w:pPr>
              <w:spacing w:line="360" w:lineRule="auto"/>
              <w:rPr>
                <w:rFonts w:hint="eastAsia" w:ascii="宋体" w:hAnsi="宋体" w:eastAsia="宋体" w:cs="宋体"/>
                <w:b w:val="0"/>
                <w:bCs w:val="0"/>
                <w:color w:val="auto"/>
                <w:sz w:val="22"/>
                <w:szCs w:val="22"/>
                <w:highlight w:val="none"/>
              </w:rPr>
            </w:pPr>
          </w:p>
        </w:tc>
        <w:tc>
          <w:tcPr>
            <w:tcW w:w="1458" w:type="dxa"/>
            <w:tcBorders>
              <w:top w:val="single" w:color="auto" w:sz="4" w:space="0"/>
              <w:left w:val="single" w:color="auto" w:sz="4" w:space="0"/>
              <w:bottom w:val="single" w:color="auto" w:sz="4" w:space="0"/>
              <w:right w:val="single" w:color="auto" w:sz="4" w:space="0"/>
            </w:tcBorders>
            <w:vAlign w:val="center"/>
          </w:tcPr>
          <w:p w14:paraId="4856C0CB">
            <w:pPr>
              <w:spacing w:line="360" w:lineRule="auto"/>
              <w:rPr>
                <w:rFonts w:hint="eastAsia" w:ascii="宋体" w:hAnsi="宋体" w:eastAsia="宋体" w:cs="宋体"/>
                <w:b w:val="0"/>
                <w:bCs w:val="0"/>
                <w:color w:val="auto"/>
                <w:sz w:val="22"/>
                <w:szCs w:val="22"/>
                <w:highlight w:val="none"/>
              </w:rPr>
            </w:pPr>
          </w:p>
        </w:tc>
        <w:tc>
          <w:tcPr>
            <w:tcW w:w="1560" w:type="dxa"/>
            <w:tcBorders>
              <w:top w:val="single" w:color="auto" w:sz="4" w:space="0"/>
              <w:left w:val="single" w:color="auto" w:sz="4" w:space="0"/>
              <w:bottom w:val="single" w:color="auto" w:sz="4" w:space="0"/>
              <w:right w:val="single" w:color="auto" w:sz="4" w:space="0"/>
            </w:tcBorders>
            <w:vAlign w:val="center"/>
          </w:tcPr>
          <w:p w14:paraId="47F9273F">
            <w:pPr>
              <w:spacing w:line="360" w:lineRule="auto"/>
              <w:rPr>
                <w:rFonts w:hint="eastAsia" w:ascii="宋体" w:hAnsi="宋体" w:eastAsia="宋体" w:cs="宋体"/>
                <w:b w:val="0"/>
                <w:bCs w:val="0"/>
                <w:color w:val="auto"/>
                <w:sz w:val="22"/>
                <w:szCs w:val="22"/>
                <w:highlight w:val="none"/>
              </w:rPr>
            </w:pPr>
          </w:p>
        </w:tc>
      </w:tr>
      <w:tr w14:paraId="122D0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tcBorders>
              <w:top w:val="single" w:color="auto" w:sz="4" w:space="0"/>
              <w:left w:val="single" w:color="auto" w:sz="4" w:space="0"/>
              <w:bottom w:val="single" w:color="auto" w:sz="4" w:space="0"/>
              <w:right w:val="single" w:color="auto" w:sz="4" w:space="0"/>
            </w:tcBorders>
            <w:vAlign w:val="center"/>
          </w:tcPr>
          <w:p w14:paraId="440DC8EB">
            <w:pPr>
              <w:spacing w:line="360" w:lineRule="auto"/>
              <w:rPr>
                <w:rFonts w:hint="eastAsia" w:ascii="宋体" w:hAnsi="宋体" w:eastAsia="宋体" w:cs="宋体"/>
                <w:b w:val="0"/>
                <w:bCs w:val="0"/>
                <w:color w:val="auto"/>
                <w:sz w:val="22"/>
                <w:szCs w:val="22"/>
                <w:highlight w:val="none"/>
              </w:rPr>
            </w:pPr>
          </w:p>
        </w:tc>
        <w:tc>
          <w:tcPr>
            <w:tcW w:w="2520" w:type="dxa"/>
            <w:tcBorders>
              <w:top w:val="single" w:color="auto" w:sz="4" w:space="0"/>
              <w:left w:val="single" w:color="auto" w:sz="4" w:space="0"/>
              <w:bottom w:val="single" w:color="auto" w:sz="4" w:space="0"/>
              <w:right w:val="single" w:color="auto" w:sz="4" w:space="0"/>
            </w:tcBorders>
            <w:vAlign w:val="center"/>
          </w:tcPr>
          <w:p w14:paraId="6907DA0E">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6FF9219E">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2160EB57">
            <w:pPr>
              <w:spacing w:line="360" w:lineRule="auto"/>
              <w:rPr>
                <w:rFonts w:hint="eastAsia" w:ascii="宋体" w:hAnsi="宋体" w:eastAsia="宋体" w:cs="宋体"/>
                <w:b w:val="0"/>
                <w:bCs w:val="0"/>
                <w:color w:val="auto"/>
                <w:sz w:val="22"/>
                <w:szCs w:val="22"/>
                <w:highlight w:val="none"/>
              </w:rPr>
            </w:pPr>
          </w:p>
        </w:tc>
        <w:tc>
          <w:tcPr>
            <w:tcW w:w="720" w:type="dxa"/>
            <w:tcBorders>
              <w:top w:val="single" w:color="auto" w:sz="4" w:space="0"/>
              <w:left w:val="single" w:color="auto" w:sz="4" w:space="0"/>
              <w:bottom w:val="single" w:color="auto" w:sz="4" w:space="0"/>
              <w:right w:val="single" w:color="auto" w:sz="4" w:space="0"/>
            </w:tcBorders>
            <w:vAlign w:val="center"/>
          </w:tcPr>
          <w:p w14:paraId="7ABE95B9">
            <w:pPr>
              <w:spacing w:line="360" w:lineRule="auto"/>
              <w:rPr>
                <w:rFonts w:hint="eastAsia" w:ascii="宋体" w:hAnsi="宋体" w:eastAsia="宋体" w:cs="宋体"/>
                <w:b w:val="0"/>
                <w:bCs w:val="0"/>
                <w:color w:val="auto"/>
                <w:sz w:val="22"/>
                <w:szCs w:val="22"/>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14:paraId="074B40CD">
            <w:pPr>
              <w:spacing w:line="360" w:lineRule="auto"/>
              <w:rPr>
                <w:rFonts w:hint="eastAsia" w:ascii="宋体" w:hAnsi="宋体" w:eastAsia="宋体" w:cs="宋体"/>
                <w:b w:val="0"/>
                <w:bCs w:val="0"/>
                <w:color w:val="auto"/>
                <w:sz w:val="22"/>
                <w:szCs w:val="22"/>
                <w:highlight w:val="none"/>
              </w:rPr>
            </w:pPr>
          </w:p>
        </w:tc>
        <w:tc>
          <w:tcPr>
            <w:tcW w:w="1458" w:type="dxa"/>
            <w:tcBorders>
              <w:top w:val="single" w:color="auto" w:sz="4" w:space="0"/>
              <w:left w:val="single" w:color="auto" w:sz="4" w:space="0"/>
              <w:bottom w:val="single" w:color="auto" w:sz="4" w:space="0"/>
              <w:right w:val="single" w:color="auto" w:sz="4" w:space="0"/>
            </w:tcBorders>
            <w:vAlign w:val="center"/>
          </w:tcPr>
          <w:p w14:paraId="34E50DB8">
            <w:pPr>
              <w:spacing w:line="360" w:lineRule="auto"/>
              <w:rPr>
                <w:rFonts w:hint="eastAsia" w:ascii="宋体" w:hAnsi="宋体" w:eastAsia="宋体" w:cs="宋体"/>
                <w:b w:val="0"/>
                <w:bCs w:val="0"/>
                <w:color w:val="auto"/>
                <w:sz w:val="22"/>
                <w:szCs w:val="22"/>
                <w:highlight w:val="none"/>
              </w:rPr>
            </w:pPr>
          </w:p>
        </w:tc>
        <w:tc>
          <w:tcPr>
            <w:tcW w:w="1560" w:type="dxa"/>
            <w:tcBorders>
              <w:top w:val="single" w:color="auto" w:sz="4" w:space="0"/>
              <w:left w:val="single" w:color="auto" w:sz="4" w:space="0"/>
              <w:bottom w:val="single" w:color="auto" w:sz="4" w:space="0"/>
              <w:right w:val="single" w:color="auto" w:sz="4" w:space="0"/>
            </w:tcBorders>
            <w:vAlign w:val="center"/>
          </w:tcPr>
          <w:p w14:paraId="4E71AA21">
            <w:pPr>
              <w:spacing w:line="360" w:lineRule="auto"/>
              <w:rPr>
                <w:rFonts w:hint="eastAsia" w:ascii="宋体" w:hAnsi="宋体" w:eastAsia="宋体" w:cs="宋体"/>
                <w:b w:val="0"/>
                <w:bCs w:val="0"/>
                <w:color w:val="auto"/>
                <w:sz w:val="22"/>
                <w:szCs w:val="22"/>
                <w:highlight w:val="none"/>
              </w:rPr>
            </w:pPr>
          </w:p>
        </w:tc>
      </w:tr>
    </w:tbl>
    <w:p w14:paraId="01374DA0">
      <w:pPr>
        <w:spacing w:line="360" w:lineRule="exact"/>
        <w:ind w:left="968" w:hanging="968" w:hangingChars="44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附注：1. 项目负责人、技术负</w:t>
      </w:r>
      <w:r>
        <w:rPr>
          <w:rFonts w:hint="eastAsia" w:ascii="宋体" w:hAnsi="宋体" w:eastAsia="宋体" w:cs="宋体"/>
          <w:b w:val="0"/>
          <w:bCs w:val="0"/>
          <w:color w:val="auto"/>
          <w:sz w:val="22"/>
          <w:szCs w:val="22"/>
          <w:highlight w:val="none"/>
          <w:lang w:eastAsia="zh-CN"/>
        </w:rPr>
        <w:t>责人</w:t>
      </w:r>
      <w:r>
        <w:rPr>
          <w:rFonts w:hint="eastAsia" w:ascii="宋体" w:eastAsia="宋体" w:cs="宋体"/>
          <w:b w:val="0"/>
          <w:bCs w:val="0"/>
          <w:color w:val="auto"/>
          <w:sz w:val="22"/>
          <w:szCs w:val="22"/>
          <w:highlight w:val="none"/>
          <w:lang w:eastAsia="zh-CN"/>
        </w:rPr>
        <w:t>以及</w:t>
      </w:r>
      <w:r>
        <w:rPr>
          <w:rFonts w:hint="eastAsia" w:ascii="宋体" w:hAnsi="宋体" w:eastAsia="宋体" w:cs="宋体"/>
          <w:b w:val="0"/>
          <w:bCs w:val="0"/>
          <w:color w:val="auto"/>
          <w:sz w:val="22"/>
          <w:szCs w:val="22"/>
          <w:highlight w:val="none"/>
        </w:rPr>
        <w:t>各主要专业工种负责人均应列入；</w:t>
      </w:r>
    </w:p>
    <w:p w14:paraId="4DAA6E94">
      <w:pPr>
        <w:spacing w:line="360" w:lineRule="exact"/>
        <w:ind w:left="718" w:leftChars="321" w:hanging="44" w:hangingChars="20"/>
        <w:rPr>
          <w:rFonts w:hint="eastAsia" w:ascii="宋体" w:hAnsi="宋体" w:eastAsia="宋体" w:cs="宋体"/>
          <w:b w:val="0"/>
          <w:bCs w:val="0"/>
          <w:color w:val="auto"/>
          <w:sz w:val="22"/>
          <w:szCs w:val="22"/>
          <w:highlight w:val="none"/>
        </w:rPr>
      </w:pPr>
      <w:r>
        <w:rPr>
          <w:rFonts w:hint="eastAsia" w:asci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、表格可以延续。</w:t>
      </w:r>
    </w:p>
    <w:p w14:paraId="24AF0A99">
      <w:pPr>
        <w:spacing w:line="360" w:lineRule="exact"/>
        <w:ind w:left="718" w:leftChars="321" w:hanging="44" w:hangingChars="20"/>
        <w:rPr>
          <w:rFonts w:hint="eastAsia" w:ascii="宋体" w:hAnsi="宋体" w:eastAsia="宋体" w:cs="宋体"/>
          <w:b w:val="0"/>
          <w:bCs w:val="0"/>
          <w:color w:val="auto"/>
          <w:sz w:val="22"/>
          <w:szCs w:val="22"/>
          <w:highlight w:val="none"/>
        </w:rPr>
      </w:pPr>
    </w:p>
    <w:p w14:paraId="32086D37">
      <w:pPr>
        <w:spacing w:line="360" w:lineRule="exact"/>
        <w:ind w:left="718" w:leftChars="321" w:hanging="44" w:hangingChars="20"/>
        <w:rPr>
          <w:rFonts w:hint="eastAsia" w:ascii="宋体" w:hAnsi="宋体" w:eastAsia="宋体" w:cs="宋体"/>
          <w:b w:val="0"/>
          <w:bCs w:val="0"/>
          <w:color w:val="auto"/>
          <w:sz w:val="22"/>
          <w:szCs w:val="22"/>
          <w:highlight w:val="none"/>
        </w:rPr>
      </w:pPr>
    </w:p>
    <w:p w14:paraId="57771D2A">
      <w:pPr>
        <w:spacing w:line="360" w:lineRule="exact"/>
        <w:ind w:left="718" w:leftChars="321" w:hanging="44" w:hangingChars="2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eastAsia="zh-CN"/>
        </w:rPr>
        <w:t>投标供应商</w:t>
      </w:r>
      <w:r>
        <w:rPr>
          <w:rFonts w:hint="eastAsia" w:ascii="宋体" w:hAnsi="宋体" w:eastAsia="宋体" w:cs="宋体"/>
          <w:b w:val="0"/>
          <w:bCs w:val="0"/>
          <w:color w:val="auto"/>
          <w:sz w:val="22"/>
          <w:szCs w:val="22"/>
          <w:highlight w:val="none"/>
        </w:rPr>
        <w:t>全称（公章）：</w:t>
      </w:r>
    </w:p>
    <w:p w14:paraId="138F8A34">
      <w:pPr>
        <w:spacing w:line="360" w:lineRule="exact"/>
        <w:ind w:left="718" w:leftChars="321" w:hanging="44" w:hangingChars="2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日期：  年  月  日</w:t>
      </w:r>
    </w:p>
    <w:p w14:paraId="2196E7D5">
      <w:pPr>
        <w:pStyle w:val="41"/>
        <w:rPr>
          <w:rFonts w:hint="eastAsia" w:ascii="宋体" w:hAnsi="宋体" w:eastAsia="宋体" w:cs="宋体"/>
          <w:b w:val="0"/>
          <w:bCs w:val="0"/>
          <w:color w:val="auto"/>
          <w:sz w:val="30"/>
          <w:szCs w:val="30"/>
          <w:highlight w:val="none"/>
        </w:rPr>
        <w:sectPr>
          <w:headerReference r:id="rId15" w:type="first"/>
          <w:headerReference r:id="rId14" w:type="default"/>
          <w:footerReference r:id="rId16" w:type="default"/>
          <w:pgSz w:w="11906" w:h="16838"/>
          <w:pgMar w:top="1134" w:right="1134" w:bottom="1134" w:left="1134" w:header="851" w:footer="850" w:gutter="0"/>
          <w:cols w:space="720" w:num="1"/>
          <w:titlePg/>
          <w:docGrid w:type="lines" w:linePitch="312" w:charSpace="0"/>
        </w:sectPr>
      </w:pPr>
    </w:p>
    <w:p w14:paraId="2666E799">
      <w:pPr>
        <w:pStyle w:val="41"/>
        <w:rPr>
          <w:rFonts w:hint="eastAsia" w:ascii="宋体" w:hAnsi="宋体" w:eastAsia="宋体" w:cs="宋体"/>
          <w:color w:val="auto"/>
          <w:highlight w:val="none"/>
        </w:rPr>
      </w:pPr>
      <w:bookmarkStart w:id="253" w:name="_Toc23137"/>
      <w:r>
        <w:rPr>
          <w:rFonts w:hint="eastAsia" w:ascii="宋体" w:hAnsi="宋体" w:eastAsia="宋体" w:cs="宋体"/>
          <w:color w:val="auto"/>
          <w:highlight w:val="none"/>
        </w:rPr>
        <w:t>第七部分 评标定标办法</w:t>
      </w:r>
      <w:bookmarkEnd w:id="141"/>
      <w:bookmarkEnd w:id="253"/>
    </w:p>
    <w:p w14:paraId="5845CC2B">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根据《中华人民共和国政府采购法》等有关政府采购法规，结合本次所要采购服务的实际，按照公平、公正、科学、择优的原则选择中标人，特制定本评审办法。</w:t>
      </w:r>
    </w:p>
    <w:p w14:paraId="43D06FB3">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一、总则</w:t>
      </w:r>
    </w:p>
    <w:p w14:paraId="2D6B1AA3">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评审工作遵循公平、公正、民主、科学的原则和诚实、信誉、效率的服务原则。本着科学、严谨的态度，认真进行评审。择优选定提供服务单位，最大限度</w:t>
      </w:r>
      <w:r>
        <w:rPr>
          <w:rFonts w:hint="eastAsia" w:ascii="宋体" w:eastAsia="宋体" w:cs="宋体"/>
          <w:b w:val="0"/>
          <w:color w:val="auto"/>
          <w:sz w:val="22"/>
          <w:szCs w:val="22"/>
          <w:highlight w:val="none"/>
          <w:lang w:eastAsia="zh-CN"/>
        </w:rPr>
        <w:t>地</w:t>
      </w:r>
      <w:r>
        <w:rPr>
          <w:rFonts w:hint="eastAsia" w:ascii="宋体" w:hAnsi="宋体" w:eastAsia="宋体" w:cs="宋体"/>
          <w:b w:val="0"/>
          <w:color w:val="auto"/>
          <w:sz w:val="22"/>
          <w:szCs w:val="22"/>
          <w:highlight w:val="none"/>
        </w:rPr>
        <w:t>保护当事人权益，严格按照竞争性磋商文件的商务、技术要求，对磋商响应文件进行综合评定，提出优选方案，编写评审报告。磋商小组必须严格遵守保密规定，</w:t>
      </w:r>
      <w:r>
        <w:rPr>
          <w:rFonts w:hint="eastAsia" w:ascii="宋体" w:eastAsia="宋体" w:cs="宋体"/>
          <w:b w:val="0"/>
          <w:color w:val="auto"/>
          <w:sz w:val="22"/>
          <w:szCs w:val="22"/>
          <w:highlight w:val="none"/>
          <w:lang w:eastAsia="zh-CN"/>
        </w:rPr>
        <w:t>不得泄露</w:t>
      </w:r>
      <w:r>
        <w:rPr>
          <w:rFonts w:hint="eastAsia" w:ascii="宋体" w:hAnsi="宋体" w:eastAsia="宋体" w:cs="宋体"/>
          <w:b w:val="0"/>
          <w:color w:val="auto"/>
          <w:sz w:val="22"/>
          <w:szCs w:val="22"/>
          <w:highlight w:val="none"/>
        </w:rPr>
        <w:t>评审的有关情况，不得索贿受贿，不得接受吃请和礼品，不得参加影响公正评审的有关活动。对未中标人，磋商小组</w:t>
      </w:r>
      <w:r>
        <w:rPr>
          <w:rFonts w:hint="eastAsia" w:ascii="宋体" w:eastAsia="宋体" w:cs="宋体"/>
          <w:b w:val="0"/>
          <w:color w:val="auto"/>
          <w:sz w:val="22"/>
          <w:szCs w:val="22"/>
          <w:highlight w:val="none"/>
          <w:lang w:eastAsia="zh-CN"/>
        </w:rPr>
        <w:t>不作任何解释</w:t>
      </w:r>
      <w:r>
        <w:rPr>
          <w:rFonts w:hint="eastAsia" w:ascii="宋体" w:hAnsi="宋体" w:eastAsia="宋体" w:cs="宋体"/>
          <w:b w:val="0"/>
          <w:color w:val="auto"/>
          <w:sz w:val="22"/>
          <w:szCs w:val="22"/>
          <w:highlight w:val="none"/>
        </w:rPr>
        <w:t>。投标供应商不得以任何方式干扰采购工作的进行，一经发现其磋商响应文件将被拒绝。</w:t>
      </w:r>
    </w:p>
    <w:p w14:paraId="1A242FE7">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二、评审组织</w:t>
      </w:r>
    </w:p>
    <w:p w14:paraId="1A699E14">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评审工作由采购人依法组建的磋商小组负责，磋商小组由采购人代表以及评审专家库中随机抽取的有关技术、经济专家共同组成。评审全过程由采购管理部门全程监督。</w:t>
      </w:r>
    </w:p>
    <w:p w14:paraId="1C921D9A">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三、磋商程序、磋商原则和方式</w:t>
      </w:r>
    </w:p>
    <w:p w14:paraId="06A4CB67">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1、本次采购是根据竞争性磋商采购方式进行。</w:t>
      </w:r>
    </w:p>
    <w:p w14:paraId="37A544AB">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1.1、如磋商小组认为竞争性磋商文件能够详细列明采购标的技术、服务要求的，评审结束后，磋商小组可以直接对投标供应商进行打分评价。</w:t>
      </w:r>
    </w:p>
    <w:p w14:paraId="793A35CA">
      <w:pPr>
        <w:spacing w:line="360" w:lineRule="auto"/>
        <w:ind w:firstLine="442"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1.2如磋商小组认为需要修改竞争性磋商文件的，在磋商过程中，磋商小组可以根据竞争性磋商文件和磋商情况实质性变动采购需求中的技术、服务要求以及合同草案条款，但不得变动竞争性磋商文件中的其他内容。实质性变动的内容，须经采购人代表确认。</w:t>
      </w:r>
    </w:p>
    <w:p w14:paraId="031BE234">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对竞争性磋商文件作出的实质性变动是磋商文件的有效组成部分，磋商小组应当及时以书面形式同时通知所有参加磋商的投标供应商。</w:t>
      </w:r>
    </w:p>
    <w:p w14:paraId="774E36D2">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投标供应商应当按照竞争性磋商文件的变动情况和磋商小组的要求重新提交磋商响应文件，并由其法定代表人或授权代表签字或者加盖公章。由授权代表签字的，应当附法定代表人授权书。投标供应商为自然人的，应当由本人签字并附身份证明。</w:t>
      </w:r>
    </w:p>
    <w:p w14:paraId="556189EF">
      <w:pPr>
        <w:spacing w:line="360" w:lineRule="auto"/>
        <w:ind w:firstLine="442" w:firstLineChars="200"/>
        <w:rPr>
          <w:rFonts w:hint="eastAsia" w:ascii="宋体" w:hAnsi="宋体" w:eastAsia="宋体" w:cs="宋体"/>
          <w:color w:val="auto"/>
          <w:sz w:val="22"/>
          <w:szCs w:val="22"/>
          <w:highlight w:val="none"/>
          <w:u w:val="single"/>
        </w:rPr>
      </w:pPr>
      <w:r>
        <w:rPr>
          <w:rFonts w:hint="eastAsia" w:ascii="宋体" w:hAnsi="宋体" w:eastAsia="宋体" w:cs="宋体"/>
          <w:color w:val="auto"/>
          <w:sz w:val="22"/>
          <w:szCs w:val="22"/>
          <w:highlight w:val="none"/>
          <w:u w:val="single"/>
        </w:rPr>
        <w:t>已提交磋商响应文件的投标供应商，在提交最后磋商报价之前，可以根据磋商情况退出磋商。</w:t>
      </w:r>
    </w:p>
    <w:p w14:paraId="1A14EC0D">
      <w:pPr>
        <w:spacing w:line="360" w:lineRule="auto"/>
        <w:ind w:firstLine="440" w:firstLineChars="200"/>
        <w:rPr>
          <w:rFonts w:hint="eastAsia" w:ascii="宋体" w:hAnsi="宋体" w:eastAsia="宋体" w:cs="宋体"/>
          <w:color w:val="auto"/>
          <w:sz w:val="22"/>
          <w:szCs w:val="22"/>
          <w:highlight w:val="none"/>
          <w:u w:val="single"/>
        </w:rPr>
      </w:pPr>
      <w:r>
        <w:rPr>
          <w:rFonts w:hint="eastAsia" w:ascii="宋体" w:hAnsi="宋体" w:eastAsia="宋体" w:cs="宋体"/>
          <w:b w:val="0"/>
          <w:color w:val="auto"/>
          <w:sz w:val="22"/>
          <w:szCs w:val="22"/>
          <w:highlight w:val="none"/>
        </w:rPr>
        <w:t>1.3、磋商的顺序，按投标供应商签到的顺序进行。开展磋商，磋商小组所有成员集中与单一投标供应商分别进行磋商</w:t>
      </w:r>
      <w:r>
        <w:rPr>
          <w:rFonts w:hint="eastAsia" w:ascii="宋体" w:hAnsi="宋体" w:eastAsia="宋体" w:cs="宋体"/>
          <w:color w:val="auto"/>
          <w:sz w:val="22"/>
          <w:szCs w:val="22"/>
          <w:highlight w:val="none"/>
        </w:rPr>
        <w:t>（如有需要可进行2至3次磋商，磋商次数由磋商小组讨论决定）</w:t>
      </w:r>
      <w:r>
        <w:rPr>
          <w:rFonts w:hint="eastAsia" w:ascii="宋体" w:hAnsi="宋体" w:eastAsia="宋体" w:cs="宋体"/>
          <w:b w:val="0"/>
          <w:color w:val="auto"/>
          <w:sz w:val="22"/>
          <w:szCs w:val="22"/>
          <w:highlight w:val="none"/>
        </w:rPr>
        <w:t>，</w:t>
      </w:r>
      <w:r>
        <w:rPr>
          <w:rFonts w:hint="eastAsia" w:ascii="宋体" w:hAnsi="宋体" w:eastAsia="宋体" w:cs="宋体"/>
          <w:color w:val="auto"/>
          <w:sz w:val="22"/>
          <w:szCs w:val="22"/>
          <w:highlight w:val="none"/>
        </w:rPr>
        <w:t>并要求投标供应商提交最终磋商报价（最终磋商报价可以是一次报价，如有需要可进行2至3次磋商报价，磋商报价次数由磋商小组讨论决定）。</w:t>
      </w:r>
      <w:r>
        <w:rPr>
          <w:rFonts w:hint="eastAsia" w:ascii="宋体" w:hAnsi="宋体" w:eastAsia="宋体" w:cs="宋体"/>
          <w:color w:val="auto"/>
          <w:sz w:val="22"/>
          <w:szCs w:val="22"/>
          <w:highlight w:val="none"/>
          <w:u w:val="single"/>
        </w:rPr>
        <w:t>在竞争性磋商文件未做任何调整的情况下，参与磋商的投标供应商如有出现最终磋商报价超过磋商响应文件中报价的，则该投标供应商的报价按无效处理。超过规定时间提交的最终磋商报价作无效处理。</w:t>
      </w:r>
    </w:p>
    <w:p w14:paraId="4B5F9DFF">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2、评审原则和方法</w:t>
      </w:r>
    </w:p>
    <w:p w14:paraId="3B301612">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2.1、磋商小组负责审查磋商响应文件是否符合竞争性磋商文件的要求，并作出评价。磋商小组认为必要时，可向投标供应商进行质疑。磋商小组有权决定全部或部分投标供应商磋商响应文件无效。</w:t>
      </w:r>
    </w:p>
    <w:p w14:paraId="3935CAA1">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 xml:space="preserve">2.2、磋商小组将综合分析合格投标供应商的各项指标，而不是以单项指标的优劣评选出成交的投标供应商。   </w:t>
      </w:r>
    </w:p>
    <w:p w14:paraId="5C0087D4">
      <w:pPr>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b w:val="0"/>
          <w:color w:val="auto"/>
          <w:sz w:val="22"/>
          <w:szCs w:val="22"/>
          <w:highlight w:val="none"/>
        </w:rPr>
        <w:t>2.3、经磋商确定最终采购需求和提交最后报价的投标供应商后，由磋商小组采用综合评分法对提交最后报价的投标供应商的磋商响应文件和最后磋商报价进行综合评分。如竞争性磋商文件所列采购内容明确不需要修改的或投标供应商磋商响应文件清楚明确不需要澄清的，</w:t>
      </w:r>
      <w:r>
        <w:rPr>
          <w:rFonts w:hint="eastAsia" w:ascii="宋体" w:hAnsi="宋体" w:eastAsia="宋体" w:cs="宋体"/>
          <w:color w:val="auto"/>
          <w:sz w:val="22"/>
          <w:szCs w:val="22"/>
          <w:highlight w:val="none"/>
        </w:rPr>
        <w:t>可以不进行磋商环节，直接要求投标供应商进行最终磋商报价，进行综合评分。</w:t>
      </w:r>
    </w:p>
    <w:p w14:paraId="3E543D1D">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本次评审采用综合评分法，磋商小组根据竞争性磋商文件制定的评审办法对投标供应商进行评审排序，推荐综合得分前3名（若2家继续开标的，推荐综合得分前2名）为中标候选人，将综合得分第一名的供应商向采购人推荐其为成交供应商。</w:t>
      </w:r>
    </w:p>
    <w:p w14:paraId="62E19603">
      <w:pPr>
        <w:adjustRightInd w:val="0"/>
        <w:spacing w:before="100" w:after="50" w:line="360" w:lineRule="auto"/>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四、评分细则</w:t>
      </w:r>
    </w:p>
    <w:p w14:paraId="1E16EAAD">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一、报价评分</w:t>
      </w:r>
      <w:r>
        <w:rPr>
          <w:rFonts w:hint="eastAsia" w:ascii="宋体" w:eastAsia="宋体" w:cs="宋体"/>
          <w:b w:val="0"/>
          <w:color w:val="auto"/>
          <w:sz w:val="22"/>
          <w:szCs w:val="22"/>
          <w:highlight w:val="none"/>
          <w:lang w:val="en-US" w:eastAsia="zh-CN"/>
        </w:rPr>
        <w:t>10</w:t>
      </w:r>
      <w:r>
        <w:rPr>
          <w:rFonts w:hint="eastAsia" w:ascii="宋体" w:hAnsi="宋体" w:eastAsia="宋体" w:cs="宋体"/>
          <w:b w:val="0"/>
          <w:color w:val="auto"/>
          <w:sz w:val="22"/>
          <w:szCs w:val="22"/>
          <w:highlight w:val="none"/>
        </w:rPr>
        <w:t>分</w:t>
      </w:r>
    </w:p>
    <w:p w14:paraId="01DEA91D">
      <w:pPr>
        <w:spacing w:line="360" w:lineRule="auto"/>
        <w:ind w:firstLine="442" w:firstLineChars="200"/>
        <w:rPr>
          <w:rFonts w:hint="eastAsia" w:ascii="宋体" w:hAnsi="宋体" w:eastAsia="宋体" w:cs="宋体"/>
          <w:color w:val="auto"/>
          <w:sz w:val="22"/>
          <w:szCs w:val="22"/>
          <w:highlight w:val="none"/>
          <w:u w:val="single"/>
        </w:rPr>
      </w:pPr>
      <w:r>
        <w:rPr>
          <w:rFonts w:hint="eastAsia" w:ascii="宋体" w:hAnsi="宋体" w:eastAsia="宋体" w:cs="宋体"/>
          <w:color w:val="auto"/>
          <w:sz w:val="22"/>
          <w:szCs w:val="22"/>
          <w:highlight w:val="none"/>
          <w:u w:val="single"/>
        </w:rPr>
        <w:t>1、以供应商磋商后的最终报价中的最低价为评标基准价，得满分</w:t>
      </w:r>
      <w:r>
        <w:rPr>
          <w:rFonts w:hint="eastAsia" w:ascii="宋体" w:eastAsia="宋体" w:cs="宋体"/>
          <w:color w:val="auto"/>
          <w:sz w:val="22"/>
          <w:szCs w:val="22"/>
          <w:highlight w:val="none"/>
          <w:u w:val="single"/>
          <w:lang w:val="en-US" w:eastAsia="zh-CN"/>
        </w:rPr>
        <w:t>10</w:t>
      </w:r>
      <w:r>
        <w:rPr>
          <w:rFonts w:hint="eastAsia" w:ascii="宋体" w:hAnsi="宋体" w:eastAsia="宋体" w:cs="宋体"/>
          <w:color w:val="auto"/>
          <w:sz w:val="22"/>
          <w:szCs w:val="22"/>
          <w:highlight w:val="none"/>
          <w:u w:val="single"/>
        </w:rPr>
        <w:t>分。报价评分结算公式为</w:t>
      </w:r>
      <w:r>
        <w:rPr>
          <w:rFonts w:hint="eastAsia" w:ascii="宋体" w:eastAsia="宋体" w:cs="宋体"/>
          <w:color w:val="auto"/>
          <w:sz w:val="22"/>
          <w:szCs w:val="22"/>
          <w:highlight w:val="none"/>
          <w:u w:val="single"/>
          <w:lang w:eastAsia="zh-CN"/>
        </w:rPr>
        <w:t>：</w:t>
      </w:r>
      <w:r>
        <w:rPr>
          <w:rFonts w:hint="eastAsia" w:ascii="宋体" w:hAnsi="宋体" w:eastAsia="宋体" w:cs="宋体"/>
          <w:color w:val="auto"/>
          <w:sz w:val="22"/>
          <w:szCs w:val="22"/>
          <w:highlight w:val="none"/>
          <w:u w:val="single"/>
        </w:rPr>
        <w:t>投标报价得分=</w:t>
      </w:r>
      <w:r>
        <w:rPr>
          <w:rFonts w:hint="eastAsia" w:ascii="宋体" w:eastAsia="宋体" w:cs="宋体"/>
          <w:color w:val="auto"/>
          <w:sz w:val="22"/>
          <w:szCs w:val="22"/>
          <w:highlight w:val="none"/>
          <w:u w:val="single"/>
          <w:lang w:eastAsia="zh-CN"/>
        </w:rPr>
        <w:t>（</w:t>
      </w:r>
      <w:r>
        <w:rPr>
          <w:rFonts w:hint="eastAsia" w:ascii="宋体" w:hAnsi="宋体" w:eastAsia="宋体" w:cs="宋体"/>
          <w:color w:val="auto"/>
          <w:sz w:val="22"/>
          <w:szCs w:val="22"/>
          <w:highlight w:val="none"/>
          <w:u w:val="single"/>
        </w:rPr>
        <w:t>评标基准价／磋商后的最终报价</w:t>
      </w:r>
      <w:r>
        <w:rPr>
          <w:rFonts w:hint="eastAsia" w:ascii="宋体" w:eastAsia="宋体" w:cs="宋体"/>
          <w:color w:val="auto"/>
          <w:sz w:val="22"/>
          <w:szCs w:val="22"/>
          <w:highlight w:val="none"/>
          <w:u w:val="single"/>
          <w:lang w:eastAsia="zh-CN"/>
        </w:rPr>
        <w:t>）</w:t>
      </w:r>
      <w:r>
        <w:rPr>
          <w:rFonts w:hint="eastAsia" w:ascii="宋体" w:hAnsi="宋体" w:eastAsia="宋体" w:cs="宋体"/>
          <w:color w:val="auto"/>
          <w:sz w:val="22"/>
          <w:szCs w:val="22"/>
          <w:highlight w:val="none"/>
          <w:u w:val="single"/>
        </w:rPr>
        <w:t>×</w:t>
      </w:r>
      <w:r>
        <w:rPr>
          <w:rFonts w:hint="eastAsia" w:ascii="宋体" w:eastAsia="宋体" w:cs="宋体"/>
          <w:color w:val="auto"/>
          <w:sz w:val="22"/>
          <w:szCs w:val="22"/>
          <w:highlight w:val="none"/>
          <w:u w:val="single"/>
          <w:lang w:val="en-US" w:eastAsia="zh-CN"/>
        </w:rPr>
        <w:t>10</w:t>
      </w:r>
      <w:r>
        <w:rPr>
          <w:rFonts w:hint="eastAsia" w:ascii="宋体" w:hAnsi="宋体" w:eastAsia="宋体" w:cs="宋体"/>
          <w:color w:val="auto"/>
          <w:sz w:val="22"/>
          <w:szCs w:val="22"/>
          <w:highlight w:val="none"/>
          <w:u w:val="single"/>
        </w:rPr>
        <w:t>%×100。</w:t>
      </w:r>
    </w:p>
    <w:p w14:paraId="2E319ECC">
      <w:pPr>
        <w:numPr>
          <w:ilvl w:val="0"/>
          <w:numId w:val="10"/>
        </w:numPr>
        <w:spacing w:before="120" w:beforeLines="50" w:after="120" w:afterLines="50" w:line="360" w:lineRule="auto"/>
        <w:ind w:firstLine="220" w:firstLineChars="1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技术、服务等综合评分</w:t>
      </w:r>
      <w:r>
        <w:rPr>
          <w:rFonts w:hint="eastAsia" w:ascii="宋体" w:eastAsia="宋体" w:cs="宋体"/>
          <w:b w:val="0"/>
          <w:color w:val="auto"/>
          <w:sz w:val="22"/>
          <w:szCs w:val="22"/>
          <w:highlight w:val="none"/>
          <w:lang w:val="en-US" w:eastAsia="zh-CN"/>
        </w:rPr>
        <w:t>90</w:t>
      </w:r>
      <w:r>
        <w:rPr>
          <w:rFonts w:hint="eastAsia" w:ascii="宋体" w:hAnsi="宋体" w:eastAsia="宋体" w:cs="宋体"/>
          <w:b w:val="0"/>
          <w:color w:val="auto"/>
          <w:sz w:val="22"/>
          <w:szCs w:val="22"/>
          <w:highlight w:val="none"/>
        </w:rPr>
        <w:t>分</w:t>
      </w:r>
    </w:p>
    <w:tbl>
      <w:tblPr>
        <w:tblStyle w:val="44"/>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744"/>
        <w:gridCol w:w="1102"/>
        <w:gridCol w:w="5838"/>
        <w:gridCol w:w="744"/>
        <w:gridCol w:w="929"/>
      </w:tblGrid>
      <w:tr w14:paraId="61CB918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33" w:hRule="atLeast"/>
          <w:tblHeader/>
        </w:trPr>
        <w:tc>
          <w:tcPr>
            <w:tcW w:w="744" w:type="dxa"/>
            <w:vAlign w:val="center"/>
          </w:tcPr>
          <w:p w14:paraId="37B7071F">
            <w:pPr>
              <w:widowControl/>
              <w:spacing w:line="360" w:lineRule="auto"/>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序号</w:t>
            </w:r>
          </w:p>
        </w:tc>
        <w:tc>
          <w:tcPr>
            <w:tcW w:w="1102" w:type="dxa"/>
            <w:vAlign w:val="center"/>
          </w:tcPr>
          <w:p w14:paraId="1AB86770">
            <w:pPr>
              <w:widowControl/>
              <w:spacing w:line="360" w:lineRule="auto"/>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评分因素</w:t>
            </w:r>
          </w:p>
        </w:tc>
        <w:tc>
          <w:tcPr>
            <w:tcW w:w="5838" w:type="dxa"/>
            <w:vAlign w:val="center"/>
          </w:tcPr>
          <w:p w14:paraId="10198AE6">
            <w:pPr>
              <w:widowControl/>
              <w:spacing w:line="360" w:lineRule="auto"/>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评分标准</w:t>
            </w:r>
          </w:p>
        </w:tc>
        <w:tc>
          <w:tcPr>
            <w:tcW w:w="744" w:type="dxa"/>
            <w:vAlign w:val="center"/>
          </w:tcPr>
          <w:p w14:paraId="030DE8A5">
            <w:pPr>
              <w:widowControl/>
              <w:spacing w:line="360" w:lineRule="auto"/>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分值</w:t>
            </w:r>
          </w:p>
        </w:tc>
        <w:tc>
          <w:tcPr>
            <w:tcW w:w="929" w:type="dxa"/>
            <w:vAlign w:val="center"/>
          </w:tcPr>
          <w:p w14:paraId="173717BC">
            <w:pPr>
              <w:widowControl/>
              <w:spacing w:line="360" w:lineRule="auto"/>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备注</w:t>
            </w:r>
          </w:p>
        </w:tc>
      </w:tr>
      <w:tr w14:paraId="501FE78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616" w:hRule="atLeast"/>
        </w:trPr>
        <w:tc>
          <w:tcPr>
            <w:tcW w:w="744" w:type="dxa"/>
            <w:vAlign w:val="center"/>
          </w:tcPr>
          <w:p w14:paraId="1C3E8DE1">
            <w:pPr>
              <w:widowControl/>
              <w:spacing w:line="360" w:lineRule="auto"/>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1</w:t>
            </w:r>
          </w:p>
        </w:tc>
        <w:tc>
          <w:tcPr>
            <w:tcW w:w="1102" w:type="dxa"/>
            <w:shd w:val="clear" w:color="auto" w:fill="auto"/>
            <w:vAlign w:val="center"/>
          </w:tcPr>
          <w:p w14:paraId="402B3364">
            <w:pPr>
              <w:widowControl/>
              <w:spacing w:line="360" w:lineRule="auto"/>
              <w:jc w:val="center"/>
              <w:rPr>
                <w:rFonts w:hint="eastAsia" w:ascii="宋体" w:hAnsi="宋体" w:eastAsia="宋体" w:cs="宋体"/>
                <w:b w:val="0"/>
                <w:bCs w:val="0"/>
                <w:color w:val="auto"/>
                <w:kern w:val="0"/>
                <w:sz w:val="22"/>
                <w:szCs w:val="22"/>
                <w:highlight w:val="none"/>
                <w:lang w:val="en-US" w:eastAsia="zh-CN" w:bidi="ar-SA"/>
              </w:rPr>
            </w:pPr>
            <w:r>
              <w:rPr>
                <w:rFonts w:hint="eastAsia" w:ascii="宋体" w:hAnsi="宋体" w:eastAsia="宋体" w:cs="宋体"/>
                <w:b w:val="0"/>
                <w:bCs w:val="0"/>
                <w:color w:val="auto"/>
                <w:kern w:val="0"/>
                <w:sz w:val="22"/>
                <w:szCs w:val="22"/>
                <w:highlight w:val="none"/>
              </w:rPr>
              <w:t>企业实力</w:t>
            </w:r>
          </w:p>
        </w:tc>
        <w:tc>
          <w:tcPr>
            <w:tcW w:w="5838" w:type="dxa"/>
            <w:shd w:val="clear" w:color="auto" w:fill="auto"/>
            <w:vAlign w:val="center"/>
          </w:tcPr>
          <w:p w14:paraId="786A9C87">
            <w:pPr>
              <w:widowControl/>
              <w:spacing w:line="360" w:lineRule="auto"/>
              <w:jc w:val="left"/>
              <w:rPr>
                <w:rFonts w:hint="eastAsia" w:ascii="宋体" w:hAnsi="宋体" w:eastAsia="宋体" w:cs="宋体"/>
                <w:b w:val="0"/>
                <w:bCs w:val="0"/>
                <w:color w:val="auto"/>
                <w:kern w:val="0"/>
                <w:sz w:val="22"/>
                <w:szCs w:val="22"/>
                <w:highlight w:val="none"/>
                <w:lang w:eastAsia="zh-CN"/>
              </w:rPr>
            </w:pPr>
            <w:r>
              <w:rPr>
                <w:rFonts w:hint="eastAsia" w:ascii="宋体" w:hAnsi="宋体" w:eastAsia="宋体" w:cs="宋体"/>
                <w:b w:val="0"/>
                <w:bCs w:val="0"/>
                <w:color w:val="auto"/>
                <w:kern w:val="0"/>
                <w:sz w:val="22"/>
                <w:szCs w:val="22"/>
                <w:highlight w:val="none"/>
              </w:rPr>
              <w:t>1、</w:t>
            </w:r>
            <w:r>
              <w:rPr>
                <w:rFonts w:hint="eastAsia" w:ascii="宋体" w:eastAsia="宋体" w:cs="宋体"/>
                <w:b w:val="0"/>
                <w:bCs w:val="0"/>
                <w:color w:val="auto"/>
                <w:kern w:val="0"/>
                <w:sz w:val="22"/>
                <w:szCs w:val="22"/>
                <w:highlight w:val="none"/>
                <w:lang w:eastAsia="zh-CN"/>
              </w:rPr>
              <w:t>供应商</w:t>
            </w:r>
            <w:r>
              <w:rPr>
                <w:rFonts w:hint="eastAsia" w:ascii="宋体" w:hAnsi="宋体" w:eastAsia="宋体" w:cs="宋体"/>
                <w:b w:val="0"/>
                <w:bCs w:val="0"/>
                <w:color w:val="auto"/>
                <w:kern w:val="0"/>
                <w:sz w:val="22"/>
                <w:szCs w:val="22"/>
                <w:highlight w:val="none"/>
              </w:rPr>
              <w:t>具有有效期内的质量管理体系认证证书、职业健康安全管理体系认证证书</w:t>
            </w:r>
            <w:r>
              <w:rPr>
                <w:rFonts w:hint="eastAsia" w:ascii="宋体" w:eastAsia="宋体" w:cs="宋体"/>
                <w:b w:val="0"/>
                <w:bCs w:val="0"/>
                <w:color w:val="auto"/>
                <w:kern w:val="0"/>
                <w:sz w:val="22"/>
                <w:szCs w:val="22"/>
                <w:highlight w:val="none"/>
                <w:lang w:eastAsia="zh-CN"/>
              </w:rPr>
              <w:t>、</w:t>
            </w:r>
            <w:r>
              <w:rPr>
                <w:rFonts w:hint="eastAsia" w:ascii="宋体" w:eastAsia="宋体" w:cs="宋体"/>
                <w:b w:val="0"/>
                <w:bCs w:val="0"/>
                <w:color w:val="auto"/>
                <w:kern w:val="0"/>
                <w:sz w:val="22"/>
                <w:szCs w:val="22"/>
                <w:highlight w:val="none"/>
                <w:lang w:val="en-US" w:eastAsia="zh-CN"/>
              </w:rPr>
              <w:t>信息安全管理体系认证证书、信息技术服务管理体系认证证书</w:t>
            </w:r>
            <w:r>
              <w:rPr>
                <w:rFonts w:hint="eastAsia" w:ascii="宋体" w:hAnsi="宋体" w:eastAsia="宋体" w:cs="宋体"/>
                <w:b w:val="0"/>
                <w:bCs w:val="0"/>
                <w:color w:val="auto"/>
                <w:kern w:val="0"/>
                <w:sz w:val="22"/>
                <w:szCs w:val="22"/>
                <w:highlight w:val="none"/>
              </w:rPr>
              <w:t>。每提供1项得2分，最多得</w:t>
            </w:r>
            <w:r>
              <w:rPr>
                <w:rFonts w:hint="eastAsia" w:ascii="宋体" w:eastAsia="宋体" w:cs="宋体"/>
                <w:b w:val="0"/>
                <w:bCs w:val="0"/>
                <w:color w:val="auto"/>
                <w:kern w:val="0"/>
                <w:sz w:val="22"/>
                <w:szCs w:val="22"/>
                <w:highlight w:val="none"/>
                <w:lang w:val="en-US" w:eastAsia="zh-CN"/>
              </w:rPr>
              <w:t>8</w:t>
            </w:r>
            <w:r>
              <w:rPr>
                <w:rFonts w:hint="eastAsia" w:ascii="宋体" w:hAnsi="宋体" w:eastAsia="宋体" w:cs="宋体"/>
                <w:b w:val="0"/>
                <w:bCs w:val="0"/>
                <w:color w:val="auto"/>
                <w:kern w:val="0"/>
                <w:sz w:val="22"/>
                <w:szCs w:val="22"/>
                <w:highlight w:val="none"/>
              </w:rPr>
              <w:t>分</w:t>
            </w:r>
            <w:r>
              <w:rPr>
                <w:rFonts w:hint="eastAsia" w:ascii="宋体" w:eastAsia="宋体" w:cs="宋体"/>
                <w:b w:val="0"/>
                <w:bCs w:val="0"/>
                <w:color w:val="auto"/>
                <w:kern w:val="0"/>
                <w:sz w:val="22"/>
                <w:szCs w:val="22"/>
                <w:highlight w:val="none"/>
                <w:lang w:eastAsia="zh-CN"/>
              </w:rPr>
              <w:t>。</w:t>
            </w:r>
            <w:r>
              <w:rPr>
                <w:rFonts w:hint="eastAsia" w:ascii="宋体" w:hAnsi="宋体" w:eastAsia="宋体" w:cs="宋体"/>
                <w:b w:val="0"/>
                <w:bCs w:val="0"/>
                <w:color w:val="auto"/>
                <w:kern w:val="0"/>
                <w:sz w:val="22"/>
                <w:szCs w:val="22"/>
                <w:highlight w:val="none"/>
              </w:rPr>
              <w:t>（提供证书原件扫描件，全国认证认可信息公共服务平台</w:t>
            </w:r>
            <w:r>
              <w:rPr>
                <w:rFonts w:hint="eastAsia" w:ascii="宋体" w:hAnsi="宋体" w:eastAsia="宋体" w:cs="宋体"/>
                <w:b w:val="0"/>
                <w:bCs w:val="0"/>
                <w:color w:val="auto"/>
                <w:kern w:val="0"/>
                <w:sz w:val="22"/>
                <w:szCs w:val="22"/>
                <w:highlight w:val="none"/>
              </w:rPr>
              <w:fldChar w:fldCharType="begin"/>
            </w:r>
            <w:r>
              <w:rPr>
                <w:rFonts w:hint="eastAsia" w:ascii="宋体" w:hAnsi="宋体" w:eastAsia="宋体" w:cs="宋体"/>
                <w:b w:val="0"/>
                <w:bCs w:val="0"/>
                <w:color w:val="auto"/>
                <w:kern w:val="0"/>
                <w:sz w:val="22"/>
                <w:szCs w:val="22"/>
                <w:highlight w:val="none"/>
              </w:rPr>
              <w:instrText xml:space="preserve"> HYPERLINK "http://cx.cnca.cn/CertECloud/result/skipResultList" \t "_blank" </w:instrText>
            </w:r>
            <w:r>
              <w:rPr>
                <w:rFonts w:hint="eastAsia" w:ascii="宋体" w:hAnsi="宋体" w:eastAsia="宋体" w:cs="宋体"/>
                <w:b w:val="0"/>
                <w:bCs w:val="0"/>
                <w:color w:val="auto"/>
                <w:kern w:val="0"/>
                <w:sz w:val="22"/>
                <w:szCs w:val="22"/>
                <w:highlight w:val="none"/>
              </w:rPr>
              <w:fldChar w:fldCharType="separate"/>
            </w:r>
            <w:r>
              <w:rPr>
                <w:rFonts w:hint="eastAsia" w:ascii="宋体" w:hAnsi="宋体" w:eastAsia="宋体" w:cs="宋体"/>
                <w:b w:val="0"/>
                <w:bCs w:val="0"/>
                <w:color w:val="auto"/>
                <w:kern w:val="0"/>
                <w:sz w:val="22"/>
                <w:szCs w:val="22"/>
                <w:highlight w:val="none"/>
              </w:rPr>
              <w:t>http://cx.cnca.cn/CertECloud/result/skipResultList</w:t>
            </w:r>
            <w:r>
              <w:rPr>
                <w:rFonts w:hint="eastAsia" w:ascii="宋体" w:hAnsi="宋体" w:eastAsia="宋体" w:cs="宋体"/>
                <w:b w:val="0"/>
                <w:bCs w:val="0"/>
                <w:color w:val="auto"/>
                <w:kern w:val="0"/>
                <w:sz w:val="22"/>
                <w:szCs w:val="22"/>
                <w:highlight w:val="none"/>
              </w:rPr>
              <w:fldChar w:fldCharType="end"/>
            </w:r>
            <w:r>
              <w:rPr>
                <w:rFonts w:hint="eastAsia" w:ascii="宋体" w:hAnsi="宋体" w:eastAsia="宋体" w:cs="宋体"/>
                <w:b w:val="0"/>
                <w:bCs w:val="0"/>
                <w:color w:val="auto"/>
                <w:kern w:val="0"/>
                <w:sz w:val="22"/>
                <w:szCs w:val="22"/>
                <w:highlight w:val="none"/>
              </w:rPr>
              <w:t>可查。</w:t>
            </w:r>
            <w:r>
              <w:rPr>
                <w:rFonts w:hint="eastAsia" w:ascii="宋体" w:hAnsi="宋体" w:eastAsia="宋体" w:cs="宋体"/>
                <w:b w:val="0"/>
                <w:bCs w:val="0"/>
                <w:color w:val="auto"/>
                <w:kern w:val="0"/>
                <w:sz w:val="22"/>
                <w:szCs w:val="22"/>
                <w:highlight w:val="none"/>
                <w:lang w:eastAsia="zh-CN"/>
              </w:rPr>
              <w:t>）</w:t>
            </w:r>
          </w:p>
          <w:p w14:paraId="507BFC19">
            <w:pPr>
              <w:widowControl/>
              <w:spacing w:line="360" w:lineRule="auto"/>
              <w:jc w:val="left"/>
              <w:rPr>
                <w:rFonts w:hint="default" w:ascii="宋体" w:cs="宋体"/>
                <w:b w:val="0"/>
                <w:bCs w:val="0"/>
                <w:color w:val="auto"/>
                <w:kern w:val="0"/>
                <w:sz w:val="22"/>
                <w:szCs w:val="22"/>
                <w:highlight w:val="none"/>
                <w:lang w:val="en-US" w:eastAsia="zh-CN"/>
              </w:rPr>
            </w:pPr>
            <w:r>
              <w:rPr>
                <w:rFonts w:hint="eastAsia" w:ascii="宋体" w:eastAsia="宋体" w:cs="宋体"/>
                <w:b w:val="0"/>
                <w:bCs w:val="0"/>
                <w:color w:val="auto"/>
                <w:kern w:val="0"/>
                <w:sz w:val="22"/>
                <w:szCs w:val="22"/>
                <w:highlight w:val="none"/>
                <w:lang w:val="en-US" w:eastAsia="zh-CN"/>
              </w:rPr>
              <w:t>2</w:t>
            </w:r>
            <w:r>
              <w:rPr>
                <w:rFonts w:hint="eastAsia" w:ascii="宋体" w:hAnsi="宋体" w:eastAsia="宋体" w:cs="宋体"/>
                <w:b w:val="0"/>
                <w:bCs w:val="0"/>
                <w:color w:val="auto"/>
                <w:kern w:val="0"/>
                <w:sz w:val="22"/>
                <w:szCs w:val="22"/>
                <w:highlight w:val="none"/>
                <w:lang w:val="en-US" w:eastAsia="zh-CN"/>
              </w:rPr>
              <w:t>、</w:t>
            </w:r>
            <w:r>
              <w:rPr>
                <w:rFonts w:hint="eastAsia" w:ascii="宋体" w:hAnsi="宋体" w:eastAsia="宋体" w:cs="宋体"/>
                <w:b w:val="0"/>
                <w:bCs w:val="0"/>
                <w:color w:val="auto"/>
                <w:kern w:val="0"/>
                <w:sz w:val="22"/>
                <w:szCs w:val="22"/>
                <w:highlight w:val="none"/>
                <w:lang w:eastAsia="zh-CN"/>
              </w:rPr>
              <w:t>供应商</w:t>
            </w:r>
            <w:r>
              <w:rPr>
                <w:rFonts w:hint="eastAsia" w:ascii="宋体" w:hAnsi="宋体" w:eastAsia="宋体" w:cs="宋体"/>
                <w:b w:val="0"/>
                <w:bCs w:val="0"/>
                <w:color w:val="auto"/>
                <w:kern w:val="0"/>
                <w:sz w:val="22"/>
                <w:szCs w:val="22"/>
                <w:highlight w:val="none"/>
              </w:rPr>
              <w:t>具有有效期内的ITSS 信息技术服务标准符合证书</w:t>
            </w:r>
            <w:r>
              <w:rPr>
                <w:rFonts w:hint="eastAsia" w:ascii="宋体" w:hAnsi="宋体" w:eastAsia="宋体" w:cs="宋体"/>
                <w:b w:val="0"/>
                <w:bCs w:val="0"/>
                <w:color w:val="auto"/>
                <w:kern w:val="0"/>
                <w:sz w:val="22"/>
                <w:szCs w:val="22"/>
                <w:highlight w:val="none"/>
                <w:lang w:eastAsia="zh-CN"/>
              </w:rPr>
              <w:t>得</w:t>
            </w:r>
            <w:r>
              <w:rPr>
                <w:rFonts w:hint="eastAsia" w:ascii="宋体" w:hAnsi="宋体" w:eastAsia="宋体" w:cs="宋体"/>
                <w:b w:val="0"/>
                <w:bCs w:val="0"/>
                <w:color w:val="auto"/>
                <w:kern w:val="0"/>
                <w:sz w:val="22"/>
                <w:szCs w:val="22"/>
                <w:highlight w:val="none"/>
                <w:lang w:val="en-US" w:eastAsia="zh-CN"/>
              </w:rPr>
              <w:t>2分</w:t>
            </w:r>
            <w:r>
              <w:rPr>
                <w:rFonts w:hint="eastAsia" w:ascii="宋体" w:eastAsia="宋体" w:cs="宋体"/>
                <w:b w:val="0"/>
                <w:bCs w:val="0"/>
                <w:color w:val="auto"/>
                <w:kern w:val="0"/>
                <w:sz w:val="22"/>
                <w:szCs w:val="22"/>
                <w:highlight w:val="none"/>
                <w:lang w:val="en-US" w:eastAsia="zh-CN"/>
              </w:rPr>
              <w:t>。</w:t>
            </w:r>
          </w:p>
        </w:tc>
        <w:tc>
          <w:tcPr>
            <w:tcW w:w="744" w:type="dxa"/>
            <w:shd w:val="clear" w:color="auto" w:fill="auto"/>
            <w:noWrap/>
            <w:vAlign w:val="center"/>
          </w:tcPr>
          <w:p w14:paraId="232522D6">
            <w:pPr>
              <w:widowControl/>
              <w:spacing w:line="360" w:lineRule="auto"/>
              <w:jc w:val="center"/>
              <w:rPr>
                <w:rFonts w:hint="default" w:ascii="宋体" w:hAnsi="宋体" w:eastAsia="宋体" w:cs="宋体"/>
                <w:b w:val="0"/>
                <w:bCs w:val="0"/>
                <w:color w:val="auto"/>
                <w:kern w:val="0"/>
                <w:sz w:val="22"/>
                <w:szCs w:val="22"/>
                <w:highlight w:val="none"/>
                <w:lang w:val="en-US" w:eastAsia="zh-CN" w:bidi="ar-SA"/>
              </w:rPr>
            </w:pPr>
            <w:r>
              <w:rPr>
                <w:rFonts w:hint="eastAsia" w:ascii="宋体" w:eastAsia="宋体" w:cs="宋体"/>
                <w:b w:val="0"/>
                <w:bCs w:val="0"/>
                <w:color w:val="auto"/>
                <w:kern w:val="0"/>
                <w:sz w:val="22"/>
                <w:szCs w:val="22"/>
                <w:highlight w:val="none"/>
                <w:lang w:val="en-US" w:eastAsia="zh-CN"/>
              </w:rPr>
              <w:t>10</w:t>
            </w:r>
          </w:p>
        </w:tc>
        <w:tc>
          <w:tcPr>
            <w:tcW w:w="929" w:type="dxa"/>
            <w:shd w:val="clear" w:color="auto" w:fill="auto"/>
            <w:noWrap/>
            <w:vAlign w:val="center"/>
          </w:tcPr>
          <w:p w14:paraId="57DA1622">
            <w:pPr>
              <w:widowControl/>
              <w:spacing w:line="360" w:lineRule="auto"/>
              <w:jc w:val="center"/>
              <w:rPr>
                <w:rFonts w:hint="eastAsia" w:ascii="宋体" w:hAnsi="宋体" w:eastAsia="宋体" w:cs="宋体"/>
                <w:b w:val="0"/>
                <w:bCs w:val="0"/>
                <w:color w:val="auto"/>
                <w:kern w:val="0"/>
                <w:sz w:val="22"/>
                <w:szCs w:val="22"/>
                <w:highlight w:val="none"/>
                <w:lang w:val="en-US" w:eastAsia="zh-CN" w:bidi="ar-SA"/>
              </w:rPr>
            </w:pPr>
            <w:r>
              <w:rPr>
                <w:rFonts w:hint="eastAsia" w:ascii="宋体" w:hAnsi="宋体" w:eastAsia="宋体" w:cs="宋体"/>
                <w:b w:val="0"/>
                <w:bCs w:val="0"/>
                <w:color w:val="auto"/>
                <w:kern w:val="0"/>
                <w:sz w:val="22"/>
                <w:szCs w:val="22"/>
                <w:highlight w:val="none"/>
              </w:rPr>
              <w:t>客观分</w:t>
            </w:r>
          </w:p>
        </w:tc>
      </w:tr>
      <w:tr w14:paraId="1A486FD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616" w:hRule="atLeast"/>
        </w:trPr>
        <w:tc>
          <w:tcPr>
            <w:tcW w:w="744" w:type="dxa"/>
            <w:vAlign w:val="center"/>
          </w:tcPr>
          <w:p w14:paraId="352EA873">
            <w:pPr>
              <w:widowControl/>
              <w:spacing w:line="360" w:lineRule="auto"/>
              <w:jc w:val="center"/>
              <w:rPr>
                <w:rFonts w:hint="eastAsia" w:ascii="宋体" w:hAnsi="宋体" w:eastAsia="宋体" w:cs="宋体"/>
                <w:b w:val="0"/>
                <w:bCs w:val="0"/>
                <w:color w:val="auto"/>
                <w:kern w:val="0"/>
                <w:sz w:val="22"/>
                <w:szCs w:val="22"/>
                <w:highlight w:val="none"/>
                <w:lang w:val="en-US" w:eastAsia="zh-CN"/>
              </w:rPr>
            </w:pPr>
            <w:r>
              <w:rPr>
                <w:rFonts w:hint="eastAsia" w:ascii="宋体" w:hAnsi="宋体" w:eastAsia="宋体" w:cs="宋体"/>
                <w:b w:val="0"/>
                <w:bCs w:val="0"/>
                <w:color w:val="auto"/>
                <w:kern w:val="0"/>
                <w:sz w:val="22"/>
                <w:szCs w:val="22"/>
                <w:highlight w:val="none"/>
                <w:lang w:val="en-US" w:eastAsia="zh-CN"/>
              </w:rPr>
              <w:t>2</w:t>
            </w:r>
          </w:p>
        </w:tc>
        <w:tc>
          <w:tcPr>
            <w:tcW w:w="1102" w:type="dxa"/>
            <w:shd w:val="clear" w:color="auto" w:fill="auto"/>
            <w:vAlign w:val="center"/>
          </w:tcPr>
          <w:p w14:paraId="27A02F24">
            <w:pPr>
              <w:widowControl/>
              <w:spacing w:line="360" w:lineRule="auto"/>
              <w:jc w:val="center"/>
              <w:rPr>
                <w:rFonts w:hint="eastAsia" w:ascii="宋体" w:hAnsi="宋体" w:eastAsia="宋体" w:cs="宋体"/>
                <w:b w:val="0"/>
                <w:bCs w:val="0"/>
                <w:color w:val="auto"/>
                <w:kern w:val="0"/>
                <w:sz w:val="22"/>
                <w:szCs w:val="22"/>
                <w:highlight w:val="none"/>
                <w:lang w:val="en-US" w:eastAsia="en-US" w:bidi="ar-SA"/>
              </w:rPr>
            </w:pPr>
            <w:r>
              <w:rPr>
                <w:rFonts w:hint="eastAsia" w:ascii="宋体" w:hAnsi="宋体" w:eastAsia="宋体" w:cs="宋体"/>
                <w:b w:val="0"/>
                <w:bCs w:val="0"/>
                <w:color w:val="auto"/>
                <w:kern w:val="0"/>
                <w:sz w:val="22"/>
                <w:szCs w:val="22"/>
                <w:highlight w:val="none"/>
                <w:lang w:val="en-US" w:eastAsia="en-US" w:bidi="ar-SA"/>
              </w:rPr>
              <w:t>同类项目</w:t>
            </w:r>
          </w:p>
          <w:p w14:paraId="3B3F14D9">
            <w:pPr>
              <w:widowControl/>
              <w:spacing w:line="360" w:lineRule="auto"/>
              <w:jc w:val="center"/>
              <w:rPr>
                <w:rFonts w:hint="eastAsia" w:ascii="宋体" w:hAnsi="宋体" w:eastAsia="宋体" w:cs="宋体"/>
                <w:b w:val="0"/>
                <w:bCs w:val="0"/>
                <w:color w:val="auto"/>
                <w:kern w:val="0"/>
                <w:sz w:val="22"/>
                <w:szCs w:val="22"/>
                <w:highlight w:val="none"/>
                <w:lang w:val="en-US" w:eastAsia="zh-CN" w:bidi="ar-SA"/>
              </w:rPr>
            </w:pPr>
            <w:r>
              <w:rPr>
                <w:rFonts w:hint="eastAsia" w:ascii="宋体" w:hAnsi="宋体" w:eastAsia="宋体" w:cs="宋体"/>
                <w:b w:val="0"/>
                <w:bCs w:val="0"/>
                <w:color w:val="auto"/>
                <w:kern w:val="0"/>
                <w:sz w:val="22"/>
                <w:szCs w:val="22"/>
                <w:highlight w:val="none"/>
                <w:lang w:val="en-US" w:eastAsia="en-US" w:bidi="ar-SA"/>
              </w:rPr>
              <w:t>服务业绩</w:t>
            </w:r>
          </w:p>
        </w:tc>
        <w:tc>
          <w:tcPr>
            <w:tcW w:w="5838" w:type="dxa"/>
            <w:shd w:val="clear" w:color="auto" w:fill="auto"/>
            <w:vAlign w:val="center"/>
          </w:tcPr>
          <w:p w14:paraId="180D367E">
            <w:pPr>
              <w:widowControl/>
              <w:spacing w:line="360" w:lineRule="auto"/>
              <w:jc w:val="left"/>
              <w:rPr>
                <w:rFonts w:hint="eastAsia"/>
                <w:color w:val="auto"/>
                <w:highlight w:val="none"/>
                <w:lang w:val="en-US" w:eastAsia="zh-CN"/>
              </w:rPr>
            </w:pPr>
            <w:r>
              <w:rPr>
                <w:rFonts w:hint="eastAsia" w:ascii="宋体" w:eastAsia="宋体" w:cs="宋体"/>
                <w:b w:val="0"/>
                <w:bCs w:val="0"/>
                <w:color w:val="auto"/>
                <w:kern w:val="0"/>
                <w:sz w:val="22"/>
                <w:szCs w:val="22"/>
                <w:highlight w:val="none"/>
                <w:lang w:eastAsia="zh-CN"/>
              </w:rPr>
              <w:t>响应</w:t>
            </w:r>
            <w:r>
              <w:rPr>
                <w:rFonts w:hint="eastAsia" w:ascii="宋体" w:hAnsi="宋体" w:eastAsia="宋体" w:cs="宋体"/>
                <w:b w:val="0"/>
                <w:bCs w:val="0"/>
                <w:color w:val="auto"/>
                <w:kern w:val="0"/>
                <w:sz w:val="22"/>
                <w:szCs w:val="22"/>
                <w:highlight w:val="none"/>
                <w:lang w:eastAsia="zh-CN"/>
              </w:rPr>
              <w:t>供应商提供</w:t>
            </w:r>
            <w:r>
              <w:rPr>
                <w:rFonts w:hint="eastAsia" w:ascii="宋体" w:hAnsi="宋体" w:eastAsia="宋体" w:cs="宋体"/>
                <w:b w:val="0"/>
                <w:bCs w:val="0"/>
                <w:color w:val="auto"/>
                <w:kern w:val="0"/>
                <w:sz w:val="22"/>
                <w:szCs w:val="22"/>
                <w:highlight w:val="none"/>
              </w:rPr>
              <w:t>2022年01月01日至响应文件递交截止时间为止（以合同截止时间为准）签订的类似项目案例</w:t>
            </w:r>
            <w:r>
              <w:rPr>
                <w:rFonts w:hint="eastAsia" w:ascii="宋体" w:hAnsi="宋体" w:eastAsia="宋体" w:cs="宋体"/>
                <w:b w:val="0"/>
                <w:bCs w:val="0"/>
                <w:color w:val="auto"/>
                <w:kern w:val="0"/>
                <w:sz w:val="22"/>
                <w:szCs w:val="22"/>
                <w:highlight w:val="none"/>
                <w:lang w:eastAsia="zh-CN"/>
              </w:rPr>
              <w:t>，</w:t>
            </w:r>
            <w:r>
              <w:rPr>
                <w:rFonts w:hint="eastAsia" w:ascii="宋体" w:hAnsi="宋体" w:eastAsia="宋体" w:cs="宋体"/>
                <w:b w:val="0"/>
                <w:bCs w:val="0"/>
                <w:color w:val="auto"/>
                <w:kern w:val="0"/>
                <w:sz w:val="22"/>
                <w:szCs w:val="22"/>
                <w:highlight w:val="none"/>
              </w:rPr>
              <w:t>每具有一个可得</w:t>
            </w:r>
            <w:r>
              <w:rPr>
                <w:rFonts w:hint="eastAsia" w:ascii="宋体" w:eastAsia="宋体" w:cs="宋体"/>
                <w:b w:val="0"/>
                <w:bCs w:val="0"/>
                <w:color w:val="auto"/>
                <w:kern w:val="0"/>
                <w:sz w:val="22"/>
                <w:szCs w:val="22"/>
                <w:highlight w:val="none"/>
                <w:lang w:val="en-US" w:eastAsia="zh-CN"/>
              </w:rPr>
              <w:t>0.5</w:t>
            </w:r>
            <w:r>
              <w:rPr>
                <w:rFonts w:hint="eastAsia" w:ascii="宋体" w:hAnsi="宋体" w:eastAsia="宋体" w:cs="宋体"/>
                <w:b w:val="0"/>
                <w:bCs w:val="0"/>
                <w:color w:val="auto"/>
                <w:kern w:val="0"/>
                <w:sz w:val="22"/>
                <w:szCs w:val="22"/>
                <w:highlight w:val="none"/>
              </w:rPr>
              <w:t>分（提供合同及客户满意证明材料，缺一不可</w:t>
            </w:r>
            <w:r>
              <w:rPr>
                <w:rFonts w:hint="eastAsia" w:ascii="宋体" w:hAnsi="宋体" w:eastAsia="宋体" w:cs="宋体"/>
                <w:b w:val="0"/>
                <w:bCs w:val="0"/>
                <w:color w:val="auto"/>
                <w:kern w:val="0"/>
                <w:sz w:val="22"/>
                <w:szCs w:val="22"/>
                <w:highlight w:val="none"/>
                <w:lang w:eastAsia="zh-CN"/>
              </w:rPr>
              <w:t>，</w:t>
            </w:r>
            <w:r>
              <w:rPr>
                <w:rFonts w:hint="eastAsia" w:ascii="宋体" w:hAnsi="宋体" w:eastAsia="宋体" w:cs="宋体"/>
                <w:b w:val="0"/>
                <w:bCs w:val="0"/>
                <w:color w:val="auto"/>
                <w:kern w:val="0"/>
                <w:sz w:val="22"/>
                <w:szCs w:val="22"/>
                <w:highlight w:val="none"/>
              </w:rPr>
              <w:t xml:space="preserve"> 否则不得分），最高得</w:t>
            </w:r>
            <w:r>
              <w:rPr>
                <w:rFonts w:hint="eastAsia" w:ascii="宋体" w:eastAsia="宋体" w:cs="宋体"/>
                <w:b w:val="0"/>
                <w:bCs w:val="0"/>
                <w:color w:val="auto"/>
                <w:kern w:val="0"/>
                <w:sz w:val="22"/>
                <w:szCs w:val="22"/>
                <w:highlight w:val="none"/>
                <w:lang w:val="en-US" w:eastAsia="zh-CN"/>
              </w:rPr>
              <w:t>2</w:t>
            </w:r>
            <w:r>
              <w:rPr>
                <w:rFonts w:hint="eastAsia" w:ascii="宋体" w:hAnsi="宋体" w:eastAsia="宋体" w:cs="宋体"/>
                <w:b w:val="0"/>
                <w:bCs w:val="0"/>
                <w:color w:val="auto"/>
                <w:kern w:val="0"/>
                <w:sz w:val="22"/>
                <w:szCs w:val="22"/>
                <w:highlight w:val="none"/>
              </w:rPr>
              <w:t>分。</w:t>
            </w:r>
          </w:p>
        </w:tc>
        <w:tc>
          <w:tcPr>
            <w:tcW w:w="744" w:type="dxa"/>
            <w:shd w:val="clear" w:color="auto" w:fill="auto"/>
            <w:noWrap/>
            <w:vAlign w:val="center"/>
          </w:tcPr>
          <w:p w14:paraId="02FEC0E7">
            <w:pPr>
              <w:widowControl/>
              <w:spacing w:line="360" w:lineRule="auto"/>
              <w:jc w:val="center"/>
              <w:rPr>
                <w:rFonts w:hint="default" w:ascii="宋体" w:hAnsi="宋体" w:eastAsia="宋体" w:cs="宋体"/>
                <w:b w:val="0"/>
                <w:bCs w:val="0"/>
                <w:color w:val="auto"/>
                <w:kern w:val="0"/>
                <w:sz w:val="22"/>
                <w:szCs w:val="22"/>
                <w:highlight w:val="none"/>
                <w:lang w:val="en-US" w:eastAsia="zh-CN" w:bidi="ar-SA"/>
              </w:rPr>
            </w:pPr>
            <w:r>
              <w:rPr>
                <w:rFonts w:hint="eastAsia" w:ascii="宋体" w:eastAsia="宋体" w:cs="宋体"/>
                <w:b w:val="0"/>
                <w:bCs w:val="0"/>
                <w:color w:val="auto"/>
                <w:kern w:val="0"/>
                <w:sz w:val="22"/>
                <w:szCs w:val="22"/>
                <w:highlight w:val="none"/>
                <w:lang w:val="en-US" w:eastAsia="zh-CN"/>
              </w:rPr>
              <w:t>2</w:t>
            </w:r>
          </w:p>
        </w:tc>
        <w:tc>
          <w:tcPr>
            <w:tcW w:w="929" w:type="dxa"/>
            <w:shd w:val="clear" w:color="auto" w:fill="auto"/>
            <w:noWrap/>
            <w:vAlign w:val="center"/>
          </w:tcPr>
          <w:p w14:paraId="20E4F894">
            <w:pPr>
              <w:widowControl/>
              <w:spacing w:line="360" w:lineRule="auto"/>
              <w:jc w:val="center"/>
              <w:rPr>
                <w:rFonts w:hint="eastAsia" w:ascii="宋体" w:hAnsi="宋体" w:eastAsia="宋体" w:cs="宋体"/>
                <w:b w:val="0"/>
                <w:bCs w:val="0"/>
                <w:color w:val="auto"/>
                <w:kern w:val="0"/>
                <w:sz w:val="22"/>
                <w:szCs w:val="22"/>
                <w:highlight w:val="none"/>
                <w:lang w:val="en-US" w:eastAsia="zh-CN" w:bidi="ar-SA"/>
              </w:rPr>
            </w:pPr>
            <w:r>
              <w:rPr>
                <w:rFonts w:hint="eastAsia" w:ascii="宋体" w:hAnsi="宋体" w:eastAsia="宋体" w:cs="宋体"/>
                <w:b w:val="0"/>
                <w:bCs w:val="0"/>
                <w:color w:val="auto"/>
                <w:kern w:val="0"/>
                <w:sz w:val="22"/>
                <w:szCs w:val="22"/>
                <w:highlight w:val="none"/>
              </w:rPr>
              <w:t>客观分</w:t>
            </w:r>
          </w:p>
        </w:tc>
      </w:tr>
      <w:tr w14:paraId="3F14DA7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13" w:hRule="atLeast"/>
        </w:trPr>
        <w:tc>
          <w:tcPr>
            <w:tcW w:w="744" w:type="dxa"/>
            <w:vAlign w:val="center"/>
          </w:tcPr>
          <w:p w14:paraId="6DFF799F">
            <w:pPr>
              <w:widowControl/>
              <w:spacing w:line="360" w:lineRule="auto"/>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3</w:t>
            </w:r>
          </w:p>
        </w:tc>
        <w:tc>
          <w:tcPr>
            <w:tcW w:w="1102" w:type="dxa"/>
            <w:vAlign w:val="center"/>
          </w:tcPr>
          <w:p w14:paraId="10712FA9">
            <w:pPr>
              <w:widowControl/>
              <w:spacing w:line="360" w:lineRule="auto"/>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需求分析</w:t>
            </w:r>
          </w:p>
        </w:tc>
        <w:tc>
          <w:tcPr>
            <w:tcW w:w="5838" w:type="dxa"/>
            <w:vAlign w:val="center"/>
          </w:tcPr>
          <w:p w14:paraId="0011CD55">
            <w:pPr>
              <w:widowControl/>
              <w:numPr>
                <w:ilvl w:val="0"/>
                <w:numId w:val="0"/>
              </w:numPr>
              <w:spacing w:line="360" w:lineRule="auto"/>
              <w:jc w:val="left"/>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根据</w:t>
            </w:r>
            <w:r>
              <w:rPr>
                <w:rFonts w:hint="eastAsia" w:ascii="宋体" w:hAnsi="宋体" w:eastAsia="宋体" w:cs="宋体"/>
                <w:b w:val="0"/>
                <w:bCs w:val="0"/>
                <w:color w:val="auto"/>
                <w:kern w:val="0"/>
                <w:sz w:val="22"/>
                <w:szCs w:val="22"/>
                <w:highlight w:val="none"/>
                <w:lang w:eastAsia="zh-CN"/>
              </w:rPr>
              <w:t>响应</w:t>
            </w:r>
            <w:r>
              <w:rPr>
                <w:rFonts w:hint="eastAsia" w:ascii="宋体" w:hAnsi="宋体" w:eastAsia="宋体" w:cs="宋体"/>
                <w:b w:val="0"/>
                <w:bCs w:val="0"/>
                <w:color w:val="auto"/>
                <w:kern w:val="0"/>
                <w:sz w:val="22"/>
                <w:szCs w:val="22"/>
                <w:highlight w:val="none"/>
              </w:rPr>
              <w:t>供应商对本项目建设需求进行分析，对用户群分析、功能需求、核心业务分析进行综合评分。</w:t>
            </w:r>
          </w:p>
          <w:p w14:paraId="361F2AF0">
            <w:pPr>
              <w:widowControl/>
              <w:numPr>
                <w:ilvl w:val="0"/>
                <w:numId w:val="0"/>
              </w:numPr>
              <w:spacing w:line="360" w:lineRule="auto"/>
              <w:jc w:val="left"/>
              <w:rPr>
                <w:rFonts w:hint="eastAsia" w:ascii="宋体" w:hAnsi="宋体" w:eastAsia="宋体" w:cs="宋体"/>
                <w:b w:val="0"/>
                <w:bCs w:val="0"/>
                <w:color w:val="auto"/>
                <w:kern w:val="0"/>
                <w:sz w:val="22"/>
                <w:szCs w:val="22"/>
                <w:highlight w:val="none"/>
                <w:lang w:eastAsia="zh-CN"/>
              </w:rPr>
            </w:pPr>
            <w:r>
              <w:rPr>
                <w:rFonts w:hint="eastAsia" w:ascii="宋体" w:hAnsi="宋体" w:eastAsia="宋体" w:cs="宋体"/>
                <w:b w:val="0"/>
                <w:bCs w:val="0"/>
                <w:color w:val="auto"/>
                <w:kern w:val="0"/>
                <w:sz w:val="22"/>
                <w:szCs w:val="22"/>
                <w:highlight w:val="none"/>
                <w:lang w:eastAsia="zh-CN"/>
              </w:rPr>
              <w:t>（1）需求理解全面、核心业务分析完整，项目内容完全符合要求的得</w:t>
            </w:r>
            <w:r>
              <w:rPr>
                <w:rFonts w:hint="eastAsia" w:ascii="宋体" w:eastAsia="宋体" w:cs="宋体"/>
                <w:b w:val="0"/>
                <w:bCs w:val="0"/>
                <w:color w:val="auto"/>
                <w:kern w:val="0"/>
                <w:sz w:val="22"/>
                <w:szCs w:val="22"/>
                <w:highlight w:val="none"/>
                <w:lang w:val="en-US" w:eastAsia="zh-CN"/>
              </w:rPr>
              <w:t>5</w:t>
            </w:r>
            <w:r>
              <w:rPr>
                <w:rFonts w:hint="eastAsia" w:ascii="宋体" w:hAnsi="宋体" w:eastAsia="宋体" w:cs="宋体"/>
                <w:b w:val="0"/>
                <w:bCs w:val="0"/>
                <w:color w:val="auto"/>
                <w:kern w:val="0"/>
                <w:sz w:val="22"/>
                <w:szCs w:val="22"/>
                <w:highlight w:val="none"/>
                <w:lang w:eastAsia="zh-CN"/>
              </w:rPr>
              <w:t>分；</w:t>
            </w:r>
            <w:r>
              <w:rPr>
                <w:rFonts w:hint="eastAsia" w:ascii="宋体" w:hAnsi="宋体" w:eastAsia="宋体" w:cs="宋体"/>
                <w:b w:val="0"/>
                <w:bCs w:val="0"/>
                <w:color w:val="auto"/>
                <w:kern w:val="0"/>
                <w:sz w:val="22"/>
                <w:szCs w:val="22"/>
                <w:highlight w:val="none"/>
                <w:lang w:eastAsia="zh-CN"/>
              </w:rPr>
              <w:br w:type="textWrapping"/>
            </w:r>
            <w:r>
              <w:rPr>
                <w:rFonts w:hint="eastAsia" w:ascii="宋体" w:hAnsi="宋体" w:eastAsia="宋体" w:cs="宋体"/>
                <w:b w:val="0"/>
                <w:bCs w:val="0"/>
                <w:color w:val="auto"/>
                <w:kern w:val="0"/>
                <w:sz w:val="22"/>
                <w:szCs w:val="22"/>
                <w:highlight w:val="none"/>
                <w:lang w:eastAsia="zh-CN"/>
              </w:rPr>
              <w:t>（2）需求理解有较少欠缺、核心业务分析一般，项目内容部分符合需求的得</w:t>
            </w:r>
            <w:r>
              <w:rPr>
                <w:rFonts w:hint="eastAsia" w:ascii="宋体" w:eastAsia="宋体" w:cs="宋体"/>
                <w:b w:val="0"/>
                <w:bCs w:val="0"/>
                <w:color w:val="auto"/>
                <w:kern w:val="0"/>
                <w:sz w:val="22"/>
                <w:szCs w:val="22"/>
                <w:highlight w:val="none"/>
                <w:lang w:val="en-US" w:eastAsia="zh-CN"/>
              </w:rPr>
              <w:t>3</w:t>
            </w:r>
            <w:r>
              <w:rPr>
                <w:rFonts w:hint="eastAsia" w:ascii="宋体" w:hAnsi="宋体" w:eastAsia="宋体" w:cs="宋体"/>
                <w:b w:val="0"/>
                <w:bCs w:val="0"/>
                <w:color w:val="auto"/>
                <w:kern w:val="0"/>
                <w:sz w:val="22"/>
                <w:szCs w:val="22"/>
                <w:highlight w:val="none"/>
                <w:lang w:eastAsia="zh-CN"/>
              </w:rPr>
              <w:t>分；</w:t>
            </w:r>
          </w:p>
          <w:p w14:paraId="380F53AD">
            <w:pPr>
              <w:widowControl/>
              <w:numPr>
                <w:ilvl w:val="0"/>
                <w:numId w:val="0"/>
              </w:numPr>
              <w:spacing w:line="360" w:lineRule="auto"/>
              <w:jc w:val="left"/>
              <w:rPr>
                <w:rFonts w:hint="eastAsia"/>
                <w:color w:val="auto"/>
                <w:highlight w:val="none"/>
                <w:lang w:eastAsia="zh-CN"/>
              </w:rPr>
            </w:pPr>
            <w:r>
              <w:rPr>
                <w:rFonts w:hint="eastAsia" w:ascii="宋体" w:hAnsi="宋体" w:eastAsia="宋体" w:cs="宋体"/>
                <w:b w:val="0"/>
                <w:bCs w:val="0"/>
                <w:color w:val="auto"/>
                <w:kern w:val="0"/>
                <w:sz w:val="22"/>
                <w:szCs w:val="22"/>
                <w:highlight w:val="none"/>
                <w:lang w:eastAsia="zh-CN"/>
              </w:rPr>
              <w:t>（3）需求理解有较多欠缺、核心业务分析较差，项目内容比较符合需求的得</w:t>
            </w:r>
            <w:r>
              <w:rPr>
                <w:rFonts w:hint="eastAsia" w:ascii="宋体" w:hAnsi="宋体" w:eastAsia="宋体" w:cs="宋体"/>
                <w:b w:val="0"/>
                <w:bCs w:val="0"/>
                <w:color w:val="auto"/>
                <w:kern w:val="0"/>
                <w:sz w:val="22"/>
                <w:szCs w:val="22"/>
                <w:highlight w:val="none"/>
                <w:lang w:val="en-US" w:eastAsia="zh-CN"/>
              </w:rPr>
              <w:t>2</w:t>
            </w:r>
            <w:r>
              <w:rPr>
                <w:rFonts w:hint="eastAsia" w:ascii="宋体" w:hAnsi="宋体" w:eastAsia="宋体" w:cs="宋体"/>
                <w:b w:val="0"/>
                <w:bCs w:val="0"/>
                <w:color w:val="auto"/>
                <w:kern w:val="0"/>
                <w:sz w:val="22"/>
                <w:szCs w:val="22"/>
                <w:highlight w:val="none"/>
                <w:lang w:eastAsia="zh-CN"/>
              </w:rPr>
              <w:t>分；</w:t>
            </w:r>
            <w:r>
              <w:rPr>
                <w:rFonts w:hint="eastAsia" w:ascii="宋体" w:hAnsi="宋体" w:eastAsia="宋体" w:cs="宋体"/>
                <w:b w:val="0"/>
                <w:bCs w:val="0"/>
                <w:color w:val="auto"/>
                <w:kern w:val="0"/>
                <w:sz w:val="22"/>
                <w:szCs w:val="22"/>
                <w:highlight w:val="none"/>
                <w:lang w:eastAsia="zh-CN"/>
              </w:rPr>
              <w:br w:type="textWrapping"/>
            </w:r>
            <w:r>
              <w:rPr>
                <w:rFonts w:hint="eastAsia" w:ascii="宋体" w:hAnsi="宋体" w:eastAsia="宋体" w:cs="宋体"/>
                <w:b w:val="0"/>
                <w:bCs w:val="0"/>
                <w:color w:val="auto"/>
                <w:kern w:val="0"/>
                <w:sz w:val="22"/>
                <w:szCs w:val="22"/>
                <w:highlight w:val="none"/>
                <w:lang w:eastAsia="zh-CN"/>
              </w:rPr>
              <w:t>（4）内容完全不符合或未提供的得</w:t>
            </w:r>
            <w:r>
              <w:rPr>
                <w:rFonts w:hint="eastAsia" w:ascii="宋体" w:hAnsi="宋体" w:eastAsia="宋体" w:cs="宋体"/>
                <w:b w:val="0"/>
                <w:bCs w:val="0"/>
                <w:color w:val="auto"/>
                <w:kern w:val="0"/>
                <w:sz w:val="22"/>
                <w:szCs w:val="22"/>
                <w:highlight w:val="none"/>
                <w:lang w:val="en-US" w:eastAsia="zh-CN"/>
              </w:rPr>
              <w:t>0</w:t>
            </w:r>
            <w:r>
              <w:rPr>
                <w:rFonts w:hint="eastAsia" w:ascii="宋体" w:hAnsi="宋体" w:eastAsia="宋体" w:cs="宋体"/>
                <w:b w:val="0"/>
                <w:bCs w:val="0"/>
                <w:color w:val="auto"/>
                <w:kern w:val="0"/>
                <w:sz w:val="22"/>
                <w:szCs w:val="22"/>
                <w:highlight w:val="none"/>
                <w:lang w:eastAsia="zh-CN"/>
              </w:rPr>
              <w:t>分。</w:t>
            </w:r>
          </w:p>
        </w:tc>
        <w:tc>
          <w:tcPr>
            <w:tcW w:w="744" w:type="dxa"/>
            <w:noWrap/>
            <w:vAlign w:val="center"/>
          </w:tcPr>
          <w:p w14:paraId="41F339F4">
            <w:pPr>
              <w:widowControl/>
              <w:spacing w:line="360" w:lineRule="auto"/>
              <w:jc w:val="center"/>
              <w:rPr>
                <w:rFonts w:hint="eastAsia" w:ascii="宋体" w:hAnsi="宋体" w:eastAsia="宋体" w:cs="宋体"/>
                <w:b w:val="0"/>
                <w:bCs w:val="0"/>
                <w:color w:val="auto"/>
                <w:kern w:val="0"/>
                <w:sz w:val="22"/>
                <w:szCs w:val="22"/>
                <w:highlight w:val="none"/>
                <w:lang w:eastAsia="zh-CN"/>
              </w:rPr>
            </w:pPr>
            <w:r>
              <w:rPr>
                <w:rFonts w:hint="eastAsia" w:ascii="宋体" w:eastAsia="宋体" w:cs="宋体"/>
                <w:b w:val="0"/>
                <w:bCs w:val="0"/>
                <w:color w:val="auto"/>
                <w:kern w:val="0"/>
                <w:sz w:val="22"/>
                <w:szCs w:val="22"/>
                <w:highlight w:val="none"/>
                <w:lang w:val="en-US" w:eastAsia="zh-CN"/>
              </w:rPr>
              <w:t>5</w:t>
            </w:r>
          </w:p>
        </w:tc>
        <w:tc>
          <w:tcPr>
            <w:tcW w:w="929" w:type="dxa"/>
            <w:noWrap/>
            <w:vAlign w:val="center"/>
          </w:tcPr>
          <w:p w14:paraId="15FC9315">
            <w:pPr>
              <w:widowControl/>
              <w:spacing w:line="360" w:lineRule="auto"/>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主观分</w:t>
            </w:r>
          </w:p>
        </w:tc>
      </w:tr>
      <w:tr w14:paraId="5048823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21" w:hRule="atLeast"/>
        </w:trPr>
        <w:tc>
          <w:tcPr>
            <w:tcW w:w="744" w:type="dxa"/>
            <w:vAlign w:val="center"/>
          </w:tcPr>
          <w:p w14:paraId="16D924BF">
            <w:pPr>
              <w:widowControl/>
              <w:spacing w:line="360" w:lineRule="auto"/>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4</w:t>
            </w:r>
          </w:p>
        </w:tc>
        <w:tc>
          <w:tcPr>
            <w:tcW w:w="1102" w:type="dxa"/>
            <w:vAlign w:val="center"/>
          </w:tcPr>
          <w:p w14:paraId="57FD560A">
            <w:pPr>
              <w:widowControl/>
              <w:spacing w:line="360" w:lineRule="auto"/>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系统总体设计方案</w:t>
            </w:r>
          </w:p>
        </w:tc>
        <w:tc>
          <w:tcPr>
            <w:tcW w:w="5838" w:type="dxa"/>
            <w:vAlign w:val="center"/>
          </w:tcPr>
          <w:p w14:paraId="6FA8A8BC">
            <w:pPr>
              <w:widowControl/>
              <w:spacing w:line="360" w:lineRule="auto"/>
              <w:jc w:val="left"/>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根据</w:t>
            </w:r>
            <w:r>
              <w:rPr>
                <w:rFonts w:hint="eastAsia" w:ascii="宋体" w:hAnsi="宋体" w:eastAsia="宋体" w:cs="宋体"/>
                <w:b w:val="0"/>
                <w:bCs w:val="0"/>
                <w:color w:val="auto"/>
                <w:kern w:val="0"/>
                <w:sz w:val="22"/>
                <w:szCs w:val="22"/>
                <w:highlight w:val="none"/>
                <w:lang w:eastAsia="zh-CN"/>
              </w:rPr>
              <w:t>响应</w:t>
            </w:r>
            <w:r>
              <w:rPr>
                <w:rFonts w:hint="eastAsia" w:ascii="宋体" w:hAnsi="宋体" w:eastAsia="宋体" w:cs="宋体"/>
                <w:b w:val="0"/>
                <w:bCs w:val="0"/>
                <w:color w:val="auto"/>
                <w:kern w:val="0"/>
                <w:sz w:val="22"/>
                <w:szCs w:val="22"/>
                <w:highlight w:val="none"/>
              </w:rPr>
              <w:t>供应商对项目总体设计方案总体设计，包括软件整体技术架构、逻辑架构、技术路线等。根据设计的完整性、合理性、充分性及对项目的理解等进行综合评分。</w:t>
            </w:r>
          </w:p>
          <w:p w14:paraId="47D1FBE3">
            <w:pPr>
              <w:widowControl/>
              <w:spacing w:line="360" w:lineRule="auto"/>
              <w:jc w:val="left"/>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lang w:eastAsia="zh-CN"/>
              </w:rPr>
              <w:t>（</w:t>
            </w:r>
            <w:r>
              <w:rPr>
                <w:rFonts w:hint="eastAsia" w:ascii="宋体" w:hAnsi="宋体" w:eastAsia="宋体" w:cs="宋体"/>
                <w:b w:val="0"/>
                <w:bCs w:val="0"/>
                <w:color w:val="auto"/>
                <w:kern w:val="0"/>
                <w:sz w:val="22"/>
                <w:szCs w:val="22"/>
                <w:highlight w:val="none"/>
                <w:lang w:val="en-US" w:eastAsia="zh-CN"/>
              </w:rPr>
              <w:t>1</w:t>
            </w:r>
            <w:r>
              <w:rPr>
                <w:rFonts w:hint="eastAsia" w:ascii="宋体" w:hAnsi="宋体" w:eastAsia="宋体" w:cs="宋体"/>
                <w:b w:val="0"/>
                <w:bCs w:val="0"/>
                <w:color w:val="auto"/>
                <w:kern w:val="0"/>
                <w:sz w:val="22"/>
                <w:szCs w:val="22"/>
                <w:highlight w:val="none"/>
                <w:lang w:eastAsia="zh-CN"/>
              </w:rPr>
              <w:t>）总体设计完整清晰，整体技术架构、逻辑架构、技术路线等设计全面得当，充分考虑项目基础和本项目结合要求的</w:t>
            </w:r>
            <w:r>
              <w:rPr>
                <w:rFonts w:hint="eastAsia" w:ascii="宋体" w:hAnsi="宋体" w:eastAsia="宋体" w:cs="宋体"/>
                <w:b w:val="0"/>
                <w:bCs w:val="0"/>
                <w:color w:val="auto"/>
                <w:kern w:val="0"/>
                <w:sz w:val="22"/>
                <w:szCs w:val="22"/>
                <w:highlight w:val="none"/>
              </w:rPr>
              <w:t>得</w:t>
            </w:r>
            <w:r>
              <w:rPr>
                <w:rFonts w:hint="eastAsia" w:ascii="宋体" w:eastAsia="宋体" w:cs="宋体"/>
                <w:b w:val="0"/>
                <w:bCs w:val="0"/>
                <w:color w:val="auto"/>
                <w:kern w:val="0"/>
                <w:sz w:val="22"/>
                <w:szCs w:val="22"/>
                <w:highlight w:val="none"/>
                <w:lang w:val="en-US" w:eastAsia="zh-CN"/>
              </w:rPr>
              <w:t>7</w:t>
            </w:r>
            <w:r>
              <w:rPr>
                <w:rFonts w:hint="eastAsia" w:ascii="宋体" w:hAnsi="宋体" w:eastAsia="宋体" w:cs="宋体"/>
                <w:b w:val="0"/>
                <w:bCs w:val="0"/>
                <w:color w:val="auto"/>
                <w:kern w:val="0"/>
                <w:sz w:val="22"/>
                <w:szCs w:val="22"/>
                <w:highlight w:val="none"/>
              </w:rPr>
              <w:t>分；</w:t>
            </w:r>
            <w:r>
              <w:rPr>
                <w:rFonts w:hint="eastAsia" w:ascii="宋体" w:hAnsi="宋体" w:eastAsia="宋体" w:cs="宋体"/>
                <w:b w:val="0"/>
                <w:bCs w:val="0"/>
                <w:color w:val="auto"/>
                <w:kern w:val="0"/>
                <w:sz w:val="22"/>
                <w:szCs w:val="22"/>
                <w:highlight w:val="none"/>
              </w:rPr>
              <w:br w:type="textWrapping"/>
            </w:r>
            <w:r>
              <w:rPr>
                <w:rFonts w:hint="eastAsia" w:ascii="宋体" w:hAnsi="宋体" w:eastAsia="宋体" w:cs="宋体"/>
                <w:b w:val="0"/>
                <w:bCs w:val="0"/>
                <w:color w:val="auto"/>
                <w:kern w:val="0"/>
                <w:sz w:val="22"/>
                <w:szCs w:val="22"/>
                <w:highlight w:val="none"/>
                <w:lang w:eastAsia="zh-CN"/>
              </w:rPr>
              <w:t>（</w:t>
            </w:r>
            <w:r>
              <w:rPr>
                <w:rFonts w:hint="eastAsia" w:ascii="宋体" w:hAnsi="宋体" w:eastAsia="宋体" w:cs="宋体"/>
                <w:b w:val="0"/>
                <w:bCs w:val="0"/>
                <w:color w:val="auto"/>
                <w:kern w:val="0"/>
                <w:sz w:val="22"/>
                <w:szCs w:val="22"/>
                <w:highlight w:val="none"/>
                <w:lang w:val="en-US" w:eastAsia="zh-CN"/>
              </w:rPr>
              <w:t>2</w:t>
            </w:r>
            <w:r>
              <w:rPr>
                <w:rFonts w:hint="eastAsia" w:ascii="宋体" w:hAnsi="宋体" w:eastAsia="宋体" w:cs="宋体"/>
                <w:b w:val="0"/>
                <w:bCs w:val="0"/>
                <w:color w:val="auto"/>
                <w:kern w:val="0"/>
                <w:sz w:val="22"/>
                <w:szCs w:val="22"/>
                <w:highlight w:val="none"/>
                <w:lang w:eastAsia="zh-CN"/>
              </w:rPr>
              <w:t>）总体设计有较少缺失但可用，整体技术架构、逻辑架构、技术路线等设计有较少缺失但可用，有考虑现有项目基础和本项目结合要求</w:t>
            </w:r>
            <w:r>
              <w:rPr>
                <w:rFonts w:hint="eastAsia" w:ascii="宋体" w:eastAsia="宋体" w:cs="宋体"/>
                <w:b w:val="0"/>
                <w:bCs w:val="0"/>
                <w:color w:val="auto"/>
                <w:kern w:val="0"/>
                <w:sz w:val="22"/>
                <w:szCs w:val="22"/>
                <w:highlight w:val="none"/>
                <w:lang w:eastAsia="zh-CN"/>
              </w:rPr>
              <w:t>的</w:t>
            </w:r>
            <w:r>
              <w:rPr>
                <w:rFonts w:hint="eastAsia" w:ascii="宋体" w:hAnsi="宋体" w:eastAsia="宋体" w:cs="宋体"/>
                <w:b w:val="0"/>
                <w:bCs w:val="0"/>
                <w:color w:val="auto"/>
                <w:kern w:val="0"/>
                <w:sz w:val="22"/>
                <w:szCs w:val="22"/>
                <w:highlight w:val="none"/>
              </w:rPr>
              <w:t>得</w:t>
            </w:r>
            <w:r>
              <w:rPr>
                <w:rFonts w:hint="eastAsia" w:ascii="宋体" w:eastAsia="宋体" w:cs="宋体"/>
                <w:b w:val="0"/>
                <w:bCs w:val="0"/>
                <w:color w:val="auto"/>
                <w:kern w:val="0"/>
                <w:sz w:val="22"/>
                <w:szCs w:val="22"/>
                <w:highlight w:val="none"/>
                <w:lang w:val="en-US" w:eastAsia="zh-CN"/>
              </w:rPr>
              <w:t>5</w:t>
            </w:r>
            <w:r>
              <w:rPr>
                <w:rFonts w:hint="eastAsia" w:ascii="宋体" w:hAnsi="宋体" w:eastAsia="宋体" w:cs="宋体"/>
                <w:b w:val="0"/>
                <w:bCs w:val="0"/>
                <w:color w:val="auto"/>
                <w:kern w:val="0"/>
                <w:sz w:val="22"/>
                <w:szCs w:val="22"/>
                <w:highlight w:val="none"/>
              </w:rPr>
              <w:t>分；</w:t>
            </w:r>
            <w:r>
              <w:rPr>
                <w:rFonts w:hint="eastAsia" w:ascii="宋体" w:hAnsi="宋体" w:eastAsia="宋体" w:cs="宋体"/>
                <w:b w:val="0"/>
                <w:bCs w:val="0"/>
                <w:color w:val="auto"/>
                <w:kern w:val="0"/>
                <w:sz w:val="22"/>
                <w:szCs w:val="22"/>
                <w:highlight w:val="none"/>
              </w:rPr>
              <w:br w:type="textWrapping"/>
            </w:r>
            <w:r>
              <w:rPr>
                <w:rFonts w:hint="eastAsia" w:ascii="宋体" w:hAnsi="宋体" w:eastAsia="宋体" w:cs="宋体"/>
                <w:b w:val="0"/>
                <w:bCs w:val="0"/>
                <w:color w:val="auto"/>
                <w:kern w:val="0"/>
                <w:sz w:val="22"/>
                <w:szCs w:val="22"/>
                <w:highlight w:val="none"/>
                <w:lang w:eastAsia="zh-CN"/>
              </w:rPr>
              <w:t>（</w:t>
            </w:r>
            <w:r>
              <w:rPr>
                <w:rFonts w:hint="eastAsia" w:ascii="宋体" w:hAnsi="宋体" w:eastAsia="宋体" w:cs="宋体"/>
                <w:b w:val="0"/>
                <w:bCs w:val="0"/>
                <w:color w:val="auto"/>
                <w:kern w:val="0"/>
                <w:sz w:val="22"/>
                <w:szCs w:val="22"/>
                <w:highlight w:val="none"/>
                <w:lang w:val="en-US" w:eastAsia="zh-CN"/>
              </w:rPr>
              <w:t>3</w:t>
            </w:r>
            <w:r>
              <w:rPr>
                <w:rFonts w:hint="eastAsia" w:ascii="宋体" w:hAnsi="宋体" w:eastAsia="宋体" w:cs="宋体"/>
                <w:b w:val="0"/>
                <w:bCs w:val="0"/>
                <w:color w:val="auto"/>
                <w:kern w:val="0"/>
                <w:sz w:val="22"/>
                <w:szCs w:val="22"/>
                <w:highlight w:val="none"/>
                <w:lang w:eastAsia="zh-CN"/>
              </w:rPr>
              <w:t>）总体设计有较多缺失，整体技术架构、逻辑架构、技术路线等设计有较多缺失的</w:t>
            </w:r>
            <w:r>
              <w:rPr>
                <w:rFonts w:hint="eastAsia" w:ascii="宋体" w:hAnsi="宋体" w:eastAsia="宋体" w:cs="宋体"/>
                <w:b w:val="0"/>
                <w:bCs w:val="0"/>
                <w:color w:val="auto"/>
                <w:kern w:val="0"/>
                <w:sz w:val="22"/>
                <w:szCs w:val="22"/>
                <w:highlight w:val="none"/>
              </w:rPr>
              <w:t>得</w:t>
            </w:r>
            <w:r>
              <w:rPr>
                <w:rFonts w:hint="eastAsia" w:ascii="宋体" w:hAnsi="宋体" w:eastAsia="宋体" w:cs="宋体"/>
                <w:b w:val="0"/>
                <w:bCs w:val="0"/>
                <w:color w:val="auto"/>
                <w:kern w:val="0"/>
                <w:sz w:val="22"/>
                <w:szCs w:val="22"/>
                <w:highlight w:val="none"/>
                <w:lang w:val="en-US" w:eastAsia="zh-CN"/>
              </w:rPr>
              <w:t>2</w:t>
            </w:r>
            <w:r>
              <w:rPr>
                <w:rFonts w:hint="eastAsia" w:ascii="宋体" w:hAnsi="宋体" w:eastAsia="宋体" w:cs="宋体"/>
                <w:b w:val="0"/>
                <w:bCs w:val="0"/>
                <w:color w:val="auto"/>
                <w:kern w:val="0"/>
                <w:sz w:val="22"/>
                <w:szCs w:val="22"/>
                <w:highlight w:val="none"/>
              </w:rPr>
              <w:t>分；</w:t>
            </w:r>
            <w:r>
              <w:rPr>
                <w:rFonts w:hint="eastAsia" w:ascii="宋体" w:hAnsi="宋体" w:eastAsia="宋体" w:cs="宋体"/>
                <w:b w:val="0"/>
                <w:bCs w:val="0"/>
                <w:color w:val="auto"/>
                <w:kern w:val="0"/>
                <w:sz w:val="22"/>
                <w:szCs w:val="22"/>
                <w:highlight w:val="none"/>
              </w:rPr>
              <w:br w:type="textWrapping"/>
            </w:r>
            <w:r>
              <w:rPr>
                <w:rFonts w:hint="eastAsia" w:ascii="宋体" w:hAnsi="宋体" w:eastAsia="宋体" w:cs="宋体"/>
                <w:b w:val="0"/>
                <w:bCs w:val="0"/>
                <w:color w:val="auto"/>
                <w:kern w:val="0"/>
                <w:sz w:val="22"/>
                <w:szCs w:val="22"/>
                <w:highlight w:val="none"/>
                <w:lang w:eastAsia="zh-CN"/>
              </w:rPr>
              <w:t>（</w:t>
            </w:r>
            <w:r>
              <w:rPr>
                <w:rFonts w:hint="eastAsia" w:ascii="宋体" w:hAnsi="宋体" w:eastAsia="宋体" w:cs="宋体"/>
                <w:b w:val="0"/>
                <w:bCs w:val="0"/>
                <w:color w:val="auto"/>
                <w:kern w:val="0"/>
                <w:sz w:val="22"/>
                <w:szCs w:val="22"/>
                <w:highlight w:val="none"/>
                <w:lang w:val="en-US" w:eastAsia="zh-CN"/>
              </w:rPr>
              <w:t>4</w:t>
            </w:r>
            <w:r>
              <w:rPr>
                <w:rFonts w:hint="eastAsia" w:ascii="宋体" w:hAnsi="宋体" w:eastAsia="宋体" w:cs="宋体"/>
                <w:b w:val="0"/>
                <w:bCs w:val="0"/>
                <w:color w:val="auto"/>
                <w:kern w:val="0"/>
                <w:sz w:val="22"/>
                <w:szCs w:val="22"/>
                <w:highlight w:val="none"/>
                <w:lang w:eastAsia="zh-CN"/>
              </w:rPr>
              <w:t>）内容完全不符合或</w:t>
            </w:r>
            <w:r>
              <w:rPr>
                <w:rFonts w:hint="eastAsia" w:ascii="宋体" w:hAnsi="宋体" w:eastAsia="宋体" w:cs="宋体"/>
                <w:b w:val="0"/>
                <w:bCs w:val="0"/>
                <w:color w:val="auto"/>
                <w:kern w:val="0"/>
                <w:sz w:val="22"/>
                <w:szCs w:val="22"/>
                <w:highlight w:val="none"/>
              </w:rPr>
              <w:t>未提供方案</w:t>
            </w:r>
            <w:r>
              <w:rPr>
                <w:rFonts w:hint="eastAsia" w:ascii="宋体" w:hAnsi="宋体" w:eastAsia="宋体" w:cs="宋体"/>
                <w:b w:val="0"/>
                <w:bCs w:val="0"/>
                <w:color w:val="auto"/>
                <w:kern w:val="0"/>
                <w:sz w:val="22"/>
                <w:szCs w:val="22"/>
                <w:highlight w:val="none"/>
                <w:lang w:eastAsia="zh-CN"/>
              </w:rPr>
              <w:t>的得</w:t>
            </w:r>
            <w:r>
              <w:rPr>
                <w:rFonts w:hint="eastAsia" w:ascii="宋体" w:hAnsi="宋体" w:eastAsia="宋体" w:cs="宋体"/>
                <w:b w:val="0"/>
                <w:bCs w:val="0"/>
                <w:color w:val="auto"/>
                <w:kern w:val="0"/>
                <w:sz w:val="22"/>
                <w:szCs w:val="22"/>
                <w:highlight w:val="none"/>
                <w:lang w:val="en-US" w:eastAsia="zh-CN"/>
              </w:rPr>
              <w:t>0</w:t>
            </w:r>
            <w:r>
              <w:rPr>
                <w:rFonts w:hint="eastAsia" w:ascii="宋体" w:hAnsi="宋体" w:eastAsia="宋体" w:cs="宋体"/>
                <w:b w:val="0"/>
                <w:bCs w:val="0"/>
                <w:color w:val="auto"/>
                <w:kern w:val="0"/>
                <w:sz w:val="22"/>
                <w:szCs w:val="22"/>
                <w:highlight w:val="none"/>
                <w:lang w:eastAsia="zh-CN"/>
              </w:rPr>
              <w:t>分</w:t>
            </w:r>
            <w:r>
              <w:rPr>
                <w:rFonts w:hint="eastAsia" w:ascii="宋体" w:hAnsi="宋体" w:eastAsia="宋体" w:cs="宋体"/>
                <w:b w:val="0"/>
                <w:bCs w:val="0"/>
                <w:color w:val="auto"/>
                <w:kern w:val="0"/>
                <w:sz w:val="22"/>
                <w:szCs w:val="22"/>
                <w:highlight w:val="none"/>
              </w:rPr>
              <w:t>。</w:t>
            </w:r>
          </w:p>
        </w:tc>
        <w:tc>
          <w:tcPr>
            <w:tcW w:w="744" w:type="dxa"/>
            <w:noWrap/>
            <w:vAlign w:val="center"/>
          </w:tcPr>
          <w:p w14:paraId="2D0DDFAE">
            <w:pPr>
              <w:widowControl/>
              <w:spacing w:line="360" w:lineRule="auto"/>
              <w:jc w:val="center"/>
              <w:rPr>
                <w:rFonts w:hint="eastAsia" w:ascii="宋体" w:hAnsi="宋体" w:eastAsia="宋体" w:cs="宋体"/>
                <w:b w:val="0"/>
                <w:bCs w:val="0"/>
                <w:color w:val="auto"/>
                <w:kern w:val="0"/>
                <w:sz w:val="22"/>
                <w:szCs w:val="22"/>
                <w:highlight w:val="none"/>
                <w:lang w:eastAsia="zh-CN"/>
              </w:rPr>
            </w:pPr>
            <w:r>
              <w:rPr>
                <w:rFonts w:hint="eastAsia" w:ascii="宋体" w:eastAsia="宋体" w:cs="宋体"/>
                <w:b w:val="0"/>
                <w:bCs w:val="0"/>
                <w:color w:val="auto"/>
                <w:kern w:val="0"/>
                <w:sz w:val="22"/>
                <w:szCs w:val="22"/>
                <w:highlight w:val="none"/>
                <w:lang w:val="en-US" w:eastAsia="zh-CN"/>
              </w:rPr>
              <w:t>7</w:t>
            </w:r>
          </w:p>
        </w:tc>
        <w:tc>
          <w:tcPr>
            <w:tcW w:w="929" w:type="dxa"/>
            <w:noWrap/>
            <w:vAlign w:val="center"/>
          </w:tcPr>
          <w:p w14:paraId="7B1C713F">
            <w:pPr>
              <w:widowControl/>
              <w:spacing w:line="360" w:lineRule="auto"/>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主观分</w:t>
            </w:r>
          </w:p>
        </w:tc>
      </w:tr>
      <w:tr w14:paraId="42C3097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419" w:hRule="atLeast"/>
        </w:trPr>
        <w:tc>
          <w:tcPr>
            <w:tcW w:w="744" w:type="dxa"/>
            <w:vAlign w:val="center"/>
          </w:tcPr>
          <w:p w14:paraId="72CA0CF8">
            <w:pPr>
              <w:widowControl/>
              <w:spacing w:line="360" w:lineRule="auto"/>
              <w:jc w:val="center"/>
              <w:rPr>
                <w:rFonts w:hint="eastAsia" w:ascii="宋体" w:hAnsi="宋体" w:eastAsia="宋体" w:cs="宋体"/>
                <w:b w:val="0"/>
                <w:bCs w:val="0"/>
                <w:color w:val="auto"/>
                <w:kern w:val="0"/>
                <w:sz w:val="22"/>
                <w:szCs w:val="22"/>
                <w:highlight w:val="none"/>
                <w:lang w:eastAsia="zh-CN"/>
              </w:rPr>
            </w:pPr>
            <w:r>
              <w:rPr>
                <w:rFonts w:hint="eastAsia" w:ascii="宋体" w:hAnsi="宋体" w:eastAsia="宋体" w:cs="宋体"/>
                <w:b w:val="0"/>
                <w:bCs w:val="0"/>
                <w:color w:val="auto"/>
                <w:kern w:val="0"/>
                <w:sz w:val="22"/>
                <w:szCs w:val="22"/>
                <w:highlight w:val="none"/>
                <w:lang w:val="en-US" w:eastAsia="zh-CN"/>
              </w:rPr>
              <w:t>5</w:t>
            </w:r>
          </w:p>
        </w:tc>
        <w:tc>
          <w:tcPr>
            <w:tcW w:w="1102" w:type="dxa"/>
            <w:vAlign w:val="center"/>
          </w:tcPr>
          <w:p w14:paraId="79D2F2A5">
            <w:pPr>
              <w:widowControl/>
              <w:spacing w:line="360" w:lineRule="auto"/>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功能设计</w:t>
            </w:r>
          </w:p>
        </w:tc>
        <w:tc>
          <w:tcPr>
            <w:tcW w:w="5838" w:type="dxa"/>
            <w:vAlign w:val="center"/>
          </w:tcPr>
          <w:p w14:paraId="23FAD95D">
            <w:pPr>
              <w:widowControl/>
              <w:spacing w:line="360" w:lineRule="auto"/>
              <w:jc w:val="left"/>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根据</w:t>
            </w:r>
            <w:r>
              <w:rPr>
                <w:rFonts w:hint="eastAsia" w:ascii="宋体" w:eastAsia="宋体" w:cs="宋体"/>
                <w:b w:val="0"/>
                <w:bCs w:val="0"/>
                <w:color w:val="auto"/>
                <w:kern w:val="0"/>
                <w:sz w:val="22"/>
                <w:szCs w:val="22"/>
                <w:highlight w:val="none"/>
                <w:lang w:eastAsia="zh-CN"/>
              </w:rPr>
              <w:t>响应供应商提供的</w:t>
            </w:r>
            <w:r>
              <w:rPr>
                <w:rFonts w:hint="eastAsia" w:ascii="宋体" w:eastAsia="宋体" w:cs="宋体"/>
                <w:b w:val="0"/>
                <w:bCs w:val="0"/>
                <w:color w:val="auto"/>
                <w:kern w:val="0"/>
                <w:sz w:val="22"/>
                <w:szCs w:val="22"/>
                <w:highlight w:val="none"/>
                <w:lang w:val="en-US" w:eastAsia="zh-CN"/>
              </w:rPr>
              <w:t>系统功能设计</w:t>
            </w:r>
            <w:r>
              <w:rPr>
                <w:rFonts w:hint="eastAsia" w:ascii="宋体" w:hAnsi="宋体" w:eastAsia="宋体" w:cs="宋体"/>
                <w:b w:val="0"/>
                <w:bCs w:val="0"/>
                <w:color w:val="auto"/>
                <w:kern w:val="0"/>
                <w:sz w:val="22"/>
                <w:szCs w:val="22"/>
                <w:highlight w:val="none"/>
                <w:lang w:val="en-US" w:eastAsia="zh-CN"/>
              </w:rPr>
              <w:t>与</w:t>
            </w:r>
            <w:r>
              <w:rPr>
                <w:rFonts w:hint="eastAsia" w:ascii="宋体" w:eastAsia="宋体" w:cs="宋体"/>
                <w:b w:val="0"/>
                <w:bCs w:val="0"/>
                <w:color w:val="auto"/>
                <w:kern w:val="0"/>
                <w:sz w:val="22"/>
                <w:szCs w:val="22"/>
                <w:highlight w:val="none"/>
                <w:lang w:val="en-US" w:eastAsia="zh-CN"/>
              </w:rPr>
              <w:t>建设内容中</w:t>
            </w:r>
            <w:r>
              <w:rPr>
                <w:rFonts w:hint="eastAsia" w:ascii="宋体" w:hAnsi="宋体" w:eastAsia="宋体" w:cs="宋体"/>
                <w:b w:val="0"/>
                <w:bCs w:val="0"/>
                <w:color w:val="auto"/>
                <w:sz w:val="22"/>
                <w:szCs w:val="22"/>
                <w:highlight w:val="none"/>
              </w:rPr>
              <w:t>功能描述</w:t>
            </w:r>
            <w:r>
              <w:rPr>
                <w:rFonts w:hint="eastAsia" w:ascii="宋体" w:hAnsi="宋体" w:eastAsia="宋体" w:cs="宋体"/>
                <w:b w:val="0"/>
                <w:bCs w:val="0"/>
                <w:color w:val="auto"/>
                <w:kern w:val="0"/>
                <w:sz w:val="22"/>
                <w:szCs w:val="22"/>
                <w:highlight w:val="none"/>
                <w:lang w:val="en-US" w:eastAsia="zh-CN"/>
              </w:rPr>
              <w:t>的符合性、先进性综合打分。招</w:t>
            </w:r>
            <w:r>
              <w:rPr>
                <w:rFonts w:hint="eastAsia" w:ascii="宋体" w:hAnsi="宋体" w:eastAsia="宋体" w:cs="宋体"/>
                <w:b w:val="0"/>
                <w:bCs w:val="0"/>
                <w:color w:val="auto"/>
                <w:kern w:val="0"/>
                <w:sz w:val="22"/>
                <w:szCs w:val="22"/>
                <w:highlight w:val="none"/>
              </w:rPr>
              <w:t>标文件技术参数中</w:t>
            </w:r>
            <w:r>
              <w:rPr>
                <w:rFonts w:hint="eastAsia" w:ascii="宋体" w:hAnsi="宋体" w:eastAsia="宋体" w:cs="宋体"/>
                <w:b w:val="0"/>
                <w:bCs w:val="0"/>
                <w:color w:val="auto"/>
                <w:kern w:val="0"/>
                <w:sz w:val="22"/>
                <w:szCs w:val="22"/>
                <w:highlight w:val="none"/>
                <w:lang w:val="en-US" w:eastAsia="zh-CN"/>
              </w:rPr>
              <w:t>带</w:t>
            </w:r>
            <w:r>
              <w:rPr>
                <w:rFonts w:hint="eastAsia" w:ascii="宋体" w:hAnsi="宋体" w:eastAsia="宋体" w:cs="宋体"/>
                <w:b w:val="0"/>
                <w:bCs w:val="0"/>
                <w:color w:val="auto"/>
                <w:kern w:val="0"/>
                <w:sz w:val="22"/>
                <w:szCs w:val="22"/>
                <w:highlight w:val="none"/>
              </w:rPr>
              <w:t>★</w:t>
            </w:r>
            <w:r>
              <w:rPr>
                <w:rFonts w:hint="eastAsia" w:ascii="宋体" w:hAnsi="宋体" w:eastAsia="宋体" w:cs="宋体"/>
                <w:b w:val="0"/>
                <w:bCs w:val="0"/>
                <w:color w:val="auto"/>
                <w:kern w:val="0"/>
                <w:sz w:val="22"/>
                <w:szCs w:val="22"/>
                <w:highlight w:val="none"/>
                <w:lang w:val="en-US" w:eastAsia="zh-CN"/>
              </w:rPr>
              <w:t>指标的，每</w:t>
            </w:r>
            <w:r>
              <w:rPr>
                <w:rFonts w:hint="eastAsia" w:ascii="宋体" w:hAnsi="宋体" w:eastAsia="宋体" w:cs="宋体"/>
                <w:b w:val="0"/>
                <w:bCs w:val="0"/>
                <w:color w:val="auto"/>
                <w:kern w:val="0"/>
                <w:sz w:val="22"/>
                <w:szCs w:val="22"/>
                <w:highlight w:val="none"/>
              </w:rPr>
              <w:t>负偏离一项扣</w:t>
            </w:r>
            <w:r>
              <w:rPr>
                <w:rFonts w:hint="eastAsia" w:ascii="宋体" w:eastAsia="宋体" w:cs="宋体"/>
                <w:b w:val="0"/>
                <w:bCs w:val="0"/>
                <w:color w:val="auto"/>
                <w:kern w:val="0"/>
                <w:sz w:val="22"/>
                <w:szCs w:val="22"/>
                <w:highlight w:val="none"/>
                <w:lang w:val="en-US" w:eastAsia="zh-CN"/>
              </w:rPr>
              <w:t>0.5</w:t>
            </w:r>
            <w:r>
              <w:rPr>
                <w:rFonts w:hint="eastAsia" w:ascii="宋体" w:hAnsi="宋体" w:eastAsia="宋体" w:cs="宋体"/>
                <w:b w:val="0"/>
                <w:bCs w:val="0"/>
                <w:color w:val="auto"/>
                <w:kern w:val="0"/>
                <w:sz w:val="22"/>
                <w:szCs w:val="22"/>
                <w:highlight w:val="none"/>
              </w:rPr>
              <w:t>分，除带★指标外的其余指标如出现负偏离，每负偏离一项扣</w:t>
            </w:r>
            <w:r>
              <w:rPr>
                <w:rFonts w:hint="eastAsia" w:ascii="宋体" w:eastAsia="宋体" w:cs="宋体"/>
                <w:b w:val="0"/>
                <w:bCs w:val="0"/>
                <w:color w:val="auto"/>
                <w:kern w:val="0"/>
                <w:sz w:val="22"/>
                <w:szCs w:val="22"/>
                <w:highlight w:val="none"/>
                <w:lang w:val="en-US" w:eastAsia="zh-CN"/>
              </w:rPr>
              <w:t>0.2</w:t>
            </w:r>
            <w:r>
              <w:rPr>
                <w:rFonts w:hint="eastAsia" w:ascii="宋体" w:hAnsi="宋体" w:eastAsia="宋体" w:cs="宋体"/>
                <w:b w:val="0"/>
                <w:bCs w:val="0"/>
                <w:color w:val="auto"/>
                <w:kern w:val="0"/>
                <w:sz w:val="22"/>
                <w:szCs w:val="22"/>
                <w:highlight w:val="none"/>
              </w:rPr>
              <w:t>分，扣完为止，</w:t>
            </w:r>
            <w:r>
              <w:rPr>
                <w:rFonts w:hint="eastAsia" w:ascii="宋体" w:hAnsi="宋体" w:eastAsia="宋体" w:cs="宋体"/>
                <w:b w:val="0"/>
                <w:bCs w:val="0"/>
                <w:color w:val="auto"/>
                <w:kern w:val="0"/>
                <w:sz w:val="22"/>
                <w:szCs w:val="22"/>
                <w:highlight w:val="none"/>
                <w:lang w:val="en-US" w:eastAsia="zh-CN"/>
              </w:rPr>
              <w:t>实质性参数除外，</w:t>
            </w:r>
            <w:r>
              <w:rPr>
                <w:rFonts w:hint="eastAsia" w:ascii="宋体" w:hAnsi="宋体" w:eastAsia="宋体" w:cs="宋体"/>
                <w:b w:val="0"/>
                <w:bCs w:val="0"/>
                <w:color w:val="auto"/>
                <w:kern w:val="0"/>
                <w:sz w:val="22"/>
                <w:szCs w:val="22"/>
                <w:highlight w:val="none"/>
              </w:rPr>
              <w:t>不满足或未按要求提供证明材料的视为负偏离。</w:t>
            </w:r>
          </w:p>
          <w:p w14:paraId="497692A3">
            <w:pPr>
              <w:widowControl/>
              <w:spacing w:line="360" w:lineRule="auto"/>
              <w:jc w:val="left"/>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lang w:val="en-US" w:eastAsia="zh-CN"/>
              </w:rPr>
              <w:t>（注：以上技术指标如出现偏离必须在《技术偏离表》中完整体现，如有虚假应标，将作无效标处理）</w:t>
            </w:r>
          </w:p>
        </w:tc>
        <w:tc>
          <w:tcPr>
            <w:tcW w:w="744" w:type="dxa"/>
            <w:noWrap/>
            <w:vAlign w:val="center"/>
          </w:tcPr>
          <w:p w14:paraId="283A0856">
            <w:pPr>
              <w:widowControl/>
              <w:spacing w:line="360" w:lineRule="auto"/>
              <w:jc w:val="center"/>
              <w:rPr>
                <w:rFonts w:hint="default" w:ascii="宋体" w:hAnsi="宋体" w:eastAsia="宋体" w:cs="宋体"/>
                <w:b w:val="0"/>
                <w:bCs w:val="0"/>
                <w:color w:val="auto"/>
                <w:kern w:val="0"/>
                <w:sz w:val="22"/>
                <w:szCs w:val="22"/>
                <w:highlight w:val="none"/>
                <w:lang w:val="en-US" w:eastAsia="zh-CN"/>
              </w:rPr>
            </w:pPr>
            <w:r>
              <w:rPr>
                <w:rFonts w:hint="eastAsia" w:ascii="宋体" w:eastAsia="宋体" w:cs="宋体"/>
                <w:b w:val="0"/>
                <w:bCs w:val="0"/>
                <w:color w:val="auto"/>
                <w:kern w:val="0"/>
                <w:sz w:val="22"/>
                <w:szCs w:val="22"/>
                <w:highlight w:val="none"/>
                <w:lang w:val="en-US" w:eastAsia="zh-CN"/>
              </w:rPr>
              <w:t>24</w:t>
            </w:r>
          </w:p>
        </w:tc>
        <w:tc>
          <w:tcPr>
            <w:tcW w:w="929" w:type="dxa"/>
            <w:noWrap/>
            <w:vAlign w:val="center"/>
          </w:tcPr>
          <w:p w14:paraId="18F639F4">
            <w:pPr>
              <w:widowControl/>
              <w:spacing w:line="360" w:lineRule="auto"/>
              <w:jc w:val="center"/>
              <w:rPr>
                <w:rFonts w:hint="eastAsia" w:ascii="宋体" w:hAnsi="宋体" w:eastAsia="宋体" w:cs="宋体"/>
                <w:b w:val="0"/>
                <w:bCs w:val="0"/>
                <w:color w:val="auto"/>
                <w:kern w:val="0"/>
                <w:sz w:val="22"/>
                <w:szCs w:val="22"/>
                <w:highlight w:val="none"/>
              </w:rPr>
            </w:pPr>
            <w:r>
              <w:rPr>
                <w:rFonts w:hint="eastAsia" w:ascii="宋体" w:eastAsia="宋体" w:cs="宋体"/>
                <w:b w:val="0"/>
                <w:bCs w:val="0"/>
                <w:color w:val="auto"/>
                <w:kern w:val="0"/>
                <w:sz w:val="22"/>
                <w:szCs w:val="22"/>
                <w:highlight w:val="none"/>
                <w:lang w:val="en-US" w:eastAsia="zh-CN"/>
              </w:rPr>
              <w:t>客</w:t>
            </w:r>
            <w:bookmarkStart w:id="254" w:name="_GoBack"/>
            <w:bookmarkEnd w:id="254"/>
            <w:r>
              <w:rPr>
                <w:rFonts w:hint="eastAsia" w:ascii="宋体" w:hAnsi="宋体" w:eastAsia="宋体" w:cs="宋体"/>
                <w:b w:val="0"/>
                <w:bCs w:val="0"/>
                <w:color w:val="auto"/>
                <w:kern w:val="0"/>
                <w:sz w:val="22"/>
                <w:szCs w:val="22"/>
                <w:highlight w:val="none"/>
              </w:rPr>
              <w:t>观分</w:t>
            </w:r>
          </w:p>
        </w:tc>
      </w:tr>
      <w:tr w14:paraId="7D9BDE1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10" w:hRule="atLeast"/>
        </w:trPr>
        <w:tc>
          <w:tcPr>
            <w:tcW w:w="744" w:type="dxa"/>
            <w:vAlign w:val="center"/>
          </w:tcPr>
          <w:p w14:paraId="35B34A5A">
            <w:pPr>
              <w:widowControl/>
              <w:spacing w:line="360" w:lineRule="auto"/>
              <w:jc w:val="center"/>
              <w:rPr>
                <w:rFonts w:hint="eastAsia" w:ascii="宋体" w:hAnsi="宋体" w:eastAsia="宋体" w:cs="宋体"/>
                <w:b w:val="0"/>
                <w:bCs w:val="0"/>
                <w:color w:val="auto"/>
                <w:kern w:val="0"/>
                <w:sz w:val="22"/>
                <w:szCs w:val="22"/>
                <w:highlight w:val="none"/>
                <w:lang w:eastAsia="zh-CN"/>
              </w:rPr>
            </w:pPr>
            <w:r>
              <w:rPr>
                <w:rFonts w:hint="eastAsia" w:ascii="宋体" w:hAnsi="宋体" w:eastAsia="宋体" w:cs="宋体"/>
                <w:b w:val="0"/>
                <w:bCs w:val="0"/>
                <w:color w:val="auto"/>
                <w:kern w:val="0"/>
                <w:sz w:val="22"/>
                <w:szCs w:val="22"/>
                <w:highlight w:val="none"/>
                <w:lang w:val="en-US" w:eastAsia="zh-CN"/>
              </w:rPr>
              <w:t>6</w:t>
            </w:r>
          </w:p>
        </w:tc>
        <w:tc>
          <w:tcPr>
            <w:tcW w:w="1102" w:type="dxa"/>
            <w:vAlign w:val="center"/>
          </w:tcPr>
          <w:p w14:paraId="436EFB96">
            <w:pPr>
              <w:widowControl/>
              <w:spacing w:line="360" w:lineRule="auto"/>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信息资源体系设计</w:t>
            </w:r>
          </w:p>
        </w:tc>
        <w:tc>
          <w:tcPr>
            <w:tcW w:w="5838" w:type="dxa"/>
            <w:vAlign w:val="center"/>
          </w:tcPr>
          <w:p w14:paraId="452BB8BE">
            <w:pPr>
              <w:widowControl/>
              <w:spacing w:line="360" w:lineRule="auto"/>
              <w:jc w:val="left"/>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考虑系统内数据库建设内容，并在此基础上开展对本项目信息资源体系建设，包括信息资源总体设计、目录体系、数据库核心信息表结构设计等。根据方案设计全面性、数据库表结构合理性、内容准确性等方案进行综合评分。</w:t>
            </w:r>
          </w:p>
          <w:p w14:paraId="1DBC2869">
            <w:pPr>
              <w:widowControl/>
              <w:spacing w:line="360" w:lineRule="auto"/>
              <w:jc w:val="left"/>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lang w:eastAsia="zh-CN"/>
              </w:rPr>
              <w:t>（</w:t>
            </w:r>
            <w:r>
              <w:rPr>
                <w:rFonts w:hint="eastAsia" w:ascii="宋体" w:hAnsi="宋体" w:eastAsia="宋体" w:cs="宋体"/>
                <w:b w:val="0"/>
                <w:bCs w:val="0"/>
                <w:color w:val="auto"/>
                <w:kern w:val="0"/>
                <w:sz w:val="22"/>
                <w:szCs w:val="22"/>
                <w:highlight w:val="none"/>
                <w:lang w:val="en-US" w:eastAsia="zh-CN"/>
              </w:rPr>
              <w:t>1</w:t>
            </w:r>
            <w:r>
              <w:rPr>
                <w:rFonts w:hint="eastAsia" w:ascii="宋体" w:hAnsi="宋体" w:eastAsia="宋体" w:cs="宋体"/>
                <w:b w:val="0"/>
                <w:bCs w:val="0"/>
                <w:color w:val="auto"/>
                <w:kern w:val="0"/>
                <w:sz w:val="22"/>
                <w:szCs w:val="22"/>
                <w:highlight w:val="none"/>
                <w:lang w:eastAsia="zh-CN"/>
              </w:rPr>
              <w:t>）</w:t>
            </w:r>
            <w:r>
              <w:rPr>
                <w:rFonts w:hint="eastAsia" w:ascii="宋体" w:hAnsi="宋体" w:eastAsia="宋体" w:cs="宋体"/>
                <w:b w:val="0"/>
                <w:bCs w:val="0"/>
                <w:color w:val="auto"/>
                <w:kern w:val="0"/>
                <w:sz w:val="22"/>
                <w:szCs w:val="22"/>
                <w:highlight w:val="none"/>
              </w:rPr>
              <w:t>信息资源体系设计完整、充分结合数据库进行设计、数据库核心信息表设计、数据迁移设计详尽、合理</w:t>
            </w:r>
            <w:r>
              <w:rPr>
                <w:rFonts w:hint="eastAsia" w:ascii="宋体" w:hAnsi="宋体" w:eastAsia="宋体" w:cs="宋体"/>
                <w:b w:val="0"/>
                <w:bCs w:val="0"/>
                <w:color w:val="auto"/>
                <w:kern w:val="0"/>
                <w:sz w:val="22"/>
                <w:szCs w:val="22"/>
                <w:highlight w:val="none"/>
                <w:lang w:eastAsia="zh-CN"/>
              </w:rPr>
              <w:t>的得</w:t>
            </w:r>
            <w:r>
              <w:rPr>
                <w:rFonts w:hint="eastAsia" w:ascii="宋体" w:eastAsia="宋体" w:cs="宋体"/>
                <w:b w:val="0"/>
                <w:bCs w:val="0"/>
                <w:color w:val="auto"/>
                <w:kern w:val="0"/>
                <w:sz w:val="22"/>
                <w:szCs w:val="22"/>
                <w:highlight w:val="none"/>
                <w:lang w:val="en-US" w:eastAsia="zh-CN"/>
              </w:rPr>
              <w:t>6</w:t>
            </w:r>
            <w:r>
              <w:rPr>
                <w:rFonts w:hint="eastAsia" w:ascii="宋体" w:hAnsi="宋体" w:eastAsia="宋体" w:cs="宋体"/>
                <w:b w:val="0"/>
                <w:bCs w:val="0"/>
                <w:color w:val="auto"/>
                <w:kern w:val="0"/>
                <w:sz w:val="22"/>
                <w:szCs w:val="22"/>
                <w:highlight w:val="none"/>
                <w:lang w:eastAsia="zh-CN"/>
              </w:rPr>
              <w:t>分；</w:t>
            </w:r>
            <w:r>
              <w:rPr>
                <w:rFonts w:hint="eastAsia" w:ascii="宋体" w:hAnsi="宋体" w:eastAsia="宋体" w:cs="宋体"/>
                <w:b w:val="0"/>
                <w:bCs w:val="0"/>
                <w:color w:val="auto"/>
                <w:kern w:val="0"/>
                <w:sz w:val="22"/>
                <w:szCs w:val="22"/>
                <w:highlight w:val="none"/>
                <w:lang w:eastAsia="zh-CN"/>
              </w:rPr>
              <w:br w:type="textWrapping"/>
            </w:r>
            <w:r>
              <w:rPr>
                <w:rFonts w:hint="eastAsia" w:ascii="宋体" w:hAnsi="宋体" w:eastAsia="宋体" w:cs="宋体"/>
                <w:b w:val="0"/>
                <w:bCs w:val="0"/>
                <w:color w:val="auto"/>
                <w:kern w:val="0"/>
                <w:sz w:val="22"/>
                <w:szCs w:val="22"/>
                <w:highlight w:val="none"/>
                <w:lang w:eastAsia="zh-CN"/>
              </w:rPr>
              <w:t>（</w:t>
            </w:r>
            <w:r>
              <w:rPr>
                <w:rFonts w:hint="eastAsia" w:ascii="宋体" w:hAnsi="宋体" w:eastAsia="宋体" w:cs="宋体"/>
                <w:b w:val="0"/>
                <w:bCs w:val="0"/>
                <w:color w:val="auto"/>
                <w:kern w:val="0"/>
                <w:sz w:val="22"/>
                <w:szCs w:val="22"/>
                <w:highlight w:val="none"/>
                <w:lang w:val="en-US" w:eastAsia="zh-CN"/>
              </w:rPr>
              <w:t>2</w:t>
            </w:r>
            <w:r>
              <w:rPr>
                <w:rFonts w:hint="eastAsia" w:ascii="宋体" w:hAnsi="宋体" w:eastAsia="宋体" w:cs="宋体"/>
                <w:b w:val="0"/>
                <w:bCs w:val="0"/>
                <w:color w:val="auto"/>
                <w:kern w:val="0"/>
                <w:sz w:val="22"/>
                <w:szCs w:val="22"/>
                <w:highlight w:val="none"/>
                <w:lang w:eastAsia="zh-CN"/>
              </w:rPr>
              <w:t>）体系设计较全面、完整，基本满足设计要求的得</w:t>
            </w:r>
            <w:r>
              <w:rPr>
                <w:rFonts w:hint="eastAsia" w:ascii="宋体" w:eastAsia="宋体" w:cs="宋体"/>
                <w:b w:val="0"/>
                <w:bCs w:val="0"/>
                <w:color w:val="auto"/>
                <w:kern w:val="0"/>
                <w:sz w:val="22"/>
                <w:szCs w:val="22"/>
                <w:highlight w:val="none"/>
                <w:lang w:val="en-US" w:eastAsia="zh-CN"/>
              </w:rPr>
              <w:t>4</w:t>
            </w:r>
            <w:r>
              <w:rPr>
                <w:rFonts w:hint="eastAsia" w:ascii="宋体" w:hAnsi="宋体" w:eastAsia="宋体" w:cs="宋体"/>
                <w:b w:val="0"/>
                <w:bCs w:val="0"/>
                <w:color w:val="auto"/>
                <w:kern w:val="0"/>
                <w:sz w:val="22"/>
                <w:szCs w:val="22"/>
                <w:highlight w:val="none"/>
                <w:lang w:eastAsia="zh-CN"/>
              </w:rPr>
              <w:t>分；</w:t>
            </w:r>
            <w:r>
              <w:rPr>
                <w:rFonts w:hint="eastAsia" w:ascii="宋体" w:hAnsi="宋体" w:eastAsia="宋体" w:cs="宋体"/>
                <w:b w:val="0"/>
                <w:bCs w:val="0"/>
                <w:color w:val="auto"/>
                <w:kern w:val="0"/>
                <w:sz w:val="22"/>
                <w:szCs w:val="22"/>
                <w:highlight w:val="none"/>
                <w:lang w:eastAsia="zh-CN"/>
              </w:rPr>
              <w:br w:type="textWrapping"/>
            </w:r>
            <w:r>
              <w:rPr>
                <w:rFonts w:hint="eastAsia" w:ascii="宋体" w:hAnsi="宋体" w:eastAsia="宋体" w:cs="宋体"/>
                <w:b w:val="0"/>
                <w:bCs w:val="0"/>
                <w:color w:val="auto"/>
                <w:kern w:val="0"/>
                <w:sz w:val="22"/>
                <w:szCs w:val="22"/>
                <w:highlight w:val="none"/>
                <w:lang w:eastAsia="zh-CN"/>
              </w:rPr>
              <w:t>（</w:t>
            </w:r>
            <w:r>
              <w:rPr>
                <w:rFonts w:hint="eastAsia" w:ascii="宋体" w:hAnsi="宋体" w:eastAsia="宋体" w:cs="宋体"/>
                <w:b w:val="0"/>
                <w:bCs w:val="0"/>
                <w:color w:val="auto"/>
                <w:kern w:val="0"/>
                <w:sz w:val="22"/>
                <w:szCs w:val="22"/>
                <w:highlight w:val="none"/>
                <w:lang w:val="en-US" w:eastAsia="zh-CN"/>
              </w:rPr>
              <w:t>3</w:t>
            </w:r>
            <w:r>
              <w:rPr>
                <w:rFonts w:hint="eastAsia" w:ascii="宋体" w:hAnsi="宋体" w:eastAsia="宋体" w:cs="宋体"/>
                <w:b w:val="0"/>
                <w:bCs w:val="0"/>
                <w:color w:val="auto"/>
                <w:kern w:val="0"/>
                <w:sz w:val="22"/>
                <w:szCs w:val="22"/>
                <w:highlight w:val="none"/>
                <w:lang w:eastAsia="zh-CN"/>
              </w:rPr>
              <w:t>）体系设计不详尽、不合理的得</w:t>
            </w:r>
            <w:r>
              <w:rPr>
                <w:rFonts w:hint="eastAsia" w:ascii="宋体" w:hAnsi="宋体" w:eastAsia="宋体" w:cs="宋体"/>
                <w:b w:val="0"/>
                <w:bCs w:val="0"/>
                <w:color w:val="auto"/>
                <w:kern w:val="0"/>
                <w:sz w:val="22"/>
                <w:szCs w:val="22"/>
                <w:highlight w:val="none"/>
                <w:lang w:val="en-US" w:eastAsia="zh-CN"/>
              </w:rPr>
              <w:t>2</w:t>
            </w:r>
            <w:r>
              <w:rPr>
                <w:rFonts w:hint="eastAsia" w:ascii="宋体" w:hAnsi="宋体" w:eastAsia="宋体" w:cs="宋体"/>
                <w:b w:val="0"/>
                <w:bCs w:val="0"/>
                <w:color w:val="auto"/>
                <w:kern w:val="0"/>
                <w:sz w:val="22"/>
                <w:szCs w:val="22"/>
                <w:highlight w:val="none"/>
                <w:lang w:eastAsia="zh-CN"/>
              </w:rPr>
              <w:t>分；</w:t>
            </w:r>
            <w:r>
              <w:rPr>
                <w:rFonts w:hint="eastAsia" w:ascii="宋体" w:hAnsi="宋体" w:eastAsia="宋体" w:cs="宋体"/>
                <w:b w:val="0"/>
                <w:bCs w:val="0"/>
                <w:color w:val="auto"/>
                <w:kern w:val="0"/>
                <w:sz w:val="22"/>
                <w:szCs w:val="22"/>
                <w:highlight w:val="none"/>
                <w:lang w:eastAsia="zh-CN"/>
              </w:rPr>
              <w:br w:type="textWrapping"/>
            </w:r>
            <w:r>
              <w:rPr>
                <w:rFonts w:hint="eastAsia" w:ascii="宋体" w:hAnsi="宋体" w:eastAsia="宋体" w:cs="宋体"/>
                <w:b w:val="0"/>
                <w:bCs w:val="0"/>
                <w:color w:val="auto"/>
                <w:kern w:val="0"/>
                <w:sz w:val="22"/>
                <w:szCs w:val="22"/>
                <w:highlight w:val="none"/>
                <w:lang w:eastAsia="zh-CN"/>
              </w:rPr>
              <w:t>（</w:t>
            </w:r>
            <w:r>
              <w:rPr>
                <w:rFonts w:hint="eastAsia" w:ascii="宋体" w:hAnsi="宋体" w:eastAsia="宋体" w:cs="宋体"/>
                <w:b w:val="0"/>
                <w:bCs w:val="0"/>
                <w:color w:val="auto"/>
                <w:kern w:val="0"/>
                <w:sz w:val="22"/>
                <w:szCs w:val="22"/>
                <w:highlight w:val="none"/>
                <w:lang w:val="en-US" w:eastAsia="zh-CN"/>
              </w:rPr>
              <w:t>4</w:t>
            </w:r>
            <w:r>
              <w:rPr>
                <w:rFonts w:hint="eastAsia" w:ascii="宋体" w:hAnsi="宋体" w:eastAsia="宋体" w:cs="宋体"/>
                <w:b w:val="0"/>
                <w:bCs w:val="0"/>
                <w:color w:val="auto"/>
                <w:kern w:val="0"/>
                <w:sz w:val="22"/>
                <w:szCs w:val="22"/>
                <w:highlight w:val="none"/>
                <w:lang w:eastAsia="zh-CN"/>
              </w:rPr>
              <w:t>）内容完全不符合或</w:t>
            </w:r>
            <w:r>
              <w:rPr>
                <w:rFonts w:hint="eastAsia" w:ascii="宋体" w:hAnsi="宋体" w:eastAsia="宋体" w:cs="宋体"/>
                <w:b w:val="0"/>
                <w:bCs w:val="0"/>
                <w:color w:val="auto"/>
                <w:kern w:val="0"/>
                <w:sz w:val="22"/>
                <w:szCs w:val="22"/>
                <w:highlight w:val="none"/>
              </w:rPr>
              <w:t>未提供设计方案</w:t>
            </w:r>
            <w:r>
              <w:rPr>
                <w:rFonts w:hint="eastAsia" w:ascii="宋体" w:eastAsia="宋体" w:cs="宋体"/>
                <w:b w:val="0"/>
                <w:bCs w:val="0"/>
                <w:color w:val="auto"/>
                <w:kern w:val="0"/>
                <w:sz w:val="22"/>
                <w:szCs w:val="22"/>
                <w:highlight w:val="none"/>
                <w:lang w:val="en-US" w:eastAsia="zh-CN"/>
              </w:rPr>
              <w:t>的，</w:t>
            </w:r>
            <w:r>
              <w:rPr>
                <w:rFonts w:hint="eastAsia" w:ascii="宋体" w:hAnsi="宋体" w:eastAsia="宋体" w:cs="宋体"/>
                <w:b w:val="0"/>
                <w:bCs w:val="0"/>
                <w:color w:val="auto"/>
                <w:kern w:val="0"/>
                <w:sz w:val="22"/>
                <w:szCs w:val="22"/>
                <w:highlight w:val="none"/>
                <w:lang w:val="en-US" w:eastAsia="zh-CN"/>
              </w:rPr>
              <w:t>得0分</w:t>
            </w:r>
            <w:r>
              <w:rPr>
                <w:rFonts w:hint="eastAsia" w:ascii="宋体" w:hAnsi="宋体" w:eastAsia="宋体" w:cs="宋体"/>
                <w:b w:val="0"/>
                <w:bCs w:val="0"/>
                <w:color w:val="auto"/>
                <w:kern w:val="0"/>
                <w:sz w:val="22"/>
                <w:szCs w:val="22"/>
                <w:highlight w:val="none"/>
              </w:rPr>
              <w:t>。</w:t>
            </w:r>
          </w:p>
        </w:tc>
        <w:tc>
          <w:tcPr>
            <w:tcW w:w="744" w:type="dxa"/>
            <w:noWrap/>
            <w:vAlign w:val="center"/>
          </w:tcPr>
          <w:p w14:paraId="681140CF">
            <w:pPr>
              <w:widowControl/>
              <w:spacing w:line="360" w:lineRule="auto"/>
              <w:jc w:val="center"/>
              <w:rPr>
                <w:rFonts w:hint="eastAsia" w:ascii="宋体" w:hAnsi="宋体" w:eastAsia="宋体" w:cs="宋体"/>
                <w:b w:val="0"/>
                <w:bCs w:val="0"/>
                <w:color w:val="auto"/>
                <w:kern w:val="0"/>
                <w:sz w:val="22"/>
                <w:szCs w:val="22"/>
                <w:highlight w:val="none"/>
                <w:lang w:eastAsia="zh-CN"/>
              </w:rPr>
            </w:pPr>
            <w:r>
              <w:rPr>
                <w:rFonts w:hint="eastAsia" w:ascii="宋体" w:eastAsia="宋体" w:cs="宋体"/>
                <w:b w:val="0"/>
                <w:bCs w:val="0"/>
                <w:color w:val="auto"/>
                <w:kern w:val="0"/>
                <w:sz w:val="22"/>
                <w:szCs w:val="22"/>
                <w:highlight w:val="none"/>
                <w:lang w:val="en-US" w:eastAsia="zh-CN"/>
              </w:rPr>
              <w:t>6</w:t>
            </w:r>
          </w:p>
        </w:tc>
        <w:tc>
          <w:tcPr>
            <w:tcW w:w="929" w:type="dxa"/>
            <w:noWrap/>
            <w:vAlign w:val="center"/>
          </w:tcPr>
          <w:p w14:paraId="03FA1BF2">
            <w:pPr>
              <w:widowControl/>
              <w:spacing w:line="360" w:lineRule="auto"/>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主观分</w:t>
            </w:r>
          </w:p>
        </w:tc>
      </w:tr>
      <w:tr w14:paraId="752436F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10" w:hRule="atLeast"/>
        </w:trPr>
        <w:tc>
          <w:tcPr>
            <w:tcW w:w="744" w:type="dxa"/>
            <w:vAlign w:val="center"/>
          </w:tcPr>
          <w:p w14:paraId="2209400B">
            <w:pPr>
              <w:widowControl/>
              <w:spacing w:line="360" w:lineRule="auto"/>
              <w:jc w:val="center"/>
              <w:rPr>
                <w:rFonts w:hint="default" w:ascii="宋体" w:hAnsi="宋体" w:eastAsia="宋体" w:cs="宋体"/>
                <w:b w:val="0"/>
                <w:bCs w:val="0"/>
                <w:color w:val="auto"/>
                <w:kern w:val="0"/>
                <w:sz w:val="22"/>
                <w:szCs w:val="22"/>
                <w:highlight w:val="none"/>
                <w:lang w:val="en-US" w:eastAsia="zh-CN"/>
              </w:rPr>
            </w:pPr>
            <w:r>
              <w:rPr>
                <w:rFonts w:hint="eastAsia" w:ascii="宋体" w:eastAsia="宋体" w:cs="宋体"/>
                <w:b w:val="0"/>
                <w:bCs w:val="0"/>
                <w:color w:val="auto"/>
                <w:kern w:val="0"/>
                <w:sz w:val="22"/>
                <w:szCs w:val="22"/>
                <w:highlight w:val="none"/>
                <w:lang w:val="en-US" w:eastAsia="zh-CN"/>
              </w:rPr>
              <w:t>7</w:t>
            </w:r>
          </w:p>
        </w:tc>
        <w:tc>
          <w:tcPr>
            <w:tcW w:w="1102" w:type="dxa"/>
            <w:vAlign w:val="center"/>
          </w:tcPr>
          <w:p w14:paraId="5F6043E7">
            <w:pPr>
              <w:widowControl/>
              <w:spacing w:line="360" w:lineRule="auto"/>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项目管理与实施方案</w:t>
            </w:r>
          </w:p>
        </w:tc>
        <w:tc>
          <w:tcPr>
            <w:tcW w:w="5838" w:type="dxa"/>
            <w:vAlign w:val="center"/>
          </w:tcPr>
          <w:p w14:paraId="621FA423">
            <w:pPr>
              <w:widowControl/>
              <w:spacing w:line="360" w:lineRule="auto"/>
              <w:jc w:val="left"/>
              <w:rPr>
                <w:rFonts w:hint="eastAsia" w:ascii="宋体" w:hAnsi="宋体" w:eastAsia="宋体" w:cs="宋体"/>
                <w:b w:val="0"/>
                <w:bCs w:val="0"/>
                <w:color w:val="auto"/>
                <w:kern w:val="0"/>
                <w:sz w:val="22"/>
                <w:szCs w:val="22"/>
                <w:highlight w:val="none"/>
                <w:lang w:eastAsia="zh-CN"/>
              </w:rPr>
            </w:pPr>
            <w:r>
              <w:rPr>
                <w:rFonts w:hint="eastAsia" w:ascii="宋体" w:hAnsi="宋体" w:eastAsia="宋体" w:cs="宋体"/>
                <w:b w:val="0"/>
                <w:bCs w:val="0"/>
                <w:color w:val="auto"/>
                <w:kern w:val="0"/>
                <w:sz w:val="22"/>
                <w:szCs w:val="22"/>
                <w:highlight w:val="none"/>
                <w:lang w:eastAsia="zh-CN"/>
              </w:rPr>
              <w:t>项目实施的组织机构健全，组织架构合理，组织架构中各岗位职责明确，根据项目管理和质量控制方案设计的详尽性、合理性、可行性等以及组织实施计划、项目团队组成和各项保障措施的完整性、合理性、保障性、可行性等情况进行综合评分。</w:t>
            </w:r>
          </w:p>
          <w:p w14:paraId="3288D19F">
            <w:pPr>
              <w:widowControl/>
              <w:spacing w:line="360" w:lineRule="auto"/>
              <w:jc w:val="left"/>
              <w:rPr>
                <w:rFonts w:hint="eastAsia"/>
                <w:color w:val="auto"/>
                <w:highlight w:val="none"/>
                <w:lang w:eastAsia="zh-CN"/>
              </w:rPr>
            </w:pPr>
            <w:r>
              <w:rPr>
                <w:rFonts w:hint="eastAsia" w:ascii="宋体" w:hAnsi="宋体" w:eastAsia="宋体" w:cs="宋体"/>
                <w:b w:val="0"/>
                <w:bCs w:val="0"/>
                <w:color w:val="auto"/>
                <w:kern w:val="0"/>
                <w:sz w:val="22"/>
                <w:szCs w:val="22"/>
                <w:highlight w:val="none"/>
                <w:lang w:eastAsia="zh-CN"/>
              </w:rPr>
              <w:t>（</w:t>
            </w:r>
            <w:r>
              <w:rPr>
                <w:rFonts w:hint="eastAsia" w:ascii="宋体" w:hAnsi="宋体" w:eastAsia="宋体" w:cs="宋体"/>
                <w:b w:val="0"/>
                <w:bCs w:val="0"/>
                <w:color w:val="auto"/>
                <w:kern w:val="0"/>
                <w:sz w:val="22"/>
                <w:szCs w:val="22"/>
                <w:highlight w:val="none"/>
                <w:lang w:val="en-US" w:eastAsia="zh-CN"/>
              </w:rPr>
              <w:t>1</w:t>
            </w:r>
            <w:r>
              <w:rPr>
                <w:rFonts w:hint="eastAsia" w:ascii="宋体" w:hAnsi="宋体" w:eastAsia="宋体" w:cs="宋体"/>
                <w:b w:val="0"/>
                <w:bCs w:val="0"/>
                <w:color w:val="auto"/>
                <w:kern w:val="0"/>
                <w:sz w:val="22"/>
                <w:szCs w:val="22"/>
                <w:highlight w:val="none"/>
                <w:lang w:eastAsia="zh-CN"/>
              </w:rPr>
              <w:t>）提供</w:t>
            </w:r>
            <w:r>
              <w:rPr>
                <w:rFonts w:hint="eastAsia" w:ascii="宋体" w:eastAsia="宋体" w:cs="宋体"/>
                <w:b w:val="0"/>
                <w:bCs w:val="0"/>
                <w:color w:val="auto"/>
                <w:kern w:val="0"/>
                <w:sz w:val="22"/>
                <w:szCs w:val="22"/>
                <w:highlight w:val="none"/>
                <w:lang w:eastAsia="zh-CN"/>
              </w:rPr>
              <w:t>实施</w:t>
            </w:r>
            <w:r>
              <w:rPr>
                <w:rFonts w:hint="eastAsia" w:ascii="宋体" w:hAnsi="宋体" w:eastAsia="宋体" w:cs="宋体"/>
                <w:b w:val="0"/>
                <w:bCs w:val="0"/>
                <w:color w:val="auto"/>
                <w:kern w:val="0"/>
                <w:sz w:val="22"/>
                <w:szCs w:val="22"/>
                <w:highlight w:val="none"/>
                <w:lang w:eastAsia="zh-CN"/>
              </w:rPr>
              <w:t>方案全面</w:t>
            </w:r>
            <w:r>
              <w:rPr>
                <w:rFonts w:hint="eastAsia" w:ascii="宋体" w:eastAsia="宋体" w:cs="宋体"/>
                <w:b w:val="0"/>
                <w:bCs w:val="0"/>
                <w:color w:val="auto"/>
                <w:kern w:val="0"/>
                <w:sz w:val="22"/>
                <w:szCs w:val="22"/>
                <w:highlight w:val="none"/>
                <w:lang w:eastAsia="zh-CN"/>
              </w:rPr>
              <w:t>、</w:t>
            </w:r>
            <w:r>
              <w:rPr>
                <w:rFonts w:hint="eastAsia" w:ascii="宋体" w:hAnsi="宋体" w:eastAsia="宋体" w:cs="宋体"/>
                <w:b w:val="0"/>
                <w:bCs w:val="0"/>
                <w:color w:val="auto"/>
                <w:kern w:val="0"/>
                <w:sz w:val="22"/>
                <w:szCs w:val="22"/>
                <w:highlight w:val="none"/>
                <w:lang w:eastAsia="zh-CN"/>
              </w:rPr>
              <w:t>详细的得</w:t>
            </w:r>
            <w:r>
              <w:rPr>
                <w:rFonts w:hint="eastAsia" w:ascii="宋体" w:eastAsia="宋体" w:cs="宋体"/>
                <w:b w:val="0"/>
                <w:bCs w:val="0"/>
                <w:color w:val="auto"/>
                <w:kern w:val="0"/>
                <w:sz w:val="22"/>
                <w:szCs w:val="22"/>
                <w:highlight w:val="none"/>
                <w:lang w:val="en-US" w:eastAsia="zh-CN"/>
              </w:rPr>
              <w:t>6</w:t>
            </w:r>
            <w:r>
              <w:rPr>
                <w:rFonts w:hint="eastAsia" w:ascii="宋体" w:hAnsi="宋体" w:eastAsia="宋体" w:cs="宋体"/>
                <w:b w:val="0"/>
                <w:bCs w:val="0"/>
                <w:color w:val="auto"/>
                <w:kern w:val="0"/>
                <w:sz w:val="22"/>
                <w:szCs w:val="22"/>
                <w:highlight w:val="none"/>
                <w:lang w:eastAsia="zh-CN"/>
              </w:rPr>
              <w:t>分；</w:t>
            </w:r>
            <w:r>
              <w:rPr>
                <w:rFonts w:hint="eastAsia" w:ascii="宋体" w:hAnsi="宋体" w:eastAsia="宋体" w:cs="宋体"/>
                <w:b w:val="0"/>
                <w:bCs w:val="0"/>
                <w:color w:val="auto"/>
                <w:kern w:val="0"/>
                <w:sz w:val="22"/>
                <w:szCs w:val="22"/>
                <w:highlight w:val="none"/>
                <w:lang w:eastAsia="zh-CN"/>
              </w:rPr>
              <w:br w:type="textWrapping"/>
            </w:r>
            <w:r>
              <w:rPr>
                <w:rFonts w:hint="eastAsia" w:ascii="宋体" w:hAnsi="宋体" w:eastAsia="宋体" w:cs="宋体"/>
                <w:b w:val="0"/>
                <w:bCs w:val="0"/>
                <w:color w:val="auto"/>
                <w:kern w:val="0"/>
                <w:sz w:val="22"/>
                <w:szCs w:val="22"/>
                <w:highlight w:val="none"/>
                <w:lang w:eastAsia="zh-CN"/>
              </w:rPr>
              <w:t>（</w:t>
            </w:r>
            <w:r>
              <w:rPr>
                <w:rFonts w:hint="eastAsia" w:ascii="宋体" w:hAnsi="宋体" w:eastAsia="宋体" w:cs="宋体"/>
                <w:b w:val="0"/>
                <w:bCs w:val="0"/>
                <w:color w:val="auto"/>
                <w:kern w:val="0"/>
                <w:sz w:val="22"/>
                <w:szCs w:val="22"/>
                <w:highlight w:val="none"/>
                <w:lang w:val="en-US" w:eastAsia="zh-CN"/>
              </w:rPr>
              <w:t>2</w:t>
            </w:r>
            <w:r>
              <w:rPr>
                <w:rFonts w:hint="eastAsia" w:ascii="宋体" w:hAnsi="宋体" w:eastAsia="宋体" w:cs="宋体"/>
                <w:b w:val="0"/>
                <w:bCs w:val="0"/>
                <w:color w:val="auto"/>
                <w:kern w:val="0"/>
                <w:sz w:val="22"/>
                <w:szCs w:val="22"/>
                <w:highlight w:val="none"/>
                <w:lang w:eastAsia="zh-CN"/>
              </w:rPr>
              <w:t>）提供实施方案有</w:t>
            </w:r>
            <w:r>
              <w:rPr>
                <w:rFonts w:hint="eastAsia" w:ascii="宋体" w:eastAsia="宋体" w:cs="宋体"/>
                <w:b w:val="0"/>
                <w:bCs w:val="0"/>
                <w:color w:val="auto"/>
                <w:kern w:val="0"/>
                <w:sz w:val="22"/>
                <w:szCs w:val="22"/>
                <w:highlight w:val="none"/>
                <w:lang w:eastAsia="zh-CN"/>
              </w:rPr>
              <w:t>部分</w:t>
            </w:r>
            <w:r>
              <w:rPr>
                <w:rFonts w:hint="eastAsia" w:ascii="宋体" w:hAnsi="宋体" w:eastAsia="宋体" w:cs="宋体"/>
                <w:b w:val="0"/>
                <w:bCs w:val="0"/>
                <w:color w:val="auto"/>
                <w:kern w:val="0"/>
                <w:sz w:val="22"/>
                <w:szCs w:val="22"/>
                <w:highlight w:val="none"/>
                <w:lang w:eastAsia="zh-CN"/>
              </w:rPr>
              <w:t>欠缺的得</w:t>
            </w:r>
            <w:r>
              <w:rPr>
                <w:rFonts w:hint="eastAsia" w:ascii="宋体" w:eastAsia="宋体" w:cs="宋体"/>
                <w:b w:val="0"/>
                <w:bCs w:val="0"/>
                <w:color w:val="auto"/>
                <w:kern w:val="0"/>
                <w:sz w:val="22"/>
                <w:szCs w:val="22"/>
                <w:highlight w:val="none"/>
                <w:lang w:val="en-US" w:eastAsia="zh-CN"/>
              </w:rPr>
              <w:t>4</w:t>
            </w:r>
            <w:r>
              <w:rPr>
                <w:rFonts w:hint="eastAsia" w:ascii="宋体" w:hAnsi="宋体" w:eastAsia="宋体" w:cs="宋体"/>
                <w:b w:val="0"/>
                <w:bCs w:val="0"/>
                <w:color w:val="auto"/>
                <w:kern w:val="0"/>
                <w:sz w:val="22"/>
                <w:szCs w:val="22"/>
                <w:highlight w:val="none"/>
                <w:lang w:eastAsia="zh-CN"/>
              </w:rPr>
              <w:t>分；</w:t>
            </w:r>
            <w:r>
              <w:rPr>
                <w:rFonts w:hint="eastAsia" w:ascii="宋体" w:hAnsi="宋体" w:eastAsia="宋体" w:cs="宋体"/>
                <w:b w:val="0"/>
                <w:bCs w:val="0"/>
                <w:color w:val="auto"/>
                <w:kern w:val="0"/>
                <w:sz w:val="22"/>
                <w:szCs w:val="22"/>
                <w:highlight w:val="none"/>
                <w:lang w:eastAsia="zh-CN"/>
              </w:rPr>
              <w:br w:type="textWrapping"/>
            </w:r>
            <w:r>
              <w:rPr>
                <w:rFonts w:hint="eastAsia" w:ascii="宋体" w:hAnsi="宋体" w:eastAsia="宋体" w:cs="宋体"/>
                <w:b w:val="0"/>
                <w:bCs w:val="0"/>
                <w:color w:val="auto"/>
                <w:kern w:val="0"/>
                <w:sz w:val="22"/>
                <w:szCs w:val="22"/>
                <w:highlight w:val="none"/>
                <w:lang w:eastAsia="zh-CN"/>
              </w:rPr>
              <w:t>（</w:t>
            </w:r>
            <w:r>
              <w:rPr>
                <w:rFonts w:hint="eastAsia" w:ascii="宋体" w:hAnsi="宋体" w:eastAsia="宋体" w:cs="宋体"/>
                <w:b w:val="0"/>
                <w:bCs w:val="0"/>
                <w:color w:val="auto"/>
                <w:kern w:val="0"/>
                <w:sz w:val="22"/>
                <w:szCs w:val="22"/>
                <w:highlight w:val="none"/>
                <w:lang w:val="en-US" w:eastAsia="zh-CN"/>
              </w:rPr>
              <w:t>3</w:t>
            </w:r>
            <w:r>
              <w:rPr>
                <w:rFonts w:hint="eastAsia" w:ascii="宋体" w:hAnsi="宋体" w:eastAsia="宋体" w:cs="宋体"/>
                <w:b w:val="0"/>
                <w:bCs w:val="0"/>
                <w:color w:val="auto"/>
                <w:kern w:val="0"/>
                <w:sz w:val="22"/>
                <w:szCs w:val="22"/>
                <w:highlight w:val="none"/>
                <w:lang w:eastAsia="zh-CN"/>
              </w:rPr>
              <w:t>）提供实施方案不详尽、不合理</w:t>
            </w:r>
            <w:r>
              <w:rPr>
                <w:rFonts w:hint="eastAsia" w:ascii="宋体" w:eastAsia="宋体" w:cs="宋体"/>
                <w:b w:val="0"/>
                <w:bCs w:val="0"/>
                <w:color w:val="auto"/>
                <w:kern w:val="0"/>
                <w:sz w:val="22"/>
                <w:szCs w:val="22"/>
                <w:highlight w:val="none"/>
                <w:lang w:eastAsia="zh-CN"/>
              </w:rPr>
              <w:t>、有较多欠缺</w:t>
            </w:r>
            <w:r>
              <w:rPr>
                <w:rFonts w:hint="eastAsia" w:ascii="宋体" w:hAnsi="宋体" w:eastAsia="宋体" w:cs="宋体"/>
                <w:b w:val="0"/>
                <w:bCs w:val="0"/>
                <w:color w:val="auto"/>
                <w:kern w:val="0"/>
                <w:sz w:val="22"/>
                <w:szCs w:val="22"/>
                <w:highlight w:val="none"/>
                <w:lang w:eastAsia="zh-CN"/>
              </w:rPr>
              <w:t>的得</w:t>
            </w:r>
            <w:r>
              <w:rPr>
                <w:rFonts w:hint="eastAsia" w:ascii="宋体" w:hAnsi="宋体" w:eastAsia="宋体" w:cs="宋体"/>
                <w:b w:val="0"/>
                <w:bCs w:val="0"/>
                <w:color w:val="auto"/>
                <w:kern w:val="0"/>
                <w:sz w:val="22"/>
                <w:szCs w:val="22"/>
                <w:highlight w:val="none"/>
                <w:lang w:val="en-US" w:eastAsia="zh-CN"/>
              </w:rPr>
              <w:t>2</w:t>
            </w:r>
            <w:r>
              <w:rPr>
                <w:rFonts w:hint="eastAsia" w:ascii="宋体" w:hAnsi="宋体" w:eastAsia="宋体" w:cs="宋体"/>
                <w:b w:val="0"/>
                <w:bCs w:val="0"/>
                <w:color w:val="auto"/>
                <w:kern w:val="0"/>
                <w:sz w:val="22"/>
                <w:szCs w:val="22"/>
                <w:highlight w:val="none"/>
                <w:lang w:eastAsia="zh-CN"/>
              </w:rPr>
              <w:t>分；</w:t>
            </w:r>
            <w:r>
              <w:rPr>
                <w:rFonts w:hint="eastAsia" w:ascii="宋体" w:hAnsi="宋体" w:eastAsia="宋体" w:cs="宋体"/>
                <w:b w:val="0"/>
                <w:bCs w:val="0"/>
                <w:color w:val="auto"/>
                <w:kern w:val="0"/>
                <w:sz w:val="22"/>
                <w:szCs w:val="22"/>
                <w:highlight w:val="none"/>
                <w:lang w:eastAsia="zh-CN"/>
              </w:rPr>
              <w:br w:type="textWrapping"/>
            </w:r>
            <w:r>
              <w:rPr>
                <w:rFonts w:hint="eastAsia" w:ascii="宋体" w:hAnsi="宋体" w:eastAsia="宋体" w:cs="宋体"/>
                <w:b w:val="0"/>
                <w:bCs w:val="0"/>
                <w:color w:val="auto"/>
                <w:kern w:val="0"/>
                <w:sz w:val="22"/>
                <w:szCs w:val="22"/>
                <w:highlight w:val="none"/>
                <w:lang w:eastAsia="zh-CN"/>
              </w:rPr>
              <w:t>（</w:t>
            </w:r>
            <w:r>
              <w:rPr>
                <w:rFonts w:hint="eastAsia" w:ascii="宋体" w:hAnsi="宋体" w:eastAsia="宋体" w:cs="宋体"/>
                <w:b w:val="0"/>
                <w:bCs w:val="0"/>
                <w:color w:val="auto"/>
                <w:kern w:val="0"/>
                <w:sz w:val="22"/>
                <w:szCs w:val="22"/>
                <w:highlight w:val="none"/>
                <w:lang w:val="en-US" w:eastAsia="zh-CN"/>
              </w:rPr>
              <w:t>4</w:t>
            </w:r>
            <w:r>
              <w:rPr>
                <w:rFonts w:hint="eastAsia" w:ascii="宋体" w:hAnsi="宋体" w:eastAsia="宋体" w:cs="宋体"/>
                <w:b w:val="0"/>
                <w:bCs w:val="0"/>
                <w:color w:val="auto"/>
                <w:kern w:val="0"/>
                <w:sz w:val="22"/>
                <w:szCs w:val="22"/>
                <w:highlight w:val="none"/>
                <w:lang w:eastAsia="zh-CN"/>
              </w:rPr>
              <w:t>）内容完全不符合或</w:t>
            </w:r>
            <w:r>
              <w:rPr>
                <w:rFonts w:hint="eastAsia" w:ascii="宋体" w:hAnsi="宋体" w:eastAsia="宋体" w:cs="宋体"/>
                <w:b w:val="0"/>
                <w:bCs w:val="0"/>
                <w:color w:val="auto"/>
                <w:kern w:val="0"/>
                <w:sz w:val="22"/>
                <w:szCs w:val="22"/>
                <w:highlight w:val="none"/>
              </w:rPr>
              <w:t>未提供</w:t>
            </w:r>
            <w:r>
              <w:rPr>
                <w:rFonts w:hint="eastAsia" w:ascii="宋体" w:eastAsia="宋体" w:cs="宋体"/>
                <w:b w:val="0"/>
                <w:bCs w:val="0"/>
                <w:color w:val="auto"/>
                <w:kern w:val="0"/>
                <w:sz w:val="22"/>
                <w:szCs w:val="22"/>
                <w:highlight w:val="none"/>
                <w:lang w:eastAsia="zh-CN"/>
              </w:rPr>
              <w:t>实施</w:t>
            </w:r>
            <w:r>
              <w:rPr>
                <w:rFonts w:hint="eastAsia" w:ascii="宋体" w:hAnsi="宋体" w:eastAsia="宋体" w:cs="宋体"/>
                <w:b w:val="0"/>
                <w:bCs w:val="0"/>
                <w:color w:val="auto"/>
                <w:kern w:val="0"/>
                <w:sz w:val="22"/>
                <w:szCs w:val="22"/>
                <w:highlight w:val="none"/>
              </w:rPr>
              <w:t>方案</w:t>
            </w:r>
            <w:r>
              <w:rPr>
                <w:rFonts w:hint="eastAsia" w:ascii="宋体" w:hAnsi="宋体" w:eastAsia="宋体" w:cs="宋体"/>
                <w:b w:val="0"/>
                <w:bCs w:val="0"/>
                <w:color w:val="auto"/>
                <w:kern w:val="0"/>
                <w:sz w:val="22"/>
                <w:szCs w:val="22"/>
                <w:highlight w:val="none"/>
                <w:lang w:val="en-US" w:eastAsia="zh-CN"/>
              </w:rPr>
              <w:t>的，得0分</w:t>
            </w:r>
            <w:r>
              <w:rPr>
                <w:rFonts w:hint="eastAsia" w:ascii="宋体" w:hAnsi="宋体" w:eastAsia="宋体" w:cs="宋体"/>
                <w:b w:val="0"/>
                <w:bCs w:val="0"/>
                <w:color w:val="auto"/>
                <w:kern w:val="0"/>
                <w:sz w:val="22"/>
                <w:szCs w:val="22"/>
                <w:highlight w:val="none"/>
              </w:rPr>
              <w:t>。</w:t>
            </w:r>
          </w:p>
        </w:tc>
        <w:tc>
          <w:tcPr>
            <w:tcW w:w="744" w:type="dxa"/>
            <w:noWrap/>
            <w:vAlign w:val="center"/>
          </w:tcPr>
          <w:p w14:paraId="4C2223A7">
            <w:pPr>
              <w:widowControl/>
              <w:spacing w:line="360" w:lineRule="auto"/>
              <w:jc w:val="center"/>
              <w:rPr>
                <w:rFonts w:hint="default" w:ascii="宋体" w:eastAsia="宋体" w:cs="宋体"/>
                <w:b w:val="0"/>
                <w:bCs w:val="0"/>
                <w:color w:val="auto"/>
                <w:kern w:val="0"/>
                <w:sz w:val="22"/>
                <w:szCs w:val="22"/>
                <w:highlight w:val="none"/>
                <w:lang w:val="en-US" w:eastAsia="zh-CN"/>
              </w:rPr>
            </w:pPr>
            <w:r>
              <w:rPr>
                <w:rFonts w:hint="eastAsia" w:ascii="宋体" w:eastAsia="宋体" w:cs="宋体"/>
                <w:b w:val="0"/>
                <w:bCs w:val="0"/>
                <w:color w:val="auto"/>
                <w:kern w:val="0"/>
                <w:sz w:val="22"/>
                <w:szCs w:val="22"/>
                <w:highlight w:val="none"/>
                <w:lang w:val="en-US" w:eastAsia="zh-CN"/>
              </w:rPr>
              <w:t>6</w:t>
            </w:r>
          </w:p>
        </w:tc>
        <w:tc>
          <w:tcPr>
            <w:tcW w:w="929" w:type="dxa"/>
            <w:noWrap/>
            <w:vAlign w:val="center"/>
          </w:tcPr>
          <w:p w14:paraId="6FE8FA35">
            <w:pPr>
              <w:widowControl/>
              <w:spacing w:line="360" w:lineRule="auto"/>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主观分</w:t>
            </w:r>
          </w:p>
        </w:tc>
      </w:tr>
      <w:tr w14:paraId="16BB4E9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44" w:type="dxa"/>
            <w:vMerge w:val="restart"/>
            <w:vAlign w:val="center"/>
          </w:tcPr>
          <w:p w14:paraId="2DC33369">
            <w:pPr>
              <w:widowControl/>
              <w:spacing w:line="360" w:lineRule="auto"/>
              <w:jc w:val="center"/>
              <w:rPr>
                <w:rFonts w:hint="default" w:ascii="宋体" w:hAnsi="宋体" w:eastAsia="宋体" w:cs="宋体"/>
                <w:b w:val="0"/>
                <w:bCs w:val="0"/>
                <w:color w:val="auto"/>
                <w:kern w:val="0"/>
                <w:sz w:val="22"/>
                <w:szCs w:val="22"/>
                <w:highlight w:val="none"/>
                <w:lang w:val="en-US" w:eastAsia="zh-CN"/>
              </w:rPr>
            </w:pPr>
            <w:r>
              <w:rPr>
                <w:rFonts w:hint="eastAsia" w:ascii="宋体" w:eastAsia="宋体" w:cs="宋体"/>
                <w:b w:val="0"/>
                <w:bCs w:val="0"/>
                <w:color w:val="auto"/>
                <w:kern w:val="0"/>
                <w:sz w:val="22"/>
                <w:szCs w:val="22"/>
                <w:highlight w:val="none"/>
                <w:lang w:val="en-US" w:eastAsia="zh-CN"/>
              </w:rPr>
              <w:t>8</w:t>
            </w:r>
          </w:p>
        </w:tc>
        <w:tc>
          <w:tcPr>
            <w:tcW w:w="1102" w:type="dxa"/>
            <w:vMerge w:val="restart"/>
            <w:vAlign w:val="center"/>
          </w:tcPr>
          <w:p w14:paraId="702D1EB2">
            <w:pPr>
              <w:widowControl/>
              <w:spacing w:line="360" w:lineRule="auto"/>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项目团队能力</w:t>
            </w:r>
          </w:p>
        </w:tc>
        <w:tc>
          <w:tcPr>
            <w:tcW w:w="5838" w:type="dxa"/>
            <w:vAlign w:val="center"/>
          </w:tcPr>
          <w:p w14:paraId="41A5B735">
            <w:pPr>
              <w:widowControl/>
              <w:spacing w:line="360" w:lineRule="auto"/>
              <w:jc w:val="left"/>
              <w:rPr>
                <w:rFonts w:hint="default" w:ascii="宋体" w:hAnsi="宋体" w:eastAsia="宋体" w:cs="宋体"/>
                <w:b w:val="0"/>
                <w:bCs w:val="0"/>
                <w:color w:val="auto"/>
                <w:kern w:val="0"/>
                <w:sz w:val="22"/>
                <w:szCs w:val="22"/>
                <w:highlight w:val="none"/>
                <w:lang w:val="en-US" w:eastAsia="zh-CN"/>
              </w:rPr>
            </w:pPr>
            <w:r>
              <w:rPr>
                <w:rFonts w:hint="eastAsia" w:ascii="宋体" w:eastAsia="宋体" w:cs="宋体"/>
                <w:b w:val="0"/>
                <w:bCs w:val="0"/>
                <w:color w:val="auto"/>
                <w:kern w:val="0"/>
                <w:sz w:val="22"/>
                <w:szCs w:val="22"/>
                <w:highlight w:val="none"/>
                <w:lang w:val="en-US" w:eastAsia="zh-CN"/>
              </w:rPr>
              <w:t>8</w:t>
            </w:r>
            <w:r>
              <w:rPr>
                <w:rFonts w:hint="eastAsia" w:ascii="宋体" w:hAnsi="宋体" w:eastAsia="宋体" w:cs="宋体"/>
                <w:b w:val="0"/>
                <w:bCs w:val="0"/>
                <w:color w:val="auto"/>
                <w:kern w:val="0"/>
                <w:sz w:val="22"/>
                <w:szCs w:val="22"/>
                <w:highlight w:val="none"/>
                <w:lang w:val="en-US" w:eastAsia="zh-CN"/>
              </w:rPr>
              <w:t>.1项目负责人</w:t>
            </w:r>
            <w:r>
              <w:rPr>
                <w:rFonts w:hint="eastAsia" w:ascii="宋体" w:eastAsia="宋体" w:cs="宋体"/>
                <w:b w:val="0"/>
                <w:bCs w:val="0"/>
                <w:color w:val="auto"/>
                <w:kern w:val="0"/>
                <w:sz w:val="22"/>
                <w:szCs w:val="22"/>
                <w:highlight w:val="none"/>
                <w:lang w:val="en-US" w:eastAsia="zh-CN"/>
              </w:rPr>
              <w:t>具有信息系统项目管理师（高级）证书的得4分。</w:t>
            </w:r>
          </w:p>
          <w:p w14:paraId="510F7483">
            <w:pPr>
              <w:widowControl/>
              <w:spacing w:line="360" w:lineRule="auto"/>
              <w:jc w:val="left"/>
              <w:rPr>
                <w:rFonts w:hint="eastAsia" w:ascii="宋体" w:hAnsi="宋体" w:eastAsia="宋体" w:cs="宋体"/>
                <w:b w:val="0"/>
                <w:bCs w:val="0"/>
                <w:color w:val="auto"/>
                <w:kern w:val="0"/>
                <w:sz w:val="22"/>
                <w:szCs w:val="22"/>
                <w:highlight w:val="none"/>
                <w:lang w:eastAsia="zh-CN"/>
              </w:rPr>
            </w:pPr>
            <w:r>
              <w:rPr>
                <w:rFonts w:hint="eastAsia" w:ascii="宋体" w:hAnsi="宋体" w:eastAsia="宋体" w:cs="宋体"/>
                <w:b w:val="0"/>
                <w:bCs w:val="0"/>
                <w:color w:val="auto"/>
                <w:kern w:val="0"/>
                <w:sz w:val="22"/>
                <w:szCs w:val="22"/>
                <w:highlight w:val="none"/>
                <w:lang w:val="en-US" w:eastAsia="zh-CN"/>
              </w:rPr>
              <w:t>注：</w:t>
            </w:r>
            <w:r>
              <w:rPr>
                <w:rFonts w:hint="eastAsia" w:ascii="宋体" w:hAnsi="宋体" w:eastAsia="宋体" w:cs="宋体"/>
                <w:b w:val="0"/>
                <w:bCs w:val="0"/>
                <w:color w:val="auto"/>
                <w:kern w:val="0"/>
                <w:sz w:val="22"/>
                <w:szCs w:val="22"/>
                <w:highlight w:val="none"/>
                <w:lang w:eastAsia="zh-CN"/>
              </w:rPr>
              <w:t>需提供</w:t>
            </w:r>
            <w:r>
              <w:rPr>
                <w:rFonts w:hint="eastAsia" w:ascii="宋体" w:hAnsi="宋体" w:eastAsia="宋体" w:cs="宋体"/>
                <w:b w:val="0"/>
                <w:bCs w:val="0"/>
                <w:color w:val="auto"/>
                <w:kern w:val="0"/>
                <w:sz w:val="22"/>
                <w:szCs w:val="22"/>
                <w:highlight w:val="none"/>
                <w:lang w:val="en-US" w:eastAsia="zh-CN"/>
              </w:rPr>
              <w:t>项目负责人</w:t>
            </w:r>
            <w:r>
              <w:rPr>
                <w:rFonts w:hint="eastAsia" w:ascii="宋体" w:hAnsi="宋体" w:eastAsia="宋体" w:cs="宋体"/>
                <w:b w:val="0"/>
                <w:bCs w:val="0"/>
                <w:color w:val="auto"/>
                <w:kern w:val="0"/>
                <w:sz w:val="22"/>
                <w:szCs w:val="22"/>
                <w:highlight w:val="none"/>
                <w:lang w:eastAsia="zh-CN"/>
              </w:rPr>
              <w:t>工作评价表、其他相关证明资料及</w:t>
            </w:r>
            <w:r>
              <w:rPr>
                <w:rFonts w:hint="eastAsia" w:ascii="宋体" w:hAnsi="宋体" w:eastAsia="宋体" w:cs="宋体"/>
                <w:b w:val="0"/>
                <w:bCs w:val="0"/>
                <w:color w:val="auto"/>
                <w:kern w:val="0"/>
                <w:sz w:val="22"/>
                <w:szCs w:val="22"/>
                <w:highlight w:val="none"/>
                <w:lang w:val="en-US" w:eastAsia="zh-CN"/>
              </w:rPr>
              <w:t>在本单位2024年10月01日至响应文件递交截止时间为止任意一月的社保缴纳情况证明（个人参保证明以到账为准、单位参保证明以养老保险参保为准）</w:t>
            </w:r>
            <w:r>
              <w:rPr>
                <w:rFonts w:hint="eastAsia" w:ascii="宋体" w:hAnsi="宋体" w:eastAsia="宋体" w:cs="宋体"/>
                <w:b w:val="0"/>
                <w:bCs w:val="0"/>
                <w:color w:val="auto"/>
                <w:kern w:val="0"/>
                <w:sz w:val="22"/>
                <w:szCs w:val="22"/>
                <w:highlight w:val="none"/>
                <w:lang w:eastAsia="zh-CN"/>
              </w:rPr>
              <w:t>扫描件加盖供应商公章。若公司成立不满</w:t>
            </w:r>
            <w:r>
              <w:rPr>
                <w:rFonts w:hint="eastAsia" w:ascii="宋体" w:hAnsi="宋体" w:eastAsia="宋体" w:cs="宋体"/>
                <w:b w:val="0"/>
                <w:bCs w:val="0"/>
                <w:color w:val="auto"/>
                <w:kern w:val="0"/>
                <w:sz w:val="22"/>
                <w:szCs w:val="22"/>
                <w:highlight w:val="none"/>
                <w:lang w:val="en-US" w:eastAsia="zh-CN"/>
              </w:rPr>
              <w:t>三</w:t>
            </w:r>
            <w:r>
              <w:rPr>
                <w:rFonts w:hint="eastAsia" w:ascii="宋体" w:hAnsi="宋体" w:eastAsia="宋体" w:cs="宋体"/>
                <w:b w:val="0"/>
                <w:bCs w:val="0"/>
                <w:color w:val="auto"/>
                <w:kern w:val="0"/>
                <w:sz w:val="22"/>
                <w:szCs w:val="22"/>
                <w:highlight w:val="none"/>
                <w:lang w:eastAsia="zh-CN"/>
              </w:rPr>
              <w:t>个月的，则提供</w:t>
            </w:r>
            <w:r>
              <w:rPr>
                <w:rFonts w:hint="eastAsia" w:ascii="宋体" w:hAnsi="宋体" w:eastAsia="宋体" w:cs="宋体"/>
                <w:b w:val="0"/>
                <w:bCs w:val="0"/>
                <w:color w:val="auto"/>
                <w:kern w:val="0"/>
                <w:sz w:val="22"/>
                <w:szCs w:val="22"/>
                <w:highlight w:val="none"/>
                <w:lang w:val="en-US" w:eastAsia="zh-CN"/>
              </w:rPr>
              <w:t>相关人员</w:t>
            </w:r>
            <w:r>
              <w:rPr>
                <w:rFonts w:hint="eastAsia" w:ascii="宋体" w:hAnsi="宋体" w:eastAsia="宋体" w:cs="宋体"/>
                <w:b w:val="0"/>
                <w:bCs w:val="0"/>
                <w:color w:val="auto"/>
                <w:kern w:val="0"/>
                <w:sz w:val="22"/>
                <w:szCs w:val="22"/>
                <w:highlight w:val="none"/>
                <w:lang w:eastAsia="zh-CN"/>
              </w:rPr>
              <w:t>公司成立起至今的社保证明材料扫描件。</w:t>
            </w:r>
            <w:r>
              <w:rPr>
                <w:rFonts w:hint="eastAsia" w:ascii="宋体" w:eastAsia="宋体" w:cs="宋体"/>
                <w:b w:val="0"/>
                <w:bCs w:val="0"/>
                <w:color w:val="auto"/>
                <w:kern w:val="0"/>
                <w:sz w:val="22"/>
                <w:szCs w:val="22"/>
                <w:highlight w:val="none"/>
                <w:lang w:eastAsia="zh-CN"/>
              </w:rPr>
              <w:t>否则不得分。</w:t>
            </w:r>
          </w:p>
        </w:tc>
        <w:tc>
          <w:tcPr>
            <w:tcW w:w="744" w:type="dxa"/>
            <w:noWrap/>
            <w:vAlign w:val="center"/>
          </w:tcPr>
          <w:p w14:paraId="58994CDA">
            <w:pPr>
              <w:widowControl/>
              <w:spacing w:line="360" w:lineRule="auto"/>
              <w:jc w:val="center"/>
              <w:rPr>
                <w:rFonts w:hint="eastAsia" w:ascii="宋体" w:hAnsi="宋体" w:eastAsia="宋体" w:cs="宋体"/>
                <w:b w:val="0"/>
                <w:bCs w:val="0"/>
                <w:color w:val="auto"/>
                <w:kern w:val="0"/>
                <w:sz w:val="22"/>
                <w:szCs w:val="22"/>
                <w:highlight w:val="none"/>
                <w:lang w:eastAsia="zh-CN"/>
              </w:rPr>
            </w:pPr>
            <w:r>
              <w:rPr>
                <w:rFonts w:hint="eastAsia" w:ascii="宋体" w:eastAsia="宋体" w:cs="宋体"/>
                <w:b w:val="0"/>
                <w:bCs w:val="0"/>
                <w:color w:val="auto"/>
                <w:kern w:val="0"/>
                <w:sz w:val="22"/>
                <w:szCs w:val="22"/>
                <w:highlight w:val="none"/>
                <w:lang w:val="en-US" w:eastAsia="zh-CN"/>
              </w:rPr>
              <w:t>4</w:t>
            </w:r>
          </w:p>
        </w:tc>
        <w:tc>
          <w:tcPr>
            <w:tcW w:w="929" w:type="dxa"/>
            <w:noWrap/>
            <w:vAlign w:val="center"/>
          </w:tcPr>
          <w:p w14:paraId="4E5BEFBE">
            <w:pPr>
              <w:widowControl/>
              <w:spacing w:line="360" w:lineRule="auto"/>
              <w:jc w:val="center"/>
              <w:rPr>
                <w:rFonts w:hint="eastAsia" w:ascii="宋体" w:hAnsi="宋体" w:eastAsia="宋体" w:cs="宋体"/>
                <w:b w:val="0"/>
                <w:bCs w:val="0"/>
                <w:color w:val="auto"/>
                <w:kern w:val="0"/>
                <w:sz w:val="22"/>
                <w:szCs w:val="22"/>
                <w:highlight w:val="none"/>
              </w:rPr>
            </w:pPr>
            <w:r>
              <w:rPr>
                <w:rFonts w:hint="eastAsia" w:ascii="宋体" w:eastAsia="宋体" w:cs="宋体"/>
                <w:b w:val="0"/>
                <w:bCs w:val="0"/>
                <w:color w:val="auto"/>
                <w:kern w:val="0"/>
                <w:sz w:val="22"/>
                <w:szCs w:val="22"/>
                <w:highlight w:val="none"/>
                <w:lang w:val="en-US" w:eastAsia="zh-CN"/>
              </w:rPr>
              <w:t>客</w:t>
            </w:r>
            <w:r>
              <w:rPr>
                <w:rFonts w:hint="eastAsia" w:ascii="宋体" w:hAnsi="宋体" w:eastAsia="宋体" w:cs="宋体"/>
                <w:b w:val="0"/>
                <w:bCs w:val="0"/>
                <w:color w:val="auto"/>
                <w:kern w:val="0"/>
                <w:sz w:val="22"/>
                <w:szCs w:val="22"/>
                <w:highlight w:val="none"/>
              </w:rPr>
              <w:t>观分</w:t>
            </w:r>
          </w:p>
        </w:tc>
      </w:tr>
      <w:tr w14:paraId="45939B5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44" w:type="dxa"/>
            <w:vMerge w:val="continue"/>
            <w:vAlign w:val="center"/>
          </w:tcPr>
          <w:p w14:paraId="41186132">
            <w:pPr>
              <w:widowControl/>
              <w:spacing w:line="360" w:lineRule="auto"/>
              <w:jc w:val="center"/>
              <w:rPr>
                <w:rFonts w:hint="eastAsia" w:ascii="宋体" w:hAnsi="宋体" w:eastAsia="宋体" w:cs="宋体"/>
                <w:b w:val="0"/>
                <w:bCs w:val="0"/>
                <w:color w:val="auto"/>
                <w:kern w:val="0"/>
                <w:sz w:val="22"/>
                <w:szCs w:val="22"/>
                <w:highlight w:val="none"/>
                <w:lang w:val="en-US" w:eastAsia="zh-CN"/>
              </w:rPr>
            </w:pPr>
          </w:p>
        </w:tc>
        <w:tc>
          <w:tcPr>
            <w:tcW w:w="1102" w:type="dxa"/>
            <w:vMerge w:val="continue"/>
            <w:vAlign w:val="center"/>
          </w:tcPr>
          <w:p w14:paraId="2AE244C6">
            <w:pPr>
              <w:widowControl/>
              <w:spacing w:line="360" w:lineRule="auto"/>
              <w:jc w:val="center"/>
              <w:rPr>
                <w:rFonts w:hint="eastAsia" w:ascii="宋体" w:hAnsi="宋体" w:eastAsia="宋体" w:cs="宋体"/>
                <w:b w:val="0"/>
                <w:bCs w:val="0"/>
                <w:color w:val="auto"/>
                <w:kern w:val="0"/>
                <w:sz w:val="22"/>
                <w:szCs w:val="22"/>
                <w:highlight w:val="none"/>
              </w:rPr>
            </w:pPr>
          </w:p>
        </w:tc>
        <w:tc>
          <w:tcPr>
            <w:tcW w:w="5838" w:type="dxa"/>
            <w:vAlign w:val="center"/>
          </w:tcPr>
          <w:p w14:paraId="011A4250">
            <w:pPr>
              <w:widowControl/>
              <w:spacing w:line="360" w:lineRule="auto"/>
              <w:jc w:val="left"/>
              <w:rPr>
                <w:rFonts w:hint="default" w:ascii="宋体" w:hAnsi="宋体" w:eastAsia="仿宋_GB2312" w:cs="宋体"/>
                <w:b w:val="0"/>
                <w:bCs w:val="0"/>
                <w:color w:val="auto"/>
                <w:kern w:val="0"/>
                <w:sz w:val="22"/>
                <w:szCs w:val="22"/>
                <w:highlight w:val="none"/>
                <w:lang w:val="en-US" w:eastAsia="zh-CN"/>
              </w:rPr>
            </w:pPr>
            <w:r>
              <w:rPr>
                <w:rFonts w:hint="eastAsia" w:ascii="宋体" w:eastAsia="宋体" w:cs="宋体"/>
                <w:b w:val="0"/>
                <w:bCs w:val="0"/>
                <w:color w:val="auto"/>
                <w:kern w:val="0"/>
                <w:sz w:val="22"/>
                <w:szCs w:val="22"/>
                <w:highlight w:val="none"/>
                <w:lang w:val="en-US" w:eastAsia="zh-CN"/>
              </w:rPr>
              <w:t>8</w:t>
            </w:r>
            <w:r>
              <w:rPr>
                <w:rFonts w:hint="eastAsia" w:ascii="宋体" w:hAnsi="宋体" w:eastAsia="宋体" w:cs="宋体"/>
                <w:b w:val="0"/>
                <w:bCs w:val="0"/>
                <w:color w:val="auto"/>
                <w:kern w:val="0"/>
                <w:sz w:val="22"/>
                <w:szCs w:val="22"/>
                <w:highlight w:val="none"/>
                <w:lang w:val="en-US" w:eastAsia="zh-CN"/>
              </w:rPr>
              <w:t>.2</w:t>
            </w:r>
            <w:r>
              <w:rPr>
                <w:rFonts w:hint="eastAsia" w:ascii="宋体" w:eastAsia="宋体" w:cs="宋体"/>
                <w:b w:val="0"/>
                <w:bCs w:val="0"/>
                <w:color w:val="auto"/>
                <w:kern w:val="0"/>
                <w:sz w:val="22"/>
                <w:szCs w:val="22"/>
                <w:highlight w:val="none"/>
                <w:lang w:val="en-US" w:eastAsia="zh-CN"/>
              </w:rPr>
              <w:t>拟投入项目团队成员（除项目负责人以外）中具有信息系统项目管理师、高级工程师、软件设计师、IT服务项目经理证书的，每提供1个证书得2分，最高得8分。</w:t>
            </w:r>
          </w:p>
          <w:p w14:paraId="055BF2BD">
            <w:pPr>
              <w:widowControl/>
              <w:spacing w:line="360" w:lineRule="auto"/>
              <w:jc w:val="left"/>
              <w:rPr>
                <w:rFonts w:hint="default" w:ascii="宋体" w:hAnsi="宋体" w:eastAsia="宋体" w:cs="宋体"/>
                <w:b w:val="0"/>
                <w:bCs w:val="0"/>
                <w:color w:val="auto"/>
                <w:kern w:val="0"/>
                <w:sz w:val="22"/>
                <w:szCs w:val="22"/>
                <w:highlight w:val="none"/>
                <w:lang w:val="en-US" w:eastAsia="zh-CN"/>
              </w:rPr>
            </w:pPr>
            <w:r>
              <w:rPr>
                <w:rFonts w:hint="eastAsia" w:ascii="宋体" w:hAnsi="宋体" w:eastAsia="宋体" w:cs="宋体"/>
                <w:b w:val="0"/>
                <w:bCs w:val="0"/>
                <w:color w:val="auto"/>
                <w:kern w:val="0"/>
                <w:sz w:val="22"/>
                <w:szCs w:val="22"/>
                <w:highlight w:val="none"/>
                <w:lang w:val="en-US" w:eastAsia="zh-CN"/>
              </w:rPr>
              <w:t>注：</w:t>
            </w:r>
            <w:r>
              <w:rPr>
                <w:rFonts w:hint="eastAsia" w:ascii="宋体" w:hAnsi="宋体" w:eastAsia="宋体" w:cs="宋体"/>
                <w:b w:val="0"/>
                <w:bCs w:val="0"/>
                <w:color w:val="auto"/>
                <w:kern w:val="0"/>
                <w:sz w:val="22"/>
                <w:szCs w:val="22"/>
                <w:highlight w:val="none"/>
                <w:lang w:eastAsia="zh-CN"/>
              </w:rPr>
              <w:t>需提供</w:t>
            </w:r>
            <w:r>
              <w:rPr>
                <w:rFonts w:hint="eastAsia" w:ascii="宋体" w:hAnsi="宋体" w:eastAsia="宋体" w:cs="宋体"/>
                <w:b w:val="0"/>
                <w:bCs w:val="0"/>
                <w:color w:val="auto"/>
                <w:kern w:val="0"/>
                <w:sz w:val="22"/>
                <w:szCs w:val="22"/>
                <w:highlight w:val="none"/>
                <w:lang w:val="en-US" w:eastAsia="zh-CN"/>
              </w:rPr>
              <w:t>项目团队成员</w:t>
            </w:r>
            <w:r>
              <w:rPr>
                <w:rFonts w:hint="eastAsia" w:ascii="宋体" w:hAnsi="宋体" w:eastAsia="宋体" w:cs="宋体"/>
                <w:b w:val="0"/>
                <w:bCs w:val="0"/>
                <w:color w:val="auto"/>
                <w:kern w:val="0"/>
                <w:sz w:val="22"/>
                <w:szCs w:val="22"/>
                <w:highlight w:val="none"/>
                <w:lang w:eastAsia="zh-CN"/>
              </w:rPr>
              <w:t>工作评价表、其他相关证明资料及</w:t>
            </w:r>
            <w:r>
              <w:rPr>
                <w:rFonts w:hint="eastAsia" w:ascii="宋体" w:hAnsi="宋体" w:eastAsia="宋体" w:cs="宋体"/>
                <w:b w:val="0"/>
                <w:bCs w:val="0"/>
                <w:color w:val="auto"/>
                <w:kern w:val="0"/>
                <w:sz w:val="22"/>
                <w:szCs w:val="22"/>
                <w:highlight w:val="none"/>
                <w:lang w:val="en-US" w:eastAsia="zh-CN"/>
              </w:rPr>
              <w:t>在本单位2024年10月01日至响应文件递交截止时间为止任意一月的社保缴纳情况证明（个人参保证明以到账为准、单位参保证明以养老保险参保为准）</w:t>
            </w:r>
            <w:r>
              <w:rPr>
                <w:rFonts w:hint="eastAsia" w:ascii="宋体" w:hAnsi="宋体" w:eastAsia="宋体" w:cs="宋体"/>
                <w:b w:val="0"/>
                <w:bCs w:val="0"/>
                <w:color w:val="auto"/>
                <w:kern w:val="0"/>
                <w:sz w:val="22"/>
                <w:szCs w:val="22"/>
                <w:highlight w:val="none"/>
                <w:lang w:eastAsia="zh-CN"/>
              </w:rPr>
              <w:t>扫描件加盖供应商公章。若公司成立不满</w:t>
            </w:r>
            <w:r>
              <w:rPr>
                <w:rFonts w:hint="eastAsia" w:ascii="宋体" w:hAnsi="宋体" w:eastAsia="宋体" w:cs="宋体"/>
                <w:b w:val="0"/>
                <w:bCs w:val="0"/>
                <w:color w:val="auto"/>
                <w:kern w:val="0"/>
                <w:sz w:val="22"/>
                <w:szCs w:val="22"/>
                <w:highlight w:val="none"/>
                <w:lang w:val="en-US" w:eastAsia="zh-CN"/>
              </w:rPr>
              <w:t>三</w:t>
            </w:r>
            <w:r>
              <w:rPr>
                <w:rFonts w:hint="eastAsia" w:ascii="宋体" w:hAnsi="宋体" w:eastAsia="宋体" w:cs="宋体"/>
                <w:b w:val="0"/>
                <w:bCs w:val="0"/>
                <w:color w:val="auto"/>
                <w:kern w:val="0"/>
                <w:sz w:val="22"/>
                <w:szCs w:val="22"/>
                <w:highlight w:val="none"/>
                <w:lang w:eastAsia="zh-CN"/>
              </w:rPr>
              <w:t>个月的，则提供</w:t>
            </w:r>
            <w:r>
              <w:rPr>
                <w:rFonts w:hint="eastAsia" w:ascii="宋体" w:hAnsi="宋体" w:eastAsia="宋体" w:cs="宋体"/>
                <w:b w:val="0"/>
                <w:bCs w:val="0"/>
                <w:color w:val="auto"/>
                <w:kern w:val="0"/>
                <w:sz w:val="22"/>
                <w:szCs w:val="22"/>
                <w:highlight w:val="none"/>
                <w:lang w:val="en-US" w:eastAsia="zh-CN"/>
              </w:rPr>
              <w:t>相关人员</w:t>
            </w:r>
            <w:r>
              <w:rPr>
                <w:rFonts w:hint="eastAsia" w:ascii="宋体" w:hAnsi="宋体" w:eastAsia="宋体" w:cs="宋体"/>
                <w:b w:val="0"/>
                <w:bCs w:val="0"/>
                <w:color w:val="auto"/>
                <w:kern w:val="0"/>
                <w:sz w:val="22"/>
                <w:szCs w:val="22"/>
                <w:highlight w:val="none"/>
                <w:lang w:eastAsia="zh-CN"/>
              </w:rPr>
              <w:t>公司成立起至今的社保证明材料扫描件。</w:t>
            </w:r>
            <w:r>
              <w:rPr>
                <w:rFonts w:hint="eastAsia" w:ascii="宋体" w:eastAsia="宋体" w:cs="宋体"/>
                <w:b w:val="0"/>
                <w:bCs w:val="0"/>
                <w:color w:val="auto"/>
                <w:kern w:val="0"/>
                <w:sz w:val="22"/>
                <w:szCs w:val="22"/>
                <w:highlight w:val="none"/>
                <w:lang w:eastAsia="zh-CN"/>
              </w:rPr>
              <w:t>否则不得分。</w:t>
            </w:r>
          </w:p>
        </w:tc>
        <w:tc>
          <w:tcPr>
            <w:tcW w:w="744" w:type="dxa"/>
            <w:noWrap/>
            <w:vAlign w:val="center"/>
          </w:tcPr>
          <w:p w14:paraId="15F7981C">
            <w:pPr>
              <w:widowControl/>
              <w:spacing w:line="360" w:lineRule="auto"/>
              <w:jc w:val="center"/>
              <w:rPr>
                <w:rFonts w:hint="eastAsia" w:ascii="宋体" w:hAnsi="宋体" w:eastAsia="宋体" w:cs="宋体"/>
                <w:b w:val="0"/>
                <w:bCs w:val="0"/>
                <w:color w:val="auto"/>
                <w:kern w:val="0"/>
                <w:sz w:val="22"/>
                <w:szCs w:val="22"/>
                <w:highlight w:val="none"/>
                <w:lang w:val="en-US" w:eastAsia="zh-CN"/>
              </w:rPr>
            </w:pPr>
            <w:r>
              <w:rPr>
                <w:rFonts w:hint="eastAsia" w:ascii="宋体" w:eastAsia="宋体" w:cs="宋体"/>
                <w:b w:val="0"/>
                <w:bCs w:val="0"/>
                <w:color w:val="auto"/>
                <w:kern w:val="0"/>
                <w:sz w:val="22"/>
                <w:szCs w:val="22"/>
                <w:highlight w:val="none"/>
                <w:lang w:val="en-US" w:eastAsia="zh-CN"/>
              </w:rPr>
              <w:t>8</w:t>
            </w:r>
          </w:p>
        </w:tc>
        <w:tc>
          <w:tcPr>
            <w:tcW w:w="929" w:type="dxa"/>
            <w:noWrap/>
            <w:vAlign w:val="center"/>
          </w:tcPr>
          <w:p w14:paraId="27DABD44">
            <w:pPr>
              <w:widowControl/>
              <w:spacing w:line="360" w:lineRule="auto"/>
              <w:jc w:val="center"/>
              <w:rPr>
                <w:rFonts w:hint="eastAsia" w:ascii="宋体" w:hAnsi="宋体" w:eastAsia="宋体" w:cs="宋体"/>
                <w:b w:val="0"/>
                <w:bCs w:val="0"/>
                <w:color w:val="auto"/>
                <w:kern w:val="0"/>
                <w:sz w:val="22"/>
                <w:szCs w:val="22"/>
                <w:highlight w:val="none"/>
              </w:rPr>
            </w:pPr>
            <w:r>
              <w:rPr>
                <w:rFonts w:hint="eastAsia" w:ascii="宋体" w:eastAsia="宋体" w:cs="宋体"/>
                <w:b w:val="0"/>
                <w:bCs w:val="0"/>
                <w:color w:val="auto"/>
                <w:kern w:val="0"/>
                <w:sz w:val="22"/>
                <w:szCs w:val="22"/>
                <w:highlight w:val="none"/>
                <w:lang w:val="en-US" w:eastAsia="zh-CN"/>
              </w:rPr>
              <w:t>客</w:t>
            </w:r>
            <w:r>
              <w:rPr>
                <w:rFonts w:hint="eastAsia" w:ascii="宋体" w:hAnsi="宋体" w:eastAsia="宋体" w:cs="宋体"/>
                <w:b w:val="0"/>
                <w:bCs w:val="0"/>
                <w:color w:val="auto"/>
                <w:kern w:val="0"/>
                <w:sz w:val="22"/>
                <w:szCs w:val="22"/>
                <w:highlight w:val="none"/>
              </w:rPr>
              <w:t>观分</w:t>
            </w:r>
          </w:p>
        </w:tc>
      </w:tr>
      <w:tr w14:paraId="10549A3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21" w:hRule="atLeast"/>
        </w:trPr>
        <w:tc>
          <w:tcPr>
            <w:tcW w:w="744" w:type="dxa"/>
            <w:vAlign w:val="center"/>
          </w:tcPr>
          <w:p w14:paraId="37CC1A7C">
            <w:pPr>
              <w:widowControl/>
              <w:spacing w:line="360" w:lineRule="auto"/>
              <w:jc w:val="center"/>
              <w:rPr>
                <w:rFonts w:hint="eastAsia" w:ascii="宋体" w:hAnsi="宋体" w:eastAsia="宋体" w:cs="宋体"/>
                <w:b w:val="0"/>
                <w:bCs w:val="0"/>
                <w:color w:val="auto"/>
                <w:kern w:val="0"/>
                <w:sz w:val="22"/>
                <w:szCs w:val="22"/>
                <w:highlight w:val="none"/>
                <w:lang w:eastAsia="zh-CN"/>
              </w:rPr>
            </w:pPr>
            <w:r>
              <w:rPr>
                <w:rFonts w:hint="eastAsia" w:ascii="宋体" w:eastAsia="宋体" w:cs="宋体"/>
                <w:b w:val="0"/>
                <w:bCs w:val="0"/>
                <w:color w:val="auto"/>
                <w:kern w:val="0"/>
                <w:sz w:val="22"/>
                <w:szCs w:val="22"/>
                <w:highlight w:val="none"/>
                <w:lang w:val="en-US" w:eastAsia="zh-CN"/>
              </w:rPr>
              <w:t>9</w:t>
            </w:r>
          </w:p>
        </w:tc>
        <w:tc>
          <w:tcPr>
            <w:tcW w:w="1102" w:type="dxa"/>
            <w:vAlign w:val="center"/>
          </w:tcPr>
          <w:p w14:paraId="3BBB6FDC">
            <w:pPr>
              <w:widowControl/>
              <w:spacing w:line="360" w:lineRule="auto"/>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系统安全方案</w:t>
            </w:r>
          </w:p>
        </w:tc>
        <w:tc>
          <w:tcPr>
            <w:tcW w:w="5838" w:type="dxa"/>
            <w:vAlign w:val="center"/>
          </w:tcPr>
          <w:p w14:paraId="0D843AB4">
            <w:pPr>
              <w:widowControl/>
              <w:spacing w:line="360" w:lineRule="auto"/>
              <w:jc w:val="left"/>
              <w:rPr>
                <w:rFonts w:hint="eastAsia" w:ascii="宋体" w:hAnsi="宋体" w:eastAsia="宋体" w:cs="宋体"/>
                <w:b w:val="0"/>
                <w:bCs w:val="0"/>
                <w:color w:val="auto"/>
                <w:kern w:val="0"/>
                <w:sz w:val="22"/>
                <w:szCs w:val="22"/>
                <w:highlight w:val="none"/>
              </w:rPr>
            </w:pPr>
            <w:r>
              <w:rPr>
                <w:rFonts w:hint="eastAsia" w:ascii="宋体" w:eastAsia="宋体" w:cs="宋体"/>
                <w:b w:val="0"/>
                <w:bCs w:val="0"/>
                <w:color w:val="auto"/>
                <w:kern w:val="0"/>
                <w:sz w:val="22"/>
                <w:szCs w:val="22"/>
                <w:highlight w:val="none"/>
                <w:lang w:eastAsia="zh-CN"/>
              </w:rPr>
              <w:t>根据响应供应商提供的系统安全方案</w:t>
            </w:r>
            <w:r>
              <w:rPr>
                <w:rFonts w:hint="eastAsia" w:ascii="宋体" w:hAnsi="宋体" w:eastAsia="宋体" w:cs="宋体"/>
                <w:b w:val="0"/>
                <w:bCs w:val="0"/>
                <w:color w:val="auto"/>
                <w:kern w:val="0"/>
                <w:sz w:val="22"/>
                <w:szCs w:val="22"/>
                <w:highlight w:val="none"/>
              </w:rPr>
              <w:t>，由评委进行打分。</w:t>
            </w:r>
            <w:r>
              <w:rPr>
                <w:rFonts w:hint="eastAsia" w:ascii="宋体" w:hAnsi="宋体" w:eastAsia="宋体" w:cs="宋体"/>
                <w:b w:val="0"/>
                <w:bCs w:val="0"/>
                <w:color w:val="auto"/>
                <w:kern w:val="0"/>
                <w:sz w:val="22"/>
                <w:szCs w:val="22"/>
                <w:highlight w:val="none"/>
              </w:rPr>
              <w:br w:type="textWrapping"/>
            </w:r>
            <w:r>
              <w:rPr>
                <w:rFonts w:hint="eastAsia" w:ascii="宋体" w:hAnsi="宋体" w:eastAsia="宋体" w:cs="宋体"/>
                <w:b w:val="0"/>
                <w:bCs w:val="0"/>
                <w:color w:val="auto"/>
                <w:kern w:val="0"/>
                <w:sz w:val="22"/>
                <w:szCs w:val="22"/>
                <w:highlight w:val="none"/>
                <w:lang w:val="en-US" w:eastAsia="zh-CN"/>
              </w:rPr>
              <w:t>(1</w:t>
            </w:r>
            <w:r>
              <w:rPr>
                <w:rFonts w:hint="eastAsia" w:ascii="宋体" w:eastAsia="宋体" w:cs="宋体"/>
                <w:b w:val="0"/>
                <w:bCs w:val="0"/>
                <w:color w:val="auto"/>
                <w:kern w:val="0"/>
                <w:sz w:val="22"/>
                <w:szCs w:val="22"/>
                <w:highlight w:val="none"/>
                <w:lang w:val="en-US" w:eastAsia="zh-CN"/>
              </w:rPr>
              <w:t>）</w:t>
            </w:r>
            <w:r>
              <w:rPr>
                <w:rFonts w:hint="eastAsia" w:ascii="宋体" w:hAnsi="宋体" w:eastAsia="宋体" w:cs="宋体"/>
                <w:b w:val="0"/>
                <w:bCs w:val="0"/>
                <w:color w:val="auto"/>
                <w:kern w:val="0"/>
                <w:sz w:val="22"/>
                <w:szCs w:val="22"/>
                <w:highlight w:val="none"/>
              </w:rPr>
              <w:t>方案</w:t>
            </w:r>
            <w:r>
              <w:rPr>
                <w:rFonts w:hint="eastAsia" w:ascii="宋体" w:eastAsia="宋体" w:cs="宋体"/>
                <w:b w:val="0"/>
                <w:bCs w:val="0"/>
                <w:color w:val="auto"/>
                <w:kern w:val="0"/>
                <w:sz w:val="22"/>
                <w:szCs w:val="22"/>
                <w:highlight w:val="none"/>
                <w:lang w:eastAsia="zh-CN"/>
              </w:rPr>
              <w:t>考虑全面、</w:t>
            </w:r>
            <w:r>
              <w:rPr>
                <w:rFonts w:hint="eastAsia" w:ascii="宋体" w:hAnsi="宋体" w:eastAsia="宋体" w:cs="宋体"/>
                <w:b w:val="0"/>
                <w:bCs w:val="0"/>
                <w:color w:val="auto"/>
                <w:kern w:val="0"/>
                <w:sz w:val="22"/>
                <w:szCs w:val="22"/>
                <w:highlight w:val="none"/>
              </w:rPr>
              <w:t>完整、合理可行得</w:t>
            </w:r>
            <w:r>
              <w:rPr>
                <w:rFonts w:hint="eastAsia" w:ascii="宋体" w:eastAsia="宋体" w:cs="宋体"/>
                <w:b w:val="0"/>
                <w:bCs w:val="0"/>
                <w:color w:val="auto"/>
                <w:kern w:val="0"/>
                <w:sz w:val="22"/>
                <w:szCs w:val="22"/>
                <w:highlight w:val="none"/>
                <w:lang w:val="en-US" w:eastAsia="zh-CN"/>
              </w:rPr>
              <w:t>6</w:t>
            </w:r>
            <w:r>
              <w:rPr>
                <w:rFonts w:hint="eastAsia" w:ascii="宋体" w:hAnsi="宋体" w:eastAsia="宋体" w:cs="宋体"/>
                <w:b w:val="0"/>
                <w:bCs w:val="0"/>
                <w:color w:val="auto"/>
                <w:kern w:val="0"/>
                <w:sz w:val="22"/>
                <w:szCs w:val="22"/>
                <w:highlight w:val="none"/>
              </w:rPr>
              <w:t>分；</w:t>
            </w:r>
            <w:r>
              <w:rPr>
                <w:rFonts w:hint="eastAsia" w:ascii="宋体" w:hAnsi="宋体" w:eastAsia="宋体" w:cs="宋体"/>
                <w:b w:val="0"/>
                <w:bCs w:val="0"/>
                <w:color w:val="auto"/>
                <w:kern w:val="0"/>
                <w:sz w:val="22"/>
                <w:szCs w:val="22"/>
                <w:highlight w:val="none"/>
              </w:rPr>
              <w:br w:type="textWrapping"/>
            </w:r>
            <w:r>
              <w:rPr>
                <w:rFonts w:hint="eastAsia" w:ascii="宋体" w:hAnsi="宋体" w:eastAsia="宋体" w:cs="宋体"/>
                <w:b w:val="0"/>
                <w:bCs w:val="0"/>
                <w:color w:val="auto"/>
                <w:kern w:val="0"/>
                <w:sz w:val="22"/>
                <w:szCs w:val="22"/>
                <w:highlight w:val="none"/>
                <w:lang w:val="en-US" w:eastAsia="zh-CN"/>
              </w:rPr>
              <w:t>(2</w:t>
            </w:r>
            <w:r>
              <w:rPr>
                <w:rFonts w:hint="eastAsia" w:ascii="宋体" w:eastAsia="宋体" w:cs="宋体"/>
                <w:b w:val="0"/>
                <w:bCs w:val="0"/>
                <w:color w:val="auto"/>
                <w:kern w:val="0"/>
                <w:sz w:val="22"/>
                <w:szCs w:val="22"/>
                <w:highlight w:val="none"/>
                <w:lang w:val="en-US" w:eastAsia="zh-CN"/>
              </w:rPr>
              <w:t>）</w:t>
            </w:r>
            <w:r>
              <w:rPr>
                <w:rFonts w:hint="eastAsia" w:ascii="宋体" w:hAnsi="宋体" w:eastAsia="宋体" w:cs="宋体"/>
                <w:b w:val="0"/>
                <w:bCs w:val="0"/>
                <w:color w:val="auto"/>
                <w:kern w:val="0"/>
                <w:sz w:val="22"/>
                <w:szCs w:val="22"/>
                <w:highlight w:val="none"/>
              </w:rPr>
              <w:t>方案基本完整、相对合理可行得</w:t>
            </w:r>
            <w:r>
              <w:rPr>
                <w:rFonts w:hint="eastAsia" w:ascii="宋体" w:eastAsia="宋体" w:cs="宋体"/>
                <w:b w:val="0"/>
                <w:bCs w:val="0"/>
                <w:color w:val="auto"/>
                <w:kern w:val="0"/>
                <w:sz w:val="22"/>
                <w:szCs w:val="22"/>
                <w:highlight w:val="none"/>
                <w:lang w:val="en-US" w:eastAsia="zh-CN"/>
              </w:rPr>
              <w:t>4</w:t>
            </w:r>
            <w:r>
              <w:rPr>
                <w:rFonts w:hint="eastAsia" w:ascii="宋体" w:hAnsi="宋体" w:eastAsia="宋体" w:cs="宋体"/>
                <w:b w:val="0"/>
                <w:bCs w:val="0"/>
                <w:color w:val="auto"/>
                <w:kern w:val="0"/>
                <w:sz w:val="22"/>
                <w:szCs w:val="22"/>
                <w:highlight w:val="none"/>
              </w:rPr>
              <w:t>分；</w:t>
            </w:r>
            <w:r>
              <w:rPr>
                <w:rFonts w:hint="eastAsia" w:ascii="宋体" w:hAnsi="宋体" w:eastAsia="宋体" w:cs="宋体"/>
                <w:b w:val="0"/>
                <w:bCs w:val="0"/>
                <w:color w:val="auto"/>
                <w:kern w:val="0"/>
                <w:sz w:val="22"/>
                <w:szCs w:val="22"/>
                <w:highlight w:val="none"/>
              </w:rPr>
              <w:br w:type="textWrapping"/>
            </w:r>
            <w:r>
              <w:rPr>
                <w:rFonts w:hint="eastAsia" w:ascii="宋体" w:hAnsi="宋体" w:eastAsia="宋体" w:cs="宋体"/>
                <w:b w:val="0"/>
                <w:bCs w:val="0"/>
                <w:color w:val="auto"/>
                <w:kern w:val="0"/>
                <w:sz w:val="22"/>
                <w:szCs w:val="22"/>
                <w:highlight w:val="none"/>
                <w:lang w:val="en-US" w:eastAsia="zh-CN"/>
              </w:rPr>
              <w:t>(3</w:t>
            </w:r>
            <w:r>
              <w:rPr>
                <w:rFonts w:hint="eastAsia" w:ascii="宋体" w:eastAsia="宋体" w:cs="宋体"/>
                <w:b w:val="0"/>
                <w:bCs w:val="0"/>
                <w:color w:val="auto"/>
                <w:kern w:val="0"/>
                <w:sz w:val="22"/>
                <w:szCs w:val="22"/>
                <w:highlight w:val="none"/>
                <w:lang w:val="en-US" w:eastAsia="zh-CN"/>
              </w:rPr>
              <w:t>）</w:t>
            </w:r>
            <w:r>
              <w:rPr>
                <w:rFonts w:hint="eastAsia" w:ascii="宋体" w:hAnsi="宋体" w:eastAsia="宋体" w:cs="宋体"/>
                <w:b w:val="0"/>
                <w:bCs w:val="0"/>
                <w:color w:val="auto"/>
                <w:kern w:val="0"/>
                <w:sz w:val="22"/>
                <w:szCs w:val="22"/>
                <w:highlight w:val="none"/>
              </w:rPr>
              <w:t>方案欠缺、具有一定可行性得</w:t>
            </w:r>
            <w:r>
              <w:rPr>
                <w:rFonts w:hint="eastAsia" w:ascii="宋体" w:eastAsia="宋体" w:cs="宋体"/>
                <w:b w:val="0"/>
                <w:bCs w:val="0"/>
                <w:color w:val="auto"/>
                <w:kern w:val="0"/>
                <w:sz w:val="22"/>
                <w:szCs w:val="22"/>
                <w:highlight w:val="none"/>
                <w:lang w:val="en-US" w:eastAsia="zh-CN"/>
              </w:rPr>
              <w:t>2</w:t>
            </w:r>
            <w:r>
              <w:rPr>
                <w:rFonts w:hint="eastAsia" w:ascii="宋体" w:hAnsi="宋体" w:eastAsia="宋体" w:cs="宋体"/>
                <w:b w:val="0"/>
                <w:bCs w:val="0"/>
                <w:color w:val="auto"/>
                <w:kern w:val="0"/>
                <w:sz w:val="22"/>
                <w:szCs w:val="22"/>
                <w:highlight w:val="none"/>
              </w:rPr>
              <w:t>分；</w:t>
            </w:r>
            <w:r>
              <w:rPr>
                <w:rFonts w:hint="eastAsia" w:ascii="宋体" w:hAnsi="宋体" w:eastAsia="宋体" w:cs="宋体"/>
                <w:b w:val="0"/>
                <w:bCs w:val="0"/>
                <w:color w:val="auto"/>
                <w:kern w:val="0"/>
                <w:sz w:val="22"/>
                <w:szCs w:val="22"/>
                <w:highlight w:val="none"/>
              </w:rPr>
              <w:br w:type="textWrapping"/>
            </w:r>
            <w:r>
              <w:rPr>
                <w:rFonts w:hint="eastAsia" w:ascii="宋体" w:hAnsi="宋体" w:eastAsia="宋体" w:cs="宋体"/>
                <w:b w:val="0"/>
                <w:bCs w:val="0"/>
                <w:color w:val="auto"/>
                <w:kern w:val="0"/>
                <w:sz w:val="22"/>
                <w:szCs w:val="22"/>
                <w:highlight w:val="none"/>
                <w:lang w:val="en-US" w:eastAsia="zh-CN"/>
              </w:rPr>
              <w:t>(4</w:t>
            </w:r>
            <w:r>
              <w:rPr>
                <w:rFonts w:hint="eastAsia" w:ascii="宋体" w:eastAsia="宋体" w:cs="宋体"/>
                <w:b w:val="0"/>
                <w:bCs w:val="0"/>
                <w:color w:val="auto"/>
                <w:kern w:val="0"/>
                <w:sz w:val="22"/>
                <w:szCs w:val="22"/>
                <w:highlight w:val="none"/>
                <w:lang w:val="en-US" w:eastAsia="zh-CN"/>
              </w:rPr>
              <w:t>）</w:t>
            </w:r>
            <w:r>
              <w:rPr>
                <w:rFonts w:hint="eastAsia" w:ascii="宋体" w:hAnsi="宋体" w:eastAsia="宋体" w:cs="宋体"/>
                <w:b w:val="0"/>
                <w:bCs w:val="0"/>
                <w:color w:val="auto"/>
                <w:kern w:val="0"/>
                <w:sz w:val="22"/>
                <w:szCs w:val="22"/>
                <w:highlight w:val="none"/>
              </w:rPr>
              <w:t>未提供方案</w:t>
            </w:r>
            <w:r>
              <w:rPr>
                <w:rFonts w:hint="eastAsia" w:ascii="宋体" w:eastAsia="宋体" w:cs="宋体"/>
                <w:b w:val="0"/>
                <w:bCs w:val="0"/>
                <w:color w:val="auto"/>
                <w:kern w:val="0"/>
                <w:sz w:val="22"/>
                <w:szCs w:val="22"/>
                <w:highlight w:val="none"/>
                <w:lang w:val="en-US" w:eastAsia="zh-CN"/>
              </w:rPr>
              <w:t>的，得0分</w:t>
            </w:r>
            <w:r>
              <w:rPr>
                <w:rFonts w:hint="eastAsia" w:ascii="宋体" w:hAnsi="宋体" w:eastAsia="宋体" w:cs="宋体"/>
                <w:b w:val="0"/>
                <w:bCs w:val="0"/>
                <w:color w:val="auto"/>
                <w:kern w:val="0"/>
                <w:sz w:val="22"/>
                <w:szCs w:val="22"/>
                <w:highlight w:val="none"/>
              </w:rPr>
              <w:t>。</w:t>
            </w:r>
          </w:p>
        </w:tc>
        <w:tc>
          <w:tcPr>
            <w:tcW w:w="744" w:type="dxa"/>
            <w:noWrap/>
            <w:vAlign w:val="center"/>
          </w:tcPr>
          <w:p w14:paraId="5B8A5839">
            <w:pPr>
              <w:widowControl/>
              <w:spacing w:line="360" w:lineRule="auto"/>
              <w:jc w:val="center"/>
              <w:rPr>
                <w:rFonts w:hint="eastAsia" w:ascii="宋体" w:hAnsi="宋体" w:eastAsia="宋体" w:cs="宋体"/>
                <w:b w:val="0"/>
                <w:bCs w:val="0"/>
                <w:color w:val="auto"/>
                <w:kern w:val="0"/>
                <w:sz w:val="22"/>
                <w:szCs w:val="22"/>
                <w:highlight w:val="none"/>
                <w:lang w:eastAsia="zh-CN"/>
              </w:rPr>
            </w:pPr>
            <w:r>
              <w:rPr>
                <w:rFonts w:hint="eastAsia" w:ascii="宋体" w:eastAsia="宋体" w:cs="宋体"/>
                <w:b w:val="0"/>
                <w:bCs w:val="0"/>
                <w:color w:val="auto"/>
                <w:kern w:val="0"/>
                <w:sz w:val="22"/>
                <w:szCs w:val="22"/>
                <w:highlight w:val="none"/>
                <w:lang w:val="en-US" w:eastAsia="zh-CN"/>
              </w:rPr>
              <w:t>6</w:t>
            </w:r>
          </w:p>
        </w:tc>
        <w:tc>
          <w:tcPr>
            <w:tcW w:w="929" w:type="dxa"/>
            <w:noWrap/>
            <w:vAlign w:val="center"/>
          </w:tcPr>
          <w:p w14:paraId="5ACB689D">
            <w:pPr>
              <w:widowControl/>
              <w:spacing w:line="360" w:lineRule="auto"/>
              <w:jc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主观分</w:t>
            </w:r>
          </w:p>
        </w:tc>
      </w:tr>
      <w:tr w14:paraId="104DCD7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744" w:type="dxa"/>
            <w:vAlign w:val="center"/>
          </w:tcPr>
          <w:p w14:paraId="292F0759">
            <w:pPr>
              <w:widowControl/>
              <w:spacing w:line="360" w:lineRule="auto"/>
              <w:jc w:val="center"/>
              <w:rPr>
                <w:rFonts w:hint="default" w:ascii="宋体" w:eastAsia="宋体" w:cs="宋体"/>
                <w:b w:val="0"/>
                <w:bCs w:val="0"/>
                <w:color w:val="auto"/>
                <w:kern w:val="0"/>
                <w:sz w:val="22"/>
                <w:szCs w:val="22"/>
                <w:highlight w:val="none"/>
                <w:lang w:val="en-US" w:eastAsia="zh-CN"/>
              </w:rPr>
            </w:pPr>
            <w:r>
              <w:rPr>
                <w:rFonts w:hint="eastAsia" w:ascii="宋体" w:eastAsia="宋体" w:cs="宋体"/>
                <w:b w:val="0"/>
                <w:bCs w:val="0"/>
                <w:color w:val="auto"/>
                <w:kern w:val="0"/>
                <w:sz w:val="22"/>
                <w:szCs w:val="22"/>
                <w:highlight w:val="none"/>
                <w:lang w:val="en-US" w:eastAsia="zh-CN"/>
              </w:rPr>
              <w:t>10</w:t>
            </w:r>
          </w:p>
        </w:tc>
        <w:tc>
          <w:tcPr>
            <w:tcW w:w="1102" w:type="dxa"/>
            <w:shd w:val="clear" w:color="auto" w:fill="auto"/>
            <w:vAlign w:val="center"/>
          </w:tcPr>
          <w:p w14:paraId="3D01B67D">
            <w:pPr>
              <w:widowControl/>
              <w:spacing w:line="360" w:lineRule="auto"/>
              <w:jc w:val="left"/>
              <w:rPr>
                <w:rFonts w:hint="eastAsia" w:ascii="宋体" w:hAnsi="宋体" w:eastAsia="宋体" w:cs="宋体"/>
                <w:b w:val="0"/>
                <w:bCs w:val="0"/>
                <w:color w:val="auto"/>
                <w:kern w:val="0"/>
                <w:sz w:val="22"/>
                <w:szCs w:val="22"/>
                <w:highlight w:val="none"/>
                <w:lang w:val="en-US" w:eastAsia="zh-CN" w:bidi="ar-SA"/>
              </w:rPr>
            </w:pPr>
            <w:r>
              <w:rPr>
                <w:rFonts w:hint="eastAsia" w:ascii="宋体" w:hAnsi="宋体" w:eastAsia="宋体" w:cs="宋体"/>
                <w:b w:val="0"/>
                <w:bCs w:val="0"/>
                <w:color w:val="auto"/>
                <w:kern w:val="0"/>
                <w:sz w:val="22"/>
                <w:szCs w:val="22"/>
                <w:highlight w:val="none"/>
              </w:rPr>
              <w:t>售后服务能力</w:t>
            </w:r>
          </w:p>
        </w:tc>
        <w:tc>
          <w:tcPr>
            <w:tcW w:w="5838" w:type="dxa"/>
            <w:shd w:val="clear" w:color="auto" w:fill="auto"/>
            <w:vAlign w:val="center"/>
          </w:tcPr>
          <w:p w14:paraId="3A53D71A">
            <w:pPr>
              <w:widowControl/>
              <w:spacing w:line="360" w:lineRule="auto"/>
              <w:jc w:val="left"/>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提供完备的售后服务方案，包括服务方式、服务内容、服务流程，应急响应等。</w:t>
            </w:r>
          </w:p>
          <w:p w14:paraId="349D7CA1">
            <w:pPr>
              <w:widowControl/>
              <w:spacing w:line="360" w:lineRule="auto"/>
              <w:jc w:val="left"/>
              <w:rPr>
                <w:rFonts w:hint="eastAsia" w:ascii="宋体" w:hAnsi="宋体" w:eastAsia="宋体" w:cs="宋体"/>
                <w:b w:val="0"/>
                <w:bCs w:val="0"/>
                <w:color w:val="auto"/>
                <w:kern w:val="0"/>
                <w:sz w:val="22"/>
                <w:szCs w:val="22"/>
                <w:highlight w:val="none"/>
              </w:rPr>
            </w:pPr>
            <w:r>
              <w:rPr>
                <w:rFonts w:hint="eastAsia" w:ascii="宋体" w:eastAsia="宋体" w:cs="宋体"/>
                <w:b w:val="0"/>
                <w:bCs w:val="0"/>
                <w:color w:val="auto"/>
                <w:kern w:val="0"/>
                <w:sz w:val="22"/>
                <w:szCs w:val="22"/>
                <w:highlight w:val="none"/>
                <w:lang w:val="en-US" w:eastAsia="zh-CN"/>
              </w:rPr>
              <w:t>（</w:t>
            </w:r>
            <w:r>
              <w:rPr>
                <w:rFonts w:hint="eastAsia" w:ascii="宋体" w:hAnsi="宋体" w:eastAsia="宋体" w:cs="宋体"/>
                <w:b w:val="0"/>
                <w:bCs w:val="0"/>
                <w:color w:val="auto"/>
                <w:kern w:val="0"/>
                <w:sz w:val="22"/>
                <w:szCs w:val="22"/>
                <w:highlight w:val="none"/>
                <w:lang w:val="en-US" w:eastAsia="zh-CN"/>
              </w:rPr>
              <w:t>1</w:t>
            </w:r>
            <w:r>
              <w:rPr>
                <w:rFonts w:hint="eastAsia" w:ascii="宋体" w:eastAsia="宋体" w:cs="宋体"/>
                <w:b w:val="0"/>
                <w:bCs w:val="0"/>
                <w:color w:val="auto"/>
                <w:kern w:val="0"/>
                <w:sz w:val="22"/>
                <w:szCs w:val="22"/>
                <w:highlight w:val="none"/>
                <w:lang w:val="en-US" w:eastAsia="zh-CN"/>
              </w:rPr>
              <w:t>）</w:t>
            </w:r>
            <w:r>
              <w:rPr>
                <w:rFonts w:hint="eastAsia" w:ascii="宋体" w:hAnsi="宋体" w:eastAsia="宋体" w:cs="宋体"/>
                <w:b w:val="0"/>
                <w:bCs w:val="0"/>
                <w:color w:val="auto"/>
                <w:kern w:val="0"/>
                <w:sz w:val="22"/>
                <w:szCs w:val="22"/>
                <w:highlight w:val="none"/>
              </w:rPr>
              <w:t>服务措施完善，具有完备的服务流程，具有服务质量控制、服务应急预案措施，结合本项目特点，提出完善的服务方案，实用性强，得</w:t>
            </w:r>
            <w:r>
              <w:rPr>
                <w:rFonts w:hint="eastAsia" w:ascii="宋体" w:eastAsia="宋体" w:cs="宋体"/>
                <w:b w:val="0"/>
                <w:bCs w:val="0"/>
                <w:color w:val="auto"/>
                <w:kern w:val="0"/>
                <w:sz w:val="22"/>
                <w:szCs w:val="22"/>
                <w:highlight w:val="none"/>
                <w:lang w:val="en-US" w:eastAsia="zh-CN"/>
              </w:rPr>
              <w:t>6</w:t>
            </w:r>
            <w:r>
              <w:rPr>
                <w:rFonts w:hint="eastAsia" w:ascii="宋体" w:hAnsi="宋体" w:eastAsia="宋体" w:cs="宋体"/>
                <w:b w:val="0"/>
                <w:bCs w:val="0"/>
                <w:color w:val="auto"/>
                <w:kern w:val="0"/>
                <w:sz w:val="22"/>
                <w:szCs w:val="22"/>
                <w:highlight w:val="none"/>
              </w:rPr>
              <w:t>分；</w:t>
            </w:r>
          </w:p>
          <w:p w14:paraId="1F1F7120">
            <w:pPr>
              <w:widowControl/>
              <w:spacing w:line="360" w:lineRule="auto"/>
              <w:jc w:val="left"/>
              <w:rPr>
                <w:rFonts w:hint="eastAsia" w:ascii="宋体" w:hAnsi="宋体" w:eastAsia="宋体" w:cs="宋体"/>
                <w:b w:val="0"/>
                <w:bCs w:val="0"/>
                <w:color w:val="auto"/>
                <w:kern w:val="0"/>
                <w:sz w:val="22"/>
                <w:szCs w:val="22"/>
                <w:highlight w:val="none"/>
              </w:rPr>
            </w:pPr>
            <w:r>
              <w:rPr>
                <w:rFonts w:hint="eastAsia" w:ascii="宋体" w:eastAsia="宋体" w:cs="宋体"/>
                <w:b w:val="0"/>
                <w:bCs w:val="0"/>
                <w:color w:val="auto"/>
                <w:kern w:val="0"/>
                <w:sz w:val="22"/>
                <w:szCs w:val="22"/>
                <w:highlight w:val="none"/>
                <w:lang w:eastAsia="zh-CN"/>
              </w:rPr>
              <w:t>（</w:t>
            </w:r>
            <w:r>
              <w:rPr>
                <w:rFonts w:hint="eastAsia" w:ascii="宋体" w:eastAsia="宋体" w:cs="宋体"/>
                <w:b w:val="0"/>
                <w:bCs w:val="0"/>
                <w:color w:val="auto"/>
                <w:kern w:val="0"/>
                <w:sz w:val="22"/>
                <w:szCs w:val="22"/>
                <w:highlight w:val="none"/>
                <w:lang w:val="en-US" w:eastAsia="zh-CN"/>
              </w:rPr>
              <w:t>2</w:t>
            </w:r>
            <w:r>
              <w:rPr>
                <w:rFonts w:hint="eastAsia" w:ascii="宋体" w:eastAsia="宋体" w:cs="宋体"/>
                <w:b w:val="0"/>
                <w:bCs w:val="0"/>
                <w:color w:val="auto"/>
                <w:kern w:val="0"/>
                <w:sz w:val="22"/>
                <w:szCs w:val="22"/>
                <w:highlight w:val="none"/>
                <w:lang w:eastAsia="zh-CN"/>
              </w:rPr>
              <w:t>）</w:t>
            </w:r>
            <w:r>
              <w:rPr>
                <w:rFonts w:hint="eastAsia" w:ascii="宋体" w:hAnsi="宋体" w:eastAsia="宋体" w:cs="宋体"/>
                <w:b w:val="0"/>
                <w:bCs w:val="0"/>
                <w:color w:val="auto"/>
                <w:kern w:val="0"/>
                <w:sz w:val="22"/>
                <w:szCs w:val="22"/>
                <w:highlight w:val="none"/>
              </w:rPr>
              <w:t>服务措施良好，结合本项目特点，提出服务方案完整、基本可行，得</w:t>
            </w:r>
            <w:r>
              <w:rPr>
                <w:rFonts w:hint="eastAsia" w:ascii="宋体" w:eastAsia="宋体" w:cs="宋体"/>
                <w:b w:val="0"/>
                <w:bCs w:val="0"/>
                <w:color w:val="auto"/>
                <w:kern w:val="0"/>
                <w:sz w:val="22"/>
                <w:szCs w:val="22"/>
                <w:highlight w:val="none"/>
                <w:lang w:val="en-US" w:eastAsia="zh-CN"/>
              </w:rPr>
              <w:t>4</w:t>
            </w:r>
            <w:r>
              <w:rPr>
                <w:rFonts w:hint="eastAsia" w:ascii="宋体" w:hAnsi="宋体" w:eastAsia="宋体" w:cs="宋体"/>
                <w:b w:val="0"/>
                <w:bCs w:val="0"/>
                <w:color w:val="auto"/>
                <w:kern w:val="0"/>
                <w:sz w:val="22"/>
                <w:szCs w:val="22"/>
                <w:highlight w:val="none"/>
              </w:rPr>
              <w:t>分；</w:t>
            </w:r>
          </w:p>
          <w:p w14:paraId="3DDC8ED6">
            <w:pPr>
              <w:widowControl/>
              <w:spacing w:line="360" w:lineRule="auto"/>
              <w:jc w:val="left"/>
              <w:rPr>
                <w:rFonts w:hint="eastAsia" w:ascii="宋体" w:hAnsi="宋体" w:eastAsia="宋体" w:cs="宋体"/>
                <w:b w:val="0"/>
                <w:bCs w:val="0"/>
                <w:color w:val="auto"/>
                <w:kern w:val="0"/>
                <w:sz w:val="22"/>
                <w:szCs w:val="22"/>
                <w:highlight w:val="none"/>
              </w:rPr>
            </w:pPr>
            <w:r>
              <w:rPr>
                <w:rFonts w:hint="eastAsia" w:ascii="宋体" w:eastAsia="宋体" w:cs="宋体"/>
                <w:b w:val="0"/>
                <w:bCs w:val="0"/>
                <w:color w:val="auto"/>
                <w:kern w:val="0"/>
                <w:sz w:val="22"/>
                <w:szCs w:val="22"/>
                <w:highlight w:val="none"/>
                <w:lang w:eastAsia="zh-CN"/>
              </w:rPr>
              <w:t>（</w:t>
            </w:r>
            <w:r>
              <w:rPr>
                <w:rFonts w:hint="eastAsia" w:ascii="宋体" w:eastAsia="宋体" w:cs="宋体"/>
                <w:b w:val="0"/>
                <w:bCs w:val="0"/>
                <w:color w:val="auto"/>
                <w:kern w:val="0"/>
                <w:sz w:val="22"/>
                <w:szCs w:val="22"/>
                <w:highlight w:val="none"/>
                <w:lang w:val="en-US" w:eastAsia="zh-CN"/>
              </w:rPr>
              <w:t>3</w:t>
            </w:r>
            <w:r>
              <w:rPr>
                <w:rFonts w:hint="eastAsia" w:ascii="宋体" w:eastAsia="宋体" w:cs="宋体"/>
                <w:b w:val="0"/>
                <w:bCs w:val="0"/>
                <w:color w:val="auto"/>
                <w:kern w:val="0"/>
                <w:sz w:val="22"/>
                <w:szCs w:val="22"/>
                <w:highlight w:val="none"/>
                <w:lang w:eastAsia="zh-CN"/>
              </w:rPr>
              <w:t>）</w:t>
            </w:r>
            <w:r>
              <w:rPr>
                <w:rFonts w:hint="eastAsia" w:ascii="宋体" w:hAnsi="宋体" w:eastAsia="宋体" w:cs="宋体"/>
                <w:b w:val="0"/>
                <w:bCs w:val="0"/>
                <w:color w:val="auto"/>
                <w:kern w:val="0"/>
                <w:sz w:val="22"/>
                <w:szCs w:val="22"/>
                <w:highlight w:val="none"/>
              </w:rPr>
              <w:t>服务措施一般，未结合本项目特点，提出服务方案一般，实用性差，得2分。</w:t>
            </w:r>
          </w:p>
          <w:p w14:paraId="177F6FF4">
            <w:pPr>
              <w:pStyle w:val="43"/>
              <w:ind w:left="0" w:leftChars="0" w:firstLine="0" w:firstLineChars="0"/>
              <w:rPr>
                <w:rFonts w:hint="eastAsia" w:ascii="Times New Roman" w:hAnsi="Times New Roman" w:eastAsia="宋体" w:cs="Times New Roman"/>
                <w:b w:val="0"/>
                <w:bCs w:val="0"/>
                <w:color w:val="auto"/>
                <w:kern w:val="2"/>
                <w:sz w:val="21"/>
                <w:szCs w:val="24"/>
                <w:highlight w:val="none"/>
                <w:lang w:val="en-US" w:eastAsia="zh-CN" w:bidi="ar-SA"/>
              </w:rPr>
            </w:pPr>
            <w:r>
              <w:rPr>
                <w:rFonts w:hint="eastAsia" w:ascii="宋体" w:hAnsi="宋体" w:cs="宋体"/>
                <w:b w:val="0"/>
                <w:bCs w:val="0"/>
                <w:color w:val="auto"/>
                <w:kern w:val="0"/>
                <w:sz w:val="22"/>
                <w:szCs w:val="22"/>
                <w:highlight w:val="none"/>
                <w:lang w:eastAsia="zh-CN"/>
              </w:rPr>
              <w:t>（</w:t>
            </w:r>
            <w:r>
              <w:rPr>
                <w:rFonts w:hint="eastAsia" w:ascii="宋体" w:hAnsi="宋体" w:cs="宋体"/>
                <w:b w:val="0"/>
                <w:bCs w:val="0"/>
                <w:color w:val="auto"/>
                <w:kern w:val="0"/>
                <w:sz w:val="22"/>
                <w:szCs w:val="22"/>
                <w:highlight w:val="none"/>
                <w:lang w:val="en-US" w:eastAsia="zh-CN"/>
              </w:rPr>
              <w:t>4</w:t>
            </w:r>
            <w:r>
              <w:rPr>
                <w:rFonts w:hint="eastAsia" w:ascii="宋体" w:hAnsi="宋体" w:cs="宋体"/>
                <w:b w:val="0"/>
                <w:bCs w:val="0"/>
                <w:color w:val="auto"/>
                <w:kern w:val="0"/>
                <w:sz w:val="22"/>
                <w:szCs w:val="22"/>
                <w:highlight w:val="none"/>
                <w:lang w:eastAsia="zh-CN"/>
              </w:rPr>
              <w:t>）</w:t>
            </w:r>
            <w:r>
              <w:rPr>
                <w:rFonts w:hint="eastAsia" w:ascii="宋体" w:hAnsi="宋体" w:eastAsia="宋体" w:cs="宋体"/>
                <w:b w:val="0"/>
                <w:bCs w:val="0"/>
                <w:color w:val="auto"/>
                <w:kern w:val="0"/>
                <w:sz w:val="22"/>
                <w:szCs w:val="22"/>
                <w:highlight w:val="none"/>
              </w:rPr>
              <w:t>服务方案</w:t>
            </w:r>
            <w:r>
              <w:rPr>
                <w:rFonts w:hint="eastAsia" w:ascii="宋体" w:hAnsi="宋体" w:cs="宋体"/>
                <w:b w:val="0"/>
                <w:bCs w:val="0"/>
                <w:color w:val="auto"/>
                <w:kern w:val="0"/>
                <w:sz w:val="22"/>
                <w:szCs w:val="22"/>
                <w:highlight w:val="none"/>
                <w:lang w:eastAsia="zh-CN"/>
              </w:rPr>
              <w:t>完全不符或未提供服务方案的得</w:t>
            </w:r>
            <w:r>
              <w:rPr>
                <w:rFonts w:hint="eastAsia" w:ascii="宋体" w:hAnsi="宋体" w:cs="宋体"/>
                <w:b w:val="0"/>
                <w:bCs w:val="0"/>
                <w:color w:val="auto"/>
                <w:kern w:val="0"/>
                <w:sz w:val="22"/>
                <w:szCs w:val="22"/>
                <w:highlight w:val="none"/>
                <w:lang w:val="en-US" w:eastAsia="zh-CN"/>
              </w:rPr>
              <w:t>0分。</w:t>
            </w:r>
          </w:p>
        </w:tc>
        <w:tc>
          <w:tcPr>
            <w:tcW w:w="744" w:type="dxa"/>
            <w:shd w:val="clear" w:color="auto" w:fill="auto"/>
            <w:noWrap/>
            <w:vAlign w:val="center"/>
          </w:tcPr>
          <w:p w14:paraId="5BCFFD73">
            <w:pPr>
              <w:widowControl/>
              <w:spacing w:line="360" w:lineRule="auto"/>
              <w:jc w:val="center"/>
              <w:rPr>
                <w:rFonts w:hint="eastAsia" w:ascii="宋体" w:hAnsi="宋体" w:eastAsia="宋体" w:cs="宋体"/>
                <w:b w:val="0"/>
                <w:bCs w:val="0"/>
                <w:color w:val="auto"/>
                <w:kern w:val="0"/>
                <w:sz w:val="22"/>
                <w:szCs w:val="22"/>
                <w:highlight w:val="none"/>
                <w:lang w:val="en-US" w:eastAsia="zh-CN" w:bidi="ar-SA"/>
              </w:rPr>
            </w:pPr>
            <w:r>
              <w:rPr>
                <w:rFonts w:hint="eastAsia" w:ascii="宋体" w:eastAsia="宋体" w:cs="宋体"/>
                <w:b w:val="0"/>
                <w:bCs w:val="0"/>
                <w:color w:val="auto"/>
                <w:kern w:val="0"/>
                <w:sz w:val="22"/>
                <w:szCs w:val="22"/>
                <w:highlight w:val="none"/>
                <w:lang w:val="en-US" w:eastAsia="zh-CN"/>
              </w:rPr>
              <w:t>6</w:t>
            </w:r>
          </w:p>
        </w:tc>
        <w:tc>
          <w:tcPr>
            <w:tcW w:w="929" w:type="dxa"/>
            <w:shd w:val="clear" w:color="auto" w:fill="auto"/>
            <w:noWrap/>
            <w:vAlign w:val="center"/>
          </w:tcPr>
          <w:p w14:paraId="5B672F71">
            <w:pPr>
              <w:widowControl/>
              <w:spacing w:line="360" w:lineRule="auto"/>
              <w:jc w:val="center"/>
              <w:rPr>
                <w:rFonts w:hint="eastAsia" w:ascii="宋体" w:hAnsi="宋体" w:eastAsia="宋体" w:cs="宋体"/>
                <w:b w:val="0"/>
                <w:bCs w:val="0"/>
                <w:color w:val="auto"/>
                <w:kern w:val="0"/>
                <w:sz w:val="22"/>
                <w:szCs w:val="22"/>
                <w:highlight w:val="none"/>
                <w:lang w:val="en-US" w:eastAsia="zh-CN" w:bidi="ar-SA"/>
              </w:rPr>
            </w:pPr>
            <w:r>
              <w:rPr>
                <w:rFonts w:hint="eastAsia" w:ascii="宋体" w:eastAsia="宋体" w:cs="宋体"/>
                <w:b w:val="0"/>
                <w:bCs w:val="0"/>
                <w:color w:val="auto"/>
                <w:kern w:val="0"/>
                <w:sz w:val="22"/>
                <w:szCs w:val="22"/>
                <w:highlight w:val="none"/>
                <w:lang w:val="en-US" w:eastAsia="zh-CN"/>
              </w:rPr>
              <w:t>主观分</w:t>
            </w:r>
          </w:p>
        </w:tc>
      </w:tr>
      <w:tr w14:paraId="53E47DD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14" w:hRule="atLeast"/>
        </w:trPr>
        <w:tc>
          <w:tcPr>
            <w:tcW w:w="744" w:type="dxa"/>
            <w:vAlign w:val="center"/>
          </w:tcPr>
          <w:p w14:paraId="3704A32D">
            <w:pPr>
              <w:widowControl/>
              <w:spacing w:line="360" w:lineRule="auto"/>
              <w:jc w:val="center"/>
              <w:rPr>
                <w:rFonts w:hint="default" w:ascii="宋体" w:eastAsia="宋体" w:cs="宋体"/>
                <w:b w:val="0"/>
                <w:bCs w:val="0"/>
                <w:color w:val="auto"/>
                <w:kern w:val="0"/>
                <w:sz w:val="22"/>
                <w:szCs w:val="22"/>
                <w:highlight w:val="none"/>
                <w:lang w:val="en-US" w:eastAsia="zh-CN"/>
              </w:rPr>
            </w:pPr>
            <w:r>
              <w:rPr>
                <w:rFonts w:hint="eastAsia" w:ascii="宋体" w:eastAsia="宋体" w:cs="宋体"/>
                <w:b w:val="0"/>
                <w:bCs w:val="0"/>
                <w:color w:val="auto"/>
                <w:kern w:val="0"/>
                <w:sz w:val="22"/>
                <w:szCs w:val="22"/>
                <w:highlight w:val="none"/>
                <w:lang w:val="en-US" w:eastAsia="zh-CN"/>
              </w:rPr>
              <w:t>11</w:t>
            </w:r>
          </w:p>
        </w:tc>
        <w:tc>
          <w:tcPr>
            <w:tcW w:w="1102" w:type="dxa"/>
            <w:vAlign w:val="center"/>
          </w:tcPr>
          <w:p w14:paraId="5562179B">
            <w:pPr>
              <w:widowControl/>
              <w:spacing w:line="360" w:lineRule="auto"/>
              <w:jc w:val="left"/>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项目培训</w:t>
            </w:r>
          </w:p>
        </w:tc>
        <w:tc>
          <w:tcPr>
            <w:tcW w:w="5838" w:type="dxa"/>
            <w:vAlign w:val="center"/>
          </w:tcPr>
          <w:p w14:paraId="7890C086">
            <w:pPr>
              <w:widowControl/>
              <w:spacing w:line="360" w:lineRule="auto"/>
              <w:jc w:val="left"/>
              <w:rPr>
                <w:rFonts w:hint="eastAsia" w:ascii="宋体" w:hAnsi="宋体" w:eastAsia="宋体" w:cs="宋体"/>
                <w:b w:val="0"/>
                <w:bCs w:val="0"/>
                <w:color w:val="auto"/>
                <w:kern w:val="0"/>
                <w:sz w:val="22"/>
                <w:szCs w:val="22"/>
                <w:highlight w:val="none"/>
                <w:lang w:eastAsia="zh-CN"/>
              </w:rPr>
            </w:pPr>
            <w:r>
              <w:rPr>
                <w:rFonts w:hint="eastAsia" w:ascii="宋体" w:hAnsi="宋体" w:eastAsia="宋体" w:cs="宋体"/>
                <w:b w:val="0"/>
                <w:bCs w:val="0"/>
                <w:color w:val="auto"/>
                <w:kern w:val="0"/>
                <w:sz w:val="22"/>
                <w:szCs w:val="22"/>
                <w:highlight w:val="none"/>
                <w:lang w:eastAsia="zh-CN"/>
              </w:rPr>
              <w:t>根据响应供应商提供的</w:t>
            </w:r>
            <w:r>
              <w:rPr>
                <w:rFonts w:hint="eastAsia" w:ascii="宋体" w:hAnsi="宋体" w:eastAsia="宋体" w:cs="宋体"/>
                <w:b w:val="0"/>
                <w:bCs w:val="0"/>
                <w:color w:val="auto"/>
                <w:kern w:val="0"/>
                <w:sz w:val="22"/>
                <w:szCs w:val="22"/>
                <w:highlight w:val="none"/>
              </w:rPr>
              <w:t>培训方案，包括培训的目标、任务、计划、组织等</w:t>
            </w:r>
            <w:r>
              <w:rPr>
                <w:rFonts w:hint="eastAsia" w:ascii="宋体" w:hAnsi="宋体" w:eastAsia="宋体" w:cs="宋体"/>
                <w:b w:val="0"/>
                <w:bCs w:val="0"/>
                <w:color w:val="auto"/>
                <w:kern w:val="0"/>
                <w:sz w:val="22"/>
                <w:szCs w:val="22"/>
                <w:highlight w:val="none"/>
                <w:lang w:eastAsia="zh-CN"/>
              </w:rPr>
              <w:t>内容进行打分。</w:t>
            </w:r>
          </w:p>
          <w:p w14:paraId="09E8725F">
            <w:pPr>
              <w:widowControl/>
              <w:spacing w:line="360" w:lineRule="auto"/>
              <w:jc w:val="left"/>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lang w:val="en-US" w:eastAsia="zh-CN"/>
              </w:rPr>
              <w:t>（1）</w:t>
            </w:r>
            <w:r>
              <w:rPr>
                <w:rFonts w:hint="eastAsia" w:ascii="宋体" w:hAnsi="宋体" w:eastAsia="宋体" w:cs="宋体"/>
                <w:b w:val="0"/>
                <w:bCs w:val="0"/>
                <w:color w:val="auto"/>
                <w:kern w:val="0"/>
                <w:sz w:val="22"/>
                <w:szCs w:val="22"/>
                <w:highlight w:val="none"/>
              </w:rPr>
              <w:t>方案</w:t>
            </w:r>
            <w:r>
              <w:rPr>
                <w:rFonts w:hint="eastAsia" w:ascii="宋体" w:hAnsi="宋体" w:eastAsia="宋体" w:cs="宋体"/>
                <w:b w:val="0"/>
                <w:bCs w:val="0"/>
                <w:color w:val="auto"/>
                <w:kern w:val="0"/>
                <w:sz w:val="22"/>
                <w:szCs w:val="22"/>
                <w:highlight w:val="none"/>
                <w:lang w:eastAsia="zh-CN"/>
              </w:rPr>
              <w:t>考虑全面、</w:t>
            </w:r>
            <w:r>
              <w:rPr>
                <w:rFonts w:hint="eastAsia" w:ascii="宋体" w:hAnsi="宋体" w:eastAsia="宋体" w:cs="宋体"/>
                <w:b w:val="0"/>
                <w:bCs w:val="0"/>
                <w:color w:val="auto"/>
                <w:kern w:val="0"/>
                <w:sz w:val="22"/>
                <w:szCs w:val="22"/>
                <w:highlight w:val="none"/>
              </w:rPr>
              <w:t>完整、合理可行得</w:t>
            </w:r>
            <w:r>
              <w:rPr>
                <w:rFonts w:hint="eastAsia" w:ascii="宋体" w:eastAsia="宋体" w:cs="宋体"/>
                <w:b w:val="0"/>
                <w:bCs w:val="0"/>
                <w:color w:val="auto"/>
                <w:kern w:val="0"/>
                <w:sz w:val="22"/>
                <w:szCs w:val="22"/>
                <w:highlight w:val="none"/>
                <w:lang w:val="en-US" w:eastAsia="zh-CN"/>
              </w:rPr>
              <w:t>6</w:t>
            </w:r>
            <w:r>
              <w:rPr>
                <w:rFonts w:hint="eastAsia" w:ascii="宋体" w:hAnsi="宋体" w:eastAsia="宋体" w:cs="宋体"/>
                <w:b w:val="0"/>
                <w:bCs w:val="0"/>
                <w:color w:val="auto"/>
                <w:kern w:val="0"/>
                <w:sz w:val="22"/>
                <w:szCs w:val="22"/>
                <w:highlight w:val="none"/>
              </w:rPr>
              <w:t>分；</w:t>
            </w:r>
            <w:r>
              <w:rPr>
                <w:rFonts w:hint="eastAsia" w:ascii="宋体" w:hAnsi="宋体" w:eastAsia="宋体" w:cs="宋体"/>
                <w:b w:val="0"/>
                <w:bCs w:val="0"/>
                <w:color w:val="auto"/>
                <w:kern w:val="0"/>
                <w:sz w:val="22"/>
                <w:szCs w:val="22"/>
                <w:highlight w:val="none"/>
              </w:rPr>
              <w:br w:type="textWrapping"/>
            </w:r>
            <w:r>
              <w:rPr>
                <w:rFonts w:hint="eastAsia" w:ascii="宋体" w:eastAsia="宋体" w:cs="宋体"/>
                <w:b w:val="0"/>
                <w:bCs w:val="0"/>
                <w:color w:val="auto"/>
                <w:kern w:val="0"/>
                <w:sz w:val="22"/>
                <w:szCs w:val="22"/>
                <w:highlight w:val="none"/>
                <w:lang w:eastAsia="zh-CN"/>
              </w:rPr>
              <w:t>（</w:t>
            </w:r>
            <w:r>
              <w:rPr>
                <w:rFonts w:hint="eastAsia" w:ascii="宋体" w:eastAsia="宋体" w:cs="宋体"/>
                <w:b w:val="0"/>
                <w:bCs w:val="0"/>
                <w:color w:val="auto"/>
                <w:kern w:val="0"/>
                <w:sz w:val="22"/>
                <w:szCs w:val="22"/>
                <w:highlight w:val="none"/>
                <w:lang w:val="en-US" w:eastAsia="zh-CN"/>
              </w:rPr>
              <w:t>2</w:t>
            </w:r>
            <w:r>
              <w:rPr>
                <w:rFonts w:hint="eastAsia" w:ascii="宋体" w:eastAsia="宋体" w:cs="宋体"/>
                <w:b w:val="0"/>
                <w:bCs w:val="0"/>
                <w:color w:val="auto"/>
                <w:kern w:val="0"/>
                <w:sz w:val="22"/>
                <w:szCs w:val="22"/>
                <w:highlight w:val="none"/>
                <w:lang w:eastAsia="zh-CN"/>
              </w:rPr>
              <w:t>）</w:t>
            </w:r>
            <w:r>
              <w:rPr>
                <w:rFonts w:hint="eastAsia" w:ascii="宋体" w:hAnsi="宋体" w:eastAsia="宋体" w:cs="宋体"/>
                <w:b w:val="0"/>
                <w:bCs w:val="0"/>
                <w:color w:val="auto"/>
                <w:kern w:val="0"/>
                <w:sz w:val="22"/>
                <w:szCs w:val="22"/>
                <w:highlight w:val="none"/>
              </w:rPr>
              <w:t>方案基本完整、相对合理可行得</w:t>
            </w:r>
            <w:r>
              <w:rPr>
                <w:rFonts w:hint="eastAsia" w:ascii="宋体" w:eastAsia="宋体" w:cs="宋体"/>
                <w:b w:val="0"/>
                <w:bCs w:val="0"/>
                <w:color w:val="auto"/>
                <w:kern w:val="0"/>
                <w:sz w:val="22"/>
                <w:szCs w:val="22"/>
                <w:highlight w:val="none"/>
                <w:lang w:val="en-US" w:eastAsia="zh-CN"/>
              </w:rPr>
              <w:t>4</w:t>
            </w:r>
            <w:r>
              <w:rPr>
                <w:rFonts w:hint="eastAsia" w:ascii="宋体" w:hAnsi="宋体" w:eastAsia="宋体" w:cs="宋体"/>
                <w:b w:val="0"/>
                <w:bCs w:val="0"/>
                <w:color w:val="auto"/>
                <w:kern w:val="0"/>
                <w:sz w:val="22"/>
                <w:szCs w:val="22"/>
                <w:highlight w:val="none"/>
              </w:rPr>
              <w:t>分；</w:t>
            </w:r>
            <w:r>
              <w:rPr>
                <w:rFonts w:hint="eastAsia" w:ascii="宋体" w:hAnsi="宋体" w:eastAsia="宋体" w:cs="宋体"/>
                <w:b w:val="0"/>
                <w:bCs w:val="0"/>
                <w:color w:val="auto"/>
                <w:kern w:val="0"/>
                <w:sz w:val="22"/>
                <w:szCs w:val="22"/>
                <w:highlight w:val="none"/>
              </w:rPr>
              <w:br w:type="textWrapping"/>
            </w:r>
            <w:r>
              <w:rPr>
                <w:rFonts w:hint="eastAsia" w:ascii="宋体" w:eastAsia="宋体" w:cs="宋体"/>
                <w:b w:val="0"/>
                <w:bCs w:val="0"/>
                <w:color w:val="auto"/>
                <w:kern w:val="0"/>
                <w:sz w:val="22"/>
                <w:szCs w:val="22"/>
                <w:highlight w:val="none"/>
                <w:lang w:eastAsia="zh-CN"/>
              </w:rPr>
              <w:t>（</w:t>
            </w:r>
            <w:r>
              <w:rPr>
                <w:rFonts w:hint="eastAsia" w:ascii="宋体" w:eastAsia="宋体" w:cs="宋体"/>
                <w:b w:val="0"/>
                <w:bCs w:val="0"/>
                <w:color w:val="auto"/>
                <w:kern w:val="0"/>
                <w:sz w:val="22"/>
                <w:szCs w:val="22"/>
                <w:highlight w:val="none"/>
                <w:lang w:val="en-US" w:eastAsia="zh-CN"/>
              </w:rPr>
              <w:t>3）</w:t>
            </w:r>
            <w:r>
              <w:rPr>
                <w:rFonts w:hint="eastAsia" w:ascii="宋体" w:hAnsi="宋体" w:eastAsia="宋体" w:cs="宋体"/>
                <w:b w:val="0"/>
                <w:bCs w:val="0"/>
                <w:color w:val="auto"/>
                <w:kern w:val="0"/>
                <w:sz w:val="22"/>
                <w:szCs w:val="22"/>
                <w:highlight w:val="none"/>
              </w:rPr>
              <w:t>方案欠缺、具有一定可行性得</w:t>
            </w:r>
            <w:r>
              <w:rPr>
                <w:rFonts w:hint="eastAsia" w:ascii="宋体" w:hAnsi="宋体" w:eastAsia="宋体" w:cs="宋体"/>
                <w:b w:val="0"/>
                <w:bCs w:val="0"/>
                <w:color w:val="auto"/>
                <w:kern w:val="0"/>
                <w:sz w:val="22"/>
                <w:szCs w:val="22"/>
                <w:highlight w:val="none"/>
                <w:lang w:val="en-US" w:eastAsia="zh-CN"/>
              </w:rPr>
              <w:t>2</w:t>
            </w:r>
            <w:r>
              <w:rPr>
                <w:rFonts w:hint="eastAsia" w:ascii="宋体" w:hAnsi="宋体" w:eastAsia="宋体" w:cs="宋体"/>
                <w:b w:val="0"/>
                <w:bCs w:val="0"/>
                <w:color w:val="auto"/>
                <w:kern w:val="0"/>
                <w:sz w:val="22"/>
                <w:szCs w:val="22"/>
                <w:highlight w:val="none"/>
              </w:rPr>
              <w:t>分；</w:t>
            </w:r>
            <w:r>
              <w:rPr>
                <w:rFonts w:hint="eastAsia" w:ascii="宋体" w:hAnsi="宋体" w:eastAsia="宋体" w:cs="宋体"/>
                <w:b w:val="0"/>
                <w:bCs w:val="0"/>
                <w:color w:val="auto"/>
                <w:kern w:val="0"/>
                <w:sz w:val="22"/>
                <w:szCs w:val="22"/>
                <w:highlight w:val="none"/>
              </w:rPr>
              <w:br w:type="textWrapping"/>
            </w:r>
            <w:r>
              <w:rPr>
                <w:rFonts w:hint="eastAsia" w:ascii="宋体" w:eastAsia="宋体" w:cs="宋体"/>
                <w:b w:val="0"/>
                <w:bCs w:val="0"/>
                <w:color w:val="auto"/>
                <w:kern w:val="0"/>
                <w:sz w:val="22"/>
                <w:szCs w:val="22"/>
                <w:highlight w:val="none"/>
                <w:lang w:eastAsia="zh-CN"/>
              </w:rPr>
              <w:t>（</w:t>
            </w:r>
            <w:r>
              <w:rPr>
                <w:rFonts w:hint="eastAsia" w:ascii="宋体" w:eastAsia="宋体" w:cs="宋体"/>
                <w:b w:val="0"/>
                <w:bCs w:val="0"/>
                <w:color w:val="auto"/>
                <w:kern w:val="0"/>
                <w:sz w:val="22"/>
                <w:szCs w:val="22"/>
                <w:highlight w:val="none"/>
                <w:lang w:val="en-US" w:eastAsia="zh-CN"/>
              </w:rPr>
              <w:t>4</w:t>
            </w:r>
            <w:r>
              <w:rPr>
                <w:rFonts w:hint="eastAsia" w:ascii="宋体" w:eastAsia="宋体" w:cs="宋体"/>
                <w:b w:val="0"/>
                <w:bCs w:val="0"/>
                <w:color w:val="auto"/>
                <w:kern w:val="0"/>
                <w:sz w:val="22"/>
                <w:szCs w:val="22"/>
                <w:highlight w:val="none"/>
                <w:lang w:eastAsia="zh-CN"/>
              </w:rPr>
              <w:t>）</w:t>
            </w:r>
            <w:r>
              <w:rPr>
                <w:rFonts w:hint="eastAsia" w:ascii="宋体" w:hAnsi="宋体" w:eastAsia="宋体" w:cs="宋体"/>
                <w:b w:val="0"/>
                <w:bCs w:val="0"/>
                <w:color w:val="auto"/>
                <w:kern w:val="0"/>
                <w:sz w:val="22"/>
                <w:szCs w:val="22"/>
                <w:highlight w:val="none"/>
              </w:rPr>
              <w:t>未提供方案</w:t>
            </w:r>
            <w:r>
              <w:rPr>
                <w:rFonts w:hint="eastAsia" w:ascii="宋体" w:hAnsi="宋体" w:eastAsia="宋体" w:cs="宋体"/>
                <w:b w:val="0"/>
                <w:bCs w:val="0"/>
                <w:color w:val="auto"/>
                <w:kern w:val="0"/>
                <w:sz w:val="22"/>
                <w:szCs w:val="22"/>
                <w:highlight w:val="none"/>
                <w:lang w:val="en-US" w:eastAsia="zh-CN"/>
              </w:rPr>
              <w:t>的，得0分</w:t>
            </w:r>
            <w:r>
              <w:rPr>
                <w:rFonts w:hint="eastAsia" w:ascii="宋体" w:hAnsi="宋体" w:eastAsia="宋体" w:cs="宋体"/>
                <w:b w:val="0"/>
                <w:bCs w:val="0"/>
                <w:color w:val="auto"/>
                <w:kern w:val="0"/>
                <w:sz w:val="22"/>
                <w:szCs w:val="22"/>
                <w:highlight w:val="none"/>
              </w:rPr>
              <w:t>。</w:t>
            </w:r>
          </w:p>
        </w:tc>
        <w:tc>
          <w:tcPr>
            <w:tcW w:w="744" w:type="dxa"/>
            <w:noWrap/>
            <w:vAlign w:val="center"/>
          </w:tcPr>
          <w:p w14:paraId="044BE586">
            <w:pPr>
              <w:widowControl/>
              <w:spacing w:line="360" w:lineRule="auto"/>
              <w:jc w:val="center"/>
              <w:rPr>
                <w:rFonts w:hint="default" w:ascii="宋体" w:eastAsia="宋体" w:cs="宋体"/>
                <w:b w:val="0"/>
                <w:bCs w:val="0"/>
                <w:color w:val="auto"/>
                <w:kern w:val="0"/>
                <w:sz w:val="22"/>
                <w:szCs w:val="22"/>
                <w:highlight w:val="none"/>
                <w:lang w:val="en-US" w:eastAsia="zh-CN"/>
              </w:rPr>
            </w:pPr>
            <w:r>
              <w:rPr>
                <w:rFonts w:hint="eastAsia" w:ascii="宋体" w:eastAsia="宋体" w:cs="宋体"/>
                <w:b w:val="0"/>
                <w:bCs w:val="0"/>
                <w:color w:val="auto"/>
                <w:kern w:val="0"/>
                <w:sz w:val="22"/>
                <w:szCs w:val="22"/>
                <w:highlight w:val="none"/>
                <w:lang w:val="en-US" w:eastAsia="zh-CN"/>
              </w:rPr>
              <w:t>6</w:t>
            </w:r>
          </w:p>
        </w:tc>
        <w:tc>
          <w:tcPr>
            <w:tcW w:w="929" w:type="dxa"/>
            <w:noWrap/>
            <w:vAlign w:val="center"/>
          </w:tcPr>
          <w:p w14:paraId="7A068612">
            <w:pPr>
              <w:widowControl/>
              <w:spacing w:line="360" w:lineRule="auto"/>
              <w:jc w:val="center"/>
              <w:rPr>
                <w:rFonts w:hint="eastAsia" w:ascii="宋体" w:eastAsia="宋体" w:cs="宋体"/>
                <w:b w:val="0"/>
                <w:bCs w:val="0"/>
                <w:color w:val="auto"/>
                <w:kern w:val="0"/>
                <w:sz w:val="22"/>
                <w:szCs w:val="22"/>
                <w:highlight w:val="none"/>
                <w:lang w:val="en-US" w:eastAsia="zh-CN"/>
              </w:rPr>
            </w:pPr>
            <w:r>
              <w:rPr>
                <w:rFonts w:hint="eastAsia" w:ascii="宋体" w:eastAsia="宋体" w:cs="宋体"/>
                <w:b w:val="0"/>
                <w:bCs w:val="0"/>
                <w:color w:val="auto"/>
                <w:kern w:val="0"/>
                <w:sz w:val="22"/>
                <w:szCs w:val="22"/>
                <w:highlight w:val="none"/>
                <w:lang w:val="en-US" w:eastAsia="zh-CN"/>
              </w:rPr>
              <w:t>主观分</w:t>
            </w:r>
          </w:p>
        </w:tc>
      </w:tr>
    </w:tbl>
    <w:p w14:paraId="3276EE39">
      <w:pPr>
        <w:pStyle w:val="20"/>
        <w:ind w:left="0" w:leftChars="0" w:firstLine="0" w:firstLineChars="0"/>
        <w:rPr>
          <w:rFonts w:hint="eastAsia" w:ascii="宋体" w:hAnsi="宋体" w:eastAsia="宋体" w:cs="宋体"/>
          <w:b w:val="0"/>
          <w:bCs w:val="0"/>
          <w:color w:val="auto"/>
          <w:highlight w:val="none"/>
        </w:rPr>
      </w:pPr>
    </w:p>
    <w:p w14:paraId="5D16C6BA">
      <w:pPr>
        <w:spacing w:line="360" w:lineRule="auto"/>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三、说明</w:t>
      </w:r>
    </w:p>
    <w:p w14:paraId="20C23814">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1、每个投标供应商最终得分=技术资信部分分值（所有磋商小组成员打分的算术平均值）+报价部分分值。</w:t>
      </w:r>
    </w:p>
    <w:p w14:paraId="5B495C0C">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2、所有分值计算保留小数点后二位，小数点后三位四舍五入。</w:t>
      </w:r>
    </w:p>
    <w:p w14:paraId="48A5A610">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3、参见本竞争性磋商采购第三部分：“投标供应商须知” 中的相关内容，未尽事宜按有关法律规定处理。</w:t>
      </w:r>
    </w:p>
    <w:sectPr>
      <w:headerReference r:id="rId18" w:type="first"/>
      <w:headerReference r:id="rId17" w:type="default"/>
      <w:footerReference r:id="rId19" w:type="default"/>
      <w:pgSz w:w="11906" w:h="16838"/>
      <w:pgMar w:top="1355" w:right="1355" w:bottom="1440" w:left="1287"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monospace">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ˎ̥">
    <w:altName w:val="Times New Roman"/>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A00006FF" w:usb1="4000205B" w:usb2="00000010" w:usb3="00000000" w:csb0="2000019F" w:csb1="00000000"/>
  </w:font>
  <w:font w:name="PMingLiU">
    <w:altName w:val="PMingLiU-ExtB"/>
    <w:panose1 w:val="02020500000000000000"/>
    <w:charset w:val="88"/>
    <w:family w:val="auto"/>
    <w:pitch w:val="default"/>
    <w:sig w:usb0="00000000" w:usb1="00000000" w:usb2="00000016" w:usb3="00000000" w:csb0="00100001" w:csb1="00000000"/>
  </w:font>
  <w:font w:name="Arial Unicode MS">
    <w:panose1 w:val="020B0604020202020204"/>
    <w:charset w:val="86"/>
    <w:family w:val="swiss"/>
    <w:pitch w:val="default"/>
    <w:sig w:usb0="FFFFFFFF" w:usb1="E9FFFFFF" w:usb2="0000003F" w:usb3="00000000" w:csb0="603F01FF" w:csb1="FFFF0000"/>
  </w:font>
  <w:font w:name="新宋体">
    <w:panose1 w:val="02010609030101010101"/>
    <w:charset w:val="86"/>
    <w:family w:val="modern"/>
    <w:pitch w:val="default"/>
    <w:sig w:usb0="00000203" w:usb1="288F0000" w:usb2="00000006" w:usb3="00000000" w:csb0="00040001" w:csb1="00000000"/>
  </w:font>
  <w:font w:name="Times">
    <w:altName w:val="Times New Roman"/>
    <w:panose1 w:val="02020603050405020304"/>
    <w:charset w:val="00"/>
    <w:family w:val="roman"/>
    <w:pitch w:val="default"/>
    <w:sig w:usb0="00000000" w:usb1="00000000" w:usb2="00000009" w:usb3="00000000" w:csb0="000001FF" w:csb1="00000000"/>
  </w:font>
  <w:font w:name="等线">
    <w:panose1 w:val="02010600030101010101"/>
    <w:charset w:val="86"/>
    <w:family w:val="auto"/>
    <w:pitch w:val="default"/>
    <w:sig w:usb0="A00002BF" w:usb1="38CF7CFA" w:usb2="00000016" w:usb3="00000000" w:csb0="0004000F" w:csb1="00000000"/>
  </w:font>
  <w:font w:name="Wingdings 2">
    <w:panose1 w:val="05020102010507070707"/>
    <w:charset w:val="02"/>
    <w:family w:val="roman"/>
    <w:pitch w:val="default"/>
    <w:sig w:usb0="00000000" w:usb1="00000000" w:usb2="00000000" w:usb3="00000000" w:csb0="8000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B1E4E8">
    <w:pPr>
      <w:pStyle w:val="31"/>
      <w:wordWrap w:val="0"/>
      <w:ind w:right="360"/>
      <w:jc w:val="right"/>
      <w:rPr>
        <w:rFonts w:ascii="宋体" w:eastAsia="宋体"/>
      </w:rPr>
    </w:pPr>
    <w:r>
      <w:rPr>
        <w:rFonts w:hint="eastAsia"/>
      </w:rPr>
      <w:t xml:space="preserve">                                                         </w:t>
    </w:r>
    <w:r>
      <w:rPr>
        <w:rFonts w:ascii="宋体" w:eastAsia="宋体"/>
      </w:rPr>
      <w:t>温州市中概工程管理咨询有限公司</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8CF92B">
    <w:pPr>
      <w:pStyle w:val="31"/>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10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91835DF">
                          <w:pPr>
                            <w:pStyle w:val="31"/>
                          </w:pPr>
                          <w:r>
                            <w:fldChar w:fldCharType="begin"/>
                          </w:r>
                          <w:r>
                            <w:instrText xml:space="preserve"> PAGE  \* MERGEFORMAT </w:instrText>
                          </w:r>
                          <w:r>
                            <w:fldChar w:fldCharType="separate"/>
                          </w:r>
                          <w:r>
                            <w:t>5</w:t>
                          </w:r>
                          <w:r>
                            <w:fldChar w:fldCharType="end"/>
                          </w:r>
                        </w:p>
                      </w:txbxContent>
                    </wps:txbx>
                    <wps:bodyPr wrap="none" lIns="0" tIns="0" rIns="0" bIns="0" upright="1">
                      <a:spAutoFit/>
                    </wps:bodyPr>
                  </wps:wsp>
                </a:graphicData>
              </a:graphic>
            </wp:anchor>
          </w:drawing>
        </mc:Choice>
        <mc:Fallback>
          <w:pict>
            <v:shape id="文本框 103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DDyaWzLAQAAnAMAAA4AAAAAAAAAAQAgAAAAHgEAAGRycy9lMm9E&#10;b2MueG1sUEsFBgAAAAAGAAYAWQEAAFsFAAAAAA==&#10;">
              <v:fill on="f" focussize="0,0"/>
              <v:stroke on="f"/>
              <v:imagedata o:title=""/>
              <o:lock v:ext="edit" aspectratio="f"/>
              <v:textbox inset="0mm,0mm,0mm,0mm" style="mso-fit-shape-to-text:t;">
                <w:txbxContent>
                  <w:p w14:paraId="391835DF">
                    <w:pPr>
                      <w:pStyle w:val="31"/>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79009C">
    <w:pPr>
      <w:pStyle w:val="31"/>
      <w:wordWrap w:val="0"/>
      <w:ind w:right="360"/>
      <w:jc w:val="right"/>
      <w:rPr>
        <w:rFonts w:ascii="宋体" w:eastAsia="宋体"/>
      </w:rP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0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F955848">
                          <w:pPr>
                            <w:pStyle w:val="31"/>
                            <w:rPr>
                              <w:rStyle w:val="48"/>
                              <w:rFonts w:ascii="宋体" w:eastAsia="宋体"/>
                            </w:rPr>
                          </w:pPr>
                          <w:r>
                            <w:rPr>
                              <w:rFonts w:ascii="宋体" w:eastAsia="宋体"/>
                            </w:rPr>
                            <w:fldChar w:fldCharType="begin"/>
                          </w:r>
                          <w:r>
                            <w:rPr>
                              <w:rStyle w:val="48"/>
                              <w:rFonts w:ascii="宋体" w:eastAsia="宋体"/>
                            </w:rPr>
                            <w:instrText xml:space="preserve">PAGE  </w:instrText>
                          </w:r>
                          <w:r>
                            <w:rPr>
                              <w:rFonts w:ascii="宋体" w:eastAsia="宋体"/>
                            </w:rPr>
                            <w:fldChar w:fldCharType="separate"/>
                          </w:r>
                          <w:r>
                            <w:rPr>
                              <w:rStyle w:val="48"/>
                              <w:rFonts w:ascii="宋体" w:eastAsia="宋体"/>
                            </w:rPr>
                            <w:t>4</w:t>
                          </w:r>
                          <w:r>
                            <w:rPr>
                              <w:rFonts w:ascii="宋体" w:eastAsia="宋体"/>
                            </w:rPr>
                            <w:fldChar w:fldCharType="end"/>
                          </w:r>
                        </w:p>
                      </w:txbxContent>
                    </wps:txbx>
                    <wps:bodyPr wrap="none" lIns="0" tIns="0" rIns="0" bIns="0" upright="1">
                      <a:spAutoFit/>
                    </wps:bodyPr>
                  </wps:wsp>
                </a:graphicData>
              </a:graphic>
            </wp:anchor>
          </w:drawing>
        </mc:Choice>
        <mc:Fallback>
          <w:pict>
            <v:shape id="文本框 1030"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DCyT93LAQAAnQMAAA4AAAAAAAAAAQAgAAAAHgEAAGRycy9lMm9E&#10;b2MueG1sUEsFBgAAAAAGAAYAWQEAAFsFAAAAAA==&#10;">
              <v:fill on="f" focussize="0,0"/>
              <v:stroke on="f"/>
              <v:imagedata o:title=""/>
              <o:lock v:ext="edit" aspectratio="f"/>
              <v:textbox inset="0mm,0mm,0mm,0mm" style="mso-fit-shape-to-text:t;">
                <w:txbxContent>
                  <w:p w14:paraId="5F955848">
                    <w:pPr>
                      <w:pStyle w:val="31"/>
                      <w:rPr>
                        <w:rStyle w:val="48"/>
                        <w:rFonts w:ascii="宋体" w:eastAsia="宋体"/>
                      </w:rPr>
                    </w:pPr>
                    <w:r>
                      <w:rPr>
                        <w:rFonts w:ascii="宋体" w:eastAsia="宋体"/>
                      </w:rPr>
                      <w:fldChar w:fldCharType="begin"/>
                    </w:r>
                    <w:r>
                      <w:rPr>
                        <w:rStyle w:val="48"/>
                        <w:rFonts w:ascii="宋体" w:eastAsia="宋体"/>
                      </w:rPr>
                      <w:instrText xml:space="preserve">PAGE  </w:instrText>
                    </w:r>
                    <w:r>
                      <w:rPr>
                        <w:rFonts w:ascii="宋体" w:eastAsia="宋体"/>
                      </w:rPr>
                      <w:fldChar w:fldCharType="separate"/>
                    </w:r>
                    <w:r>
                      <w:rPr>
                        <w:rStyle w:val="48"/>
                        <w:rFonts w:ascii="宋体" w:eastAsia="宋体"/>
                      </w:rPr>
                      <w:t>4</w:t>
                    </w:r>
                    <w:r>
                      <w:rPr>
                        <w:rFonts w:ascii="宋体" w:eastAsia="宋体"/>
                      </w:rPr>
                      <w:fldChar w:fldCharType="end"/>
                    </w:r>
                  </w:p>
                </w:txbxContent>
              </v:textbox>
            </v:shape>
          </w:pict>
        </mc:Fallback>
      </mc:AlternateContent>
    </w:r>
    <w:r>
      <w:rPr>
        <w:rFonts w:hint="eastAsia"/>
      </w:rPr>
      <w:t xml:space="preserve">                                                         </w:t>
    </w:r>
    <w:r>
      <w:rPr>
        <w:rFonts w:ascii="宋体" w:eastAsia="宋体"/>
      </w:rPr>
      <w:t>温州市中概工程管理咨询有限公司</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7C110E">
    <w:pPr>
      <w:widowControl/>
      <w:tabs>
        <w:tab w:val="center" w:pos="4153"/>
        <w:tab w:val="right" w:pos="8306"/>
      </w:tabs>
      <w:snapToGrid w:val="0"/>
      <w:rPr>
        <w:sz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C100189">
                          <w:pPr>
                            <w:widowControl/>
                            <w:tabs>
                              <w:tab w:val="center" w:pos="4153"/>
                              <w:tab w:val="right" w:pos="8306"/>
                            </w:tabs>
                            <w:snapToGrid w:val="0"/>
                            <w:jc w:val="left"/>
                            <w:textAlignment w:val="baseline"/>
                            <w:rPr>
                              <w:sz w:val="18"/>
                            </w:rPr>
                          </w:pPr>
                          <w:r>
                            <w:rPr>
                              <w:sz w:val="18"/>
                            </w:rPr>
                            <w:fldChar w:fldCharType="begin"/>
                          </w:r>
                          <w:r>
                            <w:rPr>
                              <w:sz w:val="18"/>
                            </w:rPr>
                            <w:instrText xml:space="preserve">PAGE</w:instrText>
                          </w:r>
                          <w:r>
                            <w:rPr>
                              <w:sz w:val="18"/>
                            </w:rPr>
                            <w:fldChar w:fldCharType="separate"/>
                          </w:r>
                          <w:r>
                            <w:rPr>
                              <w:sz w:val="18"/>
                            </w:rPr>
                            <w:t>29</w:t>
                          </w:r>
                          <w:r>
                            <w:rPr>
                              <w:sz w:val="18"/>
                            </w:rPr>
                            <w:fldChar w:fldCharType="end"/>
                          </w:r>
                        </w:p>
                      </w:txbxContent>
                    </wps:txbx>
                    <wps:bodyPr wrap="none" lIns="0" tIns="0" rIns="0" bIns="0" upright="1">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ConHTYzAEAAJwDAAAOAAAAAAAAAAEAIAAAAB4BAABkcnMvZTJv&#10;RG9jLnhtbFBLBQYAAAAABgAGAFkBAABcBQAAAAA=&#10;">
              <v:fill on="f" focussize="0,0"/>
              <v:stroke on="f"/>
              <v:imagedata o:title=""/>
              <o:lock v:ext="edit" aspectratio="f"/>
              <v:textbox inset="0mm,0mm,0mm,0mm" style="mso-fit-shape-to-text:t;">
                <w:txbxContent>
                  <w:p w14:paraId="6C100189">
                    <w:pPr>
                      <w:widowControl/>
                      <w:tabs>
                        <w:tab w:val="center" w:pos="4153"/>
                        <w:tab w:val="right" w:pos="8306"/>
                      </w:tabs>
                      <w:snapToGrid w:val="0"/>
                      <w:jc w:val="left"/>
                      <w:textAlignment w:val="baseline"/>
                      <w:rPr>
                        <w:sz w:val="18"/>
                      </w:rPr>
                    </w:pPr>
                    <w:r>
                      <w:rPr>
                        <w:sz w:val="18"/>
                      </w:rPr>
                      <w:fldChar w:fldCharType="begin"/>
                    </w:r>
                    <w:r>
                      <w:rPr>
                        <w:sz w:val="18"/>
                      </w:rPr>
                      <w:instrText xml:space="preserve">PAGE</w:instrText>
                    </w:r>
                    <w:r>
                      <w:rPr>
                        <w:sz w:val="18"/>
                      </w:rPr>
                      <w:fldChar w:fldCharType="separate"/>
                    </w:r>
                    <w:r>
                      <w:rPr>
                        <w:sz w:val="18"/>
                      </w:rPr>
                      <w:t>29</w:t>
                    </w:r>
                    <w:r>
                      <w:rPr>
                        <w:sz w:val="18"/>
                      </w:rPr>
                      <w:fldChar w:fldCharType="end"/>
                    </w:r>
                  </w:p>
                </w:txbxContent>
              </v:textbox>
            </v:shape>
          </w:pict>
        </mc:Fallback>
      </mc:AlternateContent>
    </w:r>
    <w:r>
      <w:rPr>
        <w:sz w:val="18"/>
      </w:rPr>
      <mc:AlternateContent>
        <mc:Choice Requires="wps">
          <w:drawing>
            <wp:anchor distT="0" distB="0" distL="114300" distR="114300" simplePos="0" relativeHeight="251659264" behindDoc="0" locked="0" layoutInCell="1" allowOverlap="1">
              <wp:simplePos x="0" y="0"/>
              <wp:positionH relativeFrom="column">
                <wp:posOffset>66675</wp:posOffset>
              </wp:positionH>
              <wp:positionV relativeFrom="paragraph">
                <wp:posOffset>-35560</wp:posOffset>
              </wp:positionV>
              <wp:extent cx="5934075" cy="0"/>
              <wp:effectExtent l="0" t="0" r="0" b="0"/>
              <wp:wrapNone/>
              <wp:docPr id="1" name="直线 1026"/>
              <wp:cNvGraphicFramePr/>
              <a:graphic xmlns:a="http://schemas.openxmlformats.org/drawingml/2006/main">
                <a:graphicData uri="http://schemas.microsoft.com/office/word/2010/wordprocessingShape">
                  <wps:wsp>
                    <wps:cNvCnPr/>
                    <wps:spPr>
                      <a:xfrm flipH="1">
                        <a:off x="0" y="0"/>
                        <a:ext cx="5934075"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直线 1026" o:spid="_x0000_s1026" o:spt="20" style="position:absolute;left:0pt;flip:x;margin-left:5.25pt;margin-top:-2.8pt;height:0pt;width:467.25pt;z-index:251659264;mso-width-relative:page;mso-height-relative:page;" filled="f" stroked="t" coordsize="21600,21600" o:gfxdata="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h5hzU9UA&#10;AAAIAQAADwAAAAAAAAABACAAAAAiAAAAZHJzL2Rvd25yZXYueG1sUEsBAhQAFAAAAAgAh07iQBuR&#10;EyfpAQAA3AMAAA4AAAAAAAAAAQAgAAAAJAEAAGRycy9lMm9Eb2MueG1sUEsFBgAAAAAGAAYAWQEA&#10;AH8FAAAAAA==&#10;">
              <v:fill on="f" focussize="0,0"/>
              <v:stroke color="#000000" joinstyle="round"/>
              <v:imagedata o:title=""/>
              <o:lock v:ext="edit" aspectratio="f"/>
            </v:line>
          </w:pict>
        </mc:Fallback>
      </mc:AlternateContent>
    </w:r>
    <w:r>
      <w:rPr>
        <w:sz w:val="18"/>
      </w:rPr>
      <w:t xml:space="preserve">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BC346A">
    <w:pPr>
      <w:pStyle w:val="31"/>
      <w:wordWrap w:val="0"/>
      <w:ind w:right="360"/>
      <w:jc w:val="right"/>
      <w:rPr>
        <w:rFonts w:ascii="宋体" w:eastAsia="宋体"/>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0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04A90BF">
                          <w:pPr>
                            <w:pStyle w:val="31"/>
                            <w:rPr>
                              <w:rStyle w:val="48"/>
                              <w:rFonts w:ascii="宋体" w:eastAsia="宋体"/>
                            </w:rPr>
                          </w:pPr>
                          <w:r>
                            <w:rPr>
                              <w:rFonts w:ascii="宋体" w:eastAsia="宋体"/>
                            </w:rPr>
                            <w:fldChar w:fldCharType="begin"/>
                          </w:r>
                          <w:r>
                            <w:rPr>
                              <w:rStyle w:val="48"/>
                              <w:rFonts w:ascii="宋体" w:eastAsia="宋体"/>
                            </w:rPr>
                            <w:instrText xml:space="preserve">PAGE  </w:instrText>
                          </w:r>
                          <w:r>
                            <w:rPr>
                              <w:rFonts w:ascii="宋体" w:eastAsia="宋体"/>
                            </w:rPr>
                            <w:fldChar w:fldCharType="separate"/>
                          </w:r>
                          <w:r>
                            <w:rPr>
                              <w:rStyle w:val="48"/>
                              <w:rFonts w:ascii="宋体" w:eastAsia="宋体"/>
                            </w:rPr>
                            <w:t>42</w:t>
                          </w:r>
                          <w:r>
                            <w:rPr>
                              <w:rFonts w:ascii="宋体" w:eastAsia="宋体"/>
                            </w:rPr>
                            <w:fldChar w:fldCharType="end"/>
                          </w:r>
                        </w:p>
                      </w:txbxContent>
                    </wps:txbx>
                    <wps:bodyPr wrap="none" lIns="0" tIns="0" rIns="0" bIns="0" upright="1">
                      <a:spAutoFit/>
                    </wps:bodyPr>
                  </wps:wsp>
                </a:graphicData>
              </a:graphic>
            </wp:anchor>
          </w:drawing>
        </mc:Choice>
        <mc:Fallback>
          <w:pict>
            <v:shape id="文本框 1033"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FkA+YPLAQAAnAMAAA4AAAAAAAAAAQAgAAAAHgEAAGRycy9lMm9E&#10;b2MueG1sUEsFBgAAAAAGAAYAWQEAAFsFAAAAAA==&#10;">
              <v:fill on="f" focussize="0,0"/>
              <v:stroke on="f"/>
              <v:imagedata o:title=""/>
              <o:lock v:ext="edit" aspectratio="f"/>
              <v:textbox inset="0mm,0mm,0mm,0mm" style="mso-fit-shape-to-text:t;">
                <w:txbxContent>
                  <w:p w14:paraId="404A90BF">
                    <w:pPr>
                      <w:pStyle w:val="31"/>
                      <w:rPr>
                        <w:rStyle w:val="48"/>
                        <w:rFonts w:ascii="宋体" w:eastAsia="宋体"/>
                      </w:rPr>
                    </w:pPr>
                    <w:r>
                      <w:rPr>
                        <w:rFonts w:ascii="宋体" w:eastAsia="宋体"/>
                      </w:rPr>
                      <w:fldChar w:fldCharType="begin"/>
                    </w:r>
                    <w:r>
                      <w:rPr>
                        <w:rStyle w:val="48"/>
                        <w:rFonts w:ascii="宋体" w:eastAsia="宋体"/>
                      </w:rPr>
                      <w:instrText xml:space="preserve">PAGE  </w:instrText>
                    </w:r>
                    <w:r>
                      <w:rPr>
                        <w:rFonts w:ascii="宋体" w:eastAsia="宋体"/>
                      </w:rPr>
                      <w:fldChar w:fldCharType="separate"/>
                    </w:r>
                    <w:r>
                      <w:rPr>
                        <w:rStyle w:val="48"/>
                        <w:rFonts w:ascii="宋体" w:eastAsia="宋体"/>
                      </w:rPr>
                      <w:t>42</w:t>
                    </w:r>
                    <w:r>
                      <w:rPr>
                        <w:rFonts w:ascii="宋体" w:eastAsia="宋体"/>
                      </w:rPr>
                      <w:fldChar w:fldCharType="end"/>
                    </w:r>
                  </w:p>
                </w:txbxContent>
              </v:textbox>
            </v:shape>
          </w:pict>
        </mc:Fallback>
      </mc:AlternateContent>
    </w:r>
    <w:r>
      <w:rPr>
        <w:rFonts w:hint="eastAsia"/>
      </w:rPr>
      <w:t xml:space="preserve">                                                         </w:t>
    </w:r>
    <w:r>
      <w:rPr>
        <w:rFonts w:ascii="宋体" w:eastAsia="宋体"/>
      </w:rPr>
      <w:t>温州市中概工程管理咨询有限公司</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A7ED46">
    <w:pPr>
      <w:pStyle w:val="31"/>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10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3421861">
                          <w:pPr>
                            <w:pStyle w:val="31"/>
                          </w:pPr>
                          <w:r>
                            <w:fldChar w:fldCharType="begin"/>
                          </w:r>
                          <w:r>
                            <w:instrText xml:space="preserve"> PAGE  \* MERGEFORMAT </w:instrText>
                          </w:r>
                          <w:r>
                            <w:fldChar w:fldCharType="separate"/>
                          </w:r>
                          <w:r>
                            <w:t>34</w:t>
                          </w:r>
                          <w:r>
                            <w:fldChar w:fldCharType="end"/>
                          </w:r>
                        </w:p>
                      </w:txbxContent>
                    </wps:txbx>
                    <wps:bodyPr wrap="none" lIns="0" tIns="0" rIns="0" bIns="0" upright="1">
                      <a:spAutoFit/>
                    </wps:bodyPr>
                  </wps:wsp>
                </a:graphicData>
              </a:graphic>
            </wp:anchor>
          </w:drawing>
        </mc:Choice>
        <mc:Fallback>
          <w:pict>
            <v:shape id="文本框 1037"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Pr/8trLAQAAnAMAAA4AAAAAAAAAAQAgAAAAHgEAAGRycy9lMm9E&#10;b2MueG1sUEsFBgAAAAAGAAYAWQEAAFsFAAAAAA==&#10;">
              <v:fill on="f" focussize="0,0"/>
              <v:stroke on="f"/>
              <v:imagedata o:title=""/>
              <o:lock v:ext="edit" aspectratio="f"/>
              <v:textbox inset="0mm,0mm,0mm,0mm" style="mso-fit-shape-to-text:t;">
                <w:txbxContent>
                  <w:p w14:paraId="43421861">
                    <w:pPr>
                      <w:pStyle w:val="31"/>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B73E2E">
    <w:pPr>
      <w:pStyle w:val="31"/>
      <w:ind w:right="720"/>
      <w:rPr>
        <w:rFonts w:ascii="宋体"/>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B06FCE">
                          <w:pPr>
                            <w:pStyle w:val="31"/>
                            <w:rPr>
                              <w:rStyle w:val="48"/>
                              <w:rFonts w:ascii="宋体"/>
                            </w:rPr>
                          </w:pPr>
                          <w:r>
                            <w:rPr>
                              <w:rFonts w:ascii="宋体"/>
                            </w:rPr>
                            <w:fldChar w:fldCharType="begin"/>
                          </w:r>
                          <w:r>
                            <w:rPr>
                              <w:rStyle w:val="48"/>
                              <w:rFonts w:ascii="宋体"/>
                            </w:rPr>
                            <w:instrText xml:space="preserve">PAGE  </w:instrText>
                          </w:r>
                          <w:r>
                            <w:rPr>
                              <w:rFonts w:ascii="宋体"/>
                            </w:rPr>
                            <w:fldChar w:fldCharType="separate"/>
                          </w:r>
                          <w:r>
                            <w:rPr>
                              <w:rStyle w:val="48"/>
                              <w:rFonts w:ascii="宋体"/>
                            </w:rPr>
                            <w:t>32</w:t>
                          </w:r>
                          <w:r>
                            <w:rPr>
                              <w:rFonts w:ascii="宋体"/>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08B06FCE">
                    <w:pPr>
                      <w:pStyle w:val="31"/>
                      <w:rPr>
                        <w:rStyle w:val="48"/>
                        <w:rFonts w:ascii="宋体"/>
                      </w:rPr>
                    </w:pPr>
                    <w:r>
                      <w:rPr>
                        <w:rFonts w:ascii="宋体"/>
                      </w:rPr>
                      <w:fldChar w:fldCharType="begin"/>
                    </w:r>
                    <w:r>
                      <w:rPr>
                        <w:rStyle w:val="48"/>
                        <w:rFonts w:ascii="宋体"/>
                      </w:rPr>
                      <w:instrText xml:space="preserve">PAGE  </w:instrText>
                    </w:r>
                    <w:r>
                      <w:rPr>
                        <w:rFonts w:ascii="宋体"/>
                      </w:rPr>
                      <w:fldChar w:fldCharType="separate"/>
                    </w:r>
                    <w:r>
                      <w:rPr>
                        <w:rStyle w:val="48"/>
                        <w:rFonts w:ascii="宋体"/>
                      </w:rPr>
                      <w:t>32</w:t>
                    </w:r>
                    <w:r>
                      <w:rPr>
                        <w:rFonts w:ascii="宋体"/>
                      </w:rPr>
                      <w:fldChar w:fldCharType="end"/>
                    </w:r>
                  </w:p>
                </w:txbxContent>
              </v:textbox>
            </v:shape>
          </w:pict>
        </mc:Fallback>
      </mc:AlternateContent>
    </w:r>
    <w:r>
      <w:rPr>
        <w:rFonts w:ascii="宋体"/>
      </w:rPr>
      <w:t>温州市中概工程管理咨询有限公司</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46697A">
    <w:pPr>
      <w:pStyle w:val="31"/>
      <w:ind w:right="720"/>
      <w:jc w:val="right"/>
      <w:rPr>
        <w:rFonts w:ascii="宋体"/>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CD43C0">
                          <w:pPr>
                            <w:pStyle w:val="31"/>
                            <w:rPr>
                              <w:rStyle w:val="48"/>
                              <w:rFonts w:ascii="宋体"/>
                            </w:rPr>
                          </w:pPr>
                          <w:r>
                            <w:rPr>
                              <w:rFonts w:ascii="宋体"/>
                            </w:rPr>
                            <w:fldChar w:fldCharType="begin"/>
                          </w:r>
                          <w:r>
                            <w:rPr>
                              <w:rStyle w:val="48"/>
                              <w:rFonts w:ascii="宋体"/>
                            </w:rPr>
                            <w:instrText xml:space="preserve">PAGE  </w:instrText>
                          </w:r>
                          <w:r>
                            <w:rPr>
                              <w:rFonts w:ascii="宋体"/>
                            </w:rPr>
                            <w:fldChar w:fldCharType="separate"/>
                          </w:r>
                          <w:r>
                            <w:rPr>
                              <w:rStyle w:val="48"/>
                              <w:rFonts w:ascii="宋体"/>
                            </w:rPr>
                            <w:t>54</w:t>
                          </w:r>
                          <w:r>
                            <w:rPr>
                              <w:rFonts w:ascii="宋体"/>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0CCD43C0">
                    <w:pPr>
                      <w:pStyle w:val="31"/>
                      <w:rPr>
                        <w:rStyle w:val="48"/>
                        <w:rFonts w:ascii="宋体"/>
                      </w:rPr>
                    </w:pPr>
                    <w:r>
                      <w:rPr>
                        <w:rFonts w:ascii="宋体"/>
                      </w:rPr>
                      <w:fldChar w:fldCharType="begin"/>
                    </w:r>
                    <w:r>
                      <w:rPr>
                        <w:rStyle w:val="48"/>
                        <w:rFonts w:ascii="宋体"/>
                      </w:rPr>
                      <w:instrText xml:space="preserve">PAGE  </w:instrText>
                    </w:r>
                    <w:r>
                      <w:rPr>
                        <w:rFonts w:ascii="宋体"/>
                      </w:rPr>
                      <w:fldChar w:fldCharType="separate"/>
                    </w:r>
                    <w:r>
                      <w:rPr>
                        <w:rStyle w:val="48"/>
                        <w:rFonts w:ascii="宋体"/>
                      </w:rPr>
                      <w:t>54</w:t>
                    </w:r>
                    <w:r>
                      <w:rPr>
                        <w:rFonts w:ascii="宋体"/>
                      </w:rPr>
                      <w:fldChar w:fldCharType="end"/>
                    </w:r>
                  </w:p>
                </w:txbxContent>
              </v:textbox>
            </v:shape>
          </w:pict>
        </mc:Fallback>
      </mc:AlternateContent>
    </w:r>
    <w:r>
      <w:rPr>
        <w:rFonts w:ascii="宋体"/>
      </w:rPr>
      <w:t>温州市中概工程管理咨询有限公司</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D27328">
    <w:pPr>
      <w:pStyle w:val="31"/>
      <w:jc w:val="right"/>
      <w:rPr>
        <w:rFonts w:ascii="宋体" w:eastAsia="宋体"/>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10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4DBFF0A">
                          <w:pPr>
                            <w:pStyle w:val="31"/>
                            <w:rPr>
                              <w:rStyle w:val="48"/>
                              <w:rFonts w:ascii="宋体" w:eastAsia="宋体"/>
                            </w:rPr>
                          </w:pPr>
                          <w:r>
                            <w:rPr>
                              <w:rFonts w:ascii="宋体" w:eastAsia="宋体"/>
                            </w:rPr>
                            <w:fldChar w:fldCharType="begin"/>
                          </w:r>
                          <w:r>
                            <w:rPr>
                              <w:rStyle w:val="48"/>
                              <w:rFonts w:ascii="宋体" w:eastAsia="宋体"/>
                            </w:rPr>
                            <w:instrText xml:space="preserve">PAGE  </w:instrText>
                          </w:r>
                          <w:r>
                            <w:rPr>
                              <w:rFonts w:ascii="宋体" w:eastAsia="宋体"/>
                            </w:rPr>
                            <w:fldChar w:fldCharType="separate"/>
                          </w:r>
                          <w:r>
                            <w:rPr>
                              <w:rStyle w:val="48"/>
                              <w:rFonts w:ascii="宋体" w:eastAsia="宋体"/>
                            </w:rPr>
                            <w:t>45</w:t>
                          </w:r>
                          <w:r>
                            <w:rPr>
                              <w:rFonts w:ascii="宋体" w:eastAsia="宋体"/>
                            </w:rPr>
                            <w:fldChar w:fldCharType="end"/>
                          </w:r>
                        </w:p>
                      </w:txbxContent>
                    </wps:txbx>
                    <wps:bodyPr wrap="none" lIns="0" tIns="0" rIns="0" bIns="0" upright="1">
                      <a:spAutoFit/>
                    </wps:bodyPr>
                  </wps:wsp>
                </a:graphicData>
              </a:graphic>
            </wp:anchor>
          </w:drawing>
        </mc:Choice>
        <mc:Fallback>
          <w:pict>
            <v:shape id="文本框 1032"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JMNYjXLAQAAnAMAAA4AAAAAAAAAAQAgAAAAHgEAAGRycy9lMm9E&#10;b2MueG1sUEsFBgAAAAAGAAYAWQEAAFsFAAAAAA==&#10;">
              <v:fill on="f" focussize="0,0"/>
              <v:stroke on="f"/>
              <v:imagedata o:title=""/>
              <o:lock v:ext="edit" aspectratio="f"/>
              <v:textbox inset="0mm,0mm,0mm,0mm" style="mso-fit-shape-to-text:t;">
                <w:txbxContent>
                  <w:p w14:paraId="34DBFF0A">
                    <w:pPr>
                      <w:pStyle w:val="31"/>
                      <w:rPr>
                        <w:rStyle w:val="48"/>
                        <w:rFonts w:ascii="宋体" w:eastAsia="宋体"/>
                      </w:rPr>
                    </w:pPr>
                    <w:r>
                      <w:rPr>
                        <w:rFonts w:ascii="宋体" w:eastAsia="宋体"/>
                      </w:rPr>
                      <w:fldChar w:fldCharType="begin"/>
                    </w:r>
                    <w:r>
                      <w:rPr>
                        <w:rStyle w:val="48"/>
                        <w:rFonts w:ascii="宋体" w:eastAsia="宋体"/>
                      </w:rPr>
                      <w:instrText xml:space="preserve">PAGE  </w:instrText>
                    </w:r>
                    <w:r>
                      <w:rPr>
                        <w:rFonts w:ascii="宋体" w:eastAsia="宋体"/>
                      </w:rPr>
                      <w:fldChar w:fldCharType="separate"/>
                    </w:r>
                    <w:r>
                      <w:rPr>
                        <w:rStyle w:val="48"/>
                        <w:rFonts w:ascii="宋体" w:eastAsia="宋体"/>
                      </w:rPr>
                      <w:t>45</w:t>
                    </w:r>
                    <w:r>
                      <w:rPr>
                        <w:rFonts w:ascii="宋体" w:eastAsia="宋体"/>
                      </w:rPr>
                      <w:fldChar w:fldCharType="end"/>
                    </w:r>
                  </w:p>
                </w:txbxContent>
              </v:textbox>
            </v:shape>
          </w:pict>
        </mc:Fallback>
      </mc:AlternateContent>
    </w:r>
    <w:r>
      <w:rPr>
        <w:rFonts w:ascii="宋体" w:eastAsia="宋体"/>
      </w:rPr>
      <w:t>温州市中概工程管理咨询有限公司</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C06B32">
    <w:pPr>
      <w:pStyle w:val="32"/>
      <w:jc w:val="both"/>
      <w:rPr>
        <w:rFonts w:ascii="宋体" w:eastAsia="宋体"/>
        <w:b w:val="0"/>
      </w:rPr>
    </w:pPr>
    <w:r>
      <w:rPr>
        <w:rFonts w:hint="eastAsia" w:ascii="宋体" w:eastAsia="宋体"/>
        <w:b w:val="0"/>
      </w:rPr>
      <w:t>永嘉县政府采购竞争性磋商文件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015C32">
    <w:pPr>
      <w:pStyle w:val="32"/>
      <w:jc w:val="both"/>
      <w:rPr>
        <w:rFonts w:ascii="宋体" w:eastAsia="宋体"/>
        <w:b w:val="0"/>
      </w:rPr>
    </w:pPr>
    <w:r>
      <w:rPr>
        <w:rFonts w:hint="eastAsia" w:ascii="宋体" w:eastAsia="宋体"/>
        <w:b w:val="0"/>
      </w:rPr>
      <w:t>永嘉县政府采购竞争性磋商文件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E8E61D">
    <w:pPr>
      <w:pStyle w:val="32"/>
      <w:jc w:val="both"/>
    </w:pPr>
    <w:r>
      <w:rPr>
        <w:rFonts w:hint="eastAsia" w:ascii="宋体" w:eastAsia="宋体"/>
        <w:b w:val="0"/>
      </w:rPr>
      <w:t>永嘉县政府采购竞争性磋商文件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741EA7">
    <w:pPr>
      <w:pStyle w:val="32"/>
      <w:jc w:val="both"/>
      <w:rPr>
        <w:rFonts w:ascii="宋体"/>
        <w:b/>
      </w:rPr>
    </w:pPr>
    <w:r>
      <w:rPr>
        <w:rFonts w:hint="eastAsia" w:ascii="宋体"/>
      </w:rPr>
      <w:t>政府采购</w:t>
    </w:r>
    <w:r>
      <w:rPr>
        <w:rFonts w:hint="eastAsia" w:ascii="宋体"/>
        <w:lang w:val="en-US" w:eastAsia="zh-CN"/>
      </w:rPr>
      <w:t>竞争性磋商</w:t>
    </w:r>
    <w:r>
      <w:rPr>
        <w:rFonts w:hint="eastAsia" w:ascii="宋体"/>
      </w:rPr>
      <w:t>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1EAE60">
    <w:pPr>
      <w:pStyle w:val="32"/>
      <w:jc w:val="both"/>
      <w:rPr>
        <w:rFonts w:ascii="宋体"/>
        <w:b/>
      </w:rPr>
    </w:pPr>
    <w:r>
      <w:rPr>
        <w:rFonts w:hint="eastAsia" w:ascii="宋体"/>
        <w:b/>
      </w:rPr>
      <w:t>政府采购招标文件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AB3906">
    <w:pPr>
      <w:pStyle w:val="32"/>
      <w:jc w:val="both"/>
      <w:rPr>
        <w:rFonts w:ascii="宋体"/>
        <w:b/>
      </w:rPr>
    </w:pPr>
    <w:r>
      <w:rPr>
        <w:rFonts w:hint="eastAsia" w:ascii="宋体"/>
        <w:b/>
      </w:rPr>
      <w:t>政府采购</w:t>
    </w:r>
    <w:r>
      <w:rPr>
        <w:rFonts w:hint="eastAsia" w:ascii="宋体"/>
        <w:b/>
        <w:lang w:val="en-US" w:eastAsia="zh-CN"/>
      </w:rPr>
      <w:t>竞争性磋商</w:t>
    </w:r>
    <w:r>
      <w:rPr>
        <w:rFonts w:hint="eastAsia" w:ascii="宋体"/>
        <w:b/>
      </w:rPr>
      <w:t>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D9256F">
    <w:pPr>
      <w:pStyle w:val="32"/>
      <w:jc w:val="both"/>
      <w:rPr>
        <w:rFonts w:ascii="宋体" w:eastAsia="宋体"/>
        <w:b w:val="0"/>
      </w:rPr>
    </w:pPr>
    <w:r>
      <w:rPr>
        <w:rFonts w:hint="eastAsia" w:ascii="宋体" w:eastAsia="宋体"/>
        <w:b w:val="0"/>
      </w:rPr>
      <w:t>永嘉县政府采购竞争性磋商文件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3A6A7C">
    <w:pPr>
      <w:pStyle w:val="32"/>
      <w:jc w:val="both"/>
      <w:rPr>
        <w:rFonts w:ascii="宋体" w:eastAsia="宋体"/>
        <w:b w:val="0"/>
      </w:rPr>
    </w:pPr>
    <w:r>
      <w:rPr>
        <w:rFonts w:hint="eastAsia" w:ascii="宋体" w:eastAsia="宋体"/>
        <w:b w:val="0"/>
      </w:rPr>
      <w:t>永嘉县政府采购竞争性磋商文件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C36006"/>
    <w:multiLevelType w:val="singleLevel"/>
    <w:tmpl w:val="89C36006"/>
    <w:lvl w:ilvl="0" w:tentative="0">
      <w:start w:val="1"/>
      <w:numFmt w:val="decimal"/>
      <w:suff w:val="nothing"/>
      <w:lvlText w:val="%1、"/>
      <w:lvlJc w:val="left"/>
    </w:lvl>
  </w:abstractNum>
  <w:abstractNum w:abstractNumId="1">
    <w:nsid w:val="9132A7DE"/>
    <w:multiLevelType w:val="singleLevel"/>
    <w:tmpl w:val="9132A7DE"/>
    <w:lvl w:ilvl="0" w:tentative="0">
      <w:start w:val="1"/>
      <w:numFmt w:val="decimal"/>
      <w:suff w:val="nothing"/>
      <w:lvlText w:val="%1．"/>
      <w:lvlJc w:val="left"/>
      <w:pPr>
        <w:ind w:left="0" w:firstLine="400"/>
      </w:pPr>
      <w:rPr>
        <w:rFonts w:hint="default"/>
      </w:rPr>
    </w:lvl>
  </w:abstractNum>
  <w:abstractNum w:abstractNumId="2">
    <w:nsid w:val="9780D570"/>
    <w:multiLevelType w:val="singleLevel"/>
    <w:tmpl w:val="9780D570"/>
    <w:lvl w:ilvl="0" w:tentative="0">
      <w:start w:val="1"/>
      <w:numFmt w:val="decimal"/>
      <w:suff w:val="nothing"/>
      <w:lvlText w:val="%1．"/>
      <w:lvlJc w:val="left"/>
      <w:pPr>
        <w:ind w:left="0" w:firstLine="400"/>
      </w:pPr>
      <w:rPr>
        <w:rFonts w:hint="default"/>
      </w:rPr>
    </w:lvl>
  </w:abstractNum>
  <w:abstractNum w:abstractNumId="3">
    <w:nsid w:val="9E372AB6"/>
    <w:multiLevelType w:val="singleLevel"/>
    <w:tmpl w:val="9E372AB6"/>
    <w:lvl w:ilvl="0" w:tentative="0">
      <w:start w:val="1"/>
      <w:numFmt w:val="chineseCounting"/>
      <w:suff w:val="nothing"/>
      <w:lvlText w:val="（%1）"/>
      <w:lvlJc w:val="left"/>
      <w:pPr>
        <w:ind w:left="0" w:firstLine="420"/>
      </w:pPr>
      <w:rPr>
        <w:rFonts w:hint="eastAsia"/>
      </w:rPr>
    </w:lvl>
  </w:abstractNum>
  <w:abstractNum w:abstractNumId="4">
    <w:nsid w:val="D06C4EA3"/>
    <w:multiLevelType w:val="singleLevel"/>
    <w:tmpl w:val="D06C4EA3"/>
    <w:lvl w:ilvl="0" w:tentative="0">
      <w:start w:val="5"/>
      <w:numFmt w:val="chineseCounting"/>
      <w:suff w:val="space"/>
      <w:lvlText w:val="第%1部分"/>
      <w:lvlJc w:val="left"/>
      <w:rPr>
        <w:rFonts w:hint="eastAsia"/>
      </w:rPr>
    </w:lvl>
  </w:abstractNum>
  <w:abstractNum w:abstractNumId="5">
    <w:nsid w:val="00000006"/>
    <w:multiLevelType w:val="singleLevel"/>
    <w:tmpl w:val="00000006"/>
    <w:lvl w:ilvl="0" w:tentative="0">
      <w:start w:val="1"/>
      <w:numFmt w:val="decimal"/>
      <w:suff w:val="nothing"/>
      <w:lvlText w:val="%1．"/>
      <w:lvlJc w:val="left"/>
      <w:pPr>
        <w:ind w:left="0" w:firstLine="400"/>
      </w:pPr>
      <w:rPr>
        <w:rFonts w:hint="default"/>
      </w:rPr>
    </w:lvl>
  </w:abstractNum>
  <w:abstractNum w:abstractNumId="6">
    <w:nsid w:val="146DE902"/>
    <w:multiLevelType w:val="singleLevel"/>
    <w:tmpl w:val="146DE902"/>
    <w:lvl w:ilvl="0" w:tentative="0">
      <w:start w:val="2"/>
      <w:numFmt w:val="chineseCounting"/>
      <w:suff w:val="nothing"/>
      <w:lvlText w:val="%1、"/>
      <w:lvlJc w:val="left"/>
      <w:rPr>
        <w:rFonts w:hint="eastAsia"/>
      </w:rPr>
    </w:lvl>
  </w:abstractNum>
  <w:abstractNum w:abstractNumId="7">
    <w:nsid w:val="26007FCA"/>
    <w:multiLevelType w:val="multilevel"/>
    <w:tmpl w:val="26007FCA"/>
    <w:lvl w:ilvl="0" w:tentative="0">
      <w:start w:val="1"/>
      <w:numFmt w:val="decimal"/>
      <w:pStyle w:val="3"/>
      <w:lvlText w:val="%1"/>
      <w:lvlJc w:val="left"/>
      <w:pPr>
        <w:tabs>
          <w:tab w:val="left" w:pos="432"/>
        </w:tabs>
        <w:ind w:left="432" w:hanging="432"/>
      </w:pPr>
      <w:rPr>
        <w:rFonts w:hint="eastAsia"/>
      </w:rPr>
    </w:lvl>
    <w:lvl w:ilvl="1" w:tentative="0">
      <w:start w:val="1"/>
      <w:numFmt w:val="decimal"/>
      <w:pStyle w:val="4"/>
      <w:lvlText w:val="%1.%2"/>
      <w:lvlJc w:val="left"/>
      <w:pPr>
        <w:tabs>
          <w:tab w:val="left" w:pos="576"/>
        </w:tabs>
        <w:ind w:left="576" w:hanging="576"/>
      </w:pPr>
      <w:rPr>
        <w:rFonts w:hint="eastAsia"/>
      </w:rPr>
    </w:lvl>
    <w:lvl w:ilvl="2" w:tentative="0">
      <w:start w:val="1"/>
      <w:numFmt w:val="decimal"/>
      <w:pStyle w:val="5"/>
      <w:lvlText w:val="%1.%2.%3"/>
      <w:lvlJc w:val="left"/>
      <w:pPr>
        <w:tabs>
          <w:tab w:val="left" w:pos="720"/>
        </w:tabs>
        <w:ind w:left="720" w:hanging="720"/>
      </w:pPr>
      <w:rPr>
        <w:rFonts w:hint="eastAsia"/>
      </w:rPr>
    </w:lvl>
    <w:lvl w:ilvl="3" w:tentative="0">
      <w:start w:val="1"/>
      <w:numFmt w:val="decimal"/>
      <w:pStyle w:val="6"/>
      <w:lvlText w:val="%1.%2.%3.%4"/>
      <w:lvlJc w:val="left"/>
      <w:pPr>
        <w:tabs>
          <w:tab w:val="left" w:pos="1440"/>
        </w:tabs>
        <w:ind w:left="1000" w:hanging="1000"/>
      </w:pPr>
      <w:rPr>
        <w:rFonts w:hint="eastAsia"/>
      </w:rPr>
    </w:lvl>
    <w:lvl w:ilvl="4" w:tentative="0">
      <w:start w:val="1"/>
      <w:numFmt w:val="decimal"/>
      <w:pStyle w:val="7"/>
      <w:lvlText w:val="%1.%2.%3.%4.%5"/>
      <w:lvlJc w:val="left"/>
      <w:pPr>
        <w:tabs>
          <w:tab w:val="left" w:pos="1008"/>
        </w:tabs>
        <w:ind w:left="1008" w:hanging="1008"/>
      </w:pPr>
      <w:rPr>
        <w:rFonts w:hint="eastAsia"/>
      </w:rPr>
    </w:lvl>
    <w:lvl w:ilvl="5" w:tentative="0">
      <w:start w:val="1"/>
      <w:numFmt w:val="decimal"/>
      <w:pStyle w:val="8"/>
      <w:lvlText w:val="%1.%2.%3.%4.%5.%6"/>
      <w:lvlJc w:val="left"/>
      <w:pPr>
        <w:tabs>
          <w:tab w:val="left" w:pos="1152"/>
        </w:tabs>
        <w:ind w:left="1152" w:hanging="1152"/>
      </w:pPr>
      <w:rPr>
        <w:rFonts w:hint="eastAsia"/>
      </w:rPr>
    </w:lvl>
    <w:lvl w:ilvl="6" w:tentative="0">
      <w:start w:val="1"/>
      <w:numFmt w:val="decimal"/>
      <w:pStyle w:val="10"/>
      <w:lvlText w:val="%1.%2.%3.%4.%5.%6.%7"/>
      <w:lvlJc w:val="left"/>
      <w:pPr>
        <w:tabs>
          <w:tab w:val="left" w:pos="1296"/>
        </w:tabs>
        <w:ind w:left="1296" w:hanging="1296"/>
      </w:pPr>
      <w:rPr>
        <w:rFonts w:hint="eastAsia"/>
      </w:rPr>
    </w:lvl>
    <w:lvl w:ilvl="7" w:tentative="0">
      <w:start w:val="1"/>
      <w:numFmt w:val="decimal"/>
      <w:pStyle w:val="11"/>
      <w:lvlText w:val="%1.%2.%3.%4.%5.%6.%7.%8"/>
      <w:lvlJc w:val="left"/>
      <w:pPr>
        <w:tabs>
          <w:tab w:val="left" w:pos="1440"/>
        </w:tabs>
        <w:ind w:left="1440" w:hanging="1440"/>
      </w:pPr>
      <w:rPr>
        <w:rFonts w:hint="eastAsia"/>
      </w:rPr>
    </w:lvl>
    <w:lvl w:ilvl="8" w:tentative="0">
      <w:start w:val="1"/>
      <w:numFmt w:val="decimal"/>
      <w:pStyle w:val="12"/>
      <w:lvlText w:val="%1.%2.%3.%4.%5.%6.%7.%8.%9"/>
      <w:lvlJc w:val="left"/>
      <w:pPr>
        <w:tabs>
          <w:tab w:val="left" w:pos="1584"/>
        </w:tabs>
        <w:ind w:left="1584" w:hanging="1584"/>
      </w:pPr>
      <w:rPr>
        <w:rFonts w:hint="eastAsia"/>
      </w:rPr>
    </w:lvl>
  </w:abstractNum>
  <w:abstractNum w:abstractNumId="8">
    <w:nsid w:val="438437E0"/>
    <w:multiLevelType w:val="singleLevel"/>
    <w:tmpl w:val="438437E0"/>
    <w:lvl w:ilvl="0" w:tentative="0">
      <w:start w:val="1"/>
      <w:numFmt w:val="decimal"/>
      <w:lvlText w:val="(%1)"/>
      <w:lvlJc w:val="left"/>
      <w:pPr>
        <w:ind w:left="425" w:hanging="425"/>
      </w:pPr>
      <w:rPr>
        <w:rFonts w:hint="default"/>
      </w:rPr>
    </w:lvl>
  </w:abstractNum>
  <w:abstractNum w:abstractNumId="9">
    <w:nsid w:val="4AA559D9"/>
    <w:multiLevelType w:val="singleLevel"/>
    <w:tmpl w:val="4AA559D9"/>
    <w:lvl w:ilvl="0" w:tentative="0">
      <w:start w:val="1"/>
      <w:numFmt w:val="bullet"/>
      <w:lvlText w:val=""/>
      <w:lvlJc w:val="left"/>
      <w:pPr>
        <w:tabs>
          <w:tab w:val="left" w:pos="425"/>
        </w:tabs>
        <w:ind w:left="425" w:hanging="425"/>
      </w:pPr>
      <w:rPr>
        <w:rFonts w:hint="default" w:ascii="Wingdings" w:hAnsi="Wingdings"/>
      </w:rPr>
    </w:lvl>
  </w:abstractNum>
  <w:num w:numId="1">
    <w:abstractNumId w:val="7"/>
  </w:num>
  <w:num w:numId="2">
    <w:abstractNumId w:val="0"/>
  </w:num>
  <w:num w:numId="3">
    <w:abstractNumId w:val="3"/>
    <w:lvlOverride w:ilvl="0">
      <w:startOverride w:val="1"/>
    </w:lvlOverride>
  </w:num>
  <w:num w:numId="4">
    <w:abstractNumId w:val="8"/>
  </w:num>
  <w:num w:numId="5">
    <w:abstractNumId w:val="9"/>
  </w:num>
  <w:num w:numId="6">
    <w:abstractNumId w:val="4"/>
  </w:num>
  <w:num w:numId="7">
    <w:abstractNumId w:val="5"/>
  </w:num>
  <w:num w:numId="8">
    <w:abstractNumId w:val="2"/>
  </w:num>
  <w:num w:numId="9">
    <w:abstractNumId w:val="1"/>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evenAndOddHeaders w:val="1"/>
  <w:drawingGridHorizontalSpacing w:val="211"/>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Y3MzRhNGU0YTJiZGQzZDEyM2Q3ZGQ2YTc1YTRjNGEifQ=="/>
  </w:docVars>
  <w:rsids>
    <w:rsidRoot w:val="00FE7518"/>
    <w:rsid w:val="00000BCE"/>
    <w:rsid w:val="00001535"/>
    <w:rsid w:val="00001A16"/>
    <w:rsid w:val="0000209F"/>
    <w:rsid w:val="00003778"/>
    <w:rsid w:val="00003978"/>
    <w:rsid w:val="00004015"/>
    <w:rsid w:val="000049D8"/>
    <w:rsid w:val="0000568B"/>
    <w:rsid w:val="00005B61"/>
    <w:rsid w:val="00012A31"/>
    <w:rsid w:val="00012FA4"/>
    <w:rsid w:val="00013662"/>
    <w:rsid w:val="00014581"/>
    <w:rsid w:val="00015CE6"/>
    <w:rsid w:val="000205DC"/>
    <w:rsid w:val="00024F68"/>
    <w:rsid w:val="0002712D"/>
    <w:rsid w:val="000341BE"/>
    <w:rsid w:val="00034BC1"/>
    <w:rsid w:val="00037660"/>
    <w:rsid w:val="0003787E"/>
    <w:rsid w:val="00037CA9"/>
    <w:rsid w:val="00040739"/>
    <w:rsid w:val="00041953"/>
    <w:rsid w:val="00042F04"/>
    <w:rsid w:val="0004308D"/>
    <w:rsid w:val="00043911"/>
    <w:rsid w:val="000442AB"/>
    <w:rsid w:val="000447FA"/>
    <w:rsid w:val="00044D10"/>
    <w:rsid w:val="00045483"/>
    <w:rsid w:val="00045FF4"/>
    <w:rsid w:val="000509D7"/>
    <w:rsid w:val="000523CA"/>
    <w:rsid w:val="0005318F"/>
    <w:rsid w:val="00054CFD"/>
    <w:rsid w:val="0005616E"/>
    <w:rsid w:val="00056503"/>
    <w:rsid w:val="000574CB"/>
    <w:rsid w:val="00060797"/>
    <w:rsid w:val="00060C76"/>
    <w:rsid w:val="0006187C"/>
    <w:rsid w:val="00061CA7"/>
    <w:rsid w:val="00062BBF"/>
    <w:rsid w:val="00062E8C"/>
    <w:rsid w:val="00065550"/>
    <w:rsid w:val="000660DB"/>
    <w:rsid w:val="000665DB"/>
    <w:rsid w:val="0006708D"/>
    <w:rsid w:val="00067277"/>
    <w:rsid w:val="00070FC1"/>
    <w:rsid w:val="00072106"/>
    <w:rsid w:val="00072A5C"/>
    <w:rsid w:val="00072B89"/>
    <w:rsid w:val="00073266"/>
    <w:rsid w:val="000733E7"/>
    <w:rsid w:val="00074597"/>
    <w:rsid w:val="00076D91"/>
    <w:rsid w:val="000779CA"/>
    <w:rsid w:val="000800E7"/>
    <w:rsid w:val="00081907"/>
    <w:rsid w:val="0008309A"/>
    <w:rsid w:val="00084975"/>
    <w:rsid w:val="0008539C"/>
    <w:rsid w:val="00086937"/>
    <w:rsid w:val="00087A70"/>
    <w:rsid w:val="0009096E"/>
    <w:rsid w:val="00090B45"/>
    <w:rsid w:val="0009165F"/>
    <w:rsid w:val="00091C24"/>
    <w:rsid w:val="000938FD"/>
    <w:rsid w:val="00095895"/>
    <w:rsid w:val="00095AEA"/>
    <w:rsid w:val="00096907"/>
    <w:rsid w:val="000973A2"/>
    <w:rsid w:val="000975BF"/>
    <w:rsid w:val="000A0CFB"/>
    <w:rsid w:val="000A1751"/>
    <w:rsid w:val="000A3160"/>
    <w:rsid w:val="000A3A39"/>
    <w:rsid w:val="000A3FE5"/>
    <w:rsid w:val="000A40A8"/>
    <w:rsid w:val="000A4281"/>
    <w:rsid w:val="000A4D72"/>
    <w:rsid w:val="000A66A3"/>
    <w:rsid w:val="000B1B62"/>
    <w:rsid w:val="000B22B1"/>
    <w:rsid w:val="000B281D"/>
    <w:rsid w:val="000B6727"/>
    <w:rsid w:val="000B7046"/>
    <w:rsid w:val="000C1EAB"/>
    <w:rsid w:val="000C1F34"/>
    <w:rsid w:val="000C2552"/>
    <w:rsid w:val="000C3CC7"/>
    <w:rsid w:val="000C3DA7"/>
    <w:rsid w:val="000C3DEB"/>
    <w:rsid w:val="000C4465"/>
    <w:rsid w:val="000C5F54"/>
    <w:rsid w:val="000C643F"/>
    <w:rsid w:val="000C64F4"/>
    <w:rsid w:val="000D0681"/>
    <w:rsid w:val="000D2A91"/>
    <w:rsid w:val="000D41E7"/>
    <w:rsid w:val="000D6163"/>
    <w:rsid w:val="000D67E1"/>
    <w:rsid w:val="000E09F8"/>
    <w:rsid w:val="000E0DDD"/>
    <w:rsid w:val="000E0E8B"/>
    <w:rsid w:val="000E2084"/>
    <w:rsid w:val="000E2510"/>
    <w:rsid w:val="000E2B46"/>
    <w:rsid w:val="000E351D"/>
    <w:rsid w:val="000E4B1F"/>
    <w:rsid w:val="000E4D5C"/>
    <w:rsid w:val="000E50C5"/>
    <w:rsid w:val="000E71D1"/>
    <w:rsid w:val="000E7AF6"/>
    <w:rsid w:val="000F39B6"/>
    <w:rsid w:val="000F3DBE"/>
    <w:rsid w:val="000F3FEF"/>
    <w:rsid w:val="000F64E5"/>
    <w:rsid w:val="000F70E4"/>
    <w:rsid w:val="000F7379"/>
    <w:rsid w:val="000F7B24"/>
    <w:rsid w:val="00100AD4"/>
    <w:rsid w:val="00102B0D"/>
    <w:rsid w:val="0010338D"/>
    <w:rsid w:val="00104387"/>
    <w:rsid w:val="00104DF3"/>
    <w:rsid w:val="00104F29"/>
    <w:rsid w:val="00106538"/>
    <w:rsid w:val="0010682E"/>
    <w:rsid w:val="001070D4"/>
    <w:rsid w:val="00110097"/>
    <w:rsid w:val="001102EF"/>
    <w:rsid w:val="0011156A"/>
    <w:rsid w:val="00111649"/>
    <w:rsid w:val="0011198F"/>
    <w:rsid w:val="0011209E"/>
    <w:rsid w:val="0011243F"/>
    <w:rsid w:val="00112BFF"/>
    <w:rsid w:val="0011309B"/>
    <w:rsid w:val="00113F34"/>
    <w:rsid w:val="001141EC"/>
    <w:rsid w:val="001143F2"/>
    <w:rsid w:val="00120AAB"/>
    <w:rsid w:val="001223E4"/>
    <w:rsid w:val="00122644"/>
    <w:rsid w:val="00124D66"/>
    <w:rsid w:val="00126147"/>
    <w:rsid w:val="00126DC1"/>
    <w:rsid w:val="00127776"/>
    <w:rsid w:val="00131CD7"/>
    <w:rsid w:val="001339BE"/>
    <w:rsid w:val="001340D4"/>
    <w:rsid w:val="0013434C"/>
    <w:rsid w:val="00134ED2"/>
    <w:rsid w:val="00136E35"/>
    <w:rsid w:val="00136E81"/>
    <w:rsid w:val="00137AAD"/>
    <w:rsid w:val="00140393"/>
    <w:rsid w:val="001404E7"/>
    <w:rsid w:val="00140EAB"/>
    <w:rsid w:val="00141245"/>
    <w:rsid w:val="00143D08"/>
    <w:rsid w:val="001442A0"/>
    <w:rsid w:val="0014454E"/>
    <w:rsid w:val="0014548C"/>
    <w:rsid w:val="001456F6"/>
    <w:rsid w:val="001464A4"/>
    <w:rsid w:val="00146A90"/>
    <w:rsid w:val="00146E5E"/>
    <w:rsid w:val="00147070"/>
    <w:rsid w:val="00152000"/>
    <w:rsid w:val="0015304F"/>
    <w:rsid w:val="0015343A"/>
    <w:rsid w:val="0015493E"/>
    <w:rsid w:val="001555A1"/>
    <w:rsid w:val="00155A2F"/>
    <w:rsid w:val="00155ED1"/>
    <w:rsid w:val="001566CF"/>
    <w:rsid w:val="00157C61"/>
    <w:rsid w:val="00157CB4"/>
    <w:rsid w:val="00160981"/>
    <w:rsid w:val="001612FB"/>
    <w:rsid w:val="00162489"/>
    <w:rsid w:val="0016301D"/>
    <w:rsid w:val="00165080"/>
    <w:rsid w:val="00166FCF"/>
    <w:rsid w:val="00167FA0"/>
    <w:rsid w:val="00170EEF"/>
    <w:rsid w:val="0017111C"/>
    <w:rsid w:val="00171C34"/>
    <w:rsid w:val="00172883"/>
    <w:rsid w:val="001736B7"/>
    <w:rsid w:val="00173ADF"/>
    <w:rsid w:val="001744BB"/>
    <w:rsid w:val="00177522"/>
    <w:rsid w:val="001777E1"/>
    <w:rsid w:val="001804D0"/>
    <w:rsid w:val="0018213F"/>
    <w:rsid w:val="00182575"/>
    <w:rsid w:val="001833ED"/>
    <w:rsid w:val="001837B7"/>
    <w:rsid w:val="0018414B"/>
    <w:rsid w:val="0018426D"/>
    <w:rsid w:val="00184978"/>
    <w:rsid w:val="00185D4F"/>
    <w:rsid w:val="00194154"/>
    <w:rsid w:val="001943C4"/>
    <w:rsid w:val="00195185"/>
    <w:rsid w:val="001965B1"/>
    <w:rsid w:val="001A1F7B"/>
    <w:rsid w:val="001A20B6"/>
    <w:rsid w:val="001A39B2"/>
    <w:rsid w:val="001A3DFA"/>
    <w:rsid w:val="001A5CC7"/>
    <w:rsid w:val="001A7CE4"/>
    <w:rsid w:val="001B0053"/>
    <w:rsid w:val="001B03FE"/>
    <w:rsid w:val="001B0AC3"/>
    <w:rsid w:val="001B14EC"/>
    <w:rsid w:val="001B2DE1"/>
    <w:rsid w:val="001B422C"/>
    <w:rsid w:val="001B495D"/>
    <w:rsid w:val="001B5B8D"/>
    <w:rsid w:val="001B610C"/>
    <w:rsid w:val="001B7362"/>
    <w:rsid w:val="001B736E"/>
    <w:rsid w:val="001B7A64"/>
    <w:rsid w:val="001C0E06"/>
    <w:rsid w:val="001C1A9C"/>
    <w:rsid w:val="001C26B3"/>
    <w:rsid w:val="001C3149"/>
    <w:rsid w:val="001C4D4D"/>
    <w:rsid w:val="001C5815"/>
    <w:rsid w:val="001C6306"/>
    <w:rsid w:val="001D132A"/>
    <w:rsid w:val="001D28BF"/>
    <w:rsid w:val="001D3362"/>
    <w:rsid w:val="001D37C4"/>
    <w:rsid w:val="001D4315"/>
    <w:rsid w:val="001D6EBA"/>
    <w:rsid w:val="001D7DC4"/>
    <w:rsid w:val="001E07BA"/>
    <w:rsid w:val="001E18C6"/>
    <w:rsid w:val="001E1B9A"/>
    <w:rsid w:val="001E1DFB"/>
    <w:rsid w:val="001E2AEC"/>
    <w:rsid w:val="001E3CC8"/>
    <w:rsid w:val="001E40F4"/>
    <w:rsid w:val="001E45B4"/>
    <w:rsid w:val="001E57DA"/>
    <w:rsid w:val="001E5BD9"/>
    <w:rsid w:val="001E5EEC"/>
    <w:rsid w:val="001E72A1"/>
    <w:rsid w:val="001E7AC3"/>
    <w:rsid w:val="001E7EE7"/>
    <w:rsid w:val="001F0267"/>
    <w:rsid w:val="001F0F29"/>
    <w:rsid w:val="001F1ACC"/>
    <w:rsid w:val="001F1AE1"/>
    <w:rsid w:val="001F1B08"/>
    <w:rsid w:val="001F1DF5"/>
    <w:rsid w:val="001F274C"/>
    <w:rsid w:val="001F3E0A"/>
    <w:rsid w:val="001F49B9"/>
    <w:rsid w:val="001F5975"/>
    <w:rsid w:val="001F74B4"/>
    <w:rsid w:val="001F783E"/>
    <w:rsid w:val="00200C8D"/>
    <w:rsid w:val="002021CC"/>
    <w:rsid w:val="00205B25"/>
    <w:rsid w:val="002063E8"/>
    <w:rsid w:val="00207FAA"/>
    <w:rsid w:val="00210D0A"/>
    <w:rsid w:val="00210D78"/>
    <w:rsid w:val="00212D19"/>
    <w:rsid w:val="0021382F"/>
    <w:rsid w:val="00213FD3"/>
    <w:rsid w:val="00213FED"/>
    <w:rsid w:val="00215208"/>
    <w:rsid w:val="0021529B"/>
    <w:rsid w:val="002158C1"/>
    <w:rsid w:val="00216D28"/>
    <w:rsid w:val="00217010"/>
    <w:rsid w:val="0021795A"/>
    <w:rsid w:val="0021797D"/>
    <w:rsid w:val="002204F0"/>
    <w:rsid w:val="00222D3D"/>
    <w:rsid w:val="002255D6"/>
    <w:rsid w:val="0023238C"/>
    <w:rsid w:val="00234DFD"/>
    <w:rsid w:val="002354CC"/>
    <w:rsid w:val="00235573"/>
    <w:rsid w:val="002356C8"/>
    <w:rsid w:val="00235EF8"/>
    <w:rsid w:val="002373B4"/>
    <w:rsid w:val="00237445"/>
    <w:rsid w:val="00240C56"/>
    <w:rsid w:val="00240D14"/>
    <w:rsid w:val="002410B8"/>
    <w:rsid w:val="00242A67"/>
    <w:rsid w:val="00242C39"/>
    <w:rsid w:val="00243B80"/>
    <w:rsid w:val="00244D8B"/>
    <w:rsid w:val="002450C9"/>
    <w:rsid w:val="002471F3"/>
    <w:rsid w:val="00247FBD"/>
    <w:rsid w:val="0025002F"/>
    <w:rsid w:val="00250440"/>
    <w:rsid w:val="00251121"/>
    <w:rsid w:val="00251200"/>
    <w:rsid w:val="002521CD"/>
    <w:rsid w:val="00252652"/>
    <w:rsid w:val="002533A1"/>
    <w:rsid w:val="00253D1A"/>
    <w:rsid w:val="002567B2"/>
    <w:rsid w:val="0025700A"/>
    <w:rsid w:val="002606D4"/>
    <w:rsid w:val="00262173"/>
    <w:rsid w:val="0026228F"/>
    <w:rsid w:val="00262DA7"/>
    <w:rsid w:val="00265D80"/>
    <w:rsid w:val="00267DBD"/>
    <w:rsid w:val="00270475"/>
    <w:rsid w:val="002722D7"/>
    <w:rsid w:val="0027383A"/>
    <w:rsid w:val="00273DC9"/>
    <w:rsid w:val="002750AA"/>
    <w:rsid w:val="00282C68"/>
    <w:rsid w:val="00284276"/>
    <w:rsid w:val="002843D5"/>
    <w:rsid w:val="002848B8"/>
    <w:rsid w:val="00284B0D"/>
    <w:rsid w:val="00286849"/>
    <w:rsid w:val="0028788F"/>
    <w:rsid w:val="0029125C"/>
    <w:rsid w:val="0029206C"/>
    <w:rsid w:val="00293027"/>
    <w:rsid w:val="00293274"/>
    <w:rsid w:val="00293EBE"/>
    <w:rsid w:val="002940D9"/>
    <w:rsid w:val="0029506B"/>
    <w:rsid w:val="0029547E"/>
    <w:rsid w:val="00295F93"/>
    <w:rsid w:val="002A0357"/>
    <w:rsid w:val="002A23FE"/>
    <w:rsid w:val="002A2F17"/>
    <w:rsid w:val="002A4D0C"/>
    <w:rsid w:val="002A616D"/>
    <w:rsid w:val="002A6F6E"/>
    <w:rsid w:val="002A7AA0"/>
    <w:rsid w:val="002A7DEE"/>
    <w:rsid w:val="002B13F1"/>
    <w:rsid w:val="002B1ACC"/>
    <w:rsid w:val="002B1D47"/>
    <w:rsid w:val="002B1D4F"/>
    <w:rsid w:val="002B227D"/>
    <w:rsid w:val="002B22E5"/>
    <w:rsid w:val="002B3C1D"/>
    <w:rsid w:val="002B433A"/>
    <w:rsid w:val="002B5824"/>
    <w:rsid w:val="002B67DC"/>
    <w:rsid w:val="002C0234"/>
    <w:rsid w:val="002C0F8B"/>
    <w:rsid w:val="002C3005"/>
    <w:rsid w:val="002C343B"/>
    <w:rsid w:val="002C3869"/>
    <w:rsid w:val="002C51D6"/>
    <w:rsid w:val="002C5BB3"/>
    <w:rsid w:val="002C5E94"/>
    <w:rsid w:val="002C731C"/>
    <w:rsid w:val="002C7B95"/>
    <w:rsid w:val="002D07FE"/>
    <w:rsid w:val="002D1823"/>
    <w:rsid w:val="002D3B35"/>
    <w:rsid w:val="002D55E4"/>
    <w:rsid w:val="002D6894"/>
    <w:rsid w:val="002E0E77"/>
    <w:rsid w:val="002E1D1D"/>
    <w:rsid w:val="002E2534"/>
    <w:rsid w:val="002E3856"/>
    <w:rsid w:val="002E3FE3"/>
    <w:rsid w:val="002E5B29"/>
    <w:rsid w:val="002E6505"/>
    <w:rsid w:val="002F08BC"/>
    <w:rsid w:val="002F127C"/>
    <w:rsid w:val="002F1D52"/>
    <w:rsid w:val="002F581F"/>
    <w:rsid w:val="002F5FDD"/>
    <w:rsid w:val="003017DD"/>
    <w:rsid w:val="003019C3"/>
    <w:rsid w:val="003022D9"/>
    <w:rsid w:val="0030291B"/>
    <w:rsid w:val="0030429E"/>
    <w:rsid w:val="00306667"/>
    <w:rsid w:val="00306BB2"/>
    <w:rsid w:val="003075BD"/>
    <w:rsid w:val="00310163"/>
    <w:rsid w:val="00310B53"/>
    <w:rsid w:val="00311034"/>
    <w:rsid w:val="00312F6F"/>
    <w:rsid w:val="003132F0"/>
    <w:rsid w:val="003138F8"/>
    <w:rsid w:val="00313906"/>
    <w:rsid w:val="00316026"/>
    <w:rsid w:val="00316256"/>
    <w:rsid w:val="00316F37"/>
    <w:rsid w:val="00320A0D"/>
    <w:rsid w:val="00321CBE"/>
    <w:rsid w:val="0032258C"/>
    <w:rsid w:val="00323A5A"/>
    <w:rsid w:val="0032412A"/>
    <w:rsid w:val="0032480A"/>
    <w:rsid w:val="003301BE"/>
    <w:rsid w:val="00336BF9"/>
    <w:rsid w:val="003377FC"/>
    <w:rsid w:val="00337E3E"/>
    <w:rsid w:val="0034033F"/>
    <w:rsid w:val="003417FD"/>
    <w:rsid w:val="00341CB5"/>
    <w:rsid w:val="003423A0"/>
    <w:rsid w:val="00342955"/>
    <w:rsid w:val="003442C0"/>
    <w:rsid w:val="003461B2"/>
    <w:rsid w:val="00346AF4"/>
    <w:rsid w:val="00353807"/>
    <w:rsid w:val="00354489"/>
    <w:rsid w:val="0035706A"/>
    <w:rsid w:val="00357A93"/>
    <w:rsid w:val="00360CEA"/>
    <w:rsid w:val="0036286A"/>
    <w:rsid w:val="00362C7B"/>
    <w:rsid w:val="00364CEB"/>
    <w:rsid w:val="00366F52"/>
    <w:rsid w:val="00367865"/>
    <w:rsid w:val="003702A8"/>
    <w:rsid w:val="003717AA"/>
    <w:rsid w:val="00371C38"/>
    <w:rsid w:val="0037468B"/>
    <w:rsid w:val="00376AF8"/>
    <w:rsid w:val="0037776C"/>
    <w:rsid w:val="00380CD6"/>
    <w:rsid w:val="0038456D"/>
    <w:rsid w:val="00384BD9"/>
    <w:rsid w:val="003859ED"/>
    <w:rsid w:val="0038615C"/>
    <w:rsid w:val="00386828"/>
    <w:rsid w:val="0038758F"/>
    <w:rsid w:val="00393038"/>
    <w:rsid w:val="003930D7"/>
    <w:rsid w:val="00393204"/>
    <w:rsid w:val="00394B55"/>
    <w:rsid w:val="00394DAB"/>
    <w:rsid w:val="0039582C"/>
    <w:rsid w:val="003A1187"/>
    <w:rsid w:val="003A1FA3"/>
    <w:rsid w:val="003A30A9"/>
    <w:rsid w:val="003A3720"/>
    <w:rsid w:val="003A43B9"/>
    <w:rsid w:val="003A4626"/>
    <w:rsid w:val="003A6D23"/>
    <w:rsid w:val="003A6FE3"/>
    <w:rsid w:val="003A7CCC"/>
    <w:rsid w:val="003B3A8E"/>
    <w:rsid w:val="003B47DA"/>
    <w:rsid w:val="003C05E2"/>
    <w:rsid w:val="003C0B1B"/>
    <w:rsid w:val="003C2649"/>
    <w:rsid w:val="003C29BA"/>
    <w:rsid w:val="003C6213"/>
    <w:rsid w:val="003C6352"/>
    <w:rsid w:val="003C7955"/>
    <w:rsid w:val="003D070B"/>
    <w:rsid w:val="003D1904"/>
    <w:rsid w:val="003D221B"/>
    <w:rsid w:val="003D31C7"/>
    <w:rsid w:val="003D4C81"/>
    <w:rsid w:val="003D5B02"/>
    <w:rsid w:val="003D5E95"/>
    <w:rsid w:val="003D6A34"/>
    <w:rsid w:val="003D6CCC"/>
    <w:rsid w:val="003D7577"/>
    <w:rsid w:val="003E12DB"/>
    <w:rsid w:val="003E410A"/>
    <w:rsid w:val="003E5CE2"/>
    <w:rsid w:val="003E6758"/>
    <w:rsid w:val="003E6D3B"/>
    <w:rsid w:val="003E73C2"/>
    <w:rsid w:val="003F1591"/>
    <w:rsid w:val="003F1A1C"/>
    <w:rsid w:val="003F260E"/>
    <w:rsid w:val="003F28B7"/>
    <w:rsid w:val="003F55CD"/>
    <w:rsid w:val="003F64C4"/>
    <w:rsid w:val="00400AA5"/>
    <w:rsid w:val="004015C3"/>
    <w:rsid w:val="004028A4"/>
    <w:rsid w:val="00403119"/>
    <w:rsid w:val="00403329"/>
    <w:rsid w:val="004050F6"/>
    <w:rsid w:val="00406D56"/>
    <w:rsid w:val="00411403"/>
    <w:rsid w:val="004115A8"/>
    <w:rsid w:val="004133DB"/>
    <w:rsid w:val="004135DF"/>
    <w:rsid w:val="00413C57"/>
    <w:rsid w:val="0041403E"/>
    <w:rsid w:val="00414412"/>
    <w:rsid w:val="00416EF0"/>
    <w:rsid w:val="00417F0D"/>
    <w:rsid w:val="00420497"/>
    <w:rsid w:val="0042120A"/>
    <w:rsid w:val="004216A8"/>
    <w:rsid w:val="004217D2"/>
    <w:rsid w:val="0042345C"/>
    <w:rsid w:val="00423470"/>
    <w:rsid w:val="0042361D"/>
    <w:rsid w:val="00424BA0"/>
    <w:rsid w:val="004278C6"/>
    <w:rsid w:val="0043057C"/>
    <w:rsid w:val="00434763"/>
    <w:rsid w:val="00434FA0"/>
    <w:rsid w:val="00435802"/>
    <w:rsid w:val="00436216"/>
    <w:rsid w:val="00437191"/>
    <w:rsid w:val="004371E1"/>
    <w:rsid w:val="00440FD8"/>
    <w:rsid w:val="00441267"/>
    <w:rsid w:val="00441820"/>
    <w:rsid w:val="00441DDC"/>
    <w:rsid w:val="00442842"/>
    <w:rsid w:val="00443DB5"/>
    <w:rsid w:val="004477BA"/>
    <w:rsid w:val="00451582"/>
    <w:rsid w:val="004523D9"/>
    <w:rsid w:val="004523FC"/>
    <w:rsid w:val="00454BC3"/>
    <w:rsid w:val="00455A63"/>
    <w:rsid w:val="004619EF"/>
    <w:rsid w:val="004633DC"/>
    <w:rsid w:val="00463DE2"/>
    <w:rsid w:val="00463FA6"/>
    <w:rsid w:val="00464353"/>
    <w:rsid w:val="004668A5"/>
    <w:rsid w:val="004676DB"/>
    <w:rsid w:val="00470D76"/>
    <w:rsid w:val="00471192"/>
    <w:rsid w:val="00472769"/>
    <w:rsid w:val="00481EB8"/>
    <w:rsid w:val="0048202D"/>
    <w:rsid w:val="00484BE8"/>
    <w:rsid w:val="004861D1"/>
    <w:rsid w:val="00487BD9"/>
    <w:rsid w:val="00492AED"/>
    <w:rsid w:val="00494873"/>
    <w:rsid w:val="00495780"/>
    <w:rsid w:val="00495CC0"/>
    <w:rsid w:val="00495EF7"/>
    <w:rsid w:val="004962A2"/>
    <w:rsid w:val="00496CA3"/>
    <w:rsid w:val="00496CD7"/>
    <w:rsid w:val="0049714D"/>
    <w:rsid w:val="00497C86"/>
    <w:rsid w:val="004A3132"/>
    <w:rsid w:val="004A358F"/>
    <w:rsid w:val="004A38A8"/>
    <w:rsid w:val="004A5A66"/>
    <w:rsid w:val="004A5D2E"/>
    <w:rsid w:val="004A5DD6"/>
    <w:rsid w:val="004A6ED4"/>
    <w:rsid w:val="004B0C5C"/>
    <w:rsid w:val="004B1232"/>
    <w:rsid w:val="004B19BB"/>
    <w:rsid w:val="004B1A2C"/>
    <w:rsid w:val="004B4081"/>
    <w:rsid w:val="004B4B7D"/>
    <w:rsid w:val="004B4F5C"/>
    <w:rsid w:val="004B68F7"/>
    <w:rsid w:val="004B7911"/>
    <w:rsid w:val="004C1888"/>
    <w:rsid w:val="004C24B9"/>
    <w:rsid w:val="004C3990"/>
    <w:rsid w:val="004C6D91"/>
    <w:rsid w:val="004C7EBB"/>
    <w:rsid w:val="004D04B9"/>
    <w:rsid w:val="004D2913"/>
    <w:rsid w:val="004D2F25"/>
    <w:rsid w:val="004D56C8"/>
    <w:rsid w:val="004D5990"/>
    <w:rsid w:val="004D6E62"/>
    <w:rsid w:val="004D6F3E"/>
    <w:rsid w:val="004D701B"/>
    <w:rsid w:val="004E1BAF"/>
    <w:rsid w:val="004E1C16"/>
    <w:rsid w:val="004E1EF8"/>
    <w:rsid w:val="004E208A"/>
    <w:rsid w:val="004E3092"/>
    <w:rsid w:val="004E36FA"/>
    <w:rsid w:val="004E37AD"/>
    <w:rsid w:val="004E4BAD"/>
    <w:rsid w:val="004E4D2B"/>
    <w:rsid w:val="004E4EA0"/>
    <w:rsid w:val="004E50F3"/>
    <w:rsid w:val="004E5EC0"/>
    <w:rsid w:val="004E75EA"/>
    <w:rsid w:val="004E7EE5"/>
    <w:rsid w:val="004F05F4"/>
    <w:rsid w:val="004F062D"/>
    <w:rsid w:val="004F0804"/>
    <w:rsid w:val="004F1480"/>
    <w:rsid w:val="004F1AD6"/>
    <w:rsid w:val="004F20A6"/>
    <w:rsid w:val="004F24F7"/>
    <w:rsid w:val="004F2876"/>
    <w:rsid w:val="004F2D78"/>
    <w:rsid w:val="004F364D"/>
    <w:rsid w:val="004F38E2"/>
    <w:rsid w:val="004F6415"/>
    <w:rsid w:val="004F642D"/>
    <w:rsid w:val="004F769B"/>
    <w:rsid w:val="0050308C"/>
    <w:rsid w:val="005032F1"/>
    <w:rsid w:val="0050468D"/>
    <w:rsid w:val="00504B78"/>
    <w:rsid w:val="00504EA1"/>
    <w:rsid w:val="00505BBA"/>
    <w:rsid w:val="00510D9C"/>
    <w:rsid w:val="005122D6"/>
    <w:rsid w:val="0051264D"/>
    <w:rsid w:val="005128C0"/>
    <w:rsid w:val="00512AB7"/>
    <w:rsid w:val="00515059"/>
    <w:rsid w:val="00515811"/>
    <w:rsid w:val="005223A1"/>
    <w:rsid w:val="00526ADF"/>
    <w:rsid w:val="005304F7"/>
    <w:rsid w:val="005308D2"/>
    <w:rsid w:val="00531201"/>
    <w:rsid w:val="00531E7B"/>
    <w:rsid w:val="00532655"/>
    <w:rsid w:val="00533DF3"/>
    <w:rsid w:val="0054079F"/>
    <w:rsid w:val="00540A74"/>
    <w:rsid w:val="00541D6F"/>
    <w:rsid w:val="00544D84"/>
    <w:rsid w:val="00545023"/>
    <w:rsid w:val="005458DB"/>
    <w:rsid w:val="005478CC"/>
    <w:rsid w:val="0055006E"/>
    <w:rsid w:val="00550BC7"/>
    <w:rsid w:val="00551E44"/>
    <w:rsid w:val="0055378E"/>
    <w:rsid w:val="00553C0E"/>
    <w:rsid w:val="0055483E"/>
    <w:rsid w:val="005576FF"/>
    <w:rsid w:val="0056132E"/>
    <w:rsid w:val="005614CD"/>
    <w:rsid w:val="005619E0"/>
    <w:rsid w:val="005625C8"/>
    <w:rsid w:val="00562CE2"/>
    <w:rsid w:val="00563334"/>
    <w:rsid w:val="00563ED5"/>
    <w:rsid w:val="00566C47"/>
    <w:rsid w:val="00567059"/>
    <w:rsid w:val="0056725C"/>
    <w:rsid w:val="0057046A"/>
    <w:rsid w:val="00570566"/>
    <w:rsid w:val="00572910"/>
    <w:rsid w:val="00573487"/>
    <w:rsid w:val="005739E7"/>
    <w:rsid w:val="0057411D"/>
    <w:rsid w:val="00574CDD"/>
    <w:rsid w:val="00575DF1"/>
    <w:rsid w:val="00577960"/>
    <w:rsid w:val="0058273C"/>
    <w:rsid w:val="00582B99"/>
    <w:rsid w:val="005840E3"/>
    <w:rsid w:val="00584B51"/>
    <w:rsid w:val="00584F59"/>
    <w:rsid w:val="005857A8"/>
    <w:rsid w:val="00585B14"/>
    <w:rsid w:val="00585C57"/>
    <w:rsid w:val="00585FA6"/>
    <w:rsid w:val="00586AA9"/>
    <w:rsid w:val="00590A34"/>
    <w:rsid w:val="00591B45"/>
    <w:rsid w:val="0059259A"/>
    <w:rsid w:val="005956AA"/>
    <w:rsid w:val="0059794B"/>
    <w:rsid w:val="005A1AB5"/>
    <w:rsid w:val="005A1FAF"/>
    <w:rsid w:val="005A236F"/>
    <w:rsid w:val="005A3036"/>
    <w:rsid w:val="005A3547"/>
    <w:rsid w:val="005A3F43"/>
    <w:rsid w:val="005A6D75"/>
    <w:rsid w:val="005B3741"/>
    <w:rsid w:val="005B5CC9"/>
    <w:rsid w:val="005C1902"/>
    <w:rsid w:val="005C195F"/>
    <w:rsid w:val="005C1F25"/>
    <w:rsid w:val="005C1F45"/>
    <w:rsid w:val="005C2639"/>
    <w:rsid w:val="005C444B"/>
    <w:rsid w:val="005C4C2A"/>
    <w:rsid w:val="005C5AE1"/>
    <w:rsid w:val="005C5E7C"/>
    <w:rsid w:val="005C7046"/>
    <w:rsid w:val="005D0354"/>
    <w:rsid w:val="005D1395"/>
    <w:rsid w:val="005D17B6"/>
    <w:rsid w:val="005D3157"/>
    <w:rsid w:val="005D4805"/>
    <w:rsid w:val="005D5ABE"/>
    <w:rsid w:val="005D5F25"/>
    <w:rsid w:val="005E2808"/>
    <w:rsid w:val="005E2D4F"/>
    <w:rsid w:val="005E3AF5"/>
    <w:rsid w:val="005E3E67"/>
    <w:rsid w:val="005E6542"/>
    <w:rsid w:val="005E6AE4"/>
    <w:rsid w:val="005E7729"/>
    <w:rsid w:val="005E7AE8"/>
    <w:rsid w:val="005F0360"/>
    <w:rsid w:val="005F0583"/>
    <w:rsid w:val="005F0A3E"/>
    <w:rsid w:val="005F1A1E"/>
    <w:rsid w:val="005F3E96"/>
    <w:rsid w:val="005F4552"/>
    <w:rsid w:val="005F51FF"/>
    <w:rsid w:val="005F7749"/>
    <w:rsid w:val="005F7CFE"/>
    <w:rsid w:val="00600EB7"/>
    <w:rsid w:val="006037AE"/>
    <w:rsid w:val="00605593"/>
    <w:rsid w:val="00605BCC"/>
    <w:rsid w:val="00606684"/>
    <w:rsid w:val="00607E7C"/>
    <w:rsid w:val="00610344"/>
    <w:rsid w:val="00615A5E"/>
    <w:rsid w:val="0061637B"/>
    <w:rsid w:val="006175C3"/>
    <w:rsid w:val="00622125"/>
    <w:rsid w:val="00622517"/>
    <w:rsid w:val="00632C6D"/>
    <w:rsid w:val="00633C4E"/>
    <w:rsid w:val="00635C6D"/>
    <w:rsid w:val="00635F94"/>
    <w:rsid w:val="00636299"/>
    <w:rsid w:val="00636F53"/>
    <w:rsid w:val="006372A0"/>
    <w:rsid w:val="00637ADF"/>
    <w:rsid w:val="00637D9C"/>
    <w:rsid w:val="00640309"/>
    <w:rsid w:val="00640DF7"/>
    <w:rsid w:val="00641781"/>
    <w:rsid w:val="00642EE7"/>
    <w:rsid w:val="006438FE"/>
    <w:rsid w:val="006455AE"/>
    <w:rsid w:val="00645953"/>
    <w:rsid w:val="00646167"/>
    <w:rsid w:val="0065072A"/>
    <w:rsid w:val="006539C8"/>
    <w:rsid w:val="00653DDD"/>
    <w:rsid w:val="0065491A"/>
    <w:rsid w:val="00656E51"/>
    <w:rsid w:val="00657D6C"/>
    <w:rsid w:val="006626EF"/>
    <w:rsid w:val="0066492D"/>
    <w:rsid w:val="00664A55"/>
    <w:rsid w:val="00670F0D"/>
    <w:rsid w:val="00671409"/>
    <w:rsid w:val="00671F39"/>
    <w:rsid w:val="006733DC"/>
    <w:rsid w:val="00674A7E"/>
    <w:rsid w:val="00674C91"/>
    <w:rsid w:val="00674D1D"/>
    <w:rsid w:val="00674DA5"/>
    <w:rsid w:val="00674F6A"/>
    <w:rsid w:val="00677213"/>
    <w:rsid w:val="006802F6"/>
    <w:rsid w:val="00680598"/>
    <w:rsid w:val="00680C3D"/>
    <w:rsid w:val="00682388"/>
    <w:rsid w:val="00682A25"/>
    <w:rsid w:val="00683040"/>
    <w:rsid w:val="0068371D"/>
    <w:rsid w:val="00684BDF"/>
    <w:rsid w:val="006854EE"/>
    <w:rsid w:val="00686DED"/>
    <w:rsid w:val="00687EA8"/>
    <w:rsid w:val="00691E44"/>
    <w:rsid w:val="00691EFB"/>
    <w:rsid w:val="006935CA"/>
    <w:rsid w:val="0069360F"/>
    <w:rsid w:val="0069401B"/>
    <w:rsid w:val="00694BDB"/>
    <w:rsid w:val="00697C83"/>
    <w:rsid w:val="006A0269"/>
    <w:rsid w:val="006A08A0"/>
    <w:rsid w:val="006A1912"/>
    <w:rsid w:val="006A1944"/>
    <w:rsid w:val="006A2AC8"/>
    <w:rsid w:val="006A3D82"/>
    <w:rsid w:val="006A41DE"/>
    <w:rsid w:val="006A51EA"/>
    <w:rsid w:val="006A5A14"/>
    <w:rsid w:val="006A5C4F"/>
    <w:rsid w:val="006A6A94"/>
    <w:rsid w:val="006B053C"/>
    <w:rsid w:val="006B08CB"/>
    <w:rsid w:val="006B1BC7"/>
    <w:rsid w:val="006B1E08"/>
    <w:rsid w:val="006B2DBA"/>
    <w:rsid w:val="006B43B1"/>
    <w:rsid w:val="006B448A"/>
    <w:rsid w:val="006B5260"/>
    <w:rsid w:val="006B5B79"/>
    <w:rsid w:val="006B5F99"/>
    <w:rsid w:val="006B64B2"/>
    <w:rsid w:val="006B7973"/>
    <w:rsid w:val="006B7DB3"/>
    <w:rsid w:val="006C1F25"/>
    <w:rsid w:val="006C2683"/>
    <w:rsid w:val="006C2803"/>
    <w:rsid w:val="006C2D84"/>
    <w:rsid w:val="006C30AF"/>
    <w:rsid w:val="006C5C72"/>
    <w:rsid w:val="006C60BC"/>
    <w:rsid w:val="006C61BB"/>
    <w:rsid w:val="006D12AD"/>
    <w:rsid w:val="006D1682"/>
    <w:rsid w:val="006D172B"/>
    <w:rsid w:val="006D1B8B"/>
    <w:rsid w:val="006D2B3F"/>
    <w:rsid w:val="006D3E6E"/>
    <w:rsid w:val="006D4108"/>
    <w:rsid w:val="006D47E8"/>
    <w:rsid w:val="006D7E50"/>
    <w:rsid w:val="006E00BA"/>
    <w:rsid w:val="006E0DFA"/>
    <w:rsid w:val="006E19E7"/>
    <w:rsid w:val="006E264F"/>
    <w:rsid w:val="006E28F4"/>
    <w:rsid w:val="006E3068"/>
    <w:rsid w:val="006E3B7C"/>
    <w:rsid w:val="006E753E"/>
    <w:rsid w:val="006F0C40"/>
    <w:rsid w:val="006F100E"/>
    <w:rsid w:val="006F3594"/>
    <w:rsid w:val="006F4486"/>
    <w:rsid w:val="006F65B4"/>
    <w:rsid w:val="006F6FDC"/>
    <w:rsid w:val="006F7BF9"/>
    <w:rsid w:val="007002B2"/>
    <w:rsid w:val="00700D01"/>
    <w:rsid w:val="00700FF4"/>
    <w:rsid w:val="00701C1E"/>
    <w:rsid w:val="00701C35"/>
    <w:rsid w:val="007020B0"/>
    <w:rsid w:val="00704784"/>
    <w:rsid w:val="0070552B"/>
    <w:rsid w:val="00705BAA"/>
    <w:rsid w:val="00706D35"/>
    <w:rsid w:val="00707910"/>
    <w:rsid w:val="00710A5E"/>
    <w:rsid w:val="00712209"/>
    <w:rsid w:val="007122EB"/>
    <w:rsid w:val="00712F9D"/>
    <w:rsid w:val="0071368A"/>
    <w:rsid w:val="00713932"/>
    <w:rsid w:val="007148C2"/>
    <w:rsid w:val="007168FF"/>
    <w:rsid w:val="00716A48"/>
    <w:rsid w:val="00720C10"/>
    <w:rsid w:val="00721CA7"/>
    <w:rsid w:val="007244B3"/>
    <w:rsid w:val="007313DE"/>
    <w:rsid w:val="00732897"/>
    <w:rsid w:val="0073504A"/>
    <w:rsid w:val="00735117"/>
    <w:rsid w:val="00736598"/>
    <w:rsid w:val="00737BFE"/>
    <w:rsid w:val="0074117B"/>
    <w:rsid w:val="00742056"/>
    <w:rsid w:val="007429EB"/>
    <w:rsid w:val="00743078"/>
    <w:rsid w:val="00745CC7"/>
    <w:rsid w:val="007461A2"/>
    <w:rsid w:val="0074692D"/>
    <w:rsid w:val="007519DC"/>
    <w:rsid w:val="00752732"/>
    <w:rsid w:val="00752D82"/>
    <w:rsid w:val="00753082"/>
    <w:rsid w:val="00754384"/>
    <w:rsid w:val="007555AA"/>
    <w:rsid w:val="00756DE1"/>
    <w:rsid w:val="00756E01"/>
    <w:rsid w:val="00757AE6"/>
    <w:rsid w:val="00762EE1"/>
    <w:rsid w:val="00763422"/>
    <w:rsid w:val="00765AE4"/>
    <w:rsid w:val="007722B4"/>
    <w:rsid w:val="00776FA1"/>
    <w:rsid w:val="00777917"/>
    <w:rsid w:val="007836AF"/>
    <w:rsid w:val="00783A80"/>
    <w:rsid w:val="007853A1"/>
    <w:rsid w:val="007869B2"/>
    <w:rsid w:val="007872EB"/>
    <w:rsid w:val="00787385"/>
    <w:rsid w:val="00791293"/>
    <w:rsid w:val="00791B5E"/>
    <w:rsid w:val="00791C55"/>
    <w:rsid w:val="00792716"/>
    <w:rsid w:val="00792A05"/>
    <w:rsid w:val="00792E8F"/>
    <w:rsid w:val="00794CBA"/>
    <w:rsid w:val="00795319"/>
    <w:rsid w:val="00796283"/>
    <w:rsid w:val="00796AD3"/>
    <w:rsid w:val="00797E72"/>
    <w:rsid w:val="007A0A17"/>
    <w:rsid w:val="007A0AAB"/>
    <w:rsid w:val="007A2184"/>
    <w:rsid w:val="007A3023"/>
    <w:rsid w:val="007A4EA1"/>
    <w:rsid w:val="007A5FFF"/>
    <w:rsid w:val="007A64FB"/>
    <w:rsid w:val="007B0249"/>
    <w:rsid w:val="007B0573"/>
    <w:rsid w:val="007B2389"/>
    <w:rsid w:val="007B6C2D"/>
    <w:rsid w:val="007B7E01"/>
    <w:rsid w:val="007C2306"/>
    <w:rsid w:val="007C3A84"/>
    <w:rsid w:val="007C3F39"/>
    <w:rsid w:val="007C4024"/>
    <w:rsid w:val="007C55BA"/>
    <w:rsid w:val="007C5AC6"/>
    <w:rsid w:val="007C5D11"/>
    <w:rsid w:val="007C7088"/>
    <w:rsid w:val="007D06AA"/>
    <w:rsid w:val="007D266C"/>
    <w:rsid w:val="007D29A4"/>
    <w:rsid w:val="007D3F90"/>
    <w:rsid w:val="007E0AD7"/>
    <w:rsid w:val="007E159C"/>
    <w:rsid w:val="007E187D"/>
    <w:rsid w:val="007E2124"/>
    <w:rsid w:val="007E2A37"/>
    <w:rsid w:val="007E2B41"/>
    <w:rsid w:val="007E4627"/>
    <w:rsid w:val="007E7D4A"/>
    <w:rsid w:val="007F310B"/>
    <w:rsid w:val="007F36E1"/>
    <w:rsid w:val="007F4013"/>
    <w:rsid w:val="007F69EC"/>
    <w:rsid w:val="007F74DE"/>
    <w:rsid w:val="007F78C5"/>
    <w:rsid w:val="007F7E7E"/>
    <w:rsid w:val="00803799"/>
    <w:rsid w:val="0080380B"/>
    <w:rsid w:val="00803C09"/>
    <w:rsid w:val="00807971"/>
    <w:rsid w:val="0081225D"/>
    <w:rsid w:val="008157D3"/>
    <w:rsid w:val="00816AC0"/>
    <w:rsid w:val="00816C75"/>
    <w:rsid w:val="00816C91"/>
    <w:rsid w:val="00820174"/>
    <w:rsid w:val="008203BE"/>
    <w:rsid w:val="008207C3"/>
    <w:rsid w:val="0082280A"/>
    <w:rsid w:val="0082482C"/>
    <w:rsid w:val="008257AA"/>
    <w:rsid w:val="00830116"/>
    <w:rsid w:val="00831899"/>
    <w:rsid w:val="00834133"/>
    <w:rsid w:val="00834D7B"/>
    <w:rsid w:val="008368A2"/>
    <w:rsid w:val="00836FA9"/>
    <w:rsid w:val="008415DF"/>
    <w:rsid w:val="00841AD3"/>
    <w:rsid w:val="00841C47"/>
    <w:rsid w:val="00842BF4"/>
    <w:rsid w:val="00843C98"/>
    <w:rsid w:val="0084422C"/>
    <w:rsid w:val="008446D8"/>
    <w:rsid w:val="008455BD"/>
    <w:rsid w:val="00845A02"/>
    <w:rsid w:val="00847A38"/>
    <w:rsid w:val="00851765"/>
    <w:rsid w:val="00852B1C"/>
    <w:rsid w:val="00853A11"/>
    <w:rsid w:val="00853DBA"/>
    <w:rsid w:val="00854E2D"/>
    <w:rsid w:val="0085539B"/>
    <w:rsid w:val="0086105D"/>
    <w:rsid w:val="00861DAB"/>
    <w:rsid w:val="00863082"/>
    <w:rsid w:val="008632F7"/>
    <w:rsid w:val="00864AA1"/>
    <w:rsid w:val="008667A6"/>
    <w:rsid w:val="00867011"/>
    <w:rsid w:val="00867F93"/>
    <w:rsid w:val="00870481"/>
    <w:rsid w:val="00874EC9"/>
    <w:rsid w:val="00875211"/>
    <w:rsid w:val="00875F46"/>
    <w:rsid w:val="00876F1D"/>
    <w:rsid w:val="008815F0"/>
    <w:rsid w:val="0088316D"/>
    <w:rsid w:val="00883649"/>
    <w:rsid w:val="008837EA"/>
    <w:rsid w:val="00885A52"/>
    <w:rsid w:val="00887887"/>
    <w:rsid w:val="00890152"/>
    <w:rsid w:val="00890E83"/>
    <w:rsid w:val="008910F4"/>
    <w:rsid w:val="008916F9"/>
    <w:rsid w:val="00891E36"/>
    <w:rsid w:val="0089248D"/>
    <w:rsid w:val="00893739"/>
    <w:rsid w:val="00894050"/>
    <w:rsid w:val="008950E2"/>
    <w:rsid w:val="008A0203"/>
    <w:rsid w:val="008A1220"/>
    <w:rsid w:val="008A33EC"/>
    <w:rsid w:val="008A37E8"/>
    <w:rsid w:val="008A3DF8"/>
    <w:rsid w:val="008A3FA4"/>
    <w:rsid w:val="008A7FCD"/>
    <w:rsid w:val="008B259E"/>
    <w:rsid w:val="008B2D90"/>
    <w:rsid w:val="008B4BA0"/>
    <w:rsid w:val="008B6C72"/>
    <w:rsid w:val="008B7270"/>
    <w:rsid w:val="008C04FE"/>
    <w:rsid w:val="008C34F0"/>
    <w:rsid w:val="008C3565"/>
    <w:rsid w:val="008C4984"/>
    <w:rsid w:val="008C63C7"/>
    <w:rsid w:val="008C6416"/>
    <w:rsid w:val="008C7553"/>
    <w:rsid w:val="008C765A"/>
    <w:rsid w:val="008C7C16"/>
    <w:rsid w:val="008D1ECF"/>
    <w:rsid w:val="008D2A90"/>
    <w:rsid w:val="008D336A"/>
    <w:rsid w:val="008D51BC"/>
    <w:rsid w:val="008D5327"/>
    <w:rsid w:val="008D6448"/>
    <w:rsid w:val="008D652F"/>
    <w:rsid w:val="008D6ABE"/>
    <w:rsid w:val="008D7E67"/>
    <w:rsid w:val="008E15B8"/>
    <w:rsid w:val="008E1B61"/>
    <w:rsid w:val="008E3B90"/>
    <w:rsid w:val="008E48D8"/>
    <w:rsid w:val="008E490E"/>
    <w:rsid w:val="008E5D49"/>
    <w:rsid w:val="008E7C06"/>
    <w:rsid w:val="008F17E2"/>
    <w:rsid w:val="008F1F24"/>
    <w:rsid w:val="008F2D56"/>
    <w:rsid w:val="008F5029"/>
    <w:rsid w:val="008F74DE"/>
    <w:rsid w:val="009017A9"/>
    <w:rsid w:val="00901FBA"/>
    <w:rsid w:val="00902066"/>
    <w:rsid w:val="00903432"/>
    <w:rsid w:val="0090478B"/>
    <w:rsid w:val="00904827"/>
    <w:rsid w:val="00904E27"/>
    <w:rsid w:val="00904FDE"/>
    <w:rsid w:val="009079B5"/>
    <w:rsid w:val="00907CE9"/>
    <w:rsid w:val="0091357C"/>
    <w:rsid w:val="00913CA0"/>
    <w:rsid w:val="0091465E"/>
    <w:rsid w:val="00914947"/>
    <w:rsid w:val="009169C0"/>
    <w:rsid w:val="009176BC"/>
    <w:rsid w:val="009211CF"/>
    <w:rsid w:val="00921FED"/>
    <w:rsid w:val="009222FB"/>
    <w:rsid w:val="00922A5A"/>
    <w:rsid w:val="00924530"/>
    <w:rsid w:val="00925881"/>
    <w:rsid w:val="00930E61"/>
    <w:rsid w:val="009316DA"/>
    <w:rsid w:val="00931BE5"/>
    <w:rsid w:val="00931C3C"/>
    <w:rsid w:val="00931E05"/>
    <w:rsid w:val="009332DA"/>
    <w:rsid w:val="0093348D"/>
    <w:rsid w:val="0093406B"/>
    <w:rsid w:val="009340F3"/>
    <w:rsid w:val="00936D82"/>
    <w:rsid w:val="0093742D"/>
    <w:rsid w:val="00940F82"/>
    <w:rsid w:val="0094138F"/>
    <w:rsid w:val="0094175A"/>
    <w:rsid w:val="009420A4"/>
    <w:rsid w:val="00944B3C"/>
    <w:rsid w:val="009462A4"/>
    <w:rsid w:val="00946C0D"/>
    <w:rsid w:val="00946DA7"/>
    <w:rsid w:val="009475AC"/>
    <w:rsid w:val="00950243"/>
    <w:rsid w:val="00950B25"/>
    <w:rsid w:val="00951C4D"/>
    <w:rsid w:val="00954021"/>
    <w:rsid w:val="009542ED"/>
    <w:rsid w:val="0095435C"/>
    <w:rsid w:val="00955C73"/>
    <w:rsid w:val="00956C31"/>
    <w:rsid w:val="009576F1"/>
    <w:rsid w:val="00957AD4"/>
    <w:rsid w:val="00960C8E"/>
    <w:rsid w:val="00961A5A"/>
    <w:rsid w:val="00963083"/>
    <w:rsid w:val="009640DF"/>
    <w:rsid w:val="00964739"/>
    <w:rsid w:val="00966595"/>
    <w:rsid w:val="009668A7"/>
    <w:rsid w:val="00966C92"/>
    <w:rsid w:val="0096785B"/>
    <w:rsid w:val="00970558"/>
    <w:rsid w:val="009717BD"/>
    <w:rsid w:val="00972A04"/>
    <w:rsid w:val="009730CA"/>
    <w:rsid w:val="00973A3A"/>
    <w:rsid w:val="00976350"/>
    <w:rsid w:val="00977058"/>
    <w:rsid w:val="00977553"/>
    <w:rsid w:val="00981E94"/>
    <w:rsid w:val="009836C0"/>
    <w:rsid w:val="00983FFE"/>
    <w:rsid w:val="00984DC9"/>
    <w:rsid w:val="00984E11"/>
    <w:rsid w:val="00985432"/>
    <w:rsid w:val="0099321C"/>
    <w:rsid w:val="009945D7"/>
    <w:rsid w:val="00995465"/>
    <w:rsid w:val="009A03B0"/>
    <w:rsid w:val="009A07C4"/>
    <w:rsid w:val="009A15BC"/>
    <w:rsid w:val="009A3AB9"/>
    <w:rsid w:val="009A4C47"/>
    <w:rsid w:val="009A4CAE"/>
    <w:rsid w:val="009A575B"/>
    <w:rsid w:val="009A6048"/>
    <w:rsid w:val="009A63A7"/>
    <w:rsid w:val="009A6520"/>
    <w:rsid w:val="009B12F3"/>
    <w:rsid w:val="009B486D"/>
    <w:rsid w:val="009B5329"/>
    <w:rsid w:val="009B5BEE"/>
    <w:rsid w:val="009B6A91"/>
    <w:rsid w:val="009B7CD2"/>
    <w:rsid w:val="009C1F85"/>
    <w:rsid w:val="009C2427"/>
    <w:rsid w:val="009C2F69"/>
    <w:rsid w:val="009C4547"/>
    <w:rsid w:val="009C4BA5"/>
    <w:rsid w:val="009C60F1"/>
    <w:rsid w:val="009C61A8"/>
    <w:rsid w:val="009D03AC"/>
    <w:rsid w:val="009D062B"/>
    <w:rsid w:val="009D300C"/>
    <w:rsid w:val="009D477E"/>
    <w:rsid w:val="009D4787"/>
    <w:rsid w:val="009D5618"/>
    <w:rsid w:val="009D5988"/>
    <w:rsid w:val="009D5C9D"/>
    <w:rsid w:val="009D66B1"/>
    <w:rsid w:val="009D74CC"/>
    <w:rsid w:val="009E03CA"/>
    <w:rsid w:val="009E0FC2"/>
    <w:rsid w:val="009E13C0"/>
    <w:rsid w:val="009E3534"/>
    <w:rsid w:val="009E507A"/>
    <w:rsid w:val="009F0817"/>
    <w:rsid w:val="009F0A94"/>
    <w:rsid w:val="009F0F26"/>
    <w:rsid w:val="009F239A"/>
    <w:rsid w:val="009F2890"/>
    <w:rsid w:val="009F3111"/>
    <w:rsid w:val="009F39FC"/>
    <w:rsid w:val="009F3B39"/>
    <w:rsid w:val="009F41F1"/>
    <w:rsid w:val="009F4ADF"/>
    <w:rsid w:val="009F4D21"/>
    <w:rsid w:val="009F5880"/>
    <w:rsid w:val="009F5959"/>
    <w:rsid w:val="00A03827"/>
    <w:rsid w:val="00A04250"/>
    <w:rsid w:val="00A058FF"/>
    <w:rsid w:val="00A109C8"/>
    <w:rsid w:val="00A10F1D"/>
    <w:rsid w:val="00A11FE7"/>
    <w:rsid w:val="00A15EBA"/>
    <w:rsid w:val="00A160B1"/>
    <w:rsid w:val="00A160FD"/>
    <w:rsid w:val="00A1647D"/>
    <w:rsid w:val="00A22CDC"/>
    <w:rsid w:val="00A2320F"/>
    <w:rsid w:val="00A25179"/>
    <w:rsid w:val="00A25545"/>
    <w:rsid w:val="00A26235"/>
    <w:rsid w:val="00A27E42"/>
    <w:rsid w:val="00A31CB3"/>
    <w:rsid w:val="00A31E3F"/>
    <w:rsid w:val="00A331F2"/>
    <w:rsid w:val="00A33257"/>
    <w:rsid w:val="00A35B97"/>
    <w:rsid w:val="00A35CCE"/>
    <w:rsid w:val="00A36782"/>
    <w:rsid w:val="00A40110"/>
    <w:rsid w:val="00A4023A"/>
    <w:rsid w:val="00A413FD"/>
    <w:rsid w:val="00A4561A"/>
    <w:rsid w:val="00A4675D"/>
    <w:rsid w:val="00A4774B"/>
    <w:rsid w:val="00A47F2C"/>
    <w:rsid w:val="00A51A88"/>
    <w:rsid w:val="00A51C0A"/>
    <w:rsid w:val="00A5253A"/>
    <w:rsid w:val="00A53B2E"/>
    <w:rsid w:val="00A55292"/>
    <w:rsid w:val="00A55D32"/>
    <w:rsid w:val="00A56321"/>
    <w:rsid w:val="00A56494"/>
    <w:rsid w:val="00A565D4"/>
    <w:rsid w:val="00A569EE"/>
    <w:rsid w:val="00A57D15"/>
    <w:rsid w:val="00A57D65"/>
    <w:rsid w:val="00A609A8"/>
    <w:rsid w:val="00A61046"/>
    <w:rsid w:val="00A61293"/>
    <w:rsid w:val="00A62B00"/>
    <w:rsid w:val="00A64B90"/>
    <w:rsid w:val="00A6549B"/>
    <w:rsid w:val="00A6730B"/>
    <w:rsid w:val="00A67748"/>
    <w:rsid w:val="00A67B8F"/>
    <w:rsid w:val="00A67E00"/>
    <w:rsid w:val="00A7320C"/>
    <w:rsid w:val="00A7593B"/>
    <w:rsid w:val="00A7664C"/>
    <w:rsid w:val="00A77393"/>
    <w:rsid w:val="00A80462"/>
    <w:rsid w:val="00A80B49"/>
    <w:rsid w:val="00A821EB"/>
    <w:rsid w:val="00A82345"/>
    <w:rsid w:val="00A82368"/>
    <w:rsid w:val="00A84EBE"/>
    <w:rsid w:val="00A90B0D"/>
    <w:rsid w:val="00A91640"/>
    <w:rsid w:val="00A9203E"/>
    <w:rsid w:val="00A93975"/>
    <w:rsid w:val="00A93EB8"/>
    <w:rsid w:val="00A974E7"/>
    <w:rsid w:val="00AA209E"/>
    <w:rsid w:val="00AA255C"/>
    <w:rsid w:val="00AA4066"/>
    <w:rsid w:val="00AA41A8"/>
    <w:rsid w:val="00AA509B"/>
    <w:rsid w:val="00AA5C19"/>
    <w:rsid w:val="00AA626F"/>
    <w:rsid w:val="00AA6685"/>
    <w:rsid w:val="00AA6727"/>
    <w:rsid w:val="00AA71D0"/>
    <w:rsid w:val="00AB0236"/>
    <w:rsid w:val="00AB034A"/>
    <w:rsid w:val="00AB03F5"/>
    <w:rsid w:val="00AB124F"/>
    <w:rsid w:val="00AB345A"/>
    <w:rsid w:val="00AB3942"/>
    <w:rsid w:val="00AB46FB"/>
    <w:rsid w:val="00AB684F"/>
    <w:rsid w:val="00AB73EB"/>
    <w:rsid w:val="00AB7D1D"/>
    <w:rsid w:val="00AC0770"/>
    <w:rsid w:val="00AC3C61"/>
    <w:rsid w:val="00AC4510"/>
    <w:rsid w:val="00AC4A42"/>
    <w:rsid w:val="00AC58E3"/>
    <w:rsid w:val="00AC59EA"/>
    <w:rsid w:val="00AC5AFF"/>
    <w:rsid w:val="00AC6762"/>
    <w:rsid w:val="00AC6EEC"/>
    <w:rsid w:val="00AC7375"/>
    <w:rsid w:val="00AC77BC"/>
    <w:rsid w:val="00AC7AF2"/>
    <w:rsid w:val="00AD2E0F"/>
    <w:rsid w:val="00AD39FD"/>
    <w:rsid w:val="00AD3ABE"/>
    <w:rsid w:val="00AD3B4F"/>
    <w:rsid w:val="00AD3BA1"/>
    <w:rsid w:val="00AD4D3F"/>
    <w:rsid w:val="00AD52CB"/>
    <w:rsid w:val="00AE0202"/>
    <w:rsid w:val="00AE0877"/>
    <w:rsid w:val="00AE1826"/>
    <w:rsid w:val="00AE2619"/>
    <w:rsid w:val="00AE5408"/>
    <w:rsid w:val="00AE6531"/>
    <w:rsid w:val="00AE67C8"/>
    <w:rsid w:val="00AE714A"/>
    <w:rsid w:val="00AE76BA"/>
    <w:rsid w:val="00AF1828"/>
    <w:rsid w:val="00AF238D"/>
    <w:rsid w:val="00AF275D"/>
    <w:rsid w:val="00AF2D9C"/>
    <w:rsid w:val="00AF35AD"/>
    <w:rsid w:val="00AF4103"/>
    <w:rsid w:val="00AF44CF"/>
    <w:rsid w:val="00AF4A04"/>
    <w:rsid w:val="00AF5D29"/>
    <w:rsid w:val="00AF65D2"/>
    <w:rsid w:val="00AF67B3"/>
    <w:rsid w:val="00AF6B12"/>
    <w:rsid w:val="00AF6B7B"/>
    <w:rsid w:val="00AF7772"/>
    <w:rsid w:val="00B004A1"/>
    <w:rsid w:val="00B008ED"/>
    <w:rsid w:val="00B013A7"/>
    <w:rsid w:val="00B022DC"/>
    <w:rsid w:val="00B02323"/>
    <w:rsid w:val="00B034AB"/>
    <w:rsid w:val="00B06514"/>
    <w:rsid w:val="00B0790F"/>
    <w:rsid w:val="00B102BA"/>
    <w:rsid w:val="00B10C70"/>
    <w:rsid w:val="00B11ABB"/>
    <w:rsid w:val="00B13BB5"/>
    <w:rsid w:val="00B15972"/>
    <w:rsid w:val="00B176C6"/>
    <w:rsid w:val="00B177A2"/>
    <w:rsid w:val="00B25541"/>
    <w:rsid w:val="00B263D2"/>
    <w:rsid w:val="00B26BBF"/>
    <w:rsid w:val="00B27692"/>
    <w:rsid w:val="00B27932"/>
    <w:rsid w:val="00B27A81"/>
    <w:rsid w:val="00B32288"/>
    <w:rsid w:val="00B324C6"/>
    <w:rsid w:val="00B34A6C"/>
    <w:rsid w:val="00B35B9B"/>
    <w:rsid w:val="00B35FB5"/>
    <w:rsid w:val="00B3603F"/>
    <w:rsid w:val="00B36963"/>
    <w:rsid w:val="00B37FCB"/>
    <w:rsid w:val="00B41E8D"/>
    <w:rsid w:val="00B421C2"/>
    <w:rsid w:val="00B42392"/>
    <w:rsid w:val="00B436FB"/>
    <w:rsid w:val="00B439D9"/>
    <w:rsid w:val="00B448B1"/>
    <w:rsid w:val="00B44999"/>
    <w:rsid w:val="00B459B4"/>
    <w:rsid w:val="00B463AB"/>
    <w:rsid w:val="00B46FA9"/>
    <w:rsid w:val="00B479D6"/>
    <w:rsid w:val="00B52236"/>
    <w:rsid w:val="00B52598"/>
    <w:rsid w:val="00B5306D"/>
    <w:rsid w:val="00B53868"/>
    <w:rsid w:val="00B5611E"/>
    <w:rsid w:val="00B56284"/>
    <w:rsid w:val="00B562F8"/>
    <w:rsid w:val="00B56568"/>
    <w:rsid w:val="00B5699D"/>
    <w:rsid w:val="00B56C9D"/>
    <w:rsid w:val="00B603C3"/>
    <w:rsid w:val="00B6085A"/>
    <w:rsid w:val="00B61888"/>
    <w:rsid w:val="00B62CD5"/>
    <w:rsid w:val="00B665B8"/>
    <w:rsid w:val="00B67553"/>
    <w:rsid w:val="00B677C9"/>
    <w:rsid w:val="00B70538"/>
    <w:rsid w:val="00B72AE2"/>
    <w:rsid w:val="00B72BD8"/>
    <w:rsid w:val="00B74779"/>
    <w:rsid w:val="00B75A5F"/>
    <w:rsid w:val="00B75FC0"/>
    <w:rsid w:val="00B77115"/>
    <w:rsid w:val="00B77212"/>
    <w:rsid w:val="00B806F3"/>
    <w:rsid w:val="00B8083C"/>
    <w:rsid w:val="00B80DE4"/>
    <w:rsid w:val="00B82BDF"/>
    <w:rsid w:val="00B83642"/>
    <w:rsid w:val="00B84876"/>
    <w:rsid w:val="00B8649C"/>
    <w:rsid w:val="00B86B03"/>
    <w:rsid w:val="00B92658"/>
    <w:rsid w:val="00B92BD0"/>
    <w:rsid w:val="00B931F7"/>
    <w:rsid w:val="00B94687"/>
    <w:rsid w:val="00B9500C"/>
    <w:rsid w:val="00B95841"/>
    <w:rsid w:val="00B96E09"/>
    <w:rsid w:val="00BA0222"/>
    <w:rsid w:val="00BA02AD"/>
    <w:rsid w:val="00BA0620"/>
    <w:rsid w:val="00BA0A04"/>
    <w:rsid w:val="00BA2344"/>
    <w:rsid w:val="00BA2C43"/>
    <w:rsid w:val="00BA2ED4"/>
    <w:rsid w:val="00BA3741"/>
    <w:rsid w:val="00BA3760"/>
    <w:rsid w:val="00BA392D"/>
    <w:rsid w:val="00BA471C"/>
    <w:rsid w:val="00BA4EF2"/>
    <w:rsid w:val="00BA5126"/>
    <w:rsid w:val="00BA66FA"/>
    <w:rsid w:val="00BA75AD"/>
    <w:rsid w:val="00BB4C99"/>
    <w:rsid w:val="00BB4FB6"/>
    <w:rsid w:val="00BB5DFB"/>
    <w:rsid w:val="00BB682D"/>
    <w:rsid w:val="00BB72AD"/>
    <w:rsid w:val="00BB7899"/>
    <w:rsid w:val="00BB7CCD"/>
    <w:rsid w:val="00BC0940"/>
    <w:rsid w:val="00BC2285"/>
    <w:rsid w:val="00BC6207"/>
    <w:rsid w:val="00BC6D8E"/>
    <w:rsid w:val="00BC7C4B"/>
    <w:rsid w:val="00BD149C"/>
    <w:rsid w:val="00BD180A"/>
    <w:rsid w:val="00BD4535"/>
    <w:rsid w:val="00BD4BA8"/>
    <w:rsid w:val="00BD6B2E"/>
    <w:rsid w:val="00BE0560"/>
    <w:rsid w:val="00BE2448"/>
    <w:rsid w:val="00BE2C60"/>
    <w:rsid w:val="00BE42DA"/>
    <w:rsid w:val="00BE4FB1"/>
    <w:rsid w:val="00BE5B91"/>
    <w:rsid w:val="00BE705C"/>
    <w:rsid w:val="00BE722E"/>
    <w:rsid w:val="00BE73BC"/>
    <w:rsid w:val="00BF2C4C"/>
    <w:rsid w:val="00BF30DC"/>
    <w:rsid w:val="00BF6F4E"/>
    <w:rsid w:val="00C00140"/>
    <w:rsid w:val="00C0073E"/>
    <w:rsid w:val="00C04C84"/>
    <w:rsid w:val="00C1039C"/>
    <w:rsid w:val="00C105E8"/>
    <w:rsid w:val="00C109CC"/>
    <w:rsid w:val="00C128CA"/>
    <w:rsid w:val="00C14D90"/>
    <w:rsid w:val="00C15B5C"/>
    <w:rsid w:val="00C1722A"/>
    <w:rsid w:val="00C176E8"/>
    <w:rsid w:val="00C1771D"/>
    <w:rsid w:val="00C17870"/>
    <w:rsid w:val="00C2202D"/>
    <w:rsid w:val="00C22573"/>
    <w:rsid w:val="00C22E0F"/>
    <w:rsid w:val="00C23551"/>
    <w:rsid w:val="00C23EB1"/>
    <w:rsid w:val="00C247B4"/>
    <w:rsid w:val="00C2690E"/>
    <w:rsid w:val="00C27536"/>
    <w:rsid w:val="00C2773E"/>
    <w:rsid w:val="00C30426"/>
    <w:rsid w:val="00C31574"/>
    <w:rsid w:val="00C3264B"/>
    <w:rsid w:val="00C339EC"/>
    <w:rsid w:val="00C340A0"/>
    <w:rsid w:val="00C3460C"/>
    <w:rsid w:val="00C37259"/>
    <w:rsid w:val="00C416A8"/>
    <w:rsid w:val="00C42986"/>
    <w:rsid w:val="00C4299C"/>
    <w:rsid w:val="00C436F1"/>
    <w:rsid w:val="00C4654E"/>
    <w:rsid w:val="00C46C60"/>
    <w:rsid w:val="00C475A5"/>
    <w:rsid w:val="00C50398"/>
    <w:rsid w:val="00C51D46"/>
    <w:rsid w:val="00C52C27"/>
    <w:rsid w:val="00C53A1A"/>
    <w:rsid w:val="00C540BC"/>
    <w:rsid w:val="00C55738"/>
    <w:rsid w:val="00C55CE3"/>
    <w:rsid w:val="00C55F2A"/>
    <w:rsid w:val="00C575F3"/>
    <w:rsid w:val="00C57F9C"/>
    <w:rsid w:val="00C603C2"/>
    <w:rsid w:val="00C610DD"/>
    <w:rsid w:val="00C6273F"/>
    <w:rsid w:val="00C62BB6"/>
    <w:rsid w:val="00C62D6B"/>
    <w:rsid w:val="00C645D2"/>
    <w:rsid w:val="00C652C2"/>
    <w:rsid w:val="00C65396"/>
    <w:rsid w:val="00C66CBA"/>
    <w:rsid w:val="00C70051"/>
    <w:rsid w:val="00C703B7"/>
    <w:rsid w:val="00C70D83"/>
    <w:rsid w:val="00C71248"/>
    <w:rsid w:val="00C726BA"/>
    <w:rsid w:val="00C72849"/>
    <w:rsid w:val="00C72B8E"/>
    <w:rsid w:val="00C73919"/>
    <w:rsid w:val="00C739A7"/>
    <w:rsid w:val="00C754AC"/>
    <w:rsid w:val="00C766E3"/>
    <w:rsid w:val="00C7749C"/>
    <w:rsid w:val="00C8009A"/>
    <w:rsid w:val="00C8135B"/>
    <w:rsid w:val="00C81D3C"/>
    <w:rsid w:val="00C83123"/>
    <w:rsid w:val="00C83BED"/>
    <w:rsid w:val="00C8566E"/>
    <w:rsid w:val="00C863B1"/>
    <w:rsid w:val="00C87BBA"/>
    <w:rsid w:val="00C87FF8"/>
    <w:rsid w:val="00C91A5C"/>
    <w:rsid w:val="00C92590"/>
    <w:rsid w:val="00C94DBD"/>
    <w:rsid w:val="00C95F45"/>
    <w:rsid w:val="00CA1805"/>
    <w:rsid w:val="00CA1BF6"/>
    <w:rsid w:val="00CA2237"/>
    <w:rsid w:val="00CA599C"/>
    <w:rsid w:val="00CB00CD"/>
    <w:rsid w:val="00CB03F5"/>
    <w:rsid w:val="00CB045A"/>
    <w:rsid w:val="00CB07B9"/>
    <w:rsid w:val="00CB128C"/>
    <w:rsid w:val="00CB12D2"/>
    <w:rsid w:val="00CB1EDF"/>
    <w:rsid w:val="00CB46D6"/>
    <w:rsid w:val="00CB59AB"/>
    <w:rsid w:val="00CB6DC0"/>
    <w:rsid w:val="00CB77B3"/>
    <w:rsid w:val="00CB7A78"/>
    <w:rsid w:val="00CC087F"/>
    <w:rsid w:val="00CC10DE"/>
    <w:rsid w:val="00CC2E38"/>
    <w:rsid w:val="00CC514C"/>
    <w:rsid w:val="00CC54F3"/>
    <w:rsid w:val="00CC5FC4"/>
    <w:rsid w:val="00CC6C27"/>
    <w:rsid w:val="00CD0A92"/>
    <w:rsid w:val="00CD23FD"/>
    <w:rsid w:val="00CD2420"/>
    <w:rsid w:val="00CD5D5E"/>
    <w:rsid w:val="00CD670C"/>
    <w:rsid w:val="00CD7E50"/>
    <w:rsid w:val="00CE2CC2"/>
    <w:rsid w:val="00CE35D2"/>
    <w:rsid w:val="00CE57F4"/>
    <w:rsid w:val="00CF0A1A"/>
    <w:rsid w:val="00CF3D54"/>
    <w:rsid w:val="00CF52B3"/>
    <w:rsid w:val="00CF57FF"/>
    <w:rsid w:val="00CF7AC6"/>
    <w:rsid w:val="00CF7F7D"/>
    <w:rsid w:val="00D00AF8"/>
    <w:rsid w:val="00D01479"/>
    <w:rsid w:val="00D01872"/>
    <w:rsid w:val="00D028D9"/>
    <w:rsid w:val="00D033C3"/>
    <w:rsid w:val="00D039D2"/>
    <w:rsid w:val="00D0503C"/>
    <w:rsid w:val="00D05169"/>
    <w:rsid w:val="00D06544"/>
    <w:rsid w:val="00D104D3"/>
    <w:rsid w:val="00D10B4B"/>
    <w:rsid w:val="00D10DDB"/>
    <w:rsid w:val="00D10DE1"/>
    <w:rsid w:val="00D1149F"/>
    <w:rsid w:val="00D123EC"/>
    <w:rsid w:val="00D15018"/>
    <w:rsid w:val="00D16F60"/>
    <w:rsid w:val="00D1784D"/>
    <w:rsid w:val="00D17AA8"/>
    <w:rsid w:val="00D2050C"/>
    <w:rsid w:val="00D21A2E"/>
    <w:rsid w:val="00D21C8D"/>
    <w:rsid w:val="00D21E4A"/>
    <w:rsid w:val="00D231C9"/>
    <w:rsid w:val="00D247CF"/>
    <w:rsid w:val="00D25107"/>
    <w:rsid w:val="00D26834"/>
    <w:rsid w:val="00D27283"/>
    <w:rsid w:val="00D27856"/>
    <w:rsid w:val="00D305A3"/>
    <w:rsid w:val="00D325A6"/>
    <w:rsid w:val="00D3374C"/>
    <w:rsid w:val="00D33D78"/>
    <w:rsid w:val="00D34097"/>
    <w:rsid w:val="00D361B3"/>
    <w:rsid w:val="00D40A65"/>
    <w:rsid w:val="00D4151A"/>
    <w:rsid w:val="00D41C6D"/>
    <w:rsid w:val="00D42F00"/>
    <w:rsid w:val="00D43244"/>
    <w:rsid w:val="00D4434E"/>
    <w:rsid w:val="00D44632"/>
    <w:rsid w:val="00D44842"/>
    <w:rsid w:val="00D45FF7"/>
    <w:rsid w:val="00D47704"/>
    <w:rsid w:val="00D47729"/>
    <w:rsid w:val="00D506A3"/>
    <w:rsid w:val="00D517B1"/>
    <w:rsid w:val="00D52D23"/>
    <w:rsid w:val="00D53430"/>
    <w:rsid w:val="00D53755"/>
    <w:rsid w:val="00D54883"/>
    <w:rsid w:val="00D54AF1"/>
    <w:rsid w:val="00D54EA7"/>
    <w:rsid w:val="00D558F8"/>
    <w:rsid w:val="00D574DB"/>
    <w:rsid w:val="00D5750B"/>
    <w:rsid w:val="00D601DF"/>
    <w:rsid w:val="00D60E6D"/>
    <w:rsid w:val="00D62DAA"/>
    <w:rsid w:val="00D640A1"/>
    <w:rsid w:val="00D642AA"/>
    <w:rsid w:val="00D66652"/>
    <w:rsid w:val="00D6699D"/>
    <w:rsid w:val="00D673BA"/>
    <w:rsid w:val="00D721D5"/>
    <w:rsid w:val="00D727FE"/>
    <w:rsid w:val="00D72C9E"/>
    <w:rsid w:val="00D7367A"/>
    <w:rsid w:val="00D73CBE"/>
    <w:rsid w:val="00D74468"/>
    <w:rsid w:val="00D74CD8"/>
    <w:rsid w:val="00D75155"/>
    <w:rsid w:val="00D75E05"/>
    <w:rsid w:val="00D76005"/>
    <w:rsid w:val="00D763A5"/>
    <w:rsid w:val="00D76B01"/>
    <w:rsid w:val="00D76B7E"/>
    <w:rsid w:val="00D77398"/>
    <w:rsid w:val="00D802CC"/>
    <w:rsid w:val="00D82491"/>
    <w:rsid w:val="00D826F1"/>
    <w:rsid w:val="00D82D3E"/>
    <w:rsid w:val="00D859B6"/>
    <w:rsid w:val="00D863EE"/>
    <w:rsid w:val="00D91EDB"/>
    <w:rsid w:val="00D94E22"/>
    <w:rsid w:val="00D957DB"/>
    <w:rsid w:val="00D95A79"/>
    <w:rsid w:val="00D962A6"/>
    <w:rsid w:val="00D97CD6"/>
    <w:rsid w:val="00DA2921"/>
    <w:rsid w:val="00DA2D66"/>
    <w:rsid w:val="00DA4EE5"/>
    <w:rsid w:val="00DA59C4"/>
    <w:rsid w:val="00DA660C"/>
    <w:rsid w:val="00DA67F8"/>
    <w:rsid w:val="00DB1B1D"/>
    <w:rsid w:val="00DB232D"/>
    <w:rsid w:val="00DB2BBE"/>
    <w:rsid w:val="00DB4CB2"/>
    <w:rsid w:val="00DB6143"/>
    <w:rsid w:val="00DB7678"/>
    <w:rsid w:val="00DC0470"/>
    <w:rsid w:val="00DC04DD"/>
    <w:rsid w:val="00DC0DBD"/>
    <w:rsid w:val="00DC1603"/>
    <w:rsid w:val="00DC324A"/>
    <w:rsid w:val="00DC363F"/>
    <w:rsid w:val="00DC3E64"/>
    <w:rsid w:val="00DC41B4"/>
    <w:rsid w:val="00DC4A6C"/>
    <w:rsid w:val="00DC5889"/>
    <w:rsid w:val="00DC5B49"/>
    <w:rsid w:val="00DC632A"/>
    <w:rsid w:val="00DC63C2"/>
    <w:rsid w:val="00DC6F6D"/>
    <w:rsid w:val="00DD003C"/>
    <w:rsid w:val="00DD0215"/>
    <w:rsid w:val="00DD15C2"/>
    <w:rsid w:val="00DD4075"/>
    <w:rsid w:val="00DD48AA"/>
    <w:rsid w:val="00DD5D74"/>
    <w:rsid w:val="00DD740C"/>
    <w:rsid w:val="00DD759F"/>
    <w:rsid w:val="00DD76B3"/>
    <w:rsid w:val="00DE00B1"/>
    <w:rsid w:val="00DE3EC4"/>
    <w:rsid w:val="00DE440A"/>
    <w:rsid w:val="00DF01D8"/>
    <w:rsid w:val="00DF023B"/>
    <w:rsid w:val="00DF216D"/>
    <w:rsid w:val="00DF2783"/>
    <w:rsid w:val="00DF2F64"/>
    <w:rsid w:val="00DF304D"/>
    <w:rsid w:val="00DF32C7"/>
    <w:rsid w:val="00DF41B6"/>
    <w:rsid w:val="00DF4435"/>
    <w:rsid w:val="00DF4958"/>
    <w:rsid w:val="00DF4C5B"/>
    <w:rsid w:val="00DF5A57"/>
    <w:rsid w:val="00DF605F"/>
    <w:rsid w:val="00DF63DC"/>
    <w:rsid w:val="00DF64DC"/>
    <w:rsid w:val="00DF68B5"/>
    <w:rsid w:val="00DF6B46"/>
    <w:rsid w:val="00DF6CE3"/>
    <w:rsid w:val="00E0114E"/>
    <w:rsid w:val="00E02D7B"/>
    <w:rsid w:val="00E03B99"/>
    <w:rsid w:val="00E04A38"/>
    <w:rsid w:val="00E04C2C"/>
    <w:rsid w:val="00E04E6B"/>
    <w:rsid w:val="00E0504F"/>
    <w:rsid w:val="00E05BE1"/>
    <w:rsid w:val="00E07293"/>
    <w:rsid w:val="00E0742F"/>
    <w:rsid w:val="00E13713"/>
    <w:rsid w:val="00E13926"/>
    <w:rsid w:val="00E14476"/>
    <w:rsid w:val="00E1463E"/>
    <w:rsid w:val="00E14AD3"/>
    <w:rsid w:val="00E14D14"/>
    <w:rsid w:val="00E1578C"/>
    <w:rsid w:val="00E1597A"/>
    <w:rsid w:val="00E15B46"/>
    <w:rsid w:val="00E16133"/>
    <w:rsid w:val="00E16F02"/>
    <w:rsid w:val="00E16FF9"/>
    <w:rsid w:val="00E17ADF"/>
    <w:rsid w:val="00E20A80"/>
    <w:rsid w:val="00E218E7"/>
    <w:rsid w:val="00E25248"/>
    <w:rsid w:val="00E25D3C"/>
    <w:rsid w:val="00E306F2"/>
    <w:rsid w:val="00E32000"/>
    <w:rsid w:val="00E32FCA"/>
    <w:rsid w:val="00E33234"/>
    <w:rsid w:val="00E33739"/>
    <w:rsid w:val="00E34283"/>
    <w:rsid w:val="00E37BB7"/>
    <w:rsid w:val="00E37EFF"/>
    <w:rsid w:val="00E40482"/>
    <w:rsid w:val="00E40A18"/>
    <w:rsid w:val="00E40AE1"/>
    <w:rsid w:val="00E42D1D"/>
    <w:rsid w:val="00E449BB"/>
    <w:rsid w:val="00E501D0"/>
    <w:rsid w:val="00E51154"/>
    <w:rsid w:val="00E51F42"/>
    <w:rsid w:val="00E52688"/>
    <w:rsid w:val="00E549FC"/>
    <w:rsid w:val="00E5603A"/>
    <w:rsid w:val="00E5788E"/>
    <w:rsid w:val="00E57F03"/>
    <w:rsid w:val="00E57F79"/>
    <w:rsid w:val="00E62348"/>
    <w:rsid w:val="00E631DA"/>
    <w:rsid w:val="00E6460B"/>
    <w:rsid w:val="00E64934"/>
    <w:rsid w:val="00E66577"/>
    <w:rsid w:val="00E672D7"/>
    <w:rsid w:val="00E676FB"/>
    <w:rsid w:val="00E700F4"/>
    <w:rsid w:val="00E7030C"/>
    <w:rsid w:val="00E7072E"/>
    <w:rsid w:val="00E709F0"/>
    <w:rsid w:val="00E716A6"/>
    <w:rsid w:val="00E71815"/>
    <w:rsid w:val="00E71AB1"/>
    <w:rsid w:val="00E7498C"/>
    <w:rsid w:val="00E7580C"/>
    <w:rsid w:val="00E76FC6"/>
    <w:rsid w:val="00E775E4"/>
    <w:rsid w:val="00E776D1"/>
    <w:rsid w:val="00E77D0A"/>
    <w:rsid w:val="00E80001"/>
    <w:rsid w:val="00E8142A"/>
    <w:rsid w:val="00E82508"/>
    <w:rsid w:val="00E82726"/>
    <w:rsid w:val="00E832AA"/>
    <w:rsid w:val="00E83AA7"/>
    <w:rsid w:val="00E83B05"/>
    <w:rsid w:val="00E83DC7"/>
    <w:rsid w:val="00E85D10"/>
    <w:rsid w:val="00E9492A"/>
    <w:rsid w:val="00E9608E"/>
    <w:rsid w:val="00E97062"/>
    <w:rsid w:val="00E97918"/>
    <w:rsid w:val="00EA0935"/>
    <w:rsid w:val="00EA0AFD"/>
    <w:rsid w:val="00EA16F9"/>
    <w:rsid w:val="00EA2042"/>
    <w:rsid w:val="00EA2D6A"/>
    <w:rsid w:val="00EA3CE0"/>
    <w:rsid w:val="00EA3D9B"/>
    <w:rsid w:val="00EA6931"/>
    <w:rsid w:val="00EB1A74"/>
    <w:rsid w:val="00EB34A0"/>
    <w:rsid w:val="00EB4579"/>
    <w:rsid w:val="00EB45EB"/>
    <w:rsid w:val="00EB4B93"/>
    <w:rsid w:val="00EB5410"/>
    <w:rsid w:val="00EB5C80"/>
    <w:rsid w:val="00EC077F"/>
    <w:rsid w:val="00EC0AF2"/>
    <w:rsid w:val="00EC0C39"/>
    <w:rsid w:val="00EC0C44"/>
    <w:rsid w:val="00EC2099"/>
    <w:rsid w:val="00EC281A"/>
    <w:rsid w:val="00EC2AAC"/>
    <w:rsid w:val="00EC4847"/>
    <w:rsid w:val="00EC4C25"/>
    <w:rsid w:val="00EC503E"/>
    <w:rsid w:val="00EC5D2C"/>
    <w:rsid w:val="00EC6A6C"/>
    <w:rsid w:val="00EC7642"/>
    <w:rsid w:val="00EC7656"/>
    <w:rsid w:val="00EC7C4A"/>
    <w:rsid w:val="00ED0E2A"/>
    <w:rsid w:val="00ED0EB8"/>
    <w:rsid w:val="00ED1202"/>
    <w:rsid w:val="00ED1EF3"/>
    <w:rsid w:val="00ED282E"/>
    <w:rsid w:val="00ED3224"/>
    <w:rsid w:val="00ED416F"/>
    <w:rsid w:val="00ED49A9"/>
    <w:rsid w:val="00ED50C6"/>
    <w:rsid w:val="00ED5462"/>
    <w:rsid w:val="00ED5B16"/>
    <w:rsid w:val="00ED5C4F"/>
    <w:rsid w:val="00ED7179"/>
    <w:rsid w:val="00EE02A7"/>
    <w:rsid w:val="00EE2395"/>
    <w:rsid w:val="00EE2918"/>
    <w:rsid w:val="00EE2931"/>
    <w:rsid w:val="00EE2EA5"/>
    <w:rsid w:val="00EE4D3F"/>
    <w:rsid w:val="00EE5855"/>
    <w:rsid w:val="00EE5E36"/>
    <w:rsid w:val="00EE6883"/>
    <w:rsid w:val="00EE6F5F"/>
    <w:rsid w:val="00EE72E9"/>
    <w:rsid w:val="00EE7621"/>
    <w:rsid w:val="00EF00C5"/>
    <w:rsid w:val="00EF148F"/>
    <w:rsid w:val="00EF17C5"/>
    <w:rsid w:val="00EF2009"/>
    <w:rsid w:val="00EF463F"/>
    <w:rsid w:val="00EF4C1C"/>
    <w:rsid w:val="00EF6A9C"/>
    <w:rsid w:val="00EF7CCA"/>
    <w:rsid w:val="00EF7D03"/>
    <w:rsid w:val="00F03109"/>
    <w:rsid w:val="00F032AC"/>
    <w:rsid w:val="00F046C1"/>
    <w:rsid w:val="00F0482F"/>
    <w:rsid w:val="00F05603"/>
    <w:rsid w:val="00F060CE"/>
    <w:rsid w:val="00F068F1"/>
    <w:rsid w:val="00F07C8C"/>
    <w:rsid w:val="00F1128C"/>
    <w:rsid w:val="00F12C3F"/>
    <w:rsid w:val="00F13D97"/>
    <w:rsid w:val="00F14254"/>
    <w:rsid w:val="00F14263"/>
    <w:rsid w:val="00F1715D"/>
    <w:rsid w:val="00F218D5"/>
    <w:rsid w:val="00F21914"/>
    <w:rsid w:val="00F21EA1"/>
    <w:rsid w:val="00F2536D"/>
    <w:rsid w:val="00F25A9A"/>
    <w:rsid w:val="00F25BBF"/>
    <w:rsid w:val="00F26C62"/>
    <w:rsid w:val="00F27F61"/>
    <w:rsid w:val="00F30141"/>
    <w:rsid w:val="00F318B0"/>
    <w:rsid w:val="00F31F6F"/>
    <w:rsid w:val="00F323A7"/>
    <w:rsid w:val="00F33CB8"/>
    <w:rsid w:val="00F33E5C"/>
    <w:rsid w:val="00F33F07"/>
    <w:rsid w:val="00F349CB"/>
    <w:rsid w:val="00F37F7A"/>
    <w:rsid w:val="00F4034D"/>
    <w:rsid w:val="00F40730"/>
    <w:rsid w:val="00F42919"/>
    <w:rsid w:val="00F43D97"/>
    <w:rsid w:val="00F43E90"/>
    <w:rsid w:val="00F446AF"/>
    <w:rsid w:val="00F451E1"/>
    <w:rsid w:val="00F4729F"/>
    <w:rsid w:val="00F47643"/>
    <w:rsid w:val="00F47FA7"/>
    <w:rsid w:val="00F51702"/>
    <w:rsid w:val="00F54036"/>
    <w:rsid w:val="00F54878"/>
    <w:rsid w:val="00F55149"/>
    <w:rsid w:val="00F56A93"/>
    <w:rsid w:val="00F5728F"/>
    <w:rsid w:val="00F60AD5"/>
    <w:rsid w:val="00F61D0C"/>
    <w:rsid w:val="00F61F3E"/>
    <w:rsid w:val="00F62851"/>
    <w:rsid w:val="00F63036"/>
    <w:rsid w:val="00F634FC"/>
    <w:rsid w:val="00F655BF"/>
    <w:rsid w:val="00F658E5"/>
    <w:rsid w:val="00F65949"/>
    <w:rsid w:val="00F662A7"/>
    <w:rsid w:val="00F66AB6"/>
    <w:rsid w:val="00F66FD6"/>
    <w:rsid w:val="00F70E08"/>
    <w:rsid w:val="00F72278"/>
    <w:rsid w:val="00F7259A"/>
    <w:rsid w:val="00F73036"/>
    <w:rsid w:val="00F7545D"/>
    <w:rsid w:val="00F81122"/>
    <w:rsid w:val="00F81329"/>
    <w:rsid w:val="00F81559"/>
    <w:rsid w:val="00F82303"/>
    <w:rsid w:val="00F82CD9"/>
    <w:rsid w:val="00F84A8A"/>
    <w:rsid w:val="00F85FAB"/>
    <w:rsid w:val="00F870B8"/>
    <w:rsid w:val="00F90E5B"/>
    <w:rsid w:val="00F93996"/>
    <w:rsid w:val="00F9498F"/>
    <w:rsid w:val="00F94F20"/>
    <w:rsid w:val="00F95B7E"/>
    <w:rsid w:val="00FA0666"/>
    <w:rsid w:val="00FA2145"/>
    <w:rsid w:val="00FA274E"/>
    <w:rsid w:val="00FA2BD3"/>
    <w:rsid w:val="00FA3E8E"/>
    <w:rsid w:val="00FA42E9"/>
    <w:rsid w:val="00FA4BC8"/>
    <w:rsid w:val="00FA4EC3"/>
    <w:rsid w:val="00FA5E1D"/>
    <w:rsid w:val="00FB0635"/>
    <w:rsid w:val="00FB11AA"/>
    <w:rsid w:val="00FB1E75"/>
    <w:rsid w:val="00FB33F5"/>
    <w:rsid w:val="00FC2E25"/>
    <w:rsid w:val="00FC3BF2"/>
    <w:rsid w:val="00FC7610"/>
    <w:rsid w:val="00FC7F1E"/>
    <w:rsid w:val="00FD03C9"/>
    <w:rsid w:val="00FD06EC"/>
    <w:rsid w:val="00FD0F99"/>
    <w:rsid w:val="00FD3A0B"/>
    <w:rsid w:val="00FD5A4A"/>
    <w:rsid w:val="00FE2014"/>
    <w:rsid w:val="00FE4963"/>
    <w:rsid w:val="00FE5E31"/>
    <w:rsid w:val="00FE6845"/>
    <w:rsid w:val="00FE7518"/>
    <w:rsid w:val="00FE7B3E"/>
    <w:rsid w:val="00FF128D"/>
    <w:rsid w:val="00FF12E3"/>
    <w:rsid w:val="00FF258C"/>
    <w:rsid w:val="00FF31A9"/>
    <w:rsid w:val="00FF39EC"/>
    <w:rsid w:val="00FF55B7"/>
    <w:rsid w:val="00FF745E"/>
    <w:rsid w:val="00FF797C"/>
    <w:rsid w:val="00FF7F9B"/>
    <w:rsid w:val="010A41C4"/>
    <w:rsid w:val="010F1DA1"/>
    <w:rsid w:val="012D3A25"/>
    <w:rsid w:val="013F79BD"/>
    <w:rsid w:val="014D28C9"/>
    <w:rsid w:val="01653082"/>
    <w:rsid w:val="0177122F"/>
    <w:rsid w:val="01861852"/>
    <w:rsid w:val="01A51E8A"/>
    <w:rsid w:val="01B34E22"/>
    <w:rsid w:val="01C24E01"/>
    <w:rsid w:val="01C9574B"/>
    <w:rsid w:val="01DA37DF"/>
    <w:rsid w:val="02341D2A"/>
    <w:rsid w:val="023F5562"/>
    <w:rsid w:val="027361A2"/>
    <w:rsid w:val="02810A7C"/>
    <w:rsid w:val="028E3C74"/>
    <w:rsid w:val="029D26B7"/>
    <w:rsid w:val="02BE4123"/>
    <w:rsid w:val="02C1311F"/>
    <w:rsid w:val="02C92423"/>
    <w:rsid w:val="02E37041"/>
    <w:rsid w:val="02ED1C6E"/>
    <w:rsid w:val="02F1192F"/>
    <w:rsid w:val="03011BBD"/>
    <w:rsid w:val="0321623F"/>
    <w:rsid w:val="03245509"/>
    <w:rsid w:val="032C4D22"/>
    <w:rsid w:val="033B50CF"/>
    <w:rsid w:val="034B3AB2"/>
    <w:rsid w:val="035E02DE"/>
    <w:rsid w:val="035E700F"/>
    <w:rsid w:val="038414D8"/>
    <w:rsid w:val="03BA02AF"/>
    <w:rsid w:val="03BC0E9D"/>
    <w:rsid w:val="03C929A9"/>
    <w:rsid w:val="03D42E2E"/>
    <w:rsid w:val="041C7CB0"/>
    <w:rsid w:val="04222816"/>
    <w:rsid w:val="04257076"/>
    <w:rsid w:val="04267B2D"/>
    <w:rsid w:val="04292B94"/>
    <w:rsid w:val="04497378"/>
    <w:rsid w:val="04542CD1"/>
    <w:rsid w:val="045A4C30"/>
    <w:rsid w:val="046B19E4"/>
    <w:rsid w:val="04774D3E"/>
    <w:rsid w:val="04852971"/>
    <w:rsid w:val="0486237A"/>
    <w:rsid w:val="049668CF"/>
    <w:rsid w:val="04BB1D87"/>
    <w:rsid w:val="04D7717E"/>
    <w:rsid w:val="04EB48D3"/>
    <w:rsid w:val="04EC349F"/>
    <w:rsid w:val="04F009B0"/>
    <w:rsid w:val="05332576"/>
    <w:rsid w:val="053F52FB"/>
    <w:rsid w:val="053F54D7"/>
    <w:rsid w:val="054162A1"/>
    <w:rsid w:val="05500BDA"/>
    <w:rsid w:val="056A57F8"/>
    <w:rsid w:val="056F72B2"/>
    <w:rsid w:val="05976809"/>
    <w:rsid w:val="05C84D11"/>
    <w:rsid w:val="05E22441"/>
    <w:rsid w:val="05F011B6"/>
    <w:rsid w:val="05F2138A"/>
    <w:rsid w:val="05F26F9A"/>
    <w:rsid w:val="05FB6D97"/>
    <w:rsid w:val="060A6FDB"/>
    <w:rsid w:val="06587701"/>
    <w:rsid w:val="06734B80"/>
    <w:rsid w:val="06C522AA"/>
    <w:rsid w:val="06ED387C"/>
    <w:rsid w:val="06FD2E75"/>
    <w:rsid w:val="0708176C"/>
    <w:rsid w:val="070D548D"/>
    <w:rsid w:val="071573B0"/>
    <w:rsid w:val="07171C81"/>
    <w:rsid w:val="0720306C"/>
    <w:rsid w:val="07283BBC"/>
    <w:rsid w:val="07345329"/>
    <w:rsid w:val="074B5E4C"/>
    <w:rsid w:val="075A14EB"/>
    <w:rsid w:val="07750484"/>
    <w:rsid w:val="07813558"/>
    <w:rsid w:val="078B5EF9"/>
    <w:rsid w:val="0793192E"/>
    <w:rsid w:val="07C13532"/>
    <w:rsid w:val="07CE27EF"/>
    <w:rsid w:val="07E25235"/>
    <w:rsid w:val="07FE7610"/>
    <w:rsid w:val="0805493B"/>
    <w:rsid w:val="0806701C"/>
    <w:rsid w:val="080737D2"/>
    <w:rsid w:val="08114650"/>
    <w:rsid w:val="08122FE0"/>
    <w:rsid w:val="081859DF"/>
    <w:rsid w:val="081E6C33"/>
    <w:rsid w:val="08234049"/>
    <w:rsid w:val="08256240"/>
    <w:rsid w:val="082A74C0"/>
    <w:rsid w:val="08332819"/>
    <w:rsid w:val="083A265A"/>
    <w:rsid w:val="083F1086"/>
    <w:rsid w:val="08503A6B"/>
    <w:rsid w:val="08540038"/>
    <w:rsid w:val="085E144C"/>
    <w:rsid w:val="085F500C"/>
    <w:rsid w:val="08634780"/>
    <w:rsid w:val="087B6A2E"/>
    <w:rsid w:val="08816B15"/>
    <w:rsid w:val="08B139F4"/>
    <w:rsid w:val="08BD0334"/>
    <w:rsid w:val="08C6368D"/>
    <w:rsid w:val="08C6543B"/>
    <w:rsid w:val="08D310C7"/>
    <w:rsid w:val="08DB40D3"/>
    <w:rsid w:val="08E42B3B"/>
    <w:rsid w:val="08E72291"/>
    <w:rsid w:val="090652EF"/>
    <w:rsid w:val="09087542"/>
    <w:rsid w:val="091937E1"/>
    <w:rsid w:val="0926526C"/>
    <w:rsid w:val="09292C09"/>
    <w:rsid w:val="092A79E9"/>
    <w:rsid w:val="09322AD0"/>
    <w:rsid w:val="093D3223"/>
    <w:rsid w:val="09443782"/>
    <w:rsid w:val="09466F9E"/>
    <w:rsid w:val="096B6777"/>
    <w:rsid w:val="09811772"/>
    <w:rsid w:val="09880F3D"/>
    <w:rsid w:val="0995305F"/>
    <w:rsid w:val="099B4D46"/>
    <w:rsid w:val="099C43EE"/>
    <w:rsid w:val="09AD03A9"/>
    <w:rsid w:val="09CA0F5B"/>
    <w:rsid w:val="09DB6B15"/>
    <w:rsid w:val="09DC6397"/>
    <w:rsid w:val="09F00295"/>
    <w:rsid w:val="09F67FE5"/>
    <w:rsid w:val="0A14667A"/>
    <w:rsid w:val="0A661BEC"/>
    <w:rsid w:val="0A6D18E6"/>
    <w:rsid w:val="0A821835"/>
    <w:rsid w:val="0A8F3F52"/>
    <w:rsid w:val="0A974141"/>
    <w:rsid w:val="0A981059"/>
    <w:rsid w:val="0A9B024A"/>
    <w:rsid w:val="0A9E5F43"/>
    <w:rsid w:val="0AA3355A"/>
    <w:rsid w:val="0AB67731"/>
    <w:rsid w:val="0ABB25FB"/>
    <w:rsid w:val="0ABC0BBA"/>
    <w:rsid w:val="0ACA5040"/>
    <w:rsid w:val="0ACC58A6"/>
    <w:rsid w:val="0AEF054D"/>
    <w:rsid w:val="0B0F0F50"/>
    <w:rsid w:val="0B285FF0"/>
    <w:rsid w:val="0B5331D2"/>
    <w:rsid w:val="0B550CF8"/>
    <w:rsid w:val="0B6727D9"/>
    <w:rsid w:val="0B6B22C9"/>
    <w:rsid w:val="0B6B44F4"/>
    <w:rsid w:val="0BB84DE3"/>
    <w:rsid w:val="0C281E66"/>
    <w:rsid w:val="0C405504"/>
    <w:rsid w:val="0C455E4D"/>
    <w:rsid w:val="0C593C96"/>
    <w:rsid w:val="0CA978E5"/>
    <w:rsid w:val="0CB16402"/>
    <w:rsid w:val="0CC7352F"/>
    <w:rsid w:val="0CE55463"/>
    <w:rsid w:val="0CE71744"/>
    <w:rsid w:val="0CF462EF"/>
    <w:rsid w:val="0D032FEF"/>
    <w:rsid w:val="0D1A5D55"/>
    <w:rsid w:val="0D344F62"/>
    <w:rsid w:val="0D46474D"/>
    <w:rsid w:val="0D566C31"/>
    <w:rsid w:val="0D8B4373"/>
    <w:rsid w:val="0D8B6485"/>
    <w:rsid w:val="0D954DD1"/>
    <w:rsid w:val="0D9B2DFA"/>
    <w:rsid w:val="0DDF6F9F"/>
    <w:rsid w:val="0DF2282E"/>
    <w:rsid w:val="0E0F5ED0"/>
    <w:rsid w:val="0E1053AA"/>
    <w:rsid w:val="0E2C153B"/>
    <w:rsid w:val="0E2F3A82"/>
    <w:rsid w:val="0E3C3FBC"/>
    <w:rsid w:val="0E3F3599"/>
    <w:rsid w:val="0E4F5ED2"/>
    <w:rsid w:val="0E740908"/>
    <w:rsid w:val="0E745939"/>
    <w:rsid w:val="0E791DE3"/>
    <w:rsid w:val="0E7B2D23"/>
    <w:rsid w:val="0E8625D0"/>
    <w:rsid w:val="0EA3532E"/>
    <w:rsid w:val="0EA93835"/>
    <w:rsid w:val="0EB03F8E"/>
    <w:rsid w:val="0ED12461"/>
    <w:rsid w:val="0ED463D8"/>
    <w:rsid w:val="0EF50DEC"/>
    <w:rsid w:val="0EF5224C"/>
    <w:rsid w:val="0EF67123"/>
    <w:rsid w:val="0F0334AB"/>
    <w:rsid w:val="0F0E42AA"/>
    <w:rsid w:val="0F10459F"/>
    <w:rsid w:val="0F1A028E"/>
    <w:rsid w:val="0F28184F"/>
    <w:rsid w:val="0F371E1F"/>
    <w:rsid w:val="0F53679A"/>
    <w:rsid w:val="0F6634D4"/>
    <w:rsid w:val="0F890F70"/>
    <w:rsid w:val="0F9F2801"/>
    <w:rsid w:val="0FA913EF"/>
    <w:rsid w:val="0FAC4C5F"/>
    <w:rsid w:val="0FD22917"/>
    <w:rsid w:val="0FE43571"/>
    <w:rsid w:val="0FF00FEF"/>
    <w:rsid w:val="1001144E"/>
    <w:rsid w:val="1012571B"/>
    <w:rsid w:val="102313C5"/>
    <w:rsid w:val="1025588C"/>
    <w:rsid w:val="102638EF"/>
    <w:rsid w:val="104D01F0"/>
    <w:rsid w:val="105D43A7"/>
    <w:rsid w:val="1065546E"/>
    <w:rsid w:val="106757F5"/>
    <w:rsid w:val="10D95BF6"/>
    <w:rsid w:val="10FB206F"/>
    <w:rsid w:val="112B618B"/>
    <w:rsid w:val="114E421F"/>
    <w:rsid w:val="11605D34"/>
    <w:rsid w:val="116C2A89"/>
    <w:rsid w:val="118E0AC0"/>
    <w:rsid w:val="11B17200"/>
    <w:rsid w:val="11C75D80"/>
    <w:rsid w:val="11E76422"/>
    <w:rsid w:val="11F419C7"/>
    <w:rsid w:val="12016EF0"/>
    <w:rsid w:val="12144E5B"/>
    <w:rsid w:val="121C256F"/>
    <w:rsid w:val="12226BB6"/>
    <w:rsid w:val="12280F14"/>
    <w:rsid w:val="123254A4"/>
    <w:rsid w:val="123A5185"/>
    <w:rsid w:val="124949E7"/>
    <w:rsid w:val="12772F79"/>
    <w:rsid w:val="12797074"/>
    <w:rsid w:val="128E0A44"/>
    <w:rsid w:val="12A3059B"/>
    <w:rsid w:val="12AB78D4"/>
    <w:rsid w:val="12BE7C49"/>
    <w:rsid w:val="12E017EF"/>
    <w:rsid w:val="133C69CE"/>
    <w:rsid w:val="13441D7E"/>
    <w:rsid w:val="13815984"/>
    <w:rsid w:val="13877EBC"/>
    <w:rsid w:val="139F6FB4"/>
    <w:rsid w:val="13B56934"/>
    <w:rsid w:val="13C24AD0"/>
    <w:rsid w:val="13E91FBF"/>
    <w:rsid w:val="141035D2"/>
    <w:rsid w:val="142344D0"/>
    <w:rsid w:val="14302302"/>
    <w:rsid w:val="14304765"/>
    <w:rsid w:val="143B6EA3"/>
    <w:rsid w:val="146B10C3"/>
    <w:rsid w:val="14984A52"/>
    <w:rsid w:val="14CF7E3E"/>
    <w:rsid w:val="14EF5683"/>
    <w:rsid w:val="14F864ED"/>
    <w:rsid w:val="14F90946"/>
    <w:rsid w:val="151439D2"/>
    <w:rsid w:val="151B4D60"/>
    <w:rsid w:val="15275C08"/>
    <w:rsid w:val="158A3C94"/>
    <w:rsid w:val="15BE749A"/>
    <w:rsid w:val="1604709E"/>
    <w:rsid w:val="161126E5"/>
    <w:rsid w:val="161A589B"/>
    <w:rsid w:val="16223A37"/>
    <w:rsid w:val="16227A29"/>
    <w:rsid w:val="16232298"/>
    <w:rsid w:val="1629525B"/>
    <w:rsid w:val="165976AF"/>
    <w:rsid w:val="16615545"/>
    <w:rsid w:val="166A1F56"/>
    <w:rsid w:val="1672640A"/>
    <w:rsid w:val="168429E2"/>
    <w:rsid w:val="16971CF1"/>
    <w:rsid w:val="16A15A11"/>
    <w:rsid w:val="16BD7EC5"/>
    <w:rsid w:val="16D913AB"/>
    <w:rsid w:val="16E01D14"/>
    <w:rsid w:val="16F04865"/>
    <w:rsid w:val="16F43D6A"/>
    <w:rsid w:val="170F0A85"/>
    <w:rsid w:val="17147CB9"/>
    <w:rsid w:val="17253C74"/>
    <w:rsid w:val="17571954"/>
    <w:rsid w:val="177617BE"/>
    <w:rsid w:val="17834C1C"/>
    <w:rsid w:val="17B024E8"/>
    <w:rsid w:val="17B327C7"/>
    <w:rsid w:val="17E91C18"/>
    <w:rsid w:val="17FF0778"/>
    <w:rsid w:val="181D494B"/>
    <w:rsid w:val="18491BE4"/>
    <w:rsid w:val="185E7D56"/>
    <w:rsid w:val="186E33F9"/>
    <w:rsid w:val="187A3419"/>
    <w:rsid w:val="18853204"/>
    <w:rsid w:val="18974050"/>
    <w:rsid w:val="189C0871"/>
    <w:rsid w:val="18BA03EC"/>
    <w:rsid w:val="18BE6FD3"/>
    <w:rsid w:val="18D92F68"/>
    <w:rsid w:val="18E5190D"/>
    <w:rsid w:val="18EB4A4A"/>
    <w:rsid w:val="190A3122"/>
    <w:rsid w:val="19181366"/>
    <w:rsid w:val="19186721"/>
    <w:rsid w:val="191F40BA"/>
    <w:rsid w:val="194608A6"/>
    <w:rsid w:val="195167F7"/>
    <w:rsid w:val="19525957"/>
    <w:rsid w:val="1968439A"/>
    <w:rsid w:val="1998697F"/>
    <w:rsid w:val="199A642F"/>
    <w:rsid w:val="199F6C5D"/>
    <w:rsid w:val="19B946FD"/>
    <w:rsid w:val="19BB7719"/>
    <w:rsid w:val="19C31523"/>
    <w:rsid w:val="19C94535"/>
    <w:rsid w:val="19D13C3F"/>
    <w:rsid w:val="19D97744"/>
    <w:rsid w:val="19E240CF"/>
    <w:rsid w:val="19F343F2"/>
    <w:rsid w:val="19FB08B0"/>
    <w:rsid w:val="19FC3FD6"/>
    <w:rsid w:val="19FF1C43"/>
    <w:rsid w:val="1A1DA7C1"/>
    <w:rsid w:val="1A1E5966"/>
    <w:rsid w:val="1A2B59C4"/>
    <w:rsid w:val="1A5C32BB"/>
    <w:rsid w:val="1A625293"/>
    <w:rsid w:val="1A6F7F10"/>
    <w:rsid w:val="1A804EC7"/>
    <w:rsid w:val="1A8563C8"/>
    <w:rsid w:val="1A9E2095"/>
    <w:rsid w:val="1AA66E7A"/>
    <w:rsid w:val="1AA80E44"/>
    <w:rsid w:val="1AE856E5"/>
    <w:rsid w:val="1AF06321"/>
    <w:rsid w:val="1AF776D6"/>
    <w:rsid w:val="1AFF52A6"/>
    <w:rsid w:val="1B0077FC"/>
    <w:rsid w:val="1B2E38A5"/>
    <w:rsid w:val="1B481CDF"/>
    <w:rsid w:val="1B542D7A"/>
    <w:rsid w:val="1B5468D6"/>
    <w:rsid w:val="1B5763C6"/>
    <w:rsid w:val="1B5832CE"/>
    <w:rsid w:val="1B662AAD"/>
    <w:rsid w:val="1BA76B79"/>
    <w:rsid w:val="1BAA3BE8"/>
    <w:rsid w:val="1BAF2A04"/>
    <w:rsid w:val="1BC1209C"/>
    <w:rsid w:val="1BC670A8"/>
    <w:rsid w:val="1BCF2401"/>
    <w:rsid w:val="1BDE58DF"/>
    <w:rsid w:val="1BE51D1C"/>
    <w:rsid w:val="1BEA0FE8"/>
    <w:rsid w:val="1BEA2D97"/>
    <w:rsid w:val="1BF82ED8"/>
    <w:rsid w:val="1C11473E"/>
    <w:rsid w:val="1C182F3B"/>
    <w:rsid w:val="1C246950"/>
    <w:rsid w:val="1C2A5889"/>
    <w:rsid w:val="1C467B05"/>
    <w:rsid w:val="1C4B56BA"/>
    <w:rsid w:val="1C4C1CA3"/>
    <w:rsid w:val="1C4D08AC"/>
    <w:rsid w:val="1C5D372B"/>
    <w:rsid w:val="1C5E5533"/>
    <w:rsid w:val="1C654B13"/>
    <w:rsid w:val="1C6E7210"/>
    <w:rsid w:val="1C8A4698"/>
    <w:rsid w:val="1C986D06"/>
    <w:rsid w:val="1CCF10A1"/>
    <w:rsid w:val="1CE26164"/>
    <w:rsid w:val="1CEC52FD"/>
    <w:rsid w:val="1CED7444"/>
    <w:rsid w:val="1D364BB6"/>
    <w:rsid w:val="1D42236E"/>
    <w:rsid w:val="1D4B3D09"/>
    <w:rsid w:val="1D4B5AB7"/>
    <w:rsid w:val="1D6B7F07"/>
    <w:rsid w:val="1D6C09D7"/>
    <w:rsid w:val="1D7768AC"/>
    <w:rsid w:val="1D8B71D5"/>
    <w:rsid w:val="1D8C2C74"/>
    <w:rsid w:val="1DAB5AB9"/>
    <w:rsid w:val="1DB71BBB"/>
    <w:rsid w:val="1DCC309C"/>
    <w:rsid w:val="1E075E82"/>
    <w:rsid w:val="1E217E45"/>
    <w:rsid w:val="1E320A25"/>
    <w:rsid w:val="1E4D771D"/>
    <w:rsid w:val="1E6DA088"/>
    <w:rsid w:val="1E6E10AB"/>
    <w:rsid w:val="1E7948A6"/>
    <w:rsid w:val="1E9811D0"/>
    <w:rsid w:val="1EC80AF0"/>
    <w:rsid w:val="1ED420C5"/>
    <w:rsid w:val="1EE54FDD"/>
    <w:rsid w:val="1EE67FBF"/>
    <w:rsid w:val="1EEE1472"/>
    <w:rsid w:val="1F220A99"/>
    <w:rsid w:val="1F27643D"/>
    <w:rsid w:val="1F325180"/>
    <w:rsid w:val="1F346382"/>
    <w:rsid w:val="1F556F63"/>
    <w:rsid w:val="1F6C1AC3"/>
    <w:rsid w:val="1F724766"/>
    <w:rsid w:val="1FA42EEF"/>
    <w:rsid w:val="1FBC4A4A"/>
    <w:rsid w:val="1FE734F3"/>
    <w:rsid w:val="1FE77FCA"/>
    <w:rsid w:val="1FEB3581"/>
    <w:rsid w:val="1FEE1F63"/>
    <w:rsid w:val="201B3EC5"/>
    <w:rsid w:val="20254CE5"/>
    <w:rsid w:val="2027526B"/>
    <w:rsid w:val="20373081"/>
    <w:rsid w:val="20451CA7"/>
    <w:rsid w:val="20590A43"/>
    <w:rsid w:val="20983709"/>
    <w:rsid w:val="20AC6B7F"/>
    <w:rsid w:val="20C368CF"/>
    <w:rsid w:val="20CD709C"/>
    <w:rsid w:val="20D37B82"/>
    <w:rsid w:val="20E00C0C"/>
    <w:rsid w:val="210A1A63"/>
    <w:rsid w:val="21132D8F"/>
    <w:rsid w:val="21176ABB"/>
    <w:rsid w:val="21293B0A"/>
    <w:rsid w:val="216653FF"/>
    <w:rsid w:val="21867A05"/>
    <w:rsid w:val="21A71388"/>
    <w:rsid w:val="21A734D8"/>
    <w:rsid w:val="21C916A0"/>
    <w:rsid w:val="21D73DBD"/>
    <w:rsid w:val="21E27297"/>
    <w:rsid w:val="21E800A5"/>
    <w:rsid w:val="21F20BF7"/>
    <w:rsid w:val="21F34AE6"/>
    <w:rsid w:val="220771B2"/>
    <w:rsid w:val="220E5B1B"/>
    <w:rsid w:val="221C28CA"/>
    <w:rsid w:val="222329C1"/>
    <w:rsid w:val="222B17FB"/>
    <w:rsid w:val="22356D36"/>
    <w:rsid w:val="22392389"/>
    <w:rsid w:val="224710BF"/>
    <w:rsid w:val="22513B6F"/>
    <w:rsid w:val="22673393"/>
    <w:rsid w:val="22813FD7"/>
    <w:rsid w:val="228A52D3"/>
    <w:rsid w:val="228E03BD"/>
    <w:rsid w:val="229203D9"/>
    <w:rsid w:val="229323DA"/>
    <w:rsid w:val="22965A26"/>
    <w:rsid w:val="22C063E1"/>
    <w:rsid w:val="22C23B07"/>
    <w:rsid w:val="22C736B1"/>
    <w:rsid w:val="22DA1DB7"/>
    <w:rsid w:val="22E33312"/>
    <w:rsid w:val="23074A7C"/>
    <w:rsid w:val="23164DB9"/>
    <w:rsid w:val="231E0BF3"/>
    <w:rsid w:val="23502079"/>
    <w:rsid w:val="235A4CA6"/>
    <w:rsid w:val="237409B3"/>
    <w:rsid w:val="237E4AE2"/>
    <w:rsid w:val="23930C1F"/>
    <w:rsid w:val="23B707E1"/>
    <w:rsid w:val="23CC456F"/>
    <w:rsid w:val="23D5257E"/>
    <w:rsid w:val="23FF59BB"/>
    <w:rsid w:val="24215D08"/>
    <w:rsid w:val="24490F2F"/>
    <w:rsid w:val="244A4D1A"/>
    <w:rsid w:val="245C2C9F"/>
    <w:rsid w:val="246433D2"/>
    <w:rsid w:val="24724271"/>
    <w:rsid w:val="24780FDD"/>
    <w:rsid w:val="24822062"/>
    <w:rsid w:val="24833D88"/>
    <w:rsid w:val="249266C1"/>
    <w:rsid w:val="24C90335"/>
    <w:rsid w:val="24FC7917"/>
    <w:rsid w:val="251E50D3"/>
    <w:rsid w:val="253115E2"/>
    <w:rsid w:val="25381017"/>
    <w:rsid w:val="254812E5"/>
    <w:rsid w:val="255C6200"/>
    <w:rsid w:val="2563044F"/>
    <w:rsid w:val="2576046E"/>
    <w:rsid w:val="258B6DE3"/>
    <w:rsid w:val="25922771"/>
    <w:rsid w:val="25965D3D"/>
    <w:rsid w:val="25A466AC"/>
    <w:rsid w:val="25B07024"/>
    <w:rsid w:val="25B14925"/>
    <w:rsid w:val="25CF6559"/>
    <w:rsid w:val="25FB0620"/>
    <w:rsid w:val="26012CDD"/>
    <w:rsid w:val="262940F3"/>
    <w:rsid w:val="262D5A69"/>
    <w:rsid w:val="26323CB8"/>
    <w:rsid w:val="265377E3"/>
    <w:rsid w:val="265F5615"/>
    <w:rsid w:val="2663162B"/>
    <w:rsid w:val="266E675C"/>
    <w:rsid w:val="267020A2"/>
    <w:rsid w:val="26910428"/>
    <w:rsid w:val="26B172D2"/>
    <w:rsid w:val="26B648E9"/>
    <w:rsid w:val="26D91A23"/>
    <w:rsid w:val="26DC4C48"/>
    <w:rsid w:val="26EC4E62"/>
    <w:rsid w:val="26F5350F"/>
    <w:rsid w:val="271600D4"/>
    <w:rsid w:val="27196C26"/>
    <w:rsid w:val="27290D63"/>
    <w:rsid w:val="27653419"/>
    <w:rsid w:val="276C7261"/>
    <w:rsid w:val="27716A62"/>
    <w:rsid w:val="27781B9E"/>
    <w:rsid w:val="2792337D"/>
    <w:rsid w:val="27924432"/>
    <w:rsid w:val="279F537D"/>
    <w:rsid w:val="27A91D58"/>
    <w:rsid w:val="27AD60AA"/>
    <w:rsid w:val="27B65FBB"/>
    <w:rsid w:val="27CB7F20"/>
    <w:rsid w:val="27D74B17"/>
    <w:rsid w:val="27FC457D"/>
    <w:rsid w:val="27FC5BA3"/>
    <w:rsid w:val="28031C3E"/>
    <w:rsid w:val="28090196"/>
    <w:rsid w:val="281573ED"/>
    <w:rsid w:val="281F7367"/>
    <w:rsid w:val="287620AA"/>
    <w:rsid w:val="288F6A47"/>
    <w:rsid w:val="28904CC6"/>
    <w:rsid w:val="28927481"/>
    <w:rsid w:val="28A349F9"/>
    <w:rsid w:val="28A569C3"/>
    <w:rsid w:val="29116B87"/>
    <w:rsid w:val="293F7110"/>
    <w:rsid w:val="29446FED"/>
    <w:rsid w:val="295108F9"/>
    <w:rsid w:val="29634188"/>
    <w:rsid w:val="297A1C52"/>
    <w:rsid w:val="297D5333"/>
    <w:rsid w:val="299507E6"/>
    <w:rsid w:val="29970631"/>
    <w:rsid w:val="299A6941"/>
    <w:rsid w:val="299B7CEB"/>
    <w:rsid w:val="299D56DD"/>
    <w:rsid w:val="29B44EAA"/>
    <w:rsid w:val="29C4745C"/>
    <w:rsid w:val="29CE24E7"/>
    <w:rsid w:val="2A015C9E"/>
    <w:rsid w:val="2A0D75E3"/>
    <w:rsid w:val="2A3A6DAF"/>
    <w:rsid w:val="2A547D58"/>
    <w:rsid w:val="2A6C223D"/>
    <w:rsid w:val="2A7C43E5"/>
    <w:rsid w:val="2A7F4333"/>
    <w:rsid w:val="2AA66A22"/>
    <w:rsid w:val="2AB2666F"/>
    <w:rsid w:val="2ABD2793"/>
    <w:rsid w:val="2AEA4748"/>
    <w:rsid w:val="2AF21C68"/>
    <w:rsid w:val="2B0B2DA8"/>
    <w:rsid w:val="2B173D23"/>
    <w:rsid w:val="2B2636BF"/>
    <w:rsid w:val="2B5B3A06"/>
    <w:rsid w:val="2B6A10EE"/>
    <w:rsid w:val="2B8C5C18"/>
    <w:rsid w:val="2BCA6705"/>
    <w:rsid w:val="2C22657D"/>
    <w:rsid w:val="2C267E1B"/>
    <w:rsid w:val="2C723060"/>
    <w:rsid w:val="2C736DD8"/>
    <w:rsid w:val="2C754589"/>
    <w:rsid w:val="2C8B2374"/>
    <w:rsid w:val="2C8C39F6"/>
    <w:rsid w:val="2CA13945"/>
    <w:rsid w:val="2CAD38E9"/>
    <w:rsid w:val="2CBE5396"/>
    <w:rsid w:val="2CBE9A02"/>
    <w:rsid w:val="2CC43900"/>
    <w:rsid w:val="2CDA0C05"/>
    <w:rsid w:val="2CF34544"/>
    <w:rsid w:val="2CFF241A"/>
    <w:rsid w:val="2D12039F"/>
    <w:rsid w:val="2D481A04"/>
    <w:rsid w:val="2D49609E"/>
    <w:rsid w:val="2D804CB1"/>
    <w:rsid w:val="2D870D8D"/>
    <w:rsid w:val="2D8D3ECA"/>
    <w:rsid w:val="2D9618A3"/>
    <w:rsid w:val="2DB72CF5"/>
    <w:rsid w:val="2DC8596B"/>
    <w:rsid w:val="2DCB085B"/>
    <w:rsid w:val="2DD45655"/>
    <w:rsid w:val="2DDF2B7A"/>
    <w:rsid w:val="2DE3703B"/>
    <w:rsid w:val="2DFE5055"/>
    <w:rsid w:val="2DFFF615"/>
    <w:rsid w:val="2E270F01"/>
    <w:rsid w:val="2E33424C"/>
    <w:rsid w:val="2E4612C4"/>
    <w:rsid w:val="2E6479F1"/>
    <w:rsid w:val="2E7330BF"/>
    <w:rsid w:val="2E73541B"/>
    <w:rsid w:val="2E821554"/>
    <w:rsid w:val="2E8E1CA7"/>
    <w:rsid w:val="2EA25753"/>
    <w:rsid w:val="2EB711FE"/>
    <w:rsid w:val="2ED37F31"/>
    <w:rsid w:val="2ED973C6"/>
    <w:rsid w:val="2EDD163D"/>
    <w:rsid w:val="2EEC7C36"/>
    <w:rsid w:val="2F177EEF"/>
    <w:rsid w:val="2F285C58"/>
    <w:rsid w:val="2F331C84"/>
    <w:rsid w:val="2F37641D"/>
    <w:rsid w:val="2F44590F"/>
    <w:rsid w:val="2F7215C9"/>
    <w:rsid w:val="2F7B7C19"/>
    <w:rsid w:val="2F7D2448"/>
    <w:rsid w:val="2F8921ED"/>
    <w:rsid w:val="2F8E640C"/>
    <w:rsid w:val="2F984F74"/>
    <w:rsid w:val="2FBC2844"/>
    <w:rsid w:val="2FE54D20"/>
    <w:rsid w:val="2FE83B95"/>
    <w:rsid w:val="30330FFC"/>
    <w:rsid w:val="303B755E"/>
    <w:rsid w:val="30403272"/>
    <w:rsid w:val="30630637"/>
    <w:rsid w:val="30801AC4"/>
    <w:rsid w:val="308A000C"/>
    <w:rsid w:val="30AD1F0F"/>
    <w:rsid w:val="30B21CEB"/>
    <w:rsid w:val="30D31113"/>
    <w:rsid w:val="30D818E8"/>
    <w:rsid w:val="30D87618"/>
    <w:rsid w:val="30E31201"/>
    <w:rsid w:val="30F540A9"/>
    <w:rsid w:val="30F7796B"/>
    <w:rsid w:val="310E5321"/>
    <w:rsid w:val="31175F84"/>
    <w:rsid w:val="31187C2B"/>
    <w:rsid w:val="312E32CE"/>
    <w:rsid w:val="31305298"/>
    <w:rsid w:val="31306B17"/>
    <w:rsid w:val="31666E3C"/>
    <w:rsid w:val="31752FEE"/>
    <w:rsid w:val="318F45C6"/>
    <w:rsid w:val="31994BEB"/>
    <w:rsid w:val="319F6A0A"/>
    <w:rsid w:val="31BA1094"/>
    <w:rsid w:val="31C3435E"/>
    <w:rsid w:val="31C3610C"/>
    <w:rsid w:val="31D34BF0"/>
    <w:rsid w:val="31D7564F"/>
    <w:rsid w:val="31F2079F"/>
    <w:rsid w:val="320C04F7"/>
    <w:rsid w:val="320D5A13"/>
    <w:rsid w:val="3251196A"/>
    <w:rsid w:val="326602A5"/>
    <w:rsid w:val="32660BE5"/>
    <w:rsid w:val="327F64D7"/>
    <w:rsid w:val="32A007AA"/>
    <w:rsid w:val="32A221C5"/>
    <w:rsid w:val="32A366B2"/>
    <w:rsid w:val="32B048E2"/>
    <w:rsid w:val="32B42EB4"/>
    <w:rsid w:val="32C9763C"/>
    <w:rsid w:val="32CC60FB"/>
    <w:rsid w:val="32DB7473"/>
    <w:rsid w:val="32DE21FB"/>
    <w:rsid w:val="32E82A97"/>
    <w:rsid w:val="33291F9F"/>
    <w:rsid w:val="334F4866"/>
    <w:rsid w:val="33527EA5"/>
    <w:rsid w:val="335425AD"/>
    <w:rsid w:val="3360282E"/>
    <w:rsid w:val="33610DCC"/>
    <w:rsid w:val="33613DD7"/>
    <w:rsid w:val="33995376"/>
    <w:rsid w:val="33A32F16"/>
    <w:rsid w:val="33E85F03"/>
    <w:rsid w:val="34012F1B"/>
    <w:rsid w:val="346314E0"/>
    <w:rsid w:val="34767465"/>
    <w:rsid w:val="348A1163"/>
    <w:rsid w:val="349B4E39"/>
    <w:rsid w:val="34C06477"/>
    <w:rsid w:val="34C46423"/>
    <w:rsid w:val="34CC4049"/>
    <w:rsid w:val="34CD301E"/>
    <w:rsid w:val="34DF500B"/>
    <w:rsid w:val="35020CF9"/>
    <w:rsid w:val="350D4388"/>
    <w:rsid w:val="35105848"/>
    <w:rsid w:val="351A33A9"/>
    <w:rsid w:val="353C420B"/>
    <w:rsid w:val="35431A3E"/>
    <w:rsid w:val="3558300F"/>
    <w:rsid w:val="357C0CDE"/>
    <w:rsid w:val="357C65CB"/>
    <w:rsid w:val="358D0F0B"/>
    <w:rsid w:val="359027A9"/>
    <w:rsid w:val="359C6D67"/>
    <w:rsid w:val="35A3428A"/>
    <w:rsid w:val="35BF4E3C"/>
    <w:rsid w:val="35C0308E"/>
    <w:rsid w:val="35C24D9D"/>
    <w:rsid w:val="35D900A0"/>
    <w:rsid w:val="35E4397E"/>
    <w:rsid w:val="362C0724"/>
    <w:rsid w:val="36360B08"/>
    <w:rsid w:val="3673053B"/>
    <w:rsid w:val="368E4F3A"/>
    <w:rsid w:val="36A4475E"/>
    <w:rsid w:val="36AD5E94"/>
    <w:rsid w:val="36B14A92"/>
    <w:rsid w:val="36C070BE"/>
    <w:rsid w:val="36D466C5"/>
    <w:rsid w:val="36DD557A"/>
    <w:rsid w:val="370A20E7"/>
    <w:rsid w:val="37166CDE"/>
    <w:rsid w:val="3719300D"/>
    <w:rsid w:val="371B4C07"/>
    <w:rsid w:val="372F67AA"/>
    <w:rsid w:val="37321C86"/>
    <w:rsid w:val="3736348A"/>
    <w:rsid w:val="3748158D"/>
    <w:rsid w:val="374970B3"/>
    <w:rsid w:val="375E61D9"/>
    <w:rsid w:val="378D4D8B"/>
    <w:rsid w:val="37A525EE"/>
    <w:rsid w:val="37A537E5"/>
    <w:rsid w:val="37A784FC"/>
    <w:rsid w:val="37AA558E"/>
    <w:rsid w:val="37AD2D9F"/>
    <w:rsid w:val="37C8622A"/>
    <w:rsid w:val="380A6843"/>
    <w:rsid w:val="382150DB"/>
    <w:rsid w:val="384B7CAA"/>
    <w:rsid w:val="38602906"/>
    <w:rsid w:val="3872527C"/>
    <w:rsid w:val="389C406E"/>
    <w:rsid w:val="38A02D03"/>
    <w:rsid w:val="38A65E3F"/>
    <w:rsid w:val="38AD41D1"/>
    <w:rsid w:val="38B44A00"/>
    <w:rsid w:val="38BD38B5"/>
    <w:rsid w:val="38D83D46"/>
    <w:rsid w:val="38D929EF"/>
    <w:rsid w:val="38DC24E7"/>
    <w:rsid w:val="38DD400D"/>
    <w:rsid w:val="38E40B34"/>
    <w:rsid w:val="38ED5041"/>
    <w:rsid w:val="38F80D91"/>
    <w:rsid w:val="39072F83"/>
    <w:rsid w:val="391D07F7"/>
    <w:rsid w:val="391E1E7A"/>
    <w:rsid w:val="393D27B3"/>
    <w:rsid w:val="39447B32"/>
    <w:rsid w:val="394E09B1"/>
    <w:rsid w:val="394E1501"/>
    <w:rsid w:val="39517098"/>
    <w:rsid w:val="3971469F"/>
    <w:rsid w:val="398C294A"/>
    <w:rsid w:val="398F421A"/>
    <w:rsid w:val="39955922"/>
    <w:rsid w:val="39965938"/>
    <w:rsid w:val="39AD05D8"/>
    <w:rsid w:val="39B566C0"/>
    <w:rsid w:val="39EA1CAF"/>
    <w:rsid w:val="39F42888"/>
    <w:rsid w:val="39F74BA5"/>
    <w:rsid w:val="3A1E4EF9"/>
    <w:rsid w:val="3A2636DC"/>
    <w:rsid w:val="3A3928BC"/>
    <w:rsid w:val="3A426894"/>
    <w:rsid w:val="3A474D18"/>
    <w:rsid w:val="3A723576"/>
    <w:rsid w:val="3A8A31D9"/>
    <w:rsid w:val="3A9D7E92"/>
    <w:rsid w:val="3A9E6A8B"/>
    <w:rsid w:val="3AA75770"/>
    <w:rsid w:val="3ABE56C2"/>
    <w:rsid w:val="3ABF34DC"/>
    <w:rsid w:val="3AD57913"/>
    <w:rsid w:val="3AE00E3C"/>
    <w:rsid w:val="3AFF1566"/>
    <w:rsid w:val="3B0A0908"/>
    <w:rsid w:val="3B181276"/>
    <w:rsid w:val="3B1A6358"/>
    <w:rsid w:val="3B254B31"/>
    <w:rsid w:val="3B3807CF"/>
    <w:rsid w:val="3B3E21C7"/>
    <w:rsid w:val="3B570A9E"/>
    <w:rsid w:val="3B6C3370"/>
    <w:rsid w:val="3B6E2D81"/>
    <w:rsid w:val="3B792763"/>
    <w:rsid w:val="3B826D5C"/>
    <w:rsid w:val="3BB015E4"/>
    <w:rsid w:val="3BB56AC5"/>
    <w:rsid w:val="3BBE7837"/>
    <w:rsid w:val="3BCF1D83"/>
    <w:rsid w:val="3BDB2727"/>
    <w:rsid w:val="3BEDD179"/>
    <w:rsid w:val="3BFC6F2E"/>
    <w:rsid w:val="3C0201DA"/>
    <w:rsid w:val="3C0F2EDB"/>
    <w:rsid w:val="3C1063F2"/>
    <w:rsid w:val="3C155E7D"/>
    <w:rsid w:val="3C2459F9"/>
    <w:rsid w:val="3C2C120B"/>
    <w:rsid w:val="3C2E0626"/>
    <w:rsid w:val="3C3245BA"/>
    <w:rsid w:val="3C4012F6"/>
    <w:rsid w:val="3C642299"/>
    <w:rsid w:val="3CC94827"/>
    <w:rsid w:val="3CCA17F1"/>
    <w:rsid w:val="3D25084A"/>
    <w:rsid w:val="3D2637DD"/>
    <w:rsid w:val="3D2B1C42"/>
    <w:rsid w:val="3D2C00D6"/>
    <w:rsid w:val="3D3A1978"/>
    <w:rsid w:val="3D3B2FFA"/>
    <w:rsid w:val="3D59675F"/>
    <w:rsid w:val="3D624551"/>
    <w:rsid w:val="3D687B67"/>
    <w:rsid w:val="3D804233"/>
    <w:rsid w:val="3D8A63A1"/>
    <w:rsid w:val="3D8F3346"/>
    <w:rsid w:val="3D980813"/>
    <w:rsid w:val="3DB01C3A"/>
    <w:rsid w:val="3DCE0EB4"/>
    <w:rsid w:val="3DF7E8AA"/>
    <w:rsid w:val="3E0E1B05"/>
    <w:rsid w:val="3E2F4622"/>
    <w:rsid w:val="3E475D2E"/>
    <w:rsid w:val="3E4F4DCE"/>
    <w:rsid w:val="3E5F540E"/>
    <w:rsid w:val="3E735452"/>
    <w:rsid w:val="3E772758"/>
    <w:rsid w:val="3E78464D"/>
    <w:rsid w:val="3E830483"/>
    <w:rsid w:val="3EE17BD1"/>
    <w:rsid w:val="3EFD48F6"/>
    <w:rsid w:val="3F151053"/>
    <w:rsid w:val="3F2B709E"/>
    <w:rsid w:val="3F2D2350"/>
    <w:rsid w:val="3F2F3A75"/>
    <w:rsid w:val="3F32094C"/>
    <w:rsid w:val="3F371C7A"/>
    <w:rsid w:val="3F374F28"/>
    <w:rsid w:val="3F497FBF"/>
    <w:rsid w:val="3F7414D3"/>
    <w:rsid w:val="3F7B4771"/>
    <w:rsid w:val="3F941AB2"/>
    <w:rsid w:val="3F9D0B16"/>
    <w:rsid w:val="3F9E6F8D"/>
    <w:rsid w:val="3FC55D7F"/>
    <w:rsid w:val="3FD15E98"/>
    <w:rsid w:val="3FF4111F"/>
    <w:rsid w:val="3FFEB543"/>
    <w:rsid w:val="3FFFFBBE"/>
    <w:rsid w:val="4000052B"/>
    <w:rsid w:val="400224F5"/>
    <w:rsid w:val="40073668"/>
    <w:rsid w:val="402406BD"/>
    <w:rsid w:val="404610AB"/>
    <w:rsid w:val="40517E0D"/>
    <w:rsid w:val="40552625"/>
    <w:rsid w:val="405D0A44"/>
    <w:rsid w:val="405E758E"/>
    <w:rsid w:val="406D1E78"/>
    <w:rsid w:val="40844CB8"/>
    <w:rsid w:val="40BC38E0"/>
    <w:rsid w:val="40DC08BF"/>
    <w:rsid w:val="40F77B80"/>
    <w:rsid w:val="40FF4A4C"/>
    <w:rsid w:val="41022EDD"/>
    <w:rsid w:val="41076015"/>
    <w:rsid w:val="41096492"/>
    <w:rsid w:val="410F6C78"/>
    <w:rsid w:val="4110479E"/>
    <w:rsid w:val="41151DB4"/>
    <w:rsid w:val="41291366"/>
    <w:rsid w:val="4132723C"/>
    <w:rsid w:val="41384420"/>
    <w:rsid w:val="416C5CCB"/>
    <w:rsid w:val="4170052D"/>
    <w:rsid w:val="41766CF7"/>
    <w:rsid w:val="417F42CC"/>
    <w:rsid w:val="41892E00"/>
    <w:rsid w:val="418A5588"/>
    <w:rsid w:val="41A85316"/>
    <w:rsid w:val="41AA2E44"/>
    <w:rsid w:val="41BE3263"/>
    <w:rsid w:val="41D35EF7"/>
    <w:rsid w:val="41DF3CDD"/>
    <w:rsid w:val="41E164DD"/>
    <w:rsid w:val="41E2438C"/>
    <w:rsid w:val="41EE446C"/>
    <w:rsid w:val="41F1307E"/>
    <w:rsid w:val="420311B6"/>
    <w:rsid w:val="422C5607"/>
    <w:rsid w:val="425F165F"/>
    <w:rsid w:val="42634441"/>
    <w:rsid w:val="42735F0D"/>
    <w:rsid w:val="42905B96"/>
    <w:rsid w:val="42A04F26"/>
    <w:rsid w:val="42B41E77"/>
    <w:rsid w:val="42C13FA2"/>
    <w:rsid w:val="42C703F3"/>
    <w:rsid w:val="42D27F5D"/>
    <w:rsid w:val="42D40179"/>
    <w:rsid w:val="42D633BD"/>
    <w:rsid w:val="42E94CB8"/>
    <w:rsid w:val="42EA799C"/>
    <w:rsid w:val="431A1904"/>
    <w:rsid w:val="432439DA"/>
    <w:rsid w:val="432D75F3"/>
    <w:rsid w:val="43565B34"/>
    <w:rsid w:val="436A6192"/>
    <w:rsid w:val="436C03B1"/>
    <w:rsid w:val="438D1534"/>
    <w:rsid w:val="43AE6EA7"/>
    <w:rsid w:val="43D86C72"/>
    <w:rsid w:val="43E837B0"/>
    <w:rsid w:val="43EE59F5"/>
    <w:rsid w:val="43EE69A9"/>
    <w:rsid w:val="43EF05D2"/>
    <w:rsid w:val="43F2310D"/>
    <w:rsid w:val="441000AA"/>
    <w:rsid w:val="441336D1"/>
    <w:rsid w:val="441526C9"/>
    <w:rsid w:val="44246EDE"/>
    <w:rsid w:val="44330ECF"/>
    <w:rsid w:val="44542E71"/>
    <w:rsid w:val="446455E0"/>
    <w:rsid w:val="44A771C7"/>
    <w:rsid w:val="44C67067"/>
    <w:rsid w:val="44D37FBC"/>
    <w:rsid w:val="44E87F0C"/>
    <w:rsid w:val="44EB17AA"/>
    <w:rsid w:val="44F52628"/>
    <w:rsid w:val="44F86C12"/>
    <w:rsid w:val="450243C0"/>
    <w:rsid w:val="455B692F"/>
    <w:rsid w:val="45A46D27"/>
    <w:rsid w:val="45AD2BE1"/>
    <w:rsid w:val="45ED3300"/>
    <w:rsid w:val="45FD79E7"/>
    <w:rsid w:val="46144D30"/>
    <w:rsid w:val="462458A4"/>
    <w:rsid w:val="4629630A"/>
    <w:rsid w:val="464216A9"/>
    <w:rsid w:val="46603AD2"/>
    <w:rsid w:val="4666134F"/>
    <w:rsid w:val="4685696F"/>
    <w:rsid w:val="468635AE"/>
    <w:rsid w:val="46A00372"/>
    <w:rsid w:val="46CF7D10"/>
    <w:rsid w:val="46D92F4F"/>
    <w:rsid w:val="46DC1E55"/>
    <w:rsid w:val="46ED7A5B"/>
    <w:rsid w:val="46FC4477"/>
    <w:rsid w:val="47044597"/>
    <w:rsid w:val="47213E85"/>
    <w:rsid w:val="47242D51"/>
    <w:rsid w:val="47280A93"/>
    <w:rsid w:val="473C009B"/>
    <w:rsid w:val="47461202"/>
    <w:rsid w:val="47825ACC"/>
    <w:rsid w:val="478B4B7E"/>
    <w:rsid w:val="47925299"/>
    <w:rsid w:val="47945FDF"/>
    <w:rsid w:val="47A9313F"/>
    <w:rsid w:val="47AF20B0"/>
    <w:rsid w:val="47BC742D"/>
    <w:rsid w:val="47EF7803"/>
    <w:rsid w:val="47F73984"/>
    <w:rsid w:val="480037BE"/>
    <w:rsid w:val="480A1F47"/>
    <w:rsid w:val="4819662E"/>
    <w:rsid w:val="4820016B"/>
    <w:rsid w:val="48315726"/>
    <w:rsid w:val="484A2F73"/>
    <w:rsid w:val="48517B76"/>
    <w:rsid w:val="487F6A26"/>
    <w:rsid w:val="4897228A"/>
    <w:rsid w:val="48A004EC"/>
    <w:rsid w:val="48A85DD8"/>
    <w:rsid w:val="48AD4CBD"/>
    <w:rsid w:val="48AF2E1E"/>
    <w:rsid w:val="48B3414B"/>
    <w:rsid w:val="48B3438D"/>
    <w:rsid w:val="492102EB"/>
    <w:rsid w:val="49211F77"/>
    <w:rsid w:val="492D2202"/>
    <w:rsid w:val="49560981"/>
    <w:rsid w:val="49571754"/>
    <w:rsid w:val="49883A6B"/>
    <w:rsid w:val="49B72066"/>
    <w:rsid w:val="49BA6FFC"/>
    <w:rsid w:val="49D87BB1"/>
    <w:rsid w:val="49DF11B1"/>
    <w:rsid w:val="49EB18A4"/>
    <w:rsid w:val="49F168FF"/>
    <w:rsid w:val="49F41101"/>
    <w:rsid w:val="4A1033F0"/>
    <w:rsid w:val="4A183041"/>
    <w:rsid w:val="4A2F4538"/>
    <w:rsid w:val="4A3076B5"/>
    <w:rsid w:val="4A4D54A4"/>
    <w:rsid w:val="4A547DF1"/>
    <w:rsid w:val="4A65302C"/>
    <w:rsid w:val="4A71306B"/>
    <w:rsid w:val="4A7571B3"/>
    <w:rsid w:val="4A7C3BA7"/>
    <w:rsid w:val="4A7D6C6D"/>
    <w:rsid w:val="4A875AD1"/>
    <w:rsid w:val="4A8E20F7"/>
    <w:rsid w:val="4ADD4EF3"/>
    <w:rsid w:val="4AE56B61"/>
    <w:rsid w:val="4B0D6D5E"/>
    <w:rsid w:val="4B103D18"/>
    <w:rsid w:val="4B1575B2"/>
    <w:rsid w:val="4B2B0B52"/>
    <w:rsid w:val="4B4A5BEE"/>
    <w:rsid w:val="4B4B5A6A"/>
    <w:rsid w:val="4B6B53F2"/>
    <w:rsid w:val="4B6E7574"/>
    <w:rsid w:val="4BAD5A0B"/>
    <w:rsid w:val="4BB24DCF"/>
    <w:rsid w:val="4BD50628"/>
    <w:rsid w:val="4BE17463"/>
    <w:rsid w:val="4C1B7124"/>
    <w:rsid w:val="4C237A7B"/>
    <w:rsid w:val="4C5466A0"/>
    <w:rsid w:val="4C664A17"/>
    <w:rsid w:val="4C9170DB"/>
    <w:rsid w:val="4C981247"/>
    <w:rsid w:val="4C9D15DC"/>
    <w:rsid w:val="4CA0731E"/>
    <w:rsid w:val="4CCE323C"/>
    <w:rsid w:val="4CE722B4"/>
    <w:rsid w:val="4CF07BB0"/>
    <w:rsid w:val="4D1350FB"/>
    <w:rsid w:val="4D1F45CA"/>
    <w:rsid w:val="4D225B57"/>
    <w:rsid w:val="4D4A25E7"/>
    <w:rsid w:val="4D6B16DA"/>
    <w:rsid w:val="4D6D0676"/>
    <w:rsid w:val="4D6E2844"/>
    <w:rsid w:val="4D733D4C"/>
    <w:rsid w:val="4D9F3131"/>
    <w:rsid w:val="4DA4699A"/>
    <w:rsid w:val="4DAD0EB8"/>
    <w:rsid w:val="4DC1579E"/>
    <w:rsid w:val="4DCC4784"/>
    <w:rsid w:val="4DD3102D"/>
    <w:rsid w:val="4E257ADB"/>
    <w:rsid w:val="4E3A3DAE"/>
    <w:rsid w:val="4E3C6BD2"/>
    <w:rsid w:val="4E586D7B"/>
    <w:rsid w:val="4E611AB1"/>
    <w:rsid w:val="4E623712"/>
    <w:rsid w:val="4E7C49C3"/>
    <w:rsid w:val="4E902DBF"/>
    <w:rsid w:val="4E9B365D"/>
    <w:rsid w:val="4E9C3B15"/>
    <w:rsid w:val="4EA923B6"/>
    <w:rsid w:val="4ECF3EEA"/>
    <w:rsid w:val="4EE96249"/>
    <w:rsid w:val="4EEA4880"/>
    <w:rsid w:val="4F4026F2"/>
    <w:rsid w:val="4F4E1500"/>
    <w:rsid w:val="4F5148FF"/>
    <w:rsid w:val="4F577CD7"/>
    <w:rsid w:val="4F7147CF"/>
    <w:rsid w:val="4F7800DE"/>
    <w:rsid w:val="4F7B3091"/>
    <w:rsid w:val="4F810AEF"/>
    <w:rsid w:val="4F870321"/>
    <w:rsid w:val="4F8E3D0A"/>
    <w:rsid w:val="4FAB400F"/>
    <w:rsid w:val="4FBC5A76"/>
    <w:rsid w:val="4FCE5E25"/>
    <w:rsid w:val="4FCE5F50"/>
    <w:rsid w:val="4FFD8404"/>
    <w:rsid w:val="503058B3"/>
    <w:rsid w:val="503F27BD"/>
    <w:rsid w:val="50611028"/>
    <w:rsid w:val="506917FA"/>
    <w:rsid w:val="506F7248"/>
    <w:rsid w:val="507C6D8E"/>
    <w:rsid w:val="507C7625"/>
    <w:rsid w:val="508108BA"/>
    <w:rsid w:val="50847526"/>
    <w:rsid w:val="509A5B6D"/>
    <w:rsid w:val="50A266B5"/>
    <w:rsid w:val="50B11AF9"/>
    <w:rsid w:val="50BB0282"/>
    <w:rsid w:val="50BF7F16"/>
    <w:rsid w:val="50E16A56"/>
    <w:rsid w:val="50E702F0"/>
    <w:rsid w:val="511A1403"/>
    <w:rsid w:val="511D0F3D"/>
    <w:rsid w:val="513B380C"/>
    <w:rsid w:val="517F7502"/>
    <w:rsid w:val="519B5793"/>
    <w:rsid w:val="51AF7673"/>
    <w:rsid w:val="51B65D58"/>
    <w:rsid w:val="51B9183E"/>
    <w:rsid w:val="51C20E21"/>
    <w:rsid w:val="51C27F32"/>
    <w:rsid w:val="51C573A5"/>
    <w:rsid w:val="51D07D5D"/>
    <w:rsid w:val="51DF4444"/>
    <w:rsid w:val="51E14A0D"/>
    <w:rsid w:val="51F53C68"/>
    <w:rsid w:val="51F543E9"/>
    <w:rsid w:val="51F6353C"/>
    <w:rsid w:val="521A765A"/>
    <w:rsid w:val="521D51BC"/>
    <w:rsid w:val="52271947"/>
    <w:rsid w:val="52293911"/>
    <w:rsid w:val="522E3595"/>
    <w:rsid w:val="523A25BD"/>
    <w:rsid w:val="523C02CF"/>
    <w:rsid w:val="524A3FB4"/>
    <w:rsid w:val="52534355"/>
    <w:rsid w:val="5257047F"/>
    <w:rsid w:val="5297682B"/>
    <w:rsid w:val="52A97EC3"/>
    <w:rsid w:val="52AB4326"/>
    <w:rsid w:val="52AC63CA"/>
    <w:rsid w:val="52C40D55"/>
    <w:rsid w:val="52CA631E"/>
    <w:rsid w:val="52D4748E"/>
    <w:rsid w:val="52F62635"/>
    <w:rsid w:val="52FF7981"/>
    <w:rsid w:val="53007798"/>
    <w:rsid w:val="532C0A2A"/>
    <w:rsid w:val="53682217"/>
    <w:rsid w:val="536A2433"/>
    <w:rsid w:val="53817C7B"/>
    <w:rsid w:val="53842ACC"/>
    <w:rsid w:val="538434F5"/>
    <w:rsid w:val="53887BD9"/>
    <w:rsid w:val="538B38D4"/>
    <w:rsid w:val="538E1C7E"/>
    <w:rsid w:val="539B30C5"/>
    <w:rsid w:val="53AA0CEC"/>
    <w:rsid w:val="53B34F90"/>
    <w:rsid w:val="53C625A3"/>
    <w:rsid w:val="53C733E2"/>
    <w:rsid w:val="53CB2619"/>
    <w:rsid w:val="53DA3078"/>
    <w:rsid w:val="53E20746"/>
    <w:rsid w:val="54172498"/>
    <w:rsid w:val="541D1254"/>
    <w:rsid w:val="541F6BB8"/>
    <w:rsid w:val="542A7705"/>
    <w:rsid w:val="545D7B40"/>
    <w:rsid w:val="545F36D3"/>
    <w:rsid w:val="546926EB"/>
    <w:rsid w:val="54752E3E"/>
    <w:rsid w:val="54753837"/>
    <w:rsid w:val="54776BB6"/>
    <w:rsid w:val="54815C87"/>
    <w:rsid w:val="54890A66"/>
    <w:rsid w:val="549D5FFA"/>
    <w:rsid w:val="54C109D0"/>
    <w:rsid w:val="54C6369A"/>
    <w:rsid w:val="54C91A7A"/>
    <w:rsid w:val="54CB0CB0"/>
    <w:rsid w:val="54D44BD5"/>
    <w:rsid w:val="54D50974"/>
    <w:rsid w:val="54F93A6F"/>
    <w:rsid w:val="551D671C"/>
    <w:rsid w:val="55231967"/>
    <w:rsid w:val="552424E3"/>
    <w:rsid w:val="5544479C"/>
    <w:rsid w:val="556D336B"/>
    <w:rsid w:val="5572174A"/>
    <w:rsid w:val="55880576"/>
    <w:rsid w:val="55BB0D24"/>
    <w:rsid w:val="55C67DF5"/>
    <w:rsid w:val="55DE36CB"/>
    <w:rsid w:val="55EC2A7E"/>
    <w:rsid w:val="55F00475"/>
    <w:rsid w:val="55F118B9"/>
    <w:rsid w:val="560756E2"/>
    <w:rsid w:val="56124B0A"/>
    <w:rsid w:val="56260894"/>
    <w:rsid w:val="56674A08"/>
    <w:rsid w:val="567000F9"/>
    <w:rsid w:val="567A445E"/>
    <w:rsid w:val="568B2A0A"/>
    <w:rsid w:val="569061FA"/>
    <w:rsid w:val="56974DDB"/>
    <w:rsid w:val="56980407"/>
    <w:rsid w:val="56AB2B47"/>
    <w:rsid w:val="56BA722E"/>
    <w:rsid w:val="56D7133F"/>
    <w:rsid w:val="56D7393C"/>
    <w:rsid w:val="56F155FD"/>
    <w:rsid w:val="570566FB"/>
    <w:rsid w:val="5728546E"/>
    <w:rsid w:val="57290D84"/>
    <w:rsid w:val="5759285A"/>
    <w:rsid w:val="577560ED"/>
    <w:rsid w:val="57A80998"/>
    <w:rsid w:val="57B078BF"/>
    <w:rsid w:val="57CB665C"/>
    <w:rsid w:val="57F66044"/>
    <w:rsid w:val="57FA6344"/>
    <w:rsid w:val="580B14CE"/>
    <w:rsid w:val="581E0FF9"/>
    <w:rsid w:val="583C4CB4"/>
    <w:rsid w:val="58452660"/>
    <w:rsid w:val="58490869"/>
    <w:rsid w:val="584F18E4"/>
    <w:rsid w:val="58551996"/>
    <w:rsid w:val="585A68CB"/>
    <w:rsid w:val="586B6575"/>
    <w:rsid w:val="586C5884"/>
    <w:rsid w:val="58855A0B"/>
    <w:rsid w:val="58977827"/>
    <w:rsid w:val="58A8086E"/>
    <w:rsid w:val="58BE6AF4"/>
    <w:rsid w:val="58C07673"/>
    <w:rsid w:val="58C11F54"/>
    <w:rsid w:val="58D31355"/>
    <w:rsid w:val="58DE271B"/>
    <w:rsid w:val="58E31508"/>
    <w:rsid w:val="59157E46"/>
    <w:rsid w:val="5916226A"/>
    <w:rsid w:val="592A2449"/>
    <w:rsid w:val="59351713"/>
    <w:rsid w:val="593E5DBA"/>
    <w:rsid w:val="594A6647"/>
    <w:rsid w:val="59522744"/>
    <w:rsid w:val="59536381"/>
    <w:rsid w:val="59597927"/>
    <w:rsid w:val="595F1B28"/>
    <w:rsid w:val="596179CA"/>
    <w:rsid w:val="59657925"/>
    <w:rsid w:val="596A4F3B"/>
    <w:rsid w:val="597E4543"/>
    <w:rsid w:val="59840430"/>
    <w:rsid w:val="59A321FB"/>
    <w:rsid w:val="59AA5338"/>
    <w:rsid w:val="59C90AC9"/>
    <w:rsid w:val="59D64D04"/>
    <w:rsid w:val="59D76B4B"/>
    <w:rsid w:val="59E1599A"/>
    <w:rsid w:val="59ED58A4"/>
    <w:rsid w:val="59EE16C8"/>
    <w:rsid w:val="59FA2929"/>
    <w:rsid w:val="5A063EC9"/>
    <w:rsid w:val="5A0A4028"/>
    <w:rsid w:val="5A225816"/>
    <w:rsid w:val="5A335999"/>
    <w:rsid w:val="5A3C31FC"/>
    <w:rsid w:val="5A44753A"/>
    <w:rsid w:val="5A657A84"/>
    <w:rsid w:val="5A73314A"/>
    <w:rsid w:val="5AAB75B9"/>
    <w:rsid w:val="5ADE0EE2"/>
    <w:rsid w:val="5AE1359D"/>
    <w:rsid w:val="5AE67930"/>
    <w:rsid w:val="5AEC7444"/>
    <w:rsid w:val="5B154FF4"/>
    <w:rsid w:val="5B1A029B"/>
    <w:rsid w:val="5B313D3A"/>
    <w:rsid w:val="5B425009"/>
    <w:rsid w:val="5B445318"/>
    <w:rsid w:val="5B4812AC"/>
    <w:rsid w:val="5B63783D"/>
    <w:rsid w:val="5B805187"/>
    <w:rsid w:val="5B8A5EB3"/>
    <w:rsid w:val="5BA12CE0"/>
    <w:rsid w:val="5BC50489"/>
    <w:rsid w:val="5BC77A27"/>
    <w:rsid w:val="5BE47D10"/>
    <w:rsid w:val="5C0D4C5D"/>
    <w:rsid w:val="5C1968DE"/>
    <w:rsid w:val="5C332DC9"/>
    <w:rsid w:val="5C5558F2"/>
    <w:rsid w:val="5C6043D4"/>
    <w:rsid w:val="5C783A22"/>
    <w:rsid w:val="5C835D6B"/>
    <w:rsid w:val="5C944F29"/>
    <w:rsid w:val="5C9D2F32"/>
    <w:rsid w:val="5CB5471F"/>
    <w:rsid w:val="5CC1224C"/>
    <w:rsid w:val="5CC76201"/>
    <w:rsid w:val="5CE600DB"/>
    <w:rsid w:val="5CEE1802"/>
    <w:rsid w:val="5D1758EC"/>
    <w:rsid w:val="5D1C02FB"/>
    <w:rsid w:val="5D204925"/>
    <w:rsid w:val="5D22729F"/>
    <w:rsid w:val="5D2A508A"/>
    <w:rsid w:val="5D2A5454"/>
    <w:rsid w:val="5D5336B2"/>
    <w:rsid w:val="5D5A09D6"/>
    <w:rsid w:val="5D68483A"/>
    <w:rsid w:val="5D9543AA"/>
    <w:rsid w:val="5D9A3E21"/>
    <w:rsid w:val="5DA315C4"/>
    <w:rsid w:val="5DC15346"/>
    <w:rsid w:val="5DC31172"/>
    <w:rsid w:val="5DDF5EEB"/>
    <w:rsid w:val="5DDF669F"/>
    <w:rsid w:val="5DE0757A"/>
    <w:rsid w:val="5DF11787"/>
    <w:rsid w:val="5DFE0DE0"/>
    <w:rsid w:val="5E3741CA"/>
    <w:rsid w:val="5E572476"/>
    <w:rsid w:val="5E6F6B50"/>
    <w:rsid w:val="5E715E25"/>
    <w:rsid w:val="5E785A05"/>
    <w:rsid w:val="5E8248A7"/>
    <w:rsid w:val="5EC155FD"/>
    <w:rsid w:val="5ED04D8A"/>
    <w:rsid w:val="5EF57055"/>
    <w:rsid w:val="5F011E9E"/>
    <w:rsid w:val="5F017A94"/>
    <w:rsid w:val="5F1B2384"/>
    <w:rsid w:val="5F221E14"/>
    <w:rsid w:val="5F4928E4"/>
    <w:rsid w:val="5F514C9E"/>
    <w:rsid w:val="5F53FEC9"/>
    <w:rsid w:val="5F64242D"/>
    <w:rsid w:val="5F6B5569"/>
    <w:rsid w:val="5F7316DF"/>
    <w:rsid w:val="5F7E1979"/>
    <w:rsid w:val="5F9F3465"/>
    <w:rsid w:val="5FA3430A"/>
    <w:rsid w:val="5FBA204D"/>
    <w:rsid w:val="5FBFDD8E"/>
    <w:rsid w:val="5FC353A5"/>
    <w:rsid w:val="5FDA624B"/>
    <w:rsid w:val="5FDD0936"/>
    <w:rsid w:val="5FE27DA3"/>
    <w:rsid w:val="60043CF7"/>
    <w:rsid w:val="6014175D"/>
    <w:rsid w:val="601856F1"/>
    <w:rsid w:val="603352C3"/>
    <w:rsid w:val="60341DFF"/>
    <w:rsid w:val="603B13E0"/>
    <w:rsid w:val="604775DE"/>
    <w:rsid w:val="6051475F"/>
    <w:rsid w:val="60715845"/>
    <w:rsid w:val="607A0C94"/>
    <w:rsid w:val="60887168"/>
    <w:rsid w:val="609C1D66"/>
    <w:rsid w:val="60A75087"/>
    <w:rsid w:val="60B44FF5"/>
    <w:rsid w:val="60C327DD"/>
    <w:rsid w:val="60E35D6D"/>
    <w:rsid w:val="610444A2"/>
    <w:rsid w:val="61275F98"/>
    <w:rsid w:val="61413542"/>
    <w:rsid w:val="614F5635"/>
    <w:rsid w:val="61596B36"/>
    <w:rsid w:val="61630BEE"/>
    <w:rsid w:val="616A31D9"/>
    <w:rsid w:val="616A50BC"/>
    <w:rsid w:val="61785D1C"/>
    <w:rsid w:val="61A067CD"/>
    <w:rsid w:val="61A23989"/>
    <w:rsid w:val="61B27B2C"/>
    <w:rsid w:val="61C13B66"/>
    <w:rsid w:val="61DF7B38"/>
    <w:rsid w:val="61F12FB6"/>
    <w:rsid w:val="620D6DAC"/>
    <w:rsid w:val="62265778"/>
    <w:rsid w:val="623201CC"/>
    <w:rsid w:val="62357CB3"/>
    <w:rsid w:val="62393FF7"/>
    <w:rsid w:val="623F42EE"/>
    <w:rsid w:val="626B6ADE"/>
    <w:rsid w:val="62742987"/>
    <w:rsid w:val="62762A9A"/>
    <w:rsid w:val="62771E48"/>
    <w:rsid w:val="62844CDB"/>
    <w:rsid w:val="629B6165"/>
    <w:rsid w:val="62DF2A10"/>
    <w:rsid w:val="62E67CD9"/>
    <w:rsid w:val="63091321"/>
    <w:rsid w:val="6310676B"/>
    <w:rsid w:val="631D0E0D"/>
    <w:rsid w:val="631F28F3"/>
    <w:rsid w:val="632E2028"/>
    <w:rsid w:val="6345240D"/>
    <w:rsid w:val="635C7D60"/>
    <w:rsid w:val="63776DAB"/>
    <w:rsid w:val="637B125E"/>
    <w:rsid w:val="63C57165"/>
    <w:rsid w:val="63C63F8A"/>
    <w:rsid w:val="63D538F9"/>
    <w:rsid w:val="63D751DB"/>
    <w:rsid w:val="63DB226E"/>
    <w:rsid w:val="63E17B85"/>
    <w:rsid w:val="63FC3D28"/>
    <w:rsid w:val="64030466"/>
    <w:rsid w:val="641E0DFC"/>
    <w:rsid w:val="64322363"/>
    <w:rsid w:val="643557C2"/>
    <w:rsid w:val="645C36D2"/>
    <w:rsid w:val="64652967"/>
    <w:rsid w:val="646D4AF6"/>
    <w:rsid w:val="648C1B70"/>
    <w:rsid w:val="649B3A25"/>
    <w:rsid w:val="649E2C1F"/>
    <w:rsid w:val="649E3CEB"/>
    <w:rsid w:val="64BD0E51"/>
    <w:rsid w:val="64DF6794"/>
    <w:rsid w:val="64E536C8"/>
    <w:rsid w:val="64EF2799"/>
    <w:rsid w:val="64FC0336"/>
    <w:rsid w:val="650A67C2"/>
    <w:rsid w:val="651A5A67"/>
    <w:rsid w:val="653E4BCB"/>
    <w:rsid w:val="654F20B7"/>
    <w:rsid w:val="65506E19"/>
    <w:rsid w:val="655748CB"/>
    <w:rsid w:val="65574DC9"/>
    <w:rsid w:val="657E2354"/>
    <w:rsid w:val="65841133"/>
    <w:rsid w:val="659F41BF"/>
    <w:rsid w:val="65A405CF"/>
    <w:rsid w:val="65A43583"/>
    <w:rsid w:val="65A6554D"/>
    <w:rsid w:val="65AF68E4"/>
    <w:rsid w:val="65D23A37"/>
    <w:rsid w:val="65D34C84"/>
    <w:rsid w:val="65F1078C"/>
    <w:rsid w:val="66182084"/>
    <w:rsid w:val="663761A5"/>
    <w:rsid w:val="663F14FE"/>
    <w:rsid w:val="664805EF"/>
    <w:rsid w:val="66544705"/>
    <w:rsid w:val="665723A3"/>
    <w:rsid w:val="66690A5B"/>
    <w:rsid w:val="666F6B5A"/>
    <w:rsid w:val="669241EF"/>
    <w:rsid w:val="66974C5D"/>
    <w:rsid w:val="669B6734"/>
    <w:rsid w:val="66C25054"/>
    <w:rsid w:val="66C3607C"/>
    <w:rsid w:val="66DF3544"/>
    <w:rsid w:val="66E92A3D"/>
    <w:rsid w:val="66F44096"/>
    <w:rsid w:val="66F61BBC"/>
    <w:rsid w:val="670149E5"/>
    <w:rsid w:val="671464E6"/>
    <w:rsid w:val="67154F93"/>
    <w:rsid w:val="676A25AA"/>
    <w:rsid w:val="677DBDC6"/>
    <w:rsid w:val="677F4CA9"/>
    <w:rsid w:val="679FCF60"/>
    <w:rsid w:val="67A260BC"/>
    <w:rsid w:val="67FF2CF3"/>
    <w:rsid w:val="68012C96"/>
    <w:rsid w:val="68071BA7"/>
    <w:rsid w:val="68076296"/>
    <w:rsid w:val="680E067A"/>
    <w:rsid w:val="68180C7F"/>
    <w:rsid w:val="6818658C"/>
    <w:rsid w:val="68242ACC"/>
    <w:rsid w:val="68394457"/>
    <w:rsid w:val="684635BE"/>
    <w:rsid w:val="685513E3"/>
    <w:rsid w:val="685A24C4"/>
    <w:rsid w:val="687B0926"/>
    <w:rsid w:val="687B3BFB"/>
    <w:rsid w:val="687D6C98"/>
    <w:rsid w:val="688A4CB2"/>
    <w:rsid w:val="68B03FED"/>
    <w:rsid w:val="68B25FB7"/>
    <w:rsid w:val="68DF23F5"/>
    <w:rsid w:val="68F4037D"/>
    <w:rsid w:val="690249FC"/>
    <w:rsid w:val="69126AC1"/>
    <w:rsid w:val="691A1F33"/>
    <w:rsid w:val="693764BC"/>
    <w:rsid w:val="693B60E0"/>
    <w:rsid w:val="693E3CEF"/>
    <w:rsid w:val="695445AC"/>
    <w:rsid w:val="69767C9C"/>
    <w:rsid w:val="69806DA9"/>
    <w:rsid w:val="698A4552"/>
    <w:rsid w:val="699A175A"/>
    <w:rsid w:val="69BC7705"/>
    <w:rsid w:val="69D501AF"/>
    <w:rsid w:val="69EA0CBB"/>
    <w:rsid w:val="6A032CFC"/>
    <w:rsid w:val="6A1A2066"/>
    <w:rsid w:val="6A2C1D99"/>
    <w:rsid w:val="6A2D133A"/>
    <w:rsid w:val="6A4C3880"/>
    <w:rsid w:val="6A53500E"/>
    <w:rsid w:val="6A684DAE"/>
    <w:rsid w:val="6A746905"/>
    <w:rsid w:val="6A837C0B"/>
    <w:rsid w:val="6A9E2C97"/>
    <w:rsid w:val="6AB53B3C"/>
    <w:rsid w:val="6AB62858"/>
    <w:rsid w:val="6ACD0A95"/>
    <w:rsid w:val="6AFC6742"/>
    <w:rsid w:val="6B061BCF"/>
    <w:rsid w:val="6B364C7D"/>
    <w:rsid w:val="6B435169"/>
    <w:rsid w:val="6B447E81"/>
    <w:rsid w:val="6B4750DC"/>
    <w:rsid w:val="6B5C61BC"/>
    <w:rsid w:val="6B6444BD"/>
    <w:rsid w:val="6B6F1ECC"/>
    <w:rsid w:val="6B853723"/>
    <w:rsid w:val="6B874193"/>
    <w:rsid w:val="6BB3651A"/>
    <w:rsid w:val="6BB836CB"/>
    <w:rsid w:val="6BCC765E"/>
    <w:rsid w:val="6BE741CA"/>
    <w:rsid w:val="6BEC6664"/>
    <w:rsid w:val="6BF32B6E"/>
    <w:rsid w:val="6C126396"/>
    <w:rsid w:val="6C1F3963"/>
    <w:rsid w:val="6C375151"/>
    <w:rsid w:val="6C3C728A"/>
    <w:rsid w:val="6C8C6B1F"/>
    <w:rsid w:val="6C987BFB"/>
    <w:rsid w:val="6CA044F5"/>
    <w:rsid w:val="6CB22A29"/>
    <w:rsid w:val="6CD26C28"/>
    <w:rsid w:val="6CD97FB6"/>
    <w:rsid w:val="6CEE142A"/>
    <w:rsid w:val="6CF03552"/>
    <w:rsid w:val="6D157EF7"/>
    <w:rsid w:val="6D2D1AC7"/>
    <w:rsid w:val="6D4B43FC"/>
    <w:rsid w:val="6D50643E"/>
    <w:rsid w:val="6D6E5962"/>
    <w:rsid w:val="6D785A81"/>
    <w:rsid w:val="6D7D4DE5"/>
    <w:rsid w:val="6D837B95"/>
    <w:rsid w:val="6D891EDD"/>
    <w:rsid w:val="6D8F4B19"/>
    <w:rsid w:val="6D9914F3"/>
    <w:rsid w:val="6DAB546F"/>
    <w:rsid w:val="6DBE71AC"/>
    <w:rsid w:val="6DC47430"/>
    <w:rsid w:val="6DE930EB"/>
    <w:rsid w:val="6E0C6169"/>
    <w:rsid w:val="6E142EBC"/>
    <w:rsid w:val="6E3878FF"/>
    <w:rsid w:val="6E48121F"/>
    <w:rsid w:val="6E500594"/>
    <w:rsid w:val="6E5B34D3"/>
    <w:rsid w:val="6E5C641D"/>
    <w:rsid w:val="6E5F2D14"/>
    <w:rsid w:val="6E7D6784"/>
    <w:rsid w:val="6E891568"/>
    <w:rsid w:val="6E955DDC"/>
    <w:rsid w:val="6EAA0E8D"/>
    <w:rsid w:val="6ECC7C2E"/>
    <w:rsid w:val="6ECD58F9"/>
    <w:rsid w:val="6F1B1A9E"/>
    <w:rsid w:val="6F1D2BFB"/>
    <w:rsid w:val="6F257EE0"/>
    <w:rsid w:val="6F2A4AF9"/>
    <w:rsid w:val="6F2E3EBD"/>
    <w:rsid w:val="6F372D76"/>
    <w:rsid w:val="6F435BDE"/>
    <w:rsid w:val="6F451933"/>
    <w:rsid w:val="6F4656AB"/>
    <w:rsid w:val="6F4B35B8"/>
    <w:rsid w:val="6F593630"/>
    <w:rsid w:val="6F8C39FA"/>
    <w:rsid w:val="6F936656"/>
    <w:rsid w:val="6F9A2D39"/>
    <w:rsid w:val="6FB42615"/>
    <w:rsid w:val="6FBD596D"/>
    <w:rsid w:val="6FC1198B"/>
    <w:rsid w:val="6FC14767"/>
    <w:rsid w:val="6FD44BE4"/>
    <w:rsid w:val="6FDE1D56"/>
    <w:rsid w:val="6FDF658B"/>
    <w:rsid w:val="6FDF9F29"/>
    <w:rsid w:val="6FF80657"/>
    <w:rsid w:val="6FFF038F"/>
    <w:rsid w:val="6FFF544E"/>
    <w:rsid w:val="6FFF8E6B"/>
    <w:rsid w:val="7002467F"/>
    <w:rsid w:val="70185747"/>
    <w:rsid w:val="7019691C"/>
    <w:rsid w:val="701B08E6"/>
    <w:rsid w:val="701E0B1F"/>
    <w:rsid w:val="7020414E"/>
    <w:rsid w:val="70447E3C"/>
    <w:rsid w:val="704A1E94"/>
    <w:rsid w:val="704E70B6"/>
    <w:rsid w:val="709E1BF3"/>
    <w:rsid w:val="70B76860"/>
    <w:rsid w:val="70D34FED"/>
    <w:rsid w:val="70DD4536"/>
    <w:rsid w:val="70DD93B3"/>
    <w:rsid w:val="70DF0B2C"/>
    <w:rsid w:val="70F12AA3"/>
    <w:rsid w:val="70F27A72"/>
    <w:rsid w:val="70FA4145"/>
    <w:rsid w:val="713E2ADE"/>
    <w:rsid w:val="71475FD6"/>
    <w:rsid w:val="714F5AF0"/>
    <w:rsid w:val="71513538"/>
    <w:rsid w:val="715C6C12"/>
    <w:rsid w:val="71954A5F"/>
    <w:rsid w:val="719B2687"/>
    <w:rsid w:val="71AF7537"/>
    <w:rsid w:val="71EA7FAA"/>
    <w:rsid w:val="71F31AC9"/>
    <w:rsid w:val="71FB6B58"/>
    <w:rsid w:val="72005918"/>
    <w:rsid w:val="72070D98"/>
    <w:rsid w:val="720C451E"/>
    <w:rsid w:val="72331F17"/>
    <w:rsid w:val="72380AD8"/>
    <w:rsid w:val="72735F5B"/>
    <w:rsid w:val="72994CA5"/>
    <w:rsid w:val="72A34D66"/>
    <w:rsid w:val="72B666A4"/>
    <w:rsid w:val="72C139C6"/>
    <w:rsid w:val="72C4680E"/>
    <w:rsid w:val="72CB65F3"/>
    <w:rsid w:val="72D0244C"/>
    <w:rsid w:val="72D059B7"/>
    <w:rsid w:val="72FD42D3"/>
    <w:rsid w:val="7306587D"/>
    <w:rsid w:val="732E26DE"/>
    <w:rsid w:val="73351CBE"/>
    <w:rsid w:val="73842E42"/>
    <w:rsid w:val="738675C4"/>
    <w:rsid w:val="738B18DE"/>
    <w:rsid w:val="739201E5"/>
    <w:rsid w:val="73B55061"/>
    <w:rsid w:val="73C333AE"/>
    <w:rsid w:val="73E04AEC"/>
    <w:rsid w:val="73E820A3"/>
    <w:rsid w:val="741B6060"/>
    <w:rsid w:val="74281823"/>
    <w:rsid w:val="743E1047"/>
    <w:rsid w:val="74607699"/>
    <w:rsid w:val="7474592F"/>
    <w:rsid w:val="748C275B"/>
    <w:rsid w:val="748D3EBD"/>
    <w:rsid w:val="74997160"/>
    <w:rsid w:val="749B47AB"/>
    <w:rsid w:val="74B755DF"/>
    <w:rsid w:val="74C117E3"/>
    <w:rsid w:val="74FD0501"/>
    <w:rsid w:val="750B2EC6"/>
    <w:rsid w:val="750E53EE"/>
    <w:rsid w:val="75194C94"/>
    <w:rsid w:val="7544443B"/>
    <w:rsid w:val="7558635C"/>
    <w:rsid w:val="75707D1A"/>
    <w:rsid w:val="75780D64"/>
    <w:rsid w:val="75795EB8"/>
    <w:rsid w:val="757A7E5C"/>
    <w:rsid w:val="757F403F"/>
    <w:rsid w:val="75883018"/>
    <w:rsid w:val="759F5B15"/>
    <w:rsid w:val="75E32622"/>
    <w:rsid w:val="75E654F2"/>
    <w:rsid w:val="75ED062E"/>
    <w:rsid w:val="75FD6C18"/>
    <w:rsid w:val="760342F6"/>
    <w:rsid w:val="762229CE"/>
    <w:rsid w:val="763D37E2"/>
    <w:rsid w:val="7642629E"/>
    <w:rsid w:val="7663186B"/>
    <w:rsid w:val="76742AFE"/>
    <w:rsid w:val="767B0330"/>
    <w:rsid w:val="76826276"/>
    <w:rsid w:val="76B4739E"/>
    <w:rsid w:val="76C4138F"/>
    <w:rsid w:val="76D67314"/>
    <w:rsid w:val="76E11A6B"/>
    <w:rsid w:val="76EE1F7C"/>
    <w:rsid w:val="76EE2C7B"/>
    <w:rsid w:val="770D1E7D"/>
    <w:rsid w:val="771D4F43"/>
    <w:rsid w:val="772462D2"/>
    <w:rsid w:val="7730111A"/>
    <w:rsid w:val="773C186D"/>
    <w:rsid w:val="773C7ABF"/>
    <w:rsid w:val="77476464"/>
    <w:rsid w:val="77613082"/>
    <w:rsid w:val="778E3D81"/>
    <w:rsid w:val="77BA09E4"/>
    <w:rsid w:val="77CF4B98"/>
    <w:rsid w:val="77DE0B76"/>
    <w:rsid w:val="77F039C5"/>
    <w:rsid w:val="77FA4B96"/>
    <w:rsid w:val="77FDE848"/>
    <w:rsid w:val="783805B2"/>
    <w:rsid w:val="783C764B"/>
    <w:rsid w:val="785D0512"/>
    <w:rsid w:val="78866B18"/>
    <w:rsid w:val="7899684C"/>
    <w:rsid w:val="78B47B29"/>
    <w:rsid w:val="790F14B3"/>
    <w:rsid w:val="791365FE"/>
    <w:rsid w:val="79246F07"/>
    <w:rsid w:val="7944324F"/>
    <w:rsid w:val="794744E3"/>
    <w:rsid w:val="797A667D"/>
    <w:rsid w:val="797C0647"/>
    <w:rsid w:val="797F2090"/>
    <w:rsid w:val="798E037A"/>
    <w:rsid w:val="79AD7577"/>
    <w:rsid w:val="79B31B8F"/>
    <w:rsid w:val="79BC0A44"/>
    <w:rsid w:val="79CE7069"/>
    <w:rsid w:val="79D36C08"/>
    <w:rsid w:val="79EF62EF"/>
    <w:rsid w:val="7A127426"/>
    <w:rsid w:val="7A454EDD"/>
    <w:rsid w:val="7A4F3FC3"/>
    <w:rsid w:val="7A5E2007"/>
    <w:rsid w:val="7A7B370D"/>
    <w:rsid w:val="7A810926"/>
    <w:rsid w:val="7A8F328B"/>
    <w:rsid w:val="7A9F4B33"/>
    <w:rsid w:val="7AA17C39"/>
    <w:rsid w:val="7AAA85CF"/>
    <w:rsid w:val="7AB56120"/>
    <w:rsid w:val="7ACF0C4A"/>
    <w:rsid w:val="7AD80B87"/>
    <w:rsid w:val="7ADD148F"/>
    <w:rsid w:val="7AE244DA"/>
    <w:rsid w:val="7AFF7436"/>
    <w:rsid w:val="7B3B62E0"/>
    <w:rsid w:val="7B3E6B4B"/>
    <w:rsid w:val="7B474C85"/>
    <w:rsid w:val="7B971B69"/>
    <w:rsid w:val="7B991A96"/>
    <w:rsid w:val="7B9E3217"/>
    <w:rsid w:val="7B9F7846"/>
    <w:rsid w:val="7BA341B1"/>
    <w:rsid w:val="7BB85F53"/>
    <w:rsid w:val="7BD33B0A"/>
    <w:rsid w:val="7BDFEE8C"/>
    <w:rsid w:val="7BE04808"/>
    <w:rsid w:val="7C2F7BF3"/>
    <w:rsid w:val="7C3074C7"/>
    <w:rsid w:val="7C3C2310"/>
    <w:rsid w:val="7C5334A2"/>
    <w:rsid w:val="7C601008"/>
    <w:rsid w:val="7C662B97"/>
    <w:rsid w:val="7C712638"/>
    <w:rsid w:val="7C7F3FAA"/>
    <w:rsid w:val="7C7F5B1B"/>
    <w:rsid w:val="7C8E1F89"/>
    <w:rsid w:val="7C9E227A"/>
    <w:rsid w:val="7CA558DA"/>
    <w:rsid w:val="7CA64316"/>
    <w:rsid w:val="7CBB002F"/>
    <w:rsid w:val="7CCF06C4"/>
    <w:rsid w:val="7CE72E05"/>
    <w:rsid w:val="7CEA5EE0"/>
    <w:rsid w:val="7CF774BA"/>
    <w:rsid w:val="7D191774"/>
    <w:rsid w:val="7D2BFAEE"/>
    <w:rsid w:val="7D2F4755"/>
    <w:rsid w:val="7D44180B"/>
    <w:rsid w:val="7D493466"/>
    <w:rsid w:val="7D4C35AF"/>
    <w:rsid w:val="7D545124"/>
    <w:rsid w:val="7D621902"/>
    <w:rsid w:val="7D6C09D3"/>
    <w:rsid w:val="7D820734"/>
    <w:rsid w:val="7D8B1CB9"/>
    <w:rsid w:val="7D9C6C8D"/>
    <w:rsid w:val="7DAB3F44"/>
    <w:rsid w:val="7DBA0E68"/>
    <w:rsid w:val="7DBB7264"/>
    <w:rsid w:val="7DBE6370"/>
    <w:rsid w:val="7DD24CD9"/>
    <w:rsid w:val="7DDD2970"/>
    <w:rsid w:val="7DE95447"/>
    <w:rsid w:val="7DF72017"/>
    <w:rsid w:val="7E191B65"/>
    <w:rsid w:val="7E2E0727"/>
    <w:rsid w:val="7E3E411D"/>
    <w:rsid w:val="7E545578"/>
    <w:rsid w:val="7E555A9C"/>
    <w:rsid w:val="7E563B0D"/>
    <w:rsid w:val="7E5A2CC5"/>
    <w:rsid w:val="7E6E1DAC"/>
    <w:rsid w:val="7E724D21"/>
    <w:rsid w:val="7E732A04"/>
    <w:rsid w:val="7E77762F"/>
    <w:rsid w:val="7E8642B2"/>
    <w:rsid w:val="7E8936ED"/>
    <w:rsid w:val="7E8B30DA"/>
    <w:rsid w:val="7E9D52BC"/>
    <w:rsid w:val="7EA56FD1"/>
    <w:rsid w:val="7EA764F5"/>
    <w:rsid w:val="7EC6726C"/>
    <w:rsid w:val="7ED43DB1"/>
    <w:rsid w:val="7EDE6970"/>
    <w:rsid w:val="7EEEA799"/>
    <w:rsid w:val="7EEF71C5"/>
    <w:rsid w:val="7EF667A6"/>
    <w:rsid w:val="7F1E53CE"/>
    <w:rsid w:val="7F1F23B8"/>
    <w:rsid w:val="7F2826D7"/>
    <w:rsid w:val="7F2F3A66"/>
    <w:rsid w:val="7F333089"/>
    <w:rsid w:val="7F42052F"/>
    <w:rsid w:val="7F5FE971"/>
    <w:rsid w:val="7F667A62"/>
    <w:rsid w:val="7F707145"/>
    <w:rsid w:val="7F792F33"/>
    <w:rsid w:val="7FA2692E"/>
    <w:rsid w:val="7FB623D9"/>
    <w:rsid w:val="7FDD2550"/>
    <w:rsid w:val="7FF23947"/>
    <w:rsid w:val="7FF9DD2D"/>
    <w:rsid w:val="7FFF5B2E"/>
    <w:rsid w:val="9FBC9A88"/>
    <w:rsid w:val="A7CE9978"/>
    <w:rsid w:val="AAFF3C8A"/>
    <w:rsid w:val="AEF34452"/>
    <w:rsid w:val="AEFFE4DD"/>
    <w:rsid w:val="AFDC81BF"/>
    <w:rsid w:val="B5D58FB0"/>
    <w:rsid w:val="B6FF7182"/>
    <w:rsid w:val="B7BB31BC"/>
    <w:rsid w:val="B7DF6EBC"/>
    <w:rsid w:val="B7F77431"/>
    <w:rsid w:val="BAFF4C3A"/>
    <w:rsid w:val="BB975EB5"/>
    <w:rsid w:val="BD7DBEC1"/>
    <w:rsid w:val="BE3F2C45"/>
    <w:rsid w:val="BE5BE2F1"/>
    <w:rsid w:val="BE6B8133"/>
    <w:rsid w:val="C7FBE2D2"/>
    <w:rsid w:val="CB7A6548"/>
    <w:rsid w:val="CEFC5BCB"/>
    <w:rsid w:val="D2BB93FD"/>
    <w:rsid w:val="D3BFD1B8"/>
    <w:rsid w:val="D3DDD5FF"/>
    <w:rsid w:val="D4ED5102"/>
    <w:rsid w:val="D5FE9D86"/>
    <w:rsid w:val="DCBF7E35"/>
    <w:rsid w:val="DEFD6C41"/>
    <w:rsid w:val="DF7F3DDD"/>
    <w:rsid w:val="E5FFE824"/>
    <w:rsid w:val="EE6FE735"/>
    <w:rsid w:val="EF4D9CB1"/>
    <w:rsid w:val="EFBF0B4F"/>
    <w:rsid w:val="EFD7B61F"/>
    <w:rsid w:val="EFFB4208"/>
    <w:rsid w:val="F50BED50"/>
    <w:rsid w:val="F77FB611"/>
    <w:rsid w:val="F7B77C28"/>
    <w:rsid w:val="F7DF25E8"/>
    <w:rsid w:val="F7EEA598"/>
    <w:rsid w:val="F7FFC011"/>
    <w:rsid w:val="FB7FC232"/>
    <w:rsid w:val="FBBE337F"/>
    <w:rsid w:val="FC357BDE"/>
    <w:rsid w:val="FDBF2B0F"/>
    <w:rsid w:val="FEDEA92A"/>
    <w:rsid w:val="FF182370"/>
    <w:rsid w:val="FFBFF661"/>
    <w:rsid w:val="FFCF9B11"/>
    <w:rsid w:val="FFDD616D"/>
    <w:rsid w:val="FFEF1F72"/>
    <w:rsid w:val="FFFF777A"/>
    <w:rsid w:val="FFFFD2F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0" w:name="toc 3"/>
    <w:lsdException w:qFormat="1" w:uiPriority="39" w:semiHidden="0" w:name="toc 4"/>
    <w:lsdException w:uiPriority="0" w:name="toc 5"/>
    <w:lsdException w:qFormat="1" w:unhideWhenUsed="0" w:uiPriority="0" w:semiHidden="0" w:name="toc 6"/>
    <w:lsdException w:uiPriority="0" w:name="toc 7"/>
    <w:lsdException w:uiPriority="0" w:name="toc 8"/>
    <w:lsdException w:uiPriority="0" w:name="toc 9"/>
    <w:lsdException w:qFormat="1" w:unhideWhenUsed="0" w:uiPriority="0" w:semiHidden="0" w:name="Normal Indent"/>
    <w:lsdException w:qFormat="1"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name="annotation reference"/>
    <w:lsdException w:uiPriority="0" w:name="line number"/>
    <w:lsdException w:qFormat="1" w:unhideWhenUsed="0" w:uiPriority="0" w:semiHidden="0" w:name="page number"/>
    <w:lsdException w:uiPriority="0" w:name="endnote reference"/>
    <w:lsdException w:qFormat="1" w:unhideWhenUsed="0" w:uiPriority="99" w:semiHidden="0" w:name="endnote text"/>
    <w:lsdException w:uiPriority="0" w:name="table of authorities"/>
    <w:lsdException w:uiPriority="0" w:name="macro"/>
    <w:lsdException w:qFormat="1" w:unhideWhenUsed="0" w:uiPriority="0" w:name="toa heading"/>
    <w:lsdException w:qFormat="1" w:unhideWhenUsed="0" w:uiPriority="0" w:semiHidden="0" w:name="List"/>
    <w:lsdException w:qFormat="1" w:unhideWhenUsed="0" w:uiPriority="0" w:semiHidden="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iPriority="0" w:name="Note Heading"/>
    <w:lsdException w:qFormat="1" w:unhideWhenUsed="0" w:uiPriority="0" w:semiHidden="0" w:name="Body Text 2"/>
    <w:lsdException w:uiPriority="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qFormat="1" w:unhideWhenUsed="0" w:uiPriority="0" w:semiHidden="0" w:name="HTML Keyboard"/>
    <w:lsdException w:qFormat="1" w:unhideWhenUsed="0" w:uiPriority="0" w:semiHidden="0" w:name="HTML Preformatted"/>
    <w:lsdException w:qFormat="1" w:uiPriority="0" w:name="HTML Sample"/>
    <w:lsdException w:uiPriority="0" w:name="HTML Typewriter"/>
    <w:lsdException w:uiPriority="0" w:name="HTML Variable"/>
    <w:lsdException w:qFormat="1"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仿宋_GB2312" w:hAnsi="宋体" w:eastAsia="仿宋_GB2312" w:cs="宋体"/>
      <w:b/>
      <w:bCs/>
      <w:color w:val="000000"/>
      <w:sz w:val="21"/>
      <w:szCs w:val="21"/>
      <w:lang w:val="en-US" w:eastAsia="zh-CN" w:bidi="ar-SA"/>
    </w:rPr>
  </w:style>
  <w:style w:type="paragraph" w:styleId="3">
    <w:name w:val="heading 1"/>
    <w:basedOn w:val="1"/>
    <w:next w:val="1"/>
    <w:link w:val="55"/>
    <w:qFormat/>
    <w:uiPriority w:val="0"/>
    <w:pPr>
      <w:keepNext/>
      <w:keepLines/>
      <w:numPr>
        <w:ilvl w:val="0"/>
        <w:numId w:val="1"/>
      </w:numPr>
      <w:spacing w:before="340" w:afterLines="50" w:line="578" w:lineRule="auto"/>
      <w:outlineLvl w:val="0"/>
    </w:pPr>
    <w:rPr>
      <w:rFonts w:ascii="Arial" w:hAnsi="Arial" w:eastAsia="黑体"/>
      <w:b w:val="0"/>
      <w:bCs w:val="0"/>
      <w:spacing w:val="20"/>
      <w:kern w:val="44"/>
      <w:sz w:val="36"/>
      <w:szCs w:val="44"/>
    </w:rPr>
  </w:style>
  <w:style w:type="paragraph" w:styleId="4">
    <w:name w:val="heading 2"/>
    <w:basedOn w:val="1"/>
    <w:next w:val="1"/>
    <w:link w:val="57"/>
    <w:qFormat/>
    <w:uiPriority w:val="0"/>
    <w:pPr>
      <w:keepNext/>
      <w:keepLines/>
      <w:numPr>
        <w:ilvl w:val="1"/>
        <w:numId w:val="1"/>
      </w:numPr>
      <w:spacing w:before="260" w:afterLines="50" w:line="416" w:lineRule="auto"/>
      <w:outlineLvl w:val="1"/>
    </w:pPr>
    <w:rPr>
      <w:rFonts w:ascii="Arial" w:hAnsi="Arial" w:eastAsia="黑体"/>
      <w:b w:val="0"/>
      <w:bCs w:val="0"/>
      <w:spacing w:val="20"/>
      <w:sz w:val="32"/>
      <w:szCs w:val="32"/>
    </w:rPr>
  </w:style>
  <w:style w:type="paragraph" w:styleId="5">
    <w:name w:val="heading 3"/>
    <w:basedOn w:val="1"/>
    <w:next w:val="1"/>
    <w:link w:val="58"/>
    <w:qFormat/>
    <w:uiPriority w:val="0"/>
    <w:pPr>
      <w:keepNext/>
      <w:keepLines/>
      <w:numPr>
        <w:ilvl w:val="2"/>
        <w:numId w:val="1"/>
      </w:numPr>
      <w:spacing w:before="260" w:afterLines="50" w:line="416" w:lineRule="auto"/>
      <w:outlineLvl w:val="2"/>
    </w:pPr>
    <w:rPr>
      <w:rFonts w:ascii="Arial" w:hAnsi="Arial" w:eastAsia="黑体"/>
      <w:b w:val="0"/>
      <w:bCs w:val="0"/>
      <w:spacing w:val="20"/>
      <w:sz w:val="30"/>
      <w:szCs w:val="32"/>
    </w:rPr>
  </w:style>
  <w:style w:type="paragraph" w:styleId="6">
    <w:name w:val="heading 4"/>
    <w:basedOn w:val="5"/>
    <w:next w:val="1"/>
    <w:qFormat/>
    <w:uiPriority w:val="0"/>
    <w:pPr>
      <w:keepNext/>
      <w:keepLines/>
      <w:numPr>
        <w:ilvl w:val="3"/>
        <w:numId w:val="1"/>
      </w:numPr>
      <w:tabs>
        <w:tab w:val="left" w:pos="1079"/>
        <w:tab w:val="clear" w:pos="1440"/>
        <w:tab w:val="clear" w:pos="720"/>
      </w:tabs>
      <w:spacing w:before="280" w:afterLines="50" w:line="377" w:lineRule="auto"/>
      <w:ind w:left="1077" w:hanging="1077"/>
      <w:outlineLvl w:val="3"/>
    </w:pPr>
    <w:rPr>
      <w:rFonts w:eastAsia="黑体"/>
      <w:spacing w:val="10"/>
      <w:sz w:val="28"/>
      <w:szCs w:val="28"/>
    </w:rPr>
  </w:style>
  <w:style w:type="paragraph" w:styleId="7">
    <w:name w:val="heading 5"/>
    <w:basedOn w:val="6"/>
    <w:next w:val="1"/>
    <w:qFormat/>
    <w:uiPriority w:val="0"/>
    <w:pPr>
      <w:keepNext/>
      <w:keepLines/>
      <w:numPr>
        <w:ilvl w:val="4"/>
        <w:numId w:val="1"/>
      </w:numPr>
      <w:tabs>
        <w:tab w:val="left" w:pos="1260"/>
        <w:tab w:val="clear" w:pos="1008"/>
        <w:tab w:val="clear" w:pos="1079"/>
      </w:tabs>
      <w:spacing w:before="280" w:afterLines="50" w:line="377" w:lineRule="auto"/>
      <w:ind w:left="1259" w:hanging="1259"/>
      <w:outlineLvl w:val="4"/>
    </w:pPr>
    <w:rPr>
      <w:rFonts w:ascii="Arial" w:hAnsi="Arial" w:eastAsia="黑体"/>
      <w:spacing w:val="10"/>
      <w:sz w:val="28"/>
      <w:szCs w:val="28"/>
    </w:rPr>
  </w:style>
  <w:style w:type="paragraph" w:styleId="8">
    <w:name w:val="heading 6"/>
    <w:basedOn w:val="1"/>
    <w:next w:val="9"/>
    <w:qFormat/>
    <w:uiPriority w:val="0"/>
    <w:pPr>
      <w:keepNext/>
      <w:keepLines/>
      <w:numPr>
        <w:ilvl w:val="5"/>
        <w:numId w:val="1"/>
      </w:numPr>
      <w:tabs>
        <w:tab w:val="left" w:pos="1428"/>
        <w:tab w:val="clear" w:pos="1152"/>
      </w:tabs>
      <w:spacing w:before="240" w:afterLines="50" w:line="319" w:lineRule="auto"/>
      <w:ind w:left="550" w:hanging="550" w:hangingChars="550"/>
      <w:outlineLvl w:val="5"/>
    </w:pPr>
    <w:rPr>
      <w:rFonts w:ascii="Arial" w:hAnsi="Arial" w:eastAsia="黑体"/>
      <w:b w:val="0"/>
      <w:bCs w:val="0"/>
      <w:spacing w:val="10"/>
      <w:sz w:val="24"/>
    </w:rPr>
  </w:style>
  <w:style w:type="paragraph" w:styleId="10">
    <w:name w:val="heading 7"/>
    <w:basedOn w:val="1"/>
    <w:next w:val="9"/>
    <w:qFormat/>
    <w:uiPriority w:val="0"/>
    <w:pPr>
      <w:keepNext/>
      <w:keepLines/>
      <w:numPr>
        <w:ilvl w:val="6"/>
        <w:numId w:val="1"/>
      </w:numPr>
      <w:tabs>
        <w:tab w:val="left" w:pos="1638"/>
        <w:tab w:val="clear" w:pos="1296"/>
      </w:tabs>
      <w:spacing w:before="240" w:afterLines="50" w:line="319" w:lineRule="auto"/>
      <w:ind w:left="1633" w:hanging="1633"/>
      <w:outlineLvl w:val="6"/>
    </w:pPr>
    <w:rPr>
      <w:rFonts w:ascii="Arial" w:hAnsi="Arial" w:eastAsia="黑体"/>
      <w:b w:val="0"/>
      <w:bCs w:val="0"/>
      <w:sz w:val="24"/>
    </w:rPr>
  </w:style>
  <w:style w:type="paragraph" w:styleId="11">
    <w:name w:val="heading 8"/>
    <w:basedOn w:val="1"/>
    <w:next w:val="9"/>
    <w:qFormat/>
    <w:uiPriority w:val="0"/>
    <w:pPr>
      <w:keepNext/>
      <w:keepLines/>
      <w:numPr>
        <w:ilvl w:val="7"/>
        <w:numId w:val="1"/>
      </w:numPr>
      <w:tabs>
        <w:tab w:val="left" w:pos="1800"/>
        <w:tab w:val="clear" w:pos="1440"/>
      </w:tabs>
      <w:spacing w:before="240" w:afterLines="50" w:line="319" w:lineRule="auto"/>
      <w:ind w:left="1797" w:hanging="1797"/>
      <w:outlineLvl w:val="7"/>
    </w:pPr>
    <w:rPr>
      <w:rFonts w:ascii="Arial" w:hAnsi="Arial" w:eastAsia="黑体"/>
      <w:sz w:val="24"/>
    </w:rPr>
  </w:style>
  <w:style w:type="paragraph" w:styleId="12">
    <w:name w:val="heading 9"/>
    <w:basedOn w:val="1"/>
    <w:next w:val="9"/>
    <w:qFormat/>
    <w:uiPriority w:val="0"/>
    <w:pPr>
      <w:keepNext/>
      <w:keepLines/>
      <w:numPr>
        <w:ilvl w:val="8"/>
        <w:numId w:val="1"/>
      </w:numPr>
      <w:tabs>
        <w:tab w:val="left" w:pos="1980"/>
        <w:tab w:val="clear" w:pos="1584"/>
      </w:tabs>
      <w:spacing w:before="240" w:afterLines="50" w:line="319" w:lineRule="auto"/>
      <w:ind w:left="1979" w:hanging="1979"/>
      <w:outlineLvl w:val="8"/>
    </w:pPr>
    <w:rPr>
      <w:rFonts w:ascii="Arial" w:hAnsi="Arial" w:eastAsia="黑体"/>
    </w:rPr>
  </w:style>
  <w:style w:type="character" w:default="1" w:styleId="46">
    <w:name w:val="Default Paragraph Font"/>
    <w:semiHidden/>
    <w:unhideWhenUsed/>
    <w:qFormat/>
    <w:uiPriority w:val="1"/>
  </w:style>
  <w:style w:type="table" w:default="1" w:styleId="44">
    <w:name w:val="Normal Table"/>
    <w:semiHidden/>
    <w:unhideWhenUsed/>
    <w:qFormat/>
    <w:uiPriority w:val="99"/>
    <w:tblPr>
      <w:tblCellMar>
        <w:top w:w="0" w:type="dxa"/>
        <w:left w:w="108" w:type="dxa"/>
        <w:bottom w:w="0" w:type="dxa"/>
        <w:right w:w="108" w:type="dxa"/>
      </w:tblCellMar>
    </w:tblPr>
  </w:style>
  <w:style w:type="paragraph" w:styleId="2">
    <w:name w:val="toc 2"/>
    <w:basedOn w:val="1"/>
    <w:next w:val="1"/>
    <w:qFormat/>
    <w:uiPriority w:val="39"/>
    <w:pPr>
      <w:ind w:left="420" w:leftChars="200"/>
    </w:pPr>
    <w:rPr>
      <w:szCs w:val="20"/>
    </w:rPr>
  </w:style>
  <w:style w:type="paragraph" w:styleId="9">
    <w:name w:val="Normal Indent"/>
    <w:basedOn w:val="1"/>
    <w:next w:val="1"/>
    <w:link w:val="56"/>
    <w:qFormat/>
    <w:uiPriority w:val="0"/>
    <w:pPr>
      <w:ind w:firstLine="420" w:firstLineChars="200"/>
    </w:pPr>
  </w:style>
  <w:style w:type="paragraph" w:styleId="13">
    <w:name w:val="caption"/>
    <w:basedOn w:val="1"/>
    <w:next w:val="1"/>
    <w:qFormat/>
    <w:uiPriority w:val="0"/>
    <w:rPr>
      <w:rFonts w:ascii="Arial" w:hAnsi="Arial" w:eastAsia="黑体" w:cs="Arial"/>
      <w:b w:val="0"/>
      <w:bCs w:val="0"/>
      <w:kern w:val="1"/>
      <w:sz w:val="20"/>
      <w:szCs w:val="20"/>
    </w:rPr>
  </w:style>
  <w:style w:type="paragraph" w:styleId="14">
    <w:name w:val="List Bullet"/>
    <w:basedOn w:val="1"/>
    <w:qFormat/>
    <w:uiPriority w:val="0"/>
    <w:pPr>
      <w:spacing w:line="360" w:lineRule="auto"/>
    </w:pPr>
    <w:rPr>
      <w:rFonts w:ascii="宋体" w:eastAsia="宋体" w:cs="Times New Roman"/>
      <w:b w:val="0"/>
      <w:bCs w:val="0"/>
      <w:color w:val="auto"/>
      <w:kern w:val="2"/>
      <w:sz w:val="20"/>
      <w:szCs w:val="20"/>
    </w:rPr>
  </w:style>
  <w:style w:type="paragraph" w:styleId="15">
    <w:name w:val="Document Map"/>
    <w:basedOn w:val="1"/>
    <w:semiHidden/>
    <w:qFormat/>
    <w:uiPriority w:val="0"/>
    <w:pPr>
      <w:shd w:val="clear" w:color="auto" w:fill="000080"/>
    </w:pPr>
    <w:rPr>
      <w:rFonts w:ascii="Times New Roman" w:hAnsi="Times New Roman" w:eastAsia="宋体" w:cs="Times New Roman"/>
      <w:b w:val="0"/>
      <w:bCs w:val="0"/>
      <w:color w:val="auto"/>
      <w:kern w:val="2"/>
      <w:szCs w:val="24"/>
    </w:rPr>
  </w:style>
  <w:style w:type="paragraph" w:styleId="16">
    <w:name w:val="toa heading"/>
    <w:basedOn w:val="1"/>
    <w:next w:val="1"/>
    <w:semiHidden/>
    <w:qFormat/>
    <w:uiPriority w:val="0"/>
    <w:pPr>
      <w:spacing w:before="120"/>
    </w:pPr>
    <w:rPr>
      <w:rFonts w:ascii="Arial" w:hAnsi="Arial" w:cs="Arial"/>
      <w:sz w:val="24"/>
    </w:rPr>
  </w:style>
  <w:style w:type="paragraph" w:styleId="17">
    <w:name w:val="annotation text"/>
    <w:basedOn w:val="1"/>
    <w:link w:val="59"/>
    <w:semiHidden/>
    <w:qFormat/>
    <w:uiPriority w:val="0"/>
    <w:pPr>
      <w:jc w:val="left"/>
    </w:pPr>
    <w:rPr>
      <w:rFonts w:cs="Times New Roman"/>
    </w:rPr>
  </w:style>
  <w:style w:type="paragraph" w:styleId="18">
    <w:name w:val="Body Text"/>
    <w:basedOn w:val="1"/>
    <w:next w:val="19"/>
    <w:qFormat/>
    <w:uiPriority w:val="0"/>
    <w:pPr>
      <w:spacing w:after="120"/>
    </w:pPr>
    <w:rPr>
      <w:rFonts w:ascii="Times New Roman" w:hAnsi="Times New Roman" w:eastAsia="宋体" w:cs="Times New Roman"/>
      <w:b w:val="0"/>
      <w:bCs w:val="0"/>
      <w:color w:val="auto"/>
      <w:kern w:val="2"/>
      <w:szCs w:val="24"/>
    </w:rPr>
  </w:style>
  <w:style w:type="paragraph" w:styleId="19">
    <w:name w:val="Body Text First Indent"/>
    <w:basedOn w:val="1"/>
    <w:next w:val="20"/>
    <w:qFormat/>
    <w:uiPriority w:val="0"/>
    <w:pPr>
      <w:ind w:firstLine="420"/>
    </w:pPr>
    <w:rPr>
      <w:rFonts w:eastAsia="楷体_GB2312"/>
      <w:sz w:val="32"/>
      <w:szCs w:val="20"/>
    </w:rPr>
  </w:style>
  <w:style w:type="paragraph" w:styleId="20">
    <w:name w:val="toc 6"/>
    <w:basedOn w:val="1"/>
    <w:next w:val="1"/>
    <w:qFormat/>
    <w:uiPriority w:val="0"/>
    <w:pPr>
      <w:ind w:left="2100" w:leftChars="1000"/>
    </w:pPr>
  </w:style>
  <w:style w:type="paragraph" w:styleId="21">
    <w:name w:val="Body Text Indent"/>
    <w:basedOn w:val="1"/>
    <w:qFormat/>
    <w:uiPriority w:val="0"/>
    <w:pPr>
      <w:spacing w:after="120"/>
      <w:ind w:left="420" w:leftChars="200"/>
    </w:pPr>
    <w:rPr>
      <w:rFonts w:ascii="Times New Roman" w:hAnsi="Times New Roman" w:eastAsia="宋体" w:cs="Times New Roman"/>
      <w:b w:val="0"/>
      <w:bCs w:val="0"/>
      <w:color w:val="auto"/>
      <w:kern w:val="2"/>
      <w:szCs w:val="24"/>
    </w:rPr>
  </w:style>
  <w:style w:type="paragraph" w:styleId="22">
    <w:name w:val="List Number 3"/>
    <w:basedOn w:val="1"/>
    <w:qFormat/>
    <w:uiPriority w:val="0"/>
    <w:pPr>
      <w:widowControl/>
      <w:tabs>
        <w:tab w:val="left" w:pos="2260"/>
      </w:tabs>
      <w:spacing w:afterLines="50"/>
      <w:ind w:left="2260" w:hanging="340"/>
      <w:jc w:val="left"/>
    </w:pPr>
    <w:rPr>
      <w:rFonts w:ascii="Times New Roman" w:hAnsi="Times New Roman" w:eastAsia="宋体" w:cs="Times New Roman"/>
      <w:b w:val="0"/>
      <w:bCs w:val="0"/>
      <w:color w:val="auto"/>
      <w:sz w:val="24"/>
      <w:szCs w:val="20"/>
    </w:rPr>
  </w:style>
  <w:style w:type="paragraph" w:styleId="23">
    <w:name w:val="List Continue"/>
    <w:basedOn w:val="1"/>
    <w:qFormat/>
    <w:uiPriority w:val="0"/>
    <w:pPr>
      <w:spacing w:after="120"/>
      <w:ind w:left="420"/>
    </w:pPr>
    <w:rPr>
      <w:rFonts w:ascii="Times New Roman" w:hAnsi="Times New Roman" w:eastAsia="楷体_GB2312" w:cs="Times New Roman"/>
      <w:b w:val="0"/>
      <w:bCs w:val="0"/>
      <w:color w:val="auto"/>
      <w:kern w:val="2"/>
      <w:sz w:val="32"/>
      <w:szCs w:val="20"/>
    </w:rPr>
  </w:style>
  <w:style w:type="paragraph" w:styleId="24">
    <w:name w:val="Block Text"/>
    <w:basedOn w:val="1"/>
    <w:qFormat/>
    <w:uiPriority w:val="0"/>
    <w:pPr>
      <w:spacing w:after="120"/>
      <w:ind w:left="1440" w:leftChars="700" w:right="1440" w:rightChars="700"/>
    </w:pPr>
    <w:rPr>
      <w:rFonts w:ascii="Times New Roman" w:hAnsi="Times New Roman" w:eastAsia="宋体" w:cs="Times New Roman"/>
      <w:b w:val="0"/>
      <w:bCs w:val="0"/>
      <w:color w:val="auto"/>
      <w:kern w:val="2"/>
      <w:szCs w:val="22"/>
    </w:rPr>
  </w:style>
  <w:style w:type="paragraph" w:styleId="25">
    <w:name w:val="toc 3"/>
    <w:basedOn w:val="1"/>
    <w:next w:val="1"/>
    <w:semiHidden/>
    <w:qFormat/>
    <w:uiPriority w:val="0"/>
    <w:pPr>
      <w:tabs>
        <w:tab w:val="right" w:leader="dot" w:pos="8987"/>
      </w:tabs>
      <w:adjustRightInd w:val="0"/>
      <w:snapToGrid w:val="0"/>
      <w:spacing w:beforeLines="50" w:afterLines="50" w:line="400" w:lineRule="atLeast"/>
      <w:textAlignment w:val="baseline"/>
    </w:pPr>
    <w:rPr>
      <w:rFonts w:ascii="Times New Roman" w:hAnsi="Times New Roman" w:cs="Times New Roman"/>
      <w:bCs w:val="0"/>
      <w:sz w:val="28"/>
      <w:szCs w:val="28"/>
    </w:rPr>
  </w:style>
  <w:style w:type="paragraph" w:styleId="26">
    <w:name w:val="Plain Text"/>
    <w:basedOn w:val="1"/>
    <w:link w:val="60"/>
    <w:qFormat/>
    <w:uiPriority w:val="0"/>
    <w:rPr>
      <w:rFonts w:ascii="宋体" w:hAnsi="Courier New"/>
      <w:szCs w:val="20"/>
    </w:rPr>
  </w:style>
  <w:style w:type="paragraph" w:styleId="27">
    <w:name w:val="Date"/>
    <w:basedOn w:val="1"/>
    <w:next w:val="1"/>
    <w:qFormat/>
    <w:uiPriority w:val="0"/>
    <w:pPr>
      <w:ind w:left="100" w:leftChars="2500"/>
    </w:pPr>
    <w:rPr>
      <w:sz w:val="24"/>
    </w:rPr>
  </w:style>
  <w:style w:type="paragraph" w:styleId="28">
    <w:name w:val="Body Text Indent 2"/>
    <w:basedOn w:val="1"/>
    <w:qFormat/>
    <w:uiPriority w:val="0"/>
    <w:pPr>
      <w:widowControl/>
      <w:spacing w:line="480" w:lineRule="atLeast"/>
      <w:ind w:firstLine="480"/>
    </w:pPr>
    <w:rPr>
      <w:rFonts w:ascii="宋体"/>
      <w:sz w:val="24"/>
      <w:szCs w:val="20"/>
    </w:rPr>
  </w:style>
  <w:style w:type="paragraph" w:styleId="29">
    <w:name w:val="endnote text"/>
    <w:basedOn w:val="1"/>
    <w:qFormat/>
    <w:uiPriority w:val="99"/>
    <w:rPr>
      <w:rFonts w:ascii="Calibri" w:hAnsi="Calibri" w:cs="Calibri"/>
    </w:rPr>
  </w:style>
  <w:style w:type="paragraph" w:styleId="30">
    <w:name w:val="Balloon Text"/>
    <w:basedOn w:val="1"/>
    <w:semiHidden/>
    <w:qFormat/>
    <w:uiPriority w:val="0"/>
    <w:rPr>
      <w:sz w:val="18"/>
      <w:szCs w:val="18"/>
    </w:rPr>
  </w:style>
  <w:style w:type="paragraph" w:styleId="31">
    <w:name w:val="footer"/>
    <w:basedOn w:val="1"/>
    <w:link w:val="61"/>
    <w:qFormat/>
    <w:uiPriority w:val="0"/>
    <w:pPr>
      <w:tabs>
        <w:tab w:val="center" w:pos="4153"/>
        <w:tab w:val="right" w:pos="8306"/>
      </w:tabs>
      <w:snapToGrid w:val="0"/>
      <w:jc w:val="left"/>
    </w:pPr>
    <w:rPr>
      <w:sz w:val="18"/>
      <w:szCs w:val="18"/>
    </w:rPr>
  </w:style>
  <w:style w:type="paragraph" w:styleId="32">
    <w:name w:val="header"/>
    <w:basedOn w:val="1"/>
    <w:link w:val="62"/>
    <w:qFormat/>
    <w:uiPriority w:val="0"/>
    <w:pPr>
      <w:pBdr>
        <w:bottom w:val="single" w:color="auto" w:sz="6" w:space="1"/>
      </w:pBdr>
      <w:tabs>
        <w:tab w:val="center" w:pos="4153"/>
        <w:tab w:val="right" w:pos="8306"/>
      </w:tabs>
      <w:snapToGrid w:val="0"/>
      <w:jc w:val="center"/>
    </w:pPr>
    <w:rPr>
      <w:sz w:val="18"/>
      <w:szCs w:val="18"/>
    </w:rPr>
  </w:style>
  <w:style w:type="paragraph" w:styleId="33">
    <w:name w:val="toc 1"/>
    <w:basedOn w:val="1"/>
    <w:next w:val="1"/>
    <w:qFormat/>
    <w:uiPriority w:val="39"/>
    <w:pPr>
      <w:tabs>
        <w:tab w:val="right" w:leader="dot" w:pos="8987"/>
      </w:tabs>
      <w:spacing w:line="360" w:lineRule="atLeast"/>
      <w:jc w:val="center"/>
    </w:pPr>
    <w:rPr>
      <w:rFonts w:ascii="宋体" w:eastAsia="宋体" w:cs="Times New Roman"/>
      <w:bCs w:val="0"/>
      <w:color w:val="auto"/>
      <w:kern w:val="2"/>
      <w:sz w:val="22"/>
      <w:szCs w:val="22"/>
    </w:rPr>
  </w:style>
  <w:style w:type="paragraph" w:styleId="34">
    <w:name w:val="toc 4"/>
    <w:basedOn w:val="1"/>
    <w:next w:val="1"/>
    <w:unhideWhenUsed/>
    <w:qFormat/>
    <w:uiPriority w:val="39"/>
    <w:pPr>
      <w:ind w:left="420"/>
      <w:jc w:val="left"/>
    </w:pPr>
    <w:rPr>
      <w:rFonts w:ascii="Calibri" w:hAnsi="Calibri" w:eastAsia="宋体" w:cs="Calibri"/>
      <w:color w:val="auto"/>
      <w:kern w:val="2"/>
      <w:sz w:val="20"/>
      <w:szCs w:val="20"/>
    </w:rPr>
  </w:style>
  <w:style w:type="paragraph" w:styleId="35">
    <w:name w:val="List"/>
    <w:basedOn w:val="1"/>
    <w:qFormat/>
    <w:uiPriority w:val="0"/>
    <w:pPr>
      <w:ind w:left="420" w:hanging="420"/>
    </w:pPr>
    <w:rPr>
      <w:rFonts w:ascii="Times New Roman" w:hAnsi="Times New Roman" w:eastAsia="楷体_GB2312" w:cs="Times New Roman"/>
      <w:b w:val="0"/>
      <w:bCs w:val="0"/>
      <w:color w:val="auto"/>
      <w:kern w:val="2"/>
      <w:sz w:val="32"/>
      <w:szCs w:val="20"/>
    </w:rPr>
  </w:style>
  <w:style w:type="paragraph" w:styleId="36">
    <w:name w:val="footnote text"/>
    <w:basedOn w:val="1"/>
    <w:link w:val="141"/>
    <w:qFormat/>
    <w:uiPriority w:val="0"/>
    <w:pPr>
      <w:snapToGrid w:val="0"/>
      <w:jc w:val="left"/>
    </w:pPr>
    <w:rPr>
      <w:rFonts w:ascii="Times New Roman" w:hAnsi="Times New Roman" w:eastAsia="宋体" w:cs="Times New Roman"/>
      <w:b w:val="0"/>
      <w:bCs w:val="0"/>
      <w:color w:val="auto"/>
      <w:kern w:val="2"/>
      <w:sz w:val="18"/>
      <w:szCs w:val="24"/>
    </w:rPr>
  </w:style>
  <w:style w:type="paragraph" w:styleId="37">
    <w:name w:val="Body Text Indent 3"/>
    <w:basedOn w:val="1"/>
    <w:link w:val="142"/>
    <w:qFormat/>
    <w:uiPriority w:val="0"/>
    <w:pPr>
      <w:spacing w:after="120"/>
      <w:ind w:left="420" w:leftChars="200"/>
    </w:pPr>
    <w:rPr>
      <w:sz w:val="16"/>
      <w:szCs w:val="16"/>
    </w:rPr>
  </w:style>
  <w:style w:type="paragraph" w:styleId="38">
    <w:name w:val="Body Text 2"/>
    <w:basedOn w:val="1"/>
    <w:qFormat/>
    <w:uiPriority w:val="0"/>
    <w:pPr>
      <w:spacing w:after="120" w:line="480" w:lineRule="auto"/>
    </w:pPr>
    <w:rPr>
      <w:rFonts w:ascii="Times New Roman" w:hAnsi="Times New Roman" w:eastAsia="宋体" w:cs="Times New Roman"/>
      <w:b w:val="0"/>
      <w:bCs w:val="0"/>
      <w:color w:val="auto"/>
      <w:kern w:val="2"/>
      <w:szCs w:val="24"/>
    </w:rPr>
  </w:style>
  <w:style w:type="paragraph" w:styleId="39">
    <w:name w:val="HTML Preformatted"/>
    <w:basedOn w:val="1"/>
    <w:link w:val="6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Times New Roman"/>
      <w:b w:val="0"/>
      <w:bCs w:val="0"/>
      <w:color w:val="auto"/>
      <w:sz w:val="20"/>
      <w:szCs w:val="20"/>
    </w:rPr>
  </w:style>
  <w:style w:type="paragraph" w:styleId="40">
    <w:name w:val="Normal (Web)"/>
    <w:basedOn w:val="1"/>
    <w:link w:val="64"/>
    <w:qFormat/>
    <w:uiPriority w:val="0"/>
    <w:pPr>
      <w:widowControl/>
      <w:spacing w:afterLines="50"/>
      <w:jc w:val="left"/>
    </w:pPr>
    <w:rPr>
      <w:rFonts w:ascii="Times New Roman" w:hAnsi="Times New Roman" w:eastAsia="宋体" w:cs="Times New Roman"/>
      <w:b w:val="0"/>
      <w:bCs w:val="0"/>
      <w:color w:val="auto"/>
      <w:sz w:val="24"/>
      <w:szCs w:val="24"/>
    </w:rPr>
  </w:style>
  <w:style w:type="paragraph" w:styleId="41">
    <w:name w:val="Title"/>
    <w:basedOn w:val="1"/>
    <w:next w:val="1"/>
    <w:link w:val="65"/>
    <w:qFormat/>
    <w:uiPriority w:val="0"/>
    <w:pPr>
      <w:spacing w:before="240" w:after="60"/>
      <w:jc w:val="center"/>
      <w:outlineLvl w:val="0"/>
    </w:pPr>
    <w:rPr>
      <w:rFonts w:ascii="Arial" w:hAnsi="Arial" w:eastAsia="宋体" w:cs="Times New Roman"/>
      <w:sz w:val="32"/>
      <w:szCs w:val="32"/>
    </w:rPr>
  </w:style>
  <w:style w:type="paragraph" w:styleId="42">
    <w:name w:val="annotation subject"/>
    <w:basedOn w:val="17"/>
    <w:next w:val="17"/>
    <w:semiHidden/>
    <w:qFormat/>
    <w:uiPriority w:val="0"/>
  </w:style>
  <w:style w:type="paragraph" w:styleId="43">
    <w:name w:val="Body Text First Indent 2"/>
    <w:basedOn w:val="21"/>
    <w:unhideWhenUsed/>
    <w:qFormat/>
    <w:uiPriority w:val="99"/>
    <w:pPr>
      <w:ind w:firstLine="420"/>
    </w:pPr>
  </w:style>
  <w:style w:type="table" w:styleId="45">
    <w:name w:val="Table Grid"/>
    <w:basedOn w:val="4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7">
    <w:name w:val="Strong"/>
    <w:qFormat/>
    <w:uiPriority w:val="0"/>
    <w:rPr>
      <w:b/>
      <w:bCs/>
    </w:rPr>
  </w:style>
  <w:style w:type="character" w:styleId="48">
    <w:name w:val="page number"/>
    <w:basedOn w:val="46"/>
    <w:qFormat/>
    <w:uiPriority w:val="0"/>
  </w:style>
  <w:style w:type="character" w:styleId="49">
    <w:name w:val="FollowedHyperlink"/>
    <w:qFormat/>
    <w:uiPriority w:val="0"/>
    <w:rPr>
      <w:color w:val="800080"/>
      <w:u w:val="single"/>
    </w:rPr>
  </w:style>
  <w:style w:type="character" w:styleId="50">
    <w:name w:val="Emphasis"/>
    <w:basedOn w:val="46"/>
    <w:qFormat/>
    <w:uiPriority w:val="0"/>
  </w:style>
  <w:style w:type="character" w:styleId="51">
    <w:name w:val="Hyperlink"/>
    <w:basedOn w:val="46"/>
    <w:qFormat/>
    <w:uiPriority w:val="99"/>
    <w:rPr>
      <w:color w:val="0000FF"/>
      <w:u w:val="single"/>
    </w:rPr>
  </w:style>
  <w:style w:type="character" w:styleId="52">
    <w:name w:val="annotation reference"/>
    <w:semiHidden/>
    <w:qFormat/>
    <w:uiPriority w:val="0"/>
    <w:rPr>
      <w:sz w:val="21"/>
      <w:szCs w:val="21"/>
    </w:rPr>
  </w:style>
  <w:style w:type="character" w:styleId="53">
    <w:name w:val="HTML Keyboard"/>
    <w:qFormat/>
    <w:uiPriority w:val="0"/>
    <w:rPr>
      <w:rFonts w:ascii="monospace" w:hAnsi="monospace" w:eastAsia="monospace" w:cs="monospace"/>
      <w:sz w:val="21"/>
      <w:szCs w:val="21"/>
    </w:rPr>
  </w:style>
  <w:style w:type="character" w:styleId="54">
    <w:name w:val="HTML Sample"/>
    <w:basedOn w:val="46"/>
    <w:semiHidden/>
    <w:unhideWhenUsed/>
    <w:qFormat/>
    <w:uiPriority w:val="0"/>
    <w:rPr>
      <w:rFonts w:ascii="Courier New" w:hAnsi="Courier New"/>
    </w:rPr>
  </w:style>
  <w:style w:type="character" w:customStyle="1" w:styleId="55">
    <w:name w:val="标题 1 Char"/>
    <w:link w:val="3"/>
    <w:qFormat/>
    <w:uiPriority w:val="0"/>
    <w:rPr>
      <w:rFonts w:ascii="Arial" w:hAnsi="Arial" w:eastAsia="黑体" w:cs="宋体"/>
      <w:color w:val="000000"/>
      <w:spacing w:val="20"/>
      <w:kern w:val="44"/>
      <w:sz w:val="36"/>
      <w:szCs w:val="44"/>
      <w:lang w:val="en-US" w:eastAsia="zh-CN" w:bidi="ar-SA"/>
    </w:rPr>
  </w:style>
  <w:style w:type="character" w:customStyle="1" w:styleId="56">
    <w:name w:val="正文缩进 Char"/>
    <w:link w:val="9"/>
    <w:qFormat/>
    <w:uiPriority w:val="0"/>
    <w:rPr>
      <w:rFonts w:ascii="仿宋_GB2312" w:hAnsi="宋体" w:eastAsia="仿宋_GB2312" w:cs="宋体"/>
      <w:b/>
      <w:bCs/>
      <w:color w:val="000000"/>
      <w:sz w:val="21"/>
      <w:szCs w:val="21"/>
      <w:lang w:val="en-US" w:eastAsia="zh-CN" w:bidi="ar-SA"/>
    </w:rPr>
  </w:style>
  <w:style w:type="character" w:customStyle="1" w:styleId="57">
    <w:name w:val="标题 2 Char"/>
    <w:link w:val="4"/>
    <w:qFormat/>
    <w:uiPriority w:val="0"/>
    <w:rPr>
      <w:rFonts w:ascii="Arial" w:hAnsi="Arial" w:eastAsia="黑体" w:cs="宋体"/>
      <w:color w:val="000000"/>
      <w:spacing w:val="20"/>
      <w:sz w:val="32"/>
      <w:szCs w:val="32"/>
      <w:lang w:val="en-US" w:eastAsia="zh-CN" w:bidi="ar-SA"/>
    </w:rPr>
  </w:style>
  <w:style w:type="character" w:customStyle="1" w:styleId="58">
    <w:name w:val="标题 3 Char"/>
    <w:link w:val="5"/>
    <w:qFormat/>
    <w:uiPriority w:val="0"/>
    <w:rPr>
      <w:rFonts w:ascii="Arial" w:hAnsi="Arial" w:eastAsia="黑体" w:cs="宋体"/>
      <w:color w:val="000000"/>
      <w:spacing w:val="20"/>
      <w:sz w:val="30"/>
      <w:szCs w:val="32"/>
      <w:lang w:val="en-US" w:eastAsia="zh-CN" w:bidi="ar-SA"/>
    </w:rPr>
  </w:style>
  <w:style w:type="character" w:customStyle="1" w:styleId="59">
    <w:name w:val="批注文字 Char"/>
    <w:link w:val="17"/>
    <w:semiHidden/>
    <w:qFormat/>
    <w:uiPriority w:val="0"/>
    <w:rPr>
      <w:rFonts w:ascii="仿宋_GB2312" w:hAnsi="宋体" w:eastAsia="仿宋_GB2312" w:cs="宋体"/>
      <w:b/>
      <w:bCs/>
      <w:color w:val="000000"/>
      <w:sz w:val="21"/>
      <w:szCs w:val="21"/>
    </w:rPr>
  </w:style>
  <w:style w:type="character" w:customStyle="1" w:styleId="60">
    <w:name w:val="纯文本 Char2"/>
    <w:link w:val="26"/>
    <w:qFormat/>
    <w:uiPriority w:val="0"/>
    <w:rPr>
      <w:rFonts w:ascii="宋体" w:hAnsi="Courier New" w:eastAsia="仿宋_GB2312" w:cs="宋体"/>
      <w:b/>
      <w:bCs/>
      <w:color w:val="000000"/>
      <w:sz w:val="21"/>
      <w:lang w:val="en-US" w:eastAsia="zh-CN" w:bidi="ar-SA"/>
    </w:rPr>
  </w:style>
  <w:style w:type="character" w:customStyle="1" w:styleId="61">
    <w:name w:val="页脚 Char"/>
    <w:link w:val="31"/>
    <w:qFormat/>
    <w:uiPriority w:val="0"/>
    <w:rPr>
      <w:rFonts w:ascii="仿宋_GB2312" w:hAnsi="宋体" w:eastAsia="仿宋_GB2312" w:cs="宋体"/>
      <w:b/>
      <w:bCs/>
      <w:color w:val="000000"/>
      <w:sz w:val="18"/>
      <w:szCs w:val="18"/>
      <w:lang w:val="en-US" w:eastAsia="zh-CN" w:bidi="ar-SA"/>
    </w:rPr>
  </w:style>
  <w:style w:type="character" w:customStyle="1" w:styleId="62">
    <w:name w:val="页眉 Char"/>
    <w:link w:val="32"/>
    <w:qFormat/>
    <w:uiPriority w:val="0"/>
    <w:rPr>
      <w:rFonts w:ascii="仿宋_GB2312" w:hAnsi="宋体" w:eastAsia="仿宋_GB2312" w:cs="宋体"/>
      <w:b/>
      <w:bCs/>
      <w:color w:val="000000"/>
      <w:sz w:val="18"/>
      <w:szCs w:val="18"/>
      <w:lang w:val="en-US" w:eastAsia="zh-CN" w:bidi="ar-SA"/>
    </w:rPr>
  </w:style>
  <w:style w:type="character" w:customStyle="1" w:styleId="63">
    <w:name w:val="HTML 预设格式 Char"/>
    <w:link w:val="39"/>
    <w:qFormat/>
    <w:uiPriority w:val="0"/>
    <w:rPr>
      <w:rFonts w:ascii="黑体" w:hAnsi="Courier New" w:eastAsia="黑体" w:cs="Courier New"/>
    </w:rPr>
  </w:style>
  <w:style w:type="character" w:customStyle="1" w:styleId="64">
    <w:name w:val="普通(网站) Char"/>
    <w:link w:val="40"/>
    <w:qFormat/>
    <w:uiPriority w:val="0"/>
    <w:rPr>
      <w:rFonts w:eastAsia="宋体"/>
      <w:sz w:val="24"/>
      <w:szCs w:val="24"/>
      <w:lang w:val="en-US" w:eastAsia="zh-CN" w:bidi="ar-SA"/>
    </w:rPr>
  </w:style>
  <w:style w:type="character" w:customStyle="1" w:styleId="65">
    <w:name w:val="标题 Char"/>
    <w:link w:val="41"/>
    <w:qFormat/>
    <w:uiPriority w:val="0"/>
    <w:rPr>
      <w:rFonts w:ascii="Arial" w:hAnsi="Arial" w:cs="Arial"/>
      <w:b/>
      <w:bCs/>
      <w:color w:val="000000"/>
      <w:sz w:val="32"/>
      <w:szCs w:val="32"/>
    </w:rPr>
  </w:style>
  <w:style w:type="character" w:customStyle="1" w:styleId="66">
    <w:name w:val="普通文字 Char Char1"/>
    <w:qFormat/>
    <w:uiPriority w:val="0"/>
    <w:rPr>
      <w:rFonts w:ascii="宋体" w:hAnsi="Courier New" w:eastAsia="仿宋_GB2312" w:cs="宋体"/>
      <w:b/>
      <w:bCs/>
      <w:color w:val="000000"/>
      <w:sz w:val="21"/>
      <w:lang w:val="en-US" w:eastAsia="zh-CN" w:bidi="ar-SA"/>
    </w:rPr>
  </w:style>
  <w:style w:type="character" w:customStyle="1" w:styleId="67">
    <w:name w:val="style11"/>
    <w:qFormat/>
    <w:uiPriority w:val="0"/>
    <w:rPr>
      <w:sz w:val="18"/>
      <w:szCs w:val="18"/>
    </w:rPr>
  </w:style>
  <w:style w:type="character" w:customStyle="1" w:styleId="68">
    <w:name w:val="Char Char2"/>
    <w:qFormat/>
    <w:uiPriority w:val="0"/>
    <w:rPr>
      <w:rFonts w:eastAsia="宋体"/>
      <w:kern w:val="2"/>
      <w:sz w:val="18"/>
      <w:szCs w:val="18"/>
      <w:lang w:val="en-US" w:eastAsia="zh-CN" w:bidi="ar-SA"/>
    </w:rPr>
  </w:style>
  <w:style w:type="character" w:customStyle="1" w:styleId="69">
    <w:name w:val="ca-6"/>
    <w:basedOn w:val="46"/>
    <w:qFormat/>
    <w:uiPriority w:val="0"/>
  </w:style>
  <w:style w:type="character" w:customStyle="1" w:styleId="70">
    <w:name w:val="unnamed11"/>
    <w:qFormat/>
    <w:uiPriority w:val="0"/>
    <w:rPr>
      <w:color w:val="000000"/>
      <w:sz w:val="20"/>
      <w:szCs w:val="20"/>
    </w:rPr>
  </w:style>
  <w:style w:type="character" w:customStyle="1" w:styleId="71">
    <w:name w:val="Texte Char Char"/>
    <w:qFormat/>
    <w:uiPriority w:val="0"/>
    <w:rPr>
      <w:rFonts w:ascii="宋体" w:hAnsi="Courier New" w:eastAsia="仿宋_GB2312" w:cs="宋体"/>
      <w:b/>
      <w:bCs/>
      <w:color w:val="000000"/>
      <w:sz w:val="21"/>
      <w:lang w:val="en-US" w:eastAsia="zh-CN" w:bidi="ar-SA"/>
    </w:rPr>
  </w:style>
  <w:style w:type="character" w:customStyle="1" w:styleId="72">
    <w:name w:val="纯文本 Char"/>
    <w:qFormat/>
    <w:uiPriority w:val="0"/>
    <w:rPr>
      <w:rFonts w:ascii="宋体" w:hAnsi="Courier New" w:eastAsia="宋体"/>
      <w:kern w:val="2"/>
      <w:sz w:val="21"/>
      <w:szCs w:val="21"/>
      <w:lang w:bidi="ar-SA"/>
    </w:rPr>
  </w:style>
  <w:style w:type="character" w:customStyle="1" w:styleId="73">
    <w:name w:val="f10"/>
    <w:basedOn w:val="46"/>
    <w:qFormat/>
    <w:uiPriority w:val="0"/>
  </w:style>
  <w:style w:type="character" w:customStyle="1" w:styleId="74">
    <w:name w:val="ca-2"/>
    <w:basedOn w:val="46"/>
    <w:qFormat/>
    <w:uiPriority w:val="0"/>
  </w:style>
  <w:style w:type="character" w:customStyle="1" w:styleId="75">
    <w:name w:val="缩进2字符 Char"/>
    <w:link w:val="76"/>
    <w:qFormat/>
    <w:locked/>
    <w:uiPriority w:val="0"/>
    <w:rPr>
      <w:rFonts w:ascii="仿宋_GB2312" w:hAnsi="仿宋_GB2312" w:eastAsia="仿宋_GB2312" w:cs="Arial"/>
      <w:snapToGrid w:val="0"/>
      <w:color w:val="000000"/>
      <w:sz w:val="28"/>
      <w:szCs w:val="28"/>
      <w:lang w:bidi="ar-SA"/>
    </w:rPr>
  </w:style>
  <w:style w:type="paragraph" w:customStyle="1" w:styleId="76">
    <w:name w:val="缩进2字符"/>
    <w:basedOn w:val="1"/>
    <w:link w:val="75"/>
    <w:qFormat/>
    <w:uiPriority w:val="0"/>
    <w:pPr>
      <w:widowControl/>
      <w:ind w:firstLine="200" w:firstLineChars="200"/>
      <w:jc w:val="left"/>
    </w:pPr>
    <w:rPr>
      <w:rFonts w:hAnsi="仿宋_GB2312" w:cs="Arial"/>
      <w:b w:val="0"/>
      <w:bCs w:val="0"/>
      <w:snapToGrid w:val="0"/>
      <w:sz w:val="28"/>
      <w:szCs w:val="28"/>
    </w:rPr>
  </w:style>
  <w:style w:type="character" w:customStyle="1" w:styleId="77">
    <w:name w:val="ca-11"/>
    <w:qFormat/>
    <w:uiPriority w:val="0"/>
    <w:rPr>
      <w:rFonts w:hint="eastAsia" w:ascii="宋体" w:hAnsi="宋体" w:eastAsia="宋体"/>
      <w:sz w:val="18"/>
      <w:szCs w:val="18"/>
    </w:rPr>
  </w:style>
  <w:style w:type="character" w:customStyle="1" w:styleId="78">
    <w:name w:val="标题 Char1"/>
    <w:qFormat/>
    <w:locked/>
    <w:uiPriority w:val="0"/>
    <w:rPr>
      <w:rFonts w:ascii="Arial" w:hAnsi="Arial" w:cs="Arial"/>
      <w:b/>
      <w:bCs/>
      <w:color w:val="000000"/>
      <w:sz w:val="32"/>
      <w:szCs w:val="32"/>
    </w:rPr>
  </w:style>
  <w:style w:type="character" w:customStyle="1" w:styleId="79">
    <w:name w:val="ca-3"/>
    <w:basedOn w:val="46"/>
    <w:qFormat/>
    <w:uiPriority w:val="0"/>
  </w:style>
  <w:style w:type="character" w:customStyle="1" w:styleId="80">
    <w:name w:val="NormalCharacter"/>
    <w:link w:val="81"/>
    <w:qFormat/>
    <w:uiPriority w:val="0"/>
    <w:rPr>
      <w:rFonts w:ascii="Tahoma" w:hAnsi="Tahoma"/>
      <w:sz w:val="24"/>
    </w:rPr>
  </w:style>
  <w:style w:type="paragraph" w:customStyle="1" w:styleId="81">
    <w:name w:val="UserStyle_13"/>
    <w:basedOn w:val="1"/>
    <w:link w:val="80"/>
    <w:qFormat/>
    <w:uiPriority w:val="0"/>
    <w:pPr>
      <w:widowControl/>
      <w:adjustRightInd/>
      <w:spacing w:line="360" w:lineRule="auto"/>
      <w:ind w:firstLine="200" w:firstLineChars="200"/>
    </w:pPr>
    <w:rPr>
      <w:rFonts w:ascii="Tahoma" w:hAnsi="Tahoma"/>
      <w:sz w:val="24"/>
    </w:rPr>
  </w:style>
  <w:style w:type="character" w:customStyle="1" w:styleId="82">
    <w:name w:val="纯文本 Char1"/>
    <w:qFormat/>
    <w:uiPriority w:val="0"/>
    <w:rPr>
      <w:rFonts w:ascii="宋体" w:hAnsi="Courier New" w:eastAsia="仿宋_GB2312" w:cs="宋体"/>
      <w:b/>
      <w:bCs/>
      <w:color w:val="000000"/>
      <w:sz w:val="21"/>
      <w:lang w:val="en-US" w:eastAsia="zh-CN" w:bidi="ar-SA"/>
    </w:rPr>
  </w:style>
  <w:style w:type="character" w:customStyle="1" w:styleId="83">
    <w:name w:val="para"/>
    <w:basedOn w:val="46"/>
    <w:qFormat/>
    <w:uiPriority w:val="0"/>
  </w:style>
  <w:style w:type="character" w:customStyle="1" w:styleId="84">
    <w:name w:val="表格文本 Char"/>
    <w:link w:val="85"/>
    <w:qFormat/>
    <w:locked/>
    <w:uiPriority w:val="0"/>
    <w:rPr>
      <w:rFonts w:ascii="宋体" w:hAnsi="宋体" w:eastAsia="宋体" w:cs="Arial"/>
      <w:snapToGrid w:val="0"/>
      <w:szCs w:val="21"/>
      <w:lang w:bidi="ar-SA"/>
    </w:rPr>
  </w:style>
  <w:style w:type="paragraph" w:customStyle="1" w:styleId="85">
    <w:name w:val="表格文本"/>
    <w:basedOn w:val="1"/>
    <w:link w:val="84"/>
    <w:qFormat/>
    <w:uiPriority w:val="0"/>
    <w:pPr>
      <w:snapToGrid w:val="0"/>
      <w:jc w:val="left"/>
    </w:pPr>
    <w:rPr>
      <w:rFonts w:ascii="宋体" w:eastAsia="宋体" w:cs="Arial"/>
      <w:b w:val="0"/>
      <w:bCs w:val="0"/>
      <w:snapToGrid w:val="0"/>
      <w:color w:val="auto"/>
      <w:sz w:val="20"/>
    </w:rPr>
  </w:style>
  <w:style w:type="character" w:customStyle="1" w:styleId="86">
    <w:name w:val="ca-8"/>
    <w:basedOn w:val="46"/>
    <w:qFormat/>
    <w:uiPriority w:val="0"/>
  </w:style>
  <w:style w:type="character" w:customStyle="1" w:styleId="87">
    <w:name w:val="smalltxt1"/>
    <w:qFormat/>
    <w:uiPriority w:val="0"/>
    <w:rPr>
      <w:rFonts w:hint="default" w:ascii="ˎ̥" w:hAnsi="ˎ̥" w:eastAsia="仿宋_GB2312"/>
      <w:b/>
      <w:sz w:val="24"/>
      <w:szCs w:val="24"/>
    </w:rPr>
  </w:style>
  <w:style w:type="character" w:customStyle="1" w:styleId="88">
    <w:name w:val="Char Char1"/>
    <w:qFormat/>
    <w:uiPriority w:val="0"/>
    <w:rPr>
      <w:rFonts w:ascii="宋体" w:hAnsi="Courier New" w:eastAsia="仿宋_GB2312" w:cs="宋体"/>
      <w:b/>
      <w:bCs/>
      <w:color w:val="000000"/>
      <w:sz w:val="21"/>
      <w:lang w:val="en-US" w:eastAsia="zh-CN" w:bidi="ar-SA"/>
    </w:rPr>
  </w:style>
  <w:style w:type="character" w:customStyle="1" w:styleId="89">
    <w:name w:val="Char Char"/>
    <w:qFormat/>
    <w:uiPriority w:val="0"/>
    <w:rPr>
      <w:rFonts w:ascii="宋体" w:hAnsi="Courier New" w:eastAsia="仿宋_GB2312"/>
      <w:b/>
      <w:color w:val="000000"/>
      <w:sz w:val="21"/>
      <w:lang w:val="en-US" w:eastAsia="zh-CN"/>
    </w:rPr>
  </w:style>
  <w:style w:type="character" w:customStyle="1" w:styleId="90">
    <w:name w:val="apple-converted-space"/>
    <w:basedOn w:val="46"/>
    <w:qFormat/>
    <w:uiPriority w:val="0"/>
  </w:style>
  <w:style w:type="character" w:customStyle="1" w:styleId="91">
    <w:name w:val="bigtitle1"/>
    <w:qFormat/>
    <w:uiPriority w:val="0"/>
    <w:rPr>
      <w:sz w:val="28"/>
      <w:szCs w:val="28"/>
    </w:rPr>
  </w:style>
  <w:style w:type="character" w:customStyle="1" w:styleId="92">
    <w:name w:val="Char Char4"/>
    <w:qFormat/>
    <w:uiPriority w:val="0"/>
    <w:rPr>
      <w:rFonts w:eastAsia="宋体"/>
      <w:sz w:val="18"/>
      <w:szCs w:val="18"/>
      <w:lang w:val="en-US" w:eastAsia="zh-CN" w:bidi="ar-SA"/>
    </w:rPr>
  </w:style>
  <w:style w:type="character" w:customStyle="1" w:styleId="93">
    <w:name w:val="样式3 Char"/>
    <w:link w:val="94"/>
    <w:qFormat/>
    <w:uiPriority w:val="0"/>
    <w:rPr>
      <w:rFonts w:eastAsia="黑体"/>
      <w:kern w:val="2"/>
      <w:sz w:val="28"/>
      <w:szCs w:val="21"/>
      <w:lang w:val="en-US" w:eastAsia="zh-CN" w:bidi="ar-SA"/>
    </w:rPr>
  </w:style>
  <w:style w:type="paragraph" w:customStyle="1" w:styleId="94">
    <w:name w:val="样式3"/>
    <w:basedOn w:val="1"/>
    <w:link w:val="93"/>
    <w:qFormat/>
    <w:uiPriority w:val="0"/>
    <w:pPr>
      <w:snapToGrid w:val="0"/>
      <w:outlineLvl w:val="2"/>
    </w:pPr>
    <w:rPr>
      <w:rFonts w:ascii="Times New Roman" w:hAnsi="Times New Roman" w:eastAsia="黑体" w:cs="Times New Roman"/>
      <w:b w:val="0"/>
      <w:bCs w:val="0"/>
      <w:color w:val="auto"/>
      <w:kern w:val="2"/>
      <w:sz w:val="28"/>
    </w:rPr>
  </w:style>
  <w:style w:type="character" w:customStyle="1" w:styleId="95">
    <w:name w:val="unnamed51"/>
    <w:qFormat/>
    <w:uiPriority w:val="0"/>
    <w:rPr>
      <w:sz w:val="22"/>
      <w:szCs w:val="22"/>
    </w:rPr>
  </w:style>
  <w:style w:type="paragraph" w:customStyle="1" w:styleId="96">
    <w:name w:val="默认段落字体 Para Char"/>
    <w:basedOn w:val="1"/>
    <w:qFormat/>
    <w:uiPriority w:val="0"/>
    <w:pPr>
      <w:adjustRightInd w:val="0"/>
      <w:spacing w:line="360" w:lineRule="auto"/>
    </w:pPr>
    <w:rPr>
      <w:rFonts w:ascii="Times New Roman" w:hAnsi="Times New Roman" w:eastAsia="宋体" w:cs="Times New Roman"/>
      <w:b w:val="0"/>
      <w:bCs w:val="0"/>
      <w:color w:val="auto"/>
      <w:sz w:val="24"/>
      <w:szCs w:val="20"/>
    </w:rPr>
  </w:style>
  <w:style w:type="paragraph" w:customStyle="1" w:styleId="97">
    <w:name w:val="Char Char Char Char Char Char Char Char Char Char Char Char"/>
    <w:basedOn w:val="1"/>
    <w:qFormat/>
    <w:uiPriority w:val="0"/>
    <w:pPr>
      <w:spacing w:line="300" w:lineRule="auto"/>
    </w:pPr>
    <w:rPr>
      <w:rFonts w:ascii="宋体" w:eastAsia="宋体" w:cs="Times New Roman"/>
      <w:spacing w:val="8"/>
      <w:sz w:val="24"/>
      <w:szCs w:val="24"/>
    </w:rPr>
  </w:style>
  <w:style w:type="paragraph" w:customStyle="1" w:styleId="98">
    <w:name w:val="Char Char Char Char"/>
    <w:basedOn w:val="15"/>
    <w:qFormat/>
    <w:uiPriority w:val="0"/>
    <w:rPr>
      <w:rFonts w:ascii="Tahoma" w:hAnsi="Tahoma"/>
      <w:sz w:val="24"/>
    </w:rPr>
  </w:style>
  <w:style w:type="paragraph" w:customStyle="1" w:styleId="99">
    <w:name w:val="Char"/>
    <w:basedOn w:val="1"/>
    <w:qFormat/>
    <w:uiPriority w:val="0"/>
    <w:rPr>
      <w:rFonts w:hAnsi="Times New Roman" w:cs="Times New Roman"/>
      <w:bCs w:val="0"/>
      <w:color w:val="auto"/>
      <w:kern w:val="2"/>
      <w:sz w:val="32"/>
      <w:szCs w:val="32"/>
    </w:rPr>
  </w:style>
  <w:style w:type="paragraph" w:customStyle="1" w:styleId="100">
    <w:name w:val="Char2"/>
    <w:basedOn w:val="1"/>
    <w:qFormat/>
    <w:uiPriority w:val="0"/>
    <w:rPr>
      <w:b w:val="0"/>
      <w:sz w:val="32"/>
      <w:szCs w:val="32"/>
    </w:rPr>
  </w:style>
  <w:style w:type="paragraph" w:customStyle="1" w:styleId="101">
    <w:name w:val="默认段落字体 Para Char Char Char Char"/>
    <w:basedOn w:val="1"/>
    <w:qFormat/>
    <w:uiPriority w:val="0"/>
    <w:rPr>
      <w:rFonts w:ascii="Times New Roman" w:hAnsi="Times New Roman" w:eastAsia="宋体" w:cs="Times New Roman"/>
      <w:b w:val="0"/>
      <w:bCs w:val="0"/>
      <w:color w:val="auto"/>
      <w:kern w:val="2"/>
      <w:szCs w:val="24"/>
    </w:rPr>
  </w:style>
  <w:style w:type="paragraph" w:customStyle="1" w:styleId="102">
    <w:name w:val="样式1"/>
    <w:basedOn w:val="4"/>
    <w:qFormat/>
    <w:uiPriority w:val="0"/>
    <w:pPr>
      <w:numPr>
        <w:ilvl w:val="0"/>
        <w:numId w:val="0"/>
      </w:numPr>
      <w:tabs>
        <w:tab w:val="left" w:pos="2340"/>
        <w:tab w:val="left" w:pos="2700"/>
        <w:tab w:val="left" w:pos="2880"/>
        <w:tab w:val="left" w:pos="3060"/>
        <w:tab w:val="left" w:pos="3240"/>
        <w:tab w:val="left" w:pos="3420"/>
        <w:tab w:val="left" w:pos="3780"/>
      </w:tabs>
      <w:spacing w:before="120" w:afterLines="0" w:line="360" w:lineRule="auto"/>
    </w:pPr>
    <w:rPr>
      <w:rFonts w:eastAsia="Arial" w:cs="Times New Roman"/>
      <w:b/>
      <w:bCs/>
      <w:spacing w:val="0"/>
      <w:kern w:val="2"/>
    </w:rPr>
  </w:style>
  <w:style w:type="paragraph" w:customStyle="1" w:styleId="103">
    <w:name w:val="pa-2"/>
    <w:basedOn w:val="1"/>
    <w:qFormat/>
    <w:uiPriority w:val="0"/>
    <w:pPr>
      <w:widowControl/>
      <w:spacing w:line="240" w:lineRule="atLeast"/>
      <w:ind w:firstLine="440"/>
    </w:pPr>
    <w:rPr>
      <w:rFonts w:ascii="宋体" w:eastAsia="宋体"/>
      <w:b w:val="0"/>
      <w:bCs w:val="0"/>
      <w:color w:val="auto"/>
      <w:sz w:val="24"/>
      <w:szCs w:val="24"/>
    </w:rPr>
  </w:style>
  <w:style w:type="paragraph" w:customStyle="1" w:styleId="104">
    <w:name w:val="Char1"/>
    <w:basedOn w:val="1"/>
    <w:qFormat/>
    <w:uiPriority w:val="0"/>
    <w:pPr>
      <w:widowControl/>
      <w:spacing w:after="160" w:line="240" w:lineRule="exact"/>
      <w:jc w:val="left"/>
    </w:pPr>
    <w:rPr>
      <w:rFonts w:ascii="Verdana" w:hAnsi="Verdana" w:cs="Times New Roman"/>
      <w:b w:val="0"/>
      <w:bCs w:val="0"/>
      <w:color w:val="auto"/>
      <w:sz w:val="24"/>
      <w:szCs w:val="20"/>
      <w:lang w:eastAsia="en-US"/>
    </w:rPr>
  </w:style>
  <w:style w:type="paragraph" w:customStyle="1" w:styleId="105">
    <w:name w:val="Char1 Char Char Char"/>
    <w:basedOn w:val="1"/>
    <w:qFormat/>
    <w:uiPriority w:val="0"/>
    <w:rPr>
      <w:rFonts w:hAnsi="Times New Roman" w:cs="Times New Roman"/>
      <w:bCs w:val="0"/>
      <w:color w:val="auto"/>
      <w:kern w:val="2"/>
      <w:sz w:val="32"/>
      <w:szCs w:val="32"/>
    </w:rPr>
  </w:style>
  <w:style w:type="paragraph" w:customStyle="1" w:styleId="106">
    <w:name w:val="Body Text(ch)"/>
    <w:basedOn w:val="1"/>
    <w:next w:val="18"/>
    <w:qFormat/>
    <w:uiPriority w:val="0"/>
    <w:pPr>
      <w:spacing w:line="500" w:lineRule="exact"/>
      <w:jc w:val="center"/>
    </w:pPr>
    <w:rPr>
      <w:rFonts w:ascii="Times New Roman" w:hAnsi="Times New Roman" w:eastAsia="宋体" w:cs="Times New Roman"/>
      <w:b w:val="0"/>
      <w:bCs w:val="0"/>
      <w:color w:val="auto"/>
      <w:kern w:val="2"/>
      <w:szCs w:val="24"/>
    </w:rPr>
  </w:style>
  <w:style w:type="paragraph" w:customStyle="1" w:styleId="107">
    <w:name w:val="Char Char Char Char1"/>
    <w:basedOn w:val="1"/>
    <w:semiHidden/>
    <w:qFormat/>
    <w:uiPriority w:val="0"/>
    <w:pPr>
      <w:widowControl/>
      <w:spacing w:after="160" w:line="240" w:lineRule="exact"/>
      <w:jc w:val="left"/>
    </w:pPr>
    <w:rPr>
      <w:rFonts w:ascii="Verdana" w:hAnsi="Verdana" w:eastAsia="宋体" w:cs="Times New Roman"/>
      <w:b w:val="0"/>
      <w:bCs w:val="0"/>
      <w:color w:val="auto"/>
      <w:sz w:val="20"/>
      <w:szCs w:val="20"/>
      <w:lang w:eastAsia="en-US"/>
    </w:rPr>
  </w:style>
  <w:style w:type="paragraph" w:customStyle="1" w:styleId="108">
    <w:name w:val="VIT-Text"/>
    <w:basedOn w:val="1"/>
    <w:qFormat/>
    <w:uiPriority w:val="0"/>
    <w:pPr>
      <w:widowControl/>
      <w:tabs>
        <w:tab w:val="left" w:pos="709"/>
        <w:tab w:val="left" w:pos="3402"/>
        <w:tab w:val="left" w:pos="4536"/>
        <w:tab w:val="left" w:pos="5670"/>
        <w:tab w:val="decimal" w:pos="6804"/>
        <w:tab w:val="right" w:pos="9072"/>
      </w:tabs>
      <w:jc w:val="left"/>
    </w:pPr>
    <w:rPr>
      <w:rFonts w:ascii="Arial" w:hAnsi="Arial" w:eastAsia="PMingLiU" w:cs="Times New Roman"/>
      <w:b w:val="0"/>
      <w:bCs w:val="0"/>
      <w:color w:val="auto"/>
      <w:sz w:val="22"/>
      <w:szCs w:val="20"/>
      <w:lang w:val="de-DE" w:eastAsia="zh-TW"/>
    </w:rPr>
  </w:style>
  <w:style w:type="paragraph" w:customStyle="1" w:styleId="109">
    <w:name w:val="xl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宋体" w:cs="Times New Roman"/>
      <w:color w:val="auto"/>
      <w:sz w:val="28"/>
      <w:szCs w:val="28"/>
    </w:rPr>
  </w:style>
  <w:style w:type="paragraph" w:customStyle="1" w:styleId="110">
    <w:name w:val="Char Char1 Char Char Char Char Char Char Char Char Char Char"/>
    <w:basedOn w:val="1"/>
    <w:qFormat/>
    <w:uiPriority w:val="0"/>
    <w:rPr>
      <w:rFonts w:ascii="Tahoma" w:hAnsi="Tahoma"/>
      <w:sz w:val="24"/>
      <w:szCs w:val="20"/>
    </w:rPr>
  </w:style>
  <w:style w:type="paragraph" w:customStyle="1" w:styleId="111">
    <w:name w:val="小点说明"/>
    <w:basedOn w:val="1"/>
    <w:qFormat/>
    <w:uiPriority w:val="0"/>
    <w:pPr>
      <w:tabs>
        <w:tab w:val="left" w:pos="0"/>
      </w:tabs>
      <w:adjustRightInd w:val="0"/>
      <w:snapToGrid w:val="0"/>
      <w:spacing w:line="340" w:lineRule="atLeast"/>
    </w:pPr>
    <w:rPr>
      <w:rFonts w:ascii="宋体" w:eastAsia="宋体" w:cs="Times New Roman"/>
      <w:b w:val="0"/>
      <w:color w:val="auto"/>
      <w:szCs w:val="24"/>
      <w:lang w:val="eu-ES"/>
    </w:rPr>
  </w:style>
  <w:style w:type="paragraph" w:customStyle="1" w:styleId="112">
    <w:name w:val="Char Char7 Char"/>
    <w:basedOn w:val="1"/>
    <w:qFormat/>
    <w:uiPriority w:val="0"/>
    <w:pPr>
      <w:tabs>
        <w:tab w:val="left" w:pos="425"/>
      </w:tabs>
      <w:ind w:left="420" w:leftChars="200" w:firstLine="270" w:firstLineChars="150"/>
    </w:pPr>
    <w:rPr>
      <w:rFonts w:ascii="宋体" w:eastAsia="宋体" w:cs="Arial"/>
      <w:b w:val="0"/>
      <w:bCs w:val="0"/>
      <w:color w:val="5E5E5E"/>
    </w:rPr>
  </w:style>
  <w:style w:type="paragraph" w:customStyle="1" w:styleId="113">
    <w:name w:val="Char Char Char"/>
    <w:basedOn w:val="1"/>
    <w:qFormat/>
    <w:uiPriority w:val="0"/>
    <w:rPr>
      <w:rFonts w:ascii="Tahoma" w:hAnsi="Tahoma" w:eastAsia="宋体" w:cs="Times New Roman"/>
      <w:b w:val="0"/>
      <w:bCs w:val="0"/>
      <w:color w:val="auto"/>
      <w:kern w:val="2"/>
      <w:sz w:val="24"/>
      <w:szCs w:val="20"/>
    </w:rPr>
  </w:style>
  <w:style w:type="paragraph" w:customStyle="1" w:styleId="114">
    <w:name w:val="List Paragraph1"/>
    <w:basedOn w:val="1"/>
    <w:qFormat/>
    <w:uiPriority w:val="0"/>
    <w:pPr>
      <w:ind w:firstLine="420" w:firstLineChars="200"/>
    </w:pPr>
    <w:rPr>
      <w:rFonts w:cs="仿宋_GB2312"/>
    </w:rPr>
  </w:style>
  <w:style w:type="paragraph" w:customStyle="1" w:styleId="115">
    <w:name w:val="列出段落3"/>
    <w:basedOn w:val="1"/>
    <w:qFormat/>
    <w:uiPriority w:val="0"/>
    <w:pPr>
      <w:spacing w:line="360" w:lineRule="auto"/>
      <w:ind w:firstLine="420" w:firstLineChars="200"/>
    </w:pPr>
    <w:rPr>
      <w:rFonts w:ascii="Calibri" w:hAnsi="Calibri" w:eastAsia="宋体" w:cs="Times New Roman"/>
      <w:b w:val="0"/>
      <w:bCs w:val="0"/>
      <w:color w:val="auto"/>
      <w:kern w:val="2"/>
      <w:sz w:val="24"/>
      <w:szCs w:val="22"/>
    </w:rPr>
  </w:style>
  <w:style w:type="paragraph" w:customStyle="1" w:styleId="116">
    <w:name w:val="默认段落字体 Para Char Char Char Char Char Char Char Char Char1 Char Char Char Char Char Char Char"/>
    <w:basedOn w:val="15"/>
    <w:qFormat/>
    <w:uiPriority w:val="0"/>
    <w:rPr>
      <w:rFonts w:ascii="Tahoma" w:hAnsi="Tahoma"/>
      <w:sz w:val="24"/>
    </w:rPr>
  </w:style>
  <w:style w:type="paragraph" w:customStyle="1" w:styleId="117">
    <w:name w:val="Char Char Char Char Char Char Char"/>
    <w:basedOn w:val="1"/>
    <w:qFormat/>
    <w:uiPriority w:val="0"/>
    <w:pPr>
      <w:tabs>
        <w:tab w:val="left" w:pos="432"/>
      </w:tabs>
      <w:ind w:left="432" w:hanging="432"/>
    </w:pPr>
    <w:rPr>
      <w:rFonts w:ascii="Tahoma" w:hAnsi="Tahoma" w:eastAsia="宋体" w:cs="Times New Roman"/>
      <w:b w:val="0"/>
      <w:bCs w:val="0"/>
      <w:color w:val="auto"/>
      <w:kern w:val="2"/>
      <w:sz w:val="24"/>
      <w:szCs w:val="20"/>
    </w:rPr>
  </w:style>
  <w:style w:type="paragraph" w:customStyle="1" w:styleId="118">
    <w:name w:val="[Normal]"/>
    <w:qFormat/>
    <w:uiPriority w:val="99"/>
    <w:rPr>
      <w:rFonts w:ascii="宋体" w:hAnsi="宋体" w:eastAsia="宋体" w:cs="Times New Roman"/>
      <w:sz w:val="24"/>
      <w:szCs w:val="22"/>
      <w:lang w:val="zh-CN" w:eastAsia="zh-CN" w:bidi="ar-SA"/>
    </w:rPr>
  </w:style>
  <w:style w:type="paragraph" w:customStyle="1" w:styleId="119">
    <w:name w:val="标题5"/>
    <w:basedOn w:val="1"/>
    <w:qFormat/>
    <w:uiPriority w:val="0"/>
    <w:pPr>
      <w:adjustRightInd w:val="0"/>
      <w:snapToGrid w:val="0"/>
      <w:spacing w:line="310" w:lineRule="atLeast"/>
      <w:ind w:firstLine="425"/>
    </w:pPr>
    <w:rPr>
      <w:rFonts w:ascii="Arial" w:hAnsi="Arial" w:eastAsia="黑体" w:cs="Times New Roman"/>
      <w:b w:val="0"/>
      <w:bCs w:val="0"/>
      <w:color w:val="auto"/>
      <w:kern w:val="2"/>
      <w:szCs w:val="20"/>
    </w:rPr>
  </w:style>
  <w:style w:type="paragraph" w:customStyle="1" w:styleId="120">
    <w:name w:val="Numbered list 2.3"/>
    <w:basedOn w:val="5"/>
    <w:next w:val="1"/>
    <w:qFormat/>
    <w:uiPriority w:val="0"/>
    <w:pPr>
      <w:keepLines w:val="0"/>
      <w:widowControl/>
      <w:numPr>
        <w:ilvl w:val="0"/>
        <w:numId w:val="0"/>
      </w:numPr>
      <w:tabs>
        <w:tab w:val="left" w:pos="360"/>
        <w:tab w:val="left" w:pos="705"/>
        <w:tab w:val="left" w:pos="1080"/>
        <w:tab w:val="clear" w:pos="720"/>
      </w:tabs>
      <w:spacing w:before="240" w:afterLines="0" w:line="240" w:lineRule="auto"/>
      <w:ind w:left="720" w:hanging="720"/>
      <w:jc w:val="left"/>
    </w:pPr>
    <w:rPr>
      <w:rFonts w:eastAsia="宋体" w:cs="Times New Roman"/>
      <w:bCs/>
      <w:iCs/>
      <w:color w:val="auto"/>
      <w:spacing w:val="0"/>
      <w:sz w:val="28"/>
      <w:szCs w:val="24"/>
    </w:rPr>
  </w:style>
  <w:style w:type="paragraph" w:customStyle="1" w:styleId="121">
    <w:name w:val="表格正文"/>
    <w:basedOn w:val="1"/>
    <w:qFormat/>
    <w:uiPriority w:val="0"/>
    <w:pPr>
      <w:adjustRightInd w:val="0"/>
      <w:snapToGrid w:val="0"/>
      <w:spacing w:before="60" w:after="60"/>
      <w:jc w:val="center"/>
      <w:textAlignment w:val="baseline"/>
    </w:pPr>
    <w:rPr>
      <w:rFonts w:ascii="Times New Roman" w:hAnsi="Times New Roman" w:eastAsia="宋体" w:cs="Times New Roman"/>
      <w:b w:val="0"/>
      <w:bCs w:val="0"/>
      <w:color w:val="auto"/>
      <w:sz w:val="24"/>
      <w:szCs w:val="20"/>
    </w:rPr>
  </w:style>
  <w:style w:type="paragraph" w:customStyle="1" w:styleId="122">
    <w:name w:val="样式 宋体 小四 首行缩进:  0.93 厘米 段前: 11.15 磅 段后: 11.15 磅1"/>
    <w:basedOn w:val="1"/>
    <w:qFormat/>
    <w:uiPriority w:val="0"/>
    <w:pPr>
      <w:adjustRightInd w:val="0"/>
      <w:snapToGrid w:val="0"/>
      <w:ind w:left="200" w:leftChars="200"/>
    </w:pPr>
    <w:rPr>
      <w:rFonts w:ascii="宋体" w:hAnsi="Times New Roman" w:eastAsia="宋体" w:cs="Times New Roman"/>
      <w:b w:val="0"/>
      <w:bCs w:val="0"/>
      <w:color w:val="auto"/>
      <w:kern w:val="2"/>
      <w:sz w:val="24"/>
      <w:szCs w:val="20"/>
    </w:rPr>
  </w:style>
  <w:style w:type="paragraph" w:customStyle="1" w:styleId="123">
    <w:name w:val="Char Char1 Char Char Char Char Char Char"/>
    <w:basedOn w:val="1"/>
    <w:qFormat/>
    <w:uiPriority w:val="0"/>
    <w:pPr>
      <w:widowControl/>
      <w:spacing w:after="160" w:line="240" w:lineRule="exact"/>
      <w:jc w:val="left"/>
    </w:pPr>
    <w:rPr>
      <w:rFonts w:ascii="Verdana" w:hAnsi="Verdana" w:cs="Times New Roman"/>
      <w:b w:val="0"/>
      <w:bCs w:val="0"/>
      <w:color w:val="auto"/>
      <w:sz w:val="24"/>
      <w:szCs w:val="20"/>
      <w:lang w:eastAsia="en-US"/>
    </w:rPr>
  </w:style>
  <w:style w:type="paragraph" w:customStyle="1" w:styleId="124">
    <w:name w:val="Char3"/>
    <w:basedOn w:val="1"/>
    <w:qFormat/>
    <w:uiPriority w:val="0"/>
    <w:rPr>
      <w:rFonts w:ascii="Times New Roman" w:hAnsi="Times New Roman" w:eastAsia="宋体" w:cs="Times New Roman"/>
      <w:b w:val="0"/>
      <w:bCs w:val="0"/>
      <w:color w:val="auto"/>
      <w:kern w:val="2"/>
      <w:szCs w:val="20"/>
    </w:rPr>
  </w:style>
  <w:style w:type="paragraph" w:customStyle="1" w:styleId="125">
    <w:name w:val="style31"/>
    <w:basedOn w:val="1"/>
    <w:qFormat/>
    <w:uiPriority w:val="0"/>
    <w:pPr>
      <w:widowControl/>
      <w:spacing w:before="100" w:beforeAutospacing="1" w:after="100" w:afterAutospacing="1"/>
      <w:jc w:val="left"/>
    </w:pPr>
    <w:rPr>
      <w:rFonts w:ascii="宋体" w:eastAsia="宋体"/>
      <w:b w:val="0"/>
      <w:bCs w:val="0"/>
      <w:color w:val="auto"/>
      <w:sz w:val="24"/>
      <w:szCs w:val="24"/>
    </w:rPr>
  </w:style>
  <w:style w:type="paragraph" w:customStyle="1" w:styleId="126">
    <w:name w:val="正文段"/>
    <w:basedOn w:val="1"/>
    <w:qFormat/>
    <w:uiPriority w:val="0"/>
    <w:pPr>
      <w:widowControl/>
      <w:snapToGrid w:val="0"/>
      <w:spacing w:afterLines="50"/>
      <w:ind w:firstLine="200" w:firstLineChars="200"/>
    </w:pPr>
    <w:rPr>
      <w:rFonts w:ascii="Times New Roman" w:hAnsi="Times New Roman" w:eastAsia="宋体" w:cs="Times New Roman"/>
      <w:b w:val="0"/>
      <w:bCs w:val="0"/>
      <w:color w:val="auto"/>
      <w:sz w:val="24"/>
      <w:szCs w:val="20"/>
    </w:rPr>
  </w:style>
  <w:style w:type="paragraph" w:customStyle="1" w:styleId="127">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cs="Times New Roman"/>
      <w:b w:val="0"/>
      <w:bCs w:val="0"/>
      <w:color w:val="auto"/>
      <w:sz w:val="24"/>
      <w:szCs w:val="24"/>
    </w:rPr>
  </w:style>
  <w:style w:type="paragraph" w:styleId="128">
    <w:name w:val="List Paragraph"/>
    <w:basedOn w:val="1"/>
    <w:qFormat/>
    <w:uiPriority w:val="34"/>
    <w:pPr>
      <w:ind w:firstLine="420" w:firstLineChars="200"/>
    </w:pPr>
    <w:rPr>
      <w:rFonts w:ascii="Calibri" w:hAnsi="Calibri" w:eastAsia="宋体" w:cs="Times New Roman"/>
      <w:b w:val="0"/>
      <w:bCs w:val="0"/>
      <w:color w:val="auto"/>
      <w:kern w:val="2"/>
      <w:szCs w:val="22"/>
    </w:rPr>
  </w:style>
  <w:style w:type="paragraph" w:customStyle="1" w:styleId="129">
    <w:name w:val="正文－恩普"/>
    <w:basedOn w:val="9"/>
    <w:qFormat/>
    <w:uiPriority w:val="0"/>
    <w:pPr>
      <w:widowControl/>
      <w:spacing w:before="100" w:beforeAutospacing="1" w:afterLines="50" w:afterAutospacing="1" w:line="360" w:lineRule="auto"/>
      <w:ind w:firstLine="480"/>
      <w:jc w:val="left"/>
    </w:pPr>
    <w:rPr>
      <w:sz w:val="24"/>
      <w:szCs w:val="20"/>
    </w:rPr>
  </w:style>
  <w:style w:type="paragraph" w:customStyle="1" w:styleId="130">
    <w:name w:val="Char1 Char Char Char Char Char"/>
    <w:basedOn w:val="1"/>
    <w:qFormat/>
    <w:uiPriority w:val="0"/>
    <w:rPr>
      <w:rFonts w:ascii="Times New Roman" w:hAnsi="Times New Roman" w:eastAsia="宋体" w:cs="Times New Roman"/>
      <w:b w:val="0"/>
      <w:bCs w:val="0"/>
      <w:color w:val="auto"/>
      <w:kern w:val="2"/>
      <w:szCs w:val="24"/>
    </w:rPr>
  </w:style>
  <w:style w:type="paragraph" w:customStyle="1" w:styleId="131">
    <w:name w:val="Char Char Char1"/>
    <w:basedOn w:val="15"/>
    <w:qFormat/>
    <w:uiPriority w:val="0"/>
    <w:rPr>
      <w:rFonts w:ascii="Tahoma" w:hAnsi="Tahoma"/>
      <w:sz w:val="24"/>
    </w:rPr>
  </w:style>
  <w:style w:type="paragraph" w:customStyle="1" w:styleId="132">
    <w:name w:val="Char1 Char Char Char Char Char Char"/>
    <w:basedOn w:val="1"/>
    <w:qFormat/>
    <w:uiPriority w:val="0"/>
    <w:rPr>
      <w:rFonts w:ascii="Tahoma" w:hAnsi="Tahoma" w:eastAsia="宋体" w:cs="Times New Roman"/>
      <w:b w:val="0"/>
      <w:bCs w:val="0"/>
      <w:color w:val="auto"/>
      <w:kern w:val="2"/>
      <w:sz w:val="24"/>
      <w:szCs w:val="20"/>
    </w:rPr>
  </w:style>
  <w:style w:type="paragraph" w:customStyle="1" w:styleId="133">
    <w:name w:val="正文－5"/>
    <w:qFormat/>
    <w:uiPriority w:val="0"/>
    <w:pPr>
      <w:widowControl w:val="0"/>
      <w:jc w:val="both"/>
    </w:pPr>
    <w:rPr>
      <w:rFonts w:ascii="宋体" w:hAnsi="宋体" w:eastAsia="宋体" w:cs="Times New Roman"/>
      <w:kern w:val="2"/>
      <w:sz w:val="24"/>
      <w:szCs w:val="24"/>
      <w:lang w:val="en-US" w:eastAsia="zh-CN" w:bidi="ar-SA"/>
    </w:rPr>
  </w:style>
  <w:style w:type="paragraph" w:customStyle="1" w:styleId="134">
    <w:name w:val="表内文字"/>
    <w:basedOn w:val="1"/>
    <w:qFormat/>
    <w:uiPriority w:val="0"/>
    <w:pPr>
      <w:spacing w:line="500" w:lineRule="atLeast"/>
      <w:jc w:val="center"/>
    </w:pPr>
    <w:rPr>
      <w:rFonts w:ascii="Arial" w:hAnsi="Arial" w:eastAsia="楷体_GB2312" w:cs="Arial"/>
      <w:b w:val="0"/>
      <w:bCs w:val="0"/>
      <w:color w:val="auto"/>
      <w:kern w:val="2"/>
      <w:sz w:val="28"/>
      <w:szCs w:val="24"/>
    </w:rPr>
  </w:style>
  <w:style w:type="paragraph" w:customStyle="1" w:styleId="135">
    <w:name w:val="Table Paragraph"/>
    <w:basedOn w:val="1"/>
    <w:qFormat/>
    <w:uiPriority w:val="1"/>
    <w:pPr>
      <w:widowControl/>
      <w:autoSpaceDE w:val="0"/>
      <w:autoSpaceDN w:val="0"/>
      <w:spacing w:line="360" w:lineRule="auto"/>
      <w:jc w:val="left"/>
    </w:pPr>
    <w:rPr>
      <w:rFonts w:ascii="宋体" w:eastAsia="宋体"/>
      <w:b w:val="0"/>
      <w:bCs w:val="0"/>
      <w:color w:val="auto"/>
      <w:sz w:val="22"/>
      <w:szCs w:val="22"/>
      <w:lang w:val="zh-CN" w:bidi="zh-CN"/>
    </w:rPr>
  </w:style>
  <w:style w:type="character" w:customStyle="1" w:styleId="136">
    <w:name w:val="标题 4 Char1"/>
    <w:qFormat/>
    <w:uiPriority w:val="0"/>
    <w:rPr>
      <w:rFonts w:ascii="Arial" w:hAnsi="Arial" w:eastAsia="黑体"/>
      <w:b/>
      <w:bCs/>
      <w:kern w:val="2"/>
      <w:sz w:val="28"/>
      <w:szCs w:val="28"/>
      <w:lang w:val="en-US" w:eastAsia="zh-CN" w:bidi="ar-SA"/>
    </w:rPr>
  </w:style>
  <w:style w:type="paragraph" w:customStyle="1" w:styleId="137">
    <w:name w:val="正文缩进1"/>
    <w:basedOn w:val="1"/>
    <w:qFormat/>
    <w:uiPriority w:val="0"/>
    <w:pPr>
      <w:spacing w:line="360" w:lineRule="auto"/>
      <w:ind w:firstLine="454"/>
      <w:jc w:val="left"/>
    </w:pPr>
    <w:rPr>
      <w:rFonts w:ascii="Times New Roman" w:hAnsi="Times New Roman" w:eastAsia="宋体" w:cs="Times New Roman"/>
      <w:b w:val="0"/>
      <w:bCs w:val="0"/>
      <w:color w:val="auto"/>
      <w:kern w:val="2"/>
      <w:sz w:val="24"/>
      <w:szCs w:val="24"/>
    </w:rPr>
  </w:style>
  <w:style w:type="character" w:customStyle="1" w:styleId="138">
    <w:name w:val="skancount"/>
    <w:basedOn w:val="46"/>
    <w:qFormat/>
    <w:uiPriority w:val="0"/>
  </w:style>
  <w:style w:type="character" w:customStyle="1" w:styleId="139">
    <w:name w:val="bookmark-item"/>
    <w:basedOn w:val="46"/>
    <w:qFormat/>
    <w:uiPriority w:val="0"/>
  </w:style>
  <w:style w:type="paragraph" w:customStyle="1" w:styleId="140">
    <w:name w:val="列出段落1"/>
    <w:basedOn w:val="1"/>
    <w:qFormat/>
    <w:uiPriority w:val="0"/>
    <w:pPr>
      <w:ind w:firstLine="420" w:firstLineChars="200"/>
    </w:pPr>
    <w:rPr>
      <w:rFonts w:ascii="Times New Roman" w:hAnsi="Times New Roman" w:eastAsia="宋体" w:cs="Times New Roman"/>
      <w:b w:val="0"/>
      <w:bCs w:val="0"/>
      <w:color w:val="auto"/>
      <w:kern w:val="2"/>
      <w:sz w:val="36"/>
      <w:szCs w:val="20"/>
    </w:rPr>
  </w:style>
  <w:style w:type="character" w:customStyle="1" w:styleId="141">
    <w:name w:val="脚注文本 Char"/>
    <w:basedOn w:val="46"/>
    <w:link w:val="36"/>
    <w:qFormat/>
    <w:uiPriority w:val="0"/>
    <w:rPr>
      <w:kern w:val="2"/>
      <w:sz w:val="18"/>
      <w:szCs w:val="24"/>
    </w:rPr>
  </w:style>
  <w:style w:type="character" w:customStyle="1" w:styleId="142">
    <w:name w:val="正文文本缩进 3 Char"/>
    <w:basedOn w:val="46"/>
    <w:link w:val="37"/>
    <w:qFormat/>
    <w:uiPriority w:val="0"/>
    <w:rPr>
      <w:rFonts w:ascii="仿宋_GB2312" w:hAnsi="宋体" w:eastAsia="仿宋_GB2312" w:cs="宋体"/>
      <w:b/>
      <w:bCs/>
      <w:color w:val="000000"/>
      <w:sz w:val="16"/>
      <w:szCs w:val="16"/>
    </w:rPr>
  </w:style>
  <w:style w:type="character" w:customStyle="1" w:styleId="143">
    <w:name w:val="无"/>
    <w:qFormat/>
    <w:uiPriority w:val="0"/>
  </w:style>
  <w:style w:type="paragraph" w:customStyle="1" w:styleId="144">
    <w:name w:val="正文文本首行缩进1"/>
    <w:basedOn w:val="18"/>
    <w:qFormat/>
    <w:uiPriority w:val="0"/>
    <w:pPr>
      <w:spacing w:after="0" w:line="360" w:lineRule="auto"/>
      <w:ind w:firstLine="200" w:firstLineChars="200"/>
    </w:pPr>
    <w:rPr>
      <w:rFonts w:ascii="宋体" w:hAnsi="宋体"/>
      <w:bCs/>
      <w:sz w:val="24"/>
      <w:szCs w:val="21"/>
    </w:rPr>
  </w:style>
  <w:style w:type="paragraph" w:customStyle="1" w:styleId="145">
    <w:name w:val="列表段落1"/>
    <w:basedOn w:val="1"/>
    <w:qFormat/>
    <w:uiPriority w:val="0"/>
    <w:pPr>
      <w:ind w:firstLine="420" w:firstLineChars="200"/>
    </w:pPr>
    <w:rPr>
      <w:rFonts w:asciiTheme="minorHAnsi" w:hAnsiTheme="minorHAnsi" w:eastAsiaTheme="minorEastAsia" w:cstheme="minorBidi"/>
      <w:b w:val="0"/>
      <w:bCs w:val="0"/>
      <w:color w:val="auto"/>
      <w:kern w:val="2"/>
      <w:sz w:val="24"/>
      <w:szCs w:val="24"/>
    </w:rPr>
  </w:style>
  <w:style w:type="paragraph" w:customStyle="1" w:styleId="146">
    <w:name w:val="DAS正文"/>
    <w:basedOn w:val="1"/>
    <w:qFormat/>
    <w:uiPriority w:val="0"/>
    <w:pPr>
      <w:tabs>
        <w:tab w:val="left" w:pos="1200"/>
      </w:tabs>
      <w:spacing w:line="360" w:lineRule="exact"/>
      <w:ind w:left="-17" w:leftChars="-8" w:right="181" w:firstLine="632" w:firstLineChars="300"/>
    </w:pPr>
    <w:rPr>
      <w:rFonts w:ascii="Verdana" w:hAnsi="Verdana" w:eastAsia="宋体" w:cs="Times New Roman"/>
      <w:color w:val="auto"/>
      <w:kern w:val="2"/>
    </w:rPr>
  </w:style>
  <w:style w:type="character" w:customStyle="1" w:styleId="147">
    <w:name w:val="bold1"/>
    <w:basedOn w:val="46"/>
    <w:qFormat/>
    <w:uiPriority w:val="0"/>
    <w:rPr>
      <w:b/>
      <w:bCs/>
    </w:rPr>
  </w:style>
  <w:style w:type="paragraph" w:customStyle="1" w:styleId="148">
    <w:name w:val="缩进正文"/>
    <w:basedOn w:val="1"/>
    <w:qFormat/>
    <w:uiPriority w:val="0"/>
    <w:pPr>
      <w:ind w:firstLine="200" w:firstLineChars="200"/>
    </w:pPr>
  </w:style>
  <w:style w:type="character" w:customStyle="1" w:styleId="149">
    <w:name w:val="font31"/>
    <w:basedOn w:val="46"/>
    <w:qFormat/>
    <w:uiPriority w:val="0"/>
    <w:rPr>
      <w:rFonts w:hint="eastAsia" w:ascii="宋体" w:hAnsi="宋体" w:eastAsia="宋体" w:cs="宋体"/>
      <w:color w:val="000000"/>
      <w:sz w:val="21"/>
      <w:szCs w:val="21"/>
      <w:u w:val="none"/>
    </w:rPr>
  </w:style>
  <w:style w:type="character" w:customStyle="1" w:styleId="150">
    <w:name w:val="font01"/>
    <w:basedOn w:val="46"/>
    <w:qFormat/>
    <w:uiPriority w:val="0"/>
    <w:rPr>
      <w:rFonts w:hint="eastAsia" w:ascii="宋体" w:hAnsi="宋体" w:eastAsia="宋体" w:cs="宋体"/>
      <w:b/>
      <w:bCs/>
      <w:color w:val="000000"/>
      <w:sz w:val="22"/>
      <w:szCs w:val="22"/>
      <w:u w:val="none"/>
    </w:rPr>
  </w:style>
  <w:style w:type="paragraph" w:customStyle="1" w:styleId="151">
    <w:name w:val="表格文字"/>
    <w:basedOn w:val="26"/>
    <w:qFormat/>
    <w:uiPriority w:val="0"/>
    <w:pPr>
      <w:adjustRightInd w:val="0"/>
      <w:spacing w:line="420" w:lineRule="atLeast"/>
      <w:jc w:val="left"/>
      <w:textAlignment w:val="baseline"/>
    </w:pPr>
    <w:rPr>
      <w:rFonts w:ascii="Times New Roman" w:hAnsi="Times New Roman" w:eastAsia="宋体" w:cs="Times New Roman"/>
      <w:szCs w:val="24"/>
    </w:rPr>
  </w:style>
  <w:style w:type="paragraph" w:customStyle="1" w:styleId="152">
    <w:name w:val="Default"/>
    <w:next w:val="153"/>
    <w:qFormat/>
    <w:uiPriority w:val="99"/>
    <w:pPr>
      <w:widowControl w:val="0"/>
      <w:autoSpaceDE w:val="0"/>
      <w:autoSpaceDN w:val="0"/>
      <w:adjustRightInd w:val="0"/>
    </w:pPr>
    <w:rPr>
      <w:rFonts w:ascii="仿宋_GB2312" w:hAnsi="新宋体" w:eastAsia="仿宋_GB2312" w:cs="仿宋_GB2312"/>
      <w:color w:val="000000"/>
      <w:sz w:val="24"/>
      <w:szCs w:val="24"/>
      <w:lang w:val="en-US" w:eastAsia="zh-CN" w:bidi="ar-SA"/>
    </w:rPr>
  </w:style>
  <w:style w:type="paragraph" w:customStyle="1" w:styleId="153">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154">
    <w:name w:val="font21"/>
    <w:basedOn w:val="46"/>
    <w:qFormat/>
    <w:uiPriority w:val="0"/>
    <w:rPr>
      <w:rFonts w:hint="eastAsia" w:ascii="微软雅黑" w:hAnsi="微软雅黑" w:eastAsia="微软雅黑" w:cs="微软雅黑"/>
      <w:color w:val="000000"/>
      <w:sz w:val="20"/>
      <w:szCs w:val="20"/>
      <w:u w:val="none"/>
    </w:rPr>
  </w:style>
  <w:style w:type="paragraph" w:customStyle="1" w:styleId="155">
    <w:name w:val="正文_2"/>
    <w:basedOn w:val="156"/>
    <w:qFormat/>
    <w:uiPriority w:val="0"/>
    <w:rPr>
      <w:rFonts w:ascii="Calibri" w:hAnsi="Calibri" w:cs="Calibri"/>
      <w:szCs w:val="21"/>
    </w:rPr>
  </w:style>
  <w:style w:type="paragraph" w:customStyle="1" w:styleId="156">
    <w:name w:val="正文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7">
    <w:name w:val="正文 New"/>
    <w:qFormat/>
    <w:uiPriority w:val="0"/>
    <w:pPr>
      <w:widowControl w:val="0"/>
      <w:jc w:val="both"/>
    </w:pPr>
    <w:rPr>
      <w:rFonts w:ascii="Times New Roman" w:hAnsi="Times New Roman" w:eastAsia="宋体" w:cs="黑体"/>
      <w:kern w:val="2"/>
      <w:sz w:val="21"/>
      <w:szCs w:val="22"/>
      <w:lang w:val="en-US" w:eastAsia="zh-CN" w:bidi="ar-SA"/>
    </w:rPr>
  </w:style>
  <w:style w:type="paragraph" w:customStyle="1" w:styleId="158">
    <w:name w:val="l正文"/>
    <w:basedOn w:val="1"/>
    <w:qFormat/>
    <w:uiPriority w:val="0"/>
    <w:pPr>
      <w:spacing w:line="300" w:lineRule="auto"/>
      <w:ind w:firstLine="200" w:firstLineChars="200"/>
      <w:jc w:val="left"/>
    </w:pPr>
    <w:rPr>
      <w:rFonts w:ascii="楷体_GB2312" w:hAnsi="Times" w:eastAsia="楷体_GB2312" w:cs="等线"/>
      <w:sz w:val="24"/>
      <w:szCs w:val="24"/>
    </w:rPr>
  </w:style>
  <w:style w:type="paragraph" w:customStyle="1" w:styleId="159">
    <w:name w:val="正文1"/>
    <w:basedOn w:val="1"/>
    <w:qFormat/>
    <w:uiPriority w:val="0"/>
    <w:pPr>
      <w:spacing w:line="480" w:lineRule="exact"/>
      <w:jc w:val="both"/>
    </w:pPr>
    <w:rPr>
      <w:rFonts w:hAnsi="Tahoma"/>
      <w:kern w:val="2"/>
      <w:szCs w:val="28"/>
    </w:rPr>
  </w:style>
  <w:style w:type="paragraph" w:customStyle="1" w:styleId="160">
    <w:name w:val="**正文"/>
    <w:basedOn w:val="1"/>
    <w:qFormat/>
    <w:uiPriority w:val="99"/>
    <w:pPr>
      <w:adjustRightInd/>
      <w:ind w:firstLine="480" w:firstLineChars="200"/>
    </w:pPr>
    <w:rPr>
      <w:rFonts w:ascii="Calibri" w:hAnsi="Calibri" w:eastAsia="仿宋_GB2312" w:cs="Times New Roman"/>
      <w:sz w:val="24"/>
      <w:szCs w:val="32"/>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header" Target="header6.xml"/><Relationship Id="rId14" Type="http://schemas.openxmlformats.org/officeDocument/2006/relationships/header" Target="header5.xml"/><Relationship Id="rId13" Type="http://schemas.openxmlformats.org/officeDocument/2006/relationships/footer" Target="footer7.xml"/><Relationship Id="rId12" Type="http://schemas.openxmlformats.org/officeDocument/2006/relationships/header" Target="header4.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tuxin</Company>
  <Pages>62</Pages>
  <Words>7028</Words>
  <Characters>7593</Characters>
  <Lines>45</Lines>
  <Paragraphs>61</Paragraphs>
  <TotalTime>10</TotalTime>
  <ScaleCrop>false</ScaleCrop>
  <LinksUpToDate>false</LinksUpToDate>
  <CharactersWithSpaces>7959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2021-03-05T01:48:00Z</dcterms:created>
  <dc:creator>微软用户</dc:creator>
  <cp:lastModifiedBy>cici</cp:lastModifiedBy>
  <cp:lastPrinted>2025-02-14T02:51:00Z</cp:lastPrinted>
  <dcterms:modified xsi:type="dcterms:W3CDTF">2025-03-28T03:23:10Z</dcterms:modified>
  <dc:title>玉 环 县 政 府 采 购 中 心</dc:title>
  <cp:revision>69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98C77F6C4AA249C3B0DCB25FDBA41EE4_13</vt:lpwstr>
  </property>
  <property fmtid="{D5CDD505-2E9C-101B-9397-08002B2CF9AE}" pid="4" name="KSOTemplateDocerSaveRecord">
    <vt:lpwstr>eyJoZGlkIjoiNTQ1YjNkMTZlOWM2MTdjMjI3ZDQyMDcwMzJhMTRmODkiLCJ1c2VySWQiOiIzNjM5Mzk4OTQifQ==</vt:lpwstr>
  </property>
</Properties>
</file>