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3"/>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5922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6" w:hRule="atLeast"/>
        </w:trPr>
        <w:tc>
          <w:tcPr>
            <w:tcW w:w="9030" w:type="dxa"/>
          </w:tcPr>
          <w:p w14:paraId="0503E4D6">
            <w:pPr>
              <w:pStyle w:val="83"/>
              <w:rPr>
                <w:rFonts w:cs="宋体"/>
                <w:color w:val="auto"/>
                <w:highlight w:val="none"/>
              </w:rPr>
            </w:pPr>
          </w:p>
          <w:p w14:paraId="08A27E15">
            <w:pPr>
              <w:autoSpaceDE w:val="0"/>
              <w:autoSpaceDN w:val="0"/>
              <w:adjustRightInd w:val="0"/>
              <w:snapToGrid w:val="0"/>
              <w:spacing w:line="500" w:lineRule="atLeast"/>
              <w:jc w:val="center"/>
              <w:rPr>
                <w:rFonts w:ascii="宋体" w:hAnsi="宋体" w:cs="宋体"/>
                <w:color w:val="auto"/>
                <w:sz w:val="32"/>
                <w:szCs w:val="32"/>
                <w:highlight w:val="none"/>
                <w:lang w:val="zh-CN"/>
              </w:rPr>
            </w:pPr>
          </w:p>
          <w:p w14:paraId="21BEC5FA">
            <w:pPr>
              <w:spacing w:line="48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永 嘉 县 政 府 采 购</w:t>
            </w:r>
          </w:p>
          <w:p w14:paraId="7AB68D3E">
            <w:pPr>
              <w:spacing w:line="48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招 标 文 件</w:t>
            </w:r>
          </w:p>
          <w:p w14:paraId="2D4A1B89">
            <w:pPr>
              <w:spacing w:line="460" w:lineRule="atLeast"/>
              <w:ind w:left="2846" w:leftChars="710" w:hanging="1355" w:hangingChars="450"/>
              <w:rPr>
                <w:rFonts w:ascii="宋体" w:hAnsi="宋体" w:cs="宋体"/>
                <w:b/>
                <w:color w:val="auto"/>
                <w:sz w:val="30"/>
                <w:szCs w:val="30"/>
                <w:highlight w:val="none"/>
              </w:rPr>
            </w:pPr>
          </w:p>
          <w:p w14:paraId="11EE4027">
            <w:pPr>
              <w:pStyle w:val="41"/>
              <w:ind w:firstLine="210"/>
              <w:rPr>
                <w:rFonts w:ascii="宋体" w:hAnsi="宋体" w:cs="宋体"/>
                <w:color w:val="auto"/>
                <w:highlight w:val="none"/>
              </w:rPr>
            </w:pPr>
          </w:p>
          <w:p w14:paraId="779F03D5">
            <w:pPr>
              <w:pStyle w:val="41"/>
              <w:ind w:firstLine="210"/>
              <w:rPr>
                <w:rFonts w:ascii="宋体" w:hAnsi="宋体" w:cs="宋体"/>
                <w:color w:val="auto"/>
                <w:highlight w:val="none"/>
              </w:rPr>
            </w:pPr>
          </w:p>
          <w:p w14:paraId="612746E7">
            <w:pPr>
              <w:pStyle w:val="41"/>
              <w:ind w:firstLine="210"/>
              <w:rPr>
                <w:rFonts w:ascii="宋体" w:hAnsi="宋体" w:cs="宋体"/>
                <w:color w:val="auto"/>
                <w:highlight w:val="none"/>
              </w:rPr>
            </w:pPr>
          </w:p>
          <w:p w14:paraId="61198A66">
            <w:pPr>
              <w:spacing w:line="460" w:lineRule="atLeast"/>
              <w:ind w:left="3565" w:leftChars="726" w:hanging="2040" w:hangingChars="68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ZGCG-20250121-1</w:t>
            </w:r>
          </w:p>
          <w:p w14:paraId="5485F486">
            <w:pPr>
              <w:spacing w:line="460" w:lineRule="atLeast"/>
              <w:ind w:left="3565" w:leftChars="726" w:hanging="2040" w:hangingChars="680"/>
              <w:rPr>
                <w:rFonts w:ascii="宋体" w:hAnsi="宋体" w:cs="宋体"/>
                <w:color w:val="auto"/>
                <w:sz w:val="30"/>
                <w:szCs w:val="30"/>
                <w:highlight w:val="none"/>
              </w:rPr>
            </w:pPr>
            <w:r>
              <w:rPr>
                <w:rFonts w:hint="eastAsia" w:ascii="宋体" w:hAnsi="宋体" w:cs="宋体"/>
                <w:color w:val="auto"/>
                <w:sz w:val="30"/>
                <w:szCs w:val="30"/>
                <w:highlight w:val="none"/>
              </w:rPr>
              <w:t>项目名称：强脉冲光治疗仪（光子嫩肤治疗仪）采购</w:t>
            </w:r>
          </w:p>
          <w:p w14:paraId="41782C09">
            <w:pPr>
              <w:spacing w:line="500" w:lineRule="atLeast"/>
              <w:ind w:left="3565" w:leftChars="726" w:hanging="2040" w:hangingChars="680"/>
              <w:rPr>
                <w:rFonts w:ascii="宋体" w:hAnsi="宋体" w:cs="宋体"/>
                <w:color w:val="auto"/>
                <w:sz w:val="30"/>
                <w:szCs w:val="30"/>
                <w:highlight w:val="none"/>
              </w:rPr>
            </w:pPr>
            <w:r>
              <w:rPr>
                <w:rFonts w:hint="eastAsia" w:ascii="宋体" w:hAnsi="宋体" w:cs="宋体"/>
                <w:color w:val="auto"/>
                <w:sz w:val="30"/>
                <w:szCs w:val="30"/>
                <w:highlight w:val="none"/>
              </w:rPr>
              <w:t>采购方式：公开招标</w:t>
            </w:r>
          </w:p>
          <w:p w14:paraId="7A7442BD">
            <w:pPr>
              <w:pStyle w:val="41"/>
              <w:ind w:firstLine="210"/>
              <w:rPr>
                <w:rFonts w:ascii="宋体" w:hAnsi="宋体" w:cs="宋体"/>
                <w:color w:val="auto"/>
                <w:highlight w:val="none"/>
              </w:rPr>
            </w:pPr>
          </w:p>
          <w:p w14:paraId="1322AB51">
            <w:pPr>
              <w:pStyle w:val="41"/>
              <w:ind w:firstLine="210"/>
              <w:rPr>
                <w:rFonts w:ascii="宋体" w:hAnsi="宋体" w:cs="宋体"/>
                <w:color w:val="auto"/>
                <w:highlight w:val="none"/>
              </w:rPr>
            </w:pPr>
          </w:p>
          <w:p w14:paraId="4B37CAA1">
            <w:pPr>
              <w:pStyle w:val="41"/>
              <w:ind w:firstLine="210"/>
              <w:rPr>
                <w:rFonts w:ascii="宋体" w:hAnsi="宋体" w:cs="宋体"/>
                <w:color w:val="auto"/>
                <w:highlight w:val="none"/>
              </w:rPr>
            </w:pPr>
          </w:p>
          <w:p w14:paraId="61D35ADE">
            <w:pPr>
              <w:pStyle w:val="41"/>
              <w:ind w:firstLine="210"/>
              <w:rPr>
                <w:rFonts w:ascii="宋体" w:hAnsi="宋体" w:cs="宋体"/>
                <w:color w:val="auto"/>
                <w:highlight w:val="none"/>
              </w:rPr>
            </w:pPr>
          </w:p>
          <w:p w14:paraId="79DC63B3">
            <w:pPr>
              <w:pStyle w:val="41"/>
              <w:ind w:firstLine="210"/>
              <w:rPr>
                <w:rFonts w:ascii="宋体" w:hAnsi="宋体" w:cs="宋体"/>
                <w:color w:val="auto"/>
                <w:highlight w:val="none"/>
              </w:rPr>
            </w:pPr>
          </w:p>
          <w:p w14:paraId="61959F64">
            <w:pPr>
              <w:pStyle w:val="41"/>
              <w:ind w:firstLine="210"/>
              <w:rPr>
                <w:rFonts w:ascii="宋体" w:hAnsi="宋体" w:cs="宋体"/>
                <w:color w:val="auto"/>
                <w:highlight w:val="none"/>
              </w:rPr>
            </w:pPr>
          </w:p>
          <w:p w14:paraId="38D2809D">
            <w:pPr>
              <w:pStyle w:val="41"/>
              <w:ind w:firstLine="210"/>
              <w:rPr>
                <w:rFonts w:ascii="宋体" w:hAnsi="宋体" w:cs="宋体"/>
                <w:color w:val="auto"/>
                <w:highlight w:val="none"/>
              </w:rPr>
            </w:pPr>
          </w:p>
          <w:tbl>
            <w:tblPr>
              <w:tblStyle w:val="43"/>
              <w:tblW w:w="0" w:type="auto"/>
              <w:jc w:val="center"/>
              <w:tblLayout w:type="fixed"/>
              <w:tblCellMar>
                <w:top w:w="0" w:type="dxa"/>
                <w:left w:w="108" w:type="dxa"/>
                <w:bottom w:w="0" w:type="dxa"/>
                <w:right w:w="108" w:type="dxa"/>
              </w:tblCellMar>
            </w:tblPr>
            <w:tblGrid>
              <w:gridCol w:w="1076"/>
              <w:gridCol w:w="236"/>
              <w:gridCol w:w="5509"/>
            </w:tblGrid>
            <w:tr w14:paraId="1499A35C">
              <w:tblPrEx>
                <w:tblCellMar>
                  <w:top w:w="0" w:type="dxa"/>
                  <w:left w:w="108" w:type="dxa"/>
                  <w:bottom w:w="0" w:type="dxa"/>
                  <w:right w:w="108" w:type="dxa"/>
                </w:tblCellMar>
              </w:tblPrEx>
              <w:trPr>
                <w:trHeight w:val="948" w:hRule="atLeast"/>
                <w:jc w:val="center"/>
              </w:trPr>
              <w:tc>
                <w:tcPr>
                  <w:tcW w:w="1076" w:type="dxa"/>
                  <w:vAlign w:val="center"/>
                </w:tcPr>
                <w:p w14:paraId="24C1E2DF">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采购人</w:t>
                  </w:r>
                </w:p>
              </w:tc>
              <w:tc>
                <w:tcPr>
                  <w:tcW w:w="236" w:type="dxa"/>
                  <w:vAlign w:val="center"/>
                </w:tcPr>
                <w:p w14:paraId="49B735E0">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5509" w:type="dxa"/>
                  <w:vAlign w:val="center"/>
                </w:tcPr>
                <w:p w14:paraId="1F880805">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永嘉县人民医院</w:t>
                  </w:r>
                </w:p>
                <w:p w14:paraId="51113634">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永嘉县中医医院</w:t>
                  </w:r>
                </w:p>
              </w:tc>
            </w:tr>
            <w:tr w14:paraId="5424E4FE">
              <w:tblPrEx>
                <w:tblCellMar>
                  <w:top w:w="0" w:type="dxa"/>
                  <w:left w:w="108" w:type="dxa"/>
                  <w:bottom w:w="0" w:type="dxa"/>
                  <w:right w:w="108" w:type="dxa"/>
                </w:tblCellMar>
              </w:tblPrEx>
              <w:trPr>
                <w:trHeight w:val="881" w:hRule="atLeast"/>
                <w:jc w:val="center"/>
              </w:trPr>
              <w:tc>
                <w:tcPr>
                  <w:tcW w:w="1076" w:type="dxa"/>
                  <w:vAlign w:val="center"/>
                </w:tcPr>
                <w:p w14:paraId="683A9693">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采购代理机构</w:t>
                  </w:r>
                </w:p>
              </w:tc>
              <w:tc>
                <w:tcPr>
                  <w:tcW w:w="236" w:type="dxa"/>
                  <w:vAlign w:val="center"/>
                </w:tcPr>
                <w:p w14:paraId="3DEDF288">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5509" w:type="dxa"/>
                  <w:vAlign w:val="center"/>
                </w:tcPr>
                <w:p w14:paraId="664072FB">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温州市中概工程管理咨询有限公司</w:t>
                  </w:r>
                </w:p>
              </w:tc>
            </w:tr>
          </w:tbl>
          <w:p w14:paraId="50CD16A6">
            <w:pPr>
              <w:pStyle w:val="41"/>
              <w:ind w:firstLine="210"/>
              <w:rPr>
                <w:rFonts w:asciiTheme="majorEastAsia" w:hAnsiTheme="majorEastAsia" w:eastAsiaTheme="majorEastAsia"/>
                <w:color w:val="auto"/>
                <w:highlight w:val="none"/>
              </w:rPr>
            </w:pPr>
          </w:p>
          <w:p w14:paraId="0FEE1E9B">
            <w:pPr>
              <w:autoSpaceDE w:val="0"/>
              <w:autoSpaceDN w:val="0"/>
              <w:adjustRightInd w:val="0"/>
              <w:snapToGrid w:val="0"/>
              <w:spacing w:line="500" w:lineRule="atLeast"/>
              <w:jc w:val="center"/>
              <w:rPr>
                <w:rFonts w:ascii="宋体" w:hAnsi="宋体" w:cs="宋体"/>
                <w:color w:val="auto"/>
                <w:sz w:val="32"/>
                <w:szCs w:val="32"/>
                <w:highlight w:val="none"/>
              </w:rPr>
            </w:pPr>
            <w:r>
              <w:rPr>
                <w:rFonts w:hint="eastAsia" w:cs="新宋体" w:asciiTheme="majorEastAsia" w:hAnsiTheme="majorEastAsia" w:eastAsiaTheme="majorEastAsia"/>
                <w:color w:val="auto"/>
                <w:sz w:val="30"/>
                <w:szCs w:val="30"/>
                <w:highlight w:val="none"/>
              </w:rPr>
              <w:t>二○二五年</w:t>
            </w:r>
            <w:r>
              <w:rPr>
                <w:rFonts w:hint="eastAsia" w:cs="新宋体" w:asciiTheme="majorEastAsia" w:hAnsiTheme="majorEastAsia" w:eastAsiaTheme="majorEastAsia"/>
                <w:color w:val="auto"/>
                <w:sz w:val="30"/>
                <w:szCs w:val="30"/>
                <w:highlight w:val="none"/>
                <w:lang w:val="en-US" w:eastAsia="zh-CN"/>
              </w:rPr>
              <w:t>二</w:t>
            </w:r>
            <w:r>
              <w:rPr>
                <w:rFonts w:hint="eastAsia" w:cs="新宋体" w:asciiTheme="majorEastAsia" w:hAnsiTheme="majorEastAsia" w:eastAsiaTheme="majorEastAsia"/>
                <w:color w:val="auto"/>
                <w:sz w:val="30"/>
                <w:szCs w:val="30"/>
                <w:highlight w:val="none"/>
              </w:rPr>
              <w:t>月</w:t>
            </w:r>
          </w:p>
        </w:tc>
      </w:tr>
    </w:tbl>
    <w:p w14:paraId="5F66F705">
      <w:pPr>
        <w:spacing w:line="500" w:lineRule="atLeast"/>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850" w:gutter="0"/>
          <w:pgNumType w:start="1"/>
          <w:cols w:space="720" w:num="1"/>
          <w:titlePg/>
          <w:docGrid w:type="lines" w:linePitch="312" w:charSpace="0"/>
        </w:sectPr>
      </w:pPr>
    </w:p>
    <w:p w14:paraId="58F23F68">
      <w:pPr>
        <w:widowControl/>
        <w:spacing w:line="500" w:lineRule="atLeast"/>
        <w:jc w:val="center"/>
        <w:rPr>
          <w:rFonts w:ascii="宋体" w:hAnsi="宋体" w:cs="宋体"/>
          <w:b/>
          <w:color w:val="auto"/>
          <w:sz w:val="32"/>
          <w:szCs w:val="32"/>
          <w:highlight w:val="none"/>
        </w:rPr>
      </w:pPr>
      <w:bookmarkStart w:id="0" w:name="_Toc496116237"/>
      <w:bookmarkStart w:id="1" w:name="_Toc293038713"/>
      <w:r>
        <w:rPr>
          <w:rFonts w:hint="eastAsia" w:ascii="宋体" w:hAnsi="宋体" w:cs="宋体"/>
          <w:b/>
          <w:color w:val="auto"/>
          <w:sz w:val="32"/>
          <w:szCs w:val="32"/>
          <w:highlight w:val="none"/>
        </w:rPr>
        <w:t>招标文件目录</w:t>
      </w:r>
    </w:p>
    <w:p w14:paraId="587A9DCF">
      <w:pPr>
        <w:pStyle w:val="29"/>
        <w:tabs>
          <w:tab w:val="right" w:leader="dot" w:pos="9638"/>
          <w:tab w:val="clear" w:pos="8777"/>
        </w:tabs>
        <w:spacing w:line="480" w:lineRule="auto"/>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"1-2"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"_Toc11853" </w:instrText>
      </w:r>
      <w:r>
        <w:rPr>
          <w:color w:val="auto"/>
          <w:highlight w:val="none"/>
        </w:rPr>
        <w:fldChar w:fldCharType="separate"/>
      </w:r>
      <w:r>
        <w:rPr>
          <w:rFonts w:hint="eastAsia" w:ascii="宋体" w:hAnsi="宋体" w:cs="宋体"/>
          <w:color w:val="auto"/>
          <w:szCs w:val="32"/>
          <w:highlight w:val="none"/>
        </w:rPr>
        <w:t>温州市中概工程管理咨询有限公司关于强脉冲光治疗仪（光子嫩肤治疗仪）采购的公开招标公告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_Toc11853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F45ED8D">
      <w:pPr>
        <w:pStyle w:val="29"/>
        <w:tabs>
          <w:tab w:val="right" w:leader="dot" w:pos="9638"/>
          <w:tab w:val="clear" w:pos="8777"/>
        </w:tabs>
        <w:spacing w:line="48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"_Toc17480" </w:instrText>
      </w:r>
      <w:r>
        <w:rPr>
          <w:color w:val="auto"/>
          <w:highlight w:val="none"/>
        </w:rPr>
        <w:fldChar w:fldCharType="separate"/>
      </w:r>
      <w:r>
        <w:rPr>
          <w:rFonts w:hint="eastAsia" w:ascii="宋体" w:hAnsi="宋体" w:cs="宋体"/>
          <w:color w:val="auto"/>
          <w:szCs w:val="30"/>
          <w:highlight w:val="none"/>
        </w:rPr>
        <w:t>第一部分  投标通知(邀请)书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_Toc17480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2A82668">
      <w:pPr>
        <w:pStyle w:val="29"/>
        <w:tabs>
          <w:tab w:val="right" w:leader="dot" w:pos="9638"/>
          <w:tab w:val="clear" w:pos="8777"/>
        </w:tabs>
        <w:spacing w:line="48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"_Toc13266" </w:instrText>
      </w:r>
      <w:r>
        <w:rPr>
          <w:color w:val="auto"/>
          <w:highlight w:val="none"/>
        </w:rPr>
        <w:fldChar w:fldCharType="separate"/>
      </w:r>
      <w:r>
        <w:rPr>
          <w:rFonts w:hint="eastAsia" w:ascii="宋体" w:hAnsi="宋体" w:cs="宋体"/>
          <w:color w:val="auto"/>
          <w:szCs w:val="30"/>
          <w:highlight w:val="none"/>
        </w:rPr>
        <w:t>第二部分 招标内容及要求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_Toc13266 \h </w:instrText>
      </w:r>
      <w:r>
        <w:rPr>
          <w:rFonts w:hint="eastAsia" w:ascii="宋体" w:hAnsi="宋体" w:cs="宋体"/>
          <w:color w:val="auto"/>
          <w:highlight w:val="none"/>
        </w:rPr>
        <w:fldChar w:fldCharType="separate"/>
      </w:r>
      <w:r>
        <w:rPr>
          <w:rFonts w:hint="eastAsia" w:ascii="宋体" w:hAnsi="宋体" w:cs="宋体"/>
          <w:color w:val="auto"/>
          <w:highlight w:val="none"/>
        </w:rPr>
        <w:t>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789F9AE">
      <w:pPr>
        <w:pStyle w:val="29"/>
        <w:tabs>
          <w:tab w:val="right" w:leader="dot" w:pos="9638"/>
          <w:tab w:val="clear" w:pos="8777"/>
        </w:tabs>
        <w:spacing w:line="48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"_Toc15919" </w:instrText>
      </w:r>
      <w:r>
        <w:rPr>
          <w:color w:val="auto"/>
          <w:highlight w:val="none"/>
        </w:rPr>
        <w:fldChar w:fldCharType="separate"/>
      </w:r>
      <w:r>
        <w:rPr>
          <w:rFonts w:hint="eastAsia" w:ascii="宋体" w:hAnsi="宋体" w:cs="宋体"/>
          <w:color w:val="auto"/>
          <w:szCs w:val="30"/>
          <w:highlight w:val="none"/>
        </w:rPr>
        <w:t>第三部分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_Toc15919 \h </w:instrText>
      </w:r>
      <w:r>
        <w:rPr>
          <w:rFonts w:hint="eastAsia" w:ascii="宋体" w:hAnsi="宋体" w:cs="宋体"/>
          <w:color w:val="auto"/>
          <w:highlight w:val="none"/>
        </w:rPr>
        <w:fldChar w:fldCharType="separate"/>
      </w:r>
      <w:r>
        <w:rPr>
          <w:rFonts w:hint="eastAsia" w:ascii="宋体" w:hAnsi="宋体" w:cs="宋体"/>
          <w:color w:val="auto"/>
          <w:highlight w:val="none"/>
        </w:rPr>
        <w:t>14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581A860">
      <w:pPr>
        <w:pStyle w:val="35"/>
        <w:tabs>
          <w:tab w:val="right" w:leader="dot" w:pos="9638"/>
          <w:tab w:val="clear" w:pos="8777"/>
        </w:tabs>
        <w:spacing w:line="480" w:lineRule="auto"/>
        <w:ind w:firstLine="105"/>
        <w:rPr>
          <w:rFonts w:ascii="宋体" w:hAnsi="宋体" w:cs="宋体"/>
          <w:color w:val="auto"/>
          <w:highlight w:val="none"/>
        </w:rPr>
      </w:pPr>
      <w:r>
        <w:rPr>
          <w:color w:val="auto"/>
          <w:highlight w:val="none"/>
        </w:rPr>
        <w:fldChar w:fldCharType="begin"/>
      </w:r>
      <w:r>
        <w:rPr>
          <w:color w:val="auto"/>
          <w:highlight w:val="none"/>
        </w:rPr>
        <w:instrText xml:space="preserve"> HYPERLINK \l "_Toc3034" </w:instrText>
      </w:r>
      <w:r>
        <w:rPr>
          <w:color w:val="auto"/>
          <w:highlight w:val="none"/>
        </w:rPr>
        <w:fldChar w:fldCharType="separate"/>
      </w:r>
      <w:r>
        <w:rPr>
          <w:rFonts w:hint="eastAsia" w:ascii="宋体" w:hAnsi="宋体" w:cs="宋体"/>
          <w:bCs/>
          <w:color w:val="auto"/>
          <w:szCs w:val="22"/>
          <w:highlight w:val="none"/>
        </w:rPr>
        <w:t>一、说明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_Toc3034 \h </w:instrText>
      </w:r>
      <w:r>
        <w:rPr>
          <w:rFonts w:hint="eastAsia" w:ascii="宋体" w:hAnsi="宋体" w:cs="宋体"/>
          <w:color w:val="auto"/>
          <w:highlight w:val="none"/>
        </w:rPr>
        <w:fldChar w:fldCharType="separate"/>
      </w:r>
      <w:r>
        <w:rPr>
          <w:rFonts w:hint="eastAsia" w:ascii="宋体" w:hAnsi="宋体" w:cs="宋体"/>
          <w:color w:val="auto"/>
          <w:highlight w:val="none"/>
        </w:rPr>
        <w:t>14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CF1F6ED">
      <w:pPr>
        <w:pStyle w:val="35"/>
        <w:tabs>
          <w:tab w:val="right" w:leader="dot" w:pos="9638"/>
          <w:tab w:val="clear" w:pos="8777"/>
        </w:tabs>
        <w:spacing w:line="480" w:lineRule="auto"/>
        <w:ind w:firstLine="105"/>
        <w:rPr>
          <w:rFonts w:ascii="宋体" w:hAnsi="宋体" w:cs="宋体"/>
          <w:color w:val="auto"/>
          <w:highlight w:val="none"/>
        </w:rPr>
      </w:pPr>
      <w:r>
        <w:rPr>
          <w:color w:val="auto"/>
          <w:highlight w:val="none"/>
        </w:rPr>
        <w:fldChar w:fldCharType="begin"/>
      </w:r>
      <w:r>
        <w:rPr>
          <w:color w:val="auto"/>
          <w:highlight w:val="none"/>
        </w:rPr>
        <w:instrText xml:space="preserve"> HYPERLINK \l "_Toc13701" </w:instrText>
      </w:r>
      <w:r>
        <w:rPr>
          <w:color w:val="auto"/>
          <w:highlight w:val="none"/>
        </w:rPr>
        <w:fldChar w:fldCharType="separate"/>
      </w:r>
      <w:r>
        <w:rPr>
          <w:rFonts w:hint="eastAsia" w:ascii="宋体" w:hAnsi="宋体" w:cs="宋体"/>
          <w:bCs/>
          <w:color w:val="auto"/>
          <w:szCs w:val="22"/>
          <w:highlight w:val="none"/>
        </w:rPr>
        <w:t>二、供应商资格条件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_Toc13701 \h </w:instrText>
      </w:r>
      <w:r>
        <w:rPr>
          <w:rFonts w:hint="eastAsia" w:ascii="宋体" w:hAnsi="宋体" w:cs="宋体"/>
          <w:color w:val="auto"/>
          <w:highlight w:val="none"/>
        </w:rPr>
        <w:fldChar w:fldCharType="separate"/>
      </w:r>
      <w:r>
        <w:rPr>
          <w:rFonts w:hint="eastAsia" w:ascii="宋体" w:hAnsi="宋体" w:cs="宋体"/>
          <w:color w:val="auto"/>
          <w:highlight w:val="none"/>
        </w:rPr>
        <w:t>15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696DD46">
      <w:pPr>
        <w:pStyle w:val="35"/>
        <w:tabs>
          <w:tab w:val="right" w:leader="dot" w:pos="9638"/>
          <w:tab w:val="clear" w:pos="8777"/>
        </w:tabs>
        <w:spacing w:line="480" w:lineRule="auto"/>
        <w:ind w:firstLine="105"/>
        <w:rPr>
          <w:rFonts w:ascii="宋体" w:hAnsi="宋体" w:cs="宋体"/>
          <w:color w:val="auto"/>
          <w:highlight w:val="none"/>
        </w:rPr>
      </w:pPr>
      <w:r>
        <w:rPr>
          <w:color w:val="auto"/>
          <w:highlight w:val="none"/>
        </w:rPr>
        <w:fldChar w:fldCharType="begin"/>
      </w:r>
      <w:r>
        <w:rPr>
          <w:color w:val="auto"/>
          <w:highlight w:val="none"/>
        </w:rPr>
        <w:instrText xml:space="preserve"> HYPERLINK \l "_Toc13744" </w:instrText>
      </w:r>
      <w:r>
        <w:rPr>
          <w:color w:val="auto"/>
          <w:highlight w:val="none"/>
        </w:rPr>
        <w:fldChar w:fldCharType="separate"/>
      </w:r>
      <w:r>
        <w:rPr>
          <w:rFonts w:hint="eastAsia" w:ascii="宋体" w:hAnsi="宋体" w:cs="宋体"/>
          <w:bCs/>
          <w:color w:val="auto"/>
          <w:szCs w:val="22"/>
          <w:highlight w:val="none"/>
        </w:rPr>
        <w:t>三、招标文件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_Toc13744 \h </w:instrText>
      </w:r>
      <w:r>
        <w:rPr>
          <w:rFonts w:hint="eastAsia" w:ascii="宋体" w:hAnsi="宋体" w:cs="宋体"/>
          <w:color w:val="auto"/>
          <w:highlight w:val="none"/>
        </w:rPr>
        <w:fldChar w:fldCharType="separate"/>
      </w:r>
      <w:r>
        <w:rPr>
          <w:rFonts w:hint="eastAsia" w:ascii="宋体" w:hAnsi="宋体" w:cs="宋体"/>
          <w:color w:val="auto"/>
          <w:highlight w:val="none"/>
        </w:rPr>
        <w:t>15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6397C0A">
      <w:pPr>
        <w:pStyle w:val="35"/>
        <w:tabs>
          <w:tab w:val="right" w:leader="dot" w:pos="9638"/>
          <w:tab w:val="clear" w:pos="8777"/>
        </w:tabs>
        <w:spacing w:line="480" w:lineRule="auto"/>
        <w:ind w:firstLine="105"/>
        <w:rPr>
          <w:rFonts w:ascii="宋体" w:hAnsi="宋体" w:cs="宋体"/>
          <w:color w:val="auto"/>
          <w:highlight w:val="none"/>
        </w:rPr>
      </w:pPr>
      <w:r>
        <w:rPr>
          <w:color w:val="auto"/>
          <w:highlight w:val="none"/>
        </w:rPr>
        <w:fldChar w:fldCharType="begin"/>
      </w:r>
      <w:r>
        <w:rPr>
          <w:color w:val="auto"/>
          <w:highlight w:val="none"/>
        </w:rPr>
        <w:instrText xml:space="preserve"> HYPERLINK \l "_Toc24086" </w:instrText>
      </w:r>
      <w:r>
        <w:rPr>
          <w:color w:val="auto"/>
          <w:highlight w:val="none"/>
        </w:rPr>
        <w:fldChar w:fldCharType="separate"/>
      </w:r>
      <w:r>
        <w:rPr>
          <w:rFonts w:hint="eastAsia" w:ascii="宋体" w:hAnsi="宋体" w:cs="宋体"/>
          <w:bCs/>
          <w:color w:val="auto"/>
          <w:szCs w:val="22"/>
          <w:highlight w:val="none"/>
        </w:rPr>
        <w:t>四、投标文件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_Toc24086 \h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36189E1">
      <w:pPr>
        <w:pStyle w:val="35"/>
        <w:tabs>
          <w:tab w:val="right" w:leader="dot" w:pos="9638"/>
          <w:tab w:val="clear" w:pos="8777"/>
        </w:tabs>
        <w:spacing w:line="480" w:lineRule="auto"/>
        <w:ind w:firstLine="105"/>
        <w:rPr>
          <w:rFonts w:ascii="宋体" w:hAnsi="宋体" w:cs="宋体"/>
          <w:color w:val="auto"/>
          <w:highlight w:val="none"/>
        </w:rPr>
      </w:pPr>
      <w:r>
        <w:rPr>
          <w:color w:val="auto"/>
          <w:highlight w:val="none"/>
        </w:rPr>
        <w:fldChar w:fldCharType="begin"/>
      </w:r>
      <w:r>
        <w:rPr>
          <w:color w:val="auto"/>
          <w:highlight w:val="none"/>
        </w:rPr>
        <w:instrText xml:space="preserve"> HYPERLINK \l "_Toc18653" </w:instrText>
      </w:r>
      <w:r>
        <w:rPr>
          <w:color w:val="auto"/>
          <w:highlight w:val="none"/>
        </w:rPr>
        <w:fldChar w:fldCharType="separate"/>
      </w:r>
      <w:r>
        <w:rPr>
          <w:rFonts w:hint="eastAsia" w:ascii="宋体" w:hAnsi="宋体" w:cs="宋体"/>
          <w:bCs/>
          <w:color w:val="auto"/>
          <w:szCs w:val="22"/>
          <w:highlight w:val="none"/>
        </w:rPr>
        <w:t>五、投标文件的密封</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_Toc18653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D9FD9EE">
      <w:pPr>
        <w:pStyle w:val="35"/>
        <w:tabs>
          <w:tab w:val="right" w:leader="dot" w:pos="9638"/>
          <w:tab w:val="clear" w:pos="8777"/>
        </w:tabs>
        <w:spacing w:line="480" w:lineRule="auto"/>
        <w:ind w:firstLine="105"/>
        <w:rPr>
          <w:rFonts w:ascii="宋体" w:hAnsi="宋体" w:cs="宋体"/>
          <w:color w:val="auto"/>
          <w:highlight w:val="none"/>
        </w:rPr>
      </w:pPr>
      <w:r>
        <w:rPr>
          <w:color w:val="auto"/>
          <w:highlight w:val="none"/>
        </w:rPr>
        <w:fldChar w:fldCharType="begin"/>
      </w:r>
      <w:r>
        <w:rPr>
          <w:color w:val="auto"/>
          <w:highlight w:val="none"/>
        </w:rPr>
        <w:instrText xml:space="preserve"> HYPERLINK \l "_Toc144" </w:instrText>
      </w:r>
      <w:r>
        <w:rPr>
          <w:color w:val="auto"/>
          <w:highlight w:val="none"/>
        </w:rPr>
        <w:fldChar w:fldCharType="separate"/>
      </w:r>
      <w:r>
        <w:rPr>
          <w:rFonts w:hint="eastAsia" w:ascii="宋体" w:hAnsi="宋体" w:cs="宋体"/>
          <w:bCs/>
          <w:color w:val="auto"/>
          <w:szCs w:val="22"/>
          <w:highlight w:val="none"/>
        </w:rPr>
        <w:t>六、开标和评标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_Toc144 \h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2445BFB">
      <w:pPr>
        <w:pStyle w:val="35"/>
        <w:tabs>
          <w:tab w:val="right" w:leader="dot" w:pos="9638"/>
          <w:tab w:val="clear" w:pos="8777"/>
        </w:tabs>
        <w:spacing w:line="480" w:lineRule="auto"/>
        <w:ind w:firstLine="105"/>
        <w:rPr>
          <w:rFonts w:ascii="宋体" w:hAnsi="宋体" w:cs="宋体"/>
          <w:color w:val="auto"/>
          <w:highlight w:val="none"/>
        </w:rPr>
      </w:pPr>
      <w:r>
        <w:rPr>
          <w:color w:val="auto"/>
          <w:highlight w:val="none"/>
        </w:rPr>
        <w:fldChar w:fldCharType="begin"/>
      </w:r>
      <w:r>
        <w:rPr>
          <w:color w:val="auto"/>
          <w:highlight w:val="none"/>
        </w:rPr>
        <w:instrText xml:space="preserve"> HYPERLINK \l "_Toc17810" </w:instrText>
      </w:r>
      <w:r>
        <w:rPr>
          <w:color w:val="auto"/>
          <w:highlight w:val="none"/>
        </w:rPr>
        <w:fldChar w:fldCharType="separate"/>
      </w:r>
      <w:r>
        <w:rPr>
          <w:rFonts w:hint="eastAsia" w:ascii="宋体" w:hAnsi="宋体" w:cs="宋体"/>
          <w:bCs/>
          <w:color w:val="auto"/>
          <w:szCs w:val="22"/>
          <w:highlight w:val="none"/>
        </w:rPr>
        <w:t>七、授予合同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_Toc17810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C2133EB">
      <w:pPr>
        <w:pStyle w:val="29"/>
        <w:tabs>
          <w:tab w:val="right" w:leader="dot" w:pos="9638"/>
          <w:tab w:val="clear" w:pos="8777"/>
        </w:tabs>
        <w:spacing w:line="48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"_Toc30125" </w:instrText>
      </w:r>
      <w:r>
        <w:rPr>
          <w:color w:val="auto"/>
          <w:highlight w:val="none"/>
        </w:rPr>
        <w:fldChar w:fldCharType="separate"/>
      </w:r>
      <w:r>
        <w:rPr>
          <w:rFonts w:hint="eastAsia" w:ascii="宋体" w:hAnsi="宋体" w:cs="宋体"/>
          <w:color w:val="auto"/>
          <w:szCs w:val="30"/>
          <w:highlight w:val="none"/>
        </w:rPr>
        <w:t>第四部分  政府采购政策功能相关说明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_Toc30125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BD45703">
      <w:pPr>
        <w:pStyle w:val="29"/>
        <w:tabs>
          <w:tab w:val="right" w:leader="dot" w:pos="9638"/>
          <w:tab w:val="clear" w:pos="8777"/>
        </w:tabs>
        <w:spacing w:line="48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"_Toc23974" </w:instrText>
      </w:r>
      <w:r>
        <w:rPr>
          <w:color w:val="auto"/>
          <w:highlight w:val="none"/>
        </w:rPr>
        <w:fldChar w:fldCharType="separate"/>
      </w:r>
      <w:r>
        <w:rPr>
          <w:rFonts w:hint="eastAsia" w:ascii="宋体" w:hAnsi="宋体" w:cs="宋体"/>
          <w:color w:val="auto"/>
          <w:szCs w:val="30"/>
          <w:highlight w:val="none"/>
        </w:rPr>
        <w:t>第五部分  合同主要条款（参考格式）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_Toc23974 \h </w:instrText>
      </w:r>
      <w:r>
        <w:rPr>
          <w:rFonts w:hint="eastAsia" w:ascii="宋体" w:hAnsi="宋体" w:cs="宋体"/>
          <w:color w:val="auto"/>
          <w:highlight w:val="none"/>
        </w:rPr>
        <w:fldChar w:fldCharType="separate"/>
      </w:r>
      <w:r>
        <w:rPr>
          <w:rFonts w:hint="eastAsia" w:ascii="宋体" w:hAnsi="宋体" w:cs="宋体"/>
          <w:color w:val="auto"/>
          <w:highlight w:val="none"/>
        </w:rPr>
        <w:t>32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A75D15C">
      <w:pPr>
        <w:pStyle w:val="29"/>
        <w:tabs>
          <w:tab w:val="right" w:leader="dot" w:pos="9638"/>
          <w:tab w:val="clear" w:pos="8777"/>
        </w:tabs>
        <w:spacing w:line="48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"_Toc21992" </w:instrText>
      </w:r>
      <w:r>
        <w:rPr>
          <w:color w:val="auto"/>
          <w:highlight w:val="none"/>
        </w:rPr>
        <w:fldChar w:fldCharType="separate"/>
      </w:r>
      <w:r>
        <w:rPr>
          <w:rFonts w:hint="eastAsia" w:ascii="宋体" w:hAnsi="宋体" w:cs="宋体"/>
          <w:color w:val="auto"/>
          <w:szCs w:val="30"/>
          <w:highlight w:val="none"/>
        </w:rPr>
        <w:t>第六部分 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_Toc21992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C8CD865">
      <w:pPr>
        <w:pStyle w:val="29"/>
        <w:tabs>
          <w:tab w:val="right" w:leader="dot" w:pos="9638"/>
          <w:tab w:val="clear" w:pos="8777"/>
        </w:tabs>
        <w:spacing w:line="48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"_Toc3026" </w:instrText>
      </w:r>
      <w:r>
        <w:rPr>
          <w:color w:val="auto"/>
          <w:highlight w:val="none"/>
        </w:rPr>
        <w:fldChar w:fldCharType="separate"/>
      </w:r>
      <w:r>
        <w:rPr>
          <w:rFonts w:hint="eastAsia" w:ascii="宋体" w:hAnsi="宋体" w:cs="宋体"/>
          <w:color w:val="auto"/>
          <w:highlight w:val="none"/>
        </w:rPr>
        <w:t>一、资格文件部分格式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_Toc3026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471DE8E">
      <w:pPr>
        <w:pStyle w:val="29"/>
        <w:tabs>
          <w:tab w:val="right" w:leader="dot" w:pos="9638"/>
          <w:tab w:val="clear" w:pos="8777"/>
        </w:tabs>
        <w:spacing w:line="48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"_Toc3526" </w:instrText>
      </w:r>
      <w:r>
        <w:rPr>
          <w:color w:val="auto"/>
          <w:highlight w:val="none"/>
        </w:rPr>
        <w:fldChar w:fldCharType="separate"/>
      </w:r>
      <w:r>
        <w:rPr>
          <w:rFonts w:hint="eastAsia" w:ascii="宋体" w:hAnsi="宋体" w:cs="宋体"/>
          <w:color w:val="auto"/>
          <w:highlight w:val="none"/>
        </w:rPr>
        <w:t>二、报价文件部分格式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_Toc3526 \h </w:instrText>
      </w:r>
      <w:r>
        <w:rPr>
          <w:rFonts w:hint="eastAsia" w:ascii="宋体" w:hAnsi="宋体" w:cs="宋体"/>
          <w:color w:val="auto"/>
          <w:highlight w:val="none"/>
        </w:rPr>
        <w:fldChar w:fldCharType="separate"/>
      </w:r>
      <w:r>
        <w:rPr>
          <w:rFonts w:hint="eastAsia" w:ascii="宋体" w:hAnsi="宋体" w:cs="宋体"/>
          <w:color w:val="auto"/>
          <w:highlight w:val="none"/>
        </w:rPr>
        <w:t>41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C16177D">
      <w:pPr>
        <w:pStyle w:val="29"/>
        <w:tabs>
          <w:tab w:val="right" w:leader="dot" w:pos="9638"/>
          <w:tab w:val="clear" w:pos="8777"/>
        </w:tabs>
        <w:spacing w:line="48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"_Toc6383" </w:instrText>
      </w:r>
      <w:r>
        <w:rPr>
          <w:color w:val="auto"/>
          <w:highlight w:val="none"/>
        </w:rPr>
        <w:fldChar w:fldCharType="separate"/>
      </w:r>
      <w:r>
        <w:rPr>
          <w:rFonts w:hint="eastAsia" w:ascii="宋体" w:hAnsi="宋体" w:cs="宋体"/>
          <w:color w:val="auto"/>
          <w:highlight w:val="none"/>
        </w:rPr>
        <w:t>三、商务技术文件部分格式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_Toc6383 \h </w:instrText>
      </w:r>
      <w:r>
        <w:rPr>
          <w:rFonts w:hint="eastAsia" w:ascii="宋体" w:hAnsi="宋体" w:cs="宋体"/>
          <w:color w:val="auto"/>
          <w:highlight w:val="none"/>
        </w:rPr>
        <w:fldChar w:fldCharType="separate"/>
      </w:r>
      <w:r>
        <w:rPr>
          <w:rFonts w:hint="eastAsia" w:ascii="宋体" w:hAnsi="宋体" w:cs="宋体"/>
          <w:color w:val="auto"/>
          <w:highlight w:val="none"/>
        </w:rPr>
        <w:t>43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B8E11F8">
      <w:pPr>
        <w:pStyle w:val="29"/>
        <w:tabs>
          <w:tab w:val="right" w:leader="dot" w:pos="9638"/>
          <w:tab w:val="clear" w:pos="8777"/>
        </w:tabs>
        <w:spacing w:line="48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"_Toc5132" </w:instrText>
      </w:r>
      <w:r>
        <w:rPr>
          <w:color w:val="auto"/>
          <w:highlight w:val="none"/>
        </w:rPr>
        <w:fldChar w:fldCharType="separate"/>
      </w:r>
      <w:r>
        <w:rPr>
          <w:rFonts w:hint="eastAsia" w:ascii="宋体" w:hAnsi="宋体" w:cs="宋体"/>
          <w:color w:val="auto"/>
          <w:szCs w:val="30"/>
          <w:highlight w:val="none"/>
        </w:rPr>
        <w:t>第七部分 评标定标办法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_Toc5132 \h </w:instrText>
      </w:r>
      <w:r>
        <w:rPr>
          <w:rFonts w:hint="eastAsia" w:ascii="宋体" w:hAnsi="宋体" w:cs="宋体"/>
          <w:color w:val="auto"/>
          <w:highlight w:val="none"/>
        </w:rPr>
        <w:fldChar w:fldCharType="separate"/>
      </w:r>
      <w:r>
        <w:rPr>
          <w:rFonts w:hint="eastAsia" w:ascii="宋体" w:hAnsi="宋体" w:cs="宋体"/>
          <w:color w:val="auto"/>
          <w:highlight w:val="none"/>
        </w:rPr>
        <w:t>49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5B6A33F">
      <w:pPr>
        <w:spacing w:line="480" w:lineRule="auto"/>
        <w:rPr>
          <w:rFonts w:ascii="宋体" w:hAnsi="宋体" w:cs="宋体"/>
          <w:color w:val="auto"/>
          <w:highlight w:val="none"/>
        </w:rPr>
      </w:pPr>
      <w:r>
        <w:rPr>
          <w:rFonts w:hint="eastAsia" w:ascii="宋体" w:hAnsi="宋体" w:cs="宋体"/>
          <w:color w:val="auto"/>
          <w:highlight w:val="none"/>
        </w:rPr>
        <w:fldChar w:fldCharType="end"/>
      </w:r>
      <w:bookmarkStart w:id="2" w:name="_Toc498343162"/>
      <w:r>
        <w:rPr>
          <w:rFonts w:hint="eastAsia" w:ascii="宋体" w:hAnsi="宋体" w:cs="宋体"/>
          <w:b/>
          <w:bCs/>
          <w:color w:val="auto"/>
          <w:sz w:val="22"/>
          <w:szCs w:val="22"/>
          <w:highlight w:val="none"/>
        </w:rPr>
        <w:t>注：招标文件中部分加“▲”的条款，为招标的实质性要求和条件，着重提醒各投标供应商注意，并认真查看招标文件中的每一个条款及要求，因误读招标文件而造成的后果，招标人概不负责。</w:t>
      </w:r>
    </w:p>
    <w:p w14:paraId="43A4ABE7">
      <w:pPr>
        <w:spacing w:line="480" w:lineRule="auto"/>
        <w:rPr>
          <w:rFonts w:ascii="宋体" w:hAnsi="宋体" w:cs="宋体"/>
          <w:color w:val="auto"/>
          <w:sz w:val="30"/>
          <w:szCs w:val="30"/>
          <w:highlight w:val="none"/>
        </w:rPr>
      </w:pPr>
    </w:p>
    <w:bookmarkEnd w:id="0"/>
    <w:bookmarkEnd w:id="2"/>
    <w:p w14:paraId="560687BB">
      <w:pPr>
        <w:spacing w:line="360" w:lineRule="auto"/>
        <w:jc w:val="center"/>
        <w:rPr>
          <w:rFonts w:ascii="宋体" w:hAnsi="宋体" w:cs="宋体"/>
          <w:b/>
          <w:color w:val="auto"/>
          <w:sz w:val="32"/>
          <w:szCs w:val="32"/>
          <w:highlight w:val="none"/>
        </w:rPr>
      </w:pPr>
      <w:bookmarkStart w:id="3" w:name="_Toc496116239"/>
      <w:bookmarkStart w:id="4" w:name="_Toc498343164"/>
      <w:r>
        <w:rPr>
          <w:rFonts w:hint="eastAsia" w:ascii="宋体" w:hAnsi="宋体" w:cs="宋体"/>
          <w:color w:val="auto"/>
          <w:sz w:val="30"/>
          <w:szCs w:val="30"/>
          <w:highlight w:val="none"/>
        </w:rPr>
        <w:br w:type="page"/>
      </w:r>
      <w:bookmarkStart w:id="5" w:name="_Toc11853"/>
      <w:r>
        <w:rPr>
          <w:rFonts w:hint="eastAsia" w:ascii="宋体" w:hAnsi="宋体" w:cs="宋体"/>
          <w:b/>
          <w:color w:val="auto"/>
          <w:sz w:val="32"/>
          <w:szCs w:val="32"/>
          <w:highlight w:val="none"/>
        </w:rPr>
        <w:t>温州市中概工程管理咨询有限公司关于强脉冲光治疗仪（光子嫩肤治疗仪）采购的公开招标公告</w:t>
      </w:r>
      <w:bookmarkEnd w:id="5"/>
    </w:p>
    <w:p w14:paraId="07FB5ABD">
      <w:pPr>
        <w:pStyle w:val="38"/>
        <w:rPr>
          <w:color w:val="auto"/>
          <w:sz w:val="22"/>
          <w:szCs w:val="22"/>
          <w:highlight w:val="none"/>
        </w:rPr>
      </w:pPr>
      <w:r>
        <w:rPr>
          <w:rFonts w:hint="eastAsia"/>
          <w:color w:val="auto"/>
          <w:sz w:val="22"/>
          <w:szCs w:val="22"/>
          <w:highlight w:val="none"/>
        </w:rPr>
        <w:t>项目概况  </w:t>
      </w:r>
    </w:p>
    <w:p w14:paraId="096C6B64">
      <w:pPr>
        <w:pStyle w:val="38"/>
        <w:spacing w:line="360" w:lineRule="auto"/>
        <w:rPr>
          <w:color w:val="auto"/>
          <w:sz w:val="22"/>
          <w:szCs w:val="22"/>
          <w:highlight w:val="none"/>
        </w:rPr>
      </w:pPr>
      <w:r>
        <w:rPr>
          <w:rFonts w:hint="eastAsia"/>
          <w:color w:val="auto"/>
          <w:sz w:val="22"/>
          <w:szCs w:val="22"/>
          <w:highlight w:val="none"/>
        </w:rPr>
        <w:t>强脉冲光治疗仪（光子嫩肤治疗仪）采购招标项目的潜在投标人应在政采云平台线上获取（下载）招标文件，并于 2025年</w:t>
      </w:r>
      <w:r>
        <w:rPr>
          <w:rFonts w:hint="eastAsia"/>
          <w:color w:val="auto"/>
          <w:sz w:val="22"/>
          <w:szCs w:val="22"/>
          <w:highlight w:val="none"/>
          <w:lang w:val="en-US" w:eastAsia="zh-CN"/>
        </w:rPr>
        <w:t>2</w:t>
      </w:r>
      <w:r>
        <w:rPr>
          <w:rFonts w:hint="eastAsia"/>
          <w:color w:val="auto"/>
          <w:sz w:val="22"/>
          <w:szCs w:val="22"/>
          <w:highlight w:val="none"/>
        </w:rPr>
        <w:t>月</w:t>
      </w:r>
      <w:r>
        <w:rPr>
          <w:rFonts w:hint="eastAsia"/>
          <w:color w:val="auto"/>
          <w:sz w:val="22"/>
          <w:szCs w:val="22"/>
          <w:highlight w:val="none"/>
          <w:lang w:val="en-US" w:eastAsia="zh-CN"/>
        </w:rPr>
        <w:t>18</w:t>
      </w:r>
      <w:r>
        <w:rPr>
          <w:rFonts w:hint="eastAsia"/>
          <w:color w:val="auto"/>
          <w:sz w:val="22"/>
          <w:szCs w:val="22"/>
          <w:highlight w:val="none"/>
        </w:rPr>
        <w:t>日 09:30（北京时间）前递交（上传）投标文件。</w:t>
      </w:r>
    </w:p>
    <w:p w14:paraId="11AC3EC8">
      <w:pPr>
        <w:widowControl/>
        <w:spacing w:before="225" w:after="225" w:line="360" w:lineRule="auto"/>
        <w:jc w:val="left"/>
        <w:rPr>
          <w:rFonts w:ascii="宋体" w:hAnsi="宋体" w:cs="宋体"/>
          <w:color w:val="auto"/>
          <w:sz w:val="22"/>
          <w:szCs w:val="22"/>
          <w:highlight w:val="none"/>
        </w:rPr>
      </w:pPr>
      <w:r>
        <w:rPr>
          <w:rStyle w:val="46"/>
          <w:rFonts w:hint="eastAsia" w:ascii="宋体" w:hAnsi="宋体" w:cs="宋体"/>
          <w:color w:val="auto"/>
          <w:sz w:val="22"/>
          <w:szCs w:val="22"/>
          <w:highlight w:val="none"/>
        </w:rPr>
        <w:t>一、项目</w:t>
      </w:r>
      <w:r>
        <w:rPr>
          <w:rFonts w:hint="eastAsia" w:ascii="宋体" w:hAnsi="宋体" w:cs="宋体"/>
          <w:b/>
          <w:color w:val="auto"/>
          <w:kern w:val="0"/>
          <w:sz w:val="22"/>
          <w:szCs w:val="22"/>
          <w:highlight w:val="none"/>
        </w:rPr>
        <w:t>基本</w:t>
      </w:r>
      <w:r>
        <w:rPr>
          <w:rStyle w:val="46"/>
          <w:rFonts w:hint="eastAsia" w:ascii="宋体" w:hAnsi="宋体" w:cs="宋体"/>
          <w:color w:val="auto"/>
          <w:sz w:val="22"/>
          <w:szCs w:val="22"/>
          <w:highlight w:val="none"/>
        </w:rPr>
        <w:t>情况</w:t>
      </w:r>
      <w:r>
        <w:rPr>
          <w:rFonts w:hint="eastAsia" w:ascii="宋体" w:hAnsi="宋体" w:cs="宋体"/>
          <w:color w:val="auto"/>
          <w:sz w:val="22"/>
          <w:szCs w:val="22"/>
          <w:highlight w:val="none"/>
        </w:rPr>
        <w:t>                                            </w:t>
      </w:r>
    </w:p>
    <w:p w14:paraId="48025FE2">
      <w:pPr>
        <w:pStyle w:val="38"/>
        <w:spacing w:before="75" w:beforeAutospacing="0" w:after="75" w:afterAutospacing="0" w:line="300" w:lineRule="atLeast"/>
        <w:rPr>
          <w:color w:val="auto"/>
          <w:sz w:val="22"/>
          <w:szCs w:val="22"/>
          <w:highlight w:val="none"/>
        </w:rPr>
      </w:pPr>
      <w:r>
        <w:rPr>
          <w:rFonts w:hint="eastAsia"/>
          <w:color w:val="auto"/>
          <w:sz w:val="22"/>
          <w:szCs w:val="22"/>
          <w:highlight w:val="none"/>
        </w:rPr>
        <w:t>   项目编号：</w:t>
      </w:r>
      <w:r>
        <w:rPr>
          <w:rFonts w:hint="eastAsia"/>
          <w:color w:val="auto"/>
          <w:sz w:val="22"/>
          <w:szCs w:val="22"/>
          <w:highlight w:val="none"/>
          <w:lang w:eastAsia="zh-CN"/>
        </w:rPr>
        <w:t>ZGCG-20250121-1</w:t>
      </w:r>
      <w:r>
        <w:rPr>
          <w:rFonts w:hint="eastAsia"/>
          <w:color w:val="auto"/>
          <w:sz w:val="22"/>
          <w:szCs w:val="22"/>
          <w:highlight w:val="none"/>
        </w:rPr>
        <w:t> </w:t>
      </w:r>
    </w:p>
    <w:p w14:paraId="115AE784">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项目名称：强脉冲光治疗仪（光子嫩肤治疗仪）采购</w:t>
      </w:r>
    </w:p>
    <w:p w14:paraId="608F21EC">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预算金额（元）：2400000  </w:t>
      </w:r>
    </w:p>
    <w:p w14:paraId="55B17EED">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最高限价（元）：/ </w:t>
      </w:r>
    </w:p>
    <w:p w14:paraId="168C3174">
      <w:pPr>
        <w:widowControl/>
        <w:spacing w:before="75" w:after="75" w:line="300" w:lineRule="atLeast"/>
        <w:jc w:val="left"/>
        <w:rPr>
          <w:rFonts w:ascii="宋体" w:hAnsi="宋体" w:cs="宋体"/>
          <w:color w:val="auto"/>
          <w:highlight w:val="none"/>
        </w:rPr>
      </w:pPr>
      <w:r>
        <w:rPr>
          <w:rFonts w:hint="eastAsia" w:ascii="宋体" w:hAnsi="宋体" w:cs="宋体"/>
          <w:color w:val="auto"/>
          <w:kern w:val="0"/>
          <w:sz w:val="22"/>
          <w:szCs w:val="22"/>
          <w:highlight w:val="none"/>
        </w:rPr>
        <w:t>    采购需求：</w:t>
      </w:r>
    </w:p>
    <w:p w14:paraId="187A2865">
      <w:pPr>
        <w:widowControl/>
        <w:shd w:val="clear" w:color="auto" w:fill="F7F7F7"/>
        <w:spacing w:before="75" w:after="75" w:line="360" w:lineRule="atLeast"/>
        <w:jc w:val="left"/>
        <w:rPr>
          <w:rFonts w:ascii="宋体" w:hAnsi="宋体" w:cs="宋体"/>
          <w:color w:val="auto"/>
          <w:highlight w:val="none"/>
        </w:rPr>
      </w:pPr>
      <w:r>
        <w:rPr>
          <w:rFonts w:hint="eastAsia" w:ascii="宋体" w:hAnsi="宋体" w:cs="宋体"/>
          <w:color w:val="auto"/>
          <w:kern w:val="0"/>
          <w:sz w:val="22"/>
          <w:szCs w:val="22"/>
          <w:highlight w:val="none"/>
        </w:rPr>
        <w:t>    标项名称：强脉冲光治疗仪（光子嫩肤治疗仪）采购 </w:t>
      </w:r>
    </w:p>
    <w:p w14:paraId="098789F1">
      <w:pPr>
        <w:widowControl/>
        <w:shd w:val="clear" w:color="auto" w:fill="F7F7F7"/>
        <w:spacing w:before="75" w:after="75" w:line="360" w:lineRule="atLeast"/>
        <w:jc w:val="left"/>
        <w:rPr>
          <w:rFonts w:ascii="宋体" w:hAnsi="宋体" w:cs="宋体"/>
          <w:color w:val="auto"/>
          <w:highlight w:val="none"/>
        </w:rPr>
      </w:pPr>
      <w:r>
        <w:rPr>
          <w:rFonts w:hint="eastAsia" w:ascii="宋体" w:hAnsi="宋体" w:cs="宋体"/>
          <w:color w:val="auto"/>
          <w:kern w:val="0"/>
          <w:sz w:val="22"/>
          <w:szCs w:val="22"/>
          <w:highlight w:val="none"/>
        </w:rPr>
        <w:t>    数量：2  </w:t>
      </w:r>
    </w:p>
    <w:p w14:paraId="7FE48D3C">
      <w:pPr>
        <w:widowControl/>
        <w:shd w:val="clear" w:color="auto" w:fill="F7F7F7"/>
        <w:spacing w:before="75" w:after="75" w:line="360" w:lineRule="atLeast"/>
        <w:jc w:val="left"/>
        <w:rPr>
          <w:rFonts w:ascii="宋体" w:hAnsi="宋体" w:cs="宋体"/>
          <w:color w:val="auto"/>
          <w:highlight w:val="none"/>
        </w:rPr>
      </w:pPr>
      <w:r>
        <w:rPr>
          <w:rFonts w:hint="eastAsia" w:ascii="宋体" w:hAnsi="宋体" w:cs="宋体"/>
          <w:color w:val="auto"/>
          <w:kern w:val="0"/>
          <w:sz w:val="22"/>
          <w:szCs w:val="22"/>
          <w:highlight w:val="none"/>
        </w:rPr>
        <w:t>    预算金额（元）：2400000 </w:t>
      </w:r>
    </w:p>
    <w:p w14:paraId="7BAD8287">
      <w:pPr>
        <w:widowControl/>
        <w:shd w:val="clear" w:color="auto" w:fill="F7F7F7"/>
        <w:spacing w:before="75" w:after="75" w:line="360" w:lineRule="atLeast"/>
        <w:jc w:val="left"/>
        <w:rPr>
          <w:rFonts w:ascii="宋体" w:hAnsi="宋体" w:cs="宋体"/>
          <w:color w:val="auto"/>
          <w:highlight w:val="none"/>
        </w:rPr>
      </w:pPr>
      <w:r>
        <w:rPr>
          <w:rFonts w:hint="eastAsia" w:ascii="宋体" w:hAnsi="宋体" w:cs="宋体"/>
          <w:color w:val="auto"/>
          <w:kern w:val="0"/>
          <w:sz w:val="22"/>
          <w:szCs w:val="22"/>
          <w:highlight w:val="none"/>
        </w:rPr>
        <w:t>    简要规格描述或项目基本概况介绍、用途：强脉冲光治疗仪（光子嫩肤治疗仪）采购，详见招标文件 </w:t>
      </w:r>
    </w:p>
    <w:p w14:paraId="5E519D01">
      <w:pPr>
        <w:widowControl/>
        <w:shd w:val="clear" w:color="auto" w:fill="F7F7F7"/>
        <w:spacing w:before="75" w:after="75" w:line="36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备注： </w:t>
      </w:r>
    </w:p>
    <w:p w14:paraId="5992B546">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合同履约期限：标项 1，详见招标文件</w:t>
      </w:r>
    </w:p>
    <w:p w14:paraId="19316A5B">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本项目（否）接受联合体投标。</w:t>
      </w:r>
    </w:p>
    <w:p w14:paraId="100129E0">
      <w:pPr>
        <w:widowControl/>
        <w:spacing w:before="225" w:after="225" w:line="300" w:lineRule="atLeast"/>
        <w:jc w:val="left"/>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二、申请人的资格要求：</w:t>
      </w:r>
    </w:p>
    <w:p w14:paraId="68A42846">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4A32C38A">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2.落实政府采购政策需满足的资格要求：标项1：无 </w:t>
      </w:r>
    </w:p>
    <w:p w14:paraId="69E94820">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3.本项目的特定资格要求：无 </w:t>
      </w:r>
    </w:p>
    <w:p w14:paraId="23183889">
      <w:pPr>
        <w:widowControl/>
        <w:spacing w:before="255" w:after="255" w:line="300" w:lineRule="atLeast"/>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三、获取招标文件</w:t>
      </w:r>
      <w:r>
        <w:rPr>
          <w:rFonts w:hint="eastAsia" w:ascii="宋体" w:hAnsi="宋体" w:cs="宋体"/>
          <w:color w:val="auto"/>
          <w:kern w:val="0"/>
          <w:sz w:val="22"/>
          <w:szCs w:val="22"/>
          <w:highlight w:val="none"/>
        </w:rPr>
        <w:t> </w:t>
      </w:r>
    </w:p>
    <w:p w14:paraId="09BF3A2A">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时间：/至</w:t>
      </w:r>
      <w:r>
        <w:rPr>
          <w:rFonts w:hint="eastAsia"/>
          <w:color w:val="auto"/>
          <w:sz w:val="22"/>
          <w:szCs w:val="22"/>
          <w:highlight w:val="none"/>
        </w:rPr>
        <w:t xml:space="preserve"> 2025年</w:t>
      </w:r>
      <w:r>
        <w:rPr>
          <w:rFonts w:hint="eastAsia"/>
          <w:color w:val="auto"/>
          <w:sz w:val="22"/>
          <w:szCs w:val="22"/>
          <w:highlight w:val="none"/>
          <w:lang w:val="en-US" w:eastAsia="zh-CN"/>
        </w:rPr>
        <w:t>2</w:t>
      </w:r>
      <w:r>
        <w:rPr>
          <w:rFonts w:hint="eastAsia"/>
          <w:color w:val="auto"/>
          <w:sz w:val="22"/>
          <w:szCs w:val="22"/>
          <w:highlight w:val="none"/>
        </w:rPr>
        <w:t>月</w:t>
      </w:r>
      <w:r>
        <w:rPr>
          <w:rFonts w:hint="eastAsia"/>
          <w:color w:val="auto"/>
          <w:sz w:val="22"/>
          <w:szCs w:val="22"/>
          <w:highlight w:val="none"/>
          <w:lang w:val="en-US" w:eastAsia="zh-CN"/>
        </w:rPr>
        <w:t>18</w:t>
      </w:r>
      <w:r>
        <w:rPr>
          <w:rFonts w:hint="eastAsia"/>
          <w:color w:val="auto"/>
          <w:sz w:val="22"/>
          <w:szCs w:val="22"/>
          <w:highlight w:val="none"/>
        </w:rPr>
        <w:t>日</w:t>
      </w:r>
      <w:r>
        <w:rPr>
          <w:rFonts w:hint="eastAsia" w:ascii="宋体" w:hAnsi="宋体" w:cs="宋体"/>
          <w:color w:val="auto"/>
          <w:kern w:val="0"/>
          <w:sz w:val="22"/>
          <w:szCs w:val="22"/>
          <w:highlight w:val="none"/>
        </w:rPr>
        <w:t> ，每天上午00:00至12:00 ，下午12:00至23:59（北京时间，线上获取法定节假日均可，线下获取文件法定节假日除外）</w:t>
      </w:r>
    </w:p>
    <w:p w14:paraId="1D422C49">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地点（网址）：政采云平台线上获取 </w:t>
      </w:r>
    </w:p>
    <w:p w14:paraId="40F20BDD">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方式：供应商登录政采云平台https://www.zcygov.cn/在线申请获取采购文件（进入“项目采购”应用，在获取采购文件菜单中选择项目，申请获取采购文件） </w:t>
      </w:r>
    </w:p>
    <w:p w14:paraId="063A64FD">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售价（元）：0 </w:t>
      </w:r>
    </w:p>
    <w:p w14:paraId="3605B440">
      <w:pPr>
        <w:widowControl/>
        <w:spacing w:before="255" w:after="255" w:line="300" w:lineRule="atLeast"/>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四、提交投标文件截止时间、开标时间和地点</w:t>
      </w:r>
    </w:p>
    <w:p w14:paraId="1F637E16">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提交投标文件截止时间：</w:t>
      </w:r>
      <w:r>
        <w:rPr>
          <w:rFonts w:hint="eastAsia"/>
          <w:color w:val="auto"/>
          <w:sz w:val="22"/>
          <w:szCs w:val="22"/>
          <w:highlight w:val="none"/>
        </w:rPr>
        <w:t xml:space="preserve"> 2025年</w:t>
      </w:r>
      <w:r>
        <w:rPr>
          <w:rFonts w:hint="eastAsia"/>
          <w:color w:val="auto"/>
          <w:sz w:val="22"/>
          <w:szCs w:val="22"/>
          <w:highlight w:val="none"/>
          <w:lang w:val="en-US" w:eastAsia="zh-CN"/>
        </w:rPr>
        <w:t>2</w:t>
      </w:r>
      <w:r>
        <w:rPr>
          <w:rFonts w:hint="eastAsia"/>
          <w:color w:val="auto"/>
          <w:sz w:val="22"/>
          <w:szCs w:val="22"/>
          <w:highlight w:val="none"/>
        </w:rPr>
        <w:t>月</w:t>
      </w:r>
      <w:r>
        <w:rPr>
          <w:rFonts w:hint="eastAsia"/>
          <w:color w:val="auto"/>
          <w:sz w:val="22"/>
          <w:szCs w:val="22"/>
          <w:highlight w:val="none"/>
          <w:lang w:val="en-US" w:eastAsia="zh-CN"/>
        </w:rPr>
        <w:t>18</w:t>
      </w:r>
      <w:r>
        <w:rPr>
          <w:rFonts w:hint="eastAsia"/>
          <w:color w:val="auto"/>
          <w:sz w:val="22"/>
          <w:szCs w:val="22"/>
          <w:highlight w:val="none"/>
        </w:rPr>
        <w:t>日</w:t>
      </w:r>
      <w:r>
        <w:rPr>
          <w:rFonts w:hint="eastAsia" w:ascii="宋体" w:hAnsi="宋体" w:cs="宋体"/>
          <w:color w:val="auto"/>
          <w:kern w:val="0"/>
          <w:sz w:val="22"/>
          <w:szCs w:val="22"/>
          <w:highlight w:val="none"/>
        </w:rPr>
        <w:t xml:space="preserve"> 09:30（北京时间）</w:t>
      </w:r>
    </w:p>
    <w:p w14:paraId="7AFFA72B">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投标地点（网址）：请登录政采云投标客户端投标 </w:t>
      </w:r>
    </w:p>
    <w:p w14:paraId="244AB94C">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开标时间：</w:t>
      </w:r>
      <w:r>
        <w:rPr>
          <w:rFonts w:hint="eastAsia"/>
          <w:color w:val="auto"/>
          <w:sz w:val="22"/>
          <w:szCs w:val="22"/>
          <w:highlight w:val="none"/>
        </w:rPr>
        <w:t xml:space="preserve"> 2025年</w:t>
      </w:r>
      <w:r>
        <w:rPr>
          <w:rFonts w:hint="eastAsia"/>
          <w:color w:val="auto"/>
          <w:sz w:val="22"/>
          <w:szCs w:val="22"/>
          <w:highlight w:val="none"/>
          <w:lang w:val="en-US" w:eastAsia="zh-CN"/>
        </w:rPr>
        <w:t>2</w:t>
      </w:r>
      <w:r>
        <w:rPr>
          <w:rFonts w:hint="eastAsia"/>
          <w:color w:val="auto"/>
          <w:sz w:val="22"/>
          <w:szCs w:val="22"/>
          <w:highlight w:val="none"/>
        </w:rPr>
        <w:t>月</w:t>
      </w:r>
      <w:r>
        <w:rPr>
          <w:rFonts w:hint="eastAsia"/>
          <w:color w:val="auto"/>
          <w:sz w:val="22"/>
          <w:szCs w:val="22"/>
          <w:highlight w:val="none"/>
          <w:lang w:val="en-US" w:eastAsia="zh-CN"/>
        </w:rPr>
        <w:t>18</w:t>
      </w:r>
      <w:r>
        <w:rPr>
          <w:rFonts w:hint="eastAsia"/>
          <w:color w:val="auto"/>
          <w:sz w:val="22"/>
          <w:szCs w:val="22"/>
          <w:highlight w:val="none"/>
        </w:rPr>
        <w:t>日</w:t>
      </w:r>
      <w:r>
        <w:rPr>
          <w:rFonts w:hint="eastAsia" w:ascii="宋体" w:hAnsi="宋体" w:cs="宋体"/>
          <w:color w:val="auto"/>
          <w:kern w:val="0"/>
          <w:sz w:val="22"/>
          <w:szCs w:val="22"/>
          <w:highlight w:val="none"/>
        </w:rPr>
        <w:t xml:space="preserve"> 09:30 </w:t>
      </w:r>
    </w:p>
    <w:p w14:paraId="603B2813">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开标地点（网址）：https://www.zcygov.cn/  </w:t>
      </w:r>
    </w:p>
    <w:p w14:paraId="4F7D28B3">
      <w:pPr>
        <w:widowControl/>
        <w:spacing w:before="255" w:after="255" w:line="300" w:lineRule="atLeast"/>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五、公告期限</w:t>
      </w:r>
      <w:r>
        <w:rPr>
          <w:rFonts w:hint="eastAsia" w:ascii="宋体" w:hAnsi="宋体" w:cs="宋体"/>
          <w:color w:val="auto"/>
          <w:kern w:val="0"/>
          <w:sz w:val="22"/>
          <w:szCs w:val="22"/>
          <w:highlight w:val="none"/>
        </w:rPr>
        <w:t> </w:t>
      </w:r>
    </w:p>
    <w:p w14:paraId="12B5C690">
      <w:pPr>
        <w:widowControl/>
        <w:spacing w:before="75" w:after="75"/>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自本公告发布之日起5个工作日。</w:t>
      </w:r>
    </w:p>
    <w:p w14:paraId="16C186D7">
      <w:pPr>
        <w:widowControl/>
        <w:spacing w:before="255" w:after="255" w:line="300" w:lineRule="atLeast"/>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六、其他补充事宜</w:t>
      </w:r>
    </w:p>
    <w:p w14:paraId="7271E16B">
      <w:pPr>
        <w:widowControl/>
        <w:spacing w:before="255" w:after="255" w:line="300" w:lineRule="atLeast"/>
        <w:ind w:firstLine="48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305E747">
      <w:pPr>
        <w:widowControl/>
        <w:spacing w:before="255" w:after="255" w:line="300" w:lineRule="atLeast"/>
        <w:ind w:firstLine="480"/>
        <w:rPr>
          <w:rFonts w:ascii="宋体" w:hAnsi="宋体" w:cs="宋体"/>
          <w:color w:val="auto"/>
          <w:kern w:val="0"/>
          <w:sz w:val="22"/>
          <w:szCs w:val="22"/>
          <w:highlight w:val="none"/>
        </w:rPr>
      </w:pPr>
      <w:r>
        <w:rPr>
          <w:rFonts w:hint="eastAsia" w:ascii="宋体" w:hAnsi="宋体" w:cs="宋体"/>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30B9C86">
      <w:pPr>
        <w:widowControl/>
        <w:spacing w:before="75" w:after="75" w:line="360" w:lineRule="atLeast"/>
        <w:ind w:firstLine="48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“政采云电子交易客户端”请自行前往“浙江政府采购网-下载专区－电子交易客户端”进行下载；通过“政府采购云平台”参与在线投标时如遇平台技术问题详询95763。 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采购公告附件内的采购文件（或采购需求）仅供阅览使用，供应商只有在“政府采购云平台”完成获取采购文件申请并下载了采购文件后才视作依法获取采购文件（法律法规所指的供应商获取采购文件的时间以供应商完成获取采购文件申请后下载采购文件的时间为准）。 注：请供应商按上述要求获取采购文件，如未在“政采云”系统内完成相关流程，引起的投标无效责任自负。   </w:t>
      </w:r>
    </w:p>
    <w:p w14:paraId="25DD8A5F">
      <w:pPr>
        <w:widowControl/>
        <w:spacing w:before="255" w:after="255" w:line="480" w:lineRule="atLeast"/>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七、对本次采购提出询问、质疑、投诉，请按以下方式联系</w:t>
      </w:r>
    </w:p>
    <w:p w14:paraId="5EF7BE73">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1.采购人信息</w:t>
      </w:r>
    </w:p>
    <w:p w14:paraId="5EFCD482">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hint="eastAsia" w:ascii="宋体" w:hAnsi="宋体" w:cs="宋体"/>
          <w:color w:val="auto"/>
          <w:kern w:val="0"/>
          <w:sz w:val="22"/>
          <w:szCs w:val="22"/>
          <w:highlight w:val="none"/>
        </w:rPr>
        <w:t xml:space="preserve">    </w:t>
      </w:r>
      <w:r>
        <w:rPr>
          <w:rFonts w:cs="Arial" w:asciiTheme="majorEastAsia" w:hAnsiTheme="majorEastAsia" w:eastAsiaTheme="majorEastAsia"/>
          <w:color w:val="auto"/>
          <w:kern w:val="0"/>
          <w:sz w:val="22"/>
          <w:szCs w:val="22"/>
          <w:highlight w:val="none"/>
        </w:rPr>
        <w:t xml:space="preserve"> 名    称：</w:t>
      </w:r>
      <w:r>
        <w:rPr>
          <w:rFonts w:hint="eastAsia" w:cs="Arial" w:asciiTheme="majorEastAsia" w:hAnsiTheme="majorEastAsia" w:eastAsiaTheme="majorEastAsia"/>
          <w:color w:val="auto"/>
          <w:kern w:val="0"/>
          <w:sz w:val="22"/>
          <w:szCs w:val="22"/>
          <w:highlight w:val="none"/>
        </w:rPr>
        <w:t>永嘉县人民医院（1），永嘉县中医医院（2）</w:t>
      </w:r>
    </w:p>
    <w:p w14:paraId="7B204CE6">
      <w:pPr>
        <w:widowControl/>
        <w:spacing w:before="75" w:after="75" w:line="360" w:lineRule="auto"/>
        <w:ind w:firstLine="660" w:firstLineChars="300"/>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地    址：</w:t>
      </w:r>
      <w:r>
        <w:rPr>
          <w:rFonts w:hint="eastAsia" w:cs="Arial" w:asciiTheme="majorEastAsia" w:hAnsiTheme="majorEastAsia" w:eastAsiaTheme="majorEastAsia"/>
          <w:color w:val="auto"/>
          <w:kern w:val="0"/>
          <w:sz w:val="22"/>
          <w:szCs w:val="22"/>
          <w:highlight w:val="none"/>
          <w:lang w:eastAsia="zh-CN"/>
        </w:rPr>
        <w:t>温州市永嘉县北城街道永中路37号</w:t>
      </w:r>
      <w:r>
        <w:rPr>
          <w:rFonts w:hint="eastAsia" w:cs="Arial" w:asciiTheme="majorEastAsia" w:hAnsiTheme="majorEastAsia" w:eastAsiaTheme="majorEastAsia"/>
          <w:color w:val="auto"/>
          <w:kern w:val="0"/>
          <w:sz w:val="22"/>
          <w:szCs w:val="22"/>
          <w:highlight w:val="none"/>
        </w:rPr>
        <w:t xml:space="preserve"> （1），</w:t>
      </w:r>
      <w:r>
        <w:rPr>
          <w:rFonts w:hint="eastAsia" w:cs="Arial" w:asciiTheme="majorEastAsia" w:hAnsiTheme="majorEastAsia" w:eastAsiaTheme="majorEastAsia"/>
          <w:color w:val="auto"/>
          <w:kern w:val="0"/>
          <w:sz w:val="22"/>
          <w:szCs w:val="22"/>
          <w:highlight w:val="none"/>
          <w:lang w:eastAsia="zh-CN"/>
        </w:rPr>
        <w:t>永嘉县瓯北街道公园路6号</w:t>
      </w:r>
      <w:r>
        <w:rPr>
          <w:rFonts w:hint="eastAsia" w:cs="Arial" w:asciiTheme="majorEastAsia" w:hAnsiTheme="majorEastAsia" w:eastAsiaTheme="majorEastAsia"/>
          <w:color w:val="auto"/>
          <w:kern w:val="0"/>
          <w:sz w:val="22"/>
          <w:szCs w:val="22"/>
          <w:highlight w:val="none"/>
        </w:rPr>
        <w:t>（2）</w:t>
      </w:r>
      <w:r>
        <w:rPr>
          <w:rFonts w:cs="Arial" w:asciiTheme="majorEastAsia" w:hAnsiTheme="majorEastAsia" w:eastAsiaTheme="majorEastAsia"/>
          <w:color w:val="auto"/>
          <w:kern w:val="0"/>
          <w:sz w:val="22"/>
          <w:szCs w:val="22"/>
          <w:highlight w:val="none"/>
        </w:rPr>
        <w:t> </w:t>
      </w:r>
    </w:p>
    <w:p w14:paraId="65756938">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传    真：  </w:t>
      </w:r>
    </w:p>
    <w:p w14:paraId="29051F42">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项目联系人（询问）：</w:t>
      </w:r>
      <w:r>
        <w:rPr>
          <w:rFonts w:hint="eastAsia" w:cs="Arial" w:asciiTheme="majorEastAsia" w:hAnsiTheme="majorEastAsia" w:eastAsiaTheme="majorEastAsia"/>
          <w:color w:val="auto"/>
          <w:kern w:val="0"/>
          <w:sz w:val="22"/>
          <w:szCs w:val="22"/>
          <w:highlight w:val="none"/>
        </w:rPr>
        <w:t>金先生、陈女士</w:t>
      </w:r>
      <w:r>
        <w:rPr>
          <w:rFonts w:cs="Arial" w:asciiTheme="majorEastAsia" w:hAnsiTheme="majorEastAsia" w:eastAsiaTheme="majorEastAsia"/>
          <w:color w:val="auto"/>
          <w:kern w:val="0"/>
          <w:sz w:val="22"/>
          <w:szCs w:val="22"/>
          <w:highlight w:val="none"/>
        </w:rPr>
        <w:t>  </w:t>
      </w:r>
    </w:p>
    <w:p w14:paraId="2516BEF8">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项目联系方式（询问）</w:t>
      </w:r>
      <w:r>
        <w:rPr>
          <w:rFonts w:hint="eastAsia" w:cs="Arial" w:asciiTheme="majorEastAsia" w:hAnsiTheme="majorEastAsia" w:eastAsiaTheme="majorEastAsia"/>
          <w:color w:val="auto"/>
          <w:kern w:val="0"/>
          <w:sz w:val="22"/>
          <w:szCs w:val="22"/>
          <w:highlight w:val="none"/>
        </w:rPr>
        <w:t>：0577-57762511、0577-57881035</w:t>
      </w:r>
    </w:p>
    <w:p w14:paraId="0896E344">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质疑联系人：</w:t>
      </w:r>
      <w:r>
        <w:rPr>
          <w:rFonts w:hint="eastAsia" w:cs="Arial" w:asciiTheme="majorEastAsia" w:hAnsiTheme="majorEastAsia" w:eastAsiaTheme="majorEastAsia"/>
          <w:color w:val="auto"/>
          <w:kern w:val="0"/>
          <w:sz w:val="22"/>
          <w:szCs w:val="22"/>
          <w:highlight w:val="none"/>
        </w:rPr>
        <w:t>金先生、陈女士</w:t>
      </w:r>
      <w:r>
        <w:rPr>
          <w:rFonts w:cs="Arial" w:asciiTheme="majorEastAsia" w:hAnsiTheme="majorEastAsia" w:eastAsiaTheme="majorEastAsia"/>
          <w:color w:val="auto"/>
          <w:kern w:val="0"/>
          <w:sz w:val="22"/>
          <w:szCs w:val="22"/>
          <w:highlight w:val="none"/>
        </w:rPr>
        <w:t>    </w:t>
      </w:r>
    </w:p>
    <w:p w14:paraId="2FF3EFA3">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cs="Arial" w:asciiTheme="majorEastAsia" w:hAnsiTheme="majorEastAsia" w:eastAsiaTheme="majorEastAsia"/>
          <w:color w:val="auto"/>
          <w:kern w:val="0"/>
          <w:sz w:val="22"/>
          <w:szCs w:val="22"/>
          <w:highlight w:val="none"/>
        </w:rPr>
        <w:t>    质疑联系方式：</w:t>
      </w:r>
      <w:r>
        <w:rPr>
          <w:rFonts w:hint="eastAsia" w:cs="Arial" w:asciiTheme="majorEastAsia" w:hAnsiTheme="majorEastAsia" w:eastAsiaTheme="majorEastAsia"/>
          <w:color w:val="auto"/>
          <w:kern w:val="0"/>
          <w:sz w:val="22"/>
          <w:szCs w:val="22"/>
          <w:highlight w:val="none"/>
        </w:rPr>
        <w:t>0577-57762511、0577-57881035</w:t>
      </w:r>
      <w:r>
        <w:rPr>
          <w:rFonts w:cs="Arial" w:asciiTheme="majorEastAsia" w:hAnsiTheme="majorEastAsia" w:eastAsiaTheme="majorEastAsia"/>
          <w:color w:val="auto"/>
          <w:kern w:val="0"/>
          <w:sz w:val="22"/>
          <w:szCs w:val="22"/>
          <w:highlight w:val="none"/>
        </w:rPr>
        <w:t> </w:t>
      </w:r>
    </w:p>
    <w:p w14:paraId="147A53FF">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p w14:paraId="5B85FDFB">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p w14:paraId="6D59C0A8">
      <w:pPr>
        <w:pStyle w:val="6"/>
        <w:ind w:firstLine="422"/>
        <w:rPr>
          <w:rFonts w:ascii="宋体" w:eastAsia="宋体"/>
          <w:color w:val="auto"/>
          <w:highlight w:val="none"/>
        </w:rPr>
      </w:pPr>
    </w:p>
    <w:p w14:paraId="266008C4">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2.采购代理机构信息            </w:t>
      </w:r>
    </w:p>
    <w:p w14:paraId="5EA0311F">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名    称：温州市中概工程管理咨询有限公司             </w:t>
      </w:r>
    </w:p>
    <w:p w14:paraId="42574A84">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地    址：温州市永嘉县南城街道环城北路618号云碓大厦503室             </w:t>
      </w:r>
    </w:p>
    <w:p w14:paraId="3A3AF139">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传    真：             </w:t>
      </w:r>
    </w:p>
    <w:p w14:paraId="5D877303">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项目联系人（询问）：胡可可              </w:t>
      </w:r>
    </w:p>
    <w:p w14:paraId="3D1CC04B">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项目联系方式（询问）：15258683545 </w:t>
      </w:r>
    </w:p>
    <w:p w14:paraId="68D600E5">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质疑联系人：余茜茜             </w:t>
      </w:r>
    </w:p>
    <w:p w14:paraId="6B30C8CC">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质疑联系方式：13567723502 　　　　　　     </w:t>
      </w:r>
    </w:p>
    <w:p w14:paraId="07D29BC6">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p w14:paraId="2EB8F08F">
      <w:pPr>
        <w:pStyle w:val="6"/>
        <w:ind w:firstLine="422"/>
        <w:rPr>
          <w:rFonts w:ascii="宋体" w:eastAsia="宋体"/>
          <w:color w:val="auto"/>
          <w:highlight w:val="none"/>
        </w:rPr>
      </w:pPr>
    </w:p>
    <w:p w14:paraId="473C86FE">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3.同级政府采购监督管理部门</w:t>
      </w:r>
    </w:p>
    <w:p w14:paraId="0465252D">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名    称：永嘉县财政局</w:t>
      </w:r>
    </w:p>
    <w:p w14:paraId="097E271A">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地    址：</w:t>
      </w:r>
    </w:p>
    <w:p w14:paraId="31BCEC2F">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传    真：</w:t>
      </w:r>
    </w:p>
    <w:p w14:paraId="0224FBB3">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联 系 人：沈女士</w:t>
      </w:r>
    </w:p>
    <w:p w14:paraId="124C6830">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监督投诉电话：0577-67230257</w:t>
      </w:r>
    </w:p>
    <w:p w14:paraId="01417818">
      <w:pPr>
        <w:widowControl/>
        <w:spacing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p w14:paraId="16627E02">
      <w:pPr>
        <w:widowControl/>
        <w:spacing w:before="75" w:after="75" w:line="300" w:lineRule="atLeas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p w14:paraId="5ED127BC">
      <w:pPr>
        <w:widowControl/>
        <w:spacing w:before="75" w:after="75"/>
        <w:jc w:val="left"/>
        <w:rPr>
          <w:rFonts w:ascii="宋体" w:hAnsi="宋体" w:cs="宋体"/>
          <w:color w:val="auto"/>
          <w:kern w:val="0"/>
          <w:sz w:val="22"/>
          <w:szCs w:val="22"/>
          <w:highlight w:val="none"/>
        </w:rPr>
      </w:pPr>
    </w:p>
    <w:p w14:paraId="1089A8AC">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       </w:t>
      </w:r>
    </w:p>
    <w:p w14:paraId="0A264206">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CA问题联系电话（人工）：汇信CA 400-888-4636；天谷CA 400-087-8198。</w:t>
      </w:r>
    </w:p>
    <w:p w14:paraId="0450A899">
      <w:pPr>
        <w:widowControl/>
        <w:spacing w:before="75" w:after="75" w:line="360" w:lineRule="auto"/>
        <w:jc w:val="left"/>
        <w:rPr>
          <w:rFonts w:ascii="宋体" w:hAnsi="宋体" w:cs="宋体"/>
          <w:color w:val="auto"/>
          <w:kern w:val="0"/>
          <w:sz w:val="22"/>
          <w:szCs w:val="22"/>
          <w:highlight w:val="none"/>
        </w:rPr>
      </w:pPr>
    </w:p>
    <w:p w14:paraId="4162F0C8">
      <w:pPr>
        <w:rPr>
          <w:rFonts w:ascii="宋体" w:hAnsi="宋体" w:cs="宋体"/>
          <w:color w:val="auto"/>
          <w:sz w:val="30"/>
          <w:szCs w:val="30"/>
          <w:highlight w:val="none"/>
        </w:rPr>
      </w:pPr>
      <w:r>
        <w:rPr>
          <w:rFonts w:hint="eastAsia" w:ascii="宋体" w:hAnsi="宋体" w:cs="宋体"/>
          <w:color w:val="auto"/>
          <w:sz w:val="30"/>
          <w:szCs w:val="30"/>
          <w:highlight w:val="none"/>
        </w:rPr>
        <w:br w:type="page"/>
      </w:r>
    </w:p>
    <w:p w14:paraId="32C64872">
      <w:pPr>
        <w:pStyle w:val="39"/>
        <w:rPr>
          <w:rFonts w:ascii="宋体" w:hAnsi="宋体" w:cs="宋体"/>
          <w:color w:val="auto"/>
          <w:sz w:val="30"/>
          <w:szCs w:val="30"/>
          <w:highlight w:val="none"/>
        </w:rPr>
      </w:pPr>
      <w:bookmarkStart w:id="6" w:name="_Toc17480"/>
      <w:r>
        <w:rPr>
          <w:rFonts w:hint="eastAsia" w:ascii="宋体" w:hAnsi="宋体" w:cs="宋体"/>
          <w:color w:val="auto"/>
          <w:sz w:val="30"/>
          <w:szCs w:val="30"/>
          <w:highlight w:val="none"/>
        </w:rPr>
        <w:t>第一部分  投标通知（邀请）书</w:t>
      </w:r>
      <w:bookmarkEnd w:id="3"/>
      <w:bookmarkEnd w:id="4"/>
      <w:bookmarkEnd w:id="6"/>
    </w:p>
    <w:tbl>
      <w:tblPr>
        <w:tblStyle w:val="43"/>
        <w:tblW w:w="10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4"/>
        <w:gridCol w:w="1715"/>
        <w:gridCol w:w="7821"/>
      </w:tblGrid>
      <w:tr w14:paraId="232BC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3EF97DC4">
            <w:pPr>
              <w:spacing w:line="400" w:lineRule="atLeas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715" w:type="dxa"/>
            <w:vAlign w:val="center"/>
          </w:tcPr>
          <w:p w14:paraId="4BE760A6">
            <w:pPr>
              <w:spacing w:line="400" w:lineRule="atLeast"/>
              <w:jc w:val="center"/>
              <w:rPr>
                <w:rFonts w:ascii="宋体" w:hAnsi="宋体" w:cs="宋体"/>
                <w:color w:val="auto"/>
                <w:sz w:val="22"/>
                <w:szCs w:val="22"/>
                <w:highlight w:val="none"/>
              </w:rPr>
            </w:pPr>
            <w:r>
              <w:rPr>
                <w:rFonts w:hint="eastAsia" w:ascii="宋体" w:hAnsi="宋体" w:cs="宋体"/>
                <w:color w:val="auto"/>
                <w:sz w:val="22"/>
                <w:szCs w:val="22"/>
                <w:highlight w:val="none"/>
              </w:rPr>
              <w:t>内容</w:t>
            </w:r>
          </w:p>
        </w:tc>
        <w:tc>
          <w:tcPr>
            <w:tcW w:w="7821" w:type="dxa"/>
            <w:vAlign w:val="center"/>
          </w:tcPr>
          <w:p w14:paraId="5C76863F">
            <w:pPr>
              <w:spacing w:line="400" w:lineRule="atLeast"/>
              <w:jc w:val="center"/>
              <w:rPr>
                <w:rFonts w:ascii="宋体" w:hAnsi="宋体" w:cs="宋体"/>
                <w:color w:val="auto"/>
                <w:sz w:val="22"/>
                <w:szCs w:val="22"/>
                <w:highlight w:val="none"/>
              </w:rPr>
            </w:pPr>
            <w:r>
              <w:rPr>
                <w:rFonts w:hint="eastAsia" w:ascii="宋体" w:hAnsi="宋体" w:cs="宋体"/>
                <w:color w:val="auto"/>
                <w:sz w:val="22"/>
                <w:szCs w:val="22"/>
                <w:highlight w:val="none"/>
              </w:rPr>
              <w:t>说明与要求</w:t>
            </w:r>
          </w:p>
        </w:tc>
      </w:tr>
      <w:tr w14:paraId="5240C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4" w:type="dxa"/>
            <w:vAlign w:val="center"/>
          </w:tcPr>
          <w:p w14:paraId="2F8575FF">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715" w:type="dxa"/>
            <w:vAlign w:val="center"/>
          </w:tcPr>
          <w:p w14:paraId="4DFBD9FD">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采购人</w:t>
            </w:r>
          </w:p>
        </w:tc>
        <w:tc>
          <w:tcPr>
            <w:tcW w:w="7821" w:type="dxa"/>
            <w:vAlign w:val="center"/>
          </w:tcPr>
          <w:p w14:paraId="3060B3B1">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采购人1信息</w:t>
            </w:r>
          </w:p>
          <w:p w14:paraId="70457966">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hint="eastAsia" w:cs="Arial" w:asciiTheme="majorEastAsia" w:hAnsiTheme="majorEastAsia" w:eastAsiaTheme="majorEastAsia"/>
                <w:color w:val="auto"/>
                <w:kern w:val="0"/>
                <w:sz w:val="22"/>
                <w:szCs w:val="22"/>
                <w:highlight w:val="none"/>
              </w:rPr>
              <w:t>名称：永嘉县人民医院</w:t>
            </w:r>
          </w:p>
          <w:p w14:paraId="7995FAB5">
            <w:pPr>
              <w:widowControl/>
              <w:spacing w:before="75" w:after="75" w:line="360" w:lineRule="auto"/>
              <w:jc w:val="left"/>
              <w:rPr>
                <w:rFonts w:cs="Arial" w:asciiTheme="majorEastAsia" w:hAnsiTheme="majorEastAsia" w:eastAsiaTheme="majorEastAsia"/>
                <w:color w:val="auto"/>
                <w:kern w:val="0"/>
                <w:sz w:val="22"/>
                <w:szCs w:val="22"/>
                <w:highlight w:val="none"/>
              </w:rPr>
            </w:pPr>
            <w:r>
              <w:rPr>
                <w:rFonts w:hint="eastAsia" w:cs="Arial" w:asciiTheme="majorEastAsia" w:hAnsiTheme="majorEastAsia" w:eastAsiaTheme="majorEastAsia"/>
                <w:color w:val="auto"/>
                <w:kern w:val="0"/>
                <w:sz w:val="22"/>
                <w:szCs w:val="22"/>
                <w:highlight w:val="none"/>
              </w:rPr>
              <w:t>地址：</w:t>
            </w:r>
            <w:r>
              <w:rPr>
                <w:rFonts w:hint="eastAsia" w:cs="Arial" w:asciiTheme="majorEastAsia" w:hAnsiTheme="majorEastAsia" w:eastAsiaTheme="majorEastAsia"/>
                <w:color w:val="auto"/>
                <w:kern w:val="0"/>
                <w:sz w:val="22"/>
                <w:szCs w:val="22"/>
                <w:highlight w:val="none"/>
                <w:lang w:eastAsia="zh-CN"/>
              </w:rPr>
              <w:t>温州市永嘉县北城街道永中路37号</w:t>
            </w:r>
            <w:r>
              <w:rPr>
                <w:rFonts w:hint="eastAsia" w:cs="Arial" w:asciiTheme="majorEastAsia" w:hAnsiTheme="majorEastAsia" w:eastAsiaTheme="majorEastAsia"/>
                <w:color w:val="auto"/>
                <w:kern w:val="0"/>
                <w:sz w:val="22"/>
                <w:szCs w:val="22"/>
                <w:highlight w:val="none"/>
              </w:rPr>
              <w:t xml:space="preserve"> </w:t>
            </w:r>
          </w:p>
          <w:p w14:paraId="3E42BFAA">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采购人2信息</w:t>
            </w:r>
          </w:p>
          <w:p w14:paraId="773F50A2">
            <w:pPr>
              <w:spacing w:line="360" w:lineRule="auto"/>
              <w:rPr>
                <w:rFonts w:cs="Arial" w:asciiTheme="majorEastAsia" w:hAnsiTheme="majorEastAsia" w:eastAsiaTheme="majorEastAsia"/>
                <w:color w:val="auto"/>
                <w:kern w:val="0"/>
                <w:sz w:val="22"/>
                <w:szCs w:val="22"/>
                <w:highlight w:val="none"/>
              </w:rPr>
            </w:pPr>
            <w:r>
              <w:rPr>
                <w:rFonts w:hint="eastAsia" w:cs="Arial" w:asciiTheme="majorEastAsia" w:hAnsiTheme="majorEastAsia" w:eastAsiaTheme="majorEastAsia"/>
                <w:color w:val="auto"/>
                <w:kern w:val="0"/>
                <w:sz w:val="22"/>
                <w:szCs w:val="22"/>
                <w:highlight w:val="none"/>
              </w:rPr>
              <w:t>名称：永嘉县中医医院</w:t>
            </w:r>
          </w:p>
          <w:p w14:paraId="0028206B">
            <w:pPr>
              <w:widowControl/>
              <w:spacing w:before="75" w:after="75" w:line="360" w:lineRule="auto"/>
              <w:jc w:val="left"/>
              <w:rPr>
                <w:rFonts w:hint="eastAsia" w:cs="Arial" w:asciiTheme="majorEastAsia" w:hAnsiTheme="majorEastAsia" w:eastAsiaTheme="majorEastAsia"/>
                <w:color w:val="auto"/>
                <w:kern w:val="0"/>
                <w:sz w:val="22"/>
                <w:szCs w:val="22"/>
                <w:highlight w:val="none"/>
                <w:lang w:eastAsia="zh-CN"/>
              </w:rPr>
            </w:pPr>
            <w:r>
              <w:rPr>
                <w:rFonts w:hint="eastAsia" w:cs="Arial" w:asciiTheme="majorEastAsia" w:hAnsiTheme="majorEastAsia" w:eastAsiaTheme="majorEastAsia"/>
                <w:color w:val="auto"/>
                <w:kern w:val="0"/>
                <w:sz w:val="22"/>
                <w:szCs w:val="22"/>
                <w:highlight w:val="none"/>
              </w:rPr>
              <w:t>地址：</w:t>
            </w:r>
            <w:r>
              <w:rPr>
                <w:rFonts w:hint="eastAsia" w:cs="Arial" w:asciiTheme="majorEastAsia" w:hAnsiTheme="majorEastAsia" w:eastAsiaTheme="majorEastAsia"/>
                <w:color w:val="auto"/>
                <w:kern w:val="0"/>
                <w:sz w:val="22"/>
                <w:szCs w:val="22"/>
                <w:highlight w:val="none"/>
                <w:lang w:eastAsia="zh-CN"/>
              </w:rPr>
              <w:t>永嘉县瓯北街道公园路6号</w:t>
            </w:r>
          </w:p>
          <w:p w14:paraId="2EBA2727">
            <w:pPr>
              <w:adjustRightInd w:val="0"/>
              <w:rPr>
                <w:rFonts w:ascii="宋体" w:hAnsi="宋体" w:cs="宋体"/>
                <w:color w:val="auto"/>
                <w:sz w:val="22"/>
                <w:szCs w:val="22"/>
                <w:highlight w:val="none"/>
              </w:rPr>
            </w:pPr>
          </w:p>
        </w:tc>
      </w:tr>
      <w:tr w14:paraId="1BC95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7AD1DCB7">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715" w:type="dxa"/>
            <w:vAlign w:val="center"/>
          </w:tcPr>
          <w:p w14:paraId="5C9F8312">
            <w:pPr>
              <w:jc w:val="center"/>
              <w:rPr>
                <w:rFonts w:ascii="宋体" w:hAnsi="宋体" w:cs="宋体"/>
                <w:color w:val="auto"/>
                <w:sz w:val="22"/>
                <w:szCs w:val="22"/>
                <w:highlight w:val="none"/>
              </w:rPr>
            </w:pPr>
            <w:r>
              <w:rPr>
                <w:rFonts w:hint="eastAsia" w:ascii="宋体" w:hAnsi="宋体" w:cs="宋体"/>
                <w:color w:val="auto"/>
                <w:sz w:val="22"/>
                <w:szCs w:val="22"/>
                <w:highlight w:val="none"/>
              </w:rPr>
              <w:t>采购代理机构</w:t>
            </w:r>
          </w:p>
        </w:tc>
        <w:tc>
          <w:tcPr>
            <w:tcW w:w="7821" w:type="dxa"/>
            <w:vAlign w:val="center"/>
          </w:tcPr>
          <w:p w14:paraId="62C3B091">
            <w:pPr>
              <w:adjustRightInd w:val="0"/>
              <w:rPr>
                <w:rFonts w:ascii="宋体" w:hAnsi="宋体" w:cs="宋体"/>
                <w:bCs/>
                <w:color w:val="auto"/>
                <w:sz w:val="22"/>
                <w:szCs w:val="22"/>
                <w:highlight w:val="none"/>
              </w:rPr>
            </w:pPr>
            <w:r>
              <w:rPr>
                <w:rFonts w:hint="eastAsia" w:ascii="宋体" w:hAnsi="宋体" w:cs="宋体"/>
                <w:bCs/>
                <w:color w:val="auto"/>
                <w:sz w:val="22"/>
                <w:szCs w:val="22"/>
                <w:highlight w:val="none"/>
              </w:rPr>
              <w:t>采购代理机构名称：温州市中概工程管理咨询有限公司</w:t>
            </w:r>
          </w:p>
          <w:p w14:paraId="678A281D">
            <w:pPr>
              <w:adjustRightInd w:val="0"/>
              <w:rPr>
                <w:rFonts w:ascii="宋体" w:hAnsi="宋体" w:cs="宋体"/>
                <w:bCs/>
                <w:color w:val="auto"/>
                <w:sz w:val="22"/>
                <w:szCs w:val="22"/>
                <w:highlight w:val="none"/>
              </w:rPr>
            </w:pPr>
            <w:r>
              <w:rPr>
                <w:rFonts w:hint="eastAsia" w:ascii="宋体" w:hAnsi="宋体" w:cs="宋体"/>
                <w:bCs/>
                <w:color w:val="auto"/>
                <w:sz w:val="22"/>
                <w:szCs w:val="22"/>
                <w:highlight w:val="none"/>
              </w:rPr>
              <w:t>地点：温州市永嘉县南城街道环城北路云碓大厦503室</w:t>
            </w:r>
          </w:p>
          <w:p w14:paraId="3DCFB359">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联 系 人：胡可可</w:t>
            </w:r>
          </w:p>
          <w:p w14:paraId="2B043646">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联系电话：15258683545</w:t>
            </w:r>
          </w:p>
        </w:tc>
      </w:tr>
      <w:tr w14:paraId="45D50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3EA51660">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715" w:type="dxa"/>
            <w:vAlign w:val="center"/>
          </w:tcPr>
          <w:p w14:paraId="2EAAC048">
            <w:pPr>
              <w:jc w:val="center"/>
              <w:rPr>
                <w:rFonts w:ascii="宋体" w:hAnsi="宋体" w:cs="宋体"/>
                <w:color w:val="auto"/>
                <w:sz w:val="22"/>
                <w:szCs w:val="22"/>
                <w:highlight w:val="none"/>
              </w:rPr>
            </w:pPr>
            <w:r>
              <w:rPr>
                <w:rFonts w:hint="eastAsia" w:ascii="宋体" w:hAnsi="宋体" w:cs="宋体"/>
                <w:color w:val="auto"/>
                <w:sz w:val="22"/>
                <w:szCs w:val="22"/>
                <w:highlight w:val="none"/>
              </w:rPr>
              <w:t>项目名称及项目编号</w:t>
            </w:r>
          </w:p>
        </w:tc>
        <w:tc>
          <w:tcPr>
            <w:tcW w:w="7821" w:type="dxa"/>
            <w:vAlign w:val="center"/>
          </w:tcPr>
          <w:p w14:paraId="60D8FDE3">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项目名称：</w:t>
            </w:r>
            <w:r>
              <w:rPr>
                <w:rFonts w:hint="eastAsia" w:ascii="宋体" w:hAnsi="宋体" w:cs="宋体"/>
                <w:bCs/>
                <w:color w:val="auto"/>
                <w:sz w:val="22"/>
                <w:szCs w:val="22"/>
                <w:highlight w:val="none"/>
              </w:rPr>
              <w:t>强脉冲光治疗仪（光子嫩肤治疗仪）采购</w:t>
            </w:r>
          </w:p>
          <w:p w14:paraId="7F3AED53">
            <w:pP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rPr>
              <w:t>项目编号：</w:t>
            </w:r>
            <w:r>
              <w:rPr>
                <w:rFonts w:hint="eastAsia" w:ascii="宋体" w:hAnsi="宋体" w:cs="宋体"/>
                <w:color w:val="auto"/>
                <w:sz w:val="22"/>
                <w:szCs w:val="22"/>
                <w:highlight w:val="none"/>
                <w:lang w:eastAsia="zh-CN"/>
              </w:rPr>
              <w:t>ZGCG-20250121-1</w:t>
            </w:r>
          </w:p>
        </w:tc>
      </w:tr>
      <w:tr w14:paraId="328D5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4F4888E6">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715" w:type="dxa"/>
            <w:vAlign w:val="center"/>
          </w:tcPr>
          <w:p w14:paraId="38888746">
            <w:pPr>
              <w:jc w:val="center"/>
              <w:rPr>
                <w:rFonts w:ascii="宋体" w:hAnsi="宋体" w:cs="宋体"/>
                <w:color w:val="auto"/>
                <w:sz w:val="22"/>
                <w:szCs w:val="22"/>
                <w:highlight w:val="none"/>
              </w:rPr>
            </w:pPr>
            <w:r>
              <w:rPr>
                <w:rFonts w:hint="eastAsia" w:ascii="宋体" w:hAnsi="宋体" w:cs="宋体"/>
                <w:color w:val="auto"/>
                <w:sz w:val="22"/>
                <w:szCs w:val="22"/>
                <w:highlight w:val="none"/>
              </w:rPr>
              <w:t>采购预算</w:t>
            </w:r>
          </w:p>
        </w:tc>
        <w:tc>
          <w:tcPr>
            <w:tcW w:w="7821" w:type="dxa"/>
            <w:vAlign w:val="center"/>
          </w:tcPr>
          <w:p w14:paraId="4EBCE70B">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见招标公告</w:t>
            </w:r>
          </w:p>
        </w:tc>
      </w:tr>
      <w:tr w14:paraId="17CE61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278405D2">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715" w:type="dxa"/>
            <w:vAlign w:val="center"/>
          </w:tcPr>
          <w:p w14:paraId="50C7290E">
            <w:pPr>
              <w:jc w:val="center"/>
              <w:rPr>
                <w:rFonts w:ascii="宋体" w:hAnsi="宋体" w:cs="宋体"/>
                <w:color w:val="auto"/>
                <w:sz w:val="22"/>
                <w:szCs w:val="22"/>
                <w:highlight w:val="none"/>
              </w:rPr>
            </w:pPr>
            <w:r>
              <w:rPr>
                <w:rFonts w:hint="eastAsia" w:ascii="宋体" w:hAnsi="宋体" w:cs="宋体"/>
                <w:color w:val="auto"/>
                <w:sz w:val="22"/>
                <w:szCs w:val="22"/>
                <w:highlight w:val="none"/>
              </w:rPr>
              <w:t>评标办法</w:t>
            </w:r>
          </w:p>
        </w:tc>
        <w:tc>
          <w:tcPr>
            <w:tcW w:w="7821" w:type="dxa"/>
            <w:vAlign w:val="center"/>
          </w:tcPr>
          <w:p w14:paraId="673EEA66">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综合评分法</w:t>
            </w:r>
          </w:p>
        </w:tc>
      </w:tr>
      <w:tr w14:paraId="063CF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50DD251A">
            <w:pPr>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1715" w:type="dxa"/>
            <w:vAlign w:val="center"/>
          </w:tcPr>
          <w:p w14:paraId="0DB6EB12">
            <w:pPr>
              <w:jc w:val="center"/>
              <w:rPr>
                <w:rFonts w:ascii="宋体" w:hAnsi="宋体" w:cs="宋体"/>
                <w:color w:val="auto"/>
                <w:sz w:val="22"/>
                <w:szCs w:val="22"/>
                <w:highlight w:val="none"/>
              </w:rPr>
            </w:pPr>
            <w:r>
              <w:rPr>
                <w:rFonts w:hint="eastAsia" w:ascii="宋体" w:hAnsi="宋体" w:cs="宋体"/>
                <w:color w:val="auto"/>
                <w:sz w:val="22"/>
                <w:szCs w:val="22"/>
                <w:highlight w:val="none"/>
              </w:rPr>
              <w:t>采购内容</w:t>
            </w:r>
          </w:p>
        </w:tc>
        <w:tc>
          <w:tcPr>
            <w:tcW w:w="7821" w:type="dxa"/>
            <w:vAlign w:val="center"/>
          </w:tcPr>
          <w:p w14:paraId="6BD2B1B1">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具体内容见招标文件。</w:t>
            </w:r>
          </w:p>
        </w:tc>
      </w:tr>
      <w:tr w14:paraId="736734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48864E9A">
            <w:pPr>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1715" w:type="dxa"/>
            <w:vAlign w:val="center"/>
          </w:tcPr>
          <w:p w14:paraId="3EC29895">
            <w:pPr>
              <w:jc w:val="center"/>
              <w:rPr>
                <w:rFonts w:ascii="宋体" w:hAnsi="宋体" w:cs="宋体"/>
                <w:color w:val="auto"/>
                <w:sz w:val="22"/>
                <w:szCs w:val="22"/>
                <w:highlight w:val="none"/>
              </w:rPr>
            </w:pPr>
            <w:r>
              <w:rPr>
                <w:rFonts w:hint="eastAsia" w:ascii="宋体" w:hAnsi="宋体" w:cs="宋体"/>
                <w:color w:val="auto"/>
                <w:sz w:val="22"/>
                <w:szCs w:val="22"/>
                <w:highlight w:val="none"/>
              </w:rPr>
              <w:t>供应商资格要求</w:t>
            </w:r>
          </w:p>
        </w:tc>
        <w:tc>
          <w:tcPr>
            <w:tcW w:w="7821" w:type="dxa"/>
            <w:vAlign w:val="center"/>
          </w:tcPr>
          <w:p w14:paraId="3CF85A91">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见招标公告</w:t>
            </w:r>
          </w:p>
        </w:tc>
      </w:tr>
      <w:tr w14:paraId="5BF9B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59DAF0F4">
            <w:pPr>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1715" w:type="dxa"/>
            <w:vAlign w:val="center"/>
          </w:tcPr>
          <w:p w14:paraId="3FC56322">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821" w:type="dxa"/>
            <w:vAlign w:val="center"/>
          </w:tcPr>
          <w:p w14:paraId="06198A7D">
            <w:pPr>
              <w:adjustRightInd w:val="0"/>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不接受</w:t>
            </w:r>
          </w:p>
          <w:p w14:paraId="0E5A75A5">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□接受，应满足下列要求：</w:t>
            </w:r>
          </w:p>
        </w:tc>
      </w:tr>
      <w:tr w14:paraId="1942A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67A5F150">
            <w:pPr>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1715" w:type="dxa"/>
            <w:vAlign w:val="center"/>
          </w:tcPr>
          <w:p w14:paraId="146073EE">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821" w:type="dxa"/>
            <w:vAlign w:val="center"/>
          </w:tcPr>
          <w:p w14:paraId="69619EE5">
            <w:pPr>
              <w:adjustRightInd w:val="0"/>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不组织</w:t>
            </w:r>
          </w:p>
          <w:p w14:paraId="550256D6">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 xml:space="preserve">□组织   </w:t>
            </w:r>
          </w:p>
        </w:tc>
      </w:tr>
      <w:tr w14:paraId="2D7C2A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103A6EB8">
            <w:pPr>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1715" w:type="dxa"/>
            <w:vAlign w:val="center"/>
          </w:tcPr>
          <w:p w14:paraId="36C6673A">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是否允许递交备选投标方案</w:t>
            </w:r>
          </w:p>
        </w:tc>
        <w:tc>
          <w:tcPr>
            <w:tcW w:w="7821" w:type="dxa"/>
            <w:vAlign w:val="center"/>
          </w:tcPr>
          <w:p w14:paraId="6D000036">
            <w:pPr>
              <w:adjustRightInd w:val="0"/>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 xml:space="preserve"> 不允许</w:t>
            </w:r>
          </w:p>
          <w:p w14:paraId="28724FE4">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 允许</w:t>
            </w:r>
          </w:p>
        </w:tc>
      </w:tr>
      <w:tr w14:paraId="5004D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00E967A8">
            <w:pPr>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715" w:type="dxa"/>
            <w:vAlign w:val="center"/>
          </w:tcPr>
          <w:p w14:paraId="56D31A40">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分包</w:t>
            </w:r>
          </w:p>
        </w:tc>
        <w:tc>
          <w:tcPr>
            <w:tcW w:w="7821" w:type="dxa"/>
            <w:vAlign w:val="center"/>
          </w:tcPr>
          <w:p w14:paraId="562586A5">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 允许</w:t>
            </w:r>
          </w:p>
          <w:p w14:paraId="0D527FE7">
            <w:pPr>
              <w:adjustRightInd w:val="0"/>
              <w:rPr>
                <w:rFonts w:ascii="宋体" w:hAnsi="宋体" w:cs="宋体"/>
                <w:color w:val="auto"/>
                <w:sz w:val="22"/>
                <w:szCs w:val="22"/>
                <w:highlight w:val="none"/>
              </w:rPr>
            </w:pPr>
            <w:r>
              <w:rPr>
                <w:rFonts w:hint="eastAsia" w:ascii="宋体" w:hAnsi="宋体" w:cs="宋体"/>
                <w:color w:val="auto"/>
                <w:sz w:val="22"/>
                <w:szCs w:val="22"/>
                <w:highlight w:val="none"/>
              </w:rPr>
              <w:sym w:font="Wingdings" w:char="00FE"/>
            </w:r>
            <w:r>
              <w:rPr>
                <w:rFonts w:hint="eastAsia" w:ascii="宋体" w:hAnsi="宋体" w:cs="宋体"/>
                <w:color w:val="auto"/>
                <w:sz w:val="22"/>
                <w:szCs w:val="22"/>
                <w:highlight w:val="none"/>
              </w:rPr>
              <w:t>不允许</w:t>
            </w:r>
          </w:p>
        </w:tc>
      </w:tr>
      <w:tr w14:paraId="0F81E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5C342056">
            <w:pPr>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1715" w:type="dxa"/>
            <w:vAlign w:val="center"/>
          </w:tcPr>
          <w:p w14:paraId="617E7D25">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报价货币</w:t>
            </w:r>
          </w:p>
        </w:tc>
        <w:tc>
          <w:tcPr>
            <w:tcW w:w="7821" w:type="dxa"/>
            <w:vAlign w:val="center"/>
          </w:tcPr>
          <w:p w14:paraId="581967EE">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人民币</w:t>
            </w:r>
          </w:p>
        </w:tc>
      </w:tr>
      <w:tr w14:paraId="38F4F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507189AA">
            <w:pPr>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1715" w:type="dxa"/>
            <w:vAlign w:val="center"/>
          </w:tcPr>
          <w:p w14:paraId="1DCCA321">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报价语言</w:t>
            </w:r>
          </w:p>
        </w:tc>
        <w:tc>
          <w:tcPr>
            <w:tcW w:w="7821" w:type="dxa"/>
            <w:vAlign w:val="center"/>
          </w:tcPr>
          <w:p w14:paraId="68C827C2">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中文</w:t>
            </w:r>
          </w:p>
        </w:tc>
      </w:tr>
      <w:tr w14:paraId="20DBD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709AC1F0">
            <w:pPr>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1715" w:type="dxa"/>
            <w:vAlign w:val="center"/>
          </w:tcPr>
          <w:p w14:paraId="6C6723C1">
            <w:pPr>
              <w:jc w:val="center"/>
              <w:rPr>
                <w:rFonts w:ascii="宋体" w:hAnsi="宋体" w:cs="宋体"/>
                <w:b/>
                <w:color w:val="auto"/>
                <w:sz w:val="22"/>
                <w:szCs w:val="22"/>
                <w:highlight w:val="none"/>
              </w:rPr>
            </w:pPr>
            <w:r>
              <w:rPr>
                <w:rFonts w:hint="eastAsia" w:ascii="宋体" w:hAnsi="宋体" w:cs="宋体"/>
                <w:bCs/>
                <w:color w:val="auto"/>
                <w:sz w:val="22"/>
                <w:szCs w:val="22"/>
                <w:highlight w:val="none"/>
              </w:rPr>
              <w:t>是否允许进口</w:t>
            </w:r>
          </w:p>
        </w:tc>
        <w:tc>
          <w:tcPr>
            <w:tcW w:w="7821" w:type="dxa"/>
            <w:vAlign w:val="center"/>
          </w:tcPr>
          <w:p w14:paraId="566AA383">
            <w:pPr>
              <w:adjustRightInd w:val="0"/>
              <w:rPr>
                <w:rFonts w:ascii="宋体" w:hAnsi="宋体" w:cs="宋体"/>
                <w:bCs/>
                <w:color w:val="auto"/>
                <w:sz w:val="22"/>
                <w:szCs w:val="22"/>
                <w:highlight w:val="none"/>
              </w:rPr>
            </w:pPr>
            <w:r>
              <w:rPr>
                <w:rFonts w:hint="eastAsia" w:ascii="宋体" w:hAnsi="宋体" w:cs="宋体"/>
                <w:bCs/>
                <w:color w:val="auto"/>
                <w:sz w:val="22"/>
                <w:szCs w:val="22"/>
                <w:highlight w:val="none"/>
              </w:rPr>
              <w:sym w:font="Wingdings" w:char="00FE"/>
            </w:r>
            <w:r>
              <w:rPr>
                <w:rFonts w:hint="eastAsia" w:ascii="宋体" w:hAnsi="宋体" w:cs="宋体"/>
                <w:bCs/>
                <w:color w:val="auto"/>
                <w:sz w:val="22"/>
                <w:szCs w:val="22"/>
                <w:highlight w:val="none"/>
              </w:rPr>
              <w:t>允许</w:t>
            </w:r>
          </w:p>
          <w:p w14:paraId="73AC95D4">
            <w:pPr>
              <w:rPr>
                <w:rFonts w:ascii="宋体" w:hAnsi="宋体" w:cs="宋体"/>
                <w:b/>
                <w:color w:val="auto"/>
                <w:sz w:val="22"/>
                <w:szCs w:val="22"/>
                <w:highlight w:val="none"/>
              </w:rPr>
            </w:pPr>
            <w:r>
              <w:rPr>
                <w:rFonts w:hint="eastAsia" w:ascii="宋体" w:hAnsi="宋体" w:cs="宋体"/>
                <w:bCs/>
                <w:color w:val="auto"/>
                <w:sz w:val="22"/>
                <w:szCs w:val="22"/>
                <w:highlight w:val="none"/>
              </w:rPr>
              <w:t>□不允许</w:t>
            </w:r>
          </w:p>
        </w:tc>
      </w:tr>
      <w:tr w14:paraId="5CA79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3F19D0AB">
            <w:pPr>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1715" w:type="dxa"/>
            <w:vAlign w:val="center"/>
          </w:tcPr>
          <w:p w14:paraId="13B2360D">
            <w:pPr>
              <w:jc w:val="center"/>
              <w:rPr>
                <w:rFonts w:ascii="宋体" w:hAnsi="宋体" w:cs="宋体"/>
                <w:color w:val="auto"/>
                <w:sz w:val="22"/>
                <w:szCs w:val="22"/>
                <w:highlight w:val="none"/>
              </w:rPr>
            </w:pPr>
            <w:r>
              <w:rPr>
                <w:rFonts w:hint="eastAsia" w:ascii="宋体" w:hAnsi="宋体" w:cs="宋体"/>
                <w:color w:val="auto"/>
                <w:sz w:val="22"/>
                <w:szCs w:val="22"/>
                <w:highlight w:val="none"/>
              </w:rPr>
              <w:t>投标保证金</w:t>
            </w:r>
          </w:p>
        </w:tc>
        <w:tc>
          <w:tcPr>
            <w:tcW w:w="7821" w:type="dxa"/>
            <w:vAlign w:val="center"/>
          </w:tcPr>
          <w:p w14:paraId="6AA2D66D">
            <w:pPr>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不需要</w:t>
            </w:r>
          </w:p>
          <w:p w14:paraId="7337EE4F">
            <w:pPr>
              <w:rPr>
                <w:rFonts w:ascii="宋体" w:hAnsi="宋体" w:cs="宋体"/>
                <w:color w:val="auto"/>
                <w:sz w:val="22"/>
                <w:szCs w:val="22"/>
                <w:highlight w:val="none"/>
              </w:rPr>
            </w:pPr>
            <w:r>
              <w:rPr>
                <w:rFonts w:hint="eastAsia" w:ascii="宋体" w:hAnsi="宋体" w:cs="宋体"/>
                <w:color w:val="auto"/>
                <w:sz w:val="22"/>
                <w:szCs w:val="22"/>
                <w:highlight w:val="none"/>
              </w:rPr>
              <w:t>□需要</w:t>
            </w:r>
          </w:p>
        </w:tc>
      </w:tr>
      <w:tr w14:paraId="2E772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542955E9">
            <w:pPr>
              <w:jc w:val="center"/>
              <w:rPr>
                <w:rFonts w:ascii="宋体" w:hAnsi="宋体" w:cs="宋体"/>
                <w:color w:val="auto"/>
                <w:sz w:val="22"/>
                <w:szCs w:val="22"/>
                <w:highlight w:val="none"/>
              </w:rPr>
            </w:pPr>
            <w:r>
              <w:rPr>
                <w:rFonts w:hint="eastAsia" w:ascii="宋体" w:hAnsi="宋体" w:cs="宋体"/>
                <w:color w:val="auto"/>
                <w:sz w:val="22"/>
                <w:szCs w:val="22"/>
                <w:highlight w:val="none"/>
              </w:rPr>
              <w:t>16</w:t>
            </w:r>
          </w:p>
        </w:tc>
        <w:tc>
          <w:tcPr>
            <w:tcW w:w="1715" w:type="dxa"/>
            <w:vAlign w:val="center"/>
          </w:tcPr>
          <w:p w14:paraId="2D488F40">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821" w:type="dxa"/>
            <w:vAlign w:val="center"/>
          </w:tcPr>
          <w:p w14:paraId="0043F7D9">
            <w:pPr>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不需要</w:t>
            </w:r>
          </w:p>
          <w:p w14:paraId="0FD1ED29">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 xml:space="preserve">□需要 </w:t>
            </w:r>
            <w:r>
              <w:rPr>
                <w:rFonts w:hint="eastAsia" w:ascii="宋体" w:hAnsi="宋体" w:cs="宋体"/>
                <w:bCs/>
                <w:color w:val="auto"/>
                <w:sz w:val="22"/>
                <w:szCs w:val="22"/>
                <w:highlight w:val="none"/>
              </w:rPr>
              <w:t xml:space="preserve"> 合同签订后成交供应商应提供合同总金额1%的履约保证金至采购人指定账户，履约保证金可以以银行或保险公司出具的保函作为履约保函。</w:t>
            </w:r>
          </w:p>
        </w:tc>
      </w:tr>
      <w:tr w14:paraId="7366D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7DE986B8">
            <w:pPr>
              <w:jc w:val="center"/>
              <w:rPr>
                <w:rFonts w:ascii="宋体" w:hAnsi="宋体" w:cs="宋体"/>
                <w:color w:val="auto"/>
                <w:sz w:val="22"/>
                <w:szCs w:val="22"/>
                <w:highlight w:val="none"/>
              </w:rPr>
            </w:pPr>
            <w:r>
              <w:rPr>
                <w:rFonts w:hint="eastAsia" w:ascii="宋体" w:hAnsi="宋体" w:cs="宋体"/>
                <w:color w:val="auto"/>
                <w:sz w:val="22"/>
                <w:szCs w:val="22"/>
                <w:highlight w:val="none"/>
              </w:rPr>
              <w:t>17</w:t>
            </w:r>
          </w:p>
        </w:tc>
        <w:tc>
          <w:tcPr>
            <w:tcW w:w="1715" w:type="dxa"/>
            <w:vAlign w:val="center"/>
          </w:tcPr>
          <w:p w14:paraId="5CDA9DA0">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投标文件递交截止时间及开标时间</w:t>
            </w:r>
          </w:p>
        </w:tc>
        <w:tc>
          <w:tcPr>
            <w:tcW w:w="7821" w:type="dxa"/>
            <w:vAlign w:val="center"/>
          </w:tcPr>
          <w:p w14:paraId="7ACE0D53">
            <w:pPr>
              <w:rPr>
                <w:rFonts w:ascii="宋体" w:hAnsi="宋体" w:cs="宋体"/>
                <w:b/>
                <w:color w:val="auto"/>
                <w:sz w:val="22"/>
                <w:szCs w:val="22"/>
                <w:highlight w:val="none"/>
              </w:rPr>
            </w:pPr>
            <w:r>
              <w:rPr>
                <w:rFonts w:hint="eastAsia" w:ascii="宋体" w:hAnsi="宋体" w:cs="宋体"/>
                <w:b/>
                <w:i/>
                <w:color w:val="auto"/>
                <w:sz w:val="22"/>
                <w:szCs w:val="22"/>
                <w:highlight w:val="none"/>
              </w:rPr>
              <w:t xml:space="preserve"> 2025年2月18日09:30 截</w:t>
            </w:r>
            <w:r>
              <w:rPr>
                <w:rFonts w:hint="eastAsia" w:ascii="宋体" w:hAnsi="宋体" w:cs="宋体"/>
                <w:b/>
                <w:color w:val="auto"/>
                <w:sz w:val="22"/>
                <w:szCs w:val="22"/>
                <w:highlight w:val="none"/>
              </w:rPr>
              <w:t>止（北京时间）。</w:t>
            </w:r>
          </w:p>
        </w:tc>
      </w:tr>
      <w:tr w14:paraId="5467F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704CA4E8">
            <w:pPr>
              <w:jc w:val="center"/>
              <w:rPr>
                <w:rFonts w:ascii="宋体" w:hAnsi="宋体" w:cs="宋体"/>
                <w:color w:val="auto"/>
                <w:sz w:val="22"/>
                <w:szCs w:val="22"/>
                <w:highlight w:val="none"/>
              </w:rPr>
            </w:pPr>
            <w:r>
              <w:rPr>
                <w:rFonts w:hint="eastAsia" w:ascii="宋体" w:hAnsi="宋体" w:cs="宋体"/>
                <w:color w:val="auto"/>
                <w:sz w:val="22"/>
                <w:szCs w:val="22"/>
                <w:highlight w:val="none"/>
              </w:rPr>
              <w:t>18</w:t>
            </w:r>
          </w:p>
        </w:tc>
        <w:tc>
          <w:tcPr>
            <w:tcW w:w="1715" w:type="dxa"/>
            <w:vAlign w:val="center"/>
          </w:tcPr>
          <w:p w14:paraId="27578DA8">
            <w:pPr>
              <w:jc w:val="center"/>
              <w:rPr>
                <w:rFonts w:ascii="宋体" w:hAnsi="宋体" w:cs="宋体"/>
                <w:b/>
                <w:color w:val="auto"/>
                <w:sz w:val="22"/>
                <w:szCs w:val="22"/>
                <w:highlight w:val="none"/>
              </w:rPr>
            </w:pPr>
            <w:r>
              <w:rPr>
                <w:rFonts w:hint="eastAsia" w:ascii="宋体" w:hAnsi="宋体" w:cs="宋体"/>
                <w:b/>
                <w:color w:val="auto"/>
                <w:sz w:val="22"/>
                <w:szCs w:val="22"/>
                <w:highlight w:val="none"/>
                <w:lang w:bidi="ar"/>
              </w:rPr>
              <w:t>评标地址</w:t>
            </w:r>
          </w:p>
        </w:tc>
        <w:tc>
          <w:tcPr>
            <w:tcW w:w="7821" w:type="dxa"/>
            <w:vAlign w:val="center"/>
          </w:tcPr>
          <w:p w14:paraId="3BB21DD0">
            <w:pPr>
              <w:rPr>
                <w:rStyle w:val="93"/>
                <w:rFonts w:ascii="宋体" w:hAnsi="宋体" w:cs="宋体"/>
                <w:b/>
                <w:color w:val="auto"/>
                <w:sz w:val="22"/>
                <w:szCs w:val="22"/>
                <w:highlight w:val="none"/>
              </w:rPr>
            </w:pPr>
            <w:r>
              <w:rPr>
                <w:rFonts w:hint="eastAsia" w:ascii="宋体" w:hAnsi="宋体" w:cs="宋体"/>
                <w:b/>
                <w:color w:val="auto"/>
                <w:sz w:val="22"/>
                <w:szCs w:val="22"/>
                <w:highlight w:val="none"/>
              </w:rPr>
              <w:t>温州市永嘉县南城街道环城北路云碓大厦502室</w:t>
            </w:r>
          </w:p>
        </w:tc>
      </w:tr>
      <w:tr w14:paraId="16B3D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3C4FCEE3">
            <w:pPr>
              <w:jc w:val="center"/>
              <w:rPr>
                <w:rFonts w:ascii="宋体" w:hAnsi="宋体" w:cs="宋体"/>
                <w:color w:val="auto"/>
                <w:sz w:val="22"/>
                <w:szCs w:val="22"/>
                <w:highlight w:val="none"/>
              </w:rPr>
            </w:pPr>
            <w:r>
              <w:rPr>
                <w:rFonts w:hint="eastAsia" w:ascii="宋体" w:hAnsi="宋体" w:cs="宋体"/>
                <w:color w:val="auto"/>
                <w:sz w:val="22"/>
                <w:szCs w:val="22"/>
                <w:highlight w:val="none"/>
              </w:rPr>
              <w:t>19</w:t>
            </w:r>
          </w:p>
        </w:tc>
        <w:tc>
          <w:tcPr>
            <w:tcW w:w="1715" w:type="dxa"/>
            <w:vAlign w:val="center"/>
          </w:tcPr>
          <w:p w14:paraId="3CB0356A">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821" w:type="dxa"/>
            <w:vAlign w:val="center"/>
          </w:tcPr>
          <w:p w14:paraId="2D558C18">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供应商应先安装“政采云电子交易客户端”，并按照本招标文件和“政采云平台”的要求，通过“政采云电子交易客户端”编制并加密投标文件。</w:t>
            </w:r>
          </w:p>
        </w:tc>
      </w:tr>
      <w:tr w14:paraId="6794F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694" w:type="dxa"/>
            <w:vAlign w:val="center"/>
          </w:tcPr>
          <w:p w14:paraId="5A0D0CB5">
            <w:pPr>
              <w:jc w:val="center"/>
              <w:rPr>
                <w:rFonts w:ascii="宋体" w:hAnsi="宋体" w:cs="宋体"/>
                <w:color w:val="auto"/>
                <w:sz w:val="22"/>
                <w:szCs w:val="22"/>
                <w:highlight w:val="none"/>
              </w:rPr>
            </w:pPr>
            <w:r>
              <w:rPr>
                <w:rFonts w:hint="eastAsia" w:ascii="宋体" w:hAnsi="宋体" w:cs="宋体"/>
                <w:color w:val="auto"/>
                <w:sz w:val="22"/>
                <w:szCs w:val="22"/>
                <w:highlight w:val="none"/>
              </w:rPr>
              <w:t>20</w:t>
            </w:r>
          </w:p>
        </w:tc>
        <w:tc>
          <w:tcPr>
            <w:tcW w:w="1715" w:type="dxa"/>
            <w:vAlign w:val="center"/>
          </w:tcPr>
          <w:p w14:paraId="18B8A69F">
            <w:pPr>
              <w:jc w:val="center"/>
              <w:rPr>
                <w:rFonts w:ascii="宋体" w:hAnsi="宋体" w:cs="宋体"/>
                <w:color w:val="auto"/>
                <w:sz w:val="22"/>
                <w:szCs w:val="22"/>
                <w:highlight w:val="none"/>
              </w:rPr>
            </w:pPr>
            <w:r>
              <w:rPr>
                <w:rFonts w:hint="eastAsia" w:ascii="宋体" w:hAnsi="宋体" w:cs="宋体"/>
                <w:color w:val="auto"/>
                <w:sz w:val="22"/>
                <w:szCs w:val="22"/>
                <w:highlight w:val="none"/>
              </w:rPr>
              <w:t>报价有效期</w:t>
            </w:r>
          </w:p>
        </w:tc>
        <w:tc>
          <w:tcPr>
            <w:tcW w:w="7821" w:type="dxa"/>
            <w:vAlign w:val="center"/>
          </w:tcPr>
          <w:p w14:paraId="1A99F1BB">
            <w:pPr>
              <w:rPr>
                <w:rFonts w:ascii="宋体" w:hAnsi="宋体" w:cs="宋体"/>
                <w:color w:val="auto"/>
                <w:sz w:val="22"/>
                <w:szCs w:val="22"/>
                <w:highlight w:val="none"/>
              </w:rPr>
            </w:pPr>
            <w:r>
              <w:rPr>
                <w:rFonts w:hint="eastAsia" w:ascii="宋体" w:hAnsi="宋体" w:cs="宋体"/>
                <w:color w:val="auto"/>
                <w:sz w:val="22"/>
                <w:szCs w:val="22"/>
                <w:highlight w:val="none"/>
              </w:rPr>
              <w:t>提交投标文件截止时间起90天内</w:t>
            </w:r>
          </w:p>
        </w:tc>
      </w:tr>
      <w:tr w14:paraId="30E25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694" w:type="dxa"/>
            <w:vAlign w:val="center"/>
          </w:tcPr>
          <w:p w14:paraId="24C4D09B">
            <w:pPr>
              <w:jc w:val="center"/>
              <w:rPr>
                <w:rFonts w:ascii="宋体" w:hAnsi="宋体" w:cs="宋体"/>
                <w:color w:val="auto"/>
                <w:sz w:val="22"/>
                <w:szCs w:val="22"/>
                <w:highlight w:val="none"/>
              </w:rPr>
            </w:pPr>
            <w:r>
              <w:rPr>
                <w:rFonts w:hint="eastAsia" w:ascii="宋体" w:hAnsi="宋体" w:cs="宋体"/>
                <w:color w:val="auto"/>
                <w:sz w:val="22"/>
                <w:szCs w:val="22"/>
                <w:highlight w:val="none"/>
              </w:rPr>
              <w:t>21</w:t>
            </w:r>
          </w:p>
        </w:tc>
        <w:tc>
          <w:tcPr>
            <w:tcW w:w="1715" w:type="dxa"/>
            <w:vAlign w:val="center"/>
          </w:tcPr>
          <w:p w14:paraId="428B36FC">
            <w:pPr>
              <w:jc w:val="center"/>
              <w:rPr>
                <w:rFonts w:ascii="宋体" w:hAnsi="宋体" w:cs="宋体"/>
                <w:color w:val="auto"/>
                <w:sz w:val="22"/>
                <w:szCs w:val="22"/>
                <w:highlight w:val="none"/>
              </w:rPr>
            </w:pPr>
            <w:r>
              <w:rPr>
                <w:rFonts w:hint="eastAsia" w:ascii="宋体" w:hAnsi="宋体" w:cs="宋体"/>
                <w:color w:val="auto"/>
                <w:sz w:val="22"/>
                <w:szCs w:val="22"/>
                <w:highlight w:val="none"/>
              </w:rPr>
              <w:t>签字或盖章要求</w:t>
            </w:r>
          </w:p>
        </w:tc>
        <w:tc>
          <w:tcPr>
            <w:tcW w:w="7821" w:type="dxa"/>
            <w:vAlign w:val="center"/>
          </w:tcPr>
          <w:p w14:paraId="159446B0">
            <w:pPr>
              <w:rPr>
                <w:rFonts w:ascii="宋体" w:hAnsi="宋体" w:cs="宋体"/>
                <w:color w:val="auto"/>
                <w:sz w:val="22"/>
                <w:szCs w:val="22"/>
                <w:highlight w:val="none"/>
              </w:rPr>
            </w:pPr>
            <w:r>
              <w:rPr>
                <w:rFonts w:hint="eastAsia" w:ascii="宋体" w:hAnsi="宋体" w:cs="宋体"/>
                <w:color w:val="auto"/>
                <w:sz w:val="22"/>
                <w:szCs w:val="22"/>
                <w:highlight w:val="none"/>
              </w:rPr>
              <w:t>投标文件的相应位置应加盖：电子签章。</w:t>
            </w:r>
          </w:p>
          <w:p w14:paraId="7A26CD0F">
            <w:pPr>
              <w:pStyle w:val="41"/>
              <w:ind w:firstLine="0" w:firstLineChars="0"/>
              <w:rPr>
                <w:rFonts w:ascii="宋体" w:hAnsi="宋体" w:cs="宋体"/>
                <w:color w:val="auto"/>
                <w:sz w:val="22"/>
                <w:szCs w:val="22"/>
                <w:highlight w:val="none"/>
              </w:rPr>
            </w:pPr>
            <w:r>
              <w:rPr>
                <w:rFonts w:hint="eastAsia" w:ascii="宋体" w:hAnsi="宋体" w:cs="宋体"/>
                <w:color w:val="auto"/>
                <w:sz w:val="22"/>
                <w:szCs w:val="22"/>
                <w:highlight w:val="none"/>
              </w:rPr>
              <w:t>注：本项目电子招投标活动中的签字与电子签章具有同等法律效应。</w:t>
            </w:r>
          </w:p>
        </w:tc>
      </w:tr>
      <w:tr w14:paraId="4A496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694" w:type="dxa"/>
            <w:vAlign w:val="center"/>
          </w:tcPr>
          <w:p w14:paraId="2EBB2852">
            <w:pPr>
              <w:jc w:val="center"/>
              <w:rPr>
                <w:rFonts w:ascii="宋体" w:hAnsi="宋体" w:cs="宋体"/>
                <w:color w:val="auto"/>
                <w:sz w:val="22"/>
                <w:szCs w:val="22"/>
                <w:highlight w:val="none"/>
              </w:rPr>
            </w:pPr>
            <w:r>
              <w:rPr>
                <w:rFonts w:hint="eastAsia" w:ascii="宋体" w:hAnsi="宋体" w:cs="宋体"/>
                <w:color w:val="auto"/>
                <w:sz w:val="22"/>
                <w:szCs w:val="22"/>
                <w:highlight w:val="none"/>
              </w:rPr>
              <w:t>22</w:t>
            </w:r>
          </w:p>
        </w:tc>
        <w:tc>
          <w:tcPr>
            <w:tcW w:w="1715" w:type="dxa"/>
            <w:vAlign w:val="center"/>
          </w:tcPr>
          <w:p w14:paraId="49881298">
            <w:pPr>
              <w:rPr>
                <w:rFonts w:ascii="宋体" w:hAnsi="宋体" w:cs="宋体"/>
                <w:color w:val="auto"/>
                <w:sz w:val="22"/>
                <w:szCs w:val="22"/>
                <w:highlight w:val="none"/>
              </w:rPr>
            </w:pPr>
            <w:r>
              <w:rPr>
                <w:rFonts w:hint="eastAsia" w:ascii="宋体" w:hAnsi="宋体" w:cs="宋体"/>
                <w:color w:val="auto"/>
                <w:sz w:val="22"/>
                <w:szCs w:val="22"/>
                <w:highlight w:val="none"/>
              </w:rPr>
              <w:t>投标文件的形式、制作及组成</w:t>
            </w:r>
          </w:p>
        </w:tc>
        <w:tc>
          <w:tcPr>
            <w:tcW w:w="7821" w:type="dxa"/>
            <w:vAlign w:val="center"/>
          </w:tcPr>
          <w:p w14:paraId="3B7E2BD9">
            <w:pPr>
              <w:rPr>
                <w:rFonts w:ascii="宋体" w:hAnsi="宋体" w:cs="宋体"/>
                <w:color w:val="auto"/>
                <w:sz w:val="22"/>
                <w:szCs w:val="22"/>
                <w:highlight w:val="none"/>
              </w:rPr>
            </w:pPr>
            <w:r>
              <w:rPr>
                <w:rFonts w:hint="eastAsia" w:ascii="宋体" w:hAnsi="宋体" w:cs="宋体"/>
                <w:color w:val="auto"/>
                <w:sz w:val="22"/>
                <w:szCs w:val="22"/>
                <w:highlight w:val="none"/>
              </w:rPr>
              <w:t>本项目实行在线投标响应（电子投标）。</w:t>
            </w:r>
          </w:p>
          <w:p w14:paraId="23CA179A">
            <w:pPr>
              <w:rPr>
                <w:rFonts w:ascii="宋体" w:hAnsi="宋体" w:cs="宋体"/>
                <w:color w:val="auto"/>
                <w:sz w:val="22"/>
                <w:szCs w:val="22"/>
                <w:highlight w:val="none"/>
              </w:rPr>
            </w:pPr>
            <w:r>
              <w:rPr>
                <w:rFonts w:hint="eastAsia" w:ascii="宋体" w:hAnsi="宋体" w:cs="宋体"/>
                <w:color w:val="auto"/>
                <w:sz w:val="22"/>
                <w:szCs w:val="22"/>
                <w:highlight w:val="none"/>
              </w:rPr>
              <w:t>投标供应商准备电子投标文件（包括“电子加密投标文件”和“备份投标文件”两类，在投标文件编制完成后同时生成）。</w:t>
            </w:r>
          </w:p>
          <w:p w14:paraId="7583E7D1">
            <w:pPr>
              <w:rPr>
                <w:rFonts w:ascii="宋体" w:hAnsi="宋体" w:cs="宋体"/>
                <w:color w:val="auto"/>
                <w:sz w:val="22"/>
                <w:szCs w:val="22"/>
                <w:highlight w:val="none"/>
              </w:rPr>
            </w:pPr>
            <w:r>
              <w:rPr>
                <w:rFonts w:hint="eastAsia" w:ascii="宋体" w:hAnsi="宋体" w:cs="宋体"/>
                <w:color w:val="auto"/>
                <w:sz w:val="22"/>
                <w:szCs w:val="22"/>
                <w:highlight w:val="none"/>
              </w:rPr>
              <w:t>（1）“电子加密投标文件”是指通过“政采云电子交易客户端”完成投标文件编制后生成并加密的数据电文形式的投标文件。</w:t>
            </w:r>
          </w:p>
          <w:p w14:paraId="5E26C659">
            <w:pPr>
              <w:rPr>
                <w:rFonts w:ascii="宋体" w:hAnsi="宋体" w:cs="宋体"/>
                <w:color w:val="auto"/>
                <w:sz w:val="22"/>
                <w:szCs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（2）“备份投标文件”是指与“电子加密投标文件”同时生成的数据电文形式的电子文件（备份标书），其他方式编制的备份投标文件视为无效备份投标文件。</w:t>
            </w:r>
          </w:p>
          <w:p w14:paraId="18462548">
            <w:pPr>
              <w:rPr>
                <w:rFonts w:ascii="宋体" w:hAnsi="宋体" w:cs="宋体"/>
                <w:color w:val="auto"/>
                <w:sz w:val="22"/>
                <w:szCs w:val="22"/>
                <w:highlight w:val="none"/>
              </w:rPr>
            </w:pPr>
            <w:r>
              <w:rPr>
                <w:rFonts w:hint="eastAsia" w:ascii="宋体" w:hAnsi="宋体" w:cs="宋体"/>
                <w:color w:val="auto"/>
                <w:sz w:val="22"/>
                <w:szCs w:val="22"/>
                <w:highlight w:val="none"/>
              </w:rPr>
              <w:t>以上两类投标文件均由资格文件、报价文件、商务技术文件三部分组成。</w:t>
            </w:r>
          </w:p>
        </w:tc>
      </w:tr>
      <w:tr w14:paraId="4EA52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14:paraId="2B50F67B">
            <w:pPr>
              <w:jc w:val="center"/>
              <w:rPr>
                <w:rFonts w:ascii="宋体" w:hAnsi="宋体" w:cs="宋体"/>
                <w:color w:val="auto"/>
                <w:sz w:val="22"/>
                <w:szCs w:val="22"/>
                <w:highlight w:val="none"/>
              </w:rPr>
            </w:pPr>
            <w:r>
              <w:rPr>
                <w:rFonts w:hint="eastAsia" w:ascii="宋体" w:hAnsi="宋体" w:cs="宋体"/>
                <w:color w:val="auto"/>
                <w:sz w:val="22"/>
                <w:szCs w:val="22"/>
                <w:highlight w:val="none"/>
              </w:rPr>
              <w:t>23</w:t>
            </w:r>
          </w:p>
        </w:tc>
        <w:tc>
          <w:tcPr>
            <w:tcW w:w="1715" w:type="dxa"/>
            <w:vAlign w:val="center"/>
          </w:tcPr>
          <w:p w14:paraId="40845067">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投标文件份数</w:t>
            </w:r>
          </w:p>
        </w:tc>
        <w:tc>
          <w:tcPr>
            <w:tcW w:w="7821" w:type="dxa"/>
            <w:vAlign w:val="center"/>
          </w:tcPr>
          <w:p w14:paraId="2F16FD31">
            <w:pPr>
              <w:adjustRightInd w:val="0"/>
              <w:jc w:val="left"/>
              <w:rPr>
                <w:rFonts w:ascii="宋体" w:hAnsi="宋体" w:cs="宋体"/>
                <w:color w:val="auto"/>
                <w:sz w:val="22"/>
                <w:szCs w:val="22"/>
                <w:highlight w:val="none"/>
              </w:rPr>
            </w:pPr>
            <w:r>
              <w:rPr>
                <w:rFonts w:hint="eastAsia" w:ascii="宋体" w:hAnsi="宋体" w:cs="宋体"/>
                <w:color w:val="auto"/>
                <w:sz w:val="22"/>
                <w:szCs w:val="22"/>
                <w:highlight w:val="none"/>
              </w:rPr>
              <w:t>（1）“电子加密投标文件”：在线上传递交、一份。</w:t>
            </w:r>
          </w:p>
          <w:p w14:paraId="5245BDA6">
            <w:pPr>
              <w:adjustRightInd w:val="0"/>
              <w:jc w:val="left"/>
              <w:rPr>
                <w:rFonts w:ascii="宋体" w:hAnsi="宋体" w:cs="宋体"/>
                <w:color w:val="auto"/>
                <w:sz w:val="22"/>
                <w:szCs w:val="22"/>
                <w:highlight w:val="none"/>
              </w:rPr>
            </w:pPr>
            <w:r>
              <w:rPr>
                <w:rFonts w:hint="eastAsia" w:ascii="宋体" w:hAnsi="宋体" w:cs="宋体"/>
                <w:color w:val="auto"/>
                <w:sz w:val="22"/>
                <w:szCs w:val="22"/>
                <w:highlight w:val="none"/>
              </w:rPr>
              <w:t>（2）“备份投标文件”：以U盘存储，密封包装后（顺丰快递形式）在投标文件递交截止时间及开标时间前递交，送达时间以签收人签收时间为准，一份，邮寄地址：温州市永嘉县南城街道环城北路云碓大厦503室，胡先生收，联系电话：15258683545。</w:t>
            </w:r>
          </w:p>
          <w:p w14:paraId="3C8E31D3">
            <w:pPr>
              <w:pStyle w:val="41"/>
              <w:ind w:firstLine="221"/>
              <w:rPr>
                <w:rFonts w:ascii="宋体" w:hAnsi="宋体" w:cs="宋体"/>
                <w:b/>
                <w:color w:val="auto"/>
                <w:sz w:val="22"/>
                <w:szCs w:val="22"/>
                <w:highlight w:val="none"/>
              </w:rPr>
            </w:pPr>
            <w:r>
              <w:rPr>
                <w:rFonts w:hint="eastAsia" w:ascii="宋体" w:hAnsi="宋体" w:cs="宋体"/>
                <w:b/>
                <w:color w:val="auto"/>
                <w:sz w:val="22"/>
                <w:szCs w:val="22"/>
                <w:highlight w:val="none"/>
              </w:rPr>
              <w:t>注：“备份投标文件”只接收快递方式，不强制要求提供，由供应商自行选择是否提供。</w:t>
            </w:r>
          </w:p>
        </w:tc>
      </w:tr>
      <w:tr w14:paraId="32E42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14:paraId="3B74F590">
            <w:pPr>
              <w:jc w:val="center"/>
              <w:rPr>
                <w:rFonts w:ascii="宋体" w:hAnsi="宋体" w:cs="宋体"/>
                <w:color w:val="auto"/>
                <w:sz w:val="22"/>
                <w:szCs w:val="22"/>
                <w:highlight w:val="none"/>
              </w:rPr>
            </w:pPr>
            <w:r>
              <w:rPr>
                <w:rFonts w:hint="eastAsia" w:ascii="宋体" w:hAnsi="宋体" w:cs="宋体"/>
                <w:color w:val="auto"/>
                <w:sz w:val="22"/>
                <w:szCs w:val="22"/>
                <w:highlight w:val="none"/>
              </w:rPr>
              <w:t>24</w:t>
            </w:r>
          </w:p>
        </w:tc>
        <w:tc>
          <w:tcPr>
            <w:tcW w:w="1715" w:type="dxa"/>
            <w:vAlign w:val="center"/>
          </w:tcPr>
          <w:p w14:paraId="6CC0054E">
            <w:pPr>
              <w:autoSpaceDE w:val="0"/>
              <w:autoSpaceDN w:val="0"/>
              <w:adjustRightInd w:val="0"/>
              <w:spacing w:line="300" w:lineRule="atLeas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投标文件的上传和递交</w:t>
            </w:r>
          </w:p>
        </w:tc>
        <w:tc>
          <w:tcPr>
            <w:tcW w:w="7821" w:type="dxa"/>
            <w:vAlign w:val="center"/>
          </w:tcPr>
          <w:p w14:paraId="49FF7A19">
            <w:pPr>
              <w:pStyle w:val="83"/>
              <w:autoSpaceDE w:val="0"/>
              <w:autoSpaceDN w:val="0"/>
              <w:adjustRightInd w:val="0"/>
              <w:spacing w:line="300" w:lineRule="atLeast"/>
              <w:jc w:val="both"/>
              <w:rPr>
                <w:rFonts w:cs="宋体"/>
                <w:color w:val="auto"/>
                <w:sz w:val="22"/>
                <w:highlight w:val="none"/>
              </w:rPr>
            </w:pPr>
            <w:r>
              <w:rPr>
                <w:rFonts w:hint="eastAsia" w:cs="宋体"/>
                <w:color w:val="auto"/>
                <w:sz w:val="22"/>
                <w:highlight w:val="none"/>
              </w:rPr>
              <w:t>一、“电子加密投标文件”的上传、递交：</w:t>
            </w:r>
          </w:p>
          <w:p w14:paraId="2FCF0C1C">
            <w:pPr>
              <w:pStyle w:val="83"/>
              <w:autoSpaceDE w:val="0"/>
              <w:autoSpaceDN w:val="0"/>
              <w:adjustRightInd w:val="0"/>
              <w:spacing w:line="300" w:lineRule="atLeast"/>
              <w:ind w:firstLine="440" w:firstLineChars="200"/>
              <w:jc w:val="both"/>
              <w:rPr>
                <w:rFonts w:cs="宋体"/>
                <w:color w:val="auto"/>
                <w:sz w:val="22"/>
                <w:highlight w:val="none"/>
              </w:rPr>
            </w:pPr>
            <w:r>
              <w:rPr>
                <w:rFonts w:hint="eastAsia" w:cs="宋体"/>
                <w:color w:val="auto"/>
                <w:sz w:val="22"/>
                <w:highlight w:val="none"/>
              </w:rPr>
              <w:t>a.投标供应商应在投标文件递交截止时间前将“电子加密投标文件”成功上传递交至“政采云平台”，否则投标无效。</w:t>
            </w:r>
          </w:p>
          <w:p w14:paraId="4DFDA1F3">
            <w:pPr>
              <w:pStyle w:val="83"/>
              <w:autoSpaceDE w:val="0"/>
              <w:autoSpaceDN w:val="0"/>
              <w:adjustRightInd w:val="0"/>
              <w:spacing w:line="300" w:lineRule="atLeast"/>
              <w:ind w:firstLine="440" w:firstLineChars="200"/>
              <w:jc w:val="both"/>
              <w:rPr>
                <w:rFonts w:cs="宋体"/>
                <w:color w:val="auto"/>
                <w:sz w:val="22"/>
                <w:highlight w:val="none"/>
              </w:rPr>
            </w:pPr>
            <w:r>
              <w:rPr>
                <w:rFonts w:hint="eastAsia" w:cs="宋体"/>
                <w:color w:val="auto"/>
                <w:sz w:val="22"/>
                <w:highlight w:val="none"/>
              </w:rPr>
              <w:t>b.“电子加密投标文件”成功上传递交后，供应商可自行打印投标文件接收回执。</w:t>
            </w:r>
          </w:p>
          <w:p w14:paraId="7D89FC3F">
            <w:pPr>
              <w:pStyle w:val="83"/>
              <w:autoSpaceDE w:val="0"/>
              <w:autoSpaceDN w:val="0"/>
              <w:adjustRightInd w:val="0"/>
              <w:spacing w:line="300" w:lineRule="atLeast"/>
              <w:jc w:val="both"/>
              <w:rPr>
                <w:rFonts w:cs="宋体"/>
                <w:color w:val="auto"/>
                <w:sz w:val="22"/>
                <w:highlight w:val="none"/>
              </w:rPr>
            </w:pPr>
            <w:r>
              <w:rPr>
                <w:rFonts w:hint="eastAsia" w:cs="宋体"/>
                <w:color w:val="auto"/>
                <w:sz w:val="22"/>
                <w:highlight w:val="none"/>
              </w:rPr>
              <w:t>二、“备份投标文件”的密封包装、递交：</w:t>
            </w:r>
          </w:p>
          <w:p w14:paraId="5F40F9CB">
            <w:pPr>
              <w:pStyle w:val="83"/>
              <w:autoSpaceDE w:val="0"/>
              <w:autoSpaceDN w:val="0"/>
              <w:adjustRightInd w:val="0"/>
              <w:spacing w:line="300" w:lineRule="atLeast"/>
              <w:ind w:firstLine="440" w:firstLineChars="200"/>
              <w:jc w:val="both"/>
              <w:rPr>
                <w:rFonts w:cs="宋体"/>
                <w:color w:val="auto"/>
                <w:sz w:val="22"/>
                <w:highlight w:val="none"/>
              </w:rPr>
            </w:pPr>
            <w:r>
              <w:rPr>
                <w:rFonts w:hint="eastAsia" w:cs="宋体"/>
                <w:color w:val="auto"/>
                <w:sz w:val="22"/>
                <w:highlight w:val="none"/>
              </w:rPr>
              <w:t>a.投标供应商在“政采云平台”完成“电子加密投标文件”的上传递交后，还可以（建议顺丰快递形式）递交以介质（U盘）存储的 “备份投标文件”（一份）；以顺丰快递形式快递至采购代理机构地址（地址详见招标文件）；</w:t>
            </w:r>
            <w:r>
              <w:rPr>
                <w:rFonts w:hint="eastAsia" w:cs="宋体"/>
                <w:b/>
                <w:color w:val="auto"/>
                <w:sz w:val="22"/>
                <w:highlight w:val="none"/>
              </w:rPr>
              <w:t>解密CA必须是上传并制作电子投标文件CA锁</w:t>
            </w:r>
            <w:r>
              <w:rPr>
                <w:rFonts w:hint="eastAsia" w:cs="宋体"/>
                <w:color w:val="auto"/>
                <w:sz w:val="22"/>
                <w:highlight w:val="none"/>
              </w:rPr>
              <w:t>。</w:t>
            </w:r>
          </w:p>
          <w:p w14:paraId="7C10D65D">
            <w:pPr>
              <w:autoSpaceDE w:val="0"/>
              <w:autoSpaceDN w:val="0"/>
              <w:adjustRightInd w:val="0"/>
              <w:spacing w:line="30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b.“备份投标文件”应当密封包装，并在包装上标注投标项目名称、投标单位名称并加盖公章。没有密封包装或者逾期邮寄送达投标地点的“备份投标文件”将不予接收。</w:t>
            </w:r>
          </w:p>
          <w:p w14:paraId="05D8FE7D">
            <w:pPr>
              <w:autoSpaceDE w:val="0"/>
              <w:autoSpaceDN w:val="0"/>
              <w:adjustRightInd w:val="0"/>
              <w:spacing w:line="30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c.通过“政采云平台”成功上传递交的“电子加密投标文件”已按时解密的，“备份投标文件”自动失效。投标文件递交截止时间前，投标供应商仅递交了“备份投标文件”而未将“电子加密投标文件”成功上传至“政采云平台”的，投标无效。</w:t>
            </w:r>
          </w:p>
          <w:p w14:paraId="1A063DDC">
            <w:pPr>
              <w:autoSpaceDE w:val="0"/>
              <w:autoSpaceDN w:val="0"/>
              <w:adjustRightInd w:val="0"/>
              <w:spacing w:line="300" w:lineRule="atLeast"/>
              <w:ind w:firstLine="440" w:firstLineChars="200"/>
              <w:rPr>
                <w:rFonts w:ascii="宋体" w:hAnsi="宋体" w:cs="宋体"/>
                <w:color w:val="auto"/>
                <w:highlight w:val="none"/>
                <w:lang w:val="zh-CN"/>
              </w:rPr>
            </w:pPr>
            <w:r>
              <w:rPr>
                <w:rFonts w:hint="eastAsia" w:ascii="宋体" w:hAnsi="宋体" w:cs="宋体"/>
                <w:color w:val="auto"/>
                <w:sz w:val="22"/>
                <w:szCs w:val="22"/>
                <w:highlight w:val="none"/>
                <w:lang w:val="zh-CN"/>
              </w:rPr>
              <w:t>d.供应商应加强U盘的包装与保护，因包装不当而造成“备份投标文件”损坏或不能在开评标现场设备上正确读取的责任由供应商自负。</w:t>
            </w:r>
          </w:p>
        </w:tc>
      </w:tr>
      <w:tr w14:paraId="6ABE0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14:paraId="5F5364A6">
            <w:pPr>
              <w:jc w:val="center"/>
              <w:rPr>
                <w:rFonts w:ascii="宋体" w:hAnsi="宋体" w:cs="宋体"/>
                <w:color w:val="auto"/>
                <w:sz w:val="22"/>
                <w:szCs w:val="22"/>
                <w:highlight w:val="none"/>
              </w:rPr>
            </w:pPr>
            <w:r>
              <w:rPr>
                <w:rFonts w:hint="eastAsia" w:ascii="宋体" w:hAnsi="宋体" w:cs="宋体"/>
                <w:color w:val="auto"/>
                <w:sz w:val="22"/>
                <w:szCs w:val="22"/>
                <w:highlight w:val="none"/>
              </w:rPr>
              <w:t>25</w:t>
            </w:r>
          </w:p>
        </w:tc>
        <w:tc>
          <w:tcPr>
            <w:tcW w:w="1715" w:type="dxa"/>
            <w:vAlign w:val="center"/>
          </w:tcPr>
          <w:p w14:paraId="36613FB0">
            <w:pPr>
              <w:autoSpaceDE w:val="0"/>
              <w:autoSpaceDN w:val="0"/>
              <w:adjustRightInd w:val="0"/>
              <w:spacing w:line="300" w:lineRule="atLeas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电子加密投标文件的解密和异常情况处理</w:t>
            </w:r>
          </w:p>
        </w:tc>
        <w:tc>
          <w:tcPr>
            <w:tcW w:w="7821" w:type="dxa"/>
            <w:vAlign w:val="center"/>
          </w:tcPr>
          <w:p w14:paraId="5E0167A7">
            <w:pPr>
              <w:autoSpaceDE w:val="0"/>
              <w:autoSpaceDN w:val="0"/>
              <w:adjustRightInd w:val="0"/>
              <w:spacing w:line="300" w:lineRule="atLeas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（1）开标后，采购组织机构将向各投标供应商发出“电子加密投标文件”的解密通知，各投标供应商代表应当在接到解密通知后30分钟内自行完成“电子加密投标文件”的在线解密。</w:t>
            </w:r>
          </w:p>
          <w:p w14:paraId="50CE5FB7">
            <w:pPr>
              <w:autoSpaceDE w:val="0"/>
              <w:autoSpaceDN w:val="0"/>
              <w:adjustRightInd w:val="0"/>
              <w:spacing w:line="300" w:lineRule="atLeas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14:paraId="19512ACC">
            <w:pPr>
              <w:autoSpaceDE w:val="0"/>
              <w:autoSpaceDN w:val="0"/>
              <w:adjustRightInd w:val="0"/>
              <w:spacing w:line="300" w:lineRule="atLeas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（3）投标文件递交截止时间前，投标供应商仅递交了“备份投标文件”而未将电子加密投标文件上传至“政采云平台”的，投标无效。</w:t>
            </w:r>
          </w:p>
        </w:tc>
      </w:tr>
      <w:tr w14:paraId="4E7C7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694" w:type="dxa"/>
            <w:vAlign w:val="center"/>
          </w:tcPr>
          <w:p w14:paraId="713A1B2F">
            <w:pPr>
              <w:jc w:val="center"/>
              <w:rPr>
                <w:rFonts w:ascii="宋体" w:hAnsi="宋体" w:cs="宋体"/>
                <w:color w:val="auto"/>
                <w:sz w:val="22"/>
                <w:szCs w:val="22"/>
                <w:highlight w:val="none"/>
              </w:rPr>
            </w:pPr>
            <w:r>
              <w:rPr>
                <w:rFonts w:hint="eastAsia" w:ascii="宋体" w:hAnsi="宋体" w:cs="宋体"/>
                <w:color w:val="auto"/>
                <w:sz w:val="22"/>
                <w:szCs w:val="22"/>
                <w:highlight w:val="none"/>
              </w:rPr>
              <w:t>26</w:t>
            </w:r>
          </w:p>
        </w:tc>
        <w:tc>
          <w:tcPr>
            <w:tcW w:w="1715" w:type="dxa"/>
            <w:vAlign w:val="center"/>
          </w:tcPr>
          <w:p w14:paraId="77BA6710">
            <w:pPr>
              <w:jc w:val="center"/>
              <w:rPr>
                <w:rFonts w:ascii="宋体" w:hAnsi="宋体" w:cs="宋体"/>
                <w:color w:val="auto"/>
                <w:sz w:val="22"/>
                <w:szCs w:val="22"/>
                <w:highlight w:val="none"/>
              </w:rPr>
            </w:pPr>
            <w:r>
              <w:rPr>
                <w:rFonts w:hint="eastAsia" w:ascii="宋体" w:hAnsi="宋体" w:cs="宋体"/>
                <w:color w:val="auto"/>
                <w:sz w:val="22"/>
                <w:szCs w:val="22"/>
                <w:highlight w:val="none"/>
              </w:rPr>
              <w:t>评标委员会成员的组建</w:t>
            </w:r>
          </w:p>
        </w:tc>
        <w:tc>
          <w:tcPr>
            <w:tcW w:w="7821" w:type="dxa"/>
            <w:vAlign w:val="center"/>
          </w:tcPr>
          <w:p w14:paraId="7D45006B">
            <w:pPr>
              <w:rPr>
                <w:rFonts w:ascii="宋体" w:hAnsi="宋体" w:cs="宋体"/>
                <w:color w:val="auto"/>
                <w:sz w:val="22"/>
                <w:szCs w:val="22"/>
                <w:highlight w:val="none"/>
              </w:rPr>
            </w:pPr>
            <w:r>
              <w:rPr>
                <w:rFonts w:hint="eastAsia" w:ascii="宋体" w:hAnsi="宋体" w:cs="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14:paraId="5A9C4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694" w:type="dxa"/>
            <w:vAlign w:val="center"/>
          </w:tcPr>
          <w:p w14:paraId="2C8E57C6">
            <w:pPr>
              <w:jc w:val="center"/>
              <w:rPr>
                <w:rFonts w:ascii="宋体" w:hAnsi="宋体" w:cs="宋体"/>
                <w:color w:val="auto"/>
                <w:sz w:val="22"/>
                <w:szCs w:val="22"/>
                <w:highlight w:val="none"/>
              </w:rPr>
            </w:pPr>
            <w:r>
              <w:rPr>
                <w:rFonts w:hint="eastAsia" w:ascii="宋体" w:hAnsi="宋体" w:cs="宋体"/>
                <w:color w:val="auto"/>
                <w:sz w:val="22"/>
                <w:szCs w:val="22"/>
                <w:highlight w:val="none"/>
              </w:rPr>
              <w:t>27</w:t>
            </w:r>
          </w:p>
        </w:tc>
        <w:tc>
          <w:tcPr>
            <w:tcW w:w="1715" w:type="dxa"/>
            <w:vAlign w:val="center"/>
          </w:tcPr>
          <w:p w14:paraId="1CBD9F4D">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w:t>
            </w:r>
          </w:p>
          <w:p w14:paraId="0ED13921">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扶持政策</w:t>
            </w:r>
          </w:p>
        </w:tc>
        <w:tc>
          <w:tcPr>
            <w:tcW w:w="7821" w:type="dxa"/>
            <w:vAlign w:val="center"/>
          </w:tcPr>
          <w:p w14:paraId="756FAF25">
            <w:pPr>
              <w:spacing w:line="3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1.本项目对符合财政扶持政策的中小企业（小型、微型）、监狱企业、残疾人福利性单位给予价格优惠扶持，价格优惠扶持见《评分办法》。</w:t>
            </w:r>
          </w:p>
          <w:p w14:paraId="16B5BC7B">
            <w:pPr>
              <w:spacing w:line="3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2.满足财政部 工业和信息化部关于印发《政府采购促进中小企业发展管理办法》的通知（财库〔2020〕46号）的规定的中小企业可享受优惠扶持。</w:t>
            </w:r>
          </w:p>
          <w:p w14:paraId="07A7359B">
            <w:pPr>
              <w:spacing w:line="3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3.满足关于政府采购支持监狱企业发展有关问题的通知（财库〔2014〕68号）的规定的供应商可享受优惠扶持。</w:t>
            </w:r>
          </w:p>
          <w:p w14:paraId="42B6D38A">
            <w:pPr>
              <w:spacing w:line="3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4.满足关于促进残疾人就业政府采购政策的通知（财库〔2017〕141号）的规定的供应商可享受优惠扶持。</w:t>
            </w:r>
          </w:p>
          <w:p w14:paraId="761D648F">
            <w:pPr>
              <w:rPr>
                <w:rFonts w:ascii="宋体" w:hAnsi="宋体" w:cs="宋体"/>
                <w:bCs/>
                <w:color w:val="auto"/>
                <w:sz w:val="22"/>
                <w:szCs w:val="22"/>
                <w:highlight w:val="none"/>
              </w:rPr>
            </w:pPr>
            <w:r>
              <w:rPr>
                <w:rFonts w:hint="eastAsia" w:ascii="宋体" w:hAnsi="宋体" w:cs="宋体"/>
                <w:bCs/>
                <w:color w:val="auto"/>
                <w:sz w:val="22"/>
                <w:szCs w:val="22"/>
                <w:highlight w:val="none"/>
              </w:rPr>
              <w:t>5.</w:t>
            </w:r>
            <w:r>
              <w:rPr>
                <w:rFonts w:hint="eastAsia" w:ascii="宋体" w:hAnsi="宋体" w:cs="宋体"/>
                <w:color w:val="auto"/>
                <w:highlight w:val="none"/>
              </w:rPr>
              <w:t xml:space="preserve"> </w:t>
            </w:r>
            <w:r>
              <w:rPr>
                <w:rFonts w:hint="eastAsia" w:ascii="宋体" w:hAnsi="宋体" w:cs="宋体"/>
                <w:bCs/>
                <w:color w:val="auto"/>
                <w:sz w:val="22"/>
                <w:szCs w:val="22"/>
                <w:highlight w:val="none"/>
              </w:rPr>
              <w:t>为支持和促进中小企业发展，进一步发挥政府采购政策功能，“政采云”平台目前提供政采贷、履约保函、预付款保函等金融服务，供应商若有融资意向，可登录https://jinrong.zcygov.cn/finance-service/#/help查看详情。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p w14:paraId="358FFFC4">
            <w:pPr>
              <w:rPr>
                <w:rFonts w:ascii="宋体" w:hAnsi="宋体" w:cs="宋体"/>
                <w:color w:val="auto"/>
                <w:sz w:val="22"/>
                <w:szCs w:val="22"/>
                <w:highlight w:val="none"/>
              </w:rPr>
            </w:pPr>
            <w:r>
              <w:rPr>
                <w:rFonts w:hint="eastAsia" w:ascii="宋体" w:hAnsi="宋体" w:cs="宋体"/>
                <w:bCs/>
                <w:color w:val="auto"/>
                <w:sz w:val="22"/>
                <w:szCs w:val="22"/>
                <w:highlight w:val="none"/>
              </w:rPr>
              <w:t>6.对节能、环保产品优先采购。</w:t>
            </w:r>
          </w:p>
        </w:tc>
      </w:tr>
      <w:tr w14:paraId="45E0D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694" w:type="dxa"/>
            <w:vAlign w:val="center"/>
          </w:tcPr>
          <w:p w14:paraId="6452DFB6">
            <w:pPr>
              <w:jc w:val="center"/>
              <w:rPr>
                <w:rFonts w:ascii="宋体" w:hAnsi="宋体" w:cs="宋体"/>
                <w:color w:val="auto"/>
                <w:sz w:val="22"/>
                <w:szCs w:val="22"/>
                <w:highlight w:val="none"/>
              </w:rPr>
            </w:pPr>
            <w:bookmarkStart w:id="220" w:name="_GoBack" w:colFirst="1" w:colLast="2"/>
            <w:r>
              <w:rPr>
                <w:rFonts w:hint="eastAsia" w:ascii="宋体" w:hAnsi="宋体" w:cs="宋体"/>
                <w:color w:val="auto"/>
                <w:sz w:val="22"/>
                <w:szCs w:val="22"/>
                <w:highlight w:val="none"/>
              </w:rPr>
              <w:t>28</w:t>
            </w:r>
          </w:p>
        </w:tc>
        <w:tc>
          <w:tcPr>
            <w:tcW w:w="1715" w:type="dxa"/>
            <w:vAlign w:val="center"/>
          </w:tcPr>
          <w:p w14:paraId="3FBBFF7C">
            <w:pPr>
              <w:jc w:val="center"/>
              <w:rPr>
                <w:rFonts w:ascii="新宋体" w:hAnsi="新宋体" w:eastAsia="新宋体" w:cs="新宋体"/>
                <w:sz w:val="22"/>
                <w:szCs w:val="22"/>
              </w:rPr>
            </w:pPr>
            <w:r>
              <w:rPr>
                <w:rFonts w:hint="eastAsia" w:ascii="新宋体" w:hAnsi="新宋体" w:eastAsia="新宋体" w:cs="新宋体"/>
                <w:sz w:val="22"/>
                <w:szCs w:val="22"/>
              </w:rPr>
              <w:t>投标人信用</w:t>
            </w:r>
          </w:p>
          <w:p w14:paraId="43ECA181">
            <w:pPr>
              <w:jc w:val="center"/>
              <w:rPr>
                <w:rFonts w:ascii="宋体" w:hAnsi="宋体" w:cs="宋体"/>
                <w:color w:val="auto"/>
                <w:sz w:val="22"/>
                <w:szCs w:val="22"/>
                <w:highlight w:val="none"/>
              </w:rPr>
            </w:pPr>
            <w:r>
              <w:rPr>
                <w:rFonts w:hint="eastAsia" w:ascii="新宋体" w:hAnsi="新宋体" w:eastAsia="新宋体" w:cs="新宋体"/>
                <w:sz w:val="22"/>
                <w:szCs w:val="22"/>
              </w:rPr>
              <w:t>查询</w:t>
            </w:r>
          </w:p>
        </w:tc>
        <w:tc>
          <w:tcPr>
            <w:tcW w:w="7821" w:type="dxa"/>
            <w:vAlign w:val="center"/>
          </w:tcPr>
          <w:p w14:paraId="3CF9F98D">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（1）供应商信用信息查询的查询渠道：“信用中国”（)；“中国政府采购网”（http://www.ccgp.gov.cn/）；</w:t>
            </w:r>
          </w:p>
          <w:p w14:paraId="2CB4B798">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（2）供应商信用信息查询截止时点：本项目投标文件递交截止时间。</w:t>
            </w:r>
          </w:p>
          <w:p w14:paraId="0ED56BC4">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（3）供应商信用信息查询记录和证据留存的具体方式：网页截图打印；</w:t>
            </w:r>
          </w:p>
          <w:p w14:paraId="1B5113A1">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（4）信用信息的使用规则：</w:t>
            </w:r>
          </w:p>
          <w:p w14:paraId="18A552E8">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①在“信用中国”具有负面记录：列入失信被执行人、重大税收违法案件当事人名单、政府采购严重违法失信行为名单；</w:t>
            </w:r>
          </w:p>
          <w:p w14:paraId="68CE08A7">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②被“中国政府采购网”（www.ccgp.gov.cn）列入政府采购严重违法失信行为记录名单。</w:t>
            </w:r>
          </w:p>
          <w:p w14:paraId="3E38CCF7">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（5）具有以上（4）所述信息记录的供应商，其投标作无效投标处理。</w:t>
            </w:r>
          </w:p>
          <w:p w14:paraId="2D319DB7">
            <w:pPr>
              <w:spacing w:line="360" w:lineRule="exact"/>
              <w:rPr>
                <w:rFonts w:ascii="新宋体" w:hAnsi="新宋体" w:eastAsia="新宋体" w:cs="新宋体"/>
                <w:bCs/>
                <w:sz w:val="22"/>
                <w:szCs w:val="22"/>
              </w:rPr>
            </w:pPr>
            <w:r>
              <w:rPr>
                <w:rFonts w:hint="eastAsia" w:ascii="新宋体" w:hAnsi="新宋体" w:eastAsia="新宋体" w:cs="新宋体"/>
                <w:bCs/>
                <w:sz w:val="22"/>
                <w:szCs w:val="22"/>
              </w:rPr>
              <w:t>（6）具体结果以开标当日采购人或采购代理机构对投标人信用查询网页的查询结果为准。</w:t>
            </w:r>
          </w:p>
          <w:p w14:paraId="2EF087F8">
            <w:pPr>
              <w:spacing w:line="360" w:lineRule="exact"/>
              <w:rPr>
                <w:rFonts w:ascii="宋体" w:hAnsi="宋体" w:cs="宋体"/>
                <w:color w:val="auto"/>
                <w:sz w:val="22"/>
                <w:szCs w:val="22"/>
                <w:highlight w:val="none"/>
              </w:rPr>
            </w:pPr>
            <w:r>
              <w:rPr>
                <w:rFonts w:hint="eastAsia" w:ascii="新宋体" w:hAnsi="新宋体" w:eastAsia="新宋体" w:cs="新宋体"/>
                <w:bCs/>
                <w:sz w:val="22"/>
                <w:szCs w:val="22"/>
              </w:rPr>
              <w:t>（7）联合体成员存在上述不良信用记录的，视同联合体存在不良信用记录。</w:t>
            </w:r>
          </w:p>
        </w:tc>
      </w:tr>
      <w:bookmarkEnd w:id="220"/>
      <w:tr w14:paraId="17A14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694" w:type="dxa"/>
            <w:vAlign w:val="center"/>
          </w:tcPr>
          <w:p w14:paraId="533F4084">
            <w:pPr>
              <w:jc w:val="center"/>
              <w:rPr>
                <w:rFonts w:ascii="宋体" w:hAnsi="宋体" w:cs="宋体"/>
                <w:color w:val="auto"/>
                <w:sz w:val="22"/>
                <w:szCs w:val="22"/>
                <w:highlight w:val="none"/>
              </w:rPr>
            </w:pPr>
            <w:r>
              <w:rPr>
                <w:rFonts w:hint="eastAsia" w:ascii="宋体" w:hAnsi="宋体" w:cs="宋体"/>
                <w:color w:val="auto"/>
                <w:sz w:val="22"/>
                <w:szCs w:val="22"/>
                <w:highlight w:val="none"/>
              </w:rPr>
              <w:t>29</w:t>
            </w:r>
          </w:p>
        </w:tc>
        <w:tc>
          <w:tcPr>
            <w:tcW w:w="1715" w:type="dxa"/>
            <w:vAlign w:val="center"/>
          </w:tcPr>
          <w:p w14:paraId="198BFC46">
            <w:pPr>
              <w:jc w:val="center"/>
              <w:rPr>
                <w:rFonts w:ascii="宋体" w:hAnsi="宋体" w:cs="宋体"/>
                <w:color w:val="auto"/>
                <w:sz w:val="22"/>
                <w:szCs w:val="22"/>
                <w:highlight w:val="none"/>
              </w:rPr>
            </w:pPr>
            <w:r>
              <w:rPr>
                <w:rFonts w:hint="eastAsia" w:ascii="宋体" w:hAnsi="宋体" w:cs="宋体"/>
                <w:color w:val="auto"/>
                <w:sz w:val="22"/>
                <w:szCs w:val="22"/>
                <w:highlight w:val="none"/>
              </w:rPr>
              <w:t>合同备案</w:t>
            </w:r>
          </w:p>
        </w:tc>
        <w:tc>
          <w:tcPr>
            <w:tcW w:w="7821" w:type="dxa"/>
            <w:vAlign w:val="center"/>
          </w:tcPr>
          <w:p w14:paraId="129EBF80">
            <w:pPr>
              <w:rPr>
                <w:rFonts w:ascii="宋体" w:hAnsi="宋体" w:cs="宋体"/>
                <w:color w:val="auto"/>
                <w:sz w:val="22"/>
                <w:szCs w:val="22"/>
                <w:highlight w:val="none"/>
              </w:rPr>
            </w:pPr>
            <w:r>
              <w:rPr>
                <w:rFonts w:hint="eastAsia" w:ascii="宋体" w:hAnsi="宋体" w:cs="宋体"/>
                <w:color w:val="auto"/>
                <w:sz w:val="22"/>
                <w:szCs w:val="22"/>
                <w:highlight w:val="none"/>
              </w:rPr>
              <w:t>1、中标供应商须在发出中标通知书之日起30日历天内与采购人签订合同。</w:t>
            </w:r>
          </w:p>
          <w:p w14:paraId="3E5D139B">
            <w:pPr>
              <w:rPr>
                <w:rFonts w:ascii="宋体" w:hAnsi="宋体" w:cs="宋体"/>
                <w:color w:val="auto"/>
                <w:sz w:val="22"/>
                <w:szCs w:val="22"/>
                <w:highlight w:val="none"/>
              </w:rPr>
            </w:pPr>
            <w:r>
              <w:rPr>
                <w:rFonts w:hint="eastAsia" w:ascii="宋体" w:hAnsi="宋体" w:cs="宋体"/>
                <w:color w:val="auto"/>
                <w:sz w:val="22"/>
                <w:szCs w:val="22"/>
                <w:highlight w:val="none"/>
              </w:rPr>
              <w:t>2、本项目政府采购合同按规定在浙江政府采购网（http://www.zjzfcg.gov.cn）予以公告。</w:t>
            </w:r>
          </w:p>
        </w:tc>
      </w:tr>
      <w:tr w14:paraId="258CB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694" w:type="dxa"/>
            <w:vAlign w:val="center"/>
          </w:tcPr>
          <w:p w14:paraId="7DA6F044">
            <w:pPr>
              <w:jc w:val="center"/>
              <w:rPr>
                <w:rFonts w:ascii="宋体" w:hAnsi="宋体" w:cs="宋体"/>
                <w:color w:val="auto"/>
                <w:sz w:val="22"/>
                <w:szCs w:val="22"/>
                <w:highlight w:val="none"/>
              </w:rPr>
            </w:pPr>
            <w:r>
              <w:rPr>
                <w:rFonts w:hint="eastAsia" w:ascii="宋体" w:hAnsi="宋体" w:cs="宋体"/>
                <w:color w:val="auto"/>
                <w:sz w:val="22"/>
                <w:szCs w:val="22"/>
                <w:highlight w:val="none"/>
              </w:rPr>
              <w:t>30</w:t>
            </w:r>
          </w:p>
        </w:tc>
        <w:tc>
          <w:tcPr>
            <w:tcW w:w="1715" w:type="dxa"/>
            <w:vAlign w:val="center"/>
          </w:tcPr>
          <w:p w14:paraId="3F3C38D5">
            <w:pPr>
              <w:jc w:val="center"/>
              <w:rPr>
                <w:rFonts w:ascii="宋体" w:hAnsi="宋体" w:cs="宋体"/>
                <w:color w:val="auto"/>
                <w:sz w:val="22"/>
                <w:szCs w:val="22"/>
                <w:highlight w:val="none"/>
              </w:rPr>
            </w:pPr>
            <w:r>
              <w:rPr>
                <w:rFonts w:hint="eastAsia" w:ascii="宋体" w:hAnsi="宋体" w:cs="宋体"/>
                <w:color w:val="auto"/>
                <w:sz w:val="22"/>
                <w:szCs w:val="22"/>
                <w:highlight w:val="none"/>
              </w:rPr>
              <w:t>合同履约管理</w:t>
            </w:r>
          </w:p>
        </w:tc>
        <w:tc>
          <w:tcPr>
            <w:tcW w:w="7821" w:type="dxa"/>
            <w:vAlign w:val="center"/>
          </w:tcPr>
          <w:p w14:paraId="24E77E61">
            <w:pPr>
              <w:rPr>
                <w:rFonts w:ascii="宋体" w:hAnsi="宋体" w:cs="宋体"/>
                <w:color w:val="auto"/>
                <w:sz w:val="22"/>
                <w:szCs w:val="22"/>
                <w:highlight w:val="none"/>
              </w:rPr>
            </w:pPr>
            <w:r>
              <w:rPr>
                <w:rFonts w:hint="eastAsia" w:ascii="宋体" w:hAnsi="宋体" w:cs="宋体"/>
                <w:color w:val="auto"/>
                <w:sz w:val="22"/>
                <w:szCs w:val="22"/>
                <w:highlight w:val="none"/>
              </w:rPr>
              <w:t>合同签订后，采购人依法加强对合同履约进行管理，并在成交供应商服务、项目验收等重要环节，如实填写《合同验收报告》，并及时向同级财政部门报告验收过程中遇到的问题。</w:t>
            </w:r>
          </w:p>
        </w:tc>
      </w:tr>
      <w:tr w14:paraId="0C681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694" w:type="dxa"/>
            <w:vAlign w:val="center"/>
          </w:tcPr>
          <w:p w14:paraId="4FEA3361">
            <w:pPr>
              <w:jc w:val="center"/>
              <w:rPr>
                <w:rFonts w:ascii="宋体" w:hAnsi="宋体" w:cs="宋体"/>
                <w:color w:val="auto"/>
                <w:sz w:val="22"/>
                <w:szCs w:val="22"/>
                <w:highlight w:val="none"/>
              </w:rPr>
            </w:pPr>
            <w:r>
              <w:rPr>
                <w:rFonts w:hint="eastAsia" w:ascii="宋体" w:hAnsi="宋体" w:cs="宋体"/>
                <w:color w:val="auto"/>
                <w:sz w:val="22"/>
                <w:szCs w:val="22"/>
                <w:highlight w:val="none"/>
              </w:rPr>
              <w:t>31</w:t>
            </w:r>
          </w:p>
        </w:tc>
        <w:tc>
          <w:tcPr>
            <w:tcW w:w="1715" w:type="dxa"/>
            <w:vAlign w:val="center"/>
          </w:tcPr>
          <w:p w14:paraId="340A2CCD">
            <w:pPr>
              <w:jc w:val="center"/>
              <w:rPr>
                <w:rFonts w:ascii="宋体" w:hAnsi="宋体" w:cs="宋体"/>
                <w:color w:val="auto"/>
                <w:sz w:val="22"/>
                <w:szCs w:val="22"/>
                <w:highlight w:val="none"/>
              </w:rPr>
            </w:pPr>
            <w:r>
              <w:rPr>
                <w:rFonts w:hint="eastAsia" w:ascii="宋体" w:hAnsi="宋体" w:cs="宋体"/>
                <w:color w:val="auto"/>
                <w:sz w:val="22"/>
                <w:szCs w:val="22"/>
                <w:highlight w:val="none"/>
              </w:rPr>
              <w:t>免责声明</w:t>
            </w:r>
          </w:p>
        </w:tc>
        <w:tc>
          <w:tcPr>
            <w:tcW w:w="7821" w:type="dxa"/>
            <w:vAlign w:val="center"/>
          </w:tcPr>
          <w:p w14:paraId="5DBB0B75">
            <w:pPr>
              <w:rPr>
                <w:rFonts w:ascii="宋体" w:hAnsi="宋体" w:cs="宋体"/>
                <w:color w:val="auto"/>
                <w:sz w:val="22"/>
                <w:szCs w:val="22"/>
                <w:highlight w:val="none"/>
              </w:rPr>
            </w:pPr>
            <w:r>
              <w:rPr>
                <w:rFonts w:hint="eastAsia" w:ascii="宋体" w:hAnsi="宋体" w:cs="宋体"/>
                <w:color w:val="auto"/>
                <w:sz w:val="22"/>
                <w:szCs w:val="22"/>
                <w:highlight w:val="none"/>
              </w:rPr>
              <w:t>1、供应商自行承担投标过程中产生的费用。无论何种因素导致采购项目延期开标、废标（流标）、供应商未成交、项目终止采购的，采购人与代理机构均不承担供应商投标费用。</w:t>
            </w:r>
          </w:p>
          <w:p w14:paraId="19260232">
            <w:pPr>
              <w:rPr>
                <w:rFonts w:ascii="宋体" w:hAnsi="宋体" w:cs="宋体"/>
                <w:color w:val="auto"/>
                <w:sz w:val="22"/>
                <w:szCs w:val="22"/>
                <w:highlight w:val="none"/>
              </w:rPr>
            </w:pPr>
            <w:r>
              <w:rPr>
                <w:rFonts w:hint="eastAsia" w:ascii="宋体" w:hAnsi="宋体" w:cs="宋体"/>
                <w:color w:val="auto"/>
                <w:sz w:val="22"/>
                <w:szCs w:val="22"/>
                <w:highlight w:val="none"/>
              </w:rPr>
              <w:t>2、供应商在投标、合同履行过程中必须做好安全保障工作，不因项目实施而危及自身及第三方人员、财产安全。若发生任何安全事故，由成交供应商自行承担一切责任并赔偿损失。</w:t>
            </w:r>
          </w:p>
        </w:tc>
      </w:tr>
      <w:tr w14:paraId="2B770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6" w:hRule="atLeast"/>
          <w:jc w:val="center"/>
        </w:trPr>
        <w:tc>
          <w:tcPr>
            <w:tcW w:w="694" w:type="dxa"/>
            <w:vAlign w:val="center"/>
          </w:tcPr>
          <w:p w14:paraId="295E7B7C">
            <w:pPr>
              <w:jc w:val="center"/>
              <w:rPr>
                <w:rFonts w:ascii="宋体" w:hAnsi="宋体" w:cs="宋体"/>
                <w:color w:val="auto"/>
                <w:sz w:val="22"/>
                <w:szCs w:val="22"/>
                <w:highlight w:val="none"/>
              </w:rPr>
            </w:pPr>
            <w:r>
              <w:rPr>
                <w:rFonts w:hint="eastAsia" w:ascii="宋体" w:hAnsi="宋体" w:cs="宋体"/>
                <w:color w:val="auto"/>
                <w:sz w:val="22"/>
                <w:szCs w:val="22"/>
                <w:highlight w:val="none"/>
              </w:rPr>
              <w:t>32</w:t>
            </w:r>
          </w:p>
        </w:tc>
        <w:tc>
          <w:tcPr>
            <w:tcW w:w="1715" w:type="dxa"/>
            <w:vAlign w:val="center"/>
          </w:tcPr>
          <w:p w14:paraId="266B57D3">
            <w:pPr>
              <w:jc w:val="center"/>
              <w:rPr>
                <w:rFonts w:ascii="宋体" w:hAnsi="宋体" w:cs="宋体"/>
                <w:color w:val="auto"/>
                <w:sz w:val="22"/>
                <w:szCs w:val="22"/>
                <w:highlight w:val="none"/>
              </w:rPr>
            </w:pPr>
            <w:r>
              <w:rPr>
                <w:rFonts w:hint="eastAsia" w:ascii="宋体" w:hAnsi="宋体" w:cs="宋体"/>
                <w:color w:val="auto"/>
                <w:sz w:val="22"/>
                <w:szCs w:val="22"/>
                <w:highlight w:val="none"/>
              </w:rPr>
              <w:t>解释权</w:t>
            </w:r>
          </w:p>
        </w:tc>
        <w:tc>
          <w:tcPr>
            <w:tcW w:w="7821" w:type="dxa"/>
            <w:vAlign w:val="center"/>
          </w:tcPr>
          <w:p w14:paraId="136D0E86">
            <w:pPr>
              <w:rPr>
                <w:rFonts w:ascii="宋体" w:hAnsi="宋体" w:cs="宋体"/>
                <w:color w:val="auto"/>
                <w:sz w:val="22"/>
                <w:szCs w:val="22"/>
                <w:highlight w:val="none"/>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E275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94" w:type="dxa"/>
            <w:vAlign w:val="center"/>
          </w:tcPr>
          <w:p w14:paraId="1808A8EF">
            <w:pPr>
              <w:jc w:val="center"/>
              <w:rPr>
                <w:rFonts w:ascii="宋体" w:hAnsi="宋体" w:cs="宋体"/>
                <w:color w:val="auto"/>
                <w:sz w:val="22"/>
                <w:szCs w:val="22"/>
                <w:highlight w:val="none"/>
              </w:rPr>
            </w:pPr>
            <w:r>
              <w:rPr>
                <w:rFonts w:hint="eastAsia" w:ascii="宋体" w:hAnsi="宋体" w:cs="宋体"/>
                <w:color w:val="auto"/>
                <w:sz w:val="22"/>
                <w:szCs w:val="22"/>
                <w:highlight w:val="none"/>
              </w:rPr>
              <w:t>33</w:t>
            </w:r>
          </w:p>
        </w:tc>
        <w:tc>
          <w:tcPr>
            <w:tcW w:w="1715" w:type="dxa"/>
            <w:vAlign w:val="center"/>
          </w:tcPr>
          <w:p w14:paraId="11F7189F">
            <w:pPr>
              <w:jc w:val="center"/>
              <w:rPr>
                <w:rFonts w:ascii="宋体" w:hAnsi="宋体" w:cs="宋体"/>
                <w:color w:val="auto"/>
                <w:sz w:val="22"/>
                <w:szCs w:val="22"/>
                <w:highlight w:val="none"/>
              </w:rPr>
            </w:pPr>
            <w:r>
              <w:rPr>
                <w:rFonts w:hint="eastAsia" w:ascii="宋体" w:hAnsi="宋体" w:cs="宋体"/>
                <w:color w:val="auto"/>
                <w:sz w:val="22"/>
                <w:szCs w:val="22"/>
                <w:highlight w:val="none"/>
              </w:rPr>
              <w:t>项目类型</w:t>
            </w:r>
          </w:p>
        </w:tc>
        <w:tc>
          <w:tcPr>
            <w:tcW w:w="7821" w:type="dxa"/>
            <w:vAlign w:val="center"/>
          </w:tcPr>
          <w:p w14:paraId="185AFA95">
            <w:pPr>
              <w:adjustRightInd w:val="0"/>
              <w:rPr>
                <w:rFonts w:ascii="宋体" w:hAnsi="宋体" w:cs="宋体"/>
                <w:color w:val="auto"/>
                <w:sz w:val="22"/>
                <w:szCs w:val="22"/>
                <w:highlight w:val="none"/>
              </w:rPr>
            </w:pPr>
            <w:r>
              <w:rPr>
                <w:rFonts w:hint="eastAsia" w:ascii="宋体" w:hAnsi="宋体" w:cs="宋体"/>
                <w:b/>
                <w:color w:val="auto"/>
                <w:sz w:val="22"/>
                <w:szCs w:val="22"/>
                <w:highlight w:val="none"/>
              </w:rPr>
              <w:fldChar w:fldCharType="begin"/>
            </w:r>
            <w:r>
              <w:rPr>
                <w:rFonts w:hint="eastAsia" w:ascii="宋体" w:hAnsi="宋体" w:cs="宋体"/>
                <w:b/>
                <w:color w:val="auto"/>
                <w:sz w:val="22"/>
                <w:szCs w:val="22"/>
                <w:highlight w:val="none"/>
              </w:rPr>
              <w:instrText xml:space="preserve">eq \o\ac(□,√)</w:instrText>
            </w:r>
            <w:r>
              <w:rPr>
                <w:rFonts w:hint="eastAsia" w:ascii="宋体" w:hAnsi="宋体" w:cs="宋体"/>
                <w:b/>
                <w:color w:val="auto"/>
                <w:sz w:val="22"/>
                <w:szCs w:val="22"/>
                <w:highlight w:val="none"/>
              </w:rPr>
              <w:fldChar w:fldCharType="end"/>
            </w:r>
            <w:r>
              <w:rPr>
                <w:rFonts w:hint="eastAsia" w:ascii="宋体" w:hAnsi="宋体" w:cs="宋体"/>
                <w:color w:val="auto"/>
                <w:sz w:val="22"/>
                <w:szCs w:val="22"/>
                <w:highlight w:val="none"/>
              </w:rPr>
              <w:t>A</w:t>
            </w:r>
            <w:r>
              <w:rPr>
                <w:rFonts w:hint="eastAsia" w:ascii="宋体" w:hAnsi="宋体" w:cs="宋体"/>
                <w:b/>
                <w:color w:val="auto"/>
                <w:sz w:val="22"/>
                <w:szCs w:val="22"/>
                <w:highlight w:val="none"/>
              </w:rPr>
              <w:t>货物类</w:t>
            </w:r>
            <w:r>
              <w:rPr>
                <w:rFonts w:hint="eastAsia" w:ascii="宋体" w:hAnsi="宋体" w:cs="宋体"/>
                <w:color w:val="auto"/>
                <w:sz w:val="22"/>
                <w:szCs w:val="22"/>
                <w:highlight w:val="none"/>
              </w:rPr>
              <w:t>，单一产品或核心产品为：</w:t>
            </w:r>
            <w:r>
              <w:rPr>
                <w:rFonts w:hint="eastAsia" w:ascii="宋体" w:hAnsi="宋体" w:cs="宋体"/>
                <w:color w:val="auto"/>
                <w:kern w:val="0"/>
                <w:sz w:val="22"/>
                <w:szCs w:val="22"/>
                <w:highlight w:val="none"/>
              </w:rPr>
              <w:t>强脉冲光治疗仪（光子嫩肤治疗仪）</w:t>
            </w:r>
            <w:r>
              <w:rPr>
                <w:rFonts w:hint="eastAsia" w:ascii="宋体" w:hAnsi="宋体" w:cs="宋体"/>
                <w:color w:val="auto"/>
                <w:sz w:val="22"/>
                <w:highlight w:val="none"/>
              </w:rPr>
              <w:t>。</w:t>
            </w:r>
          </w:p>
          <w:p w14:paraId="7506CABA">
            <w:pPr>
              <w:rPr>
                <w:rFonts w:ascii="宋体" w:hAnsi="宋体" w:cs="宋体"/>
                <w:b/>
                <w:color w:val="auto"/>
                <w:sz w:val="22"/>
                <w:szCs w:val="22"/>
                <w:highlight w:val="none"/>
              </w:rPr>
            </w:pPr>
            <w:r>
              <w:rPr>
                <w:rFonts w:hint="eastAsia" w:ascii="宋体" w:hAnsi="宋体" w:cs="宋体"/>
                <w:b/>
                <w:color w:val="auto"/>
                <w:sz w:val="22"/>
                <w:szCs w:val="22"/>
                <w:highlight w:val="none"/>
              </w:rPr>
              <w:sym w:font="Wingdings 2" w:char="00A3"/>
            </w:r>
            <w:r>
              <w:rPr>
                <w:rFonts w:hint="eastAsia" w:ascii="宋体" w:hAnsi="宋体" w:cs="宋体"/>
                <w:b/>
                <w:color w:val="auto"/>
                <w:sz w:val="22"/>
                <w:szCs w:val="22"/>
                <w:highlight w:val="none"/>
              </w:rPr>
              <w:t>B服务类。</w:t>
            </w:r>
          </w:p>
          <w:p w14:paraId="33ECF3EE">
            <w:pPr>
              <w:rPr>
                <w:rFonts w:ascii="宋体" w:hAnsi="宋体" w:cs="宋体"/>
                <w:color w:val="auto"/>
                <w:sz w:val="22"/>
                <w:szCs w:val="22"/>
                <w:highlight w:val="none"/>
              </w:rPr>
            </w:pPr>
            <w:r>
              <w:rPr>
                <w:rFonts w:hint="eastAsia" w:ascii="宋体" w:hAnsi="宋体" w:cs="宋体"/>
                <w:color w:val="auto"/>
                <w:sz w:val="22"/>
                <w:szCs w:val="22"/>
                <w:highlight w:val="none"/>
              </w:rPr>
              <w:t>采购标的对应的中小企业划分标准所属行业：</w:t>
            </w:r>
            <w:r>
              <w:rPr>
                <w:rFonts w:hint="eastAsia" w:ascii="宋体" w:hAnsi="宋体" w:cs="宋体"/>
                <w:b/>
                <w:color w:val="auto"/>
                <w:sz w:val="22"/>
                <w:szCs w:val="22"/>
                <w:highlight w:val="none"/>
              </w:rPr>
              <w:t>工业</w:t>
            </w:r>
          </w:p>
        </w:tc>
      </w:tr>
    </w:tbl>
    <w:p w14:paraId="6762A5C7">
      <w:pPr>
        <w:rPr>
          <w:rFonts w:ascii="宋体" w:hAnsi="宋体" w:cs="宋体"/>
          <w:color w:val="auto"/>
          <w:highlight w:val="none"/>
        </w:rPr>
      </w:pPr>
    </w:p>
    <w:p w14:paraId="349577B2">
      <w:pPr>
        <w:pStyle w:val="41"/>
        <w:ind w:firstLine="210"/>
        <w:rPr>
          <w:rFonts w:ascii="宋体" w:hAnsi="宋体" w:cs="宋体"/>
          <w:color w:val="auto"/>
          <w:highlight w:val="none"/>
        </w:rPr>
      </w:pPr>
    </w:p>
    <w:p w14:paraId="5CFFD7EB">
      <w:pPr>
        <w:pStyle w:val="41"/>
        <w:ind w:firstLine="210"/>
        <w:rPr>
          <w:rFonts w:ascii="宋体" w:hAnsi="宋体" w:cs="宋体"/>
          <w:color w:val="auto"/>
          <w:highlight w:val="none"/>
        </w:rPr>
      </w:pPr>
    </w:p>
    <w:p w14:paraId="4230B96A">
      <w:pPr>
        <w:pStyle w:val="41"/>
        <w:ind w:firstLine="210"/>
        <w:rPr>
          <w:rFonts w:ascii="宋体" w:hAnsi="宋体" w:cs="宋体"/>
          <w:color w:val="auto"/>
          <w:highlight w:val="none"/>
        </w:rPr>
      </w:pPr>
    </w:p>
    <w:p w14:paraId="7C3BB6A3">
      <w:pPr>
        <w:pStyle w:val="39"/>
        <w:rPr>
          <w:rFonts w:ascii="宋体" w:hAnsi="宋体" w:cs="宋体"/>
          <w:color w:val="auto"/>
          <w:sz w:val="30"/>
          <w:szCs w:val="30"/>
          <w:highlight w:val="none"/>
        </w:rPr>
      </w:pPr>
      <w:bookmarkStart w:id="7" w:name="_Toc498343165"/>
      <w:bookmarkStart w:id="8" w:name="_Toc461563840"/>
      <w:r>
        <w:rPr>
          <w:rFonts w:hint="eastAsia" w:ascii="宋体" w:hAnsi="宋体" w:cs="宋体"/>
          <w:color w:val="auto"/>
          <w:sz w:val="30"/>
          <w:szCs w:val="30"/>
          <w:highlight w:val="none"/>
        </w:rPr>
        <w:br w:type="page"/>
      </w:r>
      <w:bookmarkStart w:id="9" w:name="_Toc13266"/>
      <w:r>
        <w:rPr>
          <w:rFonts w:hint="eastAsia" w:ascii="宋体" w:hAnsi="宋体" w:cs="宋体"/>
          <w:color w:val="auto"/>
          <w:sz w:val="30"/>
          <w:szCs w:val="30"/>
          <w:highlight w:val="none"/>
        </w:rPr>
        <w:t xml:space="preserve">第二部分 </w:t>
      </w:r>
      <w:bookmarkEnd w:id="7"/>
      <w:bookmarkEnd w:id="8"/>
      <w:r>
        <w:rPr>
          <w:rFonts w:hint="eastAsia" w:ascii="宋体" w:hAnsi="宋体" w:cs="宋体"/>
          <w:color w:val="auto"/>
          <w:sz w:val="30"/>
          <w:szCs w:val="30"/>
          <w:highlight w:val="none"/>
        </w:rPr>
        <w:t>招标内容及要求</w:t>
      </w:r>
      <w:bookmarkEnd w:id="9"/>
    </w:p>
    <w:p w14:paraId="0571836E">
      <w:pPr>
        <w:pStyle w:val="39"/>
        <w:rPr>
          <w:rFonts w:ascii="宋体" w:hAnsi="宋体" w:cs="宋体"/>
          <w:color w:val="auto"/>
          <w:highlight w:val="none"/>
        </w:rPr>
      </w:pPr>
      <w:bookmarkStart w:id="10" w:name="_Toc22906"/>
      <w:bookmarkStart w:id="11" w:name="_Toc66643429"/>
      <w:bookmarkStart w:id="12" w:name="_Toc501892974"/>
      <w:bookmarkStart w:id="13" w:name="_Toc405377115"/>
      <w:bookmarkStart w:id="14" w:name="_Toc484540405"/>
      <w:bookmarkStart w:id="15" w:name="_Toc461563851"/>
      <w:bookmarkStart w:id="16" w:name="_Toc498343168"/>
      <w:r>
        <w:rPr>
          <w:rFonts w:hint="eastAsia" w:ascii="宋体" w:hAnsi="宋体" w:cs="宋体"/>
          <w:color w:val="auto"/>
          <w:highlight w:val="none"/>
        </w:rPr>
        <w:t>一、采购总说明</w:t>
      </w:r>
      <w:bookmarkEnd w:id="10"/>
    </w:p>
    <w:p w14:paraId="03D767AC">
      <w:pPr>
        <w:spacing w:line="460" w:lineRule="atLeast"/>
        <w:ind w:firstLine="440" w:firstLineChars="200"/>
        <w:rPr>
          <w:rFonts w:ascii="宋体" w:hAnsi="宋体" w:cs="宋体"/>
          <w:b/>
          <w:bCs/>
          <w:color w:val="auto"/>
          <w:sz w:val="22"/>
          <w:szCs w:val="22"/>
          <w:highlight w:val="none"/>
        </w:rPr>
      </w:pPr>
      <w:bookmarkStart w:id="17" w:name="_Toc25187"/>
      <w:r>
        <w:rPr>
          <w:rFonts w:hint="eastAsia" w:ascii="宋体" w:hAnsi="宋体" w:cs="宋体"/>
          <w:color w:val="auto"/>
          <w:sz w:val="22"/>
          <w:szCs w:val="22"/>
          <w:highlight w:val="none"/>
        </w:rPr>
        <w:t>1、本技术规范要求提出的是最低限度的基本技术要求，并未对所有技术细节作出规定，供应商应提供符合本技术要求和国家标准、行业标准的优质产品。</w:t>
      </w:r>
    </w:p>
    <w:p w14:paraId="34C2A218">
      <w:pPr>
        <w:spacing w:line="460" w:lineRule="atLeas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4526DE6F">
      <w:pPr>
        <w:spacing w:line="460" w:lineRule="atLeas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3、技术要求及标准的执行</w:t>
      </w:r>
    </w:p>
    <w:p w14:paraId="77DBE780">
      <w:pPr>
        <w:spacing w:line="460" w:lineRule="atLeas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61B4F9F8">
      <w:pPr>
        <w:spacing w:line="460" w:lineRule="atLeas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1362E5F0">
      <w:pPr>
        <w:spacing w:line="460" w:lineRule="atLeas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4、供应商须完成下列项目：设备设计、制造、试验、供货、运输、安装、调试和试运行、技术服务及培训、备品备件、验收、售后服务、维修等各方面对供应商进行全方位的综合考核。相关文件的提交、与技术规格一致的设备图表及资料、质保期内的维修。无论其是否被明细列在合同文件中。投标报价必须包括运杂费、保险费、增值税、检验检疫费用（如有）、材料损耗费、采购保管费、安装费、调试费、检验费、培训费、维修保养费、质保期内售后服务费、利润、税金、风险和用户移交使用前产生的相关费用等直至设备试运行并经当地质量技术监督部门验收合格后交付建设单位的全部费用。中标供应商应列入而未列入其中的费用，均视为已包含在内，风险由中标供应商承担。除发生下列因素可调整合同承包价外，不得以任何其他理由调整任何费用：采购人除协助提供设备存放场地以外，设备制造、运输、装卸、调试验收及保修等均由中标供应商负责，全部包括在投标报价内。</w:t>
      </w:r>
    </w:p>
    <w:p w14:paraId="6894BD4B">
      <w:pPr>
        <w:pStyle w:val="39"/>
        <w:rPr>
          <w:rFonts w:ascii="宋体" w:hAnsi="宋体" w:cs="宋体"/>
          <w:color w:val="auto"/>
          <w:highlight w:val="none"/>
        </w:rPr>
      </w:pPr>
      <w:r>
        <w:rPr>
          <w:rFonts w:hint="eastAsia" w:ascii="宋体" w:hAnsi="宋体" w:cs="宋体"/>
          <w:color w:val="auto"/>
          <w:highlight w:val="none"/>
        </w:rPr>
        <w:t>二、采购内容及技术要求</w:t>
      </w:r>
    </w:p>
    <w:p w14:paraId="57C4B3EF">
      <w:pPr>
        <w:spacing w:line="460" w:lineRule="atLeast"/>
        <w:ind w:firstLine="442" w:firstLineChars="200"/>
        <w:rPr>
          <w:rFonts w:ascii="宋体" w:hAnsi="宋体" w:cs="宋体"/>
          <w:b/>
          <w:bCs/>
          <w:color w:val="auto"/>
          <w:sz w:val="22"/>
          <w:szCs w:val="22"/>
          <w:highlight w:val="none"/>
        </w:rPr>
      </w:pPr>
      <w:r>
        <w:rPr>
          <w:rFonts w:hint="eastAsia" w:ascii="宋体" w:hAnsi="宋体" w:cs="宋体"/>
          <w:b/>
          <w:color w:val="auto"/>
          <w:sz w:val="22"/>
          <w:szCs w:val="22"/>
          <w:highlight w:val="none"/>
        </w:rPr>
        <w:t>1、采购内容一览表</w:t>
      </w:r>
    </w:p>
    <w:tbl>
      <w:tblPr>
        <w:tblStyle w:val="43"/>
        <w:tblW w:w="9541" w:type="dxa"/>
        <w:jc w:val="center"/>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931"/>
        <w:gridCol w:w="4425"/>
        <w:gridCol w:w="1548"/>
        <w:gridCol w:w="1140"/>
        <w:gridCol w:w="1497"/>
      </w:tblGrid>
      <w:tr w14:paraId="6E041206">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31" w:type="dxa"/>
            <w:tcBorders>
              <w:tl2br w:val="nil"/>
              <w:tr2bl w:val="nil"/>
            </w:tcBorders>
            <w:vAlign w:val="center"/>
          </w:tcPr>
          <w:p w14:paraId="3E787300">
            <w:pPr>
              <w:jc w:val="center"/>
              <w:rPr>
                <w:rFonts w:ascii="宋体" w:hAnsi="宋体" w:cs="宋体"/>
                <w:b/>
                <w:bCs/>
                <w:caps/>
                <w:color w:val="auto"/>
                <w:sz w:val="22"/>
                <w:szCs w:val="22"/>
                <w:highlight w:val="none"/>
              </w:rPr>
            </w:pPr>
            <w:r>
              <w:rPr>
                <w:rFonts w:hint="eastAsia" w:ascii="宋体" w:hAnsi="宋体" w:cs="宋体"/>
                <w:caps/>
                <w:color w:val="auto"/>
                <w:sz w:val="22"/>
                <w:szCs w:val="22"/>
                <w:highlight w:val="none"/>
              </w:rPr>
              <w:t>序号</w:t>
            </w:r>
          </w:p>
        </w:tc>
        <w:tc>
          <w:tcPr>
            <w:tcW w:w="4425" w:type="dxa"/>
            <w:tcBorders>
              <w:tl2br w:val="nil"/>
              <w:tr2bl w:val="nil"/>
            </w:tcBorders>
            <w:vAlign w:val="center"/>
          </w:tcPr>
          <w:p w14:paraId="3EBD33B2">
            <w:pPr>
              <w:jc w:val="center"/>
              <w:rPr>
                <w:rFonts w:ascii="宋体" w:hAnsi="宋体" w:cs="宋体"/>
                <w:b/>
                <w:bCs/>
                <w:caps/>
                <w:color w:val="auto"/>
                <w:sz w:val="22"/>
                <w:szCs w:val="22"/>
                <w:highlight w:val="none"/>
              </w:rPr>
            </w:pPr>
            <w:r>
              <w:rPr>
                <w:rFonts w:hint="eastAsia" w:ascii="宋体" w:hAnsi="宋体" w:cs="宋体"/>
                <w:caps/>
                <w:color w:val="auto"/>
                <w:sz w:val="22"/>
                <w:szCs w:val="22"/>
                <w:highlight w:val="none"/>
              </w:rPr>
              <w:t>货物名称</w:t>
            </w:r>
          </w:p>
        </w:tc>
        <w:tc>
          <w:tcPr>
            <w:tcW w:w="1548" w:type="dxa"/>
            <w:tcBorders>
              <w:tl2br w:val="nil"/>
              <w:tr2bl w:val="nil"/>
            </w:tcBorders>
            <w:vAlign w:val="center"/>
          </w:tcPr>
          <w:p w14:paraId="44D666C4">
            <w:pPr>
              <w:jc w:val="center"/>
              <w:rPr>
                <w:rFonts w:ascii="宋体" w:hAnsi="宋体" w:cs="宋体"/>
                <w:b/>
                <w:bCs/>
                <w:caps/>
                <w:color w:val="auto"/>
                <w:sz w:val="22"/>
                <w:szCs w:val="22"/>
                <w:highlight w:val="none"/>
              </w:rPr>
            </w:pPr>
            <w:r>
              <w:rPr>
                <w:rFonts w:hint="eastAsia" w:ascii="宋体" w:hAnsi="宋体" w:cs="宋体"/>
                <w:caps/>
                <w:color w:val="auto"/>
                <w:sz w:val="22"/>
                <w:szCs w:val="22"/>
                <w:highlight w:val="none"/>
              </w:rPr>
              <w:t>数量</w:t>
            </w:r>
          </w:p>
        </w:tc>
        <w:tc>
          <w:tcPr>
            <w:tcW w:w="1140" w:type="dxa"/>
            <w:tcBorders>
              <w:tl2br w:val="nil"/>
              <w:tr2bl w:val="nil"/>
            </w:tcBorders>
            <w:vAlign w:val="center"/>
          </w:tcPr>
          <w:p w14:paraId="4426AB32">
            <w:pPr>
              <w:jc w:val="center"/>
              <w:rPr>
                <w:rFonts w:ascii="宋体" w:hAnsi="宋体" w:cs="宋体"/>
                <w:b/>
                <w:bCs/>
                <w:caps/>
                <w:color w:val="auto"/>
                <w:sz w:val="22"/>
                <w:szCs w:val="22"/>
                <w:highlight w:val="none"/>
              </w:rPr>
            </w:pPr>
            <w:r>
              <w:rPr>
                <w:rFonts w:hint="eastAsia" w:ascii="宋体" w:hAnsi="宋体" w:cs="宋体"/>
                <w:color w:val="auto"/>
                <w:sz w:val="22"/>
                <w:szCs w:val="22"/>
                <w:highlight w:val="none"/>
              </w:rPr>
              <w:t>交货期</w:t>
            </w:r>
          </w:p>
        </w:tc>
        <w:tc>
          <w:tcPr>
            <w:tcW w:w="1497" w:type="dxa"/>
            <w:tcBorders>
              <w:tl2br w:val="nil"/>
              <w:tr2bl w:val="nil"/>
            </w:tcBorders>
            <w:vAlign w:val="center"/>
          </w:tcPr>
          <w:p w14:paraId="1875BE7D">
            <w:pPr>
              <w:jc w:val="center"/>
              <w:rPr>
                <w:rFonts w:ascii="宋体" w:hAnsi="宋体" w:cs="宋体"/>
                <w:b/>
                <w:bCs/>
                <w:caps/>
                <w:color w:val="auto"/>
                <w:sz w:val="22"/>
                <w:szCs w:val="22"/>
                <w:highlight w:val="none"/>
              </w:rPr>
            </w:pPr>
            <w:r>
              <w:rPr>
                <w:rFonts w:hint="eastAsia" w:ascii="宋体" w:hAnsi="宋体" w:cs="宋体"/>
                <w:caps/>
                <w:color w:val="auto"/>
                <w:sz w:val="22"/>
                <w:szCs w:val="22"/>
                <w:highlight w:val="none"/>
              </w:rPr>
              <w:t>目的地</w:t>
            </w:r>
          </w:p>
        </w:tc>
      </w:tr>
      <w:tr w14:paraId="68B8C80D">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31" w:type="dxa"/>
            <w:tcBorders>
              <w:tl2br w:val="nil"/>
              <w:tr2bl w:val="nil"/>
            </w:tcBorders>
            <w:vAlign w:val="center"/>
          </w:tcPr>
          <w:p w14:paraId="06467532">
            <w:pPr>
              <w:jc w:val="center"/>
              <w:rPr>
                <w:rFonts w:ascii="宋体" w:hAnsi="宋体" w:cs="宋体"/>
                <w:b/>
                <w:bCs/>
                <w:caps/>
                <w:color w:val="auto"/>
                <w:sz w:val="22"/>
                <w:szCs w:val="22"/>
                <w:highlight w:val="none"/>
              </w:rPr>
            </w:pPr>
            <w:r>
              <w:rPr>
                <w:rFonts w:hint="eastAsia" w:ascii="宋体" w:hAnsi="宋体" w:cs="宋体"/>
                <w:caps/>
                <w:color w:val="auto"/>
                <w:sz w:val="22"/>
                <w:szCs w:val="22"/>
                <w:highlight w:val="none"/>
              </w:rPr>
              <w:t>1</w:t>
            </w:r>
          </w:p>
        </w:tc>
        <w:tc>
          <w:tcPr>
            <w:tcW w:w="4425" w:type="dxa"/>
            <w:tcBorders>
              <w:tl2br w:val="nil"/>
              <w:tr2bl w:val="nil"/>
            </w:tcBorders>
            <w:vAlign w:val="center"/>
          </w:tcPr>
          <w:p w14:paraId="6C0B725C">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强脉冲光治疗仪（光子嫩肤治疗仪）</w:t>
            </w:r>
          </w:p>
        </w:tc>
        <w:tc>
          <w:tcPr>
            <w:tcW w:w="1548" w:type="dxa"/>
            <w:tcBorders>
              <w:tl2br w:val="nil"/>
              <w:tr2bl w:val="nil"/>
            </w:tcBorders>
            <w:vAlign w:val="center"/>
          </w:tcPr>
          <w:p w14:paraId="387DEAA4">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2台</w:t>
            </w:r>
          </w:p>
        </w:tc>
        <w:tc>
          <w:tcPr>
            <w:tcW w:w="1140" w:type="dxa"/>
            <w:tcBorders>
              <w:tl2br w:val="nil"/>
              <w:tr2bl w:val="nil"/>
            </w:tcBorders>
            <w:vAlign w:val="center"/>
          </w:tcPr>
          <w:p w14:paraId="113B4302">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合同签订后7天内</w:t>
            </w:r>
          </w:p>
        </w:tc>
        <w:tc>
          <w:tcPr>
            <w:tcW w:w="1497" w:type="dxa"/>
            <w:tcBorders>
              <w:tl2br w:val="nil"/>
              <w:tr2bl w:val="nil"/>
            </w:tcBorders>
            <w:vAlign w:val="center"/>
          </w:tcPr>
          <w:p w14:paraId="192BECD0">
            <w:pPr>
              <w:jc w:val="center"/>
              <w:rPr>
                <w:rFonts w:ascii="宋体" w:hAnsi="宋体" w:cs="宋体"/>
                <w:b/>
                <w:bCs/>
                <w:color w:val="auto"/>
                <w:sz w:val="22"/>
                <w:szCs w:val="22"/>
                <w:highlight w:val="none"/>
              </w:rPr>
            </w:pPr>
            <w:r>
              <w:rPr>
                <w:rFonts w:hint="eastAsia" w:ascii="宋体" w:hAnsi="宋体" w:cs="宋体"/>
                <w:color w:val="auto"/>
                <w:sz w:val="22"/>
                <w:szCs w:val="22"/>
                <w:highlight w:val="none"/>
              </w:rPr>
              <w:t>采购人指定地点</w:t>
            </w:r>
          </w:p>
        </w:tc>
      </w:tr>
    </w:tbl>
    <w:p w14:paraId="1FC08677">
      <w:pPr>
        <w:spacing w:line="460" w:lineRule="atLeas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2.技术要求</w:t>
      </w:r>
    </w:p>
    <w:bookmarkEnd w:id="11"/>
    <w:bookmarkEnd w:id="12"/>
    <w:bookmarkEnd w:id="13"/>
    <w:bookmarkEnd w:id="14"/>
    <w:bookmarkEnd w:id="17"/>
    <w:tbl>
      <w:tblPr>
        <w:tblStyle w:val="43"/>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46"/>
        <w:gridCol w:w="8506"/>
      </w:tblGrid>
      <w:tr w14:paraId="2EE9E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7350BD5D">
            <w:pPr>
              <w:jc w:val="center"/>
              <w:rPr>
                <w:rFonts w:ascii="宋体" w:hAnsi="宋体" w:cs="宋体"/>
                <w:b/>
                <w:bCs/>
                <w:color w:val="auto"/>
                <w:sz w:val="22"/>
                <w:szCs w:val="22"/>
                <w:highlight w:val="none"/>
              </w:rPr>
            </w:pPr>
            <w:bookmarkStart w:id="18" w:name="_Toc4444"/>
            <w:bookmarkStart w:id="19" w:name="_Toc12276"/>
            <w:bookmarkStart w:id="20" w:name="_Toc422946256"/>
            <w:bookmarkStart w:id="21" w:name="_Toc67213288"/>
            <w:bookmarkStart w:id="22" w:name="_Toc533"/>
            <w:r>
              <w:rPr>
                <w:rFonts w:hint="eastAsia" w:ascii="宋体" w:hAnsi="宋体" w:cs="宋体"/>
                <w:b/>
                <w:bCs/>
                <w:color w:val="auto"/>
                <w:sz w:val="22"/>
                <w:szCs w:val="22"/>
                <w:highlight w:val="none"/>
              </w:rPr>
              <w:t>序号</w:t>
            </w:r>
          </w:p>
        </w:tc>
        <w:tc>
          <w:tcPr>
            <w:tcW w:w="4317" w:type="pct"/>
            <w:tcBorders>
              <w:top w:val="single" w:color="auto" w:sz="4" w:space="0"/>
              <w:left w:val="single" w:color="auto" w:sz="4" w:space="0"/>
              <w:bottom w:val="single" w:color="auto" w:sz="4" w:space="0"/>
              <w:right w:val="single" w:color="auto" w:sz="4" w:space="0"/>
            </w:tcBorders>
            <w:vAlign w:val="center"/>
          </w:tcPr>
          <w:p w14:paraId="7B7D96BC">
            <w:pPr>
              <w:jc w:val="left"/>
              <w:rPr>
                <w:rFonts w:ascii="宋体" w:hAnsi="宋体" w:cs="宋体"/>
                <w:color w:val="auto"/>
                <w:sz w:val="22"/>
                <w:szCs w:val="22"/>
                <w:highlight w:val="none"/>
              </w:rPr>
            </w:pPr>
            <w:r>
              <w:rPr>
                <w:rFonts w:hint="eastAsia" w:ascii="宋体" w:hAnsi="宋体" w:cs="宋体"/>
                <w:color w:val="auto"/>
                <w:sz w:val="22"/>
                <w:szCs w:val="22"/>
                <w:highlight w:val="none"/>
              </w:rPr>
              <w:t>招标要求</w:t>
            </w:r>
          </w:p>
        </w:tc>
      </w:tr>
      <w:tr w14:paraId="08E28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21265B10">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一</w:t>
            </w:r>
          </w:p>
        </w:tc>
        <w:tc>
          <w:tcPr>
            <w:tcW w:w="4317" w:type="pct"/>
            <w:tcBorders>
              <w:top w:val="single" w:color="auto" w:sz="4" w:space="0"/>
              <w:left w:val="single" w:color="auto" w:sz="4" w:space="0"/>
              <w:bottom w:val="single" w:color="auto" w:sz="4" w:space="0"/>
              <w:right w:val="single" w:color="auto" w:sz="4" w:space="0"/>
            </w:tcBorders>
            <w:vAlign w:val="center"/>
          </w:tcPr>
          <w:p w14:paraId="6AB04F63">
            <w:pPr>
              <w:jc w:val="left"/>
              <w:rPr>
                <w:rFonts w:ascii="宋体" w:hAnsi="宋体" w:cs="宋体"/>
                <w:color w:val="auto"/>
                <w:sz w:val="22"/>
                <w:szCs w:val="22"/>
                <w:highlight w:val="none"/>
              </w:rPr>
            </w:pPr>
            <w:r>
              <w:rPr>
                <w:rFonts w:hint="eastAsia" w:ascii="宋体" w:hAnsi="宋体" w:cs="宋体"/>
                <w:color w:val="auto"/>
                <w:sz w:val="22"/>
                <w:szCs w:val="22"/>
                <w:highlight w:val="none"/>
              </w:rPr>
              <w:t>设备用途：广泛应用于血管性病变，色素性病变，皮肤年轻化，皮肤重建，紧致肌肤等治疗</w:t>
            </w:r>
          </w:p>
        </w:tc>
      </w:tr>
      <w:tr w14:paraId="123FD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75D4A6DE">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 二、</w:t>
            </w:r>
          </w:p>
        </w:tc>
        <w:tc>
          <w:tcPr>
            <w:tcW w:w="4317" w:type="pct"/>
            <w:tcBorders>
              <w:top w:val="single" w:color="auto" w:sz="4" w:space="0"/>
              <w:left w:val="single" w:color="auto" w:sz="4" w:space="0"/>
              <w:bottom w:val="single" w:color="auto" w:sz="4" w:space="0"/>
              <w:right w:val="single" w:color="auto" w:sz="4" w:space="0"/>
            </w:tcBorders>
            <w:vAlign w:val="center"/>
          </w:tcPr>
          <w:p w14:paraId="347BF3AC">
            <w:pPr>
              <w:rPr>
                <w:rFonts w:ascii="宋体" w:hAnsi="宋体" w:cs="宋体"/>
                <w:b/>
                <w:bCs/>
                <w:color w:val="auto"/>
                <w:sz w:val="22"/>
                <w:szCs w:val="22"/>
                <w:highlight w:val="none"/>
              </w:rPr>
            </w:pPr>
            <w:r>
              <w:rPr>
                <w:rFonts w:hint="eastAsia" w:ascii="宋体" w:hAnsi="宋体" w:cs="宋体"/>
                <w:b/>
                <w:bCs/>
                <w:color w:val="auto"/>
                <w:sz w:val="22"/>
                <w:szCs w:val="22"/>
                <w:highlight w:val="none"/>
              </w:rPr>
              <w:t>主要技术要求</w:t>
            </w:r>
          </w:p>
        </w:tc>
      </w:tr>
      <w:tr w14:paraId="1FD10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367245A8">
            <w:pPr>
              <w:jc w:val="center"/>
              <w:rPr>
                <w:rFonts w:ascii="宋体" w:hAnsi="宋体" w:cs="宋体"/>
                <w:color w:val="auto"/>
                <w:sz w:val="22"/>
                <w:szCs w:val="22"/>
                <w:highlight w:val="none"/>
              </w:rPr>
            </w:pPr>
            <w:r>
              <w:rPr>
                <w:rFonts w:hint="eastAsia" w:ascii="宋体" w:hAnsi="宋体" w:cs="宋体"/>
                <w:color w:val="auto"/>
                <w:sz w:val="22"/>
                <w:szCs w:val="22"/>
                <w:highlight w:val="none"/>
              </w:rPr>
              <w:t>2.1</w:t>
            </w:r>
          </w:p>
        </w:tc>
        <w:tc>
          <w:tcPr>
            <w:tcW w:w="4317" w:type="pct"/>
            <w:tcBorders>
              <w:top w:val="single" w:color="auto" w:sz="4" w:space="0"/>
              <w:left w:val="single" w:color="auto" w:sz="4" w:space="0"/>
              <w:bottom w:val="single" w:color="auto" w:sz="4" w:space="0"/>
              <w:right w:val="single" w:color="auto" w:sz="4" w:space="0"/>
            </w:tcBorders>
            <w:vAlign w:val="center"/>
          </w:tcPr>
          <w:p w14:paraId="3252714B">
            <w:pPr>
              <w:rPr>
                <w:rFonts w:ascii="宋体" w:hAnsi="宋体" w:cs="宋体"/>
                <w:color w:val="auto"/>
                <w:sz w:val="22"/>
                <w:szCs w:val="22"/>
                <w:highlight w:val="none"/>
              </w:rPr>
            </w:pPr>
            <w:r>
              <w:rPr>
                <w:rFonts w:hint="eastAsia" w:ascii="宋体" w:hAnsi="宋体" w:cs="宋体"/>
                <w:color w:val="auto"/>
                <w:sz w:val="22"/>
                <w:szCs w:val="22"/>
                <w:highlight w:val="none"/>
              </w:rPr>
              <w:t>类型：具备强脉冲光技术，提供医疗器械注册证</w:t>
            </w:r>
          </w:p>
        </w:tc>
      </w:tr>
      <w:tr w14:paraId="0697E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311DE2CF">
            <w:pPr>
              <w:jc w:val="center"/>
              <w:rPr>
                <w:rFonts w:ascii="宋体" w:hAnsi="宋体" w:cs="宋体"/>
                <w:color w:val="auto"/>
                <w:sz w:val="22"/>
                <w:szCs w:val="22"/>
                <w:highlight w:val="none"/>
              </w:rPr>
            </w:pPr>
            <w:r>
              <w:rPr>
                <w:rFonts w:hint="eastAsia" w:ascii="宋体" w:hAnsi="宋体" w:cs="宋体"/>
                <w:color w:val="auto"/>
                <w:sz w:val="22"/>
                <w:szCs w:val="22"/>
                <w:highlight w:val="none"/>
              </w:rPr>
              <w:t>★2.2</w:t>
            </w:r>
          </w:p>
        </w:tc>
        <w:tc>
          <w:tcPr>
            <w:tcW w:w="4317" w:type="pct"/>
            <w:tcBorders>
              <w:top w:val="single" w:color="auto" w:sz="4" w:space="0"/>
              <w:left w:val="single" w:color="auto" w:sz="4" w:space="0"/>
              <w:bottom w:val="single" w:color="auto" w:sz="4" w:space="0"/>
              <w:right w:val="single" w:color="auto" w:sz="4" w:space="0"/>
            </w:tcBorders>
            <w:vAlign w:val="center"/>
          </w:tcPr>
          <w:p w14:paraId="3A4F12FB">
            <w:pPr>
              <w:rPr>
                <w:rFonts w:ascii="宋体" w:hAnsi="宋体" w:cs="宋体"/>
                <w:color w:val="auto"/>
                <w:sz w:val="22"/>
                <w:szCs w:val="22"/>
                <w:highlight w:val="none"/>
              </w:rPr>
            </w:pPr>
            <w:bookmarkStart w:id="23" w:name="OLE_LINK2"/>
            <w:bookmarkStart w:id="24" w:name="OLE_LINK3"/>
            <w:r>
              <w:rPr>
                <w:rFonts w:hint="eastAsia" w:ascii="宋体" w:hAnsi="宋体" w:cs="宋体"/>
                <w:color w:val="auto"/>
                <w:sz w:val="22"/>
                <w:szCs w:val="22"/>
                <w:highlight w:val="none"/>
              </w:rPr>
              <w:t>强脉冲光</w:t>
            </w:r>
            <w:bookmarkEnd w:id="23"/>
            <w:bookmarkEnd w:id="24"/>
            <w:r>
              <w:rPr>
                <w:rFonts w:hint="eastAsia" w:ascii="宋体" w:hAnsi="宋体" w:cs="宋体"/>
                <w:color w:val="auto"/>
                <w:sz w:val="22"/>
                <w:szCs w:val="22"/>
                <w:highlight w:val="none"/>
              </w:rPr>
              <w:t>手具波长范围</w:t>
            </w:r>
            <w:bookmarkStart w:id="25" w:name="OLE_LINK4"/>
            <w:r>
              <w:rPr>
                <w:rFonts w:hint="eastAsia" w:ascii="宋体" w:hAnsi="宋体" w:cs="宋体"/>
                <w:color w:val="auto"/>
                <w:sz w:val="22"/>
                <w:szCs w:val="22"/>
                <w:highlight w:val="none"/>
              </w:rPr>
              <w:t>≤515-1200nm</w:t>
            </w:r>
            <w:bookmarkEnd w:id="25"/>
          </w:p>
        </w:tc>
      </w:tr>
      <w:tr w14:paraId="72C5E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0DA334EE">
            <w:pPr>
              <w:jc w:val="center"/>
              <w:rPr>
                <w:rFonts w:ascii="宋体" w:hAnsi="宋体" w:cs="宋体"/>
                <w:color w:val="auto"/>
                <w:sz w:val="22"/>
                <w:szCs w:val="22"/>
                <w:highlight w:val="none"/>
              </w:rPr>
            </w:pPr>
            <w:r>
              <w:rPr>
                <w:rFonts w:hint="eastAsia" w:ascii="宋体" w:hAnsi="宋体" w:cs="宋体"/>
                <w:color w:val="auto"/>
                <w:sz w:val="22"/>
                <w:szCs w:val="22"/>
                <w:highlight w:val="none"/>
              </w:rPr>
              <w:t>2.3</w:t>
            </w:r>
          </w:p>
        </w:tc>
        <w:tc>
          <w:tcPr>
            <w:tcW w:w="4317" w:type="pct"/>
            <w:tcBorders>
              <w:top w:val="single" w:color="auto" w:sz="4" w:space="0"/>
              <w:left w:val="single" w:color="auto" w:sz="4" w:space="0"/>
              <w:bottom w:val="single" w:color="auto" w:sz="4" w:space="0"/>
              <w:right w:val="single" w:color="auto" w:sz="4" w:space="0"/>
            </w:tcBorders>
            <w:vAlign w:val="center"/>
          </w:tcPr>
          <w:p w14:paraId="25F63E6F">
            <w:pPr>
              <w:rPr>
                <w:rFonts w:ascii="宋体" w:hAnsi="宋体" w:cs="宋体"/>
                <w:color w:val="auto"/>
                <w:sz w:val="22"/>
                <w:szCs w:val="22"/>
                <w:highlight w:val="none"/>
              </w:rPr>
            </w:pPr>
            <w:r>
              <w:rPr>
                <w:rFonts w:hint="eastAsia" w:ascii="宋体" w:hAnsi="宋体" w:cs="宋体"/>
                <w:color w:val="auto"/>
                <w:sz w:val="22"/>
                <w:szCs w:val="22"/>
                <w:highlight w:val="none"/>
              </w:rPr>
              <w:t>滤光片：具备</w:t>
            </w:r>
            <w:r>
              <w:rPr>
                <w:rFonts w:hint="eastAsia" w:ascii="宋体" w:hAnsi="宋体" w:cs="宋体"/>
                <w:color w:val="auto"/>
                <w:sz w:val="22"/>
                <w:szCs w:val="22"/>
                <w:highlight w:val="none"/>
                <w:shd w:val="clear" w:color="auto" w:fill="FFFFFF"/>
              </w:rPr>
              <w:t>≥</w:t>
            </w:r>
            <w:r>
              <w:rPr>
                <w:rFonts w:hint="eastAsia" w:ascii="宋体" w:hAnsi="宋体" w:cs="宋体"/>
                <w:color w:val="auto"/>
                <w:sz w:val="22"/>
                <w:szCs w:val="22"/>
                <w:highlight w:val="none"/>
              </w:rPr>
              <w:t>6种规格的滤光片</w:t>
            </w:r>
          </w:p>
        </w:tc>
      </w:tr>
      <w:tr w14:paraId="37F4D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395FAB70">
            <w:pPr>
              <w:jc w:val="center"/>
              <w:rPr>
                <w:rFonts w:ascii="宋体" w:hAnsi="宋体" w:cs="宋体"/>
                <w:color w:val="auto"/>
                <w:sz w:val="22"/>
                <w:szCs w:val="22"/>
                <w:highlight w:val="none"/>
              </w:rPr>
            </w:pPr>
            <w:r>
              <w:rPr>
                <w:rFonts w:hint="eastAsia" w:ascii="宋体" w:hAnsi="宋体" w:cs="宋体"/>
                <w:color w:val="auto"/>
                <w:sz w:val="22"/>
                <w:szCs w:val="22"/>
                <w:highlight w:val="none"/>
              </w:rPr>
              <w:t>★2.4</w:t>
            </w:r>
          </w:p>
        </w:tc>
        <w:tc>
          <w:tcPr>
            <w:tcW w:w="4317" w:type="pct"/>
            <w:tcBorders>
              <w:top w:val="single" w:color="auto" w:sz="4" w:space="0"/>
              <w:left w:val="single" w:color="auto" w:sz="4" w:space="0"/>
              <w:bottom w:val="single" w:color="auto" w:sz="4" w:space="0"/>
              <w:right w:val="single" w:color="auto" w:sz="4" w:space="0"/>
            </w:tcBorders>
            <w:vAlign w:val="center"/>
          </w:tcPr>
          <w:p w14:paraId="1ED6F800">
            <w:pPr>
              <w:rPr>
                <w:rFonts w:ascii="宋体" w:hAnsi="宋体" w:cs="宋体"/>
                <w:color w:val="auto"/>
                <w:sz w:val="22"/>
                <w:szCs w:val="22"/>
                <w:highlight w:val="none"/>
              </w:rPr>
            </w:pPr>
            <w:r>
              <w:rPr>
                <w:rFonts w:hint="eastAsia" w:ascii="宋体" w:hAnsi="宋体" w:cs="宋体"/>
                <w:color w:val="auto"/>
                <w:sz w:val="22"/>
                <w:szCs w:val="22"/>
                <w:highlight w:val="none"/>
              </w:rPr>
              <w:t>更换滤光片方式：具备单手具更换滤波片，滤光片采用热插拔更换技术</w:t>
            </w:r>
          </w:p>
        </w:tc>
      </w:tr>
      <w:tr w14:paraId="02A17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46BE6704">
            <w:pPr>
              <w:jc w:val="center"/>
              <w:rPr>
                <w:rFonts w:ascii="宋体" w:hAnsi="宋体" w:cs="宋体"/>
                <w:color w:val="auto"/>
                <w:sz w:val="22"/>
                <w:szCs w:val="22"/>
                <w:highlight w:val="none"/>
              </w:rPr>
            </w:pPr>
            <w:r>
              <w:rPr>
                <w:rFonts w:hint="eastAsia" w:ascii="宋体" w:hAnsi="宋体" w:cs="宋体"/>
                <w:color w:val="auto"/>
                <w:sz w:val="22"/>
                <w:szCs w:val="22"/>
                <w:highlight w:val="none"/>
              </w:rPr>
              <w:t>2.5</w:t>
            </w:r>
          </w:p>
        </w:tc>
        <w:tc>
          <w:tcPr>
            <w:tcW w:w="4317" w:type="pct"/>
            <w:tcBorders>
              <w:top w:val="single" w:color="auto" w:sz="4" w:space="0"/>
              <w:left w:val="single" w:color="auto" w:sz="4" w:space="0"/>
              <w:bottom w:val="single" w:color="auto" w:sz="4" w:space="0"/>
              <w:right w:val="single" w:color="auto" w:sz="4" w:space="0"/>
            </w:tcBorders>
            <w:vAlign w:val="center"/>
          </w:tcPr>
          <w:p w14:paraId="64EA112A">
            <w:pPr>
              <w:rPr>
                <w:rFonts w:ascii="宋体" w:hAnsi="宋体" w:cs="宋体"/>
                <w:color w:val="auto"/>
                <w:sz w:val="22"/>
                <w:szCs w:val="22"/>
                <w:highlight w:val="none"/>
              </w:rPr>
            </w:pPr>
            <w:r>
              <w:rPr>
                <w:rFonts w:hint="eastAsia" w:ascii="宋体" w:hAnsi="宋体" w:cs="宋体"/>
                <w:color w:val="auto"/>
                <w:sz w:val="22"/>
                <w:szCs w:val="22"/>
                <w:highlight w:val="none"/>
              </w:rPr>
              <w:t>发射方式：手具具备多位发射按钮功能</w:t>
            </w:r>
          </w:p>
        </w:tc>
      </w:tr>
      <w:tr w14:paraId="6BFA8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06DC40F3">
            <w:pPr>
              <w:jc w:val="center"/>
              <w:rPr>
                <w:rFonts w:ascii="宋体" w:hAnsi="宋体" w:cs="宋体"/>
                <w:color w:val="auto"/>
                <w:sz w:val="22"/>
                <w:szCs w:val="22"/>
                <w:highlight w:val="none"/>
              </w:rPr>
            </w:pPr>
            <w:r>
              <w:rPr>
                <w:rFonts w:hint="eastAsia" w:ascii="宋体" w:hAnsi="宋体" w:cs="宋体"/>
                <w:color w:val="auto"/>
                <w:sz w:val="22"/>
                <w:szCs w:val="22"/>
                <w:highlight w:val="none"/>
              </w:rPr>
              <w:t>2.6</w:t>
            </w:r>
          </w:p>
        </w:tc>
        <w:tc>
          <w:tcPr>
            <w:tcW w:w="4317" w:type="pct"/>
            <w:tcBorders>
              <w:top w:val="single" w:color="auto" w:sz="4" w:space="0"/>
              <w:left w:val="single" w:color="auto" w:sz="4" w:space="0"/>
              <w:bottom w:val="single" w:color="auto" w:sz="4" w:space="0"/>
              <w:right w:val="single" w:color="auto" w:sz="4" w:space="0"/>
            </w:tcBorders>
            <w:vAlign w:val="center"/>
          </w:tcPr>
          <w:p w14:paraId="04527FB9">
            <w:pPr>
              <w:rPr>
                <w:rFonts w:ascii="宋体" w:hAnsi="宋体" w:cs="宋体"/>
                <w:color w:val="auto"/>
                <w:sz w:val="22"/>
                <w:szCs w:val="22"/>
                <w:highlight w:val="none"/>
              </w:rPr>
            </w:pPr>
            <w:r>
              <w:rPr>
                <w:rFonts w:hint="eastAsia" w:ascii="宋体" w:hAnsi="宋体" w:cs="宋体"/>
                <w:color w:val="auto"/>
                <w:sz w:val="22"/>
                <w:szCs w:val="22"/>
                <w:highlight w:val="none"/>
              </w:rPr>
              <w:t>技术要求：脉冲始端无能量尖峰，脉冲末端无衰减</w:t>
            </w:r>
          </w:p>
        </w:tc>
      </w:tr>
      <w:tr w14:paraId="55C3E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06334094">
            <w:pPr>
              <w:jc w:val="center"/>
              <w:rPr>
                <w:rFonts w:ascii="宋体" w:hAnsi="宋体" w:cs="宋体"/>
                <w:color w:val="auto"/>
                <w:sz w:val="22"/>
                <w:szCs w:val="22"/>
                <w:highlight w:val="none"/>
              </w:rPr>
            </w:pPr>
            <w:r>
              <w:rPr>
                <w:rFonts w:hint="eastAsia" w:ascii="宋体" w:hAnsi="宋体" w:cs="宋体"/>
                <w:color w:val="auto"/>
                <w:sz w:val="22"/>
                <w:szCs w:val="22"/>
                <w:highlight w:val="none"/>
              </w:rPr>
              <w:t>★2.7</w:t>
            </w:r>
          </w:p>
        </w:tc>
        <w:tc>
          <w:tcPr>
            <w:tcW w:w="4317" w:type="pct"/>
            <w:tcBorders>
              <w:top w:val="single" w:color="auto" w:sz="4" w:space="0"/>
              <w:left w:val="single" w:color="auto" w:sz="4" w:space="0"/>
              <w:bottom w:val="single" w:color="auto" w:sz="4" w:space="0"/>
              <w:right w:val="single" w:color="auto" w:sz="4" w:space="0"/>
            </w:tcBorders>
            <w:vAlign w:val="center"/>
          </w:tcPr>
          <w:p w14:paraId="18321E5F">
            <w:pPr>
              <w:rPr>
                <w:rFonts w:ascii="宋体" w:hAnsi="宋体" w:cs="宋体"/>
                <w:color w:val="auto"/>
                <w:sz w:val="22"/>
                <w:szCs w:val="22"/>
                <w:highlight w:val="none"/>
              </w:rPr>
            </w:pPr>
            <w:r>
              <w:rPr>
                <w:rFonts w:hint="eastAsia" w:ascii="宋体" w:hAnsi="宋体" w:cs="宋体"/>
                <w:color w:val="auto"/>
                <w:sz w:val="22"/>
                <w:szCs w:val="22"/>
                <w:highlight w:val="none"/>
              </w:rPr>
              <w:t>最高能量密度：</w:t>
            </w:r>
            <w:bookmarkStart w:id="26" w:name="OLE_LINK5"/>
            <w:r>
              <w:rPr>
                <w:rFonts w:hint="eastAsia" w:ascii="宋体" w:hAnsi="宋体" w:cs="宋体"/>
                <w:color w:val="auto"/>
                <w:sz w:val="22"/>
                <w:szCs w:val="22"/>
                <w:highlight w:val="none"/>
                <w:shd w:val="clear" w:color="auto" w:fill="FFFFFF"/>
              </w:rPr>
              <w:t>≥</w:t>
            </w:r>
            <w:bookmarkEnd w:id="26"/>
            <w:r>
              <w:rPr>
                <w:rFonts w:hint="eastAsia" w:ascii="宋体" w:hAnsi="宋体" w:cs="宋体"/>
                <w:bCs/>
                <w:color w:val="auto"/>
                <w:sz w:val="22"/>
                <w:szCs w:val="22"/>
                <w:highlight w:val="none"/>
              </w:rPr>
              <w:t>35J/cm</w:t>
            </w:r>
            <w:r>
              <w:rPr>
                <w:rFonts w:hint="eastAsia" w:ascii="宋体" w:hAnsi="宋体" w:cs="宋体"/>
                <w:bCs/>
                <w:color w:val="auto"/>
                <w:sz w:val="22"/>
                <w:szCs w:val="22"/>
                <w:highlight w:val="none"/>
                <w:vertAlign w:val="superscript"/>
              </w:rPr>
              <w:t>2</w:t>
            </w:r>
          </w:p>
        </w:tc>
      </w:tr>
      <w:tr w14:paraId="3B6B4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569E8971">
            <w:pPr>
              <w:jc w:val="center"/>
              <w:rPr>
                <w:rFonts w:ascii="宋体" w:hAnsi="宋体" w:cs="宋体"/>
                <w:color w:val="auto"/>
                <w:sz w:val="22"/>
                <w:szCs w:val="22"/>
                <w:highlight w:val="none"/>
              </w:rPr>
            </w:pPr>
            <w:r>
              <w:rPr>
                <w:rFonts w:hint="eastAsia" w:ascii="宋体" w:hAnsi="宋体" w:cs="宋体"/>
                <w:color w:val="auto"/>
                <w:sz w:val="22"/>
                <w:szCs w:val="22"/>
                <w:highlight w:val="none"/>
              </w:rPr>
              <w:t>2.8</w:t>
            </w:r>
          </w:p>
        </w:tc>
        <w:tc>
          <w:tcPr>
            <w:tcW w:w="4317" w:type="pct"/>
            <w:tcBorders>
              <w:top w:val="single" w:color="auto" w:sz="4" w:space="0"/>
              <w:left w:val="single" w:color="auto" w:sz="4" w:space="0"/>
              <w:bottom w:val="single" w:color="auto" w:sz="4" w:space="0"/>
              <w:right w:val="single" w:color="auto" w:sz="4" w:space="0"/>
            </w:tcBorders>
            <w:vAlign w:val="center"/>
          </w:tcPr>
          <w:p w14:paraId="25D36F8E">
            <w:pPr>
              <w:rPr>
                <w:rFonts w:ascii="宋体" w:hAnsi="宋体" w:cs="宋体"/>
                <w:color w:val="auto"/>
                <w:sz w:val="22"/>
                <w:szCs w:val="22"/>
                <w:highlight w:val="none"/>
              </w:rPr>
            </w:pPr>
            <w:r>
              <w:rPr>
                <w:rFonts w:hint="eastAsia" w:ascii="宋体" w:hAnsi="宋体" w:cs="宋体"/>
                <w:color w:val="auto"/>
                <w:sz w:val="22"/>
                <w:szCs w:val="22"/>
                <w:highlight w:val="none"/>
              </w:rPr>
              <w:t>脉宽范围≥4-20ms脉宽连续可调</w:t>
            </w:r>
            <w:bookmarkStart w:id="27" w:name="OLE_LINK6"/>
            <w:bookmarkStart w:id="28" w:name="OLE_LINK7"/>
            <w:r>
              <w:rPr>
                <w:rFonts w:hint="eastAsia" w:ascii="宋体" w:hAnsi="宋体" w:cs="宋体"/>
                <w:color w:val="auto"/>
                <w:sz w:val="22"/>
                <w:szCs w:val="22"/>
                <w:highlight w:val="none"/>
              </w:rPr>
              <w:t>，</w:t>
            </w:r>
            <w:bookmarkEnd w:id="27"/>
            <w:bookmarkEnd w:id="28"/>
            <w:r>
              <w:rPr>
                <w:rFonts w:hint="eastAsia" w:ascii="宋体" w:hAnsi="宋体" w:cs="宋体"/>
                <w:color w:val="auto"/>
                <w:sz w:val="22"/>
                <w:szCs w:val="22"/>
                <w:highlight w:val="none"/>
              </w:rPr>
              <w:t>非固定脉宽</w:t>
            </w:r>
          </w:p>
        </w:tc>
      </w:tr>
      <w:tr w14:paraId="386BA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1EE38A62">
            <w:pPr>
              <w:jc w:val="center"/>
              <w:rPr>
                <w:rFonts w:ascii="宋体" w:hAnsi="宋体" w:cs="宋体"/>
                <w:color w:val="auto"/>
                <w:sz w:val="22"/>
                <w:szCs w:val="22"/>
                <w:highlight w:val="none"/>
              </w:rPr>
            </w:pPr>
            <w:r>
              <w:rPr>
                <w:rFonts w:hint="eastAsia" w:ascii="宋体" w:hAnsi="宋体" w:cs="宋体"/>
                <w:color w:val="auto"/>
                <w:sz w:val="22"/>
                <w:szCs w:val="22"/>
                <w:highlight w:val="none"/>
              </w:rPr>
              <w:t>2.9</w:t>
            </w:r>
          </w:p>
        </w:tc>
        <w:tc>
          <w:tcPr>
            <w:tcW w:w="4317" w:type="pct"/>
            <w:tcBorders>
              <w:top w:val="single" w:color="auto" w:sz="4" w:space="0"/>
              <w:left w:val="single" w:color="auto" w:sz="4" w:space="0"/>
              <w:bottom w:val="single" w:color="auto" w:sz="4" w:space="0"/>
              <w:right w:val="single" w:color="auto" w:sz="4" w:space="0"/>
            </w:tcBorders>
            <w:vAlign w:val="center"/>
          </w:tcPr>
          <w:p w14:paraId="3A99C6C8">
            <w:pPr>
              <w:rPr>
                <w:rFonts w:ascii="宋体" w:hAnsi="宋体" w:cs="宋体"/>
                <w:color w:val="auto"/>
                <w:sz w:val="22"/>
                <w:szCs w:val="22"/>
                <w:highlight w:val="none"/>
              </w:rPr>
            </w:pPr>
            <w:r>
              <w:rPr>
                <w:rFonts w:hint="eastAsia" w:ascii="宋体" w:hAnsi="宋体" w:cs="宋体"/>
                <w:color w:val="auto"/>
                <w:sz w:val="22"/>
                <w:szCs w:val="22"/>
                <w:highlight w:val="none"/>
              </w:rPr>
              <w:t>脉冲方式：具备多个同步脉冲，子脉冲间有脉冲延迟功能</w:t>
            </w:r>
          </w:p>
        </w:tc>
      </w:tr>
      <w:tr w14:paraId="32A9E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157D3F93">
            <w:pPr>
              <w:jc w:val="center"/>
              <w:rPr>
                <w:rFonts w:ascii="宋体" w:hAnsi="宋体" w:cs="宋体"/>
                <w:color w:val="auto"/>
                <w:sz w:val="22"/>
                <w:szCs w:val="22"/>
                <w:highlight w:val="none"/>
              </w:rPr>
            </w:pPr>
            <w:r>
              <w:rPr>
                <w:rFonts w:hint="eastAsia" w:ascii="宋体" w:hAnsi="宋体" w:cs="宋体"/>
                <w:color w:val="auto"/>
                <w:sz w:val="22"/>
                <w:szCs w:val="22"/>
                <w:highlight w:val="none"/>
              </w:rPr>
              <w:t>2.10</w:t>
            </w:r>
          </w:p>
        </w:tc>
        <w:tc>
          <w:tcPr>
            <w:tcW w:w="4317" w:type="pct"/>
            <w:tcBorders>
              <w:top w:val="single" w:color="auto" w:sz="4" w:space="0"/>
              <w:left w:val="single" w:color="auto" w:sz="4" w:space="0"/>
              <w:bottom w:val="single" w:color="auto" w:sz="4" w:space="0"/>
              <w:right w:val="single" w:color="auto" w:sz="4" w:space="0"/>
            </w:tcBorders>
            <w:vAlign w:val="center"/>
          </w:tcPr>
          <w:p w14:paraId="784CBADF">
            <w:pPr>
              <w:rPr>
                <w:rFonts w:ascii="宋体" w:hAnsi="宋体" w:cs="宋体"/>
                <w:color w:val="auto"/>
                <w:sz w:val="22"/>
                <w:szCs w:val="22"/>
                <w:highlight w:val="none"/>
              </w:rPr>
            </w:pPr>
            <w:r>
              <w:rPr>
                <w:rFonts w:hint="eastAsia" w:ascii="宋体" w:hAnsi="宋体" w:cs="宋体"/>
                <w:color w:val="auto"/>
                <w:sz w:val="22"/>
                <w:szCs w:val="22"/>
                <w:highlight w:val="none"/>
              </w:rPr>
              <w:t>脉冲调节方式：子脉冲包括但不限于单脉冲、双脉冲、三脉冲方式</w:t>
            </w:r>
          </w:p>
        </w:tc>
      </w:tr>
      <w:tr w14:paraId="569F6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3B282983">
            <w:pPr>
              <w:jc w:val="center"/>
              <w:rPr>
                <w:rFonts w:ascii="宋体" w:hAnsi="宋体" w:cs="宋体"/>
                <w:color w:val="auto"/>
                <w:sz w:val="22"/>
                <w:szCs w:val="22"/>
                <w:highlight w:val="none"/>
              </w:rPr>
            </w:pPr>
            <w:r>
              <w:rPr>
                <w:rFonts w:hint="eastAsia" w:ascii="宋体" w:hAnsi="宋体" w:cs="宋体"/>
                <w:color w:val="auto"/>
                <w:sz w:val="22"/>
                <w:szCs w:val="22"/>
                <w:highlight w:val="none"/>
              </w:rPr>
              <w:t>2.11</w:t>
            </w:r>
          </w:p>
        </w:tc>
        <w:tc>
          <w:tcPr>
            <w:tcW w:w="4317" w:type="pct"/>
            <w:tcBorders>
              <w:top w:val="single" w:color="auto" w:sz="4" w:space="0"/>
              <w:left w:val="single" w:color="auto" w:sz="4" w:space="0"/>
              <w:bottom w:val="single" w:color="auto" w:sz="4" w:space="0"/>
              <w:right w:val="single" w:color="auto" w:sz="4" w:space="0"/>
            </w:tcBorders>
            <w:vAlign w:val="center"/>
          </w:tcPr>
          <w:p w14:paraId="786F0854">
            <w:pPr>
              <w:rPr>
                <w:rFonts w:ascii="宋体" w:hAnsi="宋体" w:cs="宋体"/>
                <w:color w:val="auto"/>
                <w:sz w:val="22"/>
                <w:szCs w:val="22"/>
                <w:highlight w:val="none"/>
              </w:rPr>
            </w:pPr>
            <w:r>
              <w:rPr>
                <w:rFonts w:hint="eastAsia" w:ascii="宋体" w:hAnsi="宋体" w:cs="宋体"/>
                <w:color w:val="auto"/>
                <w:sz w:val="22"/>
                <w:szCs w:val="22"/>
                <w:highlight w:val="none"/>
              </w:rPr>
              <w:t>子脉冲能量可视可调</w:t>
            </w:r>
          </w:p>
        </w:tc>
      </w:tr>
      <w:tr w14:paraId="7A4C3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3D68E636">
            <w:pPr>
              <w:jc w:val="center"/>
              <w:rPr>
                <w:rFonts w:ascii="宋体" w:hAnsi="宋体" w:cs="宋体"/>
                <w:color w:val="auto"/>
                <w:sz w:val="22"/>
                <w:szCs w:val="22"/>
                <w:highlight w:val="none"/>
              </w:rPr>
            </w:pPr>
            <w:r>
              <w:rPr>
                <w:rFonts w:hint="eastAsia" w:ascii="宋体" w:hAnsi="宋体" w:cs="宋体"/>
                <w:color w:val="auto"/>
                <w:sz w:val="22"/>
                <w:szCs w:val="22"/>
                <w:highlight w:val="none"/>
              </w:rPr>
              <w:t>2.12</w:t>
            </w:r>
          </w:p>
        </w:tc>
        <w:tc>
          <w:tcPr>
            <w:tcW w:w="4317" w:type="pct"/>
            <w:tcBorders>
              <w:top w:val="single" w:color="auto" w:sz="4" w:space="0"/>
              <w:left w:val="single" w:color="auto" w:sz="4" w:space="0"/>
              <w:bottom w:val="single" w:color="auto" w:sz="4" w:space="0"/>
              <w:right w:val="single" w:color="auto" w:sz="4" w:space="0"/>
            </w:tcBorders>
            <w:vAlign w:val="center"/>
          </w:tcPr>
          <w:p w14:paraId="52008DC9">
            <w:pPr>
              <w:rPr>
                <w:rFonts w:ascii="宋体" w:hAnsi="宋体" w:cs="宋体"/>
                <w:color w:val="auto"/>
                <w:sz w:val="22"/>
                <w:szCs w:val="22"/>
                <w:highlight w:val="none"/>
              </w:rPr>
            </w:pPr>
            <w:r>
              <w:rPr>
                <w:rFonts w:hint="eastAsia" w:ascii="宋体" w:hAnsi="宋体" w:cs="宋体"/>
                <w:color w:val="auto"/>
                <w:sz w:val="22"/>
                <w:szCs w:val="22"/>
                <w:highlight w:val="none"/>
              </w:rPr>
              <w:t>子脉冲脉宽可视可调</w:t>
            </w:r>
          </w:p>
        </w:tc>
      </w:tr>
      <w:tr w14:paraId="28B1B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595248E2">
            <w:pPr>
              <w:jc w:val="center"/>
              <w:rPr>
                <w:rFonts w:ascii="宋体" w:hAnsi="宋体" w:cs="宋体"/>
                <w:color w:val="auto"/>
                <w:sz w:val="22"/>
                <w:szCs w:val="22"/>
                <w:highlight w:val="none"/>
              </w:rPr>
            </w:pPr>
            <w:r>
              <w:rPr>
                <w:rFonts w:hint="eastAsia" w:ascii="宋体" w:hAnsi="宋体" w:cs="宋体"/>
                <w:color w:val="auto"/>
                <w:sz w:val="22"/>
                <w:szCs w:val="22"/>
                <w:highlight w:val="none"/>
              </w:rPr>
              <w:t>★2.13</w:t>
            </w:r>
          </w:p>
        </w:tc>
        <w:tc>
          <w:tcPr>
            <w:tcW w:w="4317" w:type="pct"/>
            <w:tcBorders>
              <w:top w:val="single" w:color="auto" w:sz="4" w:space="0"/>
              <w:left w:val="single" w:color="auto" w:sz="4" w:space="0"/>
              <w:bottom w:val="single" w:color="auto" w:sz="4" w:space="0"/>
              <w:right w:val="single" w:color="auto" w:sz="4" w:space="0"/>
            </w:tcBorders>
            <w:vAlign w:val="center"/>
          </w:tcPr>
          <w:p w14:paraId="068B4A65">
            <w:pPr>
              <w:rPr>
                <w:rFonts w:ascii="宋体" w:hAnsi="宋体" w:cs="宋体"/>
                <w:color w:val="auto"/>
                <w:sz w:val="22"/>
                <w:szCs w:val="22"/>
                <w:highlight w:val="none"/>
              </w:rPr>
            </w:pPr>
            <w:r>
              <w:rPr>
                <w:rFonts w:hint="eastAsia" w:ascii="宋体" w:hAnsi="宋体" w:cs="宋体"/>
                <w:color w:val="auto"/>
                <w:sz w:val="22"/>
                <w:szCs w:val="22"/>
                <w:highlight w:val="none"/>
              </w:rPr>
              <w:t>脉冲延迟：范围≥5-150ms连续可视可调</w:t>
            </w:r>
          </w:p>
        </w:tc>
      </w:tr>
      <w:tr w14:paraId="31FAE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446361C2">
            <w:pPr>
              <w:jc w:val="center"/>
              <w:rPr>
                <w:rFonts w:ascii="宋体" w:hAnsi="宋体" w:cs="宋体"/>
                <w:color w:val="auto"/>
                <w:sz w:val="22"/>
                <w:szCs w:val="22"/>
                <w:highlight w:val="none"/>
              </w:rPr>
            </w:pPr>
            <w:r>
              <w:rPr>
                <w:rFonts w:hint="eastAsia" w:ascii="宋体" w:hAnsi="宋体" w:cs="宋体"/>
                <w:color w:val="auto"/>
                <w:sz w:val="22"/>
                <w:szCs w:val="22"/>
                <w:highlight w:val="none"/>
              </w:rPr>
              <w:t>2.14</w:t>
            </w:r>
          </w:p>
        </w:tc>
        <w:tc>
          <w:tcPr>
            <w:tcW w:w="4317" w:type="pct"/>
            <w:tcBorders>
              <w:top w:val="single" w:color="auto" w:sz="4" w:space="0"/>
              <w:left w:val="single" w:color="auto" w:sz="4" w:space="0"/>
              <w:bottom w:val="single" w:color="auto" w:sz="4" w:space="0"/>
              <w:right w:val="single" w:color="auto" w:sz="4" w:space="0"/>
            </w:tcBorders>
            <w:vAlign w:val="center"/>
          </w:tcPr>
          <w:p w14:paraId="2410C24E">
            <w:pPr>
              <w:rPr>
                <w:rFonts w:ascii="宋体" w:hAnsi="宋体" w:cs="宋体"/>
                <w:color w:val="auto"/>
                <w:sz w:val="22"/>
                <w:szCs w:val="22"/>
                <w:highlight w:val="none"/>
              </w:rPr>
            </w:pPr>
            <w:r>
              <w:rPr>
                <w:rFonts w:hint="eastAsia" w:ascii="宋体" w:hAnsi="宋体" w:cs="宋体"/>
                <w:color w:val="auto"/>
                <w:sz w:val="22"/>
                <w:szCs w:val="22"/>
                <w:highlight w:val="none"/>
              </w:rPr>
              <w:t>频率最大值≥1HZ</w:t>
            </w:r>
          </w:p>
        </w:tc>
      </w:tr>
      <w:tr w14:paraId="73020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0163F77F">
            <w:pPr>
              <w:jc w:val="center"/>
              <w:rPr>
                <w:rFonts w:ascii="宋体" w:hAnsi="宋体" w:cs="宋体"/>
                <w:color w:val="auto"/>
                <w:sz w:val="22"/>
                <w:szCs w:val="22"/>
                <w:highlight w:val="none"/>
              </w:rPr>
            </w:pPr>
            <w:r>
              <w:rPr>
                <w:rFonts w:hint="eastAsia" w:ascii="宋体" w:hAnsi="宋体" w:cs="宋体"/>
                <w:color w:val="auto"/>
                <w:sz w:val="22"/>
                <w:szCs w:val="22"/>
                <w:highlight w:val="none"/>
              </w:rPr>
              <w:t>2.15</w:t>
            </w:r>
          </w:p>
        </w:tc>
        <w:tc>
          <w:tcPr>
            <w:tcW w:w="4317" w:type="pct"/>
            <w:tcBorders>
              <w:top w:val="single" w:color="auto" w:sz="4" w:space="0"/>
              <w:left w:val="single" w:color="auto" w:sz="4" w:space="0"/>
              <w:bottom w:val="single" w:color="auto" w:sz="4" w:space="0"/>
              <w:right w:val="single" w:color="auto" w:sz="4" w:space="0"/>
            </w:tcBorders>
            <w:vAlign w:val="center"/>
          </w:tcPr>
          <w:p w14:paraId="57C9C7C7">
            <w:pPr>
              <w:rPr>
                <w:rFonts w:ascii="宋体" w:hAnsi="宋体" w:cs="宋体"/>
                <w:color w:val="auto"/>
                <w:sz w:val="22"/>
                <w:szCs w:val="22"/>
                <w:highlight w:val="none"/>
              </w:rPr>
            </w:pPr>
            <w:bookmarkStart w:id="29" w:name="OLE_LINK11"/>
            <w:bookmarkStart w:id="30" w:name="OLE_LINK10"/>
            <w:r>
              <w:rPr>
                <w:rFonts w:hint="eastAsia" w:ascii="宋体" w:hAnsi="宋体" w:cs="Tahoma"/>
                <w:color w:val="auto"/>
                <w:kern w:val="0"/>
                <w:szCs w:val="21"/>
                <w:highlight w:val="none"/>
              </w:rPr>
              <w:t>光斑</w:t>
            </w:r>
            <w:bookmarkEnd w:id="29"/>
            <w:bookmarkEnd w:id="30"/>
            <w:bookmarkStart w:id="31" w:name="OLE_LINK17"/>
            <w:bookmarkStart w:id="32" w:name="OLE_LINK16"/>
            <w:r>
              <w:rPr>
                <w:rFonts w:hint="eastAsia" w:ascii="宋体" w:hAnsi="宋体" w:cs="Tahoma"/>
                <w:color w:val="auto"/>
                <w:kern w:val="0"/>
                <w:szCs w:val="21"/>
                <w:highlight w:val="none"/>
              </w:rPr>
              <w:t>尺寸</w:t>
            </w:r>
            <w:bookmarkEnd w:id="31"/>
            <w:bookmarkEnd w:id="32"/>
            <w:r>
              <w:rPr>
                <w:rFonts w:hint="eastAsia" w:ascii="宋体" w:hAnsi="宋体" w:cs="Tahoma"/>
                <w:color w:val="auto"/>
                <w:kern w:val="0"/>
                <w:szCs w:val="21"/>
                <w:highlight w:val="none"/>
              </w:rPr>
              <w:t>：</w:t>
            </w:r>
            <w:bookmarkStart w:id="33" w:name="OLE_LINK9"/>
            <w:r>
              <w:rPr>
                <w:rFonts w:hint="eastAsia" w:ascii="宋体" w:hAnsi="宋体" w:cs="Tahoma"/>
                <w:color w:val="auto"/>
                <w:kern w:val="0"/>
                <w:szCs w:val="21"/>
                <w:highlight w:val="none"/>
              </w:rPr>
              <w:t>8×15mm</w:t>
            </w:r>
            <w:bookmarkEnd w:id="33"/>
            <w:bookmarkStart w:id="34" w:name="OLE_LINK15"/>
            <w:bookmarkStart w:id="35" w:name="OLE_LINK12"/>
            <w:r>
              <w:rPr>
                <w:rFonts w:hint="eastAsia" w:ascii="宋体" w:hAnsi="宋体" w:cs="Tahoma"/>
                <w:color w:val="auto"/>
                <w:kern w:val="0"/>
                <w:szCs w:val="21"/>
                <w:highlight w:val="none"/>
              </w:rPr>
              <w:t>≤</w:t>
            </w:r>
            <w:bookmarkEnd w:id="34"/>
            <w:bookmarkEnd w:id="35"/>
            <w:r>
              <w:rPr>
                <w:rFonts w:hint="eastAsia" w:ascii="宋体" w:hAnsi="宋体" w:cs="Tahoma"/>
                <w:color w:val="auto"/>
                <w:kern w:val="0"/>
                <w:szCs w:val="21"/>
                <w:highlight w:val="none"/>
              </w:rPr>
              <w:t>光斑尺寸≤15×50mm</w:t>
            </w:r>
          </w:p>
        </w:tc>
      </w:tr>
      <w:tr w14:paraId="07F47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683" w:type="pct"/>
            <w:tcBorders>
              <w:top w:val="single" w:color="auto" w:sz="4" w:space="0"/>
              <w:left w:val="single" w:color="auto" w:sz="4" w:space="0"/>
              <w:bottom w:val="single" w:color="auto" w:sz="4" w:space="0"/>
              <w:right w:val="single" w:color="auto" w:sz="4" w:space="0"/>
            </w:tcBorders>
            <w:vAlign w:val="center"/>
          </w:tcPr>
          <w:p w14:paraId="302485FD">
            <w:pPr>
              <w:jc w:val="center"/>
              <w:rPr>
                <w:rFonts w:ascii="宋体" w:hAnsi="宋体" w:cs="宋体"/>
                <w:color w:val="auto"/>
                <w:sz w:val="22"/>
                <w:szCs w:val="22"/>
                <w:highlight w:val="none"/>
              </w:rPr>
            </w:pPr>
            <w:r>
              <w:rPr>
                <w:rFonts w:hint="eastAsia" w:ascii="宋体" w:hAnsi="宋体" w:cs="宋体"/>
                <w:color w:val="auto"/>
                <w:sz w:val="22"/>
                <w:szCs w:val="22"/>
                <w:highlight w:val="none"/>
              </w:rPr>
              <w:t>2.16</w:t>
            </w:r>
          </w:p>
        </w:tc>
        <w:tc>
          <w:tcPr>
            <w:tcW w:w="4317" w:type="pct"/>
            <w:tcBorders>
              <w:top w:val="single" w:color="auto" w:sz="4" w:space="0"/>
              <w:left w:val="single" w:color="auto" w:sz="4" w:space="0"/>
              <w:bottom w:val="single" w:color="auto" w:sz="4" w:space="0"/>
              <w:right w:val="single" w:color="auto" w:sz="4" w:space="0"/>
            </w:tcBorders>
            <w:vAlign w:val="center"/>
          </w:tcPr>
          <w:p w14:paraId="7EE08FAA">
            <w:pPr>
              <w:rPr>
                <w:rFonts w:ascii="宋体" w:hAnsi="宋体" w:cs="宋体"/>
                <w:color w:val="auto"/>
                <w:sz w:val="22"/>
                <w:szCs w:val="22"/>
                <w:highlight w:val="none"/>
              </w:rPr>
            </w:pPr>
            <w:r>
              <w:rPr>
                <w:rFonts w:hint="eastAsia" w:ascii="宋体" w:hAnsi="宋体" w:cs="宋体"/>
                <w:color w:val="auto"/>
                <w:sz w:val="22"/>
                <w:szCs w:val="22"/>
                <w:highlight w:val="none"/>
              </w:rPr>
              <w:t>冷却方式：具备持续蓝宝石接触式冷却功能</w:t>
            </w:r>
          </w:p>
        </w:tc>
      </w:tr>
      <w:tr w14:paraId="442B2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683" w:type="pct"/>
            <w:tcBorders>
              <w:top w:val="single" w:color="auto" w:sz="4" w:space="0"/>
              <w:left w:val="single" w:color="auto" w:sz="4" w:space="0"/>
              <w:bottom w:val="single" w:color="auto" w:sz="4" w:space="0"/>
              <w:right w:val="single" w:color="auto" w:sz="4" w:space="0"/>
            </w:tcBorders>
          </w:tcPr>
          <w:p w14:paraId="493E1182">
            <w:pPr>
              <w:jc w:val="center"/>
              <w:rPr>
                <w:rFonts w:ascii="宋体" w:hAnsi="宋体" w:cs="宋体"/>
                <w:color w:val="auto"/>
                <w:sz w:val="22"/>
                <w:szCs w:val="22"/>
                <w:highlight w:val="none"/>
              </w:rPr>
            </w:pPr>
            <w:r>
              <w:rPr>
                <w:rFonts w:hint="eastAsia" w:ascii="宋体" w:hAnsi="宋体" w:cs="宋体"/>
                <w:color w:val="auto"/>
                <w:sz w:val="22"/>
                <w:szCs w:val="22"/>
                <w:highlight w:val="none"/>
              </w:rPr>
              <w:t>2.17</w:t>
            </w:r>
          </w:p>
        </w:tc>
        <w:tc>
          <w:tcPr>
            <w:tcW w:w="4317" w:type="pct"/>
            <w:tcBorders>
              <w:top w:val="single" w:color="auto" w:sz="4" w:space="0"/>
              <w:left w:val="single" w:color="auto" w:sz="4" w:space="0"/>
              <w:bottom w:val="single" w:color="auto" w:sz="4" w:space="0"/>
              <w:right w:val="single" w:color="auto" w:sz="4" w:space="0"/>
            </w:tcBorders>
            <w:vAlign w:val="center"/>
          </w:tcPr>
          <w:p w14:paraId="4521FE71">
            <w:pPr>
              <w:rPr>
                <w:rFonts w:ascii="宋体" w:hAnsi="宋体" w:cs="宋体"/>
                <w:color w:val="auto"/>
                <w:sz w:val="22"/>
                <w:szCs w:val="22"/>
                <w:highlight w:val="none"/>
              </w:rPr>
            </w:pPr>
            <w:r>
              <w:rPr>
                <w:rFonts w:hint="eastAsia" w:ascii="宋体" w:hAnsi="宋体" w:cs="宋体"/>
                <w:color w:val="auto"/>
                <w:sz w:val="22"/>
                <w:szCs w:val="22"/>
                <w:highlight w:val="none"/>
              </w:rPr>
              <w:t>数据库功能：可以存储病人病例</w:t>
            </w:r>
          </w:p>
        </w:tc>
      </w:tr>
      <w:tr w14:paraId="7FC31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683" w:type="pct"/>
            <w:tcBorders>
              <w:top w:val="single" w:color="auto" w:sz="4" w:space="0"/>
              <w:left w:val="single" w:color="auto" w:sz="4" w:space="0"/>
              <w:bottom w:val="single" w:color="auto" w:sz="4" w:space="0"/>
              <w:right w:val="single" w:color="auto" w:sz="4" w:space="0"/>
            </w:tcBorders>
          </w:tcPr>
          <w:p w14:paraId="4598F376">
            <w:pPr>
              <w:jc w:val="center"/>
              <w:rPr>
                <w:rFonts w:ascii="宋体" w:hAnsi="宋体" w:cs="宋体"/>
                <w:color w:val="auto"/>
                <w:sz w:val="22"/>
                <w:szCs w:val="22"/>
                <w:highlight w:val="none"/>
              </w:rPr>
            </w:pPr>
            <w:r>
              <w:rPr>
                <w:rFonts w:hint="eastAsia" w:ascii="宋体" w:hAnsi="宋体" w:cs="宋体"/>
                <w:color w:val="auto"/>
                <w:sz w:val="22"/>
                <w:szCs w:val="22"/>
                <w:highlight w:val="none"/>
              </w:rPr>
              <w:t>2.18</w:t>
            </w:r>
          </w:p>
        </w:tc>
        <w:tc>
          <w:tcPr>
            <w:tcW w:w="4317" w:type="pct"/>
            <w:tcBorders>
              <w:top w:val="single" w:color="auto" w:sz="4" w:space="0"/>
              <w:left w:val="single" w:color="auto" w:sz="4" w:space="0"/>
              <w:bottom w:val="single" w:color="auto" w:sz="4" w:space="0"/>
              <w:right w:val="single" w:color="auto" w:sz="4" w:space="0"/>
            </w:tcBorders>
            <w:vAlign w:val="center"/>
          </w:tcPr>
          <w:p w14:paraId="5C1DD6B7">
            <w:pPr>
              <w:rPr>
                <w:rFonts w:ascii="宋体" w:hAnsi="宋体" w:cs="宋体"/>
                <w:color w:val="auto"/>
                <w:sz w:val="22"/>
                <w:szCs w:val="22"/>
                <w:highlight w:val="none"/>
              </w:rPr>
            </w:pPr>
            <w:r>
              <w:rPr>
                <w:rFonts w:hint="eastAsia" w:ascii="宋体" w:hAnsi="宋体" w:cs="宋体"/>
                <w:color w:val="auto"/>
                <w:sz w:val="22"/>
                <w:szCs w:val="22"/>
                <w:highlight w:val="none"/>
              </w:rPr>
              <w:t>冷却系统：外置冷却水循环系统</w:t>
            </w:r>
          </w:p>
        </w:tc>
      </w:tr>
      <w:tr w14:paraId="1E9AA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683" w:type="pct"/>
            <w:tcBorders>
              <w:top w:val="single" w:color="auto" w:sz="4" w:space="0"/>
              <w:left w:val="single" w:color="auto" w:sz="4" w:space="0"/>
              <w:bottom w:val="single" w:color="auto" w:sz="4" w:space="0"/>
              <w:right w:val="single" w:color="auto" w:sz="4" w:space="0"/>
            </w:tcBorders>
          </w:tcPr>
          <w:p w14:paraId="7AFEE7A0">
            <w:pPr>
              <w:jc w:val="center"/>
              <w:rPr>
                <w:rFonts w:ascii="宋体" w:hAnsi="宋体" w:cs="宋体"/>
                <w:color w:val="auto"/>
                <w:sz w:val="22"/>
                <w:szCs w:val="22"/>
                <w:highlight w:val="none"/>
              </w:rPr>
            </w:pPr>
            <w:r>
              <w:rPr>
                <w:rFonts w:hint="eastAsia" w:ascii="宋体" w:hAnsi="宋体" w:cs="宋体"/>
                <w:color w:val="auto"/>
                <w:sz w:val="22"/>
                <w:szCs w:val="22"/>
                <w:highlight w:val="none"/>
              </w:rPr>
              <w:t>2.19</w:t>
            </w:r>
          </w:p>
        </w:tc>
        <w:tc>
          <w:tcPr>
            <w:tcW w:w="4317" w:type="pct"/>
            <w:tcBorders>
              <w:top w:val="single" w:color="auto" w:sz="4" w:space="0"/>
              <w:left w:val="single" w:color="auto" w:sz="4" w:space="0"/>
              <w:bottom w:val="single" w:color="auto" w:sz="4" w:space="0"/>
              <w:right w:val="single" w:color="auto" w:sz="4" w:space="0"/>
            </w:tcBorders>
            <w:vAlign w:val="center"/>
          </w:tcPr>
          <w:p w14:paraId="0FC89F79">
            <w:pPr>
              <w:rPr>
                <w:rFonts w:ascii="宋体" w:hAnsi="宋体" w:cs="宋体"/>
                <w:color w:val="auto"/>
                <w:sz w:val="22"/>
                <w:szCs w:val="22"/>
                <w:highlight w:val="none"/>
              </w:rPr>
            </w:pPr>
            <w:r>
              <w:rPr>
                <w:rFonts w:hint="eastAsia" w:ascii="宋体" w:hAnsi="宋体" w:cs="宋体"/>
                <w:color w:val="auto"/>
                <w:sz w:val="22"/>
                <w:szCs w:val="22"/>
                <w:highlight w:val="none"/>
              </w:rPr>
              <w:t>冷却水箱位置：具备外置式可视技术</w:t>
            </w:r>
          </w:p>
        </w:tc>
      </w:tr>
      <w:tr w14:paraId="502BE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683" w:type="pct"/>
            <w:tcBorders>
              <w:top w:val="single" w:color="auto" w:sz="4" w:space="0"/>
              <w:left w:val="single" w:color="auto" w:sz="4" w:space="0"/>
              <w:bottom w:val="single" w:color="auto" w:sz="4" w:space="0"/>
              <w:right w:val="single" w:color="auto" w:sz="4" w:space="0"/>
            </w:tcBorders>
          </w:tcPr>
          <w:p w14:paraId="2DB6B666">
            <w:pPr>
              <w:jc w:val="center"/>
              <w:rPr>
                <w:rFonts w:ascii="宋体" w:hAnsi="宋体" w:cs="宋体"/>
                <w:color w:val="auto"/>
                <w:sz w:val="22"/>
                <w:szCs w:val="22"/>
                <w:highlight w:val="none"/>
              </w:rPr>
            </w:pPr>
            <w:r>
              <w:rPr>
                <w:rFonts w:hint="eastAsia" w:ascii="宋体" w:hAnsi="宋体" w:cs="宋体"/>
                <w:color w:val="auto"/>
                <w:sz w:val="22"/>
                <w:szCs w:val="22"/>
                <w:highlight w:val="none"/>
              </w:rPr>
              <w:t>2.20</w:t>
            </w:r>
          </w:p>
        </w:tc>
        <w:tc>
          <w:tcPr>
            <w:tcW w:w="4317" w:type="pct"/>
            <w:tcBorders>
              <w:top w:val="single" w:color="auto" w:sz="4" w:space="0"/>
              <w:left w:val="single" w:color="auto" w:sz="4" w:space="0"/>
              <w:bottom w:val="single" w:color="auto" w:sz="4" w:space="0"/>
              <w:right w:val="single" w:color="auto" w:sz="4" w:space="0"/>
            </w:tcBorders>
            <w:vAlign w:val="center"/>
          </w:tcPr>
          <w:p w14:paraId="348E3FA2">
            <w:pPr>
              <w:rPr>
                <w:rFonts w:ascii="宋体" w:hAnsi="宋体" w:cs="宋体"/>
                <w:color w:val="auto"/>
                <w:sz w:val="22"/>
                <w:szCs w:val="22"/>
                <w:highlight w:val="none"/>
              </w:rPr>
            </w:pPr>
            <w:r>
              <w:rPr>
                <w:rFonts w:hint="eastAsia" w:ascii="宋体" w:hAnsi="宋体" w:cs="宋体"/>
                <w:color w:val="auto"/>
                <w:sz w:val="22"/>
                <w:szCs w:val="22"/>
                <w:highlight w:val="none"/>
              </w:rPr>
              <w:t>其他功能：可升级非剥脱激光点阵模块</w:t>
            </w:r>
          </w:p>
        </w:tc>
      </w:tr>
      <w:tr w14:paraId="72133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683" w:type="pct"/>
            <w:tcBorders>
              <w:top w:val="single" w:color="auto" w:sz="4" w:space="0"/>
              <w:left w:val="single" w:color="auto" w:sz="4" w:space="0"/>
              <w:bottom w:val="single" w:color="auto" w:sz="4" w:space="0"/>
              <w:right w:val="single" w:color="auto" w:sz="4" w:space="0"/>
            </w:tcBorders>
          </w:tcPr>
          <w:p w14:paraId="3F943D24">
            <w:pPr>
              <w:jc w:val="center"/>
              <w:rPr>
                <w:rFonts w:ascii="宋体" w:hAnsi="宋体" w:cs="宋体"/>
                <w:color w:val="auto"/>
                <w:sz w:val="22"/>
                <w:szCs w:val="22"/>
                <w:highlight w:val="none"/>
              </w:rPr>
            </w:pPr>
            <w:r>
              <w:rPr>
                <w:rFonts w:hint="eastAsia" w:ascii="宋体" w:hAnsi="宋体" w:cs="宋体"/>
                <w:color w:val="auto"/>
                <w:sz w:val="22"/>
                <w:szCs w:val="22"/>
                <w:highlight w:val="none"/>
              </w:rPr>
              <w:t>★2.21</w:t>
            </w:r>
          </w:p>
        </w:tc>
        <w:tc>
          <w:tcPr>
            <w:tcW w:w="4317" w:type="pct"/>
            <w:tcBorders>
              <w:top w:val="single" w:color="auto" w:sz="4" w:space="0"/>
              <w:left w:val="single" w:color="auto" w:sz="4" w:space="0"/>
              <w:bottom w:val="single" w:color="auto" w:sz="4" w:space="0"/>
              <w:right w:val="single" w:color="auto" w:sz="4" w:space="0"/>
            </w:tcBorders>
            <w:vAlign w:val="center"/>
          </w:tcPr>
          <w:p w14:paraId="0762BDAC">
            <w:pPr>
              <w:rPr>
                <w:rFonts w:ascii="宋体" w:hAnsi="宋体" w:cs="宋体"/>
                <w:color w:val="auto"/>
                <w:sz w:val="22"/>
                <w:szCs w:val="22"/>
                <w:highlight w:val="none"/>
              </w:rPr>
            </w:pPr>
            <w:r>
              <w:rPr>
                <w:rFonts w:hint="eastAsia" w:ascii="宋体" w:hAnsi="宋体" w:cs="宋体"/>
                <w:color w:val="auto"/>
                <w:sz w:val="22"/>
                <w:szCs w:val="22"/>
                <w:highlight w:val="none"/>
              </w:rPr>
              <w:t>设备使用年限≥7年（需提供文件证明）</w:t>
            </w:r>
          </w:p>
        </w:tc>
      </w:tr>
      <w:tr w14:paraId="491CE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683" w:type="pct"/>
            <w:tcBorders>
              <w:top w:val="single" w:color="auto" w:sz="4" w:space="0"/>
              <w:left w:val="single" w:color="auto" w:sz="4" w:space="0"/>
              <w:bottom w:val="single" w:color="auto" w:sz="4" w:space="0"/>
              <w:right w:val="single" w:color="auto" w:sz="4" w:space="0"/>
            </w:tcBorders>
          </w:tcPr>
          <w:p w14:paraId="0B06ED3F">
            <w:pPr>
              <w:jc w:val="center"/>
              <w:rPr>
                <w:rFonts w:ascii="宋体" w:hAnsi="宋体" w:cs="宋体"/>
                <w:color w:val="auto"/>
                <w:sz w:val="22"/>
                <w:szCs w:val="22"/>
                <w:highlight w:val="none"/>
              </w:rPr>
            </w:pPr>
            <w:r>
              <w:rPr>
                <w:rFonts w:hint="eastAsia" w:ascii="宋体" w:hAnsi="宋体" w:cs="宋体"/>
                <w:color w:val="auto"/>
                <w:sz w:val="22"/>
                <w:szCs w:val="22"/>
                <w:highlight w:val="none"/>
              </w:rPr>
              <w:t>三</w:t>
            </w:r>
          </w:p>
        </w:tc>
        <w:tc>
          <w:tcPr>
            <w:tcW w:w="4317" w:type="pct"/>
            <w:tcBorders>
              <w:top w:val="single" w:color="auto" w:sz="4" w:space="0"/>
              <w:left w:val="single" w:color="auto" w:sz="4" w:space="0"/>
              <w:bottom w:val="single" w:color="auto" w:sz="4" w:space="0"/>
              <w:right w:val="single" w:color="auto" w:sz="4" w:space="0"/>
            </w:tcBorders>
            <w:vAlign w:val="center"/>
          </w:tcPr>
          <w:p w14:paraId="23C83ABE">
            <w:pPr>
              <w:rPr>
                <w:rFonts w:ascii="宋体" w:hAnsi="宋体" w:cs="宋体"/>
                <w:color w:val="auto"/>
                <w:sz w:val="22"/>
                <w:szCs w:val="22"/>
                <w:highlight w:val="none"/>
              </w:rPr>
            </w:pPr>
            <w:r>
              <w:rPr>
                <w:rFonts w:hint="eastAsia" w:ascii="宋体" w:hAnsi="宋体" w:cs="宋体"/>
                <w:color w:val="auto"/>
                <w:sz w:val="22"/>
                <w:szCs w:val="22"/>
                <w:highlight w:val="none"/>
              </w:rPr>
              <w:t>配置清单</w:t>
            </w:r>
          </w:p>
        </w:tc>
      </w:tr>
      <w:tr w14:paraId="7B90C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683" w:type="pct"/>
            <w:tcBorders>
              <w:top w:val="single" w:color="auto" w:sz="4" w:space="0"/>
              <w:left w:val="single" w:color="auto" w:sz="4" w:space="0"/>
              <w:bottom w:val="single" w:color="auto" w:sz="4" w:space="0"/>
              <w:right w:val="single" w:color="auto" w:sz="4" w:space="0"/>
            </w:tcBorders>
          </w:tcPr>
          <w:p w14:paraId="4A41057D">
            <w:pPr>
              <w:jc w:val="center"/>
              <w:rPr>
                <w:rFonts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.1</w:t>
            </w:r>
          </w:p>
        </w:tc>
        <w:tc>
          <w:tcPr>
            <w:tcW w:w="4317" w:type="pct"/>
            <w:tcBorders>
              <w:top w:val="single" w:color="auto" w:sz="4" w:space="0"/>
              <w:left w:val="single" w:color="auto" w:sz="4" w:space="0"/>
              <w:bottom w:val="single" w:color="auto" w:sz="4" w:space="0"/>
              <w:right w:val="single" w:color="auto" w:sz="4" w:space="0"/>
            </w:tcBorders>
            <w:vAlign w:val="center"/>
          </w:tcPr>
          <w:p w14:paraId="3B7C637A">
            <w:pPr>
              <w:rPr>
                <w:rFonts w:ascii="宋体" w:hAnsi="宋体" w:cs="宋体"/>
                <w:color w:val="auto"/>
                <w:sz w:val="22"/>
                <w:szCs w:val="22"/>
                <w:highlight w:val="none"/>
              </w:rPr>
            </w:pPr>
            <w:r>
              <w:rPr>
                <w:rFonts w:hint="eastAsia" w:ascii="宋体" w:hAnsi="宋体" w:cs="宋体"/>
                <w:color w:val="auto"/>
                <w:sz w:val="22"/>
                <w:szCs w:val="22"/>
                <w:highlight w:val="none"/>
              </w:rPr>
              <w:t>强脉冲光主机1台</w:t>
            </w:r>
          </w:p>
        </w:tc>
      </w:tr>
      <w:tr w14:paraId="16DFB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683" w:type="pct"/>
            <w:tcBorders>
              <w:top w:val="single" w:color="auto" w:sz="4" w:space="0"/>
              <w:left w:val="single" w:color="auto" w:sz="4" w:space="0"/>
              <w:bottom w:val="single" w:color="auto" w:sz="4" w:space="0"/>
              <w:right w:val="single" w:color="auto" w:sz="4" w:space="0"/>
            </w:tcBorders>
          </w:tcPr>
          <w:p w14:paraId="60BFEAC9">
            <w:pPr>
              <w:jc w:val="center"/>
              <w:rPr>
                <w:rFonts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.2</w:t>
            </w:r>
          </w:p>
        </w:tc>
        <w:tc>
          <w:tcPr>
            <w:tcW w:w="4317" w:type="pct"/>
            <w:tcBorders>
              <w:top w:val="single" w:color="auto" w:sz="4" w:space="0"/>
              <w:left w:val="single" w:color="auto" w:sz="4" w:space="0"/>
              <w:bottom w:val="single" w:color="auto" w:sz="4" w:space="0"/>
              <w:right w:val="single" w:color="auto" w:sz="4" w:space="0"/>
            </w:tcBorders>
            <w:vAlign w:val="center"/>
          </w:tcPr>
          <w:p w14:paraId="3D9EF9BC">
            <w:pPr>
              <w:rPr>
                <w:rFonts w:ascii="宋体" w:hAnsi="宋体" w:cs="宋体"/>
                <w:color w:val="auto"/>
                <w:sz w:val="22"/>
                <w:szCs w:val="22"/>
                <w:highlight w:val="none"/>
              </w:rPr>
            </w:pPr>
            <w:r>
              <w:rPr>
                <w:rFonts w:hint="eastAsia" w:ascii="宋体" w:hAnsi="宋体" w:cs="宋体"/>
                <w:color w:val="auto"/>
                <w:sz w:val="22"/>
                <w:szCs w:val="22"/>
                <w:highlight w:val="none"/>
              </w:rPr>
              <w:t>强脉冲光治疗手具1副</w:t>
            </w:r>
          </w:p>
        </w:tc>
      </w:tr>
      <w:tr w14:paraId="5AA5C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683" w:type="pct"/>
            <w:tcBorders>
              <w:top w:val="single" w:color="auto" w:sz="4" w:space="0"/>
              <w:left w:val="single" w:color="auto" w:sz="4" w:space="0"/>
              <w:bottom w:val="single" w:color="auto" w:sz="4" w:space="0"/>
              <w:right w:val="single" w:color="auto" w:sz="4" w:space="0"/>
            </w:tcBorders>
          </w:tcPr>
          <w:p w14:paraId="3038C9C0">
            <w:pPr>
              <w:jc w:val="center"/>
              <w:rPr>
                <w:rFonts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.3</w:t>
            </w:r>
          </w:p>
        </w:tc>
        <w:tc>
          <w:tcPr>
            <w:tcW w:w="4317" w:type="pct"/>
            <w:tcBorders>
              <w:top w:val="single" w:color="auto" w:sz="4" w:space="0"/>
              <w:left w:val="single" w:color="auto" w:sz="4" w:space="0"/>
              <w:bottom w:val="single" w:color="auto" w:sz="4" w:space="0"/>
              <w:right w:val="single" w:color="auto" w:sz="4" w:space="0"/>
            </w:tcBorders>
            <w:vAlign w:val="center"/>
          </w:tcPr>
          <w:p w14:paraId="0DA094EF">
            <w:pPr>
              <w:rPr>
                <w:rFonts w:ascii="宋体" w:hAnsi="宋体" w:cs="宋体"/>
                <w:color w:val="auto"/>
                <w:sz w:val="22"/>
                <w:szCs w:val="22"/>
                <w:highlight w:val="none"/>
              </w:rPr>
            </w:pPr>
            <w:r>
              <w:rPr>
                <w:rFonts w:hint="eastAsia" w:ascii="宋体" w:hAnsi="宋体" w:cs="宋体"/>
                <w:color w:val="auto"/>
                <w:sz w:val="22"/>
                <w:szCs w:val="22"/>
                <w:highlight w:val="none"/>
              </w:rPr>
              <w:t>滤波片≥6个</w:t>
            </w:r>
          </w:p>
        </w:tc>
      </w:tr>
      <w:tr w14:paraId="27C58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683" w:type="pct"/>
            <w:tcBorders>
              <w:top w:val="single" w:color="auto" w:sz="4" w:space="0"/>
              <w:left w:val="single" w:color="auto" w:sz="4" w:space="0"/>
              <w:bottom w:val="single" w:color="auto" w:sz="4" w:space="0"/>
              <w:right w:val="single" w:color="auto" w:sz="4" w:space="0"/>
            </w:tcBorders>
          </w:tcPr>
          <w:p w14:paraId="1CCA9F42">
            <w:pPr>
              <w:jc w:val="center"/>
              <w:rPr>
                <w:rFonts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w:t>
            </w:r>
            <w:r>
              <w:rPr>
                <w:rFonts w:ascii="宋体" w:hAnsi="宋体" w:cs="宋体"/>
                <w:color w:val="auto"/>
                <w:sz w:val="22"/>
                <w:szCs w:val="22"/>
                <w:highlight w:val="none"/>
              </w:rPr>
              <w:t>4</w:t>
            </w:r>
          </w:p>
        </w:tc>
        <w:tc>
          <w:tcPr>
            <w:tcW w:w="4317" w:type="pct"/>
            <w:tcBorders>
              <w:top w:val="single" w:color="auto" w:sz="4" w:space="0"/>
              <w:left w:val="single" w:color="auto" w:sz="4" w:space="0"/>
              <w:bottom w:val="single" w:color="auto" w:sz="4" w:space="0"/>
              <w:right w:val="single" w:color="auto" w:sz="4" w:space="0"/>
            </w:tcBorders>
            <w:vAlign w:val="center"/>
          </w:tcPr>
          <w:p w14:paraId="244C6FE2">
            <w:pPr>
              <w:rPr>
                <w:rFonts w:ascii="宋体" w:hAnsi="宋体" w:cs="宋体"/>
                <w:color w:val="auto"/>
                <w:sz w:val="22"/>
                <w:szCs w:val="22"/>
                <w:highlight w:val="none"/>
              </w:rPr>
            </w:pPr>
            <w:r>
              <w:rPr>
                <w:rFonts w:hint="eastAsia" w:ascii="宋体" w:hAnsi="宋体" w:cs="宋体"/>
                <w:color w:val="auto"/>
                <w:sz w:val="22"/>
                <w:szCs w:val="22"/>
                <w:highlight w:val="none"/>
              </w:rPr>
              <w:t>非剥脱点阵模块主机：1台</w:t>
            </w:r>
          </w:p>
        </w:tc>
      </w:tr>
      <w:tr w14:paraId="623AE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683" w:type="pct"/>
            <w:tcBorders>
              <w:top w:val="single" w:color="auto" w:sz="4" w:space="0"/>
              <w:left w:val="single" w:color="auto" w:sz="4" w:space="0"/>
              <w:bottom w:val="single" w:color="auto" w:sz="4" w:space="0"/>
              <w:right w:val="single" w:color="auto" w:sz="4" w:space="0"/>
            </w:tcBorders>
          </w:tcPr>
          <w:p w14:paraId="6357D9B5">
            <w:pPr>
              <w:jc w:val="center"/>
              <w:rPr>
                <w:rFonts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.5</w:t>
            </w:r>
          </w:p>
        </w:tc>
        <w:tc>
          <w:tcPr>
            <w:tcW w:w="4317" w:type="pct"/>
            <w:tcBorders>
              <w:top w:val="single" w:color="auto" w:sz="4" w:space="0"/>
              <w:left w:val="single" w:color="auto" w:sz="4" w:space="0"/>
              <w:bottom w:val="single" w:color="auto" w:sz="4" w:space="0"/>
              <w:right w:val="single" w:color="auto" w:sz="4" w:space="0"/>
            </w:tcBorders>
            <w:vAlign w:val="center"/>
          </w:tcPr>
          <w:p w14:paraId="3C47E30D">
            <w:pPr>
              <w:rPr>
                <w:rFonts w:ascii="宋体" w:hAnsi="宋体" w:cs="宋体"/>
                <w:color w:val="auto"/>
                <w:sz w:val="22"/>
                <w:szCs w:val="22"/>
                <w:highlight w:val="none"/>
              </w:rPr>
            </w:pPr>
            <w:r>
              <w:rPr>
                <w:rFonts w:hint="eastAsia" w:ascii="宋体" w:hAnsi="宋体" w:cs="宋体"/>
                <w:color w:val="auto"/>
                <w:sz w:val="22"/>
                <w:szCs w:val="22"/>
                <w:highlight w:val="none"/>
              </w:rPr>
              <w:t>非剥脱点阵激光手具：1副</w:t>
            </w:r>
          </w:p>
        </w:tc>
      </w:tr>
    </w:tbl>
    <w:p w14:paraId="009BBB57">
      <w:pPr>
        <w:pStyle w:val="39"/>
        <w:rPr>
          <w:rFonts w:ascii="宋体" w:hAnsi="宋体" w:cs="宋体"/>
          <w:color w:val="auto"/>
          <w:highlight w:val="none"/>
        </w:rPr>
      </w:pPr>
      <w:r>
        <w:rPr>
          <w:rFonts w:hint="eastAsia" w:ascii="宋体" w:hAnsi="宋体" w:cs="宋体"/>
          <w:color w:val="auto"/>
          <w:highlight w:val="none"/>
        </w:rPr>
        <w:t>三、商务要求</w:t>
      </w:r>
      <w:bookmarkEnd w:id="18"/>
      <w:bookmarkEnd w:id="19"/>
    </w:p>
    <w:bookmarkEnd w:id="20"/>
    <w:bookmarkEnd w:id="21"/>
    <w:bookmarkEnd w:id="22"/>
    <w:tbl>
      <w:tblPr>
        <w:tblStyle w:val="43"/>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354"/>
        <w:gridCol w:w="8496"/>
      </w:tblGrid>
      <w:tr w14:paraId="43C6C6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vAlign w:val="center"/>
          </w:tcPr>
          <w:p w14:paraId="4FE7833C">
            <w:pPr>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4312" w:type="pct"/>
            <w:vAlign w:val="center"/>
          </w:tcPr>
          <w:p w14:paraId="7FA286E9">
            <w:pPr>
              <w:jc w:val="center"/>
              <w:rPr>
                <w:rFonts w:ascii="宋体" w:hAnsi="宋体" w:cs="宋体"/>
                <w:color w:val="auto"/>
                <w:sz w:val="22"/>
                <w:szCs w:val="22"/>
                <w:highlight w:val="none"/>
              </w:rPr>
            </w:pPr>
            <w:r>
              <w:rPr>
                <w:rFonts w:hint="eastAsia" w:ascii="宋体" w:hAnsi="宋体" w:cs="宋体"/>
                <w:color w:val="auto"/>
                <w:sz w:val="22"/>
                <w:szCs w:val="22"/>
                <w:highlight w:val="none"/>
              </w:rPr>
              <w:t>商务要求</w:t>
            </w:r>
          </w:p>
        </w:tc>
      </w:tr>
      <w:tr w14:paraId="4EC826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3BBCFE39">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4312" w:type="pct"/>
            <w:vAlign w:val="bottom"/>
          </w:tcPr>
          <w:p w14:paraId="5C719E1B">
            <w:pPr>
              <w:widowControl/>
              <w:rPr>
                <w:rFonts w:ascii="宋体" w:hAnsi="宋体" w:cs="宋体"/>
                <w:color w:val="auto"/>
                <w:sz w:val="22"/>
                <w:szCs w:val="22"/>
                <w:highlight w:val="none"/>
              </w:rPr>
            </w:pPr>
            <w:r>
              <w:rPr>
                <w:rFonts w:hint="eastAsia" w:ascii="宋体" w:hAnsi="宋体" w:cs="宋体"/>
                <w:color w:val="auto"/>
                <w:sz w:val="22"/>
                <w:szCs w:val="22"/>
                <w:highlight w:val="none"/>
              </w:rPr>
              <w:t>保修及售后</w:t>
            </w:r>
          </w:p>
        </w:tc>
      </w:tr>
      <w:tr w14:paraId="68C8B6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6F8AEEAC">
            <w:pPr>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4312" w:type="pct"/>
            <w:vAlign w:val="bottom"/>
          </w:tcPr>
          <w:p w14:paraId="3FF337BE">
            <w:pPr>
              <w:widowControl/>
              <w:rPr>
                <w:rFonts w:ascii="宋体" w:hAnsi="宋体" w:cs="宋体"/>
                <w:color w:val="auto"/>
                <w:sz w:val="22"/>
                <w:szCs w:val="22"/>
                <w:highlight w:val="none"/>
              </w:rPr>
            </w:pPr>
            <w:r>
              <w:rPr>
                <w:rFonts w:hint="eastAsia" w:ascii="宋体" w:hAnsi="宋体" w:cs="宋体"/>
                <w:color w:val="auto"/>
                <w:sz w:val="22"/>
                <w:szCs w:val="22"/>
                <w:highlight w:val="none"/>
              </w:rPr>
              <w:t>整机含所有易耗件自验收合格之日起原厂保修≥2年，并提供相应的原厂书面保修承诺，保修承诺内须注明保修范围外的易耗品或耗材，终身维修，软件终身免费升级，快速修复时间（最长三天）承诺，否则提供备用机</w:t>
            </w:r>
          </w:p>
        </w:tc>
      </w:tr>
      <w:tr w14:paraId="60656D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7700A78B">
            <w:pPr>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4312" w:type="pct"/>
            <w:vAlign w:val="bottom"/>
          </w:tcPr>
          <w:p w14:paraId="6F28743B">
            <w:pPr>
              <w:widowControl/>
              <w:rPr>
                <w:rFonts w:ascii="宋体" w:hAnsi="宋体" w:cs="宋体"/>
                <w:color w:val="auto"/>
                <w:sz w:val="22"/>
                <w:szCs w:val="22"/>
                <w:highlight w:val="none"/>
              </w:rPr>
            </w:pPr>
            <w:r>
              <w:rPr>
                <w:rFonts w:hint="eastAsia" w:ascii="宋体" w:hAnsi="宋体" w:cs="宋体"/>
                <w:color w:val="auto"/>
                <w:sz w:val="22"/>
                <w:szCs w:val="22"/>
                <w:highlight w:val="none"/>
              </w:rPr>
              <w:t>提供设备运行所需所有易耗品或耗材的价格，如不提供则视为设备运行的所有易耗品或耗材均终身免费提供</w:t>
            </w:r>
          </w:p>
        </w:tc>
      </w:tr>
      <w:tr w14:paraId="75DAC6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2E3856CD">
            <w:pPr>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4312" w:type="pct"/>
            <w:vAlign w:val="bottom"/>
          </w:tcPr>
          <w:p w14:paraId="4266C78C">
            <w:pPr>
              <w:widowControl/>
              <w:rPr>
                <w:rFonts w:ascii="宋体" w:hAnsi="宋体" w:cs="宋体"/>
                <w:color w:val="auto"/>
                <w:sz w:val="22"/>
                <w:szCs w:val="22"/>
                <w:highlight w:val="none"/>
              </w:rPr>
            </w:pPr>
            <w:r>
              <w:rPr>
                <w:rFonts w:hint="eastAsia" w:ascii="宋体" w:hAnsi="宋体" w:cs="宋体"/>
                <w:color w:val="auto"/>
                <w:sz w:val="22"/>
                <w:szCs w:val="22"/>
                <w:highlight w:val="none"/>
              </w:rPr>
              <w:t>每年保质期内故障率不得超过14天，故障时间每超过一天质保期相应延长7天。保质期内因设备本身缺陷造成各种故障应由卖方免费技术服务和维修。保修期内每年对设备维护≥2次，每年免费提供设备校准服务不少于1次。提供24小时服务支持，服务响应时间小于2小时，到达现场时间小于24小时，48小时以内解决故障。保修期内由生产厂家负责技术和保养培训，承担售后服务和年度校准，并出具相关材料。质保期后不收任何维修费、差旅费等，仅收取配件费（按报价90%计算），终身维护。</w:t>
            </w:r>
          </w:p>
        </w:tc>
      </w:tr>
      <w:tr w14:paraId="5878F7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64FD2570">
            <w:pPr>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4312" w:type="pct"/>
            <w:vAlign w:val="bottom"/>
          </w:tcPr>
          <w:p w14:paraId="5E9221E9">
            <w:pPr>
              <w:widowControl/>
              <w:rPr>
                <w:rFonts w:ascii="宋体" w:hAnsi="宋体" w:cs="宋体"/>
                <w:color w:val="auto"/>
                <w:sz w:val="22"/>
                <w:szCs w:val="22"/>
                <w:highlight w:val="none"/>
              </w:rPr>
            </w:pPr>
            <w:r>
              <w:rPr>
                <w:rFonts w:hint="eastAsia" w:ascii="宋体" w:hAnsi="宋体" w:cs="宋体"/>
                <w:color w:val="auto"/>
                <w:sz w:val="22"/>
                <w:szCs w:val="22"/>
                <w:highlight w:val="none"/>
              </w:rPr>
              <w:t>提供离采购人最近的维修点及常驻维修工程师情况，备品仓库备件充足。维修响应时间不超过2小时，24小时内到场维修。</w:t>
            </w:r>
          </w:p>
        </w:tc>
      </w:tr>
      <w:tr w14:paraId="20A7BE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33CA3C2B">
            <w:pPr>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4312" w:type="pct"/>
            <w:vAlign w:val="bottom"/>
          </w:tcPr>
          <w:p w14:paraId="707317C2">
            <w:pPr>
              <w:widowControl/>
              <w:rPr>
                <w:rFonts w:ascii="宋体" w:hAnsi="宋体" w:cs="宋体"/>
                <w:color w:val="auto"/>
                <w:sz w:val="22"/>
                <w:szCs w:val="22"/>
                <w:highlight w:val="none"/>
              </w:rPr>
            </w:pPr>
            <w:r>
              <w:rPr>
                <w:rFonts w:hint="eastAsia" w:ascii="宋体" w:hAnsi="宋体" w:cs="宋体"/>
                <w:color w:val="auto"/>
                <w:sz w:val="22"/>
                <w:szCs w:val="22"/>
                <w:highlight w:val="none"/>
              </w:rPr>
              <w:t>投标供应商在投标文件中说明在保质期内提供的服务计划。</w:t>
            </w:r>
          </w:p>
        </w:tc>
      </w:tr>
      <w:tr w14:paraId="1B3880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3AB9E579">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4312" w:type="pct"/>
            <w:vAlign w:val="bottom"/>
          </w:tcPr>
          <w:p w14:paraId="08A52ED3">
            <w:pPr>
              <w:widowControl/>
              <w:rPr>
                <w:rFonts w:ascii="宋体" w:hAnsi="宋体" w:cs="宋体"/>
                <w:color w:val="auto"/>
                <w:sz w:val="22"/>
                <w:szCs w:val="22"/>
                <w:highlight w:val="none"/>
              </w:rPr>
            </w:pPr>
            <w:r>
              <w:rPr>
                <w:rFonts w:hint="eastAsia" w:ascii="宋体" w:hAnsi="宋体" w:cs="宋体"/>
                <w:color w:val="auto"/>
                <w:sz w:val="22"/>
                <w:szCs w:val="22"/>
                <w:highlight w:val="none"/>
              </w:rPr>
              <w:t>售后服务</w:t>
            </w:r>
          </w:p>
        </w:tc>
      </w:tr>
      <w:tr w14:paraId="09866C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6196F10F">
            <w:pPr>
              <w:jc w:val="center"/>
              <w:rPr>
                <w:rFonts w:ascii="宋体" w:hAnsi="宋体" w:cs="宋体"/>
                <w:color w:val="auto"/>
                <w:sz w:val="22"/>
                <w:szCs w:val="22"/>
                <w:highlight w:val="none"/>
              </w:rPr>
            </w:pPr>
            <w:r>
              <w:rPr>
                <w:rFonts w:hint="eastAsia" w:ascii="宋体" w:hAnsi="宋体" w:cs="宋体"/>
                <w:color w:val="auto"/>
                <w:sz w:val="22"/>
                <w:szCs w:val="22"/>
                <w:highlight w:val="none"/>
              </w:rPr>
              <w:t>2.1</w:t>
            </w:r>
          </w:p>
        </w:tc>
        <w:tc>
          <w:tcPr>
            <w:tcW w:w="4312" w:type="pct"/>
            <w:vAlign w:val="bottom"/>
          </w:tcPr>
          <w:p w14:paraId="76AAAC34">
            <w:pPr>
              <w:widowControl/>
              <w:rPr>
                <w:rFonts w:ascii="宋体" w:hAnsi="宋体" w:cs="宋体"/>
                <w:color w:val="auto"/>
                <w:sz w:val="22"/>
                <w:szCs w:val="22"/>
                <w:highlight w:val="none"/>
              </w:rPr>
            </w:pPr>
            <w:r>
              <w:rPr>
                <w:rFonts w:hint="eastAsia" w:ascii="宋体" w:hAnsi="宋体" w:cs="宋体"/>
                <w:color w:val="auto"/>
                <w:sz w:val="22"/>
                <w:szCs w:val="22"/>
                <w:highlight w:val="none"/>
              </w:rPr>
              <w:t>在设备整个使用期内，卖方应确保设备的正常使用。在接到用户维修要求后应立即作出回应，并在24小时内派员到达买方现场实施维修，如维修时间较长，提供代用仪器。零配件在该设备停产后仍需保证十年的供应。维修过程中所需零配件卖方在接到通知后最长不超过3天必须送达买方。</w:t>
            </w:r>
          </w:p>
        </w:tc>
      </w:tr>
      <w:tr w14:paraId="481389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04F9EAF0">
            <w:pPr>
              <w:jc w:val="center"/>
              <w:rPr>
                <w:rFonts w:ascii="宋体" w:hAnsi="宋体" w:cs="宋体"/>
                <w:color w:val="auto"/>
                <w:sz w:val="22"/>
                <w:szCs w:val="22"/>
                <w:highlight w:val="none"/>
              </w:rPr>
            </w:pPr>
            <w:r>
              <w:rPr>
                <w:rFonts w:hint="eastAsia" w:ascii="宋体" w:hAnsi="宋体" w:cs="宋体"/>
                <w:color w:val="auto"/>
                <w:sz w:val="22"/>
                <w:szCs w:val="22"/>
                <w:highlight w:val="none"/>
              </w:rPr>
              <w:t>2.2</w:t>
            </w:r>
          </w:p>
        </w:tc>
        <w:tc>
          <w:tcPr>
            <w:tcW w:w="4312" w:type="pct"/>
            <w:vAlign w:val="bottom"/>
          </w:tcPr>
          <w:p w14:paraId="02B6B728">
            <w:pPr>
              <w:widowControl/>
              <w:rPr>
                <w:rFonts w:ascii="宋体" w:hAnsi="宋体" w:cs="宋体"/>
                <w:color w:val="auto"/>
                <w:sz w:val="22"/>
                <w:szCs w:val="22"/>
                <w:highlight w:val="none"/>
              </w:rPr>
            </w:pPr>
            <w:r>
              <w:rPr>
                <w:rFonts w:hint="eastAsia" w:ascii="宋体" w:hAnsi="宋体" w:cs="宋体"/>
                <w:color w:val="auto"/>
                <w:sz w:val="22"/>
                <w:szCs w:val="22"/>
                <w:highlight w:val="none"/>
              </w:rPr>
              <w:t>投标供应商应在投标文件中应详细说明其服务计划及收费标准，提供维修点的分布情况，及配件供应情况。在投标文件中列出常用耗材与维修配件价格清单。</w:t>
            </w:r>
          </w:p>
        </w:tc>
      </w:tr>
      <w:tr w14:paraId="4C2348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307D5E50">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4312" w:type="pct"/>
            <w:vAlign w:val="bottom"/>
          </w:tcPr>
          <w:p w14:paraId="5497EB71">
            <w:pPr>
              <w:widowControl/>
              <w:rPr>
                <w:rFonts w:ascii="宋体" w:hAnsi="宋体" w:cs="宋体"/>
                <w:color w:val="auto"/>
                <w:sz w:val="22"/>
                <w:szCs w:val="22"/>
                <w:highlight w:val="none"/>
              </w:rPr>
            </w:pPr>
            <w:r>
              <w:rPr>
                <w:rFonts w:hint="eastAsia" w:ascii="宋体" w:hAnsi="宋体" w:cs="宋体"/>
                <w:color w:val="auto"/>
                <w:sz w:val="22"/>
                <w:szCs w:val="22"/>
                <w:highlight w:val="none"/>
              </w:rPr>
              <w:t>技术支持</w:t>
            </w:r>
          </w:p>
        </w:tc>
      </w:tr>
      <w:tr w14:paraId="5E4692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00A9A4DF">
            <w:pPr>
              <w:jc w:val="center"/>
              <w:rPr>
                <w:rFonts w:ascii="宋体" w:hAnsi="宋体" w:cs="宋体"/>
                <w:color w:val="auto"/>
                <w:sz w:val="22"/>
                <w:szCs w:val="22"/>
                <w:highlight w:val="none"/>
              </w:rPr>
            </w:pPr>
            <w:r>
              <w:rPr>
                <w:rFonts w:hint="eastAsia" w:ascii="宋体" w:hAnsi="宋体" w:cs="宋体"/>
                <w:color w:val="auto"/>
                <w:sz w:val="22"/>
                <w:szCs w:val="22"/>
                <w:highlight w:val="none"/>
              </w:rPr>
              <w:t>3.1.</w:t>
            </w:r>
          </w:p>
        </w:tc>
        <w:tc>
          <w:tcPr>
            <w:tcW w:w="4312" w:type="pct"/>
            <w:vAlign w:val="bottom"/>
          </w:tcPr>
          <w:p w14:paraId="0726B351">
            <w:pPr>
              <w:widowControl/>
              <w:rPr>
                <w:rFonts w:ascii="宋体" w:hAnsi="宋体" w:cs="宋体"/>
                <w:color w:val="auto"/>
                <w:sz w:val="22"/>
                <w:szCs w:val="22"/>
                <w:highlight w:val="none"/>
              </w:rPr>
            </w:pPr>
            <w:r>
              <w:rPr>
                <w:rFonts w:hint="eastAsia" w:ascii="宋体" w:hAnsi="宋体" w:cs="宋体"/>
                <w:color w:val="auto"/>
                <w:sz w:val="22"/>
                <w:szCs w:val="22"/>
                <w:highlight w:val="none"/>
              </w:rPr>
              <w:t>中标供应商应提供免费软件升级</w:t>
            </w:r>
          </w:p>
        </w:tc>
      </w:tr>
      <w:tr w14:paraId="2B8C93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54680E75">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4312" w:type="pct"/>
            <w:vAlign w:val="bottom"/>
          </w:tcPr>
          <w:p w14:paraId="36FF80F6">
            <w:pPr>
              <w:widowControl/>
              <w:rPr>
                <w:rFonts w:ascii="宋体" w:hAnsi="宋体" w:cs="宋体"/>
                <w:color w:val="auto"/>
                <w:sz w:val="22"/>
                <w:szCs w:val="22"/>
                <w:highlight w:val="none"/>
              </w:rPr>
            </w:pPr>
            <w:r>
              <w:rPr>
                <w:rFonts w:hint="eastAsia" w:ascii="宋体" w:hAnsi="宋体" w:cs="宋体"/>
                <w:color w:val="auto"/>
                <w:sz w:val="22"/>
                <w:szCs w:val="22"/>
                <w:highlight w:val="none"/>
              </w:rPr>
              <w:t>培训</w:t>
            </w:r>
          </w:p>
        </w:tc>
      </w:tr>
      <w:tr w14:paraId="4B0897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4AFF5CA4">
            <w:pPr>
              <w:jc w:val="center"/>
              <w:rPr>
                <w:rFonts w:ascii="宋体" w:hAnsi="宋体" w:cs="宋体"/>
                <w:color w:val="auto"/>
                <w:sz w:val="22"/>
                <w:szCs w:val="22"/>
                <w:highlight w:val="none"/>
              </w:rPr>
            </w:pPr>
            <w:r>
              <w:rPr>
                <w:rFonts w:hint="eastAsia" w:ascii="宋体" w:hAnsi="宋体" w:cs="宋体"/>
                <w:color w:val="auto"/>
                <w:sz w:val="22"/>
                <w:szCs w:val="22"/>
                <w:highlight w:val="none"/>
              </w:rPr>
              <w:t>4.1</w:t>
            </w:r>
          </w:p>
        </w:tc>
        <w:tc>
          <w:tcPr>
            <w:tcW w:w="4312" w:type="pct"/>
            <w:vAlign w:val="center"/>
          </w:tcPr>
          <w:p w14:paraId="4191CCFB">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由仪器生产厂家负责技术和保养培训、技术培训，承担售后服务，并出具相关材料。提供相应的培训计划，包括设备操作、应用培训及维修维护培训，详细说明培训的方式、内容、地点、人数、时间等实质性内容。</w:t>
            </w:r>
          </w:p>
        </w:tc>
      </w:tr>
      <w:tr w14:paraId="7CDA9A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23971108">
            <w:pPr>
              <w:jc w:val="center"/>
              <w:rPr>
                <w:rFonts w:ascii="宋体" w:hAnsi="宋体" w:cs="宋体"/>
                <w:color w:val="auto"/>
                <w:sz w:val="22"/>
                <w:szCs w:val="22"/>
                <w:highlight w:val="none"/>
              </w:rPr>
            </w:pPr>
            <w:r>
              <w:rPr>
                <w:rFonts w:hint="eastAsia" w:ascii="宋体" w:hAnsi="宋体" w:cs="宋体"/>
                <w:color w:val="auto"/>
                <w:sz w:val="22"/>
                <w:szCs w:val="22"/>
                <w:highlight w:val="none"/>
              </w:rPr>
              <w:t>4.2</w:t>
            </w:r>
          </w:p>
        </w:tc>
        <w:tc>
          <w:tcPr>
            <w:tcW w:w="4312" w:type="pct"/>
            <w:vAlign w:val="center"/>
          </w:tcPr>
          <w:p w14:paraId="757534CC">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中标供应商应对用户的维修人员提供培训，使其能对设备进行日常的维护保养及能对一般故障进行维修，并向培训人员提供维修图纸及维修手册、维修密码及软件备份。</w:t>
            </w:r>
          </w:p>
        </w:tc>
      </w:tr>
      <w:tr w14:paraId="389F25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6954E6F2">
            <w:pPr>
              <w:jc w:val="center"/>
              <w:rPr>
                <w:rFonts w:ascii="宋体" w:hAnsi="宋体" w:cs="宋体"/>
                <w:color w:val="auto"/>
                <w:sz w:val="22"/>
                <w:szCs w:val="22"/>
                <w:highlight w:val="none"/>
              </w:rPr>
            </w:pPr>
            <w:r>
              <w:rPr>
                <w:rFonts w:hint="eastAsia" w:ascii="宋体" w:hAnsi="宋体" w:cs="宋体"/>
                <w:color w:val="auto"/>
                <w:sz w:val="22"/>
                <w:szCs w:val="22"/>
                <w:highlight w:val="none"/>
              </w:rPr>
              <w:t>4.3</w:t>
            </w:r>
          </w:p>
        </w:tc>
        <w:tc>
          <w:tcPr>
            <w:tcW w:w="4312" w:type="pct"/>
            <w:vAlign w:val="center"/>
          </w:tcPr>
          <w:p w14:paraId="792CC66D">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中标供应商应对用户的操作人员进行操作培训，使其能对设备进行熟练的操作。</w:t>
            </w:r>
          </w:p>
        </w:tc>
      </w:tr>
      <w:tr w14:paraId="0A1E83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4C73A64C">
            <w:pPr>
              <w:jc w:val="center"/>
              <w:rPr>
                <w:rFonts w:ascii="宋体" w:hAnsi="宋体" w:cs="宋体"/>
                <w:color w:val="auto"/>
                <w:sz w:val="22"/>
                <w:szCs w:val="22"/>
                <w:highlight w:val="none"/>
              </w:rPr>
            </w:pPr>
            <w:r>
              <w:rPr>
                <w:rFonts w:hint="eastAsia" w:ascii="宋体" w:hAnsi="宋体" w:cs="宋体"/>
                <w:color w:val="auto"/>
                <w:sz w:val="22"/>
                <w:szCs w:val="22"/>
                <w:highlight w:val="none"/>
              </w:rPr>
              <w:t>4.4</w:t>
            </w:r>
          </w:p>
        </w:tc>
        <w:tc>
          <w:tcPr>
            <w:tcW w:w="4312" w:type="pct"/>
            <w:vAlign w:val="center"/>
          </w:tcPr>
          <w:p w14:paraId="0BBF8169">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以上培训的培训方式、地点、人员及费用（包含在投标总价中）投标供应商应在投标文件中详细说明。</w:t>
            </w:r>
          </w:p>
        </w:tc>
      </w:tr>
      <w:tr w14:paraId="1CB78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4FB3D1AD">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4312" w:type="pct"/>
            <w:vAlign w:val="bottom"/>
          </w:tcPr>
          <w:p w14:paraId="407FB124">
            <w:pPr>
              <w:widowControl/>
              <w:rPr>
                <w:rFonts w:ascii="宋体" w:hAnsi="宋体" w:cs="宋体"/>
                <w:color w:val="auto"/>
                <w:sz w:val="22"/>
                <w:szCs w:val="22"/>
                <w:highlight w:val="none"/>
              </w:rPr>
            </w:pPr>
            <w:r>
              <w:rPr>
                <w:rFonts w:hint="eastAsia" w:ascii="宋体" w:hAnsi="宋体" w:cs="宋体"/>
                <w:color w:val="auto"/>
                <w:sz w:val="22"/>
                <w:szCs w:val="22"/>
                <w:highlight w:val="none"/>
              </w:rPr>
              <w:t>安装调试</w:t>
            </w:r>
          </w:p>
        </w:tc>
      </w:tr>
      <w:tr w14:paraId="7F455F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46FA9738">
            <w:pPr>
              <w:jc w:val="center"/>
              <w:rPr>
                <w:rFonts w:ascii="宋体" w:hAnsi="宋体" w:cs="宋体"/>
                <w:color w:val="auto"/>
                <w:sz w:val="22"/>
                <w:szCs w:val="22"/>
                <w:highlight w:val="none"/>
              </w:rPr>
            </w:pPr>
            <w:r>
              <w:rPr>
                <w:rFonts w:hint="eastAsia" w:ascii="宋体" w:hAnsi="宋体" w:cs="宋体"/>
                <w:color w:val="auto"/>
                <w:sz w:val="22"/>
                <w:szCs w:val="22"/>
                <w:highlight w:val="none"/>
              </w:rPr>
              <w:t>5.1.</w:t>
            </w:r>
          </w:p>
        </w:tc>
        <w:tc>
          <w:tcPr>
            <w:tcW w:w="4312" w:type="pct"/>
            <w:vAlign w:val="bottom"/>
          </w:tcPr>
          <w:p w14:paraId="168816B7">
            <w:pPr>
              <w:widowControl/>
              <w:rPr>
                <w:rFonts w:ascii="宋体" w:hAnsi="宋体" w:cs="宋体"/>
                <w:color w:val="auto"/>
                <w:sz w:val="22"/>
                <w:szCs w:val="22"/>
                <w:highlight w:val="none"/>
              </w:rPr>
            </w:pPr>
            <w:r>
              <w:rPr>
                <w:rFonts w:hint="eastAsia" w:ascii="宋体" w:hAnsi="宋体" w:cs="宋体"/>
                <w:color w:val="auto"/>
                <w:sz w:val="22"/>
                <w:szCs w:val="22"/>
                <w:highlight w:val="none"/>
              </w:rPr>
              <w:t>安装地点：医院指定地点</w:t>
            </w:r>
          </w:p>
        </w:tc>
      </w:tr>
      <w:tr w14:paraId="0D9852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23691AD4">
            <w:pPr>
              <w:jc w:val="center"/>
              <w:rPr>
                <w:rFonts w:ascii="宋体" w:hAnsi="宋体" w:cs="宋体"/>
                <w:color w:val="auto"/>
                <w:sz w:val="22"/>
                <w:szCs w:val="22"/>
                <w:highlight w:val="none"/>
              </w:rPr>
            </w:pPr>
            <w:r>
              <w:rPr>
                <w:rFonts w:hint="eastAsia" w:ascii="宋体" w:hAnsi="宋体" w:cs="宋体"/>
                <w:color w:val="auto"/>
                <w:sz w:val="22"/>
                <w:szCs w:val="22"/>
                <w:highlight w:val="none"/>
              </w:rPr>
              <w:t>5.2.</w:t>
            </w:r>
          </w:p>
        </w:tc>
        <w:tc>
          <w:tcPr>
            <w:tcW w:w="4312" w:type="pct"/>
            <w:vAlign w:val="bottom"/>
          </w:tcPr>
          <w:p w14:paraId="123703F8">
            <w:pPr>
              <w:widowControl/>
              <w:rPr>
                <w:rFonts w:ascii="宋体" w:hAnsi="宋体" w:cs="宋体"/>
                <w:color w:val="auto"/>
                <w:sz w:val="22"/>
                <w:szCs w:val="22"/>
                <w:highlight w:val="none"/>
              </w:rPr>
            </w:pPr>
            <w:r>
              <w:rPr>
                <w:rFonts w:hint="eastAsia" w:ascii="宋体" w:hAnsi="宋体" w:cs="宋体"/>
                <w:color w:val="auto"/>
                <w:sz w:val="22"/>
                <w:szCs w:val="22"/>
                <w:highlight w:val="none"/>
              </w:rPr>
              <w:t>仪器到达用户现场接到用户通知后安排工程技术人员在3日内进行安装调试。投标供应商应在投标文件中提供安装调试过程中医院需配合的内容。协助医院完成安装新设备所涉及的基建改造等工作。</w:t>
            </w:r>
          </w:p>
        </w:tc>
      </w:tr>
      <w:tr w14:paraId="44BB83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27A6C501">
            <w:pPr>
              <w:jc w:val="center"/>
              <w:rPr>
                <w:rFonts w:ascii="宋体" w:hAnsi="宋体" w:cs="宋体"/>
                <w:color w:val="auto"/>
                <w:sz w:val="22"/>
                <w:szCs w:val="22"/>
                <w:highlight w:val="none"/>
              </w:rPr>
            </w:pPr>
            <w:r>
              <w:rPr>
                <w:rFonts w:hint="eastAsia" w:ascii="宋体" w:hAnsi="宋体" w:cs="宋体"/>
                <w:color w:val="auto"/>
                <w:sz w:val="22"/>
                <w:szCs w:val="22"/>
                <w:highlight w:val="none"/>
              </w:rPr>
              <w:t>5.3</w:t>
            </w:r>
          </w:p>
        </w:tc>
        <w:tc>
          <w:tcPr>
            <w:tcW w:w="4312" w:type="pct"/>
            <w:vAlign w:val="bottom"/>
          </w:tcPr>
          <w:p w14:paraId="43E07B06">
            <w:pPr>
              <w:widowControl/>
              <w:rPr>
                <w:rFonts w:ascii="宋体" w:hAnsi="宋体" w:cs="宋体"/>
                <w:color w:val="auto"/>
                <w:sz w:val="22"/>
                <w:szCs w:val="22"/>
                <w:highlight w:val="none"/>
              </w:rPr>
            </w:pPr>
            <w:r>
              <w:rPr>
                <w:rFonts w:hint="eastAsia" w:ascii="宋体" w:hAnsi="宋体" w:cs="宋体"/>
                <w:color w:val="auto"/>
                <w:sz w:val="22"/>
                <w:szCs w:val="22"/>
                <w:highlight w:val="none"/>
              </w:rPr>
              <w:t>安装标准：符合我国国家有关技术规范要求和技术标准。</w:t>
            </w:r>
          </w:p>
        </w:tc>
      </w:tr>
      <w:tr w14:paraId="52C148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689FF598">
            <w:pPr>
              <w:jc w:val="center"/>
              <w:rPr>
                <w:rFonts w:ascii="宋体" w:hAnsi="宋体" w:cs="宋体"/>
                <w:color w:val="auto"/>
                <w:sz w:val="22"/>
                <w:szCs w:val="22"/>
                <w:highlight w:val="none"/>
              </w:rPr>
            </w:pPr>
            <w:r>
              <w:rPr>
                <w:rFonts w:hint="eastAsia" w:ascii="宋体" w:hAnsi="宋体" w:cs="宋体"/>
                <w:color w:val="auto"/>
                <w:sz w:val="22"/>
                <w:szCs w:val="22"/>
                <w:highlight w:val="none"/>
              </w:rPr>
              <w:t>5.4</w:t>
            </w:r>
          </w:p>
        </w:tc>
        <w:tc>
          <w:tcPr>
            <w:tcW w:w="4312" w:type="pct"/>
            <w:vAlign w:val="bottom"/>
          </w:tcPr>
          <w:p w14:paraId="5B9DC0ED">
            <w:pPr>
              <w:widowControl/>
              <w:rPr>
                <w:rFonts w:ascii="宋体" w:hAnsi="宋体" w:cs="宋体"/>
                <w:color w:val="auto"/>
                <w:sz w:val="22"/>
                <w:szCs w:val="22"/>
                <w:highlight w:val="none"/>
              </w:rPr>
            </w:pPr>
            <w:r>
              <w:rPr>
                <w:rFonts w:hint="eastAsia" w:ascii="宋体" w:hAnsi="宋体" w:cs="宋体"/>
                <w:color w:val="auto"/>
                <w:sz w:val="22"/>
                <w:szCs w:val="22"/>
                <w:highlight w:val="none"/>
              </w:rPr>
              <w:t>安装过程中发生的费用由卖方负责。</w:t>
            </w:r>
          </w:p>
        </w:tc>
      </w:tr>
      <w:tr w14:paraId="6D144B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5C0B316E">
            <w:pPr>
              <w:jc w:val="center"/>
              <w:rPr>
                <w:rFonts w:ascii="宋体" w:hAnsi="宋体" w:cs="宋体"/>
                <w:color w:val="auto"/>
                <w:sz w:val="22"/>
                <w:szCs w:val="22"/>
                <w:highlight w:val="none"/>
              </w:rPr>
            </w:pPr>
            <w:r>
              <w:rPr>
                <w:rFonts w:hint="eastAsia" w:ascii="宋体" w:hAnsi="宋体" w:cs="宋体"/>
                <w:color w:val="auto"/>
                <w:sz w:val="22"/>
                <w:szCs w:val="22"/>
                <w:highlight w:val="none"/>
              </w:rPr>
              <w:t>5.5</w:t>
            </w:r>
          </w:p>
        </w:tc>
        <w:tc>
          <w:tcPr>
            <w:tcW w:w="4312" w:type="pct"/>
            <w:vAlign w:val="bottom"/>
          </w:tcPr>
          <w:p w14:paraId="347441F9">
            <w:pPr>
              <w:widowControl/>
              <w:rPr>
                <w:rFonts w:ascii="宋体" w:hAnsi="宋体" w:cs="宋体"/>
                <w:color w:val="auto"/>
                <w:sz w:val="22"/>
                <w:szCs w:val="22"/>
                <w:highlight w:val="none"/>
              </w:rPr>
            </w:pPr>
            <w:r>
              <w:rPr>
                <w:rFonts w:hint="eastAsia" w:ascii="宋体" w:hAnsi="宋体" w:cs="宋体"/>
                <w:color w:val="auto"/>
                <w:sz w:val="22"/>
                <w:szCs w:val="22"/>
                <w:highlight w:val="none"/>
              </w:rPr>
              <w:t>随机资料：提供完整的中英文技术资料，包括操作手册2套、维修手册1套、软件手册1套和附件使用手册1套等，同时应提供设备出厂检验报告和质量合格证书等及电子版的操作规程。</w:t>
            </w:r>
          </w:p>
        </w:tc>
      </w:tr>
      <w:tr w14:paraId="0B3CF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vAlign w:val="center"/>
          </w:tcPr>
          <w:p w14:paraId="3E9B6608">
            <w:pPr>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4312" w:type="pct"/>
            <w:vAlign w:val="center"/>
          </w:tcPr>
          <w:p w14:paraId="6AA60C82">
            <w:pPr>
              <w:widowControl/>
              <w:rPr>
                <w:rFonts w:ascii="宋体" w:hAnsi="宋体" w:cs="宋体"/>
                <w:color w:val="auto"/>
                <w:sz w:val="22"/>
                <w:szCs w:val="22"/>
                <w:highlight w:val="none"/>
              </w:rPr>
            </w:pPr>
            <w:r>
              <w:rPr>
                <w:rFonts w:hint="eastAsia" w:ascii="宋体" w:hAnsi="宋体" w:cs="宋体"/>
                <w:color w:val="auto"/>
                <w:sz w:val="22"/>
                <w:szCs w:val="22"/>
                <w:highlight w:val="none"/>
              </w:rPr>
              <w:t>交货</w:t>
            </w:r>
          </w:p>
        </w:tc>
      </w:tr>
      <w:tr w14:paraId="4EE787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3D1A72E1">
            <w:pPr>
              <w:jc w:val="center"/>
              <w:rPr>
                <w:rFonts w:ascii="宋体" w:hAnsi="宋体" w:cs="宋体"/>
                <w:color w:val="auto"/>
                <w:sz w:val="22"/>
                <w:szCs w:val="22"/>
                <w:highlight w:val="none"/>
              </w:rPr>
            </w:pPr>
            <w:r>
              <w:rPr>
                <w:rFonts w:hint="eastAsia" w:ascii="宋体" w:hAnsi="宋体" w:cs="宋体"/>
                <w:color w:val="auto"/>
                <w:sz w:val="22"/>
                <w:szCs w:val="22"/>
                <w:highlight w:val="none"/>
              </w:rPr>
              <w:t>6.1</w:t>
            </w:r>
          </w:p>
        </w:tc>
        <w:tc>
          <w:tcPr>
            <w:tcW w:w="4312" w:type="pct"/>
            <w:vAlign w:val="center"/>
          </w:tcPr>
          <w:p w14:paraId="3AB60565">
            <w:pPr>
              <w:widowControl/>
              <w:rPr>
                <w:rFonts w:ascii="宋体" w:hAnsi="宋体" w:cs="宋体"/>
                <w:color w:val="auto"/>
                <w:sz w:val="22"/>
                <w:szCs w:val="22"/>
                <w:highlight w:val="none"/>
              </w:rPr>
            </w:pPr>
            <w:r>
              <w:rPr>
                <w:rFonts w:hint="eastAsia" w:ascii="宋体" w:hAnsi="宋体" w:cs="宋体"/>
                <w:color w:val="auto"/>
                <w:sz w:val="22"/>
                <w:szCs w:val="22"/>
                <w:highlight w:val="none"/>
              </w:rPr>
              <w:t>交货期：合同签订后90日内。</w:t>
            </w:r>
          </w:p>
        </w:tc>
      </w:tr>
      <w:tr w14:paraId="0DA820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3C829A8F">
            <w:pPr>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4312" w:type="pct"/>
            <w:vAlign w:val="center"/>
          </w:tcPr>
          <w:p w14:paraId="4D845948">
            <w:pPr>
              <w:widowControl/>
              <w:rPr>
                <w:rFonts w:ascii="宋体" w:hAnsi="宋体" w:cs="宋体"/>
                <w:color w:val="auto"/>
                <w:sz w:val="22"/>
                <w:szCs w:val="22"/>
                <w:highlight w:val="none"/>
              </w:rPr>
            </w:pPr>
            <w:r>
              <w:rPr>
                <w:rFonts w:hint="eastAsia" w:ascii="宋体" w:hAnsi="宋体" w:cs="宋体"/>
                <w:color w:val="auto"/>
                <w:sz w:val="22"/>
                <w:szCs w:val="22"/>
                <w:highlight w:val="none"/>
              </w:rPr>
              <w:t>付款方式</w:t>
            </w:r>
          </w:p>
        </w:tc>
      </w:tr>
      <w:tr w14:paraId="04C0E3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687" w:type="pct"/>
          </w:tcPr>
          <w:p w14:paraId="5308A0B4">
            <w:pPr>
              <w:jc w:val="center"/>
              <w:rPr>
                <w:rFonts w:ascii="宋体" w:hAnsi="宋体" w:cs="宋体"/>
                <w:color w:val="auto"/>
                <w:sz w:val="22"/>
                <w:szCs w:val="22"/>
                <w:highlight w:val="none"/>
              </w:rPr>
            </w:pPr>
            <w:r>
              <w:rPr>
                <w:rFonts w:hint="eastAsia" w:ascii="宋体" w:hAnsi="宋体" w:cs="宋体"/>
                <w:color w:val="auto"/>
                <w:sz w:val="22"/>
                <w:szCs w:val="22"/>
                <w:highlight w:val="none"/>
              </w:rPr>
              <w:t>7.1</w:t>
            </w:r>
          </w:p>
        </w:tc>
        <w:tc>
          <w:tcPr>
            <w:tcW w:w="4312" w:type="pct"/>
            <w:vAlign w:val="center"/>
          </w:tcPr>
          <w:p w14:paraId="4D2DCF84">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采购人根据《浙江省财政厅关于进一步发挥政府采购政策功能全力推动经济稳进提质的通知》（浙财采监〔2022〕3号）执行预付款制度（小微企业中标的不少于40%），具体预付款支付比例应当在合同中约定。</w:t>
            </w:r>
          </w:p>
          <w:p w14:paraId="7247381E">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lang w:val="zh-CN"/>
              </w:rPr>
              <w:t>验收合格后</w:t>
            </w: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个月内</w:t>
            </w:r>
            <w:r>
              <w:rPr>
                <w:rFonts w:hint="eastAsia" w:ascii="宋体" w:hAnsi="宋体" w:cs="宋体"/>
                <w:color w:val="auto"/>
                <w:sz w:val="22"/>
                <w:szCs w:val="22"/>
                <w:highlight w:val="none"/>
              </w:rPr>
              <w:t>剩余款项</w:t>
            </w:r>
            <w:r>
              <w:rPr>
                <w:rFonts w:hint="eastAsia" w:ascii="宋体" w:hAnsi="宋体" w:cs="宋体"/>
                <w:color w:val="auto"/>
                <w:sz w:val="22"/>
                <w:szCs w:val="22"/>
                <w:highlight w:val="none"/>
                <w:lang w:val="zh-CN"/>
              </w:rPr>
              <w:t>付</w:t>
            </w:r>
            <w:r>
              <w:rPr>
                <w:rFonts w:hint="eastAsia" w:ascii="宋体" w:hAnsi="宋体" w:cs="宋体"/>
                <w:color w:val="auto"/>
                <w:sz w:val="22"/>
                <w:szCs w:val="22"/>
                <w:highlight w:val="none"/>
              </w:rPr>
              <w:t>清</w:t>
            </w:r>
            <w:r>
              <w:rPr>
                <w:rFonts w:hint="eastAsia" w:ascii="宋体" w:hAnsi="宋体" w:cs="宋体"/>
                <w:color w:val="auto"/>
                <w:sz w:val="22"/>
                <w:szCs w:val="22"/>
                <w:highlight w:val="none"/>
                <w:lang w:val="zh-CN"/>
              </w:rPr>
              <w:t>。</w:t>
            </w:r>
          </w:p>
          <w:p w14:paraId="4F9DF0AD">
            <w:pPr>
              <w:widowControl/>
              <w:rPr>
                <w:rFonts w:ascii="宋体" w:hAnsi="宋体" w:cs="宋体"/>
                <w:color w:val="auto"/>
                <w:sz w:val="22"/>
                <w:szCs w:val="22"/>
                <w:highlight w:val="none"/>
              </w:rPr>
            </w:pPr>
            <w:r>
              <w:rPr>
                <w:rFonts w:hint="eastAsia" w:ascii="宋体" w:hAnsi="宋体" w:cs="宋体"/>
                <w:color w:val="auto"/>
                <w:sz w:val="22"/>
                <w:szCs w:val="22"/>
                <w:highlight w:val="none"/>
              </w:rPr>
              <w:t>如采购人无法按上述约定期限支付对应款项的，采购人与中标供应商根据实际情况另行协商确定付款时间，中标供应商确认不因采购人延期付款的情形要求采购人承担逾期付款利息等违约责任。</w:t>
            </w:r>
          </w:p>
        </w:tc>
      </w:tr>
    </w:tbl>
    <w:p w14:paraId="5AC2BC90">
      <w:pPr>
        <w:pStyle w:val="39"/>
        <w:rPr>
          <w:rFonts w:ascii="宋体" w:hAnsi="宋体" w:cs="宋体"/>
          <w:color w:val="auto"/>
          <w:highlight w:val="none"/>
        </w:rPr>
      </w:pPr>
      <w:bookmarkStart w:id="36" w:name="_Toc6536"/>
      <w:bookmarkStart w:id="37" w:name="_Toc25631"/>
      <w:r>
        <w:rPr>
          <w:rFonts w:hint="eastAsia" w:ascii="宋体" w:hAnsi="宋体" w:cs="宋体"/>
          <w:color w:val="auto"/>
          <w:highlight w:val="none"/>
        </w:rPr>
        <w:t>四、其他说明</w:t>
      </w:r>
      <w:bookmarkEnd w:id="36"/>
      <w:bookmarkEnd w:id="37"/>
    </w:p>
    <w:p w14:paraId="18C4C713">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投标设备若纳入中华人民共和国医疗器械监督管理的，第一类医疗器械必须具备食品药品监督管理部门颁发的医疗器械备案凭证；第二、第三类医疗器械必须具备食品药品监督管理部门颁发的医疗器械注册证。</w:t>
      </w:r>
    </w:p>
    <w:p w14:paraId="0CD7C407">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2、供应商投标文件中须提供检测报告、产品合格证、产品说明等相关证明资料给予佐证。</w:t>
      </w:r>
    </w:p>
    <w:p w14:paraId="37442048">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3、投标供应商需保证投标资料的真实性，供货时，采购人将进行如实核对，如查实投标资料有弄虚作假行为，将上报采购主管部门，废除其中标人资格并保留追究责任的权利。</w:t>
      </w:r>
    </w:p>
    <w:p w14:paraId="1B5D7805">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本项目采购人将对到货设备进行严格验收，供应商投标文件偏离表中未注明偏离，但实际到货设备达不到招标文件技术要求的，做验收不通过处理；供应商到货及安装、退货等所造成的损失自行承担，供应商须慎重投标。</w:t>
      </w:r>
    </w:p>
    <w:p w14:paraId="7170410A">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本次招标的货物如涉及国家规定强制认证的，供应商未在投标文件偏离表中用明显字体予以声明的，均视为供应商投标产品符合了强制认证规定（如工业产品生产许可证，3C认证等），中标供应商须在采购人对上述货物验收时提供相关证书证明资料（上述产品相关强制认证的证明文件投标时不需提供，招标文件另有要求的除外），否则按验收不能通过，采购人给予退货、解除合同或经采购人同意换货处理，中标供应商自行承担由此造成的损失。</w:t>
      </w:r>
    </w:p>
    <w:p w14:paraId="1A483149">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val="zh-CN"/>
        </w:rPr>
        <w:t>本次招标的</w:t>
      </w:r>
      <w:r>
        <w:rPr>
          <w:rFonts w:hint="eastAsia" w:ascii="宋体" w:hAnsi="宋体" w:cs="宋体"/>
          <w:color w:val="auto"/>
          <w:sz w:val="22"/>
          <w:szCs w:val="22"/>
          <w:highlight w:val="none"/>
        </w:rPr>
        <w:t>设备选配件未注明的，一律视为包含在投标总价中，由投标单位免费提供。</w:t>
      </w:r>
    </w:p>
    <w:p w14:paraId="0D420AEC">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7、投标报价文件中需对易耗品进行报价，未注明易耗品或未报价的，一律视为包含在投标总价中，质保期内由投标单位免费提供。</w:t>
      </w:r>
    </w:p>
    <w:p w14:paraId="69E09D16">
      <w:pPr>
        <w:autoSpaceDE w:val="0"/>
        <w:autoSpaceDN w:val="0"/>
        <w:adjustRightInd w:val="0"/>
        <w:spacing w:line="460" w:lineRule="atLeast"/>
        <w:ind w:firstLine="440" w:firstLineChars="200"/>
        <w:rPr>
          <w:rFonts w:ascii="宋体" w:hAnsi="宋体" w:cs="宋体"/>
          <w:color w:val="auto"/>
          <w:highlight w:val="none"/>
        </w:rPr>
      </w:pPr>
      <w:r>
        <w:rPr>
          <w:rFonts w:hint="eastAsia" w:ascii="宋体" w:hAnsi="宋体" w:cs="宋体"/>
          <w:color w:val="auto"/>
          <w:sz w:val="22"/>
          <w:szCs w:val="22"/>
          <w:highlight w:val="none"/>
        </w:rPr>
        <w:t>8、本项目如涉及接口费用，由投标单位承担，包含在投标总价中。</w:t>
      </w:r>
    </w:p>
    <w:p w14:paraId="101332F2">
      <w:pPr>
        <w:pStyle w:val="39"/>
        <w:rPr>
          <w:rFonts w:ascii="宋体" w:hAnsi="宋体" w:cs="宋体"/>
          <w:color w:val="auto"/>
          <w:highlight w:val="none"/>
        </w:rPr>
      </w:pPr>
      <w:bookmarkStart w:id="38" w:name="_Toc4124"/>
      <w:bookmarkStart w:id="39" w:name="_Toc8269"/>
      <w:r>
        <w:rPr>
          <w:rFonts w:hint="eastAsia" w:ascii="宋体" w:hAnsi="宋体" w:cs="宋体"/>
          <w:color w:val="auto"/>
          <w:highlight w:val="none"/>
        </w:rPr>
        <w:t>五、工作范围</w:t>
      </w:r>
      <w:bookmarkEnd w:id="38"/>
      <w:bookmarkEnd w:id="39"/>
    </w:p>
    <w:p w14:paraId="6790C172">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根据采购文件，各供应商须按国家有关标准及规范完成下列工作：</w:t>
      </w:r>
    </w:p>
    <w:p w14:paraId="0D26533E">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1.提供完整成套的货物；</w:t>
      </w:r>
    </w:p>
    <w:p w14:paraId="19AFAE2F">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2.产品及相关附件地提供、运输、装卸、就位、安装、调试、检验、通过验收；</w:t>
      </w:r>
    </w:p>
    <w:p w14:paraId="52B9AD52">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3.完成各项调试、检验、测试工作，并在采购人的配合下通过验收；提供各种数据资料；直至通过验收；</w:t>
      </w:r>
    </w:p>
    <w:p w14:paraId="17BE1D9E">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4.对最终使用单位的操作人员及维修人员进行技术培训；</w:t>
      </w:r>
    </w:p>
    <w:p w14:paraId="6553A48F">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5.质保期内的维保及维修；</w:t>
      </w:r>
    </w:p>
    <w:p w14:paraId="3C4EEA0B">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6.售后服务的措施及承诺。</w:t>
      </w:r>
    </w:p>
    <w:p w14:paraId="583C2BBC">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以上工作内容的费用均包含在报价总价中。</w:t>
      </w:r>
    </w:p>
    <w:p w14:paraId="69BEAFD9">
      <w:pPr>
        <w:pStyle w:val="39"/>
        <w:rPr>
          <w:rFonts w:ascii="宋体" w:hAnsi="宋体" w:cs="宋体"/>
          <w:color w:val="auto"/>
          <w:sz w:val="30"/>
          <w:szCs w:val="30"/>
          <w:highlight w:val="none"/>
        </w:rPr>
      </w:pPr>
    </w:p>
    <w:p w14:paraId="6BF2B052">
      <w:pPr>
        <w:pStyle w:val="18"/>
        <w:spacing w:line="360" w:lineRule="auto"/>
        <w:ind w:left="440" w:hanging="440"/>
        <w:rPr>
          <w:rFonts w:ascii="宋体" w:hAnsi="宋体" w:cs="宋体"/>
          <w:color w:val="auto"/>
          <w:sz w:val="22"/>
          <w:szCs w:val="22"/>
          <w:highlight w:val="none"/>
        </w:rPr>
      </w:pPr>
    </w:p>
    <w:p w14:paraId="2979495F">
      <w:pPr>
        <w:pStyle w:val="6"/>
        <w:ind w:firstLine="0" w:firstLineChars="0"/>
        <w:rPr>
          <w:rFonts w:ascii="宋体" w:eastAsia="宋体"/>
          <w:color w:val="auto"/>
          <w:highlight w:val="none"/>
        </w:rPr>
      </w:pPr>
    </w:p>
    <w:p w14:paraId="5F2C6756">
      <w:pPr>
        <w:pStyle w:val="39"/>
        <w:rPr>
          <w:rFonts w:ascii="宋体" w:hAnsi="宋体" w:cs="宋体"/>
          <w:color w:val="auto"/>
          <w:sz w:val="30"/>
          <w:szCs w:val="30"/>
          <w:highlight w:val="none"/>
        </w:rPr>
      </w:pPr>
    </w:p>
    <w:p w14:paraId="57EC15F9">
      <w:pPr>
        <w:rPr>
          <w:rFonts w:ascii="宋体" w:hAnsi="宋体" w:cs="宋体"/>
          <w:color w:val="auto"/>
          <w:sz w:val="30"/>
          <w:szCs w:val="30"/>
          <w:highlight w:val="none"/>
        </w:rPr>
      </w:pPr>
      <w:r>
        <w:rPr>
          <w:rFonts w:hint="eastAsia" w:ascii="宋体" w:hAnsi="宋体" w:cs="宋体"/>
          <w:color w:val="auto"/>
          <w:sz w:val="30"/>
          <w:szCs w:val="30"/>
          <w:highlight w:val="none"/>
        </w:rPr>
        <w:br w:type="page"/>
      </w:r>
    </w:p>
    <w:p w14:paraId="76706737">
      <w:pPr>
        <w:pStyle w:val="39"/>
        <w:rPr>
          <w:rFonts w:ascii="宋体" w:hAnsi="宋体" w:cs="宋体"/>
          <w:color w:val="auto"/>
          <w:sz w:val="30"/>
          <w:szCs w:val="30"/>
          <w:highlight w:val="none"/>
        </w:rPr>
      </w:pPr>
      <w:bookmarkStart w:id="40" w:name="_Toc15919"/>
      <w:r>
        <w:rPr>
          <w:rFonts w:hint="eastAsia" w:ascii="宋体" w:hAnsi="宋体" w:cs="宋体"/>
          <w:color w:val="auto"/>
          <w:sz w:val="30"/>
          <w:szCs w:val="30"/>
          <w:highlight w:val="none"/>
        </w:rPr>
        <w:t>第三部分 供应商须知</w:t>
      </w:r>
      <w:bookmarkEnd w:id="15"/>
      <w:bookmarkEnd w:id="16"/>
      <w:bookmarkEnd w:id="40"/>
    </w:p>
    <w:p w14:paraId="0DF2CD3A">
      <w:pPr>
        <w:autoSpaceDE w:val="0"/>
        <w:autoSpaceDN w:val="0"/>
        <w:adjustRightInd w:val="0"/>
        <w:snapToGrid w:val="0"/>
        <w:spacing w:line="440" w:lineRule="exact"/>
        <w:ind w:firstLine="422" w:firstLineChars="150"/>
        <w:jc w:val="center"/>
        <w:textAlignment w:val="bottom"/>
        <w:outlineLvl w:val="1"/>
        <w:rPr>
          <w:rFonts w:ascii="宋体" w:hAnsi="宋体" w:cs="宋体"/>
          <w:b/>
          <w:bCs/>
          <w:color w:val="auto"/>
          <w:sz w:val="28"/>
          <w:szCs w:val="28"/>
          <w:highlight w:val="none"/>
        </w:rPr>
      </w:pPr>
      <w:bookmarkStart w:id="41" w:name="_Toc461563852"/>
      <w:bookmarkStart w:id="42" w:name="_Toc3034"/>
      <w:r>
        <w:rPr>
          <w:rFonts w:hint="eastAsia" w:ascii="宋体" w:hAnsi="宋体" w:cs="宋体"/>
          <w:b/>
          <w:bCs/>
          <w:color w:val="auto"/>
          <w:sz w:val="28"/>
          <w:szCs w:val="28"/>
          <w:highlight w:val="none"/>
        </w:rPr>
        <w:t>一、说明</w:t>
      </w:r>
      <w:bookmarkEnd w:id="41"/>
      <w:bookmarkEnd w:id="42"/>
    </w:p>
    <w:p w14:paraId="6B21F3BE">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1、本次采购工作是按照《中华人民共和国政府采购法》、《中华人民共和国政府采购法实施条例》、《政府采购货物和服务招标投标管理办法》及相关法律规章组织和实施。</w:t>
      </w:r>
    </w:p>
    <w:p w14:paraId="764BD908">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2、供应商必须对全部内容进行投标报价，只对部分内容进行投标报价的供应商将按无效投标处理。</w:t>
      </w:r>
    </w:p>
    <w:p w14:paraId="16825CC9">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3、无论投标过程中的做法和结果如何，供应商自行承担投标活动中所发生的全部费用。</w:t>
      </w:r>
    </w:p>
    <w:p w14:paraId="73652632">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4、供应商须自行现场勘察，确认采购人的实际需求，取得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投标供应商中标后不得以各种理由提出增价要求，否则做投标违约处理，采购人有权取消其中标资格。</w:t>
      </w:r>
    </w:p>
    <w:p w14:paraId="4BA977F5">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5、本项目采购预算见采购公告。</w:t>
      </w:r>
    </w:p>
    <w:p w14:paraId="72BA6838">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lang w:val="zh-CN"/>
        </w:rPr>
        <w:t>6、</w:t>
      </w:r>
      <w:r>
        <w:rPr>
          <w:rFonts w:hint="eastAsia" w:ascii="宋体" w:hAnsi="宋体" w:cs="宋体"/>
          <w:color w:val="auto"/>
          <w:sz w:val="22"/>
          <w:szCs w:val="22"/>
          <w:highlight w:val="none"/>
        </w:rPr>
        <w:t>投标供应商认为完成本招标文件规定的项目承包内容所发生的直接成本、间接成本、利润、税金、政策性文件规定的费用等一切费用均应计入投标报价，凡未列入的将被认为均已包含在投标总价中，今后不得以任何理由追加或调整。</w:t>
      </w:r>
    </w:p>
    <w:p w14:paraId="2935DB23">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7、采用最低评标价法的采购项目，提供相同品牌产品的不同投标供应商参加同一合同项下投标的，以其中通过资格审查、符合性审查且报价最低的参加评标；报价相同的，采取随机抽取方式确定，其他投标无效。</w:t>
      </w:r>
    </w:p>
    <w:p w14:paraId="28F92762">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77CB796F">
      <w:pPr>
        <w:widowControl/>
        <w:autoSpaceDE w:val="0"/>
        <w:autoSpaceDN w:val="0"/>
        <w:adjustRightInd w:val="0"/>
        <w:spacing w:line="460" w:lineRule="atLeast"/>
        <w:ind w:firstLine="464" w:firstLineChars="200"/>
        <w:textAlignment w:val="bottom"/>
        <w:rPr>
          <w:rFonts w:ascii="宋体" w:hAnsi="宋体" w:cs="宋体"/>
          <w:color w:val="auto"/>
          <w:sz w:val="22"/>
          <w:szCs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非单一产品采购项目，采购人应当根据采购项目技术构成、产品价格比重等合理确定核心产品，并在采购文件中载明。多家供应商提供的核心产品品牌相同的，按前两款规定处理</w:t>
      </w:r>
      <w:r>
        <w:rPr>
          <w:rFonts w:hint="eastAsia" w:ascii="宋体" w:hAnsi="宋体" w:cs="宋体"/>
          <w:color w:val="auto"/>
          <w:sz w:val="22"/>
          <w:szCs w:val="22"/>
          <w:highlight w:val="none"/>
        </w:rPr>
        <w:t>。</w:t>
      </w:r>
    </w:p>
    <w:p w14:paraId="0A57488C">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8、本项目对符合财政扶持政策的中小企业（小型、微型）、监狱企业、残疾人福利性单位给予价格优惠扶持，执行节能产品政府强制采购和优先采购政策，执行环境标志产品政府优先采购政策；</w:t>
      </w:r>
    </w:p>
    <w:p w14:paraId="14451CC4">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9、“政采金融服务：政采云平台目前为供应商提供政采贷、履约保函、预付款保函等相关金融服务，相关操作帮助及情况介绍见以下链接：https://jinrong.zcygov.cn/finance-service/#/help”。</w:t>
      </w:r>
    </w:p>
    <w:p w14:paraId="03E0C93A">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10、供应商在投标活动中提供任何虚假材料，其投标无效，并报监管部门查处；中标后发现的，中标人须依照《中华人民共和国消费者权益保护法》第四十九条之规定双倍赔偿采购人，且民事赔偿并不免除违法供应商的行政与刑事责任。</w:t>
      </w:r>
    </w:p>
    <w:p w14:paraId="4322C935">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11、非浙江政府采购网注册的供应商或发生变更且未及时更新的供应商，应当在规定时间内按照《浙江省政府采购供应商注册及诚信管理暂行办法》（浙财采监字〔2009〕28号）的相关规定及时办理更新或供应商注册事项。一旦被确定为中标人的，在合同签订前按本办法的规定完成注册并成为正式注册供应商</w:t>
      </w:r>
    </w:p>
    <w:p w14:paraId="1661714C">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12、投标供应商代表指全权代表投标供应商参加投标活动并签署投标文件的人。如果投标供应商代表是法定代表人的，仅需提供身份证扫描件；如果投标供应商代表不是法定代表人，须持有《法定代表人授权书》。</w:t>
      </w:r>
    </w:p>
    <w:p w14:paraId="6B8C012C">
      <w:pPr>
        <w:widowControl/>
        <w:autoSpaceDE w:val="0"/>
        <w:autoSpaceDN w:val="0"/>
        <w:adjustRightInd w:val="0"/>
        <w:spacing w:line="460" w:lineRule="atLeast"/>
        <w:ind w:firstLine="420" w:firstLineChars="200"/>
        <w:textAlignment w:val="bottom"/>
        <w:rPr>
          <w:rFonts w:ascii="宋体" w:hAnsi="宋体" w:cs="宋体"/>
          <w:color w:val="auto"/>
          <w:highlight w:val="none"/>
        </w:rPr>
      </w:pPr>
      <w:r>
        <w:rPr>
          <w:rFonts w:hint="eastAsia" w:ascii="宋体" w:hAnsi="宋体" w:cs="宋体"/>
          <w:color w:val="auto"/>
          <w:highlight w:val="none"/>
        </w:rPr>
        <w:t>13、</w:t>
      </w:r>
      <w:r>
        <w:rPr>
          <w:rFonts w:hint="eastAsia" w:ascii="宋体" w:hAnsi="宋体" w:cs="宋体"/>
          <w:color w:val="auto"/>
          <w:sz w:val="22"/>
          <w:szCs w:val="22"/>
          <w:highlight w:val="none"/>
        </w:rPr>
        <w:t>《浙江省财政厅关于进一步加大政府采购支持中小企业力度助力扎实稳住经济的通知》（浙财采监〔2022〕8号）已于2022年7月1日开始实施，此前有关规定与上述文件内容不一致的，按上述文件要求执行。</w:t>
      </w:r>
    </w:p>
    <w:p w14:paraId="12E09089">
      <w:pPr>
        <w:autoSpaceDE w:val="0"/>
        <w:autoSpaceDN w:val="0"/>
        <w:adjustRightInd w:val="0"/>
        <w:snapToGrid w:val="0"/>
        <w:spacing w:line="440" w:lineRule="exact"/>
        <w:ind w:firstLine="422" w:firstLineChars="150"/>
        <w:jc w:val="center"/>
        <w:textAlignment w:val="bottom"/>
        <w:outlineLvl w:val="1"/>
        <w:rPr>
          <w:rFonts w:ascii="宋体" w:hAnsi="宋体" w:cs="宋体"/>
          <w:b/>
          <w:bCs/>
          <w:color w:val="auto"/>
          <w:sz w:val="28"/>
          <w:szCs w:val="28"/>
          <w:highlight w:val="none"/>
        </w:rPr>
      </w:pPr>
      <w:bookmarkStart w:id="43" w:name="_Toc461563853"/>
      <w:bookmarkStart w:id="44" w:name="_Toc13701"/>
      <w:r>
        <w:rPr>
          <w:rFonts w:hint="eastAsia" w:ascii="宋体" w:hAnsi="宋体" w:cs="宋体"/>
          <w:b/>
          <w:bCs/>
          <w:color w:val="auto"/>
          <w:sz w:val="28"/>
          <w:szCs w:val="28"/>
          <w:highlight w:val="none"/>
        </w:rPr>
        <w:t>二、供应商资格条件</w:t>
      </w:r>
      <w:bookmarkEnd w:id="43"/>
      <w:bookmarkEnd w:id="44"/>
    </w:p>
    <w:p w14:paraId="292FDA6B">
      <w:pPr>
        <w:autoSpaceDE w:val="0"/>
        <w:autoSpaceDN w:val="0"/>
        <w:adjustRightInd w:val="0"/>
        <w:spacing w:line="45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按招标公告要求。</w:t>
      </w:r>
    </w:p>
    <w:p w14:paraId="58534963">
      <w:pPr>
        <w:autoSpaceDE w:val="0"/>
        <w:autoSpaceDN w:val="0"/>
        <w:adjustRightInd w:val="0"/>
        <w:snapToGrid w:val="0"/>
        <w:spacing w:line="440" w:lineRule="exact"/>
        <w:ind w:firstLine="422" w:firstLineChars="150"/>
        <w:jc w:val="center"/>
        <w:textAlignment w:val="bottom"/>
        <w:outlineLvl w:val="1"/>
        <w:rPr>
          <w:rFonts w:ascii="宋体" w:hAnsi="宋体" w:cs="宋体"/>
          <w:b/>
          <w:bCs/>
          <w:color w:val="auto"/>
          <w:sz w:val="28"/>
          <w:szCs w:val="28"/>
          <w:highlight w:val="none"/>
        </w:rPr>
      </w:pPr>
      <w:bookmarkStart w:id="45" w:name="_Toc461563854"/>
      <w:bookmarkStart w:id="46" w:name="_Toc13744"/>
      <w:r>
        <w:rPr>
          <w:rFonts w:hint="eastAsia" w:ascii="宋体" w:hAnsi="宋体" w:cs="宋体"/>
          <w:b/>
          <w:bCs/>
          <w:color w:val="auto"/>
          <w:sz w:val="28"/>
          <w:szCs w:val="28"/>
          <w:highlight w:val="none"/>
        </w:rPr>
        <w:t>三、招标文件</w:t>
      </w:r>
      <w:bookmarkEnd w:id="45"/>
      <w:bookmarkEnd w:id="46"/>
    </w:p>
    <w:p w14:paraId="6074385D">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1、招标文件</w:t>
      </w:r>
    </w:p>
    <w:p w14:paraId="2687356F">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1.1招标文件约束力</w:t>
      </w:r>
    </w:p>
    <w:p w14:paraId="10935E4B">
      <w:pPr>
        <w:autoSpaceDE w:val="0"/>
        <w:autoSpaceDN w:val="0"/>
        <w:adjustRightInd w:val="0"/>
        <w:spacing w:line="460" w:lineRule="atLeas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w:t>
      </w:r>
      <w:r>
        <w:rPr>
          <w:rFonts w:hint="eastAsia" w:ascii="宋体" w:hAnsi="宋体" w:cs="宋体"/>
          <w:b/>
          <w:color w:val="auto"/>
          <w:sz w:val="22"/>
          <w:szCs w:val="22"/>
          <w:highlight w:val="none"/>
          <w:u w:val="single"/>
        </w:rPr>
        <w:t>供应商一旦获取了本招标文件并参加投标，即被认为接受了本招标文件中的所有条款和规定。</w:t>
      </w:r>
    </w:p>
    <w:p w14:paraId="1A57FC63">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1.2招标文件的组成</w:t>
      </w:r>
    </w:p>
    <w:p w14:paraId="159921F7">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招标文件由招标文件总目录所列内容及补充资料等组成。</w:t>
      </w:r>
    </w:p>
    <w:p w14:paraId="241BD977">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2、质疑</w:t>
      </w:r>
    </w:p>
    <w:p w14:paraId="792EA08F">
      <w:pPr>
        <w:autoSpaceDE w:val="0"/>
        <w:autoSpaceDN w:val="0"/>
        <w:adjustRightInd w:val="0"/>
        <w:spacing w:line="460" w:lineRule="atLeas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2.1供应商认为采购文件、采购过程、中标或者成交结果使自己的权益受到损害的，可以在知道或者应知其权益受到损害之日起7个工作日内，以书面形式（包括信函、传真，下同）或政采云系统向采购人、采购代理机构提出质疑。逾期提出的，采购组织机构将不予受理、答复。</w:t>
      </w:r>
      <w:r>
        <w:rPr>
          <w:rFonts w:hint="eastAsia" w:ascii="宋体" w:hAnsi="宋体" w:cs="宋体"/>
          <w:b/>
          <w:color w:val="auto"/>
          <w:sz w:val="22"/>
          <w:szCs w:val="22"/>
          <w:highlight w:val="none"/>
        </w:rPr>
        <w:t>任何口头答复均不作为投标依据。</w:t>
      </w:r>
    </w:p>
    <w:p w14:paraId="2D4D4A64">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2.2供应商提出质疑应当提交质疑函和必要的证明材料，质疑函范本请到“浙江政府采购网下载专区”下载，质疑函内容及签署等相关要求请参看《政府采购质疑和投诉办法》相关规定。</w:t>
      </w:r>
    </w:p>
    <w:p w14:paraId="3A0B49F7">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2.3提出质疑的供应商应当是参与本项目招标活动的供应商。供应商在法定质疑期内一次性提出针对同一采购程序环节的质疑。</w:t>
      </w:r>
    </w:p>
    <w:p w14:paraId="236A0BB0">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2.4根据《政府采购质疑和投诉办法》第三十七条的规定，投诉人在全国范围12个月内三次以上投诉查无实据的，由财政部门列入不良行为记录名单。</w:t>
      </w:r>
    </w:p>
    <w:p w14:paraId="78DF0884">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3、投诉</w:t>
      </w:r>
    </w:p>
    <w:p w14:paraId="734F612B">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3.1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759815B6">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4、招标文件的澄清或修改</w:t>
      </w:r>
    </w:p>
    <w:p w14:paraId="4385FC0C">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4.1采购人或者采购代理机构可以对已发出的采购文件进行必要的澄清或者修改。澄清或者修改在浙江政府采购网上发布公告，同时政采云系统会向所有已按采购文件规定方式获取采购文件的潜在投标供应商发送更正提醒信息，潜在投标供应商请自行到浙江省政府采购网上查看更正（澄清或补充）公告，潜在投标供应商在收到该公告后应于1日内，以书面或传真形式（签署意见并加盖公章）向采购代理机构回函给予确认。过期未回复的，视为默认接受。澄清或者修改的内容为采购文件的组成部分，对所有投标供应商均有约束力。</w:t>
      </w:r>
    </w:p>
    <w:p w14:paraId="65633D8A">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14:paraId="49D1F1BB">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4.3补充、更正文件在浙江政府采购网（http://www.zjzfcg.gov.cn/）予以公告公布。</w:t>
      </w:r>
      <w:bookmarkEnd w:id="1"/>
      <w:r>
        <w:rPr>
          <w:rFonts w:hint="eastAsia" w:ascii="宋体" w:hAnsi="宋体" w:cs="宋体"/>
          <w:b/>
          <w:bCs/>
          <w:color w:val="auto"/>
          <w:sz w:val="22"/>
          <w:szCs w:val="22"/>
          <w:highlight w:val="none"/>
        </w:rPr>
        <w:t>供应商须在开标前一日自行查看是否有补充更正文件，并按补充更正文件要求响应，否则责任自负。</w:t>
      </w:r>
    </w:p>
    <w:p w14:paraId="7F9A1C08">
      <w:pPr>
        <w:autoSpaceDE w:val="0"/>
        <w:autoSpaceDN w:val="0"/>
        <w:adjustRightInd w:val="0"/>
        <w:snapToGrid w:val="0"/>
        <w:spacing w:line="440" w:lineRule="exact"/>
        <w:ind w:firstLine="422" w:firstLineChars="150"/>
        <w:jc w:val="center"/>
        <w:textAlignment w:val="bottom"/>
        <w:outlineLvl w:val="1"/>
        <w:rPr>
          <w:rFonts w:ascii="宋体" w:hAnsi="宋体" w:cs="宋体"/>
          <w:b/>
          <w:bCs/>
          <w:color w:val="auto"/>
          <w:sz w:val="28"/>
          <w:szCs w:val="28"/>
          <w:highlight w:val="none"/>
        </w:rPr>
      </w:pPr>
      <w:bookmarkStart w:id="47" w:name="_Toc24086"/>
      <w:bookmarkStart w:id="48" w:name="_Toc496116252"/>
      <w:r>
        <w:rPr>
          <w:rFonts w:hint="eastAsia" w:ascii="宋体" w:hAnsi="宋体" w:cs="宋体"/>
          <w:b/>
          <w:bCs/>
          <w:color w:val="auto"/>
          <w:sz w:val="28"/>
          <w:szCs w:val="28"/>
          <w:highlight w:val="none"/>
        </w:rPr>
        <w:t>四、投标文件</w:t>
      </w:r>
      <w:bookmarkEnd w:id="47"/>
      <w:bookmarkEnd w:id="48"/>
    </w:p>
    <w:p w14:paraId="63B3A952">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1、投标文件</w:t>
      </w:r>
    </w:p>
    <w:p w14:paraId="3C4A2105">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1.1供应商提交的投标文件以及供应商与采购人就有关投标的所有来往函电均应使用中文。供应商可以提交用其他语言印制的资料，但必须译成中文，在有差异和矛盾时以中文为准。</w:t>
      </w:r>
    </w:p>
    <w:p w14:paraId="421048A1">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在基本满足招标技术要求的前提下出现微小差异。</w:t>
      </w:r>
    </w:p>
    <w:p w14:paraId="10CEB98F">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1.3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48015C60">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1.4供应商应仔细阅读招标文件中的所有内容，按照招标文件要求，详细编制投标文件，所有文件资料必须是针对本次投标。不按招标文件的要求提供的投标文件可能导致被拒绝。</w:t>
      </w:r>
    </w:p>
    <w:p w14:paraId="57809F1C">
      <w:pPr>
        <w:autoSpaceDE w:val="0"/>
        <w:autoSpaceDN w:val="0"/>
        <w:adjustRightInd w:val="0"/>
        <w:spacing w:line="460" w:lineRule="atLeas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2、投标文件的组成</w:t>
      </w:r>
    </w:p>
    <w:p w14:paraId="39145FAF">
      <w:pPr>
        <w:autoSpaceDE w:val="0"/>
        <w:autoSpaceDN w:val="0"/>
        <w:adjustRightInd w:val="0"/>
        <w:spacing w:line="460" w:lineRule="atLeast"/>
        <w:ind w:firstLine="442" w:firstLineChars="200"/>
        <w:rPr>
          <w:rFonts w:ascii="宋体" w:hAnsi="宋体" w:cs="宋体"/>
          <w:b/>
          <w:color w:val="auto"/>
          <w:sz w:val="22"/>
          <w:szCs w:val="22"/>
          <w:highlight w:val="none"/>
          <w:lang w:val="zh-CN"/>
        </w:rPr>
      </w:pPr>
      <w:r>
        <w:rPr>
          <w:rFonts w:hint="eastAsia" w:ascii="宋体" w:hAnsi="宋体" w:cs="宋体"/>
          <w:b/>
          <w:bCs/>
          <w:color w:val="auto"/>
          <w:sz w:val="22"/>
          <w:szCs w:val="22"/>
          <w:highlight w:val="none"/>
          <w:u w:val="single"/>
        </w:rPr>
        <w:t>投标文件由资格证明文件、报价文件部分和技术资信部分三部分组成。</w:t>
      </w:r>
    </w:p>
    <w:p w14:paraId="1AB72931">
      <w:pPr>
        <w:autoSpaceDE w:val="0"/>
        <w:autoSpaceDN w:val="0"/>
        <w:adjustRightInd w:val="0"/>
        <w:spacing w:line="450" w:lineRule="atLeast"/>
        <w:ind w:firstLine="442" w:firstLineChars="200"/>
        <w:rPr>
          <w:rFonts w:ascii="宋体" w:hAnsi="宋体" w:cs="宋体"/>
          <w:b/>
          <w:color w:val="auto"/>
          <w:sz w:val="22"/>
          <w:szCs w:val="22"/>
          <w:highlight w:val="none"/>
          <w:u w:val="single"/>
          <w:lang w:val="zh-CN"/>
        </w:rPr>
      </w:pPr>
      <w:bookmarkStart w:id="49" w:name="_Toc132122412"/>
      <w:bookmarkStart w:id="50" w:name="_Toc132122115"/>
      <w:r>
        <w:rPr>
          <w:rFonts w:hint="eastAsia" w:ascii="宋体" w:hAnsi="宋体" w:cs="宋体"/>
          <w:b/>
          <w:color w:val="auto"/>
          <w:sz w:val="22"/>
          <w:szCs w:val="22"/>
          <w:highlight w:val="none"/>
          <w:u w:val="single"/>
          <w:lang w:val="zh-CN"/>
        </w:rPr>
        <w:t>2.1资格证明文件部分组成</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7957"/>
        <w:gridCol w:w="1100"/>
      </w:tblGrid>
      <w:tr w14:paraId="292E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 w:type="pct"/>
            <w:tcBorders>
              <w:top w:val="single" w:color="auto" w:sz="4" w:space="0"/>
              <w:left w:val="single" w:color="auto" w:sz="4" w:space="0"/>
              <w:bottom w:val="single" w:color="auto" w:sz="4" w:space="0"/>
              <w:right w:val="single" w:color="auto" w:sz="4" w:space="0"/>
            </w:tcBorders>
            <w:vAlign w:val="center"/>
          </w:tcPr>
          <w:p w14:paraId="645DC725">
            <w:pPr>
              <w:autoSpaceDE w:val="0"/>
              <w:autoSpaceDN w:val="0"/>
              <w:adjustRightInd w:val="0"/>
              <w:snapToGrid w:val="0"/>
              <w:spacing w:line="430" w:lineRule="atLeast"/>
              <w:jc w:val="center"/>
              <w:rPr>
                <w:rFonts w:ascii="宋体" w:hAnsi="宋体" w:cs="宋体"/>
                <w:b/>
                <w:bCs/>
                <w:sz w:val="22"/>
                <w:szCs w:val="22"/>
                <w:lang w:val="zh-CN"/>
              </w:rPr>
            </w:pPr>
            <w:r>
              <w:rPr>
                <w:rFonts w:hint="eastAsia" w:ascii="宋体" w:hAnsi="宋体" w:cs="宋体"/>
                <w:sz w:val="22"/>
                <w:szCs w:val="22"/>
                <w:lang w:val="zh-CN"/>
              </w:rPr>
              <w:t>序号</w:t>
            </w:r>
          </w:p>
        </w:tc>
        <w:tc>
          <w:tcPr>
            <w:tcW w:w="4036" w:type="pct"/>
            <w:tcBorders>
              <w:top w:val="single" w:color="auto" w:sz="4" w:space="0"/>
              <w:left w:val="single" w:color="auto" w:sz="4" w:space="0"/>
              <w:bottom w:val="single" w:color="auto" w:sz="4" w:space="0"/>
              <w:right w:val="single" w:color="auto" w:sz="4" w:space="0"/>
            </w:tcBorders>
          </w:tcPr>
          <w:p w14:paraId="1EA95A28">
            <w:pPr>
              <w:autoSpaceDE w:val="0"/>
              <w:autoSpaceDN w:val="0"/>
              <w:adjustRightInd w:val="0"/>
              <w:snapToGrid w:val="0"/>
              <w:spacing w:line="430" w:lineRule="atLeast"/>
              <w:jc w:val="center"/>
              <w:rPr>
                <w:rFonts w:ascii="宋体" w:hAnsi="宋体" w:cs="宋体"/>
                <w:b/>
                <w:bCs/>
                <w:sz w:val="22"/>
                <w:szCs w:val="22"/>
                <w:lang w:val="zh-CN"/>
              </w:rPr>
            </w:pPr>
            <w:r>
              <w:rPr>
                <w:rFonts w:hint="eastAsia" w:asciiTheme="majorEastAsia" w:hAnsiTheme="majorEastAsia" w:eastAsiaTheme="majorEastAsia"/>
                <w:sz w:val="22"/>
                <w:szCs w:val="22"/>
                <w:u w:val="single"/>
                <w:lang w:val="zh-CN"/>
              </w:rPr>
              <w:t>内容（▲以下资格证明文件必须提供，否则不能通过资格审查的，责任自负</w:t>
            </w:r>
            <w:r>
              <w:rPr>
                <w:rFonts w:hint="eastAsia" w:asciiTheme="majorEastAsia" w:hAnsiTheme="majorEastAsia" w:eastAsiaTheme="majorEastAsia"/>
                <w:sz w:val="22"/>
                <w:szCs w:val="22"/>
                <w:lang w:val="zh-CN"/>
              </w:rPr>
              <w:t>）</w:t>
            </w:r>
          </w:p>
        </w:tc>
        <w:tc>
          <w:tcPr>
            <w:tcW w:w="558" w:type="pct"/>
            <w:tcBorders>
              <w:top w:val="single" w:color="auto" w:sz="4" w:space="0"/>
              <w:left w:val="single" w:color="auto" w:sz="4" w:space="0"/>
              <w:bottom w:val="single" w:color="auto" w:sz="4" w:space="0"/>
              <w:right w:val="single" w:color="auto" w:sz="4" w:space="0"/>
            </w:tcBorders>
          </w:tcPr>
          <w:p w14:paraId="2941F38F">
            <w:pPr>
              <w:autoSpaceDE w:val="0"/>
              <w:autoSpaceDN w:val="0"/>
              <w:adjustRightInd w:val="0"/>
              <w:snapToGrid w:val="0"/>
              <w:spacing w:line="430" w:lineRule="atLeast"/>
              <w:jc w:val="center"/>
              <w:rPr>
                <w:rFonts w:ascii="宋体" w:hAnsi="宋体" w:cs="宋体"/>
                <w:sz w:val="22"/>
                <w:szCs w:val="22"/>
                <w:lang w:val="zh-CN"/>
              </w:rPr>
            </w:pPr>
            <w:r>
              <w:rPr>
                <w:rFonts w:hint="eastAsia" w:ascii="宋体" w:hAnsi="宋体" w:cs="宋体"/>
                <w:sz w:val="22"/>
                <w:szCs w:val="22"/>
                <w:lang w:val="zh-CN"/>
              </w:rPr>
              <w:t>备注</w:t>
            </w:r>
          </w:p>
        </w:tc>
      </w:tr>
      <w:tr w14:paraId="1B00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 w:type="pct"/>
            <w:tcBorders>
              <w:top w:val="single" w:color="auto" w:sz="4" w:space="0"/>
              <w:left w:val="single" w:color="auto" w:sz="4" w:space="0"/>
              <w:bottom w:val="single" w:color="auto" w:sz="4" w:space="0"/>
              <w:right w:val="single" w:color="auto" w:sz="4" w:space="0"/>
            </w:tcBorders>
            <w:vAlign w:val="center"/>
          </w:tcPr>
          <w:p w14:paraId="42FF15B7">
            <w:pPr>
              <w:tabs>
                <w:tab w:val="left" w:pos="4140"/>
              </w:tabs>
              <w:adjustRightInd w:val="0"/>
              <w:snapToGrid w:val="0"/>
              <w:spacing w:line="320" w:lineRule="atLeast"/>
              <w:jc w:val="center"/>
              <w:rPr>
                <w:rFonts w:ascii="宋体" w:hAnsi="宋体" w:cs="宋体"/>
                <w:sz w:val="22"/>
                <w:szCs w:val="22"/>
                <w:lang w:val="zh-CN"/>
              </w:rPr>
            </w:pPr>
            <w:r>
              <w:rPr>
                <w:rFonts w:hint="eastAsia" w:ascii="宋体" w:hAnsi="宋体" w:cs="宋体"/>
                <w:sz w:val="22"/>
                <w:szCs w:val="22"/>
                <w:lang w:val="zh-CN"/>
              </w:rPr>
              <w:t>1</w:t>
            </w:r>
          </w:p>
        </w:tc>
        <w:tc>
          <w:tcPr>
            <w:tcW w:w="4036" w:type="pct"/>
            <w:tcBorders>
              <w:top w:val="single" w:color="auto" w:sz="4" w:space="0"/>
              <w:left w:val="single" w:color="auto" w:sz="4" w:space="0"/>
              <w:bottom w:val="single" w:color="auto" w:sz="4" w:space="0"/>
              <w:right w:val="single" w:color="auto" w:sz="4" w:space="0"/>
            </w:tcBorders>
          </w:tcPr>
          <w:p w14:paraId="46411F2E">
            <w:pPr>
              <w:tabs>
                <w:tab w:val="left" w:pos="4140"/>
              </w:tabs>
              <w:adjustRightInd w:val="0"/>
              <w:snapToGrid w:val="0"/>
              <w:spacing w:line="320" w:lineRule="atLeast"/>
              <w:rPr>
                <w:rFonts w:ascii="宋体" w:hAnsi="宋体" w:cs="宋体"/>
                <w:sz w:val="22"/>
                <w:szCs w:val="22"/>
                <w:lang w:val="zh-CN"/>
              </w:rPr>
            </w:pPr>
            <w:r>
              <w:rPr>
                <w:rFonts w:hint="eastAsia" w:ascii="宋体" w:hAnsi="宋体" w:cs="宋体"/>
                <w:sz w:val="22"/>
                <w:szCs w:val="22"/>
                <w:lang w:val="zh-CN"/>
              </w:rPr>
              <w:t>资格条件承诺函</w:t>
            </w:r>
          </w:p>
        </w:tc>
        <w:tc>
          <w:tcPr>
            <w:tcW w:w="558" w:type="pct"/>
            <w:tcBorders>
              <w:top w:val="single" w:color="auto" w:sz="4" w:space="0"/>
              <w:left w:val="single" w:color="auto" w:sz="4" w:space="0"/>
              <w:bottom w:val="single" w:color="auto" w:sz="4" w:space="0"/>
              <w:right w:val="single" w:color="auto" w:sz="4" w:space="0"/>
            </w:tcBorders>
          </w:tcPr>
          <w:p w14:paraId="056C8D8B">
            <w:pPr>
              <w:tabs>
                <w:tab w:val="left" w:pos="4140"/>
              </w:tabs>
              <w:adjustRightInd w:val="0"/>
              <w:snapToGrid w:val="0"/>
              <w:spacing w:line="320" w:lineRule="atLeast"/>
              <w:rPr>
                <w:rFonts w:ascii="宋体" w:hAnsi="宋体" w:cs="宋体"/>
                <w:sz w:val="22"/>
                <w:szCs w:val="22"/>
              </w:rPr>
            </w:pPr>
            <w:r>
              <w:rPr>
                <w:rFonts w:hint="eastAsia" w:ascii="宋体" w:hAnsi="宋体" w:cs="宋体"/>
                <w:sz w:val="22"/>
                <w:szCs w:val="22"/>
              </w:rPr>
              <w:t>附件一</w:t>
            </w:r>
          </w:p>
        </w:tc>
      </w:tr>
    </w:tbl>
    <w:p w14:paraId="353A2654">
      <w:pPr>
        <w:autoSpaceDE w:val="0"/>
        <w:autoSpaceDN w:val="0"/>
        <w:adjustRightInd w:val="0"/>
        <w:spacing w:line="450" w:lineRule="atLeast"/>
        <w:ind w:firstLine="442" w:firstLineChars="200"/>
        <w:rPr>
          <w:rFonts w:ascii="宋体" w:hAnsi="宋体" w:cs="宋体"/>
          <w:b/>
          <w:color w:val="auto"/>
          <w:sz w:val="22"/>
          <w:szCs w:val="22"/>
          <w:highlight w:val="none"/>
          <w:u w:val="single"/>
          <w:lang w:val="zh-CN"/>
        </w:rPr>
      </w:pPr>
    </w:p>
    <w:p w14:paraId="35813AC7">
      <w:pPr>
        <w:autoSpaceDE w:val="0"/>
        <w:autoSpaceDN w:val="0"/>
        <w:adjustRightInd w:val="0"/>
        <w:spacing w:line="450" w:lineRule="atLeast"/>
        <w:ind w:firstLine="442" w:firstLineChars="200"/>
        <w:rPr>
          <w:rFonts w:ascii="宋体" w:hAnsi="宋体" w:cs="宋体"/>
          <w:b/>
          <w:color w:val="auto"/>
          <w:sz w:val="22"/>
          <w:szCs w:val="22"/>
          <w:highlight w:val="none"/>
          <w:u w:val="single"/>
          <w:lang w:val="zh-CN"/>
        </w:rPr>
      </w:pPr>
      <w:r>
        <w:rPr>
          <w:rFonts w:hint="eastAsia" w:ascii="宋体" w:hAnsi="宋体" w:cs="宋体"/>
          <w:b/>
          <w:color w:val="auto"/>
          <w:sz w:val="22"/>
          <w:szCs w:val="22"/>
          <w:highlight w:val="none"/>
          <w:u w:val="single"/>
          <w:lang w:val="zh-CN"/>
        </w:rPr>
        <w:t>2.2报价文件部分组成</w:t>
      </w: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099"/>
      </w:tblGrid>
      <w:tr w14:paraId="7A80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E60D733">
            <w:pPr>
              <w:autoSpaceDE w:val="0"/>
              <w:autoSpaceDN w:val="0"/>
              <w:adjustRightInd w:val="0"/>
              <w:snapToGrid w:val="0"/>
              <w:spacing w:line="430" w:lineRule="atLeast"/>
              <w:rPr>
                <w:rFonts w:asciiTheme="majorEastAsia" w:hAnsiTheme="majorEastAsia" w:eastAsiaTheme="majorEastAsia"/>
                <w:b/>
                <w:bCs/>
                <w:sz w:val="22"/>
                <w:lang w:val="zh-CN"/>
              </w:rPr>
            </w:pPr>
            <w:bookmarkStart w:id="51" w:name="_Toc132122113"/>
            <w:bookmarkStart w:id="52" w:name="_Toc132122410"/>
            <w:r>
              <w:rPr>
                <w:rFonts w:hint="eastAsia" w:asciiTheme="majorEastAsia" w:hAnsiTheme="majorEastAsia" w:eastAsiaTheme="majorEastAsia"/>
                <w:sz w:val="22"/>
                <w:szCs w:val="22"/>
                <w:lang w:val="zh-CN"/>
              </w:rPr>
              <w:t>序号</w:t>
            </w:r>
          </w:p>
        </w:tc>
        <w:tc>
          <w:tcPr>
            <w:tcW w:w="8080" w:type="dxa"/>
          </w:tcPr>
          <w:p w14:paraId="7F5DDBB4">
            <w:pPr>
              <w:autoSpaceDE w:val="0"/>
              <w:autoSpaceDN w:val="0"/>
              <w:adjustRightInd w:val="0"/>
              <w:snapToGrid w:val="0"/>
              <w:spacing w:line="430" w:lineRule="atLeast"/>
              <w:rPr>
                <w:rFonts w:asciiTheme="majorEastAsia" w:hAnsiTheme="majorEastAsia" w:eastAsiaTheme="majorEastAsia"/>
                <w:b/>
                <w:bCs/>
                <w:sz w:val="22"/>
                <w:lang w:val="zh-CN"/>
              </w:rPr>
            </w:pPr>
            <w:r>
              <w:rPr>
                <w:rFonts w:hint="eastAsia" w:asciiTheme="majorEastAsia" w:hAnsiTheme="majorEastAsia" w:eastAsiaTheme="majorEastAsia"/>
                <w:sz w:val="22"/>
                <w:szCs w:val="22"/>
                <w:lang w:val="zh-CN"/>
              </w:rPr>
              <w:t>内容（▲</w:t>
            </w:r>
            <w:r>
              <w:rPr>
                <w:rFonts w:hint="eastAsia" w:asciiTheme="majorEastAsia" w:hAnsiTheme="majorEastAsia" w:eastAsiaTheme="majorEastAsia"/>
                <w:sz w:val="22"/>
                <w:szCs w:val="22"/>
                <w:u w:val="single"/>
                <w:lang w:val="zh-CN"/>
              </w:rPr>
              <w:t>序号</w:t>
            </w:r>
            <w:r>
              <w:rPr>
                <w:rFonts w:asciiTheme="majorEastAsia" w:hAnsiTheme="majorEastAsia" w:eastAsiaTheme="majorEastAsia"/>
                <w:sz w:val="22"/>
                <w:szCs w:val="22"/>
                <w:u w:val="single"/>
                <w:lang w:val="zh-CN"/>
              </w:rPr>
              <w:t>1</w:t>
            </w:r>
            <w:r>
              <w:rPr>
                <w:rFonts w:hint="eastAsia" w:asciiTheme="majorEastAsia" w:hAnsiTheme="majorEastAsia" w:eastAsiaTheme="majorEastAsia"/>
                <w:sz w:val="22"/>
                <w:szCs w:val="22"/>
                <w:u w:val="single"/>
                <w:lang w:val="en-US" w:eastAsia="zh-CN"/>
              </w:rPr>
              <w:t>-2</w:t>
            </w:r>
            <w:r>
              <w:rPr>
                <w:rFonts w:hint="eastAsia" w:asciiTheme="majorEastAsia" w:hAnsiTheme="majorEastAsia" w:eastAsiaTheme="majorEastAsia"/>
                <w:sz w:val="22"/>
                <w:szCs w:val="22"/>
                <w:u w:val="single"/>
                <w:lang w:val="zh-CN"/>
              </w:rPr>
              <w:t>项供应商必须提供，否则不能通过符合性审查的，责任自负</w:t>
            </w:r>
            <w:r>
              <w:rPr>
                <w:rFonts w:hint="eastAsia" w:asciiTheme="majorEastAsia" w:hAnsiTheme="majorEastAsia" w:eastAsiaTheme="majorEastAsia"/>
                <w:sz w:val="22"/>
                <w:szCs w:val="22"/>
                <w:lang w:val="zh-CN"/>
              </w:rPr>
              <w:t>）</w:t>
            </w:r>
          </w:p>
        </w:tc>
        <w:tc>
          <w:tcPr>
            <w:tcW w:w="1099" w:type="dxa"/>
          </w:tcPr>
          <w:p w14:paraId="616CF610">
            <w:pPr>
              <w:autoSpaceDE w:val="0"/>
              <w:autoSpaceDN w:val="0"/>
              <w:adjustRightInd w:val="0"/>
              <w:snapToGrid w:val="0"/>
              <w:spacing w:line="430" w:lineRule="atLeast"/>
              <w:jc w:val="center"/>
              <w:rPr>
                <w:rFonts w:asciiTheme="majorEastAsia" w:hAnsiTheme="majorEastAsia" w:eastAsiaTheme="majorEastAsia"/>
                <w:sz w:val="22"/>
                <w:szCs w:val="22"/>
                <w:lang w:val="zh-CN"/>
              </w:rPr>
            </w:pPr>
            <w:r>
              <w:rPr>
                <w:rFonts w:hint="eastAsia" w:asciiTheme="majorEastAsia" w:hAnsiTheme="majorEastAsia" w:eastAsiaTheme="majorEastAsia"/>
                <w:sz w:val="22"/>
                <w:szCs w:val="22"/>
                <w:lang w:val="zh-CN"/>
              </w:rPr>
              <w:t>备注</w:t>
            </w:r>
          </w:p>
        </w:tc>
      </w:tr>
      <w:tr w14:paraId="585D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3475893">
            <w:pPr>
              <w:autoSpaceDE w:val="0"/>
              <w:autoSpaceDN w:val="0"/>
              <w:adjustRightInd w:val="0"/>
              <w:snapToGrid w:val="0"/>
              <w:spacing w:line="430" w:lineRule="atLeast"/>
              <w:jc w:val="center"/>
              <w:rPr>
                <w:rFonts w:asciiTheme="majorEastAsia" w:hAnsiTheme="majorEastAsia" w:eastAsiaTheme="majorEastAsia"/>
                <w:b/>
                <w:bCs/>
                <w:sz w:val="22"/>
                <w:lang w:val="zh-CN"/>
              </w:rPr>
            </w:pPr>
            <w:r>
              <w:rPr>
                <w:rFonts w:asciiTheme="majorEastAsia" w:hAnsiTheme="majorEastAsia" w:eastAsiaTheme="majorEastAsia"/>
                <w:sz w:val="22"/>
                <w:szCs w:val="22"/>
                <w:lang w:val="zh-CN"/>
              </w:rPr>
              <w:t>1</w:t>
            </w:r>
          </w:p>
        </w:tc>
        <w:tc>
          <w:tcPr>
            <w:tcW w:w="8080" w:type="dxa"/>
          </w:tcPr>
          <w:p w14:paraId="166D2BC6">
            <w:pPr>
              <w:autoSpaceDE w:val="0"/>
              <w:autoSpaceDN w:val="0"/>
              <w:adjustRightInd w:val="0"/>
              <w:spacing w:line="430" w:lineRule="atLeast"/>
              <w:textAlignment w:val="bottom"/>
              <w:rPr>
                <w:rFonts w:asciiTheme="majorEastAsia" w:hAnsiTheme="majorEastAsia" w:eastAsiaTheme="majorEastAsia"/>
                <w:b/>
                <w:bCs/>
                <w:sz w:val="22"/>
              </w:rPr>
            </w:pPr>
            <w:r>
              <w:rPr>
                <w:rFonts w:hint="eastAsia" w:asciiTheme="majorEastAsia" w:hAnsiTheme="majorEastAsia" w:eastAsiaTheme="majorEastAsia"/>
                <w:sz w:val="22"/>
                <w:szCs w:val="22"/>
              </w:rPr>
              <w:t>报价一览表</w:t>
            </w:r>
          </w:p>
        </w:tc>
        <w:tc>
          <w:tcPr>
            <w:tcW w:w="1099" w:type="dxa"/>
          </w:tcPr>
          <w:p w14:paraId="57184CAD">
            <w:pPr>
              <w:autoSpaceDE w:val="0"/>
              <w:autoSpaceDN w:val="0"/>
              <w:adjustRightInd w:val="0"/>
              <w:spacing w:line="430" w:lineRule="atLeast"/>
              <w:jc w:val="center"/>
              <w:textAlignment w:val="bottom"/>
              <w:rPr>
                <w:rFonts w:asciiTheme="majorEastAsia" w:hAnsiTheme="majorEastAsia" w:eastAsiaTheme="majorEastAsia"/>
                <w:sz w:val="22"/>
                <w:szCs w:val="22"/>
              </w:rPr>
            </w:pPr>
            <w:r>
              <w:rPr>
                <w:rFonts w:hint="eastAsia" w:asciiTheme="majorEastAsia" w:hAnsiTheme="majorEastAsia" w:eastAsiaTheme="majorEastAsia"/>
                <w:sz w:val="22"/>
                <w:szCs w:val="22"/>
              </w:rPr>
              <w:t>附件二</w:t>
            </w:r>
          </w:p>
        </w:tc>
      </w:tr>
      <w:tr w14:paraId="5991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2266131">
            <w:pPr>
              <w:autoSpaceDE w:val="0"/>
              <w:autoSpaceDN w:val="0"/>
              <w:adjustRightInd w:val="0"/>
              <w:snapToGrid w:val="0"/>
              <w:spacing w:line="430" w:lineRule="atLeas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2</w:t>
            </w:r>
          </w:p>
        </w:tc>
        <w:tc>
          <w:tcPr>
            <w:tcW w:w="8080" w:type="dxa"/>
          </w:tcPr>
          <w:p w14:paraId="785B15EF">
            <w:pPr>
              <w:autoSpaceDE w:val="0"/>
              <w:autoSpaceDN w:val="0"/>
              <w:adjustRightInd w:val="0"/>
              <w:spacing w:line="430" w:lineRule="atLeast"/>
              <w:textAlignment w:val="bottom"/>
              <w:rPr>
                <w:rFonts w:asciiTheme="majorEastAsia" w:hAnsiTheme="majorEastAsia" w:eastAsiaTheme="majorEastAsia"/>
                <w:sz w:val="22"/>
                <w:szCs w:val="22"/>
              </w:rPr>
            </w:pPr>
            <w:r>
              <w:rPr>
                <w:rFonts w:hint="eastAsia" w:asciiTheme="majorEastAsia" w:hAnsiTheme="majorEastAsia" w:eastAsiaTheme="majorEastAsia"/>
                <w:sz w:val="22"/>
                <w:szCs w:val="22"/>
              </w:rPr>
              <w:t>投标分项报价表</w:t>
            </w:r>
          </w:p>
        </w:tc>
        <w:tc>
          <w:tcPr>
            <w:tcW w:w="1099" w:type="dxa"/>
          </w:tcPr>
          <w:p w14:paraId="7E424FBA">
            <w:pPr>
              <w:autoSpaceDE w:val="0"/>
              <w:autoSpaceDN w:val="0"/>
              <w:adjustRightInd w:val="0"/>
              <w:spacing w:line="430" w:lineRule="atLeast"/>
              <w:jc w:val="center"/>
              <w:textAlignment w:val="bottom"/>
              <w:rPr>
                <w:rFonts w:asciiTheme="majorEastAsia" w:hAnsiTheme="majorEastAsia" w:eastAsiaTheme="majorEastAsia"/>
                <w:sz w:val="22"/>
                <w:szCs w:val="22"/>
              </w:rPr>
            </w:pPr>
            <w:r>
              <w:rPr>
                <w:rFonts w:hint="eastAsia" w:asciiTheme="majorEastAsia" w:hAnsiTheme="majorEastAsia" w:eastAsiaTheme="majorEastAsia"/>
                <w:sz w:val="22"/>
                <w:szCs w:val="22"/>
              </w:rPr>
              <w:t>附件三</w:t>
            </w:r>
          </w:p>
        </w:tc>
      </w:tr>
      <w:tr w14:paraId="7F9D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338A245">
            <w:pPr>
              <w:autoSpaceDE w:val="0"/>
              <w:autoSpaceDN w:val="0"/>
              <w:adjustRightInd w:val="0"/>
              <w:snapToGrid w:val="0"/>
              <w:spacing w:line="430" w:lineRule="atLeast"/>
              <w:jc w:val="center"/>
              <w:rPr>
                <w:rFonts w:cs="宋体" w:asciiTheme="majorEastAsia" w:hAnsiTheme="majorEastAsia" w:eastAsiaTheme="majorEastAsia"/>
                <w:sz w:val="22"/>
                <w:lang w:val="zh-CN"/>
              </w:rPr>
            </w:pPr>
            <w:r>
              <w:rPr>
                <w:rFonts w:hint="eastAsia" w:cs="宋体" w:asciiTheme="majorEastAsia" w:hAnsiTheme="majorEastAsia" w:eastAsiaTheme="majorEastAsia"/>
                <w:sz w:val="22"/>
                <w:szCs w:val="22"/>
              </w:rPr>
              <w:t>3</w:t>
            </w:r>
          </w:p>
        </w:tc>
        <w:tc>
          <w:tcPr>
            <w:tcW w:w="8080" w:type="dxa"/>
          </w:tcPr>
          <w:p w14:paraId="19EB14E2">
            <w:pPr>
              <w:autoSpaceDE w:val="0"/>
              <w:autoSpaceDN w:val="0"/>
              <w:adjustRightInd w:val="0"/>
              <w:snapToGrid w:val="0"/>
              <w:spacing w:line="430" w:lineRule="atLeast"/>
              <w:rPr>
                <w:rFonts w:cs="宋体" w:asciiTheme="majorEastAsia" w:hAnsiTheme="majorEastAsia" w:eastAsiaTheme="majorEastAsia"/>
                <w:sz w:val="22"/>
              </w:rPr>
            </w:pPr>
            <w:r>
              <w:rPr>
                <w:rFonts w:hint="eastAsia" w:cs="宋体" w:asciiTheme="majorEastAsia" w:hAnsiTheme="majorEastAsia" w:eastAsiaTheme="majorEastAsia"/>
                <w:sz w:val="22"/>
                <w:szCs w:val="22"/>
              </w:rPr>
              <w:t>享受小微企业（含监狱企业、残疾人福利性单位）价格折扣须按供应商单位性质提供以下相关的证明材料：</w:t>
            </w:r>
          </w:p>
          <w:p w14:paraId="467AB799">
            <w:pPr>
              <w:autoSpaceDE w:val="0"/>
              <w:autoSpaceDN w:val="0"/>
              <w:adjustRightInd w:val="0"/>
              <w:snapToGrid w:val="0"/>
              <w:spacing w:line="430" w:lineRule="atLeast"/>
              <w:rPr>
                <w:rFonts w:cs="宋体" w:asciiTheme="majorEastAsia" w:hAnsiTheme="majorEastAsia" w:eastAsiaTheme="majorEastAsia"/>
                <w:sz w:val="22"/>
              </w:rPr>
            </w:pPr>
            <w:r>
              <w:rPr>
                <w:rFonts w:hint="eastAsia" w:cs="宋体" w:asciiTheme="majorEastAsia" w:hAnsiTheme="majorEastAsia" w:eastAsiaTheme="majorEastAsia"/>
                <w:sz w:val="22"/>
                <w:szCs w:val="22"/>
              </w:rPr>
              <w:t>（1）《中小企业声明函》（原件，加盖供应商公章，格式见招标文件第四部分）</w:t>
            </w:r>
          </w:p>
          <w:p w14:paraId="2BDB1731">
            <w:pPr>
              <w:autoSpaceDE w:val="0"/>
              <w:autoSpaceDN w:val="0"/>
              <w:adjustRightInd w:val="0"/>
              <w:snapToGrid w:val="0"/>
              <w:spacing w:line="430" w:lineRule="atLeast"/>
              <w:rPr>
                <w:rFonts w:cs="宋体" w:asciiTheme="majorEastAsia" w:hAnsiTheme="majorEastAsia" w:eastAsiaTheme="majorEastAsia"/>
                <w:sz w:val="22"/>
              </w:rPr>
            </w:pPr>
            <w:r>
              <w:rPr>
                <w:rFonts w:hint="eastAsia" w:cs="宋体" w:asciiTheme="majorEastAsia" w:hAnsiTheme="majorEastAsia" w:eastAsiaTheme="majorEastAsia"/>
                <w:sz w:val="22"/>
                <w:szCs w:val="22"/>
              </w:rPr>
              <w:t>（2）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14:paraId="2211059D">
            <w:pPr>
              <w:autoSpaceDE w:val="0"/>
              <w:autoSpaceDN w:val="0"/>
              <w:adjustRightInd w:val="0"/>
              <w:spacing w:line="500" w:lineRule="atLeast"/>
              <w:rPr>
                <w:rFonts w:cs="宋体" w:asciiTheme="majorEastAsia" w:hAnsiTheme="majorEastAsia" w:eastAsiaTheme="majorEastAsia"/>
                <w:sz w:val="22"/>
              </w:rPr>
            </w:pPr>
            <w:r>
              <w:rPr>
                <w:rFonts w:hint="eastAsia" w:cs="宋体" w:asciiTheme="majorEastAsia" w:hAnsiTheme="majorEastAsia" w:eastAsiaTheme="majorEastAsia"/>
                <w:sz w:val="22"/>
                <w:szCs w:val="22"/>
              </w:rPr>
              <w:t>（3）残疾人福利性单位声明函（原件，加盖供应商公章，格式见招标文件第四部分）在政府采购活动中，残疾人福利性单位视同小型、微型企业，享受评审中价格扣除政策。</w:t>
            </w:r>
          </w:p>
        </w:tc>
        <w:tc>
          <w:tcPr>
            <w:tcW w:w="1099" w:type="dxa"/>
          </w:tcPr>
          <w:p w14:paraId="3248AA39">
            <w:pPr>
              <w:autoSpaceDE w:val="0"/>
              <w:autoSpaceDN w:val="0"/>
              <w:adjustRightInd w:val="0"/>
              <w:spacing w:line="430" w:lineRule="atLeast"/>
              <w:jc w:val="center"/>
              <w:textAlignment w:val="bottom"/>
              <w:rPr>
                <w:rFonts w:asciiTheme="majorEastAsia" w:hAnsiTheme="majorEastAsia" w:eastAsiaTheme="majorEastAsia"/>
                <w:sz w:val="22"/>
                <w:szCs w:val="22"/>
              </w:rPr>
            </w:pPr>
          </w:p>
        </w:tc>
      </w:tr>
    </w:tbl>
    <w:p w14:paraId="736C9C44">
      <w:pPr>
        <w:autoSpaceDE w:val="0"/>
        <w:autoSpaceDN w:val="0"/>
        <w:adjustRightInd w:val="0"/>
        <w:spacing w:line="450" w:lineRule="atLeast"/>
        <w:ind w:firstLine="442" w:firstLineChars="200"/>
        <w:rPr>
          <w:rFonts w:ascii="宋体" w:hAnsi="宋体" w:cs="宋体"/>
          <w:b/>
          <w:color w:val="auto"/>
          <w:sz w:val="22"/>
          <w:szCs w:val="22"/>
          <w:highlight w:val="none"/>
          <w:u w:val="single"/>
          <w:lang w:val="zh-CN"/>
        </w:rPr>
      </w:pPr>
      <w:r>
        <w:rPr>
          <w:rFonts w:hint="eastAsia" w:ascii="宋体" w:hAnsi="宋体" w:cs="宋体"/>
          <w:b/>
          <w:color w:val="auto"/>
          <w:sz w:val="22"/>
          <w:szCs w:val="22"/>
          <w:highlight w:val="none"/>
          <w:u w:val="single"/>
          <w:lang w:val="zh-CN"/>
        </w:rPr>
        <w:t>2.3商务技术文件部分组成</w:t>
      </w:r>
    </w:p>
    <w:bookmarkEnd w:id="51"/>
    <w:bookmarkEnd w:id="52"/>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099"/>
      </w:tblGrid>
      <w:tr w14:paraId="2E76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CDE5571">
            <w:pPr>
              <w:autoSpaceDE w:val="0"/>
              <w:autoSpaceDN w:val="0"/>
              <w:adjustRightInd w:val="0"/>
              <w:snapToGrid w:val="0"/>
              <w:spacing w:line="430" w:lineRule="atLeast"/>
              <w:jc w:val="center"/>
              <w:rPr>
                <w:rFonts w:asciiTheme="majorEastAsia" w:hAnsiTheme="majorEastAsia" w:eastAsiaTheme="majorEastAsia"/>
                <w:b/>
                <w:sz w:val="22"/>
                <w:lang w:val="zh-CN"/>
              </w:rPr>
            </w:pPr>
            <w:r>
              <w:rPr>
                <w:rFonts w:hint="eastAsia" w:asciiTheme="majorEastAsia" w:hAnsiTheme="majorEastAsia" w:eastAsiaTheme="majorEastAsia"/>
                <w:sz w:val="22"/>
                <w:szCs w:val="22"/>
                <w:lang w:val="zh-CN"/>
              </w:rPr>
              <w:t>序号</w:t>
            </w:r>
          </w:p>
        </w:tc>
        <w:tc>
          <w:tcPr>
            <w:tcW w:w="8080" w:type="dxa"/>
          </w:tcPr>
          <w:p w14:paraId="79CED387">
            <w:pPr>
              <w:autoSpaceDE w:val="0"/>
              <w:autoSpaceDN w:val="0"/>
              <w:adjustRightInd w:val="0"/>
              <w:snapToGrid w:val="0"/>
              <w:spacing w:line="430" w:lineRule="atLeast"/>
              <w:jc w:val="center"/>
              <w:rPr>
                <w:rFonts w:asciiTheme="majorEastAsia" w:hAnsiTheme="majorEastAsia" w:eastAsiaTheme="majorEastAsia"/>
                <w:b/>
                <w:sz w:val="22"/>
                <w:lang w:val="zh-CN"/>
              </w:rPr>
            </w:pPr>
            <w:r>
              <w:rPr>
                <w:rFonts w:hint="eastAsia" w:asciiTheme="majorEastAsia" w:hAnsiTheme="majorEastAsia" w:eastAsiaTheme="majorEastAsia"/>
                <w:sz w:val="22"/>
                <w:szCs w:val="22"/>
                <w:lang w:val="zh-CN"/>
              </w:rPr>
              <w:t>内容</w:t>
            </w:r>
          </w:p>
        </w:tc>
        <w:tc>
          <w:tcPr>
            <w:tcW w:w="1099" w:type="dxa"/>
          </w:tcPr>
          <w:p w14:paraId="164F2886">
            <w:pPr>
              <w:autoSpaceDE w:val="0"/>
              <w:autoSpaceDN w:val="0"/>
              <w:adjustRightInd w:val="0"/>
              <w:snapToGrid w:val="0"/>
              <w:spacing w:line="430" w:lineRule="atLeast"/>
              <w:jc w:val="center"/>
              <w:rPr>
                <w:rFonts w:asciiTheme="majorEastAsia" w:hAnsiTheme="majorEastAsia" w:eastAsiaTheme="majorEastAsia"/>
                <w:sz w:val="22"/>
                <w:szCs w:val="22"/>
                <w:lang w:val="zh-CN"/>
              </w:rPr>
            </w:pPr>
            <w:r>
              <w:rPr>
                <w:rFonts w:hint="eastAsia" w:asciiTheme="majorEastAsia" w:hAnsiTheme="majorEastAsia" w:eastAsiaTheme="majorEastAsia"/>
                <w:sz w:val="22"/>
                <w:szCs w:val="22"/>
                <w:lang w:val="zh-CN"/>
              </w:rPr>
              <w:t>备注</w:t>
            </w:r>
          </w:p>
        </w:tc>
      </w:tr>
      <w:tr w14:paraId="37FB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2"/>
          </w:tcPr>
          <w:p w14:paraId="64D68FBB">
            <w:pPr>
              <w:autoSpaceDE w:val="0"/>
              <w:autoSpaceDN w:val="0"/>
              <w:adjustRightInd w:val="0"/>
              <w:snapToGrid w:val="0"/>
              <w:spacing w:line="430" w:lineRule="atLeast"/>
              <w:rPr>
                <w:rFonts w:asciiTheme="majorEastAsia" w:hAnsiTheme="majorEastAsia" w:eastAsiaTheme="majorEastAsia"/>
                <w:b/>
                <w:sz w:val="22"/>
                <w:lang w:val="zh-CN"/>
              </w:rPr>
            </w:pPr>
            <w:r>
              <w:rPr>
                <w:rFonts w:hint="eastAsia" w:asciiTheme="majorEastAsia" w:hAnsiTheme="majorEastAsia" w:eastAsiaTheme="majorEastAsia"/>
                <w:sz w:val="22"/>
                <w:szCs w:val="22"/>
                <w:lang w:val="zh-CN"/>
              </w:rPr>
              <w:t>资信部分（▲</w:t>
            </w:r>
            <w:r>
              <w:rPr>
                <w:rFonts w:hint="eastAsia" w:asciiTheme="majorEastAsia" w:hAnsiTheme="majorEastAsia" w:eastAsiaTheme="majorEastAsia"/>
                <w:sz w:val="22"/>
                <w:szCs w:val="22"/>
                <w:u w:val="single"/>
                <w:lang w:val="zh-CN"/>
              </w:rPr>
              <w:t>序号1-</w:t>
            </w:r>
            <w:r>
              <w:rPr>
                <w:rFonts w:hint="eastAsia" w:asciiTheme="majorEastAsia" w:hAnsiTheme="majorEastAsia" w:eastAsiaTheme="majorEastAsia"/>
                <w:sz w:val="22"/>
                <w:szCs w:val="22"/>
                <w:u w:val="single"/>
              </w:rPr>
              <w:t>3、8</w:t>
            </w:r>
            <w:r>
              <w:rPr>
                <w:rFonts w:hint="eastAsia" w:asciiTheme="majorEastAsia" w:hAnsiTheme="majorEastAsia" w:eastAsiaTheme="majorEastAsia"/>
                <w:sz w:val="22"/>
                <w:szCs w:val="22"/>
                <w:u w:val="single"/>
                <w:lang w:val="zh-CN"/>
              </w:rPr>
              <w:t>项供应商必须提供，否则不能通过符合性审查的，责任自负。</w:t>
            </w:r>
            <w:r>
              <w:rPr>
                <w:rFonts w:hint="eastAsia" w:asciiTheme="majorEastAsia" w:hAnsiTheme="majorEastAsia" w:eastAsiaTheme="majorEastAsia"/>
                <w:sz w:val="22"/>
                <w:szCs w:val="22"/>
                <w:lang w:val="zh-CN"/>
              </w:rPr>
              <w:t>）</w:t>
            </w:r>
          </w:p>
        </w:tc>
        <w:tc>
          <w:tcPr>
            <w:tcW w:w="1099" w:type="dxa"/>
          </w:tcPr>
          <w:p w14:paraId="5C43DBB9">
            <w:pPr>
              <w:autoSpaceDE w:val="0"/>
              <w:autoSpaceDN w:val="0"/>
              <w:adjustRightInd w:val="0"/>
              <w:snapToGrid w:val="0"/>
              <w:spacing w:line="430" w:lineRule="atLeast"/>
              <w:jc w:val="center"/>
              <w:rPr>
                <w:rFonts w:asciiTheme="majorEastAsia" w:hAnsiTheme="majorEastAsia" w:eastAsiaTheme="majorEastAsia"/>
                <w:sz w:val="22"/>
                <w:szCs w:val="22"/>
                <w:lang w:val="zh-CN"/>
              </w:rPr>
            </w:pPr>
          </w:p>
        </w:tc>
      </w:tr>
      <w:tr w14:paraId="20BC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14:paraId="1E73A57D">
            <w:pPr>
              <w:autoSpaceDE w:val="0"/>
              <w:autoSpaceDN w:val="0"/>
              <w:adjustRightInd w:val="0"/>
              <w:snapToGrid w:val="0"/>
              <w:spacing w:line="430" w:lineRule="atLeast"/>
              <w:jc w:val="center"/>
              <w:rPr>
                <w:rFonts w:asciiTheme="majorEastAsia" w:hAnsiTheme="majorEastAsia" w:eastAsiaTheme="majorEastAsia"/>
                <w:b/>
                <w:sz w:val="22"/>
              </w:rPr>
            </w:pPr>
            <w:r>
              <w:rPr>
                <w:rFonts w:hint="eastAsia" w:asciiTheme="majorEastAsia" w:hAnsiTheme="majorEastAsia" w:eastAsiaTheme="majorEastAsia"/>
                <w:sz w:val="22"/>
                <w:szCs w:val="22"/>
              </w:rPr>
              <w:t>1</w:t>
            </w:r>
          </w:p>
        </w:tc>
        <w:tc>
          <w:tcPr>
            <w:tcW w:w="8080" w:type="dxa"/>
          </w:tcPr>
          <w:p w14:paraId="50780124">
            <w:pPr>
              <w:autoSpaceDE w:val="0"/>
              <w:autoSpaceDN w:val="0"/>
              <w:adjustRightInd w:val="0"/>
              <w:snapToGrid w:val="0"/>
              <w:spacing w:line="430" w:lineRule="atLeast"/>
              <w:rPr>
                <w:rFonts w:asciiTheme="majorEastAsia" w:hAnsiTheme="majorEastAsia" w:eastAsiaTheme="majorEastAsia"/>
                <w:b/>
                <w:sz w:val="22"/>
                <w:lang w:val="zh-CN"/>
              </w:rPr>
            </w:pPr>
            <w:r>
              <w:rPr>
                <w:rFonts w:hint="eastAsia" w:asciiTheme="majorEastAsia" w:hAnsiTheme="majorEastAsia" w:eastAsiaTheme="majorEastAsia"/>
                <w:sz w:val="22"/>
                <w:szCs w:val="22"/>
              </w:rPr>
              <w:t>投标函</w:t>
            </w:r>
          </w:p>
        </w:tc>
        <w:tc>
          <w:tcPr>
            <w:tcW w:w="1099" w:type="dxa"/>
          </w:tcPr>
          <w:p w14:paraId="694A367C">
            <w:pPr>
              <w:autoSpaceDE w:val="0"/>
              <w:autoSpaceDN w:val="0"/>
              <w:adjustRightInd w:val="0"/>
              <w:snapToGrid w:val="0"/>
              <w:spacing w:line="430" w:lineRule="atLeas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附件四</w:t>
            </w:r>
          </w:p>
        </w:tc>
      </w:tr>
      <w:tr w14:paraId="6E39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E653F6B">
            <w:pPr>
              <w:autoSpaceDE w:val="0"/>
              <w:autoSpaceDN w:val="0"/>
              <w:adjustRightInd w:val="0"/>
              <w:snapToGrid w:val="0"/>
              <w:spacing w:line="430" w:lineRule="atLeast"/>
              <w:jc w:val="center"/>
              <w:rPr>
                <w:rFonts w:asciiTheme="majorEastAsia" w:hAnsiTheme="majorEastAsia" w:eastAsiaTheme="majorEastAsia"/>
                <w:b/>
                <w:sz w:val="22"/>
              </w:rPr>
            </w:pPr>
            <w:r>
              <w:rPr>
                <w:rFonts w:hint="eastAsia" w:asciiTheme="majorEastAsia" w:hAnsiTheme="majorEastAsia" w:eastAsiaTheme="majorEastAsia"/>
                <w:sz w:val="22"/>
                <w:szCs w:val="22"/>
              </w:rPr>
              <w:t>2</w:t>
            </w:r>
          </w:p>
        </w:tc>
        <w:tc>
          <w:tcPr>
            <w:tcW w:w="8080" w:type="dxa"/>
          </w:tcPr>
          <w:p w14:paraId="36F6C838">
            <w:pPr>
              <w:autoSpaceDE w:val="0"/>
              <w:autoSpaceDN w:val="0"/>
              <w:adjustRightInd w:val="0"/>
              <w:snapToGrid w:val="0"/>
              <w:spacing w:line="430" w:lineRule="atLeast"/>
              <w:rPr>
                <w:rFonts w:asciiTheme="majorEastAsia" w:hAnsiTheme="majorEastAsia" w:eastAsiaTheme="majorEastAsia"/>
                <w:b/>
                <w:sz w:val="22"/>
              </w:rPr>
            </w:pPr>
            <w:r>
              <w:rPr>
                <w:rFonts w:hint="eastAsia" w:asciiTheme="majorEastAsia" w:hAnsiTheme="majorEastAsia" w:eastAsiaTheme="majorEastAsia"/>
                <w:sz w:val="22"/>
                <w:szCs w:val="22"/>
              </w:rPr>
              <w:t>法定代表人诚信投标承诺书</w:t>
            </w:r>
          </w:p>
        </w:tc>
        <w:tc>
          <w:tcPr>
            <w:tcW w:w="1099" w:type="dxa"/>
          </w:tcPr>
          <w:p w14:paraId="666EE685">
            <w:pPr>
              <w:autoSpaceDE w:val="0"/>
              <w:autoSpaceDN w:val="0"/>
              <w:adjustRightInd w:val="0"/>
              <w:snapToGrid w:val="0"/>
              <w:spacing w:line="430" w:lineRule="atLeas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附件五</w:t>
            </w:r>
          </w:p>
        </w:tc>
      </w:tr>
      <w:tr w14:paraId="604A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14:paraId="7C66894B">
            <w:pPr>
              <w:autoSpaceDE w:val="0"/>
              <w:autoSpaceDN w:val="0"/>
              <w:adjustRightInd w:val="0"/>
              <w:snapToGrid w:val="0"/>
              <w:spacing w:line="430" w:lineRule="atLeas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3</w:t>
            </w:r>
          </w:p>
        </w:tc>
        <w:tc>
          <w:tcPr>
            <w:tcW w:w="8080" w:type="dxa"/>
            <w:shd w:val="clear" w:color="auto" w:fill="auto"/>
          </w:tcPr>
          <w:p w14:paraId="34BC56FD">
            <w:pPr>
              <w:autoSpaceDE w:val="0"/>
              <w:autoSpaceDN w:val="0"/>
              <w:adjustRightInd w:val="0"/>
              <w:snapToGrid w:val="0"/>
              <w:spacing w:line="430" w:lineRule="atLeast"/>
              <w:rPr>
                <w:rFonts w:ascii="宋体" w:hAnsi="宋体" w:cs="宋体"/>
                <w:sz w:val="22"/>
                <w:szCs w:val="22"/>
              </w:rPr>
            </w:pPr>
            <w:r>
              <w:rPr>
                <w:rFonts w:hint="eastAsia" w:ascii="宋体" w:hAnsi="宋体" w:cs="宋体"/>
                <w:sz w:val="22"/>
                <w:szCs w:val="22"/>
              </w:rPr>
              <w:t>供应商法定代表人授权书（</w:t>
            </w:r>
            <w:r>
              <w:rPr>
                <w:rFonts w:hint="eastAsia" w:cs="宋体" w:asciiTheme="majorEastAsia" w:hAnsiTheme="majorEastAsia" w:eastAsiaTheme="majorEastAsia"/>
                <w:sz w:val="22"/>
                <w:szCs w:val="22"/>
              </w:rPr>
              <w:t>如果投标供应商代表是法定代表人的，仅需提供身份证扫描件；如果投标供应商代表不是法定代表人，须持有《法定代表人授权书》</w:t>
            </w:r>
          </w:p>
        </w:tc>
        <w:tc>
          <w:tcPr>
            <w:tcW w:w="1099" w:type="dxa"/>
            <w:shd w:val="clear" w:color="auto" w:fill="auto"/>
          </w:tcPr>
          <w:p w14:paraId="5E01432D">
            <w:pPr>
              <w:autoSpaceDE w:val="0"/>
              <w:autoSpaceDN w:val="0"/>
              <w:adjustRightInd w:val="0"/>
              <w:snapToGrid w:val="0"/>
              <w:spacing w:line="430" w:lineRule="atLeas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附件六</w:t>
            </w:r>
          </w:p>
        </w:tc>
      </w:tr>
      <w:tr w14:paraId="7850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4E98FF6">
            <w:pPr>
              <w:autoSpaceDE w:val="0"/>
              <w:autoSpaceDN w:val="0"/>
              <w:adjustRightInd w:val="0"/>
              <w:snapToGrid w:val="0"/>
              <w:spacing w:line="430" w:lineRule="atLeas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4</w:t>
            </w:r>
          </w:p>
        </w:tc>
        <w:tc>
          <w:tcPr>
            <w:tcW w:w="8080" w:type="dxa"/>
            <w:shd w:val="clear" w:color="auto" w:fill="auto"/>
          </w:tcPr>
          <w:p w14:paraId="3F9FB098">
            <w:pPr>
              <w:autoSpaceDE w:val="0"/>
              <w:autoSpaceDN w:val="0"/>
              <w:adjustRightInd w:val="0"/>
              <w:snapToGrid w:val="0"/>
              <w:spacing w:line="430" w:lineRule="atLeast"/>
              <w:rPr>
                <w:rFonts w:asciiTheme="majorEastAsia" w:hAnsiTheme="majorEastAsia" w:eastAsiaTheme="majorEastAsia"/>
                <w:sz w:val="22"/>
                <w:szCs w:val="22"/>
              </w:rPr>
            </w:pPr>
            <w:r>
              <w:rPr>
                <w:rFonts w:hint="eastAsia" w:ascii="宋体" w:hAnsi="宋体" w:cs="宋体"/>
                <w:sz w:val="22"/>
                <w:szCs w:val="22"/>
              </w:rPr>
              <w:t>投标供应商的营业执照（或事业法人登记证书或其他工商等登记证明材料）、税务登记证（如为多证合一仅需提供营业执照（或事业法人登记证书或其他工商等登记证明材料），扫描件加盖公章）</w:t>
            </w:r>
          </w:p>
        </w:tc>
        <w:tc>
          <w:tcPr>
            <w:tcW w:w="1099" w:type="dxa"/>
            <w:shd w:val="clear" w:color="auto" w:fill="auto"/>
          </w:tcPr>
          <w:p w14:paraId="099E5A00">
            <w:pPr>
              <w:autoSpaceDE w:val="0"/>
              <w:autoSpaceDN w:val="0"/>
              <w:adjustRightInd w:val="0"/>
              <w:snapToGrid w:val="0"/>
              <w:spacing w:line="430" w:lineRule="atLeast"/>
              <w:jc w:val="center"/>
              <w:rPr>
                <w:rFonts w:asciiTheme="majorEastAsia" w:hAnsiTheme="majorEastAsia" w:eastAsiaTheme="majorEastAsia"/>
                <w:sz w:val="22"/>
                <w:szCs w:val="22"/>
              </w:rPr>
            </w:pPr>
          </w:p>
        </w:tc>
      </w:tr>
      <w:tr w14:paraId="0073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B0B3040">
            <w:pPr>
              <w:autoSpaceDE w:val="0"/>
              <w:autoSpaceDN w:val="0"/>
              <w:adjustRightInd w:val="0"/>
              <w:snapToGrid w:val="0"/>
              <w:spacing w:line="430" w:lineRule="atLeast"/>
              <w:jc w:val="center"/>
              <w:rPr>
                <w:rFonts w:asciiTheme="majorEastAsia" w:hAnsiTheme="majorEastAsia" w:eastAsiaTheme="majorEastAsia"/>
                <w:b/>
                <w:sz w:val="22"/>
              </w:rPr>
            </w:pPr>
            <w:r>
              <w:rPr>
                <w:rFonts w:hint="eastAsia" w:asciiTheme="majorEastAsia" w:hAnsiTheme="majorEastAsia" w:eastAsiaTheme="majorEastAsia"/>
                <w:sz w:val="22"/>
                <w:szCs w:val="22"/>
              </w:rPr>
              <w:t>5</w:t>
            </w:r>
          </w:p>
        </w:tc>
        <w:tc>
          <w:tcPr>
            <w:tcW w:w="8080" w:type="dxa"/>
          </w:tcPr>
          <w:p w14:paraId="34510B2B">
            <w:pPr>
              <w:autoSpaceDE w:val="0"/>
              <w:autoSpaceDN w:val="0"/>
              <w:adjustRightInd w:val="0"/>
              <w:snapToGrid w:val="0"/>
              <w:spacing w:line="430" w:lineRule="atLeast"/>
              <w:rPr>
                <w:rFonts w:asciiTheme="majorEastAsia" w:hAnsiTheme="majorEastAsia" w:eastAsiaTheme="majorEastAsia"/>
                <w:b/>
                <w:sz w:val="22"/>
              </w:rPr>
            </w:pPr>
            <w:r>
              <w:rPr>
                <w:rFonts w:hint="eastAsia" w:asciiTheme="majorEastAsia" w:hAnsiTheme="majorEastAsia" w:eastAsiaTheme="majorEastAsia"/>
                <w:sz w:val="22"/>
                <w:szCs w:val="22"/>
              </w:rPr>
              <w:t>供应商相关资质、资信或信用证书、获奖证书等（如有则提供，扫描件加盖有效公章）</w:t>
            </w:r>
          </w:p>
        </w:tc>
        <w:tc>
          <w:tcPr>
            <w:tcW w:w="1099" w:type="dxa"/>
          </w:tcPr>
          <w:p w14:paraId="20521202">
            <w:pPr>
              <w:autoSpaceDE w:val="0"/>
              <w:autoSpaceDN w:val="0"/>
              <w:adjustRightInd w:val="0"/>
              <w:snapToGrid w:val="0"/>
              <w:spacing w:line="430" w:lineRule="atLeast"/>
              <w:jc w:val="center"/>
              <w:rPr>
                <w:rFonts w:asciiTheme="majorEastAsia" w:hAnsiTheme="majorEastAsia" w:eastAsiaTheme="majorEastAsia"/>
                <w:sz w:val="22"/>
                <w:szCs w:val="22"/>
              </w:rPr>
            </w:pPr>
          </w:p>
        </w:tc>
      </w:tr>
      <w:tr w14:paraId="7E6E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1943515">
            <w:pPr>
              <w:autoSpaceDE w:val="0"/>
              <w:autoSpaceDN w:val="0"/>
              <w:adjustRightInd w:val="0"/>
              <w:snapToGrid w:val="0"/>
              <w:spacing w:line="430" w:lineRule="atLeast"/>
              <w:jc w:val="center"/>
              <w:rPr>
                <w:rFonts w:asciiTheme="majorEastAsia" w:hAnsiTheme="majorEastAsia" w:eastAsiaTheme="majorEastAsia"/>
                <w:b/>
                <w:sz w:val="22"/>
              </w:rPr>
            </w:pPr>
            <w:r>
              <w:rPr>
                <w:rFonts w:hint="eastAsia" w:asciiTheme="majorEastAsia" w:hAnsiTheme="majorEastAsia" w:eastAsiaTheme="majorEastAsia"/>
                <w:sz w:val="22"/>
                <w:szCs w:val="22"/>
              </w:rPr>
              <w:t>6</w:t>
            </w:r>
          </w:p>
        </w:tc>
        <w:tc>
          <w:tcPr>
            <w:tcW w:w="8080" w:type="dxa"/>
          </w:tcPr>
          <w:p w14:paraId="0675FFC6">
            <w:pPr>
              <w:autoSpaceDE w:val="0"/>
              <w:autoSpaceDN w:val="0"/>
              <w:adjustRightInd w:val="0"/>
              <w:snapToGrid w:val="0"/>
              <w:spacing w:line="430" w:lineRule="atLeast"/>
              <w:rPr>
                <w:rFonts w:asciiTheme="majorEastAsia" w:hAnsiTheme="majorEastAsia" w:eastAsiaTheme="majorEastAsia"/>
                <w:b/>
                <w:sz w:val="22"/>
              </w:rPr>
            </w:pPr>
            <w:r>
              <w:rPr>
                <w:rFonts w:hint="eastAsia" w:asciiTheme="majorEastAsia" w:hAnsiTheme="majorEastAsia" w:eastAsiaTheme="majorEastAsia"/>
                <w:sz w:val="22"/>
                <w:szCs w:val="22"/>
              </w:rPr>
              <w:t>类似业绩（如有，</w:t>
            </w:r>
            <w:r>
              <w:rPr>
                <w:rFonts w:hint="eastAsia" w:ascii="宋体"/>
                <w:sz w:val="22"/>
                <w:szCs w:val="22"/>
              </w:rPr>
              <w:t>具体以评分细则中的要求为准</w:t>
            </w:r>
            <w:r>
              <w:rPr>
                <w:rFonts w:hint="eastAsia" w:asciiTheme="majorEastAsia" w:hAnsiTheme="majorEastAsia" w:eastAsiaTheme="majorEastAsia"/>
                <w:sz w:val="22"/>
                <w:szCs w:val="22"/>
              </w:rPr>
              <w:t>）</w:t>
            </w:r>
          </w:p>
        </w:tc>
        <w:tc>
          <w:tcPr>
            <w:tcW w:w="1099" w:type="dxa"/>
          </w:tcPr>
          <w:p w14:paraId="4581A413">
            <w:pPr>
              <w:autoSpaceDE w:val="0"/>
              <w:autoSpaceDN w:val="0"/>
              <w:adjustRightInd w:val="0"/>
              <w:snapToGrid w:val="0"/>
              <w:spacing w:line="430" w:lineRule="atLeast"/>
              <w:jc w:val="center"/>
              <w:rPr>
                <w:rFonts w:asciiTheme="majorEastAsia" w:hAnsiTheme="majorEastAsia" w:eastAsiaTheme="majorEastAsia"/>
                <w:sz w:val="22"/>
                <w:szCs w:val="22"/>
              </w:rPr>
            </w:pPr>
            <w:r>
              <w:rPr>
                <w:rFonts w:hint="eastAsia" w:cs="Arial" w:asciiTheme="majorEastAsia" w:hAnsiTheme="majorEastAsia" w:eastAsiaTheme="majorEastAsia"/>
                <w:sz w:val="22"/>
                <w:szCs w:val="22"/>
              </w:rPr>
              <w:t>附件七</w:t>
            </w:r>
          </w:p>
        </w:tc>
      </w:tr>
      <w:tr w14:paraId="25BF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1536087">
            <w:pPr>
              <w:autoSpaceDE w:val="0"/>
              <w:autoSpaceDN w:val="0"/>
              <w:adjustRightInd w:val="0"/>
              <w:snapToGrid w:val="0"/>
              <w:spacing w:line="430" w:lineRule="atLeast"/>
              <w:jc w:val="center"/>
              <w:rPr>
                <w:rFonts w:asciiTheme="majorEastAsia" w:hAnsiTheme="majorEastAsia" w:eastAsiaTheme="majorEastAsia"/>
                <w:b/>
                <w:sz w:val="22"/>
              </w:rPr>
            </w:pPr>
            <w:r>
              <w:rPr>
                <w:rFonts w:hint="eastAsia" w:asciiTheme="majorEastAsia" w:hAnsiTheme="majorEastAsia" w:eastAsiaTheme="majorEastAsia"/>
                <w:sz w:val="22"/>
                <w:szCs w:val="22"/>
              </w:rPr>
              <w:t>7</w:t>
            </w:r>
          </w:p>
        </w:tc>
        <w:tc>
          <w:tcPr>
            <w:tcW w:w="8080" w:type="dxa"/>
            <w:vAlign w:val="center"/>
          </w:tcPr>
          <w:p w14:paraId="2133EC3F">
            <w:pPr>
              <w:tabs>
                <w:tab w:val="left" w:pos="4140"/>
              </w:tabs>
              <w:adjustRightInd w:val="0"/>
              <w:snapToGrid w:val="0"/>
              <w:spacing w:line="320" w:lineRule="atLeast"/>
              <w:rPr>
                <w:rFonts w:asciiTheme="majorEastAsia" w:hAnsiTheme="majorEastAsia" w:eastAsiaTheme="majorEastAsia"/>
                <w:b/>
                <w:sz w:val="22"/>
              </w:rPr>
            </w:pPr>
            <w:r>
              <w:rPr>
                <w:rFonts w:hint="eastAsia" w:asciiTheme="majorEastAsia" w:hAnsiTheme="majorEastAsia" w:eastAsiaTheme="majorEastAsia"/>
                <w:sz w:val="22"/>
                <w:szCs w:val="22"/>
              </w:rPr>
              <w:t>其他需说明的资料（如有则提供）</w:t>
            </w:r>
          </w:p>
        </w:tc>
        <w:tc>
          <w:tcPr>
            <w:tcW w:w="1099" w:type="dxa"/>
          </w:tcPr>
          <w:p w14:paraId="4F93D1DA">
            <w:pPr>
              <w:autoSpaceDE w:val="0"/>
              <w:autoSpaceDN w:val="0"/>
              <w:adjustRightInd w:val="0"/>
              <w:snapToGrid w:val="0"/>
              <w:spacing w:line="430" w:lineRule="atLeast"/>
              <w:jc w:val="center"/>
              <w:rPr>
                <w:rFonts w:cs="仿宋_GB2312" w:asciiTheme="majorEastAsia" w:hAnsiTheme="majorEastAsia" w:eastAsiaTheme="majorEastAsia"/>
                <w:sz w:val="22"/>
                <w:szCs w:val="22"/>
                <w:lang w:val="zh-CN"/>
              </w:rPr>
            </w:pPr>
          </w:p>
        </w:tc>
      </w:tr>
      <w:tr w14:paraId="4506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2"/>
          </w:tcPr>
          <w:p w14:paraId="7A749197">
            <w:pPr>
              <w:autoSpaceDE w:val="0"/>
              <w:autoSpaceDN w:val="0"/>
              <w:adjustRightInd w:val="0"/>
              <w:snapToGrid w:val="0"/>
              <w:spacing w:line="430" w:lineRule="atLeast"/>
              <w:rPr>
                <w:rFonts w:asciiTheme="majorEastAsia" w:hAnsiTheme="majorEastAsia" w:eastAsiaTheme="majorEastAsia"/>
                <w:b/>
                <w:sz w:val="22"/>
              </w:rPr>
            </w:pPr>
            <w:r>
              <w:rPr>
                <w:rFonts w:hint="eastAsia" w:asciiTheme="majorEastAsia" w:hAnsiTheme="majorEastAsia" w:eastAsiaTheme="majorEastAsia"/>
                <w:sz w:val="22"/>
                <w:szCs w:val="22"/>
                <w:lang w:val="zh-CN"/>
              </w:rPr>
              <w:t>技术部分（如资料提供不齐全，将可能导致不利的评定）</w:t>
            </w:r>
          </w:p>
        </w:tc>
        <w:tc>
          <w:tcPr>
            <w:tcW w:w="1099" w:type="dxa"/>
          </w:tcPr>
          <w:p w14:paraId="39CA2AE6">
            <w:pPr>
              <w:autoSpaceDE w:val="0"/>
              <w:autoSpaceDN w:val="0"/>
              <w:adjustRightInd w:val="0"/>
              <w:snapToGrid w:val="0"/>
              <w:spacing w:line="430" w:lineRule="atLeast"/>
              <w:jc w:val="center"/>
              <w:rPr>
                <w:rFonts w:asciiTheme="majorEastAsia" w:hAnsiTheme="majorEastAsia" w:eastAsiaTheme="majorEastAsia"/>
                <w:sz w:val="22"/>
                <w:szCs w:val="22"/>
                <w:lang w:val="zh-CN"/>
              </w:rPr>
            </w:pPr>
          </w:p>
        </w:tc>
      </w:tr>
      <w:tr w14:paraId="185C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09EC07DC">
            <w:pPr>
              <w:autoSpaceDE w:val="0"/>
              <w:autoSpaceDN w:val="0"/>
              <w:adjustRightInd w:val="0"/>
              <w:snapToGrid w:val="0"/>
              <w:spacing w:line="430" w:lineRule="atLeast"/>
              <w:jc w:val="center"/>
              <w:rPr>
                <w:rFonts w:asciiTheme="majorEastAsia" w:hAnsiTheme="majorEastAsia" w:eastAsiaTheme="majorEastAsia"/>
                <w:bCs/>
                <w:sz w:val="22"/>
              </w:rPr>
            </w:pPr>
            <w:r>
              <w:rPr>
                <w:rFonts w:hint="eastAsia" w:asciiTheme="majorEastAsia" w:hAnsiTheme="majorEastAsia" w:eastAsiaTheme="majorEastAsia"/>
                <w:bCs/>
                <w:sz w:val="22"/>
              </w:rPr>
              <w:t>8</w:t>
            </w:r>
          </w:p>
        </w:tc>
        <w:tc>
          <w:tcPr>
            <w:tcW w:w="8080" w:type="dxa"/>
          </w:tcPr>
          <w:p w14:paraId="71986289">
            <w:pPr>
              <w:autoSpaceDE w:val="0"/>
              <w:autoSpaceDN w:val="0"/>
              <w:adjustRightInd w:val="0"/>
              <w:snapToGrid w:val="0"/>
              <w:spacing w:line="430" w:lineRule="atLeast"/>
              <w:rPr>
                <w:rFonts w:asciiTheme="majorEastAsia" w:hAnsiTheme="majorEastAsia" w:eastAsiaTheme="majorEastAsia"/>
                <w:b/>
                <w:sz w:val="22"/>
              </w:rPr>
            </w:pPr>
            <w:r>
              <w:rPr>
                <w:rFonts w:hint="eastAsia" w:asciiTheme="majorEastAsia" w:hAnsiTheme="majorEastAsia" w:eastAsiaTheme="majorEastAsia"/>
                <w:sz w:val="22"/>
                <w:szCs w:val="22"/>
              </w:rPr>
              <w:t>商务、技术偏离表</w:t>
            </w:r>
          </w:p>
        </w:tc>
        <w:tc>
          <w:tcPr>
            <w:tcW w:w="1099" w:type="dxa"/>
          </w:tcPr>
          <w:p w14:paraId="7C48878E">
            <w:pPr>
              <w:autoSpaceDE w:val="0"/>
              <w:autoSpaceDN w:val="0"/>
              <w:adjustRightInd w:val="0"/>
              <w:snapToGrid w:val="0"/>
              <w:spacing w:line="430" w:lineRule="atLeas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附件八</w:t>
            </w:r>
          </w:p>
        </w:tc>
      </w:tr>
      <w:tr w14:paraId="12B5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6BA9F788">
            <w:pPr>
              <w:autoSpaceDE w:val="0"/>
              <w:autoSpaceDN w:val="0"/>
              <w:adjustRightInd w:val="0"/>
              <w:snapToGrid w:val="0"/>
              <w:spacing w:line="430" w:lineRule="atLeast"/>
              <w:jc w:val="center"/>
              <w:rPr>
                <w:rFonts w:asciiTheme="majorEastAsia" w:hAnsiTheme="majorEastAsia" w:eastAsiaTheme="majorEastAsia"/>
                <w:bCs/>
                <w:sz w:val="22"/>
              </w:rPr>
            </w:pPr>
            <w:r>
              <w:rPr>
                <w:rFonts w:hint="eastAsia" w:asciiTheme="majorEastAsia" w:hAnsiTheme="majorEastAsia" w:eastAsiaTheme="majorEastAsia"/>
                <w:bCs/>
                <w:sz w:val="22"/>
              </w:rPr>
              <w:t>9</w:t>
            </w:r>
          </w:p>
        </w:tc>
        <w:tc>
          <w:tcPr>
            <w:tcW w:w="8080" w:type="dxa"/>
          </w:tcPr>
          <w:p w14:paraId="0ADAB82B">
            <w:pPr>
              <w:autoSpaceDE w:val="0"/>
              <w:autoSpaceDN w:val="0"/>
              <w:adjustRightInd w:val="0"/>
              <w:snapToGrid w:val="0"/>
              <w:rPr>
                <w:rFonts w:ascii="宋体"/>
                <w:b/>
                <w:sz w:val="22"/>
                <w:szCs w:val="22"/>
              </w:rPr>
            </w:pPr>
            <w:r>
              <w:rPr>
                <w:rFonts w:hint="eastAsia" w:ascii="宋体" w:hAnsi="宋体" w:cs="宋体"/>
                <w:b/>
                <w:sz w:val="22"/>
                <w:szCs w:val="22"/>
              </w:rPr>
              <w:t>投标产品生产企业的证明材料：第二类、第三类医疗器械生产企业提供《医疗器械生产许可证》（如适用）；第一类医疗器械生产企业提供第一类医疗器械生产备案凭证（如适用）</w:t>
            </w:r>
          </w:p>
        </w:tc>
        <w:tc>
          <w:tcPr>
            <w:tcW w:w="1099" w:type="dxa"/>
          </w:tcPr>
          <w:p w14:paraId="4C49B5DF">
            <w:pPr>
              <w:autoSpaceDE w:val="0"/>
              <w:autoSpaceDN w:val="0"/>
              <w:adjustRightInd w:val="0"/>
              <w:snapToGrid w:val="0"/>
              <w:spacing w:line="430" w:lineRule="atLeast"/>
              <w:jc w:val="center"/>
              <w:rPr>
                <w:rFonts w:asciiTheme="majorEastAsia" w:hAnsiTheme="majorEastAsia" w:eastAsiaTheme="majorEastAsia"/>
                <w:sz w:val="22"/>
                <w:szCs w:val="22"/>
              </w:rPr>
            </w:pPr>
          </w:p>
        </w:tc>
      </w:tr>
      <w:tr w14:paraId="1670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5EB99850">
            <w:pPr>
              <w:autoSpaceDE w:val="0"/>
              <w:autoSpaceDN w:val="0"/>
              <w:adjustRightInd w:val="0"/>
              <w:snapToGrid w:val="0"/>
              <w:spacing w:line="430" w:lineRule="atLeast"/>
              <w:jc w:val="center"/>
              <w:rPr>
                <w:rFonts w:asciiTheme="majorEastAsia" w:hAnsiTheme="majorEastAsia" w:eastAsiaTheme="majorEastAsia"/>
                <w:bCs/>
                <w:sz w:val="22"/>
              </w:rPr>
            </w:pPr>
            <w:r>
              <w:rPr>
                <w:rFonts w:hint="eastAsia" w:asciiTheme="majorEastAsia" w:hAnsiTheme="majorEastAsia" w:eastAsiaTheme="majorEastAsia"/>
                <w:bCs/>
                <w:sz w:val="22"/>
              </w:rPr>
              <w:t>10</w:t>
            </w:r>
          </w:p>
        </w:tc>
        <w:tc>
          <w:tcPr>
            <w:tcW w:w="8080" w:type="dxa"/>
          </w:tcPr>
          <w:p w14:paraId="355B6EC5">
            <w:pPr>
              <w:autoSpaceDE w:val="0"/>
              <w:autoSpaceDN w:val="0"/>
              <w:adjustRightInd w:val="0"/>
              <w:snapToGrid w:val="0"/>
              <w:rPr>
                <w:rFonts w:ascii="宋体"/>
                <w:sz w:val="22"/>
                <w:szCs w:val="22"/>
              </w:rPr>
            </w:pPr>
            <w:r>
              <w:rPr>
                <w:rFonts w:hint="eastAsia" w:ascii="宋体" w:hAnsi="宋体" w:cs="宋体"/>
                <w:b/>
                <w:sz w:val="22"/>
                <w:szCs w:val="22"/>
              </w:rPr>
              <w:t>医疗器械经营许可证（和/或二类医疗器械经营备案证）（如适用）；完整的投标产品医疗器械注册证（如适用）；</w:t>
            </w:r>
          </w:p>
        </w:tc>
        <w:tc>
          <w:tcPr>
            <w:tcW w:w="1099" w:type="dxa"/>
          </w:tcPr>
          <w:p w14:paraId="7F40D941">
            <w:pPr>
              <w:autoSpaceDE w:val="0"/>
              <w:autoSpaceDN w:val="0"/>
              <w:adjustRightInd w:val="0"/>
              <w:snapToGrid w:val="0"/>
              <w:spacing w:line="430" w:lineRule="atLeast"/>
              <w:jc w:val="center"/>
              <w:rPr>
                <w:rFonts w:asciiTheme="majorEastAsia" w:hAnsiTheme="majorEastAsia" w:eastAsiaTheme="majorEastAsia"/>
                <w:sz w:val="22"/>
                <w:szCs w:val="22"/>
              </w:rPr>
            </w:pPr>
          </w:p>
        </w:tc>
      </w:tr>
      <w:tr w14:paraId="24BD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62EA41ED">
            <w:pPr>
              <w:autoSpaceDE w:val="0"/>
              <w:autoSpaceDN w:val="0"/>
              <w:adjustRightInd w:val="0"/>
              <w:snapToGrid w:val="0"/>
              <w:spacing w:line="430" w:lineRule="atLeast"/>
              <w:jc w:val="center"/>
              <w:rPr>
                <w:rFonts w:asciiTheme="majorEastAsia" w:hAnsiTheme="majorEastAsia" w:eastAsiaTheme="majorEastAsia"/>
                <w:bCs/>
                <w:sz w:val="22"/>
              </w:rPr>
            </w:pPr>
            <w:r>
              <w:rPr>
                <w:rFonts w:hint="eastAsia" w:asciiTheme="majorEastAsia" w:hAnsiTheme="majorEastAsia" w:eastAsiaTheme="majorEastAsia"/>
                <w:bCs/>
                <w:sz w:val="22"/>
              </w:rPr>
              <w:t>11</w:t>
            </w:r>
          </w:p>
        </w:tc>
        <w:tc>
          <w:tcPr>
            <w:tcW w:w="8080" w:type="dxa"/>
            <w:vAlign w:val="center"/>
          </w:tcPr>
          <w:p w14:paraId="3A0AEBD1">
            <w:pPr>
              <w:autoSpaceDE w:val="0"/>
              <w:autoSpaceDN w:val="0"/>
              <w:adjustRightInd w:val="0"/>
              <w:snapToGrid w:val="0"/>
              <w:rPr>
                <w:rFonts w:ascii="宋体"/>
                <w:sz w:val="22"/>
                <w:szCs w:val="22"/>
              </w:rPr>
            </w:pPr>
            <w:r>
              <w:rPr>
                <w:rFonts w:hint="eastAsia" w:ascii="宋体" w:hAnsi="宋体" w:cs="宋体"/>
                <w:sz w:val="22"/>
                <w:szCs w:val="22"/>
              </w:rPr>
              <w:t>产品配置及主要技术参数、原厂技术参数</w:t>
            </w:r>
          </w:p>
        </w:tc>
        <w:tc>
          <w:tcPr>
            <w:tcW w:w="1099" w:type="dxa"/>
          </w:tcPr>
          <w:p w14:paraId="08B87355">
            <w:pPr>
              <w:autoSpaceDE w:val="0"/>
              <w:autoSpaceDN w:val="0"/>
              <w:adjustRightInd w:val="0"/>
              <w:snapToGrid w:val="0"/>
              <w:spacing w:line="430" w:lineRule="atLeas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附件九</w:t>
            </w:r>
          </w:p>
        </w:tc>
      </w:tr>
      <w:tr w14:paraId="0851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18B2B6D8">
            <w:pPr>
              <w:autoSpaceDE w:val="0"/>
              <w:autoSpaceDN w:val="0"/>
              <w:adjustRightInd w:val="0"/>
              <w:snapToGrid w:val="0"/>
              <w:spacing w:line="430" w:lineRule="atLeast"/>
              <w:jc w:val="center"/>
              <w:rPr>
                <w:rFonts w:asciiTheme="majorEastAsia" w:hAnsiTheme="majorEastAsia" w:eastAsiaTheme="majorEastAsia"/>
                <w:bCs/>
                <w:sz w:val="22"/>
              </w:rPr>
            </w:pPr>
            <w:r>
              <w:rPr>
                <w:rFonts w:hint="eastAsia" w:asciiTheme="majorEastAsia" w:hAnsiTheme="majorEastAsia" w:eastAsiaTheme="majorEastAsia"/>
                <w:bCs/>
                <w:sz w:val="22"/>
              </w:rPr>
              <w:t>12</w:t>
            </w:r>
          </w:p>
        </w:tc>
        <w:tc>
          <w:tcPr>
            <w:tcW w:w="8080" w:type="dxa"/>
            <w:vAlign w:val="center"/>
          </w:tcPr>
          <w:p w14:paraId="6F8CD5DB">
            <w:pPr>
              <w:autoSpaceDE w:val="0"/>
              <w:autoSpaceDN w:val="0"/>
              <w:adjustRightInd w:val="0"/>
              <w:snapToGrid w:val="0"/>
              <w:rPr>
                <w:rFonts w:ascii="宋体"/>
                <w:sz w:val="22"/>
                <w:szCs w:val="22"/>
              </w:rPr>
            </w:pPr>
            <w:r>
              <w:rPr>
                <w:rFonts w:hint="eastAsia" w:ascii="宋体" w:hAnsi="宋体" w:cs="宋体"/>
                <w:sz w:val="22"/>
                <w:szCs w:val="22"/>
              </w:rPr>
              <w:t>投标机型的样本或彩页</w:t>
            </w:r>
          </w:p>
        </w:tc>
        <w:tc>
          <w:tcPr>
            <w:tcW w:w="1099" w:type="dxa"/>
          </w:tcPr>
          <w:p w14:paraId="0E3D67E8">
            <w:pPr>
              <w:autoSpaceDE w:val="0"/>
              <w:autoSpaceDN w:val="0"/>
              <w:adjustRightInd w:val="0"/>
              <w:snapToGrid w:val="0"/>
              <w:spacing w:line="430" w:lineRule="atLeast"/>
              <w:jc w:val="center"/>
              <w:rPr>
                <w:rFonts w:asciiTheme="majorEastAsia" w:hAnsiTheme="majorEastAsia" w:eastAsiaTheme="majorEastAsia"/>
                <w:sz w:val="22"/>
                <w:szCs w:val="22"/>
              </w:rPr>
            </w:pPr>
          </w:p>
        </w:tc>
      </w:tr>
      <w:tr w14:paraId="65F7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32B2DEA4">
            <w:pPr>
              <w:autoSpaceDE w:val="0"/>
              <w:autoSpaceDN w:val="0"/>
              <w:adjustRightInd w:val="0"/>
              <w:snapToGrid w:val="0"/>
              <w:spacing w:line="430" w:lineRule="atLeast"/>
              <w:jc w:val="center"/>
              <w:rPr>
                <w:rFonts w:asciiTheme="majorEastAsia" w:hAnsiTheme="majorEastAsia" w:eastAsiaTheme="majorEastAsia"/>
                <w:bCs/>
                <w:sz w:val="22"/>
              </w:rPr>
            </w:pPr>
            <w:r>
              <w:rPr>
                <w:rFonts w:hint="eastAsia" w:asciiTheme="majorEastAsia" w:hAnsiTheme="majorEastAsia" w:eastAsiaTheme="majorEastAsia"/>
                <w:bCs/>
                <w:sz w:val="22"/>
              </w:rPr>
              <w:t>13</w:t>
            </w:r>
          </w:p>
        </w:tc>
        <w:tc>
          <w:tcPr>
            <w:tcW w:w="8080" w:type="dxa"/>
            <w:vAlign w:val="center"/>
          </w:tcPr>
          <w:p w14:paraId="660987BA">
            <w:pPr>
              <w:autoSpaceDE w:val="0"/>
              <w:autoSpaceDN w:val="0"/>
              <w:adjustRightInd w:val="0"/>
              <w:snapToGrid w:val="0"/>
              <w:rPr>
                <w:rFonts w:ascii="宋体"/>
                <w:sz w:val="22"/>
                <w:szCs w:val="22"/>
              </w:rPr>
            </w:pPr>
            <w:r>
              <w:rPr>
                <w:rFonts w:hint="eastAsia" w:ascii="宋体" w:hAnsi="宋体" w:cs="宋体"/>
                <w:sz w:val="22"/>
                <w:szCs w:val="22"/>
              </w:rPr>
              <w:t>供货、随机标准附件、备品备件、零配件、专用工具清单</w:t>
            </w:r>
          </w:p>
        </w:tc>
        <w:tc>
          <w:tcPr>
            <w:tcW w:w="1099" w:type="dxa"/>
          </w:tcPr>
          <w:p w14:paraId="1150F340">
            <w:pPr>
              <w:autoSpaceDE w:val="0"/>
              <w:autoSpaceDN w:val="0"/>
              <w:adjustRightInd w:val="0"/>
              <w:snapToGrid w:val="0"/>
              <w:spacing w:line="430" w:lineRule="atLeast"/>
              <w:jc w:val="center"/>
              <w:rPr>
                <w:rFonts w:asciiTheme="majorEastAsia" w:hAnsiTheme="majorEastAsia" w:eastAsiaTheme="majorEastAsia"/>
                <w:sz w:val="22"/>
                <w:szCs w:val="22"/>
              </w:rPr>
            </w:pPr>
          </w:p>
        </w:tc>
      </w:tr>
      <w:tr w14:paraId="242B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40AA8B90">
            <w:pPr>
              <w:autoSpaceDE w:val="0"/>
              <w:autoSpaceDN w:val="0"/>
              <w:adjustRightInd w:val="0"/>
              <w:snapToGrid w:val="0"/>
              <w:spacing w:line="430" w:lineRule="atLeast"/>
              <w:jc w:val="center"/>
              <w:rPr>
                <w:rFonts w:asciiTheme="majorEastAsia" w:hAnsiTheme="majorEastAsia" w:eastAsiaTheme="majorEastAsia"/>
                <w:bCs/>
                <w:sz w:val="22"/>
              </w:rPr>
            </w:pPr>
            <w:r>
              <w:rPr>
                <w:rFonts w:hint="eastAsia" w:asciiTheme="majorEastAsia" w:hAnsiTheme="majorEastAsia" w:eastAsiaTheme="majorEastAsia"/>
                <w:bCs/>
                <w:sz w:val="22"/>
              </w:rPr>
              <w:t>14</w:t>
            </w:r>
          </w:p>
        </w:tc>
        <w:tc>
          <w:tcPr>
            <w:tcW w:w="8080" w:type="dxa"/>
            <w:vAlign w:val="center"/>
          </w:tcPr>
          <w:p w14:paraId="1AF00469">
            <w:pPr>
              <w:autoSpaceDE w:val="0"/>
              <w:autoSpaceDN w:val="0"/>
              <w:adjustRightInd w:val="0"/>
              <w:snapToGrid w:val="0"/>
              <w:rPr>
                <w:rFonts w:ascii="宋体"/>
                <w:b/>
                <w:sz w:val="22"/>
                <w:szCs w:val="22"/>
              </w:rPr>
            </w:pPr>
            <w:r>
              <w:rPr>
                <w:rFonts w:hint="eastAsia" w:ascii="宋体" w:hAnsi="宋体" w:cs="宋体"/>
                <w:sz w:val="22"/>
                <w:szCs w:val="22"/>
              </w:rPr>
              <w:t>消耗品、易耗品价格清单</w:t>
            </w:r>
          </w:p>
        </w:tc>
        <w:tc>
          <w:tcPr>
            <w:tcW w:w="1099" w:type="dxa"/>
          </w:tcPr>
          <w:p w14:paraId="078FF069">
            <w:pPr>
              <w:autoSpaceDE w:val="0"/>
              <w:autoSpaceDN w:val="0"/>
              <w:adjustRightInd w:val="0"/>
              <w:snapToGrid w:val="0"/>
              <w:spacing w:line="430" w:lineRule="atLeast"/>
              <w:jc w:val="center"/>
              <w:rPr>
                <w:rFonts w:asciiTheme="majorEastAsia" w:hAnsiTheme="majorEastAsia" w:eastAsiaTheme="majorEastAsia"/>
                <w:sz w:val="22"/>
                <w:szCs w:val="22"/>
              </w:rPr>
            </w:pPr>
          </w:p>
        </w:tc>
      </w:tr>
      <w:tr w14:paraId="1F21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19CEACC6">
            <w:pPr>
              <w:autoSpaceDE w:val="0"/>
              <w:autoSpaceDN w:val="0"/>
              <w:adjustRightInd w:val="0"/>
              <w:snapToGrid w:val="0"/>
              <w:spacing w:line="430" w:lineRule="atLeast"/>
              <w:jc w:val="center"/>
              <w:rPr>
                <w:rFonts w:asciiTheme="majorEastAsia" w:hAnsiTheme="majorEastAsia" w:eastAsiaTheme="majorEastAsia"/>
                <w:bCs/>
                <w:sz w:val="22"/>
              </w:rPr>
            </w:pPr>
            <w:r>
              <w:rPr>
                <w:rFonts w:hint="eastAsia" w:asciiTheme="majorEastAsia" w:hAnsiTheme="majorEastAsia" w:eastAsiaTheme="majorEastAsia"/>
                <w:bCs/>
                <w:sz w:val="22"/>
              </w:rPr>
              <w:t>15</w:t>
            </w:r>
          </w:p>
        </w:tc>
        <w:tc>
          <w:tcPr>
            <w:tcW w:w="8080" w:type="dxa"/>
            <w:vAlign w:val="center"/>
          </w:tcPr>
          <w:p w14:paraId="4A2DFA53">
            <w:pPr>
              <w:autoSpaceDE w:val="0"/>
              <w:autoSpaceDN w:val="0"/>
              <w:adjustRightInd w:val="0"/>
              <w:snapToGrid w:val="0"/>
              <w:rPr>
                <w:rFonts w:ascii="宋体"/>
                <w:b/>
                <w:sz w:val="22"/>
                <w:szCs w:val="22"/>
              </w:rPr>
            </w:pPr>
            <w:r>
              <w:rPr>
                <w:rFonts w:hint="eastAsia" w:ascii="宋体" w:hAnsi="宋体" w:cs="宋体"/>
                <w:sz w:val="22"/>
                <w:szCs w:val="22"/>
              </w:rPr>
              <w:t>保修价格，维修配件价格，维修服务费价格</w:t>
            </w:r>
          </w:p>
        </w:tc>
        <w:tc>
          <w:tcPr>
            <w:tcW w:w="1099" w:type="dxa"/>
          </w:tcPr>
          <w:p w14:paraId="2A16E81A">
            <w:pPr>
              <w:autoSpaceDE w:val="0"/>
              <w:autoSpaceDN w:val="0"/>
              <w:adjustRightInd w:val="0"/>
              <w:snapToGrid w:val="0"/>
              <w:spacing w:line="430" w:lineRule="atLeast"/>
              <w:jc w:val="center"/>
              <w:rPr>
                <w:rFonts w:asciiTheme="majorEastAsia" w:hAnsiTheme="majorEastAsia" w:eastAsiaTheme="majorEastAsia"/>
                <w:sz w:val="22"/>
                <w:szCs w:val="22"/>
              </w:rPr>
            </w:pPr>
          </w:p>
        </w:tc>
      </w:tr>
      <w:tr w14:paraId="1E13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53A917FC">
            <w:pPr>
              <w:autoSpaceDE w:val="0"/>
              <w:autoSpaceDN w:val="0"/>
              <w:adjustRightInd w:val="0"/>
              <w:snapToGrid w:val="0"/>
              <w:spacing w:line="430" w:lineRule="atLeast"/>
              <w:jc w:val="center"/>
              <w:rPr>
                <w:rFonts w:asciiTheme="majorEastAsia" w:hAnsiTheme="majorEastAsia" w:eastAsiaTheme="majorEastAsia"/>
                <w:bCs/>
                <w:sz w:val="22"/>
              </w:rPr>
            </w:pPr>
            <w:r>
              <w:rPr>
                <w:rFonts w:hint="eastAsia" w:asciiTheme="majorEastAsia" w:hAnsiTheme="majorEastAsia" w:eastAsiaTheme="majorEastAsia"/>
                <w:bCs/>
                <w:sz w:val="22"/>
              </w:rPr>
              <w:t>16</w:t>
            </w:r>
          </w:p>
        </w:tc>
        <w:tc>
          <w:tcPr>
            <w:tcW w:w="8080" w:type="dxa"/>
            <w:vAlign w:val="center"/>
          </w:tcPr>
          <w:p w14:paraId="19400D79">
            <w:pPr>
              <w:autoSpaceDE w:val="0"/>
              <w:autoSpaceDN w:val="0"/>
              <w:adjustRightInd w:val="0"/>
              <w:snapToGrid w:val="0"/>
              <w:rPr>
                <w:rFonts w:ascii="宋体"/>
                <w:b/>
                <w:sz w:val="22"/>
                <w:szCs w:val="22"/>
              </w:rPr>
            </w:pPr>
            <w:r>
              <w:rPr>
                <w:rFonts w:hint="eastAsia" w:ascii="宋体" w:hAnsi="宋体" w:cs="宋体"/>
                <w:sz w:val="22"/>
                <w:szCs w:val="22"/>
              </w:rPr>
              <w:t>产品性能说明</w:t>
            </w:r>
          </w:p>
        </w:tc>
        <w:tc>
          <w:tcPr>
            <w:tcW w:w="1099" w:type="dxa"/>
          </w:tcPr>
          <w:p w14:paraId="3EFB798F">
            <w:pPr>
              <w:autoSpaceDE w:val="0"/>
              <w:autoSpaceDN w:val="0"/>
              <w:adjustRightInd w:val="0"/>
              <w:snapToGrid w:val="0"/>
              <w:spacing w:line="430" w:lineRule="atLeast"/>
              <w:jc w:val="center"/>
              <w:rPr>
                <w:rFonts w:asciiTheme="majorEastAsia" w:hAnsiTheme="majorEastAsia" w:eastAsiaTheme="majorEastAsia"/>
                <w:sz w:val="22"/>
                <w:szCs w:val="22"/>
              </w:rPr>
            </w:pPr>
          </w:p>
        </w:tc>
      </w:tr>
      <w:tr w14:paraId="2E49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3484612">
            <w:pPr>
              <w:autoSpaceDE w:val="0"/>
              <w:autoSpaceDN w:val="0"/>
              <w:adjustRightInd w:val="0"/>
              <w:snapToGrid w:val="0"/>
              <w:spacing w:line="430" w:lineRule="atLeast"/>
              <w:jc w:val="center"/>
              <w:rPr>
                <w:rFonts w:asciiTheme="majorEastAsia" w:hAnsiTheme="majorEastAsia" w:eastAsiaTheme="majorEastAsia"/>
                <w:bCs/>
                <w:sz w:val="22"/>
              </w:rPr>
            </w:pPr>
            <w:r>
              <w:rPr>
                <w:rFonts w:hint="eastAsia" w:asciiTheme="majorEastAsia" w:hAnsiTheme="majorEastAsia" w:eastAsiaTheme="majorEastAsia"/>
                <w:bCs/>
                <w:sz w:val="22"/>
              </w:rPr>
              <w:t>17</w:t>
            </w:r>
          </w:p>
        </w:tc>
        <w:tc>
          <w:tcPr>
            <w:tcW w:w="8080" w:type="dxa"/>
            <w:vAlign w:val="center"/>
          </w:tcPr>
          <w:p w14:paraId="73B943BB">
            <w:pPr>
              <w:autoSpaceDE w:val="0"/>
              <w:autoSpaceDN w:val="0"/>
              <w:adjustRightInd w:val="0"/>
              <w:snapToGrid w:val="0"/>
              <w:rPr>
                <w:rFonts w:ascii="宋体"/>
                <w:b/>
                <w:sz w:val="22"/>
                <w:szCs w:val="22"/>
              </w:rPr>
            </w:pPr>
            <w:r>
              <w:rPr>
                <w:rFonts w:hint="eastAsia" w:ascii="宋体" w:hAnsi="宋体" w:cs="宋体"/>
                <w:sz w:val="22"/>
                <w:szCs w:val="22"/>
              </w:rPr>
              <w:t>项目服务人员汇总表</w:t>
            </w:r>
          </w:p>
        </w:tc>
        <w:tc>
          <w:tcPr>
            <w:tcW w:w="1099" w:type="dxa"/>
          </w:tcPr>
          <w:p w14:paraId="0888FE6A">
            <w:pPr>
              <w:autoSpaceDE w:val="0"/>
              <w:autoSpaceDN w:val="0"/>
              <w:adjustRightInd w:val="0"/>
              <w:snapToGrid w:val="0"/>
              <w:spacing w:line="430" w:lineRule="atLeast"/>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附件十</w:t>
            </w:r>
          </w:p>
        </w:tc>
      </w:tr>
      <w:tr w14:paraId="0FCE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3061E64">
            <w:pPr>
              <w:autoSpaceDE w:val="0"/>
              <w:autoSpaceDN w:val="0"/>
              <w:adjustRightInd w:val="0"/>
              <w:snapToGrid w:val="0"/>
              <w:spacing w:line="430" w:lineRule="atLeast"/>
              <w:jc w:val="center"/>
              <w:rPr>
                <w:rFonts w:asciiTheme="majorEastAsia" w:hAnsiTheme="majorEastAsia" w:eastAsiaTheme="majorEastAsia"/>
                <w:bCs/>
                <w:sz w:val="22"/>
              </w:rPr>
            </w:pPr>
            <w:r>
              <w:rPr>
                <w:rFonts w:hint="eastAsia" w:asciiTheme="majorEastAsia" w:hAnsiTheme="majorEastAsia" w:eastAsiaTheme="majorEastAsia"/>
                <w:bCs/>
                <w:sz w:val="22"/>
              </w:rPr>
              <w:t>18</w:t>
            </w:r>
          </w:p>
        </w:tc>
        <w:tc>
          <w:tcPr>
            <w:tcW w:w="8080" w:type="dxa"/>
            <w:vAlign w:val="center"/>
          </w:tcPr>
          <w:p w14:paraId="7CC6A230">
            <w:pPr>
              <w:autoSpaceDE w:val="0"/>
              <w:autoSpaceDN w:val="0"/>
              <w:adjustRightInd w:val="0"/>
              <w:snapToGrid w:val="0"/>
              <w:rPr>
                <w:rFonts w:ascii="宋体"/>
                <w:sz w:val="22"/>
                <w:szCs w:val="22"/>
              </w:rPr>
            </w:pPr>
            <w:r>
              <w:rPr>
                <w:rFonts w:hint="eastAsia" w:ascii="宋体" w:hAnsi="宋体" w:cs="宋体"/>
                <w:sz w:val="22"/>
              </w:rPr>
              <w:t>节能环保产品证明材料</w:t>
            </w:r>
          </w:p>
        </w:tc>
        <w:tc>
          <w:tcPr>
            <w:tcW w:w="1099" w:type="dxa"/>
          </w:tcPr>
          <w:p w14:paraId="1BDC8325">
            <w:pPr>
              <w:autoSpaceDE w:val="0"/>
              <w:autoSpaceDN w:val="0"/>
              <w:adjustRightInd w:val="0"/>
              <w:snapToGrid w:val="0"/>
              <w:spacing w:line="430" w:lineRule="atLeast"/>
              <w:jc w:val="center"/>
              <w:rPr>
                <w:rFonts w:asciiTheme="majorEastAsia" w:hAnsiTheme="majorEastAsia" w:eastAsiaTheme="majorEastAsia"/>
                <w:sz w:val="22"/>
                <w:szCs w:val="22"/>
              </w:rPr>
            </w:pPr>
          </w:p>
        </w:tc>
      </w:tr>
      <w:tr w14:paraId="4232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9638080">
            <w:pPr>
              <w:autoSpaceDE w:val="0"/>
              <w:autoSpaceDN w:val="0"/>
              <w:adjustRightInd w:val="0"/>
              <w:snapToGrid w:val="0"/>
              <w:spacing w:line="430" w:lineRule="atLeast"/>
              <w:jc w:val="center"/>
              <w:rPr>
                <w:rFonts w:asciiTheme="majorEastAsia" w:hAnsiTheme="majorEastAsia" w:eastAsiaTheme="majorEastAsia"/>
                <w:bCs/>
                <w:sz w:val="22"/>
              </w:rPr>
            </w:pPr>
            <w:r>
              <w:rPr>
                <w:rFonts w:hint="eastAsia" w:asciiTheme="majorEastAsia" w:hAnsiTheme="majorEastAsia" w:eastAsiaTheme="majorEastAsia"/>
                <w:bCs/>
                <w:sz w:val="22"/>
              </w:rPr>
              <w:t>19</w:t>
            </w:r>
          </w:p>
        </w:tc>
        <w:tc>
          <w:tcPr>
            <w:tcW w:w="8080" w:type="dxa"/>
            <w:vAlign w:val="center"/>
          </w:tcPr>
          <w:p w14:paraId="47424720">
            <w:pPr>
              <w:autoSpaceDE w:val="0"/>
              <w:autoSpaceDN w:val="0"/>
              <w:adjustRightInd w:val="0"/>
              <w:snapToGrid w:val="0"/>
              <w:rPr>
                <w:rFonts w:ascii="宋体"/>
                <w:sz w:val="22"/>
                <w:szCs w:val="22"/>
              </w:rPr>
            </w:pPr>
            <w:r>
              <w:rPr>
                <w:rFonts w:hint="eastAsia" w:ascii="宋体" w:hAnsi="宋体" w:cs="宋体"/>
                <w:sz w:val="22"/>
                <w:szCs w:val="22"/>
              </w:rPr>
              <w:t>实施方案（含具备履行合同所必需的设备投入说明）</w:t>
            </w:r>
          </w:p>
        </w:tc>
        <w:tc>
          <w:tcPr>
            <w:tcW w:w="1099" w:type="dxa"/>
          </w:tcPr>
          <w:p w14:paraId="10F2B02A">
            <w:pPr>
              <w:autoSpaceDE w:val="0"/>
              <w:autoSpaceDN w:val="0"/>
              <w:adjustRightInd w:val="0"/>
              <w:snapToGrid w:val="0"/>
              <w:spacing w:line="430" w:lineRule="atLeast"/>
              <w:jc w:val="center"/>
              <w:rPr>
                <w:rFonts w:asciiTheme="majorEastAsia" w:hAnsiTheme="majorEastAsia" w:eastAsiaTheme="majorEastAsia"/>
                <w:sz w:val="22"/>
                <w:szCs w:val="22"/>
              </w:rPr>
            </w:pPr>
          </w:p>
        </w:tc>
      </w:tr>
      <w:tr w14:paraId="4F9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AA2B8F9">
            <w:pPr>
              <w:autoSpaceDE w:val="0"/>
              <w:autoSpaceDN w:val="0"/>
              <w:adjustRightInd w:val="0"/>
              <w:snapToGrid w:val="0"/>
              <w:spacing w:line="430" w:lineRule="atLeast"/>
              <w:jc w:val="center"/>
              <w:rPr>
                <w:rFonts w:asciiTheme="majorEastAsia" w:hAnsiTheme="majorEastAsia" w:eastAsiaTheme="majorEastAsia"/>
                <w:bCs/>
                <w:sz w:val="22"/>
              </w:rPr>
            </w:pPr>
            <w:r>
              <w:rPr>
                <w:rFonts w:hint="eastAsia" w:asciiTheme="majorEastAsia" w:hAnsiTheme="majorEastAsia" w:eastAsiaTheme="majorEastAsia"/>
                <w:bCs/>
                <w:sz w:val="22"/>
              </w:rPr>
              <w:t>20</w:t>
            </w:r>
          </w:p>
        </w:tc>
        <w:tc>
          <w:tcPr>
            <w:tcW w:w="8080" w:type="dxa"/>
            <w:vAlign w:val="center"/>
          </w:tcPr>
          <w:p w14:paraId="6A2535A0">
            <w:pPr>
              <w:autoSpaceDE w:val="0"/>
              <w:autoSpaceDN w:val="0"/>
              <w:adjustRightInd w:val="0"/>
              <w:snapToGrid w:val="0"/>
              <w:rPr>
                <w:rFonts w:ascii="宋体"/>
                <w:sz w:val="22"/>
                <w:szCs w:val="22"/>
              </w:rPr>
            </w:pPr>
            <w:r>
              <w:rPr>
                <w:rFonts w:hint="eastAsia" w:ascii="宋体" w:hAnsi="宋体" w:cs="宋体"/>
                <w:sz w:val="22"/>
                <w:szCs w:val="22"/>
              </w:rPr>
              <w:t>测试验收方案</w:t>
            </w:r>
          </w:p>
        </w:tc>
        <w:tc>
          <w:tcPr>
            <w:tcW w:w="1099" w:type="dxa"/>
          </w:tcPr>
          <w:p w14:paraId="4FBD9B2F">
            <w:pPr>
              <w:autoSpaceDE w:val="0"/>
              <w:autoSpaceDN w:val="0"/>
              <w:adjustRightInd w:val="0"/>
              <w:snapToGrid w:val="0"/>
              <w:spacing w:line="430" w:lineRule="atLeast"/>
              <w:jc w:val="center"/>
              <w:rPr>
                <w:rFonts w:asciiTheme="majorEastAsia" w:hAnsiTheme="majorEastAsia" w:eastAsiaTheme="majorEastAsia"/>
                <w:sz w:val="22"/>
                <w:szCs w:val="22"/>
              </w:rPr>
            </w:pPr>
          </w:p>
        </w:tc>
      </w:tr>
      <w:tr w14:paraId="20E3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BF49E32">
            <w:pPr>
              <w:autoSpaceDE w:val="0"/>
              <w:autoSpaceDN w:val="0"/>
              <w:adjustRightInd w:val="0"/>
              <w:snapToGrid w:val="0"/>
              <w:spacing w:line="430" w:lineRule="atLeast"/>
              <w:jc w:val="center"/>
              <w:rPr>
                <w:rFonts w:asciiTheme="majorEastAsia" w:hAnsiTheme="majorEastAsia" w:eastAsiaTheme="majorEastAsia"/>
                <w:bCs/>
                <w:sz w:val="22"/>
              </w:rPr>
            </w:pPr>
            <w:r>
              <w:rPr>
                <w:rFonts w:hint="eastAsia" w:asciiTheme="majorEastAsia" w:hAnsiTheme="majorEastAsia" w:eastAsiaTheme="majorEastAsia"/>
                <w:bCs/>
                <w:sz w:val="22"/>
              </w:rPr>
              <w:t>21</w:t>
            </w:r>
          </w:p>
        </w:tc>
        <w:tc>
          <w:tcPr>
            <w:tcW w:w="8080" w:type="dxa"/>
            <w:vAlign w:val="center"/>
          </w:tcPr>
          <w:p w14:paraId="66E8C49B">
            <w:pPr>
              <w:autoSpaceDE w:val="0"/>
              <w:autoSpaceDN w:val="0"/>
              <w:adjustRightInd w:val="0"/>
              <w:snapToGrid w:val="0"/>
              <w:rPr>
                <w:rFonts w:ascii="宋体"/>
                <w:sz w:val="22"/>
                <w:szCs w:val="22"/>
              </w:rPr>
            </w:pPr>
            <w:r>
              <w:rPr>
                <w:rFonts w:hint="eastAsia" w:ascii="宋体" w:hAnsi="宋体" w:cs="宋体"/>
                <w:sz w:val="22"/>
                <w:szCs w:val="22"/>
              </w:rPr>
              <w:t>详细的培训计划</w:t>
            </w:r>
          </w:p>
        </w:tc>
        <w:tc>
          <w:tcPr>
            <w:tcW w:w="1099" w:type="dxa"/>
          </w:tcPr>
          <w:p w14:paraId="5CE7D2F4">
            <w:pPr>
              <w:autoSpaceDE w:val="0"/>
              <w:autoSpaceDN w:val="0"/>
              <w:adjustRightInd w:val="0"/>
              <w:snapToGrid w:val="0"/>
              <w:spacing w:line="430" w:lineRule="atLeast"/>
              <w:jc w:val="center"/>
              <w:rPr>
                <w:rFonts w:asciiTheme="majorEastAsia" w:hAnsiTheme="majorEastAsia" w:eastAsiaTheme="majorEastAsia"/>
                <w:sz w:val="22"/>
                <w:szCs w:val="22"/>
              </w:rPr>
            </w:pPr>
          </w:p>
        </w:tc>
      </w:tr>
      <w:tr w14:paraId="3FEB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AA52202">
            <w:pPr>
              <w:autoSpaceDE w:val="0"/>
              <w:autoSpaceDN w:val="0"/>
              <w:adjustRightInd w:val="0"/>
              <w:snapToGrid w:val="0"/>
              <w:spacing w:line="430" w:lineRule="atLeast"/>
              <w:jc w:val="center"/>
              <w:rPr>
                <w:rFonts w:asciiTheme="majorEastAsia" w:hAnsiTheme="majorEastAsia" w:eastAsiaTheme="majorEastAsia"/>
                <w:bCs/>
                <w:sz w:val="22"/>
              </w:rPr>
            </w:pPr>
            <w:r>
              <w:rPr>
                <w:rFonts w:hint="eastAsia" w:asciiTheme="majorEastAsia" w:hAnsiTheme="majorEastAsia" w:eastAsiaTheme="majorEastAsia"/>
                <w:bCs/>
                <w:sz w:val="22"/>
              </w:rPr>
              <w:t>22</w:t>
            </w:r>
          </w:p>
        </w:tc>
        <w:tc>
          <w:tcPr>
            <w:tcW w:w="8080" w:type="dxa"/>
            <w:vAlign w:val="center"/>
          </w:tcPr>
          <w:p w14:paraId="07B215E1">
            <w:pPr>
              <w:autoSpaceDE w:val="0"/>
              <w:autoSpaceDN w:val="0"/>
              <w:adjustRightInd w:val="0"/>
              <w:snapToGrid w:val="0"/>
              <w:rPr>
                <w:rFonts w:ascii="宋体"/>
                <w:sz w:val="22"/>
                <w:szCs w:val="22"/>
              </w:rPr>
            </w:pPr>
            <w:r>
              <w:rPr>
                <w:rFonts w:hint="eastAsia" w:ascii="宋体" w:hAnsi="宋体" w:cs="宋体"/>
                <w:sz w:val="22"/>
                <w:szCs w:val="22"/>
              </w:rPr>
              <w:t xml:space="preserve">售后服务承诺：技术服务和售后服务的内容、措施、承诺，包括质保期、距采购人最近的服务网点的详细介绍，资质资格、技术力量、成立时间   </w:t>
            </w:r>
          </w:p>
        </w:tc>
        <w:tc>
          <w:tcPr>
            <w:tcW w:w="1099" w:type="dxa"/>
          </w:tcPr>
          <w:p w14:paraId="0FDD6CC5">
            <w:pPr>
              <w:autoSpaceDE w:val="0"/>
              <w:autoSpaceDN w:val="0"/>
              <w:adjustRightInd w:val="0"/>
              <w:snapToGrid w:val="0"/>
              <w:spacing w:line="430" w:lineRule="atLeast"/>
              <w:jc w:val="center"/>
              <w:rPr>
                <w:rFonts w:asciiTheme="majorEastAsia" w:hAnsiTheme="majorEastAsia" w:eastAsiaTheme="majorEastAsia"/>
                <w:sz w:val="22"/>
                <w:szCs w:val="22"/>
              </w:rPr>
            </w:pPr>
          </w:p>
        </w:tc>
      </w:tr>
      <w:tr w14:paraId="30CE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8751373">
            <w:pPr>
              <w:autoSpaceDE w:val="0"/>
              <w:autoSpaceDN w:val="0"/>
              <w:adjustRightInd w:val="0"/>
              <w:snapToGrid w:val="0"/>
              <w:spacing w:line="430" w:lineRule="atLeast"/>
              <w:jc w:val="center"/>
              <w:rPr>
                <w:rFonts w:asciiTheme="majorEastAsia" w:hAnsiTheme="majorEastAsia" w:eastAsiaTheme="majorEastAsia"/>
                <w:bCs/>
                <w:sz w:val="22"/>
              </w:rPr>
            </w:pPr>
            <w:r>
              <w:rPr>
                <w:rFonts w:hint="eastAsia" w:asciiTheme="majorEastAsia" w:hAnsiTheme="majorEastAsia" w:eastAsiaTheme="majorEastAsia"/>
                <w:bCs/>
                <w:sz w:val="22"/>
              </w:rPr>
              <w:t>23</w:t>
            </w:r>
          </w:p>
        </w:tc>
        <w:tc>
          <w:tcPr>
            <w:tcW w:w="8080" w:type="dxa"/>
          </w:tcPr>
          <w:p w14:paraId="4C91A58D">
            <w:pPr>
              <w:autoSpaceDE w:val="0"/>
              <w:autoSpaceDN w:val="0"/>
              <w:adjustRightInd w:val="0"/>
              <w:snapToGrid w:val="0"/>
              <w:spacing w:line="430" w:lineRule="atLeast"/>
              <w:rPr>
                <w:rFonts w:ascii="宋体"/>
                <w:sz w:val="22"/>
                <w:szCs w:val="22"/>
              </w:rPr>
            </w:pPr>
            <w:r>
              <w:rPr>
                <w:rFonts w:hint="eastAsia" w:ascii="宋体" w:hAnsi="宋体" w:cs="宋体"/>
                <w:b/>
                <w:bCs/>
                <w:sz w:val="22"/>
                <w:szCs w:val="22"/>
              </w:rPr>
              <w:t>根据招标文件中的采购内容与技术要求、评标细则，需要提供的其他文件和资料</w:t>
            </w:r>
          </w:p>
        </w:tc>
        <w:tc>
          <w:tcPr>
            <w:tcW w:w="1099" w:type="dxa"/>
          </w:tcPr>
          <w:p w14:paraId="6F9A28FA">
            <w:pPr>
              <w:autoSpaceDE w:val="0"/>
              <w:autoSpaceDN w:val="0"/>
              <w:adjustRightInd w:val="0"/>
              <w:snapToGrid w:val="0"/>
              <w:spacing w:line="430" w:lineRule="atLeast"/>
              <w:jc w:val="center"/>
              <w:rPr>
                <w:rFonts w:asciiTheme="majorEastAsia" w:hAnsiTheme="majorEastAsia" w:eastAsiaTheme="majorEastAsia"/>
                <w:sz w:val="22"/>
                <w:szCs w:val="22"/>
              </w:rPr>
            </w:pPr>
          </w:p>
        </w:tc>
      </w:tr>
    </w:tbl>
    <w:p w14:paraId="04F1F2A2">
      <w:pPr>
        <w:spacing w:line="43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p w14:paraId="1EE08BF5">
      <w:pPr>
        <w:numPr>
          <w:ilvl w:val="0"/>
          <w:numId w:val="1"/>
        </w:numPr>
        <w:spacing w:line="430" w:lineRule="exact"/>
        <w:rPr>
          <w:rFonts w:ascii="宋体" w:hAnsi="宋体" w:cs="宋体"/>
          <w:color w:val="auto"/>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00559EB">
      <w:pPr>
        <w:numPr>
          <w:ilvl w:val="0"/>
          <w:numId w:val="1"/>
        </w:num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投标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3DB6AF97">
      <w:pPr>
        <w:numPr>
          <w:ilvl w:val="0"/>
          <w:numId w:val="1"/>
        </w:num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以上所需的各种证书、证件、证明等若系复印件、扫描件，须加盖供应商有效的公章。</w:t>
      </w:r>
    </w:p>
    <w:p w14:paraId="1CD79DEF">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3、投标文件编制</w:t>
      </w:r>
    </w:p>
    <w:p w14:paraId="04C7B4B7">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3.1本项目通过“政采云平台（www.zcygov.cn）”实行在线投标响应（电子投标）。供应商应通过“政采云电子交易客户端”，并按照本招标文件和“政采云平台”的要求编制并加密投标文件。</w:t>
      </w:r>
    </w:p>
    <w:p w14:paraId="4C53B097">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3.2投标供应商应当按照本章节 “投标文件组成”规定的内容及顺序在“政采云电子交易客户端”编制投标文件。其中 “技术资信文件”中不得出现本项目投标报价，如因投标供应商原因提前泄露投标报价，是投标供应商的责任。</w:t>
      </w:r>
    </w:p>
    <w:p w14:paraId="60FF01D9">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本招标文件“投标文件格式”中有提供格式的，投标供应商须参照格式进行编制（格式中要求提供相关证明材料的还需后附相关证明材料），并按格式要求在指定位置根据要求进行签章，否则视为未提供；本文件“投标文件格式”未提供格式的，请各投标单位自行拟定格式，并加盖单位公章并由法定代表人或其授权代表签署（签字或盖章），否则视为未提供。</w:t>
      </w:r>
    </w:p>
    <w:p w14:paraId="03DC1EE7">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3.4投标文件内容不完整、编排混乱导致投标文件被误读、漏读或者查找不到相关内容的，是投标供应商的责任。</w:t>
      </w:r>
    </w:p>
    <w:p w14:paraId="4F3C78D0">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3.5投标文件因字迹潦草或表达不清所引起的后果由投标供应商负责。</w:t>
      </w:r>
    </w:p>
    <w:p w14:paraId="6C377BA0">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3.6 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2A053858">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4、投标文件的签章</w:t>
      </w:r>
    </w:p>
    <w:p w14:paraId="169194E5">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4.1投标文件的签章要求：投标供应商须知前附表；</w:t>
      </w:r>
    </w:p>
    <w:p w14:paraId="54FC7503">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4.2投标文件应由投标供应商法定代表人或其授权代表签章，并加盖投标供应商公章。</w:t>
      </w:r>
    </w:p>
    <w:p w14:paraId="081E63CC">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4.3电子签章操作指南详见采购公告附件《供应商项目采购－电子招投标操作指南》。</w:t>
      </w:r>
    </w:p>
    <w:p w14:paraId="1E67295E">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5、投标文件的形式</w:t>
      </w:r>
    </w:p>
    <w:p w14:paraId="5F517EE4">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5.1投标文件的形式：见投标供应商须知前附表；</w:t>
      </w:r>
    </w:p>
    <w:p w14:paraId="37B3524A">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5.2“电子加密投标文件”：“电子加密投标文件”是指通过“政采云电子交易客户端”完成投标文件编制后生成并加密的数据电文形式的投标文件。</w:t>
      </w:r>
    </w:p>
    <w:p w14:paraId="62E718EF">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5.3“备份投标文件”：“备份投标文件”是指与“电子加密投标文件”同时生成的数据电文形式的电子文件（备份标书），其他方式编制的“备份投标文件”视为无效的“备份投标文件”。</w:t>
      </w:r>
    </w:p>
    <w:p w14:paraId="0463CF58">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6、投标文件的份数</w:t>
      </w:r>
    </w:p>
    <w:p w14:paraId="47028CAC">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6.1投标文件的份数：见投标供应商须知前附表。</w:t>
      </w:r>
    </w:p>
    <w:p w14:paraId="4BCCD356">
      <w:pPr>
        <w:autoSpaceDE w:val="0"/>
        <w:autoSpaceDN w:val="0"/>
        <w:adjustRightInd w:val="0"/>
        <w:spacing w:line="460" w:lineRule="atLeast"/>
        <w:ind w:firstLine="440" w:firstLineChars="200"/>
        <w:textAlignment w:val="bottom"/>
        <w:rPr>
          <w:rFonts w:ascii="宋体" w:hAnsi="宋体" w:cs="宋体"/>
          <w:bCs/>
          <w:color w:val="auto"/>
          <w:sz w:val="22"/>
          <w:szCs w:val="22"/>
          <w:highlight w:val="none"/>
        </w:rPr>
      </w:pPr>
      <w:r>
        <w:rPr>
          <w:rFonts w:hint="eastAsia" w:ascii="宋体" w:hAnsi="宋体" w:cs="宋体"/>
          <w:bCs/>
          <w:color w:val="auto"/>
          <w:sz w:val="22"/>
          <w:szCs w:val="22"/>
          <w:highlight w:val="none"/>
        </w:rPr>
        <w:t>7、投标报价</w:t>
      </w:r>
      <w:bookmarkEnd w:id="49"/>
      <w:bookmarkEnd w:id="50"/>
    </w:p>
    <w:p w14:paraId="160B0127">
      <w:pPr>
        <w:autoSpaceDE w:val="0"/>
        <w:autoSpaceDN w:val="0"/>
        <w:adjustRightInd w:val="0"/>
        <w:spacing w:line="460" w:lineRule="atLeast"/>
        <w:ind w:firstLine="440" w:firstLineChars="200"/>
        <w:textAlignment w:val="bottom"/>
        <w:rPr>
          <w:rFonts w:ascii="宋体" w:hAnsi="宋体" w:cs="宋体"/>
          <w:bCs/>
          <w:color w:val="auto"/>
          <w:sz w:val="22"/>
          <w:szCs w:val="22"/>
          <w:highlight w:val="none"/>
        </w:rPr>
      </w:pPr>
      <w:bookmarkStart w:id="53" w:name="_Toc132122413"/>
      <w:bookmarkStart w:id="54" w:name="_Toc132122116"/>
      <w:r>
        <w:rPr>
          <w:rFonts w:hint="eastAsia" w:ascii="宋体" w:hAnsi="宋体" w:cs="宋体"/>
          <w:bCs/>
          <w:color w:val="auto"/>
          <w:sz w:val="22"/>
          <w:szCs w:val="22"/>
          <w:highlight w:val="none"/>
        </w:rPr>
        <w:t>7.1供应商应按招标文件中《开标一览表》及《投标分项报价表》（如有）填写投标总价及分项报价。</w:t>
      </w:r>
    </w:p>
    <w:p w14:paraId="4F82CD5C">
      <w:pPr>
        <w:autoSpaceDE w:val="0"/>
        <w:autoSpaceDN w:val="0"/>
        <w:adjustRightInd w:val="0"/>
        <w:spacing w:line="460" w:lineRule="atLeast"/>
        <w:ind w:firstLine="440" w:firstLineChars="200"/>
        <w:textAlignment w:val="bottom"/>
        <w:rPr>
          <w:rFonts w:ascii="宋体" w:hAnsi="宋体" w:cs="宋体"/>
          <w:bCs/>
          <w:color w:val="auto"/>
          <w:sz w:val="22"/>
          <w:szCs w:val="22"/>
          <w:highlight w:val="none"/>
        </w:rPr>
      </w:pPr>
      <w:r>
        <w:rPr>
          <w:rFonts w:hint="eastAsia" w:ascii="宋体" w:hAnsi="宋体" w:cs="宋体"/>
          <w:bCs/>
          <w:color w:val="auto"/>
          <w:sz w:val="22"/>
          <w:szCs w:val="22"/>
          <w:highlight w:val="none"/>
        </w:rPr>
        <w:t>7.2本次招标只允许有一个报价，有选择的报价将不予接受。</w:t>
      </w:r>
    </w:p>
    <w:p w14:paraId="672CCB66">
      <w:pPr>
        <w:autoSpaceDE w:val="0"/>
        <w:autoSpaceDN w:val="0"/>
        <w:adjustRightInd w:val="0"/>
        <w:spacing w:line="460" w:lineRule="atLeast"/>
        <w:ind w:firstLine="440" w:firstLineChars="200"/>
        <w:textAlignment w:val="bottom"/>
        <w:rPr>
          <w:rFonts w:ascii="宋体" w:hAnsi="宋体" w:cs="宋体"/>
          <w:bCs/>
          <w:color w:val="auto"/>
          <w:sz w:val="22"/>
          <w:szCs w:val="22"/>
          <w:highlight w:val="none"/>
        </w:rPr>
      </w:pPr>
      <w:r>
        <w:rPr>
          <w:rFonts w:hint="eastAsia" w:ascii="宋体" w:hAnsi="宋体" w:cs="宋体"/>
          <w:bCs/>
          <w:color w:val="auto"/>
          <w:sz w:val="22"/>
          <w:szCs w:val="22"/>
          <w:highlight w:val="none"/>
        </w:rPr>
        <w:t>7.3投标报价应包含以下费用。</w:t>
      </w:r>
    </w:p>
    <w:p w14:paraId="7D8841B5">
      <w:pPr>
        <w:autoSpaceDE w:val="0"/>
        <w:autoSpaceDN w:val="0"/>
        <w:adjustRightInd w:val="0"/>
        <w:spacing w:line="460" w:lineRule="atLeast"/>
        <w:ind w:firstLine="440" w:firstLineChars="200"/>
        <w:textAlignment w:val="bottom"/>
        <w:rPr>
          <w:rFonts w:ascii="宋体" w:hAnsi="宋体" w:cs="宋体"/>
          <w:bCs/>
          <w:color w:val="auto"/>
          <w:sz w:val="22"/>
          <w:szCs w:val="22"/>
          <w:highlight w:val="none"/>
        </w:rPr>
      </w:pPr>
      <w:r>
        <w:rPr>
          <w:rFonts w:hint="eastAsia" w:ascii="宋体" w:hAnsi="宋体" w:cs="宋体"/>
          <w:color w:val="auto"/>
          <w:sz w:val="22"/>
          <w:szCs w:val="22"/>
          <w:highlight w:val="none"/>
        </w:rPr>
        <w:t>投标报价包括运杂费、保险费、增值税、检验检疫费用（如有）、材料损耗费、采购保管费、安装费、调试费、检验费、培训费、维修保养费、质保期内售后服务费、利润、税金、风险和用户移交使用前产生的相关费用等直至设备试运行并经当地质量技术监督部门验收合格后交付建设单位的全部费用。</w:t>
      </w:r>
    </w:p>
    <w:p w14:paraId="793A89A7">
      <w:pPr>
        <w:autoSpaceDE w:val="0"/>
        <w:autoSpaceDN w:val="0"/>
        <w:adjustRightInd w:val="0"/>
        <w:spacing w:line="460" w:lineRule="atLeast"/>
        <w:ind w:firstLine="442" w:firstLineChars="200"/>
        <w:textAlignment w:val="bottom"/>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供应商在投标报价中应充分考虑所有可能发生的费用，否则采购人将视投标总价中已包括所有费用。</w:t>
      </w:r>
    </w:p>
    <w:p w14:paraId="38BCD5BE">
      <w:pPr>
        <w:autoSpaceDE w:val="0"/>
        <w:autoSpaceDN w:val="0"/>
        <w:adjustRightInd w:val="0"/>
        <w:spacing w:line="460" w:lineRule="atLeast"/>
        <w:ind w:firstLine="442" w:firstLineChars="200"/>
        <w:textAlignment w:val="bottom"/>
        <w:rPr>
          <w:rFonts w:ascii="宋体" w:hAnsi="宋体" w:cs="宋体"/>
          <w:bCs/>
          <w:color w:val="auto"/>
          <w:sz w:val="22"/>
          <w:szCs w:val="22"/>
          <w:highlight w:val="none"/>
          <w:u w:val="single"/>
        </w:rPr>
      </w:pPr>
      <w:r>
        <w:rPr>
          <w:rFonts w:hint="eastAsia" w:ascii="宋体" w:hAnsi="宋体" w:cs="宋体"/>
          <w:b/>
          <w:bCs/>
          <w:color w:val="auto"/>
          <w:sz w:val="22"/>
          <w:szCs w:val="22"/>
          <w:highlight w:val="none"/>
          <w:u w:val="single"/>
        </w:rPr>
        <w:t>供应商对在合同执行中，除上述费用及招标文件规定的由中标供应商负责的工作范围以外需要采购人协调或提供便利的工作应当在投标文件中说明。</w:t>
      </w:r>
    </w:p>
    <w:p w14:paraId="6922EC46">
      <w:pPr>
        <w:autoSpaceDE w:val="0"/>
        <w:autoSpaceDN w:val="0"/>
        <w:adjustRightInd w:val="0"/>
        <w:spacing w:line="460" w:lineRule="atLeast"/>
        <w:ind w:firstLine="440" w:firstLineChars="200"/>
        <w:textAlignment w:val="bottom"/>
        <w:rPr>
          <w:rFonts w:ascii="宋体" w:hAnsi="宋体" w:cs="宋体"/>
          <w:bCs/>
          <w:color w:val="auto"/>
          <w:sz w:val="22"/>
          <w:szCs w:val="22"/>
          <w:highlight w:val="none"/>
        </w:rPr>
      </w:pPr>
      <w:r>
        <w:rPr>
          <w:rFonts w:hint="eastAsia" w:ascii="宋体" w:hAnsi="宋体" w:cs="宋体"/>
          <w:bCs/>
          <w:color w:val="auto"/>
          <w:sz w:val="22"/>
          <w:szCs w:val="22"/>
          <w:highlight w:val="none"/>
        </w:rPr>
        <w:t>填写报价表格时，各项费用应如实填写。</w:t>
      </w:r>
    </w:p>
    <w:p w14:paraId="01F93948">
      <w:pPr>
        <w:autoSpaceDE w:val="0"/>
        <w:autoSpaceDN w:val="0"/>
        <w:adjustRightInd w:val="0"/>
        <w:spacing w:line="460" w:lineRule="atLeast"/>
        <w:ind w:firstLine="440" w:firstLineChars="200"/>
        <w:textAlignment w:val="bottom"/>
        <w:rPr>
          <w:rFonts w:ascii="宋体" w:hAnsi="宋体" w:cs="宋体"/>
          <w:bCs/>
          <w:color w:val="auto"/>
          <w:sz w:val="22"/>
          <w:szCs w:val="22"/>
          <w:highlight w:val="none"/>
        </w:rPr>
      </w:pPr>
      <w:r>
        <w:rPr>
          <w:rFonts w:hint="eastAsia" w:ascii="宋体" w:hAnsi="宋体" w:cs="宋体"/>
          <w:bCs/>
          <w:color w:val="auto"/>
          <w:sz w:val="22"/>
          <w:szCs w:val="22"/>
          <w:highlight w:val="none"/>
        </w:rPr>
        <w:t>8、采购人要求分类报价是为了方便评标，但在任何情况下不限制采购人以其认为最合适的条款签订合同的权利。</w:t>
      </w:r>
    </w:p>
    <w:bookmarkEnd w:id="53"/>
    <w:bookmarkEnd w:id="54"/>
    <w:p w14:paraId="6687BC98">
      <w:pPr>
        <w:autoSpaceDE w:val="0"/>
        <w:autoSpaceDN w:val="0"/>
        <w:adjustRightInd w:val="0"/>
        <w:spacing w:line="460" w:lineRule="atLeast"/>
        <w:ind w:firstLine="440" w:firstLineChars="200"/>
        <w:textAlignment w:val="bottom"/>
        <w:rPr>
          <w:rFonts w:ascii="宋体" w:hAnsi="宋体" w:cs="宋体"/>
          <w:bCs/>
          <w:color w:val="auto"/>
          <w:sz w:val="22"/>
          <w:szCs w:val="22"/>
          <w:highlight w:val="none"/>
        </w:rPr>
      </w:pPr>
      <w:bookmarkStart w:id="55" w:name="_Toc132122414"/>
      <w:bookmarkStart w:id="56" w:name="_Toc132122117"/>
      <w:bookmarkStart w:id="57" w:name="_Toc332809833"/>
      <w:bookmarkStart w:id="58" w:name="_Toc132125096"/>
      <w:bookmarkStart w:id="59" w:name="_Toc132123440"/>
      <w:bookmarkStart w:id="60" w:name="_Toc132122120"/>
      <w:bookmarkStart w:id="61" w:name="_Toc132123548"/>
      <w:bookmarkStart w:id="62" w:name="_Toc132125038"/>
      <w:bookmarkStart w:id="63" w:name="_Toc132122417"/>
      <w:bookmarkStart w:id="64" w:name="_Toc132125575"/>
      <w:bookmarkStart w:id="65" w:name="_Toc132655777"/>
      <w:bookmarkStart w:id="66" w:name="_Toc132123839"/>
      <w:bookmarkStart w:id="67" w:name="_Toc132124595"/>
      <w:bookmarkStart w:id="68" w:name="_Toc132123882"/>
      <w:bookmarkStart w:id="69" w:name="_Toc132126155"/>
      <w:bookmarkStart w:id="70" w:name="_Toc132125152"/>
      <w:bookmarkStart w:id="71" w:name="_Toc132125984"/>
      <w:bookmarkStart w:id="72" w:name="_Toc132123635"/>
      <w:r>
        <w:rPr>
          <w:rFonts w:hint="eastAsia" w:ascii="宋体" w:hAnsi="宋体" w:cs="宋体"/>
          <w:bCs/>
          <w:color w:val="auto"/>
          <w:sz w:val="22"/>
          <w:szCs w:val="22"/>
          <w:highlight w:val="none"/>
        </w:rPr>
        <w:t>9、投标文件的有效期</w:t>
      </w:r>
      <w:bookmarkEnd w:id="55"/>
      <w:bookmarkEnd w:id="56"/>
    </w:p>
    <w:p w14:paraId="284DCCA6">
      <w:pPr>
        <w:autoSpaceDE w:val="0"/>
        <w:autoSpaceDN w:val="0"/>
        <w:adjustRightInd w:val="0"/>
        <w:spacing w:line="460" w:lineRule="atLeast"/>
        <w:ind w:firstLine="440" w:firstLineChars="200"/>
        <w:textAlignment w:val="bottom"/>
        <w:rPr>
          <w:rFonts w:ascii="宋体" w:hAnsi="宋体" w:cs="宋体"/>
          <w:bCs/>
          <w:color w:val="auto"/>
          <w:sz w:val="22"/>
          <w:szCs w:val="22"/>
          <w:highlight w:val="none"/>
        </w:rPr>
      </w:pPr>
      <w:r>
        <w:rPr>
          <w:rFonts w:hint="eastAsia" w:ascii="宋体" w:hAnsi="宋体" w:cs="宋体"/>
          <w:bCs/>
          <w:color w:val="auto"/>
          <w:sz w:val="22"/>
          <w:szCs w:val="22"/>
          <w:highlight w:val="none"/>
        </w:rPr>
        <w:t>9.1 自投标截止时间起90天内，投标文件应保持有效。有效期短于这个规定期限的投标将被拒绝。</w:t>
      </w:r>
    </w:p>
    <w:p w14:paraId="11CBC757">
      <w:pPr>
        <w:autoSpaceDE w:val="0"/>
        <w:autoSpaceDN w:val="0"/>
        <w:adjustRightInd w:val="0"/>
        <w:spacing w:line="460" w:lineRule="atLeast"/>
        <w:ind w:firstLine="440" w:firstLineChars="200"/>
        <w:textAlignment w:val="bottom"/>
        <w:rPr>
          <w:rFonts w:ascii="宋体" w:hAnsi="宋体" w:cs="宋体"/>
          <w:bCs/>
          <w:color w:val="auto"/>
          <w:sz w:val="22"/>
          <w:szCs w:val="22"/>
          <w:highlight w:val="none"/>
        </w:rPr>
      </w:pPr>
      <w:r>
        <w:rPr>
          <w:rFonts w:hint="eastAsia" w:ascii="宋体" w:hAnsi="宋体" w:cs="宋体"/>
          <w:bCs/>
          <w:color w:val="auto"/>
          <w:sz w:val="22"/>
          <w:szCs w:val="22"/>
          <w:highlight w:val="none"/>
        </w:rPr>
        <w:t>9.2 在特殊情况下，采购人可与供应商协商延长投标文件的有效期，这种要求和答复均应以书面形式进行。</w:t>
      </w:r>
    </w:p>
    <w:p w14:paraId="38F76D4C">
      <w:pPr>
        <w:autoSpaceDE w:val="0"/>
        <w:autoSpaceDN w:val="0"/>
        <w:adjustRightInd w:val="0"/>
        <w:spacing w:line="460" w:lineRule="atLeast"/>
        <w:ind w:firstLine="440" w:firstLineChars="200"/>
        <w:textAlignment w:val="bottom"/>
        <w:rPr>
          <w:rFonts w:ascii="宋体" w:hAnsi="宋体" w:cs="宋体"/>
          <w:bCs/>
          <w:color w:val="auto"/>
          <w:sz w:val="22"/>
          <w:szCs w:val="22"/>
          <w:highlight w:val="none"/>
        </w:rPr>
      </w:pPr>
      <w:r>
        <w:rPr>
          <w:rFonts w:hint="eastAsia" w:ascii="宋体" w:hAnsi="宋体" w:cs="宋体"/>
          <w:bCs/>
          <w:color w:val="auto"/>
          <w:sz w:val="22"/>
          <w:szCs w:val="22"/>
          <w:highlight w:val="none"/>
        </w:rPr>
        <w:t>9.3 供应商可拒绝接受延期要求。同意延长有效期的供应商不能修改投标文件。</w:t>
      </w:r>
    </w:p>
    <w:p w14:paraId="57B492F2">
      <w:pPr>
        <w:autoSpaceDE w:val="0"/>
        <w:autoSpaceDN w:val="0"/>
        <w:adjustRightInd w:val="0"/>
        <w:spacing w:line="460" w:lineRule="atLeast"/>
        <w:ind w:firstLine="440" w:firstLineChars="200"/>
        <w:textAlignment w:val="bottom"/>
        <w:rPr>
          <w:rFonts w:ascii="宋体" w:hAnsi="宋体" w:cs="宋体"/>
          <w:bCs/>
          <w:color w:val="auto"/>
          <w:sz w:val="22"/>
          <w:szCs w:val="22"/>
          <w:highlight w:val="none"/>
        </w:rPr>
      </w:pPr>
      <w:r>
        <w:rPr>
          <w:rFonts w:hint="eastAsia" w:ascii="宋体" w:hAnsi="宋体" w:cs="宋体"/>
          <w:bCs/>
          <w:color w:val="auto"/>
          <w:sz w:val="22"/>
          <w:szCs w:val="22"/>
          <w:highlight w:val="none"/>
        </w:rPr>
        <w:t>10、投标供应商如发生下列情况之一，将上报同级政府采购监督管理部门，追究其责任：</w:t>
      </w:r>
    </w:p>
    <w:p w14:paraId="3687BF01">
      <w:pPr>
        <w:pStyle w:val="84"/>
        <w:numPr>
          <w:ilvl w:val="0"/>
          <w:numId w:val="2"/>
        </w:numPr>
        <w:autoSpaceDE w:val="0"/>
        <w:autoSpaceDN w:val="0"/>
        <w:adjustRightInd w:val="0"/>
        <w:spacing w:line="460" w:lineRule="atLeast"/>
        <w:ind w:firstLineChars="0"/>
        <w:textAlignment w:val="bottom"/>
        <w:rPr>
          <w:rFonts w:ascii="宋体" w:hAnsi="宋体" w:cs="宋体"/>
          <w:bCs/>
          <w:color w:val="auto"/>
          <w:sz w:val="22"/>
          <w:szCs w:val="22"/>
          <w:highlight w:val="none"/>
        </w:rPr>
      </w:pPr>
      <w:r>
        <w:rPr>
          <w:rFonts w:hint="eastAsia" w:ascii="宋体" w:hAnsi="宋体" w:cs="宋体"/>
          <w:bCs/>
          <w:color w:val="auto"/>
          <w:sz w:val="22"/>
          <w:szCs w:val="22"/>
          <w:highlight w:val="none"/>
        </w:rPr>
        <w:t>投标供应商在招标文件规定的投标有效期内撤回投标；</w:t>
      </w:r>
    </w:p>
    <w:p w14:paraId="1CF57F97">
      <w:pPr>
        <w:pStyle w:val="84"/>
        <w:numPr>
          <w:ilvl w:val="0"/>
          <w:numId w:val="2"/>
        </w:numPr>
        <w:autoSpaceDE w:val="0"/>
        <w:autoSpaceDN w:val="0"/>
        <w:adjustRightInd w:val="0"/>
        <w:spacing w:line="460" w:lineRule="atLeast"/>
        <w:ind w:firstLineChars="0"/>
        <w:textAlignment w:val="bottom"/>
        <w:rPr>
          <w:rFonts w:ascii="宋体" w:hAnsi="宋体" w:cs="宋体"/>
          <w:bCs/>
          <w:color w:val="auto"/>
          <w:sz w:val="22"/>
          <w:szCs w:val="22"/>
          <w:highlight w:val="none"/>
        </w:rPr>
      </w:pPr>
      <w:r>
        <w:rPr>
          <w:rFonts w:hint="eastAsia" w:ascii="宋体" w:hAnsi="宋体" w:cs="宋体"/>
          <w:bCs/>
          <w:color w:val="auto"/>
          <w:sz w:val="22"/>
          <w:szCs w:val="22"/>
          <w:highlight w:val="none"/>
        </w:rPr>
        <w:t>中标人未按中标通知书中规定的时间与采购人签订合同；</w:t>
      </w:r>
    </w:p>
    <w:p w14:paraId="23812D32">
      <w:pPr>
        <w:pStyle w:val="84"/>
        <w:numPr>
          <w:ilvl w:val="0"/>
          <w:numId w:val="2"/>
        </w:numPr>
        <w:autoSpaceDE w:val="0"/>
        <w:autoSpaceDN w:val="0"/>
        <w:adjustRightInd w:val="0"/>
        <w:spacing w:line="460" w:lineRule="atLeast"/>
        <w:ind w:firstLineChars="0"/>
        <w:textAlignment w:val="bottom"/>
        <w:rPr>
          <w:rFonts w:ascii="宋体" w:hAnsi="宋体" w:cs="宋体"/>
          <w:bCs/>
          <w:color w:val="auto"/>
          <w:sz w:val="22"/>
          <w:szCs w:val="22"/>
          <w:highlight w:val="none"/>
        </w:rPr>
      </w:pPr>
      <w:r>
        <w:rPr>
          <w:rFonts w:hint="eastAsia" w:ascii="宋体" w:hAnsi="宋体" w:cs="宋体"/>
          <w:bCs/>
          <w:color w:val="auto"/>
          <w:sz w:val="22"/>
          <w:szCs w:val="22"/>
          <w:highlight w:val="none"/>
        </w:rPr>
        <w:t>投标供应商在招标文件中提供虚假技术指标及参数，经评标委员会确认属实的。</w:t>
      </w:r>
    </w:p>
    <w:p w14:paraId="5D893792">
      <w:pPr>
        <w:pStyle w:val="84"/>
        <w:numPr>
          <w:ilvl w:val="0"/>
          <w:numId w:val="2"/>
        </w:numPr>
        <w:autoSpaceDE w:val="0"/>
        <w:autoSpaceDN w:val="0"/>
        <w:adjustRightInd w:val="0"/>
        <w:spacing w:line="460" w:lineRule="atLeast"/>
        <w:ind w:firstLineChars="0"/>
        <w:textAlignment w:val="bottom"/>
        <w:rPr>
          <w:rFonts w:ascii="宋体" w:hAnsi="宋体" w:cs="宋体"/>
          <w:bCs/>
          <w:color w:val="auto"/>
          <w:sz w:val="22"/>
          <w:szCs w:val="22"/>
          <w:highlight w:val="none"/>
        </w:rPr>
      </w:pPr>
      <w:r>
        <w:rPr>
          <w:rFonts w:hint="eastAsia" w:ascii="宋体" w:hAnsi="宋体" w:cs="宋体"/>
          <w:bCs/>
          <w:color w:val="auto"/>
          <w:sz w:val="22"/>
          <w:szCs w:val="22"/>
          <w:highlight w:val="none"/>
        </w:rPr>
        <w:t>经同级政府采购监督管理部门审查认定投标供应商有违反《中华人民共和国政府采购法》等有关法律法规的行为。</w:t>
      </w:r>
    </w:p>
    <w:p w14:paraId="3C518834">
      <w:pPr>
        <w:autoSpaceDE w:val="0"/>
        <w:autoSpaceDN w:val="0"/>
        <w:adjustRightInd w:val="0"/>
        <w:snapToGrid w:val="0"/>
        <w:spacing w:line="440" w:lineRule="exact"/>
        <w:ind w:firstLine="422" w:firstLineChars="150"/>
        <w:jc w:val="center"/>
        <w:textAlignment w:val="bottom"/>
        <w:outlineLvl w:val="1"/>
        <w:rPr>
          <w:rFonts w:ascii="宋体" w:hAnsi="宋体" w:cs="宋体"/>
          <w:b/>
          <w:bCs/>
          <w:color w:val="auto"/>
          <w:sz w:val="28"/>
          <w:szCs w:val="28"/>
          <w:highlight w:val="none"/>
        </w:rPr>
      </w:pPr>
      <w:bookmarkStart w:id="73" w:name="_Toc18653"/>
      <w:bookmarkStart w:id="74" w:name="_Toc132123881"/>
      <w:bookmarkStart w:id="75" w:name="_Toc132125983"/>
      <w:bookmarkStart w:id="76" w:name="_Toc132123547"/>
      <w:bookmarkStart w:id="77" w:name="_Toc132125095"/>
      <w:bookmarkStart w:id="78" w:name="_Toc132126154"/>
      <w:bookmarkStart w:id="79" w:name="_Toc132655776"/>
      <w:bookmarkStart w:id="80" w:name="_Toc132123838"/>
      <w:bookmarkStart w:id="81" w:name="_Toc132124594"/>
      <w:bookmarkStart w:id="82" w:name="_Toc132123439"/>
      <w:bookmarkStart w:id="83" w:name="_Toc496116253"/>
      <w:bookmarkStart w:id="84" w:name="_Toc132122416"/>
      <w:bookmarkStart w:id="85" w:name="_Toc132122119"/>
      <w:bookmarkStart w:id="86" w:name="_Toc132123634"/>
      <w:bookmarkStart w:id="87" w:name="_Toc132125574"/>
      <w:bookmarkStart w:id="88" w:name="_Toc132125151"/>
      <w:bookmarkStart w:id="89" w:name="_Toc132125037"/>
      <w:r>
        <w:rPr>
          <w:rFonts w:hint="eastAsia" w:ascii="宋体" w:hAnsi="宋体" w:cs="宋体"/>
          <w:b/>
          <w:bCs/>
          <w:color w:val="auto"/>
          <w:sz w:val="28"/>
          <w:szCs w:val="28"/>
          <w:highlight w:val="none"/>
        </w:rPr>
        <w:t>五、投标文件的</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hint="eastAsia" w:ascii="宋体" w:hAnsi="宋体" w:cs="宋体"/>
          <w:b/>
          <w:bCs/>
          <w:color w:val="auto"/>
          <w:sz w:val="28"/>
          <w:szCs w:val="28"/>
          <w:highlight w:val="none"/>
        </w:rPr>
        <w:t>递交</w:t>
      </w:r>
    </w:p>
    <w:p w14:paraId="720F7BFE">
      <w:pPr>
        <w:autoSpaceDE w:val="0"/>
        <w:autoSpaceDN w:val="0"/>
        <w:adjustRightInd w:val="0"/>
        <w:spacing w:line="460" w:lineRule="atLeast"/>
        <w:ind w:firstLine="440" w:firstLineChars="200"/>
        <w:textAlignment w:val="bottom"/>
        <w:rPr>
          <w:rFonts w:ascii="宋体" w:hAnsi="宋体" w:cs="宋体"/>
          <w:bCs/>
          <w:color w:val="auto"/>
          <w:sz w:val="22"/>
          <w:szCs w:val="22"/>
          <w:highlight w:val="none"/>
        </w:rPr>
      </w:pPr>
      <w:r>
        <w:rPr>
          <w:rFonts w:hint="eastAsia" w:ascii="宋体" w:hAnsi="宋体" w:cs="宋体"/>
          <w:bCs/>
          <w:color w:val="auto"/>
          <w:sz w:val="22"/>
          <w:szCs w:val="22"/>
          <w:highlight w:val="none"/>
        </w:rPr>
        <w:t>1、投标文件的递交</w:t>
      </w:r>
    </w:p>
    <w:p w14:paraId="3A5FFECC">
      <w:pPr>
        <w:autoSpaceDE w:val="0"/>
        <w:autoSpaceDN w:val="0"/>
        <w:adjustRightInd w:val="0"/>
        <w:spacing w:line="460" w:lineRule="atLeast"/>
        <w:ind w:firstLine="440" w:firstLineChars="200"/>
        <w:textAlignment w:val="bottom"/>
        <w:rPr>
          <w:rFonts w:ascii="宋体" w:hAnsi="宋体" w:cs="宋体"/>
          <w:bCs/>
          <w:color w:val="auto"/>
          <w:kern w:val="0"/>
          <w:sz w:val="22"/>
          <w:szCs w:val="22"/>
          <w:highlight w:val="none"/>
        </w:rPr>
      </w:pPr>
      <w:r>
        <w:rPr>
          <w:rFonts w:hint="eastAsia" w:ascii="宋体" w:hAnsi="宋体" w:cs="宋体"/>
          <w:bCs/>
          <w:color w:val="auto"/>
          <w:sz w:val="22"/>
          <w:szCs w:val="22"/>
          <w:highlight w:val="none"/>
        </w:rPr>
        <w:t>1.1投标文件的上传、递交：见投标供应商须知前附表。</w:t>
      </w:r>
    </w:p>
    <w:p w14:paraId="579699DC">
      <w:pPr>
        <w:autoSpaceDE w:val="0"/>
        <w:autoSpaceDN w:val="0"/>
        <w:adjustRightInd w:val="0"/>
        <w:spacing w:line="460" w:lineRule="atLeast"/>
        <w:ind w:firstLine="440" w:firstLineChars="200"/>
        <w:textAlignment w:val="bottom"/>
        <w:rPr>
          <w:rFonts w:ascii="宋体" w:hAnsi="宋体" w:cs="宋体"/>
          <w:bCs/>
          <w:color w:val="auto"/>
          <w:sz w:val="22"/>
          <w:szCs w:val="22"/>
          <w:highlight w:val="none"/>
        </w:rPr>
      </w:pPr>
      <w:r>
        <w:rPr>
          <w:rFonts w:hint="eastAsia" w:ascii="宋体" w:hAnsi="宋体" w:cs="宋体"/>
          <w:bCs/>
          <w:color w:val="auto"/>
          <w:sz w:val="22"/>
          <w:szCs w:val="22"/>
          <w:highlight w:val="none"/>
        </w:rPr>
        <w:t>2、 “电子加密投标文件”解密和异常情况处理。</w:t>
      </w:r>
    </w:p>
    <w:p w14:paraId="0A273716">
      <w:pPr>
        <w:autoSpaceDE w:val="0"/>
        <w:autoSpaceDN w:val="0"/>
        <w:adjustRightInd w:val="0"/>
        <w:spacing w:line="460" w:lineRule="atLeast"/>
        <w:ind w:firstLine="440" w:firstLineChars="200"/>
        <w:textAlignment w:val="bottom"/>
        <w:rPr>
          <w:rFonts w:ascii="宋体" w:hAnsi="宋体" w:cs="宋体"/>
          <w:bCs/>
          <w:color w:val="auto"/>
          <w:sz w:val="22"/>
          <w:szCs w:val="22"/>
          <w:highlight w:val="none"/>
        </w:rPr>
      </w:pPr>
      <w:r>
        <w:rPr>
          <w:rFonts w:hint="eastAsia" w:ascii="宋体" w:hAnsi="宋体" w:cs="宋体"/>
          <w:bCs/>
          <w:color w:val="auto"/>
          <w:sz w:val="22"/>
          <w:szCs w:val="22"/>
          <w:highlight w:val="none"/>
        </w:rPr>
        <w:t>2.1“电子加密投标文件”解密：见投标供应商须知前附表。</w:t>
      </w:r>
    </w:p>
    <w:p w14:paraId="35135684">
      <w:pPr>
        <w:autoSpaceDE w:val="0"/>
        <w:autoSpaceDN w:val="0"/>
        <w:adjustRightInd w:val="0"/>
        <w:spacing w:line="460" w:lineRule="atLeast"/>
        <w:ind w:firstLine="442" w:firstLineChars="200"/>
        <w:textAlignment w:val="bottom"/>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 投标文件的补充、修改或撤回</w:t>
      </w:r>
    </w:p>
    <w:p w14:paraId="1FAEB873">
      <w:pPr>
        <w:autoSpaceDE w:val="0"/>
        <w:autoSpaceDN w:val="0"/>
        <w:adjustRightInd w:val="0"/>
        <w:spacing w:line="460" w:lineRule="atLeast"/>
        <w:ind w:firstLine="440" w:firstLineChars="200"/>
        <w:textAlignment w:val="bottom"/>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6F2BBDCA">
      <w:pPr>
        <w:autoSpaceDE w:val="0"/>
        <w:autoSpaceDN w:val="0"/>
        <w:adjustRightInd w:val="0"/>
        <w:spacing w:line="460" w:lineRule="atLeast"/>
        <w:ind w:firstLine="440" w:firstLineChars="200"/>
        <w:textAlignment w:val="bottom"/>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3.2投标文件递交截止时间后，投标供应商不得撤回、修改投标文件。</w:t>
      </w:r>
    </w:p>
    <w:p w14:paraId="3CEFC28B">
      <w:pPr>
        <w:autoSpaceDE w:val="0"/>
        <w:autoSpaceDN w:val="0"/>
        <w:adjustRightInd w:val="0"/>
        <w:spacing w:line="460" w:lineRule="atLeast"/>
        <w:ind w:firstLine="442" w:firstLineChars="200"/>
        <w:textAlignment w:val="bottom"/>
        <w:rPr>
          <w:rFonts w:ascii="宋体" w:hAnsi="宋体" w:cs="宋体"/>
          <w:bCs/>
          <w:color w:val="auto"/>
          <w:kern w:val="0"/>
          <w:sz w:val="22"/>
          <w:szCs w:val="22"/>
          <w:highlight w:val="none"/>
        </w:rPr>
      </w:pPr>
      <w:r>
        <w:rPr>
          <w:rFonts w:hint="eastAsia" w:ascii="宋体" w:hAnsi="宋体" w:cs="宋体"/>
          <w:b/>
          <w:bCs/>
          <w:color w:val="auto"/>
          <w:kern w:val="0"/>
          <w:sz w:val="22"/>
          <w:szCs w:val="22"/>
          <w:highlight w:val="none"/>
        </w:rPr>
        <w:t>4、投标文件的备选方案</w:t>
      </w:r>
    </w:p>
    <w:p w14:paraId="3099B450">
      <w:pPr>
        <w:autoSpaceDE w:val="0"/>
        <w:autoSpaceDN w:val="0"/>
        <w:adjustRightInd w:val="0"/>
        <w:spacing w:line="460" w:lineRule="atLeast"/>
        <w:ind w:firstLine="440" w:firstLineChars="200"/>
        <w:textAlignment w:val="bottom"/>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4.1投标供应商不得递交任何的投标备选（替代）方案，否则其投标文件将作无效标处理。与“电子加密投标文件”同时生成的“备份投标文件”不是投标备选（替代）方案。</w:t>
      </w:r>
    </w:p>
    <w:p w14:paraId="11FB4417">
      <w:pPr>
        <w:autoSpaceDE w:val="0"/>
        <w:autoSpaceDN w:val="0"/>
        <w:adjustRightInd w:val="0"/>
        <w:snapToGrid w:val="0"/>
        <w:spacing w:line="440" w:lineRule="exact"/>
        <w:ind w:firstLine="422" w:firstLineChars="150"/>
        <w:jc w:val="center"/>
        <w:textAlignment w:val="bottom"/>
        <w:outlineLvl w:val="1"/>
        <w:rPr>
          <w:rFonts w:ascii="宋体" w:hAnsi="宋体" w:cs="宋体"/>
          <w:b/>
          <w:bCs/>
          <w:color w:val="auto"/>
          <w:sz w:val="22"/>
          <w:szCs w:val="22"/>
          <w:highlight w:val="none"/>
        </w:rPr>
      </w:pPr>
      <w:bookmarkStart w:id="90" w:name="_Toc496116254"/>
      <w:bookmarkStart w:id="91" w:name="_Toc144"/>
      <w:r>
        <w:rPr>
          <w:rFonts w:hint="eastAsia" w:ascii="宋体" w:hAnsi="宋体" w:cs="宋体"/>
          <w:b/>
          <w:bCs/>
          <w:color w:val="auto"/>
          <w:sz w:val="28"/>
          <w:szCs w:val="28"/>
          <w:highlight w:val="none"/>
        </w:rPr>
        <w:t>六、开标和评标</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90"/>
      <w:bookmarkEnd w:id="91"/>
    </w:p>
    <w:p w14:paraId="62FBD2B0">
      <w:pPr>
        <w:autoSpaceDE w:val="0"/>
        <w:autoSpaceDN w:val="0"/>
        <w:adjustRightInd w:val="0"/>
        <w:spacing w:line="460" w:lineRule="atLeast"/>
        <w:ind w:firstLine="442" w:firstLineChars="200"/>
        <w:textAlignment w:val="bottom"/>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1、开标形式</w:t>
      </w:r>
    </w:p>
    <w:p w14:paraId="04ADBD50">
      <w:pPr>
        <w:autoSpaceDE w:val="0"/>
        <w:autoSpaceDN w:val="0"/>
        <w:adjustRightInd w:val="0"/>
        <w:spacing w:line="460" w:lineRule="atLeast"/>
        <w:ind w:firstLine="440" w:firstLineChars="200"/>
        <w:textAlignment w:val="bottom"/>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1.1 采购组织机构将按照招标文件规定的时间通过“政采云平台”组织开标、开启投标文件，所有供应商均应当准时在线参加。</w:t>
      </w:r>
    </w:p>
    <w:p w14:paraId="040C1429">
      <w:pPr>
        <w:autoSpaceDE w:val="0"/>
        <w:autoSpaceDN w:val="0"/>
        <w:adjustRightInd w:val="0"/>
        <w:spacing w:line="460" w:lineRule="atLeast"/>
        <w:ind w:firstLine="442" w:firstLineChars="200"/>
        <w:textAlignment w:val="bottom"/>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 开标准备</w:t>
      </w:r>
    </w:p>
    <w:p w14:paraId="58FD3331">
      <w:pPr>
        <w:autoSpaceDE w:val="0"/>
        <w:autoSpaceDN w:val="0"/>
        <w:adjustRightInd w:val="0"/>
        <w:spacing w:line="460" w:lineRule="atLeast"/>
        <w:ind w:firstLine="440" w:firstLineChars="200"/>
        <w:textAlignment w:val="bottom"/>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2.1开标的准备工作由采购组织机构负责落实。</w:t>
      </w:r>
    </w:p>
    <w:p w14:paraId="1D8A6C73">
      <w:pPr>
        <w:autoSpaceDE w:val="0"/>
        <w:autoSpaceDN w:val="0"/>
        <w:adjustRightInd w:val="0"/>
        <w:spacing w:line="460" w:lineRule="atLeast"/>
        <w:ind w:firstLine="440" w:firstLineChars="200"/>
        <w:textAlignment w:val="bottom"/>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2.2采购组织机构将按照招标文件规定的时间通过“政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4D06C71">
      <w:pPr>
        <w:autoSpaceDE w:val="0"/>
        <w:autoSpaceDN w:val="0"/>
        <w:adjustRightInd w:val="0"/>
        <w:spacing w:line="460" w:lineRule="atLeast"/>
        <w:ind w:firstLine="442" w:firstLineChars="200"/>
        <w:textAlignment w:val="bottom"/>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3、开标流程（两阶段）</w:t>
      </w:r>
    </w:p>
    <w:p w14:paraId="3611091E">
      <w:pPr>
        <w:autoSpaceDE w:val="0"/>
        <w:autoSpaceDN w:val="0"/>
        <w:adjustRightInd w:val="0"/>
        <w:spacing w:line="460" w:lineRule="atLeast"/>
        <w:ind w:firstLine="440" w:firstLineChars="200"/>
        <w:textAlignment w:val="bottom"/>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3.1开标第一阶段</w:t>
      </w:r>
    </w:p>
    <w:p w14:paraId="31242EB0">
      <w:pPr>
        <w:tabs>
          <w:tab w:val="left" w:pos="540"/>
        </w:tabs>
        <w:spacing w:line="460" w:lineRule="exact"/>
        <w:ind w:firstLine="325" w:firstLineChars="147"/>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投标供应商发出电子加密投标文件【开始解密】通知，由供应商按招标文件规定的时间内自行进行投标文件解密。投标供应商在规定的时间内（开标时间起30分钟内）无法完成已递交的“电子加密投标文件”解密的，如已按规定递交了备份投标文件的，将由采购组织机构按“政采云平台”操作规范将备份投标文件上传至“政采云平台”，上传成功后，“电子加密投标文件”自动失效；</w:t>
      </w:r>
    </w:p>
    <w:p w14:paraId="68618F01">
      <w:pPr>
        <w:tabs>
          <w:tab w:val="left" w:pos="540"/>
        </w:tabs>
        <w:spacing w:line="460" w:lineRule="exact"/>
        <w:ind w:firstLine="325" w:firstLineChars="147"/>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（2）开启投标文件，进入资格审查；</w:t>
      </w:r>
    </w:p>
    <w:p w14:paraId="145BE470">
      <w:pPr>
        <w:tabs>
          <w:tab w:val="left" w:pos="540"/>
        </w:tabs>
        <w:spacing w:line="460" w:lineRule="exact"/>
        <w:ind w:firstLine="325" w:firstLineChars="147"/>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（3）资格审查通过的投标供应商的技术资信文件进入符合性审查、技术评审；</w:t>
      </w:r>
    </w:p>
    <w:p w14:paraId="3D57D5A4">
      <w:pPr>
        <w:tabs>
          <w:tab w:val="left" w:pos="540"/>
        </w:tabs>
        <w:spacing w:line="460" w:lineRule="exact"/>
        <w:ind w:firstLine="325" w:firstLineChars="147"/>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（4）第一阶段开标结束。</w:t>
      </w:r>
    </w:p>
    <w:p w14:paraId="03981EEE">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备注：开标大会的第一阶段结束后，采购人或采购代理机构将对依法对投标供应商的资格进行审查，资格审查结束后进入符合性审查和技术资信文件的评审工作，具体见本章节“投标供应商资格审查”相关规定。</w:t>
      </w:r>
    </w:p>
    <w:p w14:paraId="2FA9E876">
      <w:pPr>
        <w:autoSpaceDE w:val="0"/>
        <w:autoSpaceDN w:val="0"/>
        <w:adjustRightInd w:val="0"/>
        <w:spacing w:line="460" w:lineRule="atLeast"/>
        <w:ind w:firstLine="440" w:firstLineChars="200"/>
        <w:textAlignment w:val="bottom"/>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3.2开标第二阶段</w:t>
      </w:r>
    </w:p>
    <w:p w14:paraId="7EFA90B8">
      <w:pPr>
        <w:tabs>
          <w:tab w:val="left" w:pos="540"/>
        </w:tabs>
        <w:spacing w:line="460" w:lineRule="exact"/>
        <w:ind w:firstLine="325" w:firstLineChars="147"/>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符合性审查、技术资信文件的评审结束后，举行开标大会第二阶段会议。首先在“政采云平台”系统平台上公布符合性审查、技术资信评审无效供应商名称及理由；公布经技术资信评审后有效投标供应商的名单，同时公布其技术资信部分得分情况。</w:t>
      </w:r>
    </w:p>
    <w:p w14:paraId="4A3ACC2E">
      <w:pPr>
        <w:tabs>
          <w:tab w:val="left" w:pos="540"/>
        </w:tabs>
        <w:spacing w:line="460" w:lineRule="exact"/>
        <w:ind w:firstLine="325" w:firstLineChars="147"/>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通过符合性审查、技术资信文件评审有效投标供应商的商务（报价）文件，在“政采云平台”系统平台上公布开标一览表有关内容，同时当场制作开标记录。开标结束后，由评标委员会对报价的合理性、准确性等进行审查核实。</w:t>
      </w:r>
    </w:p>
    <w:p w14:paraId="2CAB5A9F">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sz w:val="22"/>
          <w:highlight w:val="none"/>
        </w:rPr>
        <w:t>投标文件报价出现前后不一致的，除采购文件另有规定外，按照下列规定修正</w:t>
      </w:r>
      <w:r>
        <w:rPr>
          <w:rFonts w:hint="eastAsia" w:ascii="宋体" w:hAnsi="宋体" w:cs="宋体"/>
          <w:color w:val="auto"/>
          <w:kern w:val="0"/>
          <w:sz w:val="22"/>
          <w:szCs w:val="22"/>
          <w:highlight w:val="none"/>
        </w:rPr>
        <w:t>：</w:t>
      </w:r>
    </w:p>
    <w:p w14:paraId="430108E3">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宋体"/>
          <w:color w:val="auto"/>
          <w:kern w:val="0"/>
          <w:sz w:val="22"/>
          <w:szCs w:val="22"/>
          <w:highlight w:val="none"/>
        </w:rPr>
        <w:t>。</w:t>
      </w:r>
    </w:p>
    <w:p w14:paraId="688E300E">
      <w:pPr>
        <w:spacing w:line="460" w:lineRule="exact"/>
        <w:ind w:firstLine="418" w:firstLineChars="190"/>
        <w:rPr>
          <w:rFonts w:ascii="宋体" w:hAnsi="宋体" w:cs="宋体"/>
          <w:color w:val="auto"/>
          <w:sz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14:paraId="7395F3CE">
      <w:pPr>
        <w:spacing w:line="46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14:paraId="38933243">
      <w:pPr>
        <w:spacing w:line="46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14:paraId="288D59D9">
      <w:pPr>
        <w:spacing w:line="46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5）</w:t>
      </w:r>
      <w:r>
        <w:rPr>
          <w:rFonts w:hint="eastAsia" w:ascii="宋体" w:hAnsi="宋体" w:cs="宋体"/>
          <w:color w:val="auto"/>
          <w:sz w:val="22"/>
          <w:szCs w:val="22"/>
          <w:highlight w:val="none"/>
        </w:rPr>
        <w:t>投标人在政采云客户端填写的报价与以pdf格式上传文件中的报价不一致的，应以Pdf格式上传文件中的报价为准，修正客户端的报价。</w:t>
      </w:r>
    </w:p>
    <w:p w14:paraId="64CC89D2">
      <w:pPr>
        <w:spacing w:line="460" w:lineRule="exact"/>
        <w:ind w:firstLine="420" w:firstLineChars="190"/>
        <w:rPr>
          <w:rFonts w:ascii="宋体" w:hAnsi="宋体" w:cs="宋体"/>
          <w:b/>
          <w:bCs/>
          <w:color w:val="auto"/>
          <w:sz w:val="22"/>
          <w:szCs w:val="22"/>
          <w:highlight w:val="none"/>
        </w:rPr>
      </w:pPr>
      <w:r>
        <w:rPr>
          <w:rFonts w:hint="eastAsia" w:ascii="宋体" w:hAnsi="宋体" w:cs="宋体"/>
          <w:b/>
          <w:bCs/>
          <w:color w:val="auto"/>
          <w:sz w:val="22"/>
          <w:highlight w:val="none"/>
        </w:rPr>
        <w:t>同时出现两种以上不一致的，按照前款规定的顺序修正。修正后的报价按照本采购文件规定经供应商确认后产生约束力，供应商不确认的，其投标无效。</w:t>
      </w:r>
    </w:p>
    <w:p w14:paraId="5FC188EC">
      <w:pPr>
        <w:tabs>
          <w:tab w:val="left" w:pos="540"/>
        </w:tabs>
        <w:spacing w:line="460" w:lineRule="exact"/>
        <w:ind w:firstLine="325" w:firstLineChars="147"/>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（3）评审结束后，在“政采云平台”系统平台上公布中标（成交）候选供应商名单，及采购人最终确定中标或成交供应商名单的时间和公告方式等。</w:t>
      </w:r>
    </w:p>
    <w:p w14:paraId="703B910A">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73699362">
      <w:pPr>
        <w:autoSpaceDE w:val="0"/>
        <w:autoSpaceDN w:val="0"/>
        <w:adjustRightInd w:val="0"/>
        <w:spacing w:line="460" w:lineRule="atLeast"/>
        <w:ind w:firstLine="442" w:firstLineChars="200"/>
        <w:textAlignment w:val="bottom"/>
        <w:rPr>
          <w:rFonts w:ascii="宋体" w:hAnsi="宋体" w:cs="宋体"/>
          <w:b/>
          <w:bCs/>
          <w:color w:val="auto"/>
          <w:kern w:val="0"/>
          <w:sz w:val="22"/>
          <w:szCs w:val="22"/>
          <w:highlight w:val="none"/>
        </w:rPr>
      </w:pPr>
      <w:bookmarkStart w:id="92" w:name="_Toc24550037"/>
      <w:bookmarkStart w:id="93" w:name="_Toc33194393"/>
      <w:r>
        <w:rPr>
          <w:rFonts w:hint="eastAsia" w:ascii="宋体" w:hAnsi="宋体" w:cs="宋体"/>
          <w:b/>
          <w:bCs/>
          <w:color w:val="auto"/>
          <w:kern w:val="0"/>
          <w:sz w:val="22"/>
          <w:szCs w:val="22"/>
          <w:highlight w:val="none"/>
        </w:rPr>
        <w:t>4、 投标供应商资格审查</w:t>
      </w:r>
      <w:bookmarkEnd w:id="92"/>
      <w:bookmarkEnd w:id="93"/>
    </w:p>
    <w:p w14:paraId="5EA6979D">
      <w:pPr>
        <w:autoSpaceDE w:val="0"/>
        <w:autoSpaceDN w:val="0"/>
        <w:adjustRightInd w:val="0"/>
        <w:spacing w:line="460" w:lineRule="atLeast"/>
        <w:ind w:firstLine="440" w:firstLineChars="200"/>
        <w:textAlignment w:val="bottom"/>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审查材料仅负审核的责任。如发现投标供应商所提交的资格审查材料不合法或与事实不符，采购人可取消其中标资格并追究投标供应商的法律责任。</w:t>
      </w:r>
    </w:p>
    <w:p w14:paraId="6169D862">
      <w:pPr>
        <w:autoSpaceDE w:val="0"/>
        <w:autoSpaceDN w:val="0"/>
        <w:adjustRightInd w:val="0"/>
        <w:spacing w:line="460" w:lineRule="atLeast"/>
        <w:ind w:firstLine="440" w:firstLineChars="200"/>
        <w:textAlignment w:val="bottom"/>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4.2投标供应商提交的资格审查材料无法证明其符合招标文件规定的“投标供应商资格要求”的，采购人或采购代理机构将对其作资格审查不通过处理（无效投标），并不再将其投标提交评标委员会进行后续评审。</w:t>
      </w:r>
    </w:p>
    <w:p w14:paraId="39334A2C">
      <w:pPr>
        <w:autoSpaceDE w:val="0"/>
        <w:autoSpaceDN w:val="0"/>
        <w:adjustRightInd w:val="0"/>
        <w:spacing w:line="460" w:lineRule="atLeast"/>
        <w:ind w:firstLine="440" w:firstLineChars="200"/>
        <w:textAlignment w:val="bottom"/>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4.3单位负责人为同一人或者存在直接控股、管理关系的不同供应商参加同一合同项下的政府采购活动的，相关投标供应商均作资格无效处理。</w:t>
      </w:r>
    </w:p>
    <w:p w14:paraId="30E0A64C">
      <w:pPr>
        <w:pStyle w:val="23"/>
        <w:snapToGrid w:val="0"/>
        <w:spacing w:line="460" w:lineRule="atLeast"/>
        <w:ind w:firstLine="435" w:firstLineChars="197"/>
        <w:rPr>
          <w:rFonts w:hAnsi="宋体" w:cs="宋体"/>
          <w:b/>
          <w:color w:val="auto"/>
          <w:sz w:val="22"/>
          <w:szCs w:val="22"/>
          <w:highlight w:val="none"/>
        </w:rPr>
      </w:pPr>
      <w:r>
        <w:rPr>
          <w:rFonts w:hint="eastAsia" w:hAnsi="宋体" w:cs="宋体"/>
          <w:b/>
          <w:color w:val="auto"/>
          <w:sz w:val="22"/>
          <w:szCs w:val="22"/>
          <w:highlight w:val="none"/>
        </w:rPr>
        <w:t>5、评标</w:t>
      </w:r>
    </w:p>
    <w:p w14:paraId="7C27CCCC">
      <w:pPr>
        <w:pStyle w:val="23"/>
        <w:snapToGrid w:val="0"/>
        <w:spacing w:line="460" w:lineRule="atLeast"/>
        <w:ind w:firstLine="435" w:firstLineChars="197"/>
        <w:rPr>
          <w:rFonts w:hAnsi="宋体" w:cs="宋体"/>
          <w:b/>
          <w:color w:val="auto"/>
          <w:sz w:val="22"/>
          <w:szCs w:val="22"/>
          <w:highlight w:val="none"/>
        </w:rPr>
      </w:pPr>
      <w:r>
        <w:rPr>
          <w:rFonts w:hint="eastAsia" w:hAnsi="宋体" w:cs="宋体"/>
          <w:b/>
          <w:color w:val="auto"/>
          <w:sz w:val="22"/>
          <w:szCs w:val="22"/>
          <w:highlight w:val="none"/>
        </w:rPr>
        <w:t>5.1评标由采购人依法组建的评标委员会负责，并独立履行下列职责：</w:t>
      </w:r>
    </w:p>
    <w:p w14:paraId="3A5D9820">
      <w:pPr>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1）审查投标文件是否符合招标文件要求，并作出评价；</w:t>
      </w:r>
    </w:p>
    <w:p w14:paraId="4188371E">
      <w:pPr>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2）要求供应商对投标文件有关事项作出解释或者澄清；</w:t>
      </w:r>
    </w:p>
    <w:p w14:paraId="78904980">
      <w:pPr>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3）按照招标文件确定的评标办法确定中标人，并对其排序；综合得分最高的供应商推荐为中标人；</w:t>
      </w:r>
    </w:p>
    <w:p w14:paraId="072F40F0">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4）向采购人或者有关部门报告非法干预评标工作的行为。</w:t>
      </w:r>
    </w:p>
    <w:p w14:paraId="070FF2E8">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5）根据采购人的授权确定中标人名单；</w:t>
      </w:r>
    </w:p>
    <w:p w14:paraId="3FD0AE9D">
      <w:pPr>
        <w:snapToGrid w:val="0"/>
        <w:spacing w:line="460" w:lineRule="atLeast"/>
        <w:ind w:firstLine="435" w:firstLineChars="197"/>
        <w:rPr>
          <w:rFonts w:ascii="宋体" w:hAnsi="宋体" w:cs="宋体"/>
          <w:b/>
          <w:color w:val="auto"/>
          <w:sz w:val="22"/>
          <w:szCs w:val="22"/>
          <w:highlight w:val="none"/>
        </w:rPr>
      </w:pPr>
      <w:r>
        <w:rPr>
          <w:rFonts w:hint="eastAsia" w:ascii="宋体" w:hAnsi="宋体" w:cs="宋体"/>
          <w:b/>
          <w:color w:val="auto"/>
          <w:sz w:val="22"/>
          <w:szCs w:val="22"/>
          <w:highlight w:val="none"/>
        </w:rPr>
        <w:t>5.2评标应当遵循下列工作程序：</w:t>
      </w:r>
    </w:p>
    <w:p w14:paraId="1FECB01C">
      <w:pPr>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1）投标文件初审。初审为符合性检查。</w:t>
      </w:r>
    </w:p>
    <w:p w14:paraId="73ABB52B">
      <w:pPr>
        <w:snapToGrid w:val="0"/>
        <w:spacing w:line="460" w:lineRule="atLeast"/>
        <w:ind w:firstLine="323" w:firstLineChars="147"/>
        <w:rPr>
          <w:rFonts w:ascii="宋体" w:hAnsi="宋体" w:cs="宋体"/>
          <w:color w:val="auto"/>
          <w:sz w:val="22"/>
          <w:szCs w:val="22"/>
          <w:highlight w:val="none"/>
        </w:rPr>
      </w:pPr>
      <w:r>
        <w:rPr>
          <w:rFonts w:hint="eastAsia" w:ascii="宋体" w:hAnsi="宋体" w:cs="宋体"/>
          <w:color w:val="auto"/>
          <w:sz w:val="22"/>
          <w:szCs w:val="22"/>
          <w:highlight w:val="none"/>
        </w:rPr>
        <w:t>（1）符合性检查。依据招标文件的规定，从投标文件的有效性、完整性和对招标文件的响应程度进行审查，以确定是否对招标文件的实质性要求作出响应。</w:t>
      </w:r>
    </w:p>
    <w:p w14:paraId="79DF83B9">
      <w:pPr>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7171FDEE">
      <w:pPr>
        <w:adjustRightInd w:val="0"/>
        <w:snapToGrid w:val="0"/>
        <w:spacing w:line="460" w:lineRule="atLeast"/>
        <w:ind w:firstLine="435" w:firstLineChars="197"/>
        <w:rPr>
          <w:rFonts w:ascii="宋体" w:hAnsi="宋体" w:cs="宋体"/>
          <w:b/>
          <w:color w:val="auto"/>
          <w:sz w:val="22"/>
          <w:szCs w:val="22"/>
          <w:highlight w:val="none"/>
        </w:rPr>
      </w:pPr>
      <w:r>
        <w:rPr>
          <w:rFonts w:hint="eastAsia" w:ascii="宋体" w:hAnsi="宋体" w:cs="宋体"/>
          <w:b/>
          <w:color w:val="auto"/>
          <w:sz w:val="22"/>
          <w:szCs w:val="22"/>
          <w:highlight w:val="none"/>
        </w:rPr>
        <w:t>实质上没有响应招标文件要求的投标将被拒绝。供应商不得通过修正或撤销不合要求的偏离从而使其投标成为实质上响应的投标。</w:t>
      </w:r>
    </w:p>
    <w:p w14:paraId="0EF2F926">
      <w:pPr>
        <w:snapToGrid w:val="0"/>
        <w:spacing w:line="460" w:lineRule="atLeast"/>
        <w:ind w:firstLine="435" w:firstLineChars="197"/>
        <w:rPr>
          <w:rFonts w:ascii="宋体" w:hAnsi="宋体" w:cs="宋体"/>
          <w:b/>
          <w:color w:val="auto"/>
          <w:sz w:val="22"/>
          <w:szCs w:val="22"/>
          <w:highlight w:val="none"/>
        </w:rPr>
      </w:pPr>
      <w:r>
        <w:rPr>
          <w:rFonts w:hint="eastAsia" w:ascii="宋体" w:hAnsi="宋体" w:cs="宋体"/>
          <w:b/>
          <w:color w:val="auto"/>
          <w:sz w:val="22"/>
          <w:szCs w:val="22"/>
          <w:highlight w:val="none"/>
        </w:rPr>
        <w:t>评标委员会对投标文件的判定，只依据投标文件内容本身，不依靠开标后的任何外来证明。</w:t>
      </w:r>
    </w:p>
    <w:p w14:paraId="2E553D7D">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3）比较与评价。按招标文件中规定的评标方法和标准，对资格性检查和符合性检查合格的投标文件进行商务和技术评估，综合比较与评价。</w:t>
      </w:r>
    </w:p>
    <w:p w14:paraId="20C3870D">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4）推荐中标人候选人名单，并根据采购人的授权确定中标人。</w:t>
      </w:r>
    </w:p>
    <w:p w14:paraId="79EB8197">
      <w:pPr>
        <w:pStyle w:val="23"/>
        <w:snapToGrid w:val="0"/>
        <w:spacing w:line="460" w:lineRule="atLeast"/>
        <w:ind w:firstLine="435" w:firstLineChars="197"/>
        <w:rPr>
          <w:rFonts w:hAnsi="宋体" w:cs="宋体"/>
          <w:b/>
          <w:color w:val="auto"/>
          <w:sz w:val="22"/>
          <w:szCs w:val="22"/>
          <w:highlight w:val="none"/>
          <w:u w:val="single"/>
        </w:rPr>
      </w:pPr>
      <w:r>
        <w:rPr>
          <w:rFonts w:hint="eastAsia" w:hAnsi="宋体" w:cs="宋体"/>
          <w:b/>
          <w:color w:val="auto"/>
          <w:sz w:val="22"/>
          <w:szCs w:val="22"/>
          <w:highlight w:val="none"/>
        </w:rPr>
        <w:t xml:space="preserve">5.3 </w:t>
      </w:r>
      <w:r>
        <w:rPr>
          <w:rFonts w:hint="eastAsia" w:hAnsi="宋体" w:cs="宋体"/>
          <w:b/>
          <w:color w:val="auto"/>
          <w:sz w:val="22"/>
          <w:szCs w:val="22"/>
          <w:highlight w:val="none"/>
          <w:u w:val="single"/>
        </w:rPr>
        <w:t>▲投标供应商存在下列情况之一的，投标无效：</w:t>
      </w:r>
    </w:p>
    <w:p w14:paraId="70960DF8">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1）投标文件未按招标文件要求签署、盖章的；</w:t>
      </w:r>
    </w:p>
    <w:p w14:paraId="3426B973">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2）不具备招标文件中规定的资格要求的；</w:t>
      </w:r>
    </w:p>
    <w:p w14:paraId="2C4A2BA7">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3）报价超过招标文件中规定的预算金额或者最高限价的；</w:t>
      </w:r>
    </w:p>
    <w:p w14:paraId="5F91145C">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4）不同供应商的电子投标（响应）文件上传的IP地址或MAC地址或硬盘序列号等硬件信息相同且无法合理解释的；</w:t>
      </w:r>
    </w:p>
    <w:p w14:paraId="2C7CD9D9">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5）投标文件含有采购人不能接受的附加条件的（包括招标文件中明确要求不得偏离的招标要求，存在负偏离的）；</w:t>
      </w:r>
    </w:p>
    <w:p w14:paraId="3EAE7583">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6）仅提交“备份投标文件”的；</w:t>
      </w:r>
    </w:p>
    <w:p w14:paraId="0CA10825">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7）对关键条文的偏离、保留或反对，例如关于付款方式、完工期、免费质保期、适用法律法规、标准、税费等其他内容；</w:t>
      </w:r>
    </w:p>
    <w:p w14:paraId="53DD2901">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8）存在串标、抬标或弄虚作假情况的；</w:t>
      </w:r>
    </w:p>
    <w:p w14:paraId="522D2112">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9）法律法规和招标文件规定的其他无效情形（或出现重大偏差）。</w:t>
      </w:r>
    </w:p>
    <w:p w14:paraId="5E341021">
      <w:pPr>
        <w:pStyle w:val="23"/>
        <w:snapToGrid w:val="0"/>
        <w:spacing w:line="460" w:lineRule="atLeast"/>
        <w:ind w:firstLine="435" w:firstLineChars="197"/>
        <w:rPr>
          <w:rFonts w:hAnsi="宋体" w:cs="宋体"/>
          <w:b/>
          <w:color w:val="auto"/>
          <w:sz w:val="22"/>
          <w:szCs w:val="22"/>
          <w:highlight w:val="none"/>
        </w:rPr>
      </w:pPr>
      <w:r>
        <w:rPr>
          <w:rFonts w:hint="eastAsia" w:hAnsi="宋体" w:cs="宋体"/>
          <w:b/>
          <w:color w:val="auto"/>
          <w:sz w:val="22"/>
          <w:szCs w:val="22"/>
          <w:highlight w:val="none"/>
        </w:rPr>
        <w:t>5.4 ▲</w:t>
      </w:r>
      <w:r>
        <w:rPr>
          <w:rFonts w:hint="eastAsia" w:hAnsi="宋体" w:cs="宋体"/>
          <w:b/>
          <w:color w:val="auto"/>
          <w:sz w:val="22"/>
          <w:szCs w:val="22"/>
          <w:highlight w:val="none"/>
          <w:u w:val="single"/>
        </w:rPr>
        <w:t>评标委员会发现投标文件有下列情形之一的属于重大偏差（评标委员会按少数服从多数原则认定），按照无效投标处理：</w:t>
      </w:r>
    </w:p>
    <w:p w14:paraId="10E8E7C6">
      <w:pPr>
        <w:pStyle w:val="23"/>
        <w:snapToGrid w:val="0"/>
        <w:spacing w:line="460" w:lineRule="atLeast"/>
        <w:ind w:firstLine="435" w:firstLineChars="197"/>
        <w:rPr>
          <w:rFonts w:hAnsi="宋体" w:cs="宋体"/>
          <w:b/>
          <w:color w:val="auto"/>
          <w:sz w:val="22"/>
          <w:szCs w:val="22"/>
          <w:highlight w:val="none"/>
        </w:rPr>
      </w:pPr>
      <w:r>
        <w:rPr>
          <w:rFonts w:hint="eastAsia" w:hAnsi="宋体" w:cs="宋体"/>
          <w:b/>
          <w:color w:val="auto"/>
          <w:sz w:val="22"/>
          <w:szCs w:val="22"/>
          <w:highlight w:val="none"/>
        </w:rPr>
        <w:t>1）未按招标文件要求编制或字迹模糊、辨认不清的投标文件；</w:t>
      </w:r>
    </w:p>
    <w:p w14:paraId="7BC879BE">
      <w:pPr>
        <w:pStyle w:val="23"/>
        <w:snapToGrid w:val="0"/>
        <w:spacing w:line="460" w:lineRule="atLeast"/>
        <w:ind w:firstLine="435" w:firstLineChars="197"/>
        <w:rPr>
          <w:rFonts w:hAnsi="宋体" w:cs="宋体"/>
          <w:b/>
          <w:color w:val="auto"/>
          <w:sz w:val="22"/>
          <w:szCs w:val="22"/>
          <w:highlight w:val="none"/>
        </w:rPr>
      </w:pPr>
      <w:r>
        <w:rPr>
          <w:rFonts w:hint="eastAsia" w:hAnsi="宋体" w:cs="宋体"/>
          <w:b/>
          <w:color w:val="auto"/>
          <w:sz w:val="22"/>
          <w:szCs w:val="22"/>
          <w:highlight w:val="none"/>
        </w:rPr>
        <w:t>2）供应商技术资信投标文件中出现投标报价；</w:t>
      </w:r>
    </w:p>
    <w:p w14:paraId="7A7EF924">
      <w:pPr>
        <w:pStyle w:val="23"/>
        <w:snapToGrid w:val="0"/>
        <w:spacing w:line="460" w:lineRule="atLeast"/>
        <w:ind w:firstLine="435" w:firstLineChars="197"/>
        <w:rPr>
          <w:rFonts w:hAnsi="宋体" w:cs="宋体"/>
          <w:b/>
          <w:color w:val="auto"/>
          <w:sz w:val="22"/>
          <w:szCs w:val="22"/>
          <w:highlight w:val="none"/>
        </w:rPr>
      </w:pPr>
      <w:r>
        <w:rPr>
          <w:rFonts w:hint="eastAsia" w:hAnsi="宋体" w:cs="宋体"/>
          <w:b/>
          <w:color w:val="auto"/>
          <w:sz w:val="22"/>
          <w:szCs w:val="22"/>
          <w:highlight w:val="none"/>
        </w:rPr>
        <w:t>3）除5.3条款以外，出现其他明显不符合技术规格、技术标准的要求或不满足招标文件技术规格书中的主要参数的投标文件；</w:t>
      </w:r>
    </w:p>
    <w:p w14:paraId="7D44CD55">
      <w:pPr>
        <w:pStyle w:val="23"/>
        <w:snapToGrid w:val="0"/>
        <w:spacing w:line="460" w:lineRule="atLeast"/>
        <w:ind w:firstLine="435" w:firstLineChars="197"/>
        <w:rPr>
          <w:rFonts w:hAnsi="宋体" w:cs="宋体"/>
          <w:b/>
          <w:color w:val="auto"/>
          <w:sz w:val="22"/>
          <w:szCs w:val="22"/>
          <w:highlight w:val="none"/>
        </w:rPr>
      </w:pPr>
      <w:r>
        <w:rPr>
          <w:rFonts w:hint="eastAsia" w:hAnsi="宋体" w:cs="宋体"/>
          <w:b/>
          <w:color w:val="auto"/>
          <w:sz w:val="22"/>
          <w:szCs w:val="22"/>
          <w:highlight w:val="none"/>
        </w:rPr>
        <w:t>4）除5.3条款以外，出现投标服务内容与招标文件对比出现较大偏差；商务报价明细表计算错误，出现较大差错；</w:t>
      </w:r>
    </w:p>
    <w:p w14:paraId="42494AD0">
      <w:pPr>
        <w:pStyle w:val="23"/>
        <w:snapToGrid w:val="0"/>
        <w:spacing w:line="460" w:lineRule="atLeast"/>
        <w:ind w:firstLine="435" w:firstLineChars="197"/>
        <w:rPr>
          <w:rFonts w:hAnsi="宋体" w:cs="宋体"/>
          <w:b/>
          <w:color w:val="auto"/>
          <w:sz w:val="22"/>
          <w:szCs w:val="22"/>
          <w:highlight w:val="none"/>
        </w:rPr>
      </w:pPr>
      <w:r>
        <w:rPr>
          <w:rFonts w:hint="eastAsia" w:hAnsi="宋体" w:cs="宋体"/>
          <w:b/>
          <w:color w:val="auto"/>
          <w:sz w:val="22"/>
          <w:szCs w:val="22"/>
          <w:highlight w:val="none"/>
        </w:rPr>
        <w:t>5）除5.3条款以外，出现其他不符合招标文件中规定的实质性要求的投标文件，是否为偏离实质性要求由评标委员会认定。</w:t>
      </w:r>
    </w:p>
    <w:p w14:paraId="09D97E55">
      <w:pPr>
        <w:pStyle w:val="23"/>
        <w:snapToGrid w:val="0"/>
        <w:spacing w:line="460" w:lineRule="atLeast"/>
        <w:ind w:firstLine="435" w:firstLineChars="197"/>
        <w:rPr>
          <w:rFonts w:hAnsi="宋体" w:cs="宋体"/>
          <w:b/>
          <w:color w:val="auto"/>
          <w:sz w:val="22"/>
          <w:szCs w:val="22"/>
          <w:highlight w:val="none"/>
        </w:rPr>
      </w:pPr>
      <w:r>
        <w:rPr>
          <w:rFonts w:hint="eastAsia" w:hAnsi="宋体" w:cs="宋体"/>
          <w:b/>
          <w:color w:val="auto"/>
          <w:sz w:val="22"/>
          <w:szCs w:val="22"/>
          <w:highlight w:val="none"/>
        </w:rPr>
        <w:t>5.5 开启供应商商务报价文件后发现价格、数量有误，其投标价将按下述原则处理：</w:t>
      </w:r>
    </w:p>
    <w:p w14:paraId="1B5554C8">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1) 任何有漏去一些小项货物或服务的投标将被视为其费用已包含在投标总价中，投标价格不予调整。如果供应商不接受上述处理方式，将作为无效投标。</w:t>
      </w:r>
    </w:p>
    <w:p w14:paraId="0F2F0F0D">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2) 任何有多报一些小项工程或服务的投标其投标价不予调整，如果该供应商中标，则合同价格必须为核减掉多报的一些小项工程或服务后的价格。如果供应商不接受上述处理方式，将作为无效投标。</w:t>
      </w:r>
    </w:p>
    <w:p w14:paraId="2635436D">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3）对于计算错误的其投标价不予调整，如果该供应商中标，如其投标价格计算错误导致多报者合同价格予以据实核减，少报者合同价格不予调整。如果供应商不接受上述处理方式，将作为无效投标。</w:t>
      </w:r>
    </w:p>
    <w:p w14:paraId="7B500B9B">
      <w:pPr>
        <w:adjustRightInd w:val="0"/>
        <w:snapToGrid w:val="0"/>
        <w:spacing w:line="460" w:lineRule="atLeast"/>
        <w:ind w:firstLine="433" w:firstLineChars="197"/>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4）对于计算错误，多报或漏报的一些小项工程或服务的仅仅为非实质性重大偏差范围内的偏离，并经过评标委员会按少数服从多数原则认定为细微偏差，评审时其投标价不予调整。</w:t>
      </w:r>
      <w:r>
        <w:rPr>
          <w:rFonts w:hint="eastAsia" w:ascii="宋体" w:hAnsi="宋体" w:cs="宋体"/>
          <w:b/>
          <w:color w:val="auto"/>
          <w:sz w:val="22"/>
          <w:szCs w:val="22"/>
          <w:highlight w:val="none"/>
          <w:u w:val="single"/>
        </w:rPr>
        <w:t>如认定为重大偏差的，作无效投标处理。</w:t>
      </w:r>
    </w:p>
    <w:p w14:paraId="67F060F7">
      <w:pPr>
        <w:adjustRightInd w:val="0"/>
        <w:snapToGrid w:val="0"/>
        <w:spacing w:line="460" w:lineRule="atLeast"/>
        <w:ind w:firstLine="435" w:firstLineChars="197"/>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5.6▲评标委员会认为投标供应商的报价明显低于其他通过符合性审查的投标供应商的报价，有可能影响产品质量或者不能诚信履约的，将要求其在合理时间内在“政采云平台”上作出在线澄清并提供书面说明，必要时提交相关证明材料；投标供应商不能证明其报价合理性的，评标委员会应当将其作为无效投标处理。</w:t>
      </w:r>
    </w:p>
    <w:p w14:paraId="20F3B8FB">
      <w:pPr>
        <w:adjustRightInd w:val="0"/>
        <w:snapToGrid w:val="0"/>
        <w:spacing w:line="460" w:lineRule="atLeast"/>
        <w:ind w:firstLine="435" w:firstLineChars="197"/>
        <w:rPr>
          <w:rFonts w:ascii="宋体" w:hAnsi="宋体" w:cs="宋体"/>
          <w:b/>
          <w:color w:val="auto"/>
          <w:sz w:val="22"/>
          <w:szCs w:val="22"/>
          <w:highlight w:val="none"/>
        </w:rPr>
      </w:pPr>
      <w:r>
        <w:rPr>
          <w:rFonts w:hint="eastAsia" w:ascii="宋体" w:hAnsi="宋体" w:cs="宋体"/>
          <w:b/>
          <w:color w:val="auto"/>
          <w:sz w:val="22"/>
          <w:szCs w:val="22"/>
          <w:highlight w:val="none"/>
          <w:u w:val="single"/>
        </w:rPr>
        <w:t>5.7如果投标供应商代表拒绝按评标委员会要求在“政采云平台”作出在线回复且无其他有效回复方式的，评标委员会可以对其作出否决投标处理。</w:t>
      </w:r>
    </w:p>
    <w:p w14:paraId="1BA4B0EA">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5.8 经澄清后，若偏差仍存在，且不可接受，则投标文件将被认定为“没有实质性响应招标文件要求”，按无效投标处理，不再进入下一步评审。评标委员会在评标中，不得改变招标文件中规定的评标标准、方法和中标条件。</w:t>
      </w:r>
    </w:p>
    <w:p w14:paraId="16206AF1">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5.9 评标时如遇到招标文件未规定的特殊情况，由评标委员会按少数服从多数原则集体决定处理。</w:t>
      </w:r>
    </w:p>
    <w:p w14:paraId="4AA3FA08">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6、投标文件的澄清</w:t>
      </w:r>
    </w:p>
    <w:p w14:paraId="6C21A97A">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 xml:space="preserve">6.1 </w:t>
      </w:r>
      <w:r>
        <w:rPr>
          <w:rFonts w:hint="eastAsia" w:ascii="宋体" w:hAnsi="宋体" w:cs="宋体"/>
          <w:b/>
          <w:bCs/>
          <w:color w:val="auto"/>
          <w:sz w:val="22"/>
          <w:szCs w:val="22"/>
          <w:highlight w:val="none"/>
        </w:rPr>
        <w:t>为有助于投标文件的审查、评价和比较，评标小组可以在“政采云平台”在线询标或其他有效形式要求投标供应商对同一份投标文件含义不明确或同类问题表述不一致的内容（招标文件其他地方有规定处理方法的除外）作必要的澄清或说明，投标供应商应采用在线回复或其他有效形式在询标规定时间内进行澄清或说明（需加盖电子签章或实体公章），但不得超出投标文件的范围或改变投标文件的实质性内容。凡属于评标小组在评标中发现的计算错误并进行核实的修改不在此列</w:t>
      </w:r>
      <w:r>
        <w:rPr>
          <w:rFonts w:hint="eastAsia" w:ascii="宋体" w:hAnsi="宋体" w:cs="宋体"/>
          <w:color w:val="auto"/>
          <w:sz w:val="22"/>
          <w:szCs w:val="22"/>
          <w:highlight w:val="none"/>
        </w:rPr>
        <w:t>。</w:t>
      </w:r>
    </w:p>
    <w:p w14:paraId="1D88A3CD">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6.2 若投标文件中所提交的证书、证明等材料若出现已过有效期、时间或其他主要信息不明确，且投标供应商书面澄清（书面澄清仅限在投标文件递交截止时间前所提交投标文件及相关材料中未被评标委员会审查出的内容）亦不明确的，评审过程中将不予认可，不再寻求外部证据（外部证据包括投标供应商在澄清过程中申请补交的证明材料或网络查询结果等非投标文件本身内容）。</w:t>
      </w:r>
    </w:p>
    <w:p w14:paraId="60595DF6">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 xml:space="preserve">6.3 供应商对投标文件的澄清不得寻求、提供或允许改变投标价格等实质性内容。 </w:t>
      </w:r>
    </w:p>
    <w:p w14:paraId="264E1D73">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7、禁止供应商相互串通投标。</w:t>
      </w:r>
    </w:p>
    <w:p w14:paraId="010EF763">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7.1、有下列情形之一的，视为供应商相互串通投标：</w:t>
      </w:r>
    </w:p>
    <w:p w14:paraId="4C116587">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（一）不同供应商的投标文件由同一单位或者个人编制；</w:t>
      </w:r>
    </w:p>
    <w:p w14:paraId="5183EB62">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（二）不同供应商委托同一单位或者个人办理投标事宜；</w:t>
      </w:r>
    </w:p>
    <w:p w14:paraId="6F94A3C8">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（三）不同供应商的投标文件载明的项目管理成员为同一人；</w:t>
      </w:r>
    </w:p>
    <w:p w14:paraId="2E02F629">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（四）不同供应商的投标文件异常一致或者投标报价呈规律性差异；</w:t>
      </w:r>
    </w:p>
    <w:p w14:paraId="0D5E8371">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（五）不同供应商的投标文件相互混装；</w:t>
      </w:r>
    </w:p>
    <w:p w14:paraId="23E460B2">
      <w:pPr>
        <w:adjustRightInd w:val="0"/>
        <w:snapToGrid w:val="0"/>
        <w:spacing w:line="460" w:lineRule="atLeast"/>
        <w:ind w:left="414" w:leftChars="197"/>
        <w:rPr>
          <w:rFonts w:ascii="宋体" w:hAnsi="宋体" w:cs="宋体"/>
          <w:b/>
          <w:color w:val="auto"/>
          <w:sz w:val="22"/>
          <w:szCs w:val="22"/>
          <w:highlight w:val="none"/>
        </w:rPr>
      </w:pPr>
      <w:r>
        <w:rPr>
          <w:rFonts w:hint="eastAsia" w:ascii="宋体" w:hAnsi="宋体" w:cs="宋体"/>
          <w:b/>
          <w:color w:val="auto"/>
          <w:sz w:val="22"/>
          <w:szCs w:val="22"/>
          <w:highlight w:val="none"/>
        </w:rPr>
        <w:t>7.2、经评标委员会认定供应商进行串通投标的，评标委员会可以对相关供应商做出无效投标处理，并上报政府采购管理部门进行进一步处理。</w:t>
      </w:r>
    </w:p>
    <w:p w14:paraId="45049A2A">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8、评标原则</w:t>
      </w:r>
    </w:p>
    <w:p w14:paraId="000FE90C">
      <w:pPr>
        <w:pStyle w:val="23"/>
        <w:snapToGrid w:val="0"/>
        <w:spacing w:line="460" w:lineRule="atLeast"/>
        <w:ind w:firstLine="435" w:firstLineChars="197"/>
        <w:rPr>
          <w:rFonts w:hAnsi="宋体" w:cs="宋体"/>
          <w:b/>
          <w:color w:val="auto"/>
          <w:sz w:val="22"/>
          <w:szCs w:val="22"/>
          <w:highlight w:val="none"/>
        </w:rPr>
      </w:pPr>
      <w:r>
        <w:rPr>
          <w:rFonts w:hint="eastAsia" w:hAnsi="宋体" w:cs="宋体"/>
          <w:b/>
          <w:color w:val="auto"/>
          <w:sz w:val="22"/>
          <w:szCs w:val="22"/>
          <w:highlight w:val="none"/>
        </w:rPr>
        <w:t>8.1 ▲</w:t>
      </w:r>
      <w:r>
        <w:rPr>
          <w:rFonts w:hint="eastAsia" w:hAnsi="宋体" w:cs="宋体"/>
          <w:b/>
          <w:color w:val="auto"/>
          <w:sz w:val="22"/>
          <w:szCs w:val="22"/>
          <w:highlight w:val="none"/>
          <w:u w:val="single"/>
        </w:rPr>
        <w:t>投标截止时或评审过程中有效投标供应商不足三家的，不予开标或评标。</w:t>
      </w:r>
    </w:p>
    <w:p w14:paraId="38A371E1">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9、确定中标候选人</w:t>
      </w:r>
    </w:p>
    <w:p w14:paraId="28F16DCC">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9.1本次招标由评标委员会推荐中标候选人，采购人根据评标委员会的推荐结果进行最终确认。</w:t>
      </w:r>
    </w:p>
    <w:p w14:paraId="25813355">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9.2评标委员会依据法律法规及招标文件有关规定在有效标中按投标供应商的最终得分（即技术分与商务分之和）高低进行排序，得分前二名的投标供应商推荐为第一中标候选人与第二中标候选人（得分相同投标报价低的排序第一；得分且投标报价相同的，由评标委员会成员抽签决定排序）。</w:t>
      </w:r>
    </w:p>
    <w:p w14:paraId="0F44A86E">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9.3若出现以下情形之一，采购人可视具体情况确定是否由下一候选人为中标人或重新组织招标：</w:t>
      </w:r>
    </w:p>
    <w:p w14:paraId="28A13D58">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1）中标候选人放弃中标资格；</w:t>
      </w:r>
    </w:p>
    <w:p w14:paraId="3C2806D7">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2）中标候选人因不可抗力提出不能履行合同；</w:t>
      </w:r>
    </w:p>
    <w:p w14:paraId="2D43E813">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3）中标候选人未能在规定时间内与采购单位签订合同；</w:t>
      </w:r>
    </w:p>
    <w:p w14:paraId="0A743ED7">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4）经质疑，采购人审查后，中标候选人确实在本次采购活动中存在违法违规行为或其他原因使质疑成立的。</w:t>
      </w:r>
    </w:p>
    <w:p w14:paraId="41C0ED17">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9.4采购人、采购代理机构及评标委员会对未中标的供应商不作解释。</w:t>
      </w:r>
    </w:p>
    <w:p w14:paraId="6BB1AA25">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10、评标细则详见“评标原则及方法”。</w:t>
      </w:r>
    </w:p>
    <w:p w14:paraId="787FD3E2">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11、 可中止电子交易活动的情形</w:t>
      </w:r>
    </w:p>
    <w:p w14:paraId="05F9D8DD">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11.1采购过程中出现以下情形，导致电子交易平台无法正常运行，或者无法保证电子交易的公平、公正和安全时，采购组织机构可中止电子交易活动：</w:t>
      </w:r>
    </w:p>
    <w:p w14:paraId="43C94B30">
      <w:pPr>
        <w:numPr>
          <w:ilvl w:val="2"/>
          <w:numId w:val="3"/>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14:paraId="1EEFB21F">
      <w:pPr>
        <w:numPr>
          <w:ilvl w:val="2"/>
          <w:numId w:val="3"/>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14:paraId="2CE1A158">
      <w:pPr>
        <w:numPr>
          <w:ilvl w:val="2"/>
          <w:numId w:val="3"/>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14:paraId="6CF257DB">
      <w:pPr>
        <w:numPr>
          <w:ilvl w:val="2"/>
          <w:numId w:val="3"/>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14:paraId="50A97E93">
      <w:pPr>
        <w:numPr>
          <w:ilvl w:val="2"/>
          <w:numId w:val="3"/>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14:paraId="70503C92">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11.2出现前款规定情形，不影响采购公平、公正性的，采购组织机构可以待上述情形消除后继续组织电子交易活动；影响或可能影响采购公平、公正性的，应当重新采购。</w:t>
      </w:r>
    </w:p>
    <w:p w14:paraId="1E4A7AB9">
      <w:pPr>
        <w:autoSpaceDE w:val="0"/>
        <w:autoSpaceDN w:val="0"/>
        <w:adjustRightInd w:val="0"/>
        <w:snapToGrid w:val="0"/>
        <w:spacing w:line="440" w:lineRule="exact"/>
        <w:ind w:firstLine="422" w:firstLineChars="150"/>
        <w:jc w:val="center"/>
        <w:textAlignment w:val="bottom"/>
        <w:outlineLvl w:val="1"/>
        <w:rPr>
          <w:rFonts w:ascii="宋体" w:hAnsi="宋体" w:cs="宋体"/>
          <w:b/>
          <w:bCs/>
          <w:color w:val="auto"/>
          <w:sz w:val="28"/>
          <w:szCs w:val="28"/>
          <w:highlight w:val="none"/>
        </w:rPr>
      </w:pPr>
      <w:bookmarkStart w:id="94" w:name="_Toc17810"/>
      <w:bookmarkStart w:id="95" w:name="_Toc496116255"/>
      <w:r>
        <w:rPr>
          <w:rFonts w:hint="eastAsia" w:ascii="宋体" w:hAnsi="宋体" w:cs="宋体"/>
          <w:b/>
          <w:bCs/>
          <w:color w:val="auto"/>
          <w:sz w:val="28"/>
          <w:szCs w:val="28"/>
          <w:highlight w:val="none"/>
        </w:rPr>
        <w:t>七、授予合同</w:t>
      </w:r>
      <w:bookmarkEnd w:id="94"/>
      <w:bookmarkEnd w:id="95"/>
    </w:p>
    <w:p w14:paraId="2F547089">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1、决标</w:t>
      </w:r>
    </w:p>
    <w:p w14:paraId="385C0916">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1.1、评标结束后，评标委员会按照招标文件确定的评标办法推荐中标供应商。</w:t>
      </w:r>
    </w:p>
    <w:p w14:paraId="5DB652F6">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2、中标通知书</w:t>
      </w:r>
    </w:p>
    <w:p w14:paraId="5C55A528">
      <w:pPr>
        <w:spacing w:line="460" w:lineRule="atLeast"/>
        <w:ind w:firstLine="435" w:firstLineChars="197"/>
        <w:rPr>
          <w:rFonts w:ascii="宋体" w:hAnsi="宋体" w:cs="宋体"/>
          <w:b/>
          <w:color w:val="auto"/>
          <w:sz w:val="22"/>
          <w:szCs w:val="22"/>
          <w:highlight w:val="none"/>
        </w:rPr>
      </w:pPr>
      <w:r>
        <w:rPr>
          <w:rFonts w:hint="eastAsia" w:ascii="宋体" w:hAnsi="宋体" w:cs="宋体"/>
          <w:b/>
          <w:color w:val="auto"/>
          <w:sz w:val="22"/>
          <w:szCs w:val="22"/>
          <w:highlight w:val="none"/>
        </w:rPr>
        <w:t>2.1、采购人依法确认中标供应商后，代理机构在浙江省政府采购网上公告中标结果，公告期限为1个工作日。同时向中标供应商发出中标通知书。</w:t>
      </w:r>
    </w:p>
    <w:p w14:paraId="1C550B06">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2.2、中标通知书对采购人和中标人具有法律约束力。中标通知书发出后，采购人改变中标结果或者中标人放弃中标的，应当承担法律责任。</w:t>
      </w:r>
    </w:p>
    <w:p w14:paraId="396DCC38">
      <w:pPr>
        <w:adjustRightInd w:val="0"/>
        <w:snapToGrid w:val="0"/>
        <w:spacing w:line="460" w:lineRule="atLeast"/>
        <w:ind w:firstLine="435" w:firstLineChars="197"/>
        <w:rPr>
          <w:rFonts w:ascii="宋体" w:hAnsi="宋体" w:cs="宋体"/>
          <w:b/>
          <w:color w:val="auto"/>
          <w:sz w:val="22"/>
          <w:szCs w:val="22"/>
          <w:highlight w:val="none"/>
        </w:rPr>
      </w:pPr>
      <w:r>
        <w:rPr>
          <w:rFonts w:hint="eastAsia" w:ascii="宋体" w:hAnsi="宋体" w:cs="宋体"/>
          <w:b/>
          <w:color w:val="auto"/>
          <w:sz w:val="22"/>
          <w:szCs w:val="22"/>
          <w:highlight w:val="none"/>
        </w:rPr>
        <w:t>2.3、中标无效</w:t>
      </w:r>
    </w:p>
    <w:p w14:paraId="4F65EB81">
      <w:pPr>
        <w:adjustRightInd w:val="0"/>
        <w:snapToGrid w:val="0"/>
        <w:spacing w:line="460" w:lineRule="atLeast"/>
        <w:ind w:firstLine="433" w:firstLineChars="197"/>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1）发现中标供应商资格无效或中标供应商放弃中标或拒绝与采购人签订合同的，采购人可以按照评审报告推荐的中标候选人名单排序，确定下一候选人为中标供应商，也可以重新开展政府采购活动。</w:t>
      </w:r>
    </w:p>
    <w:p w14:paraId="43BCAFC5">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2）有《中华人民共和国政府采购法实施条例》第七十一条、第七十二条、第七十三条、第七十四条规定的违法行为之一，由政府采购监管部门依法处理。</w:t>
      </w:r>
    </w:p>
    <w:p w14:paraId="2553906E">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4、签订合同</w:t>
      </w:r>
    </w:p>
    <w:p w14:paraId="60EB97BD">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4.1 中标供应商须主动联系采购人或采购代理机构领取中标通知书。中标供应商应当在中标通知书发出之日起30日历天内与采购人签订合同。中标供应商未经采购人许可，在规定时间内未到采购人处与采购人签订合同，则视为拒签合同。</w:t>
      </w:r>
    </w:p>
    <w:p w14:paraId="7AC2236B">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4.2 招标文件、中标供应商的投标文件及投标修改文件、评标过程中有关澄清文件及经双方签字的询标纪要（承诺）和中标通知书均作为合同附件。</w:t>
      </w:r>
    </w:p>
    <w:p w14:paraId="4C4E8EF6">
      <w:pPr>
        <w:adjustRightInd w:val="0"/>
        <w:snapToGrid w:val="0"/>
        <w:spacing w:line="460" w:lineRule="atLeas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4.3 拒签合同的责任</w:t>
      </w:r>
    </w:p>
    <w:p w14:paraId="53D24663">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中标供应商在规定时间内（30日历天）借故否认已经承诺的条件、拒签合同或拒交履约保证金者，以投标违约处理，赔偿采购人由此造成的直接经济损失；采购人重新组织招标的，所需费用由原中标供应商承担。</w:t>
      </w:r>
    </w:p>
    <w:p w14:paraId="672DE30B">
      <w:pPr>
        <w:pStyle w:val="23"/>
        <w:snapToGrid w:val="0"/>
        <w:spacing w:line="460" w:lineRule="atLeast"/>
        <w:ind w:firstLine="433" w:firstLineChars="197"/>
        <w:rPr>
          <w:rFonts w:hAnsi="宋体" w:cs="宋体"/>
          <w:color w:val="auto"/>
          <w:sz w:val="22"/>
          <w:szCs w:val="22"/>
          <w:highlight w:val="none"/>
        </w:rPr>
      </w:pPr>
      <w:r>
        <w:rPr>
          <w:rFonts w:hint="eastAsia" w:hAnsi="宋体" w:cs="宋体"/>
          <w:color w:val="auto"/>
          <w:sz w:val="22"/>
          <w:szCs w:val="22"/>
          <w:highlight w:val="none"/>
        </w:rPr>
        <w:t>4.4 采购人在授予合同时有权对采购的服务予以增加或减少，但不得对单价或其他的条款和条件做任何改变。</w:t>
      </w:r>
    </w:p>
    <w:p w14:paraId="5E6CC882">
      <w:pPr>
        <w:pStyle w:val="23"/>
        <w:snapToGrid w:val="0"/>
        <w:spacing w:line="460" w:lineRule="atLeast"/>
        <w:ind w:firstLine="435" w:firstLineChars="197"/>
        <w:rPr>
          <w:rFonts w:hAnsi="宋体" w:cs="宋体"/>
          <w:b/>
          <w:color w:val="auto"/>
          <w:sz w:val="22"/>
          <w:szCs w:val="22"/>
          <w:highlight w:val="none"/>
        </w:rPr>
      </w:pPr>
      <w:r>
        <w:rPr>
          <w:rFonts w:hint="eastAsia" w:hAnsi="宋体" w:cs="宋体"/>
          <w:b/>
          <w:color w:val="auto"/>
          <w:sz w:val="22"/>
          <w:szCs w:val="22"/>
          <w:highlight w:val="none"/>
        </w:rPr>
        <w:t>5、履约保证金</w:t>
      </w:r>
    </w:p>
    <w:p w14:paraId="50E28FFC">
      <w:pPr>
        <w:autoSpaceDE w:val="0"/>
        <w:autoSpaceDN w:val="0"/>
        <w:adjustRightInd w:val="0"/>
        <w:snapToGrid w:val="0"/>
        <w:spacing w:line="460" w:lineRule="atLeast"/>
        <w:ind w:firstLine="433" w:firstLineChars="197"/>
        <w:textAlignment w:val="bottom"/>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履约保证金按招标文件规定，在中标人与采购人签订合同后递交。</w:t>
      </w:r>
    </w:p>
    <w:p w14:paraId="10B4B922">
      <w:pPr>
        <w:pStyle w:val="6"/>
        <w:ind w:firstLine="422"/>
        <w:rPr>
          <w:rFonts w:ascii="宋体" w:eastAsia="宋体"/>
          <w:color w:val="auto"/>
          <w:highlight w:val="none"/>
        </w:rPr>
      </w:pPr>
      <w:r>
        <w:rPr>
          <w:rFonts w:hint="eastAsia" w:ascii="宋体" w:eastAsia="宋体"/>
          <w:color w:val="auto"/>
          <w:highlight w:val="none"/>
        </w:rPr>
        <w:t>6、</w:t>
      </w:r>
      <w:r>
        <w:rPr>
          <w:rFonts w:hint="eastAsia" w:ascii="宋体" w:eastAsia="宋体"/>
          <w:color w:val="auto"/>
          <w:sz w:val="22"/>
          <w:szCs w:val="22"/>
          <w:highlight w:val="none"/>
        </w:rPr>
        <w:t>招标代理服务费</w:t>
      </w:r>
    </w:p>
    <w:p w14:paraId="13E131D0">
      <w:pPr>
        <w:autoSpaceDE w:val="0"/>
        <w:autoSpaceDN w:val="0"/>
        <w:adjustRightInd w:val="0"/>
        <w:snapToGrid w:val="0"/>
        <w:spacing w:line="460" w:lineRule="atLeast"/>
        <w:ind w:firstLine="433" w:firstLineChars="197"/>
        <w:textAlignment w:val="bottom"/>
        <w:rPr>
          <w:rFonts w:ascii="宋体" w:hAnsi="宋体" w:cs="宋体"/>
          <w:color w:val="auto"/>
          <w:sz w:val="22"/>
          <w:szCs w:val="22"/>
          <w:highlight w:val="none"/>
        </w:rPr>
      </w:pPr>
      <w:r>
        <w:rPr>
          <w:rFonts w:hint="eastAsia" w:cs="新宋体" w:asciiTheme="majorEastAsia" w:hAnsiTheme="majorEastAsia" w:eastAsiaTheme="majorEastAsia"/>
          <w:color w:val="auto"/>
          <w:sz w:val="22"/>
          <w:szCs w:val="22"/>
          <w:highlight w:val="none"/>
        </w:rPr>
        <w:t>本次项目招标代理服务费按计价格</w:t>
      </w:r>
      <w:r>
        <w:rPr>
          <w:rFonts w:hint="eastAsia" w:cs="新宋体" w:asciiTheme="majorEastAsia" w:hAnsiTheme="majorEastAsia" w:eastAsiaTheme="majorEastAsia"/>
          <w:color w:val="auto"/>
          <w:sz w:val="22"/>
          <w:szCs w:val="22"/>
          <w:highlight w:val="none"/>
          <w:lang w:eastAsia="zh-CN"/>
        </w:rPr>
        <w:t>〔2002〕1980号</w:t>
      </w:r>
      <w:r>
        <w:rPr>
          <w:rFonts w:hint="eastAsia" w:cs="新宋体" w:asciiTheme="majorEastAsia" w:hAnsiTheme="majorEastAsia" w:eastAsiaTheme="majorEastAsia"/>
          <w:color w:val="auto"/>
          <w:sz w:val="22"/>
          <w:szCs w:val="22"/>
          <w:highlight w:val="none"/>
        </w:rPr>
        <w:t>文计费标准收取</w:t>
      </w:r>
      <w:r>
        <w:rPr>
          <w:rFonts w:hint="eastAsia" w:ascii="宋体" w:hAnsi="宋体" w:cs="宋体"/>
          <w:color w:val="auto"/>
          <w:sz w:val="22"/>
          <w:szCs w:val="22"/>
          <w:highlight w:val="none"/>
        </w:rPr>
        <w:t>。采购人不负责任何招标代理服务费用。招标代理服务费由中标人支付，请报价人在报价时予以考虑。招标代理服务费汇入以下账户：</w:t>
      </w:r>
    </w:p>
    <w:p w14:paraId="30857822">
      <w:pPr>
        <w:autoSpaceDE w:val="0"/>
        <w:autoSpaceDN w:val="0"/>
        <w:adjustRightInd w:val="0"/>
        <w:snapToGrid w:val="0"/>
        <w:spacing w:line="460" w:lineRule="atLeast"/>
        <w:ind w:firstLine="433" w:firstLineChars="197"/>
        <w:textAlignment w:val="bottom"/>
        <w:rPr>
          <w:rFonts w:ascii="宋体" w:hAnsi="宋体" w:cs="宋体"/>
          <w:color w:val="auto"/>
          <w:sz w:val="22"/>
          <w:szCs w:val="22"/>
          <w:highlight w:val="none"/>
        </w:rPr>
      </w:pPr>
      <w:r>
        <w:rPr>
          <w:rFonts w:hint="eastAsia" w:ascii="宋体" w:hAnsi="宋体" w:cs="宋体"/>
          <w:color w:val="auto"/>
          <w:sz w:val="22"/>
          <w:szCs w:val="22"/>
          <w:highlight w:val="none"/>
        </w:rPr>
        <w:t>开户银行：中国建设银行永嘉广场支行</w:t>
      </w:r>
    </w:p>
    <w:p w14:paraId="7F570032">
      <w:pPr>
        <w:autoSpaceDE w:val="0"/>
        <w:autoSpaceDN w:val="0"/>
        <w:adjustRightInd w:val="0"/>
        <w:snapToGrid w:val="0"/>
        <w:spacing w:line="460" w:lineRule="atLeast"/>
        <w:ind w:firstLine="433" w:firstLineChars="197"/>
        <w:textAlignment w:val="bottom"/>
        <w:rPr>
          <w:rFonts w:ascii="宋体" w:hAnsi="宋体" w:cs="宋体"/>
          <w:color w:val="auto"/>
          <w:sz w:val="22"/>
          <w:szCs w:val="22"/>
          <w:highlight w:val="none"/>
        </w:rPr>
      </w:pPr>
      <w:r>
        <w:rPr>
          <w:rFonts w:hint="eastAsia" w:ascii="宋体" w:hAnsi="宋体" w:cs="宋体"/>
          <w:color w:val="auto"/>
          <w:sz w:val="22"/>
          <w:szCs w:val="22"/>
          <w:highlight w:val="none"/>
        </w:rPr>
        <w:t>开户名称：温州市中概工程管理咨询有限公司</w:t>
      </w:r>
    </w:p>
    <w:p w14:paraId="61B5A634">
      <w:pPr>
        <w:autoSpaceDE w:val="0"/>
        <w:autoSpaceDN w:val="0"/>
        <w:adjustRightInd w:val="0"/>
        <w:snapToGrid w:val="0"/>
        <w:spacing w:line="460" w:lineRule="atLeast"/>
        <w:ind w:firstLine="433" w:firstLineChars="197"/>
        <w:textAlignment w:val="bottom"/>
        <w:rPr>
          <w:rFonts w:ascii="宋体" w:hAnsi="宋体" w:cs="宋体"/>
          <w:color w:val="auto"/>
          <w:sz w:val="22"/>
          <w:szCs w:val="22"/>
          <w:highlight w:val="none"/>
        </w:rPr>
      </w:pPr>
      <w:r>
        <w:rPr>
          <w:rFonts w:hint="eastAsia" w:ascii="宋体" w:hAnsi="宋体" w:cs="宋体"/>
          <w:color w:val="auto"/>
          <w:sz w:val="22"/>
          <w:szCs w:val="22"/>
          <w:highlight w:val="none"/>
        </w:rPr>
        <w:t>开户账号：33050162766300000011</w:t>
      </w:r>
    </w:p>
    <w:p w14:paraId="49B694CC">
      <w:pPr>
        <w:autoSpaceDE w:val="0"/>
        <w:autoSpaceDN w:val="0"/>
        <w:adjustRightInd w:val="0"/>
        <w:snapToGrid w:val="0"/>
        <w:spacing w:line="460" w:lineRule="atLeast"/>
        <w:ind w:firstLine="433" w:firstLineChars="197"/>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招标代理服务费须在领取《中标通知书》前付清。</w:t>
      </w:r>
    </w:p>
    <w:p w14:paraId="662F94A3">
      <w:pPr>
        <w:autoSpaceDE w:val="0"/>
        <w:autoSpaceDN w:val="0"/>
        <w:adjustRightInd w:val="0"/>
        <w:snapToGrid w:val="0"/>
        <w:spacing w:line="460" w:lineRule="atLeast"/>
        <w:ind w:firstLine="433" w:firstLineChars="197"/>
        <w:textAlignment w:val="bottom"/>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注：计价格</w:t>
      </w:r>
      <w:r>
        <w:rPr>
          <w:rFonts w:hint="eastAsia" w:cs="新宋体" w:asciiTheme="majorEastAsia" w:hAnsiTheme="majorEastAsia" w:eastAsiaTheme="majorEastAsia"/>
          <w:color w:val="auto"/>
          <w:sz w:val="22"/>
          <w:szCs w:val="22"/>
          <w:highlight w:val="none"/>
          <w:lang w:eastAsia="zh-CN"/>
        </w:rPr>
        <w:t>〔2002〕1980号</w:t>
      </w:r>
      <w:r>
        <w:rPr>
          <w:rFonts w:hint="eastAsia" w:cs="新宋体" w:asciiTheme="majorEastAsia" w:hAnsiTheme="majorEastAsia" w:eastAsiaTheme="majorEastAsia"/>
          <w:color w:val="auto"/>
          <w:sz w:val="22"/>
          <w:szCs w:val="22"/>
          <w:highlight w:val="none"/>
        </w:rPr>
        <w:t>文计费标准计算的公式如下表（按差额定率累进法）：</w:t>
      </w:r>
    </w:p>
    <w:tbl>
      <w:tblPr>
        <w:tblStyle w:val="43"/>
        <w:tblW w:w="0" w:type="auto"/>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902"/>
        <w:gridCol w:w="3118"/>
      </w:tblGrid>
      <w:tr w14:paraId="6F2165D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2" w:type="dxa"/>
          </w:tcPr>
          <w:p w14:paraId="75EB7EF0">
            <w:pPr>
              <w:snapToGrid w:val="0"/>
              <w:ind w:left="360" w:hanging="360" w:hangingChars="150"/>
              <w:jc w:val="center"/>
              <w:rPr>
                <w:color w:val="auto"/>
                <w:sz w:val="24"/>
                <w:highlight w:val="none"/>
              </w:rPr>
            </w:pPr>
            <w:bookmarkStart w:id="96" w:name="RANGE!A9"/>
            <w:r>
              <w:rPr>
                <w:color w:val="auto"/>
                <w:sz w:val="24"/>
                <w:highlight w:val="none"/>
              </w:rPr>
              <w:t>计费基数</w:t>
            </w:r>
          </w:p>
          <w:p w14:paraId="69914E3C">
            <w:pPr>
              <w:snapToGrid w:val="0"/>
              <w:ind w:left="360" w:hanging="360" w:hangingChars="150"/>
              <w:jc w:val="center"/>
              <w:rPr>
                <w:color w:val="auto"/>
                <w:sz w:val="24"/>
                <w:highlight w:val="none"/>
              </w:rPr>
            </w:pPr>
            <w:r>
              <w:rPr>
                <w:color w:val="auto"/>
                <w:sz w:val="24"/>
                <w:highlight w:val="none"/>
              </w:rPr>
              <w:t>（万元人民币）</w:t>
            </w:r>
          </w:p>
        </w:tc>
        <w:tc>
          <w:tcPr>
            <w:tcW w:w="3118" w:type="dxa"/>
          </w:tcPr>
          <w:p w14:paraId="1BE3C70F">
            <w:pPr>
              <w:snapToGrid w:val="0"/>
              <w:ind w:left="360" w:hanging="360" w:hangingChars="150"/>
              <w:jc w:val="center"/>
              <w:rPr>
                <w:color w:val="auto"/>
                <w:sz w:val="24"/>
                <w:highlight w:val="none"/>
              </w:rPr>
            </w:pPr>
            <w:r>
              <w:rPr>
                <w:rFonts w:hint="eastAsia"/>
                <w:color w:val="auto"/>
                <w:sz w:val="24"/>
                <w:highlight w:val="none"/>
              </w:rPr>
              <w:t>服务</w:t>
            </w:r>
            <w:r>
              <w:rPr>
                <w:color w:val="auto"/>
                <w:sz w:val="24"/>
                <w:highlight w:val="none"/>
              </w:rPr>
              <w:t>招标服务费</w:t>
            </w:r>
          </w:p>
          <w:p w14:paraId="2FF6C6CF">
            <w:pPr>
              <w:snapToGrid w:val="0"/>
              <w:ind w:left="360" w:hanging="360" w:hangingChars="150"/>
              <w:jc w:val="center"/>
              <w:rPr>
                <w:color w:val="auto"/>
                <w:sz w:val="24"/>
                <w:highlight w:val="none"/>
              </w:rPr>
            </w:pPr>
            <w:r>
              <w:rPr>
                <w:color w:val="auto"/>
                <w:sz w:val="24"/>
                <w:highlight w:val="none"/>
              </w:rPr>
              <w:t>（万元人民币）</w:t>
            </w:r>
          </w:p>
        </w:tc>
      </w:tr>
      <w:tr w14:paraId="6374099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2" w:type="dxa"/>
          </w:tcPr>
          <w:p w14:paraId="58986B11">
            <w:pPr>
              <w:snapToGrid w:val="0"/>
              <w:ind w:left="360" w:hanging="360" w:hangingChars="150"/>
              <w:jc w:val="center"/>
              <w:rPr>
                <w:color w:val="auto"/>
                <w:sz w:val="24"/>
                <w:highlight w:val="none"/>
              </w:rPr>
            </w:pPr>
            <w:r>
              <w:rPr>
                <w:color w:val="auto"/>
                <w:sz w:val="24"/>
                <w:highlight w:val="none"/>
              </w:rPr>
              <w:t>100以下</w:t>
            </w:r>
          </w:p>
        </w:tc>
        <w:tc>
          <w:tcPr>
            <w:tcW w:w="3118" w:type="dxa"/>
            <w:vAlign w:val="center"/>
          </w:tcPr>
          <w:p w14:paraId="5C2B2873">
            <w:pPr>
              <w:tabs>
                <w:tab w:val="left" w:pos="0"/>
              </w:tabs>
              <w:snapToGrid w:val="0"/>
              <w:ind w:left="360" w:hanging="360" w:hangingChars="150"/>
              <w:jc w:val="center"/>
              <w:rPr>
                <w:color w:val="auto"/>
                <w:sz w:val="24"/>
                <w:highlight w:val="none"/>
              </w:rPr>
            </w:pPr>
            <w:r>
              <w:rPr>
                <w:rFonts w:hint="eastAsia"/>
                <w:color w:val="auto"/>
                <w:sz w:val="24"/>
                <w:highlight w:val="none"/>
              </w:rPr>
              <w:t>100</w:t>
            </w:r>
            <w:r>
              <w:rPr>
                <w:color w:val="auto"/>
                <w:sz w:val="24"/>
                <w:highlight w:val="none"/>
              </w:rPr>
              <w:t>*1.5%</w:t>
            </w:r>
          </w:p>
        </w:tc>
      </w:tr>
      <w:tr w14:paraId="4A0E2B4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902" w:type="dxa"/>
          </w:tcPr>
          <w:p w14:paraId="551F9107">
            <w:pPr>
              <w:snapToGrid w:val="0"/>
              <w:ind w:left="360" w:hanging="360" w:hangingChars="150"/>
              <w:jc w:val="center"/>
              <w:rPr>
                <w:color w:val="auto"/>
                <w:sz w:val="24"/>
                <w:highlight w:val="none"/>
              </w:rPr>
            </w:pPr>
            <w:r>
              <w:rPr>
                <w:color w:val="auto"/>
                <w:sz w:val="24"/>
                <w:highlight w:val="none"/>
              </w:rPr>
              <w:t>100-500</w:t>
            </w:r>
          </w:p>
        </w:tc>
        <w:tc>
          <w:tcPr>
            <w:tcW w:w="3118" w:type="dxa"/>
            <w:vAlign w:val="center"/>
          </w:tcPr>
          <w:p w14:paraId="5499DD88">
            <w:pPr>
              <w:tabs>
                <w:tab w:val="left" w:pos="0"/>
              </w:tabs>
              <w:snapToGrid w:val="0"/>
              <w:ind w:left="360" w:hanging="360" w:hangingChars="150"/>
              <w:jc w:val="center"/>
              <w:rPr>
                <w:color w:val="auto"/>
                <w:sz w:val="24"/>
                <w:highlight w:val="none"/>
              </w:rPr>
            </w:pPr>
            <w:r>
              <w:rPr>
                <w:rFonts w:hint="eastAsia"/>
                <w:color w:val="auto"/>
                <w:sz w:val="24"/>
                <w:highlight w:val="none"/>
                <w:lang w:val="en-US" w:eastAsia="zh-CN"/>
              </w:rPr>
              <w:t>14</w:t>
            </w:r>
            <w:r>
              <w:rPr>
                <w:rFonts w:hint="eastAsia"/>
                <w:color w:val="auto"/>
                <w:sz w:val="24"/>
                <w:highlight w:val="none"/>
              </w:rPr>
              <w:t>0</w:t>
            </w:r>
            <w:r>
              <w:rPr>
                <w:color w:val="auto"/>
                <w:sz w:val="24"/>
                <w:highlight w:val="none"/>
              </w:rPr>
              <w:t>*</w:t>
            </w:r>
            <w:r>
              <w:rPr>
                <w:rFonts w:hint="eastAsia"/>
                <w:color w:val="auto"/>
                <w:sz w:val="24"/>
                <w:highlight w:val="none"/>
                <w:lang w:val="en-US" w:eastAsia="zh-CN"/>
              </w:rPr>
              <w:t>1</w:t>
            </w:r>
            <w:r>
              <w:rPr>
                <w:rFonts w:hint="eastAsia"/>
                <w:color w:val="auto"/>
                <w:sz w:val="24"/>
                <w:highlight w:val="none"/>
              </w:rPr>
              <w:t>.</w:t>
            </w:r>
            <w:r>
              <w:rPr>
                <w:rFonts w:hint="eastAsia"/>
                <w:color w:val="auto"/>
                <w:sz w:val="24"/>
                <w:highlight w:val="none"/>
                <w:lang w:val="en-US" w:eastAsia="zh-CN"/>
              </w:rPr>
              <w:t>1</w:t>
            </w:r>
            <w:r>
              <w:rPr>
                <w:color w:val="auto"/>
                <w:sz w:val="24"/>
                <w:highlight w:val="none"/>
              </w:rPr>
              <w:t>%</w:t>
            </w:r>
          </w:p>
        </w:tc>
      </w:tr>
      <w:bookmarkEnd w:id="96"/>
    </w:tbl>
    <w:p w14:paraId="03BAF8CF">
      <w:pPr>
        <w:autoSpaceDE w:val="0"/>
        <w:autoSpaceDN w:val="0"/>
        <w:adjustRightInd w:val="0"/>
        <w:snapToGrid w:val="0"/>
        <w:spacing w:line="460" w:lineRule="atLeast"/>
        <w:ind w:firstLine="433" w:firstLineChars="197"/>
        <w:textAlignment w:val="bottom"/>
        <w:rPr>
          <w:rFonts w:hint="eastAsia" w:ascii="宋体" w:hAnsi="宋体" w:cs="宋体"/>
          <w:color w:val="auto"/>
          <w:sz w:val="22"/>
          <w:szCs w:val="22"/>
          <w:highlight w:val="none"/>
        </w:rPr>
      </w:pPr>
    </w:p>
    <w:p w14:paraId="4E59D407">
      <w:pPr>
        <w:spacing w:line="360" w:lineRule="auto"/>
        <w:ind w:left="480" w:hanging="480" w:hangingChars="200"/>
        <w:rPr>
          <w:rFonts w:ascii="宋体" w:hAnsi="宋体" w:cs="宋体"/>
          <w:color w:val="auto"/>
          <w:sz w:val="24"/>
          <w:highlight w:val="none"/>
        </w:rPr>
      </w:pPr>
      <w:bookmarkStart w:id="97" w:name="_Toc293038718"/>
    </w:p>
    <w:bookmarkEnd w:id="97"/>
    <w:p w14:paraId="19BC5019">
      <w:pPr>
        <w:spacing w:line="360" w:lineRule="auto"/>
        <w:ind w:left="480" w:hanging="480" w:hangingChars="200"/>
        <w:rPr>
          <w:rFonts w:ascii="宋体" w:hAnsi="宋体" w:cs="宋体"/>
          <w:color w:val="auto"/>
          <w:sz w:val="24"/>
          <w:highlight w:val="none"/>
        </w:rPr>
        <w:sectPr>
          <w:footerReference r:id="rId9" w:type="first"/>
          <w:footerReference r:id="rId8" w:type="default"/>
          <w:pgSz w:w="11906" w:h="16838"/>
          <w:pgMar w:top="1134" w:right="1134" w:bottom="1134" w:left="1134" w:header="851" w:footer="850" w:gutter="0"/>
          <w:pgNumType w:start="1"/>
          <w:cols w:space="720" w:num="1"/>
          <w:titlePg/>
          <w:docGrid w:type="lines" w:linePitch="312" w:charSpace="0"/>
        </w:sectPr>
      </w:pPr>
    </w:p>
    <w:p w14:paraId="68FAC356">
      <w:pPr>
        <w:pStyle w:val="39"/>
        <w:rPr>
          <w:rFonts w:ascii="宋体" w:hAnsi="宋体" w:cs="宋体"/>
          <w:color w:val="auto"/>
          <w:sz w:val="30"/>
          <w:szCs w:val="30"/>
          <w:highlight w:val="none"/>
        </w:rPr>
      </w:pPr>
      <w:bookmarkStart w:id="98" w:name="_Toc30125"/>
      <w:bookmarkStart w:id="99" w:name="_Toc293038719"/>
      <w:bookmarkStart w:id="100" w:name="_Toc498343170"/>
      <w:r>
        <w:rPr>
          <w:rFonts w:hint="eastAsia" w:ascii="宋体" w:hAnsi="宋体" w:cs="宋体"/>
          <w:color w:val="auto"/>
          <w:sz w:val="30"/>
          <w:szCs w:val="30"/>
          <w:highlight w:val="none"/>
        </w:rPr>
        <w:t>第四部分  政府采购政策功能相关说明</w:t>
      </w:r>
      <w:bookmarkEnd w:id="98"/>
    </w:p>
    <w:p w14:paraId="758945BE">
      <w:pPr>
        <w:jc w:val="left"/>
        <w:rPr>
          <w:rFonts w:ascii="宋体" w:hAnsi="宋体" w:cs="宋体"/>
          <w:color w:val="auto"/>
          <w:sz w:val="22"/>
          <w:szCs w:val="22"/>
          <w:highlight w:val="none"/>
        </w:rPr>
      </w:pPr>
      <w:r>
        <w:rPr>
          <w:rFonts w:hint="eastAsia" w:ascii="宋体" w:hAnsi="宋体" w:cs="宋体"/>
          <w:color w:val="auto"/>
          <w:sz w:val="22"/>
          <w:szCs w:val="22"/>
          <w:highlight w:val="none"/>
        </w:rPr>
        <w:t>一、小、微企业（含监狱企业、残疾人福利性单位）扶持政策说明</w:t>
      </w:r>
    </w:p>
    <w:p w14:paraId="413286FA">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1、文件依据</w:t>
      </w:r>
    </w:p>
    <w:p w14:paraId="26B02ABE">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（1）关于印发《政府采购促进中小企业发展管理办法》的通知（财库〔2020〕46号）</w:t>
      </w:r>
    </w:p>
    <w:p w14:paraId="0394ED16">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（2）浙江省财政厅《关于开展政府采购投标供应商网上注册登记和诚信管理工作的通知》（浙财采监〔2010〕8号）</w:t>
      </w:r>
    </w:p>
    <w:p w14:paraId="032223D6">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（3）《工业和信息化部、国家统计局、国家发展和改革委员会、财政部关于印发中小企业划型标准规定的通知》（工信部联企业〔2011〕300号）</w:t>
      </w:r>
    </w:p>
    <w:p w14:paraId="23252D90">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（4）财政部、司法部《关于政府采购支持监狱企业发展有关问题的通知》（财库〔2014〕68号）</w:t>
      </w:r>
    </w:p>
    <w:p w14:paraId="5B399E8F">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（5）《财政部 民政部 中国残疾人联合会关于促进残疾人就业政府采购政策的通知》（财库〔2017〕141号）</w:t>
      </w:r>
    </w:p>
    <w:p w14:paraId="5E73DBC8">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（6）《浙江省财政厅  浙江省经济和信息化委员会关于简化中小企业类别确认流程有关事项的通知》（浙财采监〔2018〕2号）</w:t>
      </w:r>
    </w:p>
    <w:p w14:paraId="7B77BA09">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（7）《浙江省财政厅关于进一步发挥政府采购政策功能全力推动经济稳进提质的通知》（浙财采监〔2022〕3号）</w:t>
      </w:r>
    </w:p>
    <w:p w14:paraId="735378AE">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（8）《浙江省财政厅关于进一步加大政府采购支持中小企业力度 助力扎实稳住经济的通知》（浙财采监〔2022〕8号）</w:t>
      </w:r>
    </w:p>
    <w:p w14:paraId="7E82720A">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2、享受小微企业价格折扣应具备的条件与价格折扣比例</w:t>
      </w:r>
    </w:p>
    <w:p w14:paraId="0070A16E">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（1）在货物采购项目中，货物由中小企业制造，即货物由中小企业生产且使用该中小企业商号或者注册商标；</w:t>
      </w:r>
    </w:p>
    <w:p w14:paraId="004822D7">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（2）在工程采购项目中，工程由中小企业承建，即工程施工单位为中小企业；</w:t>
      </w:r>
    </w:p>
    <w:p w14:paraId="1D41E77C">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（3）在服务采购项目中，服务由中小企业承接，即提供服务的人员为中小企业依照《中华人民共和国劳动合同法》订立劳动合同的从业人员。</w:t>
      </w:r>
    </w:p>
    <w:p w14:paraId="4877E410">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在货物采购项目中，供应商提供的货物既有中小企业制造货物，也有大型企业制造货物的，不享受本办法规定的中小企业扶持政策。</w:t>
      </w:r>
    </w:p>
    <w:p w14:paraId="12B47810">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以联合体形式参加政府采购活动，联合体各方均为中小企业的，联合体视同中小企业。其中，联合体各方均为小微企业的，联合体视同小微企业。</w:t>
      </w:r>
    </w:p>
    <w:p w14:paraId="6CDCA707">
      <w:pPr>
        <w:spacing w:line="440" w:lineRule="atLeast"/>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（4）本项目对小型和微型企业产品的价格给予10%的扣除，用扣除后的价格参与评审</w:t>
      </w:r>
      <w:r>
        <w:rPr>
          <w:rFonts w:hint="eastAsia" w:ascii="宋体" w:hAnsi="宋体" w:cs="宋体"/>
          <w:color w:val="auto"/>
          <w:sz w:val="22"/>
          <w:szCs w:val="22"/>
          <w:highlight w:val="none"/>
        </w:rPr>
        <w:t>。</w:t>
      </w:r>
    </w:p>
    <w:p w14:paraId="38361A43">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u w:val="single"/>
        </w:rPr>
        <w:t>3、享受小微企业价格折扣投标文件中应提供以下证明材料</w:t>
      </w:r>
      <w:r>
        <w:rPr>
          <w:rFonts w:hint="eastAsia" w:ascii="宋体" w:hAnsi="宋体" w:cs="宋体"/>
          <w:color w:val="auto"/>
          <w:sz w:val="22"/>
          <w:szCs w:val="22"/>
          <w:highlight w:val="none"/>
        </w:rPr>
        <w:t>：</w:t>
      </w:r>
    </w:p>
    <w:p w14:paraId="39638B43">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（1）《中小企业声明函》（原件，加盖投标供应商公章，格式见附件1）</w:t>
      </w:r>
    </w:p>
    <w:p w14:paraId="4D1495E1">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u w:val="single"/>
        </w:rPr>
        <w:t>享受监狱企业价格折扣应提供以下证明材料（投标文件中，不提供的不享受价格折扣或政策扶持）</w:t>
      </w:r>
      <w:r>
        <w:rPr>
          <w:rFonts w:hint="eastAsia" w:ascii="宋体" w:hAnsi="宋体" w:cs="宋体"/>
          <w:color w:val="auto"/>
          <w:sz w:val="22"/>
          <w:szCs w:val="22"/>
          <w:highlight w:val="none"/>
        </w:rPr>
        <w:t>：</w:t>
      </w:r>
    </w:p>
    <w:p w14:paraId="3150B95E">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1）监狱企业参加政府采购活动时，应当提供由省级以上监狱管理局、戒毒管理局（含新疆生产建设兵团）出具的属于监狱企业的证明文件（原件或扫描件加盖公章）。在政府采购活动中，监狱企业视同小型、微型企业，享受价格折扣或政策扶持。</w:t>
      </w:r>
    </w:p>
    <w:p w14:paraId="343C7419">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u w:val="single"/>
        </w:rPr>
        <w:t>享受残疾人福利性单位格折扣应提供以下证明材料（投标文件中，不提供的不享受价格折扣或政策扶持）</w:t>
      </w:r>
      <w:r>
        <w:rPr>
          <w:rFonts w:hint="eastAsia" w:ascii="宋体" w:hAnsi="宋体" w:cs="宋体"/>
          <w:color w:val="auto"/>
          <w:sz w:val="22"/>
          <w:szCs w:val="22"/>
          <w:highlight w:val="none"/>
        </w:rPr>
        <w:t>：</w:t>
      </w:r>
    </w:p>
    <w:p w14:paraId="463B636B">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（1）残疾人福利性单位声明函（附件2）；</w:t>
      </w:r>
    </w:p>
    <w:p w14:paraId="2D09C8FB">
      <w:pPr>
        <w:spacing w:line="44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或政策扶持。</w:t>
      </w:r>
    </w:p>
    <w:p w14:paraId="0A8470C1">
      <w:pPr>
        <w:spacing w:line="440" w:lineRule="atLeast"/>
        <w:jc w:val="left"/>
        <w:rPr>
          <w:rFonts w:ascii="宋体" w:hAnsi="宋体" w:cs="宋体"/>
          <w:b/>
          <w:bCs/>
          <w:color w:val="auto"/>
          <w:sz w:val="22"/>
          <w:szCs w:val="22"/>
          <w:highlight w:val="none"/>
        </w:rPr>
      </w:pPr>
    </w:p>
    <w:p w14:paraId="105AE4B9">
      <w:pPr>
        <w:spacing w:line="440" w:lineRule="atLeast"/>
        <w:jc w:val="left"/>
        <w:rPr>
          <w:rFonts w:ascii="宋体" w:hAnsi="宋体" w:cs="宋体"/>
          <w:b/>
          <w:bCs/>
          <w:color w:val="auto"/>
          <w:sz w:val="22"/>
          <w:szCs w:val="22"/>
          <w:highlight w:val="none"/>
        </w:rPr>
      </w:pPr>
    </w:p>
    <w:p w14:paraId="58799691">
      <w:pPr>
        <w:spacing w:line="440" w:lineRule="atLeast"/>
        <w:jc w:val="left"/>
        <w:rPr>
          <w:rFonts w:ascii="宋体" w:hAnsi="宋体" w:cs="宋体"/>
          <w:b/>
          <w:bCs/>
          <w:color w:val="auto"/>
          <w:sz w:val="22"/>
          <w:szCs w:val="22"/>
          <w:highlight w:val="none"/>
        </w:rPr>
      </w:pPr>
    </w:p>
    <w:p w14:paraId="6E865B76">
      <w:pPr>
        <w:spacing w:line="440" w:lineRule="atLeast"/>
        <w:jc w:val="left"/>
        <w:rPr>
          <w:rFonts w:ascii="宋体" w:hAnsi="宋体" w:cs="宋体"/>
          <w:b/>
          <w:bCs/>
          <w:color w:val="auto"/>
          <w:sz w:val="22"/>
          <w:szCs w:val="22"/>
          <w:highlight w:val="none"/>
        </w:rPr>
      </w:pPr>
    </w:p>
    <w:p w14:paraId="0597FBE0">
      <w:pPr>
        <w:spacing w:line="440" w:lineRule="atLeast"/>
        <w:jc w:val="left"/>
        <w:rPr>
          <w:rFonts w:ascii="宋体" w:hAnsi="宋体" w:cs="宋体"/>
          <w:b/>
          <w:bCs/>
          <w:color w:val="auto"/>
          <w:sz w:val="22"/>
          <w:szCs w:val="22"/>
          <w:highlight w:val="none"/>
        </w:rPr>
      </w:pPr>
    </w:p>
    <w:p w14:paraId="60C450C5">
      <w:pPr>
        <w:spacing w:line="440" w:lineRule="atLeast"/>
        <w:jc w:val="left"/>
        <w:rPr>
          <w:rFonts w:ascii="宋体" w:hAnsi="宋体" w:cs="宋体"/>
          <w:b/>
          <w:bCs/>
          <w:color w:val="auto"/>
          <w:sz w:val="22"/>
          <w:szCs w:val="22"/>
          <w:highlight w:val="none"/>
        </w:rPr>
      </w:pPr>
    </w:p>
    <w:p w14:paraId="12196D14">
      <w:pPr>
        <w:spacing w:line="440" w:lineRule="atLeast"/>
        <w:jc w:val="left"/>
        <w:rPr>
          <w:rFonts w:ascii="宋体" w:hAnsi="宋体" w:cs="宋体"/>
          <w:b/>
          <w:bCs/>
          <w:color w:val="auto"/>
          <w:sz w:val="22"/>
          <w:szCs w:val="22"/>
          <w:highlight w:val="none"/>
        </w:rPr>
      </w:pPr>
    </w:p>
    <w:p w14:paraId="4D2FE012">
      <w:pPr>
        <w:spacing w:line="440" w:lineRule="atLeast"/>
        <w:jc w:val="left"/>
        <w:rPr>
          <w:rFonts w:ascii="宋体" w:hAnsi="宋体" w:cs="宋体"/>
          <w:b/>
          <w:bCs/>
          <w:color w:val="auto"/>
          <w:sz w:val="22"/>
          <w:szCs w:val="22"/>
          <w:highlight w:val="none"/>
        </w:rPr>
      </w:pPr>
    </w:p>
    <w:p w14:paraId="3CF792EE">
      <w:pPr>
        <w:spacing w:line="440" w:lineRule="atLeast"/>
        <w:jc w:val="left"/>
        <w:rPr>
          <w:rFonts w:ascii="宋体" w:hAnsi="宋体" w:cs="宋体"/>
          <w:b/>
          <w:bCs/>
          <w:color w:val="auto"/>
          <w:sz w:val="22"/>
          <w:szCs w:val="22"/>
          <w:highlight w:val="none"/>
        </w:rPr>
      </w:pPr>
    </w:p>
    <w:p w14:paraId="4FCB7285">
      <w:pPr>
        <w:spacing w:line="440" w:lineRule="atLeast"/>
        <w:jc w:val="left"/>
        <w:rPr>
          <w:rFonts w:ascii="宋体" w:hAnsi="宋体" w:cs="宋体"/>
          <w:b/>
          <w:bCs/>
          <w:color w:val="auto"/>
          <w:sz w:val="22"/>
          <w:szCs w:val="22"/>
          <w:highlight w:val="none"/>
        </w:rPr>
      </w:pPr>
    </w:p>
    <w:p w14:paraId="6FC12C34">
      <w:pPr>
        <w:spacing w:line="440" w:lineRule="atLeast"/>
        <w:jc w:val="left"/>
        <w:rPr>
          <w:rFonts w:ascii="宋体" w:hAnsi="宋体" w:cs="宋体"/>
          <w:b/>
          <w:bCs/>
          <w:color w:val="auto"/>
          <w:sz w:val="22"/>
          <w:szCs w:val="22"/>
          <w:highlight w:val="none"/>
        </w:rPr>
      </w:pPr>
    </w:p>
    <w:p w14:paraId="38D2F59B">
      <w:pPr>
        <w:widowControl/>
        <w:spacing w:before="100" w:beforeAutospacing="1" w:after="100" w:afterAutospacing="1" w:line="440" w:lineRule="atLeast"/>
        <w:jc w:val="left"/>
        <w:rPr>
          <w:rFonts w:ascii="宋体" w:hAnsi="宋体" w:cs="宋体"/>
          <w:b/>
          <w:bCs/>
          <w:color w:val="auto"/>
          <w:sz w:val="24"/>
          <w:highlight w:val="none"/>
        </w:rPr>
      </w:pPr>
    </w:p>
    <w:p w14:paraId="1B7773D5">
      <w:pPr>
        <w:rPr>
          <w:rFonts w:ascii="宋体" w:hAnsi="宋体" w:cs="宋体"/>
          <w:b/>
          <w:bCs/>
          <w:color w:val="auto"/>
          <w:sz w:val="24"/>
          <w:highlight w:val="none"/>
        </w:rPr>
      </w:pPr>
      <w:r>
        <w:rPr>
          <w:rFonts w:hint="eastAsia" w:ascii="宋体" w:hAnsi="宋体" w:cs="宋体"/>
          <w:b/>
          <w:bCs/>
          <w:color w:val="auto"/>
          <w:sz w:val="24"/>
          <w:highlight w:val="none"/>
        </w:rPr>
        <w:br w:type="page"/>
      </w:r>
    </w:p>
    <w:p w14:paraId="66E38D02">
      <w:pPr>
        <w:widowControl/>
        <w:spacing w:before="100" w:beforeAutospacing="1" w:after="100" w:afterAutospacing="1" w:line="440" w:lineRule="atLeast"/>
        <w:jc w:val="left"/>
        <w:rPr>
          <w:rFonts w:ascii="宋体" w:hAnsi="宋体" w:cs="宋体"/>
          <w:b/>
          <w:bCs/>
          <w:color w:val="auto"/>
          <w:sz w:val="24"/>
          <w:highlight w:val="none"/>
        </w:rPr>
      </w:pPr>
      <w:r>
        <w:rPr>
          <w:rFonts w:hint="eastAsia" w:ascii="宋体" w:hAnsi="宋体" w:cs="宋体"/>
          <w:b/>
          <w:bCs/>
          <w:color w:val="auto"/>
          <w:sz w:val="24"/>
          <w:highlight w:val="none"/>
        </w:rPr>
        <w:t>附件1：</w:t>
      </w:r>
    </w:p>
    <w:p w14:paraId="3159409C">
      <w:pPr>
        <w:widowControl/>
        <w:jc w:val="left"/>
        <w:rPr>
          <w:rFonts w:ascii="宋体" w:hAnsi="宋体" w:cs="宋体"/>
          <w:color w:val="auto"/>
          <w:sz w:val="22"/>
          <w:szCs w:val="22"/>
          <w:highlight w:val="none"/>
        </w:rPr>
      </w:pPr>
    </w:p>
    <w:p w14:paraId="0D85DB73">
      <w:pPr>
        <w:widowControl/>
        <w:spacing w:before="100" w:beforeAutospacing="1" w:after="100" w:afterAutospacing="1" w:line="440" w:lineRule="atLeast"/>
        <w:jc w:val="center"/>
        <w:rPr>
          <w:rFonts w:ascii="宋体" w:hAnsi="宋体" w:cs="宋体"/>
          <w:b/>
          <w:bCs/>
          <w:color w:val="auto"/>
          <w:sz w:val="24"/>
          <w:highlight w:val="none"/>
        </w:rPr>
      </w:pPr>
      <w:r>
        <w:rPr>
          <w:rFonts w:hint="eastAsia" w:ascii="宋体" w:hAnsi="宋体" w:cs="宋体"/>
          <w:b/>
          <w:bCs/>
          <w:color w:val="auto"/>
          <w:sz w:val="24"/>
          <w:highlight w:val="none"/>
        </w:rPr>
        <w:t>中小企业声明函（货物）</w:t>
      </w:r>
    </w:p>
    <w:p w14:paraId="47AAF2F9">
      <w:pPr>
        <w:spacing w:line="460" w:lineRule="atLeast"/>
        <w:ind w:firstLine="440"/>
        <w:rPr>
          <w:rFonts w:ascii="宋体" w:hAnsi="宋体" w:cs="宋体"/>
          <w:b/>
          <w:color w:val="auto"/>
          <w:sz w:val="22"/>
          <w:szCs w:val="22"/>
          <w:highlight w:val="none"/>
        </w:rPr>
      </w:pPr>
      <w:r>
        <w:rPr>
          <w:rFonts w:hint="eastAsia" w:ascii="宋体" w:hAnsi="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cs="宋体"/>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（项目名称）</w:t>
      </w:r>
      <w:r>
        <w:rPr>
          <w:rFonts w:hint="eastAsia" w:ascii="宋体" w:hAnsi="宋体" w:cs="宋体"/>
          <w:color w:val="auto"/>
          <w:sz w:val="22"/>
          <w:szCs w:val="22"/>
          <w:highlight w:val="none"/>
        </w:rPr>
        <w:t>采购活动，提 供的货物全部由符合政策要求的中小企业制造。相关企业 （含联合体中的中小企业、签订分包意向协议的中小企业） 的具体情况如下：</w:t>
      </w:r>
    </w:p>
    <w:p w14:paraId="2A104AFE">
      <w:pPr>
        <w:spacing w:line="460" w:lineRule="atLeast"/>
        <w:ind w:firstLine="440"/>
        <w:rPr>
          <w:rFonts w:ascii="宋体" w:hAnsi="宋体" w:cs="宋体"/>
          <w:b/>
          <w:color w:val="auto"/>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color w:val="auto"/>
          <w:sz w:val="22"/>
          <w:szCs w:val="22"/>
          <w:highlight w:val="none"/>
          <w:u w:val="single"/>
        </w:rPr>
        <w:t xml:space="preserve">（标的名称） </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rPr>
        <w:t xml:space="preserve">（采购文件中明确的所属行业） </w:t>
      </w:r>
      <w:r>
        <w:rPr>
          <w:rFonts w:hint="eastAsia" w:ascii="宋体" w:hAnsi="宋体" w:cs="宋体"/>
          <w:color w:val="auto"/>
          <w:sz w:val="22"/>
          <w:szCs w:val="22"/>
          <w:highlight w:val="none"/>
        </w:rPr>
        <w:t>行业；制造商为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万元，属于（中型企业、小 型企业、微型企业）；</w:t>
      </w:r>
    </w:p>
    <w:p w14:paraId="78225C6E">
      <w:pPr>
        <w:spacing w:line="460" w:lineRule="atLeast"/>
        <w:ind w:firstLine="440"/>
        <w:rPr>
          <w:rFonts w:ascii="宋体" w:hAnsi="宋体" w:cs="宋体"/>
          <w:b/>
          <w:color w:val="auto"/>
          <w:sz w:val="22"/>
          <w:szCs w:val="22"/>
          <w:highlight w:val="none"/>
        </w:rPr>
      </w:pPr>
      <w:r>
        <w:rPr>
          <w:rFonts w:hint="eastAsia" w:ascii="宋体" w:hAnsi="宋体" w:cs="宋体"/>
          <w:color w:val="auto"/>
          <w:sz w:val="22"/>
          <w:szCs w:val="22"/>
          <w:highlight w:val="none"/>
        </w:rPr>
        <w:t xml:space="preserve">2. </w:t>
      </w:r>
      <w:r>
        <w:rPr>
          <w:rFonts w:hint="eastAsia" w:ascii="宋体" w:hAnsi="宋体" w:cs="宋体"/>
          <w:color w:val="auto"/>
          <w:sz w:val="22"/>
          <w:szCs w:val="22"/>
          <w:highlight w:val="none"/>
          <w:u w:val="single"/>
        </w:rPr>
        <w:t>（标的名称）</w:t>
      </w:r>
      <w:r>
        <w:rPr>
          <w:rFonts w:hint="eastAsia" w:ascii="宋体" w:hAnsi="宋体" w:cs="宋体"/>
          <w:color w:val="auto"/>
          <w:sz w:val="22"/>
          <w:szCs w:val="22"/>
          <w:highlight w:val="none"/>
        </w:rPr>
        <w:t xml:space="preserve"> ，属于</w:t>
      </w:r>
      <w:r>
        <w:rPr>
          <w:rFonts w:hint="eastAsia" w:ascii="宋体" w:hAnsi="宋体" w:cs="宋体"/>
          <w:color w:val="auto"/>
          <w:sz w:val="22"/>
          <w:szCs w:val="22"/>
          <w:highlight w:val="none"/>
          <w:u w:val="single"/>
        </w:rPr>
        <w:t xml:space="preserve">（采购文件中明确的所属行业） </w:t>
      </w:r>
      <w:r>
        <w:rPr>
          <w:rFonts w:hint="eastAsia" w:ascii="宋体" w:hAnsi="宋体" w:cs="宋体"/>
          <w:color w:val="auto"/>
          <w:sz w:val="22"/>
          <w:szCs w:val="22"/>
          <w:highlight w:val="none"/>
        </w:rPr>
        <w:t>行业；制造商为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万元，属于（中型企业、小型 企业、微型企业）； </w:t>
      </w:r>
    </w:p>
    <w:p w14:paraId="43D2B65D">
      <w:pPr>
        <w:spacing w:line="460" w:lineRule="atLeast"/>
        <w:ind w:firstLine="440"/>
        <w:rPr>
          <w:rFonts w:ascii="宋体" w:hAnsi="宋体" w:cs="宋体"/>
          <w:b/>
          <w:color w:val="auto"/>
          <w:sz w:val="22"/>
          <w:szCs w:val="22"/>
          <w:highlight w:val="none"/>
        </w:rPr>
      </w:pPr>
      <w:r>
        <w:rPr>
          <w:rFonts w:hint="eastAsia" w:ascii="宋体" w:hAnsi="宋体" w:cs="宋体"/>
          <w:color w:val="auto"/>
          <w:sz w:val="22"/>
          <w:szCs w:val="22"/>
          <w:highlight w:val="none"/>
        </w:rPr>
        <w:t>……</w:t>
      </w:r>
    </w:p>
    <w:p w14:paraId="05592F22">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14:paraId="44F5F138">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14:paraId="27AC56A7">
      <w:pPr>
        <w:widowControl/>
        <w:spacing w:before="100" w:beforeAutospacing="1" w:after="100" w:afterAutospacing="1" w:line="440" w:lineRule="atLeas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企业名称（盖章）：</w:t>
      </w:r>
    </w:p>
    <w:p w14:paraId="3CD0A810">
      <w:pPr>
        <w:widowControl/>
        <w:spacing w:before="100" w:beforeAutospacing="1" w:after="100" w:afterAutospacing="1" w:line="440" w:lineRule="atLeast"/>
        <w:ind w:firstLine="440" w:firstLineChars="200"/>
        <w:jc w:val="left"/>
        <w:rPr>
          <w:rFonts w:ascii="宋体" w:hAnsi="宋体" w:cs="宋体"/>
          <w:b/>
          <w:bCs/>
          <w:color w:val="auto"/>
          <w:sz w:val="24"/>
          <w:highlight w:val="none"/>
        </w:rPr>
      </w:pPr>
      <w:r>
        <w:rPr>
          <w:rFonts w:hint="eastAsia" w:ascii="宋体" w:hAnsi="宋体" w:cs="宋体"/>
          <w:color w:val="auto"/>
          <w:sz w:val="22"/>
          <w:szCs w:val="22"/>
          <w:highlight w:val="none"/>
        </w:rPr>
        <w:t>日 期：            　　　　</w:t>
      </w:r>
      <w:r>
        <w:rPr>
          <w:rFonts w:hint="eastAsia" w:ascii="宋体" w:hAnsi="宋体" w:cs="宋体"/>
          <w:b/>
          <w:bCs/>
          <w:color w:val="auto"/>
          <w:sz w:val="24"/>
          <w:highlight w:val="none"/>
        </w:rPr>
        <w:t>　</w:t>
      </w:r>
    </w:p>
    <w:p w14:paraId="68858331">
      <w:pPr>
        <w:spacing w:line="440" w:lineRule="atLeast"/>
        <w:rPr>
          <w:rFonts w:ascii="宋体" w:hAnsi="宋体" w:cs="宋体"/>
          <w:b/>
          <w:bCs/>
          <w:color w:val="auto"/>
          <w:sz w:val="24"/>
          <w:highlight w:val="none"/>
        </w:rPr>
      </w:pPr>
    </w:p>
    <w:p w14:paraId="38EA353F">
      <w:pPr>
        <w:widowControl/>
        <w:spacing w:before="100" w:beforeAutospacing="1" w:after="100" w:afterAutospacing="1" w:line="440" w:lineRule="atLeast"/>
        <w:jc w:val="left"/>
        <w:rPr>
          <w:rFonts w:ascii="宋体" w:hAnsi="宋体" w:cs="宋体"/>
          <w:b/>
          <w:bCs/>
          <w:color w:val="auto"/>
          <w:sz w:val="24"/>
          <w:highlight w:val="none"/>
        </w:rPr>
      </w:pPr>
      <w:r>
        <w:rPr>
          <w:rFonts w:hint="eastAsia" w:ascii="宋体" w:hAnsi="宋体" w:cs="宋体"/>
          <w:b/>
          <w:bCs/>
          <w:color w:val="auto"/>
          <w:sz w:val="24"/>
          <w:highlight w:val="none"/>
        </w:rPr>
        <w:t>注：1 从业人员、营业收入、资产总额填报上一年度数据，无上一年度数据的新成立企业可不填报。</w:t>
      </w:r>
      <w:r>
        <w:rPr>
          <w:rFonts w:hint="eastAsia" w:ascii="宋体" w:hAnsi="宋体" w:cs="宋体"/>
          <w:color w:val="auto"/>
          <w:sz w:val="22"/>
          <w:szCs w:val="22"/>
          <w:highlight w:val="none"/>
        </w:rPr>
        <w:t>                  　　　　</w:t>
      </w:r>
      <w:r>
        <w:rPr>
          <w:rFonts w:hint="eastAsia" w:ascii="宋体" w:hAnsi="宋体" w:cs="宋体"/>
          <w:b/>
          <w:bCs/>
          <w:color w:val="auto"/>
          <w:sz w:val="24"/>
          <w:highlight w:val="none"/>
        </w:rPr>
        <w:t>　</w:t>
      </w:r>
    </w:p>
    <w:p w14:paraId="2DD15730">
      <w:pPr>
        <w:widowControl/>
        <w:spacing w:before="100" w:beforeAutospacing="1" w:after="100" w:afterAutospacing="1" w:line="440" w:lineRule="atLeast"/>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附件2</w:t>
      </w:r>
    </w:p>
    <w:p w14:paraId="520DC9DB">
      <w:pPr>
        <w:widowControl/>
        <w:spacing w:before="100" w:beforeAutospacing="1" w:after="100" w:afterAutospacing="1" w:line="440" w:lineRule="atLeast"/>
        <w:jc w:val="center"/>
        <w:rPr>
          <w:rFonts w:ascii="宋体" w:hAnsi="宋体" w:cs="宋体"/>
          <w:b/>
          <w:bCs/>
          <w:color w:val="auto"/>
          <w:sz w:val="24"/>
          <w:highlight w:val="none"/>
        </w:rPr>
      </w:pPr>
      <w:bookmarkStart w:id="101" w:name="OLE_LINK14"/>
      <w:bookmarkStart w:id="102" w:name="OLE_LINK13"/>
      <w:r>
        <w:rPr>
          <w:rFonts w:hint="eastAsia" w:ascii="宋体" w:hAnsi="宋体" w:cs="宋体"/>
          <w:b/>
          <w:bCs/>
          <w:color w:val="auto"/>
          <w:sz w:val="24"/>
          <w:highlight w:val="none"/>
        </w:rPr>
        <w:t>残疾人福利性单位声明函</w:t>
      </w:r>
    </w:p>
    <w:bookmarkEnd w:id="101"/>
    <w:bookmarkEnd w:id="102"/>
    <w:p w14:paraId="0862FFDA">
      <w:pPr>
        <w:spacing w:line="588" w:lineRule="exact"/>
        <w:rPr>
          <w:rFonts w:ascii="宋体" w:hAnsi="宋体" w:cs="宋体"/>
          <w:b/>
          <w:bCs/>
          <w:color w:val="auto"/>
          <w:spacing w:val="6"/>
          <w:sz w:val="30"/>
          <w:szCs w:val="30"/>
          <w:highlight w:val="none"/>
        </w:rPr>
      </w:pPr>
    </w:p>
    <w:p w14:paraId="0EE244C6">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FB9110">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3A7C2B43">
      <w:pPr>
        <w:spacing w:line="588" w:lineRule="exact"/>
        <w:ind w:firstLine="464" w:firstLineChars="200"/>
        <w:rPr>
          <w:rFonts w:ascii="宋体" w:hAnsi="宋体" w:cs="宋体"/>
          <w:color w:val="auto"/>
          <w:spacing w:val="6"/>
          <w:sz w:val="22"/>
          <w:szCs w:val="22"/>
          <w:highlight w:val="none"/>
        </w:rPr>
      </w:pPr>
    </w:p>
    <w:p w14:paraId="23A57D75">
      <w:pPr>
        <w:tabs>
          <w:tab w:val="left" w:pos="4860"/>
        </w:tabs>
        <w:spacing w:line="588" w:lineRule="exact"/>
        <w:ind w:right="1560" w:firstLine="464" w:firstLineChars="200"/>
        <w:rPr>
          <w:rFonts w:ascii="宋体" w:hAnsi="宋体" w:cs="宋体"/>
          <w:color w:val="auto"/>
          <w:spacing w:val="6"/>
          <w:sz w:val="22"/>
          <w:szCs w:val="22"/>
          <w:highlight w:val="none"/>
        </w:rPr>
      </w:pPr>
    </w:p>
    <w:p w14:paraId="0DB28914">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投标供应商全称（盖章）：</w:t>
      </w:r>
    </w:p>
    <w:p w14:paraId="5CDC095E">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14:paraId="0A41E1D2">
      <w:pPr>
        <w:tabs>
          <w:tab w:val="left" w:pos="4860"/>
        </w:tabs>
        <w:spacing w:line="588" w:lineRule="exact"/>
        <w:ind w:right="1560" w:firstLine="464" w:firstLineChars="200"/>
        <w:jc w:val="center"/>
        <w:rPr>
          <w:rFonts w:ascii="宋体" w:hAnsi="宋体" w:cs="宋体"/>
          <w:color w:val="auto"/>
          <w:spacing w:val="6"/>
          <w:sz w:val="22"/>
          <w:szCs w:val="22"/>
          <w:highlight w:val="none"/>
        </w:rPr>
      </w:pPr>
    </w:p>
    <w:p w14:paraId="7BA6E3D7">
      <w:pPr>
        <w:tabs>
          <w:tab w:val="left" w:pos="4860"/>
        </w:tabs>
        <w:spacing w:line="588" w:lineRule="exact"/>
        <w:ind w:right="1560" w:firstLine="464" w:firstLineChars="200"/>
        <w:jc w:val="center"/>
        <w:rPr>
          <w:rFonts w:ascii="宋体" w:hAnsi="宋体" w:cs="宋体"/>
          <w:color w:val="auto"/>
          <w:spacing w:val="6"/>
          <w:sz w:val="22"/>
          <w:szCs w:val="22"/>
          <w:highlight w:val="none"/>
        </w:rPr>
      </w:pPr>
    </w:p>
    <w:p w14:paraId="4D6DBBF6">
      <w:pPr>
        <w:tabs>
          <w:tab w:val="left" w:pos="4860"/>
        </w:tabs>
        <w:spacing w:line="588" w:lineRule="exact"/>
        <w:ind w:right="1560"/>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备注说明：</w:t>
      </w:r>
    </w:p>
    <w:p w14:paraId="2C3381DF">
      <w:pPr>
        <w:tabs>
          <w:tab w:val="left" w:pos="4860"/>
        </w:tabs>
        <w:spacing w:line="588" w:lineRule="exact"/>
        <w:ind w:right="1560"/>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1、如中标，将在中标公示中将此声明函予以公示，接受社会监督；</w:t>
      </w:r>
    </w:p>
    <w:p w14:paraId="42AB3AE8">
      <w:pPr>
        <w:autoSpaceDE w:val="0"/>
        <w:autoSpaceDN w:val="0"/>
        <w:adjustRightInd w:val="0"/>
        <w:spacing w:line="460" w:lineRule="atLeast"/>
        <w:textAlignment w:val="bottom"/>
        <w:rPr>
          <w:rFonts w:ascii="宋体" w:hAnsi="宋体" w:cs="宋体"/>
          <w:color w:val="auto"/>
          <w:sz w:val="22"/>
          <w:szCs w:val="22"/>
          <w:highlight w:val="none"/>
        </w:rPr>
      </w:pPr>
      <w:r>
        <w:rPr>
          <w:rFonts w:hint="eastAsia" w:ascii="宋体" w:hAnsi="宋体" w:cs="宋体"/>
          <w:b/>
          <w:bCs/>
          <w:color w:val="auto"/>
          <w:sz w:val="22"/>
          <w:szCs w:val="22"/>
          <w:highlight w:val="none"/>
        </w:rPr>
        <w:t>2、投标供应商提供的《残疾人福利性单位声明函》与事实不符的，依照《中华人民共和国政府采购法》第七十七条第一款的规定追究法律责任。</w:t>
      </w:r>
    </w:p>
    <w:p w14:paraId="547A9199">
      <w:pPr>
        <w:spacing w:line="360" w:lineRule="auto"/>
        <w:outlineLvl w:val="0"/>
        <w:rPr>
          <w:rFonts w:ascii="宋体" w:hAnsi="宋体" w:cs="宋体"/>
          <w:b/>
          <w:bCs/>
          <w:color w:val="auto"/>
          <w:sz w:val="28"/>
          <w:szCs w:val="28"/>
          <w:highlight w:val="none"/>
        </w:rPr>
      </w:pPr>
    </w:p>
    <w:p w14:paraId="424BA44B">
      <w:pPr>
        <w:pStyle w:val="39"/>
        <w:rPr>
          <w:rFonts w:ascii="宋体" w:hAnsi="宋体" w:cs="宋体"/>
          <w:color w:val="auto"/>
          <w:sz w:val="30"/>
          <w:szCs w:val="30"/>
          <w:highlight w:val="none"/>
        </w:rPr>
      </w:pPr>
    </w:p>
    <w:p w14:paraId="4488A47D">
      <w:pPr>
        <w:widowControl/>
        <w:jc w:val="left"/>
        <w:rPr>
          <w:rFonts w:ascii="宋体" w:hAnsi="宋体" w:cs="宋体"/>
          <w:b/>
          <w:bCs/>
          <w:color w:val="auto"/>
          <w:sz w:val="30"/>
          <w:szCs w:val="30"/>
          <w:highlight w:val="none"/>
        </w:rPr>
      </w:pPr>
      <w:r>
        <w:rPr>
          <w:rFonts w:hint="eastAsia" w:ascii="宋体" w:hAnsi="宋体" w:cs="宋体"/>
          <w:color w:val="auto"/>
          <w:sz w:val="30"/>
          <w:szCs w:val="30"/>
          <w:highlight w:val="none"/>
        </w:rPr>
        <w:br w:type="page"/>
      </w:r>
    </w:p>
    <w:p w14:paraId="0C52AAC6">
      <w:pPr>
        <w:spacing w:line="360" w:lineRule="auto"/>
        <w:jc w:val="center"/>
        <w:outlineLvl w:val="0"/>
        <w:rPr>
          <w:rFonts w:ascii="宋体" w:hAnsi="宋体" w:cs="宋体"/>
          <w:b/>
          <w:color w:val="auto"/>
          <w:sz w:val="36"/>
          <w:szCs w:val="36"/>
          <w:highlight w:val="none"/>
        </w:rPr>
      </w:pPr>
      <w:bookmarkStart w:id="103" w:name="_Toc23974"/>
      <w:r>
        <w:rPr>
          <w:rFonts w:hint="eastAsia" w:ascii="宋体" w:hAnsi="宋体" w:cs="宋体"/>
          <w:color w:val="auto"/>
          <w:sz w:val="30"/>
          <w:szCs w:val="30"/>
          <w:highlight w:val="none"/>
        </w:rPr>
        <w:t xml:space="preserve">第五部分  </w:t>
      </w:r>
      <w:bookmarkEnd w:id="99"/>
      <w:bookmarkEnd w:id="100"/>
      <w:r>
        <w:rPr>
          <w:rFonts w:hint="eastAsia" w:ascii="宋体" w:hAnsi="宋体" w:cs="宋体"/>
          <w:color w:val="auto"/>
          <w:sz w:val="30"/>
          <w:szCs w:val="30"/>
          <w:highlight w:val="none"/>
        </w:rPr>
        <w:t>合同格式（参考格式）</w:t>
      </w:r>
      <w:bookmarkEnd w:id="103"/>
      <w:r>
        <w:rPr>
          <w:rFonts w:hint="eastAsia" w:ascii="宋体" w:hAnsi="宋体" w:cs="宋体"/>
          <w:color w:val="auto"/>
          <w:sz w:val="30"/>
          <w:szCs w:val="30"/>
          <w:highlight w:val="none"/>
        </w:rPr>
        <w:t xml:space="preserve">  </w:t>
      </w:r>
    </w:p>
    <w:p w14:paraId="0B32A3FB">
      <w:pPr>
        <w:pStyle w:val="23"/>
        <w:spacing w:line="420" w:lineRule="atLeast"/>
        <w:jc w:val="center"/>
        <w:rPr>
          <w:rFonts w:hAnsi="宋体" w:cs="宋体"/>
          <w:b/>
          <w:color w:val="auto"/>
          <w:sz w:val="22"/>
          <w:szCs w:val="22"/>
          <w:highlight w:val="none"/>
        </w:rPr>
      </w:pPr>
      <w:bookmarkStart w:id="104" w:name="_Toc498343172"/>
      <w:bookmarkStart w:id="105" w:name="_Toc496116263"/>
      <w:bookmarkStart w:id="106" w:name="_Toc293038721"/>
      <w:r>
        <w:rPr>
          <w:rFonts w:hint="eastAsia" w:hAnsi="宋体" w:cs="宋体"/>
          <w:color w:val="auto"/>
          <w:sz w:val="22"/>
          <w:szCs w:val="22"/>
          <w:highlight w:val="none"/>
        </w:rPr>
        <w:t>编号  ：</w:t>
      </w:r>
    </w:p>
    <w:p w14:paraId="5EE20882">
      <w:pPr>
        <w:pStyle w:val="23"/>
        <w:spacing w:line="460" w:lineRule="atLeast"/>
        <w:rPr>
          <w:rFonts w:hAnsi="宋体" w:cs="宋体"/>
          <w:color w:val="auto"/>
          <w:sz w:val="22"/>
          <w:szCs w:val="22"/>
          <w:highlight w:val="none"/>
        </w:rPr>
      </w:pPr>
      <w:r>
        <w:rPr>
          <w:rFonts w:hint="eastAsia" w:hAnsi="宋体" w:cs="宋体"/>
          <w:color w:val="auto"/>
          <w:sz w:val="22"/>
          <w:szCs w:val="22"/>
          <w:highlight w:val="none"/>
        </w:rPr>
        <w:t>采购人1：采购人1</w:t>
      </w:r>
    </w:p>
    <w:p w14:paraId="7814AEDE">
      <w:pPr>
        <w:pStyle w:val="23"/>
        <w:spacing w:line="460" w:lineRule="atLeast"/>
        <w:rPr>
          <w:color w:val="auto"/>
          <w:highlight w:val="none"/>
        </w:rPr>
      </w:pPr>
      <w:r>
        <w:rPr>
          <w:rFonts w:hint="eastAsia" w:hAnsi="宋体" w:cs="宋体"/>
          <w:color w:val="auto"/>
          <w:sz w:val="22"/>
          <w:szCs w:val="22"/>
          <w:highlight w:val="none"/>
        </w:rPr>
        <w:t>采购人2：采购人2</w:t>
      </w:r>
    </w:p>
    <w:p w14:paraId="3F50AA11">
      <w:pPr>
        <w:pStyle w:val="23"/>
        <w:spacing w:line="460" w:lineRule="atLeast"/>
        <w:rPr>
          <w:rFonts w:hAnsi="宋体" w:cs="宋体"/>
          <w:b/>
          <w:color w:val="auto"/>
          <w:sz w:val="22"/>
          <w:szCs w:val="22"/>
          <w:highlight w:val="none"/>
        </w:rPr>
      </w:pPr>
      <w:r>
        <w:rPr>
          <w:rFonts w:hint="eastAsia" w:hAnsi="宋体" w:cs="宋体"/>
          <w:color w:val="auto"/>
          <w:sz w:val="22"/>
          <w:szCs w:val="22"/>
          <w:highlight w:val="none"/>
        </w:rPr>
        <w:t>中标供应商：本次招标的中标供应商</w:t>
      </w:r>
    </w:p>
    <w:p w14:paraId="6EAFEE5B">
      <w:pPr>
        <w:pStyle w:val="23"/>
        <w:spacing w:line="460" w:lineRule="atLeast"/>
        <w:ind w:firstLine="570"/>
        <w:rPr>
          <w:rFonts w:hAnsi="宋体" w:cs="宋体"/>
          <w:b/>
          <w:color w:val="auto"/>
          <w:sz w:val="22"/>
          <w:szCs w:val="22"/>
          <w:highlight w:val="none"/>
        </w:rPr>
      </w:pPr>
      <w:r>
        <w:rPr>
          <w:rFonts w:hint="eastAsia" w:hAnsi="宋体" w:cs="宋体"/>
          <w:color w:val="auto"/>
          <w:sz w:val="22"/>
          <w:szCs w:val="22"/>
          <w:highlight w:val="none"/>
        </w:rPr>
        <w:t>双方经协商，就中标供应商向采购人提供本公司产品以及相关产品的伴随服务事宜达成以下条款：</w:t>
      </w:r>
    </w:p>
    <w:p w14:paraId="33ED354F">
      <w:pPr>
        <w:pStyle w:val="23"/>
        <w:spacing w:line="460" w:lineRule="atLeast"/>
        <w:rPr>
          <w:rFonts w:hAnsi="宋体" w:cs="宋体"/>
          <w:b/>
          <w:bCs/>
          <w:color w:val="auto"/>
          <w:sz w:val="22"/>
          <w:szCs w:val="22"/>
          <w:highlight w:val="none"/>
        </w:rPr>
      </w:pPr>
      <w:r>
        <w:rPr>
          <w:rFonts w:hint="eastAsia" w:hAnsi="宋体" w:cs="宋体"/>
          <w:color w:val="auto"/>
          <w:sz w:val="22"/>
          <w:szCs w:val="22"/>
          <w:highlight w:val="none"/>
        </w:rPr>
        <w:t>第一条：采购商品清单及合同价格</w:t>
      </w:r>
    </w:p>
    <w:p w14:paraId="48FBFB07">
      <w:pPr>
        <w:spacing w:line="460" w:lineRule="atLeast"/>
        <w:ind w:firstLine="540"/>
        <w:rPr>
          <w:rFonts w:ascii="宋体" w:hAnsi="宋体" w:cs="宋体"/>
          <w:b/>
          <w:color w:val="auto"/>
          <w:sz w:val="22"/>
          <w:szCs w:val="22"/>
          <w:highlight w:val="none"/>
        </w:rPr>
      </w:pPr>
      <w:r>
        <w:rPr>
          <w:rFonts w:hint="eastAsia" w:ascii="宋体" w:hAnsi="宋体" w:cs="宋体"/>
          <w:color w:val="auto"/>
          <w:sz w:val="22"/>
          <w:szCs w:val="22"/>
          <w:highlight w:val="none"/>
        </w:rPr>
        <w:t>中标供应商保证提供如下内容的合格产品：        金额单位：人民币/元</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079"/>
      </w:tblGrid>
      <w:tr w14:paraId="7EBB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vAlign w:val="center"/>
          </w:tcPr>
          <w:p w14:paraId="75A21468">
            <w:pPr>
              <w:spacing w:line="460" w:lineRule="atLeast"/>
              <w:ind w:firstLine="240"/>
              <w:jc w:val="center"/>
              <w:rPr>
                <w:rFonts w:ascii="宋体" w:hAnsi="宋体" w:cs="宋体"/>
                <w:b/>
                <w:color w:val="auto"/>
                <w:sz w:val="22"/>
                <w:szCs w:val="22"/>
                <w:highlight w:val="none"/>
              </w:rPr>
            </w:pPr>
            <w:r>
              <w:rPr>
                <w:rFonts w:hint="eastAsia" w:ascii="宋体" w:hAnsi="宋体" w:cs="宋体"/>
                <w:color w:val="auto"/>
                <w:sz w:val="22"/>
                <w:szCs w:val="22"/>
                <w:highlight w:val="none"/>
              </w:rPr>
              <w:t>采购产品名称</w:t>
            </w:r>
          </w:p>
        </w:tc>
        <w:tc>
          <w:tcPr>
            <w:tcW w:w="2713" w:type="dxa"/>
            <w:vAlign w:val="center"/>
          </w:tcPr>
          <w:p w14:paraId="33BB4801">
            <w:pPr>
              <w:spacing w:line="460" w:lineRule="atLeast"/>
              <w:jc w:val="center"/>
              <w:rPr>
                <w:rFonts w:ascii="宋体" w:hAnsi="宋体" w:cs="宋体"/>
                <w:b/>
                <w:color w:val="auto"/>
                <w:sz w:val="22"/>
                <w:szCs w:val="22"/>
                <w:highlight w:val="none"/>
              </w:rPr>
            </w:pPr>
            <w:r>
              <w:rPr>
                <w:rFonts w:hint="eastAsia" w:ascii="宋体" w:hAnsi="宋体" w:cs="宋体"/>
                <w:color w:val="auto"/>
                <w:sz w:val="22"/>
                <w:szCs w:val="22"/>
                <w:highlight w:val="none"/>
              </w:rPr>
              <w:t>型号规格和主要配置</w:t>
            </w:r>
          </w:p>
        </w:tc>
        <w:tc>
          <w:tcPr>
            <w:tcW w:w="816" w:type="dxa"/>
            <w:vAlign w:val="center"/>
          </w:tcPr>
          <w:p w14:paraId="11C99EC5">
            <w:pPr>
              <w:spacing w:line="460" w:lineRule="atLeast"/>
              <w:jc w:val="center"/>
              <w:rPr>
                <w:rFonts w:ascii="宋体" w:hAnsi="宋体" w:cs="宋体"/>
                <w:b/>
                <w:color w:val="auto"/>
                <w:sz w:val="22"/>
                <w:szCs w:val="22"/>
                <w:highlight w:val="none"/>
              </w:rPr>
            </w:pPr>
            <w:r>
              <w:rPr>
                <w:rFonts w:hint="eastAsia" w:ascii="宋体" w:hAnsi="宋体" w:cs="宋体"/>
                <w:color w:val="auto"/>
                <w:sz w:val="22"/>
                <w:szCs w:val="22"/>
                <w:highlight w:val="none"/>
              </w:rPr>
              <w:t>数量</w:t>
            </w:r>
          </w:p>
        </w:tc>
        <w:tc>
          <w:tcPr>
            <w:tcW w:w="1259" w:type="dxa"/>
            <w:vAlign w:val="center"/>
          </w:tcPr>
          <w:p w14:paraId="0A76A51E">
            <w:pPr>
              <w:spacing w:line="460" w:lineRule="atLeast"/>
              <w:jc w:val="center"/>
              <w:rPr>
                <w:rFonts w:ascii="宋体" w:hAnsi="宋体" w:cs="宋体"/>
                <w:b/>
                <w:color w:val="auto"/>
                <w:sz w:val="22"/>
                <w:szCs w:val="22"/>
                <w:highlight w:val="none"/>
              </w:rPr>
            </w:pPr>
            <w:r>
              <w:rPr>
                <w:rFonts w:hint="eastAsia" w:ascii="宋体" w:hAnsi="宋体" w:cs="宋体"/>
                <w:color w:val="auto"/>
                <w:sz w:val="22"/>
                <w:szCs w:val="22"/>
                <w:highlight w:val="none"/>
              </w:rPr>
              <w:t>中标价</w:t>
            </w:r>
          </w:p>
        </w:tc>
        <w:tc>
          <w:tcPr>
            <w:tcW w:w="1079" w:type="dxa"/>
            <w:vAlign w:val="center"/>
          </w:tcPr>
          <w:p w14:paraId="6F73A6F7">
            <w:pPr>
              <w:spacing w:line="460" w:lineRule="atLeast"/>
              <w:jc w:val="center"/>
              <w:rPr>
                <w:rFonts w:ascii="宋体" w:hAnsi="宋体" w:cs="宋体"/>
                <w:b/>
                <w:color w:val="auto"/>
                <w:sz w:val="22"/>
                <w:szCs w:val="22"/>
                <w:highlight w:val="none"/>
              </w:rPr>
            </w:pPr>
            <w:r>
              <w:rPr>
                <w:rFonts w:hint="eastAsia" w:ascii="宋体" w:hAnsi="宋体" w:cs="宋体"/>
                <w:color w:val="auto"/>
                <w:sz w:val="22"/>
                <w:szCs w:val="22"/>
                <w:highlight w:val="none"/>
              </w:rPr>
              <w:t>完工期</w:t>
            </w:r>
          </w:p>
        </w:tc>
        <w:tc>
          <w:tcPr>
            <w:tcW w:w="1079" w:type="dxa"/>
            <w:vAlign w:val="center"/>
          </w:tcPr>
          <w:p w14:paraId="76324F1F">
            <w:pPr>
              <w:spacing w:line="460" w:lineRule="atLeast"/>
              <w:jc w:val="center"/>
              <w:rPr>
                <w:rFonts w:ascii="宋体" w:hAnsi="宋体" w:cs="宋体"/>
                <w:b/>
                <w:color w:val="auto"/>
                <w:sz w:val="22"/>
                <w:szCs w:val="22"/>
                <w:highlight w:val="none"/>
              </w:rPr>
            </w:pPr>
            <w:r>
              <w:rPr>
                <w:rFonts w:hint="eastAsia" w:ascii="宋体" w:hAnsi="宋体" w:cs="宋体"/>
                <w:color w:val="auto"/>
                <w:sz w:val="22"/>
                <w:szCs w:val="22"/>
                <w:highlight w:val="none"/>
              </w:rPr>
              <w:t>备注</w:t>
            </w:r>
          </w:p>
        </w:tc>
      </w:tr>
      <w:tr w14:paraId="2283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267" w:type="dxa"/>
            <w:vAlign w:val="center"/>
          </w:tcPr>
          <w:p w14:paraId="0053742A">
            <w:pPr>
              <w:spacing w:line="460" w:lineRule="atLeast"/>
              <w:jc w:val="center"/>
              <w:rPr>
                <w:rFonts w:ascii="宋体" w:hAnsi="宋体" w:cs="宋体"/>
                <w:b/>
                <w:color w:val="auto"/>
                <w:sz w:val="22"/>
                <w:szCs w:val="22"/>
                <w:highlight w:val="none"/>
              </w:rPr>
            </w:pPr>
          </w:p>
        </w:tc>
        <w:tc>
          <w:tcPr>
            <w:tcW w:w="2713" w:type="dxa"/>
            <w:vAlign w:val="center"/>
          </w:tcPr>
          <w:p w14:paraId="56EC890C">
            <w:pPr>
              <w:spacing w:line="460" w:lineRule="atLeast"/>
              <w:jc w:val="center"/>
              <w:rPr>
                <w:rFonts w:ascii="宋体" w:hAnsi="宋体" w:cs="宋体"/>
                <w:b/>
                <w:color w:val="auto"/>
                <w:sz w:val="22"/>
                <w:szCs w:val="22"/>
                <w:highlight w:val="none"/>
              </w:rPr>
            </w:pPr>
          </w:p>
        </w:tc>
        <w:tc>
          <w:tcPr>
            <w:tcW w:w="816" w:type="dxa"/>
            <w:vAlign w:val="center"/>
          </w:tcPr>
          <w:p w14:paraId="24ABD927">
            <w:pPr>
              <w:spacing w:line="460" w:lineRule="atLeast"/>
              <w:jc w:val="center"/>
              <w:rPr>
                <w:rFonts w:ascii="宋体" w:hAnsi="宋体" w:cs="宋体"/>
                <w:b/>
                <w:color w:val="auto"/>
                <w:sz w:val="22"/>
                <w:szCs w:val="22"/>
                <w:highlight w:val="none"/>
              </w:rPr>
            </w:pPr>
          </w:p>
        </w:tc>
        <w:tc>
          <w:tcPr>
            <w:tcW w:w="1259" w:type="dxa"/>
            <w:vAlign w:val="center"/>
          </w:tcPr>
          <w:p w14:paraId="20873B28">
            <w:pPr>
              <w:spacing w:line="460" w:lineRule="atLeast"/>
              <w:jc w:val="center"/>
              <w:rPr>
                <w:rFonts w:ascii="宋体" w:hAnsi="宋体" w:cs="宋体"/>
                <w:b/>
                <w:color w:val="auto"/>
                <w:sz w:val="22"/>
                <w:szCs w:val="22"/>
                <w:highlight w:val="none"/>
              </w:rPr>
            </w:pPr>
          </w:p>
        </w:tc>
        <w:tc>
          <w:tcPr>
            <w:tcW w:w="1079" w:type="dxa"/>
            <w:vAlign w:val="center"/>
          </w:tcPr>
          <w:p w14:paraId="6250E4BF">
            <w:pPr>
              <w:spacing w:line="460" w:lineRule="atLeast"/>
              <w:jc w:val="center"/>
              <w:rPr>
                <w:rFonts w:ascii="宋体" w:hAnsi="宋体" w:cs="宋体"/>
                <w:b/>
                <w:color w:val="auto"/>
                <w:sz w:val="22"/>
                <w:szCs w:val="22"/>
                <w:highlight w:val="none"/>
              </w:rPr>
            </w:pPr>
          </w:p>
        </w:tc>
        <w:tc>
          <w:tcPr>
            <w:tcW w:w="1079" w:type="dxa"/>
            <w:vAlign w:val="center"/>
          </w:tcPr>
          <w:p w14:paraId="6C388492">
            <w:pPr>
              <w:spacing w:line="460" w:lineRule="atLeast"/>
              <w:jc w:val="center"/>
              <w:rPr>
                <w:rFonts w:ascii="宋体" w:hAnsi="宋体" w:cs="宋体"/>
                <w:b/>
                <w:color w:val="auto"/>
                <w:sz w:val="22"/>
                <w:szCs w:val="22"/>
                <w:highlight w:val="none"/>
              </w:rPr>
            </w:pPr>
          </w:p>
        </w:tc>
      </w:tr>
      <w:tr w14:paraId="208B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vAlign w:val="center"/>
          </w:tcPr>
          <w:p w14:paraId="670B6D57">
            <w:pPr>
              <w:spacing w:line="460" w:lineRule="atLeast"/>
              <w:jc w:val="center"/>
              <w:rPr>
                <w:rFonts w:ascii="宋体" w:hAnsi="宋体" w:cs="宋体"/>
                <w:b/>
                <w:color w:val="auto"/>
                <w:sz w:val="22"/>
                <w:szCs w:val="22"/>
                <w:highlight w:val="none"/>
              </w:rPr>
            </w:pPr>
          </w:p>
        </w:tc>
        <w:tc>
          <w:tcPr>
            <w:tcW w:w="2713" w:type="dxa"/>
            <w:vAlign w:val="center"/>
          </w:tcPr>
          <w:p w14:paraId="7F02BD7B">
            <w:pPr>
              <w:spacing w:line="460" w:lineRule="atLeast"/>
              <w:jc w:val="center"/>
              <w:rPr>
                <w:rFonts w:ascii="宋体" w:hAnsi="宋体" w:cs="宋体"/>
                <w:b/>
                <w:color w:val="auto"/>
                <w:sz w:val="22"/>
                <w:szCs w:val="22"/>
                <w:highlight w:val="none"/>
              </w:rPr>
            </w:pPr>
          </w:p>
        </w:tc>
        <w:tc>
          <w:tcPr>
            <w:tcW w:w="816" w:type="dxa"/>
            <w:vAlign w:val="center"/>
          </w:tcPr>
          <w:p w14:paraId="0C5355FF">
            <w:pPr>
              <w:spacing w:line="460" w:lineRule="atLeast"/>
              <w:jc w:val="center"/>
              <w:rPr>
                <w:rFonts w:ascii="宋体" w:hAnsi="宋体" w:cs="宋体"/>
                <w:b/>
                <w:color w:val="auto"/>
                <w:sz w:val="22"/>
                <w:szCs w:val="22"/>
                <w:highlight w:val="none"/>
              </w:rPr>
            </w:pPr>
          </w:p>
        </w:tc>
        <w:tc>
          <w:tcPr>
            <w:tcW w:w="1259" w:type="dxa"/>
            <w:vAlign w:val="center"/>
          </w:tcPr>
          <w:p w14:paraId="718ECF4C">
            <w:pPr>
              <w:spacing w:line="460" w:lineRule="atLeast"/>
              <w:jc w:val="center"/>
              <w:rPr>
                <w:rFonts w:ascii="宋体" w:hAnsi="宋体" w:cs="宋体"/>
                <w:b/>
                <w:color w:val="auto"/>
                <w:sz w:val="22"/>
                <w:szCs w:val="22"/>
                <w:highlight w:val="none"/>
              </w:rPr>
            </w:pPr>
          </w:p>
        </w:tc>
        <w:tc>
          <w:tcPr>
            <w:tcW w:w="1079" w:type="dxa"/>
            <w:vAlign w:val="center"/>
          </w:tcPr>
          <w:p w14:paraId="4001711D">
            <w:pPr>
              <w:spacing w:line="460" w:lineRule="atLeast"/>
              <w:jc w:val="center"/>
              <w:rPr>
                <w:rFonts w:ascii="宋体" w:hAnsi="宋体" w:cs="宋体"/>
                <w:b/>
                <w:color w:val="auto"/>
                <w:sz w:val="22"/>
                <w:szCs w:val="22"/>
                <w:highlight w:val="none"/>
              </w:rPr>
            </w:pPr>
          </w:p>
        </w:tc>
        <w:tc>
          <w:tcPr>
            <w:tcW w:w="1079" w:type="dxa"/>
            <w:vAlign w:val="center"/>
          </w:tcPr>
          <w:p w14:paraId="6D8499FB">
            <w:pPr>
              <w:spacing w:line="460" w:lineRule="atLeast"/>
              <w:jc w:val="center"/>
              <w:rPr>
                <w:rFonts w:ascii="宋体" w:hAnsi="宋体" w:cs="宋体"/>
                <w:b/>
                <w:color w:val="auto"/>
                <w:sz w:val="22"/>
                <w:szCs w:val="22"/>
                <w:highlight w:val="none"/>
              </w:rPr>
            </w:pPr>
          </w:p>
        </w:tc>
      </w:tr>
      <w:tr w14:paraId="645E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vAlign w:val="center"/>
          </w:tcPr>
          <w:p w14:paraId="52F4746F">
            <w:pPr>
              <w:spacing w:line="460" w:lineRule="atLeast"/>
              <w:jc w:val="center"/>
              <w:rPr>
                <w:rFonts w:ascii="宋体" w:hAnsi="宋体" w:cs="宋体"/>
                <w:b/>
                <w:color w:val="auto"/>
                <w:sz w:val="22"/>
                <w:szCs w:val="22"/>
                <w:highlight w:val="none"/>
              </w:rPr>
            </w:pPr>
          </w:p>
        </w:tc>
        <w:tc>
          <w:tcPr>
            <w:tcW w:w="2713" w:type="dxa"/>
            <w:vAlign w:val="center"/>
          </w:tcPr>
          <w:p w14:paraId="7BAB21A5">
            <w:pPr>
              <w:spacing w:line="460" w:lineRule="atLeast"/>
              <w:jc w:val="center"/>
              <w:rPr>
                <w:rFonts w:ascii="宋体" w:hAnsi="宋体" w:cs="宋体"/>
                <w:b/>
                <w:color w:val="auto"/>
                <w:sz w:val="22"/>
                <w:szCs w:val="22"/>
                <w:highlight w:val="none"/>
              </w:rPr>
            </w:pPr>
          </w:p>
        </w:tc>
        <w:tc>
          <w:tcPr>
            <w:tcW w:w="816" w:type="dxa"/>
            <w:vAlign w:val="center"/>
          </w:tcPr>
          <w:p w14:paraId="0E0D2AE0">
            <w:pPr>
              <w:spacing w:line="460" w:lineRule="atLeast"/>
              <w:jc w:val="center"/>
              <w:rPr>
                <w:rFonts w:ascii="宋体" w:hAnsi="宋体" w:cs="宋体"/>
                <w:b/>
                <w:color w:val="auto"/>
                <w:sz w:val="22"/>
                <w:szCs w:val="22"/>
                <w:highlight w:val="none"/>
              </w:rPr>
            </w:pPr>
          </w:p>
        </w:tc>
        <w:tc>
          <w:tcPr>
            <w:tcW w:w="1259" w:type="dxa"/>
            <w:vAlign w:val="center"/>
          </w:tcPr>
          <w:p w14:paraId="43E842F7">
            <w:pPr>
              <w:spacing w:line="460" w:lineRule="atLeast"/>
              <w:jc w:val="center"/>
              <w:rPr>
                <w:rFonts w:ascii="宋体" w:hAnsi="宋体" w:cs="宋体"/>
                <w:b/>
                <w:color w:val="auto"/>
                <w:sz w:val="22"/>
                <w:szCs w:val="22"/>
                <w:highlight w:val="none"/>
              </w:rPr>
            </w:pPr>
          </w:p>
        </w:tc>
        <w:tc>
          <w:tcPr>
            <w:tcW w:w="1079" w:type="dxa"/>
            <w:vAlign w:val="center"/>
          </w:tcPr>
          <w:p w14:paraId="31AA0452">
            <w:pPr>
              <w:spacing w:line="460" w:lineRule="atLeast"/>
              <w:jc w:val="center"/>
              <w:rPr>
                <w:rFonts w:ascii="宋体" w:hAnsi="宋体" w:cs="宋体"/>
                <w:b/>
                <w:color w:val="auto"/>
                <w:sz w:val="22"/>
                <w:szCs w:val="22"/>
                <w:highlight w:val="none"/>
              </w:rPr>
            </w:pPr>
          </w:p>
        </w:tc>
        <w:tc>
          <w:tcPr>
            <w:tcW w:w="1079" w:type="dxa"/>
            <w:vAlign w:val="center"/>
          </w:tcPr>
          <w:p w14:paraId="731236C0">
            <w:pPr>
              <w:spacing w:line="460" w:lineRule="atLeast"/>
              <w:jc w:val="center"/>
              <w:rPr>
                <w:rFonts w:ascii="宋体" w:hAnsi="宋体" w:cs="宋体"/>
                <w:b/>
                <w:color w:val="auto"/>
                <w:sz w:val="22"/>
                <w:szCs w:val="22"/>
                <w:highlight w:val="none"/>
              </w:rPr>
            </w:pPr>
          </w:p>
        </w:tc>
      </w:tr>
    </w:tbl>
    <w:p w14:paraId="08D9FB05">
      <w:pPr>
        <w:pStyle w:val="23"/>
        <w:spacing w:line="460" w:lineRule="atLeast"/>
        <w:rPr>
          <w:rFonts w:hAnsi="宋体" w:cs="宋体"/>
          <w:b/>
          <w:bCs/>
          <w:color w:val="auto"/>
          <w:sz w:val="22"/>
          <w:szCs w:val="22"/>
          <w:highlight w:val="none"/>
        </w:rPr>
      </w:pPr>
      <w:r>
        <w:rPr>
          <w:rFonts w:hint="eastAsia" w:hAnsi="宋体" w:cs="宋体"/>
          <w:color w:val="auto"/>
          <w:sz w:val="22"/>
          <w:szCs w:val="22"/>
          <w:highlight w:val="none"/>
        </w:rPr>
        <w:t>第二条：质量标准和要求</w:t>
      </w:r>
    </w:p>
    <w:p w14:paraId="4BD52AE1">
      <w:pPr>
        <w:spacing w:line="460" w:lineRule="atLeast"/>
        <w:ind w:firstLine="420"/>
        <w:rPr>
          <w:rFonts w:ascii="宋体" w:hAnsi="宋体" w:cs="宋体"/>
          <w:b/>
          <w:color w:val="auto"/>
          <w:sz w:val="22"/>
          <w:szCs w:val="22"/>
          <w:highlight w:val="none"/>
        </w:rPr>
      </w:pPr>
      <w:r>
        <w:rPr>
          <w:rFonts w:hint="eastAsia" w:ascii="宋体" w:hAnsi="宋体" w:cs="宋体"/>
          <w:color w:val="auto"/>
          <w:sz w:val="22"/>
          <w:szCs w:val="22"/>
          <w:highlight w:val="none"/>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26F06F67">
      <w:pPr>
        <w:pStyle w:val="23"/>
        <w:spacing w:line="460" w:lineRule="atLeast"/>
        <w:ind w:firstLine="480"/>
        <w:rPr>
          <w:rFonts w:hAnsi="宋体" w:cs="宋体"/>
          <w:b/>
          <w:color w:val="auto"/>
          <w:sz w:val="22"/>
          <w:szCs w:val="22"/>
          <w:highlight w:val="none"/>
        </w:rPr>
      </w:pPr>
      <w:r>
        <w:rPr>
          <w:rFonts w:hint="eastAsia" w:hAnsi="宋体" w:cs="宋体"/>
          <w:color w:val="auto"/>
          <w:sz w:val="22"/>
          <w:szCs w:val="22"/>
          <w:highlight w:val="none"/>
        </w:rPr>
        <w:t>2、 中标供应商所出售的货物还应符合国家和浙江省有关安全、环保、卫生之规定。</w:t>
      </w:r>
    </w:p>
    <w:p w14:paraId="1C20F6CE">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第三条：权利瑕疵担保</w:t>
      </w:r>
    </w:p>
    <w:p w14:paraId="36E4535A">
      <w:pPr>
        <w:spacing w:line="460" w:lineRule="atLeast"/>
        <w:ind w:firstLine="420"/>
        <w:rPr>
          <w:rFonts w:ascii="宋体" w:hAnsi="宋体" w:cs="宋体"/>
          <w:b/>
          <w:color w:val="auto"/>
          <w:sz w:val="22"/>
          <w:szCs w:val="22"/>
          <w:highlight w:val="none"/>
        </w:rPr>
      </w:pPr>
      <w:r>
        <w:rPr>
          <w:rFonts w:hint="eastAsia" w:ascii="宋体" w:hAnsi="宋体" w:cs="宋体"/>
          <w:color w:val="auto"/>
          <w:sz w:val="22"/>
          <w:szCs w:val="22"/>
          <w:highlight w:val="none"/>
        </w:rPr>
        <w:t>1、中标供应商保证对其出售的货物享有合法的权利。</w:t>
      </w:r>
    </w:p>
    <w:p w14:paraId="12265B78">
      <w:pPr>
        <w:spacing w:line="460" w:lineRule="atLeast"/>
        <w:ind w:firstLine="420"/>
        <w:rPr>
          <w:rFonts w:ascii="宋体" w:hAnsi="宋体" w:cs="宋体"/>
          <w:b/>
          <w:color w:val="auto"/>
          <w:sz w:val="22"/>
          <w:szCs w:val="22"/>
          <w:highlight w:val="none"/>
        </w:rPr>
      </w:pPr>
      <w:r>
        <w:rPr>
          <w:rFonts w:hint="eastAsia" w:ascii="宋体" w:hAnsi="宋体" w:cs="宋体"/>
          <w:color w:val="auto"/>
          <w:sz w:val="22"/>
          <w:szCs w:val="22"/>
          <w:highlight w:val="none"/>
        </w:rPr>
        <w:t>2、中标供应商保证在其出售的货物上不存在任何未曾向采购人透露的担保物权，如抵押权、质押权、留置权等。</w:t>
      </w:r>
    </w:p>
    <w:p w14:paraId="5D75B7B3">
      <w:pPr>
        <w:spacing w:line="460" w:lineRule="atLeast"/>
        <w:ind w:firstLine="420"/>
        <w:rPr>
          <w:rFonts w:ascii="宋体" w:hAnsi="宋体" w:cs="宋体"/>
          <w:b/>
          <w:color w:val="auto"/>
          <w:sz w:val="22"/>
          <w:szCs w:val="22"/>
          <w:highlight w:val="none"/>
        </w:rPr>
      </w:pPr>
      <w:r>
        <w:rPr>
          <w:rFonts w:hint="eastAsia" w:ascii="宋体" w:hAnsi="宋体" w:cs="宋体"/>
          <w:color w:val="auto"/>
          <w:sz w:val="22"/>
          <w:szCs w:val="22"/>
          <w:highlight w:val="none"/>
        </w:rPr>
        <w:t>3、中标供应商保证其所出售的货物没有侵犯任何第三人的知识产权和商业秘密等权利。</w:t>
      </w:r>
    </w:p>
    <w:p w14:paraId="764F002F">
      <w:pPr>
        <w:pStyle w:val="23"/>
        <w:spacing w:line="460" w:lineRule="atLeast"/>
        <w:ind w:firstLine="360"/>
        <w:rPr>
          <w:rFonts w:hAnsi="宋体" w:cs="宋体"/>
          <w:b/>
          <w:color w:val="auto"/>
          <w:sz w:val="22"/>
          <w:szCs w:val="22"/>
          <w:highlight w:val="none"/>
        </w:rPr>
      </w:pPr>
      <w:r>
        <w:rPr>
          <w:rFonts w:hint="eastAsia" w:hAnsi="宋体" w:cs="宋体"/>
          <w:color w:val="auto"/>
          <w:sz w:val="22"/>
          <w:szCs w:val="22"/>
          <w:highlight w:val="none"/>
        </w:rPr>
        <w:t>4、如采购人使用该货物构成上述侵权的，则由中标供应商承担全部责任。</w:t>
      </w:r>
    </w:p>
    <w:p w14:paraId="2E8DB2C9">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第四条：包装要求</w:t>
      </w:r>
    </w:p>
    <w:p w14:paraId="21E1AADB">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1、中标供应商所出售的全部货物均应按标准保护措施进行包装，这类包装应适应于远距离运输、防潮、防震、防锈和防野蛮装卸等要求，以确保货物安全无损地运抵指定现场。</w:t>
      </w:r>
    </w:p>
    <w:p w14:paraId="74D3C546">
      <w:pPr>
        <w:pStyle w:val="23"/>
        <w:spacing w:line="460" w:lineRule="atLeast"/>
        <w:ind w:firstLine="360"/>
        <w:rPr>
          <w:rFonts w:hAnsi="宋体" w:cs="宋体"/>
          <w:b/>
          <w:color w:val="auto"/>
          <w:sz w:val="22"/>
          <w:szCs w:val="22"/>
          <w:highlight w:val="none"/>
        </w:rPr>
      </w:pPr>
      <w:r>
        <w:rPr>
          <w:rFonts w:hint="eastAsia" w:hAnsi="宋体" w:cs="宋体"/>
          <w:color w:val="auto"/>
          <w:sz w:val="22"/>
          <w:szCs w:val="22"/>
          <w:highlight w:val="none"/>
        </w:rPr>
        <w:t xml:space="preserve"> 2、每一个包装箱内应附一份详细装箱单、质量证书和保修保养证书。</w:t>
      </w:r>
    </w:p>
    <w:p w14:paraId="711D10BD">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第五条：供货期限</w:t>
      </w:r>
    </w:p>
    <w:p w14:paraId="5108E73C">
      <w:pPr>
        <w:spacing w:line="460" w:lineRule="atLeas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中标供应商负责202</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日前完成交货，202</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日前调试验收合格。</w:t>
      </w:r>
    </w:p>
    <w:p w14:paraId="77235011">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第六条：供货方式</w:t>
      </w:r>
    </w:p>
    <w:p w14:paraId="617CDE6A">
      <w:pPr>
        <w:spacing w:line="460" w:lineRule="atLeast"/>
        <w:ind w:firstLine="555"/>
        <w:rPr>
          <w:rFonts w:ascii="宋体" w:hAnsi="宋体" w:cs="宋体"/>
          <w:b/>
          <w:color w:val="auto"/>
          <w:sz w:val="22"/>
          <w:szCs w:val="22"/>
          <w:highlight w:val="none"/>
        </w:rPr>
      </w:pPr>
      <w:r>
        <w:rPr>
          <w:rFonts w:hint="eastAsia" w:ascii="宋体" w:hAnsi="宋体" w:cs="宋体"/>
          <w:color w:val="auto"/>
          <w:sz w:val="22"/>
          <w:szCs w:val="22"/>
          <w:highlight w:val="none"/>
        </w:rPr>
        <w:t>在供货期限内，中标供应商在与采购人签署合同后，保证在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个日历天内派人送货至采购人指定地点。</w:t>
      </w:r>
    </w:p>
    <w:p w14:paraId="7C92D8F8">
      <w:pPr>
        <w:pStyle w:val="23"/>
        <w:spacing w:line="460" w:lineRule="atLeast"/>
        <w:rPr>
          <w:rFonts w:hAnsi="宋体" w:cs="宋体"/>
          <w:b/>
          <w:bCs/>
          <w:color w:val="auto"/>
          <w:sz w:val="22"/>
          <w:szCs w:val="22"/>
          <w:highlight w:val="none"/>
        </w:rPr>
      </w:pPr>
      <w:r>
        <w:rPr>
          <w:rFonts w:hint="eastAsia" w:hAnsi="宋体" w:cs="宋体"/>
          <w:color w:val="auto"/>
          <w:sz w:val="22"/>
          <w:szCs w:val="22"/>
          <w:highlight w:val="none"/>
        </w:rPr>
        <w:t>第七条：验收</w:t>
      </w:r>
    </w:p>
    <w:p w14:paraId="4409C933">
      <w:pPr>
        <w:spacing w:line="460" w:lineRule="atLeast"/>
        <w:ind w:firstLine="480"/>
        <w:rPr>
          <w:rFonts w:ascii="宋体" w:hAnsi="宋体" w:cs="宋体"/>
          <w:color w:val="auto"/>
          <w:sz w:val="22"/>
          <w:szCs w:val="22"/>
          <w:highlight w:val="none"/>
        </w:rPr>
      </w:pPr>
      <w:r>
        <w:rPr>
          <w:rFonts w:hint="eastAsia" w:ascii="宋体" w:hAnsi="宋体" w:cs="宋体"/>
          <w:color w:val="auto"/>
          <w:sz w:val="22"/>
          <w:szCs w:val="22"/>
          <w:highlight w:val="none"/>
        </w:rPr>
        <w:t>1、本项目验收程序参照温州市财政局关于印发《温州市政府采购履约验收办法》（温财采〔2020〕6号）文件执行。</w:t>
      </w:r>
    </w:p>
    <w:p w14:paraId="682ECBB1">
      <w:pPr>
        <w:spacing w:line="460" w:lineRule="atLeast"/>
        <w:ind w:firstLine="480"/>
        <w:rPr>
          <w:rFonts w:ascii="宋体" w:hAnsi="宋体" w:cs="宋体"/>
          <w:b/>
          <w:color w:val="auto"/>
          <w:sz w:val="22"/>
          <w:szCs w:val="22"/>
          <w:highlight w:val="none"/>
        </w:rPr>
      </w:pPr>
      <w:r>
        <w:rPr>
          <w:rFonts w:hint="eastAsia" w:ascii="宋体" w:hAnsi="宋体" w:cs="宋体"/>
          <w:color w:val="auto"/>
          <w:sz w:val="22"/>
          <w:szCs w:val="22"/>
          <w:highlight w:val="none"/>
        </w:rPr>
        <w:t>2、中标供应商送货至指定地点后，由采购人根据货物的技术规格要求和质量标准，对货物进行检查验收。</w:t>
      </w:r>
    </w:p>
    <w:p w14:paraId="6A5DC629">
      <w:pPr>
        <w:spacing w:line="460" w:lineRule="atLeast"/>
        <w:ind w:firstLine="480"/>
        <w:rPr>
          <w:rFonts w:ascii="宋体" w:hAnsi="宋体" w:cs="宋体"/>
          <w:b/>
          <w:color w:val="auto"/>
          <w:sz w:val="22"/>
          <w:szCs w:val="22"/>
          <w:highlight w:val="none"/>
        </w:rPr>
      </w:pPr>
      <w:r>
        <w:rPr>
          <w:rFonts w:hint="eastAsia" w:ascii="宋体" w:hAnsi="宋体" w:cs="宋体"/>
          <w:color w:val="auto"/>
          <w:sz w:val="22"/>
          <w:szCs w:val="22"/>
          <w:highlight w:val="none"/>
        </w:rPr>
        <w:t>3、货物的数量不足或表面瑕疵，采购人应在验收时当面提出；对质量问题有异议的应在安装调试后10个工作日内提出。</w:t>
      </w:r>
    </w:p>
    <w:p w14:paraId="13BC84FA">
      <w:pPr>
        <w:spacing w:line="460" w:lineRule="atLeast"/>
        <w:ind w:firstLine="480"/>
        <w:rPr>
          <w:rFonts w:ascii="宋体" w:hAnsi="宋体" w:cs="宋体"/>
          <w:b/>
          <w:color w:val="auto"/>
          <w:sz w:val="22"/>
          <w:szCs w:val="22"/>
          <w:highlight w:val="none"/>
        </w:rPr>
      </w:pPr>
      <w:r>
        <w:rPr>
          <w:rFonts w:hint="eastAsia" w:ascii="宋体" w:hAnsi="宋体" w:cs="宋体"/>
          <w:color w:val="auto"/>
          <w:sz w:val="22"/>
          <w:szCs w:val="22"/>
          <w:highlight w:val="none"/>
        </w:rPr>
        <w:t>4、在验收过程中发现数量不足或有质量、技术等问题，中标供应商应负责按照采购人的要求采取补足、更换或退货等处理措施，并承担由此发生的一切费用和损失。</w:t>
      </w:r>
    </w:p>
    <w:p w14:paraId="0606E9AE">
      <w:pPr>
        <w:spacing w:line="460" w:lineRule="atLeast"/>
        <w:ind w:firstLine="480"/>
        <w:rPr>
          <w:rFonts w:ascii="宋体" w:hAnsi="宋体" w:cs="宋体"/>
          <w:color w:val="auto"/>
          <w:sz w:val="22"/>
          <w:szCs w:val="22"/>
          <w:highlight w:val="none"/>
        </w:rPr>
      </w:pPr>
      <w:r>
        <w:rPr>
          <w:rFonts w:hint="eastAsia" w:ascii="宋体" w:hAnsi="宋体" w:cs="宋体"/>
          <w:color w:val="auto"/>
          <w:sz w:val="22"/>
          <w:szCs w:val="22"/>
          <w:highlight w:val="none"/>
        </w:rPr>
        <w:t>5、采购人在中标供应商按合同规定交货和安装、调试后，无正当理由而拖延接收、验收或拒绝接收、验收的，应承担由此而造成的中标供应商直接损失。</w:t>
      </w:r>
    </w:p>
    <w:p w14:paraId="513D0C66">
      <w:pPr>
        <w:pStyle w:val="6"/>
        <w:spacing w:line="360" w:lineRule="auto"/>
        <w:ind w:firstLine="440"/>
        <w:rPr>
          <w:rFonts w:ascii="宋体" w:eastAsia="宋体"/>
          <w:b w:val="0"/>
          <w:bCs w:val="0"/>
          <w:color w:val="auto"/>
          <w:kern w:val="2"/>
          <w:sz w:val="22"/>
          <w:szCs w:val="22"/>
          <w:highlight w:val="none"/>
        </w:rPr>
      </w:pPr>
      <w:r>
        <w:rPr>
          <w:rFonts w:hint="eastAsia" w:ascii="宋体" w:eastAsia="宋体"/>
          <w:b w:val="0"/>
          <w:bCs w:val="0"/>
          <w:color w:val="auto"/>
          <w:kern w:val="2"/>
          <w:sz w:val="22"/>
          <w:szCs w:val="22"/>
          <w:highlight w:val="none"/>
        </w:rPr>
        <w:t>6、本项目采购人将对到货设备进行严格验收，供应商投标文件偏离表中未注明偏离，但实际到货设备达不到招标文件技术要求的，做验收不通过处理，采购人有权单方面解除合同，由此造成的所有损失由中标供应商承担。</w:t>
      </w:r>
    </w:p>
    <w:p w14:paraId="47C230A7">
      <w:pPr>
        <w:pStyle w:val="23"/>
        <w:spacing w:line="460" w:lineRule="atLeast"/>
        <w:rPr>
          <w:rFonts w:hAnsi="宋体" w:cs="宋体"/>
          <w:b/>
          <w:bCs/>
          <w:color w:val="auto"/>
          <w:sz w:val="22"/>
          <w:szCs w:val="22"/>
          <w:highlight w:val="none"/>
        </w:rPr>
      </w:pPr>
      <w:r>
        <w:rPr>
          <w:rFonts w:hint="eastAsia" w:hAnsi="宋体" w:cs="宋体"/>
          <w:color w:val="auto"/>
          <w:sz w:val="22"/>
          <w:szCs w:val="22"/>
          <w:highlight w:val="none"/>
        </w:rPr>
        <w:t>第八条：售后服务</w:t>
      </w:r>
    </w:p>
    <w:p w14:paraId="4D21A026">
      <w:pPr>
        <w:pStyle w:val="23"/>
        <w:spacing w:line="460" w:lineRule="atLeast"/>
        <w:ind w:firstLine="480"/>
        <w:rPr>
          <w:rFonts w:hAnsi="宋体" w:cs="宋体"/>
          <w:b/>
          <w:color w:val="auto"/>
          <w:sz w:val="22"/>
          <w:szCs w:val="22"/>
          <w:highlight w:val="none"/>
        </w:rPr>
      </w:pPr>
      <w:r>
        <w:rPr>
          <w:rFonts w:hint="eastAsia" w:hAnsi="宋体" w:cs="宋体"/>
          <w:color w:val="auto"/>
          <w:sz w:val="22"/>
          <w:szCs w:val="22"/>
          <w:highlight w:val="none"/>
        </w:rPr>
        <w:t>中标供应商承诺售后服务按照投标承诺的服务计划实施，包括培训。</w:t>
      </w:r>
    </w:p>
    <w:p w14:paraId="40807B5E">
      <w:pPr>
        <w:pStyle w:val="23"/>
        <w:spacing w:line="460" w:lineRule="atLeast"/>
        <w:rPr>
          <w:rFonts w:hAnsi="宋体" w:cs="宋体"/>
          <w:b/>
          <w:bCs/>
          <w:color w:val="auto"/>
          <w:sz w:val="22"/>
          <w:szCs w:val="22"/>
          <w:highlight w:val="none"/>
        </w:rPr>
      </w:pPr>
      <w:r>
        <w:rPr>
          <w:rFonts w:hint="eastAsia" w:hAnsi="宋体" w:cs="宋体"/>
          <w:color w:val="auto"/>
          <w:sz w:val="22"/>
          <w:szCs w:val="22"/>
          <w:highlight w:val="none"/>
        </w:rPr>
        <w:t>第九条：履约保证金</w:t>
      </w:r>
    </w:p>
    <w:p w14:paraId="6ED03C47">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按招标文件要求</w:t>
      </w:r>
    </w:p>
    <w:p w14:paraId="1D3CDBBA">
      <w:pPr>
        <w:pStyle w:val="23"/>
        <w:spacing w:line="460" w:lineRule="atLeast"/>
        <w:rPr>
          <w:rFonts w:hAnsi="宋体" w:cs="宋体"/>
          <w:b/>
          <w:color w:val="auto"/>
          <w:sz w:val="22"/>
          <w:szCs w:val="22"/>
          <w:highlight w:val="none"/>
        </w:rPr>
      </w:pPr>
      <w:r>
        <w:rPr>
          <w:rFonts w:hint="eastAsia" w:hAnsi="宋体" w:cs="宋体"/>
          <w:color w:val="auto"/>
          <w:sz w:val="22"/>
          <w:szCs w:val="22"/>
          <w:highlight w:val="none"/>
        </w:rPr>
        <w:t>第十条：货款的支付</w:t>
      </w:r>
    </w:p>
    <w:p w14:paraId="46F0140C">
      <w:pPr>
        <w:widowControl/>
        <w:autoSpaceDE w:val="0"/>
        <w:autoSpaceDN w:val="0"/>
        <w:adjustRightInd w:val="0"/>
        <w:spacing w:line="460" w:lineRule="atLeast"/>
        <w:ind w:firstLine="440" w:firstLineChars="200"/>
        <w:textAlignment w:val="bottom"/>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按招标文件要求</w:t>
      </w:r>
    </w:p>
    <w:p w14:paraId="435F2CB4">
      <w:pPr>
        <w:pStyle w:val="23"/>
        <w:spacing w:line="460" w:lineRule="atLeast"/>
        <w:rPr>
          <w:rFonts w:hAnsi="宋体" w:cs="宋体"/>
          <w:b/>
          <w:bCs/>
          <w:color w:val="auto"/>
          <w:sz w:val="22"/>
          <w:szCs w:val="22"/>
          <w:highlight w:val="none"/>
        </w:rPr>
      </w:pPr>
      <w:r>
        <w:rPr>
          <w:rFonts w:hint="eastAsia" w:hAnsi="宋体" w:cs="宋体"/>
          <w:color w:val="auto"/>
          <w:sz w:val="22"/>
          <w:szCs w:val="22"/>
          <w:highlight w:val="none"/>
        </w:rPr>
        <w:t>第十一条：辅助服务</w:t>
      </w:r>
    </w:p>
    <w:p w14:paraId="65B38584">
      <w:pPr>
        <w:spacing w:line="460" w:lineRule="atLeast"/>
        <w:ind w:firstLine="480"/>
        <w:rPr>
          <w:rFonts w:ascii="宋体" w:hAnsi="宋体" w:cs="宋体"/>
          <w:b/>
          <w:color w:val="auto"/>
          <w:sz w:val="22"/>
          <w:szCs w:val="22"/>
          <w:highlight w:val="none"/>
        </w:rPr>
      </w:pPr>
      <w:r>
        <w:rPr>
          <w:rFonts w:hint="eastAsia" w:ascii="宋体" w:hAnsi="宋体" w:cs="宋体"/>
          <w:color w:val="auto"/>
          <w:sz w:val="22"/>
          <w:szCs w:val="22"/>
          <w:highlight w:val="none"/>
        </w:rPr>
        <w:t>中标供应商应提交所提供货物的技术文件，包括相应的每一套设备的中文技术文件，例如：产品目录、图纸、操作手册、使用说明、维护手册和/或服务指南。这些文件应包装好随同货物一起发运。</w:t>
      </w:r>
    </w:p>
    <w:p w14:paraId="1F176DCB">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中标供应商还应提供下列服务：</w:t>
      </w:r>
    </w:p>
    <w:p w14:paraId="73E80DDB">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（1）货物的现场指导安装、调试、启动监督及技术支持；</w:t>
      </w:r>
    </w:p>
    <w:p w14:paraId="6A066133">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（2）在厂家和/或项目现场就货物的指导安装、启动、运营、维护对采购人操作人员进行培训。辅助服务的费用包含在合同价中，采购人不再另行支付。</w:t>
      </w:r>
    </w:p>
    <w:p w14:paraId="4BB6E3D2">
      <w:pPr>
        <w:spacing w:line="460" w:lineRule="atLeast"/>
        <w:ind w:left="-360" w:firstLine="360"/>
        <w:rPr>
          <w:rFonts w:ascii="宋体" w:hAnsi="宋体" w:cs="宋体"/>
          <w:b/>
          <w:color w:val="auto"/>
          <w:sz w:val="22"/>
          <w:szCs w:val="22"/>
          <w:highlight w:val="none"/>
        </w:rPr>
      </w:pPr>
      <w:r>
        <w:rPr>
          <w:rFonts w:hint="eastAsia" w:ascii="宋体" w:hAnsi="宋体" w:cs="宋体"/>
          <w:color w:val="auto"/>
          <w:sz w:val="22"/>
          <w:szCs w:val="22"/>
          <w:highlight w:val="none"/>
        </w:rPr>
        <w:t>第十二条：质量保证</w:t>
      </w:r>
    </w:p>
    <w:p w14:paraId="665FDAF4">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年的质量保证期内，中标供应商应对由于设计、工艺或材料的缺陷而产生的故障负责。</w:t>
      </w:r>
    </w:p>
    <w:p w14:paraId="3249E12A">
      <w:pPr>
        <w:spacing w:line="460" w:lineRule="atLeast"/>
        <w:ind w:firstLine="385" w:firstLineChars="175"/>
        <w:rPr>
          <w:rFonts w:ascii="宋体" w:hAnsi="宋体" w:cs="宋体"/>
          <w:b/>
          <w:color w:val="auto"/>
          <w:sz w:val="22"/>
          <w:szCs w:val="22"/>
          <w:highlight w:val="none"/>
        </w:rPr>
      </w:pPr>
      <w:r>
        <w:rPr>
          <w:rFonts w:hint="eastAsia" w:ascii="宋体" w:hAnsi="宋体" w:cs="宋体"/>
          <w:color w:val="auto"/>
          <w:sz w:val="22"/>
          <w:szCs w:val="22"/>
          <w:highlight w:val="none"/>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14:paraId="1753FB9C">
      <w:pPr>
        <w:spacing w:line="460" w:lineRule="atLeast"/>
        <w:ind w:firstLine="420"/>
        <w:rPr>
          <w:rFonts w:ascii="宋体" w:hAnsi="宋体" w:cs="宋体"/>
          <w:b/>
          <w:color w:val="auto"/>
          <w:sz w:val="22"/>
          <w:szCs w:val="22"/>
          <w:highlight w:val="none"/>
        </w:rPr>
      </w:pPr>
      <w:r>
        <w:rPr>
          <w:rFonts w:hint="eastAsia" w:ascii="宋体" w:hAnsi="宋体" w:cs="宋体"/>
          <w:color w:val="auto"/>
          <w:sz w:val="22"/>
          <w:szCs w:val="22"/>
          <w:highlight w:val="none"/>
        </w:rPr>
        <w:t>中标供应商在约定的时间内未能弥补缺陷，采购人可采取必要的补救措施，但其风险和费用将由中标供应商承担，采购人根据合同规定对中标供应商行使的其他权利不受影响。</w:t>
      </w:r>
    </w:p>
    <w:p w14:paraId="77399F72">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第十三条：补救措施和索赔</w:t>
      </w:r>
    </w:p>
    <w:p w14:paraId="5613303C">
      <w:pPr>
        <w:spacing w:line="460" w:lineRule="atLeast"/>
        <w:ind w:firstLine="420"/>
        <w:rPr>
          <w:rFonts w:ascii="宋体" w:hAnsi="宋体" w:cs="宋体"/>
          <w:b/>
          <w:color w:val="auto"/>
          <w:sz w:val="22"/>
          <w:szCs w:val="22"/>
          <w:highlight w:val="none"/>
        </w:rPr>
      </w:pPr>
      <w:r>
        <w:rPr>
          <w:rFonts w:hint="eastAsia" w:ascii="宋体" w:hAnsi="宋体" w:cs="宋体"/>
          <w:color w:val="auto"/>
          <w:sz w:val="22"/>
          <w:szCs w:val="22"/>
          <w:highlight w:val="none"/>
        </w:rPr>
        <w:t>1、采购人有权根据权威质量检测部门出具的检验报告向中标供应商提出索赔。</w:t>
      </w:r>
    </w:p>
    <w:p w14:paraId="3D09D92B">
      <w:pPr>
        <w:spacing w:line="460" w:lineRule="atLeast"/>
        <w:ind w:firstLine="420"/>
        <w:rPr>
          <w:rFonts w:ascii="宋体" w:hAnsi="宋体" w:cs="宋体"/>
          <w:b/>
          <w:color w:val="auto"/>
          <w:sz w:val="22"/>
          <w:szCs w:val="22"/>
          <w:highlight w:val="none"/>
        </w:rPr>
      </w:pPr>
      <w:r>
        <w:rPr>
          <w:rFonts w:hint="eastAsia" w:ascii="宋体" w:hAnsi="宋体" w:cs="宋体"/>
          <w:color w:val="auto"/>
          <w:sz w:val="22"/>
          <w:szCs w:val="22"/>
          <w:highlight w:val="none"/>
        </w:rPr>
        <w:t>2、在质量保证期内，如果中标供应商对缺陷产品负有责任而采购人提出索赔，中标供应商应按照采购人同意的下列一种或多种方式解决索赔事宜，并且采购人可以收取中标供应商合同总价20%的违约金：</w:t>
      </w:r>
    </w:p>
    <w:p w14:paraId="30D91796">
      <w:pPr>
        <w:spacing w:line="460" w:lineRule="atLeas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（1） 中标供应商退货并将货款退还给采购人，由此发生的一切费用和损失由中标供应商承担。</w:t>
      </w:r>
    </w:p>
    <w:p w14:paraId="65AEE446">
      <w:pPr>
        <w:spacing w:line="460" w:lineRule="atLeas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（2） 根据货物的质量状况以及采购人所遭受的损失，经过采购人及中标供应商商定降低货物的价格。</w:t>
      </w:r>
    </w:p>
    <w:p w14:paraId="26BCA2C0">
      <w:pPr>
        <w:spacing w:line="460" w:lineRule="atLeas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14:paraId="34981B05">
      <w:pPr>
        <w:spacing w:line="460" w:lineRule="atLeas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的损失的，采购人有权进一步要求中标供应商赔偿。</w:t>
      </w:r>
    </w:p>
    <w:p w14:paraId="66D9F724">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第十四条：履约延误</w:t>
      </w:r>
    </w:p>
    <w:p w14:paraId="19D33F65">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1、中标供应商应按照《合同》规定的时间、地点交货和提供服务。</w:t>
      </w:r>
    </w:p>
    <w:p w14:paraId="4AAEC434">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14:paraId="7CF57B7C">
      <w:pPr>
        <w:spacing w:line="460" w:lineRule="atLeast"/>
        <w:ind w:firstLine="440" w:firstLineChars="200"/>
        <w:rPr>
          <w:rFonts w:ascii="宋体" w:hAnsi="宋体" w:cs="宋体"/>
          <w:color w:val="auto"/>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如不能按时交货，每延长7天交货期，将按合同总价的0.5%作为罚金，从未付款款项中扣除</w:t>
      </w:r>
      <w:r>
        <w:rPr>
          <w:rFonts w:hint="eastAsia" w:ascii="宋体" w:hAnsi="宋体" w:cs="宋体"/>
          <w:color w:val="auto"/>
          <w:sz w:val="22"/>
          <w:szCs w:val="22"/>
          <w:highlight w:val="none"/>
        </w:rPr>
        <w:t>。</w:t>
      </w:r>
    </w:p>
    <w:p w14:paraId="32295AA8">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 xml:space="preserve"> 第十五条：不可抗力</w:t>
      </w:r>
    </w:p>
    <w:p w14:paraId="32A83137">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1、如果合同各方因不可抗力而导致合同实施延误或不能履行合同义务的话，不应该承担误期赔偿或不能履行合同义务的责任。</w:t>
      </w:r>
    </w:p>
    <w:p w14:paraId="18B83377">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14:paraId="1A656441">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36EDD742">
      <w:pPr>
        <w:pStyle w:val="23"/>
        <w:spacing w:line="460" w:lineRule="atLeast"/>
        <w:rPr>
          <w:rFonts w:hAnsi="宋体" w:cs="宋体"/>
          <w:b/>
          <w:bCs/>
          <w:color w:val="auto"/>
          <w:sz w:val="22"/>
          <w:szCs w:val="22"/>
          <w:highlight w:val="none"/>
        </w:rPr>
      </w:pPr>
      <w:r>
        <w:rPr>
          <w:rFonts w:hint="eastAsia" w:hAnsi="宋体" w:cs="宋体"/>
          <w:color w:val="auto"/>
          <w:sz w:val="22"/>
          <w:szCs w:val="22"/>
          <w:highlight w:val="none"/>
        </w:rPr>
        <w:t>第十六条：争议的解决</w:t>
      </w:r>
    </w:p>
    <w:p w14:paraId="273ED20E">
      <w:pPr>
        <w:pStyle w:val="23"/>
        <w:spacing w:line="460" w:lineRule="atLeast"/>
        <w:ind w:firstLine="480"/>
        <w:rPr>
          <w:rFonts w:hAnsi="宋体" w:cs="宋体"/>
          <w:b/>
          <w:color w:val="auto"/>
          <w:sz w:val="22"/>
          <w:szCs w:val="22"/>
          <w:highlight w:val="none"/>
        </w:rPr>
      </w:pPr>
      <w:r>
        <w:rPr>
          <w:rFonts w:hint="eastAsia" w:hAnsi="宋体" w:cs="宋体"/>
          <w:color w:val="auto"/>
          <w:sz w:val="22"/>
          <w:szCs w:val="22"/>
          <w:highlight w:val="none"/>
        </w:rPr>
        <w:t>在发生所供商品的质量、售后服务等问题时，采购人有权直接向中标供应商索赔，签订必要的书面处理合同。协商不能解决的，任何一方有权在采购人所在地选择诉讼的途径解决。</w:t>
      </w:r>
    </w:p>
    <w:p w14:paraId="32808112">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第十七条：违约处理</w:t>
      </w:r>
    </w:p>
    <w:p w14:paraId="362ADE02">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1、在采购人对中标供应商违约而采取的任何补救措施不受影响的情况下，采购人可在下列情况下向中标供应商发出书面通知书，提出终止部分或全部合同。</w:t>
      </w:r>
    </w:p>
    <w:p w14:paraId="30F26661">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（1）中标供应商提供的产品质量、配置不符合国家规定和承诺的标准；</w:t>
      </w:r>
    </w:p>
    <w:p w14:paraId="33DC6C90">
      <w:pPr>
        <w:spacing w:line="460" w:lineRule="atLeast"/>
        <w:ind w:firstLine="360"/>
        <w:rPr>
          <w:rFonts w:ascii="宋体" w:hAnsi="宋体" w:cs="宋体"/>
          <w:b/>
          <w:color w:val="auto"/>
          <w:sz w:val="22"/>
          <w:szCs w:val="22"/>
          <w:highlight w:val="none"/>
        </w:rPr>
      </w:pPr>
      <w:r>
        <w:rPr>
          <w:rFonts w:hint="eastAsia" w:ascii="宋体" w:hAnsi="宋体" w:cs="宋体"/>
          <w:color w:val="auto"/>
          <w:sz w:val="22"/>
          <w:szCs w:val="22"/>
          <w:highlight w:val="none"/>
        </w:rPr>
        <w:t>（2）中标供应商没有按承诺的时间供货、维修或提供其他服务；</w:t>
      </w:r>
    </w:p>
    <w:p w14:paraId="24A4BD16">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（3）中标供应商没有按承诺的价格或优惠率签订合同并供货；</w:t>
      </w:r>
    </w:p>
    <w:p w14:paraId="24D91CFF">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14:paraId="215B3112">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第十八条：合同转让和分包</w:t>
      </w:r>
    </w:p>
    <w:p w14:paraId="7149F3B9">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除采购人事先书面同意外，中标供应商不得转让和分包其应履行的合同义务。</w:t>
      </w:r>
    </w:p>
    <w:p w14:paraId="66064E95">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第十九条：合同生效</w:t>
      </w:r>
    </w:p>
    <w:p w14:paraId="538D5447">
      <w:pPr>
        <w:pStyle w:val="23"/>
        <w:spacing w:line="460" w:lineRule="atLeast"/>
        <w:ind w:firstLine="480"/>
        <w:rPr>
          <w:rFonts w:hAnsi="宋体" w:cs="宋体"/>
          <w:b/>
          <w:color w:val="auto"/>
          <w:sz w:val="22"/>
          <w:szCs w:val="22"/>
          <w:highlight w:val="none"/>
        </w:rPr>
      </w:pPr>
      <w:r>
        <w:rPr>
          <w:rFonts w:hint="eastAsia" w:hAnsi="宋体" w:cs="宋体"/>
          <w:color w:val="auto"/>
          <w:sz w:val="22"/>
          <w:szCs w:val="22"/>
          <w:highlight w:val="none"/>
        </w:rPr>
        <w:t>1、如上述文件与本合同有不符之处，以有利于采购人的为准。</w:t>
      </w:r>
    </w:p>
    <w:p w14:paraId="56261805">
      <w:pPr>
        <w:pStyle w:val="23"/>
        <w:spacing w:line="460" w:lineRule="atLeast"/>
        <w:ind w:firstLine="480"/>
        <w:rPr>
          <w:rFonts w:hAnsi="宋体" w:cs="宋体"/>
          <w:b/>
          <w:color w:val="auto"/>
          <w:sz w:val="22"/>
          <w:szCs w:val="22"/>
          <w:highlight w:val="none"/>
        </w:rPr>
      </w:pPr>
      <w:r>
        <w:rPr>
          <w:rFonts w:hint="eastAsia" w:hAnsi="宋体" w:cs="宋体"/>
          <w:color w:val="auto"/>
          <w:sz w:val="22"/>
          <w:szCs w:val="22"/>
          <w:highlight w:val="none"/>
        </w:rPr>
        <w:t>2、</w:t>
      </w:r>
      <w:r>
        <w:rPr>
          <w:rFonts w:hint="eastAsia" w:hAnsi="宋体" w:cs="宋体"/>
          <w:color w:val="auto"/>
          <w:sz w:val="22"/>
          <w:szCs w:val="22"/>
          <w:highlight w:val="none"/>
          <w:u w:val="single"/>
        </w:rPr>
        <w:t>本合同经双方法定代表人或授权代表签署，采购人及中标供应商加盖印章后生效。</w:t>
      </w:r>
    </w:p>
    <w:p w14:paraId="4948C870">
      <w:pPr>
        <w:spacing w:line="460" w:lineRule="atLeast"/>
        <w:rPr>
          <w:rFonts w:ascii="宋体" w:hAnsi="宋体" w:cs="宋体"/>
          <w:b/>
          <w:bCs/>
          <w:color w:val="auto"/>
          <w:sz w:val="22"/>
          <w:szCs w:val="22"/>
          <w:highlight w:val="none"/>
        </w:rPr>
      </w:pPr>
      <w:r>
        <w:rPr>
          <w:rFonts w:hint="eastAsia" w:ascii="宋体" w:hAnsi="宋体" w:cs="宋体"/>
          <w:color w:val="auto"/>
          <w:sz w:val="22"/>
          <w:szCs w:val="22"/>
          <w:highlight w:val="none"/>
        </w:rPr>
        <w:t>第二十条：合同修改</w:t>
      </w:r>
    </w:p>
    <w:p w14:paraId="249AF023">
      <w:pPr>
        <w:spacing w:line="460" w:lineRule="atLeast"/>
        <w:ind w:firstLine="480"/>
        <w:rPr>
          <w:rFonts w:ascii="宋体" w:hAnsi="宋体" w:cs="宋体"/>
          <w:b/>
          <w:color w:val="auto"/>
          <w:sz w:val="22"/>
          <w:szCs w:val="22"/>
          <w:highlight w:val="none"/>
        </w:rPr>
      </w:pPr>
      <w:r>
        <w:rPr>
          <w:rFonts w:hint="eastAsia" w:ascii="宋体" w:hAnsi="宋体" w:cs="宋体"/>
          <w:color w:val="auto"/>
          <w:sz w:val="22"/>
          <w:szCs w:val="22"/>
          <w:highlight w:val="none"/>
        </w:rPr>
        <w:t>除了双方签署书面修改合同，并成为本合同不可分割的一部分之外，本合同条件不得有任何变化或修改。</w:t>
      </w:r>
    </w:p>
    <w:p w14:paraId="5D57378D">
      <w:pPr>
        <w:pStyle w:val="23"/>
        <w:spacing w:line="460" w:lineRule="atLeast"/>
        <w:rPr>
          <w:rFonts w:hAnsi="宋体" w:cs="宋体"/>
          <w:b/>
          <w:bCs/>
          <w:color w:val="auto"/>
          <w:sz w:val="22"/>
          <w:szCs w:val="22"/>
          <w:highlight w:val="none"/>
        </w:rPr>
      </w:pPr>
      <w:r>
        <w:rPr>
          <w:rFonts w:hint="eastAsia" w:hAnsi="宋体" w:cs="宋体"/>
          <w:color w:val="auto"/>
          <w:sz w:val="22"/>
          <w:szCs w:val="22"/>
          <w:highlight w:val="none"/>
        </w:rPr>
        <w:t>第二十一条 合同附件</w:t>
      </w:r>
    </w:p>
    <w:p w14:paraId="480863A8">
      <w:pPr>
        <w:spacing w:line="460" w:lineRule="atLeast"/>
        <w:rPr>
          <w:rFonts w:ascii="宋体" w:hAnsi="宋体" w:cs="宋体"/>
          <w:b/>
          <w:color w:val="auto"/>
          <w:sz w:val="22"/>
          <w:szCs w:val="22"/>
          <w:highlight w:val="none"/>
        </w:rPr>
      </w:pPr>
      <w:r>
        <w:rPr>
          <w:rFonts w:hint="eastAsia" w:ascii="宋体" w:hAnsi="宋体" w:cs="宋体"/>
          <w:color w:val="auto"/>
          <w:sz w:val="22"/>
          <w:szCs w:val="22"/>
          <w:highlight w:val="none"/>
        </w:rPr>
        <w:t xml:space="preserve">    下列文件与本合同具有同等法律效力：</w:t>
      </w:r>
    </w:p>
    <w:p w14:paraId="01C0CC26">
      <w:pPr>
        <w:spacing w:line="460" w:lineRule="atLeast"/>
        <w:ind w:firstLine="431" w:firstLineChars="196"/>
        <w:rPr>
          <w:rFonts w:ascii="宋体" w:hAnsi="宋体" w:cs="宋体"/>
          <w:b/>
          <w:color w:val="auto"/>
          <w:sz w:val="22"/>
          <w:szCs w:val="22"/>
          <w:highlight w:val="none"/>
        </w:rPr>
      </w:pPr>
      <w:r>
        <w:rPr>
          <w:rFonts w:hint="eastAsia" w:ascii="宋体" w:hAnsi="宋体" w:cs="宋体"/>
          <w:color w:val="auto"/>
          <w:sz w:val="22"/>
          <w:szCs w:val="22"/>
          <w:highlight w:val="none"/>
        </w:rPr>
        <w:t>1、采购人的招标文件与招标补充文件；</w:t>
      </w:r>
    </w:p>
    <w:p w14:paraId="4FD486E2">
      <w:pPr>
        <w:spacing w:line="460" w:lineRule="atLeast"/>
        <w:ind w:firstLine="431" w:firstLineChars="196"/>
        <w:rPr>
          <w:rFonts w:ascii="宋体" w:hAnsi="宋体" w:cs="宋体"/>
          <w:b/>
          <w:color w:val="auto"/>
          <w:sz w:val="22"/>
          <w:szCs w:val="22"/>
          <w:highlight w:val="none"/>
        </w:rPr>
      </w:pPr>
      <w:r>
        <w:rPr>
          <w:rFonts w:hint="eastAsia" w:ascii="宋体" w:hAnsi="宋体" w:cs="宋体"/>
          <w:color w:val="auto"/>
          <w:sz w:val="22"/>
          <w:szCs w:val="22"/>
          <w:highlight w:val="none"/>
        </w:rPr>
        <w:t>2、中标供应商投标文件；</w:t>
      </w:r>
    </w:p>
    <w:p w14:paraId="1B549C71">
      <w:pPr>
        <w:pStyle w:val="23"/>
        <w:spacing w:line="460" w:lineRule="atLeast"/>
        <w:ind w:firstLine="323" w:firstLineChars="147"/>
        <w:rPr>
          <w:rFonts w:hAnsi="宋体" w:cs="宋体"/>
          <w:b/>
          <w:color w:val="auto"/>
          <w:sz w:val="22"/>
          <w:szCs w:val="22"/>
          <w:highlight w:val="none"/>
        </w:rPr>
      </w:pPr>
      <w:r>
        <w:rPr>
          <w:rFonts w:hint="eastAsia" w:hAnsi="宋体" w:cs="宋体"/>
          <w:color w:val="auto"/>
          <w:sz w:val="22"/>
          <w:szCs w:val="22"/>
          <w:highlight w:val="none"/>
        </w:rPr>
        <w:t xml:space="preserve"> 3、询标纪要和承诺书。</w:t>
      </w:r>
    </w:p>
    <w:p w14:paraId="1BE1F558">
      <w:pPr>
        <w:spacing w:line="460" w:lineRule="atLeas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4、中标通知书</w:t>
      </w:r>
    </w:p>
    <w:p w14:paraId="44347924">
      <w:pPr>
        <w:pStyle w:val="23"/>
        <w:spacing w:line="460" w:lineRule="atLeast"/>
        <w:ind w:firstLine="325" w:firstLineChars="147"/>
        <w:rPr>
          <w:rFonts w:hAnsi="宋体" w:cs="宋体"/>
          <w:b/>
          <w:color w:val="auto"/>
          <w:sz w:val="22"/>
          <w:szCs w:val="22"/>
          <w:highlight w:val="none"/>
        </w:rPr>
      </w:pPr>
    </w:p>
    <w:p w14:paraId="085D5FE6">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采购人1：（印章）                     供应商：（印章）</w:t>
      </w:r>
    </w:p>
    <w:p w14:paraId="6BBEE00E">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地址：                                 地址：</w:t>
      </w:r>
    </w:p>
    <w:p w14:paraId="6F0E5390">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法定代表人（签名或盖章）：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法定代表人：（签名或盖章）：</w:t>
      </w:r>
    </w:p>
    <w:p w14:paraId="1F633461">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委托代理人（签名或盖章）：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委托代理人（签名或盖章）：</w:t>
      </w:r>
    </w:p>
    <w:p w14:paraId="5445FC57">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联系人：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联系人： </w:t>
      </w:r>
    </w:p>
    <w:p w14:paraId="5880D27C">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电话：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电话：</w:t>
      </w:r>
    </w:p>
    <w:p w14:paraId="10F044E6">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传真：                                  传真：</w:t>
      </w:r>
    </w:p>
    <w:p w14:paraId="4931BA06">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开户银行：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开户银行：</w:t>
      </w:r>
    </w:p>
    <w:p w14:paraId="5E1C54A8">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银行账号：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银行账号：</w:t>
      </w:r>
    </w:p>
    <w:p w14:paraId="61B8AADB">
      <w:pPr>
        <w:spacing w:line="360" w:lineRule="auto"/>
        <w:ind w:left="688" w:leftChars="275" w:hanging="110" w:hangingChars="50"/>
        <w:rPr>
          <w:rFonts w:ascii="宋体" w:hAnsi="宋体" w:cs="宋体"/>
          <w:color w:val="auto"/>
          <w:sz w:val="22"/>
          <w:szCs w:val="22"/>
          <w:highlight w:val="none"/>
        </w:rPr>
      </w:pPr>
      <w:r>
        <w:rPr>
          <w:rFonts w:hint="eastAsia" w:ascii="宋体" w:hAnsi="宋体" w:cs="宋体"/>
          <w:color w:val="auto"/>
          <w:sz w:val="22"/>
          <w:szCs w:val="22"/>
          <w:highlight w:val="none"/>
        </w:rPr>
        <w:t xml:space="preserve">_________年____月____日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_______年____月____日</w:t>
      </w:r>
    </w:p>
    <w:p w14:paraId="70162C1D">
      <w:pPr>
        <w:pStyle w:val="39"/>
        <w:jc w:val="both"/>
        <w:rPr>
          <w:rFonts w:ascii="宋体" w:hAnsi="宋体" w:cs="宋体"/>
          <w:color w:val="auto"/>
          <w:sz w:val="30"/>
          <w:szCs w:val="30"/>
          <w:highlight w:val="none"/>
        </w:rPr>
      </w:pPr>
    </w:p>
    <w:p w14:paraId="550AD730">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采购人2：（印章）                    </w:t>
      </w:r>
    </w:p>
    <w:p w14:paraId="13E284C1">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地址：</w:t>
      </w:r>
    </w:p>
    <w:p w14:paraId="16094DD8">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法定代表人（签名或盖章）：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w:t>
      </w:r>
    </w:p>
    <w:p w14:paraId="0F7D2DBE">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委托代理人（签名或盖章）：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w:t>
      </w:r>
    </w:p>
    <w:p w14:paraId="213644F4">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联系人：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w:t>
      </w:r>
    </w:p>
    <w:p w14:paraId="6DC6F269">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电话：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w:t>
      </w:r>
    </w:p>
    <w:p w14:paraId="04C8550D">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传真：                                 </w:t>
      </w:r>
    </w:p>
    <w:p w14:paraId="15043EB0">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开户银行：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w:t>
      </w:r>
    </w:p>
    <w:p w14:paraId="01ABAD8F">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银行账号：                      </w:t>
      </w:r>
      <w:r>
        <w:rPr>
          <w:rFonts w:hint="eastAsia" w:ascii="宋体" w:hAnsi="宋体" w:cs="宋体"/>
          <w:color w:val="auto"/>
          <w:sz w:val="22"/>
          <w:szCs w:val="22"/>
          <w:highlight w:val="none"/>
        </w:rPr>
        <w:tab/>
      </w:r>
      <w:r>
        <w:rPr>
          <w:rFonts w:hint="eastAsia" w:ascii="宋体" w:hAnsi="宋体" w:cs="宋体"/>
          <w:color w:val="auto"/>
          <w:sz w:val="22"/>
          <w:szCs w:val="22"/>
          <w:highlight w:val="none"/>
        </w:rPr>
        <w:t xml:space="preserve">    </w:t>
      </w:r>
    </w:p>
    <w:p w14:paraId="55806AA0">
      <w:pPr>
        <w:rPr>
          <w:color w:val="auto"/>
          <w:highlight w:val="none"/>
        </w:rPr>
        <w:sectPr>
          <w:headerReference r:id="rId10" w:type="default"/>
          <w:footerReference r:id="rId11" w:type="default"/>
          <w:pgSz w:w="11906" w:h="16838"/>
          <w:pgMar w:top="1440" w:right="1701" w:bottom="1440" w:left="1701" w:header="851" w:footer="992" w:gutter="0"/>
          <w:cols w:space="720" w:num="1"/>
          <w:docGrid w:linePitch="312" w:charSpace="0"/>
        </w:sectPr>
      </w:pPr>
      <w:r>
        <w:rPr>
          <w:rFonts w:hint="eastAsia" w:ascii="宋体" w:hAnsi="宋体" w:cs="宋体"/>
          <w:color w:val="auto"/>
          <w:sz w:val="22"/>
          <w:szCs w:val="22"/>
          <w:highlight w:val="none"/>
        </w:rPr>
        <w:t xml:space="preserve">_________年____月____日 </w:t>
      </w:r>
    </w:p>
    <w:p w14:paraId="6528491D">
      <w:pPr>
        <w:pStyle w:val="39"/>
        <w:rPr>
          <w:rFonts w:ascii="宋体" w:hAnsi="宋体" w:cs="宋体"/>
          <w:color w:val="auto"/>
          <w:sz w:val="30"/>
          <w:szCs w:val="30"/>
          <w:highlight w:val="none"/>
        </w:rPr>
      </w:pPr>
      <w:bookmarkStart w:id="107" w:name="_Toc21992"/>
      <w:r>
        <w:rPr>
          <w:rFonts w:hint="eastAsia" w:ascii="宋体" w:hAnsi="宋体" w:cs="宋体"/>
          <w:color w:val="auto"/>
          <w:sz w:val="30"/>
          <w:szCs w:val="30"/>
          <w:highlight w:val="none"/>
        </w:rPr>
        <w:t>第六部分 投标文件格式</w:t>
      </w:r>
      <w:bookmarkEnd w:id="104"/>
      <w:bookmarkEnd w:id="105"/>
      <w:bookmarkEnd w:id="107"/>
    </w:p>
    <w:bookmarkEnd w:id="106"/>
    <w:p w14:paraId="5676C4F1">
      <w:pPr>
        <w:pStyle w:val="39"/>
        <w:rPr>
          <w:rFonts w:ascii="宋体" w:hAnsi="宋体" w:cs="宋体"/>
          <w:color w:val="auto"/>
          <w:highlight w:val="none"/>
        </w:rPr>
      </w:pPr>
      <w:bookmarkStart w:id="108" w:name="_Toc96970922"/>
      <w:bookmarkStart w:id="109" w:name="_Toc42678689"/>
      <w:bookmarkStart w:id="110" w:name="_Toc65830018"/>
      <w:bookmarkStart w:id="111" w:name="_Toc65590090"/>
      <w:bookmarkStart w:id="112" w:name="_Toc3026"/>
      <w:bookmarkStart w:id="113" w:name="_Toc496116282"/>
      <w:bookmarkStart w:id="114" w:name="_Toc498343176"/>
      <w:bookmarkStart w:id="115" w:name="_Toc161563051"/>
      <w:bookmarkStart w:id="116" w:name="_Toc293038733"/>
      <w:r>
        <w:rPr>
          <w:rFonts w:hint="eastAsia" w:ascii="宋体" w:hAnsi="宋体" w:cs="宋体"/>
          <w:color w:val="auto"/>
          <w:highlight w:val="none"/>
        </w:rPr>
        <w:t>一、资格文件部分格式</w:t>
      </w:r>
      <w:bookmarkEnd w:id="108"/>
      <w:bookmarkEnd w:id="109"/>
      <w:bookmarkEnd w:id="110"/>
      <w:bookmarkEnd w:id="111"/>
      <w:bookmarkEnd w:id="112"/>
    </w:p>
    <w:p w14:paraId="495928B7">
      <w:pPr>
        <w:widowControl/>
        <w:spacing w:line="460" w:lineRule="atLeast"/>
        <w:jc w:val="left"/>
        <w:rPr>
          <w:rFonts w:asciiTheme="majorEastAsia" w:hAnsiTheme="majorEastAsia" w:eastAsiaTheme="majorEastAsia"/>
          <w:b/>
          <w:sz w:val="22"/>
          <w:szCs w:val="22"/>
        </w:rPr>
      </w:pPr>
      <w:bookmarkStart w:id="117" w:name="_Toc5132"/>
      <w:r>
        <w:rPr>
          <w:rFonts w:hint="eastAsia" w:asciiTheme="majorEastAsia" w:hAnsiTheme="majorEastAsia" w:eastAsiaTheme="majorEastAsia"/>
          <w:b/>
          <w:sz w:val="22"/>
          <w:szCs w:val="22"/>
        </w:rPr>
        <w:t>附件一</w:t>
      </w:r>
    </w:p>
    <w:p w14:paraId="07A07565">
      <w:pPr>
        <w:pStyle w:val="39"/>
        <w:rPr>
          <w:rFonts w:cs="宋体" w:asciiTheme="majorEastAsia" w:hAnsiTheme="majorEastAsia" w:eastAsiaTheme="majorEastAsia"/>
          <w:lang w:val="zh-CN"/>
        </w:rPr>
      </w:pPr>
      <w:bookmarkStart w:id="118" w:name="_Toc23773"/>
      <w:r>
        <w:rPr>
          <w:rFonts w:hint="eastAsia" w:cs="宋体" w:asciiTheme="majorEastAsia" w:hAnsiTheme="majorEastAsia" w:eastAsiaTheme="majorEastAsia"/>
          <w:lang w:val="zh-CN"/>
        </w:rPr>
        <w:t>资格条件承诺函</w:t>
      </w:r>
      <w:bookmarkEnd w:id="118"/>
    </w:p>
    <w:p w14:paraId="60FD1C58">
      <w:pPr>
        <w:spacing w:line="420" w:lineRule="exact"/>
        <w:rPr>
          <w:rFonts w:hint="default" w:ascii="宋体" w:hAnsi="宋体" w:eastAsia="宋体"/>
          <w:sz w:val="22"/>
          <w:szCs w:val="22"/>
          <w:lang w:val="en-US" w:eastAsia="zh-CN"/>
        </w:rPr>
      </w:pPr>
      <w:r>
        <w:rPr>
          <w:rFonts w:hint="eastAsia" w:ascii="宋体" w:hAnsi="宋体"/>
          <w:sz w:val="22"/>
          <w:szCs w:val="22"/>
          <w:lang w:val="en-US" w:eastAsia="zh-CN"/>
        </w:rPr>
        <w:t>永嘉县人民医院：</w:t>
      </w:r>
    </w:p>
    <w:p w14:paraId="7705F748">
      <w:pPr>
        <w:spacing w:line="420" w:lineRule="exact"/>
        <w:rPr>
          <w:rFonts w:ascii="宋体" w:hAnsi="宋体"/>
          <w:sz w:val="22"/>
          <w:szCs w:val="22"/>
        </w:rPr>
      </w:pPr>
      <w:r>
        <w:rPr>
          <w:rFonts w:hint="eastAsia" w:ascii="宋体" w:hAnsi="宋体"/>
          <w:sz w:val="22"/>
          <w:szCs w:val="22"/>
        </w:rPr>
        <w:t>永嘉县中医医院：</w:t>
      </w:r>
    </w:p>
    <w:p w14:paraId="1DC54E99">
      <w:pPr>
        <w:spacing w:line="420" w:lineRule="exact"/>
        <w:rPr>
          <w:rFonts w:ascii="新宋体" w:hAnsi="新宋体" w:eastAsia="新宋体" w:cs="新宋体"/>
          <w:sz w:val="22"/>
          <w:szCs w:val="22"/>
        </w:rPr>
      </w:pPr>
      <w:r>
        <w:rPr>
          <w:rFonts w:hint="eastAsia" w:ascii="宋体" w:hAnsi="宋体"/>
          <w:sz w:val="22"/>
          <w:szCs w:val="22"/>
        </w:rPr>
        <w:t>温州市中概工程管理咨询有限公司：</w:t>
      </w:r>
    </w:p>
    <w:p w14:paraId="19914C75">
      <w:pPr>
        <w:shd w:val="clear" w:color="auto" w:fill="FFFFFF"/>
        <w:snapToGrid w:val="0"/>
        <w:spacing w:line="440" w:lineRule="exact"/>
        <w:rPr>
          <w:rFonts w:ascii="宋体" w:hAnsi="宋体" w:cs="宋体"/>
          <w:sz w:val="22"/>
          <w:szCs w:val="22"/>
        </w:rPr>
      </w:pPr>
    </w:p>
    <w:p w14:paraId="0842E14B">
      <w:pPr>
        <w:widowControl/>
        <w:spacing w:line="440" w:lineRule="exact"/>
        <w:ind w:firstLine="440" w:firstLineChars="200"/>
        <w:rPr>
          <w:rFonts w:ascii="宋体" w:hAnsi="宋体" w:cs="宋体"/>
          <w:sz w:val="22"/>
          <w:szCs w:val="22"/>
        </w:rPr>
      </w:pPr>
      <w:r>
        <w:rPr>
          <w:rFonts w:hint="eastAsia" w:ascii="宋体" w:hAnsi="宋体" w:cs="宋体"/>
          <w:sz w:val="22"/>
          <w:szCs w:val="22"/>
        </w:rPr>
        <w:t>我方参与</w:t>
      </w:r>
      <w:r>
        <w:rPr>
          <w:rFonts w:hint="eastAsia" w:ascii="宋体" w:hAnsi="宋体" w:cs="宋体"/>
          <w:sz w:val="22"/>
          <w:szCs w:val="22"/>
          <w:u w:val="single"/>
        </w:rPr>
        <w:t xml:space="preserve">                          </w:t>
      </w:r>
      <w:r>
        <w:rPr>
          <w:rFonts w:hint="eastAsia" w:ascii="宋体" w:hAnsi="宋体" w:cs="宋体"/>
          <w:sz w:val="22"/>
          <w:szCs w:val="22"/>
        </w:rPr>
        <w:t>（采购项目名称、编号）项目投标，现郑重承诺：</w:t>
      </w:r>
    </w:p>
    <w:p w14:paraId="4944AF35">
      <w:pPr>
        <w:widowControl/>
        <w:spacing w:line="440" w:lineRule="exact"/>
        <w:ind w:firstLine="440" w:firstLineChars="200"/>
        <w:rPr>
          <w:rFonts w:ascii="宋体" w:hAnsi="宋体" w:cs="宋体"/>
          <w:sz w:val="22"/>
          <w:szCs w:val="22"/>
        </w:rPr>
      </w:pPr>
      <w:r>
        <w:rPr>
          <w:rFonts w:hint="eastAsia" w:ascii="宋体" w:hAnsi="宋体" w:cs="宋体"/>
          <w:sz w:val="22"/>
          <w:szCs w:val="22"/>
        </w:rPr>
        <w:t>1.我方符合《中华人民共和国政府采购法》第二十二条规定的资格条件，即</w:t>
      </w:r>
    </w:p>
    <w:p w14:paraId="6969FC1D">
      <w:pPr>
        <w:widowControl/>
        <w:snapToGrid w:val="0"/>
        <w:spacing w:line="440" w:lineRule="exact"/>
        <w:ind w:left="420" w:leftChars="200"/>
        <w:jc w:val="left"/>
        <w:rPr>
          <w:rFonts w:ascii="宋体" w:hAnsi="宋体" w:cs="宋体"/>
          <w:kern w:val="0"/>
          <w:sz w:val="22"/>
          <w:szCs w:val="22"/>
        </w:rPr>
      </w:pPr>
      <w:r>
        <w:rPr>
          <w:rFonts w:hint="eastAsia" w:ascii="宋体" w:hAnsi="宋体" w:cs="宋体"/>
          <w:kern w:val="0"/>
          <w:sz w:val="22"/>
          <w:szCs w:val="22"/>
        </w:rPr>
        <w:t>（1）我方具有独立承担民事责任的能力；</w:t>
      </w:r>
    </w:p>
    <w:p w14:paraId="28A1C990">
      <w:pPr>
        <w:widowControl/>
        <w:snapToGrid w:val="0"/>
        <w:spacing w:line="440" w:lineRule="exact"/>
        <w:ind w:left="420" w:leftChars="200"/>
        <w:jc w:val="left"/>
        <w:rPr>
          <w:rFonts w:ascii="宋体" w:hAnsi="宋体" w:cs="宋体"/>
          <w:kern w:val="0"/>
          <w:sz w:val="22"/>
          <w:szCs w:val="22"/>
        </w:rPr>
      </w:pPr>
      <w:r>
        <w:rPr>
          <w:rFonts w:hint="eastAsia" w:ascii="宋体" w:hAnsi="宋体" w:cs="宋体"/>
          <w:kern w:val="0"/>
          <w:sz w:val="22"/>
          <w:szCs w:val="22"/>
        </w:rPr>
        <w:t>（2）我方具有良好的商业信誉和健全的财务会计制度；</w:t>
      </w:r>
    </w:p>
    <w:p w14:paraId="3DF212B5">
      <w:pPr>
        <w:widowControl/>
        <w:snapToGrid w:val="0"/>
        <w:spacing w:line="440" w:lineRule="exact"/>
        <w:ind w:left="420" w:leftChars="200"/>
        <w:jc w:val="left"/>
        <w:rPr>
          <w:rFonts w:ascii="宋体" w:hAnsi="宋体" w:cs="宋体"/>
          <w:kern w:val="0"/>
          <w:sz w:val="22"/>
          <w:szCs w:val="22"/>
        </w:rPr>
      </w:pPr>
      <w:r>
        <w:rPr>
          <w:rFonts w:hint="eastAsia" w:ascii="宋体" w:hAnsi="宋体" w:cs="宋体"/>
          <w:kern w:val="0"/>
          <w:sz w:val="22"/>
          <w:szCs w:val="22"/>
        </w:rPr>
        <w:t>（3）我方具有履行合同所必需的设备和专业技术能力；</w:t>
      </w:r>
    </w:p>
    <w:p w14:paraId="49BED654">
      <w:pPr>
        <w:widowControl/>
        <w:snapToGrid w:val="0"/>
        <w:spacing w:line="440" w:lineRule="exact"/>
        <w:ind w:left="420" w:leftChars="200"/>
        <w:jc w:val="left"/>
        <w:rPr>
          <w:rFonts w:ascii="宋体" w:hAnsi="宋体" w:cs="宋体"/>
          <w:kern w:val="0"/>
          <w:sz w:val="22"/>
          <w:szCs w:val="22"/>
        </w:rPr>
      </w:pPr>
      <w:r>
        <w:rPr>
          <w:rFonts w:hint="eastAsia" w:ascii="宋体" w:hAnsi="宋体" w:cs="宋体"/>
          <w:kern w:val="0"/>
          <w:sz w:val="22"/>
          <w:szCs w:val="22"/>
        </w:rPr>
        <w:t>（4）我方有依法缴纳税收和社会保障资金的良好记录；</w:t>
      </w:r>
    </w:p>
    <w:p w14:paraId="47D1E03C">
      <w:pPr>
        <w:widowControl/>
        <w:snapToGrid w:val="0"/>
        <w:spacing w:line="440" w:lineRule="exact"/>
        <w:ind w:left="970" w:leftChars="200" w:hanging="550" w:hangingChars="250"/>
        <w:jc w:val="left"/>
        <w:rPr>
          <w:rFonts w:ascii="宋体" w:hAnsi="宋体" w:cs="宋体"/>
          <w:kern w:val="0"/>
          <w:sz w:val="22"/>
          <w:szCs w:val="22"/>
        </w:rPr>
      </w:pPr>
      <w:r>
        <w:rPr>
          <w:rFonts w:hint="eastAsia" w:ascii="宋体" w:hAnsi="宋体" w:cs="宋体"/>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596DF54">
      <w:pPr>
        <w:widowControl/>
        <w:snapToGrid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2.到本项目投标截止时间为止，我方未被“信用中国（</w:t>
      </w:r>
      <w:r>
        <w:fldChar w:fldCharType="begin"/>
      </w:r>
      <w:r>
        <w:instrText xml:space="preserve"> HYPERLINK "http://www.creditchina.gov.cn）、" </w:instrText>
      </w:r>
      <w:r>
        <w:fldChar w:fldCharType="separate"/>
      </w:r>
      <w:r>
        <w:rPr>
          <w:rStyle w:val="50"/>
          <w:rFonts w:hint="eastAsia" w:ascii="宋体" w:hAnsi="宋体" w:cs="宋体"/>
          <w:color w:val="auto"/>
          <w:kern w:val="0"/>
          <w:sz w:val="22"/>
          <w:szCs w:val="22"/>
        </w:rPr>
        <w:t>www.creditchina.gov.cn）、</w:t>
      </w:r>
      <w:r>
        <w:rPr>
          <w:rStyle w:val="50"/>
          <w:rFonts w:hint="eastAsia" w:ascii="宋体" w:hAnsi="宋体" w:cs="宋体"/>
          <w:color w:val="auto"/>
          <w:kern w:val="0"/>
          <w:sz w:val="22"/>
          <w:szCs w:val="22"/>
        </w:rPr>
        <w:fldChar w:fldCharType="end"/>
      </w:r>
      <w:r>
        <w:rPr>
          <w:rFonts w:hint="eastAsia" w:ascii="宋体" w:hAnsi="宋体" w:cs="宋体"/>
          <w:kern w:val="0"/>
          <w:sz w:val="22"/>
          <w:szCs w:val="22"/>
        </w:rPr>
        <w:t xml:space="preserve"> 中国政府采购网（www.ccgp.gov.cn）列入失信被执行人名单、重大税收违法案件当事人名单、政府采购严重违法失信行为记录名单。</w:t>
      </w:r>
    </w:p>
    <w:p w14:paraId="3B128758">
      <w:pPr>
        <w:widowControl/>
        <w:snapToGrid w:val="0"/>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3.单位、法定代表人（单位负责人）、本项目被授权人及本项目负责人在参加本项目前三年内（以法院判决书生效日期为准）均无行贿犯罪记录。</w:t>
      </w:r>
    </w:p>
    <w:p w14:paraId="668EA0FE">
      <w:pPr>
        <w:widowControl/>
        <w:snapToGrid w:val="0"/>
        <w:spacing w:line="440" w:lineRule="exact"/>
        <w:ind w:firstLine="440" w:firstLineChars="200"/>
        <w:jc w:val="left"/>
        <w:rPr>
          <w:rFonts w:ascii="宋体" w:hAnsi="宋体" w:cs="宋体"/>
          <w:kern w:val="0"/>
          <w:sz w:val="22"/>
          <w:szCs w:val="22"/>
        </w:rPr>
      </w:pPr>
    </w:p>
    <w:p w14:paraId="18BFF97D">
      <w:pPr>
        <w:widowControl/>
        <w:snapToGrid w:val="0"/>
        <w:spacing w:line="440" w:lineRule="exact"/>
        <w:ind w:left="210" w:leftChars="100"/>
        <w:jc w:val="left"/>
        <w:rPr>
          <w:rFonts w:ascii="宋体" w:hAnsi="宋体" w:cs="宋体"/>
          <w:kern w:val="0"/>
          <w:sz w:val="22"/>
          <w:szCs w:val="22"/>
        </w:rPr>
      </w:pPr>
      <w:r>
        <w:rPr>
          <w:rFonts w:hint="eastAsia" w:ascii="宋体" w:hAnsi="宋体" w:cs="宋体"/>
          <w:kern w:val="0"/>
          <w:sz w:val="22"/>
          <w:szCs w:val="22"/>
        </w:rPr>
        <w:t>以上承诺如有虚假，</w:t>
      </w:r>
      <w:r>
        <w:rPr>
          <w:rFonts w:hint="eastAsia" w:ascii="宋体" w:hAnsi="宋体" w:cs="宋体"/>
          <w:sz w:val="22"/>
          <w:szCs w:val="22"/>
        </w:rPr>
        <w:t>愿接受取消</w:t>
      </w:r>
      <w:r>
        <w:rPr>
          <w:rFonts w:hint="eastAsia" w:ascii="宋体" w:hAnsi="宋体" w:cs="宋体"/>
          <w:kern w:val="0"/>
          <w:sz w:val="22"/>
          <w:szCs w:val="22"/>
        </w:rPr>
        <w:t>我方任何资格（投标/中标/签订合同）</w:t>
      </w:r>
      <w:r>
        <w:rPr>
          <w:rFonts w:hint="eastAsia" w:ascii="宋体" w:hAnsi="宋体" w:cs="宋体"/>
          <w:sz w:val="22"/>
          <w:szCs w:val="22"/>
        </w:rPr>
        <w:t>及其他任何形式的处理。</w:t>
      </w:r>
    </w:p>
    <w:p w14:paraId="2B43F0DB">
      <w:pPr>
        <w:spacing w:line="400" w:lineRule="exact"/>
        <w:ind w:firstLine="770" w:firstLineChars="350"/>
        <w:rPr>
          <w:rFonts w:ascii="宋体" w:hAnsi="宋体" w:cs="宋体"/>
          <w:sz w:val="22"/>
          <w:szCs w:val="22"/>
        </w:rPr>
      </w:pPr>
    </w:p>
    <w:p w14:paraId="48231B69">
      <w:pPr>
        <w:spacing w:line="400" w:lineRule="exact"/>
        <w:ind w:firstLine="770" w:firstLineChars="350"/>
        <w:rPr>
          <w:rFonts w:ascii="宋体" w:hAnsi="宋体" w:cs="宋体"/>
          <w:sz w:val="22"/>
          <w:szCs w:val="22"/>
        </w:rPr>
      </w:pPr>
      <w:r>
        <w:rPr>
          <w:rFonts w:hint="eastAsia" w:ascii="宋体" w:hAnsi="宋体" w:cs="宋体"/>
          <w:sz w:val="22"/>
          <w:szCs w:val="22"/>
        </w:rPr>
        <w:t>投标人全称（盖章）：</w:t>
      </w:r>
    </w:p>
    <w:p w14:paraId="3327C99C">
      <w:pPr>
        <w:spacing w:line="400" w:lineRule="exact"/>
        <w:ind w:firstLine="770" w:firstLineChars="350"/>
        <w:rPr>
          <w:rFonts w:ascii="宋体" w:hAnsi="宋体" w:cs="宋体"/>
          <w:sz w:val="22"/>
          <w:szCs w:val="22"/>
        </w:rPr>
      </w:pPr>
      <w:r>
        <w:rPr>
          <w:rFonts w:hint="eastAsia" w:ascii="宋体" w:hAnsi="宋体" w:cs="宋体"/>
          <w:sz w:val="22"/>
          <w:szCs w:val="22"/>
        </w:rPr>
        <w:t>投标人代表（签名或盖章）：</w:t>
      </w:r>
    </w:p>
    <w:p w14:paraId="5C912F2A">
      <w:pPr>
        <w:spacing w:line="400" w:lineRule="exact"/>
        <w:ind w:firstLine="770" w:firstLineChars="350"/>
        <w:rPr>
          <w:rFonts w:ascii="宋体" w:hAnsi="宋体" w:cs="宋体"/>
          <w:sz w:val="22"/>
          <w:szCs w:val="22"/>
        </w:rPr>
      </w:pPr>
      <w:r>
        <w:rPr>
          <w:rFonts w:hint="eastAsia" w:ascii="宋体" w:hAnsi="宋体" w:cs="宋体"/>
          <w:sz w:val="22"/>
          <w:szCs w:val="22"/>
        </w:rPr>
        <w:t>日 期：  年  月  日</w:t>
      </w:r>
    </w:p>
    <w:p w14:paraId="557DA8B7">
      <w:pPr>
        <w:spacing w:line="380" w:lineRule="exact"/>
        <w:ind w:left="-359" w:leftChars="-171" w:firstLine="442" w:firstLineChars="200"/>
        <w:rPr>
          <w:rFonts w:ascii="宋体" w:hAnsi="宋体" w:cs="宋体"/>
          <w:b/>
          <w:bCs/>
          <w:sz w:val="22"/>
          <w:szCs w:val="22"/>
          <w:u w:val="single"/>
        </w:rPr>
      </w:pPr>
      <w:r>
        <w:rPr>
          <w:rFonts w:hint="eastAsia" w:ascii="宋体" w:hAnsi="宋体" w:cs="宋体"/>
          <w:b/>
          <w:bCs/>
          <w:sz w:val="22"/>
          <w:szCs w:val="22"/>
        </w:rPr>
        <w:t>注：</w:t>
      </w:r>
      <w:r>
        <w:rPr>
          <w:rFonts w:hint="eastAsia" w:ascii="宋体" w:hAnsi="宋体" w:cs="宋体"/>
          <w:b/>
          <w:bCs/>
          <w:sz w:val="22"/>
          <w:szCs w:val="22"/>
          <w:u w:val="single"/>
        </w:rPr>
        <w:t>▲不提交本承诺书按无效标处理。</w:t>
      </w:r>
    </w:p>
    <w:p w14:paraId="3F9C3C4A">
      <w:pPr>
        <w:pStyle w:val="39"/>
        <w:rPr>
          <w:rFonts w:asciiTheme="majorEastAsia" w:hAnsiTheme="majorEastAsia" w:eastAsiaTheme="majorEastAsia"/>
        </w:rPr>
      </w:pPr>
      <w:bookmarkStart w:id="119" w:name="_Toc56004404"/>
      <w:bookmarkStart w:id="120" w:name="_Toc61444213"/>
      <w:r>
        <w:rPr>
          <w:rFonts w:hint="eastAsia" w:cs="Arial" w:asciiTheme="majorEastAsia" w:hAnsiTheme="majorEastAsia" w:eastAsiaTheme="majorEastAsia"/>
          <w:sz w:val="36"/>
        </w:rPr>
        <w:br w:type="page"/>
      </w:r>
      <w:bookmarkEnd w:id="119"/>
      <w:bookmarkEnd w:id="120"/>
      <w:bookmarkStart w:id="121" w:name="_Toc42243285"/>
      <w:bookmarkStart w:id="122" w:name="_Toc42678693"/>
      <w:bookmarkStart w:id="123" w:name="_Toc65830023"/>
      <w:bookmarkStart w:id="124" w:name="_Toc65590095"/>
      <w:bookmarkStart w:id="125" w:name="_Toc3526"/>
      <w:r>
        <w:rPr>
          <w:rFonts w:hint="eastAsia" w:asciiTheme="majorEastAsia" w:hAnsiTheme="majorEastAsia" w:eastAsiaTheme="majorEastAsia"/>
        </w:rPr>
        <w:t>二、报价文件部分格式</w:t>
      </w:r>
      <w:bookmarkEnd w:id="121"/>
      <w:bookmarkEnd w:id="122"/>
      <w:bookmarkEnd w:id="123"/>
      <w:bookmarkEnd w:id="124"/>
      <w:bookmarkEnd w:id="125"/>
    </w:p>
    <w:p w14:paraId="6AA2D43E">
      <w:pPr>
        <w:widowControl/>
        <w:spacing w:line="460" w:lineRule="atLeast"/>
        <w:jc w:val="left"/>
        <w:rPr>
          <w:rFonts w:asciiTheme="majorEastAsia" w:hAnsiTheme="majorEastAsia" w:eastAsiaTheme="majorEastAsia"/>
          <w:b/>
          <w:bCs/>
          <w:sz w:val="22"/>
          <w:szCs w:val="22"/>
        </w:rPr>
      </w:pPr>
      <w:r>
        <w:rPr>
          <w:rFonts w:hint="eastAsia" w:asciiTheme="majorEastAsia" w:hAnsiTheme="majorEastAsia" w:eastAsiaTheme="majorEastAsia"/>
          <w:b/>
          <w:sz w:val="22"/>
          <w:szCs w:val="22"/>
        </w:rPr>
        <w:t>附</w:t>
      </w:r>
      <w:bookmarkStart w:id="126" w:name="_Toc413747701"/>
      <w:r>
        <w:rPr>
          <w:rFonts w:hint="eastAsia" w:asciiTheme="majorEastAsia" w:hAnsiTheme="majorEastAsia" w:eastAsiaTheme="majorEastAsia"/>
          <w:b/>
          <w:sz w:val="22"/>
          <w:szCs w:val="22"/>
        </w:rPr>
        <w:t>件</w:t>
      </w:r>
      <w:bookmarkEnd w:id="126"/>
      <w:r>
        <w:rPr>
          <w:rFonts w:hint="eastAsia" w:asciiTheme="majorEastAsia" w:hAnsiTheme="majorEastAsia" w:eastAsiaTheme="majorEastAsia"/>
          <w:b/>
          <w:sz w:val="22"/>
          <w:szCs w:val="22"/>
        </w:rPr>
        <w:t>二</w:t>
      </w:r>
    </w:p>
    <w:p w14:paraId="33BAF79B">
      <w:pPr>
        <w:pStyle w:val="39"/>
        <w:rPr>
          <w:rFonts w:asciiTheme="majorEastAsia" w:hAnsiTheme="majorEastAsia" w:eastAsiaTheme="majorEastAsia"/>
          <w:sz w:val="22"/>
          <w:szCs w:val="22"/>
        </w:rPr>
      </w:pPr>
      <w:bookmarkStart w:id="127" w:name="_Toc518512529"/>
      <w:bookmarkStart w:id="128" w:name="_Toc7030"/>
      <w:bookmarkStart w:id="129" w:name="_Toc22422"/>
      <w:bookmarkStart w:id="130" w:name="_Toc42678028"/>
      <w:bookmarkStart w:id="131" w:name="_Toc65590096"/>
      <w:bookmarkStart w:id="132" w:name="_Toc496618930"/>
      <w:bookmarkStart w:id="133" w:name="_Toc522469114"/>
      <w:bookmarkStart w:id="134" w:name="_Toc42678694"/>
      <w:bookmarkStart w:id="135" w:name="_Toc96970930"/>
      <w:bookmarkStart w:id="136" w:name="_Toc42243286"/>
      <w:bookmarkStart w:id="137" w:name="_Toc19204519"/>
      <w:bookmarkStart w:id="138" w:name="_Toc87518417"/>
      <w:bookmarkStart w:id="139" w:name="_Toc10399"/>
      <w:bookmarkStart w:id="140" w:name="_Toc42678183"/>
      <w:bookmarkStart w:id="141" w:name="_Toc68189105"/>
      <w:bookmarkStart w:id="142" w:name="_Toc68188791"/>
      <w:bookmarkStart w:id="143" w:name="_Toc511045476"/>
      <w:bookmarkStart w:id="144" w:name="_Toc61444215"/>
      <w:bookmarkStart w:id="145" w:name="_Toc9334945"/>
      <w:bookmarkStart w:id="146" w:name="_Toc42678615"/>
      <w:bookmarkStart w:id="147" w:name="_Toc65830024"/>
      <w:bookmarkStart w:id="148" w:name="_Toc97033072"/>
      <w:bookmarkStart w:id="149" w:name="_Toc68187555"/>
      <w:bookmarkStart w:id="150" w:name="_Toc20005"/>
      <w:bookmarkStart w:id="151" w:name="_Toc87518594"/>
      <w:r>
        <w:rPr>
          <w:rFonts w:hint="eastAsia" w:asciiTheme="majorEastAsia" w:hAnsiTheme="majorEastAsia" w:eastAsiaTheme="majorEastAsia"/>
          <w:sz w:val="22"/>
          <w:szCs w:val="22"/>
        </w:rPr>
        <w:t>报价一览表</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5E1D5A02">
      <w:pPr>
        <w:autoSpaceDE w:val="0"/>
        <w:autoSpaceDN w:val="0"/>
        <w:adjustRightInd w:val="0"/>
        <w:rPr>
          <w:rFonts w:asciiTheme="majorEastAsia" w:hAnsiTheme="majorEastAsia" w:eastAsiaTheme="majorEastAsia"/>
          <w:sz w:val="22"/>
          <w:szCs w:val="22"/>
          <w:u w:val="single"/>
          <w:lang w:val="zh-CN"/>
        </w:rPr>
      </w:pPr>
      <w:r>
        <w:rPr>
          <w:rFonts w:hint="eastAsia" w:asciiTheme="majorEastAsia" w:hAnsiTheme="majorEastAsia" w:eastAsiaTheme="majorEastAsia"/>
          <w:sz w:val="22"/>
          <w:szCs w:val="22"/>
        </w:rPr>
        <w:t>项目</w:t>
      </w:r>
      <w:r>
        <w:rPr>
          <w:rFonts w:hint="eastAsia" w:asciiTheme="majorEastAsia" w:hAnsiTheme="majorEastAsia" w:eastAsiaTheme="majorEastAsia"/>
          <w:sz w:val="22"/>
          <w:szCs w:val="22"/>
          <w:lang w:val="zh-CN"/>
        </w:rPr>
        <w:t>名称：</w:t>
      </w:r>
      <w:r>
        <w:rPr>
          <w:rFonts w:hint="eastAsia" w:asciiTheme="majorEastAsia" w:hAnsiTheme="majorEastAsia" w:eastAsiaTheme="majorEastAsia"/>
          <w:sz w:val="22"/>
          <w:szCs w:val="22"/>
        </w:rPr>
        <w:t xml:space="preserve">           </w:t>
      </w:r>
      <w:r>
        <w:rPr>
          <w:rFonts w:hint="eastAsia" w:asciiTheme="majorEastAsia" w:hAnsiTheme="majorEastAsia" w:eastAsiaTheme="majorEastAsia"/>
          <w:sz w:val="22"/>
          <w:szCs w:val="22"/>
          <w:lang w:val="zh-CN"/>
        </w:rPr>
        <w:t>采购编号：  报价单位：</w:t>
      </w:r>
      <w:r>
        <w:rPr>
          <w:rFonts w:hint="eastAsia" w:asciiTheme="majorEastAsia" w:hAnsiTheme="majorEastAsia" w:eastAsiaTheme="majorEastAsia"/>
          <w:sz w:val="22"/>
          <w:szCs w:val="22"/>
          <w:u w:val="single"/>
          <w:lang w:val="zh-CN"/>
        </w:rPr>
        <w:t>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4"/>
        <w:gridCol w:w="3867"/>
        <w:gridCol w:w="2393"/>
      </w:tblGrid>
      <w:tr w14:paraId="1E99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1824" w:type="pct"/>
            <w:tcBorders>
              <w:right w:val="single" w:color="000000" w:sz="6" w:space="0"/>
            </w:tcBorders>
            <w:vAlign w:val="center"/>
          </w:tcPr>
          <w:p w14:paraId="65B0597E">
            <w:pPr>
              <w:pStyle w:val="23"/>
              <w:snapToGrid w:val="0"/>
              <w:spacing w:line="460" w:lineRule="atLeast"/>
              <w:jc w:val="center"/>
              <w:rPr>
                <w:rFonts w:hAnsi="宋体" w:cs="宋体"/>
                <w:b/>
                <w:sz w:val="22"/>
                <w:szCs w:val="22"/>
              </w:rPr>
            </w:pPr>
            <w:r>
              <w:rPr>
                <w:rFonts w:hint="eastAsia" w:hAnsi="宋体" w:cs="宋体"/>
                <w:sz w:val="22"/>
                <w:szCs w:val="22"/>
              </w:rPr>
              <w:t>项目名称</w:t>
            </w:r>
          </w:p>
        </w:tc>
        <w:tc>
          <w:tcPr>
            <w:tcW w:w="1962" w:type="pct"/>
            <w:tcBorders>
              <w:left w:val="single" w:color="auto" w:sz="4" w:space="0"/>
              <w:right w:val="single" w:color="000000" w:sz="4" w:space="0"/>
            </w:tcBorders>
            <w:vAlign w:val="center"/>
          </w:tcPr>
          <w:p w14:paraId="60C7244F">
            <w:pPr>
              <w:pStyle w:val="23"/>
              <w:snapToGrid w:val="0"/>
              <w:spacing w:line="460" w:lineRule="atLeast"/>
              <w:jc w:val="center"/>
              <w:rPr>
                <w:rFonts w:hAnsi="宋体" w:cs="宋体"/>
                <w:b/>
                <w:sz w:val="22"/>
                <w:szCs w:val="22"/>
              </w:rPr>
            </w:pPr>
            <w:r>
              <w:rPr>
                <w:rFonts w:hint="eastAsia" w:hAnsi="宋体" w:cs="宋体"/>
                <w:sz w:val="22"/>
                <w:szCs w:val="22"/>
              </w:rPr>
              <w:t>投标总价</w:t>
            </w:r>
          </w:p>
          <w:p w14:paraId="3A77A450">
            <w:pPr>
              <w:pStyle w:val="23"/>
              <w:snapToGrid w:val="0"/>
              <w:spacing w:line="460" w:lineRule="atLeast"/>
              <w:jc w:val="center"/>
              <w:rPr>
                <w:rFonts w:hAnsi="宋体" w:cs="宋体"/>
                <w:b/>
                <w:sz w:val="22"/>
                <w:szCs w:val="22"/>
              </w:rPr>
            </w:pPr>
            <w:r>
              <w:rPr>
                <w:rFonts w:hint="eastAsia" w:hAnsi="宋体" w:cs="宋体"/>
                <w:sz w:val="22"/>
                <w:szCs w:val="22"/>
              </w:rPr>
              <w:t>（元人民币）</w:t>
            </w:r>
          </w:p>
        </w:tc>
        <w:tc>
          <w:tcPr>
            <w:tcW w:w="1214" w:type="pct"/>
            <w:tcBorders>
              <w:left w:val="single" w:color="000000" w:sz="4" w:space="0"/>
              <w:right w:val="single" w:color="000000" w:sz="4" w:space="0"/>
            </w:tcBorders>
            <w:vAlign w:val="center"/>
          </w:tcPr>
          <w:p w14:paraId="31466EB2">
            <w:pPr>
              <w:pStyle w:val="23"/>
              <w:jc w:val="center"/>
              <w:rPr>
                <w:rFonts w:hAnsi="宋体" w:cs="宋体"/>
                <w:b/>
                <w:sz w:val="22"/>
                <w:szCs w:val="22"/>
              </w:rPr>
            </w:pPr>
            <w:r>
              <w:rPr>
                <w:rFonts w:hint="eastAsia" w:hAnsi="宋体" w:cs="宋体"/>
                <w:sz w:val="22"/>
                <w:szCs w:val="22"/>
              </w:rPr>
              <w:t>备注</w:t>
            </w:r>
          </w:p>
        </w:tc>
      </w:tr>
      <w:tr w14:paraId="060B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trPr>
        <w:tc>
          <w:tcPr>
            <w:tcW w:w="1824" w:type="pct"/>
            <w:tcBorders>
              <w:right w:val="single" w:color="000000" w:sz="6" w:space="0"/>
            </w:tcBorders>
            <w:vAlign w:val="center"/>
          </w:tcPr>
          <w:p w14:paraId="5C624479">
            <w:pPr>
              <w:pStyle w:val="23"/>
              <w:snapToGrid w:val="0"/>
              <w:spacing w:line="460" w:lineRule="atLeast"/>
              <w:jc w:val="center"/>
              <w:rPr>
                <w:rFonts w:hAnsi="宋体" w:cs="宋体"/>
                <w:b/>
                <w:sz w:val="22"/>
                <w:szCs w:val="22"/>
              </w:rPr>
            </w:pPr>
            <w:r>
              <w:rPr>
                <w:rFonts w:hint="eastAsia" w:hAnsi="宋体" w:cs="宋体"/>
                <w:sz w:val="22"/>
                <w:szCs w:val="22"/>
              </w:rPr>
              <w:t>永嘉县中医医院灭菌器采购</w:t>
            </w:r>
          </w:p>
        </w:tc>
        <w:tc>
          <w:tcPr>
            <w:tcW w:w="1962" w:type="pct"/>
            <w:tcBorders>
              <w:left w:val="single" w:color="auto" w:sz="4" w:space="0"/>
              <w:right w:val="single" w:color="000000" w:sz="4" w:space="0"/>
            </w:tcBorders>
            <w:vAlign w:val="center"/>
          </w:tcPr>
          <w:p w14:paraId="7F0F8804">
            <w:pPr>
              <w:pStyle w:val="23"/>
              <w:spacing w:line="460" w:lineRule="atLeast"/>
              <w:rPr>
                <w:rFonts w:hAnsi="宋体" w:cs="宋体"/>
                <w:b/>
                <w:sz w:val="22"/>
                <w:szCs w:val="22"/>
              </w:rPr>
            </w:pPr>
            <w:r>
              <w:rPr>
                <w:rFonts w:hint="eastAsia" w:hAnsi="宋体" w:cs="宋体"/>
                <w:sz w:val="22"/>
                <w:szCs w:val="22"/>
              </w:rPr>
              <w:t>大写：</w:t>
            </w:r>
          </w:p>
          <w:p w14:paraId="3E0124E7">
            <w:pPr>
              <w:pStyle w:val="23"/>
              <w:spacing w:line="460" w:lineRule="atLeast"/>
              <w:rPr>
                <w:rFonts w:hAnsi="宋体" w:cs="宋体"/>
                <w:b/>
                <w:sz w:val="22"/>
                <w:szCs w:val="22"/>
              </w:rPr>
            </w:pPr>
            <w:r>
              <w:rPr>
                <w:rFonts w:hint="eastAsia" w:hAnsi="宋体" w:cs="宋体"/>
                <w:sz w:val="22"/>
                <w:szCs w:val="22"/>
              </w:rPr>
              <w:t>小写：</w:t>
            </w:r>
          </w:p>
        </w:tc>
        <w:tc>
          <w:tcPr>
            <w:tcW w:w="1214" w:type="pct"/>
            <w:tcBorders>
              <w:left w:val="single" w:color="000000" w:sz="4" w:space="0"/>
              <w:right w:val="single" w:color="000000" w:sz="4" w:space="0"/>
            </w:tcBorders>
            <w:vAlign w:val="center"/>
          </w:tcPr>
          <w:p w14:paraId="735611DB">
            <w:pPr>
              <w:pStyle w:val="23"/>
              <w:jc w:val="center"/>
              <w:rPr>
                <w:rFonts w:hAnsi="宋体" w:cs="宋体"/>
                <w:b/>
                <w:sz w:val="22"/>
                <w:szCs w:val="22"/>
              </w:rPr>
            </w:pPr>
          </w:p>
        </w:tc>
      </w:tr>
    </w:tbl>
    <w:p w14:paraId="6A0F2A91">
      <w:pPr>
        <w:tabs>
          <w:tab w:val="left" w:pos="540"/>
        </w:tabs>
        <w:spacing w:line="460" w:lineRule="exact"/>
        <w:rPr>
          <w:b/>
          <w:bCs/>
          <w:kern w:val="0"/>
          <w:szCs w:val="21"/>
        </w:rPr>
      </w:pPr>
      <w:r>
        <w:rPr>
          <w:rFonts w:hint="eastAsia" w:cs="宋体" w:asciiTheme="majorEastAsia" w:hAnsiTheme="majorEastAsia" w:eastAsiaTheme="majorEastAsia"/>
          <w:sz w:val="22"/>
          <w:szCs w:val="22"/>
        </w:rPr>
        <w:t>说明：</w:t>
      </w:r>
    </w:p>
    <w:p w14:paraId="6B550F24">
      <w:pPr>
        <w:numPr>
          <w:ilvl w:val="0"/>
          <w:numId w:val="4"/>
        </w:numPr>
        <w:autoSpaceDE w:val="0"/>
        <w:autoSpaceDN w:val="0"/>
        <w:adjustRightInd w:val="0"/>
        <w:spacing w:line="400" w:lineRule="atLeast"/>
        <w:rPr>
          <w:rFonts w:ascii="宋体" w:hAnsi="宋体" w:cs="宋体"/>
          <w:b/>
          <w:bCs/>
          <w:kern w:val="0"/>
          <w:sz w:val="22"/>
          <w:szCs w:val="22"/>
          <w:u w:val="wave"/>
          <w:lang w:val="zh-CN"/>
        </w:rPr>
      </w:pPr>
      <w:r>
        <w:rPr>
          <w:rFonts w:hint="eastAsia" w:ascii="宋体" w:hAnsi="宋体" w:cs="宋体"/>
          <w:b/>
          <w:sz w:val="22"/>
          <w:szCs w:val="22"/>
          <w:u w:val="single"/>
        </w:rPr>
        <w:t>▲</w:t>
      </w:r>
      <w:r>
        <w:rPr>
          <w:rFonts w:hint="eastAsia" w:ascii="宋体" w:hAnsi="宋体" w:cs="宋体"/>
          <w:b/>
          <w:bCs/>
          <w:sz w:val="22"/>
          <w:szCs w:val="22"/>
          <w:u w:val="single"/>
        </w:rPr>
        <w:t>不提供此表格将被视为没有实质性响应招标文件。</w:t>
      </w:r>
    </w:p>
    <w:p w14:paraId="4FF7B230">
      <w:pPr>
        <w:numPr>
          <w:ilvl w:val="0"/>
          <w:numId w:val="4"/>
        </w:numPr>
        <w:autoSpaceDE w:val="0"/>
        <w:autoSpaceDN w:val="0"/>
        <w:adjustRightInd w:val="0"/>
        <w:spacing w:line="400" w:lineRule="atLeast"/>
        <w:rPr>
          <w:rFonts w:ascii="宋体" w:hAnsi="宋体" w:cs="宋体"/>
          <w:b/>
          <w:bCs/>
          <w:kern w:val="0"/>
          <w:sz w:val="22"/>
          <w:szCs w:val="22"/>
          <w:u w:val="single"/>
          <w:lang w:val="zh-CN"/>
        </w:rPr>
      </w:pPr>
      <w:r>
        <w:rPr>
          <w:rFonts w:hint="eastAsia" w:ascii="宋体" w:hAnsi="宋体" w:cs="宋体"/>
          <w:b/>
          <w:sz w:val="22"/>
          <w:szCs w:val="22"/>
          <w:u w:val="single"/>
        </w:rPr>
        <w:t>▲</w:t>
      </w:r>
      <w:r>
        <w:rPr>
          <w:rFonts w:hint="eastAsia" w:ascii="宋体" w:hAnsi="宋体" w:cs="宋体"/>
          <w:b/>
          <w:bCs/>
          <w:sz w:val="22"/>
          <w:szCs w:val="22"/>
          <w:u w:val="single"/>
        </w:rPr>
        <w:t>投标总价须与投标分项报价表中的合计价相一致。</w:t>
      </w:r>
    </w:p>
    <w:p w14:paraId="749545A0">
      <w:pPr>
        <w:autoSpaceDE w:val="0"/>
        <w:autoSpaceDN w:val="0"/>
        <w:adjustRightInd w:val="0"/>
        <w:spacing w:line="500" w:lineRule="atLeast"/>
        <w:rPr>
          <w:rFonts w:cs="仿宋_GB2312" w:asciiTheme="majorEastAsia" w:hAnsiTheme="majorEastAsia" w:eastAsiaTheme="majorEastAsia"/>
          <w:sz w:val="30"/>
          <w:szCs w:val="30"/>
        </w:rPr>
      </w:pPr>
    </w:p>
    <w:p w14:paraId="0DBEA6E1">
      <w:pPr>
        <w:widowControl/>
        <w:spacing w:line="460" w:lineRule="exact"/>
        <w:ind w:firstLine="440"/>
        <w:jc w:val="left"/>
        <w:rPr>
          <w:rFonts w:cs="Courier New" w:asciiTheme="majorEastAsia" w:hAnsiTheme="majorEastAsia" w:eastAsiaTheme="majorEastAsia"/>
          <w:sz w:val="22"/>
          <w:szCs w:val="22"/>
        </w:rPr>
      </w:pPr>
      <w:r>
        <w:rPr>
          <w:rFonts w:cs="Courier New" w:asciiTheme="majorEastAsia" w:hAnsiTheme="majorEastAsia" w:eastAsiaTheme="majorEastAsia"/>
          <w:sz w:val="22"/>
          <w:szCs w:val="22"/>
        </w:rPr>
        <w:t>投标供应商（盖章） ：</w:t>
      </w:r>
    </w:p>
    <w:p w14:paraId="68601609">
      <w:pPr>
        <w:spacing w:line="460" w:lineRule="atLeast"/>
        <w:ind w:firstLine="440"/>
        <w:rPr>
          <w:rFonts w:cs="Courier New" w:asciiTheme="majorEastAsia" w:hAnsiTheme="majorEastAsia" w:eastAsiaTheme="majorEastAsia"/>
          <w:sz w:val="22"/>
          <w:szCs w:val="22"/>
        </w:rPr>
      </w:pPr>
      <w:r>
        <w:rPr>
          <w:rFonts w:cs="Courier New" w:asciiTheme="majorEastAsia" w:hAnsiTheme="majorEastAsia" w:eastAsiaTheme="majorEastAsia"/>
          <w:sz w:val="22"/>
          <w:szCs w:val="22"/>
        </w:rPr>
        <w:t>日期：</w:t>
      </w:r>
    </w:p>
    <w:p w14:paraId="11B7F800">
      <w:pPr>
        <w:rPr>
          <w:rFonts w:cs="Courier New" w:asciiTheme="majorEastAsia" w:hAnsiTheme="majorEastAsia" w:eastAsiaTheme="majorEastAsia"/>
          <w:sz w:val="22"/>
          <w:szCs w:val="22"/>
        </w:rPr>
      </w:pPr>
      <w:r>
        <w:rPr>
          <w:rFonts w:cs="Courier New" w:asciiTheme="majorEastAsia" w:hAnsiTheme="majorEastAsia" w:eastAsiaTheme="majorEastAsia"/>
          <w:sz w:val="22"/>
          <w:szCs w:val="22"/>
        </w:rPr>
        <w:br w:type="page"/>
      </w:r>
    </w:p>
    <w:p w14:paraId="4A4434D1">
      <w:pPr>
        <w:widowControl/>
        <w:spacing w:line="460" w:lineRule="atLeast"/>
        <w:jc w:val="left"/>
        <w:rPr>
          <w:rFonts w:ascii="宋体" w:hAnsi="宋体" w:cs="宋体"/>
          <w:b/>
          <w:bCs/>
          <w:sz w:val="22"/>
          <w:szCs w:val="22"/>
        </w:rPr>
      </w:pPr>
      <w:r>
        <w:rPr>
          <w:rFonts w:hint="eastAsia" w:ascii="宋体" w:hAnsi="宋体" w:cs="宋体"/>
          <w:b/>
          <w:sz w:val="22"/>
          <w:szCs w:val="22"/>
        </w:rPr>
        <w:t>附件三</w:t>
      </w:r>
    </w:p>
    <w:p w14:paraId="4E6E67DB">
      <w:pPr>
        <w:autoSpaceDE w:val="0"/>
        <w:autoSpaceDN w:val="0"/>
        <w:adjustRightInd w:val="0"/>
        <w:spacing w:line="360" w:lineRule="atLeast"/>
        <w:ind w:right="220"/>
        <w:jc w:val="center"/>
        <w:textAlignment w:val="baseline"/>
        <w:rPr>
          <w:rFonts w:ascii="宋体" w:hAnsi="宋体" w:cs="宋体"/>
          <w:b/>
          <w:sz w:val="22"/>
        </w:rPr>
      </w:pPr>
      <w:r>
        <w:rPr>
          <w:rFonts w:hint="eastAsia" w:ascii="宋体" w:hAnsi="宋体" w:cs="宋体"/>
          <w:b/>
          <w:bCs/>
          <w:kern w:val="0"/>
          <w:sz w:val="28"/>
          <w:szCs w:val="28"/>
          <w:lang w:val="zh-CN"/>
        </w:rPr>
        <w:t>投标分项报价表</w:t>
      </w:r>
    </w:p>
    <w:p w14:paraId="786AF28F">
      <w:pPr>
        <w:spacing w:line="360" w:lineRule="exact"/>
        <w:jc w:val="right"/>
        <w:rPr>
          <w:rFonts w:ascii="宋体" w:hAnsi="宋体" w:cs="宋体"/>
          <w:sz w:val="22"/>
        </w:rPr>
      </w:pPr>
      <w:r>
        <w:rPr>
          <w:rFonts w:hint="eastAsia" w:ascii="宋体" w:hAnsi="宋体" w:cs="宋体"/>
          <w:sz w:val="22"/>
        </w:rPr>
        <w:t>（单位价格：元）</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963"/>
        <w:gridCol w:w="3535"/>
        <w:gridCol w:w="1127"/>
        <w:gridCol w:w="1127"/>
        <w:gridCol w:w="1117"/>
      </w:tblGrid>
      <w:tr w14:paraId="1D8F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8" w:type="pct"/>
            <w:vAlign w:val="center"/>
          </w:tcPr>
          <w:p w14:paraId="614A09D3">
            <w:pPr>
              <w:jc w:val="center"/>
              <w:rPr>
                <w:rFonts w:ascii="宋体" w:hAnsi="宋体" w:cs="宋体"/>
                <w:b/>
                <w:sz w:val="22"/>
                <w:szCs w:val="22"/>
              </w:rPr>
            </w:pPr>
            <w:r>
              <w:rPr>
                <w:rFonts w:hint="eastAsia" w:ascii="宋体" w:hAnsi="宋体" w:cs="宋体"/>
                <w:sz w:val="22"/>
                <w:szCs w:val="22"/>
              </w:rPr>
              <w:t>序号</w:t>
            </w:r>
          </w:p>
        </w:tc>
        <w:tc>
          <w:tcPr>
            <w:tcW w:w="996" w:type="pct"/>
            <w:vAlign w:val="center"/>
          </w:tcPr>
          <w:p w14:paraId="38BC9228">
            <w:pPr>
              <w:jc w:val="center"/>
              <w:rPr>
                <w:rFonts w:ascii="宋体" w:hAnsi="宋体" w:cs="宋体"/>
                <w:b/>
                <w:sz w:val="22"/>
                <w:szCs w:val="22"/>
              </w:rPr>
            </w:pPr>
            <w:r>
              <w:rPr>
                <w:rFonts w:hint="eastAsia" w:ascii="宋体" w:hAnsi="宋体" w:cs="宋体"/>
                <w:sz w:val="22"/>
                <w:szCs w:val="22"/>
              </w:rPr>
              <w:t>名称</w:t>
            </w:r>
          </w:p>
        </w:tc>
        <w:tc>
          <w:tcPr>
            <w:tcW w:w="1793" w:type="pct"/>
            <w:vAlign w:val="center"/>
          </w:tcPr>
          <w:p w14:paraId="3FD34D15">
            <w:pPr>
              <w:jc w:val="center"/>
              <w:rPr>
                <w:rFonts w:ascii="宋体" w:hAnsi="宋体" w:cs="宋体"/>
                <w:b/>
                <w:sz w:val="22"/>
                <w:szCs w:val="22"/>
              </w:rPr>
            </w:pPr>
            <w:r>
              <w:rPr>
                <w:rFonts w:hint="eastAsia" w:ascii="宋体" w:hAnsi="宋体" w:cs="宋体"/>
                <w:sz w:val="22"/>
                <w:szCs w:val="22"/>
              </w:rPr>
              <w:t>品牌型号规格</w:t>
            </w:r>
          </w:p>
        </w:tc>
        <w:tc>
          <w:tcPr>
            <w:tcW w:w="572" w:type="pct"/>
            <w:vAlign w:val="center"/>
          </w:tcPr>
          <w:p w14:paraId="3B8D8A34">
            <w:pPr>
              <w:jc w:val="center"/>
              <w:rPr>
                <w:rFonts w:ascii="宋体" w:hAnsi="宋体" w:cs="宋体"/>
                <w:b/>
                <w:sz w:val="22"/>
                <w:szCs w:val="22"/>
              </w:rPr>
            </w:pPr>
            <w:r>
              <w:rPr>
                <w:rFonts w:hint="eastAsia" w:ascii="宋体" w:hAnsi="宋体" w:cs="宋体"/>
                <w:sz w:val="22"/>
                <w:szCs w:val="22"/>
              </w:rPr>
              <w:t>数量</w:t>
            </w:r>
          </w:p>
        </w:tc>
        <w:tc>
          <w:tcPr>
            <w:tcW w:w="572" w:type="pct"/>
            <w:vAlign w:val="center"/>
          </w:tcPr>
          <w:p w14:paraId="4E4FB64A">
            <w:pPr>
              <w:jc w:val="center"/>
              <w:rPr>
                <w:rFonts w:ascii="宋体" w:hAnsi="宋体" w:cs="宋体"/>
                <w:b/>
                <w:sz w:val="22"/>
                <w:szCs w:val="22"/>
              </w:rPr>
            </w:pPr>
            <w:r>
              <w:rPr>
                <w:rFonts w:hint="eastAsia" w:ascii="宋体" w:hAnsi="宋体" w:cs="宋体"/>
                <w:sz w:val="22"/>
                <w:szCs w:val="22"/>
              </w:rPr>
              <w:t>单价</w:t>
            </w:r>
          </w:p>
        </w:tc>
        <w:tc>
          <w:tcPr>
            <w:tcW w:w="565" w:type="pct"/>
            <w:vAlign w:val="center"/>
          </w:tcPr>
          <w:p w14:paraId="0D7BB608">
            <w:pPr>
              <w:jc w:val="center"/>
              <w:rPr>
                <w:rFonts w:ascii="宋体" w:hAnsi="宋体" w:cs="宋体"/>
                <w:b/>
                <w:sz w:val="22"/>
                <w:szCs w:val="22"/>
              </w:rPr>
            </w:pPr>
            <w:r>
              <w:rPr>
                <w:rFonts w:hint="eastAsia" w:ascii="宋体" w:hAnsi="宋体" w:cs="宋体"/>
                <w:sz w:val="22"/>
                <w:szCs w:val="22"/>
              </w:rPr>
              <w:t>合价</w:t>
            </w:r>
          </w:p>
        </w:tc>
      </w:tr>
      <w:tr w14:paraId="410D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98" w:type="pct"/>
            <w:vAlign w:val="center"/>
          </w:tcPr>
          <w:p w14:paraId="1A5FCAC5">
            <w:pPr>
              <w:jc w:val="center"/>
              <w:rPr>
                <w:rFonts w:ascii="宋体" w:hAnsi="宋体" w:cs="宋体"/>
                <w:b/>
                <w:sz w:val="22"/>
                <w:szCs w:val="22"/>
              </w:rPr>
            </w:pPr>
            <w:r>
              <w:rPr>
                <w:rFonts w:hint="eastAsia" w:ascii="宋体" w:hAnsi="宋体" w:cs="宋体"/>
                <w:sz w:val="22"/>
                <w:szCs w:val="22"/>
              </w:rPr>
              <w:t>1</w:t>
            </w:r>
          </w:p>
        </w:tc>
        <w:tc>
          <w:tcPr>
            <w:tcW w:w="996" w:type="pct"/>
            <w:vAlign w:val="center"/>
          </w:tcPr>
          <w:p w14:paraId="6E68833A">
            <w:pPr>
              <w:ind w:right="496" w:rightChars="236"/>
              <w:jc w:val="center"/>
              <w:rPr>
                <w:rFonts w:ascii="宋体" w:hAnsi="宋体" w:cs="宋体"/>
                <w:b/>
                <w:sz w:val="22"/>
                <w:szCs w:val="22"/>
              </w:rPr>
            </w:pPr>
          </w:p>
        </w:tc>
        <w:tc>
          <w:tcPr>
            <w:tcW w:w="1793" w:type="pct"/>
            <w:vAlign w:val="center"/>
          </w:tcPr>
          <w:p w14:paraId="411C4788">
            <w:pPr>
              <w:jc w:val="center"/>
              <w:rPr>
                <w:rFonts w:ascii="宋体" w:hAnsi="宋体" w:cs="宋体"/>
                <w:b/>
                <w:sz w:val="22"/>
                <w:szCs w:val="22"/>
              </w:rPr>
            </w:pPr>
          </w:p>
        </w:tc>
        <w:tc>
          <w:tcPr>
            <w:tcW w:w="572" w:type="pct"/>
            <w:vAlign w:val="center"/>
          </w:tcPr>
          <w:p w14:paraId="7F5129FB">
            <w:pPr>
              <w:snapToGrid w:val="0"/>
              <w:spacing w:line="400" w:lineRule="atLeast"/>
              <w:jc w:val="center"/>
              <w:rPr>
                <w:rFonts w:ascii="宋体" w:hAnsi="宋体" w:cs="宋体"/>
                <w:b/>
                <w:sz w:val="22"/>
                <w:szCs w:val="22"/>
              </w:rPr>
            </w:pPr>
          </w:p>
        </w:tc>
        <w:tc>
          <w:tcPr>
            <w:tcW w:w="572" w:type="pct"/>
            <w:vAlign w:val="center"/>
          </w:tcPr>
          <w:p w14:paraId="3C37FA48">
            <w:pPr>
              <w:jc w:val="center"/>
              <w:rPr>
                <w:rFonts w:ascii="宋体" w:hAnsi="宋体" w:cs="宋体"/>
                <w:b/>
                <w:sz w:val="22"/>
                <w:szCs w:val="22"/>
              </w:rPr>
            </w:pPr>
          </w:p>
        </w:tc>
        <w:tc>
          <w:tcPr>
            <w:tcW w:w="565" w:type="pct"/>
            <w:vAlign w:val="center"/>
          </w:tcPr>
          <w:p w14:paraId="0C73FF8D">
            <w:pPr>
              <w:jc w:val="center"/>
              <w:rPr>
                <w:rFonts w:ascii="宋体" w:hAnsi="宋体" w:cs="宋体"/>
                <w:b/>
                <w:sz w:val="22"/>
                <w:szCs w:val="22"/>
              </w:rPr>
            </w:pPr>
          </w:p>
        </w:tc>
      </w:tr>
      <w:tr w14:paraId="3A9D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98" w:type="pct"/>
            <w:vAlign w:val="center"/>
          </w:tcPr>
          <w:p w14:paraId="689B175C">
            <w:pPr>
              <w:jc w:val="center"/>
              <w:rPr>
                <w:rFonts w:ascii="宋体" w:hAnsi="宋体" w:cs="宋体"/>
                <w:b/>
                <w:sz w:val="22"/>
                <w:szCs w:val="22"/>
              </w:rPr>
            </w:pPr>
            <w:r>
              <w:rPr>
                <w:rFonts w:hint="eastAsia" w:ascii="宋体" w:hAnsi="宋体" w:cs="宋体"/>
                <w:sz w:val="22"/>
                <w:szCs w:val="22"/>
              </w:rPr>
              <w:t>2</w:t>
            </w:r>
          </w:p>
        </w:tc>
        <w:tc>
          <w:tcPr>
            <w:tcW w:w="996" w:type="pct"/>
            <w:vAlign w:val="center"/>
          </w:tcPr>
          <w:p w14:paraId="1C086542">
            <w:pPr>
              <w:jc w:val="center"/>
              <w:rPr>
                <w:rFonts w:ascii="宋体" w:hAnsi="宋体" w:cs="宋体"/>
                <w:b/>
                <w:sz w:val="22"/>
                <w:szCs w:val="22"/>
              </w:rPr>
            </w:pPr>
          </w:p>
        </w:tc>
        <w:tc>
          <w:tcPr>
            <w:tcW w:w="1793" w:type="pct"/>
            <w:vAlign w:val="center"/>
          </w:tcPr>
          <w:p w14:paraId="1512EF23">
            <w:pPr>
              <w:jc w:val="center"/>
              <w:rPr>
                <w:rFonts w:ascii="宋体" w:hAnsi="宋体" w:cs="宋体"/>
                <w:b/>
                <w:sz w:val="22"/>
                <w:szCs w:val="22"/>
              </w:rPr>
            </w:pPr>
          </w:p>
        </w:tc>
        <w:tc>
          <w:tcPr>
            <w:tcW w:w="572" w:type="pct"/>
            <w:vAlign w:val="center"/>
          </w:tcPr>
          <w:p w14:paraId="521C2DCD">
            <w:pPr>
              <w:snapToGrid w:val="0"/>
              <w:spacing w:line="400" w:lineRule="atLeast"/>
              <w:jc w:val="center"/>
              <w:rPr>
                <w:rFonts w:ascii="宋体" w:hAnsi="宋体" w:cs="宋体"/>
                <w:b/>
                <w:sz w:val="22"/>
                <w:szCs w:val="22"/>
              </w:rPr>
            </w:pPr>
          </w:p>
        </w:tc>
        <w:tc>
          <w:tcPr>
            <w:tcW w:w="572" w:type="pct"/>
            <w:vAlign w:val="center"/>
          </w:tcPr>
          <w:p w14:paraId="217E4C4A">
            <w:pPr>
              <w:jc w:val="center"/>
              <w:rPr>
                <w:rFonts w:ascii="宋体" w:hAnsi="宋体" w:cs="宋体"/>
                <w:b/>
                <w:sz w:val="22"/>
                <w:szCs w:val="22"/>
              </w:rPr>
            </w:pPr>
          </w:p>
        </w:tc>
        <w:tc>
          <w:tcPr>
            <w:tcW w:w="565" w:type="pct"/>
            <w:vAlign w:val="center"/>
          </w:tcPr>
          <w:p w14:paraId="2137AAC0">
            <w:pPr>
              <w:jc w:val="center"/>
              <w:rPr>
                <w:rFonts w:ascii="宋体" w:hAnsi="宋体" w:cs="宋体"/>
                <w:b/>
                <w:sz w:val="22"/>
                <w:szCs w:val="22"/>
              </w:rPr>
            </w:pPr>
          </w:p>
        </w:tc>
      </w:tr>
      <w:tr w14:paraId="63E9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98" w:type="pct"/>
            <w:vAlign w:val="center"/>
          </w:tcPr>
          <w:p w14:paraId="0CA17DAD">
            <w:pPr>
              <w:jc w:val="center"/>
              <w:rPr>
                <w:rFonts w:ascii="宋体" w:hAnsi="宋体" w:cs="宋体"/>
                <w:b/>
                <w:sz w:val="22"/>
                <w:szCs w:val="22"/>
              </w:rPr>
            </w:pPr>
            <w:r>
              <w:rPr>
                <w:rFonts w:hint="eastAsia" w:ascii="宋体" w:hAnsi="宋体" w:cs="宋体"/>
                <w:sz w:val="22"/>
                <w:szCs w:val="22"/>
              </w:rPr>
              <w:t>3</w:t>
            </w:r>
          </w:p>
        </w:tc>
        <w:tc>
          <w:tcPr>
            <w:tcW w:w="996" w:type="pct"/>
            <w:vAlign w:val="center"/>
          </w:tcPr>
          <w:p w14:paraId="35E8E5AA">
            <w:pPr>
              <w:jc w:val="center"/>
              <w:rPr>
                <w:rFonts w:ascii="宋体" w:hAnsi="宋体" w:cs="宋体"/>
                <w:b/>
                <w:sz w:val="22"/>
                <w:szCs w:val="22"/>
              </w:rPr>
            </w:pPr>
          </w:p>
        </w:tc>
        <w:tc>
          <w:tcPr>
            <w:tcW w:w="1793" w:type="pct"/>
            <w:vAlign w:val="center"/>
          </w:tcPr>
          <w:p w14:paraId="2A93A59B">
            <w:pPr>
              <w:jc w:val="center"/>
              <w:rPr>
                <w:rFonts w:ascii="宋体" w:hAnsi="宋体" w:cs="宋体"/>
                <w:b/>
                <w:sz w:val="22"/>
                <w:szCs w:val="22"/>
              </w:rPr>
            </w:pPr>
          </w:p>
        </w:tc>
        <w:tc>
          <w:tcPr>
            <w:tcW w:w="572" w:type="pct"/>
            <w:vAlign w:val="center"/>
          </w:tcPr>
          <w:p w14:paraId="201A0C62">
            <w:pPr>
              <w:snapToGrid w:val="0"/>
              <w:spacing w:line="400" w:lineRule="atLeast"/>
              <w:jc w:val="center"/>
              <w:rPr>
                <w:rFonts w:ascii="宋体" w:hAnsi="宋体" w:cs="宋体"/>
                <w:b/>
                <w:sz w:val="22"/>
                <w:szCs w:val="22"/>
              </w:rPr>
            </w:pPr>
          </w:p>
        </w:tc>
        <w:tc>
          <w:tcPr>
            <w:tcW w:w="572" w:type="pct"/>
            <w:vAlign w:val="center"/>
          </w:tcPr>
          <w:p w14:paraId="7D414D32">
            <w:pPr>
              <w:jc w:val="center"/>
              <w:rPr>
                <w:rFonts w:ascii="宋体" w:hAnsi="宋体" w:cs="宋体"/>
                <w:b/>
                <w:sz w:val="22"/>
                <w:szCs w:val="22"/>
              </w:rPr>
            </w:pPr>
          </w:p>
        </w:tc>
        <w:tc>
          <w:tcPr>
            <w:tcW w:w="565" w:type="pct"/>
            <w:vAlign w:val="center"/>
          </w:tcPr>
          <w:p w14:paraId="7B4707F7">
            <w:pPr>
              <w:jc w:val="center"/>
              <w:rPr>
                <w:rFonts w:ascii="宋体" w:hAnsi="宋体" w:cs="宋体"/>
                <w:b/>
                <w:sz w:val="22"/>
                <w:szCs w:val="22"/>
              </w:rPr>
            </w:pPr>
          </w:p>
        </w:tc>
      </w:tr>
      <w:tr w14:paraId="09DB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98" w:type="pct"/>
            <w:vAlign w:val="center"/>
          </w:tcPr>
          <w:p w14:paraId="6D06B6E0">
            <w:pPr>
              <w:jc w:val="center"/>
              <w:rPr>
                <w:rFonts w:ascii="宋体" w:hAnsi="宋体" w:cs="宋体"/>
                <w:b/>
                <w:sz w:val="22"/>
                <w:szCs w:val="22"/>
              </w:rPr>
            </w:pPr>
          </w:p>
        </w:tc>
        <w:tc>
          <w:tcPr>
            <w:tcW w:w="996" w:type="pct"/>
            <w:vAlign w:val="center"/>
          </w:tcPr>
          <w:p w14:paraId="77FC5012">
            <w:pPr>
              <w:jc w:val="center"/>
              <w:rPr>
                <w:rFonts w:ascii="宋体" w:hAnsi="宋体" w:cs="宋体"/>
                <w:b/>
                <w:sz w:val="22"/>
                <w:szCs w:val="22"/>
              </w:rPr>
            </w:pPr>
          </w:p>
        </w:tc>
        <w:tc>
          <w:tcPr>
            <w:tcW w:w="1793" w:type="pct"/>
            <w:vAlign w:val="center"/>
          </w:tcPr>
          <w:p w14:paraId="5E63DC2E">
            <w:pPr>
              <w:jc w:val="center"/>
              <w:rPr>
                <w:rFonts w:ascii="宋体" w:hAnsi="宋体" w:cs="宋体"/>
                <w:b/>
                <w:sz w:val="22"/>
                <w:szCs w:val="22"/>
              </w:rPr>
            </w:pPr>
          </w:p>
        </w:tc>
        <w:tc>
          <w:tcPr>
            <w:tcW w:w="572" w:type="pct"/>
            <w:vAlign w:val="center"/>
          </w:tcPr>
          <w:p w14:paraId="7FC4DDCF">
            <w:pPr>
              <w:snapToGrid w:val="0"/>
              <w:spacing w:line="400" w:lineRule="atLeast"/>
              <w:jc w:val="center"/>
              <w:rPr>
                <w:rFonts w:ascii="宋体" w:hAnsi="宋体" w:cs="宋体"/>
                <w:b/>
                <w:sz w:val="22"/>
                <w:szCs w:val="22"/>
              </w:rPr>
            </w:pPr>
          </w:p>
        </w:tc>
        <w:tc>
          <w:tcPr>
            <w:tcW w:w="572" w:type="pct"/>
            <w:vAlign w:val="center"/>
          </w:tcPr>
          <w:p w14:paraId="0E0A3C70">
            <w:pPr>
              <w:jc w:val="center"/>
              <w:rPr>
                <w:rFonts w:ascii="宋体" w:hAnsi="宋体" w:cs="宋体"/>
                <w:b/>
                <w:sz w:val="22"/>
                <w:szCs w:val="22"/>
              </w:rPr>
            </w:pPr>
          </w:p>
        </w:tc>
        <w:tc>
          <w:tcPr>
            <w:tcW w:w="565" w:type="pct"/>
            <w:vAlign w:val="center"/>
          </w:tcPr>
          <w:p w14:paraId="0FF67523">
            <w:pPr>
              <w:jc w:val="center"/>
              <w:rPr>
                <w:rFonts w:ascii="宋体" w:hAnsi="宋体" w:cs="宋体"/>
                <w:b/>
                <w:sz w:val="22"/>
                <w:szCs w:val="22"/>
              </w:rPr>
            </w:pPr>
          </w:p>
        </w:tc>
      </w:tr>
      <w:tr w14:paraId="2ABF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98" w:type="pct"/>
            <w:vAlign w:val="center"/>
          </w:tcPr>
          <w:p w14:paraId="43B13226">
            <w:pPr>
              <w:jc w:val="center"/>
              <w:rPr>
                <w:rFonts w:ascii="宋体" w:hAnsi="宋体" w:cs="宋体"/>
                <w:b/>
                <w:sz w:val="22"/>
                <w:szCs w:val="22"/>
              </w:rPr>
            </w:pPr>
          </w:p>
        </w:tc>
        <w:tc>
          <w:tcPr>
            <w:tcW w:w="996" w:type="pct"/>
            <w:vAlign w:val="center"/>
          </w:tcPr>
          <w:p w14:paraId="126E41DE">
            <w:pPr>
              <w:jc w:val="center"/>
              <w:rPr>
                <w:rFonts w:ascii="宋体" w:hAnsi="宋体" w:cs="宋体"/>
                <w:b/>
                <w:sz w:val="22"/>
                <w:szCs w:val="22"/>
              </w:rPr>
            </w:pPr>
          </w:p>
        </w:tc>
        <w:tc>
          <w:tcPr>
            <w:tcW w:w="1793" w:type="pct"/>
            <w:vAlign w:val="center"/>
          </w:tcPr>
          <w:p w14:paraId="0D27ED16">
            <w:pPr>
              <w:jc w:val="center"/>
              <w:rPr>
                <w:rFonts w:ascii="宋体" w:hAnsi="宋体" w:cs="宋体"/>
                <w:b/>
                <w:sz w:val="22"/>
                <w:szCs w:val="22"/>
              </w:rPr>
            </w:pPr>
          </w:p>
        </w:tc>
        <w:tc>
          <w:tcPr>
            <w:tcW w:w="572" w:type="pct"/>
            <w:vAlign w:val="center"/>
          </w:tcPr>
          <w:p w14:paraId="7CDBAC2D">
            <w:pPr>
              <w:snapToGrid w:val="0"/>
              <w:spacing w:line="400" w:lineRule="atLeast"/>
              <w:jc w:val="center"/>
              <w:rPr>
                <w:rFonts w:ascii="宋体" w:hAnsi="宋体" w:cs="宋体"/>
                <w:b/>
                <w:sz w:val="22"/>
                <w:szCs w:val="22"/>
              </w:rPr>
            </w:pPr>
          </w:p>
        </w:tc>
        <w:tc>
          <w:tcPr>
            <w:tcW w:w="572" w:type="pct"/>
            <w:vAlign w:val="center"/>
          </w:tcPr>
          <w:p w14:paraId="36033323">
            <w:pPr>
              <w:jc w:val="center"/>
              <w:rPr>
                <w:rFonts w:ascii="宋体" w:hAnsi="宋体" w:cs="宋体"/>
                <w:b/>
                <w:sz w:val="22"/>
                <w:szCs w:val="22"/>
              </w:rPr>
            </w:pPr>
          </w:p>
        </w:tc>
        <w:tc>
          <w:tcPr>
            <w:tcW w:w="565" w:type="pct"/>
            <w:vAlign w:val="center"/>
          </w:tcPr>
          <w:p w14:paraId="7A3E30EB">
            <w:pPr>
              <w:jc w:val="center"/>
              <w:rPr>
                <w:rFonts w:ascii="宋体" w:hAnsi="宋体" w:cs="宋体"/>
                <w:b/>
                <w:sz w:val="22"/>
                <w:szCs w:val="22"/>
              </w:rPr>
            </w:pPr>
          </w:p>
        </w:tc>
      </w:tr>
      <w:tr w14:paraId="5297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288" w:type="pct"/>
            <w:gridSpan w:val="3"/>
            <w:vAlign w:val="center"/>
          </w:tcPr>
          <w:p w14:paraId="4DD4C0E5">
            <w:pPr>
              <w:jc w:val="center"/>
              <w:rPr>
                <w:rFonts w:ascii="宋体" w:hAnsi="宋体" w:cs="宋体"/>
                <w:b/>
                <w:sz w:val="22"/>
                <w:szCs w:val="22"/>
              </w:rPr>
            </w:pPr>
            <w:r>
              <w:rPr>
                <w:rFonts w:hint="eastAsia" w:ascii="宋体" w:hAnsi="宋体" w:cs="宋体"/>
                <w:sz w:val="22"/>
                <w:szCs w:val="22"/>
              </w:rPr>
              <w:t>合计价</w:t>
            </w:r>
          </w:p>
        </w:tc>
        <w:tc>
          <w:tcPr>
            <w:tcW w:w="1711" w:type="pct"/>
            <w:gridSpan w:val="3"/>
            <w:vAlign w:val="center"/>
          </w:tcPr>
          <w:p w14:paraId="63E6515A">
            <w:pPr>
              <w:jc w:val="center"/>
              <w:rPr>
                <w:rFonts w:ascii="宋体" w:hAnsi="宋体" w:cs="宋体"/>
                <w:b/>
                <w:sz w:val="22"/>
                <w:szCs w:val="22"/>
              </w:rPr>
            </w:pPr>
          </w:p>
        </w:tc>
      </w:tr>
    </w:tbl>
    <w:p w14:paraId="13BCBED3">
      <w:pPr>
        <w:pStyle w:val="23"/>
        <w:spacing w:line="440" w:lineRule="atLeast"/>
        <w:rPr>
          <w:rFonts w:hAnsi="宋体" w:cs="宋体"/>
        </w:rPr>
      </w:pPr>
      <w:r>
        <w:rPr>
          <w:rFonts w:hint="eastAsia" w:hAnsi="宋体" w:cs="宋体"/>
          <w:b/>
          <w:sz w:val="22"/>
          <w:szCs w:val="22"/>
        </w:rPr>
        <w:t>说明：</w:t>
      </w:r>
      <w:r>
        <w:rPr>
          <w:rFonts w:hint="eastAsia" w:hAnsi="宋体" w:cs="宋体"/>
        </w:rPr>
        <w:t xml:space="preserve"> </w:t>
      </w:r>
    </w:p>
    <w:p w14:paraId="587FE920">
      <w:pPr>
        <w:spacing w:line="400" w:lineRule="exact"/>
        <w:ind w:left="420" w:firstLine="210" w:firstLineChars="100"/>
        <w:rPr>
          <w:rFonts w:ascii="宋体" w:hAnsi="宋体" w:cs="宋体"/>
          <w:szCs w:val="21"/>
        </w:rPr>
      </w:pPr>
      <w:r>
        <w:rPr>
          <w:rFonts w:hint="eastAsia" w:ascii="宋体" w:hAnsi="宋体" w:cs="宋体"/>
          <w:szCs w:val="21"/>
        </w:rPr>
        <w:t>1、总计价应与“开标一览表”中投标总价对应相一致。</w:t>
      </w:r>
    </w:p>
    <w:p w14:paraId="78932540">
      <w:pPr>
        <w:spacing w:line="400" w:lineRule="exact"/>
        <w:ind w:left="420" w:firstLine="210" w:firstLineChars="100"/>
        <w:rPr>
          <w:rFonts w:ascii="宋体" w:hAnsi="宋体" w:cs="宋体"/>
          <w:szCs w:val="21"/>
        </w:rPr>
      </w:pPr>
      <w:r>
        <w:rPr>
          <w:rFonts w:hint="eastAsia" w:ascii="宋体" w:hAnsi="宋体" w:cs="宋体"/>
          <w:szCs w:val="21"/>
        </w:rPr>
        <w:t>2、各项费用如已包含在产品价格中请注明“含”，若免费请注明“免”，若没有请注明“无”。</w:t>
      </w:r>
    </w:p>
    <w:p w14:paraId="179F1C55">
      <w:pPr>
        <w:spacing w:line="400" w:lineRule="exact"/>
        <w:ind w:left="420" w:firstLine="210" w:firstLineChars="100"/>
        <w:rPr>
          <w:rFonts w:ascii="宋体" w:hAnsi="宋体" w:cs="宋体"/>
        </w:rPr>
      </w:pPr>
      <w:r>
        <w:rPr>
          <w:rFonts w:hint="eastAsia" w:ascii="宋体" w:hAnsi="宋体" w:cs="宋体"/>
        </w:rPr>
        <w:t>3、</w:t>
      </w:r>
      <w:r>
        <w:rPr>
          <w:rFonts w:hint="eastAsia" w:ascii="宋体" w:hAnsi="宋体" w:cs="宋体"/>
          <w:szCs w:val="21"/>
        </w:rPr>
        <w:t>本表</w:t>
      </w:r>
      <w:r>
        <w:rPr>
          <w:rFonts w:hint="eastAsia" w:ascii="宋体" w:hAnsi="宋体" w:cs="宋体"/>
        </w:rPr>
        <w:t>可在不改变格式的情况下根据具体需要自行增减。</w:t>
      </w:r>
    </w:p>
    <w:p w14:paraId="5955EFCD">
      <w:pPr>
        <w:spacing w:line="400" w:lineRule="exact"/>
        <w:ind w:left="420" w:firstLine="221" w:firstLineChars="100"/>
        <w:rPr>
          <w:rFonts w:ascii="宋体" w:hAnsi="宋体" w:cs="宋体"/>
          <w:b/>
          <w:sz w:val="22"/>
          <w:szCs w:val="22"/>
        </w:rPr>
      </w:pPr>
      <w:r>
        <w:rPr>
          <w:rFonts w:hint="eastAsia" w:ascii="宋体" w:hAnsi="宋体" w:cs="宋体"/>
          <w:b/>
          <w:sz w:val="22"/>
          <w:szCs w:val="22"/>
        </w:rPr>
        <w:t xml:space="preserve">4、▲ </w:t>
      </w:r>
      <w:r>
        <w:rPr>
          <w:rFonts w:hint="eastAsia" w:ascii="宋体" w:hAnsi="宋体" w:cs="宋体"/>
          <w:b/>
          <w:sz w:val="22"/>
          <w:szCs w:val="22"/>
          <w:u w:val="single"/>
        </w:rPr>
        <w:t>不提供此表格的将视为没有实质性响应招标文件。</w:t>
      </w:r>
    </w:p>
    <w:p w14:paraId="205EA27F">
      <w:pPr>
        <w:widowControl/>
        <w:spacing w:line="460" w:lineRule="exact"/>
        <w:ind w:firstLine="440"/>
        <w:jc w:val="left"/>
        <w:rPr>
          <w:rFonts w:ascii="宋体" w:hAnsi="宋体" w:cs="宋体"/>
          <w:sz w:val="22"/>
          <w:szCs w:val="22"/>
        </w:rPr>
      </w:pPr>
      <w:r>
        <w:rPr>
          <w:rFonts w:hint="eastAsia" w:ascii="宋体" w:hAnsi="宋体" w:cs="宋体"/>
          <w:sz w:val="22"/>
          <w:szCs w:val="22"/>
        </w:rPr>
        <w:t>投标供应商（盖章） ：</w:t>
      </w:r>
    </w:p>
    <w:p w14:paraId="7A5BFC00">
      <w:pPr>
        <w:spacing w:line="460" w:lineRule="atLeast"/>
        <w:ind w:firstLine="440"/>
        <w:rPr>
          <w:rFonts w:ascii="宋体" w:hAnsi="宋体" w:cs="宋体"/>
          <w:sz w:val="36"/>
        </w:rPr>
      </w:pPr>
      <w:r>
        <w:rPr>
          <w:rFonts w:hint="eastAsia" w:ascii="宋体" w:hAnsi="宋体" w:cs="宋体"/>
          <w:sz w:val="22"/>
          <w:szCs w:val="22"/>
        </w:rPr>
        <w:t>日期：</w:t>
      </w:r>
    </w:p>
    <w:p w14:paraId="4B361CC8">
      <w:pPr>
        <w:spacing w:line="460" w:lineRule="atLeast"/>
        <w:ind w:firstLine="440"/>
        <w:rPr>
          <w:rFonts w:cs="Courier New" w:asciiTheme="majorEastAsia" w:hAnsiTheme="majorEastAsia" w:eastAsiaTheme="majorEastAsia"/>
          <w:sz w:val="22"/>
          <w:szCs w:val="22"/>
        </w:rPr>
      </w:pPr>
    </w:p>
    <w:p w14:paraId="47DECA73">
      <w:pPr>
        <w:pStyle w:val="41"/>
        <w:ind w:firstLine="210"/>
        <w:rPr>
          <w:rFonts w:asciiTheme="majorEastAsia" w:hAnsiTheme="majorEastAsia" w:eastAsiaTheme="majorEastAsia"/>
        </w:rPr>
      </w:pPr>
      <w:r>
        <w:rPr>
          <w:rFonts w:asciiTheme="majorEastAsia" w:hAnsiTheme="majorEastAsia" w:eastAsiaTheme="majorEastAsia"/>
        </w:rPr>
        <w:br w:type="page"/>
      </w:r>
    </w:p>
    <w:p w14:paraId="60C12DF0">
      <w:pPr>
        <w:pStyle w:val="39"/>
        <w:rPr>
          <w:rFonts w:asciiTheme="majorEastAsia" w:hAnsiTheme="majorEastAsia" w:eastAsiaTheme="majorEastAsia"/>
        </w:rPr>
      </w:pPr>
      <w:bookmarkStart w:id="152" w:name="_Toc42678695"/>
      <w:bookmarkStart w:id="153" w:name="_Toc65830025"/>
      <w:bookmarkStart w:id="154" w:name="_Toc42243287"/>
      <w:bookmarkStart w:id="155" w:name="_Toc6383"/>
      <w:bookmarkStart w:id="156" w:name="_Toc65590097"/>
      <w:r>
        <w:rPr>
          <w:rFonts w:hint="eastAsia" w:asciiTheme="majorEastAsia" w:hAnsiTheme="majorEastAsia" w:eastAsiaTheme="majorEastAsia"/>
        </w:rPr>
        <w:t>三、商务技术文件部分格式</w:t>
      </w:r>
      <w:bookmarkEnd w:id="152"/>
      <w:bookmarkEnd w:id="153"/>
      <w:bookmarkEnd w:id="154"/>
      <w:bookmarkEnd w:id="155"/>
      <w:bookmarkEnd w:id="156"/>
    </w:p>
    <w:p w14:paraId="36BE1319">
      <w:pPr>
        <w:widowControl/>
        <w:spacing w:line="460" w:lineRule="atLeast"/>
        <w:jc w:val="left"/>
        <w:rPr>
          <w:rFonts w:asciiTheme="majorEastAsia" w:hAnsiTheme="majorEastAsia" w:eastAsiaTheme="majorEastAsia"/>
          <w:b/>
          <w:bCs/>
          <w:sz w:val="22"/>
          <w:szCs w:val="22"/>
        </w:rPr>
      </w:pPr>
      <w:bookmarkStart w:id="157" w:name="_Toc493530215"/>
      <w:r>
        <w:rPr>
          <w:rFonts w:hint="eastAsia" w:asciiTheme="majorEastAsia" w:hAnsiTheme="majorEastAsia" w:eastAsiaTheme="majorEastAsia"/>
          <w:b/>
          <w:sz w:val="22"/>
          <w:szCs w:val="22"/>
        </w:rPr>
        <w:t>附件</w:t>
      </w:r>
      <w:bookmarkEnd w:id="157"/>
      <w:r>
        <w:rPr>
          <w:rFonts w:hint="eastAsia" w:asciiTheme="majorEastAsia" w:hAnsiTheme="majorEastAsia" w:eastAsiaTheme="majorEastAsia"/>
          <w:b/>
          <w:sz w:val="22"/>
          <w:szCs w:val="22"/>
        </w:rPr>
        <w:t>四</w:t>
      </w:r>
    </w:p>
    <w:p w14:paraId="6C4ECBD1">
      <w:pPr>
        <w:pStyle w:val="39"/>
        <w:rPr>
          <w:rFonts w:asciiTheme="majorEastAsia" w:hAnsiTheme="majorEastAsia" w:eastAsiaTheme="majorEastAsia"/>
        </w:rPr>
      </w:pPr>
      <w:bookmarkStart w:id="158" w:name="_Toc42678617"/>
      <w:bookmarkStart w:id="159" w:name="_Toc97033074"/>
      <w:bookmarkStart w:id="160" w:name="_Toc29259"/>
      <w:bookmarkStart w:id="161" w:name="_Toc518512534"/>
      <w:bookmarkStart w:id="162" w:name="_Toc42678030"/>
      <w:bookmarkStart w:id="163" w:name="_Toc522469119"/>
      <w:bookmarkStart w:id="164" w:name="_Toc511045481"/>
      <w:bookmarkStart w:id="165" w:name="_Toc18949"/>
      <w:bookmarkStart w:id="166" w:name="_Toc68188793"/>
      <w:bookmarkStart w:id="167" w:name="_Toc42678185"/>
      <w:bookmarkStart w:id="168" w:name="_Toc19204521"/>
      <w:bookmarkStart w:id="169" w:name="_Toc9334949"/>
      <w:bookmarkStart w:id="170" w:name="_Toc21520"/>
      <w:bookmarkStart w:id="171" w:name="_Toc87518596"/>
      <w:bookmarkStart w:id="172" w:name="_Toc42243288"/>
      <w:bookmarkStart w:id="173" w:name="_Toc87518419"/>
      <w:bookmarkStart w:id="174" w:name="_Toc61444217"/>
      <w:bookmarkStart w:id="175" w:name="_Toc65830026"/>
      <w:bookmarkStart w:id="176" w:name="_Toc96970932"/>
      <w:bookmarkStart w:id="177" w:name="_Toc68189107"/>
      <w:bookmarkStart w:id="178" w:name="_Toc65590098"/>
      <w:bookmarkStart w:id="179" w:name="_Toc42678696"/>
      <w:bookmarkStart w:id="180" w:name="_Toc68187557"/>
      <w:r>
        <w:rPr>
          <w:rFonts w:hint="eastAsia" w:asciiTheme="majorEastAsia" w:hAnsiTheme="majorEastAsia" w:eastAsiaTheme="majorEastAsia"/>
        </w:rPr>
        <w:t>投 标 函</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DCD0B5A">
      <w:pPr>
        <w:autoSpaceDE w:val="0"/>
        <w:autoSpaceDN w:val="0"/>
        <w:adjustRightInd w:val="0"/>
        <w:snapToGrid w:val="0"/>
        <w:spacing w:line="480" w:lineRule="atLeast"/>
        <w:rPr>
          <w:rFonts w:asciiTheme="majorEastAsia" w:hAnsiTheme="majorEastAsia" w:eastAsiaTheme="majorEastAsia"/>
          <w:b/>
          <w:sz w:val="22"/>
          <w:u w:val="single"/>
        </w:rPr>
      </w:pPr>
      <w:r>
        <w:rPr>
          <w:rFonts w:hint="eastAsia" w:cs="仿宋_GB2312" w:asciiTheme="majorEastAsia" w:hAnsiTheme="majorEastAsia" w:eastAsiaTheme="majorEastAsia"/>
          <w:b/>
          <w:sz w:val="22"/>
          <w:u w:val="single"/>
          <w:lang w:val="zh-CN"/>
        </w:rPr>
        <w:t xml:space="preserve">  （采购人）   ：</w:t>
      </w:r>
    </w:p>
    <w:p w14:paraId="7361736E">
      <w:pPr>
        <w:spacing w:line="420" w:lineRule="exact"/>
        <w:ind w:firstLine="440" w:firstLineChars="200"/>
        <w:rPr>
          <w:rFonts w:ascii="新宋体" w:hAnsi="新宋体" w:eastAsia="新宋体"/>
          <w:sz w:val="22"/>
          <w:szCs w:val="22"/>
        </w:rPr>
      </w:pPr>
      <w:r>
        <w:rPr>
          <w:rFonts w:hint="eastAsia" w:ascii="新宋体" w:hAnsi="新宋体" w:eastAsia="新宋体"/>
          <w:sz w:val="22"/>
          <w:szCs w:val="22"/>
        </w:rPr>
        <w:t>根据贵方为</w:t>
      </w:r>
      <w:r>
        <w:rPr>
          <w:rFonts w:hint="eastAsia" w:ascii="新宋体" w:hAnsi="新宋体" w:eastAsia="新宋体"/>
          <w:sz w:val="22"/>
          <w:szCs w:val="22"/>
          <w:u w:val="single"/>
        </w:rPr>
        <w:t xml:space="preserve">             </w:t>
      </w:r>
      <w:r>
        <w:rPr>
          <w:rFonts w:hint="eastAsia" w:ascii="新宋体" w:hAnsi="新宋体" w:eastAsia="新宋体"/>
          <w:sz w:val="22"/>
          <w:szCs w:val="22"/>
        </w:rPr>
        <w:t>项目（项目编号：</w:t>
      </w:r>
      <w:r>
        <w:rPr>
          <w:rFonts w:hint="eastAsia" w:ascii="新宋体" w:hAnsi="新宋体" w:eastAsia="新宋体"/>
          <w:sz w:val="22"/>
          <w:szCs w:val="22"/>
          <w:u w:val="single"/>
        </w:rPr>
        <w:t xml:space="preserve">        </w:t>
      </w:r>
      <w:r>
        <w:rPr>
          <w:rFonts w:hint="eastAsia" w:ascii="新宋体" w:hAnsi="新宋体" w:eastAsia="新宋体"/>
          <w:sz w:val="22"/>
          <w:szCs w:val="22"/>
        </w:rPr>
        <w:t>）的投标邀请，我方</w:t>
      </w:r>
      <w:r>
        <w:rPr>
          <w:rFonts w:hint="eastAsia" w:ascii="新宋体" w:hAnsi="新宋体" w:eastAsia="新宋体"/>
          <w:sz w:val="22"/>
          <w:szCs w:val="22"/>
          <w:u w:val="single"/>
        </w:rPr>
        <w:t xml:space="preserve">           　　</w:t>
      </w:r>
      <w:r>
        <w:rPr>
          <w:rFonts w:hint="eastAsia" w:ascii="新宋体" w:hAnsi="新宋体" w:eastAsia="新宋体"/>
          <w:sz w:val="22"/>
          <w:szCs w:val="22"/>
        </w:rPr>
        <w:t>（供应商名称）作为供应商正式授权</w:t>
      </w:r>
      <w:r>
        <w:rPr>
          <w:rFonts w:hint="eastAsia" w:ascii="新宋体" w:hAnsi="新宋体" w:eastAsia="新宋体"/>
          <w:sz w:val="22"/>
          <w:szCs w:val="22"/>
          <w:u w:val="single"/>
        </w:rPr>
        <w:t xml:space="preserve">　           </w:t>
      </w:r>
      <w:r>
        <w:rPr>
          <w:rFonts w:hint="eastAsia" w:ascii="新宋体" w:hAnsi="新宋体" w:eastAsia="新宋体"/>
          <w:sz w:val="22"/>
          <w:szCs w:val="22"/>
        </w:rPr>
        <w:t>（授权代表全名，职务）代表我方处理有关本项目投标的一切事宜。</w:t>
      </w:r>
    </w:p>
    <w:p w14:paraId="5AB5275E">
      <w:pPr>
        <w:autoSpaceDE w:val="0"/>
        <w:autoSpaceDN w:val="0"/>
        <w:adjustRightInd w:val="0"/>
        <w:spacing w:line="420" w:lineRule="atLeast"/>
        <w:ind w:firstLine="440" w:firstLineChars="200"/>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在此提交的投标文件中，包括如下内容，并已分别单独提交：</w:t>
      </w:r>
    </w:p>
    <w:p w14:paraId="77ADFE76">
      <w:pPr>
        <w:numPr>
          <w:ilvl w:val="0"/>
          <w:numId w:val="5"/>
        </w:numPr>
        <w:spacing w:line="420" w:lineRule="exact"/>
        <w:rPr>
          <w:rFonts w:ascii="新宋体" w:hAnsi="新宋体" w:eastAsia="新宋体" w:cs="新宋体"/>
          <w:szCs w:val="21"/>
        </w:rPr>
      </w:pPr>
      <w:r>
        <w:rPr>
          <w:rFonts w:hint="eastAsia" w:ascii="新宋体" w:hAnsi="新宋体" w:eastAsia="新宋体" w:cs="新宋体"/>
          <w:sz w:val="22"/>
        </w:rPr>
        <w:t>按“供应商须知”要求编制的投标文件资格审查资料 ；</w:t>
      </w:r>
    </w:p>
    <w:p w14:paraId="294B4C93">
      <w:pPr>
        <w:numPr>
          <w:ilvl w:val="0"/>
          <w:numId w:val="5"/>
        </w:numPr>
        <w:spacing w:line="420" w:lineRule="exact"/>
        <w:rPr>
          <w:rFonts w:ascii="新宋体" w:hAnsi="新宋体" w:eastAsia="新宋体" w:cs="新宋体"/>
          <w:szCs w:val="21"/>
        </w:rPr>
      </w:pPr>
      <w:r>
        <w:rPr>
          <w:rFonts w:hint="eastAsia" w:ascii="新宋体" w:hAnsi="新宋体" w:eastAsia="新宋体" w:cs="新宋体"/>
          <w:sz w:val="22"/>
        </w:rPr>
        <w:t>按“供应商须知”要求编制的投标文件商务技术文件 ；</w:t>
      </w:r>
    </w:p>
    <w:p w14:paraId="3546E5B3">
      <w:pPr>
        <w:numPr>
          <w:ilvl w:val="0"/>
          <w:numId w:val="5"/>
        </w:numPr>
        <w:spacing w:line="420" w:lineRule="exact"/>
        <w:rPr>
          <w:rFonts w:ascii="新宋体" w:hAnsi="新宋体" w:eastAsia="新宋体" w:cs="新宋体"/>
          <w:szCs w:val="21"/>
        </w:rPr>
      </w:pPr>
      <w:r>
        <w:rPr>
          <w:rFonts w:hint="eastAsia" w:ascii="新宋体" w:hAnsi="新宋体" w:eastAsia="新宋体" w:cs="新宋体"/>
          <w:sz w:val="22"/>
        </w:rPr>
        <w:t>按“供应商须知”要求编制的投标文件报价文件 。</w:t>
      </w:r>
    </w:p>
    <w:p w14:paraId="6A55C21F">
      <w:pPr>
        <w:autoSpaceDE w:val="0"/>
        <w:autoSpaceDN w:val="0"/>
        <w:adjustRightInd w:val="0"/>
        <w:spacing w:line="420" w:lineRule="atLeast"/>
        <w:ind w:firstLine="440"/>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我方已完全明白采购文件的所有条款要求，并重申以下几点：</w:t>
      </w:r>
    </w:p>
    <w:p w14:paraId="2699468A">
      <w:pPr>
        <w:numPr>
          <w:ilvl w:val="0"/>
          <w:numId w:val="6"/>
        </w:numPr>
        <w:spacing w:line="420" w:lineRule="exact"/>
        <w:rPr>
          <w:rFonts w:ascii="新宋体" w:hAnsi="新宋体" w:eastAsia="新宋体" w:cs="新宋体"/>
          <w:sz w:val="22"/>
        </w:rPr>
      </w:pPr>
      <w:r>
        <w:rPr>
          <w:rFonts w:hint="eastAsia" w:ascii="新宋体" w:hAnsi="新宋体" w:eastAsia="新宋体" w:cs="新宋体"/>
          <w:sz w:val="22"/>
        </w:rPr>
        <w:t>已详细阅读全部采购文件，包括采购文件补充文件（如果有，包括相关的补充、更正、澄清公告和文件）、参考资料及有关附件，确认无误。我方完全理解并接受采购文件的各项规定和要求。</w:t>
      </w:r>
    </w:p>
    <w:p w14:paraId="48B1BA9A">
      <w:pPr>
        <w:numPr>
          <w:ilvl w:val="0"/>
          <w:numId w:val="6"/>
        </w:numPr>
        <w:spacing w:line="420" w:lineRule="exact"/>
        <w:rPr>
          <w:rFonts w:ascii="新宋体" w:hAnsi="新宋体" w:eastAsia="新宋体" w:cs="新宋体"/>
          <w:sz w:val="22"/>
        </w:rPr>
      </w:pPr>
      <w:r>
        <w:rPr>
          <w:rFonts w:hint="eastAsia" w:ascii="新宋体" w:hAnsi="新宋体" w:eastAsia="新宋体" w:cs="新宋体"/>
          <w:sz w:val="22"/>
        </w:rPr>
        <w:t>同意提供按照贵方可能要求的与投标有关的一切数据或资料等。若贵方需要，我方愿意提供我方做出的一切承诺的证明材料。</w:t>
      </w:r>
    </w:p>
    <w:p w14:paraId="172A06E0">
      <w:pPr>
        <w:numPr>
          <w:ilvl w:val="0"/>
          <w:numId w:val="6"/>
        </w:numPr>
        <w:spacing w:line="420" w:lineRule="exact"/>
        <w:rPr>
          <w:rFonts w:ascii="新宋体" w:hAnsi="新宋体" w:eastAsia="新宋体" w:cs="新宋体"/>
          <w:sz w:val="22"/>
        </w:rPr>
      </w:pPr>
      <w:r>
        <w:rPr>
          <w:rFonts w:hint="eastAsia" w:ascii="新宋体" w:hAnsi="新宋体" w:eastAsia="新宋体" w:cs="新宋体"/>
          <w:sz w:val="22"/>
        </w:rPr>
        <w:t>如中标，保证按照采购文件要求及投标文件的承诺与采购人签订合同，保证履行合同条款。</w:t>
      </w:r>
    </w:p>
    <w:p w14:paraId="7626972F">
      <w:pPr>
        <w:numPr>
          <w:ilvl w:val="0"/>
          <w:numId w:val="6"/>
        </w:numPr>
        <w:spacing w:line="420" w:lineRule="exact"/>
        <w:rPr>
          <w:rFonts w:ascii="新宋体" w:hAnsi="新宋体" w:eastAsia="新宋体" w:cs="新宋体"/>
          <w:sz w:val="22"/>
        </w:rPr>
      </w:pPr>
      <w:r>
        <w:rPr>
          <w:rFonts w:hint="eastAsia" w:ascii="新宋体" w:hAnsi="新宋体" w:eastAsia="新宋体" w:cs="新宋体"/>
          <w:sz w:val="22"/>
        </w:rPr>
        <w:t>同意在采购文件中供应商须知规定的开标日期起遵守本投标书中的承诺且在投标有效期满之前均具有约束力。</w:t>
      </w:r>
    </w:p>
    <w:p w14:paraId="2AD5BBB9">
      <w:pPr>
        <w:numPr>
          <w:ilvl w:val="0"/>
          <w:numId w:val="6"/>
        </w:numPr>
        <w:spacing w:line="420" w:lineRule="exact"/>
        <w:rPr>
          <w:rFonts w:ascii="新宋体" w:hAnsi="新宋体" w:eastAsia="新宋体" w:cs="新宋体"/>
          <w:sz w:val="22"/>
        </w:rPr>
      </w:pPr>
      <w:r>
        <w:rPr>
          <w:rFonts w:hint="eastAsia" w:ascii="新宋体" w:hAnsi="新宋体" w:eastAsia="新宋体" w:cs="新宋体"/>
          <w:sz w:val="22"/>
        </w:rPr>
        <w:t>如果在开标后规定的投标有效期内撤回投标，我方接受贵方处罚。</w:t>
      </w:r>
    </w:p>
    <w:p w14:paraId="1754F724">
      <w:pPr>
        <w:numPr>
          <w:ilvl w:val="0"/>
          <w:numId w:val="6"/>
        </w:numPr>
        <w:spacing w:line="420" w:lineRule="exact"/>
        <w:rPr>
          <w:rFonts w:ascii="新宋体" w:hAnsi="新宋体" w:eastAsia="新宋体" w:cs="新宋体"/>
          <w:sz w:val="22"/>
        </w:rPr>
      </w:pPr>
      <w:r>
        <w:rPr>
          <w:rFonts w:hint="eastAsia" w:ascii="新宋体" w:hAnsi="新宋体" w:eastAsia="新宋体" w:cs="新宋体"/>
          <w:sz w:val="22"/>
        </w:rPr>
        <w:t>完全理解贵方不一定要接受最低价的投标。</w:t>
      </w:r>
    </w:p>
    <w:p w14:paraId="6C2C2E69">
      <w:pPr>
        <w:numPr>
          <w:ilvl w:val="0"/>
          <w:numId w:val="6"/>
        </w:numPr>
        <w:spacing w:line="420" w:lineRule="exact"/>
        <w:rPr>
          <w:rFonts w:ascii="新宋体" w:hAnsi="新宋体" w:eastAsia="新宋体" w:cs="新宋体"/>
          <w:sz w:val="22"/>
        </w:rPr>
      </w:pPr>
      <w:r>
        <w:rPr>
          <w:rFonts w:hint="eastAsia" w:ascii="新宋体" w:hAnsi="新宋体" w:eastAsia="新宋体" w:cs="新宋体"/>
          <w:sz w:val="22"/>
        </w:rPr>
        <w:t>在参加本项目前三年内（被通报或者处罚的违法行为有：</w:t>
      </w:r>
      <w:r>
        <w:rPr>
          <w:rFonts w:hint="eastAsia" w:ascii="新宋体" w:hAnsi="新宋体" w:eastAsia="新宋体" w:cs="新宋体"/>
          <w:sz w:val="22"/>
          <w:u w:val="single"/>
        </w:rPr>
        <w:t xml:space="preserve">                  </w:t>
      </w:r>
      <w:r>
        <w:rPr>
          <w:rFonts w:hint="eastAsia" w:ascii="新宋体" w:hAnsi="新宋体" w:eastAsia="新宋体" w:cs="新宋体"/>
          <w:sz w:val="22"/>
        </w:rPr>
        <w:t>）或（没有因违法经营受到刑事处罚或者责令停产停业、吊销许可证或者执照、较大数额罚款等行政处罚或处罚）或（在</w:t>
      </w:r>
      <w:r>
        <w:rPr>
          <w:rFonts w:hint="eastAsia" w:ascii="新宋体" w:hAnsi="新宋体" w:eastAsia="新宋体" w:cs="新宋体"/>
          <w:sz w:val="22"/>
          <w:u w:val="single"/>
        </w:rPr>
        <w:t xml:space="preserve">  </w:t>
      </w:r>
      <w:r>
        <w:rPr>
          <w:rFonts w:hint="eastAsia" w:ascii="新宋体" w:hAnsi="新宋体" w:eastAsia="新宋体" w:cs="新宋体"/>
          <w:sz w:val="22"/>
        </w:rPr>
        <w:t>至</w:t>
      </w:r>
      <w:r>
        <w:rPr>
          <w:rFonts w:hint="eastAsia" w:ascii="新宋体" w:hAnsi="新宋体" w:eastAsia="新宋体" w:cs="新宋体"/>
          <w:sz w:val="22"/>
          <w:u w:val="single"/>
        </w:rPr>
        <w:t xml:space="preserve">  </w:t>
      </w:r>
      <w:r>
        <w:rPr>
          <w:rFonts w:hint="eastAsia" w:ascii="新宋体" w:hAnsi="新宋体" w:eastAsia="新宋体" w:cs="新宋体"/>
          <w:sz w:val="22"/>
        </w:rPr>
        <w:t>期间禁止参加政府采购活动但是期限届满，须附相关证明文件）</w:t>
      </w:r>
    </w:p>
    <w:p w14:paraId="58878D37">
      <w:pPr>
        <w:numPr>
          <w:ilvl w:val="0"/>
          <w:numId w:val="6"/>
        </w:numPr>
        <w:spacing w:line="420" w:lineRule="exact"/>
        <w:rPr>
          <w:rFonts w:ascii="新宋体" w:hAnsi="新宋体" w:eastAsia="新宋体" w:cs="新宋体"/>
          <w:sz w:val="22"/>
        </w:rPr>
      </w:pPr>
      <w:r>
        <w:rPr>
          <w:rFonts w:hint="eastAsia" w:ascii="新宋体" w:hAnsi="新宋体" w:eastAsia="新宋体" w:cs="新宋体"/>
          <w:sz w:val="22"/>
        </w:rPr>
        <w:t>在投标截止前（未被“信用中国”网站（)列入失信被执行人、重大税收违法案件当事人名单；未被“中国政府采购网”()列入政府采购严重违法失信行为记录名单。）或（被“信用中国”或“中国政府采购网”列入……名单。）</w:t>
      </w:r>
    </w:p>
    <w:p w14:paraId="3F5A8CB1">
      <w:pPr>
        <w:numPr>
          <w:ilvl w:val="0"/>
          <w:numId w:val="6"/>
        </w:numPr>
        <w:spacing w:line="420" w:lineRule="exact"/>
        <w:rPr>
          <w:rFonts w:ascii="新宋体" w:hAnsi="新宋体" w:eastAsia="新宋体" w:cs="新宋体"/>
          <w:sz w:val="22"/>
        </w:rPr>
      </w:pPr>
      <w:r>
        <w:rPr>
          <w:rFonts w:hint="eastAsia" w:ascii="新宋体" w:hAnsi="新宋体" w:eastAsia="新宋体" w:cs="新宋体"/>
          <w:sz w:val="22"/>
        </w:rPr>
        <w:t>如有下列情形之一的，我方愿意被取消中标资格（如中标），同时继续承担其他一切法律后果，并不再寻求任何旨在减轻或免除法律责任的解释：</w:t>
      </w:r>
    </w:p>
    <w:p w14:paraId="4838F7F2">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（1）提供虚假材料（承诺）谋取中标、成交的；</w:t>
      </w:r>
    </w:p>
    <w:p w14:paraId="7403175C">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（2）采取不正当手段诋毁、排挤其他供应商的；</w:t>
      </w:r>
    </w:p>
    <w:p w14:paraId="0548E398">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（3）与采购人、其他供应商或者采购代理机构恶意串通的；</w:t>
      </w:r>
    </w:p>
    <w:p w14:paraId="55F4FBB9">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（4）向采购人、采购代理机构行贿或者提供其他不正当利益的；</w:t>
      </w:r>
    </w:p>
    <w:p w14:paraId="76D7DC42">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（5）在招标采购过程中与采购人进行协商谈判的；</w:t>
      </w:r>
    </w:p>
    <w:p w14:paraId="20FC1ADD">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（6）拒绝有关部门监督检查或提供虚假情况的。</w:t>
      </w:r>
    </w:p>
    <w:p w14:paraId="495AC033">
      <w:pPr>
        <w:numPr>
          <w:ilvl w:val="0"/>
          <w:numId w:val="6"/>
        </w:numPr>
        <w:spacing w:line="420" w:lineRule="exact"/>
        <w:rPr>
          <w:rFonts w:ascii="新宋体" w:hAnsi="新宋体" w:eastAsia="新宋体" w:cs="新宋体"/>
          <w:sz w:val="22"/>
        </w:rPr>
      </w:pPr>
      <w:r>
        <w:rPr>
          <w:rFonts w:hint="eastAsia" w:ascii="新宋体" w:hAnsi="新宋体" w:eastAsia="新宋体" w:cs="新宋体"/>
          <w:sz w:val="22"/>
        </w:rPr>
        <w:t>所有与本投标有关的函件请发往下列地址：</w:t>
      </w:r>
    </w:p>
    <w:p w14:paraId="31F23B54">
      <w:pPr>
        <w:spacing w:line="420" w:lineRule="exact"/>
        <w:ind w:firstLine="435"/>
        <w:rPr>
          <w:rFonts w:ascii="新宋体" w:hAnsi="新宋体" w:eastAsia="新宋体" w:cs="新宋体"/>
          <w:sz w:val="22"/>
          <w:szCs w:val="22"/>
        </w:rPr>
      </w:pPr>
      <w:r>
        <w:rPr>
          <w:rFonts w:hint="eastAsia" w:ascii="新宋体" w:hAnsi="新宋体" w:eastAsia="新宋体" w:cs="新宋体"/>
          <w:sz w:val="22"/>
          <w:szCs w:val="22"/>
        </w:rPr>
        <w:t xml:space="preserve">   地址</w:t>
      </w:r>
      <w:r>
        <w:rPr>
          <w:rFonts w:hint="eastAsia" w:ascii="新宋体" w:hAnsi="新宋体" w:eastAsia="新宋体" w:cs="新宋体"/>
          <w:sz w:val="22"/>
          <w:szCs w:val="22"/>
          <w:u w:val="single"/>
        </w:rPr>
        <w:t xml:space="preserve">                           </w:t>
      </w:r>
    </w:p>
    <w:p w14:paraId="7355ACEB">
      <w:pPr>
        <w:spacing w:line="420" w:lineRule="exact"/>
        <w:ind w:firstLine="435"/>
        <w:rPr>
          <w:rFonts w:ascii="新宋体" w:hAnsi="新宋体" w:eastAsia="新宋体" w:cs="新宋体"/>
          <w:sz w:val="22"/>
          <w:szCs w:val="22"/>
        </w:rPr>
      </w:pPr>
      <w:r>
        <w:rPr>
          <w:rFonts w:hint="eastAsia" w:ascii="新宋体" w:hAnsi="新宋体" w:eastAsia="新宋体" w:cs="新宋体"/>
          <w:sz w:val="22"/>
          <w:szCs w:val="22"/>
        </w:rPr>
        <w:t xml:space="preserve">   电话</w:t>
      </w:r>
      <w:r>
        <w:rPr>
          <w:rFonts w:hint="eastAsia" w:ascii="新宋体" w:hAnsi="新宋体" w:eastAsia="新宋体" w:cs="新宋体"/>
          <w:sz w:val="22"/>
          <w:szCs w:val="22"/>
          <w:u w:val="single"/>
        </w:rPr>
        <w:t xml:space="preserve">                           </w:t>
      </w:r>
    </w:p>
    <w:p w14:paraId="22FDA689">
      <w:pPr>
        <w:spacing w:line="420" w:lineRule="exact"/>
        <w:ind w:firstLine="435"/>
        <w:rPr>
          <w:rFonts w:ascii="新宋体" w:hAnsi="新宋体" w:eastAsia="新宋体" w:cs="新宋体"/>
          <w:sz w:val="22"/>
          <w:szCs w:val="22"/>
          <w:u w:val="single"/>
        </w:rPr>
      </w:pPr>
      <w:r>
        <w:rPr>
          <w:rFonts w:hint="eastAsia" w:ascii="新宋体" w:hAnsi="新宋体" w:eastAsia="新宋体" w:cs="新宋体"/>
          <w:sz w:val="22"/>
          <w:szCs w:val="22"/>
        </w:rPr>
        <w:t xml:space="preserve">   传真</w:t>
      </w:r>
      <w:r>
        <w:rPr>
          <w:rFonts w:hint="eastAsia" w:ascii="新宋体" w:hAnsi="新宋体" w:eastAsia="新宋体" w:cs="新宋体"/>
          <w:sz w:val="22"/>
          <w:szCs w:val="22"/>
          <w:u w:val="single"/>
        </w:rPr>
        <w:t xml:space="preserve">                           </w:t>
      </w:r>
    </w:p>
    <w:p w14:paraId="53841F1D">
      <w:pPr>
        <w:spacing w:line="420" w:lineRule="exact"/>
        <w:ind w:firstLine="770" w:firstLineChars="350"/>
        <w:rPr>
          <w:rFonts w:ascii="新宋体" w:hAnsi="新宋体" w:eastAsia="新宋体"/>
          <w:sz w:val="22"/>
          <w:szCs w:val="22"/>
        </w:rPr>
      </w:pPr>
      <w:r>
        <w:rPr>
          <w:rFonts w:hint="eastAsia" w:ascii="新宋体" w:hAnsi="新宋体" w:eastAsia="新宋体" w:cs="新宋体"/>
          <w:sz w:val="22"/>
          <w:szCs w:val="22"/>
        </w:rPr>
        <w:t>电子邮件</w:t>
      </w:r>
      <w:r>
        <w:rPr>
          <w:rFonts w:hint="eastAsia" w:ascii="新宋体" w:hAnsi="新宋体" w:eastAsia="新宋体" w:cs="新宋体"/>
          <w:sz w:val="22"/>
          <w:szCs w:val="22"/>
          <w:u w:val="single"/>
        </w:rPr>
        <w:t xml:space="preserve">                           </w:t>
      </w:r>
    </w:p>
    <w:p w14:paraId="0FA3B49A">
      <w:pPr>
        <w:autoSpaceDE w:val="0"/>
        <w:autoSpaceDN w:val="0"/>
        <w:adjustRightInd w:val="0"/>
        <w:spacing w:line="440" w:lineRule="atLeast"/>
        <w:rPr>
          <w:rFonts w:cs="新宋体" w:asciiTheme="majorEastAsia" w:hAnsiTheme="majorEastAsia" w:eastAsiaTheme="majorEastAsia"/>
          <w:sz w:val="22"/>
          <w:szCs w:val="22"/>
        </w:rPr>
      </w:pPr>
    </w:p>
    <w:p w14:paraId="5AD5D87A">
      <w:pPr>
        <w:autoSpaceDE w:val="0"/>
        <w:autoSpaceDN w:val="0"/>
        <w:adjustRightInd w:val="0"/>
        <w:spacing w:line="440" w:lineRule="atLeast"/>
        <w:ind w:firstLine="1980" w:firstLineChars="900"/>
        <w:rPr>
          <w:rFonts w:cs="新宋体" w:asciiTheme="majorEastAsia" w:hAnsiTheme="majorEastAsia" w:eastAsiaTheme="majorEastAsia"/>
          <w:sz w:val="22"/>
          <w:szCs w:val="22"/>
          <w:lang w:val="zh-CN"/>
        </w:rPr>
      </w:pPr>
    </w:p>
    <w:p w14:paraId="7F1688EA">
      <w:pPr>
        <w:autoSpaceDE w:val="0"/>
        <w:autoSpaceDN w:val="0"/>
        <w:adjustRightInd w:val="0"/>
        <w:spacing w:line="440" w:lineRule="atLeast"/>
        <w:jc w:val="left"/>
        <w:rPr>
          <w:rFonts w:cs="新宋体" w:asciiTheme="majorEastAsia" w:hAnsiTheme="majorEastAsia" w:eastAsiaTheme="majorEastAsia"/>
          <w:sz w:val="22"/>
          <w:szCs w:val="22"/>
          <w:lang w:val="zh-CN"/>
        </w:rPr>
      </w:pPr>
      <w:r>
        <w:rPr>
          <w:rFonts w:hint="eastAsia" w:cs="新宋体" w:asciiTheme="majorEastAsia" w:hAnsiTheme="majorEastAsia" w:eastAsiaTheme="majorEastAsia"/>
          <w:sz w:val="22"/>
          <w:szCs w:val="22"/>
          <w:lang w:val="zh-CN"/>
        </w:rPr>
        <w:t>供应商全称（盖章）：</w:t>
      </w:r>
    </w:p>
    <w:p w14:paraId="16C5588E">
      <w:pPr>
        <w:autoSpaceDE w:val="0"/>
        <w:autoSpaceDN w:val="0"/>
        <w:adjustRightInd w:val="0"/>
        <w:spacing w:line="440" w:lineRule="atLeast"/>
        <w:jc w:val="left"/>
        <w:rPr>
          <w:rFonts w:cs="新宋体" w:asciiTheme="majorEastAsia" w:hAnsiTheme="majorEastAsia" w:eastAsiaTheme="majorEastAsia"/>
          <w:sz w:val="22"/>
          <w:szCs w:val="22"/>
          <w:lang w:val="zh-CN"/>
        </w:rPr>
      </w:pPr>
      <w:r>
        <w:rPr>
          <w:rFonts w:hint="eastAsia" w:cs="新宋体" w:asciiTheme="majorEastAsia" w:hAnsiTheme="majorEastAsia" w:eastAsiaTheme="majorEastAsia"/>
          <w:sz w:val="22"/>
          <w:szCs w:val="22"/>
          <w:lang w:val="zh-CN"/>
        </w:rPr>
        <w:t>日期：</w:t>
      </w:r>
    </w:p>
    <w:p w14:paraId="702A2CB4">
      <w:pPr>
        <w:autoSpaceDE w:val="0"/>
        <w:autoSpaceDN w:val="0"/>
        <w:adjustRightInd w:val="0"/>
        <w:snapToGrid w:val="0"/>
        <w:spacing w:line="480" w:lineRule="atLeast"/>
        <w:ind w:firstLine="440" w:firstLineChars="200"/>
        <w:jc w:val="left"/>
        <w:rPr>
          <w:rFonts w:cs="仿宋_GB2312" w:asciiTheme="majorEastAsia" w:hAnsiTheme="majorEastAsia" w:eastAsiaTheme="majorEastAsia"/>
          <w:sz w:val="22"/>
          <w:lang w:val="zh-CN"/>
        </w:rPr>
      </w:pPr>
    </w:p>
    <w:p w14:paraId="2604DAEB">
      <w:pPr>
        <w:rPr>
          <w:rFonts w:asciiTheme="majorEastAsia" w:hAnsiTheme="majorEastAsia" w:eastAsiaTheme="majorEastAsia"/>
          <w:b/>
          <w:bCs/>
          <w:sz w:val="22"/>
          <w:szCs w:val="22"/>
        </w:rPr>
      </w:pPr>
      <w:bookmarkStart w:id="181" w:name="_Toc493530219"/>
      <w:r>
        <w:rPr>
          <w:rFonts w:hint="eastAsia" w:asciiTheme="majorEastAsia" w:hAnsiTheme="majorEastAsia" w:eastAsiaTheme="majorEastAsia"/>
          <w:b/>
          <w:bCs/>
          <w:sz w:val="22"/>
          <w:szCs w:val="22"/>
        </w:rPr>
        <w:br w:type="page"/>
      </w:r>
    </w:p>
    <w:p w14:paraId="5E573D66">
      <w:pPr>
        <w:widowControl/>
        <w:spacing w:line="460" w:lineRule="atLeast"/>
        <w:jc w:val="left"/>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附件</w:t>
      </w:r>
      <w:bookmarkEnd w:id="181"/>
      <w:r>
        <w:rPr>
          <w:rFonts w:hint="eastAsia" w:asciiTheme="majorEastAsia" w:hAnsiTheme="majorEastAsia" w:eastAsiaTheme="majorEastAsia"/>
          <w:b/>
          <w:bCs/>
          <w:sz w:val="22"/>
          <w:szCs w:val="22"/>
        </w:rPr>
        <w:t>五</w:t>
      </w:r>
    </w:p>
    <w:p w14:paraId="2CB34B1F">
      <w:pPr>
        <w:tabs>
          <w:tab w:val="left" w:pos="1080"/>
        </w:tabs>
        <w:autoSpaceDE w:val="0"/>
        <w:autoSpaceDN w:val="0"/>
        <w:adjustRightInd w:val="0"/>
        <w:spacing w:line="440" w:lineRule="atLeast"/>
        <w:jc w:val="center"/>
        <w:rPr>
          <w:rFonts w:cs="新宋体" w:asciiTheme="majorEastAsia" w:hAnsiTheme="majorEastAsia" w:eastAsiaTheme="majorEastAsia"/>
          <w:b/>
          <w:sz w:val="32"/>
          <w:szCs w:val="32"/>
          <w:lang w:val="zh-CN"/>
        </w:rPr>
      </w:pPr>
      <w:r>
        <w:rPr>
          <w:rFonts w:hint="eastAsia" w:cs="新宋体" w:asciiTheme="majorEastAsia" w:hAnsiTheme="majorEastAsia" w:eastAsiaTheme="majorEastAsia"/>
          <w:b/>
          <w:sz w:val="32"/>
          <w:szCs w:val="32"/>
          <w:lang w:val="zh-CN"/>
        </w:rPr>
        <w:t>法定代表人诚信投标承诺书</w:t>
      </w:r>
    </w:p>
    <w:p w14:paraId="09AA4FCB">
      <w:pPr>
        <w:spacing w:line="360" w:lineRule="auto"/>
        <w:jc w:val="left"/>
        <w:rPr>
          <w:rFonts w:cs="新宋体" w:asciiTheme="majorEastAsia" w:hAnsiTheme="majorEastAsia" w:eastAsiaTheme="majorEastAsia"/>
          <w:b/>
          <w:sz w:val="24"/>
        </w:rPr>
      </w:pPr>
    </w:p>
    <w:p w14:paraId="203742A7">
      <w:pPr>
        <w:spacing w:line="460" w:lineRule="atLeast"/>
        <w:jc w:val="left"/>
        <w:rPr>
          <w:rFonts w:cs="新宋体" w:asciiTheme="majorEastAsia" w:hAnsiTheme="majorEastAsia" w:eastAsiaTheme="majorEastAsia"/>
          <w:b/>
          <w:sz w:val="22"/>
          <w:szCs w:val="22"/>
        </w:rPr>
      </w:pPr>
      <w:r>
        <w:rPr>
          <w:rFonts w:hint="eastAsia" w:cs="新宋体" w:asciiTheme="majorEastAsia" w:hAnsiTheme="majorEastAsia" w:eastAsiaTheme="majorEastAsia"/>
          <w:b/>
          <w:sz w:val="22"/>
          <w:szCs w:val="22"/>
        </w:rPr>
        <w:t>本人以企业法定代表人的身份郑重承诺：</w:t>
      </w:r>
    </w:p>
    <w:p w14:paraId="148B6ABD">
      <w:pPr>
        <w:spacing w:line="460" w:lineRule="atLeast"/>
        <w:ind w:firstLine="440" w:firstLineChars="200"/>
        <w:jc w:val="left"/>
        <w:rPr>
          <w:rFonts w:cs="新宋体" w:asciiTheme="majorEastAsia" w:hAnsiTheme="majorEastAsia" w:eastAsiaTheme="majorEastAsia"/>
          <w:sz w:val="22"/>
          <w:szCs w:val="22"/>
        </w:rPr>
      </w:pPr>
      <w:r>
        <w:rPr>
          <w:rFonts w:hint="eastAsia" w:cs="新宋体" w:asciiTheme="majorEastAsia" w:hAnsiTheme="majorEastAsia" w:eastAsiaTheme="majorEastAsia"/>
          <w:sz w:val="22"/>
          <w:szCs w:val="22"/>
        </w:rPr>
        <w:t>将遵循公开、公平、公正和诚信信用的原则参加</w:t>
      </w:r>
      <w:r>
        <w:rPr>
          <w:rFonts w:hint="eastAsia" w:cs="新宋体" w:asciiTheme="majorEastAsia" w:hAnsiTheme="majorEastAsia" w:eastAsiaTheme="majorEastAsia"/>
          <w:sz w:val="22"/>
          <w:szCs w:val="22"/>
          <w:u w:val="single"/>
        </w:rPr>
        <w:t xml:space="preserve">              项目（项目编号：   ）</w:t>
      </w:r>
      <w:r>
        <w:rPr>
          <w:rFonts w:hint="eastAsia" w:cs="新宋体" w:asciiTheme="majorEastAsia" w:hAnsiTheme="majorEastAsia" w:eastAsiaTheme="majorEastAsia"/>
          <w:sz w:val="22"/>
          <w:szCs w:val="22"/>
        </w:rPr>
        <w:t>的投标；</w:t>
      </w:r>
    </w:p>
    <w:p w14:paraId="4B61A6E9">
      <w:pPr>
        <w:spacing w:line="460" w:lineRule="atLeast"/>
        <w:ind w:firstLine="440" w:firstLineChars="200"/>
        <w:jc w:val="left"/>
        <w:rPr>
          <w:rFonts w:cs="新宋体" w:asciiTheme="majorEastAsia" w:hAnsiTheme="majorEastAsia" w:eastAsiaTheme="majorEastAsia"/>
          <w:sz w:val="22"/>
          <w:szCs w:val="22"/>
          <w:u w:val="single"/>
        </w:rPr>
      </w:pPr>
      <w:r>
        <w:rPr>
          <w:rFonts w:hint="eastAsia" w:cs="新宋体" w:asciiTheme="majorEastAsia" w:hAnsiTheme="majorEastAsia" w:eastAsiaTheme="majorEastAsia"/>
          <w:sz w:val="22"/>
          <w:szCs w:val="22"/>
        </w:rPr>
        <w:t>一、杜绝以收取管理费等形式的一切挂靠、违法转包、分包行为；并选派有丰富经验、无不良行为记录的项目管理人员、技术人员，严格按招标文件、投标文件及合同等要求保证拟派人员地到岗率。</w:t>
      </w:r>
    </w:p>
    <w:p w14:paraId="1D112294">
      <w:pPr>
        <w:spacing w:line="460" w:lineRule="atLeast"/>
        <w:ind w:firstLine="440" w:firstLineChars="200"/>
        <w:jc w:val="left"/>
        <w:rPr>
          <w:rFonts w:cs="新宋体" w:asciiTheme="majorEastAsia" w:hAnsiTheme="majorEastAsia" w:eastAsiaTheme="majorEastAsia"/>
          <w:sz w:val="22"/>
          <w:szCs w:val="22"/>
        </w:rPr>
      </w:pPr>
      <w:r>
        <w:rPr>
          <w:rFonts w:hint="eastAsia" w:cs="新宋体" w:asciiTheme="majorEastAsia" w:hAnsiTheme="majorEastAsia" w:eastAsiaTheme="majorEastAsia"/>
          <w:sz w:val="22"/>
          <w:szCs w:val="22"/>
        </w:rPr>
        <w:t>二、投标文件所提供的一切材料都是真实、有效、合法的。</w:t>
      </w:r>
    </w:p>
    <w:p w14:paraId="32FFC8BA">
      <w:pPr>
        <w:spacing w:line="460" w:lineRule="atLeast"/>
        <w:ind w:firstLine="440" w:firstLineChars="200"/>
        <w:jc w:val="left"/>
        <w:rPr>
          <w:rFonts w:cs="新宋体" w:asciiTheme="majorEastAsia" w:hAnsiTheme="majorEastAsia" w:eastAsiaTheme="majorEastAsia"/>
          <w:sz w:val="22"/>
          <w:szCs w:val="22"/>
        </w:rPr>
      </w:pPr>
      <w:r>
        <w:rPr>
          <w:rFonts w:hint="eastAsia" w:cs="新宋体" w:asciiTheme="majorEastAsia" w:hAnsiTheme="majorEastAsia" w:eastAsiaTheme="majorEastAsia"/>
          <w:sz w:val="22"/>
          <w:szCs w:val="22"/>
        </w:rPr>
        <w:t>三、不与其他投标供应商相互串通投标报价，不排挤其他投标供应商的公平竞争，不损害招标人或其他投标供应商的合法权益。</w:t>
      </w:r>
    </w:p>
    <w:p w14:paraId="27CBEAED">
      <w:pPr>
        <w:spacing w:line="460" w:lineRule="atLeast"/>
        <w:ind w:firstLine="440" w:firstLineChars="200"/>
        <w:jc w:val="left"/>
        <w:rPr>
          <w:rFonts w:cs="新宋体" w:asciiTheme="majorEastAsia" w:hAnsiTheme="majorEastAsia" w:eastAsiaTheme="majorEastAsia"/>
          <w:sz w:val="22"/>
          <w:szCs w:val="22"/>
        </w:rPr>
      </w:pPr>
      <w:r>
        <w:rPr>
          <w:rFonts w:hint="eastAsia" w:cs="新宋体" w:asciiTheme="majorEastAsia" w:hAnsiTheme="majorEastAsia" w:eastAsiaTheme="majorEastAsia"/>
          <w:sz w:val="22"/>
          <w:szCs w:val="22"/>
        </w:rPr>
        <w:t>四、不与采购人或采购代理机构串通投标，不损害国家利益，社会公共利益或其他人的合法权益。</w:t>
      </w:r>
    </w:p>
    <w:p w14:paraId="1445569C">
      <w:pPr>
        <w:spacing w:line="460" w:lineRule="atLeast"/>
        <w:ind w:firstLine="440" w:firstLineChars="200"/>
        <w:jc w:val="left"/>
        <w:rPr>
          <w:rFonts w:cs="新宋体" w:asciiTheme="majorEastAsia" w:hAnsiTheme="majorEastAsia" w:eastAsiaTheme="majorEastAsia"/>
          <w:sz w:val="22"/>
          <w:szCs w:val="22"/>
        </w:rPr>
      </w:pPr>
      <w:r>
        <w:rPr>
          <w:rFonts w:hint="eastAsia" w:cs="新宋体" w:asciiTheme="majorEastAsia" w:hAnsiTheme="majorEastAsia" w:eastAsiaTheme="majorEastAsia"/>
          <w:sz w:val="22"/>
          <w:szCs w:val="22"/>
        </w:rPr>
        <w:t>五、不向采购人或者评标委员会成员行贿以牟取中标。</w:t>
      </w:r>
    </w:p>
    <w:p w14:paraId="33D5858D">
      <w:pPr>
        <w:spacing w:line="460" w:lineRule="atLeast"/>
        <w:ind w:firstLine="440" w:firstLineChars="200"/>
        <w:jc w:val="left"/>
        <w:rPr>
          <w:rFonts w:cs="新宋体" w:asciiTheme="majorEastAsia" w:hAnsiTheme="majorEastAsia" w:eastAsiaTheme="majorEastAsia"/>
          <w:sz w:val="22"/>
          <w:szCs w:val="22"/>
        </w:rPr>
      </w:pPr>
      <w:r>
        <w:rPr>
          <w:rFonts w:hint="eastAsia" w:cs="新宋体" w:asciiTheme="majorEastAsia" w:hAnsiTheme="majorEastAsia" w:eastAsiaTheme="majorEastAsia"/>
          <w:sz w:val="22"/>
          <w:szCs w:val="22"/>
        </w:rPr>
        <w:t>六、不以其他人名义投标或者以其他方式弄虚作假，骗取中标。</w:t>
      </w:r>
    </w:p>
    <w:p w14:paraId="51CAA7F1">
      <w:pPr>
        <w:spacing w:line="460" w:lineRule="atLeast"/>
        <w:ind w:firstLine="440" w:firstLineChars="200"/>
        <w:jc w:val="left"/>
        <w:rPr>
          <w:rFonts w:cs="新宋体" w:asciiTheme="majorEastAsia" w:hAnsiTheme="majorEastAsia" w:eastAsiaTheme="majorEastAsia"/>
          <w:sz w:val="22"/>
          <w:szCs w:val="22"/>
        </w:rPr>
      </w:pPr>
      <w:r>
        <w:rPr>
          <w:rFonts w:hint="eastAsia" w:cs="新宋体" w:asciiTheme="majorEastAsia" w:hAnsiTheme="majorEastAsia" w:eastAsiaTheme="majorEastAsia"/>
          <w:sz w:val="22"/>
          <w:szCs w:val="22"/>
        </w:rPr>
        <w:t>七、不在开标后进行虚假恶意投诉。</w:t>
      </w:r>
    </w:p>
    <w:p w14:paraId="7183C70B">
      <w:pPr>
        <w:spacing w:line="460" w:lineRule="atLeast"/>
        <w:ind w:firstLine="440" w:firstLineChars="200"/>
        <w:jc w:val="left"/>
        <w:rPr>
          <w:rFonts w:cs="新宋体" w:asciiTheme="majorEastAsia" w:hAnsiTheme="majorEastAsia" w:eastAsiaTheme="majorEastAsia"/>
          <w:sz w:val="22"/>
          <w:szCs w:val="22"/>
        </w:rPr>
      </w:pPr>
      <w:r>
        <w:rPr>
          <w:rFonts w:hint="eastAsia" w:cs="新宋体" w:asciiTheme="majorEastAsia" w:hAnsiTheme="majorEastAsia" w:eastAsiaTheme="majorEastAsia"/>
          <w:sz w:val="22"/>
          <w:szCs w:val="22"/>
        </w:rPr>
        <w:t>八、我单位没有被政府机关列入失信被执行人名单、重大税收违法案件当事人名单、政府采购严重违法失信行为记录名单及其他不符合《中华人民共和国政府采购法》第二十二条规定条件的情形：</w:t>
      </w:r>
    </w:p>
    <w:p w14:paraId="64639BEE">
      <w:pPr>
        <w:spacing w:line="460" w:lineRule="atLeast"/>
        <w:ind w:firstLine="440" w:firstLineChars="200"/>
        <w:jc w:val="left"/>
        <w:rPr>
          <w:rFonts w:cs="新宋体" w:asciiTheme="majorEastAsia" w:hAnsiTheme="majorEastAsia" w:eastAsiaTheme="majorEastAsia"/>
          <w:sz w:val="22"/>
          <w:szCs w:val="22"/>
        </w:rPr>
      </w:pPr>
      <w:r>
        <w:rPr>
          <w:rFonts w:hint="eastAsia" w:cs="新宋体" w:asciiTheme="majorEastAsia" w:hAnsiTheme="majorEastAsia" w:eastAsiaTheme="majorEastAsia"/>
          <w:sz w:val="22"/>
          <w:szCs w:val="22"/>
        </w:rPr>
        <w:t xml:space="preserve">九、没有被各地、各级财政部门禁止参加政府采购活动，且在限制期限内：    </w:t>
      </w:r>
    </w:p>
    <w:p w14:paraId="5C43FAFB">
      <w:pPr>
        <w:spacing w:line="460" w:lineRule="atLeast"/>
        <w:ind w:firstLine="440" w:firstLineChars="200"/>
        <w:jc w:val="left"/>
        <w:rPr>
          <w:rFonts w:cs="新宋体" w:asciiTheme="majorEastAsia" w:hAnsiTheme="majorEastAsia" w:eastAsiaTheme="majorEastAsia"/>
          <w:sz w:val="22"/>
          <w:szCs w:val="22"/>
        </w:rPr>
      </w:pPr>
      <w:r>
        <w:rPr>
          <w:rFonts w:hint="eastAsia" w:cs="新宋体" w:asciiTheme="majorEastAsia" w:hAnsiTheme="majorEastAsia" w:eastAsiaTheme="majorEastAsia"/>
          <w:sz w:val="22"/>
          <w:szCs w:val="22"/>
        </w:rPr>
        <w:t>十、参与本项目政府采购活动3年内没有重大违法记录情况。</w:t>
      </w:r>
    </w:p>
    <w:p w14:paraId="6E058A11">
      <w:pPr>
        <w:spacing w:line="460" w:lineRule="atLeast"/>
        <w:ind w:firstLine="440" w:firstLineChars="200"/>
        <w:rPr>
          <w:rFonts w:cs="新宋体" w:asciiTheme="majorEastAsia" w:hAnsiTheme="majorEastAsia" w:eastAsiaTheme="majorEastAsia"/>
          <w:sz w:val="22"/>
          <w:szCs w:val="22"/>
        </w:rPr>
      </w:pPr>
      <w:r>
        <w:rPr>
          <w:rFonts w:hint="eastAsia" w:cs="新宋体" w:asciiTheme="majorEastAsia" w:hAnsiTheme="majorEastAsia" w:eastAsiaTheme="majorEastAsia"/>
          <w:sz w:val="22"/>
          <w:szCs w:val="22"/>
        </w:rPr>
        <w:t>本公司若有违反本承诺内容的行为，愿意承担法律责任，包括不限于：愿意接受相关行政主管部门作出的处罚；给采购人造成损失的，依法承担相应的赔偿责任。</w:t>
      </w:r>
    </w:p>
    <w:p w14:paraId="0AECCE78">
      <w:pPr>
        <w:spacing w:line="460" w:lineRule="atLeast"/>
        <w:ind w:right="1120" w:firstLine="2970" w:firstLineChars="1350"/>
        <w:rPr>
          <w:rFonts w:cs="新宋体" w:asciiTheme="majorEastAsia" w:hAnsiTheme="majorEastAsia" w:eastAsiaTheme="majorEastAsia"/>
          <w:sz w:val="22"/>
          <w:szCs w:val="22"/>
        </w:rPr>
      </w:pPr>
      <w:r>
        <w:rPr>
          <w:rFonts w:hint="eastAsia" w:asciiTheme="majorEastAsia" w:hAnsiTheme="majorEastAsia" w:eastAsiaTheme="majorEastAsia"/>
          <w:sz w:val="22"/>
          <w:szCs w:val="22"/>
        </w:rPr>
        <w:t>法定代表人（签字或盖章）：</w:t>
      </w:r>
    </w:p>
    <w:p w14:paraId="18F7D556">
      <w:pPr>
        <w:spacing w:line="460" w:lineRule="atLeast"/>
        <w:ind w:right="1120" w:firstLine="2970" w:firstLineChars="1350"/>
        <w:rPr>
          <w:rFonts w:cs="新宋体" w:asciiTheme="majorEastAsia" w:hAnsiTheme="majorEastAsia" w:eastAsiaTheme="majorEastAsia"/>
          <w:sz w:val="22"/>
          <w:szCs w:val="22"/>
        </w:rPr>
      </w:pPr>
      <w:r>
        <w:rPr>
          <w:rFonts w:hint="eastAsia" w:cs="新宋体" w:asciiTheme="majorEastAsia" w:hAnsiTheme="majorEastAsia" w:eastAsiaTheme="majorEastAsia"/>
          <w:sz w:val="22"/>
          <w:szCs w:val="22"/>
        </w:rPr>
        <w:t>投标供应商（盖章）</w:t>
      </w:r>
    </w:p>
    <w:p w14:paraId="1071E452">
      <w:pPr>
        <w:spacing w:line="460" w:lineRule="atLeast"/>
        <w:ind w:right="1120" w:firstLine="2970" w:firstLineChars="1350"/>
        <w:rPr>
          <w:rFonts w:cs="新宋体" w:asciiTheme="majorEastAsia" w:hAnsiTheme="majorEastAsia" w:eastAsiaTheme="majorEastAsia"/>
        </w:rPr>
      </w:pPr>
      <w:r>
        <w:rPr>
          <w:rFonts w:hint="eastAsia" w:cs="新宋体" w:asciiTheme="majorEastAsia" w:hAnsiTheme="majorEastAsia" w:eastAsiaTheme="majorEastAsia"/>
          <w:sz w:val="22"/>
          <w:szCs w:val="22"/>
        </w:rPr>
        <w:t>承诺书签署日期：         年  月  日</w:t>
      </w:r>
    </w:p>
    <w:p w14:paraId="22909C03">
      <w:pPr>
        <w:spacing w:line="360" w:lineRule="exact"/>
        <w:jc w:val="left"/>
        <w:rPr>
          <w:rFonts w:cs="新宋体" w:asciiTheme="majorEastAsia" w:hAnsiTheme="majorEastAsia" w:eastAsiaTheme="majorEastAsia"/>
          <w:b/>
          <w:bCs/>
          <w:sz w:val="22"/>
          <w:szCs w:val="22"/>
          <w:u w:val="single"/>
        </w:rPr>
      </w:pPr>
    </w:p>
    <w:p w14:paraId="6EBBA289">
      <w:pPr>
        <w:spacing w:line="360" w:lineRule="exact"/>
        <w:jc w:val="left"/>
        <w:rPr>
          <w:rFonts w:cs="新宋体" w:asciiTheme="majorEastAsia" w:hAnsiTheme="majorEastAsia" w:eastAsiaTheme="majorEastAsia"/>
          <w:b/>
          <w:sz w:val="30"/>
        </w:rPr>
      </w:pPr>
      <w:r>
        <w:rPr>
          <w:rFonts w:hint="eastAsia" w:cs="新宋体" w:asciiTheme="majorEastAsia" w:hAnsiTheme="majorEastAsia" w:eastAsiaTheme="majorEastAsia"/>
          <w:b/>
          <w:sz w:val="22"/>
          <w:szCs w:val="22"/>
          <w:u w:val="single"/>
        </w:rPr>
        <w:t>备注：▲投标供应商必须提供本承诺书，不提供按无效投标处理。</w:t>
      </w:r>
    </w:p>
    <w:p w14:paraId="35C521AA">
      <w:pPr>
        <w:tabs>
          <w:tab w:val="left" w:pos="2520"/>
        </w:tabs>
        <w:spacing w:line="440" w:lineRule="exact"/>
        <w:outlineLvl w:val="0"/>
        <w:rPr>
          <w:rFonts w:cs="新宋体" w:asciiTheme="majorEastAsia" w:hAnsiTheme="majorEastAsia" w:eastAsiaTheme="majorEastAsia"/>
        </w:rPr>
      </w:pPr>
    </w:p>
    <w:p w14:paraId="06FF2637">
      <w:pPr>
        <w:tabs>
          <w:tab w:val="left" w:pos="2520"/>
        </w:tabs>
        <w:spacing w:line="440" w:lineRule="exact"/>
        <w:outlineLvl w:val="0"/>
        <w:rPr>
          <w:rFonts w:cs="新宋体" w:asciiTheme="majorEastAsia" w:hAnsiTheme="majorEastAsia" w:eastAsiaTheme="majorEastAsia"/>
        </w:rPr>
      </w:pPr>
    </w:p>
    <w:p w14:paraId="4E1B9F7A">
      <w:pPr>
        <w:widowControl/>
        <w:spacing w:line="460" w:lineRule="atLeast"/>
        <w:jc w:val="left"/>
        <w:rPr>
          <w:rFonts w:asciiTheme="majorEastAsia" w:hAnsiTheme="majorEastAsia" w:eastAsiaTheme="majorEastAsia"/>
          <w:b/>
          <w:bCs/>
          <w:sz w:val="22"/>
          <w:szCs w:val="22"/>
        </w:rPr>
      </w:pPr>
      <w:r>
        <w:rPr>
          <w:rFonts w:asciiTheme="majorEastAsia" w:hAnsiTheme="majorEastAsia" w:eastAsiaTheme="majorEastAsia"/>
          <w:sz w:val="22"/>
          <w:szCs w:val="22"/>
        </w:rPr>
        <w:br w:type="page"/>
      </w:r>
      <w:bookmarkStart w:id="182" w:name="_Toc509485354"/>
      <w:r>
        <w:rPr>
          <w:rFonts w:hint="eastAsia" w:asciiTheme="majorEastAsia" w:hAnsiTheme="majorEastAsia" w:eastAsiaTheme="majorEastAsia"/>
          <w:b/>
          <w:sz w:val="22"/>
          <w:szCs w:val="22"/>
        </w:rPr>
        <w:t>附件</w:t>
      </w:r>
      <w:bookmarkEnd w:id="182"/>
      <w:r>
        <w:rPr>
          <w:rFonts w:hint="eastAsia" w:asciiTheme="majorEastAsia" w:hAnsiTheme="majorEastAsia" w:eastAsiaTheme="majorEastAsia"/>
          <w:b/>
          <w:sz w:val="22"/>
          <w:szCs w:val="22"/>
        </w:rPr>
        <w:t>六</w:t>
      </w:r>
    </w:p>
    <w:p w14:paraId="024351CB">
      <w:pPr>
        <w:pStyle w:val="39"/>
        <w:rPr>
          <w:rFonts w:asciiTheme="majorEastAsia" w:hAnsiTheme="majorEastAsia" w:eastAsiaTheme="majorEastAsia"/>
        </w:rPr>
      </w:pPr>
      <w:bookmarkStart w:id="183" w:name="_Toc518512536"/>
      <w:bookmarkStart w:id="184" w:name="_Toc855"/>
      <w:bookmarkStart w:id="185" w:name="_Toc97033070"/>
      <w:bookmarkStart w:id="186" w:name="_Toc42678031"/>
      <w:bookmarkStart w:id="187" w:name="_Toc61444218"/>
      <w:bookmarkStart w:id="188" w:name="_Toc522469121"/>
      <w:bookmarkStart w:id="189" w:name="_Toc65830027"/>
      <w:bookmarkStart w:id="190" w:name="_Toc42678618"/>
      <w:bookmarkStart w:id="191" w:name="_Toc15893"/>
      <w:bookmarkStart w:id="192" w:name="_Toc19204522"/>
      <w:bookmarkStart w:id="193" w:name="_Toc511045483"/>
      <w:bookmarkStart w:id="194" w:name="_Toc410055446"/>
      <w:bookmarkStart w:id="195" w:name="_Toc87518415"/>
      <w:bookmarkStart w:id="196" w:name="_Toc68188794"/>
      <w:bookmarkStart w:id="197" w:name="_Toc42678697"/>
      <w:bookmarkStart w:id="198" w:name="_Toc68189108"/>
      <w:bookmarkStart w:id="199" w:name="_Toc26971"/>
      <w:bookmarkStart w:id="200" w:name="_Toc42243289"/>
      <w:bookmarkStart w:id="201" w:name="_Toc65590099"/>
      <w:bookmarkStart w:id="202" w:name="_Toc402360964"/>
      <w:bookmarkStart w:id="203" w:name="_Toc7382"/>
      <w:bookmarkStart w:id="204" w:name="_Toc9334951"/>
      <w:bookmarkStart w:id="205" w:name="_Toc427581337"/>
      <w:bookmarkStart w:id="206" w:name="_Toc42678186"/>
      <w:bookmarkStart w:id="207" w:name="_Toc68187558"/>
      <w:bookmarkStart w:id="208" w:name="_Toc491606420"/>
      <w:bookmarkStart w:id="209" w:name="_Toc430717503"/>
      <w:bookmarkStart w:id="210" w:name="_Toc96970928"/>
      <w:bookmarkStart w:id="211" w:name="_Toc402361081"/>
      <w:bookmarkStart w:id="212" w:name="_Toc459450868"/>
      <w:bookmarkStart w:id="213" w:name="_Toc87518592"/>
      <w:bookmarkStart w:id="214" w:name="_Toc459361857"/>
      <w:bookmarkStart w:id="215" w:name="_Toc438150553"/>
      <w:bookmarkStart w:id="216" w:name="_Toc496618934"/>
      <w:bookmarkStart w:id="217" w:name="_Toc404262445"/>
      <w:r>
        <w:rPr>
          <w:rFonts w:hint="eastAsia" w:asciiTheme="majorEastAsia" w:hAnsiTheme="majorEastAsia" w:eastAsiaTheme="majorEastAsia"/>
        </w:rPr>
        <w:t>法定代表人授权书</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F515CB5">
      <w:pPr>
        <w:spacing w:line="480" w:lineRule="auto"/>
        <w:rPr>
          <w:rFonts w:asciiTheme="majorEastAsia" w:hAnsiTheme="majorEastAsia" w:eastAsiaTheme="majorEastAsia"/>
          <w:b/>
          <w:sz w:val="22"/>
          <w:szCs w:val="22"/>
        </w:rPr>
      </w:pPr>
      <w:r>
        <w:rPr>
          <w:rFonts w:hint="eastAsia" w:asciiTheme="majorEastAsia" w:hAnsiTheme="majorEastAsia" w:eastAsiaTheme="majorEastAsia"/>
          <w:b/>
          <w:sz w:val="22"/>
          <w:szCs w:val="22"/>
          <w:u w:val="single"/>
        </w:rPr>
        <w:t>（采购人名称）</w:t>
      </w:r>
      <w:r>
        <w:rPr>
          <w:rFonts w:hint="eastAsia" w:asciiTheme="majorEastAsia" w:hAnsiTheme="majorEastAsia" w:eastAsiaTheme="majorEastAsia"/>
          <w:b/>
          <w:sz w:val="22"/>
          <w:szCs w:val="22"/>
          <w:lang w:val="zh-CN"/>
        </w:rPr>
        <w:t>：</w:t>
      </w:r>
    </w:p>
    <w:p w14:paraId="4A555F4E">
      <w:pPr>
        <w:spacing w:line="48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本授权委托书声明：我</w:t>
      </w:r>
      <w:r>
        <w:rPr>
          <w:rFonts w:hint="eastAsia" w:asciiTheme="majorEastAsia" w:hAnsiTheme="majorEastAsia" w:eastAsiaTheme="majorEastAsia"/>
          <w:sz w:val="22"/>
          <w:szCs w:val="22"/>
          <w:u w:val="single"/>
        </w:rPr>
        <w:t xml:space="preserve">   （法定代表人姓名）   </w:t>
      </w:r>
      <w:r>
        <w:rPr>
          <w:rFonts w:hint="eastAsia" w:asciiTheme="majorEastAsia" w:hAnsiTheme="majorEastAsia" w:eastAsiaTheme="majorEastAsia"/>
          <w:sz w:val="22"/>
          <w:szCs w:val="22"/>
        </w:rPr>
        <w:t>系</w:t>
      </w:r>
      <w:r>
        <w:rPr>
          <w:rFonts w:hint="eastAsia" w:asciiTheme="majorEastAsia" w:hAnsiTheme="majorEastAsia" w:eastAsiaTheme="majorEastAsia"/>
          <w:sz w:val="22"/>
          <w:szCs w:val="22"/>
          <w:u w:val="single"/>
        </w:rPr>
        <w:t xml:space="preserve">   （供 应 商 名 称）  </w:t>
      </w:r>
      <w:r>
        <w:rPr>
          <w:rFonts w:hint="eastAsia" w:asciiTheme="majorEastAsia" w:hAnsiTheme="majorEastAsia" w:eastAsiaTheme="majorEastAsia"/>
          <w:sz w:val="22"/>
          <w:szCs w:val="22"/>
        </w:rPr>
        <w:t>的法定代表人，现授权委托</w:t>
      </w:r>
      <w:r>
        <w:rPr>
          <w:rFonts w:hint="eastAsia" w:asciiTheme="majorEastAsia" w:hAnsiTheme="majorEastAsia" w:eastAsiaTheme="majorEastAsia"/>
          <w:sz w:val="22"/>
          <w:szCs w:val="22"/>
          <w:u w:val="single"/>
        </w:rPr>
        <w:t xml:space="preserve">  （单 位 名 称）   </w:t>
      </w:r>
      <w:r>
        <w:rPr>
          <w:rFonts w:hint="eastAsia" w:asciiTheme="majorEastAsia" w:hAnsiTheme="majorEastAsia" w:eastAsiaTheme="majorEastAsia"/>
          <w:sz w:val="22"/>
          <w:szCs w:val="22"/>
        </w:rPr>
        <w:t>的</w:t>
      </w:r>
      <w:r>
        <w:rPr>
          <w:rFonts w:hint="eastAsia" w:asciiTheme="majorEastAsia" w:hAnsiTheme="majorEastAsia" w:eastAsiaTheme="majorEastAsia"/>
          <w:sz w:val="22"/>
          <w:szCs w:val="22"/>
          <w:u w:val="single"/>
        </w:rPr>
        <w:t xml:space="preserve">  （授权代表姓名）  </w:t>
      </w:r>
      <w:r>
        <w:rPr>
          <w:rFonts w:hint="eastAsia" w:asciiTheme="majorEastAsia" w:hAnsiTheme="majorEastAsia" w:eastAsiaTheme="majorEastAsia"/>
          <w:sz w:val="22"/>
          <w:szCs w:val="22"/>
        </w:rPr>
        <w:t>为我公司法定代表人授权代表，参加贵处组织的</w:t>
      </w:r>
      <w:r>
        <w:rPr>
          <w:rFonts w:hint="eastAsia" w:asciiTheme="majorEastAsia" w:hAnsiTheme="majorEastAsia" w:eastAsiaTheme="majorEastAsia"/>
          <w:sz w:val="22"/>
          <w:szCs w:val="22"/>
          <w:u w:val="single"/>
        </w:rPr>
        <w:t xml:space="preserve">  （招标项目名称，括号中填写项目编号）  </w:t>
      </w:r>
      <w:r>
        <w:rPr>
          <w:rFonts w:hint="eastAsia" w:asciiTheme="majorEastAsia" w:hAnsiTheme="majorEastAsia" w:eastAsiaTheme="majorEastAsia"/>
          <w:sz w:val="22"/>
          <w:szCs w:val="22"/>
        </w:rPr>
        <w:t>项目投标，全权处理本次招投标活动中的一切事宜，我承认授权代表全权代表我所签署的本项目的投标文件的内容。</w:t>
      </w:r>
    </w:p>
    <w:p w14:paraId="2247A205">
      <w:pPr>
        <w:spacing w:line="480" w:lineRule="auto"/>
        <w:ind w:firstLine="440" w:firstLineChars="200"/>
        <w:rPr>
          <w:rFonts w:asciiTheme="majorEastAsia" w:hAnsiTheme="majorEastAsia" w:eastAsiaTheme="majorEastAsia"/>
          <w:sz w:val="22"/>
          <w:szCs w:val="22"/>
        </w:rPr>
      </w:pPr>
      <w:r>
        <w:rPr>
          <w:rFonts w:hint="eastAsia" w:asciiTheme="majorEastAsia" w:hAnsiTheme="majorEastAsia" w:eastAsiaTheme="majorEastAsia"/>
          <w:sz w:val="22"/>
          <w:szCs w:val="22"/>
        </w:rPr>
        <w:t>授权代表无转授权，特此授权</w:t>
      </w:r>
    </w:p>
    <w:p w14:paraId="1ED49185">
      <w:pPr>
        <w:spacing w:line="360" w:lineRule="auto"/>
        <w:ind w:left="1260"/>
        <w:rPr>
          <w:rFonts w:asciiTheme="majorEastAsia" w:hAnsiTheme="majorEastAsia" w:eastAsiaTheme="majorEastAsia"/>
          <w:sz w:val="22"/>
          <w:szCs w:val="22"/>
        </w:rPr>
      </w:pPr>
    </w:p>
    <w:p w14:paraId="04CD9633">
      <w:pPr>
        <w:spacing w:line="480" w:lineRule="auto"/>
        <w:ind w:left="2100" w:leftChars="1000" w:firstLine="440" w:firstLineChars="20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授权代表： 性别 ：</w:t>
      </w:r>
    </w:p>
    <w:p w14:paraId="5766396B">
      <w:pPr>
        <w:spacing w:line="480" w:lineRule="auto"/>
        <w:ind w:left="2100" w:leftChars="1000" w:firstLine="440" w:firstLineChars="20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职务：年龄：</w:t>
      </w:r>
    </w:p>
    <w:p w14:paraId="036F926F">
      <w:pPr>
        <w:spacing w:line="480" w:lineRule="auto"/>
        <w:ind w:left="2100" w:leftChars="1000" w:firstLine="440" w:firstLineChars="200"/>
        <w:rPr>
          <w:rFonts w:asciiTheme="majorEastAsia" w:hAnsiTheme="majorEastAsia" w:eastAsiaTheme="majorEastAsia"/>
          <w:sz w:val="22"/>
          <w:szCs w:val="22"/>
          <w:u w:val="single"/>
        </w:rPr>
      </w:pPr>
      <w:r>
        <w:rPr>
          <w:rFonts w:hint="eastAsia" w:asciiTheme="majorEastAsia" w:hAnsiTheme="majorEastAsia" w:eastAsiaTheme="majorEastAsia"/>
          <w:sz w:val="22"/>
          <w:szCs w:val="22"/>
        </w:rPr>
        <w:t>详细通信地址： 邮政编码：</w:t>
      </w:r>
    </w:p>
    <w:p w14:paraId="42CECB91">
      <w:pPr>
        <w:spacing w:line="480" w:lineRule="auto"/>
        <w:ind w:left="1" w:firstLine="2510" w:firstLineChars="1141"/>
        <w:rPr>
          <w:rFonts w:asciiTheme="majorEastAsia" w:hAnsiTheme="majorEastAsia" w:eastAsiaTheme="majorEastAsia"/>
          <w:sz w:val="22"/>
          <w:szCs w:val="22"/>
          <w:u w:val="single"/>
        </w:rPr>
      </w:pPr>
      <w:r>
        <w:rPr>
          <w:rFonts w:hint="eastAsia" w:asciiTheme="majorEastAsia" w:hAnsiTheme="majorEastAsia" w:eastAsiaTheme="majorEastAsia"/>
          <w:sz w:val="22"/>
          <w:szCs w:val="22"/>
        </w:rPr>
        <w:t>电话： 传真：</w:t>
      </w:r>
    </w:p>
    <w:p w14:paraId="075275D3">
      <w:pPr>
        <w:spacing w:line="480" w:lineRule="auto"/>
        <w:ind w:left="1" w:firstLine="422" w:firstLineChars="192"/>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投标供应商：</w:t>
      </w:r>
      <w:r>
        <w:rPr>
          <w:rFonts w:hint="eastAsia" w:asciiTheme="majorEastAsia" w:hAnsiTheme="majorEastAsia" w:eastAsiaTheme="majorEastAsia"/>
          <w:sz w:val="22"/>
          <w:szCs w:val="22"/>
          <w:u w:val="single"/>
        </w:rPr>
        <w:t xml:space="preserve">                              （盖章）</w:t>
      </w:r>
    </w:p>
    <w:p w14:paraId="549AB8A0">
      <w:pPr>
        <w:spacing w:line="480" w:lineRule="auto"/>
        <w:ind w:left="2100" w:right="440"/>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 xml:space="preserve">   法定代表人：</w:t>
      </w:r>
      <w:r>
        <w:rPr>
          <w:rFonts w:hint="eastAsia" w:asciiTheme="majorEastAsia" w:hAnsiTheme="majorEastAsia" w:eastAsiaTheme="majorEastAsia"/>
          <w:sz w:val="22"/>
          <w:szCs w:val="22"/>
          <w:u w:val="single"/>
        </w:rPr>
        <w:t xml:space="preserve">                        （签字或盖章）</w:t>
      </w:r>
    </w:p>
    <w:p w14:paraId="3B65A986">
      <w:pPr>
        <w:spacing w:line="480" w:lineRule="auto"/>
        <w:ind w:right="440" w:firstLine="3300" w:firstLineChars="1500"/>
        <w:jc w:val="right"/>
        <w:rPr>
          <w:rFonts w:asciiTheme="majorEastAsia" w:hAnsiTheme="majorEastAsia" w:eastAsiaTheme="majorEastAsia"/>
          <w:sz w:val="22"/>
          <w:szCs w:val="22"/>
        </w:rPr>
      </w:pPr>
      <w:r>
        <w:rPr>
          <w:rFonts w:hint="eastAsia" w:asciiTheme="majorEastAsia" w:hAnsiTheme="majorEastAsia" w:eastAsiaTheme="majorEastAsia"/>
          <w:sz w:val="22"/>
          <w:szCs w:val="22"/>
        </w:rPr>
        <w:t>授权委托日期：年 月日</w:t>
      </w:r>
    </w:p>
    <w:tbl>
      <w:tblPr>
        <w:tblStyle w:val="43"/>
        <w:tblW w:w="772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0"/>
      </w:tblGrid>
      <w:tr w14:paraId="550C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7720" w:type="dxa"/>
          </w:tcPr>
          <w:p w14:paraId="40EC51DE">
            <w:pPr>
              <w:pStyle w:val="23"/>
              <w:spacing w:line="440" w:lineRule="atLeast"/>
              <w:rPr>
                <w:rFonts w:asciiTheme="majorEastAsia" w:hAnsiTheme="majorEastAsia" w:eastAsiaTheme="majorEastAsia"/>
                <w:b/>
                <w:sz w:val="36"/>
              </w:rPr>
            </w:pPr>
          </w:p>
          <w:p w14:paraId="31A6E62F">
            <w:pPr>
              <w:pStyle w:val="23"/>
              <w:spacing w:line="440" w:lineRule="atLeast"/>
              <w:jc w:val="center"/>
              <w:rPr>
                <w:rFonts w:asciiTheme="majorEastAsia" w:hAnsiTheme="majorEastAsia" w:eastAsiaTheme="majorEastAsia"/>
                <w:b/>
                <w:sz w:val="36"/>
              </w:rPr>
            </w:pPr>
          </w:p>
          <w:p w14:paraId="5DBFF30A">
            <w:pPr>
              <w:pStyle w:val="23"/>
              <w:spacing w:line="440" w:lineRule="atLeast"/>
              <w:jc w:val="center"/>
              <w:rPr>
                <w:rFonts w:asciiTheme="majorEastAsia" w:hAnsiTheme="majorEastAsia" w:eastAsiaTheme="majorEastAsia"/>
                <w:b/>
                <w:sz w:val="36"/>
              </w:rPr>
            </w:pPr>
          </w:p>
          <w:p w14:paraId="3927ECFF">
            <w:pPr>
              <w:pStyle w:val="23"/>
              <w:spacing w:line="440" w:lineRule="atLeast"/>
              <w:jc w:val="center"/>
              <w:rPr>
                <w:rFonts w:asciiTheme="majorEastAsia" w:hAnsiTheme="majorEastAsia" w:eastAsiaTheme="majorEastAsia"/>
                <w:b/>
                <w:sz w:val="36"/>
              </w:rPr>
            </w:pPr>
          </w:p>
          <w:p w14:paraId="17B22CB1">
            <w:pPr>
              <w:pStyle w:val="23"/>
              <w:spacing w:line="440" w:lineRule="atLeast"/>
              <w:jc w:val="center"/>
              <w:rPr>
                <w:rFonts w:asciiTheme="majorEastAsia" w:hAnsiTheme="majorEastAsia" w:eastAsiaTheme="majorEastAsia"/>
                <w:b/>
                <w:sz w:val="36"/>
              </w:rPr>
            </w:pPr>
            <w:r>
              <w:rPr>
                <w:rFonts w:hint="eastAsia" w:asciiTheme="majorEastAsia" w:hAnsiTheme="majorEastAsia" w:eastAsiaTheme="majorEastAsia"/>
                <w:sz w:val="36"/>
              </w:rPr>
              <w:t>（授权代表身份证扫描件或影印件）</w:t>
            </w:r>
          </w:p>
          <w:p w14:paraId="35925FBE">
            <w:pPr>
              <w:pStyle w:val="23"/>
              <w:spacing w:line="440" w:lineRule="atLeast"/>
              <w:ind w:left="5271" w:firstLine="1084" w:firstLineChars="300"/>
              <w:rPr>
                <w:rFonts w:asciiTheme="majorEastAsia" w:hAnsiTheme="majorEastAsia" w:eastAsiaTheme="majorEastAsia"/>
                <w:b/>
                <w:sz w:val="36"/>
              </w:rPr>
            </w:pPr>
          </w:p>
        </w:tc>
      </w:tr>
    </w:tbl>
    <w:p w14:paraId="47A35CA3">
      <w:pPr>
        <w:rPr>
          <w:rFonts w:asciiTheme="majorEastAsia" w:hAnsiTheme="majorEastAsia" w:eastAsiaTheme="majorEastAsia"/>
          <w:sz w:val="22"/>
          <w:szCs w:val="22"/>
        </w:rPr>
      </w:pPr>
    </w:p>
    <w:p w14:paraId="6A66E2FA">
      <w:pPr>
        <w:spacing w:line="360" w:lineRule="exact"/>
        <w:jc w:val="left"/>
        <w:rPr>
          <w:rFonts w:asciiTheme="majorEastAsia" w:hAnsiTheme="majorEastAsia" w:eastAsiaTheme="majorEastAsia"/>
          <w:b/>
          <w:bCs/>
          <w:sz w:val="22"/>
          <w:szCs w:val="22"/>
        </w:rPr>
      </w:pPr>
      <w:r>
        <w:rPr>
          <w:rFonts w:hint="eastAsia" w:asciiTheme="majorEastAsia" w:hAnsiTheme="majorEastAsia" w:eastAsiaTheme="majorEastAsia"/>
          <w:b/>
          <w:sz w:val="22"/>
          <w:szCs w:val="22"/>
        </w:rPr>
        <w:t>附件七</w:t>
      </w:r>
    </w:p>
    <w:p w14:paraId="7048D0A6">
      <w:pPr>
        <w:tabs>
          <w:tab w:val="left" w:pos="1080"/>
        </w:tabs>
        <w:autoSpaceDE w:val="0"/>
        <w:autoSpaceDN w:val="0"/>
        <w:adjustRightInd w:val="0"/>
        <w:spacing w:line="440" w:lineRule="atLeast"/>
        <w:jc w:val="center"/>
        <w:rPr>
          <w:rFonts w:cs="仿宋_GB2312" w:asciiTheme="majorEastAsia" w:hAnsiTheme="majorEastAsia" w:eastAsiaTheme="majorEastAsia"/>
          <w:b/>
          <w:sz w:val="32"/>
          <w:szCs w:val="32"/>
          <w:lang w:val="zh-CN"/>
        </w:rPr>
      </w:pPr>
      <w:r>
        <w:rPr>
          <w:rFonts w:hint="eastAsia" w:cs="仿宋_GB2312" w:asciiTheme="majorEastAsia" w:hAnsiTheme="majorEastAsia" w:eastAsiaTheme="majorEastAsia"/>
          <w:b/>
          <w:sz w:val="32"/>
          <w:szCs w:val="32"/>
          <w:lang w:val="zh-CN"/>
        </w:rPr>
        <w:t>类似业绩（时间以签订的时间为准）</w:t>
      </w:r>
    </w:p>
    <w:p w14:paraId="42E31A7A">
      <w:pPr>
        <w:spacing w:line="460" w:lineRule="exact"/>
        <w:rPr>
          <w:rFonts w:asciiTheme="majorEastAsia" w:hAnsiTheme="majorEastAsia" w:eastAsiaTheme="majorEastAsia"/>
          <w:sz w:val="22"/>
          <w:szCs w:val="22"/>
        </w:rPr>
      </w:pPr>
      <w:r>
        <w:rPr>
          <w:rFonts w:hint="eastAsia" w:asciiTheme="majorEastAsia" w:hAnsiTheme="majorEastAsia" w:eastAsiaTheme="majorEastAsia"/>
          <w:sz w:val="22"/>
          <w:szCs w:val="22"/>
        </w:rPr>
        <w:t>项目名称：                                              项目编号：</w:t>
      </w:r>
    </w:p>
    <w:tbl>
      <w:tblPr>
        <w:tblStyle w:val="43"/>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14:paraId="5AA4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62AE7D5">
            <w:pPr>
              <w:tabs>
                <w:tab w:val="left" w:pos="4140"/>
              </w:tabs>
              <w:adjustRightInd w:val="0"/>
              <w:snapToGrid w:val="0"/>
              <w:spacing w:line="320" w:lineRule="atLeast"/>
              <w:jc w:val="center"/>
              <w:rPr>
                <w:rFonts w:asciiTheme="majorEastAsia" w:hAnsiTheme="majorEastAsia" w:eastAsiaTheme="majorEastAsia"/>
                <w:caps/>
                <w:spacing w:val="20"/>
                <w:sz w:val="22"/>
              </w:rPr>
            </w:pPr>
            <w:r>
              <w:rPr>
                <w:rFonts w:hint="eastAsia" w:asciiTheme="majorEastAsia" w:hAnsiTheme="majorEastAsia" w:eastAsiaTheme="majorEastAsia"/>
                <w:caps/>
                <w:spacing w:val="20"/>
                <w:sz w:val="22"/>
                <w:szCs w:val="22"/>
              </w:rPr>
              <w:t>序号</w:t>
            </w:r>
          </w:p>
        </w:tc>
        <w:tc>
          <w:tcPr>
            <w:tcW w:w="1285" w:type="dxa"/>
            <w:vAlign w:val="center"/>
          </w:tcPr>
          <w:p w14:paraId="28ECBFD7">
            <w:pPr>
              <w:tabs>
                <w:tab w:val="left" w:pos="4140"/>
              </w:tabs>
              <w:adjustRightInd w:val="0"/>
              <w:snapToGrid w:val="0"/>
              <w:spacing w:line="320" w:lineRule="atLeast"/>
              <w:jc w:val="center"/>
              <w:rPr>
                <w:rFonts w:asciiTheme="majorEastAsia" w:hAnsiTheme="majorEastAsia" w:eastAsiaTheme="majorEastAsia"/>
                <w:spacing w:val="20"/>
                <w:sz w:val="22"/>
              </w:rPr>
            </w:pPr>
            <w:r>
              <w:rPr>
                <w:rFonts w:hint="eastAsia" w:asciiTheme="majorEastAsia" w:hAnsiTheme="majorEastAsia" w:eastAsiaTheme="majorEastAsia"/>
                <w:spacing w:val="20"/>
                <w:sz w:val="22"/>
                <w:szCs w:val="22"/>
              </w:rPr>
              <w:t>采购单位</w:t>
            </w:r>
          </w:p>
        </w:tc>
        <w:tc>
          <w:tcPr>
            <w:tcW w:w="1299" w:type="dxa"/>
            <w:vAlign w:val="center"/>
          </w:tcPr>
          <w:p w14:paraId="22E726EF">
            <w:pPr>
              <w:tabs>
                <w:tab w:val="left" w:pos="4140"/>
              </w:tabs>
              <w:adjustRightInd w:val="0"/>
              <w:snapToGrid w:val="0"/>
              <w:spacing w:line="320" w:lineRule="atLeast"/>
              <w:jc w:val="center"/>
              <w:rPr>
                <w:rFonts w:asciiTheme="majorEastAsia" w:hAnsiTheme="majorEastAsia" w:eastAsiaTheme="majorEastAsia"/>
                <w:caps/>
                <w:spacing w:val="20"/>
                <w:sz w:val="22"/>
              </w:rPr>
            </w:pPr>
            <w:r>
              <w:rPr>
                <w:rFonts w:hint="eastAsia" w:asciiTheme="majorEastAsia" w:hAnsiTheme="majorEastAsia" w:eastAsiaTheme="majorEastAsia"/>
                <w:caps/>
                <w:spacing w:val="20"/>
                <w:sz w:val="22"/>
                <w:szCs w:val="22"/>
              </w:rPr>
              <w:t>项目名称</w:t>
            </w:r>
          </w:p>
        </w:tc>
        <w:tc>
          <w:tcPr>
            <w:tcW w:w="1355" w:type="dxa"/>
            <w:vAlign w:val="center"/>
          </w:tcPr>
          <w:p w14:paraId="53E703D6">
            <w:pPr>
              <w:tabs>
                <w:tab w:val="left" w:pos="4140"/>
              </w:tabs>
              <w:adjustRightInd w:val="0"/>
              <w:snapToGrid w:val="0"/>
              <w:spacing w:line="320" w:lineRule="atLeast"/>
              <w:jc w:val="center"/>
              <w:rPr>
                <w:rFonts w:asciiTheme="majorEastAsia" w:hAnsiTheme="majorEastAsia" w:eastAsiaTheme="majorEastAsia"/>
                <w:caps/>
                <w:spacing w:val="20"/>
                <w:sz w:val="22"/>
              </w:rPr>
            </w:pPr>
            <w:r>
              <w:rPr>
                <w:rFonts w:hint="eastAsia" w:asciiTheme="majorEastAsia" w:hAnsiTheme="majorEastAsia" w:eastAsiaTheme="majorEastAsia"/>
                <w:caps/>
                <w:spacing w:val="20"/>
                <w:sz w:val="22"/>
                <w:szCs w:val="22"/>
              </w:rPr>
              <w:t>合同金额</w:t>
            </w:r>
          </w:p>
        </w:tc>
        <w:tc>
          <w:tcPr>
            <w:tcW w:w="1296" w:type="dxa"/>
            <w:vAlign w:val="center"/>
          </w:tcPr>
          <w:p w14:paraId="46BD81F4">
            <w:pPr>
              <w:tabs>
                <w:tab w:val="left" w:pos="4140"/>
              </w:tabs>
              <w:adjustRightInd w:val="0"/>
              <w:snapToGrid w:val="0"/>
              <w:spacing w:line="320" w:lineRule="atLeast"/>
              <w:jc w:val="center"/>
              <w:rPr>
                <w:rFonts w:asciiTheme="majorEastAsia" w:hAnsiTheme="majorEastAsia" w:eastAsiaTheme="majorEastAsia"/>
                <w:spacing w:val="20"/>
                <w:sz w:val="22"/>
              </w:rPr>
            </w:pPr>
            <w:r>
              <w:rPr>
                <w:rFonts w:hint="eastAsia" w:asciiTheme="majorEastAsia" w:hAnsiTheme="majorEastAsia" w:eastAsiaTheme="majorEastAsia"/>
                <w:spacing w:val="20"/>
                <w:sz w:val="22"/>
                <w:szCs w:val="22"/>
              </w:rPr>
              <w:t>签约日期</w:t>
            </w:r>
          </w:p>
        </w:tc>
        <w:tc>
          <w:tcPr>
            <w:tcW w:w="1064" w:type="dxa"/>
            <w:vAlign w:val="center"/>
          </w:tcPr>
          <w:p w14:paraId="76D50804">
            <w:pPr>
              <w:tabs>
                <w:tab w:val="left" w:pos="4140"/>
              </w:tabs>
              <w:adjustRightInd w:val="0"/>
              <w:snapToGrid w:val="0"/>
              <w:spacing w:line="320" w:lineRule="atLeast"/>
              <w:jc w:val="center"/>
              <w:rPr>
                <w:rFonts w:asciiTheme="majorEastAsia" w:hAnsiTheme="majorEastAsia" w:eastAsiaTheme="majorEastAsia"/>
                <w:spacing w:val="20"/>
                <w:sz w:val="22"/>
              </w:rPr>
            </w:pPr>
            <w:r>
              <w:rPr>
                <w:rFonts w:hint="eastAsia" w:asciiTheme="majorEastAsia" w:hAnsiTheme="majorEastAsia" w:eastAsiaTheme="majorEastAsia"/>
                <w:spacing w:val="20"/>
                <w:sz w:val="22"/>
                <w:szCs w:val="22"/>
              </w:rPr>
              <w:t>联系人</w:t>
            </w:r>
          </w:p>
        </w:tc>
        <w:tc>
          <w:tcPr>
            <w:tcW w:w="1271" w:type="dxa"/>
            <w:vAlign w:val="center"/>
          </w:tcPr>
          <w:p w14:paraId="34D16FC5">
            <w:pPr>
              <w:tabs>
                <w:tab w:val="left" w:pos="4140"/>
              </w:tabs>
              <w:adjustRightInd w:val="0"/>
              <w:snapToGrid w:val="0"/>
              <w:spacing w:line="320" w:lineRule="atLeast"/>
              <w:jc w:val="center"/>
              <w:rPr>
                <w:rFonts w:asciiTheme="majorEastAsia" w:hAnsiTheme="majorEastAsia" w:eastAsiaTheme="majorEastAsia"/>
                <w:spacing w:val="20"/>
                <w:sz w:val="22"/>
              </w:rPr>
            </w:pPr>
            <w:r>
              <w:rPr>
                <w:rFonts w:hint="eastAsia" w:asciiTheme="majorEastAsia" w:hAnsiTheme="majorEastAsia" w:eastAsiaTheme="majorEastAsia"/>
                <w:spacing w:val="20"/>
                <w:sz w:val="22"/>
                <w:szCs w:val="22"/>
              </w:rPr>
              <w:t>联系电话</w:t>
            </w:r>
          </w:p>
        </w:tc>
        <w:tc>
          <w:tcPr>
            <w:tcW w:w="1064" w:type="dxa"/>
            <w:vAlign w:val="center"/>
          </w:tcPr>
          <w:p w14:paraId="2C530C4E">
            <w:pPr>
              <w:tabs>
                <w:tab w:val="left" w:pos="4140"/>
              </w:tabs>
              <w:adjustRightInd w:val="0"/>
              <w:snapToGrid w:val="0"/>
              <w:spacing w:line="320" w:lineRule="atLeast"/>
              <w:jc w:val="center"/>
              <w:rPr>
                <w:rFonts w:asciiTheme="majorEastAsia" w:hAnsiTheme="majorEastAsia" w:eastAsiaTheme="majorEastAsia"/>
                <w:spacing w:val="20"/>
                <w:sz w:val="22"/>
              </w:rPr>
            </w:pPr>
            <w:r>
              <w:rPr>
                <w:rFonts w:hint="eastAsia" w:asciiTheme="majorEastAsia" w:hAnsiTheme="majorEastAsia" w:eastAsiaTheme="majorEastAsia"/>
                <w:spacing w:val="20"/>
                <w:sz w:val="22"/>
                <w:szCs w:val="22"/>
              </w:rPr>
              <w:t>备注</w:t>
            </w:r>
          </w:p>
        </w:tc>
      </w:tr>
      <w:tr w14:paraId="350E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227BA35">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85" w:type="dxa"/>
            <w:vAlign w:val="center"/>
          </w:tcPr>
          <w:p w14:paraId="02099667">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9" w:type="dxa"/>
            <w:vAlign w:val="center"/>
          </w:tcPr>
          <w:p w14:paraId="7DD63E9C">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355" w:type="dxa"/>
            <w:vAlign w:val="center"/>
          </w:tcPr>
          <w:p w14:paraId="5A3838C8">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6" w:type="dxa"/>
            <w:vAlign w:val="center"/>
          </w:tcPr>
          <w:p w14:paraId="4CDD2F94">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5E42D9D6">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71" w:type="dxa"/>
            <w:vAlign w:val="center"/>
          </w:tcPr>
          <w:p w14:paraId="49759DD8">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1734F449">
            <w:pPr>
              <w:tabs>
                <w:tab w:val="left" w:pos="4140"/>
              </w:tabs>
              <w:adjustRightInd w:val="0"/>
              <w:snapToGrid w:val="0"/>
              <w:spacing w:line="320" w:lineRule="atLeast"/>
              <w:jc w:val="center"/>
              <w:rPr>
                <w:rFonts w:asciiTheme="majorEastAsia" w:hAnsiTheme="majorEastAsia" w:eastAsiaTheme="majorEastAsia"/>
                <w:spacing w:val="20"/>
                <w:sz w:val="22"/>
              </w:rPr>
            </w:pPr>
          </w:p>
        </w:tc>
      </w:tr>
      <w:tr w14:paraId="5C56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5FB9EE3">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85" w:type="dxa"/>
            <w:vAlign w:val="center"/>
          </w:tcPr>
          <w:p w14:paraId="12402210">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9" w:type="dxa"/>
            <w:vAlign w:val="center"/>
          </w:tcPr>
          <w:p w14:paraId="3611388C">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355" w:type="dxa"/>
            <w:vAlign w:val="center"/>
          </w:tcPr>
          <w:p w14:paraId="5A50D4B6">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6" w:type="dxa"/>
            <w:vAlign w:val="center"/>
          </w:tcPr>
          <w:p w14:paraId="34DBC3C8">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7DD0CA67">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71" w:type="dxa"/>
            <w:vAlign w:val="center"/>
          </w:tcPr>
          <w:p w14:paraId="257A9265">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30D9F29C">
            <w:pPr>
              <w:tabs>
                <w:tab w:val="left" w:pos="4140"/>
              </w:tabs>
              <w:adjustRightInd w:val="0"/>
              <w:snapToGrid w:val="0"/>
              <w:spacing w:line="320" w:lineRule="atLeast"/>
              <w:jc w:val="center"/>
              <w:rPr>
                <w:rFonts w:asciiTheme="majorEastAsia" w:hAnsiTheme="majorEastAsia" w:eastAsiaTheme="majorEastAsia"/>
                <w:spacing w:val="20"/>
                <w:sz w:val="22"/>
              </w:rPr>
            </w:pPr>
          </w:p>
        </w:tc>
      </w:tr>
      <w:tr w14:paraId="55E1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112756A2">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85" w:type="dxa"/>
            <w:vAlign w:val="center"/>
          </w:tcPr>
          <w:p w14:paraId="1B62D1D1">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9" w:type="dxa"/>
            <w:vAlign w:val="center"/>
          </w:tcPr>
          <w:p w14:paraId="38C1276F">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355" w:type="dxa"/>
            <w:vAlign w:val="center"/>
          </w:tcPr>
          <w:p w14:paraId="01428EE3">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6" w:type="dxa"/>
            <w:vAlign w:val="center"/>
          </w:tcPr>
          <w:p w14:paraId="4D5BA488">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0874BF2F">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71" w:type="dxa"/>
            <w:vAlign w:val="center"/>
          </w:tcPr>
          <w:p w14:paraId="437472A8">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49CD3411">
            <w:pPr>
              <w:tabs>
                <w:tab w:val="left" w:pos="4140"/>
              </w:tabs>
              <w:adjustRightInd w:val="0"/>
              <w:snapToGrid w:val="0"/>
              <w:spacing w:line="320" w:lineRule="atLeast"/>
              <w:jc w:val="center"/>
              <w:rPr>
                <w:rFonts w:asciiTheme="majorEastAsia" w:hAnsiTheme="majorEastAsia" w:eastAsiaTheme="majorEastAsia"/>
                <w:spacing w:val="20"/>
                <w:sz w:val="22"/>
              </w:rPr>
            </w:pPr>
          </w:p>
        </w:tc>
      </w:tr>
      <w:tr w14:paraId="148F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BE07BD8">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85" w:type="dxa"/>
            <w:vAlign w:val="center"/>
          </w:tcPr>
          <w:p w14:paraId="7647EBC6">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9" w:type="dxa"/>
            <w:vAlign w:val="center"/>
          </w:tcPr>
          <w:p w14:paraId="62CB6C14">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355" w:type="dxa"/>
            <w:vAlign w:val="center"/>
          </w:tcPr>
          <w:p w14:paraId="22245B9E">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6" w:type="dxa"/>
            <w:vAlign w:val="center"/>
          </w:tcPr>
          <w:p w14:paraId="7B0ED854">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56570A41">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71" w:type="dxa"/>
            <w:vAlign w:val="center"/>
          </w:tcPr>
          <w:p w14:paraId="47F42DAF">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22822F8A">
            <w:pPr>
              <w:tabs>
                <w:tab w:val="left" w:pos="4140"/>
              </w:tabs>
              <w:adjustRightInd w:val="0"/>
              <w:snapToGrid w:val="0"/>
              <w:spacing w:line="320" w:lineRule="atLeast"/>
              <w:jc w:val="center"/>
              <w:rPr>
                <w:rFonts w:asciiTheme="majorEastAsia" w:hAnsiTheme="majorEastAsia" w:eastAsiaTheme="majorEastAsia"/>
                <w:spacing w:val="20"/>
                <w:sz w:val="22"/>
              </w:rPr>
            </w:pPr>
          </w:p>
        </w:tc>
      </w:tr>
      <w:tr w14:paraId="3F74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4DF691EB">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85" w:type="dxa"/>
            <w:vAlign w:val="center"/>
          </w:tcPr>
          <w:p w14:paraId="77436C30">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9" w:type="dxa"/>
            <w:vAlign w:val="center"/>
          </w:tcPr>
          <w:p w14:paraId="180E5A63">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355" w:type="dxa"/>
            <w:vAlign w:val="center"/>
          </w:tcPr>
          <w:p w14:paraId="47EF9A08">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6" w:type="dxa"/>
            <w:vAlign w:val="center"/>
          </w:tcPr>
          <w:p w14:paraId="729B76DB">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0EDEBF35">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71" w:type="dxa"/>
            <w:vAlign w:val="center"/>
          </w:tcPr>
          <w:p w14:paraId="5076BFE9">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3694FC1E">
            <w:pPr>
              <w:tabs>
                <w:tab w:val="left" w:pos="4140"/>
              </w:tabs>
              <w:adjustRightInd w:val="0"/>
              <w:snapToGrid w:val="0"/>
              <w:spacing w:line="320" w:lineRule="atLeast"/>
              <w:jc w:val="center"/>
              <w:rPr>
                <w:rFonts w:asciiTheme="majorEastAsia" w:hAnsiTheme="majorEastAsia" w:eastAsiaTheme="majorEastAsia"/>
                <w:spacing w:val="20"/>
                <w:sz w:val="22"/>
              </w:rPr>
            </w:pPr>
          </w:p>
        </w:tc>
      </w:tr>
      <w:tr w14:paraId="4CC4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7F7DBD0">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85" w:type="dxa"/>
            <w:vAlign w:val="center"/>
          </w:tcPr>
          <w:p w14:paraId="04E8B697">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9" w:type="dxa"/>
            <w:vAlign w:val="center"/>
          </w:tcPr>
          <w:p w14:paraId="1FEDEEC1">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355" w:type="dxa"/>
            <w:vAlign w:val="center"/>
          </w:tcPr>
          <w:p w14:paraId="2BF33C4D">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6" w:type="dxa"/>
            <w:vAlign w:val="center"/>
          </w:tcPr>
          <w:p w14:paraId="21DF694E">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2AF08EE2">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71" w:type="dxa"/>
            <w:vAlign w:val="center"/>
          </w:tcPr>
          <w:p w14:paraId="7B345D15">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4A8FA90C">
            <w:pPr>
              <w:tabs>
                <w:tab w:val="left" w:pos="4140"/>
              </w:tabs>
              <w:adjustRightInd w:val="0"/>
              <w:snapToGrid w:val="0"/>
              <w:spacing w:line="320" w:lineRule="atLeast"/>
              <w:jc w:val="center"/>
              <w:rPr>
                <w:rFonts w:asciiTheme="majorEastAsia" w:hAnsiTheme="majorEastAsia" w:eastAsiaTheme="majorEastAsia"/>
                <w:spacing w:val="20"/>
                <w:sz w:val="22"/>
              </w:rPr>
            </w:pPr>
          </w:p>
        </w:tc>
      </w:tr>
      <w:tr w14:paraId="5F7B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12639116">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85" w:type="dxa"/>
            <w:vAlign w:val="center"/>
          </w:tcPr>
          <w:p w14:paraId="2C6D19BA">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9" w:type="dxa"/>
            <w:vAlign w:val="center"/>
          </w:tcPr>
          <w:p w14:paraId="700CD1FC">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355" w:type="dxa"/>
            <w:vAlign w:val="center"/>
          </w:tcPr>
          <w:p w14:paraId="3330E9A6">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6" w:type="dxa"/>
            <w:vAlign w:val="center"/>
          </w:tcPr>
          <w:p w14:paraId="086FBEDE">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0F1063B7">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71" w:type="dxa"/>
            <w:vAlign w:val="center"/>
          </w:tcPr>
          <w:p w14:paraId="3D071D8A">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73255C0E">
            <w:pPr>
              <w:tabs>
                <w:tab w:val="left" w:pos="4140"/>
              </w:tabs>
              <w:adjustRightInd w:val="0"/>
              <w:snapToGrid w:val="0"/>
              <w:spacing w:line="320" w:lineRule="atLeast"/>
              <w:jc w:val="center"/>
              <w:rPr>
                <w:rFonts w:asciiTheme="majorEastAsia" w:hAnsiTheme="majorEastAsia" w:eastAsiaTheme="majorEastAsia"/>
                <w:spacing w:val="20"/>
                <w:sz w:val="22"/>
              </w:rPr>
            </w:pPr>
          </w:p>
        </w:tc>
      </w:tr>
      <w:tr w14:paraId="1749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C0D6BAB">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85" w:type="dxa"/>
            <w:vAlign w:val="center"/>
          </w:tcPr>
          <w:p w14:paraId="317121B8">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9" w:type="dxa"/>
            <w:vAlign w:val="center"/>
          </w:tcPr>
          <w:p w14:paraId="7906BECF">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355" w:type="dxa"/>
            <w:vAlign w:val="center"/>
          </w:tcPr>
          <w:p w14:paraId="13901934">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6" w:type="dxa"/>
            <w:vAlign w:val="center"/>
          </w:tcPr>
          <w:p w14:paraId="30D5A248">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2BA0AC5A">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71" w:type="dxa"/>
            <w:vAlign w:val="center"/>
          </w:tcPr>
          <w:p w14:paraId="65A0D0D7">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00131BC5">
            <w:pPr>
              <w:tabs>
                <w:tab w:val="left" w:pos="4140"/>
              </w:tabs>
              <w:adjustRightInd w:val="0"/>
              <w:snapToGrid w:val="0"/>
              <w:spacing w:line="320" w:lineRule="atLeast"/>
              <w:jc w:val="center"/>
              <w:rPr>
                <w:rFonts w:asciiTheme="majorEastAsia" w:hAnsiTheme="majorEastAsia" w:eastAsiaTheme="majorEastAsia"/>
                <w:spacing w:val="20"/>
                <w:sz w:val="22"/>
              </w:rPr>
            </w:pPr>
          </w:p>
        </w:tc>
      </w:tr>
      <w:tr w14:paraId="781A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596A801">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85" w:type="dxa"/>
            <w:vAlign w:val="center"/>
          </w:tcPr>
          <w:p w14:paraId="1653EEBC">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9" w:type="dxa"/>
            <w:vAlign w:val="center"/>
          </w:tcPr>
          <w:p w14:paraId="4B5AB2A8">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355" w:type="dxa"/>
            <w:vAlign w:val="center"/>
          </w:tcPr>
          <w:p w14:paraId="52A15BDC">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6" w:type="dxa"/>
            <w:vAlign w:val="center"/>
          </w:tcPr>
          <w:p w14:paraId="3C91490B">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4D30B80A">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71" w:type="dxa"/>
            <w:vAlign w:val="center"/>
          </w:tcPr>
          <w:p w14:paraId="18DD7514">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713028E6">
            <w:pPr>
              <w:tabs>
                <w:tab w:val="left" w:pos="4140"/>
              </w:tabs>
              <w:adjustRightInd w:val="0"/>
              <w:snapToGrid w:val="0"/>
              <w:spacing w:line="320" w:lineRule="atLeast"/>
              <w:jc w:val="center"/>
              <w:rPr>
                <w:rFonts w:asciiTheme="majorEastAsia" w:hAnsiTheme="majorEastAsia" w:eastAsiaTheme="majorEastAsia"/>
                <w:spacing w:val="20"/>
                <w:sz w:val="22"/>
              </w:rPr>
            </w:pPr>
          </w:p>
        </w:tc>
      </w:tr>
      <w:tr w14:paraId="20B3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05735178">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85" w:type="dxa"/>
            <w:vAlign w:val="center"/>
          </w:tcPr>
          <w:p w14:paraId="7341CAC5">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9" w:type="dxa"/>
            <w:vAlign w:val="center"/>
          </w:tcPr>
          <w:p w14:paraId="7E6100E6">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355" w:type="dxa"/>
            <w:vAlign w:val="center"/>
          </w:tcPr>
          <w:p w14:paraId="448FAD8C">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6" w:type="dxa"/>
            <w:vAlign w:val="center"/>
          </w:tcPr>
          <w:p w14:paraId="5BE5041F">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61CED013">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71" w:type="dxa"/>
            <w:vAlign w:val="center"/>
          </w:tcPr>
          <w:p w14:paraId="4DD38057">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50A52E82">
            <w:pPr>
              <w:tabs>
                <w:tab w:val="left" w:pos="4140"/>
              </w:tabs>
              <w:adjustRightInd w:val="0"/>
              <w:snapToGrid w:val="0"/>
              <w:spacing w:line="320" w:lineRule="atLeast"/>
              <w:jc w:val="center"/>
              <w:rPr>
                <w:rFonts w:asciiTheme="majorEastAsia" w:hAnsiTheme="majorEastAsia" w:eastAsiaTheme="majorEastAsia"/>
                <w:spacing w:val="20"/>
                <w:sz w:val="22"/>
              </w:rPr>
            </w:pPr>
          </w:p>
        </w:tc>
      </w:tr>
      <w:tr w14:paraId="6F21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BD58F13">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85" w:type="dxa"/>
            <w:vAlign w:val="center"/>
          </w:tcPr>
          <w:p w14:paraId="4B6561A6">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9" w:type="dxa"/>
            <w:vAlign w:val="center"/>
          </w:tcPr>
          <w:p w14:paraId="6CA7C6CA">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355" w:type="dxa"/>
            <w:vAlign w:val="center"/>
          </w:tcPr>
          <w:p w14:paraId="1A053432">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6" w:type="dxa"/>
            <w:vAlign w:val="center"/>
          </w:tcPr>
          <w:p w14:paraId="048F554E">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020C63E0">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71" w:type="dxa"/>
            <w:vAlign w:val="center"/>
          </w:tcPr>
          <w:p w14:paraId="105FABE8">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116835E4">
            <w:pPr>
              <w:tabs>
                <w:tab w:val="left" w:pos="4140"/>
              </w:tabs>
              <w:adjustRightInd w:val="0"/>
              <w:snapToGrid w:val="0"/>
              <w:spacing w:line="320" w:lineRule="atLeast"/>
              <w:jc w:val="center"/>
              <w:rPr>
                <w:rFonts w:asciiTheme="majorEastAsia" w:hAnsiTheme="majorEastAsia" w:eastAsiaTheme="majorEastAsia"/>
                <w:spacing w:val="20"/>
                <w:sz w:val="22"/>
              </w:rPr>
            </w:pPr>
          </w:p>
        </w:tc>
      </w:tr>
      <w:tr w14:paraId="2A65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EC951BB">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85" w:type="dxa"/>
            <w:vAlign w:val="center"/>
          </w:tcPr>
          <w:p w14:paraId="5A52B9EA">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9" w:type="dxa"/>
            <w:vAlign w:val="center"/>
          </w:tcPr>
          <w:p w14:paraId="3D723D19">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355" w:type="dxa"/>
            <w:vAlign w:val="center"/>
          </w:tcPr>
          <w:p w14:paraId="1B19DCED">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6" w:type="dxa"/>
            <w:vAlign w:val="center"/>
          </w:tcPr>
          <w:p w14:paraId="6EB52571">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404BD7D0">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71" w:type="dxa"/>
            <w:vAlign w:val="center"/>
          </w:tcPr>
          <w:p w14:paraId="14A6EB37">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124B3EA7">
            <w:pPr>
              <w:tabs>
                <w:tab w:val="left" w:pos="4140"/>
              </w:tabs>
              <w:adjustRightInd w:val="0"/>
              <w:snapToGrid w:val="0"/>
              <w:spacing w:line="320" w:lineRule="atLeast"/>
              <w:jc w:val="center"/>
              <w:rPr>
                <w:rFonts w:asciiTheme="majorEastAsia" w:hAnsiTheme="majorEastAsia" w:eastAsiaTheme="majorEastAsia"/>
                <w:spacing w:val="20"/>
                <w:sz w:val="22"/>
              </w:rPr>
            </w:pPr>
          </w:p>
        </w:tc>
      </w:tr>
      <w:tr w14:paraId="060E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14:paraId="32044996">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85" w:type="dxa"/>
            <w:vAlign w:val="center"/>
          </w:tcPr>
          <w:p w14:paraId="565E50BE">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9" w:type="dxa"/>
            <w:vAlign w:val="center"/>
          </w:tcPr>
          <w:p w14:paraId="069EE4B2">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355" w:type="dxa"/>
            <w:vAlign w:val="center"/>
          </w:tcPr>
          <w:p w14:paraId="7A764B66">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96" w:type="dxa"/>
            <w:vAlign w:val="center"/>
          </w:tcPr>
          <w:p w14:paraId="5FA28499">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73E7A8E5">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271" w:type="dxa"/>
            <w:vAlign w:val="center"/>
          </w:tcPr>
          <w:p w14:paraId="16CAB549">
            <w:pPr>
              <w:tabs>
                <w:tab w:val="left" w:pos="4140"/>
              </w:tabs>
              <w:adjustRightInd w:val="0"/>
              <w:snapToGrid w:val="0"/>
              <w:spacing w:line="320" w:lineRule="atLeast"/>
              <w:jc w:val="center"/>
              <w:rPr>
                <w:rFonts w:asciiTheme="majorEastAsia" w:hAnsiTheme="majorEastAsia" w:eastAsiaTheme="majorEastAsia"/>
                <w:spacing w:val="20"/>
                <w:sz w:val="22"/>
              </w:rPr>
            </w:pPr>
          </w:p>
        </w:tc>
        <w:tc>
          <w:tcPr>
            <w:tcW w:w="1064" w:type="dxa"/>
            <w:vAlign w:val="center"/>
          </w:tcPr>
          <w:p w14:paraId="6BEA25F8">
            <w:pPr>
              <w:tabs>
                <w:tab w:val="left" w:pos="4140"/>
              </w:tabs>
              <w:adjustRightInd w:val="0"/>
              <w:snapToGrid w:val="0"/>
              <w:spacing w:line="320" w:lineRule="atLeast"/>
              <w:jc w:val="center"/>
              <w:rPr>
                <w:rFonts w:asciiTheme="majorEastAsia" w:hAnsiTheme="majorEastAsia" w:eastAsiaTheme="majorEastAsia"/>
                <w:spacing w:val="20"/>
                <w:sz w:val="22"/>
              </w:rPr>
            </w:pPr>
          </w:p>
        </w:tc>
      </w:tr>
    </w:tbl>
    <w:p w14:paraId="59C1C700">
      <w:pPr>
        <w:spacing w:line="460" w:lineRule="exact"/>
        <w:ind w:left="755" w:hanging="754" w:hangingChars="343"/>
        <w:rPr>
          <w:rFonts w:asciiTheme="majorEastAsia" w:hAnsiTheme="majorEastAsia" w:eastAsiaTheme="majorEastAsia"/>
          <w:bCs/>
          <w:sz w:val="22"/>
          <w:szCs w:val="22"/>
        </w:rPr>
      </w:pPr>
      <w:r>
        <w:rPr>
          <w:rFonts w:hint="eastAsia" w:asciiTheme="majorEastAsia" w:hAnsiTheme="majorEastAsia" w:eastAsiaTheme="majorEastAsia"/>
          <w:sz w:val="22"/>
          <w:szCs w:val="22"/>
        </w:rPr>
        <w:t>注：投标供应商可按此表格式复制，需后附合同扫描件加盖公章。</w:t>
      </w:r>
    </w:p>
    <w:p w14:paraId="7A203986">
      <w:pPr>
        <w:spacing w:line="460" w:lineRule="exact"/>
        <w:ind w:left="755" w:hanging="754" w:hangingChars="343"/>
        <w:rPr>
          <w:rFonts w:asciiTheme="majorEastAsia" w:hAnsiTheme="majorEastAsia" w:eastAsiaTheme="majorEastAsia"/>
          <w:bCs/>
          <w:sz w:val="22"/>
          <w:szCs w:val="22"/>
        </w:rPr>
      </w:pPr>
    </w:p>
    <w:p w14:paraId="06688421">
      <w:pPr>
        <w:spacing w:line="440" w:lineRule="atLeast"/>
        <w:rPr>
          <w:rFonts w:asciiTheme="majorEastAsia" w:hAnsiTheme="majorEastAsia" w:eastAsiaTheme="majorEastAsia"/>
          <w:sz w:val="22"/>
          <w:szCs w:val="22"/>
        </w:rPr>
      </w:pPr>
      <w:r>
        <w:rPr>
          <w:rFonts w:hint="eastAsia" w:asciiTheme="majorEastAsia" w:hAnsiTheme="majorEastAsia" w:eastAsiaTheme="majorEastAsia"/>
          <w:sz w:val="22"/>
          <w:szCs w:val="22"/>
        </w:rPr>
        <w:t>供应商全称（盖章）：</w:t>
      </w:r>
    </w:p>
    <w:p w14:paraId="0DD2CFE8">
      <w:pPr>
        <w:autoSpaceDE w:val="0"/>
        <w:autoSpaceDN w:val="0"/>
        <w:adjustRightInd w:val="0"/>
        <w:spacing w:line="460" w:lineRule="atLeast"/>
        <w:rPr>
          <w:rFonts w:asciiTheme="majorEastAsia" w:hAnsiTheme="majorEastAsia" w:eastAsiaTheme="majorEastAsia"/>
          <w:sz w:val="22"/>
          <w:szCs w:val="22"/>
        </w:rPr>
      </w:pPr>
      <w:r>
        <w:rPr>
          <w:rFonts w:hint="eastAsia" w:asciiTheme="majorEastAsia" w:hAnsiTheme="majorEastAsia" w:eastAsiaTheme="majorEastAsia"/>
          <w:sz w:val="22"/>
          <w:szCs w:val="22"/>
        </w:rPr>
        <w:t>日期：</w:t>
      </w:r>
    </w:p>
    <w:p w14:paraId="2E6A1518">
      <w:pPr>
        <w:autoSpaceDE w:val="0"/>
        <w:autoSpaceDN w:val="0"/>
        <w:adjustRightInd w:val="0"/>
        <w:spacing w:line="460" w:lineRule="atLeast"/>
        <w:rPr>
          <w:rFonts w:asciiTheme="majorEastAsia" w:hAnsiTheme="majorEastAsia" w:eastAsiaTheme="majorEastAsia"/>
          <w:sz w:val="22"/>
        </w:rPr>
      </w:pPr>
    </w:p>
    <w:p w14:paraId="2E08C7F0">
      <w:pPr>
        <w:autoSpaceDE w:val="0"/>
        <w:autoSpaceDN w:val="0"/>
        <w:adjustRightInd w:val="0"/>
        <w:spacing w:line="460" w:lineRule="atLeast"/>
        <w:rPr>
          <w:rFonts w:asciiTheme="majorEastAsia" w:hAnsiTheme="majorEastAsia" w:eastAsiaTheme="majorEastAsia"/>
          <w:sz w:val="22"/>
        </w:rPr>
      </w:pPr>
    </w:p>
    <w:p w14:paraId="74CF032A">
      <w:pPr>
        <w:pStyle w:val="39"/>
        <w:rPr>
          <w:rFonts w:asciiTheme="majorEastAsia" w:hAnsiTheme="majorEastAsia" w:eastAsiaTheme="majorEastAsia"/>
        </w:rPr>
      </w:pPr>
      <w:bookmarkStart w:id="218" w:name="_Toc493530220"/>
    </w:p>
    <w:p w14:paraId="0577C0E4">
      <w:pPr>
        <w:rPr>
          <w:rFonts w:asciiTheme="majorEastAsia" w:hAnsiTheme="majorEastAsia" w:eastAsiaTheme="majorEastAsia"/>
        </w:rPr>
      </w:pPr>
    </w:p>
    <w:bookmarkEnd w:id="218"/>
    <w:p w14:paraId="75A8173E">
      <w:pPr>
        <w:rPr>
          <w:rFonts w:asciiTheme="majorEastAsia" w:hAnsiTheme="majorEastAsia" w:eastAsiaTheme="majorEastAsia"/>
          <w:b/>
          <w:sz w:val="22"/>
          <w:szCs w:val="22"/>
        </w:rPr>
      </w:pPr>
      <w:r>
        <w:rPr>
          <w:rFonts w:hint="eastAsia" w:asciiTheme="majorEastAsia" w:hAnsiTheme="majorEastAsia" w:eastAsiaTheme="majorEastAsia"/>
          <w:b/>
          <w:sz w:val="22"/>
          <w:szCs w:val="22"/>
        </w:rPr>
        <w:br w:type="page"/>
      </w:r>
    </w:p>
    <w:p w14:paraId="736027D1">
      <w:pPr>
        <w:widowControl/>
        <w:jc w:val="left"/>
        <w:rPr>
          <w:rFonts w:asciiTheme="majorEastAsia" w:hAnsiTheme="majorEastAsia" w:eastAsiaTheme="majorEastAsia"/>
          <w:b/>
          <w:bCs/>
          <w:sz w:val="22"/>
          <w:szCs w:val="22"/>
        </w:rPr>
      </w:pPr>
      <w:r>
        <w:rPr>
          <w:rFonts w:hint="eastAsia" w:asciiTheme="majorEastAsia" w:hAnsiTheme="majorEastAsia" w:eastAsiaTheme="majorEastAsia"/>
          <w:b/>
          <w:sz w:val="22"/>
          <w:szCs w:val="22"/>
        </w:rPr>
        <w:t>附件八</w:t>
      </w:r>
    </w:p>
    <w:p w14:paraId="33D3AA57">
      <w:pPr>
        <w:pStyle w:val="39"/>
        <w:rPr>
          <w:rFonts w:asciiTheme="majorEastAsia" w:hAnsiTheme="majorEastAsia" w:eastAsiaTheme="majorEastAsia"/>
        </w:rPr>
      </w:pPr>
      <w:r>
        <w:rPr>
          <w:rFonts w:hint="eastAsia" w:asciiTheme="majorEastAsia" w:hAnsiTheme="majorEastAsia" w:eastAsiaTheme="majorEastAsia"/>
        </w:rPr>
        <w:t>商务、技术偏离表</w:t>
      </w:r>
    </w:p>
    <w:p w14:paraId="05A3BEF0">
      <w:pPr>
        <w:spacing w:line="560" w:lineRule="exact"/>
        <w:ind w:firstLine="431" w:firstLineChars="196"/>
        <w:rPr>
          <w:rFonts w:asciiTheme="majorEastAsia" w:hAnsiTheme="majorEastAsia" w:eastAsiaTheme="majorEastAsia"/>
          <w:bCs/>
          <w:sz w:val="22"/>
          <w:szCs w:val="22"/>
        </w:rPr>
      </w:pPr>
      <w:r>
        <w:rPr>
          <w:rFonts w:hint="eastAsia" w:asciiTheme="majorEastAsia" w:hAnsiTheme="majorEastAsia" w:eastAsiaTheme="majorEastAsia"/>
          <w:sz w:val="22"/>
          <w:szCs w:val="22"/>
        </w:rPr>
        <w:t>项目名称：                                       项目编号：</w:t>
      </w:r>
    </w:p>
    <w:tbl>
      <w:tblPr>
        <w:tblStyle w:val="4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14:paraId="2BD0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8" w:type="dxa"/>
            <w:vAlign w:val="center"/>
          </w:tcPr>
          <w:p w14:paraId="55B026D1">
            <w:pPr>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内   容</w:t>
            </w:r>
          </w:p>
        </w:tc>
        <w:tc>
          <w:tcPr>
            <w:tcW w:w="1434" w:type="dxa"/>
            <w:vAlign w:val="center"/>
          </w:tcPr>
          <w:p w14:paraId="47DC22DF">
            <w:pPr>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招标文件</w:t>
            </w:r>
          </w:p>
          <w:p w14:paraId="3C474F7E">
            <w:pPr>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条目</w:t>
            </w:r>
          </w:p>
        </w:tc>
        <w:tc>
          <w:tcPr>
            <w:tcW w:w="2743" w:type="dxa"/>
            <w:vAlign w:val="center"/>
          </w:tcPr>
          <w:p w14:paraId="384CBFE0">
            <w:pPr>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招标文件</w:t>
            </w:r>
          </w:p>
          <w:p w14:paraId="68BF723F">
            <w:pPr>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规格要求</w:t>
            </w:r>
          </w:p>
        </w:tc>
        <w:tc>
          <w:tcPr>
            <w:tcW w:w="3023" w:type="dxa"/>
            <w:vAlign w:val="center"/>
          </w:tcPr>
          <w:p w14:paraId="3B9F404E">
            <w:pPr>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投标文件</w:t>
            </w:r>
          </w:p>
          <w:p w14:paraId="24CD4726">
            <w:pPr>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对应规格</w:t>
            </w:r>
          </w:p>
        </w:tc>
        <w:tc>
          <w:tcPr>
            <w:tcW w:w="1260" w:type="dxa"/>
            <w:vAlign w:val="center"/>
          </w:tcPr>
          <w:p w14:paraId="04F1BDCC">
            <w:pPr>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说   明</w:t>
            </w:r>
          </w:p>
        </w:tc>
      </w:tr>
      <w:tr w14:paraId="5BCD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14:paraId="56124F0F">
            <w:pPr>
              <w:rPr>
                <w:rFonts w:asciiTheme="majorEastAsia" w:hAnsiTheme="majorEastAsia" w:eastAsiaTheme="majorEastAsia"/>
                <w:sz w:val="22"/>
                <w:szCs w:val="22"/>
              </w:rPr>
            </w:pPr>
            <w:r>
              <w:rPr>
                <w:rFonts w:hint="eastAsia" w:asciiTheme="majorEastAsia" w:hAnsiTheme="majorEastAsia" w:eastAsiaTheme="majorEastAsia"/>
                <w:sz w:val="22"/>
                <w:szCs w:val="22"/>
              </w:rPr>
              <w:t>技术偏离</w:t>
            </w:r>
          </w:p>
        </w:tc>
        <w:tc>
          <w:tcPr>
            <w:tcW w:w="1434" w:type="dxa"/>
            <w:vAlign w:val="center"/>
          </w:tcPr>
          <w:p w14:paraId="069B34C6">
            <w:pPr>
              <w:jc w:val="center"/>
              <w:rPr>
                <w:rFonts w:asciiTheme="majorEastAsia" w:hAnsiTheme="majorEastAsia" w:eastAsiaTheme="majorEastAsia"/>
                <w:sz w:val="22"/>
                <w:szCs w:val="22"/>
              </w:rPr>
            </w:pPr>
          </w:p>
        </w:tc>
        <w:tc>
          <w:tcPr>
            <w:tcW w:w="2743" w:type="dxa"/>
            <w:vAlign w:val="center"/>
          </w:tcPr>
          <w:p w14:paraId="5E2C4B07">
            <w:pPr>
              <w:jc w:val="center"/>
              <w:rPr>
                <w:rFonts w:asciiTheme="majorEastAsia" w:hAnsiTheme="majorEastAsia" w:eastAsiaTheme="majorEastAsia"/>
                <w:sz w:val="22"/>
                <w:szCs w:val="22"/>
              </w:rPr>
            </w:pPr>
          </w:p>
        </w:tc>
        <w:tc>
          <w:tcPr>
            <w:tcW w:w="3023" w:type="dxa"/>
            <w:vAlign w:val="center"/>
          </w:tcPr>
          <w:p w14:paraId="76A7474F">
            <w:pPr>
              <w:jc w:val="center"/>
              <w:rPr>
                <w:rFonts w:asciiTheme="majorEastAsia" w:hAnsiTheme="majorEastAsia" w:eastAsiaTheme="majorEastAsia"/>
                <w:sz w:val="22"/>
                <w:szCs w:val="22"/>
              </w:rPr>
            </w:pPr>
          </w:p>
        </w:tc>
        <w:tc>
          <w:tcPr>
            <w:tcW w:w="1260" w:type="dxa"/>
            <w:vAlign w:val="center"/>
          </w:tcPr>
          <w:p w14:paraId="062A18F1">
            <w:pPr>
              <w:jc w:val="center"/>
              <w:rPr>
                <w:rFonts w:asciiTheme="majorEastAsia" w:hAnsiTheme="majorEastAsia" w:eastAsiaTheme="majorEastAsia"/>
                <w:sz w:val="22"/>
                <w:szCs w:val="22"/>
              </w:rPr>
            </w:pPr>
          </w:p>
        </w:tc>
      </w:tr>
      <w:tr w14:paraId="6407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0CFDF0FD">
            <w:pPr>
              <w:jc w:val="center"/>
              <w:rPr>
                <w:rFonts w:asciiTheme="majorEastAsia" w:hAnsiTheme="majorEastAsia" w:eastAsiaTheme="majorEastAsia"/>
                <w:sz w:val="22"/>
                <w:szCs w:val="22"/>
              </w:rPr>
            </w:pPr>
          </w:p>
        </w:tc>
        <w:tc>
          <w:tcPr>
            <w:tcW w:w="1434" w:type="dxa"/>
            <w:vAlign w:val="center"/>
          </w:tcPr>
          <w:p w14:paraId="1CFBE03C">
            <w:pPr>
              <w:jc w:val="center"/>
              <w:rPr>
                <w:rFonts w:asciiTheme="majorEastAsia" w:hAnsiTheme="majorEastAsia" w:eastAsiaTheme="majorEastAsia"/>
                <w:sz w:val="22"/>
                <w:szCs w:val="22"/>
              </w:rPr>
            </w:pPr>
          </w:p>
        </w:tc>
        <w:tc>
          <w:tcPr>
            <w:tcW w:w="2743" w:type="dxa"/>
            <w:vAlign w:val="center"/>
          </w:tcPr>
          <w:p w14:paraId="6C77DF2F">
            <w:pPr>
              <w:jc w:val="center"/>
              <w:rPr>
                <w:rFonts w:asciiTheme="majorEastAsia" w:hAnsiTheme="majorEastAsia" w:eastAsiaTheme="majorEastAsia"/>
                <w:sz w:val="22"/>
                <w:szCs w:val="22"/>
              </w:rPr>
            </w:pPr>
          </w:p>
        </w:tc>
        <w:tc>
          <w:tcPr>
            <w:tcW w:w="3023" w:type="dxa"/>
            <w:vAlign w:val="center"/>
          </w:tcPr>
          <w:p w14:paraId="0B2A0CEA">
            <w:pPr>
              <w:jc w:val="center"/>
              <w:rPr>
                <w:rFonts w:asciiTheme="majorEastAsia" w:hAnsiTheme="majorEastAsia" w:eastAsiaTheme="majorEastAsia"/>
                <w:sz w:val="22"/>
                <w:szCs w:val="22"/>
              </w:rPr>
            </w:pPr>
          </w:p>
        </w:tc>
        <w:tc>
          <w:tcPr>
            <w:tcW w:w="1260" w:type="dxa"/>
            <w:vAlign w:val="center"/>
          </w:tcPr>
          <w:p w14:paraId="29389173">
            <w:pPr>
              <w:jc w:val="center"/>
              <w:rPr>
                <w:rFonts w:asciiTheme="majorEastAsia" w:hAnsiTheme="majorEastAsia" w:eastAsiaTheme="majorEastAsia"/>
                <w:sz w:val="22"/>
                <w:szCs w:val="22"/>
              </w:rPr>
            </w:pPr>
          </w:p>
        </w:tc>
      </w:tr>
      <w:tr w14:paraId="447F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3A1552CE">
            <w:pPr>
              <w:jc w:val="center"/>
              <w:rPr>
                <w:rFonts w:asciiTheme="majorEastAsia" w:hAnsiTheme="majorEastAsia" w:eastAsiaTheme="majorEastAsia"/>
                <w:sz w:val="22"/>
                <w:szCs w:val="22"/>
              </w:rPr>
            </w:pPr>
          </w:p>
        </w:tc>
        <w:tc>
          <w:tcPr>
            <w:tcW w:w="1434" w:type="dxa"/>
            <w:vAlign w:val="center"/>
          </w:tcPr>
          <w:p w14:paraId="3E366E06">
            <w:pPr>
              <w:jc w:val="center"/>
              <w:rPr>
                <w:rFonts w:asciiTheme="majorEastAsia" w:hAnsiTheme="majorEastAsia" w:eastAsiaTheme="majorEastAsia"/>
                <w:sz w:val="22"/>
                <w:szCs w:val="22"/>
              </w:rPr>
            </w:pPr>
          </w:p>
        </w:tc>
        <w:tc>
          <w:tcPr>
            <w:tcW w:w="2743" w:type="dxa"/>
            <w:vAlign w:val="center"/>
          </w:tcPr>
          <w:p w14:paraId="70C42B84">
            <w:pPr>
              <w:jc w:val="center"/>
              <w:rPr>
                <w:rFonts w:asciiTheme="majorEastAsia" w:hAnsiTheme="majorEastAsia" w:eastAsiaTheme="majorEastAsia"/>
                <w:sz w:val="22"/>
                <w:szCs w:val="22"/>
              </w:rPr>
            </w:pPr>
          </w:p>
        </w:tc>
        <w:tc>
          <w:tcPr>
            <w:tcW w:w="3023" w:type="dxa"/>
            <w:vAlign w:val="center"/>
          </w:tcPr>
          <w:p w14:paraId="0BBEA1EB">
            <w:pPr>
              <w:jc w:val="center"/>
              <w:rPr>
                <w:rFonts w:asciiTheme="majorEastAsia" w:hAnsiTheme="majorEastAsia" w:eastAsiaTheme="majorEastAsia"/>
                <w:sz w:val="22"/>
                <w:szCs w:val="22"/>
              </w:rPr>
            </w:pPr>
          </w:p>
        </w:tc>
        <w:tc>
          <w:tcPr>
            <w:tcW w:w="1260" w:type="dxa"/>
            <w:vAlign w:val="center"/>
          </w:tcPr>
          <w:p w14:paraId="65FA44EE">
            <w:pPr>
              <w:jc w:val="center"/>
              <w:rPr>
                <w:rFonts w:asciiTheme="majorEastAsia" w:hAnsiTheme="majorEastAsia" w:eastAsiaTheme="majorEastAsia"/>
                <w:sz w:val="22"/>
                <w:szCs w:val="22"/>
              </w:rPr>
            </w:pPr>
          </w:p>
        </w:tc>
      </w:tr>
      <w:tr w14:paraId="35A2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04C353EE">
            <w:pPr>
              <w:jc w:val="center"/>
              <w:rPr>
                <w:rFonts w:asciiTheme="majorEastAsia" w:hAnsiTheme="majorEastAsia" w:eastAsiaTheme="majorEastAsia"/>
                <w:sz w:val="22"/>
                <w:szCs w:val="22"/>
              </w:rPr>
            </w:pPr>
          </w:p>
        </w:tc>
        <w:tc>
          <w:tcPr>
            <w:tcW w:w="1434" w:type="dxa"/>
            <w:vAlign w:val="center"/>
          </w:tcPr>
          <w:p w14:paraId="5498AAE3">
            <w:pPr>
              <w:jc w:val="center"/>
              <w:rPr>
                <w:rFonts w:asciiTheme="majorEastAsia" w:hAnsiTheme="majorEastAsia" w:eastAsiaTheme="majorEastAsia"/>
                <w:sz w:val="22"/>
                <w:szCs w:val="22"/>
              </w:rPr>
            </w:pPr>
          </w:p>
        </w:tc>
        <w:tc>
          <w:tcPr>
            <w:tcW w:w="2743" w:type="dxa"/>
            <w:vAlign w:val="center"/>
          </w:tcPr>
          <w:p w14:paraId="62C41A69">
            <w:pPr>
              <w:jc w:val="center"/>
              <w:rPr>
                <w:rFonts w:asciiTheme="majorEastAsia" w:hAnsiTheme="majorEastAsia" w:eastAsiaTheme="majorEastAsia"/>
                <w:sz w:val="22"/>
                <w:szCs w:val="22"/>
              </w:rPr>
            </w:pPr>
          </w:p>
        </w:tc>
        <w:tc>
          <w:tcPr>
            <w:tcW w:w="3023" w:type="dxa"/>
            <w:vAlign w:val="center"/>
          </w:tcPr>
          <w:p w14:paraId="07660BA6">
            <w:pPr>
              <w:jc w:val="center"/>
              <w:rPr>
                <w:rFonts w:asciiTheme="majorEastAsia" w:hAnsiTheme="majorEastAsia" w:eastAsiaTheme="majorEastAsia"/>
                <w:sz w:val="22"/>
                <w:szCs w:val="22"/>
              </w:rPr>
            </w:pPr>
          </w:p>
        </w:tc>
        <w:tc>
          <w:tcPr>
            <w:tcW w:w="1260" w:type="dxa"/>
            <w:vAlign w:val="center"/>
          </w:tcPr>
          <w:p w14:paraId="7E2D05A6">
            <w:pPr>
              <w:jc w:val="center"/>
              <w:rPr>
                <w:rFonts w:asciiTheme="majorEastAsia" w:hAnsiTheme="majorEastAsia" w:eastAsiaTheme="majorEastAsia"/>
                <w:sz w:val="22"/>
                <w:szCs w:val="22"/>
              </w:rPr>
            </w:pPr>
          </w:p>
        </w:tc>
      </w:tr>
      <w:tr w14:paraId="4107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4" w:hRule="atLeast"/>
        </w:trPr>
        <w:tc>
          <w:tcPr>
            <w:tcW w:w="1368" w:type="dxa"/>
            <w:vMerge w:val="continue"/>
            <w:vAlign w:val="center"/>
          </w:tcPr>
          <w:p w14:paraId="2B7F4899">
            <w:pPr>
              <w:jc w:val="center"/>
              <w:rPr>
                <w:rFonts w:asciiTheme="majorEastAsia" w:hAnsiTheme="majorEastAsia" w:eastAsiaTheme="majorEastAsia"/>
                <w:sz w:val="22"/>
                <w:szCs w:val="22"/>
              </w:rPr>
            </w:pPr>
          </w:p>
        </w:tc>
        <w:tc>
          <w:tcPr>
            <w:tcW w:w="1434" w:type="dxa"/>
            <w:vAlign w:val="center"/>
          </w:tcPr>
          <w:p w14:paraId="31BD94AB">
            <w:pPr>
              <w:jc w:val="center"/>
              <w:rPr>
                <w:rFonts w:asciiTheme="majorEastAsia" w:hAnsiTheme="majorEastAsia" w:eastAsiaTheme="majorEastAsia"/>
                <w:sz w:val="22"/>
                <w:szCs w:val="22"/>
              </w:rPr>
            </w:pPr>
          </w:p>
        </w:tc>
        <w:tc>
          <w:tcPr>
            <w:tcW w:w="2743" w:type="dxa"/>
            <w:vAlign w:val="center"/>
          </w:tcPr>
          <w:p w14:paraId="3B34C87A">
            <w:pPr>
              <w:jc w:val="center"/>
              <w:rPr>
                <w:rFonts w:asciiTheme="majorEastAsia" w:hAnsiTheme="majorEastAsia" w:eastAsiaTheme="majorEastAsia"/>
                <w:sz w:val="22"/>
                <w:szCs w:val="22"/>
              </w:rPr>
            </w:pPr>
          </w:p>
        </w:tc>
        <w:tc>
          <w:tcPr>
            <w:tcW w:w="3023" w:type="dxa"/>
            <w:vAlign w:val="center"/>
          </w:tcPr>
          <w:p w14:paraId="04C4A8EF">
            <w:pPr>
              <w:jc w:val="center"/>
              <w:rPr>
                <w:rFonts w:asciiTheme="majorEastAsia" w:hAnsiTheme="majorEastAsia" w:eastAsiaTheme="majorEastAsia"/>
                <w:sz w:val="22"/>
                <w:szCs w:val="22"/>
              </w:rPr>
            </w:pPr>
          </w:p>
        </w:tc>
        <w:tc>
          <w:tcPr>
            <w:tcW w:w="1260" w:type="dxa"/>
            <w:vAlign w:val="center"/>
          </w:tcPr>
          <w:p w14:paraId="1528127E">
            <w:pPr>
              <w:jc w:val="center"/>
              <w:rPr>
                <w:rFonts w:asciiTheme="majorEastAsia" w:hAnsiTheme="majorEastAsia" w:eastAsiaTheme="majorEastAsia"/>
                <w:sz w:val="22"/>
                <w:szCs w:val="22"/>
              </w:rPr>
            </w:pPr>
          </w:p>
        </w:tc>
      </w:tr>
      <w:tr w14:paraId="4D81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14:paraId="036E434D">
            <w:pPr>
              <w:rPr>
                <w:rFonts w:asciiTheme="majorEastAsia" w:hAnsiTheme="majorEastAsia" w:eastAsiaTheme="majorEastAsia"/>
                <w:sz w:val="22"/>
                <w:szCs w:val="22"/>
              </w:rPr>
            </w:pPr>
            <w:r>
              <w:rPr>
                <w:rFonts w:hint="eastAsia" w:asciiTheme="majorEastAsia" w:hAnsiTheme="majorEastAsia" w:eastAsiaTheme="majorEastAsia"/>
                <w:sz w:val="22"/>
                <w:szCs w:val="22"/>
              </w:rPr>
              <w:t>商务偏离</w:t>
            </w:r>
          </w:p>
        </w:tc>
        <w:tc>
          <w:tcPr>
            <w:tcW w:w="1434" w:type="dxa"/>
            <w:vAlign w:val="center"/>
          </w:tcPr>
          <w:p w14:paraId="5860C4F0">
            <w:pPr>
              <w:jc w:val="center"/>
              <w:rPr>
                <w:rFonts w:asciiTheme="majorEastAsia" w:hAnsiTheme="majorEastAsia" w:eastAsiaTheme="majorEastAsia"/>
                <w:sz w:val="22"/>
                <w:szCs w:val="22"/>
              </w:rPr>
            </w:pPr>
          </w:p>
        </w:tc>
        <w:tc>
          <w:tcPr>
            <w:tcW w:w="2743" w:type="dxa"/>
            <w:vAlign w:val="center"/>
          </w:tcPr>
          <w:p w14:paraId="40D1BF85">
            <w:pPr>
              <w:jc w:val="center"/>
              <w:rPr>
                <w:rFonts w:asciiTheme="majorEastAsia" w:hAnsiTheme="majorEastAsia" w:eastAsiaTheme="majorEastAsia"/>
                <w:sz w:val="22"/>
                <w:szCs w:val="22"/>
              </w:rPr>
            </w:pPr>
          </w:p>
        </w:tc>
        <w:tc>
          <w:tcPr>
            <w:tcW w:w="3023" w:type="dxa"/>
            <w:vAlign w:val="center"/>
          </w:tcPr>
          <w:p w14:paraId="31A8F87F">
            <w:pPr>
              <w:jc w:val="center"/>
              <w:rPr>
                <w:rFonts w:asciiTheme="majorEastAsia" w:hAnsiTheme="majorEastAsia" w:eastAsiaTheme="majorEastAsia"/>
                <w:sz w:val="22"/>
                <w:szCs w:val="22"/>
              </w:rPr>
            </w:pPr>
          </w:p>
        </w:tc>
        <w:tc>
          <w:tcPr>
            <w:tcW w:w="1260" w:type="dxa"/>
            <w:vAlign w:val="center"/>
          </w:tcPr>
          <w:p w14:paraId="4A163D9E">
            <w:pPr>
              <w:jc w:val="center"/>
              <w:rPr>
                <w:rFonts w:asciiTheme="majorEastAsia" w:hAnsiTheme="majorEastAsia" w:eastAsiaTheme="majorEastAsia"/>
                <w:sz w:val="22"/>
                <w:szCs w:val="22"/>
              </w:rPr>
            </w:pPr>
          </w:p>
        </w:tc>
      </w:tr>
      <w:tr w14:paraId="072A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3B1315DD">
            <w:pPr>
              <w:jc w:val="center"/>
              <w:rPr>
                <w:rFonts w:asciiTheme="majorEastAsia" w:hAnsiTheme="majorEastAsia" w:eastAsiaTheme="majorEastAsia"/>
                <w:sz w:val="22"/>
                <w:szCs w:val="22"/>
              </w:rPr>
            </w:pPr>
          </w:p>
        </w:tc>
        <w:tc>
          <w:tcPr>
            <w:tcW w:w="1434" w:type="dxa"/>
            <w:vAlign w:val="center"/>
          </w:tcPr>
          <w:p w14:paraId="551F2E27">
            <w:pPr>
              <w:jc w:val="center"/>
              <w:rPr>
                <w:rFonts w:asciiTheme="majorEastAsia" w:hAnsiTheme="majorEastAsia" w:eastAsiaTheme="majorEastAsia"/>
                <w:sz w:val="22"/>
                <w:szCs w:val="22"/>
              </w:rPr>
            </w:pPr>
          </w:p>
        </w:tc>
        <w:tc>
          <w:tcPr>
            <w:tcW w:w="2743" w:type="dxa"/>
            <w:vAlign w:val="center"/>
          </w:tcPr>
          <w:p w14:paraId="716523ED">
            <w:pPr>
              <w:jc w:val="center"/>
              <w:rPr>
                <w:rFonts w:asciiTheme="majorEastAsia" w:hAnsiTheme="majorEastAsia" w:eastAsiaTheme="majorEastAsia"/>
                <w:sz w:val="22"/>
                <w:szCs w:val="22"/>
              </w:rPr>
            </w:pPr>
          </w:p>
        </w:tc>
        <w:tc>
          <w:tcPr>
            <w:tcW w:w="3023" w:type="dxa"/>
            <w:vAlign w:val="center"/>
          </w:tcPr>
          <w:p w14:paraId="3A2C8107">
            <w:pPr>
              <w:jc w:val="center"/>
              <w:rPr>
                <w:rFonts w:asciiTheme="majorEastAsia" w:hAnsiTheme="majorEastAsia" w:eastAsiaTheme="majorEastAsia"/>
                <w:sz w:val="22"/>
                <w:szCs w:val="22"/>
              </w:rPr>
            </w:pPr>
          </w:p>
        </w:tc>
        <w:tc>
          <w:tcPr>
            <w:tcW w:w="1260" w:type="dxa"/>
            <w:vAlign w:val="center"/>
          </w:tcPr>
          <w:p w14:paraId="532F30C7">
            <w:pPr>
              <w:jc w:val="center"/>
              <w:rPr>
                <w:rFonts w:asciiTheme="majorEastAsia" w:hAnsiTheme="majorEastAsia" w:eastAsiaTheme="majorEastAsia"/>
                <w:sz w:val="22"/>
                <w:szCs w:val="22"/>
              </w:rPr>
            </w:pPr>
          </w:p>
        </w:tc>
      </w:tr>
      <w:tr w14:paraId="2FA2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70B8AD5A">
            <w:pPr>
              <w:jc w:val="center"/>
              <w:rPr>
                <w:rFonts w:asciiTheme="majorEastAsia" w:hAnsiTheme="majorEastAsia" w:eastAsiaTheme="majorEastAsia"/>
                <w:sz w:val="22"/>
                <w:szCs w:val="22"/>
              </w:rPr>
            </w:pPr>
          </w:p>
        </w:tc>
        <w:tc>
          <w:tcPr>
            <w:tcW w:w="1434" w:type="dxa"/>
            <w:vAlign w:val="center"/>
          </w:tcPr>
          <w:p w14:paraId="589FD36C">
            <w:pPr>
              <w:jc w:val="center"/>
              <w:rPr>
                <w:rFonts w:asciiTheme="majorEastAsia" w:hAnsiTheme="majorEastAsia" w:eastAsiaTheme="majorEastAsia"/>
                <w:sz w:val="22"/>
                <w:szCs w:val="22"/>
              </w:rPr>
            </w:pPr>
          </w:p>
        </w:tc>
        <w:tc>
          <w:tcPr>
            <w:tcW w:w="2743" w:type="dxa"/>
            <w:vAlign w:val="center"/>
          </w:tcPr>
          <w:p w14:paraId="63DE1937">
            <w:pPr>
              <w:jc w:val="center"/>
              <w:rPr>
                <w:rFonts w:asciiTheme="majorEastAsia" w:hAnsiTheme="majorEastAsia" w:eastAsiaTheme="majorEastAsia"/>
                <w:sz w:val="22"/>
                <w:szCs w:val="22"/>
              </w:rPr>
            </w:pPr>
          </w:p>
        </w:tc>
        <w:tc>
          <w:tcPr>
            <w:tcW w:w="3023" w:type="dxa"/>
            <w:vAlign w:val="center"/>
          </w:tcPr>
          <w:p w14:paraId="0E4793AD">
            <w:pPr>
              <w:jc w:val="center"/>
              <w:rPr>
                <w:rFonts w:asciiTheme="majorEastAsia" w:hAnsiTheme="majorEastAsia" w:eastAsiaTheme="majorEastAsia"/>
                <w:sz w:val="22"/>
                <w:szCs w:val="22"/>
              </w:rPr>
            </w:pPr>
          </w:p>
        </w:tc>
        <w:tc>
          <w:tcPr>
            <w:tcW w:w="1260" w:type="dxa"/>
            <w:vAlign w:val="center"/>
          </w:tcPr>
          <w:p w14:paraId="131F14A7">
            <w:pPr>
              <w:jc w:val="center"/>
              <w:rPr>
                <w:rFonts w:asciiTheme="majorEastAsia" w:hAnsiTheme="majorEastAsia" w:eastAsiaTheme="majorEastAsia"/>
                <w:sz w:val="22"/>
                <w:szCs w:val="22"/>
              </w:rPr>
            </w:pPr>
          </w:p>
        </w:tc>
      </w:tr>
      <w:tr w14:paraId="7501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25B3E21E">
            <w:pPr>
              <w:jc w:val="center"/>
              <w:rPr>
                <w:rFonts w:asciiTheme="majorEastAsia" w:hAnsiTheme="majorEastAsia" w:eastAsiaTheme="majorEastAsia"/>
                <w:sz w:val="22"/>
                <w:szCs w:val="22"/>
              </w:rPr>
            </w:pPr>
          </w:p>
        </w:tc>
        <w:tc>
          <w:tcPr>
            <w:tcW w:w="1434" w:type="dxa"/>
            <w:vAlign w:val="center"/>
          </w:tcPr>
          <w:p w14:paraId="229E4F85">
            <w:pPr>
              <w:jc w:val="center"/>
              <w:rPr>
                <w:rFonts w:asciiTheme="majorEastAsia" w:hAnsiTheme="majorEastAsia" w:eastAsiaTheme="majorEastAsia"/>
                <w:sz w:val="22"/>
                <w:szCs w:val="22"/>
              </w:rPr>
            </w:pPr>
          </w:p>
        </w:tc>
        <w:tc>
          <w:tcPr>
            <w:tcW w:w="2743" w:type="dxa"/>
            <w:vAlign w:val="center"/>
          </w:tcPr>
          <w:p w14:paraId="62A70E3B">
            <w:pPr>
              <w:jc w:val="center"/>
              <w:rPr>
                <w:rFonts w:asciiTheme="majorEastAsia" w:hAnsiTheme="majorEastAsia" w:eastAsiaTheme="majorEastAsia"/>
                <w:sz w:val="22"/>
                <w:szCs w:val="22"/>
              </w:rPr>
            </w:pPr>
          </w:p>
        </w:tc>
        <w:tc>
          <w:tcPr>
            <w:tcW w:w="3023" w:type="dxa"/>
            <w:vAlign w:val="center"/>
          </w:tcPr>
          <w:p w14:paraId="6A5F577C">
            <w:pPr>
              <w:jc w:val="center"/>
              <w:rPr>
                <w:rFonts w:asciiTheme="majorEastAsia" w:hAnsiTheme="majorEastAsia" w:eastAsiaTheme="majorEastAsia"/>
                <w:sz w:val="22"/>
                <w:szCs w:val="22"/>
              </w:rPr>
            </w:pPr>
          </w:p>
        </w:tc>
        <w:tc>
          <w:tcPr>
            <w:tcW w:w="1260" w:type="dxa"/>
            <w:vAlign w:val="center"/>
          </w:tcPr>
          <w:p w14:paraId="7F713AC8">
            <w:pPr>
              <w:jc w:val="center"/>
              <w:rPr>
                <w:rFonts w:asciiTheme="majorEastAsia" w:hAnsiTheme="majorEastAsia" w:eastAsiaTheme="majorEastAsia"/>
                <w:sz w:val="22"/>
                <w:szCs w:val="22"/>
              </w:rPr>
            </w:pPr>
          </w:p>
        </w:tc>
      </w:tr>
      <w:tr w14:paraId="73E9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3DF7BB32">
            <w:pPr>
              <w:jc w:val="center"/>
              <w:rPr>
                <w:rFonts w:asciiTheme="majorEastAsia" w:hAnsiTheme="majorEastAsia" w:eastAsiaTheme="majorEastAsia"/>
                <w:sz w:val="22"/>
                <w:szCs w:val="22"/>
              </w:rPr>
            </w:pPr>
          </w:p>
        </w:tc>
        <w:tc>
          <w:tcPr>
            <w:tcW w:w="1434" w:type="dxa"/>
            <w:vAlign w:val="center"/>
          </w:tcPr>
          <w:p w14:paraId="13913007">
            <w:pPr>
              <w:jc w:val="center"/>
              <w:rPr>
                <w:rFonts w:asciiTheme="majorEastAsia" w:hAnsiTheme="majorEastAsia" w:eastAsiaTheme="majorEastAsia"/>
                <w:sz w:val="22"/>
                <w:szCs w:val="22"/>
              </w:rPr>
            </w:pPr>
          </w:p>
        </w:tc>
        <w:tc>
          <w:tcPr>
            <w:tcW w:w="2743" w:type="dxa"/>
            <w:vAlign w:val="center"/>
          </w:tcPr>
          <w:p w14:paraId="06E0F54C">
            <w:pPr>
              <w:jc w:val="center"/>
              <w:rPr>
                <w:rFonts w:asciiTheme="majorEastAsia" w:hAnsiTheme="majorEastAsia" w:eastAsiaTheme="majorEastAsia"/>
                <w:sz w:val="22"/>
                <w:szCs w:val="22"/>
              </w:rPr>
            </w:pPr>
          </w:p>
        </w:tc>
        <w:tc>
          <w:tcPr>
            <w:tcW w:w="3023" w:type="dxa"/>
            <w:vAlign w:val="center"/>
          </w:tcPr>
          <w:p w14:paraId="7311DE8B">
            <w:pPr>
              <w:jc w:val="center"/>
              <w:rPr>
                <w:rFonts w:asciiTheme="majorEastAsia" w:hAnsiTheme="majorEastAsia" w:eastAsiaTheme="majorEastAsia"/>
                <w:sz w:val="22"/>
                <w:szCs w:val="22"/>
              </w:rPr>
            </w:pPr>
          </w:p>
        </w:tc>
        <w:tc>
          <w:tcPr>
            <w:tcW w:w="1260" w:type="dxa"/>
            <w:vAlign w:val="center"/>
          </w:tcPr>
          <w:p w14:paraId="3D0730CC">
            <w:pPr>
              <w:jc w:val="center"/>
              <w:rPr>
                <w:rFonts w:asciiTheme="majorEastAsia" w:hAnsiTheme="majorEastAsia" w:eastAsiaTheme="majorEastAsia"/>
                <w:sz w:val="22"/>
                <w:szCs w:val="22"/>
              </w:rPr>
            </w:pPr>
          </w:p>
        </w:tc>
      </w:tr>
    </w:tbl>
    <w:p w14:paraId="1E43E5A9">
      <w:pPr>
        <w:pStyle w:val="23"/>
        <w:spacing w:line="340" w:lineRule="exact"/>
        <w:rPr>
          <w:rFonts w:hAnsi="宋体" w:cs="宋体"/>
          <w:sz w:val="22"/>
          <w:szCs w:val="22"/>
        </w:rPr>
      </w:pPr>
      <w:r>
        <w:rPr>
          <w:rFonts w:hint="eastAsia" w:cs="仿宋" w:asciiTheme="majorEastAsia" w:hAnsiTheme="majorEastAsia" w:eastAsiaTheme="majorEastAsia"/>
          <w:b/>
          <w:sz w:val="22"/>
          <w:szCs w:val="22"/>
        </w:rPr>
        <w:t>注：</w:t>
      </w:r>
      <w:r>
        <w:rPr>
          <w:rFonts w:hint="eastAsia" w:hAnsi="宋体" w:cs="宋体"/>
          <w:b/>
          <w:sz w:val="22"/>
          <w:szCs w:val="22"/>
        </w:rPr>
        <w:t>1、偏离表中进行如实填写详细对比说明并注明无偏离、正偏离和负偏离。</w:t>
      </w:r>
    </w:p>
    <w:p w14:paraId="3C1C11C8">
      <w:pPr>
        <w:pStyle w:val="23"/>
        <w:spacing w:line="340" w:lineRule="exact"/>
        <w:ind w:firstLine="440" w:firstLineChars="200"/>
        <w:rPr>
          <w:rFonts w:hAnsi="宋体" w:cs="宋体"/>
          <w:sz w:val="22"/>
          <w:szCs w:val="22"/>
        </w:rPr>
      </w:pPr>
      <w:r>
        <w:rPr>
          <w:rFonts w:hint="eastAsia" w:hAnsi="宋体" w:cs="宋体"/>
          <w:sz w:val="22"/>
          <w:szCs w:val="22"/>
        </w:rPr>
        <w:t>2、不填写此表视作完全响应采购文件要求。</w:t>
      </w:r>
    </w:p>
    <w:p w14:paraId="39ED23C7">
      <w:pPr>
        <w:pStyle w:val="23"/>
        <w:spacing w:line="340" w:lineRule="exact"/>
        <w:ind w:firstLine="442" w:firstLineChars="200"/>
        <w:rPr>
          <w:rFonts w:hAnsi="宋体" w:cs="宋体"/>
          <w:b/>
          <w:bCs/>
          <w:sz w:val="22"/>
          <w:szCs w:val="22"/>
          <w:u w:val="single"/>
        </w:rPr>
      </w:pPr>
      <w:r>
        <w:rPr>
          <w:rFonts w:hint="eastAsia" w:hAnsi="宋体" w:cs="宋体"/>
          <w:b/>
          <w:bCs/>
          <w:sz w:val="22"/>
          <w:szCs w:val="22"/>
        </w:rPr>
        <w:t>3、▲</w:t>
      </w:r>
      <w:r>
        <w:rPr>
          <w:rFonts w:hint="eastAsia" w:hAnsi="宋体" w:cs="宋体"/>
          <w:b/>
          <w:bCs/>
          <w:sz w:val="22"/>
          <w:szCs w:val="22"/>
          <w:u w:val="single"/>
          <w:lang w:val="zh-CN"/>
        </w:rPr>
        <w:t>不提供此表的视为没有实质性响应采购文件，其投标将被拒绝。</w:t>
      </w:r>
    </w:p>
    <w:p w14:paraId="1BA24333">
      <w:pPr>
        <w:pStyle w:val="23"/>
        <w:spacing w:line="340" w:lineRule="exact"/>
        <w:rPr>
          <w:rFonts w:asciiTheme="majorEastAsia" w:hAnsiTheme="majorEastAsia" w:eastAsiaTheme="majorEastAsia"/>
          <w:b/>
          <w:sz w:val="22"/>
        </w:rPr>
      </w:pPr>
    </w:p>
    <w:p w14:paraId="76EAB5DA">
      <w:pPr>
        <w:pStyle w:val="23"/>
        <w:spacing w:line="340" w:lineRule="exact"/>
        <w:ind w:left="657" w:leftChars="313" w:firstLine="4196" w:firstLineChars="1900"/>
        <w:rPr>
          <w:rFonts w:asciiTheme="majorEastAsia" w:hAnsiTheme="majorEastAsia" w:eastAsiaTheme="majorEastAsia"/>
          <w:b/>
          <w:sz w:val="22"/>
        </w:rPr>
      </w:pPr>
    </w:p>
    <w:p w14:paraId="0A4098C9">
      <w:pPr>
        <w:pStyle w:val="23"/>
        <w:spacing w:line="360" w:lineRule="auto"/>
        <w:rPr>
          <w:rFonts w:hAnsi="宋体" w:cs="宋体"/>
          <w:sz w:val="22"/>
          <w:szCs w:val="22"/>
        </w:rPr>
      </w:pPr>
      <w:r>
        <w:rPr>
          <w:rFonts w:hint="eastAsia" w:hAnsi="宋体" w:cs="宋体"/>
          <w:sz w:val="22"/>
          <w:szCs w:val="22"/>
        </w:rPr>
        <w:t>投标供应商全称（盖章）：</w:t>
      </w:r>
    </w:p>
    <w:p w14:paraId="0F704BD3">
      <w:pPr>
        <w:pStyle w:val="23"/>
        <w:spacing w:line="360" w:lineRule="auto"/>
        <w:rPr>
          <w:rFonts w:hAnsi="宋体" w:cs="宋体"/>
          <w:sz w:val="22"/>
          <w:szCs w:val="22"/>
        </w:rPr>
        <w:sectPr>
          <w:pgSz w:w="11906" w:h="16838"/>
          <w:pgMar w:top="1134" w:right="1134" w:bottom="1134" w:left="1134" w:header="851" w:footer="850" w:gutter="0"/>
          <w:cols w:space="720" w:num="1"/>
          <w:titlePg/>
          <w:docGrid w:type="lines" w:linePitch="312" w:charSpace="0"/>
        </w:sectPr>
      </w:pPr>
      <w:r>
        <w:rPr>
          <w:rFonts w:hint="eastAsia" w:hAnsi="宋体" w:cs="宋体"/>
          <w:sz w:val="22"/>
          <w:szCs w:val="22"/>
        </w:rPr>
        <w:t>日 期：       年      月      日</w:t>
      </w:r>
    </w:p>
    <w:p w14:paraId="27DA66B0">
      <w:pPr>
        <w:pStyle w:val="23"/>
        <w:spacing w:line="360" w:lineRule="auto"/>
        <w:rPr>
          <w:rFonts w:hAnsi="宋体" w:cs="宋体"/>
          <w:sz w:val="22"/>
          <w:szCs w:val="22"/>
        </w:rPr>
      </w:pPr>
      <w:r>
        <w:rPr>
          <w:rFonts w:hint="eastAsia" w:hAnsi="宋体" w:cs="宋体"/>
          <w:sz w:val="22"/>
          <w:szCs w:val="22"/>
        </w:rPr>
        <w:t>附件九</w:t>
      </w:r>
    </w:p>
    <w:p w14:paraId="1CA60499">
      <w:pPr>
        <w:pStyle w:val="39"/>
        <w:rPr>
          <w:rFonts w:ascii="宋体" w:hAnsi="宋体" w:cs="宋体"/>
        </w:rPr>
      </w:pPr>
      <w:r>
        <w:rPr>
          <w:rFonts w:hint="eastAsia" w:ascii="宋体" w:hAnsi="宋体" w:cs="宋体"/>
        </w:rPr>
        <w:t>产品配置及主要技术参数</w:t>
      </w:r>
    </w:p>
    <w:p w14:paraId="5FC068F5">
      <w:pPr>
        <w:rPr>
          <w:rFonts w:ascii="宋体" w:hAnsi="宋体" w:cs="宋体"/>
          <w:b/>
          <w:spacing w:val="20"/>
          <w:sz w:val="22"/>
          <w:szCs w:val="22"/>
        </w:rPr>
      </w:pPr>
      <w:r>
        <w:rPr>
          <w:rFonts w:hint="eastAsia" w:ascii="宋体" w:hAnsi="宋体" w:cs="宋体"/>
          <w:spacing w:val="20"/>
          <w:sz w:val="22"/>
          <w:szCs w:val="22"/>
        </w:rPr>
        <w:t>供应商名称：</w:t>
      </w:r>
      <w:r>
        <w:rPr>
          <w:rFonts w:hint="eastAsia" w:ascii="宋体" w:hAnsi="宋体" w:cs="宋体"/>
          <w:spacing w:val="20"/>
          <w:sz w:val="22"/>
          <w:szCs w:val="22"/>
          <w:u w:val="single"/>
        </w:rPr>
        <w:t xml:space="preserve">          </w:t>
      </w:r>
      <w:r>
        <w:rPr>
          <w:rFonts w:hint="eastAsia" w:ascii="宋体" w:hAnsi="宋体" w:cs="宋体"/>
          <w:spacing w:val="20"/>
          <w:sz w:val="22"/>
          <w:szCs w:val="22"/>
        </w:rPr>
        <w:t xml:space="preserve">  招标编号：</w:t>
      </w:r>
      <w:r>
        <w:rPr>
          <w:rFonts w:hint="eastAsia" w:ascii="宋体" w:hAnsi="宋体" w:cs="宋体"/>
          <w:spacing w:val="20"/>
          <w:sz w:val="22"/>
          <w:szCs w:val="22"/>
          <w:u w:val="single"/>
        </w:rPr>
        <w:t xml:space="preserve">        </w:t>
      </w:r>
      <w:r>
        <w:rPr>
          <w:rFonts w:hint="eastAsia" w:ascii="宋体" w:hAnsi="宋体" w:cs="宋体"/>
          <w:spacing w:val="20"/>
          <w:sz w:val="22"/>
          <w:szCs w:val="22"/>
        </w:rPr>
        <w:t xml:space="preserve">   项目名称：</w:t>
      </w:r>
      <w:r>
        <w:rPr>
          <w:rFonts w:hint="eastAsia" w:ascii="宋体" w:hAnsi="宋体" w:cs="宋体"/>
          <w:spacing w:val="20"/>
          <w:sz w:val="22"/>
          <w:szCs w:val="22"/>
          <w:u w:val="single"/>
        </w:rPr>
        <w:t xml:space="preserve">         </w:t>
      </w:r>
    </w:p>
    <w:tbl>
      <w:tblPr>
        <w:tblStyle w:val="4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2520"/>
        <w:gridCol w:w="1995"/>
        <w:gridCol w:w="3045"/>
        <w:gridCol w:w="1260"/>
        <w:gridCol w:w="3741"/>
      </w:tblGrid>
      <w:tr w14:paraId="510426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42B5177E">
            <w:pPr>
              <w:jc w:val="center"/>
              <w:rPr>
                <w:rFonts w:ascii="宋体" w:hAnsi="宋体" w:cs="宋体"/>
                <w:b/>
                <w:spacing w:val="20"/>
                <w:sz w:val="22"/>
                <w:szCs w:val="22"/>
              </w:rPr>
            </w:pPr>
            <w:r>
              <w:rPr>
                <w:rFonts w:hint="eastAsia" w:ascii="宋体" w:hAnsi="宋体" w:cs="宋体"/>
                <w:spacing w:val="20"/>
                <w:sz w:val="22"/>
                <w:szCs w:val="22"/>
              </w:rPr>
              <w:t>序号</w:t>
            </w:r>
          </w:p>
        </w:tc>
        <w:tc>
          <w:tcPr>
            <w:tcW w:w="2520" w:type="dxa"/>
            <w:vAlign w:val="center"/>
          </w:tcPr>
          <w:p w14:paraId="3AE4FCF3">
            <w:pPr>
              <w:jc w:val="center"/>
              <w:rPr>
                <w:rFonts w:ascii="宋体" w:hAnsi="宋体" w:cs="宋体"/>
                <w:b/>
                <w:spacing w:val="20"/>
                <w:sz w:val="22"/>
                <w:szCs w:val="22"/>
              </w:rPr>
            </w:pPr>
            <w:r>
              <w:rPr>
                <w:rFonts w:hint="eastAsia" w:ascii="宋体" w:hAnsi="宋体" w:cs="宋体"/>
                <w:spacing w:val="20"/>
                <w:sz w:val="22"/>
                <w:szCs w:val="22"/>
              </w:rPr>
              <w:t>货物名称</w:t>
            </w:r>
          </w:p>
        </w:tc>
        <w:tc>
          <w:tcPr>
            <w:tcW w:w="1995" w:type="dxa"/>
            <w:vAlign w:val="center"/>
          </w:tcPr>
          <w:p w14:paraId="7EBB35AD">
            <w:pPr>
              <w:jc w:val="center"/>
              <w:rPr>
                <w:rFonts w:ascii="宋体" w:hAnsi="宋体" w:cs="宋体"/>
                <w:b/>
                <w:spacing w:val="20"/>
                <w:sz w:val="22"/>
                <w:szCs w:val="22"/>
              </w:rPr>
            </w:pPr>
            <w:r>
              <w:rPr>
                <w:rFonts w:hint="eastAsia" w:ascii="宋体" w:hAnsi="宋体" w:cs="宋体"/>
                <w:spacing w:val="20"/>
                <w:sz w:val="22"/>
                <w:szCs w:val="22"/>
              </w:rPr>
              <w:t>品牌及型号</w:t>
            </w:r>
          </w:p>
        </w:tc>
        <w:tc>
          <w:tcPr>
            <w:tcW w:w="3045" w:type="dxa"/>
            <w:vAlign w:val="center"/>
          </w:tcPr>
          <w:p w14:paraId="3C3C8C63">
            <w:pPr>
              <w:jc w:val="center"/>
              <w:rPr>
                <w:rFonts w:ascii="宋体" w:hAnsi="宋体" w:cs="宋体"/>
                <w:b/>
                <w:spacing w:val="20"/>
                <w:sz w:val="22"/>
                <w:szCs w:val="22"/>
              </w:rPr>
            </w:pPr>
            <w:r>
              <w:rPr>
                <w:rFonts w:hint="eastAsia" w:ascii="宋体" w:hAnsi="宋体" w:cs="宋体"/>
                <w:spacing w:val="20"/>
                <w:sz w:val="22"/>
                <w:szCs w:val="22"/>
              </w:rPr>
              <w:t>主要规格</w:t>
            </w:r>
          </w:p>
        </w:tc>
        <w:tc>
          <w:tcPr>
            <w:tcW w:w="1260" w:type="dxa"/>
            <w:vAlign w:val="center"/>
          </w:tcPr>
          <w:p w14:paraId="0CB83233">
            <w:pPr>
              <w:jc w:val="center"/>
              <w:rPr>
                <w:rFonts w:ascii="宋体" w:hAnsi="宋体" w:cs="宋体"/>
                <w:b/>
                <w:spacing w:val="20"/>
                <w:sz w:val="22"/>
                <w:szCs w:val="22"/>
              </w:rPr>
            </w:pPr>
            <w:r>
              <w:rPr>
                <w:rFonts w:hint="eastAsia" w:ascii="宋体" w:hAnsi="宋体" w:cs="宋体"/>
                <w:spacing w:val="20"/>
                <w:sz w:val="22"/>
                <w:szCs w:val="22"/>
              </w:rPr>
              <w:t>数量</w:t>
            </w:r>
          </w:p>
        </w:tc>
        <w:tc>
          <w:tcPr>
            <w:tcW w:w="3741" w:type="dxa"/>
            <w:vAlign w:val="center"/>
          </w:tcPr>
          <w:p w14:paraId="653A51AF">
            <w:pPr>
              <w:jc w:val="center"/>
              <w:rPr>
                <w:rFonts w:ascii="宋体" w:hAnsi="宋体" w:cs="宋体"/>
                <w:b/>
                <w:spacing w:val="20"/>
                <w:sz w:val="22"/>
                <w:szCs w:val="22"/>
              </w:rPr>
            </w:pPr>
            <w:r>
              <w:rPr>
                <w:rFonts w:hint="eastAsia" w:ascii="宋体" w:hAnsi="宋体" w:cs="宋体"/>
                <w:spacing w:val="20"/>
                <w:sz w:val="22"/>
                <w:szCs w:val="22"/>
              </w:rPr>
              <w:t>备注</w:t>
            </w:r>
          </w:p>
        </w:tc>
      </w:tr>
      <w:tr w14:paraId="4ADBAE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7771F651">
            <w:pPr>
              <w:jc w:val="center"/>
              <w:rPr>
                <w:rFonts w:ascii="宋体" w:hAnsi="宋体" w:cs="宋体"/>
                <w:spacing w:val="20"/>
                <w:sz w:val="22"/>
                <w:szCs w:val="22"/>
              </w:rPr>
            </w:pPr>
          </w:p>
        </w:tc>
        <w:tc>
          <w:tcPr>
            <w:tcW w:w="2520" w:type="dxa"/>
            <w:vAlign w:val="center"/>
          </w:tcPr>
          <w:p w14:paraId="10077AAC">
            <w:pPr>
              <w:jc w:val="center"/>
              <w:rPr>
                <w:rFonts w:ascii="宋体" w:hAnsi="宋体" w:cs="宋体"/>
                <w:spacing w:val="20"/>
                <w:sz w:val="22"/>
                <w:szCs w:val="22"/>
              </w:rPr>
            </w:pPr>
          </w:p>
        </w:tc>
        <w:tc>
          <w:tcPr>
            <w:tcW w:w="1995" w:type="dxa"/>
            <w:vAlign w:val="center"/>
          </w:tcPr>
          <w:p w14:paraId="16F63CBB">
            <w:pPr>
              <w:jc w:val="center"/>
              <w:rPr>
                <w:rFonts w:ascii="宋体" w:hAnsi="宋体" w:cs="宋体"/>
                <w:spacing w:val="20"/>
                <w:sz w:val="22"/>
                <w:szCs w:val="22"/>
              </w:rPr>
            </w:pPr>
          </w:p>
        </w:tc>
        <w:tc>
          <w:tcPr>
            <w:tcW w:w="3045" w:type="dxa"/>
            <w:vAlign w:val="center"/>
          </w:tcPr>
          <w:p w14:paraId="453E3E6F">
            <w:pPr>
              <w:jc w:val="center"/>
              <w:rPr>
                <w:rFonts w:ascii="宋体" w:hAnsi="宋体" w:cs="宋体"/>
                <w:spacing w:val="20"/>
                <w:sz w:val="22"/>
                <w:szCs w:val="22"/>
              </w:rPr>
            </w:pPr>
          </w:p>
        </w:tc>
        <w:tc>
          <w:tcPr>
            <w:tcW w:w="1260" w:type="dxa"/>
            <w:vAlign w:val="center"/>
          </w:tcPr>
          <w:p w14:paraId="51B22024">
            <w:pPr>
              <w:jc w:val="center"/>
              <w:rPr>
                <w:rFonts w:ascii="宋体" w:hAnsi="宋体" w:cs="宋体"/>
                <w:spacing w:val="20"/>
                <w:sz w:val="22"/>
                <w:szCs w:val="22"/>
              </w:rPr>
            </w:pPr>
          </w:p>
        </w:tc>
        <w:tc>
          <w:tcPr>
            <w:tcW w:w="3741" w:type="dxa"/>
            <w:vAlign w:val="center"/>
          </w:tcPr>
          <w:p w14:paraId="52BB3B1C">
            <w:pPr>
              <w:jc w:val="center"/>
              <w:rPr>
                <w:rFonts w:ascii="宋体" w:hAnsi="宋体" w:cs="宋体"/>
                <w:spacing w:val="20"/>
                <w:sz w:val="22"/>
                <w:szCs w:val="22"/>
              </w:rPr>
            </w:pPr>
          </w:p>
        </w:tc>
      </w:tr>
      <w:tr w14:paraId="25F64F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5DED16D0">
            <w:pPr>
              <w:jc w:val="center"/>
              <w:rPr>
                <w:rFonts w:ascii="宋体" w:hAnsi="宋体" w:cs="宋体"/>
                <w:spacing w:val="20"/>
                <w:sz w:val="22"/>
                <w:szCs w:val="22"/>
              </w:rPr>
            </w:pPr>
          </w:p>
        </w:tc>
        <w:tc>
          <w:tcPr>
            <w:tcW w:w="2520" w:type="dxa"/>
            <w:vAlign w:val="center"/>
          </w:tcPr>
          <w:p w14:paraId="603606AA">
            <w:pPr>
              <w:jc w:val="center"/>
              <w:rPr>
                <w:rFonts w:ascii="宋体" w:hAnsi="宋体" w:cs="宋体"/>
                <w:spacing w:val="20"/>
                <w:sz w:val="22"/>
                <w:szCs w:val="22"/>
              </w:rPr>
            </w:pPr>
          </w:p>
        </w:tc>
        <w:tc>
          <w:tcPr>
            <w:tcW w:w="1995" w:type="dxa"/>
            <w:vAlign w:val="center"/>
          </w:tcPr>
          <w:p w14:paraId="7EB14F23">
            <w:pPr>
              <w:jc w:val="center"/>
              <w:rPr>
                <w:rFonts w:ascii="宋体" w:hAnsi="宋体" w:cs="宋体"/>
                <w:spacing w:val="20"/>
                <w:sz w:val="22"/>
                <w:szCs w:val="22"/>
              </w:rPr>
            </w:pPr>
          </w:p>
        </w:tc>
        <w:tc>
          <w:tcPr>
            <w:tcW w:w="3045" w:type="dxa"/>
            <w:vAlign w:val="center"/>
          </w:tcPr>
          <w:p w14:paraId="5C0D3254">
            <w:pPr>
              <w:jc w:val="center"/>
              <w:rPr>
                <w:rFonts w:ascii="宋体" w:hAnsi="宋体" w:cs="宋体"/>
                <w:spacing w:val="20"/>
                <w:sz w:val="22"/>
                <w:szCs w:val="22"/>
              </w:rPr>
            </w:pPr>
          </w:p>
        </w:tc>
        <w:tc>
          <w:tcPr>
            <w:tcW w:w="1260" w:type="dxa"/>
            <w:vAlign w:val="center"/>
          </w:tcPr>
          <w:p w14:paraId="580D5EC6">
            <w:pPr>
              <w:jc w:val="center"/>
              <w:rPr>
                <w:rFonts w:ascii="宋体" w:hAnsi="宋体" w:cs="宋体"/>
                <w:spacing w:val="20"/>
                <w:sz w:val="22"/>
                <w:szCs w:val="22"/>
              </w:rPr>
            </w:pPr>
          </w:p>
        </w:tc>
        <w:tc>
          <w:tcPr>
            <w:tcW w:w="3741" w:type="dxa"/>
            <w:vAlign w:val="center"/>
          </w:tcPr>
          <w:p w14:paraId="58CC182B">
            <w:pPr>
              <w:jc w:val="center"/>
              <w:rPr>
                <w:rFonts w:ascii="宋体" w:hAnsi="宋体" w:cs="宋体"/>
                <w:spacing w:val="20"/>
                <w:sz w:val="22"/>
                <w:szCs w:val="22"/>
              </w:rPr>
            </w:pPr>
          </w:p>
        </w:tc>
      </w:tr>
      <w:tr w14:paraId="2EEFD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1F4227A8">
            <w:pPr>
              <w:jc w:val="center"/>
              <w:rPr>
                <w:rFonts w:ascii="宋体" w:hAnsi="宋体" w:cs="宋体"/>
                <w:spacing w:val="20"/>
                <w:sz w:val="22"/>
                <w:szCs w:val="22"/>
              </w:rPr>
            </w:pPr>
          </w:p>
        </w:tc>
        <w:tc>
          <w:tcPr>
            <w:tcW w:w="2520" w:type="dxa"/>
            <w:vAlign w:val="center"/>
          </w:tcPr>
          <w:p w14:paraId="52B854CB">
            <w:pPr>
              <w:jc w:val="center"/>
              <w:rPr>
                <w:rFonts w:ascii="宋体" w:hAnsi="宋体" w:cs="宋体"/>
                <w:spacing w:val="20"/>
                <w:sz w:val="22"/>
                <w:szCs w:val="22"/>
              </w:rPr>
            </w:pPr>
          </w:p>
        </w:tc>
        <w:tc>
          <w:tcPr>
            <w:tcW w:w="1995" w:type="dxa"/>
            <w:vAlign w:val="center"/>
          </w:tcPr>
          <w:p w14:paraId="1F303D90">
            <w:pPr>
              <w:jc w:val="center"/>
              <w:rPr>
                <w:rFonts w:ascii="宋体" w:hAnsi="宋体" w:cs="宋体"/>
                <w:spacing w:val="20"/>
                <w:sz w:val="22"/>
                <w:szCs w:val="22"/>
              </w:rPr>
            </w:pPr>
          </w:p>
        </w:tc>
        <w:tc>
          <w:tcPr>
            <w:tcW w:w="3045" w:type="dxa"/>
            <w:vAlign w:val="center"/>
          </w:tcPr>
          <w:p w14:paraId="150347F7">
            <w:pPr>
              <w:jc w:val="center"/>
              <w:rPr>
                <w:rFonts w:ascii="宋体" w:hAnsi="宋体" w:cs="宋体"/>
                <w:spacing w:val="20"/>
                <w:sz w:val="22"/>
                <w:szCs w:val="22"/>
              </w:rPr>
            </w:pPr>
          </w:p>
        </w:tc>
        <w:tc>
          <w:tcPr>
            <w:tcW w:w="1260" w:type="dxa"/>
            <w:vAlign w:val="center"/>
          </w:tcPr>
          <w:p w14:paraId="348DA444">
            <w:pPr>
              <w:jc w:val="center"/>
              <w:rPr>
                <w:rFonts w:ascii="宋体" w:hAnsi="宋体" w:cs="宋体"/>
                <w:spacing w:val="20"/>
                <w:sz w:val="22"/>
                <w:szCs w:val="22"/>
              </w:rPr>
            </w:pPr>
          </w:p>
        </w:tc>
        <w:tc>
          <w:tcPr>
            <w:tcW w:w="3741" w:type="dxa"/>
            <w:vAlign w:val="center"/>
          </w:tcPr>
          <w:p w14:paraId="0F62AE5F">
            <w:pPr>
              <w:jc w:val="center"/>
              <w:rPr>
                <w:rFonts w:ascii="宋体" w:hAnsi="宋体" w:cs="宋体"/>
                <w:spacing w:val="20"/>
                <w:sz w:val="22"/>
                <w:szCs w:val="22"/>
              </w:rPr>
            </w:pPr>
          </w:p>
        </w:tc>
      </w:tr>
      <w:tr w14:paraId="42D637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46C5B03F">
            <w:pPr>
              <w:jc w:val="center"/>
              <w:rPr>
                <w:rFonts w:ascii="宋体" w:hAnsi="宋体" w:cs="宋体"/>
                <w:spacing w:val="20"/>
                <w:sz w:val="22"/>
                <w:szCs w:val="22"/>
              </w:rPr>
            </w:pPr>
          </w:p>
        </w:tc>
        <w:tc>
          <w:tcPr>
            <w:tcW w:w="2520" w:type="dxa"/>
            <w:vAlign w:val="center"/>
          </w:tcPr>
          <w:p w14:paraId="180EDAF5">
            <w:pPr>
              <w:jc w:val="center"/>
              <w:rPr>
                <w:rFonts w:ascii="宋体" w:hAnsi="宋体" w:cs="宋体"/>
                <w:spacing w:val="20"/>
                <w:sz w:val="22"/>
                <w:szCs w:val="22"/>
              </w:rPr>
            </w:pPr>
          </w:p>
        </w:tc>
        <w:tc>
          <w:tcPr>
            <w:tcW w:w="1995" w:type="dxa"/>
            <w:vAlign w:val="center"/>
          </w:tcPr>
          <w:p w14:paraId="5B5628F5">
            <w:pPr>
              <w:jc w:val="center"/>
              <w:rPr>
                <w:rFonts w:ascii="宋体" w:hAnsi="宋体" w:cs="宋体"/>
                <w:spacing w:val="20"/>
                <w:sz w:val="22"/>
                <w:szCs w:val="22"/>
              </w:rPr>
            </w:pPr>
          </w:p>
        </w:tc>
        <w:tc>
          <w:tcPr>
            <w:tcW w:w="3045" w:type="dxa"/>
            <w:vAlign w:val="center"/>
          </w:tcPr>
          <w:p w14:paraId="6C82D65E">
            <w:pPr>
              <w:jc w:val="center"/>
              <w:rPr>
                <w:rFonts w:ascii="宋体" w:hAnsi="宋体" w:cs="宋体"/>
                <w:spacing w:val="20"/>
                <w:sz w:val="22"/>
                <w:szCs w:val="22"/>
              </w:rPr>
            </w:pPr>
          </w:p>
        </w:tc>
        <w:tc>
          <w:tcPr>
            <w:tcW w:w="1260" w:type="dxa"/>
            <w:vAlign w:val="center"/>
          </w:tcPr>
          <w:p w14:paraId="0603A8C8">
            <w:pPr>
              <w:jc w:val="center"/>
              <w:rPr>
                <w:rFonts w:ascii="宋体" w:hAnsi="宋体" w:cs="宋体"/>
                <w:spacing w:val="20"/>
                <w:sz w:val="22"/>
                <w:szCs w:val="22"/>
              </w:rPr>
            </w:pPr>
          </w:p>
        </w:tc>
        <w:tc>
          <w:tcPr>
            <w:tcW w:w="3741" w:type="dxa"/>
            <w:vAlign w:val="center"/>
          </w:tcPr>
          <w:p w14:paraId="61B29A70">
            <w:pPr>
              <w:jc w:val="center"/>
              <w:rPr>
                <w:rFonts w:ascii="宋体" w:hAnsi="宋体" w:cs="宋体"/>
                <w:spacing w:val="20"/>
                <w:sz w:val="22"/>
                <w:szCs w:val="22"/>
              </w:rPr>
            </w:pPr>
          </w:p>
        </w:tc>
      </w:tr>
      <w:tr w14:paraId="2DE844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00DAF094">
            <w:pPr>
              <w:jc w:val="center"/>
              <w:rPr>
                <w:rFonts w:ascii="宋体" w:hAnsi="宋体" w:cs="宋体"/>
                <w:spacing w:val="20"/>
                <w:sz w:val="22"/>
                <w:szCs w:val="22"/>
              </w:rPr>
            </w:pPr>
          </w:p>
        </w:tc>
        <w:tc>
          <w:tcPr>
            <w:tcW w:w="2520" w:type="dxa"/>
            <w:vAlign w:val="center"/>
          </w:tcPr>
          <w:p w14:paraId="51DFAC2D">
            <w:pPr>
              <w:jc w:val="center"/>
              <w:rPr>
                <w:rFonts w:ascii="宋体" w:hAnsi="宋体" w:cs="宋体"/>
                <w:spacing w:val="20"/>
                <w:sz w:val="22"/>
                <w:szCs w:val="22"/>
              </w:rPr>
            </w:pPr>
          </w:p>
        </w:tc>
        <w:tc>
          <w:tcPr>
            <w:tcW w:w="1995" w:type="dxa"/>
            <w:vAlign w:val="center"/>
          </w:tcPr>
          <w:p w14:paraId="2D20B61F">
            <w:pPr>
              <w:jc w:val="center"/>
              <w:rPr>
                <w:rFonts w:ascii="宋体" w:hAnsi="宋体" w:cs="宋体"/>
                <w:spacing w:val="20"/>
                <w:sz w:val="22"/>
                <w:szCs w:val="22"/>
              </w:rPr>
            </w:pPr>
          </w:p>
        </w:tc>
        <w:tc>
          <w:tcPr>
            <w:tcW w:w="3045" w:type="dxa"/>
            <w:vAlign w:val="center"/>
          </w:tcPr>
          <w:p w14:paraId="27EE190E">
            <w:pPr>
              <w:jc w:val="center"/>
              <w:rPr>
                <w:rFonts w:ascii="宋体" w:hAnsi="宋体" w:cs="宋体"/>
                <w:spacing w:val="20"/>
                <w:sz w:val="22"/>
                <w:szCs w:val="22"/>
              </w:rPr>
            </w:pPr>
          </w:p>
        </w:tc>
        <w:tc>
          <w:tcPr>
            <w:tcW w:w="1260" w:type="dxa"/>
            <w:vAlign w:val="center"/>
          </w:tcPr>
          <w:p w14:paraId="289E40CB">
            <w:pPr>
              <w:jc w:val="center"/>
              <w:rPr>
                <w:rFonts w:ascii="宋体" w:hAnsi="宋体" w:cs="宋体"/>
                <w:spacing w:val="20"/>
                <w:sz w:val="22"/>
                <w:szCs w:val="22"/>
              </w:rPr>
            </w:pPr>
          </w:p>
        </w:tc>
        <w:tc>
          <w:tcPr>
            <w:tcW w:w="3741" w:type="dxa"/>
            <w:vAlign w:val="center"/>
          </w:tcPr>
          <w:p w14:paraId="2E9ED790">
            <w:pPr>
              <w:jc w:val="center"/>
              <w:rPr>
                <w:rFonts w:ascii="宋体" w:hAnsi="宋体" w:cs="宋体"/>
                <w:spacing w:val="20"/>
                <w:sz w:val="22"/>
                <w:szCs w:val="22"/>
              </w:rPr>
            </w:pPr>
          </w:p>
        </w:tc>
      </w:tr>
      <w:tr w14:paraId="0199F1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37EE7C0F">
            <w:pPr>
              <w:jc w:val="center"/>
              <w:rPr>
                <w:rFonts w:ascii="宋体" w:hAnsi="宋体" w:cs="宋体"/>
                <w:spacing w:val="20"/>
                <w:sz w:val="22"/>
                <w:szCs w:val="22"/>
              </w:rPr>
            </w:pPr>
          </w:p>
        </w:tc>
        <w:tc>
          <w:tcPr>
            <w:tcW w:w="2520" w:type="dxa"/>
            <w:vAlign w:val="center"/>
          </w:tcPr>
          <w:p w14:paraId="2A848268">
            <w:pPr>
              <w:jc w:val="center"/>
              <w:rPr>
                <w:rFonts w:ascii="宋体" w:hAnsi="宋体" w:cs="宋体"/>
                <w:spacing w:val="20"/>
                <w:sz w:val="22"/>
                <w:szCs w:val="22"/>
              </w:rPr>
            </w:pPr>
          </w:p>
        </w:tc>
        <w:tc>
          <w:tcPr>
            <w:tcW w:w="1995" w:type="dxa"/>
            <w:vAlign w:val="center"/>
          </w:tcPr>
          <w:p w14:paraId="40BF03A2">
            <w:pPr>
              <w:jc w:val="center"/>
              <w:rPr>
                <w:rFonts w:ascii="宋体" w:hAnsi="宋体" w:cs="宋体"/>
                <w:spacing w:val="20"/>
                <w:sz w:val="22"/>
                <w:szCs w:val="22"/>
              </w:rPr>
            </w:pPr>
          </w:p>
        </w:tc>
        <w:tc>
          <w:tcPr>
            <w:tcW w:w="3045" w:type="dxa"/>
            <w:vAlign w:val="center"/>
          </w:tcPr>
          <w:p w14:paraId="35A51BC5">
            <w:pPr>
              <w:jc w:val="center"/>
              <w:rPr>
                <w:rFonts w:ascii="宋体" w:hAnsi="宋体" w:cs="宋体"/>
                <w:spacing w:val="20"/>
                <w:sz w:val="22"/>
                <w:szCs w:val="22"/>
              </w:rPr>
            </w:pPr>
          </w:p>
        </w:tc>
        <w:tc>
          <w:tcPr>
            <w:tcW w:w="1260" w:type="dxa"/>
            <w:vAlign w:val="center"/>
          </w:tcPr>
          <w:p w14:paraId="055258AB">
            <w:pPr>
              <w:jc w:val="center"/>
              <w:rPr>
                <w:rFonts w:ascii="宋体" w:hAnsi="宋体" w:cs="宋体"/>
                <w:spacing w:val="20"/>
                <w:sz w:val="22"/>
                <w:szCs w:val="22"/>
              </w:rPr>
            </w:pPr>
          </w:p>
        </w:tc>
        <w:tc>
          <w:tcPr>
            <w:tcW w:w="3741" w:type="dxa"/>
            <w:vAlign w:val="center"/>
          </w:tcPr>
          <w:p w14:paraId="37398D1F">
            <w:pPr>
              <w:jc w:val="center"/>
              <w:rPr>
                <w:rFonts w:ascii="宋体" w:hAnsi="宋体" w:cs="宋体"/>
                <w:spacing w:val="20"/>
                <w:sz w:val="22"/>
                <w:szCs w:val="22"/>
              </w:rPr>
            </w:pPr>
          </w:p>
        </w:tc>
      </w:tr>
      <w:tr w14:paraId="5B8618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666B6497">
            <w:pPr>
              <w:jc w:val="center"/>
              <w:rPr>
                <w:rFonts w:ascii="宋体" w:hAnsi="宋体" w:cs="宋体"/>
                <w:spacing w:val="20"/>
                <w:sz w:val="22"/>
                <w:szCs w:val="22"/>
              </w:rPr>
            </w:pPr>
          </w:p>
        </w:tc>
        <w:tc>
          <w:tcPr>
            <w:tcW w:w="2520" w:type="dxa"/>
            <w:vAlign w:val="center"/>
          </w:tcPr>
          <w:p w14:paraId="562329C9">
            <w:pPr>
              <w:jc w:val="center"/>
              <w:rPr>
                <w:rFonts w:ascii="宋体" w:hAnsi="宋体" w:cs="宋体"/>
                <w:spacing w:val="20"/>
                <w:sz w:val="22"/>
                <w:szCs w:val="22"/>
              </w:rPr>
            </w:pPr>
          </w:p>
        </w:tc>
        <w:tc>
          <w:tcPr>
            <w:tcW w:w="1995" w:type="dxa"/>
            <w:vAlign w:val="center"/>
          </w:tcPr>
          <w:p w14:paraId="177C9AA0">
            <w:pPr>
              <w:jc w:val="center"/>
              <w:rPr>
                <w:rFonts w:ascii="宋体" w:hAnsi="宋体" w:cs="宋体"/>
                <w:spacing w:val="20"/>
                <w:sz w:val="22"/>
                <w:szCs w:val="22"/>
              </w:rPr>
            </w:pPr>
          </w:p>
        </w:tc>
        <w:tc>
          <w:tcPr>
            <w:tcW w:w="3045" w:type="dxa"/>
            <w:vAlign w:val="center"/>
          </w:tcPr>
          <w:p w14:paraId="4D704B6D">
            <w:pPr>
              <w:jc w:val="center"/>
              <w:rPr>
                <w:rFonts w:ascii="宋体" w:hAnsi="宋体" w:cs="宋体"/>
                <w:spacing w:val="20"/>
                <w:sz w:val="22"/>
                <w:szCs w:val="22"/>
              </w:rPr>
            </w:pPr>
          </w:p>
        </w:tc>
        <w:tc>
          <w:tcPr>
            <w:tcW w:w="1260" w:type="dxa"/>
            <w:vAlign w:val="center"/>
          </w:tcPr>
          <w:p w14:paraId="3AF80052">
            <w:pPr>
              <w:jc w:val="center"/>
              <w:rPr>
                <w:rFonts w:ascii="宋体" w:hAnsi="宋体" w:cs="宋体"/>
                <w:spacing w:val="20"/>
                <w:sz w:val="22"/>
                <w:szCs w:val="22"/>
              </w:rPr>
            </w:pPr>
          </w:p>
        </w:tc>
        <w:tc>
          <w:tcPr>
            <w:tcW w:w="3741" w:type="dxa"/>
            <w:vAlign w:val="center"/>
          </w:tcPr>
          <w:p w14:paraId="1405C152">
            <w:pPr>
              <w:jc w:val="center"/>
              <w:rPr>
                <w:rFonts w:ascii="宋体" w:hAnsi="宋体" w:cs="宋体"/>
                <w:spacing w:val="20"/>
                <w:sz w:val="22"/>
                <w:szCs w:val="22"/>
              </w:rPr>
            </w:pPr>
          </w:p>
        </w:tc>
      </w:tr>
      <w:tr w14:paraId="57D714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00E28D50">
            <w:pPr>
              <w:jc w:val="center"/>
              <w:rPr>
                <w:rFonts w:ascii="宋体" w:hAnsi="宋体" w:cs="宋体"/>
                <w:spacing w:val="20"/>
                <w:sz w:val="22"/>
                <w:szCs w:val="22"/>
              </w:rPr>
            </w:pPr>
          </w:p>
        </w:tc>
        <w:tc>
          <w:tcPr>
            <w:tcW w:w="2520" w:type="dxa"/>
            <w:vAlign w:val="center"/>
          </w:tcPr>
          <w:p w14:paraId="2BFFAC6A">
            <w:pPr>
              <w:jc w:val="center"/>
              <w:rPr>
                <w:rFonts w:ascii="宋体" w:hAnsi="宋体" w:cs="宋体"/>
                <w:spacing w:val="20"/>
                <w:sz w:val="22"/>
                <w:szCs w:val="22"/>
              </w:rPr>
            </w:pPr>
          </w:p>
        </w:tc>
        <w:tc>
          <w:tcPr>
            <w:tcW w:w="1995" w:type="dxa"/>
            <w:vAlign w:val="center"/>
          </w:tcPr>
          <w:p w14:paraId="7E93B08D">
            <w:pPr>
              <w:jc w:val="center"/>
              <w:rPr>
                <w:rFonts w:ascii="宋体" w:hAnsi="宋体" w:cs="宋体"/>
                <w:spacing w:val="20"/>
                <w:sz w:val="22"/>
                <w:szCs w:val="22"/>
              </w:rPr>
            </w:pPr>
          </w:p>
        </w:tc>
        <w:tc>
          <w:tcPr>
            <w:tcW w:w="3045" w:type="dxa"/>
            <w:vAlign w:val="center"/>
          </w:tcPr>
          <w:p w14:paraId="76DA9686">
            <w:pPr>
              <w:jc w:val="center"/>
              <w:rPr>
                <w:rFonts w:ascii="宋体" w:hAnsi="宋体" w:cs="宋体"/>
                <w:spacing w:val="20"/>
                <w:sz w:val="22"/>
                <w:szCs w:val="22"/>
              </w:rPr>
            </w:pPr>
          </w:p>
        </w:tc>
        <w:tc>
          <w:tcPr>
            <w:tcW w:w="1260" w:type="dxa"/>
            <w:vAlign w:val="center"/>
          </w:tcPr>
          <w:p w14:paraId="0CA7956C">
            <w:pPr>
              <w:jc w:val="center"/>
              <w:rPr>
                <w:rFonts w:ascii="宋体" w:hAnsi="宋体" w:cs="宋体"/>
                <w:spacing w:val="20"/>
                <w:sz w:val="22"/>
                <w:szCs w:val="22"/>
              </w:rPr>
            </w:pPr>
          </w:p>
        </w:tc>
        <w:tc>
          <w:tcPr>
            <w:tcW w:w="3741" w:type="dxa"/>
            <w:vAlign w:val="center"/>
          </w:tcPr>
          <w:p w14:paraId="65EA5DD6">
            <w:pPr>
              <w:jc w:val="center"/>
              <w:rPr>
                <w:rFonts w:ascii="宋体" w:hAnsi="宋体" w:cs="宋体"/>
                <w:spacing w:val="20"/>
                <w:sz w:val="22"/>
                <w:szCs w:val="22"/>
              </w:rPr>
            </w:pPr>
          </w:p>
        </w:tc>
      </w:tr>
      <w:tr w14:paraId="451E30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1737AEFC">
            <w:pPr>
              <w:jc w:val="center"/>
              <w:rPr>
                <w:rFonts w:ascii="宋体" w:hAnsi="宋体" w:cs="宋体"/>
                <w:spacing w:val="20"/>
                <w:sz w:val="22"/>
                <w:szCs w:val="22"/>
              </w:rPr>
            </w:pPr>
          </w:p>
        </w:tc>
        <w:tc>
          <w:tcPr>
            <w:tcW w:w="2520" w:type="dxa"/>
            <w:vAlign w:val="center"/>
          </w:tcPr>
          <w:p w14:paraId="3B8C9C0C">
            <w:pPr>
              <w:jc w:val="center"/>
              <w:rPr>
                <w:rFonts w:ascii="宋体" w:hAnsi="宋体" w:cs="宋体"/>
                <w:spacing w:val="20"/>
                <w:sz w:val="22"/>
                <w:szCs w:val="22"/>
              </w:rPr>
            </w:pPr>
          </w:p>
        </w:tc>
        <w:tc>
          <w:tcPr>
            <w:tcW w:w="1995" w:type="dxa"/>
            <w:vAlign w:val="center"/>
          </w:tcPr>
          <w:p w14:paraId="00365F9C">
            <w:pPr>
              <w:jc w:val="center"/>
              <w:rPr>
                <w:rFonts w:ascii="宋体" w:hAnsi="宋体" w:cs="宋体"/>
                <w:spacing w:val="20"/>
                <w:sz w:val="22"/>
                <w:szCs w:val="22"/>
              </w:rPr>
            </w:pPr>
          </w:p>
        </w:tc>
        <w:tc>
          <w:tcPr>
            <w:tcW w:w="3045" w:type="dxa"/>
            <w:vAlign w:val="center"/>
          </w:tcPr>
          <w:p w14:paraId="29D1FEBC">
            <w:pPr>
              <w:jc w:val="center"/>
              <w:rPr>
                <w:rFonts w:ascii="宋体" w:hAnsi="宋体" w:cs="宋体"/>
                <w:spacing w:val="20"/>
                <w:sz w:val="22"/>
                <w:szCs w:val="22"/>
              </w:rPr>
            </w:pPr>
          </w:p>
        </w:tc>
        <w:tc>
          <w:tcPr>
            <w:tcW w:w="1260" w:type="dxa"/>
            <w:vAlign w:val="center"/>
          </w:tcPr>
          <w:p w14:paraId="11EC73CB">
            <w:pPr>
              <w:jc w:val="center"/>
              <w:rPr>
                <w:rFonts w:ascii="宋体" w:hAnsi="宋体" w:cs="宋体"/>
                <w:spacing w:val="20"/>
                <w:sz w:val="22"/>
                <w:szCs w:val="22"/>
              </w:rPr>
            </w:pPr>
          </w:p>
        </w:tc>
        <w:tc>
          <w:tcPr>
            <w:tcW w:w="3741" w:type="dxa"/>
            <w:vAlign w:val="center"/>
          </w:tcPr>
          <w:p w14:paraId="16FFCFA9">
            <w:pPr>
              <w:jc w:val="center"/>
              <w:rPr>
                <w:rFonts w:ascii="宋体" w:hAnsi="宋体" w:cs="宋体"/>
                <w:spacing w:val="20"/>
                <w:sz w:val="22"/>
                <w:szCs w:val="22"/>
              </w:rPr>
            </w:pPr>
          </w:p>
        </w:tc>
      </w:tr>
      <w:tr w14:paraId="3A1E2E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6E075E15">
            <w:pPr>
              <w:jc w:val="center"/>
              <w:rPr>
                <w:rFonts w:ascii="宋体" w:hAnsi="宋体" w:cs="宋体"/>
                <w:spacing w:val="20"/>
                <w:sz w:val="22"/>
                <w:szCs w:val="22"/>
              </w:rPr>
            </w:pPr>
          </w:p>
        </w:tc>
        <w:tc>
          <w:tcPr>
            <w:tcW w:w="2520" w:type="dxa"/>
            <w:vAlign w:val="center"/>
          </w:tcPr>
          <w:p w14:paraId="26DA465A">
            <w:pPr>
              <w:jc w:val="center"/>
              <w:rPr>
                <w:rFonts w:ascii="宋体" w:hAnsi="宋体" w:cs="宋体"/>
                <w:spacing w:val="20"/>
                <w:sz w:val="22"/>
                <w:szCs w:val="22"/>
              </w:rPr>
            </w:pPr>
          </w:p>
        </w:tc>
        <w:tc>
          <w:tcPr>
            <w:tcW w:w="1995" w:type="dxa"/>
            <w:vAlign w:val="center"/>
          </w:tcPr>
          <w:p w14:paraId="420788B2">
            <w:pPr>
              <w:jc w:val="center"/>
              <w:rPr>
                <w:rFonts w:ascii="宋体" w:hAnsi="宋体" w:cs="宋体"/>
                <w:spacing w:val="20"/>
                <w:sz w:val="22"/>
                <w:szCs w:val="22"/>
              </w:rPr>
            </w:pPr>
          </w:p>
        </w:tc>
        <w:tc>
          <w:tcPr>
            <w:tcW w:w="3045" w:type="dxa"/>
            <w:vAlign w:val="center"/>
          </w:tcPr>
          <w:p w14:paraId="4ED66F35">
            <w:pPr>
              <w:jc w:val="center"/>
              <w:rPr>
                <w:rFonts w:ascii="宋体" w:hAnsi="宋体" w:cs="宋体"/>
                <w:spacing w:val="20"/>
                <w:sz w:val="22"/>
                <w:szCs w:val="22"/>
              </w:rPr>
            </w:pPr>
          </w:p>
        </w:tc>
        <w:tc>
          <w:tcPr>
            <w:tcW w:w="1260" w:type="dxa"/>
            <w:vAlign w:val="center"/>
          </w:tcPr>
          <w:p w14:paraId="43ABAF6F">
            <w:pPr>
              <w:jc w:val="center"/>
              <w:rPr>
                <w:rFonts w:ascii="宋体" w:hAnsi="宋体" w:cs="宋体"/>
                <w:spacing w:val="20"/>
                <w:sz w:val="22"/>
                <w:szCs w:val="22"/>
              </w:rPr>
            </w:pPr>
          </w:p>
        </w:tc>
        <w:tc>
          <w:tcPr>
            <w:tcW w:w="3741" w:type="dxa"/>
            <w:vAlign w:val="center"/>
          </w:tcPr>
          <w:p w14:paraId="5186496D">
            <w:pPr>
              <w:jc w:val="center"/>
              <w:rPr>
                <w:rFonts w:ascii="宋体" w:hAnsi="宋体" w:cs="宋体"/>
                <w:spacing w:val="20"/>
                <w:sz w:val="22"/>
                <w:szCs w:val="22"/>
              </w:rPr>
            </w:pPr>
          </w:p>
        </w:tc>
      </w:tr>
      <w:tr w14:paraId="2D0186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6504593A">
            <w:pPr>
              <w:jc w:val="center"/>
              <w:rPr>
                <w:rFonts w:ascii="宋体" w:hAnsi="宋体" w:cs="宋体"/>
                <w:spacing w:val="20"/>
                <w:sz w:val="22"/>
                <w:szCs w:val="22"/>
              </w:rPr>
            </w:pPr>
          </w:p>
        </w:tc>
        <w:tc>
          <w:tcPr>
            <w:tcW w:w="2520" w:type="dxa"/>
            <w:vAlign w:val="center"/>
          </w:tcPr>
          <w:p w14:paraId="29E7826B">
            <w:pPr>
              <w:jc w:val="center"/>
              <w:rPr>
                <w:rFonts w:ascii="宋体" w:hAnsi="宋体" w:cs="宋体"/>
                <w:spacing w:val="20"/>
                <w:sz w:val="22"/>
                <w:szCs w:val="22"/>
              </w:rPr>
            </w:pPr>
          </w:p>
        </w:tc>
        <w:tc>
          <w:tcPr>
            <w:tcW w:w="1995" w:type="dxa"/>
            <w:vAlign w:val="center"/>
          </w:tcPr>
          <w:p w14:paraId="3E2CABFD">
            <w:pPr>
              <w:jc w:val="center"/>
              <w:rPr>
                <w:rFonts w:ascii="宋体" w:hAnsi="宋体" w:cs="宋体"/>
                <w:spacing w:val="20"/>
                <w:sz w:val="22"/>
                <w:szCs w:val="22"/>
              </w:rPr>
            </w:pPr>
          </w:p>
        </w:tc>
        <w:tc>
          <w:tcPr>
            <w:tcW w:w="3045" w:type="dxa"/>
            <w:vAlign w:val="center"/>
          </w:tcPr>
          <w:p w14:paraId="37BF02A6">
            <w:pPr>
              <w:jc w:val="center"/>
              <w:rPr>
                <w:rFonts w:ascii="宋体" w:hAnsi="宋体" w:cs="宋体"/>
                <w:spacing w:val="20"/>
                <w:sz w:val="22"/>
                <w:szCs w:val="22"/>
              </w:rPr>
            </w:pPr>
          </w:p>
        </w:tc>
        <w:tc>
          <w:tcPr>
            <w:tcW w:w="1260" w:type="dxa"/>
            <w:vAlign w:val="center"/>
          </w:tcPr>
          <w:p w14:paraId="55044E5F">
            <w:pPr>
              <w:jc w:val="center"/>
              <w:rPr>
                <w:rFonts w:ascii="宋体" w:hAnsi="宋体" w:cs="宋体"/>
                <w:spacing w:val="20"/>
                <w:sz w:val="22"/>
                <w:szCs w:val="22"/>
              </w:rPr>
            </w:pPr>
          </w:p>
        </w:tc>
        <w:tc>
          <w:tcPr>
            <w:tcW w:w="3741" w:type="dxa"/>
            <w:vAlign w:val="center"/>
          </w:tcPr>
          <w:p w14:paraId="1BD1C818">
            <w:pPr>
              <w:jc w:val="center"/>
              <w:rPr>
                <w:rFonts w:ascii="宋体" w:hAnsi="宋体" w:cs="宋体"/>
                <w:spacing w:val="20"/>
                <w:sz w:val="22"/>
                <w:szCs w:val="22"/>
              </w:rPr>
            </w:pPr>
          </w:p>
        </w:tc>
      </w:tr>
      <w:tr w14:paraId="43A587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14:paraId="44C46C06">
            <w:pPr>
              <w:jc w:val="center"/>
              <w:rPr>
                <w:rFonts w:ascii="宋体" w:hAnsi="宋体" w:cs="宋体"/>
                <w:spacing w:val="20"/>
                <w:sz w:val="22"/>
                <w:szCs w:val="22"/>
              </w:rPr>
            </w:pPr>
          </w:p>
        </w:tc>
        <w:tc>
          <w:tcPr>
            <w:tcW w:w="2520" w:type="dxa"/>
            <w:vAlign w:val="center"/>
          </w:tcPr>
          <w:p w14:paraId="14B9791B">
            <w:pPr>
              <w:jc w:val="center"/>
              <w:rPr>
                <w:rFonts w:ascii="宋体" w:hAnsi="宋体" w:cs="宋体"/>
                <w:spacing w:val="20"/>
                <w:sz w:val="22"/>
                <w:szCs w:val="22"/>
              </w:rPr>
            </w:pPr>
          </w:p>
        </w:tc>
        <w:tc>
          <w:tcPr>
            <w:tcW w:w="1995" w:type="dxa"/>
            <w:vAlign w:val="center"/>
          </w:tcPr>
          <w:p w14:paraId="73CC8D69">
            <w:pPr>
              <w:jc w:val="center"/>
              <w:rPr>
                <w:rFonts w:ascii="宋体" w:hAnsi="宋体" w:cs="宋体"/>
                <w:spacing w:val="20"/>
                <w:sz w:val="22"/>
                <w:szCs w:val="22"/>
              </w:rPr>
            </w:pPr>
          </w:p>
        </w:tc>
        <w:tc>
          <w:tcPr>
            <w:tcW w:w="3045" w:type="dxa"/>
            <w:vAlign w:val="center"/>
          </w:tcPr>
          <w:p w14:paraId="509F7870">
            <w:pPr>
              <w:jc w:val="center"/>
              <w:rPr>
                <w:rFonts w:ascii="宋体" w:hAnsi="宋体" w:cs="宋体"/>
                <w:spacing w:val="20"/>
                <w:sz w:val="22"/>
                <w:szCs w:val="22"/>
              </w:rPr>
            </w:pPr>
          </w:p>
        </w:tc>
        <w:tc>
          <w:tcPr>
            <w:tcW w:w="1260" w:type="dxa"/>
            <w:vAlign w:val="center"/>
          </w:tcPr>
          <w:p w14:paraId="7EFBB3DB">
            <w:pPr>
              <w:jc w:val="center"/>
              <w:rPr>
                <w:rFonts w:ascii="宋体" w:hAnsi="宋体" w:cs="宋体"/>
                <w:spacing w:val="20"/>
                <w:sz w:val="22"/>
                <w:szCs w:val="22"/>
              </w:rPr>
            </w:pPr>
          </w:p>
        </w:tc>
        <w:tc>
          <w:tcPr>
            <w:tcW w:w="3741" w:type="dxa"/>
            <w:vAlign w:val="center"/>
          </w:tcPr>
          <w:p w14:paraId="7C69712D">
            <w:pPr>
              <w:jc w:val="center"/>
              <w:rPr>
                <w:rFonts w:ascii="宋体" w:hAnsi="宋体" w:cs="宋体"/>
                <w:spacing w:val="20"/>
                <w:sz w:val="22"/>
                <w:szCs w:val="22"/>
              </w:rPr>
            </w:pPr>
          </w:p>
        </w:tc>
      </w:tr>
    </w:tbl>
    <w:p w14:paraId="17B114A1">
      <w:pPr>
        <w:spacing w:line="360" w:lineRule="auto"/>
        <w:rPr>
          <w:rFonts w:ascii="宋体" w:hAnsi="宋体" w:cs="宋体"/>
          <w:iCs/>
          <w:spacing w:val="20"/>
          <w:sz w:val="22"/>
          <w:szCs w:val="22"/>
          <w:u w:val="single"/>
        </w:rPr>
      </w:pPr>
      <w:r>
        <w:rPr>
          <w:rFonts w:hint="eastAsia" w:ascii="宋体" w:hAnsi="宋体" w:cs="宋体"/>
          <w:iCs/>
          <w:spacing w:val="20"/>
          <w:sz w:val="22"/>
          <w:szCs w:val="22"/>
          <w:u w:val="single"/>
        </w:rPr>
        <w:t>★注：货物详细配置、技术应另页描述。</w:t>
      </w:r>
    </w:p>
    <w:p w14:paraId="66E60FED">
      <w:pPr>
        <w:pStyle w:val="6"/>
        <w:ind w:firstLine="442"/>
        <w:rPr>
          <w:rFonts w:ascii="宋体" w:eastAsia="宋体"/>
          <w:color w:val="auto"/>
          <w:sz w:val="22"/>
          <w:szCs w:val="22"/>
        </w:rPr>
      </w:pPr>
    </w:p>
    <w:p w14:paraId="0DF82F4E">
      <w:pPr>
        <w:pStyle w:val="6"/>
        <w:ind w:firstLine="440"/>
        <w:rPr>
          <w:rFonts w:ascii="宋体" w:eastAsia="宋体"/>
          <w:b w:val="0"/>
          <w:color w:val="auto"/>
          <w:sz w:val="22"/>
          <w:szCs w:val="22"/>
        </w:rPr>
      </w:pPr>
      <w:r>
        <w:rPr>
          <w:rFonts w:hint="eastAsia" w:ascii="宋体" w:eastAsia="宋体"/>
          <w:b w:val="0"/>
          <w:color w:val="auto"/>
          <w:sz w:val="22"/>
          <w:szCs w:val="22"/>
        </w:rPr>
        <w:t>投标供应商全称（盖章）：</w:t>
      </w:r>
    </w:p>
    <w:p w14:paraId="3F6701F1">
      <w:pPr>
        <w:pStyle w:val="6"/>
        <w:ind w:firstLine="440"/>
        <w:rPr>
          <w:rFonts w:ascii="宋体" w:eastAsia="宋体"/>
          <w:b w:val="0"/>
          <w:color w:val="auto"/>
          <w:sz w:val="22"/>
          <w:szCs w:val="22"/>
        </w:rPr>
        <w:sectPr>
          <w:pgSz w:w="16838" w:h="11906" w:orient="landscape"/>
          <w:pgMar w:top="1134" w:right="1134" w:bottom="1134" w:left="1134" w:header="851" w:footer="850" w:gutter="0"/>
          <w:cols w:space="720" w:num="1"/>
          <w:titlePg/>
          <w:docGrid w:type="lines" w:linePitch="312" w:charSpace="0"/>
        </w:sectPr>
      </w:pPr>
      <w:r>
        <w:rPr>
          <w:rFonts w:hint="eastAsia" w:ascii="宋体" w:eastAsia="宋体"/>
          <w:b w:val="0"/>
          <w:color w:val="auto"/>
          <w:sz w:val="22"/>
          <w:szCs w:val="22"/>
        </w:rPr>
        <w:t>日 期：       年      月      日</w:t>
      </w:r>
    </w:p>
    <w:p w14:paraId="3C5B101B">
      <w:pPr>
        <w:pStyle w:val="39"/>
        <w:jc w:val="left"/>
        <w:rPr>
          <w:rFonts w:ascii="宋体" w:hAnsi="宋体" w:cs="宋体"/>
          <w:b w:val="0"/>
          <w:bCs w:val="0"/>
          <w:kern w:val="0"/>
          <w:sz w:val="22"/>
          <w:szCs w:val="22"/>
        </w:rPr>
      </w:pPr>
      <w:r>
        <w:rPr>
          <w:rFonts w:hint="eastAsia" w:ascii="宋体" w:hAnsi="宋体" w:cs="宋体"/>
          <w:b w:val="0"/>
          <w:bCs w:val="0"/>
          <w:kern w:val="0"/>
          <w:sz w:val="22"/>
          <w:szCs w:val="22"/>
        </w:rPr>
        <w:t>附件十</w:t>
      </w:r>
    </w:p>
    <w:p w14:paraId="69014A40">
      <w:pPr>
        <w:pStyle w:val="39"/>
        <w:rPr>
          <w:rFonts w:ascii="宋体" w:hAnsi="宋体" w:cs="宋体"/>
        </w:rPr>
      </w:pPr>
      <w:r>
        <w:rPr>
          <w:rFonts w:hint="eastAsia" w:ascii="宋体" w:hAnsi="宋体" w:cs="宋体"/>
        </w:rPr>
        <w:t>供应商项目服务人员汇总表</w:t>
      </w:r>
    </w:p>
    <w:p w14:paraId="73AEA143">
      <w:pPr>
        <w:spacing w:line="360" w:lineRule="auto"/>
        <w:rPr>
          <w:rFonts w:ascii="宋体" w:hAnsi="宋体" w:cs="宋体"/>
          <w:b/>
          <w:bCs/>
          <w:sz w:val="22"/>
          <w:szCs w:val="22"/>
        </w:rPr>
      </w:pPr>
      <w:r>
        <w:rPr>
          <w:rFonts w:hint="eastAsia" w:ascii="宋体" w:hAnsi="宋体" w:cs="宋体"/>
          <w:sz w:val="22"/>
          <w:szCs w:val="22"/>
        </w:rPr>
        <w:t xml:space="preserve">招标项目名称：                                 招标编号：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3391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vAlign w:val="center"/>
          </w:tcPr>
          <w:p w14:paraId="2CEA7718">
            <w:pPr>
              <w:jc w:val="center"/>
              <w:rPr>
                <w:rFonts w:ascii="宋体" w:hAnsi="宋体" w:cs="宋体"/>
                <w:b/>
                <w:bCs/>
                <w:sz w:val="22"/>
                <w:szCs w:val="22"/>
              </w:rPr>
            </w:pPr>
            <w:r>
              <w:rPr>
                <w:rFonts w:hint="eastAsia" w:ascii="宋体" w:hAnsi="宋体" w:cs="宋体"/>
                <w:sz w:val="22"/>
                <w:szCs w:val="22"/>
              </w:rPr>
              <w:t>姓名</w:t>
            </w:r>
          </w:p>
        </w:tc>
        <w:tc>
          <w:tcPr>
            <w:tcW w:w="2520" w:type="dxa"/>
            <w:tcBorders>
              <w:top w:val="single" w:color="auto" w:sz="4" w:space="0"/>
              <w:left w:val="single" w:color="auto" w:sz="4" w:space="0"/>
              <w:bottom w:val="single" w:color="auto" w:sz="4" w:space="0"/>
              <w:right w:val="single" w:color="auto" w:sz="4" w:space="0"/>
            </w:tcBorders>
            <w:vAlign w:val="center"/>
          </w:tcPr>
          <w:p w14:paraId="08E2DAF0">
            <w:pPr>
              <w:jc w:val="center"/>
              <w:rPr>
                <w:rFonts w:ascii="宋体" w:hAnsi="宋体" w:cs="宋体"/>
                <w:b/>
                <w:bCs/>
                <w:sz w:val="22"/>
                <w:szCs w:val="22"/>
              </w:rPr>
            </w:pPr>
            <w:r>
              <w:rPr>
                <w:rFonts w:hint="eastAsia" w:ascii="宋体" w:hAnsi="宋体" w:cs="宋体"/>
                <w:sz w:val="22"/>
                <w:szCs w:val="22"/>
              </w:rPr>
              <w:t>本项目主要工作</w:t>
            </w:r>
          </w:p>
        </w:tc>
        <w:tc>
          <w:tcPr>
            <w:tcW w:w="720" w:type="dxa"/>
            <w:tcBorders>
              <w:top w:val="single" w:color="auto" w:sz="4" w:space="0"/>
              <w:left w:val="single" w:color="auto" w:sz="4" w:space="0"/>
              <w:bottom w:val="single" w:color="auto" w:sz="4" w:space="0"/>
              <w:right w:val="single" w:color="auto" w:sz="4" w:space="0"/>
            </w:tcBorders>
            <w:vAlign w:val="center"/>
          </w:tcPr>
          <w:p w14:paraId="63856EDC">
            <w:pPr>
              <w:jc w:val="center"/>
              <w:rPr>
                <w:rFonts w:ascii="宋体" w:hAnsi="宋体" w:cs="宋体"/>
                <w:b/>
                <w:bCs/>
                <w:sz w:val="22"/>
                <w:szCs w:val="22"/>
              </w:rPr>
            </w:pPr>
            <w:r>
              <w:rPr>
                <w:rFonts w:hint="eastAsia" w:ascii="宋体" w:hAnsi="宋体" w:cs="宋体"/>
                <w:sz w:val="22"/>
                <w:szCs w:val="22"/>
              </w:rPr>
              <w:t>年龄</w:t>
            </w:r>
          </w:p>
        </w:tc>
        <w:tc>
          <w:tcPr>
            <w:tcW w:w="720" w:type="dxa"/>
            <w:tcBorders>
              <w:top w:val="single" w:color="auto" w:sz="4" w:space="0"/>
              <w:left w:val="single" w:color="auto" w:sz="4" w:space="0"/>
              <w:bottom w:val="single" w:color="auto" w:sz="4" w:space="0"/>
              <w:right w:val="single" w:color="auto" w:sz="4" w:space="0"/>
            </w:tcBorders>
            <w:vAlign w:val="center"/>
          </w:tcPr>
          <w:p w14:paraId="313C173A">
            <w:pPr>
              <w:jc w:val="center"/>
              <w:rPr>
                <w:rFonts w:ascii="宋体" w:hAnsi="宋体" w:cs="宋体"/>
                <w:b/>
                <w:bCs/>
                <w:sz w:val="22"/>
                <w:szCs w:val="22"/>
              </w:rPr>
            </w:pPr>
            <w:r>
              <w:rPr>
                <w:rFonts w:hint="eastAsia" w:ascii="宋体" w:hAnsi="宋体" w:cs="宋体"/>
                <w:sz w:val="22"/>
                <w:szCs w:val="22"/>
              </w:rPr>
              <w:t>性别</w:t>
            </w:r>
          </w:p>
        </w:tc>
        <w:tc>
          <w:tcPr>
            <w:tcW w:w="720" w:type="dxa"/>
            <w:tcBorders>
              <w:top w:val="single" w:color="auto" w:sz="4" w:space="0"/>
              <w:left w:val="single" w:color="auto" w:sz="4" w:space="0"/>
              <w:bottom w:val="single" w:color="auto" w:sz="4" w:space="0"/>
              <w:right w:val="single" w:color="auto" w:sz="4" w:space="0"/>
            </w:tcBorders>
            <w:vAlign w:val="center"/>
          </w:tcPr>
          <w:p w14:paraId="49579059">
            <w:pPr>
              <w:jc w:val="center"/>
              <w:rPr>
                <w:rFonts w:ascii="宋体" w:hAnsi="宋体" w:cs="宋体"/>
                <w:b/>
                <w:bCs/>
                <w:sz w:val="22"/>
                <w:szCs w:val="22"/>
              </w:rPr>
            </w:pPr>
            <w:r>
              <w:rPr>
                <w:rFonts w:hint="eastAsia" w:ascii="宋体" w:hAnsi="宋体" w:cs="宋体"/>
                <w:sz w:val="22"/>
                <w:szCs w:val="22"/>
              </w:rPr>
              <w:t>专业</w:t>
            </w:r>
          </w:p>
        </w:tc>
        <w:tc>
          <w:tcPr>
            <w:tcW w:w="1080" w:type="dxa"/>
            <w:tcBorders>
              <w:top w:val="single" w:color="auto" w:sz="4" w:space="0"/>
              <w:left w:val="single" w:color="auto" w:sz="4" w:space="0"/>
              <w:bottom w:val="single" w:color="auto" w:sz="4" w:space="0"/>
              <w:right w:val="single" w:color="auto" w:sz="4" w:space="0"/>
            </w:tcBorders>
            <w:vAlign w:val="center"/>
          </w:tcPr>
          <w:p w14:paraId="6D407CE6">
            <w:pPr>
              <w:jc w:val="center"/>
              <w:rPr>
                <w:rFonts w:ascii="宋体" w:hAnsi="宋体" w:cs="宋体"/>
                <w:b/>
                <w:bCs/>
                <w:sz w:val="22"/>
                <w:szCs w:val="22"/>
              </w:rPr>
            </w:pPr>
            <w:r>
              <w:rPr>
                <w:rFonts w:hint="eastAsia" w:ascii="宋体" w:hAnsi="宋体" w:cs="宋体"/>
                <w:sz w:val="22"/>
                <w:szCs w:val="22"/>
              </w:rPr>
              <w:t>专业</w:t>
            </w:r>
          </w:p>
          <w:p w14:paraId="711A9E79">
            <w:pPr>
              <w:jc w:val="center"/>
              <w:rPr>
                <w:rFonts w:ascii="宋体" w:hAnsi="宋体" w:cs="宋体"/>
                <w:b/>
                <w:bCs/>
                <w:sz w:val="22"/>
                <w:szCs w:val="22"/>
              </w:rPr>
            </w:pPr>
            <w:r>
              <w:rPr>
                <w:rFonts w:hint="eastAsia" w:ascii="宋体" w:hAnsi="宋体" w:cs="宋体"/>
                <w:sz w:val="22"/>
                <w:szCs w:val="22"/>
              </w:rPr>
              <w:t>年限</w:t>
            </w:r>
          </w:p>
        </w:tc>
        <w:tc>
          <w:tcPr>
            <w:tcW w:w="1458" w:type="dxa"/>
            <w:tcBorders>
              <w:top w:val="single" w:color="auto" w:sz="4" w:space="0"/>
              <w:left w:val="single" w:color="auto" w:sz="4" w:space="0"/>
              <w:bottom w:val="single" w:color="auto" w:sz="4" w:space="0"/>
              <w:right w:val="single" w:color="auto" w:sz="4" w:space="0"/>
            </w:tcBorders>
            <w:vAlign w:val="center"/>
          </w:tcPr>
          <w:p w14:paraId="0D739EE6">
            <w:pPr>
              <w:jc w:val="center"/>
              <w:rPr>
                <w:rFonts w:ascii="宋体" w:hAnsi="宋体" w:cs="宋体"/>
                <w:b/>
                <w:bCs/>
                <w:sz w:val="22"/>
                <w:szCs w:val="22"/>
              </w:rPr>
            </w:pPr>
            <w:r>
              <w:rPr>
                <w:rFonts w:hint="eastAsia" w:ascii="宋体" w:hAnsi="宋体" w:cs="宋体"/>
                <w:sz w:val="22"/>
                <w:szCs w:val="22"/>
              </w:rPr>
              <w:t>职务</w:t>
            </w:r>
          </w:p>
          <w:p w14:paraId="39BFD292">
            <w:pPr>
              <w:jc w:val="center"/>
              <w:rPr>
                <w:rFonts w:ascii="宋体" w:hAnsi="宋体" w:cs="宋体"/>
                <w:b/>
                <w:bCs/>
                <w:sz w:val="22"/>
                <w:szCs w:val="22"/>
              </w:rPr>
            </w:pPr>
            <w:r>
              <w:rPr>
                <w:rFonts w:hint="eastAsia" w:ascii="宋体" w:hAnsi="宋体" w:cs="宋体"/>
                <w:sz w:val="22"/>
                <w:szCs w:val="22"/>
              </w:rPr>
              <w:t>和职称/认证</w:t>
            </w:r>
          </w:p>
        </w:tc>
        <w:tc>
          <w:tcPr>
            <w:tcW w:w="1560" w:type="dxa"/>
            <w:tcBorders>
              <w:top w:val="single" w:color="auto" w:sz="4" w:space="0"/>
              <w:left w:val="single" w:color="auto" w:sz="4" w:space="0"/>
              <w:bottom w:val="single" w:color="auto" w:sz="4" w:space="0"/>
              <w:right w:val="single" w:color="auto" w:sz="4" w:space="0"/>
            </w:tcBorders>
            <w:vAlign w:val="center"/>
          </w:tcPr>
          <w:p w14:paraId="4C2471D9">
            <w:pPr>
              <w:jc w:val="center"/>
              <w:rPr>
                <w:rFonts w:ascii="宋体" w:hAnsi="宋体" w:cs="宋体"/>
                <w:b/>
                <w:bCs/>
                <w:sz w:val="22"/>
                <w:szCs w:val="22"/>
              </w:rPr>
            </w:pPr>
            <w:r>
              <w:rPr>
                <w:rFonts w:hint="eastAsia" w:ascii="宋体" w:hAnsi="宋体" w:cs="宋体"/>
                <w:sz w:val="22"/>
                <w:szCs w:val="22"/>
              </w:rPr>
              <w:t>到现场服务</w:t>
            </w:r>
          </w:p>
          <w:p w14:paraId="3FEFBB74">
            <w:pPr>
              <w:jc w:val="center"/>
              <w:rPr>
                <w:rFonts w:ascii="宋体" w:hAnsi="宋体" w:cs="宋体"/>
                <w:b/>
                <w:bCs/>
                <w:sz w:val="22"/>
                <w:szCs w:val="22"/>
              </w:rPr>
            </w:pPr>
            <w:r>
              <w:rPr>
                <w:rFonts w:hint="eastAsia" w:ascii="宋体" w:hAnsi="宋体" w:cs="宋体"/>
                <w:sz w:val="22"/>
                <w:szCs w:val="22"/>
              </w:rPr>
              <w:t>起止时间</w:t>
            </w:r>
          </w:p>
        </w:tc>
      </w:tr>
      <w:tr w14:paraId="52A5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48D4B35">
            <w:pPr>
              <w:spacing w:line="360" w:lineRule="auto"/>
              <w:rPr>
                <w:rFonts w:ascii="宋体" w:hAnsi="宋体" w:cs="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59505CCD">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500B05D">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F5D238A">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1A33A02">
            <w:pPr>
              <w:spacing w:line="360" w:lineRule="auto"/>
              <w:rPr>
                <w:rFonts w:ascii="宋体" w:hAnsi="宋体" w:cs="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9AB2D2A">
            <w:pPr>
              <w:spacing w:line="360" w:lineRule="auto"/>
              <w:rPr>
                <w:rFonts w:ascii="宋体" w:hAnsi="宋体" w:cs="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55D324D0">
            <w:pPr>
              <w:spacing w:line="360" w:lineRule="auto"/>
              <w:ind w:left="5250"/>
              <w:rPr>
                <w:rFonts w:ascii="宋体" w:hAnsi="宋体" w:cs="宋体"/>
                <w:b/>
                <w:spacing w:val="12"/>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500049F5">
            <w:pPr>
              <w:spacing w:line="360" w:lineRule="auto"/>
              <w:rPr>
                <w:rFonts w:ascii="宋体" w:hAnsi="宋体" w:cs="宋体"/>
                <w:b/>
                <w:sz w:val="22"/>
                <w:szCs w:val="22"/>
              </w:rPr>
            </w:pPr>
          </w:p>
        </w:tc>
      </w:tr>
      <w:tr w14:paraId="264A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3E595B0">
            <w:pPr>
              <w:spacing w:line="360" w:lineRule="auto"/>
              <w:rPr>
                <w:rFonts w:ascii="宋体" w:hAnsi="宋体" w:cs="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161543A2">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EE635DF">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BB1E867">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61B8622">
            <w:pPr>
              <w:spacing w:line="360" w:lineRule="auto"/>
              <w:rPr>
                <w:rFonts w:ascii="宋体" w:hAnsi="宋体" w:cs="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9BD2479">
            <w:pPr>
              <w:spacing w:line="360" w:lineRule="auto"/>
              <w:rPr>
                <w:rFonts w:ascii="宋体" w:hAnsi="宋体" w:cs="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310355C7">
            <w:pPr>
              <w:spacing w:line="360" w:lineRule="auto"/>
              <w:rPr>
                <w:rFonts w:ascii="宋体" w:hAnsi="宋体" w:cs="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349992A5">
            <w:pPr>
              <w:spacing w:line="360" w:lineRule="auto"/>
              <w:ind w:left="5250"/>
              <w:rPr>
                <w:rFonts w:ascii="宋体" w:hAnsi="宋体" w:cs="宋体"/>
                <w:b/>
                <w:spacing w:val="12"/>
                <w:sz w:val="22"/>
                <w:szCs w:val="22"/>
              </w:rPr>
            </w:pPr>
          </w:p>
        </w:tc>
      </w:tr>
      <w:tr w14:paraId="5B79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55DE7D70">
            <w:pPr>
              <w:spacing w:line="360" w:lineRule="auto"/>
              <w:rPr>
                <w:rFonts w:ascii="宋体" w:hAnsi="宋体" w:cs="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652AE490">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9509946">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4BAA392">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7034370">
            <w:pPr>
              <w:spacing w:line="360" w:lineRule="auto"/>
              <w:rPr>
                <w:rFonts w:ascii="宋体" w:hAnsi="宋体" w:cs="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1B0B3B9">
            <w:pPr>
              <w:spacing w:line="360" w:lineRule="auto"/>
              <w:rPr>
                <w:rFonts w:ascii="宋体" w:hAnsi="宋体" w:cs="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495A0FD8">
            <w:pPr>
              <w:spacing w:line="360" w:lineRule="auto"/>
              <w:rPr>
                <w:rFonts w:ascii="宋体" w:hAnsi="宋体" w:cs="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7BA8626F">
            <w:pPr>
              <w:spacing w:line="360" w:lineRule="auto"/>
              <w:rPr>
                <w:rFonts w:ascii="宋体" w:hAnsi="宋体" w:cs="宋体"/>
                <w:b/>
                <w:sz w:val="22"/>
                <w:szCs w:val="22"/>
              </w:rPr>
            </w:pPr>
          </w:p>
        </w:tc>
      </w:tr>
      <w:tr w14:paraId="76FA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426CDD3">
            <w:pPr>
              <w:spacing w:line="360" w:lineRule="auto"/>
              <w:rPr>
                <w:rFonts w:ascii="宋体" w:hAnsi="宋体" w:cs="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6863B386">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1CCE73A">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65ED708">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7678258">
            <w:pPr>
              <w:spacing w:line="360" w:lineRule="auto"/>
              <w:rPr>
                <w:rFonts w:ascii="宋体" w:hAnsi="宋体" w:cs="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D55A17C">
            <w:pPr>
              <w:spacing w:line="360" w:lineRule="auto"/>
              <w:rPr>
                <w:rFonts w:ascii="宋体" w:hAnsi="宋体" w:cs="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2D340B74">
            <w:pPr>
              <w:spacing w:line="360" w:lineRule="auto"/>
              <w:rPr>
                <w:rFonts w:ascii="宋体" w:hAnsi="宋体" w:cs="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440680AC">
            <w:pPr>
              <w:spacing w:line="360" w:lineRule="auto"/>
              <w:rPr>
                <w:rFonts w:ascii="宋体" w:hAnsi="宋体" w:cs="宋体"/>
                <w:b/>
                <w:sz w:val="22"/>
                <w:szCs w:val="22"/>
              </w:rPr>
            </w:pPr>
          </w:p>
        </w:tc>
      </w:tr>
      <w:tr w14:paraId="4F3A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53B9AFF">
            <w:pPr>
              <w:spacing w:line="360" w:lineRule="auto"/>
              <w:rPr>
                <w:rFonts w:ascii="宋体" w:hAnsi="宋体" w:cs="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455B92DC">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49CE914">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C74A3AC">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5C67D34">
            <w:pPr>
              <w:spacing w:line="360" w:lineRule="auto"/>
              <w:rPr>
                <w:rFonts w:ascii="宋体" w:hAnsi="宋体" w:cs="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346C84D">
            <w:pPr>
              <w:spacing w:line="360" w:lineRule="auto"/>
              <w:rPr>
                <w:rFonts w:ascii="宋体" w:hAnsi="宋体" w:cs="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2EC473B8">
            <w:pPr>
              <w:spacing w:line="360" w:lineRule="auto"/>
              <w:rPr>
                <w:rFonts w:ascii="宋体" w:hAnsi="宋体" w:cs="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06E1D893">
            <w:pPr>
              <w:spacing w:line="360" w:lineRule="auto"/>
              <w:rPr>
                <w:rFonts w:ascii="宋体" w:hAnsi="宋体" w:cs="宋体"/>
                <w:b/>
                <w:sz w:val="22"/>
                <w:szCs w:val="22"/>
              </w:rPr>
            </w:pPr>
          </w:p>
        </w:tc>
      </w:tr>
      <w:tr w14:paraId="1F07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F26AC26">
            <w:pPr>
              <w:spacing w:line="360" w:lineRule="auto"/>
              <w:rPr>
                <w:rFonts w:ascii="宋体" w:hAnsi="宋体" w:cs="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17CC0181">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BE4B5DA">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3435F9B">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BEE48F6">
            <w:pPr>
              <w:spacing w:line="360" w:lineRule="auto"/>
              <w:rPr>
                <w:rFonts w:ascii="宋体" w:hAnsi="宋体" w:cs="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3182854">
            <w:pPr>
              <w:spacing w:line="360" w:lineRule="auto"/>
              <w:rPr>
                <w:rFonts w:ascii="宋体" w:hAnsi="宋体" w:cs="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29ACD809">
            <w:pPr>
              <w:spacing w:line="360" w:lineRule="auto"/>
              <w:rPr>
                <w:rFonts w:ascii="宋体" w:hAnsi="宋体" w:cs="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339F565B">
            <w:pPr>
              <w:spacing w:line="360" w:lineRule="auto"/>
              <w:rPr>
                <w:rFonts w:ascii="宋体" w:hAnsi="宋体" w:cs="宋体"/>
                <w:b/>
                <w:sz w:val="22"/>
                <w:szCs w:val="22"/>
              </w:rPr>
            </w:pPr>
          </w:p>
        </w:tc>
      </w:tr>
      <w:tr w14:paraId="3A05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27849B8">
            <w:pPr>
              <w:spacing w:line="360" w:lineRule="auto"/>
              <w:rPr>
                <w:rFonts w:ascii="宋体" w:hAnsi="宋体" w:cs="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4729E5D5">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68D9102">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D6F834B">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BF7B355">
            <w:pPr>
              <w:spacing w:line="360" w:lineRule="auto"/>
              <w:rPr>
                <w:rFonts w:ascii="宋体" w:hAnsi="宋体" w:cs="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BA2B8D4">
            <w:pPr>
              <w:spacing w:line="360" w:lineRule="auto"/>
              <w:rPr>
                <w:rFonts w:ascii="宋体" w:hAnsi="宋体" w:cs="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348C7B5A">
            <w:pPr>
              <w:spacing w:line="360" w:lineRule="auto"/>
              <w:rPr>
                <w:rFonts w:ascii="宋体" w:hAnsi="宋体" w:cs="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657B651B">
            <w:pPr>
              <w:spacing w:line="360" w:lineRule="auto"/>
              <w:rPr>
                <w:rFonts w:ascii="宋体" w:hAnsi="宋体" w:cs="宋体"/>
                <w:b/>
                <w:sz w:val="22"/>
                <w:szCs w:val="22"/>
              </w:rPr>
            </w:pPr>
          </w:p>
        </w:tc>
      </w:tr>
      <w:tr w14:paraId="4FDE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F873AA0">
            <w:pPr>
              <w:spacing w:line="360" w:lineRule="auto"/>
              <w:rPr>
                <w:rFonts w:ascii="宋体" w:hAnsi="宋体" w:cs="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4F67675D">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E6D8FA2">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F1969B6">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80CAB48">
            <w:pPr>
              <w:spacing w:line="360" w:lineRule="auto"/>
              <w:rPr>
                <w:rFonts w:ascii="宋体" w:hAnsi="宋体" w:cs="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3FA0E36">
            <w:pPr>
              <w:spacing w:line="360" w:lineRule="auto"/>
              <w:rPr>
                <w:rFonts w:ascii="宋体" w:hAnsi="宋体" w:cs="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AE36401">
            <w:pPr>
              <w:spacing w:line="360" w:lineRule="auto"/>
              <w:rPr>
                <w:rFonts w:ascii="宋体" w:hAnsi="宋体" w:cs="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698B694F">
            <w:pPr>
              <w:spacing w:line="360" w:lineRule="auto"/>
              <w:rPr>
                <w:rFonts w:ascii="宋体" w:hAnsi="宋体" w:cs="宋体"/>
                <w:b/>
                <w:sz w:val="22"/>
                <w:szCs w:val="22"/>
              </w:rPr>
            </w:pPr>
          </w:p>
        </w:tc>
      </w:tr>
      <w:tr w14:paraId="69A9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C8FC68A">
            <w:pPr>
              <w:spacing w:line="360" w:lineRule="auto"/>
              <w:rPr>
                <w:rFonts w:ascii="宋体" w:hAnsi="宋体" w:cs="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1930179A">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319F84B">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6D47729">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139F646">
            <w:pPr>
              <w:spacing w:line="360" w:lineRule="auto"/>
              <w:rPr>
                <w:rFonts w:ascii="宋体" w:hAnsi="宋体" w:cs="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B9B7CD3">
            <w:pPr>
              <w:spacing w:line="360" w:lineRule="auto"/>
              <w:rPr>
                <w:rFonts w:ascii="宋体" w:hAnsi="宋体" w:cs="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4736B9E1">
            <w:pPr>
              <w:spacing w:line="360" w:lineRule="auto"/>
              <w:rPr>
                <w:rFonts w:ascii="宋体" w:hAnsi="宋体" w:cs="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004819A3">
            <w:pPr>
              <w:spacing w:line="360" w:lineRule="auto"/>
              <w:rPr>
                <w:rFonts w:ascii="宋体" w:hAnsi="宋体" w:cs="宋体"/>
                <w:b/>
                <w:sz w:val="22"/>
                <w:szCs w:val="22"/>
              </w:rPr>
            </w:pPr>
          </w:p>
        </w:tc>
      </w:tr>
      <w:tr w14:paraId="5B13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15C5407">
            <w:pPr>
              <w:spacing w:line="360" w:lineRule="auto"/>
              <w:rPr>
                <w:rFonts w:ascii="宋体" w:hAnsi="宋体" w:cs="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595D0DA8">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1C39F25">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E35CE88">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8731C27">
            <w:pPr>
              <w:spacing w:line="360" w:lineRule="auto"/>
              <w:rPr>
                <w:rFonts w:ascii="宋体" w:hAnsi="宋体" w:cs="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30DD1A6">
            <w:pPr>
              <w:spacing w:line="360" w:lineRule="auto"/>
              <w:rPr>
                <w:rFonts w:ascii="宋体" w:hAnsi="宋体" w:cs="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C634491">
            <w:pPr>
              <w:spacing w:line="360" w:lineRule="auto"/>
              <w:rPr>
                <w:rFonts w:ascii="宋体" w:hAnsi="宋体" w:cs="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0F252C35">
            <w:pPr>
              <w:spacing w:line="360" w:lineRule="auto"/>
              <w:rPr>
                <w:rFonts w:ascii="宋体" w:hAnsi="宋体" w:cs="宋体"/>
                <w:b/>
                <w:sz w:val="22"/>
                <w:szCs w:val="22"/>
              </w:rPr>
            </w:pPr>
          </w:p>
        </w:tc>
      </w:tr>
      <w:tr w14:paraId="1EE6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0D998B03">
            <w:pPr>
              <w:spacing w:line="360" w:lineRule="auto"/>
              <w:rPr>
                <w:rFonts w:ascii="宋体" w:hAnsi="宋体" w:cs="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7A07E91C">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798FE7C">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3A192FA">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37E8643">
            <w:pPr>
              <w:spacing w:line="360" w:lineRule="auto"/>
              <w:rPr>
                <w:rFonts w:ascii="宋体" w:hAnsi="宋体" w:cs="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8F0731D">
            <w:pPr>
              <w:spacing w:line="360" w:lineRule="auto"/>
              <w:rPr>
                <w:rFonts w:ascii="宋体" w:hAnsi="宋体" w:cs="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4D8C19C6">
            <w:pPr>
              <w:spacing w:line="360" w:lineRule="auto"/>
              <w:rPr>
                <w:rFonts w:ascii="宋体" w:hAnsi="宋体" w:cs="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3211A90E">
            <w:pPr>
              <w:spacing w:line="360" w:lineRule="auto"/>
              <w:rPr>
                <w:rFonts w:ascii="宋体" w:hAnsi="宋体" w:cs="宋体"/>
                <w:b/>
                <w:sz w:val="22"/>
                <w:szCs w:val="22"/>
              </w:rPr>
            </w:pPr>
          </w:p>
        </w:tc>
      </w:tr>
      <w:tr w14:paraId="33D9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E7D1856">
            <w:pPr>
              <w:spacing w:line="360" w:lineRule="auto"/>
              <w:rPr>
                <w:rFonts w:ascii="宋体" w:hAnsi="宋体" w:cs="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37C4D23B">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3B6290C">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869D064">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4A8A724">
            <w:pPr>
              <w:spacing w:line="360" w:lineRule="auto"/>
              <w:rPr>
                <w:rFonts w:ascii="宋体" w:hAnsi="宋体" w:cs="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E3B54E0">
            <w:pPr>
              <w:spacing w:line="360" w:lineRule="auto"/>
              <w:rPr>
                <w:rFonts w:ascii="宋体" w:hAnsi="宋体" w:cs="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4939284">
            <w:pPr>
              <w:spacing w:line="360" w:lineRule="auto"/>
              <w:rPr>
                <w:rFonts w:ascii="宋体" w:hAnsi="宋体" w:cs="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68BFFB92">
            <w:pPr>
              <w:spacing w:line="360" w:lineRule="auto"/>
              <w:rPr>
                <w:rFonts w:ascii="宋体" w:hAnsi="宋体" w:cs="宋体"/>
                <w:b/>
                <w:sz w:val="22"/>
                <w:szCs w:val="22"/>
              </w:rPr>
            </w:pPr>
          </w:p>
        </w:tc>
      </w:tr>
      <w:tr w14:paraId="781F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54E8D3AD">
            <w:pPr>
              <w:spacing w:line="360" w:lineRule="auto"/>
              <w:rPr>
                <w:rFonts w:ascii="宋体" w:hAnsi="宋体" w:cs="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7C14FCE6">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05516BD">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FF9FBAB">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2CDBA23">
            <w:pPr>
              <w:spacing w:line="360" w:lineRule="auto"/>
              <w:rPr>
                <w:rFonts w:ascii="宋体" w:hAnsi="宋体" w:cs="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7253F24">
            <w:pPr>
              <w:spacing w:line="360" w:lineRule="auto"/>
              <w:rPr>
                <w:rFonts w:ascii="宋体" w:hAnsi="宋体" w:cs="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880299F">
            <w:pPr>
              <w:spacing w:line="360" w:lineRule="auto"/>
              <w:rPr>
                <w:rFonts w:ascii="宋体" w:hAnsi="宋体" w:cs="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6FA11574">
            <w:pPr>
              <w:spacing w:line="360" w:lineRule="auto"/>
              <w:rPr>
                <w:rFonts w:ascii="宋体" w:hAnsi="宋体" w:cs="宋体"/>
                <w:b/>
                <w:sz w:val="22"/>
                <w:szCs w:val="22"/>
              </w:rPr>
            </w:pPr>
          </w:p>
        </w:tc>
      </w:tr>
      <w:tr w14:paraId="19B2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9708F7D">
            <w:pPr>
              <w:spacing w:line="360" w:lineRule="auto"/>
              <w:rPr>
                <w:rFonts w:ascii="宋体" w:hAnsi="宋体" w:cs="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69029CE0">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9ACEB02">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610F63E">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DCDBDDC">
            <w:pPr>
              <w:spacing w:line="360" w:lineRule="auto"/>
              <w:rPr>
                <w:rFonts w:ascii="宋体" w:hAnsi="宋体" w:cs="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8D8E2C7">
            <w:pPr>
              <w:spacing w:line="360" w:lineRule="auto"/>
              <w:rPr>
                <w:rFonts w:ascii="宋体" w:hAnsi="宋体" w:cs="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748519C8">
            <w:pPr>
              <w:spacing w:line="360" w:lineRule="auto"/>
              <w:rPr>
                <w:rFonts w:ascii="宋体" w:hAnsi="宋体" w:cs="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4C97C75A">
            <w:pPr>
              <w:spacing w:line="360" w:lineRule="auto"/>
              <w:rPr>
                <w:rFonts w:ascii="宋体" w:hAnsi="宋体" w:cs="宋体"/>
                <w:b/>
                <w:sz w:val="22"/>
                <w:szCs w:val="22"/>
              </w:rPr>
            </w:pPr>
          </w:p>
        </w:tc>
      </w:tr>
      <w:tr w14:paraId="26C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D3AE7F1">
            <w:pPr>
              <w:spacing w:line="360" w:lineRule="auto"/>
              <w:rPr>
                <w:rFonts w:ascii="宋体" w:hAnsi="宋体" w:cs="宋体"/>
                <w:b/>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677DE4D6">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E3BEAEE">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5C67569">
            <w:pPr>
              <w:spacing w:line="360" w:lineRule="auto"/>
              <w:rPr>
                <w:rFonts w:ascii="宋体" w:hAnsi="宋体" w:cs="宋体"/>
                <w:b/>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5CAD455">
            <w:pPr>
              <w:spacing w:line="360" w:lineRule="auto"/>
              <w:rPr>
                <w:rFonts w:ascii="宋体" w:hAnsi="宋体" w:cs="宋体"/>
                <w:b/>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0D8D09C">
            <w:pPr>
              <w:spacing w:line="360" w:lineRule="auto"/>
              <w:rPr>
                <w:rFonts w:ascii="宋体" w:hAnsi="宋体" w:cs="宋体"/>
                <w:b/>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5C2F528">
            <w:pPr>
              <w:spacing w:line="360" w:lineRule="auto"/>
              <w:rPr>
                <w:rFonts w:ascii="宋体" w:hAnsi="宋体" w:cs="宋体"/>
                <w:b/>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179DB39">
            <w:pPr>
              <w:spacing w:line="360" w:lineRule="auto"/>
              <w:rPr>
                <w:rFonts w:ascii="宋体" w:hAnsi="宋体" w:cs="宋体"/>
                <w:b/>
                <w:sz w:val="22"/>
                <w:szCs w:val="22"/>
              </w:rPr>
            </w:pPr>
          </w:p>
        </w:tc>
      </w:tr>
    </w:tbl>
    <w:p w14:paraId="125751C0">
      <w:pPr>
        <w:spacing w:line="360" w:lineRule="exact"/>
        <w:ind w:left="968" w:hanging="968" w:hangingChars="440"/>
        <w:rPr>
          <w:rFonts w:ascii="宋体" w:hAnsi="宋体" w:cs="宋体"/>
          <w:b/>
          <w:sz w:val="22"/>
          <w:szCs w:val="22"/>
        </w:rPr>
      </w:pPr>
      <w:r>
        <w:rPr>
          <w:rFonts w:hint="eastAsia" w:ascii="宋体" w:hAnsi="宋体" w:cs="宋体"/>
          <w:sz w:val="22"/>
          <w:szCs w:val="22"/>
        </w:rPr>
        <w:t>附注：1. 项目负责人、技术负责人、设备材料以及各主要专业工种负责人均应列入；</w:t>
      </w:r>
    </w:p>
    <w:p w14:paraId="7A0C3288">
      <w:pPr>
        <w:spacing w:line="360" w:lineRule="exact"/>
        <w:ind w:left="718" w:leftChars="321" w:hanging="44" w:hangingChars="20"/>
        <w:rPr>
          <w:rFonts w:ascii="宋体" w:hAnsi="宋体" w:cs="宋体"/>
          <w:b/>
          <w:sz w:val="22"/>
          <w:szCs w:val="22"/>
        </w:rPr>
      </w:pPr>
      <w:r>
        <w:rPr>
          <w:rFonts w:hint="eastAsia" w:ascii="宋体" w:hAnsi="宋体" w:cs="宋体"/>
          <w:sz w:val="22"/>
          <w:szCs w:val="22"/>
        </w:rPr>
        <w:t>2. 以上人员社保缴纳证明在技术资信标中提供。</w:t>
      </w:r>
    </w:p>
    <w:p w14:paraId="59CEB4DE">
      <w:pPr>
        <w:spacing w:line="360" w:lineRule="exact"/>
        <w:ind w:left="718" w:leftChars="321" w:hanging="44" w:hangingChars="20"/>
        <w:rPr>
          <w:rFonts w:ascii="宋体" w:hAnsi="宋体" w:cs="宋体"/>
          <w:b/>
          <w:sz w:val="22"/>
          <w:szCs w:val="22"/>
        </w:rPr>
      </w:pPr>
      <w:r>
        <w:rPr>
          <w:rFonts w:hint="eastAsia" w:ascii="宋体" w:hAnsi="宋体" w:cs="宋体"/>
          <w:sz w:val="22"/>
          <w:szCs w:val="22"/>
        </w:rPr>
        <w:t>3、表格可以延续。</w:t>
      </w:r>
    </w:p>
    <w:p w14:paraId="5806D18B">
      <w:pPr>
        <w:spacing w:line="360" w:lineRule="exact"/>
        <w:ind w:left="718" w:leftChars="321" w:hanging="44" w:hangingChars="20"/>
        <w:rPr>
          <w:rFonts w:ascii="宋体" w:hAnsi="宋体" w:cs="宋体"/>
          <w:b/>
          <w:sz w:val="22"/>
          <w:szCs w:val="22"/>
        </w:rPr>
      </w:pPr>
    </w:p>
    <w:p w14:paraId="6CEA1682">
      <w:pPr>
        <w:spacing w:line="360" w:lineRule="exact"/>
        <w:ind w:left="718" w:leftChars="321" w:hanging="44" w:hangingChars="20"/>
        <w:rPr>
          <w:rFonts w:ascii="宋体" w:hAnsi="宋体" w:cs="宋体"/>
          <w:b/>
          <w:sz w:val="22"/>
          <w:szCs w:val="22"/>
        </w:rPr>
      </w:pPr>
    </w:p>
    <w:p w14:paraId="78BE0912">
      <w:pPr>
        <w:spacing w:line="360" w:lineRule="exact"/>
        <w:ind w:left="718" w:leftChars="321" w:hanging="44" w:hangingChars="20"/>
        <w:rPr>
          <w:rFonts w:ascii="宋体" w:hAnsi="宋体" w:cs="宋体"/>
          <w:b/>
          <w:sz w:val="22"/>
          <w:szCs w:val="22"/>
        </w:rPr>
      </w:pPr>
      <w:r>
        <w:rPr>
          <w:rFonts w:hint="eastAsia" w:ascii="宋体" w:hAnsi="宋体" w:cs="宋体"/>
          <w:sz w:val="22"/>
          <w:szCs w:val="22"/>
        </w:rPr>
        <w:t>投标供应商全称（公章）：</w:t>
      </w:r>
    </w:p>
    <w:p w14:paraId="17F8F7CC">
      <w:pPr>
        <w:spacing w:line="360" w:lineRule="exact"/>
        <w:ind w:left="718" w:leftChars="321" w:hanging="44" w:hangingChars="20"/>
        <w:rPr>
          <w:rFonts w:ascii="宋体" w:hAnsi="宋体" w:cs="宋体"/>
          <w:color w:val="auto"/>
          <w:sz w:val="30"/>
          <w:szCs w:val="30"/>
          <w:highlight w:val="none"/>
        </w:rPr>
        <w:sectPr>
          <w:headerReference r:id="rId13" w:type="first"/>
          <w:headerReference r:id="rId12" w:type="default"/>
          <w:footerReference r:id="rId14" w:type="default"/>
          <w:pgSz w:w="11906" w:h="16838"/>
          <w:pgMar w:top="1134" w:right="1134" w:bottom="1134" w:left="1134" w:header="851" w:footer="850" w:gutter="0"/>
          <w:cols w:space="720" w:num="1"/>
          <w:titlePg/>
          <w:docGrid w:type="lines" w:linePitch="312" w:charSpace="0"/>
        </w:sectPr>
      </w:pPr>
      <w:r>
        <w:rPr>
          <w:rFonts w:hint="eastAsia" w:ascii="宋体" w:hAnsi="宋体" w:cs="宋体"/>
          <w:sz w:val="22"/>
          <w:szCs w:val="22"/>
        </w:rPr>
        <w:t xml:space="preserve">日期：  年  月  </w:t>
      </w:r>
      <w:r>
        <w:rPr>
          <w:rFonts w:hint="eastAsia" w:ascii="宋体" w:hAnsi="宋体" w:cs="宋体"/>
          <w:sz w:val="22"/>
          <w:szCs w:val="22"/>
          <w:lang w:val="en-US" w:eastAsia="zh-CN"/>
        </w:rPr>
        <w:t>日</w:t>
      </w:r>
    </w:p>
    <w:p w14:paraId="20C7F965">
      <w:pPr>
        <w:pStyle w:val="39"/>
        <w:rPr>
          <w:rFonts w:ascii="宋体" w:hAnsi="宋体" w:cs="宋体"/>
          <w:color w:val="auto"/>
          <w:sz w:val="30"/>
          <w:szCs w:val="30"/>
          <w:highlight w:val="none"/>
        </w:rPr>
      </w:pPr>
      <w:r>
        <w:rPr>
          <w:rFonts w:hint="eastAsia" w:ascii="宋体" w:hAnsi="宋体" w:cs="宋体"/>
          <w:color w:val="auto"/>
          <w:sz w:val="30"/>
          <w:szCs w:val="30"/>
          <w:highlight w:val="none"/>
        </w:rPr>
        <w:t>第七部分 评标定标办法</w:t>
      </w:r>
      <w:bookmarkEnd w:id="113"/>
      <w:bookmarkEnd w:id="114"/>
      <w:bookmarkEnd w:id="115"/>
      <w:bookmarkEnd w:id="117"/>
    </w:p>
    <w:p w14:paraId="54C23A94">
      <w:pPr>
        <w:tabs>
          <w:tab w:val="left" w:pos="8820"/>
        </w:tabs>
        <w:adjustRightInd w:val="0"/>
        <w:snapToGrid w:val="0"/>
        <w:spacing w:before="100" w:after="50"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根据《中华人民共和国政府采购法》等有关政府采购法规，结合本次所要采购服务的实际，按照公平、公正、科学、择优的原则选择中标供应商，特制定本评标办法。</w:t>
      </w:r>
    </w:p>
    <w:p w14:paraId="204066D6">
      <w:pPr>
        <w:adjustRightInd w:val="0"/>
        <w:snapToGrid w:val="0"/>
        <w:spacing w:before="156" w:beforeLines="50" w:after="50" w:line="460" w:lineRule="atLeas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一、总则</w:t>
      </w:r>
    </w:p>
    <w:p w14:paraId="19D804ED">
      <w:pPr>
        <w:pStyle w:val="25"/>
        <w:adjustRightInd w:val="0"/>
        <w:snapToGrid w:val="0"/>
        <w:spacing w:before="100" w:after="50" w:line="460" w:lineRule="atLeast"/>
        <w:rPr>
          <w:rFonts w:eastAsia="宋体" w:cs="宋体"/>
          <w:b w:val="0"/>
          <w:color w:val="auto"/>
          <w:sz w:val="22"/>
          <w:szCs w:val="22"/>
          <w:highlight w:val="none"/>
        </w:rPr>
      </w:pPr>
      <w:r>
        <w:rPr>
          <w:rFonts w:hint="eastAsia" w:eastAsia="宋体" w:cs="宋体"/>
          <w:b w:val="0"/>
          <w:color w:val="auto"/>
          <w:sz w:val="22"/>
          <w:szCs w:val="22"/>
          <w:highlight w:val="none"/>
        </w:rPr>
        <w:t>评标工作遵循公平、公正、民主、科学的原则和诚实、信誉、效率的服务原则。本着科学、严谨的态度，认真进行评标。择优选定服务供应商，确保服务质量，最大限度地保护当事人权益，严格按照招标文件的商务、技术要求，对投标文件进行综合评定，提出优选方案，编写评标报告。评标委员会必须严格遵守保密规定，不得泄露评标的有关情况，不得索贿受贿，不得接受吃请和礼品，不得参加影响公正评标的有关活动。对落标供应商，评标委员会不做任何落标解释。供应商不得以任何方式干扰招投标工作的进行，一经发现其投标文件将被拒绝。</w:t>
      </w:r>
    </w:p>
    <w:p w14:paraId="1E3AAB4D">
      <w:pPr>
        <w:adjustRightInd w:val="0"/>
        <w:snapToGrid w:val="0"/>
        <w:spacing w:before="156" w:beforeLines="50" w:after="50" w:line="460" w:lineRule="atLeas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二、评标组织</w:t>
      </w:r>
    </w:p>
    <w:p w14:paraId="3ACECEDF">
      <w:pPr>
        <w:pStyle w:val="25"/>
        <w:adjustRightInd w:val="0"/>
        <w:snapToGrid w:val="0"/>
        <w:spacing w:before="100" w:after="50" w:line="460" w:lineRule="atLeast"/>
        <w:rPr>
          <w:rFonts w:eastAsia="宋体" w:cs="宋体"/>
          <w:b w:val="0"/>
          <w:color w:val="auto"/>
          <w:sz w:val="22"/>
          <w:szCs w:val="22"/>
          <w:highlight w:val="none"/>
        </w:rPr>
      </w:pPr>
      <w:r>
        <w:rPr>
          <w:rFonts w:hint="eastAsia" w:eastAsia="宋体" w:cs="宋体"/>
          <w:b w:val="0"/>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14:paraId="04BE9B47">
      <w:pPr>
        <w:pStyle w:val="82"/>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460" w:lineRule="atLeast"/>
        <w:textAlignment w:val="auto"/>
        <w:rPr>
          <w:rFonts w:ascii="宋体" w:hAnsi="宋体" w:cs="宋体"/>
          <w:color w:val="auto"/>
          <w:kern w:val="2"/>
          <w:sz w:val="22"/>
          <w:szCs w:val="22"/>
          <w:highlight w:val="none"/>
        </w:rPr>
      </w:pPr>
      <w:r>
        <w:rPr>
          <w:rFonts w:hint="eastAsia" w:ascii="宋体" w:hAnsi="宋体" w:cs="宋体"/>
          <w:color w:val="auto"/>
          <w:kern w:val="2"/>
          <w:sz w:val="22"/>
          <w:szCs w:val="22"/>
          <w:highlight w:val="none"/>
        </w:rPr>
        <w:t>三、评标程序</w:t>
      </w:r>
    </w:p>
    <w:p w14:paraId="6A11AC58">
      <w:pPr>
        <w:adjustRightInd w:val="0"/>
        <w:snapToGrid w:val="0"/>
        <w:spacing w:before="100" w:after="50"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开标后，采购人或采购代理机构对各投标供应商的资格进行审查；然后评标委员会对合格投标供应商的进行符合性审查，按照招标文件中规定的评标方法和标准，对符合性审查合格的投标文件进行商务和技术评估，综合比较与评价。</w:t>
      </w:r>
    </w:p>
    <w:p w14:paraId="4F740C7E">
      <w:pPr>
        <w:pStyle w:val="6"/>
        <w:adjustRightInd w:val="0"/>
        <w:snapToGrid w:val="0"/>
        <w:spacing w:before="156" w:beforeLines="50" w:after="50" w:line="460" w:lineRule="atLeast"/>
        <w:ind w:firstLine="440"/>
        <w:rPr>
          <w:rFonts w:ascii="宋体" w:eastAsia="宋体"/>
          <w:b w:val="0"/>
          <w:color w:val="auto"/>
          <w:sz w:val="22"/>
          <w:szCs w:val="22"/>
          <w:highlight w:val="none"/>
        </w:rPr>
      </w:pPr>
      <w:r>
        <w:rPr>
          <w:rFonts w:hint="eastAsia" w:ascii="宋体" w:eastAsia="宋体"/>
          <w:b w:val="0"/>
          <w:color w:val="auto"/>
          <w:sz w:val="22"/>
          <w:szCs w:val="22"/>
          <w:highlight w:val="none"/>
        </w:rPr>
        <w:t>2、由评标委员会依据法律法规及招标文件有关规定在有效标中按投标供应商的最终得分（即技术分与商务分之和）高低进行排序，得分前二名的投标供应商推荐为第一中标候选人与第二中标候选人（得分相同投标报价低的排序第一；得分且投标报价相同的，由评标委员会成员抽签决定排序）。</w:t>
      </w:r>
    </w:p>
    <w:p w14:paraId="3F3A531F">
      <w:pPr>
        <w:pStyle w:val="6"/>
        <w:adjustRightInd w:val="0"/>
        <w:snapToGrid w:val="0"/>
        <w:spacing w:before="156" w:beforeLines="50" w:after="50" w:line="460" w:lineRule="atLeast"/>
        <w:ind w:firstLine="440"/>
        <w:rPr>
          <w:rFonts w:ascii="宋体" w:eastAsia="宋体"/>
          <w:b w:val="0"/>
          <w:color w:val="auto"/>
          <w:sz w:val="22"/>
          <w:szCs w:val="22"/>
          <w:highlight w:val="none"/>
        </w:rPr>
      </w:pPr>
      <w:r>
        <w:rPr>
          <w:rFonts w:hint="eastAsia" w:ascii="宋体" w:eastAsia="宋体"/>
          <w:b w:val="0"/>
          <w:color w:val="auto"/>
          <w:sz w:val="22"/>
          <w:szCs w:val="22"/>
          <w:highlight w:val="none"/>
        </w:rPr>
        <w:t xml:space="preserve">3、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14:paraId="435CED61">
      <w:pPr>
        <w:pStyle w:val="6"/>
        <w:adjustRightInd w:val="0"/>
        <w:snapToGrid w:val="0"/>
        <w:spacing w:before="156" w:beforeLines="50" w:after="50" w:line="460" w:lineRule="atLeast"/>
        <w:ind w:firstLine="440"/>
        <w:rPr>
          <w:rFonts w:ascii="宋体" w:eastAsia="宋体"/>
          <w:b w:val="0"/>
          <w:color w:val="auto"/>
          <w:sz w:val="22"/>
          <w:szCs w:val="22"/>
          <w:highlight w:val="none"/>
        </w:rPr>
      </w:pPr>
      <w:r>
        <w:rPr>
          <w:rFonts w:hint="eastAsia" w:ascii="宋体" w:eastAsia="宋体"/>
          <w:b w:val="0"/>
          <w:color w:val="auto"/>
          <w:sz w:val="22"/>
          <w:szCs w:val="22"/>
          <w:highlight w:val="none"/>
        </w:rPr>
        <w:t>4、其他参见本招标文件第三部分：“供应商须知” 中的相关内容。</w:t>
      </w:r>
    </w:p>
    <w:bookmarkEnd w:id="116"/>
    <w:p w14:paraId="028F2E61">
      <w:pPr>
        <w:spacing w:line="400" w:lineRule="exact"/>
        <w:rPr>
          <w:rFonts w:ascii="宋体" w:hAnsi="宋体" w:cs="宋体"/>
          <w:color w:val="auto"/>
          <w:szCs w:val="21"/>
          <w:highlight w:val="none"/>
        </w:rPr>
      </w:pPr>
    </w:p>
    <w:p w14:paraId="77F7D106">
      <w:pPr>
        <w:adjustRightInd w:val="0"/>
        <w:spacing w:before="100" w:after="50" w:line="460" w:lineRule="atLeas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四、评分细则</w:t>
      </w:r>
    </w:p>
    <w:p w14:paraId="40F0AC6E">
      <w:pPr>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一、商务报价评分30分</w:t>
      </w:r>
    </w:p>
    <w:p w14:paraId="7596284A">
      <w:pPr>
        <w:widowControl/>
        <w:autoSpaceDE w:val="0"/>
        <w:autoSpaceDN w:val="0"/>
        <w:adjustRightInd w:val="0"/>
        <w:spacing w:line="460" w:lineRule="atLeast"/>
        <w:ind w:firstLine="442" w:firstLineChars="200"/>
        <w:textAlignment w:val="bottom"/>
        <w:rPr>
          <w:rFonts w:ascii="宋体" w:hAnsi="宋体" w:cs="宋体"/>
          <w:b/>
          <w:bCs/>
          <w:color w:val="auto"/>
          <w:sz w:val="22"/>
          <w:szCs w:val="22"/>
          <w:highlight w:val="none"/>
        </w:rPr>
      </w:pPr>
      <w:r>
        <w:rPr>
          <w:rFonts w:hint="eastAsia" w:ascii="宋体" w:hAnsi="宋体" w:cs="宋体"/>
          <w:b/>
          <w:bCs/>
          <w:color w:val="auto"/>
          <w:sz w:val="22"/>
          <w:szCs w:val="22"/>
          <w:highlight w:val="none"/>
        </w:rPr>
        <w:t>1、以供应商有效投标价中的最低报价为评标基准价，得满分30分。商务报价评分结算公式为：投标报价得分=</w:t>
      </w:r>
      <w:bookmarkStart w:id="219" w:name="OLE_LINK1"/>
      <w:r>
        <w:rPr>
          <w:rFonts w:hint="eastAsia" w:ascii="宋体" w:hAnsi="宋体" w:cs="宋体"/>
          <w:b/>
          <w:bCs/>
          <w:color w:val="auto"/>
          <w:sz w:val="22"/>
          <w:szCs w:val="22"/>
          <w:highlight w:val="none"/>
        </w:rPr>
        <w:t>（评标基准价／投标报价）×30%×100</w:t>
      </w:r>
      <w:bookmarkEnd w:id="219"/>
      <w:r>
        <w:rPr>
          <w:rFonts w:hint="eastAsia" w:ascii="宋体" w:hAnsi="宋体" w:cs="宋体"/>
          <w:b/>
          <w:bCs/>
          <w:color w:val="auto"/>
          <w:sz w:val="22"/>
          <w:szCs w:val="22"/>
          <w:highlight w:val="none"/>
        </w:rPr>
        <w:t>。</w:t>
      </w:r>
    </w:p>
    <w:p w14:paraId="451A4E10">
      <w:pPr>
        <w:widowControl/>
        <w:autoSpaceDE w:val="0"/>
        <w:autoSpaceDN w:val="0"/>
        <w:adjustRightInd w:val="0"/>
        <w:spacing w:line="460" w:lineRule="atLeast"/>
        <w:ind w:firstLine="442" w:firstLineChars="200"/>
        <w:textAlignment w:val="bottom"/>
        <w:rPr>
          <w:rFonts w:ascii="宋体" w:hAnsi="宋体" w:cs="宋体"/>
          <w:b/>
          <w:bCs/>
          <w:color w:val="auto"/>
          <w:sz w:val="22"/>
          <w:szCs w:val="22"/>
          <w:highlight w:val="none"/>
        </w:rPr>
      </w:pPr>
      <w:r>
        <w:rPr>
          <w:rFonts w:hint="eastAsia" w:ascii="宋体" w:hAnsi="宋体" w:cs="宋体"/>
          <w:b/>
          <w:bCs/>
          <w:color w:val="auto"/>
          <w:sz w:val="22"/>
          <w:szCs w:val="22"/>
          <w:highlight w:val="none"/>
        </w:rPr>
        <w:t>2、符合招标文件规定条件的小、微企业（或监狱企业、残疾人企业），给予评标价格折扣（10%）。</w:t>
      </w:r>
    </w:p>
    <w:p w14:paraId="274B0A38">
      <w:pPr>
        <w:autoSpaceDE w:val="0"/>
        <w:autoSpaceDN w:val="0"/>
        <w:adjustRightInd w:val="0"/>
        <w:spacing w:line="460" w:lineRule="atLeast"/>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u w:val="single"/>
        </w:rPr>
        <w:t>3、</w:t>
      </w:r>
      <w:r>
        <w:rPr>
          <w:rFonts w:hint="eastAsia" w:ascii="宋体" w:hAnsi="宋体" w:cs="宋体"/>
          <w:b/>
          <w:color w:val="auto"/>
          <w:sz w:val="22"/>
          <w:highlight w:val="none"/>
          <w:u w:val="single"/>
        </w:rPr>
        <w:t>本项目</w:t>
      </w:r>
      <w:r>
        <w:rPr>
          <w:rFonts w:hint="eastAsia" w:ascii="宋体" w:hAnsi="宋体" w:cs="宋体"/>
          <w:b/>
          <w:color w:val="auto"/>
          <w:sz w:val="22"/>
          <w:szCs w:val="22"/>
          <w:highlight w:val="none"/>
          <w:u w:val="single"/>
        </w:rPr>
        <w:t>采购预算见采购公告。</w:t>
      </w:r>
      <w:r>
        <w:rPr>
          <w:rFonts w:hint="eastAsia" w:ascii="宋体" w:hAnsi="宋体" w:cs="宋体"/>
          <w:color w:val="auto"/>
          <w:sz w:val="22"/>
          <w:szCs w:val="22"/>
          <w:highlight w:val="none"/>
        </w:rPr>
        <w:t>如果所有供应商的报价均超出采购最高限价且采购人确认不能支付的情况，本次采购做流（废）标处理。如果仅仅某个（些）供应商的商务报价超出采购最高限价则该供应商按无效投标处理。</w:t>
      </w:r>
    </w:p>
    <w:p w14:paraId="2106A287">
      <w:pPr>
        <w:spacing w:line="460" w:lineRule="atLeast"/>
        <w:ind w:firstLine="440" w:firstLineChars="200"/>
        <w:rPr>
          <w:rFonts w:ascii="宋体" w:hAnsi="宋体" w:cs="宋体"/>
          <w:color w:val="auto"/>
          <w:sz w:val="22"/>
          <w:highlight w:val="none"/>
        </w:rPr>
      </w:pPr>
      <w:r>
        <w:rPr>
          <w:rFonts w:hint="eastAsia" w:ascii="宋体" w:hAnsi="宋体" w:cs="宋体"/>
          <w:color w:val="auto"/>
          <w:sz w:val="22"/>
          <w:highlight w:val="none"/>
        </w:rPr>
        <w:t>二、技术、服务、资信业绩综合评分70分</w:t>
      </w:r>
    </w:p>
    <w:p w14:paraId="1FE914EE">
      <w:pPr>
        <w:autoSpaceDE w:val="0"/>
        <w:autoSpaceDN w:val="0"/>
        <w:adjustRightInd w:val="0"/>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定，每人一张评分计算表，由评标委员会成员各自评定打分并记实名。如任何一张表的一项评分内容分值超过规定的范围，则该张表无效。评标委员会成员对各供应商的各项评分内容评分合计值的算术平均值为该供应商商务技术文件的最终得分（四舍五入，保留小数点后二位）。</w:t>
      </w:r>
    </w:p>
    <w:tbl>
      <w:tblPr>
        <w:tblStyle w:val="43"/>
        <w:tblW w:w="94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29"/>
        <w:gridCol w:w="7561"/>
        <w:gridCol w:w="1049"/>
      </w:tblGrid>
      <w:tr w14:paraId="0982C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829" w:type="dxa"/>
            <w:vAlign w:val="center"/>
          </w:tcPr>
          <w:p w14:paraId="4C969A48">
            <w:pPr>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7561" w:type="dxa"/>
            <w:vAlign w:val="center"/>
          </w:tcPr>
          <w:p w14:paraId="7C0AB0C5">
            <w:pPr>
              <w:ind w:left="105" w:leftChars="50" w:right="10" w:rightChars="5"/>
              <w:jc w:val="center"/>
              <w:rPr>
                <w:rFonts w:ascii="宋体" w:hAnsi="宋体" w:cs="宋体"/>
                <w:color w:val="auto"/>
                <w:sz w:val="22"/>
                <w:szCs w:val="22"/>
                <w:highlight w:val="none"/>
              </w:rPr>
            </w:pPr>
            <w:r>
              <w:rPr>
                <w:rFonts w:hint="eastAsia" w:ascii="宋体" w:hAnsi="宋体" w:cs="宋体"/>
                <w:color w:val="auto"/>
                <w:sz w:val="22"/>
                <w:szCs w:val="22"/>
                <w:highlight w:val="none"/>
              </w:rPr>
              <w:t>评分细则</w:t>
            </w:r>
          </w:p>
        </w:tc>
        <w:tc>
          <w:tcPr>
            <w:tcW w:w="1049" w:type="dxa"/>
            <w:vAlign w:val="center"/>
          </w:tcPr>
          <w:p w14:paraId="0F99D955">
            <w:pPr>
              <w:jc w:val="center"/>
              <w:rPr>
                <w:rFonts w:ascii="宋体" w:hAnsi="宋体" w:cs="宋体"/>
                <w:color w:val="auto"/>
                <w:sz w:val="22"/>
                <w:szCs w:val="22"/>
                <w:highlight w:val="none"/>
              </w:rPr>
            </w:pPr>
            <w:r>
              <w:rPr>
                <w:rFonts w:hint="eastAsia" w:ascii="宋体" w:hAnsi="宋体" w:cs="宋体"/>
                <w:color w:val="auto"/>
                <w:sz w:val="22"/>
                <w:szCs w:val="22"/>
                <w:highlight w:val="none"/>
              </w:rPr>
              <w:t>分值</w:t>
            </w:r>
          </w:p>
        </w:tc>
      </w:tr>
      <w:tr w14:paraId="0012A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8" w:hRule="atLeast"/>
          <w:jc w:val="center"/>
        </w:trPr>
        <w:tc>
          <w:tcPr>
            <w:tcW w:w="829" w:type="dxa"/>
            <w:vAlign w:val="center"/>
          </w:tcPr>
          <w:p w14:paraId="3602022B">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7561" w:type="dxa"/>
            <w:vAlign w:val="center"/>
          </w:tcPr>
          <w:p w14:paraId="5BD5B040">
            <w:pPr>
              <w:rPr>
                <w:rFonts w:ascii="宋体" w:hAnsi="宋体" w:cs="宋体"/>
                <w:color w:val="auto"/>
                <w:sz w:val="22"/>
                <w:szCs w:val="22"/>
                <w:highlight w:val="none"/>
              </w:rPr>
            </w:pPr>
            <w:r>
              <w:rPr>
                <w:rFonts w:hint="eastAsia" w:ascii="宋体" w:hAnsi="宋体" w:cs="宋体"/>
                <w:color w:val="auto"/>
                <w:sz w:val="22"/>
                <w:szCs w:val="22"/>
                <w:highlight w:val="none"/>
              </w:rPr>
              <w:t>对应于招标文件技术指标的偏离度：与招标文件第二部分招标内容及要求的设备技术规格及配置对比，实质性条款（技术参数中标注▲的为实质性条款，如不满足，按无效投标处理）除外，标注★的技术指标（或功能）偏离每项扣4分，一般技术指标偏离每项扣1.5分，一般功能偏离每项扣3分，商务要求偏离每项扣3分。扣完为止。</w:t>
            </w:r>
          </w:p>
        </w:tc>
        <w:tc>
          <w:tcPr>
            <w:tcW w:w="1049" w:type="dxa"/>
            <w:vAlign w:val="center"/>
          </w:tcPr>
          <w:p w14:paraId="7D8755BF">
            <w:pPr>
              <w:jc w:val="center"/>
              <w:rPr>
                <w:rFonts w:ascii="宋体" w:hAnsi="宋体" w:cs="宋体"/>
                <w:color w:val="auto"/>
                <w:sz w:val="22"/>
                <w:szCs w:val="22"/>
                <w:highlight w:val="none"/>
              </w:rPr>
            </w:pPr>
            <w:r>
              <w:rPr>
                <w:rFonts w:hint="eastAsia" w:ascii="宋体" w:hAnsi="宋体" w:cs="宋体"/>
                <w:color w:val="auto"/>
                <w:sz w:val="22"/>
                <w:szCs w:val="22"/>
                <w:highlight w:val="none"/>
              </w:rPr>
              <w:t>45</w:t>
            </w:r>
          </w:p>
        </w:tc>
      </w:tr>
      <w:tr w14:paraId="7A382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46" w:hRule="atLeast"/>
          <w:jc w:val="center"/>
        </w:trPr>
        <w:tc>
          <w:tcPr>
            <w:tcW w:w="829" w:type="dxa"/>
            <w:vAlign w:val="center"/>
          </w:tcPr>
          <w:p w14:paraId="5E0305B6">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7561" w:type="dxa"/>
            <w:vAlign w:val="center"/>
          </w:tcPr>
          <w:p w14:paraId="6EEB9CB2">
            <w:pPr>
              <w:ind w:left="105" w:leftChars="50" w:right="164" w:rightChars="78"/>
              <w:rPr>
                <w:rFonts w:ascii="宋体" w:hAnsi="宋体" w:cs="宋体"/>
                <w:color w:val="auto"/>
                <w:sz w:val="22"/>
                <w:szCs w:val="22"/>
                <w:highlight w:val="none"/>
              </w:rPr>
            </w:pPr>
            <w:r>
              <w:rPr>
                <w:rFonts w:hint="eastAsia" w:ascii="宋体" w:hAnsi="宋体" w:cs="宋体"/>
                <w:color w:val="auto"/>
                <w:sz w:val="22"/>
                <w:szCs w:val="22"/>
                <w:highlight w:val="none"/>
              </w:rPr>
              <w:t>投标设备配套的合理性：评委对投标设备配套的合理性、功能实现程度进行评价：投标设备配套合理、功能实现程度高的，得3分；配套较合理、功能实现程度较高的，得2分；配套合理性一般、不能完全达到临床要求功能的，得1分。</w:t>
            </w:r>
          </w:p>
        </w:tc>
        <w:tc>
          <w:tcPr>
            <w:tcW w:w="1049" w:type="dxa"/>
            <w:vAlign w:val="center"/>
          </w:tcPr>
          <w:p w14:paraId="4D4398EC">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r>
      <w:tr w14:paraId="1FDBA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3" w:hRule="atLeast"/>
          <w:jc w:val="center"/>
        </w:trPr>
        <w:tc>
          <w:tcPr>
            <w:tcW w:w="829" w:type="dxa"/>
            <w:vAlign w:val="center"/>
          </w:tcPr>
          <w:p w14:paraId="6F34081B">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7561" w:type="dxa"/>
            <w:vAlign w:val="center"/>
          </w:tcPr>
          <w:p w14:paraId="766EC276">
            <w:pPr>
              <w:ind w:left="105" w:leftChars="50" w:right="164" w:rightChars="78"/>
              <w:rPr>
                <w:rFonts w:ascii="宋体" w:hAnsi="宋体" w:cs="宋体"/>
                <w:color w:val="auto"/>
                <w:sz w:val="22"/>
                <w:szCs w:val="22"/>
                <w:highlight w:val="none"/>
              </w:rPr>
            </w:pPr>
            <w:r>
              <w:rPr>
                <w:rFonts w:hint="eastAsia" w:ascii="宋体" w:hAnsi="宋体" w:cs="宋体"/>
                <w:color w:val="auto"/>
                <w:sz w:val="22"/>
                <w:szCs w:val="22"/>
                <w:highlight w:val="none"/>
              </w:rPr>
              <w:t>技术指标先进性：评委对投标设备技术指标的先进性进行评价：技术指标高于招标要求且具有较高临床使用价值的，每项得1分；最高得3分。提供证明材料。</w:t>
            </w:r>
          </w:p>
        </w:tc>
        <w:tc>
          <w:tcPr>
            <w:tcW w:w="1049" w:type="dxa"/>
            <w:vAlign w:val="center"/>
          </w:tcPr>
          <w:p w14:paraId="043953CE">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r>
      <w:tr w14:paraId="32552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3" w:hRule="atLeast"/>
          <w:jc w:val="center"/>
        </w:trPr>
        <w:tc>
          <w:tcPr>
            <w:tcW w:w="829" w:type="dxa"/>
            <w:vAlign w:val="center"/>
          </w:tcPr>
          <w:p w14:paraId="617FDB75">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7561" w:type="dxa"/>
            <w:vAlign w:val="center"/>
          </w:tcPr>
          <w:p w14:paraId="512704FB">
            <w:pPr>
              <w:ind w:left="105" w:leftChars="50" w:right="10" w:rightChars="5"/>
              <w:rPr>
                <w:rFonts w:ascii="宋体" w:hAnsi="宋体" w:cs="宋体"/>
                <w:color w:val="auto"/>
                <w:sz w:val="22"/>
                <w:szCs w:val="22"/>
                <w:highlight w:val="none"/>
              </w:rPr>
            </w:pPr>
            <w:r>
              <w:rPr>
                <w:rFonts w:hint="eastAsia" w:ascii="宋体" w:hAnsi="宋体" w:cs="宋体"/>
                <w:color w:val="auto"/>
                <w:sz w:val="22"/>
                <w:szCs w:val="22"/>
                <w:highlight w:val="none"/>
              </w:rPr>
              <w:t>投标机型的临床应用：投标机型在临床上使用效果好、成熟度高的，得3分；使用效果、成熟度一般的，得2分；使用效果不佳或成熟度不高的，得1分。提供证明材料。</w:t>
            </w:r>
          </w:p>
        </w:tc>
        <w:tc>
          <w:tcPr>
            <w:tcW w:w="1049" w:type="dxa"/>
            <w:vAlign w:val="center"/>
          </w:tcPr>
          <w:p w14:paraId="10B02840">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r>
      <w:tr w14:paraId="60468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0" w:hRule="atLeast"/>
          <w:jc w:val="center"/>
        </w:trPr>
        <w:tc>
          <w:tcPr>
            <w:tcW w:w="829" w:type="dxa"/>
            <w:vAlign w:val="center"/>
          </w:tcPr>
          <w:p w14:paraId="16E4ED2A">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7561" w:type="dxa"/>
            <w:vAlign w:val="center"/>
          </w:tcPr>
          <w:p w14:paraId="7DFF1287">
            <w:pPr>
              <w:ind w:left="105" w:leftChars="50" w:right="10" w:rightChars="5"/>
              <w:rPr>
                <w:rFonts w:ascii="宋体" w:hAnsi="宋体" w:cs="宋体"/>
                <w:color w:val="auto"/>
                <w:sz w:val="22"/>
                <w:szCs w:val="22"/>
                <w:highlight w:val="none"/>
              </w:rPr>
            </w:pPr>
            <w:r>
              <w:rPr>
                <w:rFonts w:hint="eastAsia" w:ascii="宋体" w:hAnsi="宋体" w:cs="宋体"/>
                <w:color w:val="auto"/>
                <w:sz w:val="22"/>
                <w:szCs w:val="22"/>
                <w:highlight w:val="none"/>
              </w:rPr>
              <w:t>运行成本：包括保修价格、售后服务方案、年运行费用和消耗品或易耗品价格等综合运行成本进行评价</w:t>
            </w:r>
          </w:p>
        </w:tc>
        <w:tc>
          <w:tcPr>
            <w:tcW w:w="1049" w:type="dxa"/>
            <w:vAlign w:val="center"/>
          </w:tcPr>
          <w:p w14:paraId="62D8B7D0">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r>
      <w:tr w14:paraId="39092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0" w:hRule="atLeast"/>
          <w:jc w:val="center"/>
        </w:trPr>
        <w:tc>
          <w:tcPr>
            <w:tcW w:w="829" w:type="dxa"/>
            <w:vAlign w:val="center"/>
          </w:tcPr>
          <w:p w14:paraId="64323A55">
            <w:pPr>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7561" w:type="dxa"/>
            <w:vAlign w:val="center"/>
          </w:tcPr>
          <w:p w14:paraId="3342B074">
            <w:pPr>
              <w:ind w:left="105" w:leftChars="50" w:right="164" w:rightChars="78"/>
              <w:rPr>
                <w:rFonts w:ascii="宋体" w:hAnsi="宋体" w:cs="宋体"/>
                <w:color w:val="auto"/>
                <w:sz w:val="22"/>
                <w:szCs w:val="22"/>
                <w:highlight w:val="none"/>
              </w:rPr>
            </w:pPr>
            <w:r>
              <w:rPr>
                <w:rFonts w:hint="eastAsia" w:ascii="宋体" w:hAnsi="宋体" w:cs="宋体"/>
                <w:color w:val="auto"/>
                <w:sz w:val="22"/>
                <w:szCs w:val="22"/>
                <w:highlight w:val="none"/>
              </w:rPr>
              <w:t>保修服务：设备保修期超过招标文件要求的，每增加1年加1分，增加部分不足1年的不计分。</w:t>
            </w:r>
          </w:p>
        </w:tc>
        <w:tc>
          <w:tcPr>
            <w:tcW w:w="1049" w:type="dxa"/>
            <w:vAlign w:val="center"/>
          </w:tcPr>
          <w:p w14:paraId="6634B2D4">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r>
      <w:tr w14:paraId="62A56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0" w:hRule="atLeast"/>
          <w:jc w:val="center"/>
        </w:trPr>
        <w:tc>
          <w:tcPr>
            <w:tcW w:w="829" w:type="dxa"/>
            <w:vMerge w:val="restart"/>
            <w:vAlign w:val="center"/>
          </w:tcPr>
          <w:p w14:paraId="608DC85E">
            <w:pPr>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7561" w:type="dxa"/>
            <w:vAlign w:val="center"/>
          </w:tcPr>
          <w:p w14:paraId="206C75BC">
            <w:pPr>
              <w:ind w:left="105" w:leftChars="50" w:right="10" w:rightChars="5"/>
              <w:rPr>
                <w:rFonts w:ascii="宋体" w:hAnsi="宋体" w:cs="宋体"/>
                <w:bCs/>
                <w:color w:val="auto"/>
                <w:sz w:val="22"/>
                <w:szCs w:val="22"/>
                <w:highlight w:val="none"/>
              </w:rPr>
            </w:pPr>
            <w:r>
              <w:rPr>
                <w:rFonts w:hint="eastAsia" w:ascii="宋体" w:hAnsi="宋体" w:cs="宋体"/>
                <w:color w:val="auto"/>
                <w:sz w:val="22"/>
                <w:szCs w:val="22"/>
                <w:highlight w:val="none"/>
              </w:rPr>
              <w:t>投标产品稳定性、故障率：投标产品在稳定性、故障率等总体质量性能综合评价，提供证明材料。投标产品稳定性好、故障率低的，得1分；投标产品稳定性较高、故障率较低的，得0.5分；投标产品稳定性不好、故障率较高的，得0分。</w:t>
            </w:r>
          </w:p>
        </w:tc>
        <w:tc>
          <w:tcPr>
            <w:tcW w:w="1049" w:type="dxa"/>
            <w:vAlign w:val="center"/>
          </w:tcPr>
          <w:p w14:paraId="19BE4C2D">
            <w:pPr>
              <w:jc w:val="center"/>
              <w:rPr>
                <w:rFonts w:ascii="宋体" w:hAnsi="宋体" w:cs="宋体"/>
                <w:bCs/>
                <w:color w:val="auto"/>
                <w:sz w:val="22"/>
                <w:szCs w:val="22"/>
                <w:highlight w:val="none"/>
              </w:rPr>
            </w:pPr>
            <w:r>
              <w:rPr>
                <w:rFonts w:hint="eastAsia" w:ascii="宋体" w:hAnsi="宋体" w:cs="宋体"/>
                <w:color w:val="auto"/>
                <w:sz w:val="22"/>
                <w:szCs w:val="22"/>
                <w:highlight w:val="none"/>
              </w:rPr>
              <w:t>1</w:t>
            </w:r>
          </w:p>
        </w:tc>
      </w:tr>
      <w:tr w14:paraId="2D7E7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3" w:hRule="atLeast"/>
          <w:jc w:val="center"/>
        </w:trPr>
        <w:tc>
          <w:tcPr>
            <w:tcW w:w="829" w:type="dxa"/>
            <w:vMerge w:val="continue"/>
            <w:vAlign w:val="center"/>
          </w:tcPr>
          <w:p w14:paraId="175C1B4C">
            <w:pPr>
              <w:jc w:val="center"/>
              <w:rPr>
                <w:rFonts w:ascii="宋体" w:hAnsi="宋体" w:cs="宋体"/>
                <w:color w:val="auto"/>
                <w:sz w:val="22"/>
                <w:szCs w:val="22"/>
                <w:highlight w:val="none"/>
              </w:rPr>
            </w:pPr>
          </w:p>
        </w:tc>
        <w:tc>
          <w:tcPr>
            <w:tcW w:w="7561" w:type="dxa"/>
            <w:vAlign w:val="center"/>
          </w:tcPr>
          <w:p w14:paraId="3576CB97">
            <w:pPr>
              <w:ind w:left="105" w:leftChars="50" w:right="10" w:rightChars="5"/>
              <w:rPr>
                <w:rFonts w:ascii="宋体" w:hAnsi="宋体" w:cs="宋体"/>
                <w:color w:val="auto"/>
                <w:sz w:val="22"/>
                <w:szCs w:val="22"/>
                <w:highlight w:val="none"/>
              </w:rPr>
            </w:pPr>
            <w:r>
              <w:rPr>
                <w:rFonts w:hint="eastAsia" w:ascii="宋体" w:hAnsi="宋体" w:cs="宋体"/>
                <w:color w:val="auto"/>
                <w:sz w:val="22"/>
                <w:szCs w:val="22"/>
                <w:highlight w:val="none"/>
              </w:rPr>
              <w:t>使用年限：以7年为基础，使用年限每增加1年加0.4分，最多加2分。</w:t>
            </w:r>
          </w:p>
          <w:p w14:paraId="1FD72B4C">
            <w:pPr>
              <w:ind w:left="105" w:leftChars="50" w:right="10" w:rightChars="5"/>
              <w:rPr>
                <w:rFonts w:ascii="宋体" w:hAnsi="宋体" w:cs="宋体"/>
                <w:color w:val="auto"/>
                <w:sz w:val="22"/>
                <w:szCs w:val="22"/>
                <w:highlight w:val="none"/>
              </w:rPr>
            </w:pPr>
            <w:r>
              <w:rPr>
                <w:rFonts w:hint="eastAsia" w:ascii="宋体" w:hAnsi="宋体" w:cs="宋体"/>
                <w:color w:val="auto"/>
                <w:sz w:val="22"/>
                <w:szCs w:val="22"/>
                <w:highlight w:val="none"/>
              </w:rPr>
              <w:t>需提供铭牌及说明书为证明材料，不提供不得分。</w:t>
            </w:r>
          </w:p>
        </w:tc>
        <w:tc>
          <w:tcPr>
            <w:tcW w:w="1049" w:type="dxa"/>
            <w:vAlign w:val="center"/>
          </w:tcPr>
          <w:p w14:paraId="4EB1C610">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r>
      <w:tr w14:paraId="1E0B3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3" w:hRule="atLeast"/>
          <w:jc w:val="center"/>
        </w:trPr>
        <w:tc>
          <w:tcPr>
            <w:tcW w:w="829" w:type="dxa"/>
            <w:vAlign w:val="center"/>
          </w:tcPr>
          <w:p w14:paraId="133F9608">
            <w:pPr>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7561" w:type="dxa"/>
            <w:vAlign w:val="center"/>
          </w:tcPr>
          <w:p w14:paraId="42844416">
            <w:pPr>
              <w:ind w:left="105" w:leftChars="50" w:right="164" w:rightChars="78"/>
              <w:rPr>
                <w:rFonts w:ascii="宋体" w:hAnsi="宋体" w:cs="宋体"/>
                <w:color w:val="auto"/>
                <w:sz w:val="22"/>
                <w:szCs w:val="22"/>
                <w:highlight w:val="none"/>
              </w:rPr>
            </w:pPr>
            <w:r>
              <w:rPr>
                <w:rFonts w:hint="eastAsia" w:ascii="宋体" w:hAnsi="宋体" w:cs="宋体"/>
                <w:color w:val="auto"/>
                <w:sz w:val="22"/>
                <w:szCs w:val="22"/>
                <w:highlight w:val="none"/>
              </w:rPr>
              <w:t>投标产品业绩：提供2020年1月1日起至今与最终用户签订的投标机型合同（必须含有主机）复印件，每份有效合同得1分，最多3分。</w:t>
            </w:r>
          </w:p>
          <w:p w14:paraId="78B94F00">
            <w:pPr>
              <w:ind w:left="105" w:leftChars="50" w:right="164" w:rightChars="78"/>
              <w:rPr>
                <w:rFonts w:ascii="宋体" w:hAnsi="宋体" w:cs="宋体"/>
                <w:color w:val="auto"/>
                <w:sz w:val="22"/>
                <w:szCs w:val="22"/>
                <w:highlight w:val="none"/>
              </w:rPr>
            </w:pPr>
            <w:r>
              <w:rPr>
                <w:rFonts w:hint="eastAsia" w:ascii="宋体" w:hAnsi="宋体" w:cs="宋体"/>
                <w:color w:val="auto"/>
                <w:sz w:val="22"/>
                <w:szCs w:val="22"/>
                <w:highlight w:val="none"/>
              </w:rPr>
              <w:t>对省级以上主管部门认定的首台套产品，自纳入《省推广应用指导目录》起三年内参加政府采购活动，视同已具备相应销售业绩，业绩分为满分。</w:t>
            </w:r>
          </w:p>
        </w:tc>
        <w:tc>
          <w:tcPr>
            <w:tcW w:w="1049" w:type="dxa"/>
            <w:vAlign w:val="center"/>
          </w:tcPr>
          <w:p w14:paraId="7BC80105">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r>
      <w:tr w14:paraId="637CF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29" w:hRule="atLeast"/>
          <w:jc w:val="center"/>
        </w:trPr>
        <w:tc>
          <w:tcPr>
            <w:tcW w:w="829" w:type="dxa"/>
            <w:vAlign w:val="center"/>
          </w:tcPr>
          <w:p w14:paraId="0DD053DF">
            <w:pPr>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7561" w:type="dxa"/>
            <w:vAlign w:val="center"/>
          </w:tcPr>
          <w:p w14:paraId="0BCDAF1B">
            <w:pPr>
              <w:ind w:left="105" w:leftChars="50" w:right="10" w:rightChars="5"/>
              <w:rPr>
                <w:rFonts w:ascii="宋体" w:hAnsi="宋体" w:cs="宋体"/>
                <w:color w:val="auto"/>
                <w:sz w:val="22"/>
                <w:szCs w:val="22"/>
                <w:highlight w:val="none"/>
              </w:rPr>
            </w:pPr>
            <w:r>
              <w:rPr>
                <w:rFonts w:hint="eastAsia" w:ascii="宋体" w:hAnsi="宋体" w:cs="宋体"/>
                <w:color w:val="auto"/>
                <w:sz w:val="22"/>
                <w:szCs w:val="22"/>
                <w:highlight w:val="none"/>
              </w:rPr>
              <w:t>制造商或代理商售后服务和维修能力：</w:t>
            </w:r>
          </w:p>
          <w:p w14:paraId="11C8D837">
            <w:pPr>
              <w:ind w:left="105" w:leftChars="50" w:right="10" w:rightChars="5"/>
              <w:rPr>
                <w:rFonts w:ascii="宋体" w:hAnsi="宋体" w:cs="宋体"/>
                <w:color w:val="auto"/>
                <w:sz w:val="22"/>
                <w:szCs w:val="22"/>
                <w:highlight w:val="none"/>
              </w:rPr>
            </w:pPr>
            <w:r>
              <w:rPr>
                <w:rFonts w:hint="eastAsia" w:ascii="宋体" w:hAnsi="宋体" w:cs="宋体"/>
                <w:color w:val="auto"/>
                <w:sz w:val="22"/>
                <w:szCs w:val="22"/>
                <w:highlight w:val="none"/>
              </w:rPr>
              <w:t>制造商或代理商的售后服务和维修能力，服务响应速度、到达时间、备品备件配置等综合评价，最高得2分。</w:t>
            </w:r>
          </w:p>
          <w:p w14:paraId="40B2745C">
            <w:pPr>
              <w:ind w:left="105" w:leftChars="50" w:right="10" w:rightChars="5"/>
              <w:rPr>
                <w:rFonts w:ascii="宋体" w:hAnsi="宋体" w:cs="宋体"/>
                <w:color w:val="auto"/>
                <w:sz w:val="22"/>
                <w:szCs w:val="22"/>
                <w:highlight w:val="none"/>
              </w:rPr>
            </w:pPr>
            <w:r>
              <w:rPr>
                <w:rFonts w:hint="eastAsia" w:ascii="宋体" w:hAnsi="宋体" w:cs="宋体"/>
                <w:color w:val="auto"/>
                <w:sz w:val="22"/>
                <w:szCs w:val="22"/>
                <w:highlight w:val="none"/>
              </w:rPr>
              <w:t>代理商配备有医疗器械相关专业工程师的得1分（提供职称证书或毕业证书，同时提供社保证明）</w:t>
            </w:r>
          </w:p>
        </w:tc>
        <w:tc>
          <w:tcPr>
            <w:tcW w:w="1049" w:type="dxa"/>
            <w:vAlign w:val="center"/>
          </w:tcPr>
          <w:p w14:paraId="4B503253">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r>
      <w:tr w14:paraId="1459B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07" w:hRule="atLeast"/>
          <w:jc w:val="center"/>
        </w:trPr>
        <w:tc>
          <w:tcPr>
            <w:tcW w:w="829" w:type="dxa"/>
            <w:vAlign w:val="center"/>
          </w:tcPr>
          <w:p w14:paraId="130FBFFE">
            <w:pPr>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7561" w:type="dxa"/>
            <w:vAlign w:val="center"/>
          </w:tcPr>
          <w:p w14:paraId="4DF5613A">
            <w:pPr>
              <w:ind w:left="105" w:leftChars="50" w:right="164" w:rightChars="78"/>
              <w:rPr>
                <w:rFonts w:ascii="宋体" w:hAnsi="宋体" w:cs="宋体"/>
                <w:color w:val="auto"/>
                <w:sz w:val="22"/>
                <w:szCs w:val="22"/>
                <w:highlight w:val="none"/>
              </w:rPr>
            </w:pPr>
            <w:r>
              <w:rPr>
                <w:rFonts w:hint="eastAsia" w:ascii="宋体" w:hAnsi="宋体" w:cs="宋体"/>
                <w:color w:val="auto"/>
                <w:sz w:val="22"/>
                <w:szCs w:val="22"/>
                <w:highlight w:val="none"/>
              </w:rPr>
              <w:t>环境标志产品、节能产品评审：1）投标产品具有国家市场监督管理总局公布的《参与实施政府采购节能产品认证机构名录》内的认证机构出具的、处于有效期之内的节能标志产品认证证书的，得0.5分。</w:t>
            </w:r>
          </w:p>
          <w:p w14:paraId="1191614F">
            <w:pPr>
              <w:ind w:left="105" w:leftChars="50" w:right="164" w:rightChars="78"/>
              <w:rPr>
                <w:rFonts w:ascii="宋体" w:hAnsi="宋体" w:cs="宋体"/>
                <w:color w:val="auto"/>
                <w:sz w:val="22"/>
                <w:szCs w:val="22"/>
                <w:highlight w:val="none"/>
              </w:rPr>
            </w:pPr>
            <w:r>
              <w:rPr>
                <w:rFonts w:hint="eastAsia" w:ascii="宋体" w:hAnsi="宋体" w:cs="宋体"/>
                <w:color w:val="auto"/>
                <w:sz w:val="22"/>
                <w:szCs w:val="22"/>
                <w:highlight w:val="none"/>
              </w:rPr>
              <w:t>2）投标产品具有国家市场监督管理总局公布的《参与实施政府采购环境标志产品认证机构名录》内的认证机构出具的、处于有效期之内的环境标志产品认证证书，得0.5分。</w:t>
            </w:r>
          </w:p>
        </w:tc>
        <w:tc>
          <w:tcPr>
            <w:tcW w:w="1049" w:type="dxa"/>
            <w:vAlign w:val="center"/>
          </w:tcPr>
          <w:p w14:paraId="1FBED7DE">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r>
    </w:tbl>
    <w:p w14:paraId="45074218">
      <w:pPr>
        <w:spacing w:line="46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注</w:t>
      </w:r>
    </w:p>
    <w:p w14:paraId="5FED876D">
      <w:pPr>
        <w:numPr>
          <w:ilvl w:val="0"/>
          <w:numId w:val="7"/>
        </w:numPr>
        <w:spacing w:line="460" w:lineRule="exact"/>
        <w:ind w:firstLine="331" w:firstLineChars="150"/>
        <w:rPr>
          <w:rFonts w:ascii="宋体" w:hAnsi="宋体" w:cs="宋体"/>
          <w:b/>
          <w:bCs/>
          <w:color w:val="auto"/>
          <w:kern w:val="0"/>
          <w:sz w:val="22"/>
          <w:szCs w:val="22"/>
          <w:highlight w:val="none"/>
        </w:rPr>
      </w:pPr>
      <w:r>
        <w:rPr>
          <w:rFonts w:hint="eastAsia" w:ascii="宋体" w:hAnsi="宋体" w:cs="宋体"/>
          <w:b/>
          <w:color w:val="auto"/>
          <w:kern w:val="0"/>
          <w:sz w:val="22"/>
          <w:szCs w:val="22"/>
          <w:highlight w:val="none"/>
        </w:rPr>
        <w:t>业绩评分项：</w:t>
      </w:r>
      <w:r>
        <w:rPr>
          <w:rFonts w:hint="eastAsia" w:ascii="宋体" w:hAnsi="宋体" w:cs="宋体"/>
          <w:b/>
          <w:bCs/>
          <w:color w:val="auto"/>
          <w:kern w:val="0"/>
          <w:sz w:val="22"/>
          <w:szCs w:val="22"/>
          <w:highlight w:val="none"/>
        </w:rPr>
        <w:t>对省级以上主管部门认定的首台套产品，自纳入《省推广应用指导目录》起三年内参加政府采购活动，视同已具备相应销售业绩，业绩分为满分。</w:t>
      </w:r>
    </w:p>
    <w:p w14:paraId="35A036F7">
      <w:pPr>
        <w:pStyle w:val="84"/>
        <w:numPr>
          <w:ilvl w:val="0"/>
          <w:numId w:val="7"/>
        </w:numPr>
        <w:ind w:firstLineChars="0"/>
        <w:rPr>
          <w:rFonts w:ascii="宋体" w:hAnsi="宋体" w:cs="宋体"/>
          <w:b/>
          <w:color w:val="auto"/>
          <w:highlight w:val="none"/>
        </w:rPr>
      </w:pPr>
      <w:r>
        <w:rPr>
          <w:rFonts w:hint="eastAsia" w:ascii="宋体" w:hAnsi="宋体" w:cs="宋体"/>
          <w:b/>
          <w:color w:val="auto"/>
          <w:sz w:val="22"/>
          <w:szCs w:val="22"/>
          <w:highlight w:val="none"/>
          <w:lang w:bidi="ar"/>
        </w:rPr>
        <w:t>节能环保评分项：</w:t>
      </w:r>
      <w:r>
        <w:rPr>
          <w:rFonts w:hint="eastAsia" w:ascii="宋体" w:hAnsi="宋体" w:cs="宋体"/>
          <w:b/>
          <w:color w:val="auto"/>
          <w:kern w:val="0"/>
          <w:sz w:val="22"/>
          <w:szCs w:val="22"/>
          <w:highlight w:val="none"/>
          <w:lang w:bidi="ar"/>
        </w:rPr>
        <w:t>《节能（环境标志）产品政府采购品目清单</w:t>
      </w:r>
      <w:r>
        <w:rPr>
          <w:rFonts w:hint="eastAsia" w:ascii="宋体" w:hAnsi="宋体" w:cs="宋体"/>
          <w:color w:val="auto"/>
          <w:kern w:val="0"/>
          <w:sz w:val="22"/>
          <w:szCs w:val="22"/>
          <w:highlight w:val="none"/>
          <w:lang w:bidi="ar"/>
        </w:rPr>
        <w:t>》</w:t>
      </w:r>
      <w:r>
        <w:rPr>
          <w:rFonts w:hint="eastAsia" w:ascii="宋体" w:hAnsi="宋体" w:cs="宋体"/>
          <w:b/>
          <w:color w:val="auto"/>
          <w:kern w:val="0"/>
          <w:sz w:val="22"/>
          <w:szCs w:val="22"/>
          <w:highlight w:val="none"/>
          <w:lang w:bidi="ar"/>
        </w:rPr>
        <w:t>见</w:t>
      </w:r>
      <w:r>
        <w:rPr>
          <w:color w:val="auto"/>
          <w:highlight w:val="none"/>
        </w:rPr>
        <w:fldChar w:fldCharType="begin"/>
      </w:r>
      <w:r>
        <w:rPr>
          <w:color w:val="auto"/>
          <w:highlight w:val="none"/>
        </w:rPr>
        <w:instrText xml:space="preserve"> HYPERLINK "http://www.ccgp.gov.cn/jnhb/jnhbqd/" </w:instrText>
      </w:r>
      <w:r>
        <w:rPr>
          <w:color w:val="auto"/>
          <w:highlight w:val="none"/>
        </w:rPr>
        <w:fldChar w:fldCharType="separate"/>
      </w:r>
      <w:r>
        <w:rPr>
          <w:rStyle w:val="50"/>
          <w:rFonts w:hint="eastAsia" w:ascii="宋体" w:hAnsi="宋体" w:cs="宋体"/>
          <w:b/>
          <w:color w:val="auto"/>
          <w:highlight w:val="none"/>
        </w:rPr>
        <w:t>http://www.ccgp.gov.cn/jnhb/jnhbqd/</w:t>
      </w:r>
      <w:r>
        <w:rPr>
          <w:rStyle w:val="50"/>
          <w:rFonts w:hint="eastAsia" w:ascii="宋体" w:hAnsi="宋体" w:cs="宋体"/>
          <w:b/>
          <w:color w:val="auto"/>
          <w:highlight w:val="none"/>
        </w:rPr>
        <w:fldChar w:fldCharType="end"/>
      </w:r>
      <w:r>
        <w:rPr>
          <w:rFonts w:hint="eastAsia" w:ascii="宋体" w:hAnsi="宋体" w:cs="宋体"/>
          <w:b/>
          <w:color w:val="auto"/>
          <w:highlight w:val="none"/>
        </w:rPr>
        <w:t>。</w:t>
      </w:r>
    </w:p>
    <w:p w14:paraId="541CF19D">
      <w:pPr>
        <w:pStyle w:val="84"/>
        <w:numPr>
          <w:ilvl w:val="0"/>
          <w:numId w:val="7"/>
        </w:numPr>
        <w:ind w:firstLineChars="0"/>
        <w:rPr>
          <w:rFonts w:ascii="宋体" w:hAnsi="宋体" w:cs="宋体"/>
          <w:b/>
          <w:color w:val="auto"/>
          <w:sz w:val="22"/>
          <w:highlight w:val="none"/>
        </w:rPr>
      </w:pPr>
      <w:r>
        <w:rPr>
          <w:rFonts w:hint="eastAsia" w:ascii="宋体" w:hAnsi="宋体" w:cs="宋体"/>
          <w:b/>
          <w:color w:val="auto"/>
          <w:sz w:val="22"/>
          <w:highlight w:val="none"/>
        </w:rPr>
        <w:t>每个供应商最终得分=技术资信部分分值（所有评标委员会成员打分的算术平均值）＋商务报价部分分值。</w:t>
      </w:r>
    </w:p>
    <w:p w14:paraId="546F91E1">
      <w:pPr>
        <w:widowControl/>
        <w:autoSpaceDE w:val="0"/>
        <w:autoSpaceDN w:val="0"/>
        <w:adjustRightInd w:val="0"/>
        <w:spacing w:line="460" w:lineRule="atLeast"/>
        <w:ind w:firstLine="420" w:firstLineChars="200"/>
        <w:textAlignment w:val="bottom"/>
        <w:rPr>
          <w:rFonts w:ascii="宋体" w:hAnsi="宋体" w:cs="宋体"/>
          <w:color w:val="auto"/>
          <w:sz w:val="22"/>
          <w:highlight w:val="none"/>
        </w:rPr>
      </w:pPr>
      <w:r>
        <w:rPr>
          <w:rFonts w:hint="eastAsia" w:ascii="宋体" w:hAnsi="宋体" w:cs="宋体"/>
          <w:color w:val="auto"/>
          <w:szCs w:val="21"/>
          <w:highlight w:val="none"/>
        </w:rPr>
        <w:t>三</w:t>
      </w:r>
      <w:r>
        <w:rPr>
          <w:rFonts w:hint="eastAsia" w:ascii="宋体" w:hAnsi="宋体" w:cs="宋体"/>
          <w:color w:val="auto"/>
          <w:sz w:val="22"/>
          <w:highlight w:val="none"/>
        </w:rPr>
        <w:t>、注意事项</w:t>
      </w:r>
    </w:p>
    <w:p w14:paraId="4591DAE0">
      <w:pPr>
        <w:widowControl/>
        <w:autoSpaceDE w:val="0"/>
        <w:autoSpaceDN w:val="0"/>
        <w:adjustRightInd w:val="0"/>
        <w:spacing w:line="46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为确保评标工作的顺利进行，防止因泄密或其他意外而造成不良后果及影响，凡参加评标工作的人员都必须认真执行下面规定：</w:t>
      </w:r>
    </w:p>
    <w:p w14:paraId="3B2B9656">
      <w:pPr>
        <w:widowControl/>
        <w:autoSpaceDE w:val="0"/>
        <w:autoSpaceDN w:val="0"/>
        <w:adjustRightInd w:val="0"/>
        <w:spacing w:line="46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1． 在评标工作期间，所有分发的投标文件、资料等仅限于在评标场所中使用，不得带往其他地方。</w:t>
      </w:r>
    </w:p>
    <w:p w14:paraId="7D4F9C1E">
      <w:pPr>
        <w:widowControl/>
        <w:autoSpaceDE w:val="0"/>
        <w:autoSpaceDN w:val="0"/>
        <w:adjustRightInd w:val="0"/>
        <w:spacing w:line="46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2． 评标人员及工作人员不得在公共场合谈论有关评标内容。</w:t>
      </w:r>
    </w:p>
    <w:p w14:paraId="6777B6FD">
      <w:pPr>
        <w:widowControl/>
        <w:autoSpaceDE w:val="0"/>
        <w:autoSpaceDN w:val="0"/>
        <w:adjustRightInd w:val="0"/>
        <w:spacing w:line="46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3． 评标人员及工作人员不得以书信、电讯、口述等方式将有关评标内容（如资料、投标文件、报价、评标方式、评标委员会的决定、评标人员名单等）披露给未参加评标的任何无关人员，包括上级领导、同级和下级人员，任何与评标无关的人员（包括亲朋好友和同事）不得进入评标场所。</w:t>
      </w:r>
    </w:p>
    <w:p w14:paraId="7BCD1628">
      <w:pPr>
        <w:widowControl/>
        <w:autoSpaceDE w:val="0"/>
        <w:autoSpaceDN w:val="0"/>
        <w:adjustRightInd w:val="0"/>
        <w:spacing w:line="46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4． 任何需要向投标供应商进行询标的问题必须经评标委员会成员签字并由主询标人提出。在询标期间，对于涉及本规定保密范畴的所有内容，主询标人不得向投标供应商透露。</w:t>
      </w:r>
    </w:p>
    <w:p w14:paraId="736E278F">
      <w:pPr>
        <w:widowControl/>
        <w:autoSpaceDE w:val="0"/>
        <w:autoSpaceDN w:val="0"/>
        <w:adjustRightInd w:val="0"/>
        <w:spacing w:line="460" w:lineRule="atLeast"/>
        <w:ind w:firstLine="440" w:firstLineChars="200"/>
        <w:textAlignment w:val="bottom"/>
        <w:rPr>
          <w:rFonts w:ascii="宋体" w:hAnsi="宋体" w:cs="宋体"/>
          <w:color w:val="auto"/>
          <w:szCs w:val="21"/>
          <w:highlight w:val="none"/>
        </w:rPr>
      </w:pPr>
      <w:r>
        <w:rPr>
          <w:rFonts w:hint="eastAsia" w:ascii="宋体" w:hAnsi="宋体" w:cs="宋体"/>
          <w:color w:val="auto"/>
          <w:sz w:val="22"/>
          <w:highlight w:val="none"/>
        </w:rPr>
        <w:t>5． 任何评标人员和工作人员不得对外公布评标的一切内容。</w:t>
      </w:r>
    </w:p>
    <w:sectPr>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861F">
    <w:pPr>
      <w:pStyle w:val="27"/>
      <w:jc w:val="right"/>
    </w:pPr>
    <w:r>
      <w:rPr>
        <w:rFonts w:hint="eastAsia"/>
      </w:rPr>
      <w:t>温州市中概工程管理咨询有限公司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B1205">
    <w:pPr>
      <w:pStyle w:val="27"/>
      <w:framePr w:wrap="around" w:vAnchor="text" w:hAnchor="margin" w:xAlign="center" w:y="1"/>
      <w:rPr>
        <w:rStyle w:val="47"/>
      </w:rPr>
    </w:pPr>
    <w:r>
      <w:fldChar w:fldCharType="begin"/>
    </w:r>
    <w:r>
      <w:rPr>
        <w:rStyle w:val="47"/>
      </w:rPr>
      <w:instrText xml:space="preserve">PAGE  </w:instrText>
    </w:r>
    <w:r>
      <w:fldChar w:fldCharType="end"/>
    </w:r>
  </w:p>
  <w:p w14:paraId="517410C8">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896582"/>
      <w:showingPlcHdr/>
    </w:sdtPr>
    <w:sdtContent>
      <w:p w14:paraId="15F3AE8C">
        <w:pPr>
          <w:pStyle w:val="27"/>
          <w:jc w:val="center"/>
        </w:pPr>
      </w:p>
    </w:sdtContent>
  </w:sdt>
  <w:p w14:paraId="6231F25E">
    <w:pPr>
      <w:pStyle w:val="27"/>
      <w:ind w:right="720"/>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F8642">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28</w:t>
    </w:r>
    <w:r>
      <w:fldChar w:fldCharType="end"/>
    </w:r>
  </w:p>
  <w:p w14:paraId="343308AC">
    <w:pPr>
      <w:pStyle w:val="27"/>
      <w:tabs>
        <w:tab w:val="left" w:pos="5820"/>
        <w:tab w:val="clear" w:pos="4153"/>
        <w:tab w:val="clear" w:pos="8306"/>
      </w:tabs>
      <w:ind w:right="990"/>
      <w:jc w:val="right"/>
    </w:pPr>
    <w:r>
      <w:rPr>
        <w:rFonts w:hint="eastAsia"/>
      </w:rPr>
      <w:t>温州市中概工程管理咨询有限公司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400974"/>
    </w:sdtPr>
    <w:sdtContent>
      <w:p w14:paraId="1D1E7CF4">
        <w:pPr>
          <w:pStyle w:val="27"/>
          <w:jc w:val="center"/>
        </w:pPr>
        <w:r>
          <w:fldChar w:fldCharType="begin"/>
        </w:r>
        <w:r>
          <w:instrText xml:space="preserve"> PAGE   \* MERGEFORMAT </w:instrText>
        </w:r>
        <w:r>
          <w:fldChar w:fldCharType="separate"/>
        </w:r>
        <w:r>
          <w:rPr>
            <w:lang w:val="zh-CN"/>
          </w:rPr>
          <w:t>50</w:t>
        </w:r>
        <w:r>
          <w:rPr>
            <w:lang w:val="zh-CN"/>
          </w:rPr>
          <w:fldChar w:fldCharType="end"/>
        </w:r>
      </w:p>
    </w:sdtContent>
  </w:sdt>
  <w:p w14:paraId="51339EF4">
    <w:pPr>
      <w:pStyle w:val="27"/>
      <w:ind w:right="720"/>
      <w:jc w:val="right"/>
      <w:rPr>
        <w:rFonts w:ascii="宋体"/>
      </w:rPr>
    </w:pPr>
    <w:r>
      <w:rPr>
        <w:rFonts w:ascii="宋体"/>
      </w:rPr>
      <w:t>温州市中概工程管理咨询有限公司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26D2">
    <w:pPr>
      <w:pStyle w:val="27"/>
      <w:framePr w:wrap="around" w:vAnchor="text" w:hAnchor="page" w:x="5719" w:y="18"/>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36</w:t>
    </w:r>
    <w:r>
      <w:rPr>
        <w:rFonts w:ascii="宋体"/>
      </w:rPr>
      <w:fldChar w:fldCharType="end"/>
    </w:r>
  </w:p>
  <w:p w14:paraId="08B6F3EA">
    <w:pPr>
      <w:pStyle w:val="27"/>
      <w:ind w:right="720"/>
      <w:rPr>
        <w:rFonts w:ascii="宋体"/>
      </w:rPr>
    </w:pPr>
    <w:r>
      <w:rPr>
        <w:rFonts w:ascii="宋体"/>
      </w:rPr>
      <w:t>温州市中概工程管理咨询有限公司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F34D">
    <w:pPr>
      <w:pStyle w:val="27"/>
      <w:framePr w:wrap="around" w:vAnchor="text" w:hAnchor="page" w:x="5719" w:y="18"/>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52</w:t>
    </w:r>
    <w:r>
      <w:rPr>
        <w:rFonts w:ascii="宋体"/>
      </w:rPr>
      <w:fldChar w:fldCharType="end"/>
    </w:r>
  </w:p>
  <w:p w14:paraId="30F25B37">
    <w:pPr>
      <w:pStyle w:val="27"/>
      <w:ind w:right="720"/>
      <w:jc w:val="right"/>
      <w:rPr>
        <w:rFonts w:ascii="宋体"/>
      </w:rPr>
    </w:pPr>
    <w:r>
      <w:rPr>
        <w:rFonts w:ascii="宋体"/>
      </w:rPr>
      <w:t>温州市中概工程管理咨询有限公司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2450C">
    <w:pPr>
      <w:pStyle w:val="28"/>
      <w:jc w:val="both"/>
    </w:pPr>
    <w:r>
      <w:rPr>
        <w:rFonts w:hint="eastAsia"/>
      </w:rPr>
      <w:t>政府招标文件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D9C2">
    <w:pPr>
      <w:pStyle w:val="28"/>
      <w:jc w:val="both"/>
    </w:pPr>
    <w:r>
      <w:rPr>
        <w:rFonts w:hint="eastAsia"/>
      </w:rPr>
      <w:t>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72A49">
    <w:pPr>
      <w:pStyle w:val="28"/>
      <w:jc w:val="both"/>
      <w:rPr>
        <w:rFonts w:ascii="宋体"/>
        <w:b/>
      </w:rPr>
    </w:pPr>
    <w:r>
      <w:rPr>
        <w:rFonts w:hint="eastAsia" w:ascii="宋体"/>
      </w:rPr>
      <w:t>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E6B94">
    <w:pPr>
      <w:pStyle w:val="28"/>
      <w:jc w:val="both"/>
      <w:rPr>
        <w:rFonts w:ascii="宋体"/>
        <w:b/>
      </w:rPr>
    </w:pPr>
    <w:r>
      <w:rPr>
        <w:rFonts w:hint="eastAsia" w:ascii="宋体"/>
        <w:b/>
      </w:rPr>
      <w:t>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BD6CB">
    <w:pPr>
      <w:pStyle w:val="28"/>
      <w:jc w:val="both"/>
      <w:rPr>
        <w:rFonts w:ascii="宋体"/>
        <w:b/>
      </w:rPr>
    </w:pPr>
    <w:r>
      <w:rPr>
        <w:rFonts w:hint="eastAsia" w:ascii="宋体"/>
        <w:b/>
      </w:rPr>
      <w:t>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3">
    <w:nsid w:val="0D1875C4"/>
    <w:multiLevelType w:val="multilevel"/>
    <w:tmpl w:val="0D1875C4"/>
    <w:lvl w:ilvl="0" w:tentative="0">
      <w:start w:val="1"/>
      <w:numFmt w:val="decimalEnclosedCircleChinese"/>
      <w:lvlText w:val="%1　"/>
      <w:lvlJc w:val="left"/>
      <w:pPr>
        <w:ind w:left="420" w:hanging="420"/>
      </w:pPr>
    </w:lvl>
    <w:lvl w:ilvl="1" w:tentative="0">
      <w:start w:val="1"/>
      <w:numFmt w:val="decimal"/>
      <w:lvlText w:val="%2."/>
      <w:lvlJc w:val="left"/>
      <w:pPr>
        <w:tabs>
          <w:tab w:val="left" w:pos="1440"/>
        </w:tabs>
        <w:ind w:left="1440" w:hanging="360"/>
      </w:pPr>
    </w:lvl>
    <w:lvl w:ilvl="2" w:tentative="0">
      <w:start w:val="1"/>
      <w:numFmt w:val="decimalEnclosedCircleChinese"/>
      <w:lvlText w:val="%3　"/>
      <w:lvlJc w:val="left"/>
      <w:pPr>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B919D6"/>
    <w:multiLevelType w:val="multilevel"/>
    <w:tmpl w:val="27B919D6"/>
    <w:lvl w:ilvl="0" w:tentative="0">
      <w:start w:val="1"/>
      <w:numFmt w:val="decimal"/>
      <w:lvlText w:val="（%1）"/>
      <w:lvlJc w:val="left"/>
      <w:pPr>
        <w:ind w:left="860" w:hanging="4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5">
    <w:nsid w:val="6C07C839"/>
    <w:multiLevelType w:val="singleLevel"/>
    <w:tmpl w:val="6C07C839"/>
    <w:lvl w:ilvl="0" w:tentative="0">
      <w:start w:val="1"/>
      <w:numFmt w:val="decimal"/>
      <w:suff w:val="nothing"/>
      <w:lvlText w:val="（%1）"/>
      <w:lvlJc w:val="left"/>
    </w:lvl>
  </w:abstractNum>
  <w:abstractNum w:abstractNumId="6">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6"/>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jNkMTZlOWM2MTdjMjI3ZDQyMDcwMzJhMTRmODkifQ=="/>
  </w:docVars>
  <w:rsids>
    <w:rsidRoot w:val="00AF6227"/>
    <w:rsid w:val="0000005C"/>
    <w:rsid w:val="00002061"/>
    <w:rsid w:val="000020A8"/>
    <w:rsid w:val="000025D0"/>
    <w:rsid w:val="0000311A"/>
    <w:rsid w:val="0000333D"/>
    <w:rsid w:val="0000391E"/>
    <w:rsid w:val="00005613"/>
    <w:rsid w:val="00005A48"/>
    <w:rsid w:val="00006A42"/>
    <w:rsid w:val="00007907"/>
    <w:rsid w:val="00007A30"/>
    <w:rsid w:val="0001039F"/>
    <w:rsid w:val="00011410"/>
    <w:rsid w:val="0001323D"/>
    <w:rsid w:val="00013DE8"/>
    <w:rsid w:val="0001559D"/>
    <w:rsid w:val="000163FB"/>
    <w:rsid w:val="00017269"/>
    <w:rsid w:val="00017C20"/>
    <w:rsid w:val="00021D1D"/>
    <w:rsid w:val="00024C7A"/>
    <w:rsid w:val="00024FDE"/>
    <w:rsid w:val="00025079"/>
    <w:rsid w:val="00026E94"/>
    <w:rsid w:val="00027072"/>
    <w:rsid w:val="00027A5C"/>
    <w:rsid w:val="00030140"/>
    <w:rsid w:val="00030435"/>
    <w:rsid w:val="00030615"/>
    <w:rsid w:val="00030C19"/>
    <w:rsid w:val="00030C61"/>
    <w:rsid w:val="0003197C"/>
    <w:rsid w:val="000335A6"/>
    <w:rsid w:val="000352D7"/>
    <w:rsid w:val="000356EA"/>
    <w:rsid w:val="00037F27"/>
    <w:rsid w:val="000410B8"/>
    <w:rsid w:val="00041F1F"/>
    <w:rsid w:val="00042A65"/>
    <w:rsid w:val="00042F61"/>
    <w:rsid w:val="000430D7"/>
    <w:rsid w:val="0004325C"/>
    <w:rsid w:val="00043D81"/>
    <w:rsid w:val="00044563"/>
    <w:rsid w:val="00044A09"/>
    <w:rsid w:val="0004559B"/>
    <w:rsid w:val="00046E9A"/>
    <w:rsid w:val="00050219"/>
    <w:rsid w:val="00051F29"/>
    <w:rsid w:val="0005220E"/>
    <w:rsid w:val="00053BE2"/>
    <w:rsid w:val="00053D63"/>
    <w:rsid w:val="00054613"/>
    <w:rsid w:val="00054A1A"/>
    <w:rsid w:val="00054CDE"/>
    <w:rsid w:val="0005556E"/>
    <w:rsid w:val="000605C8"/>
    <w:rsid w:val="00060FB3"/>
    <w:rsid w:val="00061B13"/>
    <w:rsid w:val="00062A47"/>
    <w:rsid w:val="0006310B"/>
    <w:rsid w:val="000634EC"/>
    <w:rsid w:val="0006355C"/>
    <w:rsid w:val="00064919"/>
    <w:rsid w:val="00064B20"/>
    <w:rsid w:val="00064C44"/>
    <w:rsid w:val="00064C6E"/>
    <w:rsid w:val="00065845"/>
    <w:rsid w:val="000676E6"/>
    <w:rsid w:val="0006788E"/>
    <w:rsid w:val="0007127B"/>
    <w:rsid w:val="00072943"/>
    <w:rsid w:val="00073DCC"/>
    <w:rsid w:val="00074EF5"/>
    <w:rsid w:val="00075082"/>
    <w:rsid w:val="000776B7"/>
    <w:rsid w:val="00077E2F"/>
    <w:rsid w:val="00080672"/>
    <w:rsid w:val="00080BE8"/>
    <w:rsid w:val="00081438"/>
    <w:rsid w:val="0008180F"/>
    <w:rsid w:val="00082ACA"/>
    <w:rsid w:val="0008321E"/>
    <w:rsid w:val="000836EA"/>
    <w:rsid w:val="000842D2"/>
    <w:rsid w:val="000843FA"/>
    <w:rsid w:val="00084586"/>
    <w:rsid w:val="00084844"/>
    <w:rsid w:val="00085C2F"/>
    <w:rsid w:val="00085E61"/>
    <w:rsid w:val="00086538"/>
    <w:rsid w:val="00086C22"/>
    <w:rsid w:val="00086C2A"/>
    <w:rsid w:val="00086C38"/>
    <w:rsid w:val="00087389"/>
    <w:rsid w:val="00087781"/>
    <w:rsid w:val="00091BE1"/>
    <w:rsid w:val="00092AB7"/>
    <w:rsid w:val="00093339"/>
    <w:rsid w:val="000938BC"/>
    <w:rsid w:val="00093AE4"/>
    <w:rsid w:val="00093C07"/>
    <w:rsid w:val="000941F0"/>
    <w:rsid w:val="0009444B"/>
    <w:rsid w:val="000944AD"/>
    <w:rsid w:val="000945AF"/>
    <w:rsid w:val="00094AAF"/>
    <w:rsid w:val="000953C4"/>
    <w:rsid w:val="00095548"/>
    <w:rsid w:val="00095570"/>
    <w:rsid w:val="000956DF"/>
    <w:rsid w:val="0009590D"/>
    <w:rsid w:val="00095E6A"/>
    <w:rsid w:val="0009608E"/>
    <w:rsid w:val="00096711"/>
    <w:rsid w:val="00097189"/>
    <w:rsid w:val="000A0293"/>
    <w:rsid w:val="000A1491"/>
    <w:rsid w:val="000A1E95"/>
    <w:rsid w:val="000A23C6"/>
    <w:rsid w:val="000A24D9"/>
    <w:rsid w:val="000A26E7"/>
    <w:rsid w:val="000A318D"/>
    <w:rsid w:val="000A3745"/>
    <w:rsid w:val="000A4FB6"/>
    <w:rsid w:val="000A533B"/>
    <w:rsid w:val="000A596D"/>
    <w:rsid w:val="000A5A41"/>
    <w:rsid w:val="000A5EBC"/>
    <w:rsid w:val="000A7AB5"/>
    <w:rsid w:val="000B02A3"/>
    <w:rsid w:val="000B0393"/>
    <w:rsid w:val="000B0648"/>
    <w:rsid w:val="000B096D"/>
    <w:rsid w:val="000B1353"/>
    <w:rsid w:val="000B3313"/>
    <w:rsid w:val="000B44B5"/>
    <w:rsid w:val="000B5045"/>
    <w:rsid w:val="000B52ED"/>
    <w:rsid w:val="000B6938"/>
    <w:rsid w:val="000B7114"/>
    <w:rsid w:val="000B7352"/>
    <w:rsid w:val="000B7A57"/>
    <w:rsid w:val="000C0973"/>
    <w:rsid w:val="000C0AF8"/>
    <w:rsid w:val="000C0E8E"/>
    <w:rsid w:val="000C139D"/>
    <w:rsid w:val="000C1A09"/>
    <w:rsid w:val="000C2BB1"/>
    <w:rsid w:val="000C2ED9"/>
    <w:rsid w:val="000C3605"/>
    <w:rsid w:val="000C3931"/>
    <w:rsid w:val="000C3F83"/>
    <w:rsid w:val="000C5181"/>
    <w:rsid w:val="000C568A"/>
    <w:rsid w:val="000C59AC"/>
    <w:rsid w:val="000C5C41"/>
    <w:rsid w:val="000C783C"/>
    <w:rsid w:val="000C7DFA"/>
    <w:rsid w:val="000D0CE1"/>
    <w:rsid w:val="000D1234"/>
    <w:rsid w:val="000D12CD"/>
    <w:rsid w:val="000D139B"/>
    <w:rsid w:val="000D1D8D"/>
    <w:rsid w:val="000D1E63"/>
    <w:rsid w:val="000D26C8"/>
    <w:rsid w:val="000D3854"/>
    <w:rsid w:val="000D3866"/>
    <w:rsid w:val="000D4569"/>
    <w:rsid w:val="000D4B9A"/>
    <w:rsid w:val="000D5398"/>
    <w:rsid w:val="000D5EB4"/>
    <w:rsid w:val="000D6053"/>
    <w:rsid w:val="000D64E5"/>
    <w:rsid w:val="000E024B"/>
    <w:rsid w:val="000E09BF"/>
    <w:rsid w:val="000E118B"/>
    <w:rsid w:val="000E1253"/>
    <w:rsid w:val="000E1A2A"/>
    <w:rsid w:val="000E21CE"/>
    <w:rsid w:val="000E24CD"/>
    <w:rsid w:val="000E3977"/>
    <w:rsid w:val="000E3B25"/>
    <w:rsid w:val="000E4034"/>
    <w:rsid w:val="000E4481"/>
    <w:rsid w:val="000E4776"/>
    <w:rsid w:val="000E4C02"/>
    <w:rsid w:val="000E4EF2"/>
    <w:rsid w:val="000E50E0"/>
    <w:rsid w:val="000E63BA"/>
    <w:rsid w:val="000E6A7B"/>
    <w:rsid w:val="000E6E6A"/>
    <w:rsid w:val="000F088D"/>
    <w:rsid w:val="000F115A"/>
    <w:rsid w:val="000F188F"/>
    <w:rsid w:val="000F2120"/>
    <w:rsid w:val="000F2200"/>
    <w:rsid w:val="000F35E2"/>
    <w:rsid w:val="000F39AA"/>
    <w:rsid w:val="000F3C69"/>
    <w:rsid w:val="000F4740"/>
    <w:rsid w:val="000F61EC"/>
    <w:rsid w:val="0010035B"/>
    <w:rsid w:val="0010063E"/>
    <w:rsid w:val="001007F1"/>
    <w:rsid w:val="001014AF"/>
    <w:rsid w:val="0010229C"/>
    <w:rsid w:val="0010279A"/>
    <w:rsid w:val="00104584"/>
    <w:rsid w:val="00107410"/>
    <w:rsid w:val="001103F5"/>
    <w:rsid w:val="001108DE"/>
    <w:rsid w:val="00110F7D"/>
    <w:rsid w:val="00111825"/>
    <w:rsid w:val="001124B3"/>
    <w:rsid w:val="00112BF0"/>
    <w:rsid w:val="00112E48"/>
    <w:rsid w:val="0011301B"/>
    <w:rsid w:val="0011326C"/>
    <w:rsid w:val="00113862"/>
    <w:rsid w:val="00113DEA"/>
    <w:rsid w:val="0011494F"/>
    <w:rsid w:val="00114D55"/>
    <w:rsid w:val="00115FCC"/>
    <w:rsid w:val="00116893"/>
    <w:rsid w:val="001178CF"/>
    <w:rsid w:val="00123CC4"/>
    <w:rsid w:val="00123D6A"/>
    <w:rsid w:val="00125555"/>
    <w:rsid w:val="00125B54"/>
    <w:rsid w:val="00126530"/>
    <w:rsid w:val="00127130"/>
    <w:rsid w:val="00127AB3"/>
    <w:rsid w:val="00130065"/>
    <w:rsid w:val="00133381"/>
    <w:rsid w:val="0013430F"/>
    <w:rsid w:val="00135824"/>
    <w:rsid w:val="001361BD"/>
    <w:rsid w:val="00140B8B"/>
    <w:rsid w:val="0014129F"/>
    <w:rsid w:val="00141F27"/>
    <w:rsid w:val="00143C54"/>
    <w:rsid w:val="00144918"/>
    <w:rsid w:val="001455C9"/>
    <w:rsid w:val="00145A19"/>
    <w:rsid w:val="00146232"/>
    <w:rsid w:val="001463A9"/>
    <w:rsid w:val="00146555"/>
    <w:rsid w:val="00146D9B"/>
    <w:rsid w:val="00146EE0"/>
    <w:rsid w:val="001502BC"/>
    <w:rsid w:val="00151F6C"/>
    <w:rsid w:val="001542FA"/>
    <w:rsid w:val="0015469B"/>
    <w:rsid w:val="001546D2"/>
    <w:rsid w:val="001550AC"/>
    <w:rsid w:val="0015553F"/>
    <w:rsid w:val="00155860"/>
    <w:rsid w:val="00155BCA"/>
    <w:rsid w:val="00155E47"/>
    <w:rsid w:val="00155F48"/>
    <w:rsid w:val="00156EEE"/>
    <w:rsid w:val="001575D4"/>
    <w:rsid w:val="001579B6"/>
    <w:rsid w:val="00161E2A"/>
    <w:rsid w:val="0016216C"/>
    <w:rsid w:val="00163794"/>
    <w:rsid w:val="00163B70"/>
    <w:rsid w:val="00163D03"/>
    <w:rsid w:val="001655BA"/>
    <w:rsid w:val="00165673"/>
    <w:rsid w:val="001660B2"/>
    <w:rsid w:val="00166F8C"/>
    <w:rsid w:val="001673E0"/>
    <w:rsid w:val="00167C28"/>
    <w:rsid w:val="001705F9"/>
    <w:rsid w:val="00171516"/>
    <w:rsid w:val="001721E5"/>
    <w:rsid w:val="001727E7"/>
    <w:rsid w:val="00173674"/>
    <w:rsid w:val="00173B7B"/>
    <w:rsid w:val="001748DC"/>
    <w:rsid w:val="001758C8"/>
    <w:rsid w:val="00175D42"/>
    <w:rsid w:val="00175D54"/>
    <w:rsid w:val="00175DAB"/>
    <w:rsid w:val="00176208"/>
    <w:rsid w:val="00176D09"/>
    <w:rsid w:val="00176E72"/>
    <w:rsid w:val="00177960"/>
    <w:rsid w:val="00177B64"/>
    <w:rsid w:val="00180A3A"/>
    <w:rsid w:val="00183061"/>
    <w:rsid w:val="001832A3"/>
    <w:rsid w:val="00184681"/>
    <w:rsid w:val="001848B8"/>
    <w:rsid w:val="001851AB"/>
    <w:rsid w:val="0018525E"/>
    <w:rsid w:val="00185510"/>
    <w:rsid w:val="00185DDD"/>
    <w:rsid w:val="00185E0D"/>
    <w:rsid w:val="0018678B"/>
    <w:rsid w:val="00190D79"/>
    <w:rsid w:val="001910E8"/>
    <w:rsid w:val="0019112F"/>
    <w:rsid w:val="00191735"/>
    <w:rsid w:val="00191910"/>
    <w:rsid w:val="0019298D"/>
    <w:rsid w:val="00192EA7"/>
    <w:rsid w:val="001931EF"/>
    <w:rsid w:val="0019325A"/>
    <w:rsid w:val="0019385C"/>
    <w:rsid w:val="00193BBC"/>
    <w:rsid w:val="00194588"/>
    <w:rsid w:val="0019461A"/>
    <w:rsid w:val="00194D56"/>
    <w:rsid w:val="00194DEA"/>
    <w:rsid w:val="00196A61"/>
    <w:rsid w:val="001970B6"/>
    <w:rsid w:val="00197329"/>
    <w:rsid w:val="001974F3"/>
    <w:rsid w:val="001976DD"/>
    <w:rsid w:val="001A0831"/>
    <w:rsid w:val="001A101C"/>
    <w:rsid w:val="001A25E3"/>
    <w:rsid w:val="001A3847"/>
    <w:rsid w:val="001A3AD5"/>
    <w:rsid w:val="001A3B9E"/>
    <w:rsid w:val="001A3DEA"/>
    <w:rsid w:val="001A458D"/>
    <w:rsid w:val="001A4DC0"/>
    <w:rsid w:val="001A66A6"/>
    <w:rsid w:val="001A6700"/>
    <w:rsid w:val="001A6E87"/>
    <w:rsid w:val="001A77A5"/>
    <w:rsid w:val="001B0428"/>
    <w:rsid w:val="001B0C6B"/>
    <w:rsid w:val="001B13D3"/>
    <w:rsid w:val="001B1E03"/>
    <w:rsid w:val="001B2DC1"/>
    <w:rsid w:val="001B3A4C"/>
    <w:rsid w:val="001B3DF5"/>
    <w:rsid w:val="001B3F00"/>
    <w:rsid w:val="001B41FD"/>
    <w:rsid w:val="001B4216"/>
    <w:rsid w:val="001B4971"/>
    <w:rsid w:val="001B4AC5"/>
    <w:rsid w:val="001B515D"/>
    <w:rsid w:val="001B66E0"/>
    <w:rsid w:val="001B7574"/>
    <w:rsid w:val="001B75D2"/>
    <w:rsid w:val="001B7FBF"/>
    <w:rsid w:val="001C04C5"/>
    <w:rsid w:val="001C0E2E"/>
    <w:rsid w:val="001C0E81"/>
    <w:rsid w:val="001C13F5"/>
    <w:rsid w:val="001C1D62"/>
    <w:rsid w:val="001C29CC"/>
    <w:rsid w:val="001C2B4B"/>
    <w:rsid w:val="001C2CC4"/>
    <w:rsid w:val="001C3F18"/>
    <w:rsid w:val="001C4B16"/>
    <w:rsid w:val="001C58B5"/>
    <w:rsid w:val="001C6427"/>
    <w:rsid w:val="001C6925"/>
    <w:rsid w:val="001C7031"/>
    <w:rsid w:val="001C7C9F"/>
    <w:rsid w:val="001D0546"/>
    <w:rsid w:val="001D1380"/>
    <w:rsid w:val="001D2104"/>
    <w:rsid w:val="001D2233"/>
    <w:rsid w:val="001D2488"/>
    <w:rsid w:val="001D3075"/>
    <w:rsid w:val="001D3321"/>
    <w:rsid w:val="001D3ADD"/>
    <w:rsid w:val="001D3D60"/>
    <w:rsid w:val="001D4502"/>
    <w:rsid w:val="001D50BA"/>
    <w:rsid w:val="001D53C4"/>
    <w:rsid w:val="001D563E"/>
    <w:rsid w:val="001D7588"/>
    <w:rsid w:val="001D75F5"/>
    <w:rsid w:val="001D7EF1"/>
    <w:rsid w:val="001E0B75"/>
    <w:rsid w:val="001E0EEA"/>
    <w:rsid w:val="001E131D"/>
    <w:rsid w:val="001E1A7A"/>
    <w:rsid w:val="001E1ECF"/>
    <w:rsid w:val="001E2150"/>
    <w:rsid w:val="001E26AE"/>
    <w:rsid w:val="001E2C3D"/>
    <w:rsid w:val="001E35B8"/>
    <w:rsid w:val="001E6581"/>
    <w:rsid w:val="001F064C"/>
    <w:rsid w:val="001F1178"/>
    <w:rsid w:val="001F1448"/>
    <w:rsid w:val="001F1850"/>
    <w:rsid w:val="001F27BC"/>
    <w:rsid w:val="001F2D5C"/>
    <w:rsid w:val="001F3285"/>
    <w:rsid w:val="001F3595"/>
    <w:rsid w:val="001F38AA"/>
    <w:rsid w:val="001F3CFB"/>
    <w:rsid w:val="001F40CC"/>
    <w:rsid w:val="001F5246"/>
    <w:rsid w:val="001F52BF"/>
    <w:rsid w:val="001F5456"/>
    <w:rsid w:val="001F6574"/>
    <w:rsid w:val="001F6BE3"/>
    <w:rsid w:val="001F6C53"/>
    <w:rsid w:val="001F795D"/>
    <w:rsid w:val="00200A92"/>
    <w:rsid w:val="00202344"/>
    <w:rsid w:val="002039DA"/>
    <w:rsid w:val="00203D45"/>
    <w:rsid w:val="002044FE"/>
    <w:rsid w:val="002048BB"/>
    <w:rsid w:val="00204F27"/>
    <w:rsid w:val="00205404"/>
    <w:rsid w:val="0020556E"/>
    <w:rsid w:val="002118CB"/>
    <w:rsid w:val="00211B42"/>
    <w:rsid w:val="00213484"/>
    <w:rsid w:val="0021379B"/>
    <w:rsid w:val="00214C24"/>
    <w:rsid w:val="00215318"/>
    <w:rsid w:val="00215A0E"/>
    <w:rsid w:val="0021694E"/>
    <w:rsid w:val="00216EDF"/>
    <w:rsid w:val="0022107C"/>
    <w:rsid w:val="00222052"/>
    <w:rsid w:val="0022246D"/>
    <w:rsid w:val="0022377D"/>
    <w:rsid w:val="00224C16"/>
    <w:rsid w:val="00224E41"/>
    <w:rsid w:val="0022580B"/>
    <w:rsid w:val="00226D48"/>
    <w:rsid w:val="00226D76"/>
    <w:rsid w:val="0022799E"/>
    <w:rsid w:val="00227F94"/>
    <w:rsid w:val="002343C2"/>
    <w:rsid w:val="00234FB0"/>
    <w:rsid w:val="0023544B"/>
    <w:rsid w:val="002357FE"/>
    <w:rsid w:val="00235F5D"/>
    <w:rsid w:val="00236429"/>
    <w:rsid w:val="00236A21"/>
    <w:rsid w:val="00236DD9"/>
    <w:rsid w:val="00237FDB"/>
    <w:rsid w:val="00240521"/>
    <w:rsid w:val="00241202"/>
    <w:rsid w:val="002418CB"/>
    <w:rsid w:val="002419B0"/>
    <w:rsid w:val="00241C9A"/>
    <w:rsid w:val="00241EBD"/>
    <w:rsid w:val="00242B92"/>
    <w:rsid w:val="00244B1A"/>
    <w:rsid w:val="00245A31"/>
    <w:rsid w:val="002462DE"/>
    <w:rsid w:val="0025070E"/>
    <w:rsid w:val="0025102F"/>
    <w:rsid w:val="002510AD"/>
    <w:rsid w:val="00252F1B"/>
    <w:rsid w:val="00254AFB"/>
    <w:rsid w:val="00254DCA"/>
    <w:rsid w:val="0025508A"/>
    <w:rsid w:val="002552B5"/>
    <w:rsid w:val="00255F2D"/>
    <w:rsid w:val="002567F1"/>
    <w:rsid w:val="0025792B"/>
    <w:rsid w:val="00261544"/>
    <w:rsid w:val="0026190B"/>
    <w:rsid w:val="0026209E"/>
    <w:rsid w:val="00262587"/>
    <w:rsid w:val="00262BFB"/>
    <w:rsid w:val="00263FCC"/>
    <w:rsid w:val="00264182"/>
    <w:rsid w:val="002649EE"/>
    <w:rsid w:val="002652A5"/>
    <w:rsid w:val="002654EC"/>
    <w:rsid w:val="002658CC"/>
    <w:rsid w:val="00265F89"/>
    <w:rsid w:val="00266F39"/>
    <w:rsid w:val="00267060"/>
    <w:rsid w:val="00270316"/>
    <w:rsid w:val="002715F0"/>
    <w:rsid w:val="00272A41"/>
    <w:rsid w:val="00272FFF"/>
    <w:rsid w:val="00273952"/>
    <w:rsid w:val="00274171"/>
    <w:rsid w:val="0027463A"/>
    <w:rsid w:val="002747E3"/>
    <w:rsid w:val="002749FC"/>
    <w:rsid w:val="00274C2E"/>
    <w:rsid w:val="002752AA"/>
    <w:rsid w:val="002757B8"/>
    <w:rsid w:val="00277D43"/>
    <w:rsid w:val="002803EA"/>
    <w:rsid w:val="00280C3F"/>
    <w:rsid w:val="00280F86"/>
    <w:rsid w:val="00281241"/>
    <w:rsid w:val="0028162F"/>
    <w:rsid w:val="002817C5"/>
    <w:rsid w:val="002821F9"/>
    <w:rsid w:val="00282DFA"/>
    <w:rsid w:val="00282F30"/>
    <w:rsid w:val="002833A3"/>
    <w:rsid w:val="00283984"/>
    <w:rsid w:val="002839D9"/>
    <w:rsid w:val="002854D7"/>
    <w:rsid w:val="002868E1"/>
    <w:rsid w:val="00286AA5"/>
    <w:rsid w:val="00286D89"/>
    <w:rsid w:val="00287140"/>
    <w:rsid w:val="0029108F"/>
    <w:rsid w:val="002913B3"/>
    <w:rsid w:val="0029163F"/>
    <w:rsid w:val="00292CD5"/>
    <w:rsid w:val="00292E14"/>
    <w:rsid w:val="00293572"/>
    <w:rsid w:val="00293E4F"/>
    <w:rsid w:val="00295FC9"/>
    <w:rsid w:val="00296A1F"/>
    <w:rsid w:val="00296F17"/>
    <w:rsid w:val="00297482"/>
    <w:rsid w:val="002A0150"/>
    <w:rsid w:val="002A08F7"/>
    <w:rsid w:val="002A0F48"/>
    <w:rsid w:val="002A1279"/>
    <w:rsid w:val="002A1FE0"/>
    <w:rsid w:val="002A2269"/>
    <w:rsid w:val="002A288B"/>
    <w:rsid w:val="002A2C24"/>
    <w:rsid w:val="002A3871"/>
    <w:rsid w:val="002A3E40"/>
    <w:rsid w:val="002B00E3"/>
    <w:rsid w:val="002B0164"/>
    <w:rsid w:val="002B0D95"/>
    <w:rsid w:val="002B0ECA"/>
    <w:rsid w:val="002B1E6E"/>
    <w:rsid w:val="002B27F7"/>
    <w:rsid w:val="002B2F4B"/>
    <w:rsid w:val="002B3A38"/>
    <w:rsid w:val="002B5E20"/>
    <w:rsid w:val="002B66AB"/>
    <w:rsid w:val="002B6B1C"/>
    <w:rsid w:val="002B6BF9"/>
    <w:rsid w:val="002C0551"/>
    <w:rsid w:val="002C10E0"/>
    <w:rsid w:val="002C2865"/>
    <w:rsid w:val="002C3114"/>
    <w:rsid w:val="002C3C04"/>
    <w:rsid w:val="002C4499"/>
    <w:rsid w:val="002C6660"/>
    <w:rsid w:val="002C6AEB"/>
    <w:rsid w:val="002C6CA3"/>
    <w:rsid w:val="002C7435"/>
    <w:rsid w:val="002D1361"/>
    <w:rsid w:val="002D1B96"/>
    <w:rsid w:val="002D2822"/>
    <w:rsid w:val="002D3325"/>
    <w:rsid w:val="002D3756"/>
    <w:rsid w:val="002D4143"/>
    <w:rsid w:val="002D422C"/>
    <w:rsid w:val="002D6BA2"/>
    <w:rsid w:val="002E1783"/>
    <w:rsid w:val="002E25CE"/>
    <w:rsid w:val="002E35CA"/>
    <w:rsid w:val="002E41C8"/>
    <w:rsid w:val="002E5C2C"/>
    <w:rsid w:val="002E5C70"/>
    <w:rsid w:val="002E6B46"/>
    <w:rsid w:val="002E7A62"/>
    <w:rsid w:val="002E7C35"/>
    <w:rsid w:val="002F02FF"/>
    <w:rsid w:val="002F1C1D"/>
    <w:rsid w:val="002F1F75"/>
    <w:rsid w:val="002F1FF4"/>
    <w:rsid w:val="002F2172"/>
    <w:rsid w:val="002F2DE3"/>
    <w:rsid w:val="002F364C"/>
    <w:rsid w:val="002F3831"/>
    <w:rsid w:val="002F3A07"/>
    <w:rsid w:val="002F4334"/>
    <w:rsid w:val="002F45F4"/>
    <w:rsid w:val="002F5525"/>
    <w:rsid w:val="002F658E"/>
    <w:rsid w:val="002F7003"/>
    <w:rsid w:val="002F7173"/>
    <w:rsid w:val="00302B0A"/>
    <w:rsid w:val="00303B36"/>
    <w:rsid w:val="00303C5B"/>
    <w:rsid w:val="00304A9F"/>
    <w:rsid w:val="00304C12"/>
    <w:rsid w:val="00305BD3"/>
    <w:rsid w:val="00306B04"/>
    <w:rsid w:val="0030757E"/>
    <w:rsid w:val="003075D2"/>
    <w:rsid w:val="0031039B"/>
    <w:rsid w:val="00310FF5"/>
    <w:rsid w:val="0031105D"/>
    <w:rsid w:val="00311692"/>
    <w:rsid w:val="00311B27"/>
    <w:rsid w:val="00311FAA"/>
    <w:rsid w:val="003121BE"/>
    <w:rsid w:val="003130D6"/>
    <w:rsid w:val="00313ED0"/>
    <w:rsid w:val="003141E7"/>
    <w:rsid w:val="003156AC"/>
    <w:rsid w:val="003163F6"/>
    <w:rsid w:val="003167A9"/>
    <w:rsid w:val="003168A3"/>
    <w:rsid w:val="003169C0"/>
    <w:rsid w:val="00317845"/>
    <w:rsid w:val="00317A4E"/>
    <w:rsid w:val="003200B5"/>
    <w:rsid w:val="00321148"/>
    <w:rsid w:val="00322AC4"/>
    <w:rsid w:val="00323034"/>
    <w:rsid w:val="003233C6"/>
    <w:rsid w:val="00323ABA"/>
    <w:rsid w:val="00325FD8"/>
    <w:rsid w:val="003268B5"/>
    <w:rsid w:val="003268FA"/>
    <w:rsid w:val="00326E13"/>
    <w:rsid w:val="00334E12"/>
    <w:rsid w:val="00334FA2"/>
    <w:rsid w:val="0033578E"/>
    <w:rsid w:val="00335F8B"/>
    <w:rsid w:val="0033688B"/>
    <w:rsid w:val="003368AF"/>
    <w:rsid w:val="00340F8B"/>
    <w:rsid w:val="00343641"/>
    <w:rsid w:val="003436F0"/>
    <w:rsid w:val="003439E0"/>
    <w:rsid w:val="00343C36"/>
    <w:rsid w:val="00344703"/>
    <w:rsid w:val="003458DD"/>
    <w:rsid w:val="00346353"/>
    <w:rsid w:val="003467E9"/>
    <w:rsid w:val="00346859"/>
    <w:rsid w:val="003474A7"/>
    <w:rsid w:val="00350476"/>
    <w:rsid w:val="0035198D"/>
    <w:rsid w:val="00351CC3"/>
    <w:rsid w:val="00351F6A"/>
    <w:rsid w:val="00352953"/>
    <w:rsid w:val="0035342E"/>
    <w:rsid w:val="00354A41"/>
    <w:rsid w:val="0035533C"/>
    <w:rsid w:val="00355384"/>
    <w:rsid w:val="003558A4"/>
    <w:rsid w:val="00356F95"/>
    <w:rsid w:val="003575E6"/>
    <w:rsid w:val="003604A2"/>
    <w:rsid w:val="00360B48"/>
    <w:rsid w:val="00360D82"/>
    <w:rsid w:val="00361431"/>
    <w:rsid w:val="003623B6"/>
    <w:rsid w:val="003638C6"/>
    <w:rsid w:val="00363DE7"/>
    <w:rsid w:val="00364189"/>
    <w:rsid w:val="00364798"/>
    <w:rsid w:val="00364BED"/>
    <w:rsid w:val="00364C9D"/>
    <w:rsid w:val="00365E49"/>
    <w:rsid w:val="0036606D"/>
    <w:rsid w:val="00366359"/>
    <w:rsid w:val="003663CE"/>
    <w:rsid w:val="00366A4D"/>
    <w:rsid w:val="00366DBC"/>
    <w:rsid w:val="00367D64"/>
    <w:rsid w:val="0037085D"/>
    <w:rsid w:val="003710F6"/>
    <w:rsid w:val="003712C1"/>
    <w:rsid w:val="003720AC"/>
    <w:rsid w:val="0037282B"/>
    <w:rsid w:val="00375132"/>
    <w:rsid w:val="0037514E"/>
    <w:rsid w:val="00375D27"/>
    <w:rsid w:val="00375DCC"/>
    <w:rsid w:val="00376C1A"/>
    <w:rsid w:val="00377DD3"/>
    <w:rsid w:val="00380332"/>
    <w:rsid w:val="003809C8"/>
    <w:rsid w:val="00382AC2"/>
    <w:rsid w:val="003841DF"/>
    <w:rsid w:val="00384245"/>
    <w:rsid w:val="0038439F"/>
    <w:rsid w:val="0038453E"/>
    <w:rsid w:val="003851F7"/>
    <w:rsid w:val="003859D0"/>
    <w:rsid w:val="003862ED"/>
    <w:rsid w:val="00386C5E"/>
    <w:rsid w:val="003875EB"/>
    <w:rsid w:val="00387CAB"/>
    <w:rsid w:val="0039054A"/>
    <w:rsid w:val="00390E91"/>
    <w:rsid w:val="00390FB3"/>
    <w:rsid w:val="00390FD5"/>
    <w:rsid w:val="00392D36"/>
    <w:rsid w:val="00392FD4"/>
    <w:rsid w:val="00393019"/>
    <w:rsid w:val="00394173"/>
    <w:rsid w:val="0039451A"/>
    <w:rsid w:val="00394CFD"/>
    <w:rsid w:val="003954D8"/>
    <w:rsid w:val="00395916"/>
    <w:rsid w:val="00396E09"/>
    <w:rsid w:val="003970CC"/>
    <w:rsid w:val="00397B29"/>
    <w:rsid w:val="00397EB8"/>
    <w:rsid w:val="003A0B8B"/>
    <w:rsid w:val="003A1709"/>
    <w:rsid w:val="003A22C0"/>
    <w:rsid w:val="003A4855"/>
    <w:rsid w:val="003A54FF"/>
    <w:rsid w:val="003A5529"/>
    <w:rsid w:val="003A5D1D"/>
    <w:rsid w:val="003A5FBE"/>
    <w:rsid w:val="003A6911"/>
    <w:rsid w:val="003A7276"/>
    <w:rsid w:val="003B012F"/>
    <w:rsid w:val="003B0131"/>
    <w:rsid w:val="003B035A"/>
    <w:rsid w:val="003B064A"/>
    <w:rsid w:val="003B0D42"/>
    <w:rsid w:val="003B2124"/>
    <w:rsid w:val="003B5167"/>
    <w:rsid w:val="003B5953"/>
    <w:rsid w:val="003B5A30"/>
    <w:rsid w:val="003B5D5A"/>
    <w:rsid w:val="003B5F7E"/>
    <w:rsid w:val="003C00AD"/>
    <w:rsid w:val="003C0445"/>
    <w:rsid w:val="003C088F"/>
    <w:rsid w:val="003C0D38"/>
    <w:rsid w:val="003C114A"/>
    <w:rsid w:val="003C1736"/>
    <w:rsid w:val="003C198E"/>
    <w:rsid w:val="003C1D34"/>
    <w:rsid w:val="003C2743"/>
    <w:rsid w:val="003C3387"/>
    <w:rsid w:val="003C363F"/>
    <w:rsid w:val="003C5550"/>
    <w:rsid w:val="003C6925"/>
    <w:rsid w:val="003C7F75"/>
    <w:rsid w:val="003D114D"/>
    <w:rsid w:val="003D1BA8"/>
    <w:rsid w:val="003D2060"/>
    <w:rsid w:val="003D2A01"/>
    <w:rsid w:val="003D3420"/>
    <w:rsid w:val="003D35D8"/>
    <w:rsid w:val="003D400D"/>
    <w:rsid w:val="003D4995"/>
    <w:rsid w:val="003D4AA5"/>
    <w:rsid w:val="003D5A9F"/>
    <w:rsid w:val="003D5F9E"/>
    <w:rsid w:val="003D630C"/>
    <w:rsid w:val="003D6E96"/>
    <w:rsid w:val="003D6F6E"/>
    <w:rsid w:val="003D70D7"/>
    <w:rsid w:val="003D7DCB"/>
    <w:rsid w:val="003E07DA"/>
    <w:rsid w:val="003E1EC3"/>
    <w:rsid w:val="003E2505"/>
    <w:rsid w:val="003E3046"/>
    <w:rsid w:val="003E4957"/>
    <w:rsid w:val="003E4C4B"/>
    <w:rsid w:val="003E5300"/>
    <w:rsid w:val="003E58CA"/>
    <w:rsid w:val="003E6165"/>
    <w:rsid w:val="003E7070"/>
    <w:rsid w:val="003E7798"/>
    <w:rsid w:val="003E7A0A"/>
    <w:rsid w:val="003E7B27"/>
    <w:rsid w:val="003F084E"/>
    <w:rsid w:val="003F08CE"/>
    <w:rsid w:val="003F17E1"/>
    <w:rsid w:val="003F1C4E"/>
    <w:rsid w:val="003F25F9"/>
    <w:rsid w:val="003F3EFC"/>
    <w:rsid w:val="003F4043"/>
    <w:rsid w:val="003F724B"/>
    <w:rsid w:val="004007EE"/>
    <w:rsid w:val="0040239C"/>
    <w:rsid w:val="00402C80"/>
    <w:rsid w:val="00402D26"/>
    <w:rsid w:val="00402DBC"/>
    <w:rsid w:val="00403FC1"/>
    <w:rsid w:val="00404429"/>
    <w:rsid w:val="00404591"/>
    <w:rsid w:val="00404AB1"/>
    <w:rsid w:val="004052C7"/>
    <w:rsid w:val="00405CA0"/>
    <w:rsid w:val="004061DE"/>
    <w:rsid w:val="00407A3C"/>
    <w:rsid w:val="00407CB8"/>
    <w:rsid w:val="00407EF3"/>
    <w:rsid w:val="004101A6"/>
    <w:rsid w:val="004103A5"/>
    <w:rsid w:val="004109E6"/>
    <w:rsid w:val="00411175"/>
    <w:rsid w:val="00413181"/>
    <w:rsid w:val="004139E1"/>
    <w:rsid w:val="00413F04"/>
    <w:rsid w:val="004154AD"/>
    <w:rsid w:val="0041632D"/>
    <w:rsid w:val="00416E66"/>
    <w:rsid w:val="00421264"/>
    <w:rsid w:val="00421E01"/>
    <w:rsid w:val="004222DB"/>
    <w:rsid w:val="00422C7B"/>
    <w:rsid w:val="004234C0"/>
    <w:rsid w:val="00424125"/>
    <w:rsid w:val="00424E11"/>
    <w:rsid w:val="00424E85"/>
    <w:rsid w:val="0042736A"/>
    <w:rsid w:val="00427AA3"/>
    <w:rsid w:val="0043028B"/>
    <w:rsid w:val="00430841"/>
    <w:rsid w:val="004314CE"/>
    <w:rsid w:val="004318B4"/>
    <w:rsid w:val="00431C5E"/>
    <w:rsid w:val="00432ADD"/>
    <w:rsid w:val="004330F7"/>
    <w:rsid w:val="004341D5"/>
    <w:rsid w:val="0043437F"/>
    <w:rsid w:val="004348F1"/>
    <w:rsid w:val="00434A7E"/>
    <w:rsid w:val="0043629F"/>
    <w:rsid w:val="004367CC"/>
    <w:rsid w:val="00436F17"/>
    <w:rsid w:val="00437D2D"/>
    <w:rsid w:val="0044125C"/>
    <w:rsid w:val="004422A7"/>
    <w:rsid w:val="00442D1D"/>
    <w:rsid w:val="00443261"/>
    <w:rsid w:val="004449E6"/>
    <w:rsid w:val="004454D6"/>
    <w:rsid w:val="00450AEB"/>
    <w:rsid w:val="00452B9A"/>
    <w:rsid w:val="00454701"/>
    <w:rsid w:val="0045477E"/>
    <w:rsid w:val="0045479B"/>
    <w:rsid w:val="00454CE9"/>
    <w:rsid w:val="00454E63"/>
    <w:rsid w:val="00455FBB"/>
    <w:rsid w:val="00456139"/>
    <w:rsid w:val="00456594"/>
    <w:rsid w:val="00456840"/>
    <w:rsid w:val="004571E4"/>
    <w:rsid w:val="00462FA8"/>
    <w:rsid w:val="00463024"/>
    <w:rsid w:val="004633BC"/>
    <w:rsid w:val="004637D5"/>
    <w:rsid w:val="004639D4"/>
    <w:rsid w:val="00463A7A"/>
    <w:rsid w:val="004642F9"/>
    <w:rsid w:val="00464D73"/>
    <w:rsid w:val="00465919"/>
    <w:rsid w:val="00465B99"/>
    <w:rsid w:val="00466BDD"/>
    <w:rsid w:val="00467203"/>
    <w:rsid w:val="004674D6"/>
    <w:rsid w:val="00467EA5"/>
    <w:rsid w:val="00467EC9"/>
    <w:rsid w:val="00467FC0"/>
    <w:rsid w:val="00470525"/>
    <w:rsid w:val="00471849"/>
    <w:rsid w:val="0047193E"/>
    <w:rsid w:val="004721A8"/>
    <w:rsid w:val="004725D1"/>
    <w:rsid w:val="00472FBD"/>
    <w:rsid w:val="004732A8"/>
    <w:rsid w:val="00473DAB"/>
    <w:rsid w:val="004746E4"/>
    <w:rsid w:val="00475035"/>
    <w:rsid w:val="00476152"/>
    <w:rsid w:val="00477296"/>
    <w:rsid w:val="004779BF"/>
    <w:rsid w:val="004802E9"/>
    <w:rsid w:val="0048033F"/>
    <w:rsid w:val="0048062E"/>
    <w:rsid w:val="0048139F"/>
    <w:rsid w:val="0048207C"/>
    <w:rsid w:val="004902D0"/>
    <w:rsid w:val="00490F10"/>
    <w:rsid w:val="004913B0"/>
    <w:rsid w:val="00491484"/>
    <w:rsid w:val="00492644"/>
    <w:rsid w:val="0049418F"/>
    <w:rsid w:val="0049467D"/>
    <w:rsid w:val="004969C5"/>
    <w:rsid w:val="004A14A8"/>
    <w:rsid w:val="004A1E94"/>
    <w:rsid w:val="004A21DB"/>
    <w:rsid w:val="004A6B85"/>
    <w:rsid w:val="004A7708"/>
    <w:rsid w:val="004A7A2B"/>
    <w:rsid w:val="004B18D5"/>
    <w:rsid w:val="004B1D36"/>
    <w:rsid w:val="004B40DA"/>
    <w:rsid w:val="004B43EC"/>
    <w:rsid w:val="004B4654"/>
    <w:rsid w:val="004B5676"/>
    <w:rsid w:val="004B5A55"/>
    <w:rsid w:val="004B5DE9"/>
    <w:rsid w:val="004B63EF"/>
    <w:rsid w:val="004B686D"/>
    <w:rsid w:val="004B6EA1"/>
    <w:rsid w:val="004B73D5"/>
    <w:rsid w:val="004C1EA0"/>
    <w:rsid w:val="004C2F2D"/>
    <w:rsid w:val="004C3F1A"/>
    <w:rsid w:val="004C48B6"/>
    <w:rsid w:val="004C49C1"/>
    <w:rsid w:val="004C4DC0"/>
    <w:rsid w:val="004C55AD"/>
    <w:rsid w:val="004C5905"/>
    <w:rsid w:val="004C60C0"/>
    <w:rsid w:val="004C78AD"/>
    <w:rsid w:val="004D0999"/>
    <w:rsid w:val="004D0AFC"/>
    <w:rsid w:val="004D162E"/>
    <w:rsid w:val="004D1FE2"/>
    <w:rsid w:val="004D2067"/>
    <w:rsid w:val="004D2ED1"/>
    <w:rsid w:val="004D39DA"/>
    <w:rsid w:val="004D3C71"/>
    <w:rsid w:val="004D3CD2"/>
    <w:rsid w:val="004D4458"/>
    <w:rsid w:val="004D489A"/>
    <w:rsid w:val="004D4F35"/>
    <w:rsid w:val="004D601B"/>
    <w:rsid w:val="004D60A9"/>
    <w:rsid w:val="004D651B"/>
    <w:rsid w:val="004D69A0"/>
    <w:rsid w:val="004E0F73"/>
    <w:rsid w:val="004E13A8"/>
    <w:rsid w:val="004E2DC7"/>
    <w:rsid w:val="004E3AF3"/>
    <w:rsid w:val="004E3FA7"/>
    <w:rsid w:val="004E44D8"/>
    <w:rsid w:val="004E524B"/>
    <w:rsid w:val="004E6919"/>
    <w:rsid w:val="004E6EB1"/>
    <w:rsid w:val="004E6FA9"/>
    <w:rsid w:val="004F0318"/>
    <w:rsid w:val="004F044B"/>
    <w:rsid w:val="004F0D46"/>
    <w:rsid w:val="004F19E3"/>
    <w:rsid w:val="004F2445"/>
    <w:rsid w:val="004F2A83"/>
    <w:rsid w:val="004F44D5"/>
    <w:rsid w:val="004F480A"/>
    <w:rsid w:val="004F4A10"/>
    <w:rsid w:val="004F5236"/>
    <w:rsid w:val="004F5617"/>
    <w:rsid w:val="004F5ACD"/>
    <w:rsid w:val="004F666B"/>
    <w:rsid w:val="005003B5"/>
    <w:rsid w:val="00503096"/>
    <w:rsid w:val="00504588"/>
    <w:rsid w:val="00504FB2"/>
    <w:rsid w:val="005053F4"/>
    <w:rsid w:val="00505E13"/>
    <w:rsid w:val="00506436"/>
    <w:rsid w:val="00506E07"/>
    <w:rsid w:val="00506E80"/>
    <w:rsid w:val="005072EE"/>
    <w:rsid w:val="00507AF2"/>
    <w:rsid w:val="0051027B"/>
    <w:rsid w:val="00510EA8"/>
    <w:rsid w:val="00511360"/>
    <w:rsid w:val="0051180C"/>
    <w:rsid w:val="00511EE1"/>
    <w:rsid w:val="00512721"/>
    <w:rsid w:val="00513303"/>
    <w:rsid w:val="00514D42"/>
    <w:rsid w:val="00514E83"/>
    <w:rsid w:val="00516410"/>
    <w:rsid w:val="00516A40"/>
    <w:rsid w:val="00517267"/>
    <w:rsid w:val="005172F3"/>
    <w:rsid w:val="0051763A"/>
    <w:rsid w:val="005203DA"/>
    <w:rsid w:val="0052049C"/>
    <w:rsid w:val="0052112B"/>
    <w:rsid w:val="00521283"/>
    <w:rsid w:val="005217F0"/>
    <w:rsid w:val="005219BD"/>
    <w:rsid w:val="005231C2"/>
    <w:rsid w:val="0052346C"/>
    <w:rsid w:val="0052383A"/>
    <w:rsid w:val="005238FD"/>
    <w:rsid w:val="00523AB0"/>
    <w:rsid w:val="00523B48"/>
    <w:rsid w:val="00523F0C"/>
    <w:rsid w:val="00525079"/>
    <w:rsid w:val="00526243"/>
    <w:rsid w:val="00526B3D"/>
    <w:rsid w:val="0052731C"/>
    <w:rsid w:val="00527770"/>
    <w:rsid w:val="00530FCA"/>
    <w:rsid w:val="00531F98"/>
    <w:rsid w:val="005328B2"/>
    <w:rsid w:val="005329C9"/>
    <w:rsid w:val="00533ECD"/>
    <w:rsid w:val="00533F42"/>
    <w:rsid w:val="005347F8"/>
    <w:rsid w:val="00534FAA"/>
    <w:rsid w:val="00535017"/>
    <w:rsid w:val="00535285"/>
    <w:rsid w:val="00535628"/>
    <w:rsid w:val="005358A0"/>
    <w:rsid w:val="00535DEE"/>
    <w:rsid w:val="00540690"/>
    <w:rsid w:val="00540DB0"/>
    <w:rsid w:val="00541BEB"/>
    <w:rsid w:val="005426DF"/>
    <w:rsid w:val="005430F4"/>
    <w:rsid w:val="005439BE"/>
    <w:rsid w:val="00543B1F"/>
    <w:rsid w:val="00543DEA"/>
    <w:rsid w:val="005443B9"/>
    <w:rsid w:val="005457A5"/>
    <w:rsid w:val="00546C38"/>
    <w:rsid w:val="00546D55"/>
    <w:rsid w:val="00546FAB"/>
    <w:rsid w:val="005504B6"/>
    <w:rsid w:val="005506FE"/>
    <w:rsid w:val="00550A00"/>
    <w:rsid w:val="005510B0"/>
    <w:rsid w:val="00551E0D"/>
    <w:rsid w:val="00554418"/>
    <w:rsid w:val="005547E9"/>
    <w:rsid w:val="005554B9"/>
    <w:rsid w:val="00555822"/>
    <w:rsid w:val="00556479"/>
    <w:rsid w:val="00556B66"/>
    <w:rsid w:val="00556E29"/>
    <w:rsid w:val="00557051"/>
    <w:rsid w:val="005577F1"/>
    <w:rsid w:val="00560D19"/>
    <w:rsid w:val="00561119"/>
    <w:rsid w:val="00561CD5"/>
    <w:rsid w:val="005622BB"/>
    <w:rsid w:val="0056304C"/>
    <w:rsid w:val="0057003B"/>
    <w:rsid w:val="0057059B"/>
    <w:rsid w:val="00571844"/>
    <w:rsid w:val="00571BF4"/>
    <w:rsid w:val="0057267E"/>
    <w:rsid w:val="00573536"/>
    <w:rsid w:val="00573CC5"/>
    <w:rsid w:val="00574B59"/>
    <w:rsid w:val="005752F4"/>
    <w:rsid w:val="00575808"/>
    <w:rsid w:val="00576444"/>
    <w:rsid w:val="00576BB8"/>
    <w:rsid w:val="00577587"/>
    <w:rsid w:val="005775C8"/>
    <w:rsid w:val="0058174A"/>
    <w:rsid w:val="00581DD5"/>
    <w:rsid w:val="0058356C"/>
    <w:rsid w:val="00583E5F"/>
    <w:rsid w:val="005862BF"/>
    <w:rsid w:val="00586672"/>
    <w:rsid w:val="005868AB"/>
    <w:rsid w:val="00586AE2"/>
    <w:rsid w:val="00587712"/>
    <w:rsid w:val="00587797"/>
    <w:rsid w:val="00587C4A"/>
    <w:rsid w:val="00590A35"/>
    <w:rsid w:val="005920D4"/>
    <w:rsid w:val="005930AA"/>
    <w:rsid w:val="00593577"/>
    <w:rsid w:val="00593E98"/>
    <w:rsid w:val="00594458"/>
    <w:rsid w:val="00594F7D"/>
    <w:rsid w:val="00595524"/>
    <w:rsid w:val="00595FA4"/>
    <w:rsid w:val="005A0A06"/>
    <w:rsid w:val="005A1A49"/>
    <w:rsid w:val="005A2236"/>
    <w:rsid w:val="005A34B7"/>
    <w:rsid w:val="005A3E3D"/>
    <w:rsid w:val="005A3E93"/>
    <w:rsid w:val="005A5899"/>
    <w:rsid w:val="005A67E6"/>
    <w:rsid w:val="005A6D9F"/>
    <w:rsid w:val="005A75ED"/>
    <w:rsid w:val="005B050D"/>
    <w:rsid w:val="005B05AA"/>
    <w:rsid w:val="005B1182"/>
    <w:rsid w:val="005B19DF"/>
    <w:rsid w:val="005B1E4A"/>
    <w:rsid w:val="005B2421"/>
    <w:rsid w:val="005B2A71"/>
    <w:rsid w:val="005B4B55"/>
    <w:rsid w:val="005B565E"/>
    <w:rsid w:val="005B7482"/>
    <w:rsid w:val="005B7C6F"/>
    <w:rsid w:val="005C0056"/>
    <w:rsid w:val="005C0777"/>
    <w:rsid w:val="005C0D41"/>
    <w:rsid w:val="005C1B1A"/>
    <w:rsid w:val="005C2775"/>
    <w:rsid w:val="005C3211"/>
    <w:rsid w:val="005C3977"/>
    <w:rsid w:val="005C3AB1"/>
    <w:rsid w:val="005C521C"/>
    <w:rsid w:val="005C5462"/>
    <w:rsid w:val="005C5A78"/>
    <w:rsid w:val="005C6106"/>
    <w:rsid w:val="005C73CC"/>
    <w:rsid w:val="005D0522"/>
    <w:rsid w:val="005D1524"/>
    <w:rsid w:val="005D31F1"/>
    <w:rsid w:val="005D36A0"/>
    <w:rsid w:val="005D37B6"/>
    <w:rsid w:val="005D3889"/>
    <w:rsid w:val="005D469F"/>
    <w:rsid w:val="005D475C"/>
    <w:rsid w:val="005D47F7"/>
    <w:rsid w:val="005D483E"/>
    <w:rsid w:val="005D4B41"/>
    <w:rsid w:val="005D70B2"/>
    <w:rsid w:val="005D7334"/>
    <w:rsid w:val="005D77E0"/>
    <w:rsid w:val="005D7CCF"/>
    <w:rsid w:val="005E0836"/>
    <w:rsid w:val="005E0B9F"/>
    <w:rsid w:val="005E0EF5"/>
    <w:rsid w:val="005E0F5D"/>
    <w:rsid w:val="005E1A33"/>
    <w:rsid w:val="005E2BD3"/>
    <w:rsid w:val="005E31A3"/>
    <w:rsid w:val="005E3D0B"/>
    <w:rsid w:val="005E3D62"/>
    <w:rsid w:val="005E59CD"/>
    <w:rsid w:val="005E5B1C"/>
    <w:rsid w:val="005E7F55"/>
    <w:rsid w:val="005F091B"/>
    <w:rsid w:val="005F1444"/>
    <w:rsid w:val="005F2161"/>
    <w:rsid w:val="005F229D"/>
    <w:rsid w:val="005F2724"/>
    <w:rsid w:val="005F293F"/>
    <w:rsid w:val="005F2E07"/>
    <w:rsid w:val="005F325B"/>
    <w:rsid w:val="005F35C2"/>
    <w:rsid w:val="005F3EE7"/>
    <w:rsid w:val="005F4EE2"/>
    <w:rsid w:val="005F54C9"/>
    <w:rsid w:val="005F56A2"/>
    <w:rsid w:val="005F65CB"/>
    <w:rsid w:val="005F6FB6"/>
    <w:rsid w:val="005F7408"/>
    <w:rsid w:val="005F774A"/>
    <w:rsid w:val="00600D7A"/>
    <w:rsid w:val="006013E3"/>
    <w:rsid w:val="006026AF"/>
    <w:rsid w:val="00602815"/>
    <w:rsid w:val="00602CE6"/>
    <w:rsid w:val="00603292"/>
    <w:rsid w:val="006039A7"/>
    <w:rsid w:val="0060440E"/>
    <w:rsid w:val="00604BB0"/>
    <w:rsid w:val="006050C3"/>
    <w:rsid w:val="00605D26"/>
    <w:rsid w:val="006064E3"/>
    <w:rsid w:val="00607AB9"/>
    <w:rsid w:val="00607E5B"/>
    <w:rsid w:val="00611267"/>
    <w:rsid w:val="00611F8B"/>
    <w:rsid w:val="0061224E"/>
    <w:rsid w:val="0061295E"/>
    <w:rsid w:val="00612C74"/>
    <w:rsid w:val="00612CE7"/>
    <w:rsid w:val="00612F99"/>
    <w:rsid w:val="0061320B"/>
    <w:rsid w:val="006135D5"/>
    <w:rsid w:val="00613729"/>
    <w:rsid w:val="006156E6"/>
    <w:rsid w:val="006162ED"/>
    <w:rsid w:val="006165BB"/>
    <w:rsid w:val="00616E90"/>
    <w:rsid w:val="00617C71"/>
    <w:rsid w:val="0062088B"/>
    <w:rsid w:val="006209E1"/>
    <w:rsid w:val="00620CF0"/>
    <w:rsid w:val="0062273F"/>
    <w:rsid w:val="0062286E"/>
    <w:rsid w:val="00622E40"/>
    <w:rsid w:val="00622FEE"/>
    <w:rsid w:val="00623172"/>
    <w:rsid w:val="006234AE"/>
    <w:rsid w:val="0062367B"/>
    <w:rsid w:val="0062367D"/>
    <w:rsid w:val="00624889"/>
    <w:rsid w:val="00626864"/>
    <w:rsid w:val="00630278"/>
    <w:rsid w:val="00630786"/>
    <w:rsid w:val="00631B80"/>
    <w:rsid w:val="006322F9"/>
    <w:rsid w:val="006327EB"/>
    <w:rsid w:val="0063323E"/>
    <w:rsid w:val="006338CB"/>
    <w:rsid w:val="00633C03"/>
    <w:rsid w:val="006346AD"/>
    <w:rsid w:val="00634B93"/>
    <w:rsid w:val="00634C5A"/>
    <w:rsid w:val="00636DF7"/>
    <w:rsid w:val="006400E7"/>
    <w:rsid w:val="00640883"/>
    <w:rsid w:val="00640A10"/>
    <w:rsid w:val="00640DF1"/>
    <w:rsid w:val="00641242"/>
    <w:rsid w:val="00641DB3"/>
    <w:rsid w:val="00643B1D"/>
    <w:rsid w:val="00645629"/>
    <w:rsid w:val="006458E1"/>
    <w:rsid w:val="00645EBF"/>
    <w:rsid w:val="0064611C"/>
    <w:rsid w:val="006461A0"/>
    <w:rsid w:val="006475D8"/>
    <w:rsid w:val="00647DC3"/>
    <w:rsid w:val="0065074F"/>
    <w:rsid w:val="0065112C"/>
    <w:rsid w:val="00651E01"/>
    <w:rsid w:val="0065248B"/>
    <w:rsid w:val="00652CE6"/>
    <w:rsid w:val="00655EED"/>
    <w:rsid w:val="006567CE"/>
    <w:rsid w:val="00660785"/>
    <w:rsid w:val="00660859"/>
    <w:rsid w:val="00660863"/>
    <w:rsid w:val="00661102"/>
    <w:rsid w:val="006611C4"/>
    <w:rsid w:val="00661304"/>
    <w:rsid w:val="00662108"/>
    <w:rsid w:val="00662983"/>
    <w:rsid w:val="00662E05"/>
    <w:rsid w:val="006648F7"/>
    <w:rsid w:val="006651C8"/>
    <w:rsid w:val="00665835"/>
    <w:rsid w:val="00665B86"/>
    <w:rsid w:val="00666143"/>
    <w:rsid w:val="00666149"/>
    <w:rsid w:val="006661B8"/>
    <w:rsid w:val="006669CB"/>
    <w:rsid w:val="00666B10"/>
    <w:rsid w:val="00666CC0"/>
    <w:rsid w:val="0066738A"/>
    <w:rsid w:val="006675A7"/>
    <w:rsid w:val="0066797C"/>
    <w:rsid w:val="006706D8"/>
    <w:rsid w:val="006711FF"/>
    <w:rsid w:val="00671AA6"/>
    <w:rsid w:val="00672506"/>
    <w:rsid w:val="00672858"/>
    <w:rsid w:val="006731F0"/>
    <w:rsid w:val="00674409"/>
    <w:rsid w:val="00677617"/>
    <w:rsid w:val="00680BAF"/>
    <w:rsid w:val="00681466"/>
    <w:rsid w:val="006818D2"/>
    <w:rsid w:val="00682332"/>
    <w:rsid w:val="00682A44"/>
    <w:rsid w:val="0068320A"/>
    <w:rsid w:val="00684615"/>
    <w:rsid w:val="00684EA0"/>
    <w:rsid w:val="006853A5"/>
    <w:rsid w:val="00685992"/>
    <w:rsid w:val="00685AFF"/>
    <w:rsid w:val="00686237"/>
    <w:rsid w:val="00686994"/>
    <w:rsid w:val="0069237A"/>
    <w:rsid w:val="0069256A"/>
    <w:rsid w:val="006925BB"/>
    <w:rsid w:val="00692D45"/>
    <w:rsid w:val="00693623"/>
    <w:rsid w:val="00693C64"/>
    <w:rsid w:val="00693FA7"/>
    <w:rsid w:val="00694488"/>
    <w:rsid w:val="006960E0"/>
    <w:rsid w:val="0069659B"/>
    <w:rsid w:val="00696B03"/>
    <w:rsid w:val="006973AE"/>
    <w:rsid w:val="00697515"/>
    <w:rsid w:val="00697B29"/>
    <w:rsid w:val="00697F9F"/>
    <w:rsid w:val="006A094E"/>
    <w:rsid w:val="006A0D2E"/>
    <w:rsid w:val="006A1E72"/>
    <w:rsid w:val="006A2060"/>
    <w:rsid w:val="006A233F"/>
    <w:rsid w:val="006A2DF1"/>
    <w:rsid w:val="006A3151"/>
    <w:rsid w:val="006A3C61"/>
    <w:rsid w:val="006A3F9D"/>
    <w:rsid w:val="006A4DBB"/>
    <w:rsid w:val="006A56E8"/>
    <w:rsid w:val="006A688A"/>
    <w:rsid w:val="006A69CA"/>
    <w:rsid w:val="006A6FA0"/>
    <w:rsid w:val="006B1054"/>
    <w:rsid w:val="006B1368"/>
    <w:rsid w:val="006B3C23"/>
    <w:rsid w:val="006B3E6C"/>
    <w:rsid w:val="006B3E74"/>
    <w:rsid w:val="006B5A32"/>
    <w:rsid w:val="006B6371"/>
    <w:rsid w:val="006B6ADD"/>
    <w:rsid w:val="006B78EB"/>
    <w:rsid w:val="006C0553"/>
    <w:rsid w:val="006C0A48"/>
    <w:rsid w:val="006C141F"/>
    <w:rsid w:val="006C163C"/>
    <w:rsid w:val="006C1796"/>
    <w:rsid w:val="006C1CE3"/>
    <w:rsid w:val="006C2CA9"/>
    <w:rsid w:val="006C3DFB"/>
    <w:rsid w:val="006C4655"/>
    <w:rsid w:val="006C5007"/>
    <w:rsid w:val="006C5253"/>
    <w:rsid w:val="006C673C"/>
    <w:rsid w:val="006C703E"/>
    <w:rsid w:val="006C793B"/>
    <w:rsid w:val="006D0C35"/>
    <w:rsid w:val="006D1CEF"/>
    <w:rsid w:val="006D252E"/>
    <w:rsid w:val="006D3B5D"/>
    <w:rsid w:val="006D4EA8"/>
    <w:rsid w:val="006D50B9"/>
    <w:rsid w:val="006D5334"/>
    <w:rsid w:val="006D69A8"/>
    <w:rsid w:val="006D6A05"/>
    <w:rsid w:val="006D7A89"/>
    <w:rsid w:val="006D7BB3"/>
    <w:rsid w:val="006E0F48"/>
    <w:rsid w:val="006E110F"/>
    <w:rsid w:val="006E1689"/>
    <w:rsid w:val="006E30B4"/>
    <w:rsid w:val="006E3F96"/>
    <w:rsid w:val="006E66CC"/>
    <w:rsid w:val="006E789E"/>
    <w:rsid w:val="006F0536"/>
    <w:rsid w:val="006F165C"/>
    <w:rsid w:val="006F216A"/>
    <w:rsid w:val="006F285C"/>
    <w:rsid w:val="006F2FE2"/>
    <w:rsid w:val="006F32F5"/>
    <w:rsid w:val="006F3EB5"/>
    <w:rsid w:val="006F498F"/>
    <w:rsid w:val="006F49CA"/>
    <w:rsid w:val="006F4A6A"/>
    <w:rsid w:val="006F5185"/>
    <w:rsid w:val="006F5A65"/>
    <w:rsid w:val="006F6464"/>
    <w:rsid w:val="006F66B1"/>
    <w:rsid w:val="006F7816"/>
    <w:rsid w:val="00701088"/>
    <w:rsid w:val="0070188F"/>
    <w:rsid w:val="00701B4D"/>
    <w:rsid w:val="007029C1"/>
    <w:rsid w:val="00702CC6"/>
    <w:rsid w:val="00703D3E"/>
    <w:rsid w:val="00705B4D"/>
    <w:rsid w:val="00705B9C"/>
    <w:rsid w:val="00706276"/>
    <w:rsid w:val="007104CA"/>
    <w:rsid w:val="007106F9"/>
    <w:rsid w:val="0071185F"/>
    <w:rsid w:val="00711B5B"/>
    <w:rsid w:val="00711C7B"/>
    <w:rsid w:val="0071332E"/>
    <w:rsid w:val="00714F03"/>
    <w:rsid w:val="0071501F"/>
    <w:rsid w:val="007154E4"/>
    <w:rsid w:val="0071688F"/>
    <w:rsid w:val="007177BA"/>
    <w:rsid w:val="00717901"/>
    <w:rsid w:val="00717A1F"/>
    <w:rsid w:val="0072030E"/>
    <w:rsid w:val="007209A0"/>
    <w:rsid w:val="00720B87"/>
    <w:rsid w:val="00721422"/>
    <w:rsid w:val="00721BB0"/>
    <w:rsid w:val="00721EB4"/>
    <w:rsid w:val="00722110"/>
    <w:rsid w:val="00722DCF"/>
    <w:rsid w:val="007240EE"/>
    <w:rsid w:val="007241E2"/>
    <w:rsid w:val="00725EBD"/>
    <w:rsid w:val="007262F0"/>
    <w:rsid w:val="007264D5"/>
    <w:rsid w:val="0072671C"/>
    <w:rsid w:val="007267CA"/>
    <w:rsid w:val="00726F62"/>
    <w:rsid w:val="007278C4"/>
    <w:rsid w:val="00730B41"/>
    <w:rsid w:val="007314DB"/>
    <w:rsid w:val="00732BDD"/>
    <w:rsid w:val="007340FE"/>
    <w:rsid w:val="007348F8"/>
    <w:rsid w:val="00735238"/>
    <w:rsid w:val="0073578A"/>
    <w:rsid w:val="007363AF"/>
    <w:rsid w:val="007365B7"/>
    <w:rsid w:val="00737A25"/>
    <w:rsid w:val="007401A4"/>
    <w:rsid w:val="00741685"/>
    <w:rsid w:val="007419ED"/>
    <w:rsid w:val="00742A2F"/>
    <w:rsid w:val="00744978"/>
    <w:rsid w:val="00745021"/>
    <w:rsid w:val="007456E0"/>
    <w:rsid w:val="00746B41"/>
    <w:rsid w:val="007478C0"/>
    <w:rsid w:val="00747F08"/>
    <w:rsid w:val="00750080"/>
    <w:rsid w:val="00750DB0"/>
    <w:rsid w:val="00751970"/>
    <w:rsid w:val="00752FE3"/>
    <w:rsid w:val="00753212"/>
    <w:rsid w:val="00753B55"/>
    <w:rsid w:val="00753FAC"/>
    <w:rsid w:val="007553A2"/>
    <w:rsid w:val="0075549C"/>
    <w:rsid w:val="00755B5F"/>
    <w:rsid w:val="00755C54"/>
    <w:rsid w:val="00755CCF"/>
    <w:rsid w:val="00757B46"/>
    <w:rsid w:val="00757EED"/>
    <w:rsid w:val="00760322"/>
    <w:rsid w:val="00760D19"/>
    <w:rsid w:val="00761B12"/>
    <w:rsid w:val="00763BCF"/>
    <w:rsid w:val="00764168"/>
    <w:rsid w:val="00764D34"/>
    <w:rsid w:val="00765652"/>
    <w:rsid w:val="00765A19"/>
    <w:rsid w:val="00765D05"/>
    <w:rsid w:val="007661F3"/>
    <w:rsid w:val="007700DA"/>
    <w:rsid w:val="00770330"/>
    <w:rsid w:val="00770CB2"/>
    <w:rsid w:val="0077196D"/>
    <w:rsid w:val="0077252E"/>
    <w:rsid w:val="00774030"/>
    <w:rsid w:val="007749A2"/>
    <w:rsid w:val="00774C4F"/>
    <w:rsid w:val="00774E51"/>
    <w:rsid w:val="00775050"/>
    <w:rsid w:val="00775167"/>
    <w:rsid w:val="00775CCD"/>
    <w:rsid w:val="00780161"/>
    <w:rsid w:val="00780939"/>
    <w:rsid w:val="007816A5"/>
    <w:rsid w:val="00781C33"/>
    <w:rsid w:val="00781E62"/>
    <w:rsid w:val="00782E75"/>
    <w:rsid w:val="00784E62"/>
    <w:rsid w:val="00784F0C"/>
    <w:rsid w:val="00786833"/>
    <w:rsid w:val="007872E3"/>
    <w:rsid w:val="00790B41"/>
    <w:rsid w:val="00790E39"/>
    <w:rsid w:val="00790F4E"/>
    <w:rsid w:val="00791483"/>
    <w:rsid w:val="00791954"/>
    <w:rsid w:val="007922DA"/>
    <w:rsid w:val="0079411F"/>
    <w:rsid w:val="00794181"/>
    <w:rsid w:val="007948C0"/>
    <w:rsid w:val="007948D9"/>
    <w:rsid w:val="00795E13"/>
    <w:rsid w:val="0079699C"/>
    <w:rsid w:val="007A22A2"/>
    <w:rsid w:val="007A2750"/>
    <w:rsid w:val="007A278E"/>
    <w:rsid w:val="007A2C42"/>
    <w:rsid w:val="007A3D24"/>
    <w:rsid w:val="007A4920"/>
    <w:rsid w:val="007A4E10"/>
    <w:rsid w:val="007A58DC"/>
    <w:rsid w:val="007A5B63"/>
    <w:rsid w:val="007A638E"/>
    <w:rsid w:val="007B1681"/>
    <w:rsid w:val="007B19FC"/>
    <w:rsid w:val="007B3091"/>
    <w:rsid w:val="007B3116"/>
    <w:rsid w:val="007B32BF"/>
    <w:rsid w:val="007B499E"/>
    <w:rsid w:val="007B5A59"/>
    <w:rsid w:val="007B5D96"/>
    <w:rsid w:val="007B5F02"/>
    <w:rsid w:val="007B6C90"/>
    <w:rsid w:val="007B6CC4"/>
    <w:rsid w:val="007B76A1"/>
    <w:rsid w:val="007B791C"/>
    <w:rsid w:val="007C00B7"/>
    <w:rsid w:val="007C0A8E"/>
    <w:rsid w:val="007C0C17"/>
    <w:rsid w:val="007C0D41"/>
    <w:rsid w:val="007C0FE0"/>
    <w:rsid w:val="007C1B1F"/>
    <w:rsid w:val="007C2BF3"/>
    <w:rsid w:val="007C32B1"/>
    <w:rsid w:val="007C3631"/>
    <w:rsid w:val="007C38F2"/>
    <w:rsid w:val="007C418C"/>
    <w:rsid w:val="007C42BD"/>
    <w:rsid w:val="007C573F"/>
    <w:rsid w:val="007C586B"/>
    <w:rsid w:val="007C5D12"/>
    <w:rsid w:val="007C655E"/>
    <w:rsid w:val="007C6AC9"/>
    <w:rsid w:val="007C7043"/>
    <w:rsid w:val="007C79A1"/>
    <w:rsid w:val="007C7A15"/>
    <w:rsid w:val="007D0D81"/>
    <w:rsid w:val="007D15CB"/>
    <w:rsid w:val="007D17E7"/>
    <w:rsid w:val="007D30E0"/>
    <w:rsid w:val="007D3B6B"/>
    <w:rsid w:val="007D4F98"/>
    <w:rsid w:val="007D5B19"/>
    <w:rsid w:val="007D5D84"/>
    <w:rsid w:val="007D659D"/>
    <w:rsid w:val="007D6CD7"/>
    <w:rsid w:val="007D6F0F"/>
    <w:rsid w:val="007D790F"/>
    <w:rsid w:val="007D7C8B"/>
    <w:rsid w:val="007E0135"/>
    <w:rsid w:val="007E0630"/>
    <w:rsid w:val="007E0BCC"/>
    <w:rsid w:val="007E19FB"/>
    <w:rsid w:val="007E1FB8"/>
    <w:rsid w:val="007E2ED5"/>
    <w:rsid w:val="007E3658"/>
    <w:rsid w:val="007E45D3"/>
    <w:rsid w:val="007E4B62"/>
    <w:rsid w:val="007E4BE8"/>
    <w:rsid w:val="007E5431"/>
    <w:rsid w:val="007E5B06"/>
    <w:rsid w:val="007E657B"/>
    <w:rsid w:val="007E6C91"/>
    <w:rsid w:val="007F1D58"/>
    <w:rsid w:val="007F2D71"/>
    <w:rsid w:val="007F3B11"/>
    <w:rsid w:val="007F4274"/>
    <w:rsid w:val="007F4A5D"/>
    <w:rsid w:val="007F5651"/>
    <w:rsid w:val="007F7D14"/>
    <w:rsid w:val="00800183"/>
    <w:rsid w:val="00800BCF"/>
    <w:rsid w:val="0080160F"/>
    <w:rsid w:val="00801D88"/>
    <w:rsid w:val="00803F1D"/>
    <w:rsid w:val="0080409B"/>
    <w:rsid w:val="00804658"/>
    <w:rsid w:val="00804AD8"/>
    <w:rsid w:val="008050C1"/>
    <w:rsid w:val="00805EC4"/>
    <w:rsid w:val="00806402"/>
    <w:rsid w:val="00806841"/>
    <w:rsid w:val="00806B0D"/>
    <w:rsid w:val="00810321"/>
    <w:rsid w:val="00810821"/>
    <w:rsid w:val="008108EF"/>
    <w:rsid w:val="0081157E"/>
    <w:rsid w:val="008120C6"/>
    <w:rsid w:val="00813E27"/>
    <w:rsid w:val="0081426D"/>
    <w:rsid w:val="00814385"/>
    <w:rsid w:val="0081560A"/>
    <w:rsid w:val="00815927"/>
    <w:rsid w:val="00815AA4"/>
    <w:rsid w:val="00815E3A"/>
    <w:rsid w:val="0081647D"/>
    <w:rsid w:val="0081693A"/>
    <w:rsid w:val="00816BE7"/>
    <w:rsid w:val="00816F54"/>
    <w:rsid w:val="00817574"/>
    <w:rsid w:val="00821AE1"/>
    <w:rsid w:val="00821B7B"/>
    <w:rsid w:val="0082236A"/>
    <w:rsid w:val="008228AA"/>
    <w:rsid w:val="00822A64"/>
    <w:rsid w:val="00822CCA"/>
    <w:rsid w:val="008235A7"/>
    <w:rsid w:val="008236E5"/>
    <w:rsid w:val="008239F0"/>
    <w:rsid w:val="008252C2"/>
    <w:rsid w:val="00825510"/>
    <w:rsid w:val="0082578E"/>
    <w:rsid w:val="00826749"/>
    <w:rsid w:val="008275F3"/>
    <w:rsid w:val="00827B3E"/>
    <w:rsid w:val="00830B95"/>
    <w:rsid w:val="0083127C"/>
    <w:rsid w:val="008316A5"/>
    <w:rsid w:val="008317D1"/>
    <w:rsid w:val="00831DD5"/>
    <w:rsid w:val="0083262E"/>
    <w:rsid w:val="00833762"/>
    <w:rsid w:val="008337C3"/>
    <w:rsid w:val="0083454A"/>
    <w:rsid w:val="008346F6"/>
    <w:rsid w:val="00834A29"/>
    <w:rsid w:val="00834EB5"/>
    <w:rsid w:val="008350D3"/>
    <w:rsid w:val="00835327"/>
    <w:rsid w:val="00835723"/>
    <w:rsid w:val="00841213"/>
    <w:rsid w:val="00841F8B"/>
    <w:rsid w:val="00842CB6"/>
    <w:rsid w:val="0084336E"/>
    <w:rsid w:val="00844F26"/>
    <w:rsid w:val="00845656"/>
    <w:rsid w:val="008457B4"/>
    <w:rsid w:val="0084630D"/>
    <w:rsid w:val="0085007C"/>
    <w:rsid w:val="00850218"/>
    <w:rsid w:val="00850544"/>
    <w:rsid w:val="00850F79"/>
    <w:rsid w:val="008527A7"/>
    <w:rsid w:val="008530D9"/>
    <w:rsid w:val="008530DA"/>
    <w:rsid w:val="008533C7"/>
    <w:rsid w:val="0085366F"/>
    <w:rsid w:val="00853CE1"/>
    <w:rsid w:val="0085474F"/>
    <w:rsid w:val="008548C6"/>
    <w:rsid w:val="008565C0"/>
    <w:rsid w:val="00856798"/>
    <w:rsid w:val="00860FBA"/>
    <w:rsid w:val="00861D93"/>
    <w:rsid w:val="00863547"/>
    <w:rsid w:val="0086354E"/>
    <w:rsid w:val="00863596"/>
    <w:rsid w:val="008648A5"/>
    <w:rsid w:val="0086604D"/>
    <w:rsid w:val="00866487"/>
    <w:rsid w:val="008664F7"/>
    <w:rsid w:val="0086675B"/>
    <w:rsid w:val="00866FB2"/>
    <w:rsid w:val="008710D3"/>
    <w:rsid w:val="00871209"/>
    <w:rsid w:val="00872327"/>
    <w:rsid w:val="00874EC7"/>
    <w:rsid w:val="00876489"/>
    <w:rsid w:val="00876E3B"/>
    <w:rsid w:val="0087740C"/>
    <w:rsid w:val="00877EC2"/>
    <w:rsid w:val="00880669"/>
    <w:rsid w:val="00880C07"/>
    <w:rsid w:val="008818DD"/>
    <w:rsid w:val="00881C25"/>
    <w:rsid w:val="00881ECB"/>
    <w:rsid w:val="008820F9"/>
    <w:rsid w:val="008821F9"/>
    <w:rsid w:val="0088241E"/>
    <w:rsid w:val="008838D5"/>
    <w:rsid w:val="00883C52"/>
    <w:rsid w:val="00884583"/>
    <w:rsid w:val="00885A1C"/>
    <w:rsid w:val="0088685B"/>
    <w:rsid w:val="00886F39"/>
    <w:rsid w:val="00890ED3"/>
    <w:rsid w:val="0089204E"/>
    <w:rsid w:val="0089230F"/>
    <w:rsid w:val="0089248E"/>
    <w:rsid w:val="008925C6"/>
    <w:rsid w:val="00893398"/>
    <w:rsid w:val="00893B43"/>
    <w:rsid w:val="00893D30"/>
    <w:rsid w:val="00895B6A"/>
    <w:rsid w:val="0089610F"/>
    <w:rsid w:val="0089651B"/>
    <w:rsid w:val="00896A1B"/>
    <w:rsid w:val="00896FE9"/>
    <w:rsid w:val="008973DE"/>
    <w:rsid w:val="00897521"/>
    <w:rsid w:val="00897CAF"/>
    <w:rsid w:val="008A02E5"/>
    <w:rsid w:val="008A099F"/>
    <w:rsid w:val="008A119A"/>
    <w:rsid w:val="008A1E19"/>
    <w:rsid w:val="008A3DC3"/>
    <w:rsid w:val="008A4E24"/>
    <w:rsid w:val="008A4FEB"/>
    <w:rsid w:val="008A5EAE"/>
    <w:rsid w:val="008A684F"/>
    <w:rsid w:val="008A7675"/>
    <w:rsid w:val="008A7D2B"/>
    <w:rsid w:val="008B1A7F"/>
    <w:rsid w:val="008B21A9"/>
    <w:rsid w:val="008B256C"/>
    <w:rsid w:val="008B31CC"/>
    <w:rsid w:val="008B3E35"/>
    <w:rsid w:val="008B4159"/>
    <w:rsid w:val="008B4857"/>
    <w:rsid w:val="008B4AE6"/>
    <w:rsid w:val="008B4C8D"/>
    <w:rsid w:val="008B53BA"/>
    <w:rsid w:val="008B5485"/>
    <w:rsid w:val="008B663A"/>
    <w:rsid w:val="008B70AD"/>
    <w:rsid w:val="008C03DE"/>
    <w:rsid w:val="008C04D9"/>
    <w:rsid w:val="008C12C5"/>
    <w:rsid w:val="008C157C"/>
    <w:rsid w:val="008C16FD"/>
    <w:rsid w:val="008C19A5"/>
    <w:rsid w:val="008C1C4F"/>
    <w:rsid w:val="008C2580"/>
    <w:rsid w:val="008C3025"/>
    <w:rsid w:val="008C332B"/>
    <w:rsid w:val="008C3672"/>
    <w:rsid w:val="008C3A73"/>
    <w:rsid w:val="008C3AF8"/>
    <w:rsid w:val="008C5926"/>
    <w:rsid w:val="008C6394"/>
    <w:rsid w:val="008C66CD"/>
    <w:rsid w:val="008C70DA"/>
    <w:rsid w:val="008C797D"/>
    <w:rsid w:val="008D0140"/>
    <w:rsid w:val="008D09DF"/>
    <w:rsid w:val="008D1FE9"/>
    <w:rsid w:val="008D2B77"/>
    <w:rsid w:val="008D33BE"/>
    <w:rsid w:val="008D42BD"/>
    <w:rsid w:val="008D441A"/>
    <w:rsid w:val="008D52B7"/>
    <w:rsid w:val="008D55ED"/>
    <w:rsid w:val="008D76B0"/>
    <w:rsid w:val="008E1555"/>
    <w:rsid w:val="008E1A32"/>
    <w:rsid w:val="008E1E5B"/>
    <w:rsid w:val="008E2057"/>
    <w:rsid w:val="008E20E9"/>
    <w:rsid w:val="008E2E44"/>
    <w:rsid w:val="008E3783"/>
    <w:rsid w:val="008E37E7"/>
    <w:rsid w:val="008E46F9"/>
    <w:rsid w:val="008E5FE3"/>
    <w:rsid w:val="008E70F6"/>
    <w:rsid w:val="008E7904"/>
    <w:rsid w:val="008E79C1"/>
    <w:rsid w:val="008F0381"/>
    <w:rsid w:val="008F0A3D"/>
    <w:rsid w:val="008F103F"/>
    <w:rsid w:val="008F1CFA"/>
    <w:rsid w:val="008F254B"/>
    <w:rsid w:val="008F30B8"/>
    <w:rsid w:val="008F3AAF"/>
    <w:rsid w:val="008F464C"/>
    <w:rsid w:val="008F5CE6"/>
    <w:rsid w:val="008F71A8"/>
    <w:rsid w:val="008F73EB"/>
    <w:rsid w:val="008F7B14"/>
    <w:rsid w:val="00901691"/>
    <w:rsid w:val="00901B8F"/>
    <w:rsid w:val="00901E73"/>
    <w:rsid w:val="00902E1E"/>
    <w:rsid w:val="00903400"/>
    <w:rsid w:val="009042EF"/>
    <w:rsid w:val="0090440D"/>
    <w:rsid w:val="0090496B"/>
    <w:rsid w:val="00904AD4"/>
    <w:rsid w:val="0090564E"/>
    <w:rsid w:val="00905C08"/>
    <w:rsid w:val="009061E8"/>
    <w:rsid w:val="00906448"/>
    <w:rsid w:val="009067A9"/>
    <w:rsid w:val="00906EB3"/>
    <w:rsid w:val="00907243"/>
    <w:rsid w:val="009129AF"/>
    <w:rsid w:val="00912ACF"/>
    <w:rsid w:val="00912D61"/>
    <w:rsid w:val="00914486"/>
    <w:rsid w:val="009152E6"/>
    <w:rsid w:val="009152F8"/>
    <w:rsid w:val="00915D2A"/>
    <w:rsid w:val="009160D9"/>
    <w:rsid w:val="009164DA"/>
    <w:rsid w:val="009168C2"/>
    <w:rsid w:val="00920141"/>
    <w:rsid w:val="009208FB"/>
    <w:rsid w:val="00920EBD"/>
    <w:rsid w:val="0092197F"/>
    <w:rsid w:val="00922206"/>
    <w:rsid w:val="0092253A"/>
    <w:rsid w:val="00922A08"/>
    <w:rsid w:val="00923A92"/>
    <w:rsid w:val="00923CF2"/>
    <w:rsid w:val="00924400"/>
    <w:rsid w:val="009251AF"/>
    <w:rsid w:val="00933606"/>
    <w:rsid w:val="009338B1"/>
    <w:rsid w:val="00934809"/>
    <w:rsid w:val="0093524E"/>
    <w:rsid w:val="00936664"/>
    <w:rsid w:val="00937A41"/>
    <w:rsid w:val="00940404"/>
    <w:rsid w:val="00942152"/>
    <w:rsid w:val="00942307"/>
    <w:rsid w:val="00942953"/>
    <w:rsid w:val="00943202"/>
    <w:rsid w:val="00943DCB"/>
    <w:rsid w:val="0094577A"/>
    <w:rsid w:val="00946087"/>
    <w:rsid w:val="00946122"/>
    <w:rsid w:val="00946D44"/>
    <w:rsid w:val="00947034"/>
    <w:rsid w:val="00947F3A"/>
    <w:rsid w:val="00951CB2"/>
    <w:rsid w:val="00952AB7"/>
    <w:rsid w:val="00952EF7"/>
    <w:rsid w:val="00952F2B"/>
    <w:rsid w:val="00953B2E"/>
    <w:rsid w:val="00953C54"/>
    <w:rsid w:val="00954FAE"/>
    <w:rsid w:val="009558D4"/>
    <w:rsid w:val="00955D64"/>
    <w:rsid w:val="00955FE6"/>
    <w:rsid w:val="009576F3"/>
    <w:rsid w:val="009608EF"/>
    <w:rsid w:val="00960C90"/>
    <w:rsid w:val="00960ECD"/>
    <w:rsid w:val="009612CB"/>
    <w:rsid w:val="0096281D"/>
    <w:rsid w:val="00963F09"/>
    <w:rsid w:val="00964272"/>
    <w:rsid w:val="0096517D"/>
    <w:rsid w:val="0096590B"/>
    <w:rsid w:val="00966B1B"/>
    <w:rsid w:val="009674E8"/>
    <w:rsid w:val="009676B8"/>
    <w:rsid w:val="00970414"/>
    <w:rsid w:val="00970D1F"/>
    <w:rsid w:val="00971386"/>
    <w:rsid w:val="00971513"/>
    <w:rsid w:val="0097170E"/>
    <w:rsid w:val="009735FC"/>
    <w:rsid w:val="0097421B"/>
    <w:rsid w:val="00974333"/>
    <w:rsid w:val="00975597"/>
    <w:rsid w:val="00981846"/>
    <w:rsid w:val="00981AD9"/>
    <w:rsid w:val="00982518"/>
    <w:rsid w:val="009830ED"/>
    <w:rsid w:val="009835F3"/>
    <w:rsid w:val="009836BB"/>
    <w:rsid w:val="0098578A"/>
    <w:rsid w:val="00985834"/>
    <w:rsid w:val="00985E27"/>
    <w:rsid w:val="0098680E"/>
    <w:rsid w:val="009903CD"/>
    <w:rsid w:val="009905C9"/>
    <w:rsid w:val="009909CE"/>
    <w:rsid w:val="00991A1B"/>
    <w:rsid w:val="00992193"/>
    <w:rsid w:val="00992431"/>
    <w:rsid w:val="00993D19"/>
    <w:rsid w:val="009948E2"/>
    <w:rsid w:val="0099494C"/>
    <w:rsid w:val="009949ED"/>
    <w:rsid w:val="00994AD9"/>
    <w:rsid w:val="00994D84"/>
    <w:rsid w:val="00995876"/>
    <w:rsid w:val="009959EB"/>
    <w:rsid w:val="009961EC"/>
    <w:rsid w:val="009964D6"/>
    <w:rsid w:val="009A163F"/>
    <w:rsid w:val="009A2324"/>
    <w:rsid w:val="009A245D"/>
    <w:rsid w:val="009A32B8"/>
    <w:rsid w:val="009A4176"/>
    <w:rsid w:val="009A4265"/>
    <w:rsid w:val="009A4295"/>
    <w:rsid w:val="009A42A3"/>
    <w:rsid w:val="009A66DC"/>
    <w:rsid w:val="009A6E23"/>
    <w:rsid w:val="009B1FD4"/>
    <w:rsid w:val="009B2177"/>
    <w:rsid w:val="009B38F7"/>
    <w:rsid w:val="009B4422"/>
    <w:rsid w:val="009B4694"/>
    <w:rsid w:val="009B4790"/>
    <w:rsid w:val="009B4838"/>
    <w:rsid w:val="009B4D03"/>
    <w:rsid w:val="009B550D"/>
    <w:rsid w:val="009B611B"/>
    <w:rsid w:val="009B633B"/>
    <w:rsid w:val="009B66B7"/>
    <w:rsid w:val="009B7587"/>
    <w:rsid w:val="009C0280"/>
    <w:rsid w:val="009C09FC"/>
    <w:rsid w:val="009C0D90"/>
    <w:rsid w:val="009C0FDF"/>
    <w:rsid w:val="009C2466"/>
    <w:rsid w:val="009C33CC"/>
    <w:rsid w:val="009C4D33"/>
    <w:rsid w:val="009C6B9F"/>
    <w:rsid w:val="009C6BAE"/>
    <w:rsid w:val="009C74DE"/>
    <w:rsid w:val="009C7790"/>
    <w:rsid w:val="009C7A40"/>
    <w:rsid w:val="009C7F13"/>
    <w:rsid w:val="009D0392"/>
    <w:rsid w:val="009D1886"/>
    <w:rsid w:val="009D1BA8"/>
    <w:rsid w:val="009D2489"/>
    <w:rsid w:val="009D29D7"/>
    <w:rsid w:val="009D3049"/>
    <w:rsid w:val="009D590B"/>
    <w:rsid w:val="009D5C0C"/>
    <w:rsid w:val="009D6A38"/>
    <w:rsid w:val="009D73EF"/>
    <w:rsid w:val="009E016A"/>
    <w:rsid w:val="009E266E"/>
    <w:rsid w:val="009E289D"/>
    <w:rsid w:val="009E3F9E"/>
    <w:rsid w:val="009E40F8"/>
    <w:rsid w:val="009E559C"/>
    <w:rsid w:val="009E69A9"/>
    <w:rsid w:val="009F19AF"/>
    <w:rsid w:val="009F2BA4"/>
    <w:rsid w:val="009F32F8"/>
    <w:rsid w:val="009F344D"/>
    <w:rsid w:val="009F5116"/>
    <w:rsid w:val="009F66F0"/>
    <w:rsid w:val="009F6C2B"/>
    <w:rsid w:val="009F6F03"/>
    <w:rsid w:val="00A002A5"/>
    <w:rsid w:val="00A00631"/>
    <w:rsid w:val="00A0148D"/>
    <w:rsid w:val="00A03578"/>
    <w:rsid w:val="00A03832"/>
    <w:rsid w:val="00A048B1"/>
    <w:rsid w:val="00A057FB"/>
    <w:rsid w:val="00A05DEF"/>
    <w:rsid w:val="00A0728C"/>
    <w:rsid w:val="00A07DE8"/>
    <w:rsid w:val="00A10611"/>
    <w:rsid w:val="00A111B8"/>
    <w:rsid w:val="00A1123D"/>
    <w:rsid w:val="00A12B1E"/>
    <w:rsid w:val="00A13120"/>
    <w:rsid w:val="00A138C5"/>
    <w:rsid w:val="00A13DF3"/>
    <w:rsid w:val="00A14581"/>
    <w:rsid w:val="00A15144"/>
    <w:rsid w:val="00A15828"/>
    <w:rsid w:val="00A1741B"/>
    <w:rsid w:val="00A17668"/>
    <w:rsid w:val="00A208C5"/>
    <w:rsid w:val="00A214A0"/>
    <w:rsid w:val="00A247C6"/>
    <w:rsid w:val="00A24D9C"/>
    <w:rsid w:val="00A257CF"/>
    <w:rsid w:val="00A25C99"/>
    <w:rsid w:val="00A26293"/>
    <w:rsid w:val="00A26AEB"/>
    <w:rsid w:val="00A27BDC"/>
    <w:rsid w:val="00A307C7"/>
    <w:rsid w:val="00A31003"/>
    <w:rsid w:val="00A3146F"/>
    <w:rsid w:val="00A3180C"/>
    <w:rsid w:val="00A3291C"/>
    <w:rsid w:val="00A32C9D"/>
    <w:rsid w:val="00A37418"/>
    <w:rsid w:val="00A4005F"/>
    <w:rsid w:val="00A4017E"/>
    <w:rsid w:val="00A42526"/>
    <w:rsid w:val="00A435D3"/>
    <w:rsid w:val="00A44DC2"/>
    <w:rsid w:val="00A45C92"/>
    <w:rsid w:val="00A463AE"/>
    <w:rsid w:val="00A46AE8"/>
    <w:rsid w:val="00A471C1"/>
    <w:rsid w:val="00A47587"/>
    <w:rsid w:val="00A4766E"/>
    <w:rsid w:val="00A47A2A"/>
    <w:rsid w:val="00A47DA5"/>
    <w:rsid w:val="00A47DB2"/>
    <w:rsid w:val="00A528F0"/>
    <w:rsid w:val="00A52CA9"/>
    <w:rsid w:val="00A52D17"/>
    <w:rsid w:val="00A546E0"/>
    <w:rsid w:val="00A5559F"/>
    <w:rsid w:val="00A566F9"/>
    <w:rsid w:val="00A56AC8"/>
    <w:rsid w:val="00A56D1E"/>
    <w:rsid w:val="00A56E84"/>
    <w:rsid w:val="00A57101"/>
    <w:rsid w:val="00A57152"/>
    <w:rsid w:val="00A5789C"/>
    <w:rsid w:val="00A57AFC"/>
    <w:rsid w:val="00A60C73"/>
    <w:rsid w:val="00A61355"/>
    <w:rsid w:val="00A615F9"/>
    <w:rsid w:val="00A62E98"/>
    <w:rsid w:val="00A637F0"/>
    <w:rsid w:val="00A64FCF"/>
    <w:rsid w:val="00A65D59"/>
    <w:rsid w:val="00A65E4B"/>
    <w:rsid w:val="00A667FF"/>
    <w:rsid w:val="00A66B6F"/>
    <w:rsid w:val="00A66D69"/>
    <w:rsid w:val="00A704F4"/>
    <w:rsid w:val="00A70904"/>
    <w:rsid w:val="00A71601"/>
    <w:rsid w:val="00A71EFC"/>
    <w:rsid w:val="00A72EF1"/>
    <w:rsid w:val="00A732EC"/>
    <w:rsid w:val="00A7392A"/>
    <w:rsid w:val="00A74927"/>
    <w:rsid w:val="00A74963"/>
    <w:rsid w:val="00A7498D"/>
    <w:rsid w:val="00A7507D"/>
    <w:rsid w:val="00A757CD"/>
    <w:rsid w:val="00A76081"/>
    <w:rsid w:val="00A77189"/>
    <w:rsid w:val="00A777C1"/>
    <w:rsid w:val="00A77A04"/>
    <w:rsid w:val="00A822EC"/>
    <w:rsid w:val="00A82D74"/>
    <w:rsid w:val="00A82FFC"/>
    <w:rsid w:val="00A83F6D"/>
    <w:rsid w:val="00A83FDC"/>
    <w:rsid w:val="00A84339"/>
    <w:rsid w:val="00A84C69"/>
    <w:rsid w:val="00A85A26"/>
    <w:rsid w:val="00A86143"/>
    <w:rsid w:val="00A86154"/>
    <w:rsid w:val="00A8696A"/>
    <w:rsid w:val="00A86F4B"/>
    <w:rsid w:val="00A8790C"/>
    <w:rsid w:val="00A90F1A"/>
    <w:rsid w:val="00A91558"/>
    <w:rsid w:val="00A91764"/>
    <w:rsid w:val="00A92EB3"/>
    <w:rsid w:val="00A9338C"/>
    <w:rsid w:val="00A93C5F"/>
    <w:rsid w:val="00A93FE0"/>
    <w:rsid w:val="00A95744"/>
    <w:rsid w:val="00A95E1B"/>
    <w:rsid w:val="00A96127"/>
    <w:rsid w:val="00A96BB9"/>
    <w:rsid w:val="00AA1CD6"/>
    <w:rsid w:val="00AA1E0B"/>
    <w:rsid w:val="00AA2492"/>
    <w:rsid w:val="00AA3659"/>
    <w:rsid w:val="00AA37BA"/>
    <w:rsid w:val="00AA494E"/>
    <w:rsid w:val="00AA517D"/>
    <w:rsid w:val="00AA544C"/>
    <w:rsid w:val="00AA749D"/>
    <w:rsid w:val="00AA7988"/>
    <w:rsid w:val="00AA79FF"/>
    <w:rsid w:val="00AB0147"/>
    <w:rsid w:val="00AB21C4"/>
    <w:rsid w:val="00AB522E"/>
    <w:rsid w:val="00AB54EF"/>
    <w:rsid w:val="00AB54F7"/>
    <w:rsid w:val="00AB6291"/>
    <w:rsid w:val="00AB6520"/>
    <w:rsid w:val="00AB7663"/>
    <w:rsid w:val="00AB7E21"/>
    <w:rsid w:val="00AC0621"/>
    <w:rsid w:val="00AC0DC5"/>
    <w:rsid w:val="00AC22E3"/>
    <w:rsid w:val="00AC287B"/>
    <w:rsid w:val="00AC2EA8"/>
    <w:rsid w:val="00AC340C"/>
    <w:rsid w:val="00AC3B6D"/>
    <w:rsid w:val="00AC41B8"/>
    <w:rsid w:val="00AC470D"/>
    <w:rsid w:val="00AC4D06"/>
    <w:rsid w:val="00AC4D2F"/>
    <w:rsid w:val="00AC55B5"/>
    <w:rsid w:val="00AC5639"/>
    <w:rsid w:val="00AC67EE"/>
    <w:rsid w:val="00AC6966"/>
    <w:rsid w:val="00AC7887"/>
    <w:rsid w:val="00AD05D2"/>
    <w:rsid w:val="00AD0976"/>
    <w:rsid w:val="00AD0EF1"/>
    <w:rsid w:val="00AD10BA"/>
    <w:rsid w:val="00AD126E"/>
    <w:rsid w:val="00AD175A"/>
    <w:rsid w:val="00AD1F00"/>
    <w:rsid w:val="00AD2CF2"/>
    <w:rsid w:val="00AD2EF1"/>
    <w:rsid w:val="00AD5B85"/>
    <w:rsid w:val="00AD5D2E"/>
    <w:rsid w:val="00AD5ECB"/>
    <w:rsid w:val="00AD6027"/>
    <w:rsid w:val="00AD66DC"/>
    <w:rsid w:val="00AD693E"/>
    <w:rsid w:val="00AD7FEF"/>
    <w:rsid w:val="00AE0378"/>
    <w:rsid w:val="00AE0784"/>
    <w:rsid w:val="00AE10C3"/>
    <w:rsid w:val="00AE1810"/>
    <w:rsid w:val="00AE1DE8"/>
    <w:rsid w:val="00AE2193"/>
    <w:rsid w:val="00AE21C1"/>
    <w:rsid w:val="00AE39F6"/>
    <w:rsid w:val="00AE3C67"/>
    <w:rsid w:val="00AE4205"/>
    <w:rsid w:val="00AE4F93"/>
    <w:rsid w:val="00AE7561"/>
    <w:rsid w:val="00AE768F"/>
    <w:rsid w:val="00AE79B4"/>
    <w:rsid w:val="00AE7CE4"/>
    <w:rsid w:val="00AF047D"/>
    <w:rsid w:val="00AF0836"/>
    <w:rsid w:val="00AF0C81"/>
    <w:rsid w:val="00AF1772"/>
    <w:rsid w:val="00AF188B"/>
    <w:rsid w:val="00AF1E04"/>
    <w:rsid w:val="00AF1E22"/>
    <w:rsid w:val="00AF24DE"/>
    <w:rsid w:val="00AF2C49"/>
    <w:rsid w:val="00AF31EF"/>
    <w:rsid w:val="00AF3465"/>
    <w:rsid w:val="00AF3B18"/>
    <w:rsid w:val="00AF4516"/>
    <w:rsid w:val="00AF474C"/>
    <w:rsid w:val="00AF4B84"/>
    <w:rsid w:val="00AF4E85"/>
    <w:rsid w:val="00AF6227"/>
    <w:rsid w:val="00AF688A"/>
    <w:rsid w:val="00AF6A0E"/>
    <w:rsid w:val="00B00ED4"/>
    <w:rsid w:val="00B012AA"/>
    <w:rsid w:val="00B01524"/>
    <w:rsid w:val="00B01B3D"/>
    <w:rsid w:val="00B02398"/>
    <w:rsid w:val="00B0246C"/>
    <w:rsid w:val="00B02AFC"/>
    <w:rsid w:val="00B0402C"/>
    <w:rsid w:val="00B04F80"/>
    <w:rsid w:val="00B0596C"/>
    <w:rsid w:val="00B0653E"/>
    <w:rsid w:val="00B06F29"/>
    <w:rsid w:val="00B07391"/>
    <w:rsid w:val="00B07A9D"/>
    <w:rsid w:val="00B10CE1"/>
    <w:rsid w:val="00B114BB"/>
    <w:rsid w:val="00B135AA"/>
    <w:rsid w:val="00B13B22"/>
    <w:rsid w:val="00B14C61"/>
    <w:rsid w:val="00B14E9A"/>
    <w:rsid w:val="00B16707"/>
    <w:rsid w:val="00B17357"/>
    <w:rsid w:val="00B17B3E"/>
    <w:rsid w:val="00B17B4B"/>
    <w:rsid w:val="00B17BA1"/>
    <w:rsid w:val="00B20AC0"/>
    <w:rsid w:val="00B21C60"/>
    <w:rsid w:val="00B21DC0"/>
    <w:rsid w:val="00B22C97"/>
    <w:rsid w:val="00B23AE5"/>
    <w:rsid w:val="00B242D9"/>
    <w:rsid w:val="00B24F6F"/>
    <w:rsid w:val="00B252F5"/>
    <w:rsid w:val="00B25717"/>
    <w:rsid w:val="00B25BE0"/>
    <w:rsid w:val="00B25DC8"/>
    <w:rsid w:val="00B2603B"/>
    <w:rsid w:val="00B2641C"/>
    <w:rsid w:val="00B268A6"/>
    <w:rsid w:val="00B277ED"/>
    <w:rsid w:val="00B278E2"/>
    <w:rsid w:val="00B278FC"/>
    <w:rsid w:val="00B30D63"/>
    <w:rsid w:val="00B30FEA"/>
    <w:rsid w:val="00B31110"/>
    <w:rsid w:val="00B33919"/>
    <w:rsid w:val="00B33B31"/>
    <w:rsid w:val="00B3429D"/>
    <w:rsid w:val="00B35394"/>
    <w:rsid w:val="00B35563"/>
    <w:rsid w:val="00B35B92"/>
    <w:rsid w:val="00B36320"/>
    <w:rsid w:val="00B36934"/>
    <w:rsid w:val="00B36D69"/>
    <w:rsid w:val="00B400BD"/>
    <w:rsid w:val="00B40399"/>
    <w:rsid w:val="00B404D1"/>
    <w:rsid w:val="00B4079A"/>
    <w:rsid w:val="00B40833"/>
    <w:rsid w:val="00B40902"/>
    <w:rsid w:val="00B40C51"/>
    <w:rsid w:val="00B41EFC"/>
    <w:rsid w:val="00B42840"/>
    <w:rsid w:val="00B42979"/>
    <w:rsid w:val="00B431E9"/>
    <w:rsid w:val="00B439F8"/>
    <w:rsid w:val="00B44DE8"/>
    <w:rsid w:val="00B454A9"/>
    <w:rsid w:val="00B459C2"/>
    <w:rsid w:val="00B47882"/>
    <w:rsid w:val="00B47CBA"/>
    <w:rsid w:val="00B51310"/>
    <w:rsid w:val="00B513BE"/>
    <w:rsid w:val="00B515AA"/>
    <w:rsid w:val="00B5199A"/>
    <w:rsid w:val="00B51EE1"/>
    <w:rsid w:val="00B52D05"/>
    <w:rsid w:val="00B540C1"/>
    <w:rsid w:val="00B540D4"/>
    <w:rsid w:val="00B54380"/>
    <w:rsid w:val="00B543FE"/>
    <w:rsid w:val="00B545DE"/>
    <w:rsid w:val="00B5660D"/>
    <w:rsid w:val="00B5684E"/>
    <w:rsid w:val="00B57981"/>
    <w:rsid w:val="00B60A34"/>
    <w:rsid w:val="00B61175"/>
    <w:rsid w:val="00B614FB"/>
    <w:rsid w:val="00B618C2"/>
    <w:rsid w:val="00B6194E"/>
    <w:rsid w:val="00B61950"/>
    <w:rsid w:val="00B6295A"/>
    <w:rsid w:val="00B634E3"/>
    <w:rsid w:val="00B6419B"/>
    <w:rsid w:val="00B644AE"/>
    <w:rsid w:val="00B646C0"/>
    <w:rsid w:val="00B65941"/>
    <w:rsid w:val="00B65CFD"/>
    <w:rsid w:val="00B660F5"/>
    <w:rsid w:val="00B66986"/>
    <w:rsid w:val="00B67E1D"/>
    <w:rsid w:val="00B708DC"/>
    <w:rsid w:val="00B71963"/>
    <w:rsid w:val="00B71F7F"/>
    <w:rsid w:val="00B72360"/>
    <w:rsid w:val="00B74426"/>
    <w:rsid w:val="00B7587A"/>
    <w:rsid w:val="00B76019"/>
    <w:rsid w:val="00B76445"/>
    <w:rsid w:val="00B765BA"/>
    <w:rsid w:val="00B76797"/>
    <w:rsid w:val="00B76D1B"/>
    <w:rsid w:val="00B80335"/>
    <w:rsid w:val="00B80B44"/>
    <w:rsid w:val="00B83E08"/>
    <w:rsid w:val="00B85885"/>
    <w:rsid w:val="00B85BB8"/>
    <w:rsid w:val="00B8646B"/>
    <w:rsid w:val="00B872D2"/>
    <w:rsid w:val="00B901A4"/>
    <w:rsid w:val="00B9092A"/>
    <w:rsid w:val="00B90FDF"/>
    <w:rsid w:val="00B91C8A"/>
    <w:rsid w:val="00B91DFB"/>
    <w:rsid w:val="00B920D1"/>
    <w:rsid w:val="00B925BE"/>
    <w:rsid w:val="00B93061"/>
    <w:rsid w:val="00B933CF"/>
    <w:rsid w:val="00B93A48"/>
    <w:rsid w:val="00B945F5"/>
    <w:rsid w:val="00B9529A"/>
    <w:rsid w:val="00B9681A"/>
    <w:rsid w:val="00B971E9"/>
    <w:rsid w:val="00B97F29"/>
    <w:rsid w:val="00BA0662"/>
    <w:rsid w:val="00BA0723"/>
    <w:rsid w:val="00BA0ED2"/>
    <w:rsid w:val="00BA11CB"/>
    <w:rsid w:val="00BA1AC3"/>
    <w:rsid w:val="00BA1C54"/>
    <w:rsid w:val="00BA2D33"/>
    <w:rsid w:val="00BA3E65"/>
    <w:rsid w:val="00BA3F82"/>
    <w:rsid w:val="00BA4468"/>
    <w:rsid w:val="00BA5B14"/>
    <w:rsid w:val="00BA6BE4"/>
    <w:rsid w:val="00BA7461"/>
    <w:rsid w:val="00BB01B5"/>
    <w:rsid w:val="00BB08B2"/>
    <w:rsid w:val="00BB29AA"/>
    <w:rsid w:val="00BB35DF"/>
    <w:rsid w:val="00BB3EC0"/>
    <w:rsid w:val="00BB4A0D"/>
    <w:rsid w:val="00BB4A5B"/>
    <w:rsid w:val="00BB5336"/>
    <w:rsid w:val="00BB5538"/>
    <w:rsid w:val="00BB554E"/>
    <w:rsid w:val="00BB5B81"/>
    <w:rsid w:val="00BB5E21"/>
    <w:rsid w:val="00BB611E"/>
    <w:rsid w:val="00BB62D4"/>
    <w:rsid w:val="00BB6BD5"/>
    <w:rsid w:val="00BB6D39"/>
    <w:rsid w:val="00BB7152"/>
    <w:rsid w:val="00BB71A8"/>
    <w:rsid w:val="00BB7792"/>
    <w:rsid w:val="00BB7A3C"/>
    <w:rsid w:val="00BB7C2D"/>
    <w:rsid w:val="00BC092A"/>
    <w:rsid w:val="00BC0BCA"/>
    <w:rsid w:val="00BC1C49"/>
    <w:rsid w:val="00BC22D7"/>
    <w:rsid w:val="00BC2AD6"/>
    <w:rsid w:val="00BC3756"/>
    <w:rsid w:val="00BC4D9A"/>
    <w:rsid w:val="00BC5602"/>
    <w:rsid w:val="00BC56FA"/>
    <w:rsid w:val="00BC719C"/>
    <w:rsid w:val="00BC7D17"/>
    <w:rsid w:val="00BD3603"/>
    <w:rsid w:val="00BD400A"/>
    <w:rsid w:val="00BD425A"/>
    <w:rsid w:val="00BD45B0"/>
    <w:rsid w:val="00BD4B3A"/>
    <w:rsid w:val="00BD4DBD"/>
    <w:rsid w:val="00BD7328"/>
    <w:rsid w:val="00BD7498"/>
    <w:rsid w:val="00BD7EE7"/>
    <w:rsid w:val="00BE039B"/>
    <w:rsid w:val="00BE0BA8"/>
    <w:rsid w:val="00BE189B"/>
    <w:rsid w:val="00BE4793"/>
    <w:rsid w:val="00BE59EF"/>
    <w:rsid w:val="00BE6BD1"/>
    <w:rsid w:val="00BE7BA2"/>
    <w:rsid w:val="00BF0966"/>
    <w:rsid w:val="00BF19CA"/>
    <w:rsid w:val="00BF1B16"/>
    <w:rsid w:val="00BF2FF1"/>
    <w:rsid w:val="00BF3302"/>
    <w:rsid w:val="00BF3697"/>
    <w:rsid w:val="00BF3DAB"/>
    <w:rsid w:val="00BF4ED4"/>
    <w:rsid w:val="00BF4FD6"/>
    <w:rsid w:val="00BF569C"/>
    <w:rsid w:val="00BF62FC"/>
    <w:rsid w:val="00BF6563"/>
    <w:rsid w:val="00BF6A65"/>
    <w:rsid w:val="00BF6ACE"/>
    <w:rsid w:val="00BF7356"/>
    <w:rsid w:val="00BF79ED"/>
    <w:rsid w:val="00BF7F1C"/>
    <w:rsid w:val="00C00D0F"/>
    <w:rsid w:val="00C0177B"/>
    <w:rsid w:val="00C01827"/>
    <w:rsid w:val="00C0250D"/>
    <w:rsid w:val="00C03F7B"/>
    <w:rsid w:val="00C0482C"/>
    <w:rsid w:val="00C04F0C"/>
    <w:rsid w:val="00C04FB6"/>
    <w:rsid w:val="00C0518A"/>
    <w:rsid w:val="00C05C58"/>
    <w:rsid w:val="00C0754D"/>
    <w:rsid w:val="00C07667"/>
    <w:rsid w:val="00C10295"/>
    <w:rsid w:val="00C10C4D"/>
    <w:rsid w:val="00C11961"/>
    <w:rsid w:val="00C13A51"/>
    <w:rsid w:val="00C1476B"/>
    <w:rsid w:val="00C16160"/>
    <w:rsid w:val="00C169C7"/>
    <w:rsid w:val="00C16FC8"/>
    <w:rsid w:val="00C1746A"/>
    <w:rsid w:val="00C20039"/>
    <w:rsid w:val="00C20CD5"/>
    <w:rsid w:val="00C2110E"/>
    <w:rsid w:val="00C2119A"/>
    <w:rsid w:val="00C2190E"/>
    <w:rsid w:val="00C226E6"/>
    <w:rsid w:val="00C22E85"/>
    <w:rsid w:val="00C236D1"/>
    <w:rsid w:val="00C24CAC"/>
    <w:rsid w:val="00C2517F"/>
    <w:rsid w:val="00C25815"/>
    <w:rsid w:val="00C26A45"/>
    <w:rsid w:val="00C26B29"/>
    <w:rsid w:val="00C273EB"/>
    <w:rsid w:val="00C31018"/>
    <w:rsid w:val="00C313BF"/>
    <w:rsid w:val="00C31432"/>
    <w:rsid w:val="00C31EAE"/>
    <w:rsid w:val="00C322CE"/>
    <w:rsid w:val="00C323A5"/>
    <w:rsid w:val="00C32750"/>
    <w:rsid w:val="00C32BBA"/>
    <w:rsid w:val="00C3342D"/>
    <w:rsid w:val="00C33450"/>
    <w:rsid w:val="00C3426B"/>
    <w:rsid w:val="00C35CFB"/>
    <w:rsid w:val="00C36B6B"/>
    <w:rsid w:val="00C37071"/>
    <w:rsid w:val="00C37D32"/>
    <w:rsid w:val="00C37F3E"/>
    <w:rsid w:val="00C40C4C"/>
    <w:rsid w:val="00C41586"/>
    <w:rsid w:val="00C42902"/>
    <w:rsid w:val="00C429CF"/>
    <w:rsid w:val="00C42C94"/>
    <w:rsid w:val="00C4353C"/>
    <w:rsid w:val="00C43C45"/>
    <w:rsid w:val="00C43FE2"/>
    <w:rsid w:val="00C44118"/>
    <w:rsid w:val="00C444CE"/>
    <w:rsid w:val="00C505E4"/>
    <w:rsid w:val="00C51DBB"/>
    <w:rsid w:val="00C52061"/>
    <w:rsid w:val="00C522E9"/>
    <w:rsid w:val="00C524A3"/>
    <w:rsid w:val="00C52681"/>
    <w:rsid w:val="00C53095"/>
    <w:rsid w:val="00C5317F"/>
    <w:rsid w:val="00C53680"/>
    <w:rsid w:val="00C55D51"/>
    <w:rsid w:val="00C57C43"/>
    <w:rsid w:val="00C611D9"/>
    <w:rsid w:val="00C617D4"/>
    <w:rsid w:val="00C61F61"/>
    <w:rsid w:val="00C620A7"/>
    <w:rsid w:val="00C62342"/>
    <w:rsid w:val="00C634A0"/>
    <w:rsid w:val="00C645F9"/>
    <w:rsid w:val="00C6482B"/>
    <w:rsid w:val="00C64967"/>
    <w:rsid w:val="00C65456"/>
    <w:rsid w:val="00C65AA3"/>
    <w:rsid w:val="00C679ED"/>
    <w:rsid w:val="00C71151"/>
    <w:rsid w:val="00C715E1"/>
    <w:rsid w:val="00C72544"/>
    <w:rsid w:val="00C734E9"/>
    <w:rsid w:val="00C7590D"/>
    <w:rsid w:val="00C76765"/>
    <w:rsid w:val="00C76FBB"/>
    <w:rsid w:val="00C777A9"/>
    <w:rsid w:val="00C80455"/>
    <w:rsid w:val="00C8114F"/>
    <w:rsid w:val="00C84E62"/>
    <w:rsid w:val="00C86DAC"/>
    <w:rsid w:val="00C87C55"/>
    <w:rsid w:val="00C92596"/>
    <w:rsid w:val="00C92FD1"/>
    <w:rsid w:val="00C93576"/>
    <w:rsid w:val="00C937E1"/>
    <w:rsid w:val="00C93BB7"/>
    <w:rsid w:val="00C94281"/>
    <w:rsid w:val="00C954E6"/>
    <w:rsid w:val="00C955A6"/>
    <w:rsid w:val="00C96353"/>
    <w:rsid w:val="00C97369"/>
    <w:rsid w:val="00C97628"/>
    <w:rsid w:val="00C97CCB"/>
    <w:rsid w:val="00C97F5E"/>
    <w:rsid w:val="00CA020D"/>
    <w:rsid w:val="00CA0D6F"/>
    <w:rsid w:val="00CA0D7D"/>
    <w:rsid w:val="00CA1147"/>
    <w:rsid w:val="00CA2ACA"/>
    <w:rsid w:val="00CA3407"/>
    <w:rsid w:val="00CA41E9"/>
    <w:rsid w:val="00CA4A3C"/>
    <w:rsid w:val="00CA4FEC"/>
    <w:rsid w:val="00CA50E5"/>
    <w:rsid w:val="00CA6044"/>
    <w:rsid w:val="00CA645C"/>
    <w:rsid w:val="00CA650E"/>
    <w:rsid w:val="00CA6F45"/>
    <w:rsid w:val="00CA7473"/>
    <w:rsid w:val="00CB0D7D"/>
    <w:rsid w:val="00CB0F13"/>
    <w:rsid w:val="00CB151B"/>
    <w:rsid w:val="00CB30B8"/>
    <w:rsid w:val="00CB36C1"/>
    <w:rsid w:val="00CB4258"/>
    <w:rsid w:val="00CB42EF"/>
    <w:rsid w:val="00CB45BC"/>
    <w:rsid w:val="00CB4609"/>
    <w:rsid w:val="00CB4B74"/>
    <w:rsid w:val="00CB636A"/>
    <w:rsid w:val="00CC0D33"/>
    <w:rsid w:val="00CC16ED"/>
    <w:rsid w:val="00CC29FD"/>
    <w:rsid w:val="00CC311F"/>
    <w:rsid w:val="00CC3DCF"/>
    <w:rsid w:val="00CC50E3"/>
    <w:rsid w:val="00CC5511"/>
    <w:rsid w:val="00CC6048"/>
    <w:rsid w:val="00CC6147"/>
    <w:rsid w:val="00CC66AF"/>
    <w:rsid w:val="00CC69B2"/>
    <w:rsid w:val="00CC6A11"/>
    <w:rsid w:val="00CC7450"/>
    <w:rsid w:val="00CC7AC1"/>
    <w:rsid w:val="00CD139A"/>
    <w:rsid w:val="00CD209F"/>
    <w:rsid w:val="00CD31CD"/>
    <w:rsid w:val="00CD35CA"/>
    <w:rsid w:val="00CD368F"/>
    <w:rsid w:val="00CD3CB8"/>
    <w:rsid w:val="00CD4F11"/>
    <w:rsid w:val="00CD592C"/>
    <w:rsid w:val="00CD5AD0"/>
    <w:rsid w:val="00CD6665"/>
    <w:rsid w:val="00CD70F8"/>
    <w:rsid w:val="00CE02D2"/>
    <w:rsid w:val="00CE32D5"/>
    <w:rsid w:val="00CE4537"/>
    <w:rsid w:val="00CE588D"/>
    <w:rsid w:val="00CE6528"/>
    <w:rsid w:val="00CE75EF"/>
    <w:rsid w:val="00CF1638"/>
    <w:rsid w:val="00CF17FD"/>
    <w:rsid w:val="00CF1B4B"/>
    <w:rsid w:val="00CF1C7F"/>
    <w:rsid w:val="00CF288F"/>
    <w:rsid w:val="00CF2921"/>
    <w:rsid w:val="00CF4100"/>
    <w:rsid w:val="00CF50E5"/>
    <w:rsid w:val="00CF5EFF"/>
    <w:rsid w:val="00CF62D6"/>
    <w:rsid w:val="00CF721B"/>
    <w:rsid w:val="00CF75F9"/>
    <w:rsid w:val="00D0122B"/>
    <w:rsid w:val="00D01FEC"/>
    <w:rsid w:val="00D027D9"/>
    <w:rsid w:val="00D04130"/>
    <w:rsid w:val="00D054E8"/>
    <w:rsid w:val="00D06E18"/>
    <w:rsid w:val="00D0715E"/>
    <w:rsid w:val="00D0731C"/>
    <w:rsid w:val="00D074E2"/>
    <w:rsid w:val="00D07950"/>
    <w:rsid w:val="00D11C1F"/>
    <w:rsid w:val="00D12D81"/>
    <w:rsid w:val="00D12D97"/>
    <w:rsid w:val="00D136A0"/>
    <w:rsid w:val="00D13A8F"/>
    <w:rsid w:val="00D15073"/>
    <w:rsid w:val="00D15407"/>
    <w:rsid w:val="00D15D40"/>
    <w:rsid w:val="00D166CB"/>
    <w:rsid w:val="00D178CE"/>
    <w:rsid w:val="00D20490"/>
    <w:rsid w:val="00D205D3"/>
    <w:rsid w:val="00D213D1"/>
    <w:rsid w:val="00D214EF"/>
    <w:rsid w:val="00D22F72"/>
    <w:rsid w:val="00D2371B"/>
    <w:rsid w:val="00D23A8C"/>
    <w:rsid w:val="00D24F9D"/>
    <w:rsid w:val="00D254F0"/>
    <w:rsid w:val="00D25899"/>
    <w:rsid w:val="00D276A0"/>
    <w:rsid w:val="00D27B6B"/>
    <w:rsid w:val="00D31C8A"/>
    <w:rsid w:val="00D325B3"/>
    <w:rsid w:val="00D33370"/>
    <w:rsid w:val="00D33A16"/>
    <w:rsid w:val="00D33AAF"/>
    <w:rsid w:val="00D356F9"/>
    <w:rsid w:val="00D35B97"/>
    <w:rsid w:val="00D362C3"/>
    <w:rsid w:val="00D36426"/>
    <w:rsid w:val="00D36C4E"/>
    <w:rsid w:val="00D36D9A"/>
    <w:rsid w:val="00D402B0"/>
    <w:rsid w:val="00D402EB"/>
    <w:rsid w:val="00D4076E"/>
    <w:rsid w:val="00D41484"/>
    <w:rsid w:val="00D42135"/>
    <w:rsid w:val="00D445BA"/>
    <w:rsid w:val="00D45206"/>
    <w:rsid w:val="00D4677C"/>
    <w:rsid w:val="00D46A00"/>
    <w:rsid w:val="00D46F74"/>
    <w:rsid w:val="00D47132"/>
    <w:rsid w:val="00D47BC0"/>
    <w:rsid w:val="00D50391"/>
    <w:rsid w:val="00D50839"/>
    <w:rsid w:val="00D5124C"/>
    <w:rsid w:val="00D512D2"/>
    <w:rsid w:val="00D5165D"/>
    <w:rsid w:val="00D517D4"/>
    <w:rsid w:val="00D51C36"/>
    <w:rsid w:val="00D529B1"/>
    <w:rsid w:val="00D55330"/>
    <w:rsid w:val="00D55558"/>
    <w:rsid w:val="00D566E1"/>
    <w:rsid w:val="00D56989"/>
    <w:rsid w:val="00D5740A"/>
    <w:rsid w:val="00D57410"/>
    <w:rsid w:val="00D6095E"/>
    <w:rsid w:val="00D621E0"/>
    <w:rsid w:val="00D622DA"/>
    <w:rsid w:val="00D6316B"/>
    <w:rsid w:val="00D632B5"/>
    <w:rsid w:val="00D63E6D"/>
    <w:rsid w:val="00D64301"/>
    <w:rsid w:val="00D64E04"/>
    <w:rsid w:val="00D652F2"/>
    <w:rsid w:val="00D66AF8"/>
    <w:rsid w:val="00D66CD0"/>
    <w:rsid w:val="00D70D04"/>
    <w:rsid w:val="00D70FD0"/>
    <w:rsid w:val="00D7100F"/>
    <w:rsid w:val="00D72429"/>
    <w:rsid w:val="00D73260"/>
    <w:rsid w:val="00D73F2A"/>
    <w:rsid w:val="00D75048"/>
    <w:rsid w:val="00D7543F"/>
    <w:rsid w:val="00D75CC6"/>
    <w:rsid w:val="00D7644F"/>
    <w:rsid w:val="00D76C5B"/>
    <w:rsid w:val="00D7730C"/>
    <w:rsid w:val="00D8068A"/>
    <w:rsid w:val="00D818FC"/>
    <w:rsid w:val="00D81B34"/>
    <w:rsid w:val="00D81E5D"/>
    <w:rsid w:val="00D8268A"/>
    <w:rsid w:val="00D82BAE"/>
    <w:rsid w:val="00D83916"/>
    <w:rsid w:val="00D844CC"/>
    <w:rsid w:val="00D8479E"/>
    <w:rsid w:val="00D848D0"/>
    <w:rsid w:val="00D84EF5"/>
    <w:rsid w:val="00D84F0E"/>
    <w:rsid w:val="00D85A22"/>
    <w:rsid w:val="00D872E5"/>
    <w:rsid w:val="00D90081"/>
    <w:rsid w:val="00D901B4"/>
    <w:rsid w:val="00D91AA3"/>
    <w:rsid w:val="00D91DE7"/>
    <w:rsid w:val="00D91EE4"/>
    <w:rsid w:val="00D92005"/>
    <w:rsid w:val="00D92312"/>
    <w:rsid w:val="00D92C18"/>
    <w:rsid w:val="00D970D3"/>
    <w:rsid w:val="00D974D9"/>
    <w:rsid w:val="00D9784A"/>
    <w:rsid w:val="00D97F26"/>
    <w:rsid w:val="00DA1553"/>
    <w:rsid w:val="00DA2AE9"/>
    <w:rsid w:val="00DA3AFC"/>
    <w:rsid w:val="00DA3E31"/>
    <w:rsid w:val="00DA3ED6"/>
    <w:rsid w:val="00DA4326"/>
    <w:rsid w:val="00DA562E"/>
    <w:rsid w:val="00DA6F73"/>
    <w:rsid w:val="00DB1531"/>
    <w:rsid w:val="00DB2067"/>
    <w:rsid w:val="00DB4212"/>
    <w:rsid w:val="00DB4C26"/>
    <w:rsid w:val="00DB4D1E"/>
    <w:rsid w:val="00DB516B"/>
    <w:rsid w:val="00DB5ED6"/>
    <w:rsid w:val="00DB6910"/>
    <w:rsid w:val="00DC0546"/>
    <w:rsid w:val="00DC0622"/>
    <w:rsid w:val="00DC24DE"/>
    <w:rsid w:val="00DC56C0"/>
    <w:rsid w:val="00DC5A39"/>
    <w:rsid w:val="00DC6707"/>
    <w:rsid w:val="00DC6F4B"/>
    <w:rsid w:val="00DC75FE"/>
    <w:rsid w:val="00DD0BF1"/>
    <w:rsid w:val="00DD364F"/>
    <w:rsid w:val="00DD3B77"/>
    <w:rsid w:val="00DD4069"/>
    <w:rsid w:val="00DD418A"/>
    <w:rsid w:val="00DD43CA"/>
    <w:rsid w:val="00DD494B"/>
    <w:rsid w:val="00DD514D"/>
    <w:rsid w:val="00DD59AB"/>
    <w:rsid w:val="00DD5AB8"/>
    <w:rsid w:val="00DD789E"/>
    <w:rsid w:val="00DE01D1"/>
    <w:rsid w:val="00DE0839"/>
    <w:rsid w:val="00DE14E5"/>
    <w:rsid w:val="00DE1BC4"/>
    <w:rsid w:val="00DE5C64"/>
    <w:rsid w:val="00DE6304"/>
    <w:rsid w:val="00DE6410"/>
    <w:rsid w:val="00DE77C9"/>
    <w:rsid w:val="00DF17AE"/>
    <w:rsid w:val="00DF1C40"/>
    <w:rsid w:val="00DF359C"/>
    <w:rsid w:val="00DF3A46"/>
    <w:rsid w:val="00DF4163"/>
    <w:rsid w:val="00DF56FC"/>
    <w:rsid w:val="00DF589D"/>
    <w:rsid w:val="00DF66B5"/>
    <w:rsid w:val="00DF6D21"/>
    <w:rsid w:val="00DF6E0F"/>
    <w:rsid w:val="00DF724E"/>
    <w:rsid w:val="00DF75AF"/>
    <w:rsid w:val="00E00704"/>
    <w:rsid w:val="00E00743"/>
    <w:rsid w:val="00E010F8"/>
    <w:rsid w:val="00E013F0"/>
    <w:rsid w:val="00E01EAB"/>
    <w:rsid w:val="00E020D0"/>
    <w:rsid w:val="00E025C3"/>
    <w:rsid w:val="00E02DF8"/>
    <w:rsid w:val="00E034E0"/>
    <w:rsid w:val="00E04CA7"/>
    <w:rsid w:val="00E05823"/>
    <w:rsid w:val="00E05C48"/>
    <w:rsid w:val="00E05C89"/>
    <w:rsid w:val="00E066F3"/>
    <w:rsid w:val="00E075A5"/>
    <w:rsid w:val="00E075EF"/>
    <w:rsid w:val="00E07D2A"/>
    <w:rsid w:val="00E10F9D"/>
    <w:rsid w:val="00E11270"/>
    <w:rsid w:val="00E115B4"/>
    <w:rsid w:val="00E11A15"/>
    <w:rsid w:val="00E12D5D"/>
    <w:rsid w:val="00E13A1E"/>
    <w:rsid w:val="00E14BC1"/>
    <w:rsid w:val="00E150D0"/>
    <w:rsid w:val="00E15F47"/>
    <w:rsid w:val="00E16563"/>
    <w:rsid w:val="00E167ED"/>
    <w:rsid w:val="00E171C2"/>
    <w:rsid w:val="00E20542"/>
    <w:rsid w:val="00E21914"/>
    <w:rsid w:val="00E234BE"/>
    <w:rsid w:val="00E24C40"/>
    <w:rsid w:val="00E2615F"/>
    <w:rsid w:val="00E26AE7"/>
    <w:rsid w:val="00E278F8"/>
    <w:rsid w:val="00E303F1"/>
    <w:rsid w:val="00E305AA"/>
    <w:rsid w:val="00E30C0D"/>
    <w:rsid w:val="00E311FE"/>
    <w:rsid w:val="00E31D2D"/>
    <w:rsid w:val="00E31DEB"/>
    <w:rsid w:val="00E323DF"/>
    <w:rsid w:val="00E32A0A"/>
    <w:rsid w:val="00E345F3"/>
    <w:rsid w:val="00E3480F"/>
    <w:rsid w:val="00E3494E"/>
    <w:rsid w:val="00E34A0B"/>
    <w:rsid w:val="00E35066"/>
    <w:rsid w:val="00E353D2"/>
    <w:rsid w:val="00E35A74"/>
    <w:rsid w:val="00E35E78"/>
    <w:rsid w:val="00E363BF"/>
    <w:rsid w:val="00E365C0"/>
    <w:rsid w:val="00E365FA"/>
    <w:rsid w:val="00E36F35"/>
    <w:rsid w:val="00E42736"/>
    <w:rsid w:val="00E43517"/>
    <w:rsid w:val="00E43C40"/>
    <w:rsid w:val="00E44630"/>
    <w:rsid w:val="00E44D75"/>
    <w:rsid w:val="00E44E70"/>
    <w:rsid w:val="00E45955"/>
    <w:rsid w:val="00E46572"/>
    <w:rsid w:val="00E46635"/>
    <w:rsid w:val="00E4685E"/>
    <w:rsid w:val="00E47046"/>
    <w:rsid w:val="00E47580"/>
    <w:rsid w:val="00E47E99"/>
    <w:rsid w:val="00E508D0"/>
    <w:rsid w:val="00E50A06"/>
    <w:rsid w:val="00E511BD"/>
    <w:rsid w:val="00E5207C"/>
    <w:rsid w:val="00E523B3"/>
    <w:rsid w:val="00E53F44"/>
    <w:rsid w:val="00E54065"/>
    <w:rsid w:val="00E545CD"/>
    <w:rsid w:val="00E554AF"/>
    <w:rsid w:val="00E57340"/>
    <w:rsid w:val="00E6017F"/>
    <w:rsid w:val="00E60A7B"/>
    <w:rsid w:val="00E60D48"/>
    <w:rsid w:val="00E611CC"/>
    <w:rsid w:val="00E6227E"/>
    <w:rsid w:val="00E626B6"/>
    <w:rsid w:val="00E63E2D"/>
    <w:rsid w:val="00E6456B"/>
    <w:rsid w:val="00E64D54"/>
    <w:rsid w:val="00E64F29"/>
    <w:rsid w:val="00E663BA"/>
    <w:rsid w:val="00E66932"/>
    <w:rsid w:val="00E67881"/>
    <w:rsid w:val="00E70033"/>
    <w:rsid w:val="00E70135"/>
    <w:rsid w:val="00E70461"/>
    <w:rsid w:val="00E7069A"/>
    <w:rsid w:val="00E70A57"/>
    <w:rsid w:val="00E71351"/>
    <w:rsid w:val="00E714BE"/>
    <w:rsid w:val="00E71728"/>
    <w:rsid w:val="00E73B4C"/>
    <w:rsid w:val="00E740A7"/>
    <w:rsid w:val="00E748F1"/>
    <w:rsid w:val="00E74A55"/>
    <w:rsid w:val="00E75202"/>
    <w:rsid w:val="00E75DF2"/>
    <w:rsid w:val="00E7616F"/>
    <w:rsid w:val="00E7702F"/>
    <w:rsid w:val="00E775D4"/>
    <w:rsid w:val="00E7769F"/>
    <w:rsid w:val="00E77756"/>
    <w:rsid w:val="00E77ACA"/>
    <w:rsid w:val="00E77B8F"/>
    <w:rsid w:val="00E8141A"/>
    <w:rsid w:val="00E81EC5"/>
    <w:rsid w:val="00E825ED"/>
    <w:rsid w:val="00E82F28"/>
    <w:rsid w:val="00E835AC"/>
    <w:rsid w:val="00E84027"/>
    <w:rsid w:val="00E850B8"/>
    <w:rsid w:val="00E850FE"/>
    <w:rsid w:val="00E85D1F"/>
    <w:rsid w:val="00E86059"/>
    <w:rsid w:val="00E86F0B"/>
    <w:rsid w:val="00E87877"/>
    <w:rsid w:val="00E879C9"/>
    <w:rsid w:val="00E87F29"/>
    <w:rsid w:val="00E90016"/>
    <w:rsid w:val="00E905A4"/>
    <w:rsid w:val="00E914ED"/>
    <w:rsid w:val="00E928C6"/>
    <w:rsid w:val="00E9341F"/>
    <w:rsid w:val="00E93D37"/>
    <w:rsid w:val="00E93DB4"/>
    <w:rsid w:val="00E93DD4"/>
    <w:rsid w:val="00E94CA8"/>
    <w:rsid w:val="00E94F0B"/>
    <w:rsid w:val="00E956D4"/>
    <w:rsid w:val="00E95CB2"/>
    <w:rsid w:val="00E968D7"/>
    <w:rsid w:val="00E96C9B"/>
    <w:rsid w:val="00EA08B1"/>
    <w:rsid w:val="00EA0AE5"/>
    <w:rsid w:val="00EA147D"/>
    <w:rsid w:val="00EA1875"/>
    <w:rsid w:val="00EA18AF"/>
    <w:rsid w:val="00EA192A"/>
    <w:rsid w:val="00EA289A"/>
    <w:rsid w:val="00EA30AA"/>
    <w:rsid w:val="00EA30F5"/>
    <w:rsid w:val="00EA44A9"/>
    <w:rsid w:val="00EA5016"/>
    <w:rsid w:val="00EA5310"/>
    <w:rsid w:val="00EA5E0C"/>
    <w:rsid w:val="00EA5F60"/>
    <w:rsid w:val="00EA69A1"/>
    <w:rsid w:val="00EA6E93"/>
    <w:rsid w:val="00EA71FA"/>
    <w:rsid w:val="00EA7A2A"/>
    <w:rsid w:val="00EB1807"/>
    <w:rsid w:val="00EB1995"/>
    <w:rsid w:val="00EB21BE"/>
    <w:rsid w:val="00EB27CC"/>
    <w:rsid w:val="00EB2EFD"/>
    <w:rsid w:val="00EB49DB"/>
    <w:rsid w:val="00EB6299"/>
    <w:rsid w:val="00EB632A"/>
    <w:rsid w:val="00EB6B8D"/>
    <w:rsid w:val="00EB6CF1"/>
    <w:rsid w:val="00EB6EFB"/>
    <w:rsid w:val="00EB78EA"/>
    <w:rsid w:val="00EB7BF1"/>
    <w:rsid w:val="00EC01D8"/>
    <w:rsid w:val="00EC06F0"/>
    <w:rsid w:val="00EC0912"/>
    <w:rsid w:val="00EC0DB5"/>
    <w:rsid w:val="00EC17BB"/>
    <w:rsid w:val="00EC1977"/>
    <w:rsid w:val="00EC2088"/>
    <w:rsid w:val="00EC2111"/>
    <w:rsid w:val="00EC274D"/>
    <w:rsid w:val="00EC38FD"/>
    <w:rsid w:val="00EC3D3E"/>
    <w:rsid w:val="00EC517B"/>
    <w:rsid w:val="00EC576A"/>
    <w:rsid w:val="00EC5816"/>
    <w:rsid w:val="00EC5838"/>
    <w:rsid w:val="00EC5BD1"/>
    <w:rsid w:val="00EC5BFC"/>
    <w:rsid w:val="00EC615B"/>
    <w:rsid w:val="00EC6798"/>
    <w:rsid w:val="00EC6A81"/>
    <w:rsid w:val="00EC6B30"/>
    <w:rsid w:val="00EC6E05"/>
    <w:rsid w:val="00EC7929"/>
    <w:rsid w:val="00ED1A6D"/>
    <w:rsid w:val="00ED1F06"/>
    <w:rsid w:val="00ED321E"/>
    <w:rsid w:val="00ED440A"/>
    <w:rsid w:val="00ED460F"/>
    <w:rsid w:val="00ED4C06"/>
    <w:rsid w:val="00ED4E3A"/>
    <w:rsid w:val="00ED56D0"/>
    <w:rsid w:val="00ED5E8C"/>
    <w:rsid w:val="00ED63EB"/>
    <w:rsid w:val="00ED675F"/>
    <w:rsid w:val="00ED6831"/>
    <w:rsid w:val="00ED7330"/>
    <w:rsid w:val="00ED741D"/>
    <w:rsid w:val="00EE0AB4"/>
    <w:rsid w:val="00EE16D2"/>
    <w:rsid w:val="00EE2FB1"/>
    <w:rsid w:val="00EE3A42"/>
    <w:rsid w:val="00EE3BBD"/>
    <w:rsid w:val="00EE4499"/>
    <w:rsid w:val="00EE4D99"/>
    <w:rsid w:val="00EE5110"/>
    <w:rsid w:val="00EE62DF"/>
    <w:rsid w:val="00EE65BC"/>
    <w:rsid w:val="00EE686E"/>
    <w:rsid w:val="00EE70D3"/>
    <w:rsid w:val="00EE754D"/>
    <w:rsid w:val="00EF00B8"/>
    <w:rsid w:val="00EF0E19"/>
    <w:rsid w:val="00EF16A3"/>
    <w:rsid w:val="00EF254D"/>
    <w:rsid w:val="00EF44F7"/>
    <w:rsid w:val="00EF471A"/>
    <w:rsid w:val="00EF60A0"/>
    <w:rsid w:val="00EF663A"/>
    <w:rsid w:val="00EF6829"/>
    <w:rsid w:val="00EF692E"/>
    <w:rsid w:val="00EF6F41"/>
    <w:rsid w:val="00F005AC"/>
    <w:rsid w:val="00F008F6"/>
    <w:rsid w:val="00F00A4D"/>
    <w:rsid w:val="00F02DE5"/>
    <w:rsid w:val="00F02EE3"/>
    <w:rsid w:val="00F0418B"/>
    <w:rsid w:val="00F04CA3"/>
    <w:rsid w:val="00F052FF"/>
    <w:rsid w:val="00F0673C"/>
    <w:rsid w:val="00F06A67"/>
    <w:rsid w:val="00F06C34"/>
    <w:rsid w:val="00F0740E"/>
    <w:rsid w:val="00F106A3"/>
    <w:rsid w:val="00F10826"/>
    <w:rsid w:val="00F10D50"/>
    <w:rsid w:val="00F10DDE"/>
    <w:rsid w:val="00F10E4D"/>
    <w:rsid w:val="00F11688"/>
    <w:rsid w:val="00F11B72"/>
    <w:rsid w:val="00F138A3"/>
    <w:rsid w:val="00F14554"/>
    <w:rsid w:val="00F14629"/>
    <w:rsid w:val="00F1615C"/>
    <w:rsid w:val="00F162CA"/>
    <w:rsid w:val="00F16779"/>
    <w:rsid w:val="00F16BE9"/>
    <w:rsid w:val="00F2049E"/>
    <w:rsid w:val="00F20DB1"/>
    <w:rsid w:val="00F21545"/>
    <w:rsid w:val="00F2190D"/>
    <w:rsid w:val="00F22060"/>
    <w:rsid w:val="00F22200"/>
    <w:rsid w:val="00F23A7E"/>
    <w:rsid w:val="00F2491D"/>
    <w:rsid w:val="00F25301"/>
    <w:rsid w:val="00F25480"/>
    <w:rsid w:val="00F26691"/>
    <w:rsid w:val="00F27430"/>
    <w:rsid w:val="00F27BB8"/>
    <w:rsid w:val="00F30A19"/>
    <w:rsid w:val="00F30BB1"/>
    <w:rsid w:val="00F323A9"/>
    <w:rsid w:val="00F32453"/>
    <w:rsid w:val="00F34D23"/>
    <w:rsid w:val="00F34FD0"/>
    <w:rsid w:val="00F359B9"/>
    <w:rsid w:val="00F35CCB"/>
    <w:rsid w:val="00F35CD9"/>
    <w:rsid w:val="00F405B9"/>
    <w:rsid w:val="00F40605"/>
    <w:rsid w:val="00F40765"/>
    <w:rsid w:val="00F41169"/>
    <w:rsid w:val="00F419E3"/>
    <w:rsid w:val="00F41AD9"/>
    <w:rsid w:val="00F41B9E"/>
    <w:rsid w:val="00F426D5"/>
    <w:rsid w:val="00F430C7"/>
    <w:rsid w:val="00F440E1"/>
    <w:rsid w:val="00F44B4E"/>
    <w:rsid w:val="00F457B3"/>
    <w:rsid w:val="00F45B8B"/>
    <w:rsid w:val="00F45C66"/>
    <w:rsid w:val="00F4620C"/>
    <w:rsid w:val="00F51C4C"/>
    <w:rsid w:val="00F53E6C"/>
    <w:rsid w:val="00F5446A"/>
    <w:rsid w:val="00F54B69"/>
    <w:rsid w:val="00F54C45"/>
    <w:rsid w:val="00F55248"/>
    <w:rsid w:val="00F552C7"/>
    <w:rsid w:val="00F55396"/>
    <w:rsid w:val="00F55587"/>
    <w:rsid w:val="00F55B70"/>
    <w:rsid w:val="00F578DE"/>
    <w:rsid w:val="00F605F5"/>
    <w:rsid w:val="00F60D73"/>
    <w:rsid w:val="00F6138D"/>
    <w:rsid w:val="00F61ECE"/>
    <w:rsid w:val="00F62BC7"/>
    <w:rsid w:val="00F62C41"/>
    <w:rsid w:val="00F64389"/>
    <w:rsid w:val="00F64891"/>
    <w:rsid w:val="00F64B64"/>
    <w:rsid w:val="00F64FDE"/>
    <w:rsid w:val="00F65221"/>
    <w:rsid w:val="00F654EA"/>
    <w:rsid w:val="00F654FA"/>
    <w:rsid w:val="00F65BB8"/>
    <w:rsid w:val="00F65E49"/>
    <w:rsid w:val="00F65FFA"/>
    <w:rsid w:val="00F66B02"/>
    <w:rsid w:val="00F66C21"/>
    <w:rsid w:val="00F67102"/>
    <w:rsid w:val="00F67EDB"/>
    <w:rsid w:val="00F70758"/>
    <w:rsid w:val="00F7152E"/>
    <w:rsid w:val="00F74B24"/>
    <w:rsid w:val="00F752B3"/>
    <w:rsid w:val="00F75E9C"/>
    <w:rsid w:val="00F7607D"/>
    <w:rsid w:val="00F76393"/>
    <w:rsid w:val="00F76DA4"/>
    <w:rsid w:val="00F76F8A"/>
    <w:rsid w:val="00F8019B"/>
    <w:rsid w:val="00F80488"/>
    <w:rsid w:val="00F80843"/>
    <w:rsid w:val="00F80AD3"/>
    <w:rsid w:val="00F8144C"/>
    <w:rsid w:val="00F81F51"/>
    <w:rsid w:val="00F8267D"/>
    <w:rsid w:val="00F84851"/>
    <w:rsid w:val="00F84D46"/>
    <w:rsid w:val="00F85A80"/>
    <w:rsid w:val="00F86697"/>
    <w:rsid w:val="00F86801"/>
    <w:rsid w:val="00F869F0"/>
    <w:rsid w:val="00F86AED"/>
    <w:rsid w:val="00F86D4E"/>
    <w:rsid w:val="00F90224"/>
    <w:rsid w:val="00F9113D"/>
    <w:rsid w:val="00F912CC"/>
    <w:rsid w:val="00F91FA5"/>
    <w:rsid w:val="00F92AD7"/>
    <w:rsid w:val="00F92CF0"/>
    <w:rsid w:val="00F94D61"/>
    <w:rsid w:val="00F95556"/>
    <w:rsid w:val="00F95C26"/>
    <w:rsid w:val="00F96D2A"/>
    <w:rsid w:val="00F96F23"/>
    <w:rsid w:val="00F96FD3"/>
    <w:rsid w:val="00F97198"/>
    <w:rsid w:val="00F977B9"/>
    <w:rsid w:val="00F97DEF"/>
    <w:rsid w:val="00FA0350"/>
    <w:rsid w:val="00FA3F4F"/>
    <w:rsid w:val="00FA40B1"/>
    <w:rsid w:val="00FA46F8"/>
    <w:rsid w:val="00FA693F"/>
    <w:rsid w:val="00FA69EB"/>
    <w:rsid w:val="00FA7600"/>
    <w:rsid w:val="00FA7745"/>
    <w:rsid w:val="00FA7DEA"/>
    <w:rsid w:val="00FB0862"/>
    <w:rsid w:val="00FB0896"/>
    <w:rsid w:val="00FB09F0"/>
    <w:rsid w:val="00FB0AC1"/>
    <w:rsid w:val="00FB17ED"/>
    <w:rsid w:val="00FB19BB"/>
    <w:rsid w:val="00FB41C7"/>
    <w:rsid w:val="00FB50BC"/>
    <w:rsid w:val="00FB5274"/>
    <w:rsid w:val="00FB587C"/>
    <w:rsid w:val="00FB58A9"/>
    <w:rsid w:val="00FB681C"/>
    <w:rsid w:val="00FB71D2"/>
    <w:rsid w:val="00FB72BB"/>
    <w:rsid w:val="00FB7C04"/>
    <w:rsid w:val="00FC11FC"/>
    <w:rsid w:val="00FC1E2D"/>
    <w:rsid w:val="00FC2B66"/>
    <w:rsid w:val="00FC352A"/>
    <w:rsid w:val="00FC359D"/>
    <w:rsid w:val="00FC40D8"/>
    <w:rsid w:val="00FC41BD"/>
    <w:rsid w:val="00FC487C"/>
    <w:rsid w:val="00FC4D2D"/>
    <w:rsid w:val="00FC4E69"/>
    <w:rsid w:val="00FC5412"/>
    <w:rsid w:val="00FC5C2A"/>
    <w:rsid w:val="00FC5F08"/>
    <w:rsid w:val="00FC5F5D"/>
    <w:rsid w:val="00FC61F9"/>
    <w:rsid w:val="00FC622E"/>
    <w:rsid w:val="00FC66E0"/>
    <w:rsid w:val="00FD0437"/>
    <w:rsid w:val="00FD051E"/>
    <w:rsid w:val="00FD0688"/>
    <w:rsid w:val="00FD0BD6"/>
    <w:rsid w:val="00FD12CD"/>
    <w:rsid w:val="00FD1309"/>
    <w:rsid w:val="00FD14DE"/>
    <w:rsid w:val="00FD28F1"/>
    <w:rsid w:val="00FD44C2"/>
    <w:rsid w:val="00FD452A"/>
    <w:rsid w:val="00FD4FFA"/>
    <w:rsid w:val="00FD705E"/>
    <w:rsid w:val="00FD76AA"/>
    <w:rsid w:val="00FE0A16"/>
    <w:rsid w:val="00FE0C04"/>
    <w:rsid w:val="00FE1437"/>
    <w:rsid w:val="00FE1529"/>
    <w:rsid w:val="00FE1A12"/>
    <w:rsid w:val="00FE2D54"/>
    <w:rsid w:val="00FE2F3C"/>
    <w:rsid w:val="00FE43BE"/>
    <w:rsid w:val="00FE4710"/>
    <w:rsid w:val="00FE4736"/>
    <w:rsid w:val="00FE4898"/>
    <w:rsid w:val="00FE5304"/>
    <w:rsid w:val="00FE592B"/>
    <w:rsid w:val="00FE740A"/>
    <w:rsid w:val="00FE7866"/>
    <w:rsid w:val="00FE7C19"/>
    <w:rsid w:val="00FF06D9"/>
    <w:rsid w:val="00FF0849"/>
    <w:rsid w:val="00FF0A08"/>
    <w:rsid w:val="00FF1647"/>
    <w:rsid w:val="00FF22B8"/>
    <w:rsid w:val="00FF2F76"/>
    <w:rsid w:val="00FF3F2D"/>
    <w:rsid w:val="00FF4025"/>
    <w:rsid w:val="00FF4A63"/>
    <w:rsid w:val="00FF4F57"/>
    <w:rsid w:val="00FF54B8"/>
    <w:rsid w:val="00FF7497"/>
    <w:rsid w:val="00FF7835"/>
    <w:rsid w:val="00FF784D"/>
    <w:rsid w:val="0104458B"/>
    <w:rsid w:val="0133758F"/>
    <w:rsid w:val="01640518"/>
    <w:rsid w:val="016D57FA"/>
    <w:rsid w:val="017A6055"/>
    <w:rsid w:val="01956F93"/>
    <w:rsid w:val="019B53E2"/>
    <w:rsid w:val="01C41113"/>
    <w:rsid w:val="01DF1D31"/>
    <w:rsid w:val="01F92D80"/>
    <w:rsid w:val="01F954D4"/>
    <w:rsid w:val="01FD4042"/>
    <w:rsid w:val="020458F6"/>
    <w:rsid w:val="026D0521"/>
    <w:rsid w:val="027D02FE"/>
    <w:rsid w:val="028326FA"/>
    <w:rsid w:val="02B83F1D"/>
    <w:rsid w:val="03026A0B"/>
    <w:rsid w:val="03186D24"/>
    <w:rsid w:val="032B3844"/>
    <w:rsid w:val="03395FEA"/>
    <w:rsid w:val="0388410D"/>
    <w:rsid w:val="03A43FBF"/>
    <w:rsid w:val="04006A2B"/>
    <w:rsid w:val="0409276C"/>
    <w:rsid w:val="045836F1"/>
    <w:rsid w:val="04F902ED"/>
    <w:rsid w:val="054B3988"/>
    <w:rsid w:val="057D4BD1"/>
    <w:rsid w:val="05886E77"/>
    <w:rsid w:val="058A3C4A"/>
    <w:rsid w:val="05C555C6"/>
    <w:rsid w:val="05CE6C7E"/>
    <w:rsid w:val="060F2843"/>
    <w:rsid w:val="0620408A"/>
    <w:rsid w:val="063D0ACC"/>
    <w:rsid w:val="06667525"/>
    <w:rsid w:val="067D1B0C"/>
    <w:rsid w:val="06B405F7"/>
    <w:rsid w:val="06B85605"/>
    <w:rsid w:val="06BA4742"/>
    <w:rsid w:val="06C5167C"/>
    <w:rsid w:val="073432EC"/>
    <w:rsid w:val="075637EA"/>
    <w:rsid w:val="075C60BF"/>
    <w:rsid w:val="076520D3"/>
    <w:rsid w:val="076E75D8"/>
    <w:rsid w:val="07C04B38"/>
    <w:rsid w:val="07D72EA9"/>
    <w:rsid w:val="07E472F9"/>
    <w:rsid w:val="07FA5809"/>
    <w:rsid w:val="080839BA"/>
    <w:rsid w:val="080D3087"/>
    <w:rsid w:val="08187E7F"/>
    <w:rsid w:val="08584549"/>
    <w:rsid w:val="08721009"/>
    <w:rsid w:val="089B4E12"/>
    <w:rsid w:val="089F7BB5"/>
    <w:rsid w:val="08D03634"/>
    <w:rsid w:val="08E77122"/>
    <w:rsid w:val="09220E03"/>
    <w:rsid w:val="09235FAE"/>
    <w:rsid w:val="09440A55"/>
    <w:rsid w:val="094E5E8B"/>
    <w:rsid w:val="09570B83"/>
    <w:rsid w:val="097D6385"/>
    <w:rsid w:val="0980144C"/>
    <w:rsid w:val="098B2F1A"/>
    <w:rsid w:val="099B2686"/>
    <w:rsid w:val="09C736B1"/>
    <w:rsid w:val="09D12691"/>
    <w:rsid w:val="09DA7976"/>
    <w:rsid w:val="09DE7D03"/>
    <w:rsid w:val="09E667D0"/>
    <w:rsid w:val="0A2A52A4"/>
    <w:rsid w:val="0A425AE5"/>
    <w:rsid w:val="0A7F444C"/>
    <w:rsid w:val="0A8B48B0"/>
    <w:rsid w:val="0AAF72EA"/>
    <w:rsid w:val="0AF41A11"/>
    <w:rsid w:val="0B0405DA"/>
    <w:rsid w:val="0B3138BD"/>
    <w:rsid w:val="0B4827D7"/>
    <w:rsid w:val="0B4C466E"/>
    <w:rsid w:val="0B54287F"/>
    <w:rsid w:val="0B5C10FD"/>
    <w:rsid w:val="0B8F4F60"/>
    <w:rsid w:val="0BC15C42"/>
    <w:rsid w:val="0BCE4DC7"/>
    <w:rsid w:val="0BF476EA"/>
    <w:rsid w:val="0C0C5967"/>
    <w:rsid w:val="0C2E67E4"/>
    <w:rsid w:val="0C442326"/>
    <w:rsid w:val="0C623C90"/>
    <w:rsid w:val="0C6939A6"/>
    <w:rsid w:val="0CAE6E4A"/>
    <w:rsid w:val="0CB40839"/>
    <w:rsid w:val="0CDF41BF"/>
    <w:rsid w:val="0CFA74C1"/>
    <w:rsid w:val="0D0316DE"/>
    <w:rsid w:val="0D0B0DAD"/>
    <w:rsid w:val="0D1A404E"/>
    <w:rsid w:val="0D1A7B4B"/>
    <w:rsid w:val="0D254B47"/>
    <w:rsid w:val="0D3910D6"/>
    <w:rsid w:val="0DAE15DF"/>
    <w:rsid w:val="0DE011D7"/>
    <w:rsid w:val="0DED6C3C"/>
    <w:rsid w:val="0DF77E44"/>
    <w:rsid w:val="0E461E6E"/>
    <w:rsid w:val="0E951E2D"/>
    <w:rsid w:val="0EB04C1D"/>
    <w:rsid w:val="0ED32755"/>
    <w:rsid w:val="0ED60439"/>
    <w:rsid w:val="0F0F7EFA"/>
    <w:rsid w:val="0F2036E7"/>
    <w:rsid w:val="0F4939F6"/>
    <w:rsid w:val="0F565086"/>
    <w:rsid w:val="0F572DAE"/>
    <w:rsid w:val="0F5825A4"/>
    <w:rsid w:val="0F840E19"/>
    <w:rsid w:val="0F890D17"/>
    <w:rsid w:val="0F9C6460"/>
    <w:rsid w:val="0FA27879"/>
    <w:rsid w:val="0FCC044D"/>
    <w:rsid w:val="0FED709C"/>
    <w:rsid w:val="0FFC53D4"/>
    <w:rsid w:val="100162AE"/>
    <w:rsid w:val="10216377"/>
    <w:rsid w:val="1030066E"/>
    <w:rsid w:val="104A131B"/>
    <w:rsid w:val="10DA157D"/>
    <w:rsid w:val="111223B7"/>
    <w:rsid w:val="114809B7"/>
    <w:rsid w:val="117B74D9"/>
    <w:rsid w:val="11AB4C56"/>
    <w:rsid w:val="11AD0C25"/>
    <w:rsid w:val="11CD49CA"/>
    <w:rsid w:val="11F373CA"/>
    <w:rsid w:val="12110C5C"/>
    <w:rsid w:val="12372F05"/>
    <w:rsid w:val="12772755"/>
    <w:rsid w:val="12BD132F"/>
    <w:rsid w:val="12CE0564"/>
    <w:rsid w:val="12E615C9"/>
    <w:rsid w:val="12F059D1"/>
    <w:rsid w:val="130A0F96"/>
    <w:rsid w:val="133348AD"/>
    <w:rsid w:val="1345444E"/>
    <w:rsid w:val="13525B1D"/>
    <w:rsid w:val="13696028"/>
    <w:rsid w:val="138D6C9B"/>
    <w:rsid w:val="139934F3"/>
    <w:rsid w:val="140D2A59"/>
    <w:rsid w:val="141E3874"/>
    <w:rsid w:val="143E00CE"/>
    <w:rsid w:val="146A6E8E"/>
    <w:rsid w:val="147B791F"/>
    <w:rsid w:val="14AD3953"/>
    <w:rsid w:val="14BE1DE8"/>
    <w:rsid w:val="14D26371"/>
    <w:rsid w:val="14E279DF"/>
    <w:rsid w:val="150342CB"/>
    <w:rsid w:val="150F7544"/>
    <w:rsid w:val="15141771"/>
    <w:rsid w:val="151E6F20"/>
    <w:rsid w:val="15263142"/>
    <w:rsid w:val="153214E5"/>
    <w:rsid w:val="15341106"/>
    <w:rsid w:val="15477660"/>
    <w:rsid w:val="154D7DE4"/>
    <w:rsid w:val="15662480"/>
    <w:rsid w:val="15953F29"/>
    <w:rsid w:val="15F15AC1"/>
    <w:rsid w:val="1606497D"/>
    <w:rsid w:val="165F21A3"/>
    <w:rsid w:val="16621CA4"/>
    <w:rsid w:val="16647696"/>
    <w:rsid w:val="16A4068F"/>
    <w:rsid w:val="170D0C8A"/>
    <w:rsid w:val="171239AF"/>
    <w:rsid w:val="1726591C"/>
    <w:rsid w:val="178C5750"/>
    <w:rsid w:val="17EA65A4"/>
    <w:rsid w:val="17FD5C86"/>
    <w:rsid w:val="180247C3"/>
    <w:rsid w:val="18343FFF"/>
    <w:rsid w:val="183744C0"/>
    <w:rsid w:val="184B0F97"/>
    <w:rsid w:val="1876171F"/>
    <w:rsid w:val="18975489"/>
    <w:rsid w:val="18B53599"/>
    <w:rsid w:val="190F4E12"/>
    <w:rsid w:val="19230F50"/>
    <w:rsid w:val="19304014"/>
    <w:rsid w:val="19375EE1"/>
    <w:rsid w:val="193C7053"/>
    <w:rsid w:val="195A4F34"/>
    <w:rsid w:val="199D0935"/>
    <w:rsid w:val="1A2B1DC2"/>
    <w:rsid w:val="1A827FFE"/>
    <w:rsid w:val="1A892C6A"/>
    <w:rsid w:val="1A8C7994"/>
    <w:rsid w:val="1A8F413B"/>
    <w:rsid w:val="1A9A3794"/>
    <w:rsid w:val="1AB6217A"/>
    <w:rsid w:val="1ACA0F29"/>
    <w:rsid w:val="1AEF58C2"/>
    <w:rsid w:val="1B0F3D40"/>
    <w:rsid w:val="1B1C6848"/>
    <w:rsid w:val="1B2D23AB"/>
    <w:rsid w:val="1B434E49"/>
    <w:rsid w:val="1B466A2A"/>
    <w:rsid w:val="1B8265A5"/>
    <w:rsid w:val="1B8913EB"/>
    <w:rsid w:val="1BCE681B"/>
    <w:rsid w:val="1BD347AA"/>
    <w:rsid w:val="1BDA0C95"/>
    <w:rsid w:val="1BE258E0"/>
    <w:rsid w:val="1BF43FD9"/>
    <w:rsid w:val="1C12322B"/>
    <w:rsid w:val="1C124AEB"/>
    <w:rsid w:val="1C1450E3"/>
    <w:rsid w:val="1C2C4884"/>
    <w:rsid w:val="1C2E4DFD"/>
    <w:rsid w:val="1C480375"/>
    <w:rsid w:val="1C62492D"/>
    <w:rsid w:val="1C6C6C7A"/>
    <w:rsid w:val="1C8C6544"/>
    <w:rsid w:val="1C8E7FC2"/>
    <w:rsid w:val="1CDB1FF0"/>
    <w:rsid w:val="1D047631"/>
    <w:rsid w:val="1D187D1E"/>
    <w:rsid w:val="1D1E5006"/>
    <w:rsid w:val="1DAA5AEB"/>
    <w:rsid w:val="1DAC4008"/>
    <w:rsid w:val="1DC3043A"/>
    <w:rsid w:val="1DE52654"/>
    <w:rsid w:val="1E157496"/>
    <w:rsid w:val="1E3A5066"/>
    <w:rsid w:val="1E3F7864"/>
    <w:rsid w:val="1E6E4862"/>
    <w:rsid w:val="1EB32B16"/>
    <w:rsid w:val="1ECD1BD7"/>
    <w:rsid w:val="1EDE362D"/>
    <w:rsid w:val="1EDE3910"/>
    <w:rsid w:val="1F040AA4"/>
    <w:rsid w:val="1F390DB9"/>
    <w:rsid w:val="1F3A7674"/>
    <w:rsid w:val="1FEA3F52"/>
    <w:rsid w:val="200417AB"/>
    <w:rsid w:val="202C46B2"/>
    <w:rsid w:val="208179AB"/>
    <w:rsid w:val="20AB4C76"/>
    <w:rsid w:val="21285A05"/>
    <w:rsid w:val="216F7B6E"/>
    <w:rsid w:val="21864FA7"/>
    <w:rsid w:val="219016C0"/>
    <w:rsid w:val="21932BE4"/>
    <w:rsid w:val="21CF24C2"/>
    <w:rsid w:val="21D17CB7"/>
    <w:rsid w:val="21D94230"/>
    <w:rsid w:val="21E704CA"/>
    <w:rsid w:val="222C10C5"/>
    <w:rsid w:val="223F5FEE"/>
    <w:rsid w:val="224105FB"/>
    <w:rsid w:val="22836B71"/>
    <w:rsid w:val="2294503F"/>
    <w:rsid w:val="22A76527"/>
    <w:rsid w:val="22DC2DB3"/>
    <w:rsid w:val="22FE2E0C"/>
    <w:rsid w:val="232D1C8D"/>
    <w:rsid w:val="23671921"/>
    <w:rsid w:val="23841BD9"/>
    <w:rsid w:val="239F04F3"/>
    <w:rsid w:val="23A010F0"/>
    <w:rsid w:val="23CE47E7"/>
    <w:rsid w:val="23F61D9C"/>
    <w:rsid w:val="23F738D7"/>
    <w:rsid w:val="2446410F"/>
    <w:rsid w:val="24963554"/>
    <w:rsid w:val="249656F3"/>
    <w:rsid w:val="24A80610"/>
    <w:rsid w:val="252C1A2E"/>
    <w:rsid w:val="253C026C"/>
    <w:rsid w:val="25886BE3"/>
    <w:rsid w:val="25B07A26"/>
    <w:rsid w:val="25C16051"/>
    <w:rsid w:val="25ED2172"/>
    <w:rsid w:val="25FF65CF"/>
    <w:rsid w:val="26034647"/>
    <w:rsid w:val="261E5379"/>
    <w:rsid w:val="26A96E8E"/>
    <w:rsid w:val="26D63D39"/>
    <w:rsid w:val="26D7660D"/>
    <w:rsid w:val="27012EBF"/>
    <w:rsid w:val="27096950"/>
    <w:rsid w:val="270E6D97"/>
    <w:rsid w:val="27105E71"/>
    <w:rsid w:val="271C092F"/>
    <w:rsid w:val="274B54E9"/>
    <w:rsid w:val="2768006F"/>
    <w:rsid w:val="277D1DB1"/>
    <w:rsid w:val="27AA4769"/>
    <w:rsid w:val="27ED64B9"/>
    <w:rsid w:val="27F31232"/>
    <w:rsid w:val="284D4DD9"/>
    <w:rsid w:val="285E50E5"/>
    <w:rsid w:val="287A5D4B"/>
    <w:rsid w:val="2891170D"/>
    <w:rsid w:val="28AA6DA0"/>
    <w:rsid w:val="28CB5BE0"/>
    <w:rsid w:val="28EA0C9D"/>
    <w:rsid w:val="28F03F58"/>
    <w:rsid w:val="28FF2BF1"/>
    <w:rsid w:val="29135029"/>
    <w:rsid w:val="291746DE"/>
    <w:rsid w:val="291E64FD"/>
    <w:rsid w:val="29677EAC"/>
    <w:rsid w:val="296E1BA6"/>
    <w:rsid w:val="2972448D"/>
    <w:rsid w:val="29777B12"/>
    <w:rsid w:val="29A42A73"/>
    <w:rsid w:val="29B41ABF"/>
    <w:rsid w:val="29CA2C4E"/>
    <w:rsid w:val="2A1B7E77"/>
    <w:rsid w:val="2A4027BC"/>
    <w:rsid w:val="2AB0092A"/>
    <w:rsid w:val="2AD06D94"/>
    <w:rsid w:val="2AE02C51"/>
    <w:rsid w:val="2AE64466"/>
    <w:rsid w:val="2B0E16D2"/>
    <w:rsid w:val="2B38542D"/>
    <w:rsid w:val="2B43781E"/>
    <w:rsid w:val="2B6C52CA"/>
    <w:rsid w:val="2B75215F"/>
    <w:rsid w:val="2B782CC2"/>
    <w:rsid w:val="2BA4331E"/>
    <w:rsid w:val="2BA72EB6"/>
    <w:rsid w:val="2BBD5701"/>
    <w:rsid w:val="2BC773D1"/>
    <w:rsid w:val="2BFD2DC5"/>
    <w:rsid w:val="2C19523E"/>
    <w:rsid w:val="2C77792C"/>
    <w:rsid w:val="2C7F3BA9"/>
    <w:rsid w:val="2C844B41"/>
    <w:rsid w:val="2C985124"/>
    <w:rsid w:val="2CA85A95"/>
    <w:rsid w:val="2CB91342"/>
    <w:rsid w:val="2CFA5C0F"/>
    <w:rsid w:val="2D154990"/>
    <w:rsid w:val="2D3F3BA4"/>
    <w:rsid w:val="2D521FE4"/>
    <w:rsid w:val="2D886C00"/>
    <w:rsid w:val="2D8A3D5B"/>
    <w:rsid w:val="2DAF5059"/>
    <w:rsid w:val="2DBF2B4A"/>
    <w:rsid w:val="2E397741"/>
    <w:rsid w:val="2E3D2F06"/>
    <w:rsid w:val="2E53220A"/>
    <w:rsid w:val="2E695DB6"/>
    <w:rsid w:val="2E72456E"/>
    <w:rsid w:val="2EB43687"/>
    <w:rsid w:val="2ECC1D1F"/>
    <w:rsid w:val="2ED95C04"/>
    <w:rsid w:val="2F2627FA"/>
    <w:rsid w:val="2F9C0964"/>
    <w:rsid w:val="2F9E043D"/>
    <w:rsid w:val="2FB85027"/>
    <w:rsid w:val="2FEB0BD7"/>
    <w:rsid w:val="2FF03353"/>
    <w:rsid w:val="30263F63"/>
    <w:rsid w:val="30313B07"/>
    <w:rsid w:val="30645C10"/>
    <w:rsid w:val="30702C3E"/>
    <w:rsid w:val="308D1AEC"/>
    <w:rsid w:val="308E1D3F"/>
    <w:rsid w:val="30DA7865"/>
    <w:rsid w:val="30E166B5"/>
    <w:rsid w:val="30ED7376"/>
    <w:rsid w:val="311724AB"/>
    <w:rsid w:val="311F214E"/>
    <w:rsid w:val="31216F79"/>
    <w:rsid w:val="3152478A"/>
    <w:rsid w:val="319513A0"/>
    <w:rsid w:val="31AB45BC"/>
    <w:rsid w:val="31CC3BDF"/>
    <w:rsid w:val="31E56E8B"/>
    <w:rsid w:val="31FE2D9B"/>
    <w:rsid w:val="3200110E"/>
    <w:rsid w:val="32284277"/>
    <w:rsid w:val="3233692D"/>
    <w:rsid w:val="32516607"/>
    <w:rsid w:val="329267C1"/>
    <w:rsid w:val="32934090"/>
    <w:rsid w:val="329C2479"/>
    <w:rsid w:val="32B62DBE"/>
    <w:rsid w:val="32EB7DAF"/>
    <w:rsid w:val="32F16EDE"/>
    <w:rsid w:val="3368435D"/>
    <w:rsid w:val="33807805"/>
    <w:rsid w:val="339414D9"/>
    <w:rsid w:val="339E3C85"/>
    <w:rsid w:val="33B813EE"/>
    <w:rsid w:val="33D50207"/>
    <w:rsid w:val="33D765B5"/>
    <w:rsid w:val="33EC7DBB"/>
    <w:rsid w:val="34007F6D"/>
    <w:rsid w:val="34062ABA"/>
    <w:rsid w:val="341E39AA"/>
    <w:rsid w:val="34241386"/>
    <w:rsid w:val="342B30BF"/>
    <w:rsid w:val="343B04AE"/>
    <w:rsid w:val="345C4C50"/>
    <w:rsid w:val="34655258"/>
    <w:rsid w:val="3470421E"/>
    <w:rsid w:val="349A66C0"/>
    <w:rsid w:val="34AC65B3"/>
    <w:rsid w:val="34C8321F"/>
    <w:rsid w:val="34CE11CA"/>
    <w:rsid w:val="34E55D94"/>
    <w:rsid w:val="353448B6"/>
    <w:rsid w:val="353F287E"/>
    <w:rsid w:val="35B960E0"/>
    <w:rsid w:val="35EC7188"/>
    <w:rsid w:val="35F42522"/>
    <w:rsid w:val="3633380E"/>
    <w:rsid w:val="36546526"/>
    <w:rsid w:val="365550E2"/>
    <w:rsid w:val="365E7EE1"/>
    <w:rsid w:val="365F6999"/>
    <w:rsid w:val="366413ED"/>
    <w:rsid w:val="36980C13"/>
    <w:rsid w:val="36E14E00"/>
    <w:rsid w:val="36F5703C"/>
    <w:rsid w:val="36FC4E07"/>
    <w:rsid w:val="37170FFE"/>
    <w:rsid w:val="373C412D"/>
    <w:rsid w:val="37920A5A"/>
    <w:rsid w:val="37923071"/>
    <w:rsid w:val="37C02717"/>
    <w:rsid w:val="37E011F8"/>
    <w:rsid w:val="37EF6DC8"/>
    <w:rsid w:val="38094CF1"/>
    <w:rsid w:val="382830B0"/>
    <w:rsid w:val="3845395B"/>
    <w:rsid w:val="3865335C"/>
    <w:rsid w:val="38691B28"/>
    <w:rsid w:val="389C1A37"/>
    <w:rsid w:val="390D4393"/>
    <w:rsid w:val="390F050A"/>
    <w:rsid w:val="392512E2"/>
    <w:rsid w:val="39441387"/>
    <w:rsid w:val="39936F54"/>
    <w:rsid w:val="3A090F25"/>
    <w:rsid w:val="3A20601D"/>
    <w:rsid w:val="3A4373AE"/>
    <w:rsid w:val="3A523F1C"/>
    <w:rsid w:val="3A7C328C"/>
    <w:rsid w:val="3A954F9A"/>
    <w:rsid w:val="3AD0536F"/>
    <w:rsid w:val="3AD43EBF"/>
    <w:rsid w:val="3AE325E1"/>
    <w:rsid w:val="3AEA2D04"/>
    <w:rsid w:val="3B0B173D"/>
    <w:rsid w:val="3B0C4E1B"/>
    <w:rsid w:val="3B4445BF"/>
    <w:rsid w:val="3B4E75A1"/>
    <w:rsid w:val="3B8D09A8"/>
    <w:rsid w:val="3B943D76"/>
    <w:rsid w:val="3BAC0F6E"/>
    <w:rsid w:val="3BB755D2"/>
    <w:rsid w:val="3BC16DB3"/>
    <w:rsid w:val="3BC7787A"/>
    <w:rsid w:val="3BE50B73"/>
    <w:rsid w:val="3C0B2B4A"/>
    <w:rsid w:val="3CA62DA2"/>
    <w:rsid w:val="3CB672C1"/>
    <w:rsid w:val="3CBA041E"/>
    <w:rsid w:val="3CC4148B"/>
    <w:rsid w:val="3CD03E9B"/>
    <w:rsid w:val="3CEC6C0D"/>
    <w:rsid w:val="3CF74F4B"/>
    <w:rsid w:val="3CF80C64"/>
    <w:rsid w:val="3D0A244D"/>
    <w:rsid w:val="3D4715A7"/>
    <w:rsid w:val="3D4D5D93"/>
    <w:rsid w:val="3D5E2E2E"/>
    <w:rsid w:val="3D6913B0"/>
    <w:rsid w:val="3D727210"/>
    <w:rsid w:val="3D8C4073"/>
    <w:rsid w:val="3D8E705B"/>
    <w:rsid w:val="3DB72499"/>
    <w:rsid w:val="3DC90816"/>
    <w:rsid w:val="3DE3072F"/>
    <w:rsid w:val="3DEC2051"/>
    <w:rsid w:val="3DED2C8D"/>
    <w:rsid w:val="3DF24F78"/>
    <w:rsid w:val="3DFD109C"/>
    <w:rsid w:val="3E12768D"/>
    <w:rsid w:val="3E55686A"/>
    <w:rsid w:val="3E5C3666"/>
    <w:rsid w:val="3E826293"/>
    <w:rsid w:val="3E9B5E9B"/>
    <w:rsid w:val="3EB94B24"/>
    <w:rsid w:val="3ED40779"/>
    <w:rsid w:val="3EF400E7"/>
    <w:rsid w:val="3EFA2362"/>
    <w:rsid w:val="3F0B211E"/>
    <w:rsid w:val="3F21410E"/>
    <w:rsid w:val="3F8247ED"/>
    <w:rsid w:val="3F8E13A9"/>
    <w:rsid w:val="3FA02BC6"/>
    <w:rsid w:val="3FA1306F"/>
    <w:rsid w:val="3FA656C4"/>
    <w:rsid w:val="3FC77876"/>
    <w:rsid w:val="3FFF76D2"/>
    <w:rsid w:val="40220EF1"/>
    <w:rsid w:val="409273D5"/>
    <w:rsid w:val="40A50367"/>
    <w:rsid w:val="40B12ADB"/>
    <w:rsid w:val="40C258A9"/>
    <w:rsid w:val="40D53E95"/>
    <w:rsid w:val="40ED2269"/>
    <w:rsid w:val="40F462E2"/>
    <w:rsid w:val="40F91A2C"/>
    <w:rsid w:val="4111695C"/>
    <w:rsid w:val="412F3401"/>
    <w:rsid w:val="41A5318D"/>
    <w:rsid w:val="41AB16C2"/>
    <w:rsid w:val="41BF3DDD"/>
    <w:rsid w:val="41C2147E"/>
    <w:rsid w:val="41D0160D"/>
    <w:rsid w:val="41F379CF"/>
    <w:rsid w:val="4223547E"/>
    <w:rsid w:val="42551D91"/>
    <w:rsid w:val="426F60F8"/>
    <w:rsid w:val="427C4B65"/>
    <w:rsid w:val="42AD12C9"/>
    <w:rsid w:val="42DB107E"/>
    <w:rsid w:val="42DE523E"/>
    <w:rsid w:val="42F223AD"/>
    <w:rsid w:val="43184F08"/>
    <w:rsid w:val="435A40A4"/>
    <w:rsid w:val="435D300A"/>
    <w:rsid w:val="43706CDA"/>
    <w:rsid w:val="438976E2"/>
    <w:rsid w:val="439A4563"/>
    <w:rsid w:val="43AD6999"/>
    <w:rsid w:val="43B23EDE"/>
    <w:rsid w:val="43BE3CB6"/>
    <w:rsid w:val="43F43652"/>
    <w:rsid w:val="44147B34"/>
    <w:rsid w:val="442B137D"/>
    <w:rsid w:val="444B5EFF"/>
    <w:rsid w:val="44915BF6"/>
    <w:rsid w:val="449B3345"/>
    <w:rsid w:val="44C24D59"/>
    <w:rsid w:val="44F3065E"/>
    <w:rsid w:val="45094B99"/>
    <w:rsid w:val="45097E04"/>
    <w:rsid w:val="45315DA4"/>
    <w:rsid w:val="453F4F0D"/>
    <w:rsid w:val="454D6A28"/>
    <w:rsid w:val="45961954"/>
    <w:rsid w:val="45A66A4B"/>
    <w:rsid w:val="45AE4F0C"/>
    <w:rsid w:val="45F9568D"/>
    <w:rsid w:val="46123BE6"/>
    <w:rsid w:val="46455223"/>
    <w:rsid w:val="46756481"/>
    <w:rsid w:val="469255FF"/>
    <w:rsid w:val="46E548C9"/>
    <w:rsid w:val="46FA3FF7"/>
    <w:rsid w:val="471D6E2E"/>
    <w:rsid w:val="47227E01"/>
    <w:rsid w:val="47234D7D"/>
    <w:rsid w:val="473505D7"/>
    <w:rsid w:val="47393594"/>
    <w:rsid w:val="473A029C"/>
    <w:rsid w:val="47BB49AE"/>
    <w:rsid w:val="47C52DB3"/>
    <w:rsid w:val="47D43FC2"/>
    <w:rsid w:val="47F21BE5"/>
    <w:rsid w:val="47FB124E"/>
    <w:rsid w:val="480677D8"/>
    <w:rsid w:val="48102173"/>
    <w:rsid w:val="481870DA"/>
    <w:rsid w:val="4838231B"/>
    <w:rsid w:val="485618D3"/>
    <w:rsid w:val="48621A3D"/>
    <w:rsid w:val="486779BC"/>
    <w:rsid w:val="487C58DA"/>
    <w:rsid w:val="48803767"/>
    <w:rsid w:val="488A31DA"/>
    <w:rsid w:val="48A10BBA"/>
    <w:rsid w:val="48AF1CF1"/>
    <w:rsid w:val="48AF3822"/>
    <w:rsid w:val="48B84099"/>
    <w:rsid w:val="48B87C04"/>
    <w:rsid w:val="48D72771"/>
    <w:rsid w:val="48E75D4F"/>
    <w:rsid w:val="48E76D9A"/>
    <w:rsid w:val="48EC3ED9"/>
    <w:rsid w:val="491958D5"/>
    <w:rsid w:val="49326680"/>
    <w:rsid w:val="493A3472"/>
    <w:rsid w:val="495D66C7"/>
    <w:rsid w:val="49862ABB"/>
    <w:rsid w:val="498F5A6D"/>
    <w:rsid w:val="49DA40B8"/>
    <w:rsid w:val="49F652BE"/>
    <w:rsid w:val="4A214220"/>
    <w:rsid w:val="4A31496B"/>
    <w:rsid w:val="4A424BAD"/>
    <w:rsid w:val="4A5D3C7D"/>
    <w:rsid w:val="4A952B26"/>
    <w:rsid w:val="4AAA1398"/>
    <w:rsid w:val="4AFC12FE"/>
    <w:rsid w:val="4B057E38"/>
    <w:rsid w:val="4B284B27"/>
    <w:rsid w:val="4B35462A"/>
    <w:rsid w:val="4B4025BF"/>
    <w:rsid w:val="4B433C2A"/>
    <w:rsid w:val="4B4A03C6"/>
    <w:rsid w:val="4B926799"/>
    <w:rsid w:val="4B93411F"/>
    <w:rsid w:val="4B9C1BF1"/>
    <w:rsid w:val="4BB07945"/>
    <w:rsid w:val="4C05738B"/>
    <w:rsid w:val="4C076AAD"/>
    <w:rsid w:val="4C1F37E3"/>
    <w:rsid w:val="4C511B02"/>
    <w:rsid w:val="4C5F3EA9"/>
    <w:rsid w:val="4C8D5F79"/>
    <w:rsid w:val="4CA126E0"/>
    <w:rsid w:val="4CAE078C"/>
    <w:rsid w:val="4CCE2910"/>
    <w:rsid w:val="4CD63FE8"/>
    <w:rsid w:val="4CE35F38"/>
    <w:rsid w:val="4CE52275"/>
    <w:rsid w:val="4D0E3CC7"/>
    <w:rsid w:val="4D4025AD"/>
    <w:rsid w:val="4D647C72"/>
    <w:rsid w:val="4D83633C"/>
    <w:rsid w:val="4DAD3A24"/>
    <w:rsid w:val="4DAE320A"/>
    <w:rsid w:val="4DCC14D7"/>
    <w:rsid w:val="4E1966D8"/>
    <w:rsid w:val="4E415D30"/>
    <w:rsid w:val="4E4D7F30"/>
    <w:rsid w:val="4E537272"/>
    <w:rsid w:val="4E5C13E7"/>
    <w:rsid w:val="4E807407"/>
    <w:rsid w:val="4E834801"/>
    <w:rsid w:val="4E976CD4"/>
    <w:rsid w:val="4F342BFF"/>
    <w:rsid w:val="4F7F321A"/>
    <w:rsid w:val="4FA6700C"/>
    <w:rsid w:val="4FBF0074"/>
    <w:rsid w:val="4FD00F08"/>
    <w:rsid w:val="50320DEC"/>
    <w:rsid w:val="503329A9"/>
    <w:rsid w:val="50604A09"/>
    <w:rsid w:val="50612488"/>
    <w:rsid w:val="5065585D"/>
    <w:rsid w:val="506C625F"/>
    <w:rsid w:val="5077175A"/>
    <w:rsid w:val="507E1183"/>
    <w:rsid w:val="50AA4F92"/>
    <w:rsid w:val="50F53763"/>
    <w:rsid w:val="51165F8B"/>
    <w:rsid w:val="512E1C9C"/>
    <w:rsid w:val="51323452"/>
    <w:rsid w:val="513E2CF8"/>
    <w:rsid w:val="514C4A3C"/>
    <w:rsid w:val="51585B51"/>
    <w:rsid w:val="51622426"/>
    <w:rsid w:val="516A0329"/>
    <w:rsid w:val="516A0C92"/>
    <w:rsid w:val="519D7CD0"/>
    <w:rsid w:val="51DB5730"/>
    <w:rsid w:val="51E73BF5"/>
    <w:rsid w:val="51FE4265"/>
    <w:rsid w:val="520D7203"/>
    <w:rsid w:val="522312C4"/>
    <w:rsid w:val="52461A35"/>
    <w:rsid w:val="52563B54"/>
    <w:rsid w:val="528B7FD0"/>
    <w:rsid w:val="52B8621F"/>
    <w:rsid w:val="52BB3C0E"/>
    <w:rsid w:val="52E736B3"/>
    <w:rsid w:val="53241C21"/>
    <w:rsid w:val="532B6FE0"/>
    <w:rsid w:val="534E48C4"/>
    <w:rsid w:val="5352666A"/>
    <w:rsid w:val="535F632A"/>
    <w:rsid w:val="537529C3"/>
    <w:rsid w:val="537627F1"/>
    <w:rsid w:val="539D1AC3"/>
    <w:rsid w:val="53AE30FB"/>
    <w:rsid w:val="53B678B6"/>
    <w:rsid w:val="53DC3678"/>
    <w:rsid w:val="53E113BC"/>
    <w:rsid w:val="54163ED2"/>
    <w:rsid w:val="543D456B"/>
    <w:rsid w:val="54684B80"/>
    <w:rsid w:val="54702962"/>
    <w:rsid w:val="54784D46"/>
    <w:rsid w:val="54801B99"/>
    <w:rsid w:val="549238A7"/>
    <w:rsid w:val="54A82158"/>
    <w:rsid w:val="54BF1B49"/>
    <w:rsid w:val="550C3B72"/>
    <w:rsid w:val="551C543A"/>
    <w:rsid w:val="55417049"/>
    <w:rsid w:val="556348BE"/>
    <w:rsid w:val="55791CB7"/>
    <w:rsid w:val="55A0038E"/>
    <w:rsid w:val="55B654BC"/>
    <w:rsid w:val="55F5614A"/>
    <w:rsid w:val="55FF51A1"/>
    <w:rsid w:val="56257F68"/>
    <w:rsid w:val="56B978B9"/>
    <w:rsid w:val="56BF46DA"/>
    <w:rsid w:val="56E7290C"/>
    <w:rsid w:val="570E6F78"/>
    <w:rsid w:val="571037CE"/>
    <w:rsid w:val="57323E10"/>
    <w:rsid w:val="5753751A"/>
    <w:rsid w:val="575C3988"/>
    <w:rsid w:val="575C50AB"/>
    <w:rsid w:val="576E3B6D"/>
    <w:rsid w:val="5784103C"/>
    <w:rsid w:val="57855CC0"/>
    <w:rsid w:val="57E3171A"/>
    <w:rsid w:val="57E445EB"/>
    <w:rsid w:val="57F458FB"/>
    <w:rsid w:val="580D6A27"/>
    <w:rsid w:val="58160C42"/>
    <w:rsid w:val="5877457A"/>
    <w:rsid w:val="588640B5"/>
    <w:rsid w:val="58955049"/>
    <w:rsid w:val="58C846E4"/>
    <w:rsid w:val="58CE0955"/>
    <w:rsid w:val="58D66C1E"/>
    <w:rsid w:val="58EC1008"/>
    <w:rsid w:val="59410FB8"/>
    <w:rsid w:val="59582FD5"/>
    <w:rsid w:val="595876CA"/>
    <w:rsid w:val="597F00FA"/>
    <w:rsid w:val="59941F3D"/>
    <w:rsid w:val="59C236A3"/>
    <w:rsid w:val="59E52C79"/>
    <w:rsid w:val="5A0A1AD1"/>
    <w:rsid w:val="5A1D1000"/>
    <w:rsid w:val="5A3A2ED4"/>
    <w:rsid w:val="5A4A2677"/>
    <w:rsid w:val="5A5365EB"/>
    <w:rsid w:val="5A7E01E4"/>
    <w:rsid w:val="5ABC2DC1"/>
    <w:rsid w:val="5ABD109B"/>
    <w:rsid w:val="5AF173B1"/>
    <w:rsid w:val="5AFE6AD9"/>
    <w:rsid w:val="5B0E68CE"/>
    <w:rsid w:val="5B335BF8"/>
    <w:rsid w:val="5B8E7FDE"/>
    <w:rsid w:val="5BEA572B"/>
    <w:rsid w:val="5C33727A"/>
    <w:rsid w:val="5C3E758A"/>
    <w:rsid w:val="5C4936E2"/>
    <w:rsid w:val="5C857A7E"/>
    <w:rsid w:val="5CA97FED"/>
    <w:rsid w:val="5CB93BD4"/>
    <w:rsid w:val="5CEB7286"/>
    <w:rsid w:val="5D1F42BD"/>
    <w:rsid w:val="5D315141"/>
    <w:rsid w:val="5D547D2E"/>
    <w:rsid w:val="5D8A61A8"/>
    <w:rsid w:val="5D923F2C"/>
    <w:rsid w:val="5DC84336"/>
    <w:rsid w:val="5DD54F2A"/>
    <w:rsid w:val="5DD7245D"/>
    <w:rsid w:val="5E14191A"/>
    <w:rsid w:val="5E2D3E9D"/>
    <w:rsid w:val="5E471E25"/>
    <w:rsid w:val="5E635121"/>
    <w:rsid w:val="5EC2139F"/>
    <w:rsid w:val="5EC90ECF"/>
    <w:rsid w:val="5EEB60C5"/>
    <w:rsid w:val="5EF23FAE"/>
    <w:rsid w:val="5F1E1789"/>
    <w:rsid w:val="5F203499"/>
    <w:rsid w:val="5F69359F"/>
    <w:rsid w:val="5F8C21A0"/>
    <w:rsid w:val="5F8F1CC4"/>
    <w:rsid w:val="5FA32F55"/>
    <w:rsid w:val="5FA46905"/>
    <w:rsid w:val="5FBE3344"/>
    <w:rsid w:val="5FCC560E"/>
    <w:rsid w:val="60202B79"/>
    <w:rsid w:val="60256AF3"/>
    <w:rsid w:val="60483C8B"/>
    <w:rsid w:val="605379AE"/>
    <w:rsid w:val="60791C44"/>
    <w:rsid w:val="608C62A2"/>
    <w:rsid w:val="609F3F51"/>
    <w:rsid w:val="60E514BE"/>
    <w:rsid w:val="60F4333C"/>
    <w:rsid w:val="60F63F7B"/>
    <w:rsid w:val="60FB12D6"/>
    <w:rsid w:val="612D17BE"/>
    <w:rsid w:val="61425571"/>
    <w:rsid w:val="619B1E3A"/>
    <w:rsid w:val="61F30701"/>
    <w:rsid w:val="621E5A12"/>
    <w:rsid w:val="62A12E77"/>
    <w:rsid w:val="62A55DAB"/>
    <w:rsid w:val="62A911E5"/>
    <w:rsid w:val="62DC255D"/>
    <w:rsid w:val="62E458D7"/>
    <w:rsid w:val="630713BC"/>
    <w:rsid w:val="63201103"/>
    <w:rsid w:val="63255DA8"/>
    <w:rsid w:val="635118DB"/>
    <w:rsid w:val="63842425"/>
    <w:rsid w:val="63D02A49"/>
    <w:rsid w:val="63DA7C6F"/>
    <w:rsid w:val="63F920C0"/>
    <w:rsid w:val="640577EE"/>
    <w:rsid w:val="643028DD"/>
    <w:rsid w:val="645B2C5D"/>
    <w:rsid w:val="645C7FB4"/>
    <w:rsid w:val="646A73C0"/>
    <w:rsid w:val="649225A4"/>
    <w:rsid w:val="64941A25"/>
    <w:rsid w:val="64B31F24"/>
    <w:rsid w:val="64BE458F"/>
    <w:rsid w:val="64DD3BD7"/>
    <w:rsid w:val="64EE1A20"/>
    <w:rsid w:val="65016B7F"/>
    <w:rsid w:val="651C30F1"/>
    <w:rsid w:val="65523170"/>
    <w:rsid w:val="657E4B86"/>
    <w:rsid w:val="659A6BA8"/>
    <w:rsid w:val="65C315DD"/>
    <w:rsid w:val="65C778A0"/>
    <w:rsid w:val="65D5738F"/>
    <w:rsid w:val="65EF17FA"/>
    <w:rsid w:val="65FC7799"/>
    <w:rsid w:val="66086618"/>
    <w:rsid w:val="660A20B4"/>
    <w:rsid w:val="660A43EF"/>
    <w:rsid w:val="66362933"/>
    <w:rsid w:val="66680A54"/>
    <w:rsid w:val="6695111E"/>
    <w:rsid w:val="66BF4DB0"/>
    <w:rsid w:val="66EA3294"/>
    <w:rsid w:val="66F057E5"/>
    <w:rsid w:val="67060CBC"/>
    <w:rsid w:val="674A0B72"/>
    <w:rsid w:val="67586998"/>
    <w:rsid w:val="676E12F3"/>
    <w:rsid w:val="679B2F67"/>
    <w:rsid w:val="67C00F56"/>
    <w:rsid w:val="67F17E02"/>
    <w:rsid w:val="68195C76"/>
    <w:rsid w:val="685C7C97"/>
    <w:rsid w:val="686D72B9"/>
    <w:rsid w:val="6879367D"/>
    <w:rsid w:val="68794EC1"/>
    <w:rsid w:val="68CC7889"/>
    <w:rsid w:val="68F81D58"/>
    <w:rsid w:val="69073A8D"/>
    <w:rsid w:val="69154FC4"/>
    <w:rsid w:val="693D525A"/>
    <w:rsid w:val="694B23CE"/>
    <w:rsid w:val="69545C1F"/>
    <w:rsid w:val="6967264B"/>
    <w:rsid w:val="698A09A5"/>
    <w:rsid w:val="69B47BD4"/>
    <w:rsid w:val="69BA3375"/>
    <w:rsid w:val="69BB1F5B"/>
    <w:rsid w:val="69D33024"/>
    <w:rsid w:val="69E25F8C"/>
    <w:rsid w:val="69F87D41"/>
    <w:rsid w:val="6A0E4E80"/>
    <w:rsid w:val="6A140B24"/>
    <w:rsid w:val="6A766A86"/>
    <w:rsid w:val="6A7872EA"/>
    <w:rsid w:val="6A9C6FE9"/>
    <w:rsid w:val="6AAB03F6"/>
    <w:rsid w:val="6AB73049"/>
    <w:rsid w:val="6ABF703F"/>
    <w:rsid w:val="6AD90201"/>
    <w:rsid w:val="6AE12B6B"/>
    <w:rsid w:val="6AF2613C"/>
    <w:rsid w:val="6B17420F"/>
    <w:rsid w:val="6B48686A"/>
    <w:rsid w:val="6BCF6F7E"/>
    <w:rsid w:val="6BFF1AC2"/>
    <w:rsid w:val="6C154B37"/>
    <w:rsid w:val="6C20148A"/>
    <w:rsid w:val="6C250EBE"/>
    <w:rsid w:val="6C2E3D59"/>
    <w:rsid w:val="6C337C4D"/>
    <w:rsid w:val="6C49456A"/>
    <w:rsid w:val="6C4F2F8E"/>
    <w:rsid w:val="6C87517B"/>
    <w:rsid w:val="6C9C1724"/>
    <w:rsid w:val="6CBC5B45"/>
    <w:rsid w:val="6CBF3BA0"/>
    <w:rsid w:val="6CBF4421"/>
    <w:rsid w:val="6CD938B8"/>
    <w:rsid w:val="6CEC305A"/>
    <w:rsid w:val="6CF14736"/>
    <w:rsid w:val="6D20348C"/>
    <w:rsid w:val="6D246EEC"/>
    <w:rsid w:val="6D2620AE"/>
    <w:rsid w:val="6D3A6B13"/>
    <w:rsid w:val="6D611392"/>
    <w:rsid w:val="6D846E13"/>
    <w:rsid w:val="6D9A1ED1"/>
    <w:rsid w:val="6DBF419D"/>
    <w:rsid w:val="6E05286F"/>
    <w:rsid w:val="6E18375C"/>
    <w:rsid w:val="6E53312C"/>
    <w:rsid w:val="6E57131F"/>
    <w:rsid w:val="6E676007"/>
    <w:rsid w:val="6E695932"/>
    <w:rsid w:val="6E7C0D21"/>
    <w:rsid w:val="6E994887"/>
    <w:rsid w:val="6E9E233E"/>
    <w:rsid w:val="6EA506C4"/>
    <w:rsid w:val="6ED578C8"/>
    <w:rsid w:val="6F0801E2"/>
    <w:rsid w:val="6F3C27DD"/>
    <w:rsid w:val="6F753DC4"/>
    <w:rsid w:val="6F836956"/>
    <w:rsid w:val="6FCE14E4"/>
    <w:rsid w:val="6FD364B6"/>
    <w:rsid w:val="700E32C7"/>
    <w:rsid w:val="70405B5C"/>
    <w:rsid w:val="70407FC9"/>
    <w:rsid w:val="70532E88"/>
    <w:rsid w:val="712D4800"/>
    <w:rsid w:val="714670E7"/>
    <w:rsid w:val="715259A5"/>
    <w:rsid w:val="716F0649"/>
    <w:rsid w:val="71A10A4C"/>
    <w:rsid w:val="71A67EED"/>
    <w:rsid w:val="71AC0833"/>
    <w:rsid w:val="71B07F9A"/>
    <w:rsid w:val="71F94E9C"/>
    <w:rsid w:val="721B2713"/>
    <w:rsid w:val="72230E8C"/>
    <w:rsid w:val="72997E60"/>
    <w:rsid w:val="72B21613"/>
    <w:rsid w:val="72ED0140"/>
    <w:rsid w:val="730D6C0C"/>
    <w:rsid w:val="731D6723"/>
    <w:rsid w:val="733D3045"/>
    <w:rsid w:val="7372069C"/>
    <w:rsid w:val="73867C84"/>
    <w:rsid w:val="73C30F94"/>
    <w:rsid w:val="73E2194B"/>
    <w:rsid w:val="742171A7"/>
    <w:rsid w:val="74444DB1"/>
    <w:rsid w:val="747C43B9"/>
    <w:rsid w:val="74A85E8F"/>
    <w:rsid w:val="74CC78E6"/>
    <w:rsid w:val="74D973E1"/>
    <w:rsid w:val="752E3777"/>
    <w:rsid w:val="759C588F"/>
    <w:rsid w:val="75B643F3"/>
    <w:rsid w:val="75C331E2"/>
    <w:rsid w:val="75DB55A5"/>
    <w:rsid w:val="75E31DE4"/>
    <w:rsid w:val="75F748A2"/>
    <w:rsid w:val="761B45EA"/>
    <w:rsid w:val="7639110C"/>
    <w:rsid w:val="76484F6D"/>
    <w:rsid w:val="767A6C75"/>
    <w:rsid w:val="76B75B16"/>
    <w:rsid w:val="76CC0432"/>
    <w:rsid w:val="76FF646A"/>
    <w:rsid w:val="771C30BE"/>
    <w:rsid w:val="771D2658"/>
    <w:rsid w:val="774C3F3A"/>
    <w:rsid w:val="77703586"/>
    <w:rsid w:val="779251BE"/>
    <w:rsid w:val="77C90C27"/>
    <w:rsid w:val="77C93705"/>
    <w:rsid w:val="77E06906"/>
    <w:rsid w:val="78166745"/>
    <w:rsid w:val="78943932"/>
    <w:rsid w:val="78994327"/>
    <w:rsid w:val="789D3206"/>
    <w:rsid w:val="78C45314"/>
    <w:rsid w:val="78D41F79"/>
    <w:rsid w:val="7922503D"/>
    <w:rsid w:val="79256CAC"/>
    <w:rsid w:val="79257675"/>
    <w:rsid w:val="792F0363"/>
    <w:rsid w:val="79515F63"/>
    <w:rsid w:val="79743091"/>
    <w:rsid w:val="7982235E"/>
    <w:rsid w:val="79AA0299"/>
    <w:rsid w:val="79AB780C"/>
    <w:rsid w:val="79E753EB"/>
    <w:rsid w:val="7A1856FB"/>
    <w:rsid w:val="7A6D7D87"/>
    <w:rsid w:val="7A721A4A"/>
    <w:rsid w:val="7A7C03CF"/>
    <w:rsid w:val="7A910027"/>
    <w:rsid w:val="7A9C35F5"/>
    <w:rsid w:val="7ACA5B43"/>
    <w:rsid w:val="7ADB2D85"/>
    <w:rsid w:val="7ADB60E8"/>
    <w:rsid w:val="7B0A533F"/>
    <w:rsid w:val="7B203E54"/>
    <w:rsid w:val="7B3B6FC0"/>
    <w:rsid w:val="7B9361A0"/>
    <w:rsid w:val="7BA67BFD"/>
    <w:rsid w:val="7BB5352B"/>
    <w:rsid w:val="7BB77852"/>
    <w:rsid w:val="7BC41AE3"/>
    <w:rsid w:val="7BCA7E8D"/>
    <w:rsid w:val="7BE23358"/>
    <w:rsid w:val="7C4953F6"/>
    <w:rsid w:val="7C646D0F"/>
    <w:rsid w:val="7C9043FB"/>
    <w:rsid w:val="7C941BC3"/>
    <w:rsid w:val="7CFC39CF"/>
    <w:rsid w:val="7D92777B"/>
    <w:rsid w:val="7DAC4A5D"/>
    <w:rsid w:val="7E092BAE"/>
    <w:rsid w:val="7E385DD8"/>
    <w:rsid w:val="7E523AE3"/>
    <w:rsid w:val="7E6A6551"/>
    <w:rsid w:val="7E9006F1"/>
    <w:rsid w:val="7E9A0244"/>
    <w:rsid w:val="7EAC0F2D"/>
    <w:rsid w:val="7EAF15B4"/>
    <w:rsid w:val="7EEF65DD"/>
    <w:rsid w:val="7F193382"/>
    <w:rsid w:val="7FAD6673"/>
    <w:rsid w:val="7FD75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qFormat="1" w:unhideWhenUsed="0" w:uiPriority="0" w:semiHidden="0" w:name="HTML Keyboard"/>
    <w:lsdException w:qFormat="1" w:unhideWhenUsed="0" w:uiPriority="0" w:semiHidden="0" w:name="HTML Preformatted"/>
    <w:lsdException w:qFormat="1" w:uiPriority="99"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0"/>
    <w:qFormat/>
    <w:uiPriority w:val="0"/>
    <w:pPr>
      <w:keepNext/>
      <w:keepLines/>
      <w:tabs>
        <w:tab w:val="left" w:pos="720"/>
      </w:tabs>
      <w:spacing w:before="260" w:afterLines="50" w:line="416" w:lineRule="auto"/>
      <w:ind w:left="720" w:hanging="720"/>
      <w:outlineLvl w:val="2"/>
    </w:pPr>
    <w:rPr>
      <w:rFonts w:ascii="Arial" w:hAnsi="Arial" w:eastAsia="黑体" w:cs="宋体"/>
      <w:color w:val="000000"/>
      <w:spacing w:val="20"/>
      <w:kern w:val="0"/>
      <w:sz w:val="30"/>
      <w:szCs w:val="32"/>
    </w:rPr>
  </w:style>
  <w:style w:type="paragraph" w:styleId="5">
    <w:name w:val="heading 4"/>
    <w:basedOn w:val="1"/>
    <w:next w:val="6"/>
    <w:link w:val="61"/>
    <w:qFormat/>
    <w:uiPriority w:val="0"/>
    <w:pPr>
      <w:keepNext/>
      <w:keepLines/>
      <w:tabs>
        <w:tab w:val="left" w:pos="1079"/>
      </w:tabs>
      <w:spacing w:before="280" w:afterLines="50" w:line="377" w:lineRule="auto"/>
      <w:ind w:left="1077" w:hanging="1077"/>
      <w:outlineLvl w:val="3"/>
    </w:pPr>
    <w:rPr>
      <w:rFonts w:ascii="Arial" w:hAnsi="Arial" w:eastAsia="黑体" w:cs="宋体"/>
      <w:color w:val="000000"/>
      <w:spacing w:val="10"/>
      <w:kern w:val="0"/>
      <w:sz w:val="28"/>
      <w:szCs w:val="28"/>
    </w:rPr>
  </w:style>
  <w:style w:type="paragraph" w:styleId="7">
    <w:name w:val="heading 5"/>
    <w:basedOn w:val="1"/>
    <w:next w:val="6"/>
    <w:link w:val="62"/>
    <w:qFormat/>
    <w:uiPriority w:val="0"/>
    <w:pPr>
      <w:keepNext/>
      <w:keepLines/>
      <w:tabs>
        <w:tab w:val="left" w:pos="1260"/>
      </w:tabs>
      <w:spacing w:before="280" w:afterLines="50" w:line="377" w:lineRule="auto"/>
      <w:ind w:left="1259" w:hanging="1259"/>
      <w:outlineLvl w:val="4"/>
    </w:pPr>
    <w:rPr>
      <w:rFonts w:ascii="Arial" w:hAnsi="Arial" w:eastAsia="黑体" w:cs="宋体"/>
      <w:color w:val="000000"/>
      <w:spacing w:val="10"/>
      <w:kern w:val="0"/>
      <w:sz w:val="28"/>
      <w:szCs w:val="28"/>
    </w:rPr>
  </w:style>
  <w:style w:type="paragraph" w:styleId="8">
    <w:name w:val="heading 6"/>
    <w:basedOn w:val="1"/>
    <w:next w:val="6"/>
    <w:link w:val="63"/>
    <w:qFormat/>
    <w:uiPriority w:val="0"/>
    <w:pPr>
      <w:keepNext/>
      <w:keepLines/>
      <w:tabs>
        <w:tab w:val="left" w:pos="1428"/>
      </w:tabs>
      <w:spacing w:before="240" w:afterLines="50" w:line="319" w:lineRule="auto"/>
      <w:ind w:left="550" w:hanging="550" w:hangingChars="550"/>
      <w:outlineLvl w:val="5"/>
    </w:pPr>
    <w:rPr>
      <w:rFonts w:ascii="Arial" w:hAnsi="Arial" w:eastAsia="黑体" w:cs="宋体"/>
      <w:color w:val="000000"/>
      <w:spacing w:val="10"/>
      <w:kern w:val="0"/>
      <w:sz w:val="24"/>
      <w:szCs w:val="21"/>
    </w:rPr>
  </w:style>
  <w:style w:type="paragraph" w:styleId="9">
    <w:name w:val="heading 7"/>
    <w:basedOn w:val="1"/>
    <w:next w:val="6"/>
    <w:link w:val="64"/>
    <w:qFormat/>
    <w:uiPriority w:val="0"/>
    <w:pPr>
      <w:keepNext/>
      <w:keepLines/>
      <w:tabs>
        <w:tab w:val="left" w:pos="1638"/>
      </w:tabs>
      <w:spacing w:before="240" w:afterLines="50" w:line="319" w:lineRule="auto"/>
      <w:ind w:left="1633" w:hanging="1633"/>
      <w:outlineLvl w:val="6"/>
    </w:pPr>
    <w:rPr>
      <w:rFonts w:ascii="Arial" w:hAnsi="Arial" w:eastAsia="黑体" w:cs="宋体"/>
      <w:color w:val="000000"/>
      <w:kern w:val="0"/>
      <w:sz w:val="24"/>
      <w:szCs w:val="21"/>
    </w:rPr>
  </w:style>
  <w:style w:type="paragraph" w:styleId="10">
    <w:name w:val="heading 8"/>
    <w:basedOn w:val="1"/>
    <w:next w:val="6"/>
    <w:link w:val="65"/>
    <w:qFormat/>
    <w:uiPriority w:val="0"/>
    <w:pPr>
      <w:keepNext/>
      <w:keepLines/>
      <w:tabs>
        <w:tab w:val="left" w:pos="1800"/>
      </w:tabs>
      <w:spacing w:before="240" w:afterLines="50" w:line="319" w:lineRule="auto"/>
      <w:ind w:left="1797" w:hanging="1797"/>
      <w:outlineLvl w:val="7"/>
    </w:pPr>
    <w:rPr>
      <w:rFonts w:ascii="Arial" w:hAnsi="Arial" w:eastAsia="黑体" w:cs="宋体"/>
      <w:b/>
      <w:bCs/>
      <w:color w:val="000000"/>
      <w:kern w:val="0"/>
      <w:sz w:val="24"/>
      <w:szCs w:val="21"/>
    </w:rPr>
  </w:style>
  <w:style w:type="paragraph" w:styleId="11">
    <w:name w:val="heading 9"/>
    <w:basedOn w:val="1"/>
    <w:next w:val="6"/>
    <w:link w:val="66"/>
    <w:qFormat/>
    <w:uiPriority w:val="0"/>
    <w:pPr>
      <w:keepNext/>
      <w:keepLines/>
      <w:tabs>
        <w:tab w:val="left" w:pos="1980"/>
      </w:tabs>
      <w:spacing w:before="240" w:afterLines="50" w:line="319" w:lineRule="auto"/>
      <w:ind w:left="1979" w:hanging="1979"/>
      <w:outlineLvl w:val="8"/>
    </w:pPr>
    <w:rPr>
      <w:rFonts w:ascii="Arial" w:hAnsi="Arial" w:eastAsia="黑体" w:cs="宋体"/>
      <w:b/>
      <w:bCs/>
      <w:color w:val="000000"/>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59"/>
    <w:qFormat/>
    <w:uiPriority w:val="0"/>
    <w:pPr>
      <w:ind w:firstLine="420" w:firstLineChars="200"/>
    </w:pPr>
    <w:rPr>
      <w:rFonts w:ascii="仿宋_GB2312" w:hAnsi="宋体" w:eastAsia="仿宋_GB2312" w:cs="宋体"/>
      <w:b/>
      <w:bCs/>
      <w:color w:val="000000"/>
      <w:kern w:val="0"/>
      <w:szCs w:val="21"/>
    </w:rPr>
  </w:style>
  <w:style w:type="paragraph" w:styleId="12">
    <w:name w:val="caption"/>
    <w:basedOn w:val="1"/>
    <w:next w:val="1"/>
    <w:qFormat/>
    <w:uiPriority w:val="0"/>
    <w:rPr>
      <w:rFonts w:ascii="Arial" w:hAnsi="Arial" w:eastAsia="黑体" w:cs="Arial"/>
      <w:color w:val="000000"/>
      <w:kern w:val="1"/>
      <w:sz w:val="20"/>
      <w:szCs w:val="20"/>
    </w:rPr>
  </w:style>
  <w:style w:type="paragraph" w:styleId="13">
    <w:name w:val="List Bullet"/>
    <w:basedOn w:val="1"/>
    <w:qFormat/>
    <w:uiPriority w:val="0"/>
    <w:pPr>
      <w:spacing w:line="360" w:lineRule="auto"/>
    </w:pPr>
    <w:rPr>
      <w:rFonts w:ascii="宋体" w:hAnsi="宋体"/>
      <w:sz w:val="20"/>
      <w:szCs w:val="20"/>
    </w:rPr>
  </w:style>
  <w:style w:type="paragraph" w:styleId="14">
    <w:name w:val="Document Map"/>
    <w:basedOn w:val="1"/>
    <w:link w:val="96"/>
    <w:semiHidden/>
    <w:qFormat/>
    <w:uiPriority w:val="0"/>
    <w:pPr>
      <w:shd w:val="clear" w:color="auto" w:fill="000080"/>
    </w:pPr>
  </w:style>
  <w:style w:type="paragraph" w:styleId="15">
    <w:name w:val="annotation text"/>
    <w:basedOn w:val="1"/>
    <w:link w:val="67"/>
    <w:unhideWhenUsed/>
    <w:qFormat/>
    <w:uiPriority w:val="0"/>
    <w:pPr>
      <w:jc w:val="left"/>
    </w:pPr>
  </w:style>
  <w:style w:type="paragraph" w:styleId="16">
    <w:name w:val="Body Text 3"/>
    <w:basedOn w:val="1"/>
    <w:link w:val="176"/>
    <w:unhideWhenUsed/>
    <w:qFormat/>
    <w:uiPriority w:val="0"/>
    <w:pPr>
      <w:spacing w:after="120"/>
    </w:pPr>
    <w:rPr>
      <w:sz w:val="16"/>
      <w:szCs w:val="16"/>
    </w:rPr>
  </w:style>
  <w:style w:type="paragraph" w:styleId="17">
    <w:name w:val="Body Text"/>
    <w:basedOn w:val="1"/>
    <w:next w:val="1"/>
    <w:qFormat/>
    <w:uiPriority w:val="0"/>
  </w:style>
  <w:style w:type="paragraph" w:styleId="18">
    <w:name w:val="Body Text Indent"/>
    <w:basedOn w:val="1"/>
    <w:next w:val="1"/>
    <w:qFormat/>
    <w:uiPriority w:val="0"/>
    <w:pPr>
      <w:ind w:left="480" w:hanging="480" w:hangingChars="200"/>
    </w:pPr>
    <w:rPr>
      <w:sz w:val="24"/>
    </w:rPr>
  </w:style>
  <w:style w:type="paragraph" w:styleId="19">
    <w:name w:val="List Number 3"/>
    <w:basedOn w:val="1"/>
    <w:qFormat/>
    <w:uiPriority w:val="0"/>
    <w:pPr>
      <w:widowControl/>
      <w:tabs>
        <w:tab w:val="left" w:pos="2260"/>
      </w:tabs>
      <w:spacing w:afterLines="50"/>
      <w:ind w:left="2260" w:hanging="340"/>
      <w:jc w:val="left"/>
    </w:pPr>
    <w:rPr>
      <w:kern w:val="0"/>
      <w:sz w:val="24"/>
      <w:szCs w:val="20"/>
    </w:rPr>
  </w:style>
  <w:style w:type="paragraph" w:styleId="20">
    <w:name w:val="List Continue"/>
    <w:basedOn w:val="1"/>
    <w:qFormat/>
    <w:uiPriority w:val="0"/>
    <w:pPr>
      <w:spacing w:after="120"/>
      <w:ind w:left="420"/>
    </w:pPr>
    <w:rPr>
      <w:rFonts w:eastAsia="楷体_GB2312"/>
      <w:sz w:val="32"/>
      <w:szCs w:val="20"/>
    </w:rPr>
  </w:style>
  <w:style w:type="paragraph" w:styleId="21">
    <w:name w:val="Block Text"/>
    <w:basedOn w:val="1"/>
    <w:qFormat/>
    <w:uiPriority w:val="0"/>
    <w:pPr>
      <w:spacing w:after="120"/>
      <w:ind w:left="1440" w:leftChars="700" w:right="1440" w:rightChars="700"/>
    </w:pPr>
    <w:rPr>
      <w:szCs w:val="22"/>
    </w:rPr>
  </w:style>
  <w:style w:type="paragraph" w:styleId="22">
    <w:name w:val="toc 3"/>
    <w:basedOn w:val="1"/>
    <w:next w:val="1"/>
    <w:semiHidden/>
    <w:qFormat/>
    <w:uiPriority w:val="0"/>
    <w:pPr>
      <w:tabs>
        <w:tab w:val="right" w:leader="dot" w:pos="8777"/>
      </w:tabs>
      <w:spacing w:line="500" w:lineRule="atLeast"/>
      <w:ind w:left="540" w:leftChars="257"/>
    </w:pPr>
  </w:style>
  <w:style w:type="paragraph" w:styleId="23">
    <w:name w:val="Plain Text"/>
    <w:basedOn w:val="1"/>
    <w:link w:val="68"/>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4">
    <w:name w:val="Date"/>
    <w:basedOn w:val="1"/>
    <w:next w:val="1"/>
    <w:link w:val="97"/>
    <w:qFormat/>
    <w:uiPriority w:val="0"/>
    <w:pPr>
      <w:ind w:left="100" w:leftChars="2500"/>
    </w:pPr>
    <w:rPr>
      <w:rFonts w:ascii="仿宋_GB2312" w:hAnsi="宋体" w:eastAsia="仿宋_GB2312" w:cs="宋体"/>
      <w:b/>
      <w:bCs/>
      <w:color w:val="000000"/>
      <w:kern w:val="0"/>
      <w:sz w:val="24"/>
      <w:szCs w:val="21"/>
    </w:rPr>
  </w:style>
  <w:style w:type="paragraph" w:styleId="25">
    <w:name w:val="Body Text Indent 2"/>
    <w:basedOn w:val="1"/>
    <w:link w:val="69"/>
    <w:qFormat/>
    <w:uiPriority w:val="0"/>
    <w:pPr>
      <w:widowControl/>
      <w:spacing w:line="480" w:lineRule="atLeast"/>
      <w:ind w:firstLine="480"/>
    </w:pPr>
    <w:rPr>
      <w:rFonts w:ascii="宋体" w:hAnsi="宋体" w:eastAsia="仿宋_GB2312"/>
      <w:b/>
      <w:bCs/>
      <w:color w:val="000000"/>
      <w:kern w:val="0"/>
      <w:sz w:val="24"/>
      <w:szCs w:val="20"/>
    </w:rPr>
  </w:style>
  <w:style w:type="paragraph" w:styleId="26">
    <w:name w:val="Balloon Text"/>
    <w:basedOn w:val="1"/>
    <w:semiHidden/>
    <w:qFormat/>
    <w:uiPriority w:val="0"/>
    <w:rPr>
      <w:sz w:val="18"/>
      <w:szCs w:val="18"/>
    </w:rPr>
  </w:style>
  <w:style w:type="paragraph" w:styleId="27">
    <w:name w:val="footer"/>
    <w:basedOn w:val="1"/>
    <w:link w:val="70"/>
    <w:qFormat/>
    <w:uiPriority w:val="0"/>
    <w:pPr>
      <w:tabs>
        <w:tab w:val="center" w:pos="4153"/>
        <w:tab w:val="right" w:pos="8306"/>
      </w:tabs>
      <w:snapToGrid w:val="0"/>
      <w:jc w:val="left"/>
    </w:pPr>
    <w:rPr>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777"/>
      </w:tabs>
      <w:spacing w:line="500" w:lineRule="exact"/>
      <w:jc w:val="left"/>
    </w:pPr>
  </w:style>
  <w:style w:type="paragraph" w:styleId="30">
    <w:name w:val="Subtitle"/>
    <w:basedOn w:val="1"/>
    <w:next w:val="1"/>
    <w:link w:val="72"/>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ind w:left="420" w:hanging="420"/>
    </w:pPr>
    <w:rPr>
      <w:rFonts w:eastAsia="楷体_GB2312"/>
      <w:sz w:val="32"/>
      <w:szCs w:val="20"/>
    </w:rPr>
  </w:style>
  <w:style w:type="paragraph" w:styleId="32">
    <w:name w:val="footnote text"/>
    <w:basedOn w:val="1"/>
    <w:link w:val="98"/>
    <w:qFormat/>
    <w:uiPriority w:val="0"/>
    <w:pPr>
      <w:snapToGrid w:val="0"/>
      <w:jc w:val="left"/>
    </w:pPr>
    <w:rPr>
      <w:sz w:val="18"/>
    </w:rPr>
  </w:style>
  <w:style w:type="paragraph" w:styleId="33">
    <w:name w:val="toc 6"/>
    <w:basedOn w:val="1"/>
    <w:next w:val="1"/>
    <w:qFormat/>
    <w:uiPriority w:val="0"/>
    <w:pPr>
      <w:ind w:left="2100" w:leftChars="1000"/>
    </w:pPr>
    <w:rPr>
      <w:rFonts w:ascii="仿宋_GB2312" w:hAnsi="宋体" w:eastAsia="仿宋_GB2312" w:cs="宋体"/>
      <w:b/>
      <w:bCs/>
      <w:color w:val="000000"/>
      <w:kern w:val="0"/>
      <w:szCs w:val="21"/>
    </w:rPr>
  </w:style>
  <w:style w:type="paragraph" w:styleId="34">
    <w:name w:val="Body Text Indent 3"/>
    <w:basedOn w:val="1"/>
    <w:link w:val="99"/>
    <w:qFormat/>
    <w:uiPriority w:val="0"/>
    <w:pPr>
      <w:spacing w:after="120"/>
      <w:ind w:left="420" w:leftChars="200"/>
    </w:pPr>
    <w:rPr>
      <w:rFonts w:ascii="仿宋_GB2312" w:hAnsi="宋体" w:eastAsia="仿宋_GB2312" w:cs="宋体"/>
      <w:b/>
      <w:bCs/>
      <w:color w:val="000000"/>
      <w:kern w:val="0"/>
      <w:sz w:val="16"/>
      <w:szCs w:val="16"/>
    </w:rPr>
  </w:style>
  <w:style w:type="paragraph" w:styleId="35">
    <w:name w:val="toc 2"/>
    <w:basedOn w:val="1"/>
    <w:next w:val="1"/>
    <w:qFormat/>
    <w:uiPriority w:val="39"/>
    <w:pPr>
      <w:tabs>
        <w:tab w:val="right" w:leader="dot" w:pos="8777"/>
      </w:tabs>
      <w:spacing w:line="500" w:lineRule="atLeast"/>
      <w:ind w:left="420" w:leftChars="200" w:firstLine="120" w:firstLineChars="50"/>
    </w:pPr>
  </w:style>
  <w:style w:type="paragraph" w:styleId="36">
    <w:name w:val="Body Text 2"/>
    <w:basedOn w:val="1"/>
    <w:link w:val="100"/>
    <w:qFormat/>
    <w:uiPriority w:val="0"/>
    <w:pPr>
      <w:spacing w:after="120" w:line="480" w:lineRule="auto"/>
    </w:pPr>
  </w:style>
  <w:style w:type="paragraph" w:styleId="37">
    <w:name w:val="HTML Preformatted"/>
    <w:basedOn w:val="1"/>
    <w:link w:val="1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8">
    <w:name w:val="Normal (Web)"/>
    <w:basedOn w:val="1"/>
    <w:link w:val="73"/>
    <w:unhideWhenUsed/>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74"/>
    <w:qFormat/>
    <w:uiPriority w:val="0"/>
    <w:pPr>
      <w:spacing w:before="240" w:after="60"/>
      <w:jc w:val="center"/>
      <w:outlineLvl w:val="0"/>
    </w:pPr>
    <w:rPr>
      <w:rFonts w:ascii="Cambria" w:hAnsi="Cambria"/>
      <w:b/>
      <w:bCs/>
      <w:sz w:val="32"/>
      <w:szCs w:val="32"/>
    </w:rPr>
  </w:style>
  <w:style w:type="paragraph" w:styleId="40">
    <w:name w:val="annotation subject"/>
    <w:basedOn w:val="15"/>
    <w:next w:val="15"/>
    <w:link w:val="75"/>
    <w:semiHidden/>
    <w:unhideWhenUsed/>
    <w:qFormat/>
    <w:uiPriority w:val="0"/>
    <w:rPr>
      <w:b/>
      <w:bCs/>
    </w:rPr>
  </w:style>
  <w:style w:type="paragraph" w:styleId="41">
    <w:name w:val="Body Text First Indent"/>
    <w:basedOn w:val="17"/>
    <w:next w:val="1"/>
    <w:qFormat/>
    <w:uiPriority w:val="0"/>
    <w:pPr>
      <w:ind w:firstLine="420" w:firstLineChars="100"/>
    </w:pPr>
  </w:style>
  <w:style w:type="paragraph" w:styleId="42">
    <w:name w:val="Body Text First Indent 2"/>
    <w:basedOn w:val="18"/>
    <w:next w:val="1"/>
    <w:qFormat/>
    <w:uiPriority w:val="0"/>
    <w:pPr>
      <w:spacing w:after="120"/>
      <w:ind w:firstLine="420" w:firstLineChars="200"/>
    </w:p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22"/>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rPr>
      <w:i/>
      <w:iCs/>
    </w:rPr>
  </w:style>
  <w:style w:type="character" w:styleId="50">
    <w:name w:val="Hyperlink"/>
    <w:basedOn w:val="45"/>
    <w:qFormat/>
    <w:uiPriority w:val="99"/>
    <w:rPr>
      <w:color w:val="0000FF"/>
      <w:u w:val="single"/>
    </w:rPr>
  </w:style>
  <w:style w:type="character" w:styleId="51">
    <w:name w:val="annotation reference"/>
    <w:basedOn w:val="45"/>
    <w:semiHidden/>
    <w:unhideWhenUsed/>
    <w:qFormat/>
    <w:uiPriority w:val="0"/>
    <w:rPr>
      <w:sz w:val="21"/>
      <w:szCs w:val="21"/>
    </w:rPr>
  </w:style>
  <w:style w:type="character" w:styleId="52">
    <w:name w:val="HTML Keyboard"/>
    <w:qFormat/>
    <w:uiPriority w:val="0"/>
    <w:rPr>
      <w:rFonts w:ascii="monospace" w:hAnsi="monospace" w:eastAsia="monospace" w:cs="monospace"/>
      <w:sz w:val="21"/>
      <w:szCs w:val="21"/>
    </w:rPr>
  </w:style>
  <w:style w:type="character" w:styleId="53">
    <w:name w:val="HTML Sample"/>
    <w:basedOn w:val="45"/>
    <w:semiHidden/>
    <w:unhideWhenUsed/>
    <w:qFormat/>
    <w:uiPriority w:val="99"/>
    <w:rPr>
      <w:rFonts w:ascii="宋体" w:hAnsi="宋体" w:eastAsia="宋体" w:cs="宋体"/>
    </w:rPr>
  </w:style>
  <w:style w:type="paragraph" w:customStyle="1" w:styleId="54">
    <w:name w:val="TOC 标题1"/>
    <w:basedOn w:val="2"/>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5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6">
    <w:name w:val="文档正文"/>
    <w:basedOn w:val="1"/>
    <w:qFormat/>
    <w:uiPriority w:val="0"/>
    <w:pPr>
      <w:adjustRightInd w:val="0"/>
      <w:spacing w:line="300" w:lineRule="auto"/>
      <w:ind w:firstLine="567"/>
      <w:textAlignment w:val="baseline"/>
    </w:pPr>
    <w:rPr>
      <w:kern w:val="0"/>
      <w:sz w:val="24"/>
      <w:szCs w:val="20"/>
    </w:rPr>
  </w:style>
  <w:style w:type="character" w:customStyle="1" w:styleId="57">
    <w:name w:val="标题 1 Char"/>
    <w:link w:val="2"/>
    <w:qFormat/>
    <w:uiPriority w:val="0"/>
    <w:rPr>
      <w:b/>
      <w:bCs/>
      <w:kern w:val="44"/>
      <w:sz w:val="44"/>
      <w:szCs w:val="44"/>
    </w:rPr>
  </w:style>
  <w:style w:type="character" w:customStyle="1" w:styleId="58">
    <w:name w:val="标题 2 Char"/>
    <w:basedOn w:val="45"/>
    <w:link w:val="3"/>
    <w:qFormat/>
    <w:uiPriority w:val="0"/>
    <w:rPr>
      <w:rFonts w:ascii="Arial" w:hAnsi="Arial" w:eastAsia="黑体"/>
      <w:b/>
      <w:bCs/>
      <w:kern w:val="2"/>
      <w:sz w:val="32"/>
      <w:szCs w:val="32"/>
    </w:rPr>
  </w:style>
  <w:style w:type="character" w:customStyle="1" w:styleId="59">
    <w:name w:val="正文缩进 Char"/>
    <w:link w:val="6"/>
    <w:qFormat/>
    <w:uiPriority w:val="0"/>
    <w:rPr>
      <w:rFonts w:ascii="仿宋_GB2312" w:hAnsi="宋体" w:eastAsia="仿宋_GB2312" w:cs="宋体"/>
      <w:b/>
      <w:bCs/>
      <w:color w:val="000000"/>
      <w:sz w:val="21"/>
      <w:szCs w:val="21"/>
      <w:lang w:val="en-US" w:eastAsia="zh-CN" w:bidi="ar-SA"/>
    </w:rPr>
  </w:style>
  <w:style w:type="character" w:customStyle="1" w:styleId="60">
    <w:name w:val="标题 3 Char"/>
    <w:basedOn w:val="45"/>
    <w:link w:val="4"/>
    <w:qFormat/>
    <w:uiPriority w:val="0"/>
    <w:rPr>
      <w:rFonts w:ascii="Arial" w:hAnsi="Arial" w:eastAsia="黑体" w:cs="宋体"/>
      <w:color w:val="000000"/>
      <w:spacing w:val="20"/>
      <w:sz w:val="30"/>
      <w:szCs w:val="32"/>
    </w:rPr>
  </w:style>
  <w:style w:type="character" w:customStyle="1" w:styleId="61">
    <w:name w:val="标题 4 Char"/>
    <w:basedOn w:val="45"/>
    <w:link w:val="5"/>
    <w:qFormat/>
    <w:uiPriority w:val="0"/>
    <w:rPr>
      <w:rFonts w:ascii="Arial" w:hAnsi="Arial" w:eastAsia="黑体" w:cs="宋体"/>
      <w:color w:val="000000"/>
      <w:spacing w:val="10"/>
      <w:sz w:val="28"/>
      <w:szCs w:val="28"/>
    </w:rPr>
  </w:style>
  <w:style w:type="character" w:customStyle="1" w:styleId="62">
    <w:name w:val="标题 5 Char"/>
    <w:basedOn w:val="45"/>
    <w:link w:val="7"/>
    <w:qFormat/>
    <w:uiPriority w:val="0"/>
    <w:rPr>
      <w:rFonts w:ascii="Arial" w:hAnsi="Arial" w:eastAsia="黑体" w:cs="宋体"/>
      <w:color w:val="000000"/>
      <w:spacing w:val="10"/>
      <w:sz w:val="28"/>
      <w:szCs w:val="28"/>
    </w:rPr>
  </w:style>
  <w:style w:type="character" w:customStyle="1" w:styleId="63">
    <w:name w:val="标题 6 Char"/>
    <w:basedOn w:val="45"/>
    <w:link w:val="8"/>
    <w:qFormat/>
    <w:uiPriority w:val="0"/>
    <w:rPr>
      <w:rFonts w:ascii="Arial" w:hAnsi="Arial" w:eastAsia="黑体" w:cs="宋体"/>
      <w:color w:val="000000"/>
      <w:spacing w:val="10"/>
      <w:sz w:val="24"/>
      <w:szCs w:val="21"/>
    </w:rPr>
  </w:style>
  <w:style w:type="character" w:customStyle="1" w:styleId="64">
    <w:name w:val="标题 7 Char"/>
    <w:basedOn w:val="45"/>
    <w:link w:val="9"/>
    <w:qFormat/>
    <w:uiPriority w:val="0"/>
    <w:rPr>
      <w:rFonts w:ascii="Arial" w:hAnsi="Arial" w:eastAsia="黑体" w:cs="宋体"/>
      <w:color w:val="000000"/>
      <w:sz w:val="24"/>
      <w:szCs w:val="21"/>
    </w:rPr>
  </w:style>
  <w:style w:type="character" w:customStyle="1" w:styleId="65">
    <w:name w:val="标题 8 Char"/>
    <w:basedOn w:val="45"/>
    <w:link w:val="10"/>
    <w:qFormat/>
    <w:uiPriority w:val="0"/>
    <w:rPr>
      <w:rFonts w:ascii="Arial" w:hAnsi="Arial" w:eastAsia="黑体" w:cs="宋体"/>
      <w:b/>
      <w:bCs/>
      <w:color w:val="000000"/>
      <w:sz w:val="24"/>
      <w:szCs w:val="21"/>
    </w:rPr>
  </w:style>
  <w:style w:type="character" w:customStyle="1" w:styleId="66">
    <w:name w:val="标题 9 Char"/>
    <w:basedOn w:val="45"/>
    <w:link w:val="11"/>
    <w:qFormat/>
    <w:uiPriority w:val="0"/>
    <w:rPr>
      <w:rFonts w:ascii="Arial" w:hAnsi="Arial" w:eastAsia="黑体" w:cs="宋体"/>
      <w:b/>
      <w:bCs/>
      <w:color w:val="000000"/>
      <w:sz w:val="21"/>
      <w:szCs w:val="21"/>
    </w:rPr>
  </w:style>
  <w:style w:type="character" w:customStyle="1" w:styleId="67">
    <w:name w:val="批注文字 Char"/>
    <w:basedOn w:val="45"/>
    <w:link w:val="15"/>
    <w:qFormat/>
    <w:uiPriority w:val="0"/>
    <w:rPr>
      <w:kern w:val="2"/>
      <w:sz w:val="21"/>
      <w:szCs w:val="24"/>
    </w:rPr>
  </w:style>
  <w:style w:type="character" w:customStyle="1" w:styleId="68">
    <w:name w:val="纯文本 Char"/>
    <w:link w:val="23"/>
    <w:qFormat/>
    <w:uiPriority w:val="0"/>
    <w:rPr>
      <w:rFonts w:ascii="宋体" w:hAnsi="Courier New" w:eastAsia="宋体"/>
      <w:sz w:val="21"/>
      <w:szCs w:val="21"/>
      <w:lang w:val="en-US" w:eastAsia="zh-CN" w:bidi="ar-SA"/>
    </w:rPr>
  </w:style>
  <w:style w:type="character" w:customStyle="1" w:styleId="69">
    <w:name w:val="正文文本缩进 2 Char"/>
    <w:link w:val="25"/>
    <w:qFormat/>
    <w:uiPriority w:val="0"/>
    <w:rPr>
      <w:rFonts w:ascii="宋体" w:hAnsi="宋体" w:eastAsia="仿宋_GB2312"/>
      <w:b/>
      <w:bCs/>
      <w:color w:val="000000"/>
      <w:sz w:val="24"/>
      <w:lang w:bidi="ar-SA"/>
    </w:rPr>
  </w:style>
  <w:style w:type="character" w:customStyle="1" w:styleId="70">
    <w:name w:val="页脚 Char"/>
    <w:link w:val="27"/>
    <w:qFormat/>
    <w:uiPriority w:val="0"/>
    <w:rPr>
      <w:kern w:val="2"/>
      <w:sz w:val="18"/>
      <w:szCs w:val="18"/>
    </w:rPr>
  </w:style>
  <w:style w:type="character" w:customStyle="1" w:styleId="71">
    <w:name w:val="页眉 Char"/>
    <w:link w:val="28"/>
    <w:qFormat/>
    <w:uiPriority w:val="0"/>
    <w:rPr>
      <w:kern w:val="2"/>
      <w:sz w:val="18"/>
      <w:szCs w:val="18"/>
    </w:rPr>
  </w:style>
  <w:style w:type="character" w:customStyle="1" w:styleId="72">
    <w:name w:val="副标题 Char"/>
    <w:basedOn w:val="45"/>
    <w:link w:val="30"/>
    <w:qFormat/>
    <w:uiPriority w:val="0"/>
    <w:rPr>
      <w:rFonts w:ascii="Cambria" w:hAnsi="Cambria" w:cs="Times New Roman"/>
      <w:b/>
      <w:bCs/>
      <w:kern w:val="28"/>
      <w:sz w:val="32"/>
      <w:szCs w:val="32"/>
    </w:rPr>
  </w:style>
  <w:style w:type="character" w:customStyle="1" w:styleId="73">
    <w:name w:val="普通(网站) Char"/>
    <w:link w:val="38"/>
    <w:qFormat/>
    <w:uiPriority w:val="0"/>
    <w:rPr>
      <w:rFonts w:ascii="宋体" w:hAnsi="宋体" w:cs="宋体"/>
      <w:sz w:val="24"/>
      <w:szCs w:val="24"/>
    </w:rPr>
  </w:style>
  <w:style w:type="character" w:customStyle="1" w:styleId="74">
    <w:name w:val="标题 Char"/>
    <w:basedOn w:val="45"/>
    <w:link w:val="39"/>
    <w:qFormat/>
    <w:uiPriority w:val="0"/>
    <w:rPr>
      <w:rFonts w:ascii="Cambria" w:hAnsi="Cambria" w:cs="Times New Roman"/>
      <w:b/>
      <w:bCs/>
      <w:kern w:val="2"/>
      <w:sz w:val="32"/>
      <w:szCs w:val="32"/>
    </w:rPr>
  </w:style>
  <w:style w:type="character" w:customStyle="1" w:styleId="75">
    <w:name w:val="批注主题 Char"/>
    <w:basedOn w:val="67"/>
    <w:link w:val="40"/>
    <w:semiHidden/>
    <w:qFormat/>
    <w:uiPriority w:val="0"/>
    <w:rPr>
      <w:b/>
      <w:bCs/>
      <w:kern w:val="2"/>
      <w:sz w:val="21"/>
      <w:szCs w:val="24"/>
    </w:rPr>
  </w:style>
  <w:style w:type="character" w:customStyle="1" w:styleId="76">
    <w:name w:val="Char Char5"/>
    <w:qFormat/>
    <w:uiPriority w:val="0"/>
    <w:rPr>
      <w:rFonts w:ascii="Arial" w:hAnsi="Arial" w:eastAsia="宋体" w:cs="Arial"/>
      <w:b/>
      <w:bCs/>
      <w:color w:val="000000"/>
      <w:sz w:val="32"/>
      <w:szCs w:val="32"/>
      <w:lang w:val="en-US" w:eastAsia="zh-CN" w:bidi="ar-SA"/>
    </w:rPr>
  </w:style>
  <w:style w:type="paragraph" w:customStyle="1" w:styleId="77">
    <w:name w:val="p16"/>
    <w:basedOn w:val="1"/>
    <w:qFormat/>
    <w:uiPriority w:val="0"/>
    <w:pPr>
      <w:widowControl/>
    </w:pPr>
    <w:rPr>
      <w:rFonts w:ascii="Calibri" w:hAnsi="Calibri" w:cs="宋体"/>
      <w:kern w:val="0"/>
      <w:szCs w:val="21"/>
    </w:rPr>
  </w:style>
  <w:style w:type="paragraph" w:styleId="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Char Char Char Char Char Char Char"/>
    <w:basedOn w:val="1"/>
    <w:qFormat/>
    <w:uiPriority w:val="0"/>
    <w:rPr>
      <w:rFonts w:ascii="仿宋_GB2312" w:eastAsia="仿宋_GB2312"/>
      <w:b/>
      <w:sz w:val="32"/>
      <w:szCs w:val="32"/>
    </w:rPr>
  </w:style>
  <w:style w:type="paragraph" w:customStyle="1" w:styleId="80">
    <w:name w:val="p15"/>
    <w:basedOn w:val="1"/>
    <w:qFormat/>
    <w:uiPriority w:val="0"/>
    <w:pPr>
      <w:widowControl/>
      <w:ind w:firstLine="420"/>
    </w:pPr>
    <w:rPr>
      <w:rFonts w:ascii="Calibri" w:hAnsi="Calibri" w:cs="宋体"/>
      <w:kern w:val="0"/>
      <w:szCs w:val="21"/>
    </w:rPr>
  </w:style>
  <w:style w:type="paragraph" w:customStyle="1" w:styleId="81">
    <w:name w:val="Char Char"/>
    <w:basedOn w:val="1"/>
    <w:qFormat/>
    <w:uiPriority w:val="0"/>
    <w:pPr>
      <w:spacing w:line="360" w:lineRule="auto"/>
    </w:pPr>
    <w:rPr>
      <w:rFonts w:ascii="Tahoma" w:hAnsi="Tahoma"/>
      <w:sz w:val="24"/>
      <w:szCs w:val="20"/>
    </w:rPr>
  </w:style>
  <w:style w:type="paragraph" w:customStyle="1" w:styleId="8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83">
    <w:name w:val="[Normal]"/>
    <w:qFormat/>
    <w:uiPriority w:val="0"/>
    <w:rPr>
      <w:rFonts w:ascii="宋体" w:hAnsi="宋体" w:eastAsia="宋体" w:cs="Times New Roman"/>
      <w:sz w:val="24"/>
      <w:szCs w:val="22"/>
      <w:lang w:val="zh-CN" w:eastAsia="zh-CN" w:bidi="ar-SA"/>
    </w:rPr>
  </w:style>
  <w:style w:type="paragraph" w:styleId="84">
    <w:name w:val="List Paragraph"/>
    <w:basedOn w:val="1"/>
    <w:qFormat/>
    <w:uiPriority w:val="34"/>
    <w:pPr>
      <w:ind w:firstLine="420" w:firstLineChars="200"/>
    </w:pPr>
  </w:style>
  <w:style w:type="paragraph" w:customStyle="1" w:styleId="85">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86">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Table Paragraph"/>
    <w:basedOn w:val="1"/>
    <w:qFormat/>
    <w:uiPriority w:val="1"/>
    <w:pPr>
      <w:widowControl/>
      <w:autoSpaceDE w:val="0"/>
      <w:autoSpaceDN w:val="0"/>
      <w:spacing w:line="360" w:lineRule="auto"/>
      <w:jc w:val="left"/>
    </w:pPr>
    <w:rPr>
      <w:rFonts w:ascii="宋体" w:hAnsi="宋体" w:cs="宋体"/>
      <w:kern w:val="0"/>
      <w:sz w:val="22"/>
      <w:szCs w:val="22"/>
      <w:lang w:val="zh-CN" w:bidi="zh-CN"/>
    </w:rPr>
  </w:style>
  <w:style w:type="character" w:customStyle="1" w:styleId="88">
    <w:name w:val="纯文本 Char2"/>
    <w:qFormat/>
    <w:uiPriority w:val="0"/>
    <w:rPr>
      <w:rFonts w:ascii="宋体" w:hAnsi="Courier New" w:eastAsia="仿宋_GB2312" w:cs="宋体"/>
      <w:b/>
      <w:bCs/>
      <w:color w:val="000000"/>
      <w:sz w:val="21"/>
      <w:lang w:val="en-US" w:eastAsia="zh-CN" w:bidi="ar-SA"/>
    </w:rPr>
  </w:style>
  <w:style w:type="character" w:customStyle="1" w:styleId="89">
    <w:name w:val="NormalCharacter"/>
    <w:qFormat/>
    <w:uiPriority w:val="0"/>
  </w:style>
  <w:style w:type="paragraph" w:customStyle="1" w:styleId="90">
    <w:name w:val="列出段落3"/>
    <w:basedOn w:val="1"/>
    <w:qFormat/>
    <w:uiPriority w:val="0"/>
    <w:pPr>
      <w:spacing w:line="360" w:lineRule="auto"/>
      <w:ind w:firstLine="420" w:firstLineChars="200"/>
    </w:pPr>
    <w:rPr>
      <w:rFonts w:ascii="Calibri" w:hAnsi="Calibri"/>
      <w:sz w:val="24"/>
      <w:szCs w:val="22"/>
    </w:rPr>
  </w:style>
  <w:style w:type="character" w:customStyle="1" w:styleId="91">
    <w:name w:val="纯文本 Char1"/>
    <w:qFormat/>
    <w:uiPriority w:val="0"/>
    <w:rPr>
      <w:rFonts w:ascii="宋体" w:hAnsi="Courier New" w:eastAsia="仿宋_GB2312" w:cs="宋体"/>
      <w:b/>
      <w:bCs/>
      <w:color w:val="000000"/>
    </w:rPr>
  </w:style>
  <w:style w:type="character" w:customStyle="1" w:styleId="92">
    <w:name w:val="skancount"/>
    <w:basedOn w:val="45"/>
    <w:qFormat/>
    <w:uiPriority w:val="0"/>
  </w:style>
  <w:style w:type="character" w:customStyle="1" w:styleId="93">
    <w:name w:val="bookmark-item"/>
    <w:basedOn w:val="45"/>
    <w:qFormat/>
    <w:uiPriority w:val="0"/>
  </w:style>
  <w:style w:type="paragraph" w:customStyle="1" w:styleId="94">
    <w:name w:val="正文文本首行缩进1"/>
    <w:basedOn w:val="17"/>
    <w:qFormat/>
    <w:uiPriority w:val="0"/>
    <w:pPr>
      <w:spacing w:line="360" w:lineRule="auto"/>
      <w:ind w:firstLine="200" w:firstLineChars="200"/>
    </w:pPr>
    <w:rPr>
      <w:rFonts w:ascii="宋体" w:hAnsi="宋体"/>
      <w:bCs/>
      <w:sz w:val="24"/>
      <w:szCs w:val="21"/>
    </w:rPr>
  </w:style>
  <w:style w:type="paragraph" w:customStyle="1" w:styleId="95">
    <w:name w:val="列表段落1"/>
    <w:basedOn w:val="1"/>
    <w:qFormat/>
    <w:uiPriority w:val="0"/>
    <w:pPr>
      <w:ind w:firstLine="420" w:firstLineChars="200"/>
    </w:pPr>
    <w:rPr>
      <w:rFonts w:asciiTheme="minorHAnsi" w:hAnsiTheme="minorHAnsi" w:eastAsiaTheme="minorEastAsia" w:cstheme="minorBidi"/>
      <w:sz w:val="24"/>
    </w:rPr>
  </w:style>
  <w:style w:type="character" w:customStyle="1" w:styleId="96">
    <w:name w:val="文档结构图 Char"/>
    <w:basedOn w:val="45"/>
    <w:link w:val="14"/>
    <w:semiHidden/>
    <w:qFormat/>
    <w:uiPriority w:val="0"/>
    <w:rPr>
      <w:kern w:val="2"/>
      <w:sz w:val="21"/>
      <w:szCs w:val="24"/>
      <w:shd w:val="clear" w:color="auto" w:fill="000080"/>
    </w:rPr>
  </w:style>
  <w:style w:type="character" w:customStyle="1" w:styleId="97">
    <w:name w:val="日期 Char"/>
    <w:basedOn w:val="45"/>
    <w:link w:val="24"/>
    <w:qFormat/>
    <w:uiPriority w:val="0"/>
    <w:rPr>
      <w:rFonts w:ascii="仿宋_GB2312" w:hAnsi="宋体" w:eastAsia="仿宋_GB2312" w:cs="宋体"/>
      <w:b/>
      <w:bCs/>
      <w:color w:val="000000"/>
      <w:sz w:val="24"/>
      <w:szCs w:val="21"/>
    </w:rPr>
  </w:style>
  <w:style w:type="character" w:customStyle="1" w:styleId="98">
    <w:name w:val="脚注文本 Char"/>
    <w:basedOn w:val="45"/>
    <w:link w:val="32"/>
    <w:qFormat/>
    <w:uiPriority w:val="0"/>
    <w:rPr>
      <w:kern w:val="2"/>
      <w:sz w:val="18"/>
      <w:szCs w:val="24"/>
    </w:rPr>
  </w:style>
  <w:style w:type="character" w:customStyle="1" w:styleId="99">
    <w:name w:val="正文文本缩进 3 Char"/>
    <w:basedOn w:val="45"/>
    <w:link w:val="34"/>
    <w:qFormat/>
    <w:uiPriority w:val="0"/>
    <w:rPr>
      <w:rFonts w:ascii="仿宋_GB2312" w:hAnsi="宋体" w:eastAsia="仿宋_GB2312" w:cs="宋体"/>
      <w:b/>
      <w:bCs/>
      <w:color w:val="000000"/>
      <w:sz w:val="16"/>
      <w:szCs w:val="16"/>
    </w:rPr>
  </w:style>
  <w:style w:type="character" w:customStyle="1" w:styleId="100">
    <w:name w:val="正文文本 2 Char"/>
    <w:basedOn w:val="45"/>
    <w:link w:val="36"/>
    <w:qFormat/>
    <w:uiPriority w:val="0"/>
    <w:rPr>
      <w:kern w:val="2"/>
      <w:sz w:val="21"/>
      <w:szCs w:val="24"/>
    </w:rPr>
  </w:style>
  <w:style w:type="character" w:customStyle="1" w:styleId="101">
    <w:name w:val="HTML 预设格式 Char"/>
    <w:basedOn w:val="45"/>
    <w:link w:val="37"/>
    <w:qFormat/>
    <w:uiPriority w:val="0"/>
    <w:rPr>
      <w:rFonts w:ascii="黑体" w:hAnsi="Courier New" w:eastAsia="黑体"/>
    </w:rPr>
  </w:style>
  <w:style w:type="character" w:customStyle="1" w:styleId="102">
    <w:name w:val="style11"/>
    <w:qFormat/>
    <w:uiPriority w:val="0"/>
    <w:rPr>
      <w:sz w:val="18"/>
      <w:szCs w:val="18"/>
    </w:rPr>
  </w:style>
  <w:style w:type="character" w:customStyle="1" w:styleId="103">
    <w:name w:val="Char Char2"/>
    <w:qFormat/>
    <w:uiPriority w:val="0"/>
    <w:rPr>
      <w:rFonts w:eastAsia="宋体"/>
      <w:kern w:val="2"/>
      <w:sz w:val="18"/>
      <w:szCs w:val="18"/>
      <w:lang w:val="en-US" w:eastAsia="zh-CN" w:bidi="ar-SA"/>
    </w:rPr>
  </w:style>
  <w:style w:type="character" w:customStyle="1" w:styleId="104">
    <w:name w:val="ca-6"/>
    <w:basedOn w:val="45"/>
    <w:qFormat/>
    <w:uiPriority w:val="0"/>
  </w:style>
  <w:style w:type="character" w:customStyle="1" w:styleId="105">
    <w:name w:val="unnamed11"/>
    <w:qFormat/>
    <w:uiPriority w:val="0"/>
    <w:rPr>
      <w:color w:val="000000"/>
      <w:sz w:val="20"/>
      <w:szCs w:val="20"/>
    </w:rPr>
  </w:style>
  <w:style w:type="character" w:customStyle="1" w:styleId="106">
    <w:name w:val="Texte Char Char"/>
    <w:qFormat/>
    <w:uiPriority w:val="0"/>
    <w:rPr>
      <w:rFonts w:ascii="宋体" w:hAnsi="Courier New" w:eastAsia="仿宋_GB2312" w:cs="宋体"/>
      <w:b/>
      <w:bCs/>
      <w:color w:val="000000"/>
      <w:sz w:val="21"/>
      <w:lang w:val="en-US" w:eastAsia="zh-CN" w:bidi="ar-SA"/>
    </w:rPr>
  </w:style>
  <w:style w:type="character" w:customStyle="1" w:styleId="107">
    <w:name w:val="f10"/>
    <w:basedOn w:val="45"/>
    <w:qFormat/>
    <w:uiPriority w:val="0"/>
  </w:style>
  <w:style w:type="character" w:customStyle="1" w:styleId="108">
    <w:name w:val="ca-2"/>
    <w:basedOn w:val="45"/>
    <w:qFormat/>
    <w:uiPriority w:val="0"/>
  </w:style>
  <w:style w:type="character" w:customStyle="1" w:styleId="109">
    <w:name w:val="缩进2字符 Char"/>
    <w:link w:val="110"/>
    <w:qFormat/>
    <w:locked/>
    <w:uiPriority w:val="0"/>
    <w:rPr>
      <w:rFonts w:ascii="仿宋_GB2312" w:hAnsi="仿宋_GB2312" w:eastAsia="仿宋_GB2312" w:cs="Arial"/>
      <w:snapToGrid w:val="0"/>
      <w:color w:val="000000"/>
      <w:sz w:val="28"/>
      <w:szCs w:val="28"/>
    </w:rPr>
  </w:style>
  <w:style w:type="paragraph" w:customStyle="1" w:styleId="110">
    <w:name w:val="缩进2字符"/>
    <w:basedOn w:val="1"/>
    <w:link w:val="109"/>
    <w:qFormat/>
    <w:uiPriority w:val="0"/>
    <w:pPr>
      <w:widowControl/>
      <w:ind w:firstLine="200" w:firstLineChars="200"/>
      <w:jc w:val="left"/>
    </w:pPr>
    <w:rPr>
      <w:rFonts w:ascii="仿宋_GB2312" w:hAnsi="仿宋_GB2312" w:eastAsia="仿宋_GB2312" w:cs="Arial"/>
      <w:snapToGrid w:val="0"/>
      <w:color w:val="000000"/>
      <w:kern w:val="0"/>
      <w:sz w:val="28"/>
      <w:szCs w:val="28"/>
    </w:rPr>
  </w:style>
  <w:style w:type="character" w:customStyle="1" w:styleId="111">
    <w:name w:val="ca-11"/>
    <w:qFormat/>
    <w:uiPriority w:val="0"/>
    <w:rPr>
      <w:rFonts w:hint="eastAsia" w:ascii="宋体" w:hAnsi="宋体" w:eastAsia="宋体"/>
      <w:sz w:val="18"/>
      <w:szCs w:val="18"/>
    </w:rPr>
  </w:style>
  <w:style w:type="character" w:customStyle="1" w:styleId="112">
    <w:name w:val="标题 Char1"/>
    <w:qFormat/>
    <w:locked/>
    <w:uiPriority w:val="0"/>
    <w:rPr>
      <w:rFonts w:ascii="Arial" w:hAnsi="Arial" w:cs="Arial"/>
      <w:b/>
      <w:bCs/>
      <w:color w:val="000000"/>
      <w:sz w:val="32"/>
      <w:szCs w:val="32"/>
    </w:rPr>
  </w:style>
  <w:style w:type="character" w:customStyle="1" w:styleId="113">
    <w:name w:val="ca-3"/>
    <w:basedOn w:val="45"/>
    <w:qFormat/>
    <w:uiPriority w:val="0"/>
  </w:style>
  <w:style w:type="character" w:customStyle="1" w:styleId="114">
    <w:name w:val="para"/>
    <w:basedOn w:val="45"/>
    <w:qFormat/>
    <w:uiPriority w:val="0"/>
  </w:style>
  <w:style w:type="character" w:customStyle="1" w:styleId="115">
    <w:name w:val="表格文本 Char"/>
    <w:link w:val="116"/>
    <w:qFormat/>
    <w:locked/>
    <w:uiPriority w:val="0"/>
    <w:rPr>
      <w:rFonts w:ascii="宋体" w:hAnsi="宋体" w:cs="Arial"/>
      <w:snapToGrid w:val="0"/>
      <w:szCs w:val="21"/>
    </w:rPr>
  </w:style>
  <w:style w:type="paragraph" w:customStyle="1" w:styleId="116">
    <w:name w:val="表格文本"/>
    <w:basedOn w:val="1"/>
    <w:link w:val="115"/>
    <w:qFormat/>
    <w:uiPriority w:val="0"/>
    <w:pPr>
      <w:snapToGrid w:val="0"/>
      <w:jc w:val="left"/>
    </w:pPr>
    <w:rPr>
      <w:rFonts w:ascii="宋体" w:hAnsi="宋体" w:cs="Arial"/>
      <w:snapToGrid w:val="0"/>
      <w:kern w:val="0"/>
      <w:sz w:val="20"/>
      <w:szCs w:val="21"/>
    </w:rPr>
  </w:style>
  <w:style w:type="character" w:customStyle="1" w:styleId="117">
    <w:name w:val="ca-8"/>
    <w:basedOn w:val="45"/>
    <w:qFormat/>
    <w:uiPriority w:val="0"/>
  </w:style>
  <w:style w:type="character" w:customStyle="1" w:styleId="118">
    <w:name w:val="smalltxt1"/>
    <w:qFormat/>
    <w:uiPriority w:val="0"/>
    <w:rPr>
      <w:rFonts w:hint="default" w:ascii="ˎ̥" w:hAnsi="ˎ̥" w:eastAsia="仿宋_GB2312"/>
      <w:b/>
      <w:sz w:val="24"/>
      <w:szCs w:val="24"/>
    </w:rPr>
  </w:style>
  <w:style w:type="character" w:customStyle="1" w:styleId="119">
    <w:name w:val="Char Char1"/>
    <w:qFormat/>
    <w:uiPriority w:val="0"/>
    <w:rPr>
      <w:rFonts w:ascii="宋体" w:hAnsi="Courier New" w:eastAsia="仿宋_GB2312" w:cs="宋体"/>
      <w:b/>
      <w:bCs/>
      <w:color w:val="000000"/>
      <w:sz w:val="21"/>
      <w:lang w:val="en-US" w:eastAsia="zh-CN" w:bidi="ar-SA"/>
    </w:rPr>
  </w:style>
  <w:style w:type="character" w:customStyle="1" w:styleId="120">
    <w:name w:val="apple-converted-space"/>
    <w:basedOn w:val="45"/>
    <w:qFormat/>
    <w:uiPriority w:val="0"/>
  </w:style>
  <w:style w:type="character" w:customStyle="1" w:styleId="121">
    <w:name w:val="bigtitle1"/>
    <w:qFormat/>
    <w:uiPriority w:val="0"/>
    <w:rPr>
      <w:sz w:val="28"/>
      <w:szCs w:val="28"/>
    </w:rPr>
  </w:style>
  <w:style w:type="character" w:customStyle="1" w:styleId="122">
    <w:name w:val="Char Char4"/>
    <w:qFormat/>
    <w:uiPriority w:val="0"/>
    <w:rPr>
      <w:rFonts w:eastAsia="宋体"/>
      <w:sz w:val="18"/>
      <w:szCs w:val="18"/>
      <w:lang w:val="en-US" w:eastAsia="zh-CN" w:bidi="ar-SA"/>
    </w:rPr>
  </w:style>
  <w:style w:type="character" w:customStyle="1" w:styleId="123">
    <w:name w:val="样式3 Char"/>
    <w:link w:val="124"/>
    <w:qFormat/>
    <w:uiPriority w:val="0"/>
    <w:rPr>
      <w:rFonts w:eastAsia="黑体"/>
      <w:kern w:val="2"/>
      <w:sz w:val="28"/>
      <w:szCs w:val="21"/>
    </w:rPr>
  </w:style>
  <w:style w:type="paragraph" w:customStyle="1" w:styleId="124">
    <w:name w:val="样式3"/>
    <w:basedOn w:val="1"/>
    <w:link w:val="123"/>
    <w:qFormat/>
    <w:uiPriority w:val="0"/>
    <w:pPr>
      <w:snapToGrid w:val="0"/>
      <w:outlineLvl w:val="2"/>
    </w:pPr>
    <w:rPr>
      <w:rFonts w:eastAsia="黑体"/>
      <w:sz w:val="28"/>
      <w:szCs w:val="21"/>
    </w:rPr>
  </w:style>
  <w:style w:type="character" w:customStyle="1" w:styleId="125">
    <w:name w:val="unnamed51"/>
    <w:qFormat/>
    <w:uiPriority w:val="0"/>
    <w:rPr>
      <w:sz w:val="22"/>
      <w:szCs w:val="22"/>
    </w:rPr>
  </w:style>
  <w:style w:type="paragraph" w:customStyle="1" w:styleId="126">
    <w:name w:val="默认段落字体 Para Char"/>
    <w:basedOn w:val="1"/>
    <w:qFormat/>
    <w:uiPriority w:val="0"/>
    <w:pPr>
      <w:adjustRightInd w:val="0"/>
      <w:spacing w:line="360" w:lineRule="auto"/>
    </w:pPr>
    <w:rPr>
      <w:kern w:val="0"/>
      <w:sz w:val="24"/>
      <w:szCs w:val="20"/>
    </w:rPr>
  </w:style>
  <w:style w:type="paragraph" w:customStyle="1" w:styleId="127">
    <w:name w:val="Char Char Char Char Char Char Char Char Char Char Char Char"/>
    <w:basedOn w:val="1"/>
    <w:qFormat/>
    <w:uiPriority w:val="0"/>
    <w:pPr>
      <w:spacing w:line="300" w:lineRule="auto"/>
    </w:pPr>
    <w:rPr>
      <w:rFonts w:ascii="宋体" w:hAnsi="宋体"/>
      <w:b/>
      <w:bCs/>
      <w:color w:val="000000"/>
      <w:spacing w:val="8"/>
      <w:kern w:val="0"/>
      <w:sz w:val="24"/>
    </w:rPr>
  </w:style>
  <w:style w:type="paragraph" w:customStyle="1" w:styleId="128">
    <w:name w:val="Char Char Char Char"/>
    <w:basedOn w:val="14"/>
    <w:qFormat/>
    <w:uiPriority w:val="0"/>
    <w:rPr>
      <w:rFonts w:ascii="Tahoma" w:hAnsi="Tahoma"/>
      <w:sz w:val="24"/>
    </w:rPr>
  </w:style>
  <w:style w:type="paragraph" w:customStyle="1" w:styleId="129">
    <w:name w:val="Char"/>
    <w:basedOn w:val="1"/>
    <w:qFormat/>
    <w:uiPriority w:val="0"/>
    <w:rPr>
      <w:rFonts w:ascii="仿宋_GB2312" w:eastAsia="仿宋_GB2312"/>
      <w:b/>
      <w:sz w:val="32"/>
      <w:szCs w:val="32"/>
    </w:rPr>
  </w:style>
  <w:style w:type="paragraph" w:customStyle="1" w:styleId="130">
    <w:name w:val="Char2"/>
    <w:basedOn w:val="1"/>
    <w:qFormat/>
    <w:uiPriority w:val="0"/>
    <w:rPr>
      <w:rFonts w:ascii="仿宋_GB2312" w:hAnsi="宋体" w:eastAsia="仿宋_GB2312" w:cs="宋体"/>
      <w:bCs/>
      <w:color w:val="000000"/>
      <w:kern w:val="0"/>
      <w:sz w:val="32"/>
      <w:szCs w:val="32"/>
    </w:rPr>
  </w:style>
  <w:style w:type="paragraph" w:customStyle="1" w:styleId="131">
    <w:name w:val="默认段落字体 Para Char Char Char Char"/>
    <w:basedOn w:val="1"/>
    <w:qFormat/>
    <w:uiPriority w:val="0"/>
  </w:style>
  <w:style w:type="paragraph" w:customStyle="1" w:styleId="132">
    <w:name w:val="样式1"/>
    <w:basedOn w:val="3"/>
    <w:qFormat/>
    <w:uiPriority w:val="0"/>
    <w:pPr>
      <w:tabs>
        <w:tab w:val="left" w:pos="432"/>
        <w:tab w:val="left" w:pos="576"/>
        <w:tab w:val="left" w:pos="2340"/>
        <w:tab w:val="left" w:pos="2700"/>
        <w:tab w:val="left" w:pos="2880"/>
        <w:tab w:val="left" w:pos="3060"/>
        <w:tab w:val="left" w:pos="3240"/>
        <w:tab w:val="left" w:pos="3420"/>
        <w:tab w:val="left" w:pos="3780"/>
      </w:tabs>
      <w:spacing w:before="120" w:after="0" w:line="360" w:lineRule="auto"/>
    </w:pPr>
    <w:rPr>
      <w:rFonts w:eastAsia="Arial"/>
      <w:color w:val="000000"/>
    </w:rPr>
  </w:style>
  <w:style w:type="paragraph" w:customStyle="1" w:styleId="133">
    <w:name w:val="pa-2"/>
    <w:basedOn w:val="1"/>
    <w:qFormat/>
    <w:uiPriority w:val="0"/>
    <w:pPr>
      <w:widowControl/>
      <w:spacing w:line="240" w:lineRule="atLeast"/>
      <w:ind w:firstLine="440"/>
    </w:pPr>
    <w:rPr>
      <w:rFonts w:ascii="宋体" w:hAnsi="宋体" w:cs="宋体"/>
      <w:kern w:val="0"/>
      <w:sz w:val="24"/>
    </w:rPr>
  </w:style>
  <w:style w:type="paragraph" w:customStyle="1" w:styleId="13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1 Char Char Char"/>
    <w:basedOn w:val="1"/>
    <w:qFormat/>
    <w:uiPriority w:val="0"/>
    <w:rPr>
      <w:rFonts w:ascii="仿宋_GB2312" w:eastAsia="仿宋_GB2312"/>
      <w:b/>
      <w:sz w:val="32"/>
      <w:szCs w:val="32"/>
    </w:rPr>
  </w:style>
  <w:style w:type="paragraph" w:customStyle="1" w:styleId="136">
    <w:name w:val="Body Text(ch)"/>
    <w:basedOn w:val="1"/>
    <w:next w:val="17"/>
    <w:qFormat/>
    <w:uiPriority w:val="0"/>
    <w:pPr>
      <w:spacing w:line="500" w:lineRule="exact"/>
      <w:jc w:val="center"/>
    </w:pPr>
  </w:style>
  <w:style w:type="paragraph" w:customStyle="1" w:styleId="137">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138">
    <w:name w:val="Char Char1 Char Char Char Char Char Char Char Char Char Char"/>
    <w:basedOn w:val="1"/>
    <w:qFormat/>
    <w:uiPriority w:val="0"/>
    <w:rPr>
      <w:rFonts w:ascii="Tahoma" w:hAnsi="Tahoma" w:eastAsia="仿宋_GB2312" w:cs="宋体"/>
      <w:b/>
      <w:bCs/>
      <w:color w:val="000000"/>
      <w:kern w:val="0"/>
      <w:sz w:val="24"/>
      <w:szCs w:val="20"/>
    </w:rPr>
  </w:style>
  <w:style w:type="paragraph" w:customStyle="1" w:styleId="139">
    <w:name w:val="小点说明"/>
    <w:basedOn w:val="1"/>
    <w:qFormat/>
    <w:uiPriority w:val="0"/>
    <w:pPr>
      <w:tabs>
        <w:tab w:val="left" w:pos="0"/>
      </w:tabs>
      <w:adjustRightInd w:val="0"/>
      <w:snapToGrid w:val="0"/>
      <w:spacing w:line="340" w:lineRule="atLeast"/>
    </w:pPr>
    <w:rPr>
      <w:rFonts w:ascii="宋体" w:hAnsi="宋体"/>
      <w:bCs/>
      <w:kern w:val="0"/>
      <w:lang w:val="eu-ES"/>
    </w:rPr>
  </w:style>
  <w:style w:type="paragraph" w:customStyle="1" w:styleId="140">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41">
    <w:name w:val="Char Char Char"/>
    <w:basedOn w:val="1"/>
    <w:qFormat/>
    <w:uiPriority w:val="0"/>
    <w:rPr>
      <w:rFonts w:ascii="Tahoma" w:hAnsi="Tahoma"/>
      <w:sz w:val="24"/>
      <w:szCs w:val="20"/>
    </w:rPr>
  </w:style>
  <w:style w:type="paragraph" w:customStyle="1" w:styleId="142">
    <w:name w:val="List Paragraph1"/>
    <w:basedOn w:val="1"/>
    <w:qFormat/>
    <w:uiPriority w:val="0"/>
    <w:pPr>
      <w:ind w:firstLine="420" w:firstLineChars="200"/>
    </w:pPr>
    <w:rPr>
      <w:rFonts w:ascii="仿宋_GB2312" w:hAnsi="宋体" w:eastAsia="仿宋_GB2312" w:cs="仿宋_GB2312"/>
      <w:b/>
      <w:bCs/>
      <w:color w:val="000000"/>
      <w:kern w:val="0"/>
      <w:szCs w:val="21"/>
    </w:rPr>
  </w:style>
  <w:style w:type="paragraph" w:customStyle="1" w:styleId="143">
    <w:name w:val="默认段落字体 Para Char Char Char Char Char Char Char Char Char1 Char Char Char Char Char Char Char"/>
    <w:basedOn w:val="14"/>
    <w:qFormat/>
    <w:uiPriority w:val="0"/>
    <w:rPr>
      <w:rFonts w:ascii="Tahoma" w:hAnsi="Tahoma"/>
      <w:sz w:val="24"/>
    </w:rPr>
  </w:style>
  <w:style w:type="paragraph" w:customStyle="1" w:styleId="144">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145">
    <w:name w:val="Numbered list 2.3"/>
    <w:basedOn w:val="4"/>
    <w:next w:val="1"/>
    <w:qFormat/>
    <w:uiPriority w:val="0"/>
    <w:pPr>
      <w:keepLines w:val="0"/>
      <w:widowControl/>
      <w:tabs>
        <w:tab w:val="left" w:pos="360"/>
        <w:tab w:val="left" w:pos="705"/>
        <w:tab w:val="left" w:pos="1080"/>
        <w:tab w:val="clear" w:pos="720"/>
      </w:tabs>
      <w:spacing w:before="240" w:afterLines="0" w:line="240" w:lineRule="auto"/>
      <w:jc w:val="left"/>
    </w:pPr>
    <w:rPr>
      <w:rFonts w:eastAsia="宋体" w:cs="Times New Roman"/>
      <w:bCs/>
      <w:iCs/>
      <w:color w:val="auto"/>
      <w:spacing w:val="0"/>
      <w:sz w:val="28"/>
      <w:szCs w:val="24"/>
    </w:rPr>
  </w:style>
  <w:style w:type="paragraph" w:customStyle="1" w:styleId="146">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147">
    <w:name w:val="样式 宋体 小四 首行缩进:  0.93 厘米 段前: 11.15 磅 段后: 11.15 磅1"/>
    <w:basedOn w:val="1"/>
    <w:qFormat/>
    <w:uiPriority w:val="0"/>
    <w:pPr>
      <w:adjustRightInd w:val="0"/>
      <w:snapToGrid w:val="0"/>
      <w:ind w:left="200" w:leftChars="200"/>
    </w:pPr>
    <w:rPr>
      <w:rFonts w:ascii="宋体"/>
      <w:sz w:val="24"/>
      <w:szCs w:val="20"/>
    </w:rPr>
  </w:style>
  <w:style w:type="paragraph" w:customStyle="1" w:styleId="14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9">
    <w:name w:val="Char3"/>
    <w:basedOn w:val="1"/>
    <w:qFormat/>
    <w:uiPriority w:val="0"/>
    <w:rPr>
      <w:szCs w:val="20"/>
    </w:rPr>
  </w:style>
  <w:style w:type="paragraph" w:customStyle="1" w:styleId="150">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正文段"/>
    <w:basedOn w:val="1"/>
    <w:qFormat/>
    <w:uiPriority w:val="0"/>
    <w:pPr>
      <w:widowControl/>
      <w:snapToGrid w:val="0"/>
      <w:spacing w:afterLines="50"/>
      <w:ind w:firstLine="200" w:firstLineChars="200"/>
    </w:pPr>
    <w:rPr>
      <w:kern w:val="0"/>
      <w:sz w:val="24"/>
      <w:szCs w:val="20"/>
    </w:rPr>
  </w:style>
  <w:style w:type="paragraph" w:customStyle="1" w:styleId="15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53">
    <w:name w:val="正文－恩普"/>
    <w:basedOn w:val="6"/>
    <w:qFormat/>
    <w:uiPriority w:val="0"/>
    <w:pPr>
      <w:widowControl/>
      <w:spacing w:before="100" w:beforeAutospacing="1" w:afterLines="50" w:afterAutospacing="1" w:line="360" w:lineRule="auto"/>
      <w:ind w:firstLine="480"/>
      <w:jc w:val="left"/>
    </w:pPr>
    <w:rPr>
      <w:sz w:val="24"/>
      <w:szCs w:val="20"/>
    </w:rPr>
  </w:style>
  <w:style w:type="paragraph" w:customStyle="1" w:styleId="154">
    <w:name w:val="Char1 Char Char Char Char Char"/>
    <w:basedOn w:val="1"/>
    <w:qFormat/>
    <w:uiPriority w:val="0"/>
  </w:style>
  <w:style w:type="paragraph" w:customStyle="1" w:styleId="155">
    <w:name w:val="Char Char Char1"/>
    <w:basedOn w:val="14"/>
    <w:qFormat/>
    <w:uiPriority w:val="0"/>
    <w:rPr>
      <w:rFonts w:ascii="Tahoma" w:hAnsi="Tahoma"/>
      <w:sz w:val="24"/>
    </w:rPr>
  </w:style>
  <w:style w:type="paragraph" w:customStyle="1" w:styleId="156">
    <w:name w:val="Char1 Char Char Char Char Char Char"/>
    <w:basedOn w:val="1"/>
    <w:qFormat/>
    <w:uiPriority w:val="0"/>
    <w:rPr>
      <w:rFonts w:ascii="Tahoma" w:hAnsi="Tahoma"/>
      <w:sz w:val="24"/>
      <w:szCs w:val="20"/>
    </w:rPr>
  </w:style>
  <w:style w:type="paragraph" w:customStyle="1" w:styleId="157">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58">
    <w:name w:val="表内文字"/>
    <w:basedOn w:val="1"/>
    <w:qFormat/>
    <w:uiPriority w:val="0"/>
    <w:pPr>
      <w:spacing w:line="500" w:lineRule="atLeast"/>
      <w:jc w:val="center"/>
    </w:pPr>
    <w:rPr>
      <w:rFonts w:ascii="Arial" w:hAnsi="Arial" w:eastAsia="楷体_GB2312" w:cs="Arial"/>
      <w:sz w:val="28"/>
    </w:rPr>
  </w:style>
  <w:style w:type="character" w:customStyle="1" w:styleId="159">
    <w:name w:val="标题 4 Char1"/>
    <w:qFormat/>
    <w:uiPriority w:val="0"/>
    <w:rPr>
      <w:rFonts w:ascii="Arial" w:hAnsi="Arial" w:eastAsia="黑体"/>
      <w:b/>
      <w:bCs/>
      <w:kern w:val="2"/>
      <w:sz w:val="28"/>
      <w:szCs w:val="28"/>
      <w:lang w:val="en-US" w:eastAsia="zh-CN" w:bidi="ar-SA"/>
    </w:rPr>
  </w:style>
  <w:style w:type="paragraph" w:customStyle="1" w:styleId="160">
    <w:name w:val="正文缩进1"/>
    <w:basedOn w:val="1"/>
    <w:qFormat/>
    <w:uiPriority w:val="0"/>
    <w:pPr>
      <w:spacing w:line="360" w:lineRule="auto"/>
      <w:ind w:firstLine="454"/>
      <w:jc w:val="left"/>
    </w:pPr>
    <w:rPr>
      <w:sz w:val="24"/>
    </w:rPr>
  </w:style>
  <w:style w:type="paragraph" w:customStyle="1" w:styleId="161">
    <w:name w:val="列出段落1"/>
    <w:basedOn w:val="1"/>
    <w:qFormat/>
    <w:uiPriority w:val="0"/>
    <w:pPr>
      <w:ind w:firstLine="420" w:firstLineChars="200"/>
    </w:pPr>
    <w:rPr>
      <w:sz w:val="36"/>
      <w:szCs w:val="20"/>
    </w:rPr>
  </w:style>
  <w:style w:type="character" w:customStyle="1" w:styleId="162">
    <w:name w:val="无"/>
    <w:qFormat/>
    <w:uiPriority w:val="0"/>
  </w:style>
  <w:style w:type="paragraph" w:customStyle="1" w:styleId="163">
    <w:name w:val="Other|1"/>
    <w:basedOn w:val="1"/>
    <w:qFormat/>
    <w:uiPriority w:val="0"/>
    <w:pPr>
      <w:spacing w:line="311" w:lineRule="exact"/>
    </w:pPr>
    <w:rPr>
      <w:rFonts w:ascii="宋体" w:hAnsi="宋体" w:cs="宋体"/>
      <w:sz w:val="20"/>
      <w:szCs w:val="20"/>
      <w:lang w:val="zh-TW" w:eastAsia="zh-TW" w:bidi="zh-TW"/>
    </w:rPr>
  </w:style>
  <w:style w:type="character" w:customStyle="1" w:styleId="164">
    <w:name w:val="font21"/>
    <w:basedOn w:val="45"/>
    <w:qFormat/>
    <w:uiPriority w:val="0"/>
    <w:rPr>
      <w:rFonts w:hint="eastAsia" w:ascii="宋体" w:hAnsi="宋体" w:eastAsia="宋体"/>
      <w:color w:val="000000"/>
      <w:sz w:val="21"/>
      <w:szCs w:val="21"/>
      <w:u w:val="none"/>
    </w:rPr>
  </w:style>
  <w:style w:type="paragraph" w:customStyle="1" w:styleId="165">
    <w:name w:val="章正文"/>
    <w:basedOn w:val="1"/>
    <w:qFormat/>
    <w:uiPriority w:val="99"/>
    <w:pPr>
      <w:spacing w:beforeLines="50" w:after="120" w:line="300" w:lineRule="auto"/>
      <w:ind w:firstLine="480"/>
    </w:pPr>
    <w:rPr>
      <w:rFonts w:ascii="Helvetica" w:hAnsi="Helvetica"/>
      <w:kern w:val="0"/>
      <w:sz w:val="24"/>
    </w:rPr>
  </w:style>
  <w:style w:type="paragraph" w:customStyle="1" w:styleId="166">
    <w:name w:val="表格文字"/>
    <w:basedOn w:val="1"/>
    <w:next w:val="17"/>
    <w:qFormat/>
    <w:uiPriority w:val="0"/>
    <w:pPr>
      <w:widowControl/>
      <w:adjustRightInd w:val="0"/>
      <w:spacing w:line="420" w:lineRule="atLeast"/>
      <w:jc w:val="left"/>
      <w:textAlignment w:val="baseline"/>
    </w:pPr>
  </w:style>
  <w:style w:type="paragraph" w:customStyle="1" w:styleId="167">
    <w:name w:val="引用1"/>
    <w:basedOn w:val="1"/>
    <w:next w:val="1"/>
    <w:qFormat/>
    <w:uiPriority w:val="29"/>
    <w:rPr>
      <w:i/>
      <w:iCs/>
      <w:color w:val="000000"/>
    </w:rPr>
  </w:style>
  <w:style w:type="paragraph" w:customStyle="1" w:styleId="168">
    <w:name w:val="正文首行缩进2字符"/>
    <w:basedOn w:val="1"/>
    <w:qFormat/>
    <w:uiPriority w:val="0"/>
    <w:pPr>
      <w:widowControl/>
    </w:pPr>
  </w:style>
  <w:style w:type="paragraph" w:customStyle="1" w:styleId="16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0">
    <w:name w:val="_Style 167"/>
    <w:basedOn w:val="17"/>
    <w:next w:val="33"/>
    <w:qFormat/>
    <w:uiPriority w:val="0"/>
    <w:pPr>
      <w:adjustRightInd w:val="0"/>
      <w:snapToGrid w:val="0"/>
      <w:spacing w:after="120" w:line="288" w:lineRule="auto"/>
      <w:ind w:firstLine="420" w:firstLineChars="100"/>
    </w:pPr>
    <w:rPr>
      <w:rFonts w:hAnsi="Calibri"/>
      <w:szCs w:val="20"/>
    </w:rPr>
  </w:style>
  <w:style w:type="paragraph" w:customStyle="1" w:styleId="17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7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174">
    <w:name w:val="标题 Char2"/>
    <w:qFormat/>
    <w:uiPriority w:val="0"/>
    <w:rPr>
      <w:rFonts w:ascii="Arial" w:hAnsi="Arial" w:cs="Arial"/>
      <w:b/>
      <w:bCs/>
      <w:color w:val="000000"/>
      <w:sz w:val="32"/>
      <w:szCs w:val="32"/>
    </w:rPr>
  </w:style>
  <w:style w:type="character" w:customStyle="1" w:styleId="175">
    <w:name w:val="纯文本 Char3"/>
    <w:qFormat/>
    <w:uiPriority w:val="0"/>
    <w:rPr>
      <w:rFonts w:ascii="宋体" w:hAnsi="Courier New" w:eastAsia="仿宋_GB2312" w:cs="宋体"/>
      <w:b/>
      <w:bCs/>
      <w:color w:val="000000"/>
      <w:sz w:val="21"/>
      <w:lang w:val="en-US" w:eastAsia="zh-CN" w:bidi="ar-SA"/>
    </w:rPr>
  </w:style>
  <w:style w:type="character" w:customStyle="1" w:styleId="176">
    <w:name w:val="正文文本 3 Char"/>
    <w:basedOn w:val="45"/>
    <w:link w:val="16"/>
    <w:qFormat/>
    <w:uiPriority w:val="0"/>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tuxin</Company>
  <Pages>52</Pages>
  <Words>12153</Words>
  <Characters>12994</Characters>
  <Lines>276</Lines>
  <Paragraphs>77</Paragraphs>
  <TotalTime>0</TotalTime>
  <ScaleCrop>false</ScaleCrop>
  <LinksUpToDate>false</LinksUpToDate>
  <CharactersWithSpaces>13497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2024-11-22T06:17:00Z</dcterms:created>
  <dc:creator>雨林木风</dc:creator>
  <cp:lastModifiedBy>可可</cp:lastModifiedBy>
  <cp:lastPrinted>2024-06-28T06:50:00Z</cp:lastPrinted>
  <dcterms:modified xsi:type="dcterms:W3CDTF">2025-01-21T01:55:40Z</dcterms:modified>
  <dc:title>投标须知前附表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DA4E6BBAF5914368BA94C44292A19D6B_13</vt:lpwstr>
  </property>
  <property fmtid="{D5CDD505-2E9C-101B-9397-08002B2CF9AE}" pid="4" name="KSOTemplateDocerSaveRecord">
    <vt:lpwstr>eyJoZGlkIjoiNTY3MzRhNGU0YTJiZGQzZDEyM2Q3ZGQ2YTc1YTRjNGEiLCJ1c2VySWQiOiI2NTAwNzYzNDQifQ==</vt:lpwstr>
  </property>
</Properties>
</file>