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3"/>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2F89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6" w:hRule="atLeast"/>
        </w:trPr>
        <w:tc>
          <w:tcPr>
            <w:tcW w:w="9030" w:type="dxa"/>
          </w:tcPr>
          <w:p w14:paraId="683A833A">
            <w:pPr>
              <w:pStyle w:val="83"/>
              <w:rPr>
                <w:color w:val="auto"/>
                <w:highlight w:val="none"/>
              </w:rPr>
            </w:pPr>
          </w:p>
          <w:p w14:paraId="5208F3C8">
            <w:pPr>
              <w:autoSpaceDE w:val="0"/>
              <w:autoSpaceDN w:val="0"/>
              <w:adjustRightInd w:val="0"/>
              <w:snapToGrid w:val="0"/>
              <w:spacing w:line="500" w:lineRule="atLeast"/>
              <w:jc w:val="center"/>
              <w:rPr>
                <w:rFonts w:cs="新宋体" w:asciiTheme="majorEastAsia" w:hAnsiTheme="majorEastAsia" w:eastAsiaTheme="majorEastAsia"/>
                <w:color w:val="auto"/>
                <w:sz w:val="32"/>
                <w:szCs w:val="32"/>
                <w:highlight w:val="none"/>
                <w:lang w:val="zh-CN"/>
              </w:rPr>
            </w:pPr>
          </w:p>
          <w:p w14:paraId="56E6E63B">
            <w:pPr>
              <w:spacing w:line="480" w:lineRule="auto"/>
              <w:jc w:val="center"/>
              <w:rPr>
                <w:rFonts w:asciiTheme="majorEastAsia" w:hAnsiTheme="majorEastAsia" w:eastAsiaTheme="majorEastAsia"/>
                <w:color w:val="auto"/>
                <w:sz w:val="84"/>
                <w:szCs w:val="84"/>
                <w:highlight w:val="none"/>
              </w:rPr>
            </w:pPr>
            <w:r>
              <w:rPr>
                <w:rFonts w:hint="eastAsia" w:asciiTheme="majorEastAsia" w:hAnsiTheme="majorEastAsia" w:eastAsiaTheme="majorEastAsia"/>
                <w:color w:val="auto"/>
                <w:sz w:val="84"/>
                <w:szCs w:val="84"/>
                <w:highlight w:val="none"/>
              </w:rPr>
              <w:t>永 嘉 县 政 府 采 购</w:t>
            </w:r>
          </w:p>
          <w:p w14:paraId="7AC5D630">
            <w:pPr>
              <w:spacing w:line="480" w:lineRule="auto"/>
              <w:jc w:val="center"/>
              <w:rPr>
                <w:rFonts w:asciiTheme="majorEastAsia" w:hAnsiTheme="majorEastAsia" w:eastAsiaTheme="majorEastAsia"/>
                <w:color w:val="auto"/>
                <w:sz w:val="84"/>
                <w:szCs w:val="84"/>
                <w:highlight w:val="none"/>
              </w:rPr>
            </w:pPr>
            <w:r>
              <w:rPr>
                <w:rFonts w:hint="eastAsia" w:asciiTheme="majorEastAsia" w:hAnsiTheme="majorEastAsia" w:eastAsiaTheme="majorEastAsia"/>
                <w:color w:val="auto"/>
                <w:sz w:val="84"/>
                <w:szCs w:val="84"/>
                <w:highlight w:val="none"/>
              </w:rPr>
              <w:t>招 标 文 件</w:t>
            </w:r>
          </w:p>
          <w:p w14:paraId="25C5CF14">
            <w:pPr>
              <w:spacing w:line="460" w:lineRule="atLeast"/>
              <w:ind w:left="2846" w:leftChars="710" w:hanging="1355" w:hangingChars="450"/>
              <w:rPr>
                <w:rFonts w:cs="新宋体" w:asciiTheme="majorEastAsia" w:hAnsiTheme="majorEastAsia" w:eastAsiaTheme="majorEastAsia"/>
                <w:b/>
                <w:color w:val="auto"/>
                <w:sz w:val="30"/>
                <w:szCs w:val="30"/>
                <w:highlight w:val="none"/>
              </w:rPr>
            </w:pPr>
          </w:p>
          <w:p w14:paraId="4897E624">
            <w:pPr>
              <w:pStyle w:val="2"/>
              <w:ind w:firstLine="210"/>
              <w:rPr>
                <w:rFonts w:asciiTheme="majorEastAsia" w:hAnsiTheme="majorEastAsia" w:eastAsiaTheme="majorEastAsia"/>
                <w:color w:val="auto"/>
                <w:highlight w:val="none"/>
              </w:rPr>
            </w:pPr>
          </w:p>
          <w:p w14:paraId="55DF4B61">
            <w:pPr>
              <w:pStyle w:val="2"/>
              <w:ind w:firstLine="210"/>
              <w:rPr>
                <w:rFonts w:asciiTheme="majorEastAsia" w:hAnsiTheme="majorEastAsia" w:eastAsiaTheme="majorEastAsia"/>
                <w:color w:val="auto"/>
                <w:highlight w:val="none"/>
              </w:rPr>
            </w:pPr>
          </w:p>
          <w:p w14:paraId="2F5FC54F">
            <w:pPr>
              <w:pStyle w:val="2"/>
              <w:ind w:firstLine="210"/>
              <w:rPr>
                <w:rFonts w:asciiTheme="majorEastAsia" w:hAnsiTheme="majorEastAsia" w:eastAsiaTheme="majorEastAsia"/>
                <w:color w:val="auto"/>
                <w:highlight w:val="none"/>
              </w:rPr>
            </w:pPr>
          </w:p>
          <w:p w14:paraId="1444563C">
            <w:pPr>
              <w:spacing w:line="460" w:lineRule="atLeast"/>
              <w:ind w:left="3565" w:leftChars="726" w:hanging="2040" w:hangingChars="680"/>
              <w:rPr>
                <w:rFonts w:hint="eastAsia" w:cs="新宋体" w:asciiTheme="majorEastAsia" w:hAnsiTheme="majorEastAsia" w:eastAsiaTheme="majorEastAsia"/>
                <w:color w:val="auto"/>
                <w:sz w:val="30"/>
                <w:szCs w:val="30"/>
                <w:highlight w:val="none"/>
                <w:lang w:eastAsia="zh-CN"/>
              </w:rPr>
            </w:pPr>
            <w:r>
              <w:rPr>
                <w:rFonts w:hint="eastAsia" w:cs="新宋体" w:asciiTheme="majorEastAsia" w:hAnsiTheme="majorEastAsia" w:eastAsiaTheme="majorEastAsia"/>
                <w:color w:val="auto"/>
                <w:sz w:val="30"/>
                <w:szCs w:val="30"/>
                <w:highlight w:val="none"/>
              </w:rPr>
              <w:t>项目编号：</w:t>
            </w:r>
            <w:r>
              <w:rPr>
                <w:rFonts w:hint="eastAsia" w:asciiTheme="majorEastAsia" w:hAnsiTheme="majorEastAsia" w:eastAsiaTheme="majorEastAsia"/>
                <w:color w:val="auto"/>
                <w:sz w:val="30"/>
                <w:szCs w:val="30"/>
                <w:highlight w:val="none"/>
                <w:lang w:eastAsia="zh-CN"/>
              </w:rPr>
              <w:t>ZGCG-20250121-2</w:t>
            </w:r>
          </w:p>
          <w:p w14:paraId="5D4A23B1">
            <w:pPr>
              <w:spacing w:line="460" w:lineRule="atLeast"/>
              <w:ind w:left="3565" w:leftChars="726" w:hanging="2040" w:hangingChars="680"/>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t>项目名称：永嘉县中医医院（医共体）高清内窥镜采购</w:t>
            </w:r>
          </w:p>
          <w:p w14:paraId="3493BAB8">
            <w:pPr>
              <w:spacing w:line="500" w:lineRule="atLeast"/>
              <w:ind w:left="3565" w:leftChars="726" w:hanging="2040" w:hangingChars="680"/>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t>采购方式：公开招标</w:t>
            </w:r>
          </w:p>
          <w:p w14:paraId="2539B6BA">
            <w:pPr>
              <w:pStyle w:val="2"/>
              <w:ind w:firstLine="210"/>
              <w:rPr>
                <w:rFonts w:asciiTheme="majorEastAsia" w:hAnsiTheme="majorEastAsia" w:eastAsiaTheme="majorEastAsia"/>
                <w:color w:val="auto"/>
                <w:highlight w:val="none"/>
              </w:rPr>
            </w:pPr>
          </w:p>
          <w:p w14:paraId="7C6FDFB1">
            <w:pPr>
              <w:pStyle w:val="2"/>
              <w:ind w:firstLine="210"/>
              <w:rPr>
                <w:rFonts w:asciiTheme="majorEastAsia" w:hAnsiTheme="majorEastAsia" w:eastAsiaTheme="majorEastAsia"/>
                <w:color w:val="auto"/>
                <w:highlight w:val="none"/>
              </w:rPr>
            </w:pPr>
          </w:p>
          <w:p w14:paraId="70362041">
            <w:pPr>
              <w:pStyle w:val="2"/>
              <w:ind w:firstLine="210"/>
              <w:rPr>
                <w:rFonts w:asciiTheme="majorEastAsia" w:hAnsiTheme="majorEastAsia" w:eastAsiaTheme="majorEastAsia"/>
                <w:color w:val="auto"/>
                <w:highlight w:val="none"/>
              </w:rPr>
            </w:pPr>
          </w:p>
          <w:p w14:paraId="22CD05FC">
            <w:pPr>
              <w:pStyle w:val="2"/>
              <w:ind w:firstLine="210"/>
              <w:rPr>
                <w:rFonts w:asciiTheme="majorEastAsia" w:hAnsiTheme="majorEastAsia" w:eastAsiaTheme="majorEastAsia"/>
                <w:color w:val="auto"/>
                <w:highlight w:val="none"/>
              </w:rPr>
            </w:pPr>
          </w:p>
          <w:p w14:paraId="7D9130EC">
            <w:pPr>
              <w:pStyle w:val="2"/>
              <w:ind w:firstLine="210"/>
              <w:rPr>
                <w:rFonts w:asciiTheme="majorEastAsia" w:hAnsiTheme="majorEastAsia" w:eastAsiaTheme="majorEastAsia"/>
                <w:color w:val="auto"/>
                <w:highlight w:val="none"/>
              </w:rPr>
            </w:pPr>
          </w:p>
          <w:p w14:paraId="459597BD">
            <w:pPr>
              <w:pStyle w:val="2"/>
              <w:ind w:firstLine="210"/>
              <w:rPr>
                <w:rFonts w:asciiTheme="majorEastAsia" w:hAnsiTheme="majorEastAsia" w:eastAsiaTheme="majorEastAsia"/>
                <w:color w:val="auto"/>
                <w:highlight w:val="none"/>
              </w:rPr>
            </w:pPr>
          </w:p>
          <w:tbl>
            <w:tblPr>
              <w:tblStyle w:val="43"/>
              <w:tblW w:w="0" w:type="auto"/>
              <w:jc w:val="center"/>
              <w:tblLayout w:type="fixed"/>
              <w:tblCellMar>
                <w:top w:w="0" w:type="dxa"/>
                <w:left w:w="108" w:type="dxa"/>
                <w:bottom w:w="0" w:type="dxa"/>
                <w:right w:w="108" w:type="dxa"/>
              </w:tblCellMar>
            </w:tblPr>
            <w:tblGrid>
              <w:gridCol w:w="1076"/>
              <w:gridCol w:w="236"/>
              <w:gridCol w:w="5509"/>
            </w:tblGrid>
            <w:tr w14:paraId="72609F93">
              <w:tblPrEx>
                <w:tblCellMar>
                  <w:top w:w="0" w:type="dxa"/>
                  <w:left w:w="108" w:type="dxa"/>
                  <w:bottom w:w="0" w:type="dxa"/>
                  <w:right w:w="108" w:type="dxa"/>
                </w:tblCellMar>
              </w:tblPrEx>
              <w:trPr>
                <w:trHeight w:val="948" w:hRule="atLeast"/>
                <w:jc w:val="center"/>
              </w:trPr>
              <w:tc>
                <w:tcPr>
                  <w:tcW w:w="1076" w:type="dxa"/>
                  <w:vAlign w:val="center"/>
                </w:tcPr>
                <w:p w14:paraId="7791DFD9">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采购人</w:t>
                  </w:r>
                </w:p>
              </w:tc>
              <w:tc>
                <w:tcPr>
                  <w:tcW w:w="236" w:type="dxa"/>
                  <w:vAlign w:val="center"/>
                </w:tcPr>
                <w:p w14:paraId="21D8BE94">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5509" w:type="dxa"/>
                  <w:vAlign w:val="center"/>
                </w:tcPr>
                <w:p w14:paraId="0DBF7915">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永嘉县中医医院（医共体）</w:t>
                  </w:r>
                </w:p>
              </w:tc>
            </w:tr>
            <w:tr w14:paraId="02EB6FE1">
              <w:tblPrEx>
                <w:tblCellMar>
                  <w:top w:w="0" w:type="dxa"/>
                  <w:left w:w="108" w:type="dxa"/>
                  <w:bottom w:w="0" w:type="dxa"/>
                  <w:right w:w="108" w:type="dxa"/>
                </w:tblCellMar>
              </w:tblPrEx>
              <w:trPr>
                <w:trHeight w:val="881" w:hRule="atLeast"/>
                <w:jc w:val="center"/>
              </w:trPr>
              <w:tc>
                <w:tcPr>
                  <w:tcW w:w="1076" w:type="dxa"/>
                  <w:vAlign w:val="center"/>
                </w:tcPr>
                <w:p w14:paraId="768F3E7E">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采购代理机构</w:t>
                  </w:r>
                </w:p>
              </w:tc>
              <w:tc>
                <w:tcPr>
                  <w:tcW w:w="236" w:type="dxa"/>
                  <w:vAlign w:val="center"/>
                </w:tcPr>
                <w:p w14:paraId="55C5FE04">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5509" w:type="dxa"/>
                  <w:vAlign w:val="center"/>
                </w:tcPr>
                <w:p w14:paraId="15D012DA">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温州市中概工程管理咨询有限公司</w:t>
                  </w:r>
                </w:p>
              </w:tc>
            </w:tr>
          </w:tbl>
          <w:p w14:paraId="29F5ECBC">
            <w:pPr>
              <w:spacing w:line="500" w:lineRule="atLeast"/>
              <w:ind w:left="3565" w:leftChars="726" w:hanging="2040" w:hangingChars="680"/>
              <w:rPr>
                <w:rFonts w:cs="新宋体" w:asciiTheme="majorEastAsia" w:hAnsiTheme="majorEastAsia" w:eastAsiaTheme="majorEastAsia"/>
                <w:color w:val="auto"/>
                <w:sz w:val="30"/>
                <w:szCs w:val="30"/>
                <w:highlight w:val="none"/>
              </w:rPr>
            </w:pPr>
          </w:p>
          <w:p w14:paraId="572CFD4F">
            <w:pPr>
              <w:autoSpaceDE w:val="0"/>
              <w:autoSpaceDN w:val="0"/>
              <w:adjustRightInd w:val="0"/>
              <w:snapToGrid w:val="0"/>
              <w:spacing w:line="500" w:lineRule="atLeast"/>
              <w:jc w:val="center"/>
              <w:rPr>
                <w:rFonts w:cs="新宋体" w:asciiTheme="majorEastAsia" w:hAnsiTheme="majorEastAsia" w:eastAsiaTheme="majorEastAsia"/>
                <w:color w:val="auto"/>
                <w:sz w:val="32"/>
                <w:szCs w:val="32"/>
                <w:highlight w:val="none"/>
              </w:rPr>
            </w:pPr>
            <w:r>
              <w:rPr>
                <w:rFonts w:hint="eastAsia" w:cs="新宋体" w:asciiTheme="majorEastAsia" w:hAnsiTheme="majorEastAsia" w:eastAsiaTheme="majorEastAsia"/>
                <w:color w:val="auto"/>
                <w:sz w:val="30"/>
                <w:szCs w:val="30"/>
                <w:highlight w:val="none"/>
              </w:rPr>
              <w:t>二○二五年</w:t>
            </w:r>
            <w:r>
              <w:rPr>
                <w:rFonts w:hint="eastAsia" w:cs="新宋体" w:asciiTheme="majorEastAsia" w:hAnsiTheme="majorEastAsia" w:eastAsiaTheme="majorEastAsia"/>
                <w:color w:val="auto"/>
                <w:sz w:val="30"/>
                <w:szCs w:val="30"/>
                <w:highlight w:val="none"/>
                <w:lang w:val="en-US" w:eastAsia="zh-CN"/>
              </w:rPr>
              <w:t>二</w:t>
            </w:r>
            <w:r>
              <w:rPr>
                <w:rFonts w:hint="eastAsia" w:cs="新宋体" w:asciiTheme="majorEastAsia" w:hAnsiTheme="majorEastAsia" w:eastAsiaTheme="majorEastAsia"/>
                <w:color w:val="auto"/>
                <w:sz w:val="30"/>
                <w:szCs w:val="30"/>
                <w:highlight w:val="none"/>
              </w:rPr>
              <w:t>月</w:t>
            </w:r>
          </w:p>
        </w:tc>
      </w:tr>
    </w:tbl>
    <w:p w14:paraId="32759BA7">
      <w:pPr>
        <w:spacing w:line="500" w:lineRule="atLeast"/>
        <w:rPr>
          <w:rFonts w:cs="新宋体" w:asciiTheme="majorEastAsia" w:hAnsiTheme="majorEastAsia" w:eastAsiaTheme="majorEastAsia"/>
          <w:color w:val="auto"/>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850" w:gutter="0"/>
          <w:pgNumType w:start="1"/>
          <w:cols w:space="720" w:num="1"/>
          <w:titlePg/>
          <w:docGrid w:type="lines" w:linePitch="312" w:charSpace="0"/>
        </w:sectPr>
      </w:pPr>
    </w:p>
    <w:p w14:paraId="01008C0C">
      <w:pPr>
        <w:widowControl/>
        <w:spacing w:line="500" w:lineRule="atLeast"/>
        <w:jc w:val="center"/>
        <w:rPr>
          <w:rFonts w:cs="新宋体" w:asciiTheme="majorEastAsia" w:hAnsiTheme="majorEastAsia" w:eastAsiaTheme="majorEastAsia"/>
          <w:b/>
          <w:color w:val="auto"/>
          <w:sz w:val="32"/>
          <w:szCs w:val="32"/>
          <w:highlight w:val="none"/>
        </w:rPr>
      </w:pPr>
      <w:bookmarkStart w:id="0" w:name="_Toc496116237"/>
      <w:bookmarkStart w:id="1" w:name="_Toc293038713"/>
      <w:r>
        <w:rPr>
          <w:rFonts w:hint="eastAsia" w:cs="新宋体" w:asciiTheme="majorEastAsia" w:hAnsiTheme="majorEastAsia" w:eastAsiaTheme="majorEastAsia"/>
          <w:b/>
          <w:color w:val="auto"/>
          <w:sz w:val="32"/>
          <w:szCs w:val="32"/>
          <w:highlight w:val="none"/>
        </w:rPr>
        <w:t>招标文件目录</w:t>
      </w:r>
    </w:p>
    <w:p w14:paraId="04E3CACD">
      <w:pPr>
        <w:pStyle w:val="30"/>
        <w:tabs>
          <w:tab w:val="right" w:leader="dot" w:pos="9638"/>
          <w:tab w:val="clear" w:pos="8777"/>
        </w:tabs>
        <w:spacing w:line="480" w:lineRule="auto"/>
        <w:rPr>
          <w:color w:val="auto"/>
          <w:highlight w:val="none"/>
        </w:rPr>
      </w:pPr>
      <w:r>
        <w:rPr>
          <w:rFonts w:hint="eastAsia" w:cs="新宋体" w:asciiTheme="majorEastAsia" w:hAnsiTheme="majorEastAsia" w:eastAsiaTheme="majorEastAsia"/>
          <w:color w:val="auto"/>
          <w:highlight w:val="none"/>
        </w:rPr>
        <w:fldChar w:fldCharType="begin"/>
      </w:r>
      <w:r>
        <w:rPr>
          <w:rFonts w:hint="eastAsia" w:cs="新宋体" w:asciiTheme="majorEastAsia" w:hAnsiTheme="majorEastAsia" w:eastAsiaTheme="majorEastAsia"/>
          <w:color w:val="auto"/>
          <w:highlight w:val="none"/>
        </w:rPr>
        <w:instrText xml:space="preserve"> TOC \o "1-2" \h \z \u </w:instrText>
      </w:r>
      <w:r>
        <w:rPr>
          <w:rFonts w:hint="eastAsia" w:cs="新宋体" w:asciiTheme="majorEastAsia" w:hAnsiTheme="majorEastAsia" w:eastAsiaTheme="majorEastAsia"/>
          <w:color w:val="auto"/>
          <w:highlight w:val="none"/>
        </w:rPr>
        <w:fldChar w:fldCharType="separate"/>
      </w:r>
      <w:r>
        <w:rPr>
          <w:color w:val="auto"/>
          <w:highlight w:val="none"/>
        </w:rPr>
        <w:fldChar w:fldCharType="begin"/>
      </w:r>
      <w:r>
        <w:rPr>
          <w:color w:val="auto"/>
          <w:highlight w:val="none"/>
        </w:rPr>
        <w:instrText xml:space="preserve"> HYPERLINK \l "_Toc11853" </w:instrText>
      </w:r>
      <w:r>
        <w:rPr>
          <w:color w:val="auto"/>
          <w:highlight w:val="none"/>
        </w:rPr>
        <w:fldChar w:fldCharType="separate"/>
      </w:r>
      <w:r>
        <w:rPr>
          <w:rFonts w:hint="eastAsia" w:ascii="宋体" w:hAnsi="宋体" w:cs="宋体"/>
          <w:color w:val="auto"/>
          <w:szCs w:val="32"/>
          <w:highlight w:val="none"/>
        </w:rPr>
        <w:t>温州市中概工程管理咨询有限公司关于永嘉县中医医院（医共体）高清内窥镜采购的公开招标公告</w:t>
      </w:r>
      <w:r>
        <w:rPr>
          <w:color w:val="auto"/>
          <w:highlight w:val="none"/>
        </w:rPr>
        <w:tab/>
      </w:r>
      <w:r>
        <w:rPr>
          <w:color w:val="auto"/>
          <w:highlight w:val="none"/>
        </w:rPr>
        <w:fldChar w:fldCharType="begin"/>
      </w:r>
      <w:r>
        <w:rPr>
          <w:color w:val="auto"/>
          <w:highlight w:val="none"/>
        </w:rPr>
        <w:instrText xml:space="preserve"> PAGEREF _Toc11853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40530EA">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"_Toc17480" </w:instrText>
      </w:r>
      <w:r>
        <w:rPr>
          <w:color w:val="auto"/>
          <w:highlight w:val="none"/>
        </w:rPr>
        <w:fldChar w:fldCharType="separate"/>
      </w:r>
      <w:r>
        <w:rPr>
          <w:rFonts w:hint="eastAsia" w:cs="新宋体" w:asciiTheme="majorEastAsia" w:hAnsiTheme="majorEastAsia" w:eastAsiaTheme="majorEastAsia"/>
          <w:color w:val="auto"/>
          <w:szCs w:val="30"/>
          <w:highlight w:val="none"/>
        </w:rPr>
        <w:t>第一部分  投标通知(邀请)书</w:t>
      </w:r>
      <w:r>
        <w:rPr>
          <w:color w:val="auto"/>
          <w:highlight w:val="none"/>
        </w:rPr>
        <w:tab/>
      </w:r>
      <w:r>
        <w:rPr>
          <w:color w:val="auto"/>
          <w:highlight w:val="none"/>
        </w:rPr>
        <w:fldChar w:fldCharType="begin"/>
      </w:r>
      <w:r>
        <w:rPr>
          <w:color w:val="auto"/>
          <w:highlight w:val="none"/>
        </w:rPr>
        <w:instrText xml:space="preserve"> PAGEREF _Toc17480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5B5CB90">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"_Toc13266" </w:instrText>
      </w:r>
      <w:r>
        <w:rPr>
          <w:color w:val="auto"/>
          <w:highlight w:val="none"/>
        </w:rPr>
        <w:fldChar w:fldCharType="separate"/>
      </w:r>
      <w:r>
        <w:rPr>
          <w:rFonts w:hint="eastAsia" w:cs="新宋体" w:asciiTheme="majorEastAsia" w:hAnsiTheme="majorEastAsia" w:eastAsiaTheme="majorEastAsia"/>
          <w:color w:val="auto"/>
          <w:szCs w:val="30"/>
          <w:highlight w:val="none"/>
        </w:rPr>
        <w:t>第二部分 招标内容及要求</w:t>
      </w:r>
      <w:r>
        <w:rPr>
          <w:color w:val="auto"/>
          <w:highlight w:val="none"/>
        </w:rPr>
        <w:tab/>
      </w:r>
      <w:r>
        <w:rPr>
          <w:color w:val="auto"/>
          <w:highlight w:val="none"/>
        </w:rPr>
        <w:fldChar w:fldCharType="begin"/>
      </w:r>
      <w:r>
        <w:rPr>
          <w:color w:val="auto"/>
          <w:highlight w:val="none"/>
        </w:rPr>
        <w:instrText xml:space="preserve"> PAGEREF _Toc13266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CCDE6A7">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"_Toc15919" </w:instrText>
      </w:r>
      <w:r>
        <w:rPr>
          <w:color w:val="auto"/>
          <w:highlight w:val="none"/>
        </w:rPr>
        <w:fldChar w:fldCharType="separate"/>
      </w:r>
      <w:r>
        <w:rPr>
          <w:rFonts w:hint="eastAsia" w:cs="新宋体" w:asciiTheme="majorEastAsia" w:hAnsiTheme="majorEastAsia" w:eastAsiaTheme="majorEastAsia"/>
          <w:color w:val="auto"/>
          <w:szCs w:val="30"/>
          <w:highlight w:val="none"/>
        </w:rPr>
        <w:t>第三部分 供应商须知</w:t>
      </w:r>
      <w:r>
        <w:rPr>
          <w:color w:val="auto"/>
          <w:highlight w:val="none"/>
        </w:rPr>
        <w:tab/>
      </w:r>
      <w:r>
        <w:rPr>
          <w:color w:val="auto"/>
          <w:highlight w:val="none"/>
        </w:rPr>
        <w:fldChar w:fldCharType="begin"/>
      </w:r>
      <w:r>
        <w:rPr>
          <w:color w:val="auto"/>
          <w:highlight w:val="none"/>
        </w:rPr>
        <w:instrText xml:space="preserve"> PAGEREF _Toc15919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086057D">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"_Toc3034" </w:instrText>
      </w:r>
      <w:r>
        <w:rPr>
          <w:color w:val="auto"/>
          <w:highlight w:val="none"/>
        </w:rPr>
        <w:fldChar w:fldCharType="separate"/>
      </w:r>
      <w:r>
        <w:rPr>
          <w:rFonts w:hint="eastAsia" w:cs="Arial" w:asciiTheme="majorEastAsia" w:hAnsiTheme="majorEastAsia" w:eastAsiaTheme="majorEastAsia"/>
          <w:bCs/>
          <w:color w:val="auto"/>
          <w:szCs w:val="22"/>
          <w:highlight w:val="none"/>
        </w:rPr>
        <w:t>一、说明</w:t>
      </w:r>
      <w:r>
        <w:rPr>
          <w:color w:val="auto"/>
          <w:highlight w:val="none"/>
        </w:rPr>
        <w:tab/>
      </w:r>
      <w:r>
        <w:rPr>
          <w:color w:val="auto"/>
          <w:highlight w:val="none"/>
        </w:rPr>
        <w:fldChar w:fldCharType="begin"/>
      </w:r>
      <w:r>
        <w:rPr>
          <w:color w:val="auto"/>
          <w:highlight w:val="none"/>
        </w:rPr>
        <w:instrText xml:space="preserve"> PAGEREF _Toc3034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1246845">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"_Toc13701" </w:instrText>
      </w:r>
      <w:r>
        <w:rPr>
          <w:color w:val="auto"/>
          <w:highlight w:val="none"/>
        </w:rPr>
        <w:fldChar w:fldCharType="separate"/>
      </w:r>
      <w:r>
        <w:rPr>
          <w:rFonts w:hint="eastAsia" w:cs="Arial" w:asciiTheme="majorEastAsia" w:hAnsiTheme="majorEastAsia" w:eastAsiaTheme="majorEastAsia"/>
          <w:bCs/>
          <w:color w:val="auto"/>
          <w:szCs w:val="22"/>
          <w:highlight w:val="none"/>
        </w:rPr>
        <w:t>二、供应商资格条件</w:t>
      </w:r>
      <w:r>
        <w:rPr>
          <w:color w:val="auto"/>
          <w:highlight w:val="none"/>
        </w:rPr>
        <w:tab/>
      </w:r>
      <w:r>
        <w:rPr>
          <w:color w:val="auto"/>
          <w:highlight w:val="none"/>
        </w:rPr>
        <w:fldChar w:fldCharType="begin"/>
      </w:r>
      <w:r>
        <w:rPr>
          <w:color w:val="auto"/>
          <w:highlight w:val="none"/>
        </w:rPr>
        <w:instrText xml:space="preserve"> PAGEREF _Toc13701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D2D0C4B">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"_Toc13744" </w:instrText>
      </w:r>
      <w:r>
        <w:rPr>
          <w:color w:val="auto"/>
          <w:highlight w:val="none"/>
        </w:rPr>
        <w:fldChar w:fldCharType="separate"/>
      </w:r>
      <w:r>
        <w:rPr>
          <w:rFonts w:hint="eastAsia" w:cs="Arial" w:asciiTheme="majorEastAsia" w:hAnsiTheme="majorEastAsia" w:eastAsiaTheme="majorEastAsia"/>
          <w:bCs/>
          <w:color w:val="auto"/>
          <w:szCs w:val="22"/>
          <w:highlight w:val="none"/>
        </w:rPr>
        <w:t>三、招标文件</w:t>
      </w:r>
      <w:r>
        <w:rPr>
          <w:color w:val="auto"/>
          <w:highlight w:val="none"/>
        </w:rPr>
        <w:tab/>
      </w:r>
      <w:r>
        <w:rPr>
          <w:color w:val="auto"/>
          <w:highlight w:val="none"/>
        </w:rPr>
        <w:fldChar w:fldCharType="begin"/>
      </w:r>
      <w:r>
        <w:rPr>
          <w:color w:val="auto"/>
          <w:highlight w:val="none"/>
        </w:rPr>
        <w:instrText xml:space="preserve"> PAGEREF _Toc13744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78D35B8">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"_Toc24086" </w:instrText>
      </w:r>
      <w:r>
        <w:rPr>
          <w:color w:val="auto"/>
          <w:highlight w:val="none"/>
        </w:rPr>
        <w:fldChar w:fldCharType="separate"/>
      </w:r>
      <w:r>
        <w:rPr>
          <w:rFonts w:hint="eastAsia" w:cs="Arial" w:asciiTheme="majorEastAsia" w:hAnsiTheme="majorEastAsia" w:eastAsiaTheme="majorEastAsia"/>
          <w:bCs/>
          <w:color w:val="auto"/>
          <w:szCs w:val="22"/>
          <w:highlight w:val="none"/>
        </w:rPr>
        <w:t>四、投标文件</w:t>
      </w:r>
      <w:r>
        <w:rPr>
          <w:color w:val="auto"/>
          <w:highlight w:val="none"/>
        </w:rPr>
        <w:tab/>
      </w:r>
      <w:r>
        <w:rPr>
          <w:color w:val="auto"/>
          <w:highlight w:val="none"/>
        </w:rPr>
        <w:fldChar w:fldCharType="begin"/>
      </w:r>
      <w:r>
        <w:rPr>
          <w:color w:val="auto"/>
          <w:highlight w:val="none"/>
        </w:rPr>
        <w:instrText xml:space="preserve"> PAGEREF _Toc24086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617ED3D">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"_Toc18653" </w:instrText>
      </w:r>
      <w:r>
        <w:rPr>
          <w:color w:val="auto"/>
          <w:highlight w:val="none"/>
        </w:rPr>
        <w:fldChar w:fldCharType="separate"/>
      </w:r>
      <w:r>
        <w:rPr>
          <w:rFonts w:hint="eastAsia" w:cs="Arial" w:asciiTheme="majorEastAsia" w:hAnsiTheme="majorEastAsia" w:eastAsiaTheme="majorEastAsia"/>
          <w:bCs/>
          <w:color w:val="auto"/>
          <w:szCs w:val="22"/>
          <w:highlight w:val="none"/>
        </w:rPr>
        <w:t>五、投标文件的密封</w:t>
      </w:r>
      <w:r>
        <w:rPr>
          <w:color w:val="auto"/>
          <w:highlight w:val="none"/>
        </w:rPr>
        <w:tab/>
      </w:r>
      <w:r>
        <w:rPr>
          <w:color w:val="auto"/>
          <w:highlight w:val="none"/>
        </w:rPr>
        <w:fldChar w:fldCharType="begin"/>
      </w:r>
      <w:r>
        <w:rPr>
          <w:color w:val="auto"/>
          <w:highlight w:val="none"/>
        </w:rPr>
        <w:instrText xml:space="preserve"> PAGEREF _Toc18653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4E317C84">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"_Toc144" </w:instrText>
      </w:r>
      <w:r>
        <w:rPr>
          <w:color w:val="auto"/>
          <w:highlight w:val="none"/>
        </w:rPr>
        <w:fldChar w:fldCharType="separate"/>
      </w:r>
      <w:r>
        <w:rPr>
          <w:rFonts w:hint="eastAsia" w:cs="Arial" w:asciiTheme="majorEastAsia" w:hAnsiTheme="majorEastAsia" w:eastAsiaTheme="majorEastAsia"/>
          <w:bCs/>
          <w:color w:val="auto"/>
          <w:szCs w:val="22"/>
          <w:highlight w:val="none"/>
        </w:rPr>
        <w:t>六、开标和评标</w:t>
      </w:r>
      <w:r>
        <w:rPr>
          <w:color w:val="auto"/>
          <w:highlight w:val="none"/>
        </w:rPr>
        <w:tab/>
      </w:r>
      <w:r>
        <w:rPr>
          <w:color w:val="auto"/>
          <w:highlight w:val="none"/>
        </w:rPr>
        <w:fldChar w:fldCharType="begin"/>
      </w:r>
      <w:r>
        <w:rPr>
          <w:color w:val="auto"/>
          <w:highlight w:val="none"/>
        </w:rPr>
        <w:instrText xml:space="preserve"> PAGEREF _Toc144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58D6148B">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"_Toc17810" </w:instrText>
      </w:r>
      <w:r>
        <w:rPr>
          <w:color w:val="auto"/>
          <w:highlight w:val="none"/>
        </w:rPr>
        <w:fldChar w:fldCharType="separate"/>
      </w:r>
      <w:r>
        <w:rPr>
          <w:rFonts w:hint="eastAsia" w:cs="Arial" w:asciiTheme="majorEastAsia" w:hAnsiTheme="majorEastAsia" w:eastAsiaTheme="majorEastAsia"/>
          <w:bCs/>
          <w:color w:val="auto"/>
          <w:szCs w:val="22"/>
          <w:highlight w:val="none"/>
        </w:rPr>
        <w:t>七、授予合同</w:t>
      </w:r>
      <w:r>
        <w:rPr>
          <w:color w:val="auto"/>
          <w:highlight w:val="none"/>
        </w:rPr>
        <w:tab/>
      </w:r>
      <w:r>
        <w:rPr>
          <w:color w:val="auto"/>
          <w:highlight w:val="none"/>
        </w:rPr>
        <w:fldChar w:fldCharType="begin"/>
      </w:r>
      <w:r>
        <w:rPr>
          <w:color w:val="auto"/>
          <w:highlight w:val="none"/>
        </w:rPr>
        <w:instrText xml:space="preserve"> PAGEREF _Toc17810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A04AA15">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"_Toc30125" </w:instrText>
      </w:r>
      <w:r>
        <w:rPr>
          <w:color w:val="auto"/>
          <w:highlight w:val="none"/>
        </w:rPr>
        <w:fldChar w:fldCharType="separate"/>
      </w:r>
      <w:r>
        <w:rPr>
          <w:rFonts w:hint="eastAsia" w:cs="新宋体" w:asciiTheme="majorEastAsia" w:hAnsiTheme="majorEastAsia" w:eastAsiaTheme="majorEastAsia"/>
          <w:color w:val="auto"/>
          <w:szCs w:val="30"/>
          <w:highlight w:val="none"/>
        </w:rPr>
        <w:t>第四部分</w:t>
      </w:r>
      <w:r>
        <w:rPr>
          <w:rFonts w:hint="eastAsia" w:cs="宋体" w:asciiTheme="majorEastAsia" w:hAnsiTheme="majorEastAsia" w:eastAsiaTheme="majorEastAsia"/>
          <w:color w:val="auto"/>
          <w:szCs w:val="30"/>
          <w:highlight w:val="none"/>
        </w:rPr>
        <w:t xml:space="preserve">  政府采购政策功能相关说明</w:t>
      </w:r>
      <w:r>
        <w:rPr>
          <w:color w:val="auto"/>
          <w:highlight w:val="none"/>
        </w:rPr>
        <w:tab/>
      </w:r>
      <w:r>
        <w:rPr>
          <w:color w:val="auto"/>
          <w:highlight w:val="none"/>
        </w:rPr>
        <w:fldChar w:fldCharType="begin"/>
      </w:r>
      <w:r>
        <w:rPr>
          <w:color w:val="auto"/>
          <w:highlight w:val="none"/>
        </w:rPr>
        <w:instrText xml:space="preserve"> PAGEREF _Toc30125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3CBDF817">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"_Toc23974" </w:instrText>
      </w:r>
      <w:r>
        <w:rPr>
          <w:color w:val="auto"/>
          <w:highlight w:val="none"/>
        </w:rPr>
        <w:fldChar w:fldCharType="separate"/>
      </w:r>
      <w:r>
        <w:rPr>
          <w:rFonts w:hint="eastAsia" w:cs="新宋体" w:asciiTheme="majorEastAsia" w:hAnsiTheme="majorEastAsia" w:eastAsiaTheme="majorEastAsia"/>
          <w:color w:val="auto"/>
          <w:szCs w:val="30"/>
          <w:highlight w:val="none"/>
        </w:rPr>
        <w:t>第五部分  合同主要条款（参考格式）</w:t>
      </w:r>
      <w:r>
        <w:rPr>
          <w:color w:val="auto"/>
          <w:highlight w:val="none"/>
        </w:rPr>
        <w:tab/>
      </w:r>
      <w:r>
        <w:rPr>
          <w:color w:val="auto"/>
          <w:highlight w:val="none"/>
        </w:rPr>
        <w:fldChar w:fldCharType="begin"/>
      </w:r>
      <w:r>
        <w:rPr>
          <w:color w:val="auto"/>
          <w:highlight w:val="none"/>
        </w:rPr>
        <w:instrText xml:space="preserve"> PAGEREF _Toc23974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6CFE31E6">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"_Toc21992" </w:instrText>
      </w:r>
      <w:r>
        <w:rPr>
          <w:color w:val="auto"/>
          <w:highlight w:val="none"/>
        </w:rPr>
        <w:fldChar w:fldCharType="separate"/>
      </w:r>
      <w:r>
        <w:rPr>
          <w:rFonts w:hint="eastAsia" w:cs="新宋体" w:asciiTheme="majorEastAsia" w:hAnsiTheme="majorEastAsia" w:eastAsiaTheme="majorEastAsia"/>
          <w:color w:val="auto"/>
          <w:szCs w:val="30"/>
          <w:highlight w:val="none"/>
        </w:rPr>
        <w:t>第六部分 投标文件格式</w:t>
      </w:r>
      <w:r>
        <w:rPr>
          <w:color w:val="auto"/>
          <w:highlight w:val="none"/>
        </w:rPr>
        <w:tab/>
      </w:r>
      <w:r>
        <w:rPr>
          <w:color w:val="auto"/>
          <w:highlight w:val="none"/>
        </w:rPr>
        <w:fldChar w:fldCharType="begin"/>
      </w:r>
      <w:r>
        <w:rPr>
          <w:color w:val="auto"/>
          <w:highlight w:val="none"/>
        </w:rPr>
        <w:instrText xml:space="preserve"> PAGEREF _Toc21992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37A35F30">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"_Toc3026" </w:instrText>
      </w:r>
      <w:r>
        <w:rPr>
          <w:color w:val="auto"/>
          <w:highlight w:val="none"/>
        </w:rPr>
        <w:fldChar w:fldCharType="separate"/>
      </w:r>
      <w:r>
        <w:rPr>
          <w:rFonts w:hint="eastAsia" w:asciiTheme="majorEastAsia" w:hAnsiTheme="majorEastAsia" w:eastAsiaTheme="majorEastAsia"/>
          <w:color w:val="auto"/>
          <w:highlight w:val="none"/>
        </w:rPr>
        <w:t>一、资格文件部分格式</w:t>
      </w:r>
      <w:r>
        <w:rPr>
          <w:color w:val="auto"/>
          <w:highlight w:val="none"/>
        </w:rPr>
        <w:tab/>
      </w:r>
      <w:r>
        <w:rPr>
          <w:color w:val="auto"/>
          <w:highlight w:val="none"/>
        </w:rPr>
        <w:fldChar w:fldCharType="begin"/>
      </w:r>
      <w:r>
        <w:rPr>
          <w:color w:val="auto"/>
          <w:highlight w:val="none"/>
        </w:rPr>
        <w:instrText xml:space="preserve"> PAGEREF _Toc3026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76F705FB">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"_Toc3526" </w:instrText>
      </w:r>
      <w:r>
        <w:rPr>
          <w:color w:val="auto"/>
          <w:highlight w:val="none"/>
        </w:rPr>
        <w:fldChar w:fldCharType="separate"/>
      </w:r>
      <w:r>
        <w:rPr>
          <w:rFonts w:hint="eastAsia" w:asciiTheme="majorEastAsia" w:hAnsiTheme="majorEastAsia" w:eastAsiaTheme="majorEastAsia"/>
          <w:color w:val="auto"/>
          <w:highlight w:val="none"/>
        </w:rPr>
        <w:t>二、报价文件部分格式</w:t>
      </w:r>
      <w:r>
        <w:rPr>
          <w:color w:val="auto"/>
          <w:highlight w:val="none"/>
        </w:rPr>
        <w:tab/>
      </w:r>
      <w:r>
        <w:rPr>
          <w:color w:val="auto"/>
          <w:highlight w:val="none"/>
        </w:rPr>
        <w:fldChar w:fldCharType="begin"/>
      </w:r>
      <w:r>
        <w:rPr>
          <w:color w:val="auto"/>
          <w:highlight w:val="none"/>
        </w:rPr>
        <w:instrText xml:space="preserve"> PAGEREF _Toc3526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7412E9E1">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"_Toc6383" </w:instrText>
      </w:r>
      <w:r>
        <w:rPr>
          <w:color w:val="auto"/>
          <w:highlight w:val="none"/>
        </w:rPr>
        <w:fldChar w:fldCharType="separate"/>
      </w:r>
      <w:r>
        <w:rPr>
          <w:rFonts w:hint="eastAsia" w:asciiTheme="majorEastAsia" w:hAnsiTheme="majorEastAsia" w:eastAsiaTheme="majorEastAsia"/>
          <w:color w:val="auto"/>
          <w:highlight w:val="none"/>
        </w:rPr>
        <w:t>三、商务技术文件部分格式</w:t>
      </w:r>
      <w:r>
        <w:rPr>
          <w:color w:val="auto"/>
          <w:highlight w:val="none"/>
        </w:rPr>
        <w:tab/>
      </w:r>
      <w:r>
        <w:rPr>
          <w:color w:val="auto"/>
          <w:highlight w:val="none"/>
        </w:rPr>
        <w:fldChar w:fldCharType="begin"/>
      </w:r>
      <w:r>
        <w:rPr>
          <w:color w:val="auto"/>
          <w:highlight w:val="none"/>
        </w:rPr>
        <w:instrText xml:space="preserve"> PAGEREF _Toc6383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09610FF9">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"_Toc5132" </w:instrText>
      </w:r>
      <w:r>
        <w:rPr>
          <w:color w:val="auto"/>
          <w:highlight w:val="none"/>
        </w:rPr>
        <w:fldChar w:fldCharType="separate"/>
      </w:r>
      <w:r>
        <w:rPr>
          <w:rFonts w:hint="eastAsia" w:cs="新宋体" w:asciiTheme="majorEastAsia" w:hAnsiTheme="majorEastAsia" w:eastAsiaTheme="majorEastAsia"/>
          <w:color w:val="auto"/>
          <w:szCs w:val="30"/>
          <w:highlight w:val="none"/>
        </w:rPr>
        <w:t>第七部分 评标定标办法</w:t>
      </w:r>
      <w:r>
        <w:rPr>
          <w:color w:val="auto"/>
          <w:highlight w:val="none"/>
        </w:rPr>
        <w:tab/>
      </w:r>
      <w:r>
        <w:rPr>
          <w:color w:val="auto"/>
          <w:highlight w:val="none"/>
        </w:rPr>
        <w:fldChar w:fldCharType="begin"/>
      </w:r>
      <w:r>
        <w:rPr>
          <w:color w:val="auto"/>
          <w:highlight w:val="none"/>
        </w:rPr>
        <w:instrText xml:space="preserve"> PAGEREF _Toc5132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3D265D08">
      <w:pPr>
        <w:spacing w:line="480" w:lineRule="auto"/>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fldChar w:fldCharType="end"/>
      </w:r>
      <w:bookmarkStart w:id="2" w:name="_Toc498343162"/>
      <w:r>
        <w:rPr>
          <w:rFonts w:hint="eastAsia" w:ascii="宋体" w:hAnsi="宋体" w:cs="宋体"/>
          <w:b/>
          <w:bCs/>
          <w:color w:val="auto"/>
          <w:sz w:val="22"/>
          <w:szCs w:val="22"/>
          <w:highlight w:val="none"/>
        </w:rPr>
        <w:t>注：招标文件中部分加“▲”的条款，为招标的实质性要求和条件，着重提醒各投标供应商注意，并认真查看招标文件中的每一个条款及要求，因误读招标文件而造成的后果，招标人概不负责。</w:t>
      </w:r>
    </w:p>
    <w:p w14:paraId="2224D544">
      <w:pPr>
        <w:spacing w:line="480" w:lineRule="auto"/>
        <w:rPr>
          <w:rFonts w:cs="新宋体" w:asciiTheme="majorEastAsia" w:hAnsiTheme="majorEastAsia" w:eastAsiaTheme="majorEastAsia"/>
          <w:color w:val="auto"/>
          <w:sz w:val="30"/>
          <w:szCs w:val="30"/>
          <w:highlight w:val="none"/>
        </w:rPr>
      </w:pPr>
    </w:p>
    <w:bookmarkEnd w:id="0"/>
    <w:bookmarkEnd w:id="2"/>
    <w:p w14:paraId="32F3EAD6">
      <w:pPr>
        <w:spacing w:line="360" w:lineRule="auto"/>
        <w:jc w:val="center"/>
        <w:rPr>
          <w:rFonts w:ascii="宋体" w:hAnsi="宋体" w:cs="宋体"/>
          <w:b/>
          <w:color w:val="auto"/>
          <w:sz w:val="32"/>
          <w:szCs w:val="32"/>
          <w:highlight w:val="none"/>
        </w:rPr>
      </w:pPr>
      <w:bookmarkStart w:id="3" w:name="_Toc498343164"/>
      <w:bookmarkStart w:id="4" w:name="_Toc496116239"/>
      <w:r>
        <w:rPr>
          <w:rFonts w:hint="eastAsia" w:cs="新宋体" w:asciiTheme="majorEastAsia" w:hAnsiTheme="majorEastAsia" w:eastAsiaTheme="majorEastAsia"/>
          <w:color w:val="auto"/>
          <w:sz w:val="30"/>
          <w:szCs w:val="30"/>
          <w:highlight w:val="none"/>
        </w:rPr>
        <w:br w:type="page"/>
      </w:r>
      <w:bookmarkStart w:id="5" w:name="_Toc11853"/>
      <w:r>
        <w:rPr>
          <w:rFonts w:hint="eastAsia" w:ascii="宋体" w:hAnsi="宋体" w:cs="宋体"/>
          <w:b/>
          <w:color w:val="auto"/>
          <w:sz w:val="32"/>
          <w:szCs w:val="32"/>
          <w:highlight w:val="none"/>
        </w:rPr>
        <w:t>温州市中概工程管理咨询有限公司关于永嘉县中医医院（医共体）高清内窥镜采购的公开招标公告</w:t>
      </w:r>
      <w:bookmarkEnd w:id="5"/>
    </w:p>
    <w:p w14:paraId="1668BD78">
      <w:pPr>
        <w:pStyle w:val="39"/>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项目概况  </w:t>
      </w:r>
    </w:p>
    <w:p w14:paraId="52A1648E">
      <w:pPr>
        <w:pStyle w:val="39"/>
        <w:spacing w:line="360" w:lineRule="auto"/>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永嘉县中医医院（医共体）高清内窥镜采购招标项目的潜在投标供应商应在政采云平台线上获取（下载）招标文件，并于  2025年</w:t>
      </w:r>
      <w:r>
        <w:rPr>
          <w:rFonts w:hint="eastAsia" w:asciiTheme="majorEastAsia" w:hAnsiTheme="majorEastAsia" w:eastAsiaTheme="majorEastAsia"/>
          <w:color w:val="auto"/>
          <w:sz w:val="22"/>
          <w:szCs w:val="22"/>
          <w:highlight w:val="none"/>
          <w:lang w:val="en-US" w:eastAsia="zh-CN"/>
        </w:rPr>
        <w:t>2</w:t>
      </w:r>
      <w:r>
        <w:rPr>
          <w:rFonts w:hint="eastAsia" w:asciiTheme="majorEastAsia" w:hAnsiTheme="majorEastAsia" w:eastAsiaTheme="majorEastAsia"/>
          <w:color w:val="auto"/>
          <w:sz w:val="22"/>
          <w:szCs w:val="22"/>
          <w:highlight w:val="none"/>
        </w:rPr>
        <w:t>月</w:t>
      </w:r>
      <w:r>
        <w:rPr>
          <w:rFonts w:hint="eastAsia" w:asciiTheme="majorEastAsia" w:hAnsiTheme="majorEastAsia" w:eastAsiaTheme="majorEastAsia"/>
          <w:color w:val="auto"/>
          <w:sz w:val="22"/>
          <w:szCs w:val="22"/>
          <w:highlight w:val="none"/>
          <w:lang w:val="en-US" w:eastAsia="zh-CN"/>
        </w:rPr>
        <w:t>18</w:t>
      </w:r>
      <w:r>
        <w:rPr>
          <w:rFonts w:hint="eastAsia" w:asciiTheme="majorEastAsia" w:hAnsiTheme="majorEastAsia" w:eastAsiaTheme="majorEastAsia"/>
          <w:color w:val="auto"/>
          <w:sz w:val="22"/>
          <w:szCs w:val="22"/>
          <w:highlight w:val="none"/>
        </w:rPr>
        <w:t>日09:30（北京时间）前递交（上传）投标文件。</w:t>
      </w:r>
    </w:p>
    <w:p w14:paraId="6267C948">
      <w:pPr>
        <w:widowControl/>
        <w:spacing w:before="225" w:after="225" w:line="360" w:lineRule="auto"/>
        <w:jc w:val="left"/>
        <w:rPr>
          <w:rFonts w:asciiTheme="majorEastAsia" w:hAnsiTheme="majorEastAsia" w:eastAsiaTheme="majorEastAsia"/>
          <w:color w:val="auto"/>
          <w:sz w:val="22"/>
          <w:szCs w:val="22"/>
          <w:highlight w:val="none"/>
        </w:rPr>
      </w:pPr>
      <w:r>
        <w:rPr>
          <w:rStyle w:val="46"/>
          <w:rFonts w:hint="eastAsia" w:asciiTheme="majorEastAsia" w:hAnsiTheme="majorEastAsia" w:eastAsiaTheme="majorEastAsia"/>
          <w:color w:val="auto"/>
          <w:sz w:val="22"/>
          <w:szCs w:val="22"/>
          <w:highlight w:val="none"/>
        </w:rPr>
        <w:t>一、项目</w:t>
      </w:r>
      <w:r>
        <w:rPr>
          <w:rFonts w:hint="eastAsia" w:cs="Arial"/>
          <w:b/>
          <w:color w:val="auto"/>
          <w:kern w:val="0"/>
          <w:highlight w:val="none"/>
        </w:rPr>
        <w:t>基本</w:t>
      </w:r>
      <w:r>
        <w:rPr>
          <w:rStyle w:val="46"/>
          <w:rFonts w:hint="eastAsia" w:asciiTheme="majorEastAsia" w:hAnsiTheme="majorEastAsia" w:eastAsiaTheme="majorEastAsia"/>
          <w:color w:val="auto"/>
          <w:sz w:val="22"/>
          <w:szCs w:val="22"/>
          <w:highlight w:val="none"/>
        </w:rPr>
        <w:t>情况</w:t>
      </w:r>
      <w:r>
        <w:rPr>
          <w:rFonts w:hint="eastAsia" w:asciiTheme="majorEastAsia" w:hAnsiTheme="majorEastAsia" w:eastAsiaTheme="majorEastAsia"/>
          <w:color w:val="auto"/>
          <w:sz w:val="22"/>
          <w:szCs w:val="22"/>
          <w:highlight w:val="none"/>
        </w:rPr>
        <w:t>                                            </w:t>
      </w:r>
    </w:p>
    <w:p w14:paraId="0C6E8C12">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hint="eastAsia" w:asciiTheme="majorEastAsia" w:hAnsiTheme="majorEastAsia" w:eastAsiaTheme="majorEastAsia"/>
          <w:color w:val="auto"/>
          <w:sz w:val="22"/>
          <w:szCs w:val="22"/>
          <w:highlight w:val="none"/>
        </w:rPr>
        <w:t>   </w:t>
      </w:r>
      <w:r>
        <w:rPr>
          <w:rFonts w:ascii="仿宋" w:hAnsi="仿宋" w:cs="Arial"/>
          <w:color w:val="auto"/>
          <w:sz w:val="27"/>
          <w:szCs w:val="27"/>
          <w:highlight w:val="none"/>
        </w:rPr>
        <w:t> </w:t>
      </w:r>
      <w:r>
        <w:rPr>
          <w:rFonts w:cs="Arial" w:asciiTheme="majorEastAsia" w:hAnsiTheme="majorEastAsia" w:eastAsiaTheme="majorEastAsia"/>
          <w:color w:val="auto"/>
          <w:kern w:val="0"/>
          <w:sz w:val="22"/>
          <w:szCs w:val="22"/>
          <w:highlight w:val="none"/>
        </w:rPr>
        <w:t>项目编号：</w:t>
      </w:r>
      <w:r>
        <w:rPr>
          <w:rFonts w:hint="eastAsia" w:cs="Arial" w:asciiTheme="majorEastAsia" w:hAnsiTheme="majorEastAsia" w:eastAsiaTheme="majorEastAsia"/>
          <w:color w:val="auto"/>
          <w:kern w:val="0"/>
          <w:sz w:val="22"/>
          <w:szCs w:val="22"/>
          <w:highlight w:val="none"/>
          <w:lang w:eastAsia="zh-CN"/>
        </w:rPr>
        <w:t>ZGCG-20250121-2</w:t>
      </w:r>
      <w:r>
        <w:rPr>
          <w:rFonts w:cs="Arial" w:asciiTheme="majorEastAsia" w:hAnsiTheme="majorEastAsia" w:eastAsiaTheme="majorEastAsia"/>
          <w:color w:val="auto"/>
          <w:kern w:val="0"/>
          <w:sz w:val="22"/>
          <w:szCs w:val="22"/>
          <w:highlight w:val="none"/>
        </w:rPr>
        <w:t> </w:t>
      </w:r>
    </w:p>
    <w:p w14:paraId="1FAF9AB2">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项目名称：</w:t>
      </w:r>
      <w:r>
        <w:rPr>
          <w:rFonts w:hint="eastAsia" w:cs="Arial" w:asciiTheme="majorEastAsia" w:hAnsiTheme="majorEastAsia" w:eastAsiaTheme="majorEastAsia"/>
          <w:color w:val="auto"/>
          <w:kern w:val="0"/>
          <w:sz w:val="22"/>
          <w:szCs w:val="22"/>
          <w:highlight w:val="none"/>
        </w:rPr>
        <w:t>永嘉县中医医院（医共体）高清内窥镜采购</w:t>
      </w:r>
    </w:p>
    <w:p w14:paraId="17422471">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预算金额（</w:t>
      </w:r>
      <w:r>
        <w:rPr>
          <w:rFonts w:hint="eastAsia" w:cs="Arial" w:asciiTheme="majorEastAsia" w:hAnsiTheme="majorEastAsia" w:eastAsiaTheme="majorEastAsia"/>
          <w:color w:val="auto"/>
          <w:kern w:val="0"/>
          <w:sz w:val="22"/>
          <w:szCs w:val="22"/>
          <w:highlight w:val="none"/>
        </w:rPr>
        <w:t>元）：2300000  </w:t>
      </w:r>
    </w:p>
    <w:p w14:paraId="6AFCDBEE">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最高限价（元）：</w:t>
      </w:r>
    </w:p>
    <w:p w14:paraId="30B5D96F">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采购需求：</w:t>
      </w:r>
    </w:p>
    <w:p w14:paraId="00CFD051">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w:t>
      </w:r>
    </w:p>
    <w:p w14:paraId="530426E9">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标项名称</w:t>
      </w:r>
      <w:r>
        <w:rPr>
          <w:rFonts w:hint="eastAsia" w:cs="Arial" w:asciiTheme="majorEastAsia" w:hAnsiTheme="majorEastAsia" w:eastAsiaTheme="majorEastAsia"/>
          <w:color w:val="auto"/>
          <w:kern w:val="0"/>
          <w:sz w:val="22"/>
          <w:szCs w:val="22"/>
          <w:highlight w:val="none"/>
        </w:rPr>
        <w:t>：</w:t>
      </w:r>
      <w:r>
        <w:rPr>
          <w:rFonts w:cs="Arial" w:asciiTheme="majorEastAsia" w:hAnsiTheme="majorEastAsia" w:eastAsiaTheme="majorEastAsia"/>
          <w:color w:val="auto"/>
          <w:kern w:val="0"/>
          <w:sz w:val="22"/>
          <w:szCs w:val="22"/>
          <w:highlight w:val="none"/>
        </w:rPr>
        <w:t> </w:t>
      </w:r>
      <w:r>
        <w:rPr>
          <w:rFonts w:hint="eastAsia" w:cs="Arial" w:asciiTheme="majorEastAsia" w:hAnsiTheme="majorEastAsia" w:eastAsiaTheme="majorEastAsia"/>
          <w:color w:val="auto"/>
          <w:kern w:val="0"/>
          <w:sz w:val="22"/>
          <w:szCs w:val="22"/>
          <w:highlight w:val="none"/>
        </w:rPr>
        <w:t>永嘉县中医医院（医共体）高清内窥镜采购</w:t>
      </w:r>
      <w:r>
        <w:rPr>
          <w:rFonts w:cs="Arial" w:asciiTheme="majorEastAsia" w:hAnsiTheme="majorEastAsia" w:eastAsiaTheme="majorEastAsia"/>
          <w:color w:val="auto"/>
          <w:kern w:val="0"/>
          <w:sz w:val="22"/>
          <w:szCs w:val="22"/>
          <w:highlight w:val="none"/>
        </w:rPr>
        <w:t> </w:t>
      </w:r>
    </w:p>
    <w:p w14:paraId="3FBC5EED">
      <w:pPr>
        <w:widowControl/>
        <w:spacing w:before="75" w:after="75" w:line="360" w:lineRule="auto"/>
        <w:ind w:firstLine="666"/>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数量</w:t>
      </w:r>
      <w:r>
        <w:rPr>
          <w:rFonts w:hint="eastAsia" w:cs="Arial" w:asciiTheme="majorEastAsia" w:hAnsiTheme="majorEastAsia" w:eastAsiaTheme="majorEastAsia"/>
          <w:color w:val="auto"/>
          <w:kern w:val="0"/>
          <w:sz w:val="22"/>
          <w:szCs w:val="22"/>
          <w:highlight w:val="none"/>
        </w:rPr>
        <w:t>：1</w:t>
      </w:r>
    </w:p>
    <w:p w14:paraId="489CB214">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预算金额（元）</w:t>
      </w:r>
      <w:r>
        <w:rPr>
          <w:rFonts w:hint="eastAsia" w:cs="Arial" w:asciiTheme="majorEastAsia" w:hAnsiTheme="majorEastAsia" w:eastAsiaTheme="majorEastAsia"/>
          <w:color w:val="auto"/>
          <w:kern w:val="0"/>
          <w:sz w:val="22"/>
          <w:szCs w:val="22"/>
          <w:highlight w:val="none"/>
        </w:rPr>
        <w:t>：2300000</w:t>
      </w:r>
      <w:r>
        <w:rPr>
          <w:rFonts w:cs="Arial" w:asciiTheme="majorEastAsia" w:hAnsiTheme="majorEastAsia" w:eastAsiaTheme="majorEastAsia"/>
          <w:color w:val="auto"/>
          <w:kern w:val="0"/>
          <w:sz w:val="22"/>
          <w:szCs w:val="22"/>
          <w:highlight w:val="none"/>
        </w:rPr>
        <w:t> </w:t>
      </w:r>
    </w:p>
    <w:p w14:paraId="3BA3CFE9">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简要规格描述或项目基本概况介绍、用途：</w:t>
      </w:r>
      <w:r>
        <w:rPr>
          <w:rFonts w:hint="eastAsia" w:cs="Arial" w:asciiTheme="majorEastAsia" w:hAnsiTheme="majorEastAsia" w:eastAsiaTheme="majorEastAsia"/>
          <w:color w:val="auto"/>
          <w:kern w:val="0"/>
          <w:sz w:val="22"/>
          <w:szCs w:val="22"/>
          <w:highlight w:val="none"/>
        </w:rPr>
        <w:t>永嘉县中医医院（医共体）高清内窥镜采购</w:t>
      </w:r>
      <w:r>
        <w:rPr>
          <w:rFonts w:cs="Arial" w:asciiTheme="majorEastAsia" w:hAnsiTheme="majorEastAsia" w:eastAsiaTheme="majorEastAsia"/>
          <w:color w:val="auto"/>
          <w:kern w:val="0"/>
          <w:sz w:val="22"/>
          <w:szCs w:val="22"/>
          <w:highlight w:val="none"/>
        </w:rPr>
        <w:t>，详见招标文件； </w:t>
      </w:r>
    </w:p>
    <w:p w14:paraId="3694A095">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备注：</w:t>
      </w:r>
    </w:p>
    <w:p w14:paraId="68B4D6E6">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合同履约期限：标项 1，详见招标文件</w:t>
      </w:r>
    </w:p>
    <w:p w14:paraId="183F8179">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本项目（否）接受联合体投标。</w:t>
      </w:r>
    </w:p>
    <w:p w14:paraId="2C4C4622">
      <w:pPr>
        <w:widowControl/>
        <w:spacing w:before="225" w:after="225" w:line="360" w:lineRule="auto"/>
        <w:jc w:val="left"/>
        <w:rPr>
          <w:rFonts w:cs="Arial" w:asciiTheme="majorEastAsia" w:hAnsiTheme="majorEastAsia" w:eastAsiaTheme="majorEastAsia"/>
          <w:color w:val="auto"/>
          <w:kern w:val="0"/>
          <w:sz w:val="22"/>
          <w:szCs w:val="22"/>
          <w:highlight w:val="none"/>
        </w:rPr>
      </w:pPr>
      <w:r>
        <w:rPr>
          <w:rFonts w:hint="eastAsia" w:cs="Arial" w:asciiTheme="majorEastAsia" w:hAnsiTheme="majorEastAsia" w:eastAsiaTheme="majorEastAsia"/>
          <w:b/>
          <w:bCs/>
          <w:color w:val="auto"/>
          <w:kern w:val="0"/>
          <w:sz w:val="22"/>
          <w:szCs w:val="22"/>
          <w:highlight w:val="none"/>
        </w:rPr>
        <w:t>二、申请人的资格要求：</w:t>
      </w:r>
    </w:p>
    <w:p w14:paraId="23B2C0B0">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1.满足《中华人民共和国政府采购法》第二十二条规定；未被“信用中国”（www.creditchina.gov.cn</w:t>
      </w:r>
      <w:r>
        <w:rPr>
          <w:rFonts w:hint="eastAsia" w:cs="Arial" w:asciiTheme="majorEastAsia" w:hAnsiTheme="majorEastAsia" w:eastAsiaTheme="majorEastAsia"/>
          <w:color w:val="auto"/>
          <w:kern w:val="0"/>
          <w:sz w:val="22"/>
          <w:szCs w:val="22"/>
          <w:highlight w:val="none"/>
        </w:rPr>
        <w:t>）</w:t>
      </w:r>
      <w:r>
        <w:rPr>
          <w:rFonts w:cs="Arial" w:asciiTheme="majorEastAsia" w:hAnsiTheme="majorEastAsia" w:eastAsiaTheme="majorEastAsia"/>
          <w:color w:val="auto"/>
          <w:kern w:val="0"/>
          <w:sz w:val="22"/>
          <w:szCs w:val="22"/>
          <w:highlight w:val="none"/>
        </w:rPr>
        <w:t>、中国政府采购网（www.ccgp.gov.cn）列入失信被执行人、重大税收违法案件当事人名单、政府采购严重违法失信行为记录名单。</w:t>
      </w:r>
    </w:p>
    <w:p w14:paraId="1C4A8F36">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2.落实政府采购政策需满足的资格要求：标项1：无 </w:t>
      </w:r>
    </w:p>
    <w:p w14:paraId="49A78FFB">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3.本项目的特定资格要求：无 </w:t>
      </w:r>
    </w:p>
    <w:p w14:paraId="67E99435">
      <w:pPr>
        <w:widowControl/>
        <w:spacing w:before="255" w:after="255" w:line="360" w:lineRule="auto"/>
        <w:rPr>
          <w:rFonts w:cs="Arial" w:asciiTheme="majorEastAsia" w:hAnsiTheme="majorEastAsia" w:eastAsiaTheme="majorEastAsia"/>
          <w:color w:val="auto"/>
          <w:kern w:val="0"/>
          <w:sz w:val="22"/>
          <w:szCs w:val="22"/>
          <w:highlight w:val="none"/>
        </w:rPr>
      </w:pPr>
      <w:r>
        <w:rPr>
          <w:rFonts w:hint="eastAsia" w:cs="Arial" w:asciiTheme="majorEastAsia" w:hAnsiTheme="majorEastAsia" w:eastAsiaTheme="majorEastAsia"/>
          <w:b/>
          <w:bCs/>
          <w:color w:val="auto"/>
          <w:kern w:val="0"/>
          <w:sz w:val="22"/>
          <w:szCs w:val="22"/>
          <w:highlight w:val="none"/>
        </w:rPr>
        <w:t>三、获取招标文件</w:t>
      </w:r>
      <w:r>
        <w:rPr>
          <w:rFonts w:hint="eastAsia" w:cs="宋体" w:asciiTheme="majorEastAsia" w:hAnsiTheme="majorEastAsia" w:eastAsiaTheme="majorEastAsia"/>
          <w:color w:val="auto"/>
          <w:kern w:val="0"/>
          <w:sz w:val="22"/>
          <w:szCs w:val="22"/>
          <w:highlight w:val="none"/>
        </w:rPr>
        <w:t> </w:t>
      </w:r>
    </w:p>
    <w:p w14:paraId="16AB7AD3">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时间：/至</w:t>
      </w:r>
      <w:r>
        <w:rPr>
          <w:rFonts w:hint="eastAsia" w:asciiTheme="majorEastAsia" w:hAnsiTheme="majorEastAsia" w:eastAsiaTheme="majorEastAsia"/>
          <w:color w:val="auto"/>
          <w:sz w:val="22"/>
          <w:szCs w:val="22"/>
          <w:highlight w:val="none"/>
        </w:rPr>
        <w:t xml:space="preserve"> 2025年</w:t>
      </w:r>
      <w:r>
        <w:rPr>
          <w:rFonts w:hint="eastAsia" w:asciiTheme="majorEastAsia" w:hAnsiTheme="majorEastAsia" w:eastAsiaTheme="majorEastAsia"/>
          <w:color w:val="auto"/>
          <w:sz w:val="22"/>
          <w:szCs w:val="22"/>
          <w:highlight w:val="none"/>
          <w:lang w:val="en-US" w:eastAsia="zh-CN"/>
        </w:rPr>
        <w:t>2</w:t>
      </w:r>
      <w:r>
        <w:rPr>
          <w:rFonts w:hint="eastAsia" w:asciiTheme="majorEastAsia" w:hAnsiTheme="majorEastAsia" w:eastAsiaTheme="majorEastAsia"/>
          <w:color w:val="auto"/>
          <w:sz w:val="22"/>
          <w:szCs w:val="22"/>
          <w:highlight w:val="none"/>
        </w:rPr>
        <w:t>月</w:t>
      </w:r>
      <w:r>
        <w:rPr>
          <w:rFonts w:hint="eastAsia" w:asciiTheme="majorEastAsia" w:hAnsiTheme="majorEastAsia" w:eastAsiaTheme="majorEastAsia"/>
          <w:color w:val="auto"/>
          <w:sz w:val="22"/>
          <w:szCs w:val="22"/>
          <w:highlight w:val="none"/>
          <w:lang w:val="en-US" w:eastAsia="zh-CN"/>
        </w:rPr>
        <w:t>18</w:t>
      </w:r>
      <w:r>
        <w:rPr>
          <w:rFonts w:hint="eastAsia" w:asciiTheme="majorEastAsia" w:hAnsiTheme="majorEastAsia" w:eastAsiaTheme="majorEastAsia"/>
          <w:color w:val="auto"/>
          <w:sz w:val="22"/>
          <w:szCs w:val="22"/>
          <w:highlight w:val="none"/>
        </w:rPr>
        <w:t>日</w:t>
      </w:r>
      <w:r>
        <w:rPr>
          <w:rFonts w:cs="Arial" w:asciiTheme="majorEastAsia" w:hAnsiTheme="majorEastAsia" w:eastAsiaTheme="majorEastAsia"/>
          <w:color w:val="auto"/>
          <w:kern w:val="0"/>
          <w:sz w:val="22"/>
          <w:szCs w:val="22"/>
          <w:highlight w:val="none"/>
        </w:rPr>
        <w:t>，每天上午00:00至12:00 ，下午12:00至23:59（北京时间，线上获取法定节假日均可，线下获取文件法定节假日除外）</w:t>
      </w:r>
    </w:p>
    <w:p w14:paraId="7C71A0F0">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地点（网址）：政采云平台线上获取 </w:t>
      </w:r>
    </w:p>
    <w:p w14:paraId="1BE52138">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方式：供应商登录政采云平台https://www.zcygov.cn/在线申请获取采购文件（进入“项目采购”应用，在获取采购文件菜单中选择项目，申请获取采购文件） </w:t>
      </w:r>
    </w:p>
    <w:p w14:paraId="27922F9E">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售价（元）：0 </w:t>
      </w:r>
    </w:p>
    <w:p w14:paraId="0DF49414">
      <w:pPr>
        <w:widowControl/>
        <w:spacing w:before="255" w:after="255" w:line="360" w:lineRule="auto"/>
        <w:rPr>
          <w:rFonts w:cs="Arial" w:asciiTheme="majorEastAsia" w:hAnsiTheme="majorEastAsia" w:eastAsiaTheme="majorEastAsia"/>
          <w:color w:val="auto"/>
          <w:kern w:val="0"/>
          <w:sz w:val="22"/>
          <w:szCs w:val="22"/>
          <w:highlight w:val="none"/>
        </w:rPr>
      </w:pPr>
      <w:r>
        <w:rPr>
          <w:rFonts w:hint="eastAsia" w:cs="Arial" w:asciiTheme="majorEastAsia" w:hAnsiTheme="majorEastAsia" w:eastAsiaTheme="majorEastAsia"/>
          <w:b/>
          <w:bCs/>
          <w:color w:val="auto"/>
          <w:kern w:val="0"/>
          <w:sz w:val="22"/>
          <w:szCs w:val="22"/>
          <w:highlight w:val="none"/>
        </w:rPr>
        <w:t>四、提交投标文件截止时间、开标时间和地点</w:t>
      </w:r>
    </w:p>
    <w:p w14:paraId="67FD4015">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w:t>
      </w:r>
      <w:r>
        <w:rPr>
          <w:rFonts w:hint="eastAsia" w:cs="Arial" w:asciiTheme="majorEastAsia" w:hAnsiTheme="majorEastAsia" w:eastAsiaTheme="majorEastAsia"/>
          <w:color w:val="auto"/>
          <w:kern w:val="0"/>
          <w:sz w:val="22"/>
          <w:szCs w:val="22"/>
          <w:highlight w:val="none"/>
        </w:rPr>
        <w:t xml:space="preserve"> </w:t>
      </w:r>
      <w:r>
        <w:rPr>
          <w:rFonts w:cs="Arial" w:asciiTheme="majorEastAsia" w:hAnsiTheme="majorEastAsia" w:eastAsiaTheme="majorEastAsia"/>
          <w:color w:val="auto"/>
          <w:kern w:val="0"/>
          <w:sz w:val="22"/>
          <w:szCs w:val="22"/>
          <w:highlight w:val="none"/>
        </w:rPr>
        <w:t>提交投标文件截止时间：</w:t>
      </w:r>
      <w:r>
        <w:rPr>
          <w:rFonts w:hint="eastAsia" w:asciiTheme="majorEastAsia" w:hAnsiTheme="majorEastAsia" w:eastAsiaTheme="majorEastAsia"/>
          <w:color w:val="auto"/>
          <w:sz w:val="22"/>
          <w:szCs w:val="22"/>
          <w:highlight w:val="none"/>
        </w:rPr>
        <w:t xml:space="preserve">  2025年</w:t>
      </w:r>
      <w:r>
        <w:rPr>
          <w:rFonts w:hint="eastAsia" w:asciiTheme="majorEastAsia" w:hAnsiTheme="majorEastAsia" w:eastAsiaTheme="majorEastAsia"/>
          <w:color w:val="auto"/>
          <w:sz w:val="22"/>
          <w:szCs w:val="22"/>
          <w:highlight w:val="none"/>
          <w:lang w:val="en-US" w:eastAsia="zh-CN"/>
        </w:rPr>
        <w:t>2</w:t>
      </w:r>
      <w:r>
        <w:rPr>
          <w:rFonts w:hint="eastAsia" w:asciiTheme="majorEastAsia" w:hAnsiTheme="majorEastAsia" w:eastAsiaTheme="majorEastAsia"/>
          <w:color w:val="auto"/>
          <w:sz w:val="22"/>
          <w:szCs w:val="22"/>
          <w:highlight w:val="none"/>
        </w:rPr>
        <w:t>月</w:t>
      </w:r>
      <w:r>
        <w:rPr>
          <w:rFonts w:hint="eastAsia" w:asciiTheme="majorEastAsia" w:hAnsiTheme="majorEastAsia" w:eastAsiaTheme="majorEastAsia"/>
          <w:color w:val="auto"/>
          <w:sz w:val="22"/>
          <w:szCs w:val="22"/>
          <w:highlight w:val="none"/>
          <w:lang w:val="en-US" w:eastAsia="zh-CN"/>
        </w:rPr>
        <w:t>18</w:t>
      </w:r>
      <w:r>
        <w:rPr>
          <w:rFonts w:hint="eastAsia" w:asciiTheme="majorEastAsia" w:hAnsiTheme="majorEastAsia" w:eastAsiaTheme="majorEastAsia"/>
          <w:color w:val="auto"/>
          <w:sz w:val="22"/>
          <w:szCs w:val="22"/>
          <w:highlight w:val="none"/>
        </w:rPr>
        <w:t>日09:30</w:t>
      </w:r>
      <w:r>
        <w:rPr>
          <w:rFonts w:cs="Arial" w:asciiTheme="majorEastAsia" w:hAnsiTheme="majorEastAsia" w:eastAsiaTheme="majorEastAsia"/>
          <w:color w:val="auto"/>
          <w:kern w:val="0"/>
          <w:sz w:val="22"/>
          <w:szCs w:val="22"/>
          <w:highlight w:val="none"/>
        </w:rPr>
        <w:t>（北京时间）</w:t>
      </w:r>
    </w:p>
    <w:p w14:paraId="247A785F">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w:t>
      </w:r>
      <w:r>
        <w:rPr>
          <w:rFonts w:hint="eastAsia" w:cs="Arial" w:asciiTheme="majorEastAsia" w:hAnsiTheme="majorEastAsia" w:eastAsiaTheme="majorEastAsia"/>
          <w:color w:val="auto"/>
          <w:kern w:val="0"/>
          <w:sz w:val="22"/>
          <w:szCs w:val="22"/>
          <w:highlight w:val="none"/>
        </w:rPr>
        <w:t xml:space="preserve"> </w:t>
      </w:r>
      <w:r>
        <w:rPr>
          <w:rFonts w:cs="Arial" w:asciiTheme="majorEastAsia" w:hAnsiTheme="majorEastAsia" w:eastAsiaTheme="majorEastAsia"/>
          <w:color w:val="auto"/>
          <w:kern w:val="0"/>
          <w:sz w:val="22"/>
          <w:szCs w:val="22"/>
          <w:highlight w:val="none"/>
        </w:rPr>
        <w:t>投标地点（网址）：请登录政采云投标客户端投标 </w:t>
      </w:r>
    </w:p>
    <w:p w14:paraId="4381E777">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开标时间：</w:t>
      </w:r>
      <w:r>
        <w:rPr>
          <w:rFonts w:hint="eastAsia" w:asciiTheme="majorEastAsia" w:hAnsiTheme="majorEastAsia" w:eastAsiaTheme="majorEastAsia"/>
          <w:color w:val="auto"/>
          <w:sz w:val="22"/>
          <w:szCs w:val="22"/>
          <w:highlight w:val="none"/>
        </w:rPr>
        <w:t xml:space="preserve">  2025年</w:t>
      </w:r>
      <w:r>
        <w:rPr>
          <w:rFonts w:hint="eastAsia" w:asciiTheme="majorEastAsia" w:hAnsiTheme="majorEastAsia" w:eastAsiaTheme="majorEastAsia"/>
          <w:color w:val="auto"/>
          <w:sz w:val="22"/>
          <w:szCs w:val="22"/>
          <w:highlight w:val="none"/>
          <w:lang w:val="en-US" w:eastAsia="zh-CN"/>
        </w:rPr>
        <w:t>2</w:t>
      </w:r>
      <w:r>
        <w:rPr>
          <w:rFonts w:hint="eastAsia" w:asciiTheme="majorEastAsia" w:hAnsiTheme="majorEastAsia" w:eastAsiaTheme="majorEastAsia"/>
          <w:color w:val="auto"/>
          <w:sz w:val="22"/>
          <w:szCs w:val="22"/>
          <w:highlight w:val="none"/>
        </w:rPr>
        <w:t>月</w:t>
      </w:r>
      <w:r>
        <w:rPr>
          <w:rFonts w:hint="eastAsia" w:asciiTheme="majorEastAsia" w:hAnsiTheme="majorEastAsia" w:eastAsiaTheme="majorEastAsia"/>
          <w:color w:val="auto"/>
          <w:sz w:val="22"/>
          <w:szCs w:val="22"/>
          <w:highlight w:val="none"/>
          <w:lang w:val="en-US" w:eastAsia="zh-CN"/>
        </w:rPr>
        <w:t>18</w:t>
      </w:r>
      <w:r>
        <w:rPr>
          <w:rFonts w:hint="eastAsia" w:asciiTheme="majorEastAsia" w:hAnsiTheme="majorEastAsia" w:eastAsiaTheme="majorEastAsia"/>
          <w:color w:val="auto"/>
          <w:sz w:val="22"/>
          <w:szCs w:val="22"/>
          <w:highlight w:val="none"/>
        </w:rPr>
        <w:t>日09:30</w:t>
      </w:r>
      <w:r>
        <w:rPr>
          <w:rFonts w:cs="Arial" w:asciiTheme="majorEastAsia" w:hAnsiTheme="majorEastAsia" w:eastAsiaTheme="majorEastAsia"/>
          <w:color w:val="auto"/>
          <w:kern w:val="0"/>
          <w:sz w:val="22"/>
          <w:szCs w:val="22"/>
          <w:highlight w:val="none"/>
        </w:rPr>
        <w:t> </w:t>
      </w:r>
    </w:p>
    <w:p w14:paraId="73264F67">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开标地点（网址）：</w:t>
      </w:r>
      <w:r>
        <w:rPr>
          <w:rFonts w:hint="eastAsia" w:cs="Arial" w:asciiTheme="majorEastAsia" w:hAnsiTheme="majorEastAsia" w:eastAsiaTheme="majorEastAsia"/>
          <w:color w:val="auto"/>
          <w:kern w:val="0"/>
          <w:sz w:val="22"/>
          <w:szCs w:val="22"/>
          <w:highlight w:val="none"/>
        </w:rPr>
        <w:t>政采云平台（https://www.zcygov.cn/）</w:t>
      </w:r>
      <w:r>
        <w:rPr>
          <w:rFonts w:cs="Arial" w:asciiTheme="majorEastAsia" w:hAnsiTheme="majorEastAsia" w:eastAsiaTheme="majorEastAsia"/>
          <w:color w:val="auto"/>
          <w:kern w:val="0"/>
          <w:sz w:val="22"/>
          <w:szCs w:val="22"/>
          <w:highlight w:val="none"/>
        </w:rPr>
        <w:t> </w:t>
      </w:r>
    </w:p>
    <w:p w14:paraId="175E5D67">
      <w:pPr>
        <w:widowControl/>
        <w:spacing w:before="255" w:after="255" w:line="360" w:lineRule="auto"/>
        <w:rPr>
          <w:rFonts w:cs="Arial" w:asciiTheme="majorEastAsia" w:hAnsiTheme="majorEastAsia" w:eastAsiaTheme="majorEastAsia"/>
          <w:color w:val="auto"/>
          <w:kern w:val="0"/>
          <w:sz w:val="22"/>
          <w:szCs w:val="22"/>
          <w:highlight w:val="none"/>
        </w:rPr>
      </w:pPr>
      <w:r>
        <w:rPr>
          <w:rFonts w:hint="eastAsia" w:cs="Arial" w:asciiTheme="majorEastAsia" w:hAnsiTheme="majorEastAsia" w:eastAsiaTheme="majorEastAsia"/>
          <w:b/>
          <w:bCs/>
          <w:color w:val="auto"/>
          <w:kern w:val="0"/>
          <w:sz w:val="22"/>
          <w:szCs w:val="22"/>
          <w:highlight w:val="none"/>
        </w:rPr>
        <w:t>五、公告期限</w:t>
      </w:r>
      <w:r>
        <w:rPr>
          <w:rFonts w:hint="eastAsia" w:cs="宋体" w:asciiTheme="majorEastAsia" w:hAnsiTheme="majorEastAsia" w:eastAsiaTheme="majorEastAsia"/>
          <w:color w:val="auto"/>
          <w:kern w:val="0"/>
          <w:sz w:val="22"/>
          <w:szCs w:val="22"/>
          <w:highlight w:val="none"/>
        </w:rPr>
        <w:t> </w:t>
      </w:r>
    </w:p>
    <w:p w14:paraId="451A280C">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自本公告发布之日起5个工作日。</w:t>
      </w:r>
    </w:p>
    <w:p w14:paraId="627DEF51">
      <w:pPr>
        <w:widowControl/>
        <w:spacing w:before="255" w:after="255" w:line="360" w:lineRule="auto"/>
        <w:rPr>
          <w:rFonts w:cs="Arial" w:asciiTheme="majorEastAsia" w:hAnsiTheme="majorEastAsia" w:eastAsiaTheme="majorEastAsia"/>
          <w:color w:val="auto"/>
          <w:kern w:val="0"/>
          <w:sz w:val="22"/>
          <w:szCs w:val="22"/>
          <w:highlight w:val="none"/>
        </w:rPr>
      </w:pPr>
      <w:r>
        <w:rPr>
          <w:rFonts w:hint="eastAsia" w:cs="Arial" w:asciiTheme="majorEastAsia" w:hAnsiTheme="majorEastAsia" w:eastAsiaTheme="majorEastAsia"/>
          <w:b/>
          <w:bCs/>
          <w:color w:val="auto"/>
          <w:kern w:val="0"/>
          <w:sz w:val="22"/>
          <w:szCs w:val="22"/>
          <w:highlight w:val="none"/>
        </w:rPr>
        <w:t>六、其他补充事宜</w:t>
      </w:r>
    </w:p>
    <w:p w14:paraId="0A9C0C45">
      <w:pPr>
        <w:widowControl/>
        <w:spacing w:before="255" w:after="255" w:line="360" w:lineRule="auto"/>
        <w:ind w:firstLine="480"/>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1.《浙江省财政厅关于进一步发挥政府采购政策功能全力推动经济稳进提质的通知》 （浙财采监</w:t>
      </w:r>
      <w:r>
        <w:rPr>
          <w:rFonts w:hint="eastAsia" w:cs="Arial" w:asciiTheme="majorEastAsia" w:hAnsiTheme="majorEastAsia" w:eastAsiaTheme="majorEastAsia"/>
          <w:color w:val="auto"/>
          <w:kern w:val="0"/>
          <w:sz w:val="22"/>
          <w:szCs w:val="22"/>
          <w:highlight w:val="none"/>
        </w:rPr>
        <w:t>〔2022〕3号</w:t>
      </w:r>
      <w:r>
        <w:rPr>
          <w:rFonts w:cs="Arial" w:asciiTheme="majorEastAsia" w:hAnsiTheme="majorEastAsia" w:eastAsiaTheme="majorEastAsia"/>
          <w:color w:val="auto"/>
          <w:kern w:val="0"/>
          <w:sz w:val="22"/>
          <w:szCs w:val="22"/>
          <w:highlight w:val="none"/>
        </w:rPr>
        <w:t>）、《浙江省财政厅关于进一步促进政府采购公平竞争打造最优营商环境的通知》（浙财采监</w:t>
      </w:r>
      <w:r>
        <w:rPr>
          <w:rFonts w:hint="eastAsia" w:cs="Arial" w:asciiTheme="majorEastAsia" w:hAnsiTheme="majorEastAsia" w:eastAsiaTheme="majorEastAsia"/>
          <w:color w:val="auto"/>
          <w:kern w:val="0"/>
          <w:sz w:val="22"/>
          <w:szCs w:val="22"/>
          <w:highlight w:val="none"/>
        </w:rPr>
        <w:t>〔2021〕22号</w:t>
      </w:r>
      <w:r>
        <w:rPr>
          <w:rFonts w:cs="Arial" w:asciiTheme="majorEastAsia" w:hAnsiTheme="majorEastAsia" w:eastAsiaTheme="majorEastAsia"/>
          <w:color w:val="auto"/>
          <w:kern w:val="0"/>
          <w:sz w:val="22"/>
          <w:szCs w:val="22"/>
          <w:highlight w:val="none"/>
        </w:rPr>
        <w:t>）已分别于2022年1月29日和2022年2月1日开始实施，此前有关规定与上述文件内容不一致的，按上述文件要求执行。</w:t>
      </w:r>
    </w:p>
    <w:p w14:paraId="12F91297">
      <w:pPr>
        <w:widowControl/>
        <w:spacing w:before="255" w:after="255" w:line="360" w:lineRule="auto"/>
        <w:ind w:firstLine="480"/>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2.根据《浙江省财政厅关于进一步促进政府采购公平竞争打造最优营商环境的通知》（浙财采监</w:t>
      </w:r>
      <w:r>
        <w:rPr>
          <w:rFonts w:hint="eastAsia" w:cs="Arial" w:asciiTheme="majorEastAsia" w:hAnsiTheme="majorEastAsia" w:eastAsiaTheme="majorEastAsia"/>
          <w:color w:val="auto"/>
          <w:kern w:val="0"/>
          <w:sz w:val="22"/>
          <w:szCs w:val="22"/>
          <w:highlight w:val="none"/>
        </w:rPr>
        <w:t>〔2021〕22号</w:t>
      </w:r>
      <w:r>
        <w:rPr>
          <w:rFonts w:cs="Arial" w:asciiTheme="majorEastAsia" w:hAnsiTheme="majorEastAsia" w:eastAsiaTheme="majorEastAsia"/>
          <w:color w:val="auto"/>
          <w:kern w:val="0"/>
          <w:sz w:val="22"/>
          <w:szCs w:val="22"/>
          <w:highlight w:val="none"/>
        </w:rPr>
        <w:t>）文件关于“健全行政裁决机制”要求，鼓励供应商在线提起询问，路径为：政采云</w:t>
      </w:r>
      <w:r>
        <w:rPr>
          <w:rFonts w:hint="eastAsia" w:cs="Arial" w:asciiTheme="majorEastAsia" w:hAnsiTheme="majorEastAsia" w:eastAsiaTheme="majorEastAsia"/>
          <w:color w:val="auto"/>
          <w:kern w:val="0"/>
          <w:sz w:val="22"/>
          <w:szCs w:val="22"/>
          <w:highlight w:val="none"/>
        </w:rPr>
        <w:t>－</w:t>
      </w:r>
      <w:r>
        <w:rPr>
          <w:rFonts w:cs="Arial" w:asciiTheme="majorEastAsia" w:hAnsiTheme="majorEastAsia" w:eastAsiaTheme="majorEastAsia"/>
          <w:color w:val="auto"/>
          <w:kern w:val="0"/>
          <w:sz w:val="22"/>
          <w:szCs w:val="22"/>
          <w:highlight w:val="none"/>
        </w:rPr>
        <w:t>项目采购</w:t>
      </w:r>
      <w:r>
        <w:rPr>
          <w:rFonts w:hint="eastAsia" w:cs="Arial" w:asciiTheme="majorEastAsia" w:hAnsiTheme="majorEastAsia" w:eastAsiaTheme="majorEastAsia"/>
          <w:color w:val="auto"/>
          <w:kern w:val="0"/>
          <w:sz w:val="22"/>
          <w:szCs w:val="22"/>
          <w:highlight w:val="none"/>
        </w:rPr>
        <w:t>－</w:t>
      </w:r>
      <w:r>
        <w:rPr>
          <w:rFonts w:cs="Arial" w:asciiTheme="majorEastAsia" w:hAnsiTheme="majorEastAsia" w:eastAsiaTheme="majorEastAsia"/>
          <w:color w:val="auto"/>
          <w:kern w:val="0"/>
          <w:sz w:val="22"/>
          <w:szCs w:val="22"/>
          <w:highlight w:val="none"/>
        </w:rPr>
        <w:t>询问质疑投诉</w:t>
      </w:r>
      <w:r>
        <w:rPr>
          <w:rFonts w:hint="eastAsia" w:cs="Arial" w:asciiTheme="majorEastAsia" w:hAnsiTheme="majorEastAsia" w:eastAsiaTheme="majorEastAsia"/>
          <w:color w:val="auto"/>
          <w:kern w:val="0"/>
          <w:sz w:val="22"/>
          <w:szCs w:val="22"/>
          <w:highlight w:val="none"/>
        </w:rPr>
        <w:t>－</w:t>
      </w:r>
      <w:r>
        <w:rPr>
          <w:rFonts w:cs="Arial" w:asciiTheme="majorEastAsia" w:hAnsiTheme="majorEastAsia" w:eastAsiaTheme="majorEastAsia"/>
          <w:color w:val="auto"/>
          <w:kern w:val="0"/>
          <w:sz w:val="22"/>
          <w:szCs w:val="22"/>
          <w:highlight w:val="none"/>
        </w:rPr>
        <w:t>询问列表</w:t>
      </w:r>
      <w:r>
        <w:rPr>
          <w:rFonts w:hint="eastAsia" w:cs="Arial" w:asciiTheme="majorEastAsia" w:hAnsiTheme="majorEastAsia" w:eastAsiaTheme="majorEastAsia"/>
          <w:color w:val="auto"/>
          <w:kern w:val="0"/>
          <w:sz w:val="22"/>
          <w:szCs w:val="22"/>
          <w:highlight w:val="none"/>
        </w:rPr>
        <w:t>：</w:t>
      </w:r>
      <w:r>
        <w:rPr>
          <w:rFonts w:cs="Arial" w:asciiTheme="majorEastAsia" w:hAnsiTheme="majorEastAsia" w:eastAsiaTheme="majorEastAsia"/>
          <w:color w:val="auto"/>
          <w:kern w:val="0"/>
          <w:sz w:val="22"/>
          <w:szCs w:val="22"/>
          <w:highlight w:val="none"/>
        </w:rPr>
        <w:t>鼓励供应商在线提起质疑，路径为：政采云</w:t>
      </w:r>
      <w:r>
        <w:rPr>
          <w:rFonts w:hint="eastAsia" w:cs="Arial" w:asciiTheme="majorEastAsia" w:hAnsiTheme="majorEastAsia" w:eastAsiaTheme="majorEastAsia"/>
          <w:color w:val="auto"/>
          <w:kern w:val="0"/>
          <w:sz w:val="22"/>
          <w:szCs w:val="22"/>
          <w:highlight w:val="none"/>
        </w:rPr>
        <w:t>－</w:t>
      </w:r>
      <w:r>
        <w:rPr>
          <w:rFonts w:cs="Arial" w:asciiTheme="majorEastAsia" w:hAnsiTheme="majorEastAsia" w:eastAsiaTheme="majorEastAsia"/>
          <w:color w:val="auto"/>
          <w:kern w:val="0"/>
          <w:sz w:val="22"/>
          <w:szCs w:val="22"/>
          <w:highlight w:val="none"/>
        </w:rPr>
        <w:t>项目采购</w:t>
      </w:r>
      <w:r>
        <w:rPr>
          <w:rFonts w:hint="eastAsia" w:cs="Arial" w:asciiTheme="majorEastAsia" w:hAnsiTheme="majorEastAsia" w:eastAsiaTheme="majorEastAsia"/>
          <w:color w:val="auto"/>
          <w:kern w:val="0"/>
          <w:sz w:val="22"/>
          <w:szCs w:val="22"/>
          <w:highlight w:val="none"/>
        </w:rPr>
        <w:t>－</w:t>
      </w:r>
      <w:r>
        <w:rPr>
          <w:rFonts w:cs="Arial" w:asciiTheme="majorEastAsia" w:hAnsiTheme="majorEastAsia" w:eastAsiaTheme="majorEastAsia"/>
          <w:color w:val="auto"/>
          <w:kern w:val="0"/>
          <w:sz w:val="22"/>
          <w:szCs w:val="22"/>
          <w:highlight w:val="none"/>
        </w:rPr>
        <w:t>询问质疑投诉</w:t>
      </w:r>
      <w:r>
        <w:rPr>
          <w:rFonts w:hint="eastAsia" w:cs="Arial" w:asciiTheme="majorEastAsia" w:hAnsiTheme="majorEastAsia" w:eastAsiaTheme="majorEastAsia"/>
          <w:color w:val="auto"/>
          <w:kern w:val="0"/>
          <w:sz w:val="22"/>
          <w:szCs w:val="22"/>
          <w:highlight w:val="none"/>
        </w:rPr>
        <w:t>－</w:t>
      </w:r>
      <w:r>
        <w:rPr>
          <w:rFonts w:cs="Arial" w:asciiTheme="majorEastAsia" w:hAnsiTheme="majorEastAsia" w:eastAsiaTheme="majorEastAsia"/>
          <w:color w:val="auto"/>
          <w:kern w:val="0"/>
          <w:sz w:val="22"/>
          <w:szCs w:val="22"/>
          <w:highlight w:val="none"/>
        </w:rPr>
        <w:t>质疑列表。质疑供应商对在线质疑答复不满意的，可在线提起投诉，路径为：浙江政府服务网</w:t>
      </w:r>
      <w:r>
        <w:rPr>
          <w:rFonts w:hint="eastAsia" w:cs="Arial" w:asciiTheme="majorEastAsia" w:hAnsiTheme="majorEastAsia" w:eastAsiaTheme="majorEastAsia"/>
          <w:color w:val="auto"/>
          <w:kern w:val="0"/>
          <w:sz w:val="22"/>
          <w:szCs w:val="22"/>
          <w:highlight w:val="none"/>
        </w:rPr>
        <w:t>－</w:t>
      </w:r>
      <w:r>
        <w:rPr>
          <w:rFonts w:cs="Arial" w:asciiTheme="majorEastAsia" w:hAnsiTheme="majorEastAsia" w:eastAsiaTheme="majorEastAsia"/>
          <w:color w:val="auto"/>
          <w:kern w:val="0"/>
          <w:sz w:val="22"/>
          <w:szCs w:val="22"/>
          <w:highlight w:val="none"/>
        </w:rPr>
        <w:t>政府采购投诉处理</w:t>
      </w:r>
      <w:r>
        <w:rPr>
          <w:rFonts w:hint="eastAsia" w:cs="Arial" w:asciiTheme="majorEastAsia" w:hAnsiTheme="majorEastAsia" w:eastAsiaTheme="majorEastAsia"/>
          <w:color w:val="auto"/>
          <w:kern w:val="0"/>
          <w:sz w:val="22"/>
          <w:szCs w:val="22"/>
          <w:highlight w:val="none"/>
        </w:rPr>
        <w:t>－</w:t>
      </w:r>
      <w:r>
        <w:rPr>
          <w:rFonts w:cs="Arial" w:asciiTheme="majorEastAsia" w:hAnsiTheme="majorEastAsia" w:eastAsiaTheme="majorEastAsia"/>
          <w:color w:val="auto"/>
          <w:kern w:val="0"/>
          <w:sz w:val="22"/>
          <w:szCs w:val="22"/>
          <w:highlight w:val="none"/>
        </w:rPr>
        <w:t>在线办理。注意：需在线质疑后才可在线投诉，并电话告知相关采购人、代理机构、财政部门。</w:t>
      </w:r>
    </w:p>
    <w:p w14:paraId="5A43F6C7">
      <w:pPr>
        <w:widowControl/>
        <w:spacing w:before="75" w:after="75" w:line="360" w:lineRule="auto"/>
        <w:ind w:firstLine="480"/>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w:t>
      </w:r>
      <w:r>
        <w:rPr>
          <w:rFonts w:hint="eastAsia" w:cs="Arial" w:asciiTheme="majorEastAsia" w:hAnsiTheme="majorEastAsia" w:eastAsiaTheme="majorEastAsia"/>
          <w:color w:val="auto"/>
          <w:kern w:val="0"/>
          <w:sz w:val="22"/>
          <w:szCs w:val="22"/>
          <w:highlight w:val="none"/>
        </w:rPr>
        <w:t>－</w:t>
      </w:r>
      <w:r>
        <w:rPr>
          <w:rFonts w:cs="Arial" w:asciiTheme="majorEastAsia" w:hAnsiTheme="majorEastAsia" w:eastAsiaTheme="majorEastAsia"/>
          <w:color w:val="auto"/>
          <w:kern w:val="0"/>
          <w:sz w:val="22"/>
          <w:szCs w:val="22"/>
          <w:highlight w:val="none"/>
        </w:rPr>
        <w:t>电子交易客户端”进行下载；通过“政府采购云平台”参与在线投标时如遇平台技术问题详询95763。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w:t>
      </w:r>
      <w:r>
        <w:rPr>
          <w:rFonts w:hint="eastAsia" w:cs="Arial" w:asciiTheme="majorEastAsia" w:hAnsiTheme="majorEastAsia" w:eastAsiaTheme="majorEastAsia"/>
          <w:color w:val="auto"/>
          <w:kern w:val="0"/>
          <w:sz w:val="22"/>
          <w:szCs w:val="22"/>
          <w:highlight w:val="none"/>
        </w:rPr>
        <w:t>－</w:t>
      </w:r>
      <w:r>
        <w:rPr>
          <w:rFonts w:cs="Arial" w:asciiTheme="majorEastAsia" w:hAnsiTheme="majorEastAsia" w:eastAsiaTheme="majorEastAsia"/>
          <w:color w:val="auto"/>
          <w:kern w:val="0"/>
          <w:sz w:val="22"/>
          <w:szCs w:val="22"/>
          <w:highlight w:val="none"/>
        </w:rPr>
        <w:t>电子交易客户端-CA驱动和申领流程”进行查阅。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注：请供应商按上述要求获取采购文件，如未在“政采云”系统内完成相关流程，引起的投标无效责任自负。  </w:t>
      </w:r>
    </w:p>
    <w:p w14:paraId="12C68CDE">
      <w:pPr>
        <w:widowControl/>
        <w:spacing w:before="255" w:after="255" w:line="360" w:lineRule="auto"/>
        <w:rPr>
          <w:rFonts w:cs="Arial" w:asciiTheme="majorEastAsia" w:hAnsiTheme="majorEastAsia" w:eastAsiaTheme="majorEastAsia"/>
          <w:color w:val="auto"/>
          <w:kern w:val="0"/>
          <w:sz w:val="22"/>
          <w:szCs w:val="22"/>
          <w:highlight w:val="none"/>
        </w:rPr>
      </w:pPr>
      <w:r>
        <w:rPr>
          <w:rFonts w:hint="eastAsia" w:cs="Arial" w:asciiTheme="majorEastAsia" w:hAnsiTheme="majorEastAsia" w:eastAsiaTheme="majorEastAsia"/>
          <w:b/>
          <w:bCs/>
          <w:color w:val="auto"/>
          <w:kern w:val="0"/>
          <w:sz w:val="22"/>
          <w:szCs w:val="22"/>
          <w:highlight w:val="none"/>
        </w:rPr>
        <w:t>七、对本次采购提出询问、质疑、投诉，请按以下方式联系</w:t>
      </w:r>
    </w:p>
    <w:p w14:paraId="1BD865C4">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1.采购人信息</w:t>
      </w:r>
    </w:p>
    <w:p w14:paraId="5EFCD482">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名    称：</w:t>
      </w:r>
      <w:r>
        <w:rPr>
          <w:rFonts w:hint="eastAsia" w:cs="Arial" w:asciiTheme="majorEastAsia" w:hAnsiTheme="majorEastAsia" w:eastAsiaTheme="majorEastAsia"/>
          <w:color w:val="auto"/>
          <w:kern w:val="0"/>
          <w:sz w:val="22"/>
          <w:szCs w:val="22"/>
          <w:highlight w:val="none"/>
        </w:rPr>
        <w:t>永嘉县中医医院（医共体）</w:t>
      </w:r>
    </w:p>
    <w:p w14:paraId="7B204CE6">
      <w:pPr>
        <w:widowControl/>
        <w:spacing w:before="75" w:after="75" w:line="360" w:lineRule="auto"/>
        <w:ind w:firstLine="660" w:firstLineChars="300"/>
        <w:jc w:val="left"/>
        <w:rPr>
          <w:rFonts w:hint="eastAsia" w:cs="Arial" w:asciiTheme="majorEastAsia" w:hAnsiTheme="majorEastAsia" w:eastAsiaTheme="majorEastAsia"/>
          <w:color w:val="auto"/>
          <w:kern w:val="0"/>
          <w:sz w:val="22"/>
          <w:szCs w:val="22"/>
          <w:highlight w:val="none"/>
          <w:lang w:eastAsia="zh-CN"/>
        </w:rPr>
      </w:pPr>
      <w:r>
        <w:rPr>
          <w:rFonts w:cs="Arial" w:asciiTheme="majorEastAsia" w:hAnsiTheme="majorEastAsia" w:eastAsiaTheme="majorEastAsia"/>
          <w:color w:val="auto"/>
          <w:kern w:val="0"/>
          <w:sz w:val="22"/>
          <w:szCs w:val="22"/>
          <w:highlight w:val="none"/>
        </w:rPr>
        <w:t>地    址：</w:t>
      </w:r>
      <w:r>
        <w:rPr>
          <w:rFonts w:hint="eastAsia" w:cs="Arial" w:asciiTheme="majorEastAsia" w:hAnsiTheme="majorEastAsia" w:eastAsiaTheme="majorEastAsia"/>
          <w:color w:val="auto"/>
          <w:kern w:val="0"/>
          <w:sz w:val="22"/>
          <w:szCs w:val="22"/>
          <w:highlight w:val="none"/>
          <w:lang w:eastAsia="zh-CN"/>
        </w:rPr>
        <w:t>永嘉县瓯北街道公园路6号</w:t>
      </w:r>
    </w:p>
    <w:p w14:paraId="65756938">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传    真：  </w:t>
      </w:r>
    </w:p>
    <w:p w14:paraId="29051F42">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项目联系人（询问）：</w:t>
      </w:r>
      <w:r>
        <w:rPr>
          <w:rFonts w:hint="eastAsia" w:cs="Arial" w:asciiTheme="majorEastAsia" w:hAnsiTheme="majorEastAsia" w:eastAsiaTheme="majorEastAsia"/>
          <w:color w:val="auto"/>
          <w:kern w:val="0"/>
          <w:sz w:val="22"/>
          <w:szCs w:val="22"/>
          <w:highlight w:val="none"/>
        </w:rPr>
        <w:t>陈女士</w:t>
      </w:r>
      <w:r>
        <w:rPr>
          <w:rFonts w:cs="Arial" w:asciiTheme="majorEastAsia" w:hAnsiTheme="majorEastAsia" w:eastAsiaTheme="majorEastAsia"/>
          <w:color w:val="auto"/>
          <w:kern w:val="0"/>
          <w:sz w:val="22"/>
          <w:szCs w:val="22"/>
          <w:highlight w:val="none"/>
        </w:rPr>
        <w:t>  </w:t>
      </w:r>
    </w:p>
    <w:p w14:paraId="2516BEF8">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项目联系方式（询问）：</w:t>
      </w:r>
      <w:r>
        <w:rPr>
          <w:rFonts w:hint="eastAsia" w:cs="Arial" w:asciiTheme="majorEastAsia" w:hAnsiTheme="majorEastAsia" w:eastAsiaTheme="majorEastAsia"/>
          <w:color w:val="auto"/>
          <w:kern w:val="0"/>
          <w:sz w:val="22"/>
          <w:szCs w:val="22"/>
          <w:highlight w:val="none"/>
        </w:rPr>
        <w:t>0577-57881035</w:t>
      </w:r>
    </w:p>
    <w:p w14:paraId="0896E344">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质疑联系人：</w:t>
      </w:r>
      <w:r>
        <w:rPr>
          <w:rFonts w:hint="eastAsia" w:cs="Arial" w:asciiTheme="majorEastAsia" w:hAnsiTheme="majorEastAsia" w:eastAsiaTheme="majorEastAsia"/>
          <w:color w:val="auto"/>
          <w:kern w:val="0"/>
          <w:sz w:val="22"/>
          <w:szCs w:val="22"/>
          <w:highlight w:val="none"/>
        </w:rPr>
        <w:t>陈女士</w:t>
      </w:r>
      <w:r>
        <w:rPr>
          <w:rFonts w:cs="Arial" w:asciiTheme="majorEastAsia" w:hAnsiTheme="majorEastAsia" w:eastAsiaTheme="majorEastAsia"/>
          <w:color w:val="auto"/>
          <w:kern w:val="0"/>
          <w:sz w:val="22"/>
          <w:szCs w:val="22"/>
          <w:highlight w:val="none"/>
        </w:rPr>
        <w:t>    </w:t>
      </w:r>
    </w:p>
    <w:p w14:paraId="2FF3EFA3">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质疑联系方式：</w:t>
      </w:r>
      <w:r>
        <w:rPr>
          <w:rFonts w:hint="eastAsia" w:cs="Arial" w:asciiTheme="majorEastAsia" w:hAnsiTheme="majorEastAsia" w:eastAsiaTheme="majorEastAsia"/>
          <w:color w:val="auto"/>
          <w:kern w:val="0"/>
          <w:sz w:val="22"/>
          <w:szCs w:val="22"/>
          <w:highlight w:val="none"/>
        </w:rPr>
        <w:t>0577-57881035</w:t>
      </w:r>
      <w:r>
        <w:rPr>
          <w:rFonts w:cs="Arial" w:asciiTheme="majorEastAsia" w:hAnsiTheme="majorEastAsia" w:eastAsiaTheme="majorEastAsia"/>
          <w:color w:val="auto"/>
          <w:kern w:val="0"/>
          <w:sz w:val="22"/>
          <w:szCs w:val="22"/>
          <w:highlight w:val="none"/>
        </w:rPr>
        <w:t> </w:t>
      </w:r>
    </w:p>
    <w:p w14:paraId="0B48AC7F">
      <w:pPr>
        <w:widowControl/>
        <w:spacing w:before="75" w:after="75" w:line="360" w:lineRule="auto"/>
        <w:jc w:val="left"/>
        <w:rPr>
          <w:rFonts w:cs="Arial" w:asciiTheme="majorEastAsia" w:hAnsiTheme="majorEastAsia" w:eastAsiaTheme="majorEastAsia"/>
          <w:color w:val="auto"/>
          <w:kern w:val="0"/>
          <w:sz w:val="22"/>
          <w:szCs w:val="22"/>
          <w:highlight w:val="none"/>
        </w:rPr>
      </w:pPr>
    </w:p>
    <w:p w14:paraId="30FFEFFB">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w:t>
      </w:r>
    </w:p>
    <w:p w14:paraId="276C3C53">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2.采购代理机构信息            </w:t>
      </w:r>
    </w:p>
    <w:p w14:paraId="2653EBD5">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名    称：温州市中概工程管理咨询有限公司             </w:t>
      </w:r>
    </w:p>
    <w:p w14:paraId="09305FD2">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地    址：温州市永嘉县南城街道环城北路云碓大厦503室             </w:t>
      </w:r>
    </w:p>
    <w:p w14:paraId="78B19598">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传    真：             </w:t>
      </w:r>
    </w:p>
    <w:p w14:paraId="7BFF6E54">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项目联系人（询问）：胡可可              </w:t>
      </w:r>
    </w:p>
    <w:p w14:paraId="358F7CC4">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项目联系方式（询问）：15258683545 </w:t>
      </w:r>
    </w:p>
    <w:p w14:paraId="1DC9F7A6">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质疑联系人：余茜茜             </w:t>
      </w:r>
    </w:p>
    <w:p w14:paraId="3DE927DE">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质疑联系方式：13567723502 　　　　　　     </w:t>
      </w:r>
    </w:p>
    <w:p w14:paraId="7ABAE6E5">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w:t>
      </w:r>
    </w:p>
    <w:p w14:paraId="31760CE1">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3.</w:t>
      </w:r>
      <w:r>
        <w:rPr>
          <w:rFonts w:cs="宋体" w:asciiTheme="majorEastAsia" w:hAnsiTheme="majorEastAsia" w:eastAsiaTheme="majorEastAsia"/>
          <w:color w:val="auto"/>
          <w:kern w:val="0"/>
          <w:sz w:val="22"/>
          <w:szCs w:val="22"/>
          <w:highlight w:val="none"/>
        </w:rPr>
        <w:t>同级政府采购监督管理部门</w:t>
      </w:r>
    </w:p>
    <w:p w14:paraId="6A56D25F">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名    称：永嘉县财政局</w:t>
      </w:r>
    </w:p>
    <w:p w14:paraId="6A9D7FA9">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地    址：</w:t>
      </w:r>
    </w:p>
    <w:p w14:paraId="2670A493">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传    真：</w:t>
      </w:r>
    </w:p>
    <w:p w14:paraId="6B22AFA9">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联 系 人：沈女士</w:t>
      </w:r>
    </w:p>
    <w:p w14:paraId="4BF25B3B">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监督投诉电话：0577-67230257</w:t>
      </w:r>
    </w:p>
    <w:p w14:paraId="308B17A1">
      <w:pPr>
        <w:widowControl/>
        <w:spacing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w:t>
      </w:r>
    </w:p>
    <w:p w14:paraId="2EB0E6D8">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w:t>
      </w:r>
    </w:p>
    <w:p w14:paraId="5B2BAC43">
      <w:pPr>
        <w:widowControl/>
        <w:spacing w:before="75" w:after="75" w:line="360" w:lineRule="auto"/>
        <w:jc w:val="left"/>
        <w:rPr>
          <w:rFonts w:cs="Arial" w:asciiTheme="majorEastAsia" w:hAnsiTheme="majorEastAsia" w:eastAsiaTheme="majorEastAsia"/>
          <w:color w:val="auto"/>
          <w:kern w:val="0"/>
          <w:sz w:val="22"/>
          <w:szCs w:val="22"/>
          <w:highlight w:val="none"/>
        </w:rPr>
      </w:pPr>
    </w:p>
    <w:p w14:paraId="4C6E115A">
      <w:pPr>
        <w:widowControl/>
        <w:spacing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14:paraId="64199199">
      <w:pPr>
        <w:widowControl/>
        <w:spacing w:line="360" w:lineRule="auto"/>
        <w:jc w:val="left"/>
        <w:rPr>
          <w:rFonts w:cs="宋体" w:asciiTheme="majorEastAsia" w:hAnsiTheme="majorEastAsia" w:eastAsiaTheme="majorEastAsia"/>
          <w:color w:val="auto"/>
          <w:kern w:val="0"/>
          <w:sz w:val="22"/>
          <w:szCs w:val="22"/>
          <w:highlight w:val="none"/>
        </w:rPr>
      </w:pPr>
      <w:r>
        <w:rPr>
          <w:rFonts w:cs="宋体" w:asciiTheme="majorEastAsia" w:hAnsiTheme="majorEastAsia" w:eastAsiaTheme="majorEastAsia"/>
          <w:color w:val="auto"/>
          <w:kern w:val="0"/>
          <w:sz w:val="22"/>
          <w:szCs w:val="22"/>
          <w:highlight w:val="none"/>
        </w:rPr>
        <w:t>CA问题联系电话（人工）：汇信CA 400-888-4636；天谷CA 400-087-8198。</w:t>
      </w:r>
    </w:p>
    <w:p w14:paraId="24ECB6E6">
      <w:pPr>
        <w:pStyle w:val="39"/>
        <w:rPr>
          <w:color w:val="auto"/>
          <w:highlight w:val="none"/>
        </w:rPr>
      </w:pPr>
    </w:p>
    <w:p w14:paraId="06CA2F17">
      <w:pPr>
        <w:pStyle w:val="40"/>
        <w:rPr>
          <w:rFonts w:cs="新宋体" w:asciiTheme="majorEastAsia" w:hAnsiTheme="majorEastAsia" w:eastAsiaTheme="majorEastAsia"/>
          <w:color w:val="auto"/>
          <w:sz w:val="30"/>
          <w:szCs w:val="30"/>
          <w:highlight w:val="none"/>
        </w:rPr>
      </w:pPr>
    </w:p>
    <w:p w14:paraId="0AD8CE78">
      <w:pPr>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br w:type="page"/>
      </w:r>
    </w:p>
    <w:p w14:paraId="27478899">
      <w:pPr>
        <w:pStyle w:val="40"/>
        <w:rPr>
          <w:rFonts w:cs="新宋体" w:asciiTheme="majorEastAsia" w:hAnsiTheme="majorEastAsia" w:eastAsiaTheme="majorEastAsia"/>
          <w:color w:val="auto"/>
          <w:sz w:val="30"/>
          <w:szCs w:val="30"/>
          <w:highlight w:val="none"/>
        </w:rPr>
      </w:pPr>
      <w:bookmarkStart w:id="6" w:name="_Toc17480"/>
      <w:r>
        <w:rPr>
          <w:rFonts w:hint="eastAsia" w:cs="新宋体" w:asciiTheme="majorEastAsia" w:hAnsiTheme="majorEastAsia" w:eastAsiaTheme="majorEastAsia"/>
          <w:color w:val="auto"/>
          <w:sz w:val="30"/>
          <w:szCs w:val="30"/>
          <w:highlight w:val="none"/>
        </w:rPr>
        <w:t>第一部分  投标通知（邀请）书</w:t>
      </w:r>
      <w:bookmarkEnd w:id="3"/>
      <w:bookmarkEnd w:id="4"/>
      <w:bookmarkEnd w:id="6"/>
    </w:p>
    <w:tbl>
      <w:tblPr>
        <w:tblStyle w:val="43"/>
        <w:tblW w:w="10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1715"/>
        <w:gridCol w:w="7821"/>
      </w:tblGrid>
      <w:tr w14:paraId="611E4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0EA72CA4">
            <w:pPr>
              <w:spacing w:line="400" w:lineRule="atLeast"/>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序号</w:t>
            </w:r>
          </w:p>
        </w:tc>
        <w:tc>
          <w:tcPr>
            <w:tcW w:w="1715" w:type="dxa"/>
            <w:vAlign w:val="center"/>
          </w:tcPr>
          <w:p w14:paraId="12C80B82">
            <w:pPr>
              <w:spacing w:line="400" w:lineRule="atLeast"/>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内容</w:t>
            </w:r>
          </w:p>
        </w:tc>
        <w:tc>
          <w:tcPr>
            <w:tcW w:w="7821" w:type="dxa"/>
            <w:vAlign w:val="center"/>
          </w:tcPr>
          <w:p w14:paraId="3463BBD0">
            <w:pPr>
              <w:spacing w:line="400" w:lineRule="atLeast"/>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说明与要求</w:t>
            </w:r>
          </w:p>
        </w:tc>
      </w:tr>
      <w:tr w14:paraId="74DFB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4" w:type="dxa"/>
            <w:vAlign w:val="center"/>
          </w:tcPr>
          <w:p w14:paraId="28A20488">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w:t>
            </w:r>
          </w:p>
        </w:tc>
        <w:tc>
          <w:tcPr>
            <w:tcW w:w="1715" w:type="dxa"/>
            <w:vAlign w:val="center"/>
          </w:tcPr>
          <w:p w14:paraId="51E04E5A">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采购人</w:t>
            </w:r>
          </w:p>
        </w:tc>
        <w:tc>
          <w:tcPr>
            <w:tcW w:w="7821" w:type="dxa"/>
            <w:vAlign w:val="center"/>
          </w:tcPr>
          <w:p w14:paraId="773F50A2">
            <w:pPr>
              <w:spacing w:line="360" w:lineRule="auto"/>
              <w:rPr>
                <w:rFonts w:cs="Arial" w:asciiTheme="majorEastAsia" w:hAnsiTheme="majorEastAsia" w:eastAsiaTheme="majorEastAsia"/>
                <w:color w:val="auto"/>
                <w:kern w:val="0"/>
                <w:sz w:val="22"/>
                <w:szCs w:val="22"/>
                <w:highlight w:val="none"/>
              </w:rPr>
            </w:pPr>
            <w:r>
              <w:rPr>
                <w:rFonts w:hint="eastAsia" w:cs="Arial" w:asciiTheme="majorEastAsia" w:hAnsiTheme="majorEastAsia" w:eastAsiaTheme="majorEastAsia"/>
                <w:color w:val="auto"/>
                <w:kern w:val="0"/>
                <w:sz w:val="22"/>
                <w:szCs w:val="22"/>
                <w:highlight w:val="none"/>
              </w:rPr>
              <w:t>名称：永嘉县中医医院（医共体）</w:t>
            </w:r>
          </w:p>
          <w:p w14:paraId="0028206B">
            <w:pPr>
              <w:widowControl/>
              <w:spacing w:before="75" w:after="75" w:line="360" w:lineRule="auto"/>
              <w:jc w:val="left"/>
              <w:rPr>
                <w:rFonts w:hint="eastAsia" w:cs="Arial" w:asciiTheme="majorEastAsia" w:hAnsiTheme="majorEastAsia" w:eastAsiaTheme="majorEastAsia"/>
                <w:color w:val="auto"/>
                <w:kern w:val="0"/>
                <w:sz w:val="22"/>
                <w:szCs w:val="22"/>
                <w:highlight w:val="none"/>
                <w:lang w:eastAsia="zh-CN"/>
              </w:rPr>
            </w:pPr>
            <w:r>
              <w:rPr>
                <w:rFonts w:hint="eastAsia" w:cs="Arial" w:asciiTheme="majorEastAsia" w:hAnsiTheme="majorEastAsia" w:eastAsiaTheme="majorEastAsia"/>
                <w:color w:val="auto"/>
                <w:kern w:val="0"/>
                <w:sz w:val="22"/>
                <w:szCs w:val="22"/>
                <w:highlight w:val="none"/>
              </w:rPr>
              <w:t>地址：</w:t>
            </w:r>
            <w:r>
              <w:rPr>
                <w:rFonts w:hint="eastAsia" w:cs="Arial" w:asciiTheme="majorEastAsia" w:hAnsiTheme="majorEastAsia" w:eastAsiaTheme="majorEastAsia"/>
                <w:color w:val="auto"/>
                <w:kern w:val="0"/>
                <w:sz w:val="22"/>
                <w:szCs w:val="22"/>
                <w:highlight w:val="none"/>
                <w:lang w:eastAsia="zh-CN"/>
              </w:rPr>
              <w:t>永嘉县瓯北街道公园路6号</w:t>
            </w:r>
          </w:p>
          <w:p w14:paraId="0EF96461">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项目联系人（询问）：陈女士  </w:t>
            </w:r>
          </w:p>
          <w:p w14:paraId="02840204">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项目联系方式（询问）：0577-57881035</w:t>
            </w:r>
          </w:p>
        </w:tc>
      </w:tr>
      <w:tr w14:paraId="62A3E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1C37CDE5">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w:t>
            </w:r>
          </w:p>
        </w:tc>
        <w:tc>
          <w:tcPr>
            <w:tcW w:w="1715" w:type="dxa"/>
            <w:vAlign w:val="center"/>
          </w:tcPr>
          <w:p w14:paraId="074B76BF">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采购代理机构</w:t>
            </w:r>
          </w:p>
        </w:tc>
        <w:tc>
          <w:tcPr>
            <w:tcW w:w="7821" w:type="dxa"/>
            <w:vAlign w:val="center"/>
          </w:tcPr>
          <w:p w14:paraId="761C7A4F">
            <w:pPr>
              <w:adjustRightInd w:val="0"/>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采购代理机构名称：温州市中概工程管理咨询有限公司</w:t>
            </w:r>
          </w:p>
          <w:p w14:paraId="23FF330A">
            <w:pPr>
              <w:adjustRightInd w:val="0"/>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地点：温州市永嘉县南城街道环城北路云碓大厦503室</w:t>
            </w:r>
          </w:p>
          <w:p w14:paraId="5D97AC33">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联 系 人：胡可可</w:t>
            </w:r>
          </w:p>
          <w:p w14:paraId="4BF1BC2E">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联系电话：15258683545</w:t>
            </w:r>
          </w:p>
        </w:tc>
      </w:tr>
      <w:tr w14:paraId="421D1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1366CCAA">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3</w:t>
            </w:r>
          </w:p>
        </w:tc>
        <w:tc>
          <w:tcPr>
            <w:tcW w:w="1715" w:type="dxa"/>
            <w:vAlign w:val="center"/>
          </w:tcPr>
          <w:p w14:paraId="200FA4D5">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项目名称及项目编号</w:t>
            </w:r>
          </w:p>
        </w:tc>
        <w:tc>
          <w:tcPr>
            <w:tcW w:w="7821" w:type="dxa"/>
            <w:vAlign w:val="center"/>
          </w:tcPr>
          <w:p w14:paraId="6A338A45">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r>
              <w:rPr>
                <w:rFonts w:hint="eastAsia" w:cs="宋体" w:asciiTheme="majorEastAsia" w:hAnsiTheme="majorEastAsia" w:eastAsiaTheme="majorEastAsia"/>
                <w:bCs/>
                <w:color w:val="auto"/>
                <w:sz w:val="22"/>
                <w:szCs w:val="22"/>
                <w:highlight w:val="none"/>
              </w:rPr>
              <w:t>永嘉县中医医院（医共体）高清内窥镜采购</w:t>
            </w:r>
          </w:p>
          <w:p w14:paraId="2C24632A">
            <w:pPr>
              <w:rPr>
                <w:rFonts w:hint="eastAsia" w:eastAsia="新宋体" w:cs="宋体" w:asciiTheme="majorEastAsia" w:hAnsiTheme="majorEastAsia"/>
                <w:color w:val="auto"/>
                <w:sz w:val="22"/>
                <w:szCs w:val="22"/>
                <w:highlight w:val="none"/>
                <w:lang w:eastAsia="zh-CN"/>
              </w:rPr>
            </w:pPr>
            <w:r>
              <w:rPr>
                <w:rFonts w:hint="eastAsia" w:ascii="新宋体" w:hAnsi="新宋体" w:eastAsia="新宋体" w:cs="新宋体"/>
                <w:color w:val="auto"/>
                <w:kern w:val="0"/>
                <w:sz w:val="22"/>
                <w:szCs w:val="22"/>
                <w:highlight w:val="none"/>
              </w:rPr>
              <w:t>项目编号：</w:t>
            </w:r>
            <w:r>
              <w:rPr>
                <w:rFonts w:hint="eastAsia" w:cs="宋体" w:asciiTheme="majorEastAsia" w:hAnsiTheme="majorEastAsia" w:eastAsiaTheme="majorEastAsia"/>
                <w:color w:val="auto"/>
                <w:sz w:val="22"/>
                <w:szCs w:val="22"/>
                <w:highlight w:val="none"/>
                <w:lang w:eastAsia="zh-CN"/>
              </w:rPr>
              <w:t>ZGCG-20250121-2</w:t>
            </w:r>
          </w:p>
        </w:tc>
      </w:tr>
      <w:tr w14:paraId="1ABF9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3A6207C7">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4</w:t>
            </w:r>
          </w:p>
        </w:tc>
        <w:tc>
          <w:tcPr>
            <w:tcW w:w="1715" w:type="dxa"/>
            <w:vAlign w:val="center"/>
          </w:tcPr>
          <w:p w14:paraId="385832BF">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采购预算</w:t>
            </w:r>
          </w:p>
        </w:tc>
        <w:tc>
          <w:tcPr>
            <w:tcW w:w="7821" w:type="dxa"/>
            <w:vAlign w:val="center"/>
          </w:tcPr>
          <w:p w14:paraId="65763723">
            <w:pPr>
              <w:adjustRightInd w:val="0"/>
              <w:rPr>
                <w:rFonts w:cs="宋体" w:asciiTheme="majorEastAsia" w:hAnsiTheme="majorEastAsia" w:eastAsiaTheme="majorEastAsia"/>
                <w:color w:val="auto"/>
                <w:sz w:val="22"/>
                <w:szCs w:val="22"/>
                <w:highlight w:val="none"/>
              </w:rPr>
            </w:pPr>
            <w:r>
              <w:rPr>
                <w:rFonts w:cs="宋体" w:asciiTheme="majorEastAsia" w:hAnsiTheme="majorEastAsia" w:eastAsiaTheme="majorEastAsia"/>
                <w:color w:val="auto"/>
                <w:sz w:val="22"/>
                <w:szCs w:val="22"/>
                <w:highlight w:val="none"/>
              </w:rPr>
              <w:t>见</w:t>
            </w:r>
            <w:r>
              <w:rPr>
                <w:rFonts w:hint="eastAsia" w:cs="宋体" w:asciiTheme="majorEastAsia" w:hAnsiTheme="majorEastAsia" w:eastAsiaTheme="majorEastAsia"/>
                <w:color w:val="auto"/>
                <w:sz w:val="22"/>
                <w:szCs w:val="22"/>
                <w:highlight w:val="none"/>
              </w:rPr>
              <w:t>招标</w:t>
            </w:r>
            <w:r>
              <w:rPr>
                <w:rFonts w:cs="宋体" w:asciiTheme="majorEastAsia" w:hAnsiTheme="majorEastAsia" w:eastAsiaTheme="majorEastAsia"/>
                <w:color w:val="auto"/>
                <w:sz w:val="22"/>
                <w:szCs w:val="22"/>
                <w:highlight w:val="none"/>
              </w:rPr>
              <w:t>公告</w:t>
            </w:r>
          </w:p>
        </w:tc>
      </w:tr>
      <w:tr w14:paraId="50AFF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31AA09AC">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5</w:t>
            </w:r>
          </w:p>
        </w:tc>
        <w:tc>
          <w:tcPr>
            <w:tcW w:w="1715" w:type="dxa"/>
            <w:vAlign w:val="center"/>
          </w:tcPr>
          <w:p w14:paraId="5CB4B928">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评标办法</w:t>
            </w:r>
          </w:p>
        </w:tc>
        <w:tc>
          <w:tcPr>
            <w:tcW w:w="7821" w:type="dxa"/>
            <w:vAlign w:val="center"/>
          </w:tcPr>
          <w:p w14:paraId="7BE7A6E0">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综合评分法</w:t>
            </w:r>
          </w:p>
        </w:tc>
      </w:tr>
      <w:tr w14:paraId="6F172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58035E24">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6</w:t>
            </w:r>
          </w:p>
        </w:tc>
        <w:tc>
          <w:tcPr>
            <w:tcW w:w="1715" w:type="dxa"/>
            <w:vAlign w:val="center"/>
          </w:tcPr>
          <w:p w14:paraId="4C8D40D7">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采购内容</w:t>
            </w:r>
          </w:p>
        </w:tc>
        <w:tc>
          <w:tcPr>
            <w:tcW w:w="7821" w:type="dxa"/>
            <w:vAlign w:val="center"/>
          </w:tcPr>
          <w:p w14:paraId="41439BD6">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具体内容见招标文件。</w:t>
            </w:r>
          </w:p>
        </w:tc>
      </w:tr>
      <w:tr w14:paraId="7593D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1CCEC8CC">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7</w:t>
            </w:r>
          </w:p>
        </w:tc>
        <w:tc>
          <w:tcPr>
            <w:tcW w:w="1715" w:type="dxa"/>
            <w:vAlign w:val="center"/>
          </w:tcPr>
          <w:p w14:paraId="1660AF71">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供应商资格要求</w:t>
            </w:r>
          </w:p>
        </w:tc>
        <w:tc>
          <w:tcPr>
            <w:tcW w:w="7821" w:type="dxa"/>
            <w:vAlign w:val="center"/>
          </w:tcPr>
          <w:p w14:paraId="3811D9BE">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见招标公告</w:t>
            </w:r>
          </w:p>
        </w:tc>
      </w:tr>
      <w:tr w14:paraId="46542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028500ED">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8</w:t>
            </w:r>
          </w:p>
        </w:tc>
        <w:tc>
          <w:tcPr>
            <w:tcW w:w="1715" w:type="dxa"/>
            <w:vAlign w:val="center"/>
          </w:tcPr>
          <w:p w14:paraId="58172728">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是否接受联合体投标</w:t>
            </w:r>
          </w:p>
        </w:tc>
        <w:tc>
          <w:tcPr>
            <w:tcW w:w="7821" w:type="dxa"/>
            <w:vAlign w:val="center"/>
          </w:tcPr>
          <w:p w14:paraId="180EC0AE">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fldChar w:fldCharType="begin"/>
            </w:r>
            <w:r>
              <w:rPr>
                <w:rFonts w:hint="eastAsia" w:cs="宋体" w:asciiTheme="majorEastAsia" w:hAnsiTheme="majorEastAsia" w:eastAsiaTheme="majorEastAsia"/>
                <w:color w:val="auto"/>
                <w:sz w:val="22"/>
                <w:szCs w:val="22"/>
                <w:highlight w:val="none"/>
              </w:rPr>
              <w:instrText xml:space="preserve">eq \o\ac(□,√)</w:instrTex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不接受</w:t>
            </w:r>
          </w:p>
          <w:p w14:paraId="6E18FEE3">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□接受，应满足下列要求：</w:t>
            </w:r>
          </w:p>
        </w:tc>
      </w:tr>
      <w:tr w14:paraId="27E9EE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5ED8DE93">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9</w:t>
            </w:r>
          </w:p>
        </w:tc>
        <w:tc>
          <w:tcPr>
            <w:tcW w:w="1715" w:type="dxa"/>
            <w:vAlign w:val="center"/>
          </w:tcPr>
          <w:p w14:paraId="27CA7489">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踏勘现场</w:t>
            </w:r>
          </w:p>
        </w:tc>
        <w:tc>
          <w:tcPr>
            <w:tcW w:w="7821" w:type="dxa"/>
            <w:vAlign w:val="center"/>
          </w:tcPr>
          <w:p w14:paraId="7A1DE114">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fldChar w:fldCharType="begin"/>
            </w:r>
            <w:r>
              <w:rPr>
                <w:rFonts w:hint="eastAsia" w:cs="宋体" w:asciiTheme="majorEastAsia" w:hAnsiTheme="majorEastAsia" w:eastAsiaTheme="majorEastAsia"/>
                <w:color w:val="auto"/>
                <w:sz w:val="22"/>
                <w:szCs w:val="22"/>
                <w:highlight w:val="none"/>
              </w:rPr>
              <w:instrText xml:space="preserve">eq \o\ac(□,√)</w:instrTex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不组织</w:t>
            </w:r>
          </w:p>
          <w:p w14:paraId="7A6B69DE">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 xml:space="preserve">□组织   </w:t>
            </w:r>
          </w:p>
        </w:tc>
      </w:tr>
      <w:tr w14:paraId="78C3D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1BA02B8B">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10</w:t>
            </w:r>
          </w:p>
        </w:tc>
        <w:tc>
          <w:tcPr>
            <w:tcW w:w="1715" w:type="dxa"/>
            <w:vAlign w:val="center"/>
          </w:tcPr>
          <w:p w14:paraId="47263909">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是否允许递交备选投标方案</w:t>
            </w:r>
          </w:p>
        </w:tc>
        <w:tc>
          <w:tcPr>
            <w:tcW w:w="7821" w:type="dxa"/>
            <w:vAlign w:val="center"/>
          </w:tcPr>
          <w:p w14:paraId="3F358B4C">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fldChar w:fldCharType="begin"/>
            </w:r>
            <w:r>
              <w:rPr>
                <w:rFonts w:hint="eastAsia" w:cs="宋体" w:asciiTheme="majorEastAsia" w:hAnsiTheme="majorEastAsia" w:eastAsiaTheme="majorEastAsia"/>
                <w:color w:val="auto"/>
                <w:sz w:val="22"/>
                <w:szCs w:val="22"/>
                <w:highlight w:val="none"/>
              </w:rPr>
              <w:instrText xml:space="preserve">eq \o\ac(□,√)</w:instrTex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 xml:space="preserve"> 不允许</w:t>
            </w:r>
          </w:p>
          <w:p w14:paraId="3FE91156">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 允许</w:t>
            </w:r>
          </w:p>
        </w:tc>
      </w:tr>
      <w:tr w14:paraId="0DDED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09E9E5ED">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11</w:t>
            </w:r>
          </w:p>
        </w:tc>
        <w:tc>
          <w:tcPr>
            <w:tcW w:w="1715" w:type="dxa"/>
            <w:vAlign w:val="center"/>
          </w:tcPr>
          <w:p w14:paraId="2EE22C75">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分包</w:t>
            </w:r>
          </w:p>
        </w:tc>
        <w:tc>
          <w:tcPr>
            <w:tcW w:w="7821" w:type="dxa"/>
            <w:vAlign w:val="center"/>
          </w:tcPr>
          <w:p w14:paraId="0EF3D987">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 允许</w:t>
            </w:r>
          </w:p>
          <w:p w14:paraId="587D52D2">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sym w:font="Wingdings" w:char="00FE"/>
            </w:r>
            <w:r>
              <w:rPr>
                <w:rFonts w:hint="eastAsia" w:cs="宋体" w:asciiTheme="majorEastAsia" w:hAnsiTheme="majorEastAsia" w:eastAsiaTheme="majorEastAsia"/>
                <w:color w:val="auto"/>
                <w:sz w:val="22"/>
                <w:szCs w:val="22"/>
                <w:highlight w:val="none"/>
              </w:rPr>
              <w:t>不允许</w:t>
            </w:r>
          </w:p>
        </w:tc>
      </w:tr>
      <w:tr w14:paraId="20E81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04C2F7A8">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12</w:t>
            </w:r>
          </w:p>
        </w:tc>
        <w:tc>
          <w:tcPr>
            <w:tcW w:w="1715" w:type="dxa"/>
            <w:vAlign w:val="center"/>
          </w:tcPr>
          <w:p w14:paraId="2CDB531D">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报价货币</w:t>
            </w:r>
          </w:p>
        </w:tc>
        <w:tc>
          <w:tcPr>
            <w:tcW w:w="7821" w:type="dxa"/>
            <w:vAlign w:val="center"/>
          </w:tcPr>
          <w:p w14:paraId="6A73B6D9">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人民币</w:t>
            </w:r>
          </w:p>
        </w:tc>
      </w:tr>
      <w:tr w14:paraId="73DC2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597035DF">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13</w:t>
            </w:r>
          </w:p>
        </w:tc>
        <w:tc>
          <w:tcPr>
            <w:tcW w:w="1715" w:type="dxa"/>
            <w:vAlign w:val="center"/>
          </w:tcPr>
          <w:p w14:paraId="3BA9F8C3">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报价语言</w:t>
            </w:r>
          </w:p>
        </w:tc>
        <w:tc>
          <w:tcPr>
            <w:tcW w:w="7821" w:type="dxa"/>
            <w:vAlign w:val="center"/>
          </w:tcPr>
          <w:p w14:paraId="1B264AC1">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中文</w:t>
            </w:r>
          </w:p>
        </w:tc>
      </w:tr>
      <w:tr w14:paraId="0753A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01A02BAB">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14</w:t>
            </w:r>
          </w:p>
        </w:tc>
        <w:tc>
          <w:tcPr>
            <w:tcW w:w="1715" w:type="dxa"/>
            <w:vAlign w:val="center"/>
          </w:tcPr>
          <w:p w14:paraId="55D97D77">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投标保证金</w:t>
            </w:r>
          </w:p>
        </w:tc>
        <w:tc>
          <w:tcPr>
            <w:tcW w:w="7821" w:type="dxa"/>
            <w:vAlign w:val="center"/>
          </w:tcPr>
          <w:p w14:paraId="31145865">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fldChar w:fldCharType="begin"/>
            </w:r>
            <w:r>
              <w:rPr>
                <w:rFonts w:hint="eastAsia" w:cs="宋体" w:asciiTheme="majorEastAsia" w:hAnsiTheme="majorEastAsia" w:eastAsiaTheme="majorEastAsia"/>
                <w:color w:val="auto"/>
                <w:sz w:val="22"/>
                <w:szCs w:val="22"/>
                <w:highlight w:val="none"/>
              </w:rPr>
              <w:instrText xml:space="preserve">eq \o\ac(□,√)</w:instrTex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不需要</w:t>
            </w:r>
          </w:p>
          <w:p w14:paraId="51BE8EBA">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□需要</w:t>
            </w:r>
          </w:p>
        </w:tc>
      </w:tr>
      <w:tr w14:paraId="75A86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5C4FBE92">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15</w:t>
            </w:r>
          </w:p>
        </w:tc>
        <w:tc>
          <w:tcPr>
            <w:tcW w:w="1715" w:type="dxa"/>
            <w:vAlign w:val="center"/>
          </w:tcPr>
          <w:p w14:paraId="1FE90A7C">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履约担保</w:t>
            </w:r>
          </w:p>
        </w:tc>
        <w:tc>
          <w:tcPr>
            <w:tcW w:w="7821" w:type="dxa"/>
            <w:vAlign w:val="center"/>
          </w:tcPr>
          <w:p w14:paraId="42564D8C">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fldChar w:fldCharType="begin"/>
            </w:r>
            <w:r>
              <w:rPr>
                <w:rFonts w:hint="eastAsia" w:cs="宋体" w:asciiTheme="majorEastAsia" w:hAnsiTheme="majorEastAsia" w:eastAsiaTheme="majorEastAsia"/>
                <w:color w:val="auto"/>
                <w:sz w:val="22"/>
                <w:szCs w:val="22"/>
                <w:highlight w:val="none"/>
              </w:rPr>
              <w:instrText xml:space="preserve">eq \o\ac(□,√)</w:instrTex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不需要</w:t>
            </w:r>
          </w:p>
          <w:p w14:paraId="526E56D9">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 xml:space="preserve">□需要 </w:t>
            </w:r>
            <w:r>
              <w:rPr>
                <w:rFonts w:hint="eastAsia" w:cs="宋体" w:asciiTheme="majorEastAsia" w:hAnsiTheme="majorEastAsia" w:eastAsiaTheme="majorEastAsia"/>
                <w:bCs/>
                <w:color w:val="auto"/>
                <w:sz w:val="22"/>
                <w:szCs w:val="22"/>
                <w:highlight w:val="none"/>
              </w:rPr>
              <w:t xml:space="preserve"> 合同签订后成交供应商应提供合同总金额1%的履约保证金至采购人指定账户，履约保证金可以以银行或保险公司出具的保函作为履约保函。</w:t>
            </w:r>
          </w:p>
        </w:tc>
      </w:tr>
      <w:tr w14:paraId="73548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5B15937C">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16</w:t>
            </w:r>
          </w:p>
        </w:tc>
        <w:tc>
          <w:tcPr>
            <w:tcW w:w="1715" w:type="dxa"/>
            <w:vAlign w:val="center"/>
          </w:tcPr>
          <w:p w14:paraId="3F482534">
            <w:pPr>
              <w:jc w:val="center"/>
              <w:rPr>
                <w:rFonts w:cs="宋体" w:asciiTheme="majorEastAsia" w:hAnsiTheme="majorEastAsia" w:eastAsiaTheme="majorEastAsia"/>
                <w:b/>
                <w:color w:val="auto"/>
                <w:sz w:val="22"/>
                <w:szCs w:val="22"/>
                <w:highlight w:val="none"/>
              </w:rPr>
            </w:pPr>
            <w:r>
              <w:rPr>
                <w:rFonts w:hint="eastAsia" w:cs="宋体" w:asciiTheme="majorEastAsia" w:hAnsiTheme="majorEastAsia" w:eastAsiaTheme="majorEastAsia"/>
                <w:b/>
                <w:color w:val="auto"/>
                <w:sz w:val="22"/>
                <w:szCs w:val="22"/>
                <w:highlight w:val="none"/>
              </w:rPr>
              <w:t>投标文件递交截止时间及开标时间</w:t>
            </w:r>
          </w:p>
        </w:tc>
        <w:tc>
          <w:tcPr>
            <w:tcW w:w="7821" w:type="dxa"/>
            <w:vAlign w:val="center"/>
          </w:tcPr>
          <w:p w14:paraId="050F8209">
            <w:pPr>
              <w:rPr>
                <w:rFonts w:cs="宋体" w:asciiTheme="majorEastAsia" w:hAnsiTheme="majorEastAsia" w:eastAsiaTheme="majorEastAsia"/>
                <w:b/>
                <w:color w:val="auto"/>
                <w:sz w:val="22"/>
                <w:szCs w:val="22"/>
                <w:highlight w:val="none"/>
              </w:rPr>
            </w:pPr>
            <w:r>
              <w:rPr>
                <w:rFonts w:hint="eastAsia" w:cs="宋体" w:asciiTheme="majorEastAsia" w:hAnsiTheme="majorEastAsia" w:eastAsiaTheme="majorEastAsia"/>
                <w:b/>
                <w:i/>
                <w:color w:val="auto"/>
                <w:sz w:val="22"/>
                <w:szCs w:val="22"/>
                <w:highlight w:val="none"/>
              </w:rPr>
              <w:t>2025年2月18日09:30截</w:t>
            </w:r>
            <w:r>
              <w:rPr>
                <w:rFonts w:hint="eastAsia" w:cs="宋体" w:asciiTheme="majorEastAsia" w:hAnsiTheme="majorEastAsia" w:eastAsiaTheme="majorEastAsia"/>
                <w:b/>
                <w:color w:val="auto"/>
                <w:sz w:val="22"/>
                <w:szCs w:val="22"/>
                <w:highlight w:val="none"/>
              </w:rPr>
              <w:t>止（北京时间）。</w:t>
            </w:r>
          </w:p>
        </w:tc>
      </w:tr>
      <w:tr w14:paraId="58AD6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2603F137">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17</w:t>
            </w:r>
          </w:p>
        </w:tc>
        <w:tc>
          <w:tcPr>
            <w:tcW w:w="1715" w:type="dxa"/>
            <w:vAlign w:val="center"/>
          </w:tcPr>
          <w:p w14:paraId="6893BD28">
            <w:pPr>
              <w:jc w:val="center"/>
              <w:rPr>
                <w:rFonts w:cs="宋体" w:asciiTheme="majorEastAsia" w:hAnsiTheme="majorEastAsia" w:eastAsiaTheme="majorEastAsia"/>
                <w:b/>
                <w:color w:val="auto"/>
                <w:sz w:val="22"/>
                <w:szCs w:val="22"/>
                <w:highlight w:val="none"/>
              </w:rPr>
            </w:pPr>
            <w:r>
              <w:rPr>
                <w:rFonts w:hint="eastAsia" w:cs="宋体" w:asciiTheme="majorEastAsia" w:hAnsiTheme="majorEastAsia" w:eastAsiaTheme="majorEastAsia"/>
                <w:b/>
                <w:color w:val="auto"/>
                <w:sz w:val="22"/>
                <w:szCs w:val="22"/>
                <w:highlight w:val="none"/>
                <w:lang w:bidi="ar"/>
              </w:rPr>
              <w:t>评标地址</w:t>
            </w:r>
          </w:p>
        </w:tc>
        <w:tc>
          <w:tcPr>
            <w:tcW w:w="7821" w:type="dxa"/>
            <w:vAlign w:val="center"/>
          </w:tcPr>
          <w:p w14:paraId="6B98771D">
            <w:pPr>
              <w:rPr>
                <w:rStyle w:val="93"/>
                <w:rFonts w:cs="宋体" w:asciiTheme="majorEastAsia" w:hAnsiTheme="majorEastAsia" w:eastAsiaTheme="majorEastAsia"/>
                <w:b/>
                <w:color w:val="auto"/>
                <w:sz w:val="22"/>
                <w:szCs w:val="22"/>
                <w:highlight w:val="none"/>
              </w:rPr>
            </w:pPr>
            <w:r>
              <w:rPr>
                <w:rFonts w:hint="eastAsia" w:cs="宋体" w:asciiTheme="majorEastAsia" w:hAnsiTheme="majorEastAsia" w:eastAsiaTheme="majorEastAsia"/>
                <w:bCs/>
                <w:color w:val="auto"/>
                <w:sz w:val="22"/>
                <w:szCs w:val="22"/>
                <w:highlight w:val="none"/>
              </w:rPr>
              <w:t>温州市永嘉县南城街道环城北路云碓大厦502室</w:t>
            </w:r>
          </w:p>
        </w:tc>
      </w:tr>
      <w:tr w14:paraId="417D7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7AA3CFE5">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18</w:t>
            </w:r>
          </w:p>
        </w:tc>
        <w:tc>
          <w:tcPr>
            <w:tcW w:w="1715" w:type="dxa"/>
            <w:vAlign w:val="center"/>
          </w:tcPr>
          <w:p w14:paraId="177BE680">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投标文件的编制</w:t>
            </w:r>
          </w:p>
        </w:tc>
        <w:tc>
          <w:tcPr>
            <w:tcW w:w="7821" w:type="dxa"/>
            <w:vAlign w:val="center"/>
          </w:tcPr>
          <w:p w14:paraId="07CA3B8D">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供应商应先安装“政采云电子交易客户端”，并按照本招标文件和“政采云平台”的要求，通过“政采云电子交易客户端”编制并加密投标文件。</w:t>
            </w:r>
          </w:p>
        </w:tc>
      </w:tr>
      <w:tr w14:paraId="786EF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694" w:type="dxa"/>
            <w:vAlign w:val="center"/>
          </w:tcPr>
          <w:p w14:paraId="1B668669">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19</w:t>
            </w:r>
          </w:p>
        </w:tc>
        <w:tc>
          <w:tcPr>
            <w:tcW w:w="1715" w:type="dxa"/>
            <w:vAlign w:val="center"/>
          </w:tcPr>
          <w:p w14:paraId="56635DA3">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报价有效期</w:t>
            </w:r>
          </w:p>
        </w:tc>
        <w:tc>
          <w:tcPr>
            <w:tcW w:w="7821" w:type="dxa"/>
            <w:vAlign w:val="center"/>
          </w:tcPr>
          <w:p w14:paraId="4B13D80C">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提交投标文件截止时间起90天内</w:t>
            </w:r>
          </w:p>
        </w:tc>
      </w:tr>
      <w:tr w14:paraId="67E22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694" w:type="dxa"/>
            <w:vAlign w:val="center"/>
          </w:tcPr>
          <w:p w14:paraId="5638172E">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20</w:t>
            </w:r>
          </w:p>
        </w:tc>
        <w:tc>
          <w:tcPr>
            <w:tcW w:w="1715" w:type="dxa"/>
            <w:vAlign w:val="center"/>
          </w:tcPr>
          <w:p w14:paraId="5BBFDE66">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签字或盖章要求</w:t>
            </w:r>
          </w:p>
        </w:tc>
        <w:tc>
          <w:tcPr>
            <w:tcW w:w="7821" w:type="dxa"/>
            <w:vAlign w:val="center"/>
          </w:tcPr>
          <w:p w14:paraId="7573D5F2">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投标文件的相应位置应加盖：电子签章。</w:t>
            </w:r>
          </w:p>
          <w:p w14:paraId="4A71EF28">
            <w:pPr>
              <w:pStyle w:val="2"/>
              <w:ind w:firstLine="0" w:firstLineChars="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注：本项目电子招投标活动中的签字与电子签章具有同等法律效应。</w:t>
            </w:r>
          </w:p>
        </w:tc>
      </w:tr>
      <w:tr w14:paraId="497E6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694" w:type="dxa"/>
            <w:vAlign w:val="center"/>
          </w:tcPr>
          <w:p w14:paraId="69ACB035">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21</w:t>
            </w:r>
          </w:p>
        </w:tc>
        <w:tc>
          <w:tcPr>
            <w:tcW w:w="1715" w:type="dxa"/>
            <w:vAlign w:val="center"/>
          </w:tcPr>
          <w:p w14:paraId="2EB62CA7">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投标文件的形式、制作及组成</w:t>
            </w:r>
          </w:p>
        </w:tc>
        <w:tc>
          <w:tcPr>
            <w:tcW w:w="7821" w:type="dxa"/>
            <w:vAlign w:val="center"/>
          </w:tcPr>
          <w:p w14:paraId="75779899">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本项目实行在线投标响应（电子投标）。</w:t>
            </w:r>
          </w:p>
          <w:p w14:paraId="6DF89B8C">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投标供应商准备电子投标文件（包括“电子加密投标文件”和“备份投标文件”两类，在投标文件编制完成后同时生成）。</w:t>
            </w:r>
          </w:p>
          <w:p w14:paraId="7367647C">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（1）“电子加密投标文件”是指通过“政采云电子交易客户端”完成投标文件编制后生成并加密的数据电文形式的投标文件。</w:t>
            </w:r>
          </w:p>
          <w:p w14:paraId="765B6E3E">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（2）“备份投标文件”是指与“电子加密投标文件”同时生成的数据电文形式的电子文件（备份标书），其他方式编制的备份投标文件视为无效备份投标文件。</w:t>
            </w:r>
          </w:p>
          <w:p w14:paraId="7FB109DF">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以上两类投标文件均由资格文件、报价文件、商务技术文件三部分组成。</w:t>
            </w:r>
          </w:p>
        </w:tc>
      </w:tr>
      <w:tr w14:paraId="4782B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14:paraId="36A983C9">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22</w:t>
            </w:r>
          </w:p>
        </w:tc>
        <w:tc>
          <w:tcPr>
            <w:tcW w:w="1715" w:type="dxa"/>
            <w:vAlign w:val="center"/>
          </w:tcPr>
          <w:p w14:paraId="4D346735">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投标文件份数</w:t>
            </w:r>
          </w:p>
        </w:tc>
        <w:tc>
          <w:tcPr>
            <w:tcW w:w="7821" w:type="dxa"/>
            <w:vAlign w:val="center"/>
          </w:tcPr>
          <w:p w14:paraId="0D2E0EDB">
            <w:pPr>
              <w:adjustRightInd w:val="0"/>
              <w:jc w:val="lef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（1）“电子加密投标文件”：在线上传递交、一份。</w:t>
            </w:r>
          </w:p>
          <w:p w14:paraId="566AA5E7">
            <w:pPr>
              <w:adjustRightInd w:val="0"/>
              <w:jc w:val="lef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2）“备份投标文件”：以U盘存储，密封包装后（顺丰快递形式）在投标文件递交截止时间及开标时间前递交，送达时间以签收人签收时间为准，一份，邮寄地址：温州市永嘉县南城街道环城北路云碓大厦503室，胡先生收，联系电话：15258683545。</w:t>
            </w:r>
          </w:p>
          <w:p w14:paraId="1BFF4502">
            <w:pPr>
              <w:pStyle w:val="2"/>
              <w:ind w:firstLine="221"/>
              <w:rPr>
                <w:rFonts w:asciiTheme="majorEastAsia" w:hAnsiTheme="majorEastAsia" w:eastAsiaTheme="majorEastAsia"/>
                <w:b/>
                <w:color w:val="auto"/>
                <w:sz w:val="22"/>
                <w:szCs w:val="22"/>
                <w:highlight w:val="none"/>
              </w:rPr>
            </w:pPr>
            <w:r>
              <w:rPr>
                <w:rFonts w:hint="eastAsia" w:cs="宋体" w:asciiTheme="majorEastAsia" w:hAnsiTheme="majorEastAsia" w:eastAsiaTheme="majorEastAsia"/>
                <w:b/>
                <w:color w:val="auto"/>
                <w:sz w:val="22"/>
                <w:szCs w:val="22"/>
                <w:highlight w:val="none"/>
              </w:rPr>
              <w:t>注：“备份投标文件”</w:t>
            </w:r>
            <w:r>
              <w:rPr>
                <w:rFonts w:hint="eastAsia" w:ascii="宋体"/>
                <w:b/>
                <w:color w:val="auto"/>
                <w:sz w:val="22"/>
                <w:szCs w:val="22"/>
                <w:highlight w:val="none"/>
              </w:rPr>
              <w:t>不强制要求提供，</w:t>
            </w:r>
            <w:r>
              <w:rPr>
                <w:rFonts w:hint="eastAsia" w:cs="宋体" w:asciiTheme="majorEastAsia" w:hAnsiTheme="majorEastAsia" w:eastAsiaTheme="majorEastAsia"/>
                <w:b/>
                <w:color w:val="auto"/>
                <w:sz w:val="22"/>
                <w:szCs w:val="22"/>
                <w:highlight w:val="none"/>
              </w:rPr>
              <w:t>由供应商自行选择是否提供。</w:t>
            </w:r>
          </w:p>
        </w:tc>
      </w:tr>
      <w:tr w14:paraId="6BAE7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14:paraId="613199C3">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23</w:t>
            </w:r>
          </w:p>
        </w:tc>
        <w:tc>
          <w:tcPr>
            <w:tcW w:w="1715" w:type="dxa"/>
            <w:vAlign w:val="center"/>
          </w:tcPr>
          <w:p w14:paraId="2D6C5077">
            <w:pPr>
              <w:autoSpaceDE w:val="0"/>
              <w:autoSpaceDN w:val="0"/>
              <w:adjustRightInd w:val="0"/>
              <w:spacing w:line="300" w:lineRule="atLeast"/>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投标文件的上传和递交</w:t>
            </w:r>
          </w:p>
        </w:tc>
        <w:tc>
          <w:tcPr>
            <w:tcW w:w="7821" w:type="dxa"/>
            <w:vAlign w:val="center"/>
          </w:tcPr>
          <w:p w14:paraId="4455B97A">
            <w:pPr>
              <w:pStyle w:val="83"/>
              <w:autoSpaceDE w:val="0"/>
              <w:autoSpaceDN w:val="0"/>
              <w:adjustRightInd w:val="0"/>
              <w:spacing w:line="300" w:lineRule="atLeast"/>
              <w:jc w:val="both"/>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highlight w:val="none"/>
              </w:rPr>
              <w:t>一、“电子加密投标文件”的上传、递交：</w:t>
            </w:r>
          </w:p>
          <w:p w14:paraId="36DF3517">
            <w:pPr>
              <w:pStyle w:val="83"/>
              <w:autoSpaceDE w:val="0"/>
              <w:autoSpaceDN w:val="0"/>
              <w:adjustRightInd w:val="0"/>
              <w:spacing w:line="300" w:lineRule="atLeast"/>
              <w:ind w:firstLine="440" w:firstLineChars="200"/>
              <w:jc w:val="both"/>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highlight w:val="none"/>
              </w:rPr>
              <w:t>a.投标供应商应在投标文件递交截止时间前将“电子加密投标文件”成功上传递交至“政采云平台”，否则投标无效。</w:t>
            </w:r>
          </w:p>
          <w:p w14:paraId="67595CC6">
            <w:pPr>
              <w:pStyle w:val="83"/>
              <w:autoSpaceDE w:val="0"/>
              <w:autoSpaceDN w:val="0"/>
              <w:adjustRightInd w:val="0"/>
              <w:spacing w:line="300" w:lineRule="atLeast"/>
              <w:ind w:firstLine="440" w:firstLineChars="200"/>
              <w:jc w:val="both"/>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highlight w:val="none"/>
              </w:rPr>
              <w:t>b.“电子加密投标文件”成功上传递交后，供应商可自行打印投标文件接收回执。</w:t>
            </w:r>
          </w:p>
          <w:p w14:paraId="47EDC068">
            <w:pPr>
              <w:pStyle w:val="83"/>
              <w:autoSpaceDE w:val="0"/>
              <w:autoSpaceDN w:val="0"/>
              <w:adjustRightInd w:val="0"/>
              <w:spacing w:line="300" w:lineRule="atLeast"/>
              <w:jc w:val="both"/>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highlight w:val="none"/>
              </w:rPr>
              <w:t>二、“备份投标文件”的密封包装、递交：</w:t>
            </w:r>
          </w:p>
          <w:p w14:paraId="0AE94924">
            <w:pPr>
              <w:pStyle w:val="83"/>
              <w:autoSpaceDE w:val="0"/>
              <w:autoSpaceDN w:val="0"/>
              <w:adjustRightInd w:val="0"/>
              <w:spacing w:line="300" w:lineRule="atLeast"/>
              <w:ind w:firstLine="440" w:firstLineChars="200"/>
              <w:jc w:val="both"/>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highlight w:val="none"/>
              </w:rPr>
              <w:t>a.投标供应商在“政采云平台”完成“电子加密投标文件”的上传递交后，还可以（建议顺丰快递形式）递交以介质（U盘）存储的 “备份投标文件”（一份）；以顺丰快递形式快递至采购代理机构地址（地址详见招标文件）；</w:t>
            </w:r>
            <w:r>
              <w:rPr>
                <w:rFonts w:hint="eastAsia" w:cs="宋体" w:asciiTheme="majorEastAsia" w:hAnsiTheme="majorEastAsia" w:eastAsiaTheme="majorEastAsia"/>
                <w:b/>
                <w:color w:val="auto"/>
                <w:sz w:val="22"/>
                <w:highlight w:val="none"/>
              </w:rPr>
              <w:t>解密CA必须是上传并制作电子投标文件CA锁</w:t>
            </w:r>
            <w:r>
              <w:rPr>
                <w:rFonts w:hint="eastAsia" w:cs="宋体" w:asciiTheme="majorEastAsia" w:hAnsiTheme="majorEastAsia" w:eastAsiaTheme="majorEastAsia"/>
                <w:color w:val="auto"/>
                <w:sz w:val="22"/>
                <w:highlight w:val="none"/>
              </w:rPr>
              <w:t>。</w:t>
            </w:r>
          </w:p>
          <w:p w14:paraId="2C8ACCE6">
            <w:pPr>
              <w:autoSpaceDE w:val="0"/>
              <w:autoSpaceDN w:val="0"/>
              <w:adjustRightInd w:val="0"/>
              <w:spacing w:line="300" w:lineRule="atLeast"/>
              <w:ind w:firstLine="440" w:firstLineChars="200"/>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b.“备份投标文件”应当密封包装，并在包装上标注投标项目名称、投标单位名称并加盖公章。没有密封包装或者逾期邮寄送达投标地点的“备份投标文件”将不予接收。</w:t>
            </w:r>
          </w:p>
          <w:p w14:paraId="2E9C49DB">
            <w:pPr>
              <w:autoSpaceDE w:val="0"/>
              <w:autoSpaceDN w:val="0"/>
              <w:adjustRightInd w:val="0"/>
              <w:spacing w:line="300" w:lineRule="atLeast"/>
              <w:ind w:firstLine="440" w:firstLineChars="200"/>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c.通过“政采云平台”成功上传递交的“电子加密投标文件”已按时解密的，“备份投标文件”自动失效。投标文件递交截止时间前，投标供应商仅递交了“备份投标文件”而未将“电子加密投标文件”成功上传至“政采云平台”的，投标无效。</w:t>
            </w:r>
          </w:p>
          <w:p w14:paraId="61743F80">
            <w:pPr>
              <w:autoSpaceDE w:val="0"/>
              <w:autoSpaceDN w:val="0"/>
              <w:adjustRightInd w:val="0"/>
              <w:spacing w:line="300" w:lineRule="atLeast"/>
              <w:ind w:firstLine="440" w:firstLineChars="200"/>
              <w:rPr>
                <w:color w:val="auto"/>
                <w:highlight w:val="none"/>
                <w:lang w:val="zh-CN"/>
              </w:rPr>
            </w:pPr>
            <w:r>
              <w:rPr>
                <w:rFonts w:hint="eastAsia" w:cs="宋体" w:asciiTheme="majorEastAsia" w:hAnsiTheme="majorEastAsia" w:eastAsiaTheme="majorEastAsia"/>
                <w:color w:val="auto"/>
                <w:sz w:val="22"/>
                <w:szCs w:val="22"/>
                <w:highlight w:val="none"/>
                <w:lang w:val="zh-CN"/>
              </w:rPr>
              <w:t>d.供应商应加强U盘的包装与保护，因包装不当而造成“备份投标文件”损坏或不能在开评标现场设备上正确读取的责任由供应商自负。</w:t>
            </w:r>
          </w:p>
        </w:tc>
      </w:tr>
      <w:tr w14:paraId="2C648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14:paraId="29795A00">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24</w:t>
            </w:r>
          </w:p>
        </w:tc>
        <w:tc>
          <w:tcPr>
            <w:tcW w:w="1715" w:type="dxa"/>
            <w:vAlign w:val="center"/>
          </w:tcPr>
          <w:p w14:paraId="5FE9C376">
            <w:pPr>
              <w:autoSpaceDE w:val="0"/>
              <w:autoSpaceDN w:val="0"/>
              <w:adjustRightInd w:val="0"/>
              <w:spacing w:line="300" w:lineRule="atLeast"/>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电子加密投标文件的解密和异常情况处理</w:t>
            </w:r>
          </w:p>
        </w:tc>
        <w:tc>
          <w:tcPr>
            <w:tcW w:w="7821" w:type="dxa"/>
            <w:vAlign w:val="center"/>
          </w:tcPr>
          <w:p w14:paraId="251AB478">
            <w:pPr>
              <w:autoSpaceDE w:val="0"/>
              <w:autoSpaceDN w:val="0"/>
              <w:adjustRightInd w:val="0"/>
              <w:spacing w:line="300" w:lineRule="atLeast"/>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（1）开标后，采购组织机构将向各投标供应商发出“电子加密投标文件”的解密通知，各投标供应商代表应当在接到解密通知后30分钟内自行完成“电子加密投标文件”的在线解密。</w:t>
            </w:r>
          </w:p>
          <w:p w14:paraId="4906F30C">
            <w:pPr>
              <w:autoSpaceDE w:val="0"/>
              <w:autoSpaceDN w:val="0"/>
              <w:adjustRightInd w:val="0"/>
              <w:spacing w:line="300" w:lineRule="atLeast"/>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03FAD329">
            <w:pPr>
              <w:autoSpaceDE w:val="0"/>
              <w:autoSpaceDN w:val="0"/>
              <w:adjustRightInd w:val="0"/>
              <w:spacing w:line="300" w:lineRule="atLeast"/>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（3）投标文件递交截止时间前，投标供应商仅递交了“备份投标文件”而未将电子加密投标文件上传至“政采云平台”的，投标无效。</w:t>
            </w:r>
          </w:p>
        </w:tc>
      </w:tr>
      <w:tr w14:paraId="7D8FD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694" w:type="dxa"/>
            <w:vAlign w:val="center"/>
          </w:tcPr>
          <w:p w14:paraId="6B603C60">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25</w:t>
            </w:r>
          </w:p>
        </w:tc>
        <w:tc>
          <w:tcPr>
            <w:tcW w:w="1715" w:type="dxa"/>
            <w:vAlign w:val="center"/>
          </w:tcPr>
          <w:p w14:paraId="0AF98B61">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评标委员会成员的组建</w:t>
            </w:r>
          </w:p>
        </w:tc>
        <w:tc>
          <w:tcPr>
            <w:tcW w:w="7821" w:type="dxa"/>
            <w:vAlign w:val="center"/>
          </w:tcPr>
          <w:p w14:paraId="1BCD8DAA">
            <w:pPr>
              <w:rPr>
                <w:rFonts w:cs="宋体" w:asciiTheme="majorEastAsia" w:hAnsiTheme="majorEastAsia" w:eastAsiaTheme="majorEastAsia"/>
                <w:color w:val="auto"/>
                <w:sz w:val="22"/>
                <w:szCs w:val="22"/>
                <w:highlight w:val="none"/>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14:paraId="721A7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694" w:type="dxa"/>
            <w:vAlign w:val="center"/>
          </w:tcPr>
          <w:p w14:paraId="5FDC4531">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26</w:t>
            </w:r>
          </w:p>
        </w:tc>
        <w:tc>
          <w:tcPr>
            <w:tcW w:w="1715" w:type="dxa"/>
            <w:vAlign w:val="center"/>
          </w:tcPr>
          <w:p w14:paraId="1E5D92E9">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政府采购</w:t>
            </w:r>
          </w:p>
          <w:p w14:paraId="76A68EFC">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扶持政策</w:t>
            </w:r>
          </w:p>
        </w:tc>
        <w:tc>
          <w:tcPr>
            <w:tcW w:w="7821" w:type="dxa"/>
            <w:vAlign w:val="center"/>
          </w:tcPr>
          <w:p w14:paraId="4EF051AE">
            <w:pPr>
              <w:spacing w:line="360" w:lineRule="exact"/>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1.本项目对符合财政扶持政策的中小企业（小型、微型）、监狱企业、残疾人福利性单位给予价格优惠扶持，价格优惠扶持见《评分办法》。</w:t>
            </w:r>
          </w:p>
          <w:p w14:paraId="741FB29C">
            <w:pPr>
              <w:spacing w:line="360" w:lineRule="exact"/>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2.满足财政部 工业和信息化部关于印发《政府采购促进中小企业发展管理办法》的通知（财库〔2020〕46号）的规定的中小企业可享受优惠扶持。</w:t>
            </w:r>
          </w:p>
          <w:p w14:paraId="48123F90">
            <w:pPr>
              <w:spacing w:line="360" w:lineRule="exact"/>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3.满足关于政府采购支持监狱企业发展有关问题的通知（财库〔2014〕68号）的规定的供应商可享受优惠扶持。</w:t>
            </w:r>
          </w:p>
          <w:p w14:paraId="30C38B0E">
            <w:pPr>
              <w:spacing w:line="360" w:lineRule="exact"/>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4.满足关于促进残疾人就业政府采购政策的通知（财库〔2017〕141号）的规定的供应商可享受优惠扶持。</w:t>
            </w:r>
          </w:p>
          <w:p w14:paraId="72611885">
            <w:pPr>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5.</w:t>
            </w:r>
            <w:r>
              <w:rPr>
                <w:rFonts w:hint="eastAsia"/>
                <w:color w:val="auto"/>
                <w:highlight w:val="none"/>
              </w:rPr>
              <w:t xml:space="preserve"> </w:t>
            </w:r>
            <w:r>
              <w:rPr>
                <w:rFonts w:hint="eastAsia" w:cs="宋体" w:asciiTheme="majorEastAsia" w:hAnsiTheme="majorEastAsia" w:eastAsiaTheme="majorEastAsia"/>
                <w:bCs/>
                <w:color w:val="auto"/>
                <w:sz w:val="22"/>
                <w:szCs w:val="22"/>
                <w:highlight w:val="none"/>
              </w:rPr>
              <w:t>为支持和促进中小企业发展，进一步发挥政府采购政策功能，“政采云”平台目前提供政采贷、履约保函、预付款保函等金融服务，供应商若有融资意向，可登录https://jinrong.zcygov.cn/finance-service/#/help查看详情。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p w14:paraId="1500F606">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bCs/>
                <w:color w:val="auto"/>
                <w:sz w:val="22"/>
                <w:szCs w:val="22"/>
                <w:highlight w:val="none"/>
              </w:rPr>
              <w:t>6.对节能、环保产品优先采购。</w:t>
            </w:r>
          </w:p>
        </w:tc>
      </w:tr>
      <w:tr w14:paraId="5291C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694" w:type="dxa"/>
            <w:vAlign w:val="center"/>
          </w:tcPr>
          <w:p w14:paraId="036E434E">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27</w:t>
            </w:r>
          </w:p>
        </w:tc>
        <w:tc>
          <w:tcPr>
            <w:tcW w:w="1715" w:type="dxa"/>
            <w:vAlign w:val="center"/>
          </w:tcPr>
          <w:p w14:paraId="5EAA407A">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投标人信用</w:t>
            </w:r>
          </w:p>
          <w:p w14:paraId="61558D94">
            <w:pPr>
              <w:jc w:val="center"/>
              <w:rPr>
                <w:rFonts w:cs="宋体" w:asciiTheme="majorEastAsia" w:hAnsiTheme="majorEastAsia" w:eastAsiaTheme="majorEastAsia"/>
                <w:color w:val="auto"/>
                <w:sz w:val="22"/>
                <w:szCs w:val="22"/>
                <w:highlight w:val="none"/>
              </w:rPr>
            </w:pPr>
            <w:r>
              <w:rPr>
                <w:rFonts w:hint="eastAsia" w:ascii="新宋体" w:hAnsi="新宋体" w:eastAsia="新宋体" w:cs="新宋体"/>
                <w:color w:val="auto"/>
                <w:sz w:val="22"/>
                <w:szCs w:val="22"/>
                <w:highlight w:val="none"/>
              </w:rPr>
              <w:t>查询</w:t>
            </w:r>
          </w:p>
        </w:tc>
        <w:tc>
          <w:tcPr>
            <w:tcW w:w="7821" w:type="dxa"/>
            <w:vAlign w:val="center"/>
          </w:tcPr>
          <w:p w14:paraId="758D950B">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（1）供应商信用信息查询的查询渠道：“信用中国”（)；“中国政府采购网”（http://www.ccgp.gov.cn/）；</w:t>
            </w:r>
          </w:p>
          <w:p w14:paraId="1679EC0B">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（2）供应商信用信息查询截止时点：本项目投标文件递交截止时间。</w:t>
            </w:r>
          </w:p>
          <w:p w14:paraId="1681ADE5">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（3）供应商信用信息查询记录和证据留存的具体方式：网页截图打印；</w:t>
            </w:r>
          </w:p>
          <w:p w14:paraId="159A995D">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（4）信用信息的使用规则：</w:t>
            </w:r>
          </w:p>
          <w:p w14:paraId="0F36D888">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①在“信用中国”具有负面记录：列入失信被执行人、重大税收违法案件当事人名单、政府采购严重违法失信行为名单；</w:t>
            </w:r>
          </w:p>
          <w:p w14:paraId="10E1A8DF">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②被“中国政府采购网”（www.ccgp.gov.cn）列入政府采购严重违法失信行为记录名单。</w:t>
            </w:r>
          </w:p>
          <w:p w14:paraId="20F7EAC1">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（5）具有以上（4）所述信息记录的供应商，其投标作无效投标处理。</w:t>
            </w:r>
          </w:p>
          <w:p w14:paraId="0AF49ED8">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（6）具体结果以开标当日采购人或采购代理机构对投标人信用查询网页的查询结果为准。</w:t>
            </w:r>
          </w:p>
          <w:p w14:paraId="527775FE">
            <w:pPr>
              <w:spacing w:line="360" w:lineRule="exact"/>
              <w:rPr>
                <w:rFonts w:cs="宋体" w:asciiTheme="majorEastAsia" w:hAnsiTheme="majorEastAsia" w:eastAsiaTheme="majorEastAsia"/>
                <w:color w:val="auto"/>
                <w:sz w:val="22"/>
                <w:szCs w:val="22"/>
                <w:highlight w:val="none"/>
              </w:rPr>
            </w:pPr>
            <w:r>
              <w:rPr>
                <w:rFonts w:hint="eastAsia" w:ascii="新宋体" w:hAnsi="新宋体" w:eastAsia="新宋体" w:cs="新宋体"/>
                <w:bCs/>
                <w:color w:val="auto"/>
                <w:sz w:val="22"/>
                <w:szCs w:val="22"/>
                <w:highlight w:val="none"/>
              </w:rPr>
              <w:t>（7）联合体成员存在上述不良信用记录的，视同联合体存在不良信用记录。</w:t>
            </w:r>
          </w:p>
        </w:tc>
      </w:tr>
      <w:tr w14:paraId="4BCDA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vAlign w:val="center"/>
          </w:tcPr>
          <w:p w14:paraId="41F9305C">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28</w:t>
            </w:r>
          </w:p>
        </w:tc>
        <w:tc>
          <w:tcPr>
            <w:tcW w:w="1715" w:type="dxa"/>
            <w:vAlign w:val="center"/>
          </w:tcPr>
          <w:p w14:paraId="14230BB5">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合同备案</w:t>
            </w:r>
          </w:p>
        </w:tc>
        <w:tc>
          <w:tcPr>
            <w:tcW w:w="7821" w:type="dxa"/>
            <w:vAlign w:val="center"/>
          </w:tcPr>
          <w:p w14:paraId="4AF73DF6">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1、中标供应商须在发出中标通知书之日起30日历天内与采购人签订合同。</w:t>
            </w:r>
          </w:p>
          <w:p w14:paraId="2F3A442D">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2、本项目政府采购合同按规定在浙江政府采购网（http://www.zjzfcg.gov.cn）予以公告。</w:t>
            </w:r>
          </w:p>
        </w:tc>
      </w:tr>
      <w:tr w14:paraId="1D856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vAlign w:val="center"/>
          </w:tcPr>
          <w:p w14:paraId="36571C62">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29</w:t>
            </w:r>
          </w:p>
        </w:tc>
        <w:tc>
          <w:tcPr>
            <w:tcW w:w="1715" w:type="dxa"/>
            <w:vAlign w:val="center"/>
          </w:tcPr>
          <w:p w14:paraId="29D45773">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合同履约管理</w:t>
            </w:r>
          </w:p>
        </w:tc>
        <w:tc>
          <w:tcPr>
            <w:tcW w:w="7821" w:type="dxa"/>
            <w:vAlign w:val="center"/>
          </w:tcPr>
          <w:p w14:paraId="391CA0B8">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合同签订后，采购人依法加强对合同履约进行管理，并在成交供应商服务、项目验收等重要环节，如实填写《合同验收报告》，并及时向同级财政部门报告验收过程中遇到的问题。</w:t>
            </w:r>
          </w:p>
        </w:tc>
      </w:tr>
      <w:tr w14:paraId="5053B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94" w:type="dxa"/>
            <w:vAlign w:val="center"/>
          </w:tcPr>
          <w:p w14:paraId="491E49C4">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30</w:t>
            </w:r>
          </w:p>
        </w:tc>
        <w:tc>
          <w:tcPr>
            <w:tcW w:w="1715" w:type="dxa"/>
            <w:vAlign w:val="center"/>
          </w:tcPr>
          <w:p w14:paraId="1E20CE53">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免责声明</w:t>
            </w:r>
          </w:p>
        </w:tc>
        <w:tc>
          <w:tcPr>
            <w:tcW w:w="7821" w:type="dxa"/>
            <w:vAlign w:val="center"/>
          </w:tcPr>
          <w:p w14:paraId="46045D71">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1、供应商自行承担投标过程中产生的费用。无论何种因素导致采购项目延期开标、废标（流标）、供应商未成交、项目终止采购的，采购人与代理机构均不承担供应商投标费用。</w:t>
            </w:r>
          </w:p>
          <w:p w14:paraId="20862879">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2、供应商在投标、合同履行过程中必须做好安全保障工作，不因项目实施而危及自身及第三方人员、财产安全。若发生任何安全事故，由成交供应商自行承担一切责任并赔偿损失。</w:t>
            </w:r>
          </w:p>
        </w:tc>
      </w:tr>
      <w:tr w14:paraId="20E16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6" w:hRule="atLeast"/>
          <w:jc w:val="center"/>
        </w:trPr>
        <w:tc>
          <w:tcPr>
            <w:tcW w:w="694" w:type="dxa"/>
            <w:vAlign w:val="center"/>
          </w:tcPr>
          <w:p w14:paraId="5BA65DB3">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31</w:t>
            </w:r>
          </w:p>
        </w:tc>
        <w:tc>
          <w:tcPr>
            <w:tcW w:w="1715" w:type="dxa"/>
            <w:vAlign w:val="center"/>
          </w:tcPr>
          <w:p w14:paraId="36C8388E">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解释权</w:t>
            </w:r>
          </w:p>
        </w:tc>
        <w:tc>
          <w:tcPr>
            <w:tcW w:w="7821" w:type="dxa"/>
            <w:vAlign w:val="center"/>
          </w:tcPr>
          <w:p w14:paraId="0F53A0C8">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B624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94" w:type="dxa"/>
            <w:vAlign w:val="center"/>
          </w:tcPr>
          <w:p w14:paraId="0F20C053">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32</w:t>
            </w:r>
          </w:p>
        </w:tc>
        <w:tc>
          <w:tcPr>
            <w:tcW w:w="1715" w:type="dxa"/>
            <w:vAlign w:val="center"/>
          </w:tcPr>
          <w:p w14:paraId="7712378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项目类型</w:t>
            </w:r>
          </w:p>
        </w:tc>
        <w:tc>
          <w:tcPr>
            <w:tcW w:w="7821" w:type="dxa"/>
            <w:vAlign w:val="center"/>
          </w:tcPr>
          <w:p w14:paraId="224DB157">
            <w:pPr>
              <w:adjustRightInd w:val="0"/>
              <w:rPr>
                <w:rFonts w:ascii="宋体"/>
                <w:color w:val="auto"/>
                <w:sz w:val="22"/>
                <w:szCs w:val="22"/>
                <w:highlight w:val="none"/>
              </w:rPr>
            </w:pPr>
            <w:r>
              <w:rPr>
                <w:rFonts w:hint="eastAsia" w:cs="宋体" w:asciiTheme="majorEastAsia" w:hAnsiTheme="majorEastAsia" w:eastAsiaTheme="majorEastAsia"/>
                <w:b/>
                <w:color w:val="auto"/>
                <w:sz w:val="22"/>
                <w:szCs w:val="22"/>
                <w:highlight w:val="none"/>
              </w:rPr>
              <w:fldChar w:fldCharType="begin"/>
            </w:r>
            <w:r>
              <w:rPr>
                <w:rFonts w:hint="eastAsia" w:cs="宋体" w:asciiTheme="majorEastAsia" w:hAnsiTheme="majorEastAsia" w:eastAsiaTheme="majorEastAsia"/>
                <w:b/>
                <w:color w:val="auto"/>
                <w:sz w:val="22"/>
                <w:szCs w:val="22"/>
                <w:highlight w:val="none"/>
              </w:rPr>
              <w:instrText xml:space="preserve">eq \o\ac(□,</w:instrText>
            </w:r>
            <w:r>
              <w:rPr>
                <w:rFonts w:hint="eastAsia" w:cs="宋体" w:asciiTheme="majorEastAsia" w:hAnsiTheme="majorEastAsia" w:eastAsiaTheme="majorEastAsia"/>
                <w:b/>
                <w:color w:val="auto"/>
                <w:position w:val="2"/>
                <w:sz w:val="15"/>
                <w:szCs w:val="22"/>
                <w:highlight w:val="none"/>
              </w:rPr>
              <w:instrText xml:space="preserve">√</w:instrText>
            </w:r>
            <w:r>
              <w:rPr>
                <w:rFonts w:hint="eastAsia" w:cs="宋体" w:asciiTheme="majorEastAsia" w:hAnsiTheme="majorEastAsia" w:eastAsiaTheme="majorEastAsia"/>
                <w:b/>
                <w:color w:val="auto"/>
                <w:sz w:val="22"/>
                <w:szCs w:val="22"/>
                <w:highlight w:val="none"/>
              </w:rPr>
              <w:instrText xml:space="preserve">)</w:instrText>
            </w:r>
            <w:r>
              <w:rPr>
                <w:rFonts w:hint="eastAsia" w:cs="宋体" w:asciiTheme="majorEastAsia" w:hAnsiTheme="majorEastAsia" w:eastAsiaTheme="majorEastAsia"/>
                <w:b/>
                <w:color w:val="auto"/>
                <w:sz w:val="22"/>
                <w:szCs w:val="22"/>
                <w:highlight w:val="none"/>
              </w:rPr>
              <w:fldChar w:fldCharType="end"/>
            </w:r>
            <w:r>
              <w:rPr>
                <w:rFonts w:hint="eastAsia" w:ascii="宋体"/>
                <w:color w:val="auto"/>
                <w:sz w:val="22"/>
                <w:szCs w:val="22"/>
                <w:highlight w:val="none"/>
              </w:rPr>
              <w:t>A</w:t>
            </w:r>
            <w:r>
              <w:rPr>
                <w:rFonts w:hint="eastAsia" w:ascii="宋体"/>
                <w:b/>
                <w:color w:val="auto"/>
                <w:sz w:val="22"/>
                <w:szCs w:val="22"/>
                <w:highlight w:val="none"/>
              </w:rPr>
              <w:t>货物类</w:t>
            </w:r>
            <w:r>
              <w:rPr>
                <w:rFonts w:hint="eastAsia" w:ascii="宋体"/>
                <w:color w:val="auto"/>
                <w:sz w:val="22"/>
                <w:szCs w:val="22"/>
                <w:highlight w:val="none"/>
              </w:rPr>
              <w:t>，单一产品或核心产品为：高清内窥镜</w:t>
            </w:r>
            <w:r>
              <w:rPr>
                <w:rFonts w:hint="eastAsia" w:ascii="宋体"/>
                <w:color w:val="auto"/>
                <w:sz w:val="22"/>
                <w:highlight w:val="none"/>
              </w:rPr>
              <w:t>。</w:t>
            </w:r>
          </w:p>
          <w:p w14:paraId="5FF78507">
            <w:pPr>
              <w:rPr>
                <w:rFonts w:ascii="宋体"/>
                <w:b/>
                <w:color w:val="auto"/>
                <w:sz w:val="22"/>
                <w:szCs w:val="22"/>
                <w:highlight w:val="none"/>
              </w:rPr>
            </w:pPr>
            <w:r>
              <w:rPr>
                <w:rFonts w:ascii="宋体"/>
                <w:b/>
                <w:color w:val="auto"/>
                <w:sz w:val="22"/>
                <w:szCs w:val="22"/>
                <w:highlight w:val="none"/>
              </w:rPr>
              <w:sym w:font="Wingdings 2" w:char="00A3"/>
            </w:r>
            <w:r>
              <w:rPr>
                <w:rFonts w:hint="eastAsia" w:ascii="宋体"/>
                <w:b/>
                <w:color w:val="auto"/>
                <w:sz w:val="22"/>
                <w:szCs w:val="22"/>
                <w:highlight w:val="none"/>
              </w:rPr>
              <w:t>B服务类。</w:t>
            </w:r>
          </w:p>
          <w:p w14:paraId="739844E2">
            <w:pPr>
              <w:rPr>
                <w:rFonts w:ascii="宋体"/>
                <w:color w:val="auto"/>
                <w:sz w:val="22"/>
                <w:szCs w:val="22"/>
                <w:highlight w:val="none"/>
              </w:rPr>
            </w:pPr>
            <w:r>
              <w:rPr>
                <w:rFonts w:hint="eastAsia" w:ascii="宋体"/>
                <w:color w:val="auto"/>
                <w:sz w:val="22"/>
                <w:szCs w:val="22"/>
                <w:highlight w:val="none"/>
              </w:rPr>
              <w:t>采购标的对应的中小企业划分标准所属行业：工业行业</w:t>
            </w:r>
          </w:p>
        </w:tc>
      </w:tr>
    </w:tbl>
    <w:p w14:paraId="4C3A783A">
      <w:pPr>
        <w:rPr>
          <w:rFonts w:asciiTheme="majorEastAsia" w:hAnsiTheme="majorEastAsia" w:eastAsiaTheme="majorEastAsia"/>
          <w:color w:val="auto"/>
          <w:highlight w:val="none"/>
        </w:rPr>
      </w:pPr>
    </w:p>
    <w:p w14:paraId="580D887D">
      <w:pPr>
        <w:pStyle w:val="2"/>
        <w:ind w:firstLine="210"/>
        <w:rPr>
          <w:rFonts w:asciiTheme="majorEastAsia" w:hAnsiTheme="majorEastAsia" w:eastAsiaTheme="majorEastAsia"/>
          <w:color w:val="auto"/>
          <w:highlight w:val="none"/>
        </w:rPr>
      </w:pPr>
    </w:p>
    <w:p w14:paraId="3A6119B2">
      <w:pPr>
        <w:pStyle w:val="2"/>
        <w:ind w:firstLine="210"/>
        <w:rPr>
          <w:rFonts w:asciiTheme="majorEastAsia" w:hAnsiTheme="majorEastAsia" w:eastAsiaTheme="majorEastAsia"/>
          <w:color w:val="auto"/>
          <w:highlight w:val="none"/>
        </w:rPr>
      </w:pPr>
    </w:p>
    <w:p w14:paraId="005E228A">
      <w:pPr>
        <w:pStyle w:val="2"/>
        <w:ind w:firstLine="210"/>
        <w:rPr>
          <w:rFonts w:asciiTheme="majorEastAsia" w:hAnsiTheme="majorEastAsia" w:eastAsiaTheme="majorEastAsia"/>
          <w:color w:val="auto"/>
          <w:highlight w:val="none"/>
        </w:rPr>
      </w:pPr>
    </w:p>
    <w:p w14:paraId="6B705BB3">
      <w:pPr>
        <w:pStyle w:val="40"/>
        <w:rPr>
          <w:rFonts w:cs="新宋体" w:asciiTheme="majorEastAsia" w:hAnsiTheme="majorEastAsia" w:eastAsiaTheme="majorEastAsia"/>
          <w:color w:val="auto"/>
          <w:sz w:val="30"/>
          <w:szCs w:val="30"/>
          <w:highlight w:val="none"/>
        </w:rPr>
      </w:pPr>
      <w:bookmarkStart w:id="7" w:name="_Toc498343165"/>
      <w:bookmarkStart w:id="8" w:name="_Toc461563840"/>
      <w:r>
        <w:rPr>
          <w:rFonts w:hint="eastAsia" w:cs="新宋体" w:asciiTheme="majorEastAsia" w:hAnsiTheme="majorEastAsia" w:eastAsiaTheme="majorEastAsia"/>
          <w:color w:val="auto"/>
          <w:sz w:val="30"/>
          <w:szCs w:val="30"/>
          <w:highlight w:val="none"/>
        </w:rPr>
        <w:br w:type="page"/>
      </w:r>
      <w:bookmarkStart w:id="9" w:name="_Toc13266"/>
      <w:r>
        <w:rPr>
          <w:rFonts w:hint="eastAsia" w:cs="新宋体" w:asciiTheme="majorEastAsia" w:hAnsiTheme="majorEastAsia" w:eastAsiaTheme="majorEastAsia"/>
          <w:color w:val="auto"/>
          <w:sz w:val="30"/>
          <w:szCs w:val="30"/>
          <w:highlight w:val="none"/>
        </w:rPr>
        <w:t xml:space="preserve">第二部分 </w:t>
      </w:r>
      <w:bookmarkEnd w:id="7"/>
      <w:bookmarkEnd w:id="8"/>
      <w:r>
        <w:rPr>
          <w:rFonts w:hint="eastAsia" w:cs="新宋体" w:asciiTheme="majorEastAsia" w:hAnsiTheme="majorEastAsia" w:eastAsiaTheme="majorEastAsia"/>
          <w:color w:val="auto"/>
          <w:sz w:val="30"/>
          <w:szCs w:val="30"/>
          <w:highlight w:val="none"/>
        </w:rPr>
        <w:t>招标内容及要求</w:t>
      </w:r>
      <w:bookmarkEnd w:id="9"/>
    </w:p>
    <w:p w14:paraId="35572E1D">
      <w:pPr>
        <w:pStyle w:val="40"/>
        <w:rPr>
          <w:rFonts w:ascii="宋体" w:hAnsi="宋体"/>
          <w:color w:val="auto"/>
          <w:highlight w:val="none"/>
        </w:rPr>
      </w:pPr>
      <w:bookmarkStart w:id="10" w:name="_Toc22906"/>
      <w:bookmarkStart w:id="11" w:name="_Toc66643429"/>
      <w:bookmarkStart w:id="12" w:name="_Toc501892974"/>
      <w:bookmarkStart w:id="13" w:name="_Toc405377115"/>
      <w:bookmarkStart w:id="14" w:name="_Toc484540405"/>
      <w:bookmarkStart w:id="15" w:name="_Toc498343168"/>
      <w:bookmarkStart w:id="16" w:name="_Toc461563851"/>
      <w:r>
        <w:rPr>
          <w:rFonts w:hint="eastAsia" w:ascii="宋体" w:hAnsi="宋体"/>
          <w:color w:val="auto"/>
          <w:highlight w:val="none"/>
        </w:rPr>
        <w:t>一、采购总说明</w:t>
      </w:r>
      <w:bookmarkEnd w:id="10"/>
    </w:p>
    <w:p w14:paraId="646691FC">
      <w:pPr>
        <w:spacing w:line="460" w:lineRule="atLeast"/>
        <w:ind w:firstLine="440" w:firstLineChars="200"/>
        <w:rPr>
          <w:rFonts w:ascii="宋体" w:hAnsi="宋体" w:cs="宋体"/>
          <w:b/>
          <w:bCs/>
          <w:color w:val="auto"/>
          <w:sz w:val="22"/>
          <w:szCs w:val="22"/>
          <w:highlight w:val="none"/>
        </w:rPr>
      </w:pPr>
      <w:bookmarkStart w:id="17" w:name="_Toc25187"/>
      <w:r>
        <w:rPr>
          <w:rFonts w:hint="eastAsia" w:ascii="宋体" w:hAnsi="宋体" w:cs="宋体"/>
          <w:color w:val="auto"/>
          <w:sz w:val="22"/>
          <w:szCs w:val="22"/>
          <w:highlight w:val="none"/>
        </w:rPr>
        <w:t>1、本技术规范要求提出的是最低限度的基本技术要求，并未对所有技术细节作出规定，供应商应提供符合本技术要求和国家标准、行业标准的优质产品。</w:t>
      </w:r>
    </w:p>
    <w:p w14:paraId="053DDF1B">
      <w:pPr>
        <w:spacing w:line="460" w:lineRule="atLeas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383432DC">
      <w:pPr>
        <w:spacing w:line="460" w:lineRule="atLeas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3、技术要求及标准的执行</w:t>
      </w:r>
    </w:p>
    <w:p w14:paraId="765C9DD2">
      <w:pPr>
        <w:spacing w:line="460" w:lineRule="atLeas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2C6261DB">
      <w:pPr>
        <w:spacing w:line="460" w:lineRule="atLeas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48619698">
      <w:pPr>
        <w:spacing w:line="460" w:lineRule="atLeas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4、供应商须完成下列项目：设备设计、制造、试验、供货、运输、安装、调试和试运行、技术服务及培训、备品备件、验收、售后服务、维修等各方面对供应商进行全方位的综合考核。相关文件的提交、与技术规格一致的设备图表及资料、质保期内的维修。无论其是否被明细列在合同文件中。投标报价必须包括运杂费、保险费、增值税、检验检疫费用（如有）、材料损耗费、采购保管费、安装费、调试费、检验费、培训费、维修保养费、质保期内售后服务费、利润、税金、风险和用户移交使用前产生的相关费用等直至设备试运行并经当地质量技术监督部门验收合格后交付建设单位的全部费用。中标供应商应列入而未列入其中的费用，均视为已包含在内，风险由中标供应商承担。除发生下列因素可调整合同承包价外，不得以任何其他理由调整任何费用：采购人除协助提供设备存放场地以外，设备制造、运输、装卸、调试验收及保修等均由中标供应商负责，全部包括在投标报价内。</w:t>
      </w:r>
    </w:p>
    <w:p w14:paraId="173A19A8">
      <w:pPr>
        <w:spacing w:line="460" w:lineRule="atLeast"/>
        <w:ind w:firstLine="442" w:firstLineChars="200"/>
        <w:rPr>
          <w:rFonts w:ascii="宋体"/>
          <w:b/>
          <w:bCs/>
          <w:color w:val="auto"/>
          <w:sz w:val="22"/>
          <w:szCs w:val="22"/>
          <w:highlight w:val="none"/>
        </w:rPr>
      </w:pPr>
    </w:p>
    <w:p w14:paraId="07BF7995">
      <w:pPr>
        <w:pStyle w:val="40"/>
        <w:numPr>
          <w:ilvl w:val="0"/>
          <w:numId w:val="1"/>
        </w:numPr>
        <w:rPr>
          <w:rFonts w:ascii="宋体" w:hAnsi="宋体"/>
          <w:color w:val="auto"/>
          <w:highlight w:val="none"/>
        </w:rPr>
      </w:pPr>
      <w:r>
        <w:rPr>
          <w:rFonts w:hint="eastAsia" w:ascii="宋体" w:hAnsi="宋体"/>
          <w:color w:val="auto"/>
          <w:highlight w:val="none"/>
        </w:rPr>
        <w:t>采购内容及技术要求</w:t>
      </w:r>
      <w:bookmarkEnd w:id="17"/>
    </w:p>
    <w:p w14:paraId="0F37FA53">
      <w:pPr>
        <w:spacing w:line="460" w:lineRule="atLeast"/>
        <w:ind w:firstLine="442" w:firstLineChars="200"/>
        <w:rPr>
          <w:rFonts w:ascii="宋体" w:hAnsi="宋体" w:cs="宋体"/>
          <w:b/>
          <w:bCs/>
          <w:color w:val="auto"/>
          <w:sz w:val="22"/>
          <w:szCs w:val="22"/>
          <w:highlight w:val="none"/>
        </w:rPr>
      </w:pPr>
      <w:r>
        <w:rPr>
          <w:rFonts w:hint="eastAsia" w:ascii="宋体" w:hAnsi="宋体" w:cs="宋体"/>
          <w:b/>
          <w:color w:val="auto"/>
          <w:sz w:val="22"/>
          <w:szCs w:val="22"/>
          <w:highlight w:val="none"/>
        </w:rPr>
        <w:t>1、采购内容一览表</w:t>
      </w:r>
    </w:p>
    <w:tbl>
      <w:tblPr>
        <w:tblStyle w:val="43"/>
        <w:tblW w:w="4998" w:type="pct"/>
        <w:jc w:val="center"/>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autofit"/>
        <w:tblCellMar>
          <w:top w:w="0" w:type="dxa"/>
          <w:left w:w="108" w:type="dxa"/>
          <w:bottom w:w="0" w:type="dxa"/>
          <w:right w:w="108" w:type="dxa"/>
        </w:tblCellMar>
      </w:tblPr>
      <w:tblGrid>
        <w:gridCol w:w="960"/>
        <w:gridCol w:w="4570"/>
        <w:gridCol w:w="1598"/>
        <w:gridCol w:w="1177"/>
        <w:gridCol w:w="1545"/>
      </w:tblGrid>
      <w:tr w14:paraId="609B31A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87" w:type="pct"/>
            <w:tcBorders>
              <w:tl2br w:val="nil"/>
              <w:tr2bl w:val="nil"/>
            </w:tcBorders>
            <w:vAlign w:val="center"/>
          </w:tcPr>
          <w:p w14:paraId="65601D8C">
            <w:pPr>
              <w:jc w:val="center"/>
              <w:rPr>
                <w:rFonts w:ascii="宋体" w:hAnsi="宋体" w:cs="宋体"/>
                <w:b/>
                <w:bCs/>
                <w:caps/>
                <w:color w:val="auto"/>
                <w:sz w:val="22"/>
                <w:szCs w:val="22"/>
                <w:highlight w:val="none"/>
              </w:rPr>
            </w:pPr>
            <w:r>
              <w:rPr>
                <w:rFonts w:hint="eastAsia" w:ascii="宋体" w:hAnsi="宋体" w:cs="宋体"/>
                <w:caps/>
                <w:color w:val="auto"/>
                <w:sz w:val="22"/>
                <w:szCs w:val="22"/>
                <w:highlight w:val="none"/>
              </w:rPr>
              <w:t>序号</w:t>
            </w:r>
          </w:p>
        </w:tc>
        <w:tc>
          <w:tcPr>
            <w:tcW w:w="2319" w:type="pct"/>
            <w:tcBorders>
              <w:tl2br w:val="nil"/>
              <w:tr2bl w:val="nil"/>
            </w:tcBorders>
            <w:vAlign w:val="center"/>
          </w:tcPr>
          <w:p w14:paraId="6AE7F3CF">
            <w:pPr>
              <w:jc w:val="center"/>
              <w:rPr>
                <w:rFonts w:ascii="宋体" w:hAnsi="宋体" w:cs="宋体"/>
                <w:b/>
                <w:bCs/>
                <w:caps/>
                <w:color w:val="auto"/>
                <w:sz w:val="22"/>
                <w:szCs w:val="22"/>
                <w:highlight w:val="none"/>
              </w:rPr>
            </w:pPr>
            <w:r>
              <w:rPr>
                <w:rFonts w:hint="eastAsia" w:ascii="宋体" w:hAnsi="宋体" w:cs="宋体"/>
                <w:caps/>
                <w:color w:val="auto"/>
                <w:sz w:val="22"/>
                <w:szCs w:val="22"/>
                <w:highlight w:val="none"/>
              </w:rPr>
              <w:t>货物名称</w:t>
            </w:r>
          </w:p>
        </w:tc>
        <w:tc>
          <w:tcPr>
            <w:tcW w:w="811" w:type="pct"/>
            <w:tcBorders>
              <w:tl2br w:val="nil"/>
              <w:tr2bl w:val="nil"/>
            </w:tcBorders>
            <w:vAlign w:val="center"/>
          </w:tcPr>
          <w:p w14:paraId="1AD702CC">
            <w:pPr>
              <w:jc w:val="center"/>
              <w:rPr>
                <w:rFonts w:ascii="宋体" w:hAnsi="宋体" w:cs="宋体"/>
                <w:b/>
                <w:bCs/>
                <w:caps/>
                <w:color w:val="auto"/>
                <w:sz w:val="22"/>
                <w:szCs w:val="22"/>
                <w:highlight w:val="none"/>
              </w:rPr>
            </w:pPr>
            <w:r>
              <w:rPr>
                <w:rFonts w:hint="eastAsia" w:ascii="宋体" w:hAnsi="宋体" w:cs="宋体"/>
                <w:caps/>
                <w:color w:val="auto"/>
                <w:sz w:val="22"/>
                <w:szCs w:val="22"/>
                <w:highlight w:val="none"/>
              </w:rPr>
              <w:t>数量</w:t>
            </w:r>
          </w:p>
        </w:tc>
        <w:tc>
          <w:tcPr>
            <w:tcW w:w="597" w:type="pct"/>
            <w:tcBorders>
              <w:tl2br w:val="nil"/>
              <w:tr2bl w:val="nil"/>
            </w:tcBorders>
            <w:vAlign w:val="center"/>
          </w:tcPr>
          <w:p w14:paraId="702C8A2D">
            <w:pPr>
              <w:jc w:val="center"/>
              <w:rPr>
                <w:rFonts w:ascii="宋体" w:hAnsi="宋体" w:cs="宋体"/>
                <w:b/>
                <w:bCs/>
                <w:caps/>
                <w:color w:val="auto"/>
                <w:sz w:val="22"/>
                <w:szCs w:val="22"/>
                <w:highlight w:val="none"/>
              </w:rPr>
            </w:pPr>
            <w:r>
              <w:rPr>
                <w:rFonts w:hint="eastAsia" w:ascii="宋体" w:hAnsi="宋体" w:cs="宋体"/>
                <w:color w:val="auto"/>
                <w:sz w:val="22"/>
                <w:szCs w:val="22"/>
                <w:highlight w:val="none"/>
              </w:rPr>
              <w:t>交货期</w:t>
            </w:r>
          </w:p>
        </w:tc>
        <w:tc>
          <w:tcPr>
            <w:tcW w:w="784" w:type="pct"/>
            <w:tcBorders>
              <w:tl2br w:val="nil"/>
              <w:tr2bl w:val="nil"/>
            </w:tcBorders>
            <w:vAlign w:val="center"/>
          </w:tcPr>
          <w:p w14:paraId="41FE5545">
            <w:pPr>
              <w:jc w:val="center"/>
              <w:rPr>
                <w:rFonts w:ascii="宋体" w:hAnsi="宋体" w:cs="宋体"/>
                <w:b/>
                <w:bCs/>
                <w:caps/>
                <w:color w:val="auto"/>
                <w:sz w:val="22"/>
                <w:szCs w:val="22"/>
                <w:highlight w:val="none"/>
              </w:rPr>
            </w:pPr>
            <w:r>
              <w:rPr>
                <w:rFonts w:hint="eastAsia" w:ascii="宋体" w:hAnsi="宋体" w:cs="宋体"/>
                <w:caps/>
                <w:color w:val="auto"/>
                <w:sz w:val="22"/>
                <w:szCs w:val="22"/>
                <w:highlight w:val="none"/>
              </w:rPr>
              <w:t>目的地</w:t>
            </w:r>
          </w:p>
        </w:tc>
      </w:tr>
      <w:tr w14:paraId="2EC523D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487" w:type="pct"/>
            <w:tcBorders>
              <w:tl2br w:val="nil"/>
              <w:tr2bl w:val="nil"/>
            </w:tcBorders>
            <w:vAlign w:val="center"/>
          </w:tcPr>
          <w:p w14:paraId="0349504B">
            <w:pPr>
              <w:jc w:val="center"/>
              <w:rPr>
                <w:rFonts w:ascii="宋体" w:hAnsi="宋体" w:cs="宋体"/>
                <w:b/>
                <w:bCs/>
                <w:caps/>
                <w:color w:val="auto"/>
                <w:sz w:val="22"/>
                <w:szCs w:val="22"/>
                <w:highlight w:val="none"/>
              </w:rPr>
            </w:pPr>
            <w:r>
              <w:rPr>
                <w:rFonts w:hint="eastAsia" w:ascii="宋体" w:hAnsi="宋体" w:cs="宋体"/>
                <w:caps/>
                <w:color w:val="auto"/>
                <w:sz w:val="22"/>
                <w:szCs w:val="22"/>
                <w:highlight w:val="none"/>
              </w:rPr>
              <w:t>1</w:t>
            </w:r>
          </w:p>
        </w:tc>
        <w:tc>
          <w:tcPr>
            <w:tcW w:w="2319" w:type="pct"/>
            <w:tcBorders>
              <w:tl2br w:val="nil"/>
              <w:tr2bl w:val="nil"/>
            </w:tcBorders>
            <w:vAlign w:val="center"/>
          </w:tcPr>
          <w:p w14:paraId="0C746820">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高清内窥镜</w:t>
            </w:r>
          </w:p>
        </w:tc>
        <w:tc>
          <w:tcPr>
            <w:tcW w:w="811" w:type="pct"/>
            <w:tcBorders>
              <w:tl2br w:val="nil"/>
              <w:tr2bl w:val="nil"/>
            </w:tcBorders>
            <w:vAlign w:val="center"/>
          </w:tcPr>
          <w:p w14:paraId="563B6B9F">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1台</w:t>
            </w:r>
          </w:p>
        </w:tc>
        <w:tc>
          <w:tcPr>
            <w:tcW w:w="597" w:type="pct"/>
            <w:tcBorders>
              <w:tl2br w:val="nil"/>
              <w:tr2bl w:val="nil"/>
            </w:tcBorders>
            <w:vAlign w:val="center"/>
          </w:tcPr>
          <w:p w14:paraId="034B6F49">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合同签订后7天内</w:t>
            </w:r>
          </w:p>
        </w:tc>
        <w:tc>
          <w:tcPr>
            <w:tcW w:w="784" w:type="pct"/>
            <w:tcBorders>
              <w:tl2br w:val="nil"/>
              <w:tr2bl w:val="nil"/>
            </w:tcBorders>
            <w:vAlign w:val="center"/>
          </w:tcPr>
          <w:p w14:paraId="1D25994F">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采购人指定地点</w:t>
            </w:r>
          </w:p>
        </w:tc>
      </w:tr>
    </w:tbl>
    <w:p w14:paraId="7EE24F65">
      <w:pPr>
        <w:spacing w:line="460" w:lineRule="atLeas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2.技术要求</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81"/>
        <w:gridCol w:w="5830"/>
      </w:tblGrid>
      <w:tr w14:paraId="6CC3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2B7366A4">
            <w:pPr>
              <w:ind w:right="-5"/>
              <w:rPr>
                <w:rFonts w:ascii="宋体" w:hAnsi="宋体" w:cs="宋体"/>
                <w:bCs/>
                <w:color w:val="auto"/>
                <w:sz w:val="22"/>
                <w:szCs w:val="22"/>
                <w:highlight w:val="none"/>
              </w:rPr>
            </w:pPr>
            <w:bookmarkStart w:id="18" w:name="_Toc4444"/>
            <w:bookmarkStart w:id="19" w:name="_Toc12276"/>
            <w:bookmarkStart w:id="20" w:name="_Toc533"/>
            <w:bookmarkStart w:id="21" w:name="_Toc67213288"/>
            <w:bookmarkStart w:id="22" w:name="_Toc422946256"/>
            <w:r>
              <w:rPr>
                <w:rFonts w:hint="eastAsia" w:ascii="宋体" w:hAnsi="宋体" w:cs="宋体"/>
                <w:bCs/>
                <w:color w:val="auto"/>
                <w:sz w:val="22"/>
                <w:szCs w:val="22"/>
                <w:highlight w:val="none"/>
              </w:rPr>
              <w:t>序号</w:t>
            </w:r>
          </w:p>
        </w:tc>
        <w:tc>
          <w:tcPr>
            <w:tcW w:w="1412" w:type="pct"/>
            <w:tcBorders>
              <w:tl2br w:val="nil"/>
              <w:tr2bl w:val="nil"/>
            </w:tcBorders>
            <w:vAlign w:val="center"/>
          </w:tcPr>
          <w:p w14:paraId="245EEA3A">
            <w:pPr>
              <w:rPr>
                <w:rFonts w:ascii="宋体" w:hAnsi="宋体" w:cs="宋体"/>
                <w:bCs/>
                <w:color w:val="auto"/>
                <w:sz w:val="22"/>
                <w:szCs w:val="22"/>
                <w:highlight w:val="none"/>
              </w:rPr>
            </w:pPr>
            <w:r>
              <w:rPr>
                <w:rFonts w:hint="eastAsia" w:ascii="宋体" w:hAnsi="宋体" w:cs="宋体"/>
                <w:bCs/>
                <w:color w:val="auto"/>
                <w:sz w:val="22"/>
                <w:szCs w:val="22"/>
                <w:highlight w:val="none"/>
              </w:rPr>
              <w:t>功能名称</w:t>
            </w:r>
          </w:p>
        </w:tc>
        <w:tc>
          <w:tcPr>
            <w:tcW w:w="2958" w:type="pct"/>
            <w:tcBorders>
              <w:tl2br w:val="nil"/>
              <w:tr2bl w:val="nil"/>
            </w:tcBorders>
            <w:vAlign w:val="center"/>
          </w:tcPr>
          <w:p w14:paraId="77593E3A">
            <w:pPr>
              <w:rPr>
                <w:rFonts w:ascii="宋体" w:hAnsi="宋体" w:cs="宋体"/>
                <w:bCs/>
                <w:color w:val="auto"/>
                <w:sz w:val="22"/>
                <w:szCs w:val="22"/>
                <w:highlight w:val="none"/>
              </w:rPr>
            </w:pPr>
            <w:r>
              <w:rPr>
                <w:rFonts w:hint="eastAsia" w:ascii="宋体" w:hAnsi="宋体" w:cs="宋体"/>
                <w:bCs/>
                <w:color w:val="auto"/>
                <w:sz w:val="22"/>
                <w:szCs w:val="22"/>
                <w:highlight w:val="none"/>
              </w:rPr>
              <w:t>详细描述</w:t>
            </w:r>
          </w:p>
        </w:tc>
      </w:tr>
      <w:tr w14:paraId="1E75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l2br w:val="nil"/>
              <w:tr2bl w:val="nil"/>
            </w:tcBorders>
            <w:vAlign w:val="center"/>
          </w:tcPr>
          <w:p w14:paraId="7CF8C9D6">
            <w:pPr>
              <w:widowControl/>
              <w:ind w:right="-5"/>
              <w:rPr>
                <w:rFonts w:ascii="宋体" w:hAnsi="宋体" w:cs="宋体"/>
                <w:bCs/>
                <w:color w:val="auto"/>
                <w:kern w:val="0"/>
                <w:sz w:val="22"/>
                <w:szCs w:val="22"/>
                <w:highlight w:val="none"/>
              </w:rPr>
            </w:pPr>
            <w:r>
              <w:rPr>
                <w:rFonts w:hint="eastAsia" w:ascii="宋体" w:hAnsi="宋体" w:cs="宋体"/>
                <w:bCs/>
                <w:color w:val="auto"/>
                <w:sz w:val="22"/>
                <w:szCs w:val="22"/>
                <w:highlight w:val="none"/>
              </w:rPr>
              <w:t>主要技术要求</w:t>
            </w:r>
          </w:p>
        </w:tc>
      </w:tr>
      <w:tr w14:paraId="04CB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43F85C04">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4371" w:type="pct"/>
            <w:gridSpan w:val="2"/>
            <w:tcBorders>
              <w:tl2br w:val="nil"/>
              <w:tr2bl w:val="nil"/>
            </w:tcBorders>
            <w:vAlign w:val="center"/>
          </w:tcPr>
          <w:p w14:paraId="20F44267">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 xml:space="preserve">高清内窥镜系统      </w:t>
            </w:r>
          </w:p>
        </w:tc>
      </w:tr>
      <w:tr w14:paraId="00DA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210D84B4">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1.1</w:t>
            </w:r>
          </w:p>
        </w:tc>
        <w:tc>
          <w:tcPr>
            <w:tcW w:w="1412" w:type="pct"/>
            <w:tcBorders>
              <w:tl2br w:val="nil"/>
              <w:tr2bl w:val="nil"/>
            </w:tcBorders>
            <w:vAlign w:val="center"/>
          </w:tcPr>
          <w:p w14:paraId="6043BAF1">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主要用途</w:t>
            </w:r>
          </w:p>
        </w:tc>
        <w:tc>
          <w:tcPr>
            <w:tcW w:w="2958" w:type="pct"/>
            <w:tcBorders>
              <w:tl2br w:val="nil"/>
              <w:tr2bl w:val="nil"/>
            </w:tcBorders>
            <w:vAlign w:val="center"/>
          </w:tcPr>
          <w:p w14:paraId="1F946E92">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用于消化道常规检查与治疗、早癌检查与治疗</w:t>
            </w:r>
          </w:p>
        </w:tc>
      </w:tr>
      <w:tr w14:paraId="0C55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2BB759E9">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1.2</w:t>
            </w:r>
          </w:p>
        </w:tc>
        <w:tc>
          <w:tcPr>
            <w:tcW w:w="1412" w:type="pct"/>
            <w:tcBorders>
              <w:tl2br w:val="nil"/>
              <w:tr2bl w:val="nil"/>
            </w:tcBorders>
            <w:vAlign w:val="center"/>
          </w:tcPr>
          <w:p w14:paraId="186C88F4">
            <w:pPr>
              <w:rPr>
                <w:rFonts w:ascii="宋体" w:hAnsi="宋体" w:cs="宋体"/>
                <w:bCs/>
                <w:color w:val="auto"/>
                <w:sz w:val="22"/>
                <w:szCs w:val="22"/>
                <w:highlight w:val="none"/>
              </w:rPr>
            </w:pPr>
            <w:r>
              <w:rPr>
                <w:rFonts w:hint="eastAsia" w:ascii="宋体" w:hAnsi="宋体" w:cs="宋体"/>
                <w:bCs/>
                <w:color w:val="auto"/>
                <w:sz w:val="22"/>
                <w:szCs w:val="22"/>
                <w:highlight w:val="none"/>
              </w:rPr>
              <w:t>内窥镜主机</w:t>
            </w:r>
          </w:p>
        </w:tc>
        <w:tc>
          <w:tcPr>
            <w:tcW w:w="2958" w:type="pct"/>
            <w:tcBorders>
              <w:tl2br w:val="nil"/>
              <w:tr2bl w:val="nil"/>
            </w:tcBorders>
            <w:vAlign w:val="center"/>
          </w:tcPr>
          <w:p w14:paraId="7F6D4657">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1套：一体机设计</w:t>
            </w:r>
          </w:p>
        </w:tc>
      </w:tr>
      <w:tr w14:paraId="4F34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1A6B64B3">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1.3</w:t>
            </w:r>
          </w:p>
        </w:tc>
        <w:tc>
          <w:tcPr>
            <w:tcW w:w="1412" w:type="pct"/>
            <w:tcBorders>
              <w:tl2br w:val="nil"/>
              <w:tr2bl w:val="nil"/>
            </w:tcBorders>
            <w:vAlign w:val="center"/>
          </w:tcPr>
          <w:p w14:paraId="5B72E5DA">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色域</w:t>
            </w:r>
          </w:p>
        </w:tc>
        <w:tc>
          <w:tcPr>
            <w:tcW w:w="2958" w:type="pct"/>
            <w:tcBorders>
              <w:tl2br w:val="nil"/>
              <w:tr2bl w:val="nil"/>
            </w:tcBorders>
            <w:vAlign w:val="center"/>
          </w:tcPr>
          <w:p w14:paraId="1E835319">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NTSC/PAL</w:t>
            </w:r>
          </w:p>
        </w:tc>
      </w:tr>
      <w:tr w14:paraId="032F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6CB6E781">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1.4</w:t>
            </w:r>
          </w:p>
        </w:tc>
        <w:tc>
          <w:tcPr>
            <w:tcW w:w="1412" w:type="pct"/>
            <w:tcBorders>
              <w:tl2br w:val="nil"/>
              <w:tr2bl w:val="nil"/>
            </w:tcBorders>
            <w:vAlign w:val="center"/>
          </w:tcPr>
          <w:p w14:paraId="78DC629E">
            <w:pPr>
              <w:rPr>
                <w:rFonts w:ascii="宋体" w:hAnsi="宋体" w:cs="宋体"/>
                <w:bCs/>
                <w:color w:val="auto"/>
                <w:sz w:val="22"/>
                <w:szCs w:val="22"/>
                <w:highlight w:val="none"/>
              </w:rPr>
            </w:pPr>
            <w:bookmarkStart w:id="23" w:name="OLE_LINK2"/>
            <w:r>
              <w:rPr>
                <w:rFonts w:hint="eastAsia" w:ascii="宋体" w:hAnsi="宋体" w:cs="宋体"/>
                <w:bCs/>
                <w:color w:val="auto"/>
                <w:kern w:val="0"/>
                <w:sz w:val="22"/>
                <w:szCs w:val="22"/>
                <w:highlight w:val="none"/>
              </w:rPr>
              <w:t>数字HDTV</w:t>
            </w:r>
            <w:bookmarkEnd w:id="23"/>
          </w:p>
        </w:tc>
        <w:tc>
          <w:tcPr>
            <w:tcW w:w="2958" w:type="pct"/>
            <w:tcBorders>
              <w:tl2br w:val="nil"/>
              <w:tr2bl w:val="nil"/>
            </w:tcBorders>
            <w:vAlign w:val="center"/>
          </w:tcPr>
          <w:p w14:paraId="00DA5180">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2个端子，分辨率1920*1080P及以上</w:t>
            </w:r>
          </w:p>
        </w:tc>
      </w:tr>
      <w:tr w14:paraId="798B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757C72E7">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1.5</w:t>
            </w:r>
          </w:p>
        </w:tc>
        <w:tc>
          <w:tcPr>
            <w:tcW w:w="1412" w:type="pct"/>
            <w:tcBorders>
              <w:tl2br w:val="nil"/>
              <w:tr2bl w:val="nil"/>
            </w:tcBorders>
            <w:vAlign w:val="center"/>
          </w:tcPr>
          <w:p w14:paraId="0A55AFFF">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模拟SDTV</w:t>
            </w:r>
          </w:p>
        </w:tc>
        <w:tc>
          <w:tcPr>
            <w:tcW w:w="2958" w:type="pct"/>
            <w:tcBorders>
              <w:tl2br w:val="nil"/>
              <w:tr2bl w:val="nil"/>
            </w:tcBorders>
            <w:vAlign w:val="center"/>
          </w:tcPr>
          <w:p w14:paraId="64CD69D9">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RGB TV: 1, S VIDEO: 1, VIDEO: 1</w:t>
            </w:r>
          </w:p>
        </w:tc>
      </w:tr>
      <w:tr w14:paraId="4C80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6A6A1DD">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1.6</w:t>
            </w:r>
          </w:p>
        </w:tc>
        <w:tc>
          <w:tcPr>
            <w:tcW w:w="1412" w:type="pct"/>
            <w:tcBorders>
              <w:tl2br w:val="nil"/>
              <w:tr2bl w:val="nil"/>
            </w:tcBorders>
            <w:vAlign w:val="center"/>
          </w:tcPr>
          <w:p w14:paraId="497A9F4D">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色彩调节</w:t>
            </w:r>
          </w:p>
        </w:tc>
        <w:tc>
          <w:tcPr>
            <w:tcW w:w="2958" w:type="pct"/>
            <w:tcBorders>
              <w:tl2br w:val="nil"/>
              <w:tr2bl w:val="nil"/>
            </w:tcBorders>
            <w:vAlign w:val="center"/>
          </w:tcPr>
          <w:p w14:paraId="43E345E9">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亮度，RGB，色度： 9档可调（-4 至+4），红色色调：9档可调（M4至Y4）</w:t>
            </w:r>
          </w:p>
        </w:tc>
      </w:tr>
      <w:tr w14:paraId="7D26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F73FCE9">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1.7</w:t>
            </w:r>
          </w:p>
        </w:tc>
        <w:tc>
          <w:tcPr>
            <w:tcW w:w="1412" w:type="pct"/>
            <w:tcBorders>
              <w:tl2br w:val="nil"/>
              <w:tr2bl w:val="nil"/>
            </w:tcBorders>
            <w:vAlign w:val="center"/>
          </w:tcPr>
          <w:p w14:paraId="672F8E5C">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对比度</w:t>
            </w:r>
          </w:p>
        </w:tc>
        <w:tc>
          <w:tcPr>
            <w:tcW w:w="2958" w:type="pct"/>
            <w:tcBorders>
              <w:tl2br w:val="nil"/>
              <w:tr2bl w:val="nil"/>
            </w:tcBorders>
            <w:vAlign w:val="center"/>
          </w:tcPr>
          <w:p w14:paraId="0E41725D">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≥3档可调</w:t>
            </w:r>
          </w:p>
        </w:tc>
      </w:tr>
      <w:tr w14:paraId="58EB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CF3F278">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1.8</w:t>
            </w:r>
          </w:p>
        </w:tc>
        <w:tc>
          <w:tcPr>
            <w:tcW w:w="1412" w:type="pct"/>
            <w:tcBorders>
              <w:tl2br w:val="nil"/>
              <w:tr2bl w:val="nil"/>
            </w:tcBorders>
            <w:vAlign w:val="center"/>
          </w:tcPr>
          <w:p w14:paraId="260D8ADE">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测光模式</w:t>
            </w:r>
          </w:p>
        </w:tc>
        <w:tc>
          <w:tcPr>
            <w:tcW w:w="2958" w:type="pct"/>
            <w:tcBorders>
              <w:tl2br w:val="nil"/>
              <w:tr2bl w:val="nil"/>
            </w:tcBorders>
            <w:vAlign w:val="center"/>
          </w:tcPr>
          <w:p w14:paraId="6A95259A">
            <w:pPr>
              <w:widowControl/>
              <w:autoSpaceDE w:val="0"/>
              <w:autoSpaceDN w:val="0"/>
              <w:rPr>
                <w:rFonts w:ascii="宋体" w:hAnsi="宋体" w:cs="宋体"/>
                <w:bCs/>
                <w:color w:val="auto"/>
                <w:sz w:val="22"/>
                <w:szCs w:val="22"/>
                <w:highlight w:val="none"/>
              </w:rPr>
            </w:pPr>
            <w:r>
              <w:rPr>
                <w:rFonts w:hint="eastAsia" w:ascii="宋体" w:hAnsi="宋体" w:cs="宋体"/>
                <w:bCs/>
                <w:color w:val="auto"/>
                <w:kern w:val="0"/>
                <w:sz w:val="22"/>
                <w:szCs w:val="22"/>
                <w:highlight w:val="none"/>
              </w:rPr>
              <w:t>≥3种模式</w:t>
            </w:r>
          </w:p>
        </w:tc>
      </w:tr>
      <w:tr w14:paraId="0FAF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5628D020">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1.9</w:t>
            </w:r>
          </w:p>
        </w:tc>
        <w:tc>
          <w:tcPr>
            <w:tcW w:w="1412" w:type="pct"/>
            <w:tcBorders>
              <w:tl2br w:val="nil"/>
              <w:tr2bl w:val="nil"/>
            </w:tcBorders>
            <w:vAlign w:val="center"/>
          </w:tcPr>
          <w:p w14:paraId="5373C41A">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结构强调</w:t>
            </w:r>
          </w:p>
        </w:tc>
        <w:tc>
          <w:tcPr>
            <w:tcW w:w="2958" w:type="pct"/>
            <w:tcBorders>
              <w:tl2br w:val="nil"/>
              <w:tr2bl w:val="nil"/>
            </w:tcBorders>
            <w:vAlign w:val="center"/>
          </w:tcPr>
          <w:p w14:paraId="7A759184">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SE 4级，DH -4至+4，DL -4至+4</w:t>
            </w:r>
          </w:p>
        </w:tc>
      </w:tr>
      <w:tr w14:paraId="2266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1BBF644">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1.10</w:t>
            </w:r>
          </w:p>
        </w:tc>
        <w:tc>
          <w:tcPr>
            <w:tcW w:w="1412" w:type="pct"/>
            <w:tcBorders>
              <w:tl2br w:val="nil"/>
              <w:tr2bl w:val="nil"/>
            </w:tcBorders>
            <w:vAlign w:val="center"/>
          </w:tcPr>
          <w:p w14:paraId="7307CB1F">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图像放大</w:t>
            </w:r>
          </w:p>
        </w:tc>
        <w:tc>
          <w:tcPr>
            <w:tcW w:w="2958" w:type="pct"/>
            <w:tcBorders>
              <w:tl2br w:val="nil"/>
              <w:tr2bl w:val="nil"/>
            </w:tcBorders>
            <w:vAlign w:val="center"/>
          </w:tcPr>
          <w:p w14:paraId="31885DE2">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兼容内镜均可电子放大≥2倍，0.05级逐级放大，≥20级</w:t>
            </w:r>
          </w:p>
        </w:tc>
      </w:tr>
      <w:tr w14:paraId="2DE0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43279F12">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1.11</w:t>
            </w:r>
          </w:p>
        </w:tc>
        <w:tc>
          <w:tcPr>
            <w:tcW w:w="1412" w:type="pct"/>
            <w:tcBorders>
              <w:tl2br w:val="nil"/>
              <w:tr2bl w:val="nil"/>
            </w:tcBorders>
            <w:vAlign w:val="center"/>
          </w:tcPr>
          <w:p w14:paraId="19C47A55">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冻结模式</w:t>
            </w:r>
          </w:p>
        </w:tc>
        <w:tc>
          <w:tcPr>
            <w:tcW w:w="2958" w:type="pct"/>
            <w:tcBorders>
              <w:tl2br w:val="nil"/>
              <w:tr2bl w:val="nil"/>
            </w:tcBorders>
            <w:vAlign w:val="center"/>
          </w:tcPr>
          <w:p w14:paraId="5FAEB0A8">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实时冻结，至少具备场冻结，帧冻结，同时冻结等3种冻结模式</w:t>
            </w:r>
          </w:p>
        </w:tc>
      </w:tr>
      <w:tr w14:paraId="5997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054FCF82">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1.12</w:t>
            </w:r>
          </w:p>
        </w:tc>
        <w:tc>
          <w:tcPr>
            <w:tcW w:w="1412" w:type="pct"/>
            <w:tcBorders>
              <w:tl2br w:val="nil"/>
              <w:tr2bl w:val="nil"/>
            </w:tcBorders>
            <w:vAlign w:val="center"/>
          </w:tcPr>
          <w:p w14:paraId="0B2290D4">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其他功能</w:t>
            </w:r>
          </w:p>
        </w:tc>
        <w:tc>
          <w:tcPr>
            <w:tcW w:w="2958" w:type="pct"/>
            <w:tcBorders>
              <w:tl2br w:val="nil"/>
              <w:tr2bl w:val="nil"/>
            </w:tcBorders>
            <w:vAlign w:val="center"/>
          </w:tcPr>
          <w:p w14:paraId="61D25A1E">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电子放大功能，画中画功能，支持DICOM</w:t>
            </w:r>
          </w:p>
        </w:tc>
      </w:tr>
      <w:tr w14:paraId="7EB4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2075BF61">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★1.13</w:t>
            </w:r>
          </w:p>
        </w:tc>
        <w:tc>
          <w:tcPr>
            <w:tcW w:w="1412" w:type="pct"/>
            <w:tcBorders>
              <w:tl2br w:val="nil"/>
              <w:tr2bl w:val="nil"/>
            </w:tcBorders>
            <w:vAlign w:val="center"/>
          </w:tcPr>
          <w:p w14:paraId="62A4E1C8">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兼容内窥镜</w:t>
            </w:r>
          </w:p>
        </w:tc>
        <w:tc>
          <w:tcPr>
            <w:tcW w:w="2958" w:type="pct"/>
            <w:tcBorders>
              <w:tl2br w:val="nil"/>
              <w:tr2bl w:val="nil"/>
            </w:tcBorders>
            <w:vAlign w:val="center"/>
          </w:tcPr>
          <w:p w14:paraId="0D7D03AA">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可兼容支气管镜，电子气囊小肠镜等</w:t>
            </w:r>
          </w:p>
        </w:tc>
      </w:tr>
      <w:tr w14:paraId="6A79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7DF128E5">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1.14</w:t>
            </w:r>
          </w:p>
        </w:tc>
        <w:tc>
          <w:tcPr>
            <w:tcW w:w="1412" w:type="pct"/>
            <w:tcBorders>
              <w:tl2br w:val="nil"/>
              <w:tr2bl w:val="nil"/>
            </w:tcBorders>
            <w:vAlign w:val="center"/>
          </w:tcPr>
          <w:p w14:paraId="0AC86C13">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患者信息</w:t>
            </w:r>
          </w:p>
        </w:tc>
        <w:tc>
          <w:tcPr>
            <w:tcW w:w="2958" w:type="pct"/>
            <w:tcBorders>
              <w:tl2br w:val="nil"/>
              <w:tr2bl w:val="nil"/>
            </w:tcBorders>
            <w:vAlign w:val="center"/>
          </w:tcPr>
          <w:p w14:paraId="3DEBB003">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患者ID，患者姓名，性别，年龄，出生日期，记录，医院名称，医生姓名</w:t>
            </w:r>
          </w:p>
        </w:tc>
      </w:tr>
      <w:tr w14:paraId="5907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4D88E412">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1.15</w:t>
            </w:r>
          </w:p>
        </w:tc>
        <w:tc>
          <w:tcPr>
            <w:tcW w:w="1412" w:type="pct"/>
            <w:tcBorders>
              <w:tl2br w:val="nil"/>
              <w:tr2bl w:val="nil"/>
            </w:tcBorders>
            <w:vAlign w:val="center"/>
          </w:tcPr>
          <w:p w14:paraId="41380194">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其他信息</w:t>
            </w:r>
          </w:p>
        </w:tc>
        <w:tc>
          <w:tcPr>
            <w:tcW w:w="2958" w:type="pct"/>
            <w:tcBorders>
              <w:tl2br w:val="nil"/>
              <w:tr2bl w:val="nil"/>
            </w:tcBorders>
            <w:vAlign w:val="center"/>
          </w:tcPr>
          <w:p w14:paraId="5975ABBC">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计时器，分段计时</w:t>
            </w:r>
          </w:p>
        </w:tc>
      </w:tr>
      <w:tr w14:paraId="7C28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6CCBBA6A">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1.16</w:t>
            </w:r>
          </w:p>
        </w:tc>
        <w:tc>
          <w:tcPr>
            <w:tcW w:w="1412" w:type="pct"/>
            <w:tcBorders>
              <w:tl2br w:val="nil"/>
              <w:tr2bl w:val="nil"/>
            </w:tcBorders>
            <w:vAlign w:val="center"/>
          </w:tcPr>
          <w:p w14:paraId="62437F04">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存储状态</w:t>
            </w:r>
          </w:p>
        </w:tc>
        <w:tc>
          <w:tcPr>
            <w:tcW w:w="2958" w:type="pct"/>
            <w:tcBorders>
              <w:tl2br w:val="nil"/>
              <w:tr2bl w:val="nil"/>
            </w:tcBorders>
            <w:vAlign w:val="center"/>
          </w:tcPr>
          <w:p w14:paraId="58F2096E">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数码打印机状态，拍摄计数，可存储图片</w:t>
            </w:r>
          </w:p>
        </w:tc>
      </w:tr>
      <w:tr w14:paraId="6A75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7F66EDDF">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1.17</w:t>
            </w:r>
          </w:p>
        </w:tc>
        <w:tc>
          <w:tcPr>
            <w:tcW w:w="1412" w:type="pct"/>
            <w:tcBorders>
              <w:tl2br w:val="nil"/>
              <w:tr2bl w:val="nil"/>
            </w:tcBorders>
            <w:vAlign w:val="center"/>
          </w:tcPr>
          <w:p w14:paraId="112FC8F9">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图像质量设定状态</w:t>
            </w:r>
          </w:p>
        </w:tc>
        <w:tc>
          <w:tcPr>
            <w:tcW w:w="2958" w:type="pct"/>
            <w:tcBorders>
              <w:tl2br w:val="nil"/>
              <w:tr2bl w:val="nil"/>
            </w:tcBorders>
            <w:vAlign w:val="center"/>
          </w:tcPr>
          <w:p w14:paraId="213E7EF9">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结构强调，色彩强调，电子放大比例，IEE观察模式，放大倍数</w:t>
            </w:r>
          </w:p>
        </w:tc>
      </w:tr>
      <w:tr w14:paraId="4B5F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6F40A60">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1.18</w:t>
            </w:r>
          </w:p>
        </w:tc>
        <w:tc>
          <w:tcPr>
            <w:tcW w:w="1412" w:type="pct"/>
            <w:tcBorders>
              <w:tl2br w:val="nil"/>
              <w:tr2bl w:val="nil"/>
            </w:tcBorders>
            <w:vAlign w:val="center"/>
          </w:tcPr>
          <w:p w14:paraId="510D3C92">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图像压缩比率</w:t>
            </w:r>
          </w:p>
        </w:tc>
        <w:tc>
          <w:tcPr>
            <w:tcW w:w="2958" w:type="pct"/>
            <w:tcBorders>
              <w:tl2br w:val="nil"/>
              <w:tr2bl w:val="nil"/>
            </w:tcBorders>
            <w:vAlign w:val="center"/>
          </w:tcPr>
          <w:p w14:paraId="76EBA341">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TIFF：无压缩，JPEG：1/5，1/10，1/20</w:t>
            </w:r>
          </w:p>
        </w:tc>
      </w:tr>
      <w:tr w14:paraId="3C8A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2BC5B6DC">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1.19</w:t>
            </w:r>
          </w:p>
        </w:tc>
        <w:tc>
          <w:tcPr>
            <w:tcW w:w="1412" w:type="pct"/>
            <w:tcBorders>
              <w:tl2br w:val="nil"/>
              <w:tr2bl w:val="nil"/>
            </w:tcBorders>
            <w:vAlign w:val="center"/>
          </w:tcPr>
          <w:p w14:paraId="580D5FA1">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主机内置存储器</w:t>
            </w:r>
          </w:p>
        </w:tc>
        <w:tc>
          <w:tcPr>
            <w:tcW w:w="2958" w:type="pct"/>
            <w:tcBorders>
              <w:tl2br w:val="nil"/>
              <w:tr2bl w:val="nil"/>
            </w:tcBorders>
            <w:vAlign w:val="center"/>
          </w:tcPr>
          <w:p w14:paraId="412371A7">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≥4G</w:t>
            </w:r>
          </w:p>
        </w:tc>
      </w:tr>
      <w:tr w14:paraId="1B7F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0B698BA7">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1.20</w:t>
            </w:r>
          </w:p>
        </w:tc>
        <w:tc>
          <w:tcPr>
            <w:tcW w:w="1412" w:type="pct"/>
            <w:tcBorders>
              <w:tl2br w:val="nil"/>
              <w:tr2bl w:val="nil"/>
            </w:tcBorders>
            <w:vAlign w:val="center"/>
          </w:tcPr>
          <w:p w14:paraId="0BF69ED0">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查找和显示图片</w:t>
            </w:r>
          </w:p>
        </w:tc>
        <w:tc>
          <w:tcPr>
            <w:tcW w:w="2958" w:type="pct"/>
            <w:tcBorders>
              <w:tl2br w:val="nil"/>
              <w:tr2bl w:val="nil"/>
            </w:tcBorders>
            <w:vAlign w:val="center"/>
          </w:tcPr>
          <w:p w14:paraId="461FB7ED">
            <w:pPr>
              <w:widowControl/>
              <w:autoSpaceDE w:val="0"/>
              <w:autoSpaceDN w:val="0"/>
              <w:rPr>
                <w:rFonts w:ascii="宋体" w:hAnsi="宋体" w:cs="宋体"/>
                <w:bCs/>
                <w:color w:val="auto"/>
                <w:sz w:val="22"/>
                <w:szCs w:val="22"/>
                <w:highlight w:val="none"/>
              </w:rPr>
            </w:pPr>
            <w:r>
              <w:rPr>
                <w:rFonts w:hint="eastAsia" w:ascii="宋体" w:hAnsi="宋体" w:cs="宋体"/>
                <w:bCs/>
                <w:color w:val="auto"/>
                <w:kern w:val="0"/>
                <w:sz w:val="22"/>
                <w:szCs w:val="22"/>
                <w:highlight w:val="none"/>
              </w:rPr>
              <w:t>搜索屏幕：检查序号，患者ID，检查时间</w:t>
            </w:r>
          </w:p>
          <w:p w14:paraId="0840FED6">
            <w:pPr>
              <w:widowControl/>
              <w:rPr>
                <w:rFonts w:ascii="宋体" w:hAnsi="宋体" w:cs="宋体"/>
                <w:bCs/>
                <w:color w:val="auto"/>
                <w:sz w:val="22"/>
                <w:szCs w:val="22"/>
                <w:highlight w:val="none"/>
              </w:rPr>
            </w:pPr>
            <w:r>
              <w:rPr>
                <w:rFonts w:hint="eastAsia" w:ascii="宋体" w:hAnsi="宋体" w:cs="宋体"/>
                <w:bCs/>
                <w:color w:val="auto"/>
                <w:kern w:val="0"/>
                <w:sz w:val="22"/>
                <w:szCs w:val="22"/>
                <w:highlight w:val="none"/>
              </w:rPr>
              <w:t>显示：列表，缩略图，放大</w:t>
            </w:r>
          </w:p>
        </w:tc>
      </w:tr>
      <w:tr w14:paraId="4C51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103155E8">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1.21</w:t>
            </w:r>
          </w:p>
        </w:tc>
        <w:tc>
          <w:tcPr>
            <w:tcW w:w="1412" w:type="pct"/>
            <w:tcBorders>
              <w:tl2br w:val="nil"/>
              <w:tr2bl w:val="nil"/>
            </w:tcBorders>
            <w:vAlign w:val="center"/>
          </w:tcPr>
          <w:p w14:paraId="0A799C88">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医生姓名</w:t>
            </w:r>
          </w:p>
        </w:tc>
        <w:tc>
          <w:tcPr>
            <w:tcW w:w="2958" w:type="pct"/>
            <w:tcBorders>
              <w:tl2br w:val="nil"/>
              <w:tr2bl w:val="nil"/>
            </w:tcBorders>
            <w:vAlign w:val="center"/>
          </w:tcPr>
          <w:p w14:paraId="53EBCA64">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可存储≥20位医生姓名</w:t>
            </w:r>
          </w:p>
        </w:tc>
      </w:tr>
      <w:tr w14:paraId="49B1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CFD6C71">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★1.22</w:t>
            </w:r>
          </w:p>
        </w:tc>
        <w:tc>
          <w:tcPr>
            <w:tcW w:w="1412" w:type="pct"/>
            <w:tcBorders>
              <w:tl2br w:val="nil"/>
              <w:tr2bl w:val="nil"/>
            </w:tcBorders>
            <w:vAlign w:val="center"/>
          </w:tcPr>
          <w:p w14:paraId="5B6E7D73">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照明光源</w:t>
            </w:r>
          </w:p>
        </w:tc>
        <w:tc>
          <w:tcPr>
            <w:tcW w:w="2958" w:type="pct"/>
            <w:tcBorders>
              <w:tl2br w:val="nil"/>
              <w:tr2bl w:val="nil"/>
            </w:tcBorders>
            <w:vAlign w:val="center"/>
          </w:tcPr>
          <w:p w14:paraId="79336F87">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LED光源</w:t>
            </w:r>
          </w:p>
        </w:tc>
      </w:tr>
      <w:tr w14:paraId="5919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6A905655">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★1.23</w:t>
            </w:r>
          </w:p>
        </w:tc>
        <w:tc>
          <w:tcPr>
            <w:tcW w:w="1412" w:type="pct"/>
            <w:tcBorders>
              <w:tl2br w:val="nil"/>
              <w:tr2bl w:val="nil"/>
            </w:tcBorders>
            <w:vAlign w:val="center"/>
          </w:tcPr>
          <w:p w14:paraId="2917B23E">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灯泡使用寿命</w:t>
            </w:r>
          </w:p>
        </w:tc>
        <w:tc>
          <w:tcPr>
            <w:tcW w:w="2958" w:type="pct"/>
            <w:tcBorders>
              <w:tl2br w:val="nil"/>
              <w:tr2bl w:val="nil"/>
            </w:tcBorders>
            <w:vAlign w:val="center"/>
          </w:tcPr>
          <w:p w14:paraId="0B517D04">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≥10000小时</w:t>
            </w:r>
          </w:p>
        </w:tc>
      </w:tr>
      <w:tr w14:paraId="394C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205A556C">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1.24</w:t>
            </w:r>
          </w:p>
        </w:tc>
        <w:tc>
          <w:tcPr>
            <w:tcW w:w="1412" w:type="pct"/>
            <w:tcBorders>
              <w:tl2br w:val="nil"/>
              <w:tr2bl w:val="nil"/>
            </w:tcBorders>
            <w:vAlign w:val="center"/>
          </w:tcPr>
          <w:p w14:paraId="3A433CD6">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亮灯方式</w:t>
            </w:r>
          </w:p>
        </w:tc>
        <w:tc>
          <w:tcPr>
            <w:tcW w:w="2958" w:type="pct"/>
            <w:tcBorders>
              <w:tl2br w:val="nil"/>
              <w:tr2bl w:val="nil"/>
            </w:tcBorders>
            <w:vAlign w:val="center"/>
          </w:tcPr>
          <w:p w14:paraId="1E3EC1F5">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可切换</w:t>
            </w:r>
          </w:p>
        </w:tc>
      </w:tr>
      <w:tr w14:paraId="73D5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21A25AAA">
            <w:pPr>
              <w:ind w:right="-5"/>
              <w:rPr>
                <w:rFonts w:ascii="宋体" w:hAnsi="宋体" w:cs="宋体"/>
                <w:bCs/>
                <w:color w:val="auto"/>
                <w:kern w:val="0"/>
                <w:sz w:val="22"/>
                <w:szCs w:val="22"/>
                <w:highlight w:val="none"/>
              </w:rPr>
            </w:pPr>
            <w:r>
              <w:rPr>
                <w:rFonts w:hint="eastAsia" w:ascii="宋体" w:hAnsi="宋体" w:cs="宋体"/>
                <w:bCs/>
                <w:color w:val="auto"/>
                <w:sz w:val="22"/>
                <w:szCs w:val="22"/>
                <w:highlight w:val="none"/>
              </w:rPr>
              <w:t>1.25</w:t>
            </w:r>
          </w:p>
        </w:tc>
        <w:tc>
          <w:tcPr>
            <w:tcW w:w="1412" w:type="pct"/>
            <w:tcBorders>
              <w:tl2br w:val="nil"/>
              <w:tr2bl w:val="nil"/>
            </w:tcBorders>
            <w:vAlign w:val="center"/>
          </w:tcPr>
          <w:p w14:paraId="1B13DB0C">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光源控制</w:t>
            </w:r>
          </w:p>
        </w:tc>
        <w:tc>
          <w:tcPr>
            <w:tcW w:w="2958" w:type="pct"/>
            <w:tcBorders>
              <w:tl2br w:val="nil"/>
              <w:tr2bl w:val="nil"/>
            </w:tcBorders>
            <w:vAlign w:val="center"/>
          </w:tcPr>
          <w:p w14:paraId="1151E595">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LED自动能量控制</w:t>
            </w:r>
          </w:p>
        </w:tc>
      </w:tr>
      <w:tr w14:paraId="4208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CDFB8A6">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1.26</w:t>
            </w:r>
          </w:p>
        </w:tc>
        <w:tc>
          <w:tcPr>
            <w:tcW w:w="1412" w:type="pct"/>
            <w:tcBorders>
              <w:tl2br w:val="nil"/>
              <w:tr2bl w:val="nil"/>
            </w:tcBorders>
            <w:vAlign w:val="center"/>
          </w:tcPr>
          <w:p w14:paraId="60960733">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特殊光观察模式</w:t>
            </w:r>
          </w:p>
        </w:tc>
        <w:tc>
          <w:tcPr>
            <w:tcW w:w="2958" w:type="pct"/>
            <w:tcBorders>
              <w:tl2br w:val="nil"/>
              <w:tr2bl w:val="nil"/>
            </w:tcBorders>
            <w:vAlign w:val="center"/>
          </w:tcPr>
          <w:p w14:paraId="0F70DF88">
            <w:pPr>
              <w:rPr>
                <w:rFonts w:ascii="宋体" w:hAnsi="宋体" w:cs="宋体"/>
                <w:bCs/>
                <w:color w:val="auto"/>
                <w:sz w:val="22"/>
                <w:szCs w:val="22"/>
                <w:highlight w:val="none"/>
              </w:rPr>
            </w:pPr>
            <w:r>
              <w:rPr>
                <w:rFonts w:hint="eastAsia" w:ascii="宋体" w:hAnsi="宋体" w:cs="宋体"/>
                <w:bCs/>
                <w:color w:val="auto"/>
                <w:sz w:val="22"/>
                <w:szCs w:val="22"/>
                <w:highlight w:val="none"/>
              </w:rPr>
              <w:t>LCI.BLI</w:t>
            </w:r>
          </w:p>
        </w:tc>
      </w:tr>
      <w:tr w14:paraId="78D0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094449C5">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1.27</w:t>
            </w:r>
          </w:p>
        </w:tc>
        <w:tc>
          <w:tcPr>
            <w:tcW w:w="1412" w:type="pct"/>
            <w:tcBorders>
              <w:tl2br w:val="nil"/>
              <w:tr2bl w:val="nil"/>
            </w:tcBorders>
            <w:vAlign w:val="center"/>
          </w:tcPr>
          <w:p w14:paraId="0DF18F8A">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最大气压</w:t>
            </w:r>
          </w:p>
        </w:tc>
        <w:tc>
          <w:tcPr>
            <w:tcW w:w="2958" w:type="pct"/>
            <w:tcBorders>
              <w:tl2br w:val="nil"/>
              <w:tr2bl w:val="nil"/>
            </w:tcBorders>
            <w:vAlign w:val="center"/>
          </w:tcPr>
          <w:p w14:paraId="2F0C697E">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≥65kPa</w:t>
            </w:r>
          </w:p>
        </w:tc>
      </w:tr>
      <w:tr w14:paraId="696C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1B4B1F57">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1.28</w:t>
            </w:r>
          </w:p>
        </w:tc>
        <w:tc>
          <w:tcPr>
            <w:tcW w:w="1412" w:type="pct"/>
            <w:tcBorders>
              <w:tl2br w:val="nil"/>
              <w:tr2bl w:val="nil"/>
            </w:tcBorders>
            <w:vAlign w:val="center"/>
          </w:tcPr>
          <w:p w14:paraId="5DC10AA5">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自动亮度调整方式</w:t>
            </w:r>
          </w:p>
        </w:tc>
        <w:tc>
          <w:tcPr>
            <w:tcW w:w="2958" w:type="pct"/>
            <w:tcBorders>
              <w:tl2br w:val="nil"/>
              <w:tr2bl w:val="nil"/>
            </w:tcBorders>
            <w:vAlign w:val="center"/>
          </w:tcPr>
          <w:p w14:paraId="590A1D82">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根据视频信号输出自动调整亮度（也可手动调整）</w:t>
            </w:r>
          </w:p>
        </w:tc>
      </w:tr>
      <w:tr w14:paraId="6731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4CF01374">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1.29</w:t>
            </w:r>
          </w:p>
        </w:tc>
        <w:tc>
          <w:tcPr>
            <w:tcW w:w="1412" w:type="pct"/>
            <w:tcBorders>
              <w:tl2br w:val="nil"/>
              <w:tr2bl w:val="nil"/>
            </w:tcBorders>
            <w:vAlign w:val="center"/>
          </w:tcPr>
          <w:p w14:paraId="4F0DBF3D">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送气泵</w:t>
            </w:r>
          </w:p>
        </w:tc>
        <w:tc>
          <w:tcPr>
            <w:tcW w:w="2958" w:type="pct"/>
            <w:tcBorders>
              <w:tl2br w:val="nil"/>
              <w:tr2bl w:val="nil"/>
            </w:tcBorders>
            <w:vAlign w:val="center"/>
          </w:tcPr>
          <w:p w14:paraId="12CE6A75">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横隔膜式气泵</w:t>
            </w:r>
          </w:p>
        </w:tc>
      </w:tr>
      <w:tr w14:paraId="0E67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61251B7F">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1.30</w:t>
            </w:r>
          </w:p>
        </w:tc>
        <w:tc>
          <w:tcPr>
            <w:tcW w:w="1412" w:type="pct"/>
            <w:tcBorders>
              <w:tl2br w:val="nil"/>
              <w:tr2bl w:val="nil"/>
            </w:tcBorders>
            <w:vAlign w:val="center"/>
          </w:tcPr>
          <w:p w14:paraId="1BBAADA0">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压力切换</w:t>
            </w:r>
          </w:p>
        </w:tc>
        <w:tc>
          <w:tcPr>
            <w:tcW w:w="2958" w:type="pct"/>
            <w:tcBorders>
              <w:tl2br w:val="nil"/>
              <w:tr2bl w:val="nil"/>
            </w:tcBorders>
            <w:vAlign w:val="center"/>
          </w:tcPr>
          <w:p w14:paraId="3DE7A860">
            <w:pPr>
              <w:rPr>
                <w:rFonts w:ascii="宋体" w:hAnsi="宋体" w:cs="宋体"/>
                <w:bCs/>
                <w:color w:val="auto"/>
                <w:sz w:val="22"/>
                <w:szCs w:val="22"/>
                <w:highlight w:val="none"/>
              </w:rPr>
            </w:pPr>
            <w:r>
              <w:rPr>
                <w:rFonts w:hint="eastAsia" w:ascii="宋体" w:hAnsi="宋体" w:cs="宋体"/>
                <w:bCs/>
                <w:color w:val="auto"/>
                <w:kern w:val="0"/>
                <w:sz w:val="22"/>
                <w:szCs w:val="22"/>
                <w:highlight w:val="none"/>
                <w:lang w:eastAsia="zh-CN"/>
              </w:rPr>
              <w:t>三档</w:t>
            </w:r>
            <w:r>
              <w:rPr>
                <w:rFonts w:hint="eastAsia" w:ascii="宋体" w:hAnsi="宋体" w:cs="宋体"/>
                <w:bCs/>
                <w:color w:val="auto"/>
                <w:kern w:val="0"/>
                <w:sz w:val="22"/>
                <w:szCs w:val="22"/>
                <w:highlight w:val="none"/>
              </w:rPr>
              <w:t>可调</w:t>
            </w:r>
          </w:p>
        </w:tc>
      </w:tr>
      <w:tr w14:paraId="512F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74387236">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1.31</w:t>
            </w:r>
          </w:p>
        </w:tc>
        <w:tc>
          <w:tcPr>
            <w:tcW w:w="1412" w:type="pct"/>
            <w:tcBorders>
              <w:tl2br w:val="nil"/>
              <w:tr2bl w:val="nil"/>
            </w:tcBorders>
            <w:vAlign w:val="center"/>
          </w:tcPr>
          <w:p w14:paraId="7F17CC49">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送水方式</w:t>
            </w:r>
          </w:p>
        </w:tc>
        <w:tc>
          <w:tcPr>
            <w:tcW w:w="2958" w:type="pct"/>
            <w:tcBorders>
              <w:tl2br w:val="nil"/>
              <w:tr2bl w:val="nil"/>
            </w:tcBorders>
            <w:vAlign w:val="center"/>
          </w:tcPr>
          <w:p w14:paraId="19A2F8B5">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可为拆卸水瓶加压，实现送水</w:t>
            </w:r>
          </w:p>
        </w:tc>
      </w:tr>
      <w:tr w14:paraId="6945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77FC0333">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1.32</w:t>
            </w:r>
          </w:p>
        </w:tc>
        <w:tc>
          <w:tcPr>
            <w:tcW w:w="1412" w:type="pct"/>
            <w:tcBorders>
              <w:tl2br w:val="nil"/>
              <w:tr2bl w:val="nil"/>
            </w:tcBorders>
            <w:vAlign w:val="center"/>
          </w:tcPr>
          <w:p w14:paraId="63F02D4F">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前面板显示</w:t>
            </w:r>
          </w:p>
        </w:tc>
        <w:tc>
          <w:tcPr>
            <w:tcW w:w="2958" w:type="pct"/>
            <w:tcBorders>
              <w:tl2br w:val="nil"/>
              <w:tr2bl w:val="nil"/>
            </w:tcBorders>
            <w:vAlign w:val="center"/>
          </w:tcPr>
          <w:p w14:paraId="22AEE3B1">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可</w:t>
            </w:r>
            <w:r>
              <w:rPr>
                <w:rFonts w:hint="eastAsia" w:ascii="宋体" w:hAnsi="宋体" w:cs="宋体"/>
                <w:bCs/>
                <w:color w:val="auto"/>
                <w:kern w:val="0"/>
                <w:sz w:val="22"/>
                <w:szCs w:val="22"/>
                <w:highlight w:val="none"/>
                <w:lang w:eastAsia="zh-CN"/>
              </w:rPr>
              <w:t>三档</w:t>
            </w:r>
            <w:r>
              <w:rPr>
                <w:rFonts w:hint="eastAsia" w:ascii="宋体" w:hAnsi="宋体" w:cs="宋体"/>
                <w:bCs/>
                <w:color w:val="auto"/>
                <w:kern w:val="0"/>
                <w:sz w:val="22"/>
                <w:szCs w:val="22"/>
                <w:highlight w:val="none"/>
              </w:rPr>
              <w:t>按钮切换</w:t>
            </w:r>
          </w:p>
        </w:tc>
      </w:tr>
      <w:tr w14:paraId="47D6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65ED0DAA">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1.33</w:t>
            </w:r>
          </w:p>
        </w:tc>
        <w:tc>
          <w:tcPr>
            <w:tcW w:w="1412" w:type="pct"/>
            <w:tcBorders>
              <w:tl2br w:val="nil"/>
              <w:tr2bl w:val="nil"/>
            </w:tcBorders>
            <w:vAlign w:val="center"/>
          </w:tcPr>
          <w:p w14:paraId="4FC5FC63">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设定值记忆</w:t>
            </w:r>
          </w:p>
        </w:tc>
        <w:tc>
          <w:tcPr>
            <w:tcW w:w="2958" w:type="pct"/>
            <w:tcBorders>
              <w:tl2br w:val="nil"/>
              <w:tr2bl w:val="nil"/>
            </w:tcBorders>
            <w:vAlign w:val="center"/>
          </w:tcPr>
          <w:p w14:paraId="1D835A58">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关闭系统电源后设定值仍可保存</w:t>
            </w:r>
          </w:p>
        </w:tc>
      </w:tr>
      <w:tr w14:paraId="582B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725CE9FB">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1412" w:type="pct"/>
            <w:tcBorders>
              <w:tl2br w:val="nil"/>
              <w:tr2bl w:val="nil"/>
            </w:tcBorders>
            <w:vAlign w:val="center"/>
          </w:tcPr>
          <w:p w14:paraId="2D69A1CB">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高清电子胃镜</w:t>
            </w:r>
          </w:p>
        </w:tc>
        <w:tc>
          <w:tcPr>
            <w:tcW w:w="2958" w:type="pct"/>
            <w:tcBorders>
              <w:tl2br w:val="nil"/>
              <w:tr2bl w:val="nil"/>
            </w:tcBorders>
            <w:vAlign w:val="center"/>
          </w:tcPr>
          <w:p w14:paraId="1F275C5E">
            <w:pPr>
              <w:rPr>
                <w:rFonts w:ascii="宋体" w:hAnsi="宋体" w:cs="宋体"/>
                <w:bCs/>
                <w:color w:val="auto"/>
                <w:kern w:val="0"/>
                <w:sz w:val="22"/>
                <w:szCs w:val="22"/>
                <w:highlight w:val="none"/>
              </w:rPr>
            </w:pPr>
            <w:r>
              <w:rPr>
                <w:rFonts w:hint="eastAsia" w:ascii="宋体" w:hAnsi="宋体" w:cs="宋体"/>
                <w:bCs/>
                <w:color w:val="auto"/>
                <w:sz w:val="22"/>
                <w:szCs w:val="22"/>
                <w:highlight w:val="none"/>
              </w:rPr>
              <w:t>3根</w:t>
            </w:r>
          </w:p>
        </w:tc>
      </w:tr>
      <w:tr w14:paraId="5EE9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56AC021F">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★2.1</w:t>
            </w:r>
          </w:p>
        </w:tc>
        <w:tc>
          <w:tcPr>
            <w:tcW w:w="1412" w:type="pct"/>
            <w:tcBorders>
              <w:tl2br w:val="nil"/>
              <w:tr2bl w:val="nil"/>
            </w:tcBorders>
            <w:vAlign w:val="center"/>
          </w:tcPr>
          <w:p w14:paraId="39FED80A">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感光元件</w:t>
            </w:r>
          </w:p>
        </w:tc>
        <w:tc>
          <w:tcPr>
            <w:tcW w:w="2958" w:type="pct"/>
            <w:tcBorders>
              <w:tl2br w:val="nil"/>
              <w:tr2bl w:val="nil"/>
            </w:tcBorders>
            <w:vAlign w:val="center"/>
          </w:tcPr>
          <w:p w14:paraId="1682B6AC">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CMOS</w:t>
            </w:r>
          </w:p>
        </w:tc>
      </w:tr>
      <w:tr w14:paraId="0D5C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7D8F188">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2.2</w:t>
            </w:r>
          </w:p>
        </w:tc>
        <w:tc>
          <w:tcPr>
            <w:tcW w:w="1412" w:type="pct"/>
            <w:tcBorders>
              <w:tl2br w:val="nil"/>
              <w:tr2bl w:val="nil"/>
            </w:tcBorders>
            <w:vAlign w:val="center"/>
          </w:tcPr>
          <w:p w14:paraId="3C001714">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观察方向</w:t>
            </w:r>
          </w:p>
        </w:tc>
        <w:tc>
          <w:tcPr>
            <w:tcW w:w="2958" w:type="pct"/>
            <w:tcBorders>
              <w:tl2br w:val="nil"/>
              <w:tr2bl w:val="nil"/>
            </w:tcBorders>
            <w:vAlign w:val="center"/>
          </w:tcPr>
          <w:p w14:paraId="118303EB">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 xml:space="preserve"> 0 ° ( 直视 )</w:t>
            </w:r>
          </w:p>
        </w:tc>
      </w:tr>
      <w:tr w14:paraId="7AF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1CAC2BB7">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2.3</w:t>
            </w:r>
          </w:p>
        </w:tc>
        <w:tc>
          <w:tcPr>
            <w:tcW w:w="1412" w:type="pct"/>
            <w:tcBorders>
              <w:tl2br w:val="nil"/>
              <w:tr2bl w:val="nil"/>
            </w:tcBorders>
            <w:vAlign w:val="center"/>
          </w:tcPr>
          <w:p w14:paraId="74500253">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视野角度</w:t>
            </w:r>
          </w:p>
        </w:tc>
        <w:tc>
          <w:tcPr>
            <w:tcW w:w="2958" w:type="pct"/>
            <w:tcBorders>
              <w:tl2br w:val="nil"/>
              <w:tr2bl w:val="nil"/>
            </w:tcBorders>
            <w:vAlign w:val="center"/>
          </w:tcPr>
          <w:p w14:paraId="5D9FD4B6">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 140 °</w:t>
            </w:r>
          </w:p>
        </w:tc>
      </w:tr>
      <w:tr w14:paraId="1B03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0DBB0337">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2.4</w:t>
            </w:r>
          </w:p>
        </w:tc>
        <w:tc>
          <w:tcPr>
            <w:tcW w:w="1412" w:type="pct"/>
            <w:tcBorders>
              <w:tl2br w:val="nil"/>
              <w:tr2bl w:val="nil"/>
            </w:tcBorders>
            <w:vAlign w:val="center"/>
          </w:tcPr>
          <w:p w14:paraId="20A3693A">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观察景深</w:t>
            </w:r>
          </w:p>
        </w:tc>
        <w:tc>
          <w:tcPr>
            <w:tcW w:w="2958" w:type="pct"/>
            <w:tcBorders>
              <w:tl2br w:val="nil"/>
              <w:tr2bl w:val="nil"/>
            </w:tcBorders>
            <w:vAlign w:val="center"/>
          </w:tcPr>
          <w:p w14:paraId="75AB4B69">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 xml:space="preserve">2 </w:t>
            </w:r>
            <w:bookmarkStart w:id="215" w:name="_GoBack"/>
            <w:r>
              <w:rPr>
                <w:rFonts w:hint="eastAsia" w:ascii="宋体" w:hAnsi="宋体" w:cs="宋体"/>
                <w:bCs/>
                <w:color w:val="auto"/>
                <w:kern w:val="0"/>
                <w:sz w:val="22"/>
                <w:szCs w:val="22"/>
                <w:highlight w:val="none"/>
              </w:rPr>
              <w:t>～</w:t>
            </w:r>
            <w:bookmarkEnd w:id="215"/>
            <w:r>
              <w:rPr>
                <w:rFonts w:hint="eastAsia" w:ascii="宋体" w:hAnsi="宋体" w:cs="宋体"/>
                <w:bCs/>
                <w:color w:val="auto"/>
                <w:kern w:val="0"/>
                <w:sz w:val="22"/>
                <w:szCs w:val="22"/>
                <w:highlight w:val="none"/>
              </w:rPr>
              <w:t xml:space="preserve"> 100mm</w:t>
            </w:r>
          </w:p>
        </w:tc>
      </w:tr>
      <w:tr w14:paraId="0E58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78861B00">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2.5</w:t>
            </w:r>
          </w:p>
        </w:tc>
        <w:tc>
          <w:tcPr>
            <w:tcW w:w="1412" w:type="pct"/>
            <w:tcBorders>
              <w:tl2br w:val="nil"/>
              <w:tr2bl w:val="nil"/>
            </w:tcBorders>
            <w:vAlign w:val="center"/>
          </w:tcPr>
          <w:p w14:paraId="2E7CABD5">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头端部外径</w:t>
            </w:r>
          </w:p>
        </w:tc>
        <w:tc>
          <w:tcPr>
            <w:tcW w:w="2958" w:type="pct"/>
            <w:tcBorders>
              <w:tl2br w:val="nil"/>
              <w:tr2bl w:val="nil"/>
            </w:tcBorders>
            <w:vAlign w:val="center"/>
          </w:tcPr>
          <w:p w14:paraId="6E9BEFB3">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 xml:space="preserve">Ф≤ 9.2mm </w:t>
            </w:r>
          </w:p>
        </w:tc>
      </w:tr>
      <w:tr w14:paraId="5583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7B1CBDA2">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2.6</w:t>
            </w:r>
          </w:p>
        </w:tc>
        <w:tc>
          <w:tcPr>
            <w:tcW w:w="1412" w:type="pct"/>
            <w:tcBorders>
              <w:tl2br w:val="nil"/>
              <w:tr2bl w:val="nil"/>
            </w:tcBorders>
            <w:vAlign w:val="center"/>
          </w:tcPr>
          <w:p w14:paraId="6EE5481F">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插入最大部外径</w:t>
            </w:r>
          </w:p>
        </w:tc>
        <w:tc>
          <w:tcPr>
            <w:tcW w:w="2958" w:type="pct"/>
            <w:tcBorders>
              <w:tl2br w:val="nil"/>
              <w:tr2bl w:val="nil"/>
            </w:tcBorders>
            <w:vAlign w:val="center"/>
          </w:tcPr>
          <w:p w14:paraId="1DEEC190">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Ф≤ 9.3mm</w:t>
            </w:r>
          </w:p>
        </w:tc>
      </w:tr>
      <w:tr w14:paraId="5EA0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6CA20E99">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★2.7</w:t>
            </w:r>
          </w:p>
        </w:tc>
        <w:tc>
          <w:tcPr>
            <w:tcW w:w="1412" w:type="pct"/>
            <w:tcBorders>
              <w:tl2br w:val="nil"/>
              <w:tr2bl w:val="nil"/>
            </w:tcBorders>
            <w:vAlign w:val="center"/>
          </w:tcPr>
          <w:p w14:paraId="740FBFE5">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有效长度</w:t>
            </w:r>
          </w:p>
        </w:tc>
        <w:tc>
          <w:tcPr>
            <w:tcW w:w="2958" w:type="pct"/>
            <w:tcBorders>
              <w:tl2br w:val="nil"/>
              <w:tr2bl w:val="nil"/>
            </w:tcBorders>
            <w:vAlign w:val="center"/>
          </w:tcPr>
          <w:p w14:paraId="1A530251">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 1100mm</w:t>
            </w:r>
          </w:p>
        </w:tc>
      </w:tr>
      <w:tr w14:paraId="228F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54FFAF5F">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2.8</w:t>
            </w:r>
          </w:p>
        </w:tc>
        <w:tc>
          <w:tcPr>
            <w:tcW w:w="1412" w:type="pct"/>
            <w:tcBorders>
              <w:tl2br w:val="nil"/>
              <w:tr2bl w:val="nil"/>
            </w:tcBorders>
            <w:vAlign w:val="center"/>
          </w:tcPr>
          <w:p w14:paraId="3017995E">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全长</w:t>
            </w:r>
          </w:p>
        </w:tc>
        <w:tc>
          <w:tcPr>
            <w:tcW w:w="2958" w:type="pct"/>
            <w:tcBorders>
              <w:tl2br w:val="nil"/>
              <w:tr2bl w:val="nil"/>
            </w:tcBorders>
            <w:vAlign w:val="center"/>
          </w:tcPr>
          <w:p w14:paraId="65ADCA03">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 1400mm</w:t>
            </w:r>
          </w:p>
        </w:tc>
      </w:tr>
      <w:tr w14:paraId="295B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0B2C41B6">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2.9</w:t>
            </w:r>
          </w:p>
        </w:tc>
        <w:tc>
          <w:tcPr>
            <w:tcW w:w="1412" w:type="pct"/>
            <w:tcBorders>
              <w:tl2br w:val="nil"/>
              <w:tr2bl w:val="nil"/>
            </w:tcBorders>
            <w:vAlign w:val="center"/>
          </w:tcPr>
          <w:p w14:paraId="17E80079">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弯曲角度</w:t>
            </w:r>
          </w:p>
        </w:tc>
        <w:tc>
          <w:tcPr>
            <w:tcW w:w="2958" w:type="pct"/>
            <w:tcBorders>
              <w:tl2br w:val="nil"/>
              <w:tr2bl w:val="nil"/>
            </w:tcBorders>
            <w:vAlign w:val="center"/>
          </w:tcPr>
          <w:p w14:paraId="5ADF2DB9">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≥上： 210 °、下： 90 °、左： 100 °、右： 100 °</w:t>
            </w:r>
          </w:p>
        </w:tc>
      </w:tr>
      <w:tr w14:paraId="081B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1C8C80D6">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2.10</w:t>
            </w:r>
          </w:p>
        </w:tc>
        <w:tc>
          <w:tcPr>
            <w:tcW w:w="1412" w:type="pct"/>
            <w:tcBorders>
              <w:tl2br w:val="nil"/>
              <w:tr2bl w:val="nil"/>
            </w:tcBorders>
            <w:vAlign w:val="center"/>
          </w:tcPr>
          <w:p w14:paraId="2A24E829">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钳道直径</w:t>
            </w:r>
          </w:p>
        </w:tc>
        <w:tc>
          <w:tcPr>
            <w:tcW w:w="2958" w:type="pct"/>
            <w:tcBorders>
              <w:tl2br w:val="nil"/>
              <w:tr2bl w:val="nil"/>
            </w:tcBorders>
            <w:vAlign w:val="center"/>
          </w:tcPr>
          <w:p w14:paraId="2EE84937">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Ф≥ 2.8mm</w:t>
            </w:r>
          </w:p>
        </w:tc>
      </w:tr>
      <w:tr w14:paraId="7986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085A7A0F">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1412" w:type="pct"/>
            <w:tcBorders>
              <w:tl2br w:val="nil"/>
              <w:tr2bl w:val="nil"/>
            </w:tcBorders>
            <w:vAlign w:val="center"/>
          </w:tcPr>
          <w:p w14:paraId="5354A0EE">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高清电子肠镜</w:t>
            </w:r>
          </w:p>
        </w:tc>
        <w:tc>
          <w:tcPr>
            <w:tcW w:w="2958" w:type="pct"/>
            <w:tcBorders>
              <w:tl2br w:val="nil"/>
              <w:tr2bl w:val="nil"/>
            </w:tcBorders>
            <w:vAlign w:val="center"/>
          </w:tcPr>
          <w:p w14:paraId="530AAB3F">
            <w:pPr>
              <w:rPr>
                <w:rFonts w:ascii="宋体" w:hAnsi="宋体" w:cs="宋体"/>
                <w:bCs/>
                <w:color w:val="auto"/>
                <w:kern w:val="0"/>
                <w:sz w:val="22"/>
                <w:szCs w:val="22"/>
                <w:highlight w:val="none"/>
              </w:rPr>
            </w:pPr>
            <w:r>
              <w:rPr>
                <w:rFonts w:hint="eastAsia" w:ascii="宋体" w:hAnsi="宋体" w:cs="宋体"/>
                <w:bCs/>
                <w:color w:val="auto"/>
                <w:sz w:val="22"/>
                <w:szCs w:val="22"/>
                <w:highlight w:val="none"/>
              </w:rPr>
              <w:t>3根</w:t>
            </w:r>
          </w:p>
        </w:tc>
      </w:tr>
      <w:tr w14:paraId="5393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102BF053">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★3.1</w:t>
            </w:r>
          </w:p>
        </w:tc>
        <w:tc>
          <w:tcPr>
            <w:tcW w:w="1412" w:type="pct"/>
            <w:tcBorders>
              <w:tl2br w:val="nil"/>
              <w:tr2bl w:val="nil"/>
            </w:tcBorders>
            <w:vAlign w:val="center"/>
          </w:tcPr>
          <w:p w14:paraId="7055B192">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感光元件</w:t>
            </w:r>
          </w:p>
        </w:tc>
        <w:tc>
          <w:tcPr>
            <w:tcW w:w="2958" w:type="pct"/>
            <w:tcBorders>
              <w:tl2br w:val="nil"/>
              <w:tr2bl w:val="nil"/>
            </w:tcBorders>
            <w:vAlign w:val="center"/>
          </w:tcPr>
          <w:p w14:paraId="48796A63">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CM0S</w:t>
            </w:r>
          </w:p>
        </w:tc>
      </w:tr>
      <w:tr w14:paraId="0B48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47267525">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3.2</w:t>
            </w:r>
          </w:p>
        </w:tc>
        <w:tc>
          <w:tcPr>
            <w:tcW w:w="1412" w:type="pct"/>
            <w:tcBorders>
              <w:tl2br w:val="nil"/>
              <w:tr2bl w:val="nil"/>
            </w:tcBorders>
            <w:vAlign w:val="center"/>
          </w:tcPr>
          <w:p w14:paraId="14B4ED1D">
            <w:pPr>
              <w:rPr>
                <w:rFonts w:ascii="宋体" w:hAnsi="宋体" w:cs="宋体"/>
                <w:bCs/>
                <w:color w:val="auto"/>
                <w:sz w:val="22"/>
                <w:szCs w:val="22"/>
                <w:highlight w:val="none"/>
              </w:rPr>
            </w:pPr>
            <w:r>
              <w:rPr>
                <w:rFonts w:hint="eastAsia" w:ascii="宋体" w:hAnsi="宋体" w:cs="宋体"/>
                <w:bCs/>
                <w:color w:val="auto"/>
                <w:kern w:val="0"/>
                <w:sz w:val="22"/>
                <w:szCs w:val="22"/>
                <w:highlight w:val="none"/>
              </w:rPr>
              <w:t>观察方向</w:t>
            </w:r>
          </w:p>
        </w:tc>
        <w:tc>
          <w:tcPr>
            <w:tcW w:w="2958" w:type="pct"/>
            <w:tcBorders>
              <w:tl2br w:val="nil"/>
              <w:tr2bl w:val="nil"/>
            </w:tcBorders>
            <w:vAlign w:val="center"/>
          </w:tcPr>
          <w:p w14:paraId="22300EE4">
            <w:pPr>
              <w:pStyle w:val="84"/>
              <w:numPr>
                <w:ilvl w:val="0"/>
                <w:numId w:val="2"/>
              </w:numPr>
              <w:ind w:firstLineChars="0"/>
              <w:rPr>
                <w:rFonts w:ascii="宋体" w:hAnsi="宋体" w:cs="宋体"/>
                <w:bCs/>
                <w:color w:val="auto"/>
                <w:sz w:val="22"/>
                <w:szCs w:val="22"/>
                <w:highlight w:val="none"/>
              </w:rPr>
            </w:pPr>
            <w:r>
              <w:rPr>
                <w:rFonts w:hint="eastAsia" w:ascii="宋体" w:hAnsi="宋体" w:cs="宋体"/>
                <w:bCs/>
                <w:color w:val="auto"/>
                <w:sz w:val="22"/>
                <w:szCs w:val="22"/>
                <w:highlight w:val="none"/>
              </w:rPr>
              <w:t>° ( 直视 )</w:t>
            </w:r>
          </w:p>
        </w:tc>
      </w:tr>
      <w:tr w14:paraId="766F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1198FC06">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★3.3</w:t>
            </w:r>
          </w:p>
        </w:tc>
        <w:tc>
          <w:tcPr>
            <w:tcW w:w="1412" w:type="pct"/>
            <w:tcBorders>
              <w:tl2br w:val="nil"/>
              <w:tr2bl w:val="nil"/>
            </w:tcBorders>
            <w:vAlign w:val="center"/>
          </w:tcPr>
          <w:p w14:paraId="5EA3C659">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视野角度</w:t>
            </w:r>
          </w:p>
        </w:tc>
        <w:tc>
          <w:tcPr>
            <w:tcW w:w="2958" w:type="pct"/>
            <w:tcBorders>
              <w:tl2br w:val="nil"/>
              <w:tr2bl w:val="nil"/>
            </w:tcBorders>
            <w:vAlign w:val="center"/>
          </w:tcPr>
          <w:p w14:paraId="75D147A8">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170 °</w:t>
            </w:r>
          </w:p>
        </w:tc>
      </w:tr>
      <w:tr w14:paraId="78F6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7CE7E119">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★3.4</w:t>
            </w:r>
          </w:p>
        </w:tc>
        <w:tc>
          <w:tcPr>
            <w:tcW w:w="1412" w:type="pct"/>
            <w:tcBorders>
              <w:tl2br w:val="nil"/>
              <w:tr2bl w:val="nil"/>
            </w:tcBorders>
            <w:vAlign w:val="center"/>
          </w:tcPr>
          <w:p w14:paraId="6D6B57E6">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观察景深</w:t>
            </w:r>
          </w:p>
        </w:tc>
        <w:tc>
          <w:tcPr>
            <w:tcW w:w="2958" w:type="pct"/>
            <w:tcBorders>
              <w:tl2br w:val="nil"/>
              <w:tr2bl w:val="nil"/>
            </w:tcBorders>
            <w:vAlign w:val="center"/>
          </w:tcPr>
          <w:p w14:paraId="5203576D">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 ～ 100mm</w:t>
            </w:r>
          </w:p>
        </w:tc>
      </w:tr>
      <w:tr w14:paraId="66D8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5B0DB0EF">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3.5</w:t>
            </w:r>
          </w:p>
        </w:tc>
        <w:tc>
          <w:tcPr>
            <w:tcW w:w="1412" w:type="pct"/>
            <w:tcBorders>
              <w:tl2br w:val="nil"/>
              <w:tr2bl w:val="nil"/>
            </w:tcBorders>
            <w:vAlign w:val="center"/>
          </w:tcPr>
          <w:p w14:paraId="6EAA09ED">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头端部外径</w:t>
            </w:r>
          </w:p>
        </w:tc>
        <w:tc>
          <w:tcPr>
            <w:tcW w:w="2958" w:type="pct"/>
            <w:tcBorders>
              <w:tl2br w:val="nil"/>
              <w:tr2bl w:val="nil"/>
            </w:tcBorders>
            <w:vAlign w:val="center"/>
          </w:tcPr>
          <w:p w14:paraId="545012FE">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Ф≤ 12.8mm</w:t>
            </w:r>
          </w:p>
        </w:tc>
      </w:tr>
      <w:tr w14:paraId="5693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18E597DA">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3.6</w:t>
            </w:r>
          </w:p>
        </w:tc>
        <w:tc>
          <w:tcPr>
            <w:tcW w:w="1412" w:type="pct"/>
            <w:tcBorders>
              <w:tl2br w:val="nil"/>
              <w:tr2bl w:val="nil"/>
            </w:tcBorders>
            <w:vAlign w:val="center"/>
          </w:tcPr>
          <w:p w14:paraId="4B748661">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插入最大部外径</w:t>
            </w:r>
          </w:p>
        </w:tc>
        <w:tc>
          <w:tcPr>
            <w:tcW w:w="2958" w:type="pct"/>
            <w:tcBorders>
              <w:tl2br w:val="nil"/>
              <w:tr2bl w:val="nil"/>
            </w:tcBorders>
            <w:vAlign w:val="center"/>
          </w:tcPr>
          <w:p w14:paraId="48423288">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Ф≤ 12.8mm</w:t>
            </w:r>
          </w:p>
        </w:tc>
      </w:tr>
      <w:tr w14:paraId="0864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48101CD6">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★3.7</w:t>
            </w:r>
          </w:p>
        </w:tc>
        <w:tc>
          <w:tcPr>
            <w:tcW w:w="1412" w:type="pct"/>
            <w:tcBorders>
              <w:tl2br w:val="nil"/>
              <w:tr2bl w:val="nil"/>
            </w:tcBorders>
            <w:vAlign w:val="center"/>
          </w:tcPr>
          <w:p w14:paraId="177519FE">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有效长度</w:t>
            </w:r>
          </w:p>
        </w:tc>
        <w:tc>
          <w:tcPr>
            <w:tcW w:w="2958" w:type="pct"/>
            <w:tcBorders>
              <w:tl2br w:val="nil"/>
              <w:tr2bl w:val="nil"/>
            </w:tcBorders>
            <w:vAlign w:val="center"/>
          </w:tcPr>
          <w:p w14:paraId="424D3532">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1330mm</w:t>
            </w:r>
          </w:p>
        </w:tc>
      </w:tr>
      <w:tr w14:paraId="2002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006E7EB8">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3.8</w:t>
            </w:r>
          </w:p>
        </w:tc>
        <w:tc>
          <w:tcPr>
            <w:tcW w:w="1412" w:type="pct"/>
            <w:tcBorders>
              <w:tl2br w:val="nil"/>
              <w:tr2bl w:val="nil"/>
            </w:tcBorders>
            <w:vAlign w:val="center"/>
          </w:tcPr>
          <w:p w14:paraId="69793FB9">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全长</w:t>
            </w:r>
          </w:p>
        </w:tc>
        <w:tc>
          <w:tcPr>
            <w:tcW w:w="2958" w:type="pct"/>
            <w:tcBorders>
              <w:tl2br w:val="nil"/>
              <w:tr2bl w:val="nil"/>
            </w:tcBorders>
            <w:vAlign w:val="center"/>
          </w:tcPr>
          <w:p w14:paraId="109C4309">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1630mm</w:t>
            </w:r>
          </w:p>
        </w:tc>
      </w:tr>
      <w:tr w14:paraId="7EE7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D54AEB0">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3.9</w:t>
            </w:r>
          </w:p>
        </w:tc>
        <w:tc>
          <w:tcPr>
            <w:tcW w:w="1412" w:type="pct"/>
            <w:tcBorders>
              <w:tl2br w:val="nil"/>
              <w:tr2bl w:val="nil"/>
            </w:tcBorders>
            <w:vAlign w:val="center"/>
          </w:tcPr>
          <w:p w14:paraId="624EBC08">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弯曲角度</w:t>
            </w:r>
          </w:p>
        </w:tc>
        <w:tc>
          <w:tcPr>
            <w:tcW w:w="2958" w:type="pct"/>
            <w:tcBorders>
              <w:tl2br w:val="nil"/>
              <w:tr2bl w:val="nil"/>
            </w:tcBorders>
            <w:vAlign w:val="center"/>
          </w:tcPr>
          <w:p w14:paraId="0B7E2148">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≥上： 180 °、下： 180 °、左： 160 °、右： 160 °</w:t>
            </w:r>
          </w:p>
        </w:tc>
      </w:tr>
      <w:tr w14:paraId="2621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E3DF9A5">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★3.10</w:t>
            </w:r>
          </w:p>
        </w:tc>
        <w:tc>
          <w:tcPr>
            <w:tcW w:w="1412" w:type="pct"/>
            <w:tcBorders>
              <w:tl2br w:val="nil"/>
              <w:tr2bl w:val="nil"/>
            </w:tcBorders>
            <w:vAlign w:val="center"/>
          </w:tcPr>
          <w:p w14:paraId="09B7CF44">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钳道直径</w:t>
            </w:r>
          </w:p>
        </w:tc>
        <w:tc>
          <w:tcPr>
            <w:tcW w:w="2958" w:type="pct"/>
            <w:tcBorders>
              <w:tl2br w:val="nil"/>
              <w:tr2bl w:val="nil"/>
            </w:tcBorders>
            <w:vAlign w:val="center"/>
          </w:tcPr>
          <w:p w14:paraId="5AFE6BA0">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Ф≥ 3.8mm ；</w:t>
            </w:r>
          </w:p>
        </w:tc>
      </w:tr>
      <w:tr w14:paraId="416A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58B2D6E8">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1412" w:type="pct"/>
            <w:tcBorders>
              <w:tl2br w:val="nil"/>
              <w:tr2bl w:val="nil"/>
            </w:tcBorders>
            <w:vAlign w:val="center"/>
          </w:tcPr>
          <w:p w14:paraId="6BEA42F8">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高清内镜专用监视器</w:t>
            </w:r>
          </w:p>
        </w:tc>
        <w:tc>
          <w:tcPr>
            <w:tcW w:w="2958" w:type="pct"/>
            <w:tcBorders>
              <w:tl2br w:val="nil"/>
              <w:tr2bl w:val="nil"/>
            </w:tcBorders>
            <w:vAlign w:val="center"/>
          </w:tcPr>
          <w:p w14:paraId="46BAE544">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1台</w:t>
            </w:r>
          </w:p>
        </w:tc>
      </w:tr>
      <w:tr w14:paraId="3FAF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67DEA3AE">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4.1</w:t>
            </w:r>
          </w:p>
        </w:tc>
        <w:tc>
          <w:tcPr>
            <w:tcW w:w="1412" w:type="pct"/>
            <w:tcBorders>
              <w:tl2br w:val="nil"/>
              <w:tr2bl w:val="nil"/>
            </w:tcBorders>
            <w:vAlign w:val="center"/>
          </w:tcPr>
          <w:p w14:paraId="45946B22">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医用液晶监视器，屏幕尺寸</w:t>
            </w:r>
          </w:p>
        </w:tc>
        <w:tc>
          <w:tcPr>
            <w:tcW w:w="2958" w:type="pct"/>
            <w:tcBorders>
              <w:tl2br w:val="nil"/>
              <w:tr2bl w:val="nil"/>
            </w:tcBorders>
            <w:vAlign w:val="center"/>
          </w:tcPr>
          <w:p w14:paraId="4F8C3C7B">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27 寸</w:t>
            </w:r>
          </w:p>
        </w:tc>
      </w:tr>
      <w:tr w14:paraId="55D0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4851903C">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4.2</w:t>
            </w:r>
          </w:p>
        </w:tc>
        <w:tc>
          <w:tcPr>
            <w:tcW w:w="1412" w:type="pct"/>
            <w:tcBorders>
              <w:tl2br w:val="nil"/>
              <w:tr2bl w:val="nil"/>
            </w:tcBorders>
            <w:vAlign w:val="center"/>
          </w:tcPr>
          <w:p w14:paraId="3E56423E">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监视器分辨率</w:t>
            </w:r>
          </w:p>
        </w:tc>
        <w:tc>
          <w:tcPr>
            <w:tcW w:w="2958" w:type="pct"/>
            <w:tcBorders>
              <w:tl2br w:val="nil"/>
              <w:tr2bl w:val="nil"/>
            </w:tcBorders>
            <w:vAlign w:val="center"/>
          </w:tcPr>
          <w:p w14:paraId="4B4756A3">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≥1920*1080</w:t>
            </w:r>
          </w:p>
        </w:tc>
      </w:tr>
      <w:tr w14:paraId="0CF1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5073E83">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1412" w:type="pct"/>
            <w:tcBorders>
              <w:tl2br w:val="nil"/>
              <w:tr2bl w:val="nil"/>
            </w:tcBorders>
            <w:vAlign w:val="center"/>
          </w:tcPr>
          <w:p w14:paraId="4CC2E1A0">
            <w:pPr>
              <w:rPr>
                <w:rFonts w:ascii="宋体" w:hAnsi="宋体" w:cs="宋体"/>
                <w:bCs/>
                <w:color w:val="auto"/>
                <w:kern w:val="0"/>
                <w:sz w:val="22"/>
                <w:szCs w:val="22"/>
                <w:highlight w:val="none"/>
              </w:rPr>
            </w:pPr>
            <w:r>
              <w:rPr>
                <w:rFonts w:hint="eastAsia" w:ascii="宋体" w:hAnsi="宋体" w:cs="宋体"/>
                <w:color w:val="auto"/>
                <w:sz w:val="22"/>
                <w:szCs w:val="22"/>
                <w:highlight w:val="none"/>
              </w:rPr>
              <w:t>图文工作站</w:t>
            </w:r>
          </w:p>
        </w:tc>
        <w:tc>
          <w:tcPr>
            <w:tcW w:w="2958" w:type="pct"/>
            <w:tcBorders>
              <w:tl2br w:val="nil"/>
              <w:tr2bl w:val="nil"/>
            </w:tcBorders>
            <w:vAlign w:val="center"/>
          </w:tcPr>
          <w:p w14:paraId="046A010B">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1套</w:t>
            </w:r>
          </w:p>
        </w:tc>
      </w:tr>
      <w:tr w14:paraId="26ED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5E017926">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1412" w:type="pct"/>
            <w:tcBorders>
              <w:tl2br w:val="nil"/>
              <w:tr2bl w:val="nil"/>
            </w:tcBorders>
            <w:vAlign w:val="center"/>
          </w:tcPr>
          <w:p w14:paraId="5DF8CCD2">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台车</w:t>
            </w:r>
          </w:p>
        </w:tc>
        <w:tc>
          <w:tcPr>
            <w:tcW w:w="2958" w:type="pct"/>
            <w:tcBorders>
              <w:tl2br w:val="nil"/>
              <w:tr2bl w:val="nil"/>
            </w:tcBorders>
            <w:vAlign w:val="center"/>
          </w:tcPr>
          <w:p w14:paraId="4D23EBBE">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1台</w:t>
            </w:r>
          </w:p>
        </w:tc>
      </w:tr>
      <w:tr w14:paraId="502C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1689D6C9">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1412" w:type="pct"/>
            <w:tcBorders>
              <w:tl2br w:val="nil"/>
              <w:tr2bl w:val="nil"/>
            </w:tcBorders>
            <w:vAlign w:val="center"/>
          </w:tcPr>
          <w:p w14:paraId="70005376">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内镜电刀</w:t>
            </w:r>
          </w:p>
        </w:tc>
        <w:tc>
          <w:tcPr>
            <w:tcW w:w="2958" w:type="pct"/>
            <w:tcBorders>
              <w:tl2br w:val="nil"/>
              <w:tr2bl w:val="nil"/>
            </w:tcBorders>
            <w:vAlign w:val="center"/>
          </w:tcPr>
          <w:p w14:paraId="4DCC5764">
            <w:pPr>
              <w:rPr>
                <w:rFonts w:ascii="宋体" w:hAnsi="宋体" w:cs="宋体"/>
                <w:bCs/>
                <w:color w:val="auto"/>
                <w:kern w:val="0"/>
                <w:sz w:val="22"/>
                <w:szCs w:val="22"/>
                <w:highlight w:val="none"/>
              </w:rPr>
            </w:pPr>
            <w:r>
              <w:rPr>
                <w:rFonts w:hint="eastAsia" w:ascii="宋体" w:hAnsi="宋体" w:cs="宋体"/>
                <w:color w:val="auto"/>
                <w:sz w:val="22"/>
                <w:szCs w:val="22"/>
                <w:highlight w:val="none"/>
              </w:rPr>
              <w:t>1套</w:t>
            </w:r>
          </w:p>
        </w:tc>
      </w:tr>
      <w:tr w14:paraId="48D8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5191021D">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★7.1</w:t>
            </w:r>
          </w:p>
        </w:tc>
        <w:tc>
          <w:tcPr>
            <w:tcW w:w="4371" w:type="pct"/>
            <w:gridSpan w:val="2"/>
            <w:tcBorders>
              <w:tl2br w:val="nil"/>
              <w:tr2bl w:val="nil"/>
            </w:tcBorders>
            <w:vAlign w:val="center"/>
          </w:tcPr>
          <w:p w14:paraId="32F06846">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具备单极</w:t>
            </w:r>
            <w:bookmarkStart w:id="24" w:name="OLE_LINK7"/>
            <w:bookmarkStart w:id="25" w:name="OLE_LINK6"/>
            <w:r>
              <w:rPr>
                <w:rFonts w:hint="eastAsia" w:ascii="宋体" w:hAnsi="宋体" w:cs="宋体"/>
                <w:bCs/>
                <w:color w:val="auto"/>
                <w:kern w:val="0"/>
                <w:sz w:val="22"/>
                <w:szCs w:val="22"/>
                <w:highlight w:val="none"/>
              </w:rPr>
              <w:t>切割</w:t>
            </w:r>
            <w:bookmarkEnd w:id="24"/>
            <w:bookmarkEnd w:id="25"/>
            <w:r>
              <w:rPr>
                <w:rFonts w:hint="eastAsia" w:ascii="宋体" w:hAnsi="宋体" w:cs="宋体"/>
                <w:bCs/>
                <w:color w:val="auto"/>
                <w:kern w:val="0"/>
                <w:sz w:val="22"/>
                <w:szCs w:val="22"/>
                <w:highlight w:val="none"/>
              </w:rPr>
              <w:t>模式</w:t>
            </w:r>
            <w:r>
              <w:rPr>
                <w:rFonts w:hint="eastAsia" w:ascii="宋体" w:hAnsi="宋体" w:cs="宋体"/>
                <w:bCs/>
                <w:color w:val="auto"/>
                <w:sz w:val="22"/>
                <w:szCs w:val="22"/>
                <w:highlight w:val="none"/>
              </w:rPr>
              <w:t>：</w:t>
            </w:r>
            <w:r>
              <w:rPr>
                <w:rFonts w:hint="eastAsia" w:ascii="宋体" w:hAnsi="宋体" w:cs="宋体"/>
                <w:bCs/>
                <w:color w:val="auto"/>
                <w:kern w:val="0"/>
                <w:sz w:val="22"/>
                <w:szCs w:val="22"/>
                <w:highlight w:val="none"/>
              </w:rPr>
              <w:t>切割</w:t>
            </w:r>
            <w:r>
              <w:rPr>
                <w:rFonts w:hint="eastAsia" w:ascii="宋体" w:hAnsi="宋体" w:cs="宋体"/>
                <w:bCs/>
                <w:color w:val="auto"/>
                <w:sz w:val="22"/>
                <w:szCs w:val="22"/>
                <w:highlight w:val="none"/>
              </w:rPr>
              <w:t>模式</w:t>
            </w:r>
            <w:r>
              <w:rPr>
                <w:rFonts w:hint="eastAsia" w:ascii="宋体" w:hAnsi="宋体" w:cs="宋体"/>
                <w:bCs/>
                <w:color w:val="auto"/>
                <w:kern w:val="0"/>
                <w:sz w:val="22"/>
                <w:szCs w:val="22"/>
                <w:highlight w:val="none"/>
              </w:rPr>
              <w:t>≥3种；高频功率极限：10W至200W,每档1 W</w:t>
            </w:r>
          </w:p>
        </w:tc>
      </w:tr>
      <w:tr w14:paraId="7CD3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63DC18FA">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7.2</w:t>
            </w:r>
          </w:p>
        </w:tc>
        <w:tc>
          <w:tcPr>
            <w:tcW w:w="4371" w:type="pct"/>
            <w:gridSpan w:val="2"/>
            <w:tcBorders>
              <w:tl2br w:val="nil"/>
              <w:tr2bl w:val="nil"/>
            </w:tcBorders>
            <w:vAlign w:val="center"/>
          </w:tcPr>
          <w:p w14:paraId="12BDA0DE">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单极切割模式：</w:t>
            </w:r>
            <w:r>
              <w:rPr>
                <w:rFonts w:hint="eastAsia" w:ascii="宋体" w:hAnsi="宋体" w:cs="宋体"/>
                <w:bCs/>
                <w:color w:val="auto"/>
                <w:sz w:val="22"/>
                <w:szCs w:val="22"/>
                <w:highlight w:val="none"/>
              </w:rPr>
              <w:t>具备</w:t>
            </w:r>
            <w:r>
              <w:rPr>
                <w:rFonts w:hint="eastAsia" w:ascii="宋体" w:hAnsi="宋体" w:cs="宋体"/>
                <w:bCs/>
                <w:color w:val="auto"/>
                <w:kern w:val="0"/>
                <w:sz w:val="22"/>
                <w:szCs w:val="22"/>
                <w:highlight w:val="none"/>
              </w:rPr>
              <w:t xml:space="preserve">内镜专用切割模式，分别适用于内镜下十二指肠乳头切开和内镜粘膜下剥离。 </w:t>
            </w:r>
          </w:p>
        </w:tc>
      </w:tr>
      <w:tr w14:paraId="1385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B62ECE7">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★7.3</w:t>
            </w:r>
          </w:p>
        </w:tc>
        <w:tc>
          <w:tcPr>
            <w:tcW w:w="4371" w:type="pct"/>
            <w:gridSpan w:val="2"/>
            <w:tcBorders>
              <w:tl2br w:val="nil"/>
              <w:tr2bl w:val="nil"/>
            </w:tcBorders>
            <w:vAlign w:val="center"/>
          </w:tcPr>
          <w:p w14:paraId="5C1FBD11">
            <w:pPr>
              <w:rPr>
                <w:rFonts w:ascii="宋体" w:hAnsi="宋体" w:cs="宋体"/>
                <w:bCs/>
                <w:color w:val="auto"/>
                <w:sz w:val="22"/>
                <w:szCs w:val="22"/>
                <w:highlight w:val="none"/>
              </w:rPr>
            </w:pPr>
            <w:bookmarkStart w:id="26" w:name="OLE_LINK3"/>
            <w:r>
              <w:rPr>
                <w:rFonts w:hint="eastAsia" w:ascii="宋体" w:hAnsi="宋体" w:cs="宋体"/>
                <w:bCs/>
                <w:color w:val="auto"/>
                <w:sz w:val="22"/>
                <w:szCs w:val="22"/>
                <w:highlight w:val="none"/>
              </w:rPr>
              <w:t>具备</w:t>
            </w:r>
            <w:bookmarkEnd w:id="26"/>
            <w:r>
              <w:rPr>
                <w:rFonts w:hint="eastAsia" w:ascii="宋体" w:hAnsi="宋体" w:cs="宋体"/>
                <w:bCs/>
                <w:color w:val="auto"/>
                <w:sz w:val="22"/>
                <w:szCs w:val="22"/>
                <w:highlight w:val="none"/>
              </w:rPr>
              <w:t>单极电凝模式</w:t>
            </w:r>
            <w:bookmarkStart w:id="27" w:name="OLE_LINK5"/>
            <w:bookmarkStart w:id="28" w:name="OLE_LINK4"/>
            <w:r>
              <w:rPr>
                <w:rFonts w:hint="eastAsia" w:ascii="宋体" w:hAnsi="宋体" w:cs="宋体"/>
                <w:bCs/>
                <w:color w:val="auto"/>
                <w:sz w:val="22"/>
                <w:szCs w:val="22"/>
                <w:highlight w:val="none"/>
              </w:rPr>
              <w:t>：电凝输出模式</w:t>
            </w:r>
            <w:bookmarkEnd w:id="27"/>
            <w:bookmarkEnd w:id="28"/>
            <w:r>
              <w:rPr>
                <w:rFonts w:hint="eastAsia" w:ascii="宋体" w:hAnsi="宋体" w:cs="宋体"/>
                <w:bCs/>
                <w:color w:val="auto"/>
                <w:sz w:val="22"/>
                <w:szCs w:val="22"/>
                <w:highlight w:val="none"/>
              </w:rPr>
              <w:t>≥2种，额定频率：350 kHz</w:t>
            </w:r>
          </w:p>
        </w:tc>
      </w:tr>
      <w:tr w14:paraId="7BD4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DCBEDD2">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7.4</w:t>
            </w:r>
          </w:p>
        </w:tc>
        <w:tc>
          <w:tcPr>
            <w:tcW w:w="4371" w:type="pct"/>
            <w:gridSpan w:val="2"/>
            <w:tcBorders>
              <w:tl2br w:val="nil"/>
              <w:tr2bl w:val="nil"/>
            </w:tcBorders>
            <w:vAlign w:val="center"/>
          </w:tcPr>
          <w:p w14:paraId="18A0B65C">
            <w:pPr>
              <w:rPr>
                <w:rFonts w:ascii="宋体" w:hAnsi="宋体" w:cs="宋体"/>
                <w:bCs/>
                <w:color w:val="auto"/>
                <w:sz w:val="22"/>
                <w:szCs w:val="22"/>
                <w:highlight w:val="none"/>
              </w:rPr>
            </w:pPr>
            <w:r>
              <w:rPr>
                <w:rFonts w:hint="eastAsia" w:ascii="宋体" w:hAnsi="宋体" w:cs="宋体"/>
                <w:bCs/>
                <w:color w:val="auto"/>
                <w:sz w:val="22"/>
                <w:szCs w:val="22"/>
                <w:highlight w:val="none"/>
              </w:rPr>
              <w:t>具备双极模式：双极柔和电凝，可射频治疗。自动停止功能：在组织粘连于仪器前,自动停止功能自动结束仪器运行</w:t>
            </w:r>
          </w:p>
        </w:tc>
      </w:tr>
      <w:tr w14:paraId="76FC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7A782F44">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★7.5</w:t>
            </w:r>
          </w:p>
        </w:tc>
        <w:tc>
          <w:tcPr>
            <w:tcW w:w="4371" w:type="pct"/>
            <w:gridSpan w:val="2"/>
            <w:tcBorders>
              <w:tl2br w:val="nil"/>
              <w:tr2bl w:val="nil"/>
            </w:tcBorders>
            <w:vAlign w:val="center"/>
          </w:tcPr>
          <w:p w14:paraId="08BC48E9">
            <w:pPr>
              <w:rPr>
                <w:rFonts w:ascii="宋体" w:hAnsi="宋体" w:cs="宋体"/>
                <w:bCs/>
                <w:color w:val="auto"/>
                <w:sz w:val="22"/>
                <w:szCs w:val="22"/>
                <w:highlight w:val="none"/>
              </w:rPr>
            </w:pPr>
            <w:r>
              <w:rPr>
                <w:rFonts w:hint="eastAsia" w:ascii="宋体" w:hAnsi="宋体" w:cs="宋体"/>
                <w:bCs/>
                <w:color w:val="auto"/>
                <w:sz w:val="22"/>
                <w:szCs w:val="22"/>
                <w:highlight w:val="none"/>
              </w:rPr>
              <w:t>具备中性电极安全监测系统：监控中性电极危急情况下发出警告,从而防止灼伤。</w:t>
            </w:r>
          </w:p>
        </w:tc>
      </w:tr>
      <w:tr w14:paraId="6812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03453BAE">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8</w:t>
            </w:r>
          </w:p>
        </w:tc>
        <w:tc>
          <w:tcPr>
            <w:tcW w:w="1412" w:type="pct"/>
            <w:tcBorders>
              <w:tl2br w:val="nil"/>
              <w:tr2bl w:val="nil"/>
            </w:tcBorders>
            <w:vAlign w:val="center"/>
          </w:tcPr>
          <w:p w14:paraId="12FF75B0">
            <w:pPr>
              <w:rPr>
                <w:rFonts w:ascii="宋体" w:hAnsi="宋体" w:cs="宋体"/>
                <w:color w:val="auto"/>
                <w:sz w:val="22"/>
                <w:szCs w:val="22"/>
                <w:highlight w:val="none"/>
              </w:rPr>
            </w:pPr>
            <w:r>
              <w:rPr>
                <w:rFonts w:hint="eastAsia" w:ascii="宋体" w:hAnsi="宋体" w:cs="宋体"/>
                <w:bCs/>
                <w:color w:val="auto"/>
                <w:sz w:val="22"/>
                <w:szCs w:val="22"/>
                <w:highlight w:val="none"/>
              </w:rPr>
              <w:t>全自动内镜清洗机（双缸）</w:t>
            </w:r>
          </w:p>
        </w:tc>
        <w:tc>
          <w:tcPr>
            <w:tcW w:w="2958" w:type="pct"/>
            <w:tcBorders>
              <w:tl2br w:val="nil"/>
              <w:tr2bl w:val="nil"/>
            </w:tcBorders>
            <w:vAlign w:val="center"/>
          </w:tcPr>
          <w:p w14:paraId="74F76169">
            <w:pPr>
              <w:rPr>
                <w:rFonts w:ascii="宋体" w:hAnsi="宋体" w:cs="宋体"/>
                <w:bCs/>
                <w:color w:val="auto"/>
                <w:kern w:val="0"/>
                <w:sz w:val="22"/>
                <w:szCs w:val="22"/>
                <w:highlight w:val="none"/>
              </w:rPr>
            </w:pPr>
            <w:r>
              <w:rPr>
                <w:rFonts w:hint="eastAsia" w:ascii="宋体" w:hAnsi="宋体" w:cs="宋体"/>
                <w:bCs/>
                <w:color w:val="auto"/>
                <w:sz w:val="22"/>
                <w:szCs w:val="22"/>
                <w:highlight w:val="none"/>
              </w:rPr>
              <w:t>1套</w:t>
            </w:r>
          </w:p>
        </w:tc>
      </w:tr>
      <w:tr w14:paraId="68E8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5637858D">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8.1</w:t>
            </w:r>
          </w:p>
        </w:tc>
        <w:tc>
          <w:tcPr>
            <w:tcW w:w="1412" w:type="pct"/>
            <w:tcBorders>
              <w:tl2br w:val="nil"/>
              <w:tr2bl w:val="nil"/>
            </w:tcBorders>
            <w:vAlign w:val="center"/>
          </w:tcPr>
          <w:p w14:paraId="13164C72">
            <w:pPr>
              <w:rPr>
                <w:rFonts w:ascii="宋体" w:hAnsi="宋体" w:cs="宋体"/>
                <w:color w:val="auto"/>
                <w:sz w:val="22"/>
                <w:szCs w:val="22"/>
                <w:highlight w:val="none"/>
              </w:rPr>
            </w:pPr>
            <w:r>
              <w:rPr>
                <w:rFonts w:hint="eastAsia" w:ascii="宋体" w:hAnsi="宋体" w:cs="宋体"/>
                <w:color w:val="auto"/>
                <w:sz w:val="22"/>
                <w:szCs w:val="22"/>
                <w:highlight w:val="none"/>
              </w:rPr>
              <w:t>用途</w:t>
            </w:r>
          </w:p>
        </w:tc>
        <w:tc>
          <w:tcPr>
            <w:tcW w:w="2958" w:type="pct"/>
            <w:tcBorders>
              <w:tl2br w:val="nil"/>
              <w:tr2bl w:val="nil"/>
            </w:tcBorders>
            <w:vAlign w:val="center"/>
          </w:tcPr>
          <w:p w14:paraId="47E2BC2B">
            <w:pPr>
              <w:rPr>
                <w:rFonts w:ascii="宋体" w:hAnsi="宋体" w:cs="宋体"/>
                <w:bCs/>
                <w:color w:val="auto"/>
                <w:kern w:val="0"/>
                <w:sz w:val="22"/>
                <w:szCs w:val="22"/>
                <w:highlight w:val="none"/>
              </w:rPr>
            </w:pPr>
            <w:r>
              <w:rPr>
                <w:rFonts w:hint="eastAsia" w:ascii="宋体" w:hAnsi="宋体" w:cs="宋体"/>
                <w:color w:val="auto"/>
                <w:kern w:val="0"/>
                <w:sz w:val="22"/>
                <w:szCs w:val="22"/>
                <w:highlight w:val="none"/>
              </w:rPr>
              <w:t>适用于各种型号的软式内窥镜清洗消毒</w:t>
            </w:r>
          </w:p>
        </w:tc>
      </w:tr>
      <w:tr w14:paraId="014A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2C1E7A67">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★8.2</w:t>
            </w:r>
          </w:p>
        </w:tc>
        <w:tc>
          <w:tcPr>
            <w:tcW w:w="1412" w:type="pct"/>
            <w:tcBorders>
              <w:tl2br w:val="nil"/>
              <w:tr2bl w:val="nil"/>
            </w:tcBorders>
            <w:vAlign w:val="center"/>
          </w:tcPr>
          <w:p w14:paraId="2561D583">
            <w:pPr>
              <w:rPr>
                <w:rFonts w:ascii="宋体" w:hAnsi="宋体" w:cs="宋体"/>
                <w:color w:val="auto"/>
                <w:sz w:val="22"/>
                <w:szCs w:val="22"/>
                <w:highlight w:val="none"/>
              </w:rPr>
            </w:pPr>
            <w:r>
              <w:rPr>
                <w:rFonts w:hint="eastAsia" w:ascii="宋体" w:hAnsi="宋体" w:cs="宋体"/>
                <w:color w:val="auto"/>
                <w:sz w:val="22"/>
                <w:szCs w:val="22"/>
                <w:highlight w:val="none"/>
              </w:rPr>
              <w:t>清洗数量</w:t>
            </w:r>
          </w:p>
        </w:tc>
        <w:tc>
          <w:tcPr>
            <w:tcW w:w="2958" w:type="pct"/>
            <w:tcBorders>
              <w:tl2br w:val="nil"/>
              <w:tr2bl w:val="nil"/>
            </w:tcBorders>
            <w:vAlign w:val="center"/>
          </w:tcPr>
          <w:p w14:paraId="696FF9FE">
            <w:pPr>
              <w:pStyle w:val="84"/>
              <w:spacing w:line="360" w:lineRule="auto"/>
              <w:ind w:firstLine="0" w:firstLineChars="0"/>
              <w:rPr>
                <w:rFonts w:ascii="宋体" w:hAnsi="宋体" w:cs="宋体"/>
                <w:bCs/>
                <w:color w:val="auto"/>
                <w:kern w:val="0"/>
                <w:sz w:val="22"/>
                <w:szCs w:val="22"/>
                <w:highlight w:val="none"/>
              </w:rPr>
            </w:pPr>
            <w:r>
              <w:rPr>
                <w:rFonts w:hint="eastAsia" w:ascii="宋体" w:hAnsi="宋体" w:cs="宋体"/>
                <w:bCs/>
                <w:color w:val="auto"/>
                <w:sz w:val="22"/>
                <w:szCs w:val="22"/>
                <w:highlight w:val="none"/>
              </w:rPr>
              <w:t>双槽可同时处理2条胃、肠镜 ；双槽可同步或异步工作，槽体及配套的消毒液箱，酶液箱，酒精装置均独立设置。</w:t>
            </w:r>
          </w:p>
        </w:tc>
      </w:tr>
      <w:tr w14:paraId="2F32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7EB545F6">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★8.3</w:t>
            </w:r>
          </w:p>
        </w:tc>
        <w:tc>
          <w:tcPr>
            <w:tcW w:w="1412" w:type="pct"/>
            <w:tcBorders>
              <w:tl2br w:val="nil"/>
              <w:tr2bl w:val="nil"/>
            </w:tcBorders>
            <w:vAlign w:val="center"/>
          </w:tcPr>
          <w:p w14:paraId="1556EB09">
            <w:pPr>
              <w:rPr>
                <w:rFonts w:ascii="宋体" w:hAnsi="宋体" w:cs="宋体"/>
                <w:color w:val="auto"/>
                <w:sz w:val="22"/>
                <w:szCs w:val="22"/>
                <w:highlight w:val="none"/>
              </w:rPr>
            </w:pPr>
            <w:r>
              <w:rPr>
                <w:rFonts w:hint="eastAsia" w:ascii="宋体" w:hAnsi="宋体" w:cs="宋体"/>
                <w:bCs/>
                <w:color w:val="auto"/>
                <w:sz w:val="22"/>
                <w:szCs w:val="22"/>
                <w:highlight w:val="none"/>
              </w:rPr>
              <w:t>消毒效果检测报告</w:t>
            </w:r>
          </w:p>
        </w:tc>
        <w:tc>
          <w:tcPr>
            <w:tcW w:w="2958" w:type="pct"/>
            <w:tcBorders>
              <w:tl2br w:val="nil"/>
              <w:tr2bl w:val="nil"/>
            </w:tcBorders>
            <w:vAlign w:val="center"/>
          </w:tcPr>
          <w:p w14:paraId="23851DBA">
            <w:pPr>
              <w:rPr>
                <w:rFonts w:ascii="宋体" w:hAnsi="宋体" w:cs="宋体"/>
                <w:bCs/>
                <w:color w:val="auto"/>
                <w:kern w:val="0"/>
                <w:sz w:val="22"/>
                <w:szCs w:val="22"/>
                <w:highlight w:val="none"/>
              </w:rPr>
            </w:pPr>
            <w:r>
              <w:rPr>
                <w:rFonts w:hint="eastAsia" w:ascii="宋体" w:hAnsi="宋体" w:cs="宋体"/>
                <w:color w:val="auto"/>
                <w:sz w:val="22"/>
                <w:szCs w:val="22"/>
                <w:highlight w:val="none"/>
              </w:rPr>
              <w:t>设备可使用符合规定的多种消毒液：提供</w:t>
            </w:r>
            <w:r>
              <w:rPr>
                <w:rFonts w:hint="eastAsia" w:ascii="宋体" w:hAnsi="宋体" w:cs="宋体"/>
                <w:color w:val="auto"/>
                <w:kern w:val="0"/>
                <w:sz w:val="22"/>
                <w:szCs w:val="22"/>
                <w:highlight w:val="none"/>
                <w:lang w:bidi="he-IL"/>
              </w:rPr>
              <w:t>邻苯二甲醛、过氧乙酸、含氯的消毒剂、戊二醛等</w:t>
            </w:r>
            <w:r>
              <w:rPr>
                <w:rFonts w:hint="eastAsia" w:ascii="宋体" w:hAnsi="宋体" w:cs="宋体"/>
                <w:color w:val="auto"/>
                <w:sz w:val="22"/>
                <w:szCs w:val="22"/>
                <w:highlight w:val="none"/>
              </w:rPr>
              <w:t>中不少于三种消毒剂的枯草杆菌黑色变种芽孢的杀灭对数值≥3.0的消毒效果的第三方检测报告。</w:t>
            </w:r>
          </w:p>
        </w:tc>
      </w:tr>
      <w:tr w14:paraId="684B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6FD20571">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★8.4</w:t>
            </w:r>
          </w:p>
        </w:tc>
        <w:tc>
          <w:tcPr>
            <w:tcW w:w="1412" w:type="pct"/>
            <w:tcBorders>
              <w:tl2br w:val="nil"/>
              <w:tr2bl w:val="nil"/>
            </w:tcBorders>
            <w:vAlign w:val="center"/>
          </w:tcPr>
          <w:p w14:paraId="5695514A">
            <w:pPr>
              <w:rPr>
                <w:rFonts w:ascii="宋体" w:hAnsi="宋体" w:cs="宋体"/>
                <w:color w:val="auto"/>
                <w:sz w:val="22"/>
                <w:szCs w:val="22"/>
                <w:highlight w:val="none"/>
              </w:rPr>
            </w:pPr>
            <w:r>
              <w:rPr>
                <w:rFonts w:hint="eastAsia" w:ascii="宋体" w:hAnsi="宋体" w:cs="宋体"/>
                <w:bCs/>
                <w:color w:val="auto"/>
                <w:sz w:val="22"/>
                <w:szCs w:val="22"/>
                <w:highlight w:val="none"/>
              </w:rPr>
              <w:t>设备尺寸</w:t>
            </w:r>
          </w:p>
        </w:tc>
        <w:tc>
          <w:tcPr>
            <w:tcW w:w="2958" w:type="pct"/>
            <w:tcBorders>
              <w:tl2br w:val="nil"/>
              <w:tr2bl w:val="nil"/>
            </w:tcBorders>
            <w:vAlign w:val="center"/>
          </w:tcPr>
          <w:p w14:paraId="03A8FF39">
            <w:pPr>
              <w:pStyle w:val="84"/>
              <w:spacing w:line="360" w:lineRule="auto"/>
              <w:ind w:firstLine="0" w:firstLineChars="0"/>
              <w:rPr>
                <w:rFonts w:ascii="宋体" w:hAnsi="宋体" w:cs="宋体"/>
                <w:bCs/>
                <w:color w:val="auto"/>
                <w:sz w:val="22"/>
                <w:szCs w:val="22"/>
                <w:highlight w:val="none"/>
              </w:rPr>
            </w:pPr>
            <w:r>
              <w:rPr>
                <w:rFonts w:hint="eastAsia" w:ascii="宋体" w:hAnsi="宋体" w:cs="宋体"/>
                <w:bCs/>
                <w:color w:val="auto"/>
                <w:sz w:val="22"/>
                <w:szCs w:val="22"/>
                <w:highlight w:val="none"/>
              </w:rPr>
              <w:t>宽度≤1160（mm）、深度≥750（mm）、高度≤980</w:t>
            </w:r>
            <w:bookmarkStart w:id="29" w:name="OLE_LINK8"/>
            <w:r>
              <w:rPr>
                <w:rFonts w:hint="eastAsia" w:ascii="宋体" w:hAnsi="宋体" w:cs="宋体"/>
                <w:bCs/>
                <w:color w:val="auto"/>
                <w:sz w:val="22"/>
                <w:szCs w:val="22"/>
                <w:highlight w:val="none"/>
              </w:rPr>
              <w:t>（mm）</w:t>
            </w:r>
            <w:bookmarkEnd w:id="29"/>
          </w:p>
        </w:tc>
      </w:tr>
      <w:tr w14:paraId="6C50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0D0316C5">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9</w:t>
            </w:r>
          </w:p>
        </w:tc>
        <w:tc>
          <w:tcPr>
            <w:tcW w:w="1412" w:type="pct"/>
            <w:tcBorders>
              <w:tl2br w:val="nil"/>
              <w:tr2bl w:val="nil"/>
            </w:tcBorders>
            <w:vAlign w:val="center"/>
          </w:tcPr>
          <w:p w14:paraId="33B9927F">
            <w:pPr>
              <w:rPr>
                <w:rFonts w:ascii="宋体" w:hAnsi="宋体" w:cs="宋体"/>
                <w:color w:val="auto"/>
                <w:sz w:val="22"/>
                <w:szCs w:val="22"/>
                <w:highlight w:val="none"/>
              </w:rPr>
            </w:pPr>
            <w:r>
              <w:rPr>
                <w:rFonts w:hint="eastAsia" w:ascii="宋体" w:hAnsi="宋体" w:cs="宋体"/>
                <w:bCs/>
                <w:color w:val="auto"/>
                <w:sz w:val="22"/>
                <w:szCs w:val="22"/>
                <w:highlight w:val="none"/>
              </w:rPr>
              <w:t>手动胃、肠镜清洗工作站</w:t>
            </w:r>
          </w:p>
        </w:tc>
        <w:tc>
          <w:tcPr>
            <w:tcW w:w="2958" w:type="pct"/>
            <w:tcBorders>
              <w:tl2br w:val="nil"/>
              <w:tr2bl w:val="nil"/>
            </w:tcBorders>
            <w:vAlign w:val="center"/>
          </w:tcPr>
          <w:p w14:paraId="3E6439FC">
            <w:pPr>
              <w:rPr>
                <w:rFonts w:ascii="宋体" w:hAnsi="宋体" w:cs="宋体"/>
                <w:bCs/>
                <w:color w:val="auto"/>
                <w:kern w:val="0"/>
                <w:sz w:val="22"/>
                <w:szCs w:val="22"/>
                <w:highlight w:val="none"/>
              </w:rPr>
            </w:pPr>
            <w:r>
              <w:rPr>
                <w:rFonts w:hint="eastAsia" w:ascii="宋体" w:hAnsi="宋体" w:cs="宋体"/>
                <w:bCs/>
                <w:color w:val="auto"/>
                <w:sz w:val="22"/>
                <w:szCs w:val="22"/>
                <w:highlight w:val="none"/>
              </w:rPr>
              <w:t>1套</w:t>
            </w:r>
          </w:p>
        </w:tc>
      </w:tr>
      <w:tr w14:paraId="6871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6BB02649">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9.1</w:t>
            </w:r>
          </w:p>
        </w:tc>
        <w:tc>
          <w:tcPr>
            <w:tcW w:w="1412" w:type="pct"/>
            <w:tcBorders>
              <w:tl2br w:val="nil"/>
              <w:tr2bl w:val="nil"/>
            </w:tcBorders>
            <w:vAlign w:val="center"/>
          </w:tcPr>
          <w:p w14:paraId="71B1B35D">
            <w:pPr>
              <w:rPr>
                <w:rFonts w:ascii="宋体" w:hAnsi="宋体" w:cs="宋体"/>
                <w:color w:val="auto"/>
                <w:sz w:val="22"/>
                <w:szCs w:val="22"/>
                <w:highlight w:val="none"/>
              </w:rPr>
            </w:pPr>
            <w:r>
              <w:rPr>
                <w:rFonts w:hint="eastAsia" w:ascii="宋体" w:hAnsi="宋体" w:cs="宋体"/>
                <w:color w:val="auto"/>
                <w:sz w:val="22"/>
                <w:szCs w:val="22"/>
                <w:highlight w:val="none"/>
              </w:rPr>
              <w:t>结构及组成</w:t>
            </w:r>
          </w:p>
        </w:tc>
        <w:tc>
          <w:tcPr>
            <w:tcW w:w="2958" w:type="pct"/>
            <w:tcBorders>
              <w:tl2br w:val="nil"/>
              <w:tr2bl w:val="nil"/>
            </w:tcBorders>
            <w:vAlign w:val="center"/>
          </w:tcPr>
          <w:p w14:paraId="1B15C083">
            <w:pPr>
              <w:rPr>
                <w:rFonts w:ascii="宋体" w:hAnsi="宋体" w:cs="宋体"/>
                <w:bCs/>
                <w:color w:val="auto"/>
                <w:kern w:val="0"/>
                <w:sz w:val="22"/>
                <w:szCs w:val="22"/>
                <w:highlight w:val="none"/>
              </w:rPr>
            </w:pPr>
            <w:r>
              <w:rPr>
                <w:rFonts w:hint="eastAsia" w:ascii="宋体" w:hAnsi="宋体" w:cs="宋体"/>
                <w:color w:val="auto"/>
                <w:sz w:val="22"/>
                <w:szCs w:val="22"/>
                <w:highlight w:val="none"/>
              </w:rPr>
              <w:t>结构及组成：清洗槽、漂洗槽、消毒槽、终末漂洗槽干燥台及控制系统组成，各功能槽可根据需求选配组合（提供注册证可选配的证明）。</w:t>
            </w:r>
          </w:p>
        </w:tc>
      </w:tr>
      <w:tr w14:paraId="4197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5D7A24A1">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9.2</w:t>
            </w:r>
          </w:p>
        </w:tc>
        <w:tc>
          <w:tcPr>
            <w:tcW w:w="1412" w:type="pct"/>
            <w:tcBorders>
              <w:tl2br w:val="nil"/>
              <w:tr2bl w:val="nil"/>
            </w:tcBorders>
            <w:vAlign w:val="center"/>
          </w:tcPr>
          <w:p w14:paraId="7BAFEB6C">
            <w:pPr>
              <w:rPr>
                <w:rFonts w:ascii="宋体" w:hAnsi="宋体" w:cs="宋体"/>
                <w:color w:val="auto"/>
                <w:sz w:val="22"/>
                <w:szCs w:val="22"/>
                <w:highlight w:val="none"/>
              </w:rPr>
            </w:pPr>
            <w:r>
              <w:rPr>
                <w:rFonts w:hint="eastAsia" w:ascii="宋体" w:hAnsi="宋体" w:cs="宋体"/>
                <w:color w:val="auto"/>
                <w:sz w:val="22"/>
                <w:szCs w:val="22"/>
                <w:highlight w:val="none"/>
              </w:rPr>
              <w:t>配置</w:t>
            </w:r>
          </w:p>
        </w:tc>
        <w:tc>
          <w:tcPr>
            <w:tcW w:w="2958" w:type="pct"/>
            <w:tcBorders>
              <w:tl2br w:val="nil"/>
              <w:tr2bl w:val="nil"/>
            </w:tcBorders>
            <w:vAlign w:val="center"/>
          </w:tcPr>
          <w:p w14:paraId="3FD00D8D">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清洗槽8个，高压水气枪各2把，给排水系统8套，医用无油空压机2台，自动灌流器8套，自动加酶2套，气体处理系统2套。</w:t>
            </w:r>
          </w:p>
        </w:tc>
      </w:tr>
      <w:tr w14:paraId="33CC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09337747">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10</w:t>
            </w:r>
          </w:p>
        </w:tc>
        <w:tc>
          <w:tcPr>
            <w:tcW w:w="1412" w:type="pct"/>
            <w:tcBorders>
              <w:tl2br w:val="nil"/>
              <w:tr2bl w:val="nil"/>
            </w:tcBorders>
            <w:vAlign w:val="center"/>
          </w:tcPr>
          <w:p w14:paraId="1EAA9B32">
            <w:pPr>
              <w:rPr>
                <w:rFonts w:ascii="宋体" w:hAnsi="宋体" w:cs="宋体"/>
                <w:color w:val="auto"/>
                <w:sz w:val="22"/>
                <w:szCs w:val="22"/>
                <w:highlight w:val="none"/>
              </w:rPr>
            </w:pPr>
            <w:r>
              <w:rPr>
                <w:rFonts w:hint="eastAsia" w:ascii="宋体" w:hAnsi="宋体" w:cs="宋体"/>
                <w:bCs/>
                <w:color w:val="auto"/>
                <w:sz w:val="22"/>
                <w:szCs w:val="22"/>
                <w:highlight w:val="none"/>
              </w:rPr>
              <w:t>水处理设备</w:t>
            </w:r>
          </w:p>
        </w:tc>
        <w:tc>
          <w:tcPr>
            <w:tcW w:w="2958" w:type="pct"/>
            <w:tcBorders>
              <w:tl2br w:val="nil"/>
              <w:tr2bl w:val="nil"/>
            </w:tcBorders>
            <w:vAlign w:val="center"/>
          </w:tcPr>
          <w:p w14:paraId="510317D7">
            <w:pPr>
              <w:rPr>
                <w:rFonts w:ascii="宋体" w:hAnsi="宋体" w:cs="宋体"/>
                <w:bCs/>
                <w:color w:val="auto"/>
                <w:kern w:val="0"/>
                <w:sz w:val="22"/>
                <w:szCs w:val="22"/>
                <w:highlight w:val="none"/>
              </w:rPr>
            </w:pPr>
            <w:r>
              <w:rPr>
                <w:rFonts w:hint="eastAsia" w:ascii="宋体" w:hAnsi="宋体" w:cs="宋体"/>
                <w:bCs/>
                <w:color w:val="auto"/>
                <w:sz w:val="22"/>
                <w:szCs w:val="22"/>
                <w:highlight w:val="none"/>
              </w:rPr>
              <w:t>1套</w:t>
            </w:r>
          </w:p>
        </w:tc>
      </w:tr>
      <w:tr w14:paraId="019D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136E16BD">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10.1</w:t>
            </w:r>
          </w:p>
        </w:tc>
        <w:tc>
          <w:tcPr>
            <w:tcW w:w="4371" w:type="pct"/>
            <w:gridSpan w:val="2"/>
            <w:tcBorders>
              <w:tl2br w:val="nil"/>
              <w:tr2bl w:val="nil"/>
            </w:tcBorders>
            <w:vAlign w:val="center"/>
          </w:tcPr>
          <w:p w14:paraId="1904605A">
            <w:pPr>
              <w:rPr>
                <w:rFonts w:ascii="宋体" w:hAnsi="宋体" w:cs="宋体"/>
                <w:bCs/>
                <w:color w:val="auto"/>
                <w:kern w:val="0"/>
                <w:sz w:val="22"/>
                <w:szCs w:val="22"/>
                <w:highlight w:val="none"/>
              </w:rPr>
            </w:pPr>
            <w:r>
              <w:rPr>
                <w:rFonts w:hint="eastAsia" w:ascii="宋体" w:hAnsi="宋体" w:cs="宋体"/>
                <w:color w:val="auto"/>
                <w:kern w:val="0"/>
                <w:sz w:val="22"/>
                <w:szCs w:val="22"/>
                <w:highlight w:val="none"/>
              </w:rPr>
              <w:t>产水量：≥500升/小时（水温25℃）</w:t>
            </w:r>
          </w:p>
        </w:tc>
      </w:tr>
      <w:tr w14:paraId="0918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150074C0">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10.2</w:t>
            </w:r>
          </w:p>
        </w:tc>
        <w:tc>
          <w:tcPr>
            <w:tcW w:w="4371" w:type="pct"/>
            <w:gridSpan w:val="2"/>
            <w:tcBorders>
              <w:tl2br w:val="nil"/>
              <w:tr2bl w:val="nil"/>
            </w:tcBorders>
            <w:vAlign w:val="center"/>
          </w:tcPr>
          <w:p w14:paraId="5EC325BA">
            <w:pPr>
              <w:rPr>
                <w:rFonts w:ascii="宋体" w:hAnsi="宋体" w:cs="宋体"/>
                <w:bCs/>
                <w:color w:val="auto"/>
                <w:kern w:val="0"/>
                <w:sz w:val="22"/>
                <w:szCs w:val="22"/>
                <w:highlight w:val="none"/>
              </w:rPr>
            </w:pPr>
            <w:r>
              <w:rPr>
                <w:rFonts w:hint="eastAsia" w:ascii="宋体" w:hAnsi="宋体" w:cs="宋体"/>
                <w:color w:val="auto"/>
                <w:kern w:val="0"/>
                <w:sz w:val="22"/>
                <w:szCs w:val="22"/>
                <w:highlight w:val="none"/>
              </w:rPr>
              <w:t>菌落数≤10CFU/100ml，符合WS507-2016软式内镜洗消规范的用水标准</w:t>
            </w:r>
          </w:p>
        </w:tc>
      </w:tr>
      <w:tr w14:paraId="3E3E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AA8668F">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10.3</w:t>
            </w:r>
          </w:p>
        </w:tc>
        <w:tc>
          <w:tcPr>
            <w:tcW w:w="4371" w:type="pct"/>
            <w:gridSpan w:val="2"/>
            <w:tcBorders>
              <w:tl2br w:val="nil"/>
              <w:tr2bl w:val="nil"/>
            </w:tcBorders>
            <w:vAlign w:val="center"/>
          </w:tcPr>
          <w:p w14:paraId="23B76EA4">
            <w:pPr>
              <w:rPr>
                <w:rFonts w:ascii="宋体" w:hAnsi="宋体" w:cs="宋体"/>
                <w:bCs/>
                <w:color w:val="auto"/>
                <w:kern w:val="0"/>
                <w:sz w:val="22"/>
                <w:szCs w:val="22"/>
                <w:highlight w:val="none"/>
              </w:rPr>
            </w:pPr>
            <w:r>
              <w:rPr>
                <w:rFonts w:hint="eastAsia" w:ascii="宋体" w:hAnsi="宋体" w:cs="宋体"/>
                <w:color w:val="auto"/>
                <w:kern w:val="0"/>
                <w:sz w:val="22"/>
                <w:szCs w:val="22"/>
                <w:highlight w:val="none"/>
              </w:rPr>
              <w:t>主要功能：定时自动冲洗程序，具有开机自检。缺水保护报警。停电自动复位。低压和高压保护等功能</w:t>
            </w:r>
          </w:p>
        </w:tc>
      </w:tr>
      <w:tr w14:paraId="025C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11AFED6B">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11</w:t>
            </w:r>
          </w:p>
        </w:tc>
        <w:tc>
          <w:tcPr>
            <w:tcW w:w="4371" w:type="pct"/>
            <w:gridSpan w:val="2"/>
            <w:tcBorders>
              <w:tl2br w:val="nil"/>
              <w:tr2bl w:val="nil"/>
            </w:tcBorders>
            <w:vAlign w:val="center"/>
          </w:tcPr>
          <w:p w14:paraId="6313A2C9">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储镜柜1台</w:t>
            </w:r>
          </w:p>
        </w:tc>
      </w:tr>
      <w:tr w14:paraId="0F27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B833A44">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11.1</w:t>
            </w:r>
          </w:p>
        </w:tc>
        <w:tc>
          <w:tcPr>
            <w:tcW w:w="4371" w:type="pct"/>
            <w:gridSpan w:val="2"/>
            <w:tcBorders>
              <w:tl2br w:val="nil"/>
              <w:tr2bl w:val="nil"/>
            </w:tcBorders>
            <w:vAlign w:val="center"/>
          </w:tcPr>
          <w:p w14:paraId="6B6AC086">
            <w:pPr>
              <w:rPr>
                <w:rFonts w:ascii="宋体" w:hAnsi="宋体" w:cs="宋体"/>
                <w:color w:val="auto"/>
                <w:kern w:val="0"/>
                <w:sz w:val="22"/>
                <w:szCs w:val="22"/>
                <w:highlight w:val="none"/>
              </w:rPr>
            </w:pPr>
            <w:r>
              <w:rPr>
                <w:rFonts w:hint="eastAsia" w:ascii="宋体" w:hAnsi="宋体" w:cs="宋体"/>
                <w:color w:val="auto"/>
                <w:sz w:val="22"/>
                <w:szCs w:val="22"/>
                <w:highlight w:val="none"/>
              </w:rPr>
              <w:t>可储存镜子数量</w:t>
            </w:r>
            <w:r>
              <w:rPr>
                <w:rFonts w:hint="eastAsia" w:ascii="宋体" w:hAnsi="宋体" w:cs="宋体"/>
                <w:bCs/>
                <w:color w:val="auto"/>
                <w:kern w:val="0"/>
                <w:sz w:val="22"/>
                <w:szCs w:val="22"/>
                <w:highlight w:val="none"/>
              </w:rPr>
              <w:t>≥6根</w:t>
            </w:r>
          </w:p>
        </w:tc>
      </w:tr>
      <w:tr w14:paraId="4CA9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61AEA2FD">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12</w:t>
            </w:r>
          </w:p>
        </w:tc>
        <w:tc>
          <w:tcPr>
            <w:tcW w:w="4371" w:type="pct"/>
            <w:gridSpan w:val="2"/>
            <w:tcBorders>
              <w:tl2br w:val="nil"/>
              <w:tr2bl w:val="nil"/>
            </w:tcBorders>
            <w:vAlign w:val="center"/>
          </w:tcPr>
          <w:p w14:paraId="2326CB54">
            <w:pPr>
              <w:rPr>
                <w:rFonts w:ascii="宋体" w:hAnsi="宋体" w:cs="宋体"/>
                <w:color w:val="auto"/>
                <w:sz w:val="22"/>
                <w:szCs w:val="22"/>
                <w:highlight w:val="none"/>
              </w:rPr>
            </w:pPr>
            <w:r>
              <w:rPr>
                <w:rFonts w:hint="eastAsia" w:ascii="宋体" w:hAnsi="宋体" w:cs="宋体"/>
                <w:color w:val="auto"/>
                <w:sz w:val="22"/>
                <w:szCs w:val="22"/>
                <w:highlight w:val="none"/>
              </w:rPr>
              <w:t>检查床2张</w:t>
            </w:r>
          </w:p>
        </w:tc>
      </w:tr>
      <w:tr w14:paraId="5A14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2B032E9C">
            <w:pPr>
              <w:ind w:right="-5"/>
              <w:rPr>
                <w:rFonts w:ascii="宋体" w:hAnsi="宋体" w:cs="宋体"/>
                <w:bCs/>
                <w:color w:val="auto"/>
                <w:sz w:val="22"/>
                <w:szCs w:val="22"/>
                <w:highlight w:val="none"/>
              </w:rPr>
            </w:pPr>
            <w:r>
              <w:rPr>
                <w:rFonts w:hint="eastAsia" w:ascii="宋体" w:hAnsi="宋体" w:cs="宋体"/>
                <w:bCs/>
                <w:color w:val="auto"/>
                <w:sz w:val="22"/>
                <w:szCs w:val="22"/>
                <w:highlight w:val="none"/>
              </w:rPr>
              <w:t>12.1</w:t>
            </w:r>
          </w:p>
        </w:tc>
        <w:tc>
          <w:tcPr>
            <w:tcW w:w="4371" w:type="pct"/>
            <w:gridSpan w:val="2"/>
            <w:tcBorders>
              <w:tl2br w:val="nil"/>
              <w:tr2bl w:val="nil"/>
            </w:tcBorders>
            <w:vAlign w:val="center"/>
          </w:tcPr>
          <w:p w14:paraId="20E44057">
            <w:pPr>
              <w:rPr>
                <w:rFonts w:ascii="宋体" w:hAnsi="宋体" w:cs="宋体"/>
                <w:color w:val="auto"/>
                <w:sz w:val="22"/>
                <w:szCs w:val="22"/>
                <w:highlight w:val="none"/>
              </w:rPr>
            </w:pPr>
            <w:r>
              <w:rPr>
                <w:rFonts w:hint="eastAsia" w:ascii="宋体" w:hAnsi="宋体" w:cs="宋体"/>
                <w:color w:val="auto"/>
                <w:sz w:val="22"/>
                <w:szCs w:val="22"/>
                <w:highlight w:val="none"/>
              </w:rPr>
              <w:t>满足胃肠镜的诊疗需求</w:t>
            </w:r>
          </w:p>
        </w:tc>
      </w:tr>
      <w:tr w14:paraId="3C55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0E9AFAAA">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4371" w:type="pct"/>
            <w:gridSpan w:val="2"/>
            <w:tcBorders>
              <w:tl2br w:val="nil"/>
              <w:tr2bl w:val="nil"/>
            </w:tcBorders>
            <w:vAlign w:val="center"/>
          </w:tcPr>
          <w:p w14:paraId="0B49FFAA">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其他</w:t>
            </w:r>
          </w:p>
        </w:tc>
      </w:tr>
      <w:tr w14:paraId="0E94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60A3CF68">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13.1</w:t>
            </w:r>
          </w:p>
        </w:tc>
        <w:tc>
          <w:tcPr>
            <w:tcW w:w="4371" w:type="pct"/>
            <w:gridSpan w:val="2"/>
            <w:tcBorders>
              <w:tl2br w:val="nil"/>
              <w:tr2bl w:val="nil"/>
            </w:tcBorders>
            <w:vAlign w:val="center"/>
          </w:tcPr>
          <w:p w14:paraId="4AC30EC3">
            <w:pPr>
              <w:spacing w:line="360" w:lineRule="auto"/>
              <w:rPr>
                <w:rFonts w:ascii="宋体" w:hAnsi="宋体" w:cs="宋体"/>
                <w:bCs/>
                <w:color w:val="auto"/>
                <w:sz w:val="22"/>
                <w:szCs w:val="22"/>
                <w:highlight w:val="none"/>
              </w:rPr>
            </w:pPr>
            <w:r>
              <w:rPr>
                <w:rFonts w:hint="eastAsia" w:ascii="宋体" w:hAnsi="宋体" w:cs="宋体"/>
                <w:color w:val="auto"/>
                <w:sz w:val="22"/>
                <w:szCs w:val="22"/>
                <w:highlight w:val="none"/>
              </w:rPr>
              <w:t>供应商承担设备与医院PACS等信息网络端口连接所需费用，费用包含在投标总价内</w:t>
            </w:r>
          </w:p>
        </w:tc>
      </w:tr>
      <w:tr w14:paraId="1508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pct"/>
            <w:tcBorders>
              <w:tl2br w:val="nil"/>
              <w:tr2bl w:val="nil"/>
            </w:tcBorders>
            <w:vAlign w:val="center"/>
          </w:tcPr>
          <w:p w14:paraId="3D8DFF4A">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13.2</w:t>
            </w:r>
          </w:p>
        </w:tc>
        <w:tc>
          <w:tcPr>
            <w:tcW w:w="4371" w:type="pct"/>
            <w:gridSpan w:val="2"/>
            <w:tcBorders>
              <w:tl2br w:val="nil"/>
              <w:tr2bl w:val="nil"/>
            </w:tcBorders>
            <w:vAlign w:val="center"/>
          </w:tcPr>
          <w:p w14:paraId="6CDE16CB">
            <w:pPr>
              <w:spacing w:line="360" w:lineRule="auto"/>
              <w:rPr>
                <w:rFonts w:ascii="宋体" w:hAnsi="宋体" w:cs="宋体"/>
                <w:bCs/>
                <w:color w:val="auto"/>
                <w:sz w:val="22"/>
                <w:szCs w:val="22"/>
                <w:highlight w:val="none"/>
              </w:rPr>
            </w:pPr>
            <w:r>
              <w:rPr>
                <w:rFonts w:hint="eastAsia" w:ascii="宋体" w:hAnsi="宋体" w:cs="宋体"/>
                <w:color w:val="auto"/>
                <w:sz w:val="22"/>
                <w:szCs w:val="22"/>
                <w:highlight w:val="none"/>
              </w:rPr>
              <w:t>内窥镜主机和镜子保修≥3年</w:t>
            </w:r>
          </w:p>
        </w:tc>
      </w:tr>
    </w:tbl>
    <w:p w14:paraId="3A204460">
      <w:pPr>
        <w:spacing w:line="460" w:lineRule="atLeas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3.配置清单</w:t>
      </w:r>
    </w:p>
    <w:tbl>
      <w:tblPr>
        <w:tblStyle w:val="4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98"/>
        <w:gridCol w:w="7954"/>
      </w:tblGrid>
      <w:tr w14:paraId="7250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3CCE8617">
            <w:pPr>
              <w:spacing w:line="360" w:lineRule="auto"/>
              <w:rPr>
                <w:rFonts w:ascii="宋体" w:hAnsi="宋体" w:cs="宋体"/>
                <w:color w:val="auto"/>
                <w:sz w:val="22"/>
                <w:szCs w:val="22"/>
                <w:highlight w:val="none"/>
              </w:rPr>
            </w:pPr>
            <w:r>
              <w:rPr>
                <w:rFonts w:hint="eastAsia" w:ascii="宋体" w:hAnsi="宋体" w:cs="宋体"/>
                <w:snapToGrid w:val="0"/>
                <w:color w:val="auto"/>
                <w:kern w:val="0"/>
                <w:sz w:val="22"/>
                <w:szCs w:val="22"/>
                <w:highlight w:val="none"/>
              </w:rPr>
              <w:t>14</w:t>
            </w:r>
          </w:p>
        </w:tc>
        <w:tc>
          <w:tcPr>
            <w:tcW w:w="4036" w:type="pct"/>
            <w:tcBorders>
              <w:tl2br w:val="nil"/>
              <w:tr2bl w:val="nil"/>
            </w:tcBorders>
            <w:vAlign w:val="center"/>
          </w:tcPr>
          <w:p w14:paraId="0EDB3F4E">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配置要求</w:t>
            </w:r>
          </w:p>
        </w:tc>
      </w:tr>
      <w:tr w14:paraId="67A7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293779FF">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14.1</w:t>
            </w:r>
          </w:p>
        </w:tc>
        <w:tc>
          <w:tcPr>
            <w:tcW w:w="4036" w:type="pct"/>
            <w:tcBorders>
              <w:tl2br w:val="nil"/>
              <w:tr2bl w:val="nil"/>
            </w:tcBorders>
            <w:vAlign w:val="center"/>
          </w:tcPr>
          <w:p w14:paraId="4E1F0D28">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高清主机：1套</w:t>
            </w:r>
          </w:p>
        </w:tc>
      </w:tr>
      <w:tr w14:paraId="70AB9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16F6E789">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14.2</w:t>
            </w:r>
          </w:p>
        </w:tc>
        <w:tc>
          <w:tcPr>
            <w:tcW w:w="4036" w:type="pct"/>
            <w:tcBorders>
              <w:tl2br w:val="nil"/>
              <w:tr2bl w:val="nil"/>
            </w:tcBorders>
            <w:vAlign w:val="center"/>
          </w:tcPr>
          <w:p w14:paraId="3803C911">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高清电子胃镜：3根</w:t>
            </w:r>
          </w:p>
        </w:tc>
      </w:tr>
      <w:tr w14:paraId="3DC06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79D8B2D9">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14.3</w:t>
            </w:r>
          </w:p>
        </w:tc>
        <w:tc>
          <w:tcPr>
            <w:tcW w:w="4036" w:type="pct"/>
            <w:tcBorders>
              <w:tl2br w:val="nil"/>
              <w:tr2bl w:val="nil"/>
            </w:tcBorders>
            <w:vAlign w:val="center"/>
          </w:tcPr>
          <w:p w14:paraId="1B5099EE">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高清电子肠镜：3根</w:t>
            </w:r>
          </w:p>
        </w:tc>
      </w:tr>
      <w:tr w14:paraId="60DE8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3FA0D0C8">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14.4</w:t>
            </w:r>
          </w:p>
        </w:tc>
        <w:tc>
          <w:tcPr>
            <w:tcW w:w="4036" w:type="pct"/>
            <w:tcBorders>
              <w:tl2br w:val="nil"/>
              <w:tr2bl w:val="nil"/>
            </w:tcBorders>
            <w:vAlign w:val="center"/>
          </w:tcPr>
          <w:p w14:paraId="183F2B59">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高清监视器：1台</w:t>
            </w:r>
          </w:p>
        </w:tc>
      </w:tr>
      <w:tr w14:paraId="6C80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6633675B">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14.5</w:t>
            </w:r>
          </w:p>
        </w:tc>
        <w:tc>
          <w:tcPr>
            <w:tcW w:w="4036" w:type="pct"/>
            <w:tcBorders>
              <w:tl2br w:val="nil"/>
              <w:tr2bl w:val="nil"/>
            </w:tcBorders>
            <w:vAlign w:val="center"/>
          </w:tcPr>
          <w:p w14:paraId="58FF834D">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台车：1台</w:t>
            </w:r>
          </w:p>
        </w:tc>
      </w:tr>
      <w:tr w14:paraId="2565E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33510036">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14.6</w:t>
            </w:r>
          </w:p>
        </w:tc>
        <w:tc>
          <w:tcPr>
            <w:tcW w:w="4036" w:type="pct"/>
            <w:tcBorders>
              <w:tl2br w:val="nil"/>
              <w:tr2bl w:val="nil"/>
            </w:tcBorders>
            <w:vAlign w:val="center"/>
          </w:tcPr>
          <w:p w14:paraId="5B6F8BC3">
            <w:pPr>
              <w:spacing w:line="360" w:lineRule="auto"/>
              <w:rPr>
                <w:rFonts w:ascii="宋体" w:hAnsi="宋体" w:cs="宋体"/>
                <w:bCs/>
                <w:color w:val="auto"/>
                <w:sz w:val="22"/>
                <w:szCs w:val="22"/>
                <w:highlight w:val="none"/>
              </w:rPr>
            </w:pPr>
            <w:r>
              <w:rPr>
                <w:rFonts w:hint="eastAsia" w:ascii="宋体"/>
                <w:color w:val="auto"/>
                <w:sz w:val="22"/>
                <w:szCs w:val="22"/>
                <w:highlight w:val="none"/>
              </w:rPr>
              <w:t>图文工作站：1套</w:t>
            </w:r>
          </w:p>
        </w:tc>
      </w:tr>
      <w:tr w14:paraId="57ECB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112A66E7">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14.7</w:t>
            </w:r>
          </w:p>
        </w:tc>
        <w:tc>
          <w:tcPr>
            <w:tcW w:w="4036" w:type="pct"/>
            <w:tcBorders>
              <w:tl2br w:val="nil"/>
              <w:tr2bl w:val="nil"/>
            </w:tcBorders>
            <w:vAlign w:val="center"/>
          </w:tcPr>
          <w:p w14:paraId="7A40AD87">
            <w:pPr>
              <w:spacing w:line="360" w:lineRule="auto"/>
              <w:rPr>
                <w:rFonts w:ascii="宋体"/>
                <w:color w:val="auto"/>
                <w:sz w:val="22"/>
                <w:szCs w:val="22"/>
                <w:highlight w:val="none"/>
              </w:rPr>
            </w:pPr>
            <w:r>
              <w:rPr>
                <w:rFonts w:hint="eastAsia" w:ascii="宋体"/>
                <w:color w:val="auto"/>
                <w:sz w:val="22"/>
                <w:szCs w:val="22"/>
                <w:highlight w:val="none"/>
              </w:rPr>
              <w:t>内镜电刀：1套</w:t>
            </w:r>
          </w:p>
        </w:tc>
      </w:tr>
      <w:tr w14:paraId="35EFA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24F9A71F">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14.8</w:t>
            </w:r>
          </w:p>
        </w:tc>
        <w:tc>
          <w:tcPr>
            <w:tcW w:w="4036" w:type="pct"/>
            <w:tcBorders>
              <w:tl2br w:val="nil"/>
              <w:tr2bl w:val="nil"/>
            </w:tcBorders>
            <w:vAlign w:val="center"/>
          </w:tcPr>
          <w:p w14:paraId="256CA231">
            <w:pPr>
              <w:spacing w:line="360" w:lineRule="auto"/>
              <w:rPr>
                <w:rFonts w:ascii="宋体"/>
                <w:color w:val="auto"/>
                <w:sz w:val="22"/>
                <w:szCs w:val="22"/>
                <w:highlight w:val="none"/>
              </w:rPr>
            </w:pPr>
            <w:r>
              <w:rPr>
                <w:rFonts w:hint="eastAsia" w:ascii="宋体"/>
                <w:color w:val="auto"/>
                <w:sz w:val="22"/>
                <w:szCs w:val="22"/>
                <w:highlight w:val="none"/>
              </w:rPr>
              <w:t>二氧化碳充气泵：1套</w:t>
            </w:r>
          </w:p>
        </w:tc>
      </w:tr>
      <w:tr w14:paraId="6A723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7A7AAE5C">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14.9</w:t>
            </w:r>
          </w:p>
        </w:tc>
        <w:tc>
          <w:tcPr>
            <w:tcW w:w="4036" w:type="pct"/>
            <w:tcBorders>
              <w:tl2br w:val="nil"/>
              <w:tr2bl w:val="nil"/>
            </w:tcBorders>
            <w:vAlign w:val="center"/>
          </w:tcPr>
          <w:p w14:paraId="48D2106B">
            <w:pPr>
              <w:spacing w:line="360" w:lineRule="auto"/>
              <w:rPr>
                <w:rFonts w:ascii="宋体"/>
                <w:color w:val="auto"/>
                <w:sz w:val="22"/>
                <w:szCs w:val="22"/>
                <w:highlight w:val="none"/>
              </w:rPr>
            </w:pPr>
            <w:r>
              <w:rPr>
                <w:rFonts w:hint="eastAsia" w:ascii="宋体"/>
                <w:color w:val="auto"/>
                <w:sz w:val="22"/>
                <w:szCs w:val="22"/>
                <w:highlight w:val="none"/>
              </w:rPr>
              <w:t>注水泵：1套</w:t>
            </w:r>
          </w:p>
        </w:tc>
      </w:tr>
      <w:tr w14:paraId="421B0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66D00CDF">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14.10</w:t>
            </w:r>
          </w:p>
        </w:tc>
        <w:tc>
          <w:tcPr>
            <w:tcW w:w="4036" w:type="pct"/>
            <w:tcBorders>
              <w:tl2br w:val="nil"/>
              <w:tr2bl w:val="nil"/>
            </w:tcBorders>
            <w:vAlign w:val="center"/>
          </w:tcPr>
          <w:p w14:paraId="7DF22593">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全自动内镜清洗机：1套，双缸</w:t>
            </w:r>
          </w:p>
        </w:tc>
      </w:tr>
      <w:tr w14:paraId="40860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2ED83319">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14.11</w:t>
            </w:r>
          </w:p>
        </w:tc>
        <w:tc>
          <w:tcPr>
            <w:tcW w:w="4036" w:type="pct"/>
            <w:tcBorders>
              <w:tl2br w:val="nil"/>
              <w:tr2bl w:val="nil"/>
            </w:tcBorders>
            <w:vAlign w:val="center"/>
          </w:tcPr>
          <w:p w14:paraId="6DCC57FF">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手动胃、肠镜清洗工作站：1套</w:t>
            </w:r>
          </w:p>
        </w:tc>
      </w:tr>
      <w:tr w14:paraId="53794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1BF4EE67">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14.12</w:t>
            </w:r>
          </w:p>
        </w:tc>
        <w:tc>
          <w:tcPr>
            <w:tcW w:w="4036" w:type="pct"/>
            <w:tcBorders>
              <w:tl2br w:val="nil"/>
              <w:tr2bl w:val="nil"/>
            </w:tcBorders>
            <w:vAlign w:val="center"/>
          </w:tcPr>
          <w:p w14:paraId="1F54F68E">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水处理设备：1套</w:t>
            </w:r>
          </w:p>
        </w:tc>
      </w:tr>
      <w:tr w14:paraId="2B3A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18617B7B">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14.13</w:t>
            </w:r>
          </w:p>
        </w:tc>
        <w:tc>
          <w:tcPr>
            <w:tcW w:w="4036" w:type="pct"/>
            <w:tcBorders>
              <w:tl2br w:val="nil"/>
              <w:tr2bl w:val="nil"/>
            </w:tcBorders>
            <w:vAlign w:val="center"/>
          </w:tcPr>
          <w:p w14:paraId="06E0CDB2">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储镜柜：1台</w:t>
            </w:r>
          </w:p>
        </w:tc>
      </w:tr>
      <w:tr w14:paraId="3966A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37DF7B8A">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14.14</w:t>
            </w:r>
          </w:p>
        </w:tc>
        <w:tc>
          <w:tcPr>
            <w:tcW w:w="4036" w:type="pct"/>
            <w:tcBorders>
              <w:tl2br w:val="nil"/>
              <w:tr2bl w:val="nil"/>
            </w:tcBorders>
            <w:vAlign w:val="center"/>
          </w:tcPr>
          <w:p w14:paraId="54B84A94">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检查床：2张</w:t>
            </w:r>
          </w:p>
        </w:tc>
      </w:tr>
      <w:tr w14:paraId="5A495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3" w:type="pct"/>
            <w:tcBorders>
              <w:tl2br w:val="nil"/>
              <w:tr2bl w:val="nil"/>
            </w:tcBorders>
            <w:vAlign w:val="center"/>
          </w:tcPr>
          <w:p w14:paraId="46BB6E0E">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14.15</w:t>
            </w:r>
          </w:p>
        </w:tc>
        <w:tc>
          <w:tcPr>
            <w:tcW w:w="4036" w:type="pct"/>
            <w:tcBorders>
              <w:tl2br w:val="nil"/>
              <w:tr2bl w:val="nil"/>
            </w:tcBorders>
            <w:vAlign w:val="center"/>
          </w:tcPr>
          <w:p w14:paraId="695A9E5B">
            <w:pPr>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内镜转运车：3辆</w:t>
            </w:r>
          </w:p>
        </w:tc>
      </w:tr>
    </w:tbl>
    <w:p w14:paraId="300EE14B">
      <w:pPr>
        <w:rPr>
          <w:color w:val="auto"/>
          <w:highlight w:val="none"/>
        </w:rPr>
      </w:pPr>
    </w:p>
    <w:p w14:paraId="6C1D10CC">
      <w:pPr>
        <w:pStyle w:val="40"/>
        <w:rPr>
          <w:rFonts w:ascii="宋体" w:hAnsi="宋体" w:cs="宋体"/>
          <w:color w:val="auto"/>
          <w:highlight w:val="none"/>
        </w:rPr>
      </w:pPr>
      <w:r>
        <w:rPr>
          <w:rFonts w:hint="eastAsia" w:ascii="宋体" w:hAnsi="宋体" w:cs="宋体"/>
          <w:color w:val="auto"/>
          <w:highlight w:val="none"/>
        </w:rPr>
        <w:t>三、商务要求</w:t>
      </w:r>
      <w:bookmarkEnd w:id="18"/>
      <w:bookmarkEnd w:id="19"/>
    </w:p>
    <w:bookmarkEnd w:id="20"/>
    <w:bookmarkEnd w:id="21"/>
    <w:bookmarkEnd w:id="22"/>
    <w:p w14:paraId="1C82E2B2">
      <w:pPr>
        <w:widowControl/>
        <w:autoSpaceDE w:val="0"/>
        <w:autoSpaceDN w:val="0"/>
        <w:adjustRightInd w:val="0"/>
        <w:spacing w:line="460" w:lineRule="atLeast"/>
        <w:ind w:firstLine="440" w:firstLineChars="200"/>
        <w:textAlignment w:val="bottom"/>
        <w:rPr>
          <w:rFonts w:ascii="宋体" w:hAnsi="宋体" w:cs="宋体"/>
          <w:b/>
          <w:bCs/>
          <w:color w:val="auto"/>
          <w:sz w:val="22"/>
          <w:szCs w:val="22"/>
          <w:highlight w:val="none"/>
        </w:rPr>
      </w:pPr>
      <w:r>
        <w:rPr>
          <w:rFonts w:hint="eastAsia" w:ascii="宋体" w:hAnsi="宋体" w:cs="宋体"/>
          <w:color w:val="auto"/>
          <w:sz w:val="22"/>
          <w:szCs w:val="22"/>
          <w:highlight w:val="none"/>
        </w:rPr>
        <w:t>1.质保期</w:t>
      </w:r>
    </w:p>
    <w:p w14:paraId="51C0E014">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1.1保修期3年（提供原厂质保），终身维修。</w:t>
      </w:r>
    </w:p>
    <w:p w14:paraId="2EB98FC0">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1.2每年质保期内故障率不得超过14天，如开机率达不到要求，每超过一天质保期相应延长10天。质保期内因设备本身缺陷造成各种故障应由卖方免费技术服务和维修，质保期满后维修只收配件费，免收其他一切费用。</w:t>
      </w:r>
    </w:p>
    <w:p w14:paraId="16CD2BAD">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1.3 2小时电话响应，24小时内到现场。</w:t>
      </w:r>
    </w:p>
    <w:p w14:paraId="4462DC4D">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1.4</w:t>
      </w:r>
      <w:r>
        <w:rPr>
          <w:rFonts w:hint="eastAsia" w:ascii="宋体" w:hAnsi="宋体" w:cs="宋体"/>
          <w:color w:val="auto"/>
          <w:sz w:val="22"/>
          <w:szCs w:val="22"/>
          <w:highlight w:val="none"/>
        </w:rPr>
        <w:tab/>
      </w:r>
      <w:r>
        <w:rPr>
          <w:rFonts w:hint="eastAsia" w:ascii="宋体" w:hAnsi="宋体" w:cs="宋体"/>
          <w:color w:val="auto"/>
          <w:sz w:val="22"/>
          <w:szCs w:val="22"/>
          <w:highlight w:val="none"/>
        </w:rPr>
        <w:t>供应商在投标文件中说明在质保期内提供的服务计划。</w:t>
      </w:r>
    </w:p>
    <w:p w14:paraId="2533871B">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2.付款方式</w:t>
      </w:r>
    </w:p>
    <w:p w14:paraId="10537A97">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2.1</w:t>
      </w:r>
      <w:r>
        <w:rPr>
          <w:rFonts w:hint="eastAsia" w:ascii="宋体" w:hAnsi="宋体" w:cs="宋体"/>
          <w:color w:val="auto"/>
          <w:sz w:val="22"/>
          <w:szCs w:val="22"/>
          <w:highlight w:val="none"/>
        </w:rPr>
        <w:tab/>
      </w:r>
      <w:r>
        <w:rPr>
          <w:rFonts w:hint="eastAsia" w:ascii="宋体" w:hAnsi="宋体" w:cs="宋体"/>
          <w:color w:val="auto"/>
          <w:sz w:val="22"/>
          <w:szCs w:val="22"/>
          <w:highlight w:val="none"/>
        </w:rPr>
        <w:t>采购人根据《浙江省财政厅关于进一步发挥政府采购政策功能全力推动经济稳进提质的通知》（浙财采监〔2022〕3号）执行预付款制度（小微企业中标的不少于40%），具体预付款支付比例应当在合同中约定。</w:t>
      </w:r>
    </w:p>
    <w:p w14:paraId="69A7B5DD">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lang w:val="zh-CN"/>
        </w:rPr>
        <w:t>验收合格后</w:t>
      </w: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个月内</w:t>
      </w:r>
      <w:r>
        <w:rPr>
          <w:rFonts w:hint="eastAsia" w:ascii="宋体" w:hAnsi="宋体" w:cs="宋体"/>
          <w:color w:val="auto"/>
          <w:sz w:val="22"/>
          <w:szCs w:val="22"/>
          <w:highlight w:val="none"/>
        </w:rPr>
        <w:t>剩余款项</w:t>
      </w:r>
      <w:r>
        <w:rPr>
          <w:rFonts w:hint="eastAsia" w:ascii="宋体" w:hAnsi="宋体" w:cs="宋体"/>
          <w:color w:val="auto"/>
          <w:sz w:val="22"/>
          <w:szCs w:val="22"/>
          <w:highlight w:val="none"/>
          <w:lang w:val="zh-CN"/>
        </w:rPr>
        <w:t>付</w:t>
      </w:r>
      <w:r>
        <w:rPr>
          <w:rFonts w:hint="eastAsia" w:ascii="宋体" w:hAnsi="宋体" w:cs="宋体"/>
          <w:color w:val="auto"/>
          <w:sz w:val="22"/>
          <w:szCs w:val="22"/>
          <w:highlight w:val="none"/>
        </w:rPr>
        <w:t>清</w:t>
      </w:r>
      <w:r>
        <w:rPr>
          <w:rFonts w:hint="eastAsia" w:ascii="宋体" w:hAnsi="宋体" w:cs="宋体"/>
          <w:color w:val="auto"/>
          <w:sz w:val="22"/>
          <w:szCs w:val="22"/>
          <w:highlight w:val="none"/>
          <w:lang w:val="zh-CN"/>
        </w:rPr>
        <w:t>。</w:t>
      </w:r>
    </w:p>
    <w:p w14:paraId="2CD15D7A">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如采购人无法按上述约定期限支付对应款项的，采购人与中标供应商根据实际情况另行协商确定付款时间，中标供应商确认不因采购人延期付款的情形要求采购人承担逾期付款利息等违约责任。</w:t>
      </w:r>
    </w:p>
    <w:p w14:paraId="616E4649">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3.售后服务</w:t>
      </w:r>
    </w:p>
    <w:p w14:paraId="51A70FC6">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3.1</w:t>
      </w:r>
      <w:r>
        <w:rPr>
          <w:rFonts w:hint="eastAsia" w:ascii="宋体" w:hAnsi="宋体" w:cs="宋体"/>
          <w:color w:val="auto"/>
          <w:sz w:val="22"/>
          <w:szCs w:val="22"/>
          <w:highlight w:val="none"/>
        </w:rPr>
        <w:tab/>
      </w:r>
      <w:r>
        <w:rPr>
          <w:rFonts w:hint="eastAsia" w:ascii="宋体" w:hAnsi="宋体" w:cs="宋体"/>
          <w:color w:val="auto"/>
          <w:sz w:val="22"/>
          <w:szCs w:val="22"/>
          <w:highlight w:val="none"/>
        </w:rPr>
        <w:t>在设备整个使用期内，供应商应确保设备的正常使用。在接到用户维修要求后应立即作出回应，并在24小时内派员到达买方现场实施维修。零配件在该设备停产后仍需保证十年的供应。维修过程中所需零配件供应商在接到通知后最长不超过3天必须送达采购人。</w:t>
      </w:r>
    </w:p>
    <w:p w14:paraId="1B58CB57">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3.2供应商应在投标文件中提供消耗品或易耗品价格。</w:t>
      </w:r>
    </w:p>
    <w:p w14:paraId="6D70C9EC">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3.3</w:t>
      </w:r>
      <w:r>
        <w:rPr>
          <w:rFonts w:hint="eastAsia" w:ascii="宋体" w:hAnsi="宋体" w:cs="宋体"/>
          <w:color w:val="auto"/>
          <w:sz w:val="22"/>
          <w:szCs w:val="22"/>
          <w:highlight w:val="none"/>
        </w:rPr>
        <w:tab/>
      </w:r>
      <w:r>
        <w:rPr>
          <w:rFonts w:hint="eastAsia" w:ascii="宋体" w:hAnsi="宋体" w:cs="宋体"/>
          <w:color w:val="auto"/>
          <w:sz w:val="22"/>
          <w:szCs w:val="22"/>
          <w:highlight w:val="none"/>
        </w:rPr>
        <w:t>供应商应在投标文件中应详细说明收费标准，包括保修价格、设备配件价格，维修服务费。提供维修点的分布情况。</w:t>
      </w:r>
    </w:p>
    <w:p w14:paraId="57D37542">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3.4供应商应在投标文件中提供售后服务方案，如售后服务机构备品备件储备，售后服务机构技术服务人员情况。</w:t>
      </w:r>
    </w:p>
    <w:p w14:paraId="624185A1">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4.技术支持</w:t>
      </w:r>
    </w:p>
    <w:p w14:paraId="6241BCDC">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4.1</w:t>
      </w:r>
      <w:r>
        <w:rPr>
          <w:rFonts w:hint="eastAsia" w:ascii="宋体" w:hAnsi="宋体" w:cs="宋体"/>
          <w:color w:val="auto"/>
          <w:sz w:val="22"/>
          <w:szCs w:val="22"/>
          <w:highlight w:val="none"/>
        </w:rPr>
        <w:tab/>
      </w:r>
      <w:r>
        <w:rPr>
          <w:rFonts w:hint="eastAsia" w:ascii="宋体" w:hAnsi="宋体" w:cs="宋体"/>
          <w:color w:val="auto"/>
          <w:sz w:val="22"/>
          <w:szCs w:val="22"/>
          <w:highlight w:val="none"/>
        </w:rPr>
        <w:t>供应商应提供免费软件升级。</w:t>
      </w:r>
    </w:p>
    <w:p w14:paraId="46E3D9D1">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5.培训</w:t>
      </w:r>
    </w:p>
    <w:p w14:paraId="64D7AE59">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5.1</w:t>
      </w:r>
      <w:r>
        <w:rPr>
          <w:rFonts w:hint="eastAsia" w:ascii="宋体" w:hAnsi="宋体" w:cs="宋体"/>
          <w:color w:val="auto"/>
          <w:sz w:val="22"/>
          <w:szCs w:val="22"/>
          <w:highlight w:val="none"/>
        </w:rPr>
        <w:tab/>
      </w:r>
      <w:r>
        <w:rPr>
          <w:rFonts w:hint="eastAsia" w:ascii="宋体" w:hAnsi="宋体" w:cs="宋体"/>
          <w:color w:val="auto"/>
          <w:sz w:val="22"/>
          <w:szCs w:val="22"/>
          <w:highlight w:val="none"/>
        </w:rPr>
        <w:t>供应商应对用户的维修人员提供培训，使其能对设备进行日常的维护保养及能对一般故障进行维修，并向培训人员提供维修图纸及维修手册、维修密码及软件备份。</w:t>
      </w:r>
    </w:p>
    <w:p w14:paraId="0087EAAA">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5.2 供应商应对用户的操作人员进行操作培训，使其能对设备进行熟练的操作。</w:t>
      </w:r>
    </w:p>
    <w:p w14:paraId="46EAA276">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5.3 供应商应对临床与工程师进行相关培训，提供培训方案。</w:t>
      </w:r>
    </w:p>
    <w:p w14:paraId="0053A217">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5.4 供应商应在投标文件的培训方案中详细说明。</w:t>
      </w:r>
    </w:p>
    <w:p w14:paraId="2049FDB5">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6.安装调试</w:t>
      </w:r>
    </w:p>
    <w:p w14:paraId="0DB61E14">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6.1</w:t>
      </w:r>
      <w:r>
        <w:rPr>
          <w:rFonts w:hint="eastAsia" w:ascii="宋体" w:hAnsi="宋体" w:cs="宋体"/>
          <w:color w:val="auto"/>
          <w:sz w:val="22"/>
          <w:szCs w:val="22"/>
          <w:highlight w:val="none"/>
        </w:rPr>
        <w:tab/>
      </w:r>
      <w:r>
        <w:rPr>
          <w:rFonts w:hint="eastAsia" w:ascii="宋体" w:hAnsi="宋体" w:cs="宋体"/>
          <w:color w:val="auto"/>
          <w:sz w:val="22"/>
          <w:szCs w:val="22"/>
          <w:highlight w:val="none"/>
        </w:rPr>
        <w:t>安装地点：采购人指定地点</w:t>
      </w:r>
    </w:p>
    <w:p w14:paraId="158DDE1C">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6.2</w:t>
      </w:r>
      <w:r>
        <w:rPr>
          <w:rFonts w:hint="eastAsia" w:ascii="宋体" w:hAnsi="宋体" w:cs="宋体"/>
          <w:color w:val="auto"/>
          <w:sz w:val="22"/>
          <w:szCs w:val="22"/>
          <w:highlight w:val="none"/>
        </w:rPr>
        <w:tab/>
      </w:r>
      <w:r>
        <w:rPr>
          <w:rFonts w:hint="eastAsia" w:ascii="宋体" w:hAnsi="宋体" w:cs="宋体"/>
          <w:color w:val="auto"/>
          <w:sz w:val="22"/>
          <w:szCs w:val="22"/>
          <w:highlight w:val="none"/>
        </w:rPr>
        <w:t>安装完成时间：接到采购人通知后1周内完成安装和调试，如在规定的时间内由于供应商的原因不能完成安装和调试，供应商应承担由此给采购人造成的损失</w:t>
      </w:r>
    </w:p>
    <w:p w14:paraId="02855502">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6.3</w:t>
      </w:r>
      <w:r>
        <w:rPr>
          <w:rFonts w:hint="eastAsia" w:ascii="宋体" w:hAnsi="宋体" w:cs="宋体"/>
          <w:color w:val="auto"/>
          <w:sz w:val="22"/>
          <w:szCs w:val="22"/>
          <w:highlight w:val="none"/>
        </w:rPr>
        <w:tab/>
      </w:r>
      <w:r>
        <w:rPr>
          <w:rFonts w:hint="eastAsia" w:ascii="宋体" w:hAnsi="宋体" w:cs="宋体"/>
          <w:color w:val="auto"/>
          <w:sz w:val="22"/>
          <w:szCs w:val="22"/>
          <w:highlight w:val="none"/>
        </w:rPr>
        <w:t>安装标准：符合我国国家有关技术规范要求和技术标准。</w:t>
      </w:r>
    </w:p>
    <w:p w14:paraId="21598AFA">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6.4</w:t>
      </w:r>
      <w:r>
        <w:rPr>
          <w:rFonts w:hint="eastAsia" w:ascii="宋体" w:hAnsi="宋体" w:cs="宋体"/>
          <w:color w:val="auto"/>
          <w:sz w:val="22"/>
          <w:szCs w:val="22"/>
          <w:highlight w:val="none"/>
        </w:rPr>
        <w:tab/>
      </w:r>
      <w:r>
        <w:rPr>
          <w:rFonts w:hint="eastAsia" w:ascii="宋体" w:hAnsi="宋体" w:cs="宋体"/>
          <w:color w:val="auto"/>
          <w:sz w:val="22"/>
          <w:szCs w:val="22"/>
          <w:highlight w:val="none"/>
        </w:rPr>
        <w:t>安装过程中发生的费用由供应商负责。</w:t>
      </w:r>
    </w:p>
    <w:p w14:paraId="2A509F57">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6.5供应商应在投标文件中提供安装调试方案和安装调试过程中采购人需配合的内容。</w:t>
      </w:r>
    </w:p>
    <w:p w14:paraId="39B3022B">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6.6</w:t>
      </w:r>
      <w:r>
        <w:rPr>
          <w:rFonts w:hint="eastAsia" w:ascii="宋体" w:hAnsi="宋体" w:cs="宋体"/>
          <w:color w:val="auto"/>
          <w:sz w:val="22"/>
          <w:szCs w:val="22"/>
          <w:highlight w:val="none"/>
        </w:rPr>
        <w:tab/>
      </w:r>
      <w:r>
        <w:rPr>
          <w:rFonts w:hint="eastAsia" w:ascii="宋体" w:hAnsi="宋体" w:cs="宋体"/>
          <w:color w:val="auto"/>
          <w:sz w:val="22"/>
          <w:szCs w:val="22"/>
          <w:highlight w:val="none"/>
        </w:rPr>
        <w:t>随机资料：提供使用操作手册2份，维修手册1份。</w:t>
      </w:r>
    </w:p>
    <w:p w14:paraId="6F5F0264">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6.7供应商承担设备机房防辐射装修费及预控评费用。</w:t>
      </w:r>
    </w:p>
    <w:p w14:paraId="442A8F9B">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7.验收</w:t>
      </w:r>
    </w:p>
    <w:p w14:paraId="5DF8C237">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7.1.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2E5E7624">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7.2.验收费用由产品供应商负担。</w:t>
      </w:r>
    </w:p>
    <w:p w14:paraId="4E023FDA">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8.交货</w:t>
      </w:r>
    </w:p>
    <w:p w14:paraId="4DAAB296">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8.1 交货期：合同签订后7天内</w:t>
      </w:r>
    </w:p>
    <w:p w14:paraId="692B2B4C">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8.2</w:t>
      </w:r>
      <w:r>
        <w:rPr>
          <w:rFonts w:hint="eastAsia" w:ascii="宋体" w:hAnsi="宋体" w:cs="宋体"/>
          <w:color w:val="auto"/>
          <w:sz w:val="22"/>
          <w:szCs w:val="22"/>
          <w:highlight w:val="none"/>
        </w:rPr>
        <w:tab/>
      </w:r>
      <w:r>
        <w:rPr>
          <w:rFonts w:hint="eastAsia" w:ascii="宋体" w:hAnsi="宋体" w:cs="宋体"/>
          <w:color w:val="auto"/>
          <w:sz w:val="22"/>
          <w:szCs w:val="22"/>
          <w:highlight w:val="none"/>
        </w:rPr>
        <w:t>交货地点：采购人指定地点</w:t>
      </w:r>
    </w:p>
    <w:p w14:paraId="7DC71854">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9.报价方式</w:t>
      </w:r>
    </w:p>
    <w:p w14:paraId="45C2A209">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9.1所有投标价格为含税价（含货物到用户应交纳的一切税费和伴随服务费）并进行分项报价；质保期后的维保费单独报价（不包括在投标价中），选购件单独分项报价（不包括在投标价中）。</w:t>
      </w:r>
    </w:p>
    <w:p w14:paraId="64813555">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10.使用年限≥5年。</w:t>
      </w:r>
    </w:p>
    <w:p w14:paraId="18174F3D">
      <w:pPr>
        <w:pStyle w:val="40"/>
        <w:rPr>
          <w:rFonts w:ascii="宋体" w:hAnsi="宋体" w:cs="宋体"/>
          <w:color w:val="auto"/>
          <w:highlight w:val="none"/>
        </w:rPr>
      </w:pPr>
      <w:bookmarkStart w:id="30" w:name="_Toc6536"/>
      <w:bookmarkStart w:id="31" w:name="_Toc25631"/>
      <w:r>
        <w:rPr>
          <w:rFonts w:hint="eastAsia" w:ascii="宋体" w:hAnsi="宋体" w:cs="宋体"/>
          <w:color w:val="auto"/>
          <w:highlight w:val="none"/>
        </w:rPr>
        <w:t>四、其他说明</w:t>
      </w:r>
      <w:bookmarkEnd w:id="30"/>
      <w:bookmarkEnd w:id="31"/>
    </w:p>
    <w:p w14:paraId="1CCD272C">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投标设备若纳入中华人民共和国医疗器械监督管理的，第一类医疗器械必须具备食品药品监督管理部门颁发的医疗器械备案凭证；第二、第三类医疗器械必须具备食品药品监督管理部门颁发的医疗器械注册证。</w:t>
      </w:r>
    </w:p>
    <w:p w14:paraId="296B6A2A">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2、供应商投标文件中须提供检测报告、产品合格证、产品说明等相关证明资料给予佐证。</w:t>
      </w:r>
    </w:p>
    <w:p w14:paraId="7127A1FC">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3、投标供应商需保证投标资料的真实性，供货时，采购人将进行如实核对，如查实投标资料有弄虚作假行为，将上报采购主管部门，废除其中标人资格并保留追究责任的权利。</w:t>
      </w:r>
    </w:p>
    <w:p w14:paraId="2DEE8984">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本项目采购人将对到货设备进行严格验收，供应商投标文件偏离表中未注明偏离，但实际到货设备达不到招标文件技术要求的，做验收不通过处理；供应商到货及安装、退货等所造成的损失自行承担，供应商须慎重投标。</w:t>
      </w:r>
    </w:p>
    <w:p w14:paraId="26B2C789">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本次招标的货物如涉及国家规定强制认证的，供应商未在投标文件偏离表中用明显字体予以声明的，均视为供应商投标产品符合了强制认证规定（如工业产品生产许可证，3C认证等），中标供应商须在采购人对上述货物验收时提供相关证书证明资料（上述产品相关强制认证的证明文件投标时不需提供，招标文件另有要求的除外），否则按验收不能通过，采购人给予退货、解除合同或经采购人同意换货处理，中标供应商自行承担由此造成的损失。</w:t>
      </w:r>
    </w:p>
    <w:p w14:paraId="61C7B285">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zh-CN"/>
        </w:rPr>
        <w:t>本次招标的</w:t>
      </w:r>
      <w:r>
        <w:rPr>
          <w:rFonts w:hint="eastAsia" w:ascii="宋体" w:hAnsi="宋体" w:cs="宋体"/>
          <w:color w:val="auto"/>
          <w:sz w:val="22"/>
          <w:szCs w:val="22"/>
          <w:highlight w:val="none"/>
        </w:rPr>
        <w:t>设备选配件未注明的，一律视为包含在投标总价中，由投标单位免费提供。</w:t>
      </w:r>
    </w:p>
    <w:p w14:paraId="035E22FB">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7、投标报价文件中需对易耗品进行报价，未注明易耗品或未报价的，一律视为包含在投标总价中，质保期内由投标单位免费提供。</w:t>
      </w:r>
    </w:p>
    <w:p w14:paraId="6A7E8D2D">
      <w:pPr>
        <w:autoSpaceDE w:val="0"/>
        <w:autoSpaceDN w:val="0"/>
        <w:adjustRightInd w:val="0"/>
        <w:spacing w:line="460" w:lineRule="atLeast"/>
        <w:ind w:firstLine="440" w:firstLineChars="200"/>
        <w:rPr>
          <w:rFonts w:ascii="宋体" w:hAnsi="宋体" w:cs="宋体"/>
          <w:color w:val="auto"/>
          <w:highlight w:val="none"/>
        </w:rPr>
      </w:pPr>
      <w:r>
        <w:rPr>
          <w:rFonts w:hint="eastAsia" w:ascii="宋体" w:hAnsi="宋体" w:cs="宋体"/>
          <w:color w:val="auto"/>
          <w:sz w:val="22"/>
          <w:szCs w:val="22"/>
          <w:highlight w:val="none"/>
        </w:rPr>
        <w:t>8、本项目如涉及接口费用，由投标单位承担，包含在投标总价中。</w:t>
      </w:r>
    </w:p>
    <w:p w14:paraId="46FF05CD">
      <w:pPr>
        <w:pStyle w:val="40"/>
        <w:rPr>
          <w:rFonts w:ascii="宋体" w:hAnsi="宋体" w:cs="宋体"/>
          <w:color w:val="auto"/>
          <w:highlight w:val="none"/>
        </w:rPr>
      </w:pPr>
      <w:bookmarkStart w:id="32" w:name="_Toc8269"/>
      <w:bookmarkStart w:id="33" w:name="_Toc4124"/>
      <w:r>
        <w:rPr>
          <w:rFonts w:hint="eastAsia" w:ascii="宋体" w:hAnsi="宋体" w:cs="宋体"/>
          <w:color w:val="auto"/>
          <w:highlight w:val="none"/>
        </w:rPr>
        <w:t>五、工作范围</w:t>
      </w:r>
      <w:bookmarkEnd w:id="32"/>
      <w:bookmarkEnd w:id="33"/>
    </w:p>
    <w:p w14:paraId="06DF0BD5">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根据采购文件，各供应商须按国家有关标准及规范完成下列工作：</w:t>
      </w:r>
    </w:p>
    <w:p w14:paraId="24675E2A">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1.提供完整成套的货物；</w:t>
      </w:r>
    </w:p>
    <w:p w14:paraId="6C57D4BF">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2.产品及相关附件地提供、运输、装卸、就位、安装、调试、检验、通过验收；</w:t>
      </w:r>
    </w:p>
    <w:p w14:paraId="1BB6DB0D">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3.完成各项调试、检验、测试工作，并在采购人的配合下通过验收；提供各种数据资料；直至通过验收；</w:t>
      </w:r>
    </w:p>
    <w:p w14:paraId="47CD50C7">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4.对最终使用单位的操作人员及维修人员进行技术培训；</w:t>
      </w:r>
    </w:p>
    <w:p w14:paraId="69342A83">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5.质保期内的维保及维修；</w:t>
      </w:r>
    </w:p>
    <w:p w14:paraId="0FFDC77D">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6.售后服务的措施及承诺。</w:t>
      </w:r>
    </w:p>
    <w:p w14:paraId="329F2C35">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以上工作内容的费用均包含在报价总价中。</w:t>
      </w:r>
    </w:p>
    <w:p w14:paraId="21469DE8">
      <w:pPr>
        <w:rPr>
          <w:rFonts w:ascii="宋体" w:hAnsi="宋体" w:cs="宋体"/>
          <w:snapToGrid w:val="0"/>
          <w:color w:val="auto"/>
          <w:kern w:val="0"/>
          <w:sz w:val="22"/>
          <w:szCs w:val="22"/>
          <w:highlight w:val="none"/>
          <w:lang w:bidi="zh-CN"/>
        </w:rPr>
      </w:pPr>
    </w:p>
    <w:p w14:paraId="254E6E63">
      <w:pPr>
        <w:rPr>
          <w:rFonts w:ascii="宋体" w:hAnsi="宋体" w:cs="宋体"/>
          <w:snapToGrid w:val="0"/>
          <w:color w:val="auto"/>
          <w:kern w:val="0"/>
          <w:sz w:val="22"/>
          <w:szCs w:val="22"/>
          <w:highlight w:val="none"/>
          <w:lang w:bidi="zh-CN"/>
        </w:rPr>
      </w:pPr>
    </w:p>
    <w:p w14:paraId="4F3297E5">
      <w:pPr>
        <w:pStyle w:val="5"/>
        <w:rPr>
          <w:color w:val="auto"/>
          <w:highlight w:val="none"/>
        </w:rPr>
      </w:pPr>
    </w:p>
    <w:bookmarkEnd w:id="11"/>
    <w:bookmarkEnd w:id="12"/>
    <w:bookmarkEnd w:id="13"/>
    <w:bookmarkEnd w:id="14"/>
    <w:p w14:paraId="3B8BA9A5">
      <w:pPr>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br w:type="page"/>
      </w:r>
    </w:p>
    <w:p w14:paraId="7C26215B">
      <w:pPr>
        <w:pStyle w:val="40"/>
        <w:rPr>
          <w:rFonts w:cs="新宋体" w:asciiTheme="majorEastAsia" w:hAnsiTheme="majorEastAsia" w:eastAsiaTheme="majorEastAsia"/>
          <w:color w:val="auto"/>
          <w:sz w:val="30"/>
          <w:szCs w:val="30"/>
          <w:highlight w:val="none"/>
        </w:rPr>
      </w:pPr>
      <w:bookmarkStart w:id="34" w:name="_Toc15919"/>
      <w:r>
        <w:rPr>
          <w:rFonts w:hint="eastAsia" w:cs="新宋体" w:asciiTheme="majorEastAsia" w:hAnsiTheme="majorEastAsia" w:eastAsiaTheme="majorEastAsia"/>
          <w:color w:val="auto"/>
          <w:sz w:val="30"/>
          <w:szCs w:val="30"/>
          <w:highlight w:val="none"/>
        </w:rPr>
        <w:t>第三部分 供应商须知</w:t>
      </w:r>
      <w:bookmarkEnd w:id="15"/>
      <w:bookmarkEnd w:id="16"/>
      <w:bookmarkEnd w:id="34"/>
    </w:p>
    <w:p w14:paraId="2CBBEDC2">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8"/>
          <w:szCs w:val="28"/>
          <w:highlight w:val="none"/>
        </w:rPr>
      </w:pPr>
      <w:bookmarkStart w:id="35" w:name="_Toc461563852"/>
      <w:bookmarkStart w:id="36" w:name="_Toc3034"/>
      <w:r>
        <w:rPr>
          <w:rFonts w:hint="eastAsia" w:cs="Arial" w:asciiTheme="majorEastAsia" w:hAnsiTheme="majorEastAsia" w:eastAsiaTheme="majorEastAsia"/>
          <w:b/>
          <w:bCs/>
          <w:color w:val="auto"/>
          <w:sz w:val="28"/>
          <w:szCs w:val="28"/>
          <w:highlight w:val="none"/>
        </w:rPr>
        <w:t>一、说明</w:t>
      </w:r>
      <w:bookmarkEnd w:id="35"/>
      <w:bookmarkEnd w:id="36"/>
    </w:p>
    <w:p w14:paraId="5CA7EB7A">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1、本次采购工作是按照《中华人民共和国政府采购法》、</w:t>
      </w:r>
      <w:r>
        <w:rPr>
          <w:rFonts w:hint="eastAsia" w:ascii="新宋体" w:hAnsi="新宋体" w:eastAsia="新宋体" w:cs="新宋体"/>
          <w:color w:val="auto"/>
          <w:sz w:val="22"/>
          <w:szCs w:val="22"/>
          <w:highlight w:val="none"/>
        </w:rPr>
        <w:t>《中华人民共和国政府采购法实施条例》、</w:t>
      </w:r>
      <w:r>
        <w:rPr>
          <w:rFonts w:hint="eastAsia" w:cs="新宋体" w:asciiTheme="majorEastAsia" w:hAnsiTheme="majorEastAsia" w:eastAsiaTheme="majorEastAsia"/>
          <w:color w:val="auto"/>
          <w:sz w:val="22"/>
          <w:szCs w:val="22"/>
          <w:highlight w:val="none"/>
        </w:rPr>
        <w:t>《政府采购货物和服务招标投标管理办法》及相关法律规章组织和实施。</w:t>
      </w:r>
    </w:p>
    <w:p w14:paraId="6F79F713">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2、供应商必须对全部内容进行投标报价，只对部分内容进行投标报价的供应商将按无效投标处理。</w:t>
      </w:r>
    </w:p>
    <w:p w14:paraId="3AD116E7">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3、无论投标过程中的做法和结果如何，供应商自行承担投标活动中所发生的全部费用。</w:t>
      </w:r>
    </w:p>
    <w:p w14:paraId="7B3C1E93">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14:paraId="4A86E378">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5、本项目采购预算见采购公告。</w:t>
      </w:r>
    </w:p>
    <w:p w14:paraId="3F0EF666">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lang w:val="zh-CN"/>
        </w:rPr>
        <w:t>6、</w:t>
      </w:r>
      <w:r>
        <w:rPr>
          <w:rFonts w:hint="eastAsia" w:cs="新宋体" w:asciiTheme="majorEastAsia" w:hAnsiTheme="majorEastAsia" w:eastAsiaTheme="majorEastAsia"/>
          <w:color w:val="auto"/>
          <w:sz w:val="22"/>
          <w:szCs w:val="22"/>
          <w:highlight w:val="none"/>
        </w:rPr>
        <w:t>投标供应商认为完成本招标文件规定的项目承包内容所发生的直接成本、间接成本、利润、税金、政策性文件规定的费用等一切费用均应计入投标报价，凡未列入的将被认为均已包含在投标总价中，今后不得以任何理由追加或调整。</w:t>
      </w:r>
    </w:p>
    <w:p w14:paraId="482A7943">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7、</w:t>
      </w:r>
      <w:r>
        <w:rPr>
          <w:rFonts w:cs="新宋体" w:asciiTheme="majorEastAsia" w:hAnsiTheme="majorEastAsia" w:eastAsiaTheme="majorEastAsia"/>
          <w:color w:val="auto"/>
          <w:sz w:val="22"/>
          <w:szCs w:val="22"/>
          <w:highlight w:val="none"/>
        </w:rPr>
        <w:t>采用最低评标价法的采购项目，提供相同品牌产品的不同投标供应商参加同一合同项下投标的，以其中通过资格审查、符合性审查且报价最低的参加评标；报价相同的，采取随机抽取方式确定，其他投标无效。</w:t>
      </w:r>
    </w:p>
    <w:p w14:paraId="2AE4EDA9">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cs="新宋体" w:asciiTheme="majorEastAsia" w:hAnsiTheme="majorEastAsia" w:eastAsiaTheme="majorEastAsia"/>
          <w:color w:val="auto"/>
          <w:sz w:val="22"/>
          <w:szCs w:val="22"/>
          <w:highlight w:val="none"/>
        </w:rPr>
        <w:t>使用综合评分法的采购项目，提供相同品牌产品且通过资格审查、符合性审查的不同投标供应商参加同一合同项下投标的，按一家投标供应商计算，评审后得分最高的同品牌投标供应商获得</w:t>
      </w:r>
      <w:r>
        <w:rPr>
          <w:rFonts w:hint="eastAsia" w:cs="新宋体" w:asciiTheme="majorEastAsia" w:hAnsiTheme="majorEastAsia" w:eastAsiaTheme="majorEastAsia"/>
          <w:color w:val="auto"/>
          <w:sz w:val="22"/>
          <w:szCs w:val="22"/>
          <w:highlight w:val="none"/>
        </w:rPr>
        <w:t>中标供应商</w:t>
      </w:r>
      <w:r>
        <w:rPr>
          <w:rFonts w:cs="新宋体" w:asciiTheme="majorEastAsia" w:hAnsiTheme="majorEastAsia" w:eastAsiaTheme="majorEastAsia"/>
          <w:color w:val="auto"/>
          <w:sz w:val="22"/>
          <w:szCs w:val="22"/>
          <w:highlight w:val="none"/>
        </w:rPr>
        <w:t>推荐资格；评审得分相同的，采取随机抽取方式确定，其他同品牌投标供应商不作为中标候选人。</w:t>
      </w:r>
    </w:p>
    <w:p w14:paraId="0C38EB3C">
      <w:pPr>
        <w:widowControl/>
        <w:autoSpaceDE w:val="0"/>
        <w:autoSpaceDN w:val="0"/>
        <w:adjustRightInd w:val="0"/>
        <w:spacing w:line="460" w:lineRule="atLeast"/>
        <w:ind w:firstLine="464" w:firstLineChars="200"/>
        <w:textAlignment w:val="bottom"/>
        <w:rPr>
          <w:rFonts w:cs="新宋体" w:asciiTheme="majorEastAsia" w:hAnsiTheme="majorEastAsia" w:eastAsiaTheme="majorEastAsia"/>
          <w:color w:val="auto"/>
          <w:sz w:val="22"/>
          <w:szCs w:val="22"/>
          <w:highlight w:val="none"/>
        </w:rPr>
      </w:pPr>
      <w:r>
        <w:rPr>
          <w:rFonts w:hint="eastAsia" w:ascii="新宋体" w:hAnsi="新宋体" w:eastAsia="新宋体" w:cs="宋体"/>
          <w:bCs/>
          <w:color w:val="auto"/>
          <w:spacing w:val="6"/>
          <w:sz w:val="22"/>
          <w:szCs w:val="22"/>
          <w:highlight w:val="none"/>
        </w:rPr>
        <w:t>非单一产品采购项目，采购人应当根据采购项目技术构成、产品价格比重等合理确定核心产品，并在采购文件中载明。多家供应商提供的核心产品品牌相同的，按前两款规定处理</w:t>
      </w:r>
      <w:r>
        <w:rPr>
          <w:rFonts w:hint="eastAsia" w:cs="新宋体" w:asciiTheme="majorEastAsia" w:hAnsiTheme="majorEastAsia" w:eastAsiaTheme="majorEastAsia"/>
          <w:color w:val="auto"/>
          <w:sz w:val="22"/>
          <w:szCs w:val="22"/>
          <w:highlight w:val="none"/>
        </w:rPr>
        <w:t>。</w:t>
      </w:r>
    </w:p>
    <w:p w14:paraId="400F574A">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8、</w:t>
      </w:r>
      <w:r>
        <w:rPr>
          <w:rFonts w:cs="新宋体" w:asciiTheme="majorEastAsia" w:hAnsiTheme="majorEastAsia" w:eastAsiaTheme="majorEastAsia"/>
          <w:color w:val="auto"/>
          <w:sz w:val="22"/>
          <w:szCs w:val="22"/>
          <w:highlight w:val="none"/>
        </w:rPr>
        <w:t>本项目对符合财政扶持政策的中小企业（小型、微型）、监狱企业、残疾人福利性单位给予价格优惠扶持，执行节能产品政府强制采购和优先采购政策，执行环境标志产品政府优先采购政策；</w:t>
      </w:r>
    </w:p>
    <w:p w14:paraId="620EEF33">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9、“政采金融服务：政采云平台目前为供应商提供政采贷、履约保函、预付款保函等相关金融服务，相关操作帮助及情况介绍见以下链接：https://jinrong.zcygov.cn/finance-service/#/help”</w:t>
      </w:r>
      <w:r>
        <w:rPr>
          <w:rFonts w:cs="新宋体" w:asciiTheme="majorEastAsia" w:hAnsiTheme="majorEastAsia" w:eastAsiaTheme="majorEastAsia"/>
          <w:color w:val="auto"/>
          <w:sz w:val="22"/>
          <w:szCs w:val="22"/>
          <w:highlight w:val="none"/>
        </w:rPr>
        <w:t>。</w:t>
      </w:r>
    </w:p>
    <w:p w14:paraId="0FFB0B80">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10、供应商在投标活动中提供任何虚假材料，其投标无效，并报监管部门查处；中标后发现的，中标供应商须依照《中华人民共和国消费者权益保护法》第四十九条之规定双倍赔偿采购人，且民事赔偿并不免除违法供应商的行政与刑事责任。</w:t>
      </w:r>
    </w:p>
    <w:p w14:paraId="4E3E58E2">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非浙江政府采购网注册的供应商或发生变更且未及时更新的供应商，应当在规定时间内按照《浙江省政府采购供应商注册及诚信管理暂行办法》（浙财采监字〔2009〕28号）的相关规定及时办理更新或供应商注册事项。一旦被确定为中标供应商的，在合同签订前按本办法的规定完成注册并成为正式注册供应商</w:t>
      </w:r>
    </w:p>
    <w:p w14:paraId="7D6E0D6C">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12、投标供应商代表指全权代表投标供应商参加投标活动并签署投标文件的人。如果投标供应商代表是法定代表人的，仅需提供身份证扫描件；如果投标供应商代表不是法定代表人，须持有《法定代表人授权书》。</w:t>
      </w:r>
    </w:p>
    <w:p w14:paraId="35ED4099">
      <w:pPr>
        <w:widowControl/>
        <w:autoSpaceDE w:val="0"/>
        <w:autoSpaceDN w:val="0"/>
        <w:adjustRightInd w:val="0"/>
        <w:spacing w:line="460" w:lineRule="atLeast"/>
        <w:ind w:firstLine="420" w:firstLineChars="200"/>
        <w:textAlignment w:val="bottom"/>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13、</w:t>
      </w:r>
      <w:r>
        <w:rPr>
          <w:rFonts w:hint="eastAsia" w:cs="新宋体" w:asciiTheme="majorEastAsia" w:hAnsiTheme="majorEastAsia" w:eastAsiaTheme="majorEastAsia"/>
          <w:color w:val="auto"/>
          <w:sz w:val="22"/>
          <w:szCs w:val="22"/>
          <w:highlight w:val="none"/>
        </w:rPr>
        <w:t>《浙江省财政厅关于进一步加大政府采购支持中小企业力度助力扎实稳住经济的通知》（浙财采监〔2022〕8号）已于2022年7月1日开始实施，此前有关规定与上述文件内容不一致的，按上述文件要求执行。</w:t>
      </w:r>
    </w:p>
    <w:p w14:paraId="2FB53F1E">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8"/>
          <w:szCs w:val="28"/>
          <w:highlight w:val="none"/>
        </w:rPr>
      </w:pPr>
      <w:bookmarkStart w:id="37" w:name="_Toc13701"/>
      <w:bookmarkStart w:id="38" w:name="_Toc461563853"/>
      <w:r>
        <w:rPr>
          <w:rFonts w:hint="eastAsia" w:cs="Arial" w:asciiTheme="majorEastAsia" w:hAnsiTheme="majorEastAsia" w:eastAsiaTheme="majorEastAsia"/>
          <w:b/>
          <w:bCs/>
          <w:color w:val="auto"/>
          <w:sz w:val="28"/>
          <w:szCs w:val="28"/>
          <w:highlight w:val="none"/>
        </w:rPr>
        <w:t>二、供应商资格条件</w:t>
      </w:r>
      <w:bookmarkEnd w:id="37"/>
      <w:bookmarkEnd w:id="38"/>
    </w:p>
    <w:p w14:paraId="04BBF975">
      <w:pPr>
        <w:autoSpaceDE w:val="0"/>
        <w:autoSpaceDN w:val="0"/>
        <w:adjustRightInd w:val="0"/>
        <w:spacing w:line="450" w:lineRule="exact"/>
        <w:ind w:firstLine="440" w:firstLineChars="200"/>
        <w:rPr>
          <w:rFonts w:cs="新宋体" w:asciiTheme="majorEastAsia" w:hAnsiTheme="majorEastAsia" w:eastAsiaTheme="majorEastAsia"/>
          <w:color w:val="auto"/>
          <w:sz w:val="22"/>
          <w:szCs w:val="22"/>
          <w:highlight w:val="none"/>
          <w:lang w:val="zh-CN"/>
        </w:rPr>
      </w:pPr>
      <w:r>
        <w:rPr>
          <w:rFonts w:hint="eastAsia" w:cs="新宋体" w:asciiTheme="majorEastAsia" w:hAnsiTheme="majorEastAsia" w:eastAsiaTheme="majorEastAsia"/>
          <w:color w:val="auto"/>
          <w:sz w:val="22"/>
          <w:szCs w:val="22"/>
          <w:highlight w:val="none"/>
          <w:lang w:val="zh-CN"/>
        </w:rPr>
        <w:t>按招标公告要求。</w:t>
      </w:r>
    </w:p>
    <w:p w14:paraId="523EC9EE">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8"/>
          <w:szCs w:val="28"/>
          <w:highlight w:val="none"/>
        </w:rPr>
      </w:pPr>
      <w:bookmarkStart w:id="39" w:name="_Toc13744"/>
      <w:bookmarkStart w:id="40" w:name="_Toc461563854"/>
      <w:r>
        <w:rPr>
          <w:rFonts w:hint="eastAsia" w:cs="Arial" w:asciiTheme="majorEastAsia" w:hAnsiTheme="majorEastAsia" w:eastAsiaTheme="majorEastAsia"/>
          <w:b/>
          <w:bCs/>
          <w:color w:val="auto"/>
          <w:sz w:val="28"/>
          <w:szCs w:val="28"/>
          <w:highlight w:val="none"/>
        </w:rPr>
        <w:t>三、招标文件</w:t>
      </w:r>
      <w:bookmarkEnd w:id="39"/>
      <w:bookmarkEnd w:id="40"/>
    </w:p>
    <w:p w14:paraId="4E49C6EA">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1、招标文件</w:t>
      </w:r>
    </w:p>
    <w:p w14:paraId="798A88E6">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1.1招标文件约束力</w:t>
      </w:r>
    </w:p>
    <w:p w14:paraId="0F7A31D6">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u w:val="single"/>
        </w:rPr>
      </w:pPr>
      <w:r>
        <w:rPr>
          <w:rFonts w:hint="eastAsia" w:cs="新宋体" w:asciiTheme="majorEastAsia" w:hAnsiTheme="majorEastAsia" w:eastAsiaTheme="majorEastAsia"/>
          <w:color w:val="auto"/>
          <w:sz w:val="22"/>
          <w:szCs w:val="22"/>
          <w:highlight w:val="none"/>
        </w:rPr>
        <w:t>▲</w:t>
      </w:r>
      <w:r>
        <w:rPr>
          <w:rFonts w:hint="eastAsia" w:cs="新宋体" w:asciiTheme="majorEastAsia" w:hAnsiTheme="majorEastAsia" w:eastAsiaTheme="majorEastAsia"/>
          <w:b/>
          <w:color w:val="auto"/>
          <w:sz w:val="22"/>
          <w:szCs w:val="22"/>
          <w:highlight w:val="none"/>
          <w:u w:val="single"/>
        </w:rPr>
        <w:t>供应商一旦获取了本招标文件并参加投标，即被认为接受了本招标文件中的所有条款和规定。</w:t>
      </w:r>
    </w:p>
    <w:p w14:paraId="4F0B3219">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1.2招标文件的组成</w:t>
      </w:r>
    </w:p>
    <w:p w14:paraId="32716912">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招标文件由招标文件总目录所列内容及补充资料等组成。</w:t>
      </w:r>
    </w:p>
    <w:p w14:paraId="52A76ACE">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2、质疑</w:t>
      </w:r>
    </w:p>
    <w:p w14:paraId="0279B0A2">
      <w:pPr>
        <w:autoSpaceDE w:val="0"/>
        <w:autoSpaceDN w:val="0"/>
        <w:adjustRightInd w:val="0"/>
        <w:spacing w:line="460" w:lineRule="atLeast"/>
        <w:ind w:firstLine="440" w:firstLineChars="200"/>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color w:val="auto"/>
          <w:sz w:val="22"/>
          <w:szCs w:val="22"/>
          <w:highlight w:val="none"/>
        </w:rPr>
        <w:t>2.1供应商认为采购文件、采购过程、中标或者成交结果使自己的权益受到损害的，可以在知道或者应知其权益受到损害之日起7个工作日内，以书面形式（包括信函、传真，下同）或政采云系统向采购人、采购代理机构提出质疑。逾期提出的，采购组织机构将不予受理、答复。</w:t>
      </w:r>
      <w:r>
        <w:rPr>
          <w:rFonts w:hint="eastAsia" w:cs="新宋体" w:asciiTheme="majorEastAsia" w:hAnsiTheme="majorEastAsia" w:eastAsiaTheme="majorEastAsia"/>
          <w:b/>
          <w:color w:val="auto"/>
          <w:sz w:val="22"/>
          <w:szCs w:val="22"/>
          <w:highlight w:val="none"/>
        </w:rPr>
        <w:t>任何口头答复均不作为投标依据。</w:t>
      </w:r>
    </w:p>
    <w:p w14:paraId="69EBBB5D">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2.2供应商提出质疑应当提交质疑函和必要的证明材料，质疑函范本请到“浙江政府采购网下载专区”下载，质疑函内容及签署等相关要求请参看《政府采购质疑和投诉办法》相关规定。</w:t>
      </w:r>
    </w:p>
    <w:p w14:paraId="2A3A6DDC">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2.3提出质疑的供应商应当是参与本项目招标活动的供应商。供应商在法定质疑期内一次性提出针对同一采购程序环节的质疑。</w:t>
      </w:r>
    </w:p>
    <w:p w14:paraId="42349766">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2.4根据《政府采购质疑和投诉办法》第三十七条的规定，投诉人在全国范围12个月内三次以上投诉查无实据的，由财政部门列入不良行为记录名单。</w:t>
      </w:r>
    </w:p>
    <w:p w14:paraId="7E7AA2A1">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3、投诉</w:t>
      </w:r>
    </w:p>
    <w:p w14:paraId="707E2AC3">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04AC8DC1">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4、招标文件</w:t>
      </w:r>
      <w:r>
        <w:rPr>
          <w:rFonts w:hint="eastAsia" w:ascii="新宋体" w:hAnsi="新宋体" w:eastAsia="新宋体" w:cs="新宋体"/>
          <w:color w:val="auto"/>
          <w:sz w:val="22"/>
          <w:szCs w:val="22"/>
          <w:highlight w:val="none"/>
        </w:rPr>
        <w:t>的澄清或修改</w:t>
      </w:r>
    </w:p>
    <w:p w14:paraId="0B6F7523">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4.1</w:t>
      </w:r>
      <w:r>
        <w:rPr>
          <w:rFonts w:ascii="宋体"/>
          <w:color w:val="auto"/>
          <w:sz w:val="22"/>
          <w:szCs w:val="22"/>
          <w:highlight w:val="none"/>
        </w:rPr>
        <w:t>采购人或者采购代理机构可以对已发出的采购文件进行必要的澄清或者修改。澄清或者修改在浙江政府采购网上发布公告，同时政采云系统会向所有已按采购文件规定方式获取采购文件的潜在投标供应商发送更正提醒信息，潜在投标供应商请自行到浙江省政府采购网上</w:t>
      </w:r>
      <w:r>
        <w:rPr>
          <w:rFonts w:hint="eastAsia" w:ascii="宋体"/>
          <w:color w:val="auto"/>
          <w:sz w:val="22"/>
          <w:szCs w:val="22"/>
          <w:highlight w:val="none"/>
        </w:rPr>
        <w:t>查看</w:t>
      </w:r>
      <w:r>
        <w:rPr>
          <w:rFonts w:ascii="宋体"/>
          <w:color w:val="auto"/>
          <w:sz w:val="22"/>
          <w:szCs w:val="22"/>
          <w:highlight w:val="none"/>
        </w:rPr>
        <w:t>更正</w:t>
      </w:r>
      <w:r>
        <w:rPr>
          <w:rFonts w:hint="eastAsia" w:ascii="宋体"/>
          <w:color w:val="auto"/>
          <w:sz w:val="22"/>
          <w:szCs w:val="22"/>
          <w:highlight w:val="none"/>
        </w:rPr>
        <w:t>（澄清或补充）公告</w:t>
      </w:r>
      <w:r>
        <w:rPr>
          <w:rFonts w:ascii="宋体"/>
          <w:color w:val="auto"/>
          <w:sz w:val="22"/>
          <w:szCs w:val="22"/>
          <w:highlight w:val="none"/>
        </w:rPr>
        <w:t>，潜在投标供应商在收到该公告后应于1日内，以书面或传真形式（签署意见并加盖公章）向采购代理机构回函给予确认。过期未回复的，视为默认接受。澄清或者修改的内容为采购文件的组成部分</w:t>
      </w:r>
      <w:r>
        <w:rPr>
          <w:rFonts w:hint="eastAsia" w:cs="新宋体" w:asciiTheme="majorEastAsia" w:hAnsiTheme="majorEastAsia" w:eastAsiaTheme="majorEastAsia"/>
          <w:color w:val="auto"/>
          <w:sz w:val="22"/>
          <w:szCs w:val="22"/>
          <w:highlight w:val="none"/>
        </w:rPr>
        <w:t>，对所有投标供应商均有约束力。</w:t>
      </w:r>
    </w:p>
    <w:p w14:paraId="2BEE1B11">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14:paraId="0878B19C">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4.3补充、更正文件在浙江政府采购网（http://www.zjzfcg.gov.cn/）予以公告公布。</w:t>
      </w:r>
      <w:bookmarkEnd w:id="1"/>
      <w:r>
        <w:rPr>
          <w:rFonts w:hint="eastAsia" w:asciiTheme="majorEastAsia" w:hAnsiTheme="majorEastAsia" w:eastAsiaTheme="majorEastAsia"/>
          <w:b/>
          <w:bCs/>
          <w:color w:val="auto"/>
          <w:sz w:val="22"/>
          <w:szCs w:val="22"/>
          <w:highlight w:val="none"/>
        </w:rPr>
        <w:t>供应商须在开标前一日自行查看是否有补充更正文件，并按补充更正文件要求响应，否则责任自负。</w:t>
      </w:r>
    </w:p>
    <w:p w14:paraId="14C1376A">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8"/>
          <w:szCs w:val="28"/>
          <w:highlight w:val="none"/>
        </w:rPr>
      </w:pPr>
      <w:bookmarkStart w:id="41" w:name="_Toc24086"/>
      <w:bookmarkStart w:id="42" w:name="_Toc496116252"/>
      <w:r>
        <w:rPr>
          <w:rFonts w:hint="eastAsia" w:cs="Arial" w:asciiTheme="majorEastAsia" w:hAnsiTheme="majorEastAsia" w:eastAsiaTheme="majorEastAsia"/>
          <w:b/>
          <w:bCs/>
          <w:color w:val="auto"/>
          <w:sz w:val="28"/>
          <w:szCs w:val="28"/>
          <w:highlight w:val="none"/>
        </w:rPr>
        <w:t>四、投标文件</w:t>
      </w:r>
      <w:bookmarkEnd w:id="41"/>
      <w:bookmarkEnd w:id="42"/>
    </w:p>
    <w:p w14:paraId="0108D2E4">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1、投标文件</w:t>
      </w:r>
    </w:p>
    <w:p w14:paraId="788FBF18">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1.1供应商提交的投标文件以及供应商与采购人就有关投标的所有来往函电均应使用中文。供应商可以提交用其他语言印制的资料，但必须译成中文，在有差异和矛盾时以中文为准。</w:t>
      </w:r>
    </w:p>
    <w:p w14:paraId="4ECBAC2C">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1.2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微小差异。</w:t>
      </w:r>
    </w:p>
    <w:p w14:paraId="73210279">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1.3供应商必须按照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01BE4D7">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1.4供应商应仔细阅读招标文件中的所有内容，按照招标文件要求，详细编制投标文件，所有文件资料必须是针对本次投标。不按招标文件的要求提供的投标文件可能导致被拒绝。</w:t>
      </w:r>
    </w:p>
    <w:p w14:paraId="28E952AD">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lang w:val="zh-CN"/>
        </w:rPr>
      </w:pPr>
      <w:r>
        <w:rPr>
          <w:rFonts w:hint="eastAsia" w:cs="新宋体" w:asciiTheme="majorEastAsia" w:hAnsiTheme="majorEastAsia" w:eastAsiaTheme="majorEastAsia"/>
          <w:color w:val="auto"/>
          <w:sz w:val="22"/>
          <w:szCs w:val="22"/>
          <w:highlight w:val="none"/>
          <w:lang w:val="zh-CN"/>
        </w:rPr>
        <w:t>2、投标文件的组成</w:t>
      </w:r>
    </w:p>
    <w:p w14:paraId="4C185CD1">
      <w:pPr>
        <w:autoSpaceDE w:val="0"/>
        <w:autoSpaceDN w:val="0"/>
        <w:adjustRightInd w:val="0"/>
        <w:spacing w:line="460" w:lineRule="atLeast"/>
        <w:ind w:firstLine="442" w:firstLineChars="200"/>
        <w:rPr>
          <w:rFonts w:cs="新宋体" w:asciiTheme="majorEastAsia" w:hAnsiTheme="majorEastAsia" w:eastAsiaTheme="majorEastAsia"/>
          <w:b/>
          <w:color w:val="auto"/>
          <w:sz w:val="22"/>
          <w:szCs w:val="22"/>
          <w:highlight w:val="none"/>
          <w:lang w:val="zh-CN"/>
        </w:rPr>
      </w:pPr>
      <w:r>
        <w:rPr>
          <w:rFonts w:hint="eastAsia" w:cs="新宋体" w:asciiTheme="majorEastAsia" w:hAnsiTheme="majorEastAsia" w:eastAsiaTheme="majorEastAsia"/>
          <w:b/>
          <w:bCs/>
          <w:color w:val="auto"/>
          <w:sz w:val="22"/>
          <w:szCs w:val="22"/>
          <w:highlight w:val="none"/>
          <w:u w:val="single"/>
        </w:rPr>
        <w:t>投标文件由资格证明文件、报价文件部分和技术资信部分三部分组成。</w:t>
      </w:r>
    </w:p>
    <w:p w14:paraId="3FAAD34D">
      <w:pPr>
        <w:autoSpaceDE w:val="0"/>
        <w:autoSpaceDN w:val="0"/>
        <w:adjustRightInd w:val="0"/>
        <w:spacing w:line="450" w:lineRule="atLeast"/>
        <w:ind w:firstLine="442" w:firstLineChars="200"/>
        <w:rPr>
          <w:rFonts w:cs="仿宋_GB2312" w:asciiTheme="majorEastAsia" w:hAnsiTheme="majorEastAsia" w:eastAsiaTheme="majorEastAsia"/>
          <w:b/>
          <w:color w:val="auto"/>
          <w:sz w:val="22"/>
          <w:szCs w:val="22"/>
          <w:highlight w:val="none"/>
          <w:u w:val="single"/>
          <w:lang w:val="zh-CN"/>
        </w:rPr>
      </w:pPr>
      <w:bookmarkStart w:id="43" w:name="_Toc132122412"/>
      <w:bookmarkStart w:id="44" w:name="_Toc132122115"/>
      <w:r>
        <w:rPr>
          <w:rFonts w:hint="eastAsia" w:cs="仿宋_GB2312" w:asciiTheme="majorEastAsia" w:hAnsiTheme="majorEastAsia" w:eastAsiaTheme="majorEastAsia"/>
          <w:b/>
          <w:color w:val="auto"/>
          <w:sz w:val="22"/>
          <w:szCs w:val="22"/>
          <w:highlight w:val="none"/>
          <w:u w:val="single"/>
          <w:lang w:val="zh-CN"/>
        </w:rPr>
        <w:t>2.1资格证明文件部分组成</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957"/>
        <w:gridCol w:w="1100"/>
      </w:tblGrid>
      <w:tr w14:paraId="292E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tcBorders>
              <w:top w:val="single" w:color="auto" w:sz="4" w:space="0"/>
              <w:left w:val="single" w:color="auto" w:sz="4" w:space="0"/>
              <w:bottom w:val="single" w:color="auto" w:sz="4" w:space="0"/>
              <w:right w:val="single" w:color="auto" w:sz="4" w:space="0"/>
            </w:tcBorders>
            <w:vAlign w:val="center"/>
          </w:tcPr>
          <w:p w14:paraId="645DC725">
            <w:pPr>
              <w:autoSpaceDE w:val="0"/>
              <w:autoSpaceDN w:val="0"/>
              <w:adjustRightInd w:val="0"/>
              <w:snapToGrid w:val="0"/>
              <w:spacing w:line="430" w:lineRule="atLeast"/>
              <w:jc w:val="center"/>
              <w:rPr>
                <w:rFonts w:ascii="宋体" w:hAnsi="宋体" w:cs="宋体"/>
                <w:b/>
                <w:bCs/>
                <w:color w:val="auto"/>
                <w:sz w:val="22"/>
                <w:szCs w:val="22"/>
                <w:highlight w:val="none"/>
                <w:lang w:val="zh-CN"/>
              </w:rPr>
            </w:pPr>
            <w:r>
              <w:rPr>
                <w:rFonts w:hint="eastAsia" w:ascii="宋体" w:hAnsi="宋体" w:cs="宋体"/>
                <w:color w:val="auto"/>
                <w:sz w:val="22"/>
                <w:szCs w:val="22"/>
                <w:highlight w:val="none"/>
                <w:lang w:val="zh-CN"/>
              </w:rPr>
              <w:t>序号</w:t>
            </w:r>
          </w:p>
        </w:tc>
        <w:tc>
          <w:tcPr>
            <w:tcW w:w="4036" w:type="pct"/>
            <w:tcBorders>
              <w:top w:val="single" w:color="auto" w:sz="4" w:space="0"/>
              <w:left w:val="single" w:color="auto" w:sz="4" w:space="0"/>
              <w:bottom w:val="single" w:color="auto" w:sz="4" w:space="0"/>
              <w:right w:val="single" w:color="auto" w:sz="4" w:space="0"/>
            </w:tcBorders>
          </w:tcPr>
          <w:p w14:paraId="1EA95A28">
            <w:pPr>
              <w:autoSpaceDE w:val="0"/>
              <w:autoSpaceDN w:val="0"/>
              <w:adjustRightInd w:val="0"/>
              <w:snapToGrid w:val="0"/>
              <w:spacing w:line="430" w:lineRule="atLeast"/>
              <w:jc w:val="center"/>
              <w:rPr>
                <w:rFonts w:ascii="宋体" w:hAnsi="宋体" w:cs="宋体"/>
                <w:b/>
                <w:bCs/>
                <w:color w:val="auto"/>
                <w:sz w:val="22"/>
                <w:szCs w:val="22"/>
                <w:highlight w:val="none"/>
                <w:lang w:val="zh-CN"/>
              </w:rPr>
            </w:pPr>
            <w:r>
              <w:rPr>
                <w:rFonts w:hint="eastAsia" w:asciiTheme="majorEastAsia" w:hAnsiTheme="majorEastAsia" w:eastAsiaTheme="majorEastAsia"/>
                <w:color w:val="auto"/>
                <w:sz w:val="22"/>
                <w:szCs w:val="22"/>
                <w:highlight w:val="none"/>
                <w:u w:val="single"/>
                <w:lang w:val="zh-CN"/>
              </w:rPr>
              <w:t>内容（▲以下资格证明文件必须提供，否则不能通过资格审查的，责任自负</w:t>
            </w:r>
            <w:r>
              <w:rPr>
                <w:rFonts w:hint="eastAsia" w:asciiTheme="majorEastAsia" w:hAnsiTheme="majorEastAsia" w:eastAsiaTheme="majorEastAsia"/>
                <w:color w:val="auto"/>
                <w:sz w:val="22"/>
                <w:szCs w:val="22"/>
                <w:highlight w:val="none"/>
                <w:lang w:val="zh-CN"/>
              </w:rPr>
              <w:t>）</w:t>
            </w:r>
          </w:p>
        </w:tc>
        <w:tc>
          <w:tcPr>
            <w:tcW w:w="558" w:type="pct"/>
            <w:tcBorders>
              <w:top w:val="single" w:color="auto" w:sz="4" w:space="0"/>
              <w:left w:val="single" w:color="auto" w:sz="4" w:space="0"/>
              <w:bottom w:val="single" w:color="auto" w:sz="4" w:space="0"/>
              <w:right w:val="single" w:color="auto" w:sz="4" w:space="0"/>
            </w:tcBorders>
          </w:tcPr>
          <w:p w14:paraId="2941F38F">
            <w:pPr>
              <w:autoSpaceDE w:val="0"/>
              <w:autoSpaceDN w:val="0"/>
              <w:adjustRightInd w:val="0"/>
              <w:snapToGrid w:val="0"/>
              <w:spacing w:line="430" w:lineRule="atLeas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备注</w:t>
            </w:r>
          </w:p>
        </w:tc>
      </w:tr>
      <w:tr w14:paraId="1B00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tcBorders>
              <w:top w:val="single" w:color="auto" w:sz="4" w:space="0"/>
              <w:left w:val="single" w:color="auto" w:sz="4" w:space="0"/>
              <w:bottom w:val="single" w:color="auto" w:sz="4" w:space="0"/>
              <w:right w:val="single" w:color="auto" w:sz="4" w:space="0"/>
            </w:tcBorders>
            <w:vAlign w:val="center"/>
          </w:tcPr>
          <w:p w14:paraId="42FF15B7">
            <w:pPr>
              <w:tabs>
                <w:tab w:val="left" w:pos="4140"/>
              </w:tabs>
              <w:adjustRightInd w:val="0"/>
              <w:snapToGrid w:val="0"/>
              <w:spacing w:line="320" w:lineRule="atLeas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w:t>
            </w:r>
          </w:p>
        </w:tc>
        <w:tc>
          <w:tcPr>
            <w:tcW w:w="4036" w:type="pct"/>
            <w:tcBorders>
              <w:top w:val="single" w:color="auto" w:sz="4" w:space="0"/>
              <w:left w:val="single" w:color="auto" w:sz="4" w:space="0"/>
              <w:bottom w:val="single" w:color="auto" w:sz="4" w:space="0"/>
              <w:right w:val="single" w:color="auto" w:sz="4" w:space="0"/>
            </w:tcBorders>
          </w:tcPr>
          <w:p w14:paraId="46411F2E">
            <w:pPr>
              <w:tabs>
                <w:tab w:val="left" w:pos="4140"/>
              </w:tabs>
              <w:adjustRightInd w:val="0"/>
              <w:snapToGrid w:val="0"/>
              <w:spacing w:line="320" w:lineRule="atLeas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资格条件承诺函</w:t>
            </w:r>
          </w:p>
        </w:tc>
        <w:tc>
          <w:tcPr>
            <w:tcW w:w="558" w:type="pct"/>
            <w:tcBorders>
              <w:top w:val="single" w:color="auto" w:sz="4" w:space="0"/>
              <w:left w:val="single" w:color="auto" w:sz="4" w:space="0"/>
              <w:bottom w:val="single" w:color="auto" w:sz="4" w:space="0"/>
              <w:right w:val="single" w:color="auto" w:sz="4" w:space="0"/>
            </w:tcBorders>
          </w:tcPr>
          <w:p w14:paraId="056C8D8B">
            <w:pPr>
              <w:tabs>
                <w:tab w:val="left" w:pos="4140"/>
              </w:tabs>
              <w:adjustRightInd w:val="0"/>
              <w:snapToGrid w:val="0"/>
              <w:spacing w:line="320" w:lineRule="atLeast"/>
              <w:rPr>
                <w:rFonts w:ascii="宋体" w:hAnsi="宋体" w:cs="宋体"/>
                <w:color w:val="auto"/>
                <w:sz w:val="22"/>
                <w:szCs w:val="22"/>
                <w:highlight w:val="none"/>
              </w:rPr>
            </w:pPr>
            <w:r>
              <w:rPr>
                <w:rFonts w:hint="eastAsia" w:ascii="宋体" w:hAnsi="宋体" w:cs="宋体"/>
                <w:color w:val="auto"/>
                <w:sz w:val="22"/>
                <w:szCs w:val="22"/>
                <w:highlight w:val="none"/>
              </w:rPr>
              <w:t>附件一</w:t>
            </w:r>
          </w:p>
        </w:tc>
      </w:tr>
    </w:tbl>
    <w:p w14:paraId="19A5F115">
      <w:pPr>
        <w:autoSpaceDE w:val="0"/>
        <w:autoSpaceDN w:val="0"/>
        <w:adjustRightInd w:val="0"/>
        <w:spacing w:line="450" w:lineRule="atLeast"/>
        <w:ind w:firstLine="442" w:firstLineChars="200"/>
        <w:rPr>
          <w:rFonts w:cs="仿宋_GB2312" w:asciiTheme="majorEastAsia" w:hAnsiTheme="majorEastAsia" w:eastAsiaTheme="majorEastAsia"/>
          <w:b/>
          <w:color w:val="auto"/>
          <w:sz w:val="22"/>
          <w:szCs w:val="22"/>
          <w:highlight w:val="none"/>
          <w:u w:val="single"/>
          <w:lang w:val="zh-CN"/>
        </w:rPr>
      </w:pPr>
      <w:r>
        <w:rPr>
          <w:rFonts w:hint="eastAsia" w:cs="仿宋_GB2312" w:asciiTheme="majorEastAsia" w:hAnsiTheme="majorEastAsia" w:eastAsiaTheme="majorEastAsia"/>
          <w:b/>
          <w:color w:val="auto"/>
          <w:sz w:val="22"/>
          <w:szCs w:val="22"/>
          <w:highlight w:val="none"/>
          <w:u w:val="single"/>
          <w:lang w:val="zh-CN"/>
        </w:rPr>
        <w:t>2.2报价文件部分组成</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14:paraId="7A80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E60D733">
            <w:pPr>
              <w:autoSpaceDE w:val="0"/>
              <w:autoSpaceDN w:val="0"/>
              <w:adjustRightInd w:val="0"/>
              <w:snapToGrid w:val="0"/>
              <w:spacing w:line="430" w:lineRule="atLeast"/>
              <w:rPr>
                <w:rFonts w:asciiTheme="majorEastAsia" w:hAnsiTheme="majorEastAsia" w:eastAsiaTheme="majorEastAsia"/>
                <w:b/>
                <w:bCs/>
                <w:color w:val="auto"/>
                <w:sz w:val="22"/>
                <w:highlight w:val="none"/>
                <w:lang w:val="zh-CN"/>
              </w:rPr>
            </w:pPr>
            <w:r>
              <w:rPr>
                <w:rFonts w:hint="eastAsia" w:asciiTheme="majorEastAsia" w:hAnsiTheme="majorEastAsia" w:eastAsiaTheme="majorEastAsia"/>
                <w:color w:val="auto"/>
                <w:sz w:val="22"/>
                <w:szCs w:val="22"/>
                <w:highlight w:val="none"/>
                <w:lang w:val="zh-CN"/>
              </w:rPr>
              <w:t>序号</w:t>
            </w:r>
          </w:p>
        </w:tc>
        <w:tc>
          <w:tcPr>
            <w:tcW w:w="8080" w:type="dxa"/>
          </w:tcPr>
          <w:p w14:paraId="7F5DDBB4">
            <w:pPr>
              <w:autoSpaceDE w:val="0"/>
              <w:autoSpaceDN w:val="0"/>
              <w:adjustRightInd w:val="0"/>
              <w:snapToGrid w:val="0"/>
              <w:spacing w:line="430" w:lineRule="atLeast"/>
              <w:rPr>
                <w:rFonts w:asciiTheme="majorEastAsia" w:hAnsiTheme="majorEastAsia" w:eastAsiaTheme="majorEastAsia"/>
                <w:b/>
                <w:bCs/>
                <w:color w:val="auto"/>
                <w:sz w:val="22"/>
                <w:highlight w:val="none"/>
                <w:lang w:val="zh-CN"/>
              </w:rPr>
            </w:pPr>
            <w:r>
              <w:rPr>
                <w:rFonts w:hint="eastAsia" w:asciiTheme="majorEastAsia" w:hAnsiTheme="majorEastAsia" w:eastAsiaTheme="majorEastAsia"/>
                <w:color w:val="auto"/>
                <w:sz w:val="22"/>
                <w:szCs w:val="22"/>
                <w:highlight w:val="none"/>
                <w:lang w:val="zh-CN"/>
              </w:rPr>
              <w:t>内容（▲</w:t>
            </w:r>
            <w:r>
              <w:rPr>
                <w:rFonts w:hint="eastAsia" w:asciiTheme="majorEastAsia" w:hAnsiTheme="majorEastAsia" w:eastAsiaTheme="majorEastAsia"/>
                <w:color w:val="auto"/>
                <w:sz w:val="22"/>
                <w:szCs w:val="22"/>
                <w:highlight w:val="none"/>
                <w:u w:val="single"/>
                <w:lang w:val="zh-CN"/>
              </w:rPr>
              <w:t>序号</w:t>
            </w:r>
            <w:r>
              <w:rPr>
                <w:rFonts w:asciiTheme="majorEastAsia" w:hAnsiTheme="majorEastAsia" w:eastAsiaTheme="majorEastAsia"/>
                <w:color w:val="auto"/>
                <w:sz w:val="22"/>
                <w:szCs w:val="22"/>
                <w:highlight w:val="none"/>
                <w:u w:val="single"/>
                <w:lang w:val="zh-CN"/>
              </w:rPr>
              <w:t>1</w:t>
            </w:r>
            <w:r>
              <w:rPr>
                <w:rFonts w:hint="eastAsia" w:asciiTheme="majorEastAsia" w:hAnsiTheme="majorEastAsia" w:eastAsiaTheme="majorEastAsia"/>
                <w:color w:val="auto"/>
                <w:sz w:val="22"/>
                <w:szCs w:val="22"/>
                <w:highlight w:val="none"/>
                <w:u w:val="single"/>
                <w:lang w:val="en-US" w:eastAsia="zh-CN"/>
              </w:rPr>
              <w:t>-2</w:t>
            </w:r>
            <w:r>
              <w:rPr>
                <w:rFonts w:hint="eastAsia" w:asciiTheme="majorEastAsia" w:hAnsiTheme="majorEastAsia" w:eastAsiaTheme="majorEastAsia"/>
                <w:color w:val="auto"/>
                <w:sz w:val="22"/>
                <w:szCs w:val="22"/>
                <w:highlight w:val="none"/>
                <w:u w:val="single"/>
                <w:lang w:val="zh-CN"/>
              </w:rPr>
              <w:t>项供应商必须提供，否则不能通过符合性审查的，责任自负</w:t>
            </w:r>
            <w:r>
              <w:rPr>
                <w:rFonts w:hint="eastAsia" w:asciiTheme="majorEastAsia" w:hAnsiTheme="majorEastAsia" w:eastAsiaTheme="majorEastAsia"/>
                <w:color w:val="auto"/>
                <w:sz w:val="22"/>
                <w:szCs w:val="22"/>
                <w:highlight w:val="none"/>
                <w:lang w:val="zh-CN"/>
              </w:rPr>
              <w:t>）</w:t>
            </w:r>
          </w:p>
        </w:tc>
        <w:tc>
          <w:tcPr>
            <w:tcW w:w="1099" w:type="dxa"/>
          </w:tcPr>
          <w:p w14:paraId="616CF610">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备注</w:t>
            </w:r>
          </w:p>
        </w:tc>
      </w:tr>
      <w:tr w14:paraId="585D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3475893">
            <w:pPr>
              <w:autoSpaceDE w:val="0"/>
              <w:autoSpaceDN w:val="0"/>
              <w:adjustRightInd w:val="0"/>
              <w:snapToGrid w:val="0"/>
              <w:spacing w:line="430" w:lineRule="atLeast"/>
              <w:jc w:val="center"/>
              <w:rPr>
                <w:rFonts w:asciiTheme="majorEastAsia" w:hAnsiTheme="majorEastAsia" w:eastAsiaTheme="majorEastAsia"/>
                <w:b/>
                <w:bCs/>
                <w:color w:val="auto"/>
                <w:sz w:val="22"/>
                <w:highlight w:val="none"/>
                <w:lang w:val="zh-CN"/>
              </w:rPr>
            </w:pPr>
            <w:r>
              <w:rPr>
                <w:rFonts w:asciiTheme="majorEastAsia" w:hAnsiTheme="majorEastAsia" w:eastAsiaTheme="majorEastAsia"/>
                <w:color w:val="auto"/>
                <w:sz w:val="22"/>
                <w:szCs w:val="22"/>
                <w:highlight w:val="none"/>
                <w:lang w:val="zh-CN"/>
              </w:rPr>
              <w:t>1</w:t>
            </w:r>
          </w:p>
        </w:tc>
        <w:tc>
          <w:tcPr>
            <w:tcW w:w="8080" w:type="dxa"/>
          </w:tcPr>
          <w:p w14:paraId="166D2BC6">
            <w:pPr>
              <w:autoSpaceDE w:val="0"/>
              <w:autoSpaceDN w:val="0"/>
              <w:adjustRightInd w:val="0"/>
              <w:spacing w:line="430" w:lineRule="atLeast"/>
              <w:textAlignment w:val="bottom"/>
              <w:rPr>
                <w:rFonts w:asciiTheme="majorEastAsia" w:hAnsiTheme="majorEastAsia" w:eastAsiaTheme="majorEastAsia"/>
                <w:b/>
                <w:bCs/>
                <w:color w:val="auto"/>
                <w:sz w:val="22"/>
                <w:highlight w:val="none"/>
              </w:rPr>
            </w:pPr>
            <w:r>
              <w:rPr>
                <w:rFonts w:hint="eastAsia" w:asciiTheme="majorEastAsia" w:hAnsiTheme="majorEastAsia" w:eastAsiaTheme="majorEastAsia"/>
                <w:color w:val="auto"/>
                <w:sz w:val="22"/>
                <w:szCs w:val="22"/>
                <w:highlight w:val="none"/>
              </w:rPr>
              <w:t>报价一览表</w:t>
            </w:r>
          </w:p>
        </w:tc>
        <w:tc>
          <w:tcPr>
            <w:tcW w:w="1099" w:type="dxa"/>
          </w:tcPr>
          <w:p w14:paraId="57184CAD">
            <w:pPr>
              <w:autoSpaceDE w:val="0"/>
              <w:autoSpaceDN w:val="0"/>
              <w:adjustRightInd w:val="0"/>
              <w:spacing w:line="430" w:lineRule="atLeast"/>
              <w:jc w:val="center"/>
              <w:textAlignment w:val="bottom"/>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附件二</w:t>
            </w:r>
          </w:p>
        </w:tc>
      </w:tr>
      <w:tr w14:paraId="5991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2266131">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2</w:t>
            </w:r>
          </w:p>
        </w:tc>
        <w:tc>
          <w:tcPr>
            <w:tcW w:w="8080" w:type="dxa"/>
          </w:tcPr>
          <w:p w14:paraId="785B15EF">
            <w:pPr>
              <w:autoSpaceDE w:val="0"/>
              <w:autoSpaceDN w:val="0"/>
              <w:adjustRightInd w:val="0"/>
              <w:spacing w:line="430" w:lineRule="atLeast"/>
              <w:textAlignment w:val="bottom"/>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投标分项报价表</w:t>
            </w:r>
          </w:p>
        </w:tc>
        <w:tc>
          <w:tcPr>
            <w:tcW w:w="1099" w:type="dxa"/>
          </w:tcPr>
          <w:p w14:paraId="7E424FBA">
            <w:pPr>
              <w:autoSpaceDE w:val="0"/>
              <w:autoSpaceDN w:val="0"/>
              <w:adjustRightInd w:val="0"/>
              <w:spacing w:line="430" w:lineRule="atLeast"/>
              <w:jc w:val="center"/>
              <w:textAlignment w:val="bottom"/>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附件三</w:t>
            </w:r>
          </w:p>
        </w:tc>
      </w:tr>
      <w:tr w14:paraId="7F9D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338A245">
            <w:pPr>
              <w:autoSpaceDE w:val="0"/>
              <w:autoSpaceDN w:val="0"/>
              <w:adjustRightInd w:val="0"/>
              <w:snapToGrid w:val="0"/>
              <w:spacing w:line="430" w:lineRule="atLeast"/>
              <w:jc w:val="center"/>
              <w:rPr>
                <w:rFonts w:cs="宋体" w:asciiTheme="majorEastAsia" w:hAnsiTheme="majorEastAsia" w:eastAsiaTheme="majorEastAsia"/>
                <w:color w:val="auto"/>
                <w:sz w:val="22"/>
                <w:highlight w:val="none"/>
                <w:lang w:val="zh-CN"/>
              </w:rPr>
            </w:pPr>
            <w:r>
              <w:rPr>
                <w:rFonts w:hint="eastAsia" w:cs="宋体" w:asciiTheme="majorEastAsia" w:hAnsiTheme="majorEastAsia" w:eastAsiaTheme="majorEastAsia"/>
                <w:color w:val="auto"/>
                <w:sz w:val="22"/>
                <w:szCs w:val="22"/>
                <w:highlight w:val="none"/>
              </w:rPr>
              <w:t>3</w:t>
            </w:r>
          </w:p>
        </w:tc>
        <w:tc>
          <w:tcPr>
            <w:tcW w:w="8080" w:type="dxa"/>
          </w:tcPr>
          <w:p w14:paraId="19EB14E2">
            <w:pPr>
              <w:autoSpaceDE w:val="0"/>
              <w:autoSpaceDN w:val="0"/>
              <w:adjustRightInd w:val="0"/>
              <w:snapToGrid w:val="0"/>
              <w:spacing w:line="430" w:lineRule="atLeast"/>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szCs w:val="22"/>
                <w:highlight w:val="none"/>
              </w:rPr>
              <w:t>享受小微企业（含监狱企业、残疾人福利性单位）价格折扣须按供应商单位性质提供以下相关的证明材料：</w:t>
            </w:r>
          </w:p>
          <w:p w14:paraId="467AB799">
            <w:pPr>
              <w:autoSpaceDE w:val="0"/>
              <w:autoSpaceDN w:val="0"/>
              <w:adjustRightInd w:val="0"/>
              <w:snapToGrid w:val="0"/>
              <w:spacing w:line="430" w:lineRule="atLeast"/>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szCs w:val="22"/>
                <w:highlight w:val="none"/>
              </w:rPr>
              <w:t>（1）《中小企业声明函》（原件，加盖供应商公章，格式见招标文件第四部分）</w:t>
            </w:r>
          </w:p>
          <w:p w14:paraId="2BDB1731">
            <w:pPr>
              <w:autoSpaceDE w:val="0"/>
              <w:autoSpaceDN w:val="0"/>
              <w:adjustRightInd w:val="0"/>
              <w:snapToGrid w:val="0"/>
              <w:spacing w:line="430" w:lineRule="atLeast"/>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szCs w:val="22"/>
                <w:highlight w:val="none"/>
              </w:rPr>
              <w:t>（2）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14:paraId="2211059D">
            <w:pPr>
              <w:autoSpaceDE w:val="0"/>
              <w:autoSpaceDN w:val="0"/>
              <w:adjustRightInd w:val="0"/>
              <w:spacing w:line="500" w:lineRule="atLeast"/>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szCs w:val="22"/>
                <w:highlight w:val="none"/>
              </w:rPr>
              <w:t>（3）残疾人福利性单位声明函（原件，加盖供应商公章，格式见招标文件第四部分）在政府采购活动中，残疾人福利性单位视同小型、微型企业，享受评审中价格扣除政策。</w:t>
            </w:r>
          </w:p>
        </w:tc>
        <w:tc>
          <w:tcPr>
            <w:tcW w:w="1099" w:type="dxa"/>
          </w:tcPr>
          <w:p w14:paraId="3248AA39">
            <w:pPr>
              <w:autoSpaceDE w:val="0"/>
              <w:autoSpaceDN w:val="0"/>
              <w:adjustRightInd w:val="0"/>
              <w:spacing w:line="430" w:lineRule="atLeast"/>
              <w:jc w:val="center"/>
              <w:textAlignment w:val="bottom"/>
              <w:rPr>
                <w:rFonts w:asciiTheme="majorEastAsia" w:hAnsiTheme="majorEastAsia" w:eastAsiaTheme="majorEastAsia"/>
                <w:color w:val="auto"/>
                <w:sz w:val="22"/>
                <w:szCs w:val="22"/>
                <w:highlight w:val="none"/>
              </w:rPr>
            </w:pPr>
          </w:p>
        </w:tc>
      </w:tr>
    </w:tbl>
    <w:p w14:paraId="5CC30D1A">
      <w:pPr>
        <w:autoSpaceDE w:val="0"/>
        <w:autoSpaceDN w:val="0"/>
        <w:adjustRightInd w:val="0"/>
        <w:spacing w:line="450" w:lineRule="atLeast"/>
        <w:ind w:firstLine="442" w:firstLineChars="200"/>
        <w:rPr>
          <w:rFonts w:cs="仿宋_GB2312" w:asciiTheme="majorEastAsia" w:hAnsiTheme="majorEastAsia" w:eastAsiaTheme="majorEastAsia"/>
          <w:b/>
          <w:color w:val="auto"/>
          <w:sz w:val="22"/>
          <w:szCs w:val="22"/>
          <w:highlight w:val="none"/>
          <w:u w:val="single"/>
          <w:lang w:val="zh-CN"/>
        </w:rPr>
      </w:pPr>
      <w:bookmarkStart w:id="45" w:name="_Toc132122410"/>
      <w:bookmarkStart w:id="46" w:name="_Toc132122113"/>
      <w:r>
        <w:rPr>
          <w:rFonts w:hint="eastAsia" w:cs="仿宋_GB2312" w:asciiTheme="majorEastAsia" w:hAnsiTheme="majorEastAsia" w:eastAsiaTheme="majorEastAsia"/>
          <w:b/>
          <w:color w:val="auto"/>
          <w:sz w:val="22"/>
          <w:szCs w:val="22"/>
          <w:highlight w:val="none"/>
          <w:u w:val="single"/>
          <w:lang w:val="zh-CN"/>
        </w:rPr>
        <w:t>2.3商务技术文件部分组成</w:t>
      </w:r>
    </w:p>
    <w:bookmarkEnd w:id="45"/>
    <w:bookmarkEnd w:id="46"/>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14:paraId="2E76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CDE5571">
            <w:pPr>
              <w:autoSpaceDE w:val="0"/>
              <w:autoSpaceDN w:val="0"/>
              <w:adjustRightInd w:val="0"/>
              <w:snapToGrid w:val="0"/>
              <w:spacing w:line="430" w:lineRule="atLeast"/>
              <w:jc w:val="center"/>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lang w:val="zh-CN"/>
              </w:rPr>
              <w:t>序号</w:t>
            </w:r>
          </w:p>
        </w:tc>
        <w:tc>
          <w:tcPr>
            <w:tcW w:w="8080" w:type="dxa"/>
          </w:tcPr>
          <w:p w14:paraId="79CED387">
            <w:pPr>
              <w:autoSpaceDE w:val="0"/>
              <w:autoSpaceDN w:val="0"/>
              <w:adjustRightInd w:val="0"/>
              <w:snapToGrid w:val="0"/>
              <w:spacing w:line="430" w:lineRule="atLeast"/>
              <w:jc w:val="center"/>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lang w:val="zh-CN"/>
              </w:rPr>
              <w:t>内容</w:t>
            </w:r>
          </w:p>
        </w:tc>
        <w:tc>
          <w:tcPr>
            <w:tcW w:w="1099" w:type="dxa"/>
          </w:tcPr>
          <w:p w14:paraId="164F2886">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备注</w:t>
            </w:r>
          </w:p>
        </w:tc>
      </w:tr>
      <w:tr w14:paraId="37FB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2"/>
          </w:tcPr>
          <w:p w14:paraId="64D68FBB">
            <w:pPr>
              <w:autoSpaceDE w:val="0"/>
              <w:autoSpaceDN w:val="0"/>
              <w:adjustRightInd w:val="0"/>
              <w:snapToGrid w:val="0"/>
              <w:spacing w:line="430" w:lineRule="atLeast"/>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lang w:val="zh-CN"/>
              </w:rPr>
              <w:t>资信部分（▲</w:t>
            </w:r>
            <w:r>
              <w:rPr>
                <w:rFonts w:hint="eastAsia" w:asciiTheme="majorEastAsia" w:hAnsiTheme="majorEastAsia" w:eastAsiaTheme="majorEastAsia"/>
                <w:color w:val="auto"/>
                <w:sz w:val="22"/>
                <w:szCs w:val="22"/>
                <w:highlight w:val="none"/>
                <w:u w:val="single"/>
                <w:lang w:val="zh-CN"/>
              </w:rPr>
              <w:t>序号1-</w:t>
            </w:r>
            <w:r>
              <w:rPr>
                <w:rFonts w:hint="eastAsia" w:asciiTheme="majorEastAsia" w:hAnsiTheme="majorEastAsia" w:eastAsiaTheme="majorEastAsia"/>
                <w:color w:val="auto"/>
                <w:sz w:val="22"/>
                <w:szCs w:val="22"/>
                <w:highlight w:val="none"/>
                <w:u w:val="single"/>
              </w:rPr>
              <w:t>3、8</w:t>
            </w:r>
            <w:r>
              <w:rPr>
                <w:rFonts w:hint="eastAsia" w:asciiTheme="majorEastAsia" w:hAnsiTheme="majorEastAsia" w:eastAsiaTheme="majorEastAsia"/>
                <w:color w:val="auto"/>
                <w:sz w:val="22"/>
                <w:szCs w:val="22"/>
                <w:highlight w:val="none"/>
                <w:u w:val="single"/>
                <w:lang w:val="zh-CN"/>
              </w:rPr>
              <w:t>项供应商必须提供，否则不能通过符合性审查的，责任自负。</w:t>
            </w:r>
            <w:r>
              <w:rPr>
                <w:rFonts w:hint="eastAsia" w:asciiTheme="majorEastAsia" w:hAnsiTheme="majorEastAsia" w:eastAsiaTheme="majorEastAsia"/>
                <w:color w:val="auto"/>
                <w:sz w:val="22"/>
                <w:szCs w:val="22"/>
                <w:highlight w:val="none"/>
                <w:lang w:val="zh-CN"/>
              </w:rPr>
              <w:t>）</w:t>
            </w:r>
          </w:p>
        </w:tc>
        <w:tc>
          <w:tcPr>
            <w:tcW w:w="1099" w:type="dxa"/>
          </w:tcPr>
          <w:p w14:paraId="5C43DBB9">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p>
        </w:tc>
      </w:tr>
      <w:tr w14:paraId="20BC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14:paraId="1E73A57D">
            <w:pPr>
              <w:autoSpaceDE w:val="0"/>
              <w:autoSpaceDN w:val="0"/>
              <w:adjustRightInd w:val="0"/>
              <w:snapToGrid w:val="0"/>
              <w:spacing w:line="430" w:lineRule="atLeast"/>
              <w:jc w:val="center"/>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1</w:t>
            </w:r>
          </w:p>
        </w:tc>
        <w:tc>
          <w:tcPr>
            <w:tcW w:w="8080" w:type="dxa"/>
          </w:tcPr>
          <w:p w14:paraId="50780124">
            <w:pPr>
              <w:autoSpaceDE w:val="0"/>
              <w:autoSpaceDN w:val="0"/>
              <w:adjustRightInd w:val="0"/>
              <w:snapToGrid w:val="0"/>
              <w:spacing w:line="430" w:lineRule="atLeast"/>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rPr>
              <w:t>投标函</w:t>
            </w:r>
          </w:p>
        </w:tc>
        <w:tc>
          <w:tcPr>
            <w:tcW w:w="1099" w:type="dxa"/>
          </w:tcPr>
          <w:p w14:paraId="694A367C">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附件四</w:t>
            </w:r>
          </w:p>
        </w:tc>
      </w:tr>
      <w:tr w14:paraId="6E39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E653F6B">
            <w:pPr>
              <w:autoSpaceDE w:val="0"/>
              <w:autoSpaceDN w:val="0"/>
              <w:adjustRightInd w:val="0"/>
              <w:snapToGrid w:val="0"/>
              <w:spacing w:line="430" w:lineRule="atLeast"/>
              <w:jc w:val="center"/>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2</w:t>
            </w:r>
          </w:p>
        </w:tc>
        <w:tc>
          <w:tcPr>
            <w:tcW w:w="8080" w:type="dxa"/>
          </w:tcPr>
          <w:p w14:paraId="36F6C838">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法定代表人诚信投标承诺书</w:t>
            </w:r>
          </w:p>
        </w:tc>
        <w:tc>
          <w:tcPr>
            <w:tcW w:w="1099" w:type="dxa"/>
          </w:tcPr>
          <w:p w14:paraId="666EE685">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附件五</w:t>
            </w:r>
          </w:p>
        </w:tc>
      </w:tr>
      <w:tr w14:paraId="604A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C66894B">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3</w:t>
            </w:r>
          </w:p>
        </w:tc>
        <w:tc>
          <w:tcPr>
            <w:tcW w:w="8080" w:type="dxa"/>
            <w:shd w:val="clear" w:color="auto" w:fill="auto"/>
          </w:tcPr>
          <w:p w14:paraId="34BC56FD">
            <w:pPr>
              <w:autoSpaceDE w:val="0"/>
              <w:autoSpaceDN w:val="0"/>
              <w:adjustRightInd w:val="0"/>
              <w:snapToGrid w:val="0"/>
              <w:spacing w:line="430" w:lineRule="atLeast"/>
              <w:rPr>
                <w:rFonts w:ascii="宋体" w:hAnsi="宋体" w:cs="宋体"/>
                <w:color w:val="auto"/>
                <w:sz w:val="22"/>
                <w:szCs w:val="22"/>
                <w:highlight w:val="none"/>
              </w:rPr>
            </w:pPr>
            <w:r>
              <w:rPr>
                <w:rFonts w:hint="eastAsia" w:ascii="宋体" w:hAnsi="宋体" w:cs="宋体"/>
                <w:color w:val="auto"/>
                <w:sz w:val="22"/>
                <w:szCs w:val="22"/>
                <w:highlight w:val="none"/>
              </w:rPr>
              <w:t>供应商法定代表人授权书（</w:t>
            </w:r>
            <w:r>
              <w:rPr>
                <w:rFonts w:hint="eastAsia" w:cs="宋体" w:asciiTheme="majorEastAsia" w:hAnsiTheme="majorEastAsia" w:eastAsiaTheme="majorEastAsia"/>
                <w:color w:val="auto"/>
                <w:sz w:val="22"/>
                <w:szCs w:val="22"/>
                <w:highlight w:val="none"/>
              </w:rPr>
              <w:t>如果投标供应商代表是法定代表人的，仅需提供身份证扫描件；如果投标供应商代表不是法定代表人，须持有《法定代表人授权书》</w:t>
            </w:r>
          </w:p>
        </w:tc>
        <w:tc>
          <w:tcPr>
            <w:tcW w:w="1099" w:type="dxa"/>
            <w:shd w:val="clear" w:color="auto" w:fill="auto"/>
          </w:tcPr>
          <w:p w14:paraId="5E01432D">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附件六</w:t>
            </w:r>
          </w:p>
        </w:tc>
      </w:tr>
      <w:tr w14:paraId="7850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4E98FF6">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4</w:t>
            </w:r>
          </w:p>
        </w:tc>
        <w:tc>
          <w:tcPr>
            <w:tcW w:w="8080" w:type="dxa"/>
            <w:shd w:val="clear" w:color="auto" w:fill="auto"/>
          </w:tcPr>
          <w:p w14:paraId="3F9FB098">
            <w:pPr>
              <w:autoSpaceDE w:val="0"/>
              <w:autoSpaceDN w:val="0"/>
              <w:adjustRightInd w:val="0"/>
              <w:snapToGrid w:val="0"/>
              <w:spacing w:line="430" w:lineRule="atLeast"/>
              <w:rPr>
                <w:rFonts w:asciiTheme="majorEastAsia" w:hAnsiTheme="majorEastAsia" w:eastAsiaTheme="majorEastAsia"/>
                <w:color w:val="auto"/>
                <w:sz w:val="22"/>
                <w:szCs w:val="22"/>
                <w:highlight w:val="none"/>
              </w:rPr>
            </w:pPr>
            <w:r>
              <w:rPr>
                <w:rFonts w:hint="eastAsia" w:ascii="宋体" w:hAnsi="宋体" w:cs="宋体"/>
                <w:color w:val="auto"/>
                <w:sz w:val="22"/>
                <w:szCs w:val="22"/>
                <w:highlight w:val="none"/>
              </w:rPr>
              <w:t>投标供应商的营业执照（或事业法人登记证书或其他工商等登记证明材料）、税务登记证（如为多证合一仅需提供营业执照（或事业法人登记证书或其他工商等登记证明材料），扫描件加盖公章）</w:t>
            </w:r>
          </w:p>
        </w:tc>
        <w:tc>
          <w:tcPr>
            <w:tcW w:w="1099" w:type="dxa"/>
            <w:shd w:val="clear" w:color="auto" w:fill="auto"/>
          </w:tcPr>
          <w:p w14:paraId="099E5A00">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0073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B0B3040">
            <w:pPr>
              <w:autoSpaceDE w:val="0"/>
              <w:autoSpaceDN w:val="0"/>
              <w:adjustRightInd w:val="0"/>
              <w:snapToGrid w:val="0"/>
              <w:spacing w:line="430" w:lineRule="atLeast"/>
              <w:jc w:val="center"/>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5</w:t>
            </w:r>
          </w:p>
        </w:tc>
        <w:tc>
          <w:tcPr>
            <w:tcW w:w="8080" w:type="dxa"/>
          </w:tcPr>
          <w:p w14:paraId="34510B2B">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供应商相关资质、资信或信用证书、获奖证书等（如有则提供，扫描件加盖有效公章）</w:t>
            </w:r>
          </w:p>
        </w:tc>
        <w:tc>
          <w:tcPr>
            <w:tcW w:w="1099" w:type="dxa"/>
          </w:tcPr>
          <w:p w14:paraId="20521202">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7E6E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1943515">
            <w:pPr>
              <w:autoSpaceDE w:val="0"/>
              <w:autoSpaceDN w:val="0"/>
              <w:adjustRightInd w:val="0"/>
              <w:snapToGrid w:val="0"/>
              <w:spacing w:line="430" w:lineRule="atLeast"/>
              <w:jc w:val="center"/>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6</w:t>
            </w:r>
          </w:p>
        </w:tc>
        <w:tc>
          <w:tcPr>
            <w:tcW w:w="8080" w:type="dxa"/>
          </w:tcPr>
          <w:p w14:paraId="0675FFC6">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类似业绩（如有，</w:t>
            </w:r>
            <w:r>
              <w:rPr>
                <w:rFonts w:hint="eastAsia" w:ascii="宋体"/>
                <w:color w:val="auto"/>
                <w:sz w:val="22"/>
                <w:szCs w:val="22"/>
                <w:highlight w:val="none"/>
              </w:rPr>
              <w:t>具体以评分细则中的要求为准</w:t>
            </w:r>
            <w:r>
              <w:rPr>
                <w:rFonts w:hint="eastAsia" w:asciiTheme="majorEastAsia" w:hAnsiTheme="majorEastAsia" w:eastAsiaTheme="majorEastAsia"/>
                <w:color w:val="auto"/>
                <w:sz w:val="22"/>
                <w:szCs w:val="22"/>
                <w:highlight w:val="none"/>
              </w:rPr>
              <w:t>）</w:t>
            </w:r>
          </w:p>
        </w:tc>
        <w:tc>
          <w:tcPr>
            <w:tcW w:w="1099" w:type="dxa"/>
          </w:tcPr>
          <w:p w14:paraId="4581A413">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cs="Arial" w:asciiTheme="majorEastAsia" w:hAnsiTheme="majorEastAsia" w:eastAsiaTheme="majorEastAsia"/>
                <w:color w:val="auto"/>
                <w:sz w:val="22"/>
                <w:szCs w:val="22"/>
                <w:highlight w:val="none"/>
              </w:rPr>
              <w:t>附件七</w:t>
            </w:r>
          </w:p>
        </w:tc>
      </w:tr>
      <w:tr w14:paraId="25BF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1536087">
            <w:pPr>
              <w:autoSpaceDE w:val="0"/>
              <w:autoSpaceDN w:val="0"/>
              <w:adjustRightInd w:val="0"/>
              <w:snapToGrid w:val="0"/>
              <w:spacing w:line="430" w:lineRule="atLeast"/>
              <w:jc w:val="center"/>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7</w:t>
            </w:r>
          </w:p>
        </w:tc>
        <w:tc>
          <w:tcPr>
            <w:tcW w:w="8080" w:type="dxa"/>
            <w:vAlign w:val="center"/>
          </w:tcPr>
          <w:p w14:paraId="2133EC3F">
            <w:pPr>
              <w:tabs>
                <w:tab w:val="left" w:pos="4140"/>
              </w:tabs>
              <w:adjustRightInd w:val="0"/>
              <w:snapToGrid w:val="0"/>
              <w:spacing w:line="32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其他需说明的资料（如有则提供）</w:t>
            </w:r>
          </w:p>
        </w:tc>
        <w:tc>
          <w:tcPr>
            <w:tcW w:w="1099" w:type="dxa"/>
          </w:tcPr>
          <w:p w14:paraId="4F93D1DA">
            <w:pPr>
              <w:autoSpaceDE w:val="0"/>
              <w:autoSpaceDN w:val="0"/>
              <w:adjustRightInd w:val="0"/>
              <w:snapToGrid w:val="0"/>
              <w:spacing w:line="430" w:lineRule="atLeast"/>
              <w:jc w:val="center"/>
              <w:rPr>
                <w:rFonts w:cs="仿宋_GB2312" w:asciiTheme="majorEastAsia" w:hAnsiTheme="majorEastAsia" w:eastAsiaTheme="majorEastAsia"/>
                <w:color w:val="auto"/>
                <w:sz w:val="22"/>
                <w:szCs w:val="22"/>
                <w:highlight w:val="none"/>
                <w:lang w:val="zh-CN"/>
              </w:rPr>
            </w:pPr>
          </w:p>
        </w:tc>
      </w:tr>
      <w:tr w14:paraId="4506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2"/>
          </w:tcPr>
          <w:p w14:paraId="7A749197">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lang w:val="zh-CN"/>
              </w:rPr>
              <w:t>技术部分（如资料提供不齐全，将可能导致不利的评定）</w:t>
            </w:r>
          </w:p>
        </w:tc>
        <w:tc>
          <w:tcPr>
            <w:tcW w:w="1099" w:type="dxa"/>
          </w:tcPr>
          <w:p w14:paraId="39CA2AE6">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p>
        </w:tc>
      </w:tr>
      <w:tr w14:paraId="185C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09EC07DC">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8</w:t>
            </w:r>
          </w:p>
        </w:tc>
        <w:tc>
          <w:tcPr>
            <w:tcW w:w="8080" w:type="dxa"/>
          </w:tcPr>
          <w:p w14:paraId="71986289">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商务、技术偏离表</w:t>
            </w:r>
          </w:p>
        </w:tc>
        <w:tc>
          <w:tcPr>
            <w:tcW w:w="1099" w:type="dxa"/>
          </w:tcPr>
          <w:p w14:paraId="7C48878E">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附件八</w:t>
            </w:r>
          </w:p>
        </w:tc>
      </w:tr>
      <w:tr w14:paraId="12B5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6BA9F788">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9</w:t>
            </w:r>
          </w:p>
        </w:tc>
        <w:tc>
          <w:tcPr>
            <w:tcW w:w="8080" w:type="dxa"/>
          </w:tcPr>
          <w:p w14:paraId="0ADAB82B">
            <w:pPr>
              <w:autoSpaceDE w:val="0"/>
              <w:autoSpaceDN w:val="0"/>
              <w:adjustRightInd w:val="0"/>
              <w:snapToGrid w:val="0"/>
              <w:rPr>
                <w:rFonts w:ascii="宋体"/>
                <w:b/>
                <w:color w:val="auto"/>
                <w:sz w:val="22"/>
                <w:szCs w:val="22"/>
                <w:highlight w:val="none"/>
              </w:rPr>
            </w:pPr>
            <w:r>
              <w:rPr>
                <w:rFonts w:hint="eastAsia" w:ascii="宋体" w:hAnsi="宋体" w:cs="宋体"/>
                <w:b/>
                <w:color w:val="auto"/>
                <w:sz w:val="22"/>
                <w:szCs w:val="22"/>
                <w:highlight w:val="none"/>
              </w:rPr>
              <w:t>投标产品生产企业的证明材料：第二类、第三类医疗器械生产企业提供《医疗器械生产许可证》（如适用）；第一类医疗器械生产企业提供第一类医疗器械生产备案凭证（如适用）</w:t>
            </w:r>
          </w:p>
        </w:tc>
        <w:tc>
          <w:tcPr>
            <w:tcW w:w="1099" w:type="dxa"/>
          </w:tcPr>
          <w:p w14:paraId="4C49B5DF">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1670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5EB99850">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10</w:t>
            </w:r>
          </w:p>
        </w:tc>
        <w:tc>
          <w:tcPr>
            <w:tcW w:w="8080" w:type="dxa"/>
          </w:tcPr>
          <w:p w14:paraId="355B6EC5">
            <w:pPr>
              <w:autoSpaceDE w:val="0"/>
              <w:autoSpaceDN w:val="0"/>
              <w:adjustRightInd w:val="0"/>
              <w:snapToGrid w:val="0"/>
              <w:rPr>
                <w:rFonts w:ascii="宋体"/>
                <w:color w:val="auto"/>
                <w:sz w:val="22"/>
                <w:szCs w:val="22"/>
                <w:highlight w:val="none"/>
              </w:rPr>
            </w:pPr>
            <w:r>
              <w:rPr>
                <w:rFonts w:hint="eastAsia" w:ascii="宋体" w:hAnsi="宋体" w:cs="宋体"/>
                <w:b/>
                <w:color w:val="auto"/>
                <w:sz w:val="22"/>
                <w:szCs w:val="22"/>
                <w:highlight w:val="none"/>
              </w:rPr>
              <w:t>医疗器械经营许可证（和/或二类医疗器械经营备案证）（如适用）；完整的投标产品医疗器械注册证（如适用）；</w:t>
            </w:r>
          </w:p>
        </w:tc>
        <w:tc>
          <w:tcPr>
            <w:tcW w:w="1099" w:type="dxa"/>
          </w:tcPr>
          <w:p w14:paraId="7F40D941">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24BD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62EA41ED">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11</w:t>
            </w:r>
          </w:p>
        </w:tc>
        <w:tc>
          <w:tcPr>
            <w:tcW w:w="8080" w:type="dxa"/>
            <w:vAlign w:val="center"/>
          </w:tcPr>
          <w:p w14:paraId="3A0AEBD1">
            <w:pPr>
              <w:autoSpaceDE w:val="0"/>
              <w:autoSpaceDN w:val="0"/>
              <w:adjustRightInd w:val="0"/>
              <w:snapToGrid w:val="0"/>
              <w:rPr>
                <w:rFonts w:ascii="宋体"/>
                <w:color w:val="auto"/>
                <w:sz w:val="22"/>
                <w:szCs w:val="22"/>
                <w:highlight w:val="none"/>
              </w:rPr>
            </w:pPr>
            <w:r>
              <w:rPr>
                <w:rFonts w:hint="eastAsia" w:ascii="宋体" w:hAnsi="宋体" w:cs="宋体"/>
                <w:color w:val="auto"/>
                <w:sz w:val="22"/>
                <w:szCs w:val="22"/>
                <w:highlight w:val="none"/>
              </w:rPr>
              <w:t>产品配置及主要技术参数、原厂技术参数</w:t>
            </w:r>
          </w:p>
        </w:tc>
        <w:tc>
          <w:tcPr>
            <w:tcW w:w="1099" w:type="dxa"/>
          </w:tcPr>
          <w:p w14:paraId="08B87355">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附件九</w:t>
            </w:r>
          </w:p>
        </w:tc>
      </w:tr>
      <w:tr w14:paraId="0851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18B2B6D8">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12</w:t>
            </w:r>
          </w:p>
        </w:tc>
        <w:tc>
          <w:tcPr>
            <w:tcW w:w="8080" w:type="dxa"/>
            <w:vAlign w:val="center"/>
          </w:tcPr>
          <w:p w14:paraId="6F8CD5DB">
            <w:pPr>
              <w:autoSpaceDE w:val="0"/>
              <w:autoSpaceDN w:val="0"/>
              <w:adjustRightInd w:val="0"/>
              <w:snapToGrid w:val="0"/>
              <w:rPr>
                <w:rFonts w:ascii="宋体"/>
                <w:color w:val="auto"/>
                <w:sz w:val="22"/>
                <w:szCs w:val="22"/>
                <w:highlight w:val="none"/>
              </w:rPr>
            </w:pPr>
            <w:r>
              <w:rPr>
                <w:rFonts w:hint="eastAsia" w:ascii="宋体" w:hAnsi="宋体" w:cs="宋体"/>
                <w:color w:val="auto"/>
                <w:sz w:val="22"/>
                <w:szCs w:val="22"/>
                <w:highlight w:val="none"/>
              </w:rPr>
              <w:t>投标机型的样本或彩页</w:t>
            </w:r>
          </w:p>
        </w:tc>
        <w:tc>
          <w:tcPr>
            <w:tcW w:w="1099" w:type="dxa"/>
          </w:tcPr>
          <w:p w14:paraId="0E3D67E8">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65F7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32B2DEA4">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13</w:t>
            </w:r>
          </w:p>
        </w:tc>
        <w:tc>
          <w:tcPr>
            <w:tcW w:w="8080" w:type="dxa"/>
            <w:vAlign w:val="center"/>
          </w:tcPr>
          <w:p w14:paraId="660987BA">
            <w:pPr>
              <w:autoSpaceDE w:val="0"/>
              <w:autoSpaceDN w:val="0"/>
              <w:adjustRightInd w:val="0"/>
              <w:snapToGrid w:val="0"/>
              <w:rPr>
                <w:rFonts w:ascii="宋体"/>
                <w:color w:val="auto"/>
                <w:sz w:val="22"/>
                <w:szCs w:val="22"/>
                <w:highlight w:val="none"/>
              </w:rPr>
            </w:pPr>
            <w:r>
              <w:rPr>
                <w:rFonts w:hint="eastAsia" w:ascii="宋体" w:hAnsi="宋体" w:cs="宋体"/>
                <w:color w:val="auto"/>
                <w:sz w:val="22"/>
                <w:szCs w:val="22"/>
                <w:highlight w:val="none"/>
              </w:rPr>
              <w:t>供货、随机标准附件、备品备件、零配件、专用工具清单</w:t>
            </w:r>
          </w:p>
        </w:tc>
        <w:tc>
          <w:tcPr>
            <w:tcW w:w="1099" w:type="dxa"/>
          </w:tcPr>
          <w:p w14:paraId="1150F340">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242B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40AA8B90">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14</w:t>
            </w:r>
          </w:p>
        </w:tc>
        <w:tc>
          <w:tcPr>
            <w:tcW w:w="8080" w:type="dxa"/>
            <w:vAlign w:val="center"/>
          </w:tcPr>
          <w:p w14:paraId="1AF00469">
            <w:pPr>
              <w:autoSpaceDE w:val="0"/>
              <w:autoSpaceDN w:val="0"/>
              <w:adjustRightInd w:val="0"/>
              <w:snapToGrid w:val="0"/>
              <w:rPr>
                <w:rFonts w:ascii="宋体"/>
                <w:b/>
                <w:color w:val="auto"/>
                <w:sz w:val="22"/>
                <w:szCs w:val="22"/>
                <w:highlight w:val="none"/>
              </w:rPr>
            </w:pPr>
            <w:r>
              <w:rPr>
                <w:rFonts w:hint="eastAsia" w:ascii="宋体" w:hAnsi="宋体" w:cs="宋体"/>
                <w:color w:val="auto"/>
                <w:sz w:val="22"/>
                <w:szCs w:val="22"/>
                <w:highlight w:val="none"/>
              </w:rPr>
              <w:t>消耗品、易耗品价格清单</w:t>
            </w:r>
          </w:p>
        </w:tc>
        <w:tc>
          <w:tcPr>
            <w:tcW w:w="1099" w:type="dxa"/>
          </w:tcPr>
          <w:p w14:paraId="078FF069">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1F21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19CEACC6">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15</w:t>
            </w:r>
          </w:p>
        </w:tc>
        <w:tc>
          <w:tcPr>
            <w:tcW w:w="8080" w:type="dxa"/>
            <w:vAlign w:val="center"/>
          </w:tcPr>
          <w:p w14:paraId="4A2DFA53">
            <w:pPr>
              <w:autoSpaceDE w:val="0"/>
              <w:autoSpaceDN w:val="0"/>
              <w:adjustRightInd w:val="0"/>
              <w:snapToGrid w:val="0"/>
              <w:rPr>
                <w:rFonts w:ascii="宋体"/>
                <w:b/>
                <w:color w:val="auto"/>
                <w:sz w:val="22"/>
                <w:szCs w:val="22"/>
                <w:highlight w:val="none"/>
              </w:rPr>
            </w:pPr>
            <w:r>
              <w:rPr>
                <w:rFonts w:hint="eastAsia" w:ascii="宋体" w:hAnsi="宋体" w:cs="宋体"/>
                <w:color w:val="auto"/>
                <w:sz w:val="22"/>
                <w:szCs w:val="22"/>
                <w:highlight w:val="none"/>
              </w:rPr>
              <w:t>保修价格，维修配件价格，维修服务费价格</w:t>
            </w:r>
          </w:p>
        </w:tc>
        <w:tc>
          <w:tcPr>
            <w:tcW w:w="1099" w:type="dxa"/>
          </w:tcPr>
          <w:p w14:paraId="2A16E81A">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1E13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53A917FC">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16</w:t>
            </w:r>
          </w:p>
        </w:tc>
        <w:tc>
          <w:tcPr>
            <w:tcW w:w="8080" w:type="dxa"/>
            <w:vAlign w:val="center"/>
          </w:tcPr>
          <w:p w14:paraId="19400D79">
            <w:pPr>
              <w:autoSpaceDE w:val="0"/>
              <w:autoSpaceDN w:val="0"/>
              <w:adjustRightInd w:val="0"/>
              <w:snapToGrid w:val="0"/>
              <w:rPr>
                <w:rFonts w:ascii="宋体"/>
                <w:b/>
                <w:color w:val="auto"/>
                <w:sz w:val="22"/>
                <w:szCs w:val="22"/>
                <w:highlight w:val="none"/>
              </w:rPr>
            </w:pPr>
            <w:r>
              <w:rPr>
                <w:rFonts w:hint="eastAsia" w:ascii="宋体" w:hAnsi="宋体" w:cs="宋体"/>
                <w:color w:val="auto"/>
                <w:sz w:val="22"/>
                <w:szCs w:val="22"/>
                <w:highlight w:val="none"/>
              </w:rPr>
              <w:t>产品性能说明</w:t>
            </w:r>
          </w:p>
        </w:tc>
        <w:tc>
          <w:tcPr>
            <w:tcW w:w="1099" w:type="dxa"/>
          </w:tcPr>
          <w:p w14:paraId="3EFB798F">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2E49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3484612">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17</w:t>
            </w:r>
          </w:p>
        </w:tc>
        <w:tc>
          <w:tcPr>
            <w:tcW w:w="8080" w:type="dxa"/>
            <w:vAlign w:val="center"/>
          </w:tcPr>
          <w:p w14:paraId="73B943BB">
            <w:pPr>
              <w:autoSpaceDE w:val="0"/>
              <w:autoSpaceDN w:val="0"/>
              <w:adjustRightInd w:val="0"/>
              <w:snapToGrid w:val="0"/>
              <w:rPr>
                <w:rFonts w:ascii="宋体"/>
                <w:b/>
                <w:color w:val="auto"/>
                <w:sz w:val="22"/>
                <w:szCs w:val="22"/>
                <w:highlight w:val="none"/>
              </w:rPr>
            </w:pPr>
            <w:r>
              <w:rPr>
                <w:rFonts w:hint="eastAsia" w:ascii="宋体" w:hAnsi="宋体" w:cs="宋体"/>
                <w:color w:val="auto"/>
                <w:sz w:val="22"/>
                <w:szCs w:val="22"/>
                <w:highlight w:val="none"/>
              </w:rPr>
              <w:t>项目服务人员汇总表</w:t>
            </w:r>
          </w:p>
        </w:tc>
        <w:tc>
          <w:tcPr>
            <w:tcW w:w="1099" w:type="dxa"/>
          </w:tcPr>
          <w:p w14:paraId="0888FE6A">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附件十</w:t>
            </w:r>
          </w:p>
        </w:tc>
      </w:tr>
      <w:tr w14:paraId="0FCE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3061E64">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18</w:t>
            </w:r>
          </w:p>
        </w:tc>
        <w:tc>
          <w:tcPr>
            <w:tcW w:w="8080" w:type="dxa"/>
            <w:vAlign w:val="center"/>
          </w:tcPr>
          <w:p w14:paraId="7CC6A230">
            <w:pPr>
              <w:autoSpaceDE w:val="0"/>
              <w:autoSpaceDN w:val="0"/>
              <w:adjustRightInd w:val="0"/>
              <w:snapToGrid w:val="0"/>
              <w:rPr>
                <w:rFonts w:ascii="宋体"/>
                <w:color w:val="auto"/>
                <w:sz w:val="22"/>
                <w:szCs w:val="22"/>
                <w:highlight w:val="none"/>
              </w:rPr>
            </w:pPr>
            <w:r>
              <w:rPr>
                <w:rFonts w:hint="eastAsia" w:ascii="宋体" w:hAnsi="宋体" w:cs="宋体"/>
                <w:color w:val="auto"/>
                <w:sz w:val="22"/>
                <w:highlight w:val="none"/>
              </w:rPr>
              <w:t>节能环保产品证明材料</w:t>
            </w:r>
          </w:p>
        </w:tc>
        <w:tc>
          <w:tcPr>
            <w:tcW w:w="1099" w:type="dxa"/>
          </w:tcPr>
          <w:p w14:paraId="1BDC8325">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4232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9638080">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19</w:t>
            </w:r>
          </w:p>
        </w:tc>
        <w:tc>
          <w:tcPr>
            <w:tcW w:w="8080" w:type="dxa"/>
            <w:vAlign w:val="center"/>
          </w:tcPr>
          <w:p w14:paraId="47424720">
            <w:pPr>
              <w:autoSpaceDE w:val="0"/>
              <w:autoSpaceDN w:val="0"/>
              <w:adjustRightInd w:val="0"/>
              <w:snapToGrid w:val="0"/>
              <w:rPr>
                <w:rFonts w:ascii="宋体"/>
                <w:color w:val="auto"/>
                <w:sz w:val="22"/>
                <w:szCs w:val="22"/>
                <w:highlight w:val="none"/>
              </w:rPr>
            </w:pPr>
            <w:r>
              <w:rPr>
                <w:rFonts w:hint="eastAsia" w:ascii="宋体" w:hAnsi="宋体" w:cs="宋体"/>
                <w:color w:val="auto"/>
                <w:sz w:val="22"/>
                <w:szCs w:val="22"/>
                <w:highlight w:val="none"/>
              </w:rPr>
              <w:t>实施方案（含具备履行合同所必需的设备投入说明）</w:t>
            </w:r>
          </w:p>
        </w:tc>
        <w:tc>
          <w:tcPr>
            <w:tcW w:w="1099" w:type="dxa"/>
          </w:tcPr>
          <w:p w14:paraId="10F2B02A">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4F9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AA2B8F9">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20</w:t>
            </w:r>
          </w:p>
        </w:tc>
        <w:tc>
          <w:tcPr>
            <w:tcW w:w="8080" w:type="dxa"/>
            <w:vAlign w:val="center"/>
          </w:tcPr>
          <w:p w14:paraId="6A2535A0">
            <w:pPr>
              <w:autoSpaceDE w:val="0"/>
              <w:autoSpaceDN w:val="0"/>
              <w:adjustRightInd w:val="0"/>
              <w:snapToGrid w:val="0"/>
              <w:rPr>
                <w:rFonts w:ascii="宋体"/>
                <w:color w:val="auto"/>
                <w:sz w:val="22"/>
                <w:szCs w:val="22"/>
                <w:highlight w:val="none"/>
              </w:rPr>
            </w:pPr>
            <w:r>
              <w:rPr>
                <w:rFonts w:hint="eastAsia" w:ascii="宋体" w:hAnsi="宋体" w:cs="宋体"/>
                <w:color w:val="auto"/>
                <w:sz w:val="22"/>
                <w:szCs w:val="22"/>
                <w:highlight w:val="none"/>
              </w:rPr>
              <w:t>测试验收方案</w:t>
            </w:r>
          </w:p>
        </w:tc>
        <w:tc>
          <w:tcPr>
            <w:tcW w:w="1099" w:type="dxa"/>
          </w:tcPr>
          <w:p w14:paraId="4FBD9B2F">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20E3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BF49E32">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21</w:t>
            </w:r>
          </w:p>
        </w:tc>
        <w:tc>
          <w:tcPr>
            <w:tcW w:w="8080" w:type="dxa"/>
            <w:vAlign w:val="center"/>
          </w:tcPr>
          <w:p w14:paraId="66E8C49B">
            <w:pPr>
              <w:autoSpaceDE w:val="0"/>
              <w:autoSpaceDN w:val="0"/>
              <w:adjustRightInd w:val="0"/>
              <w:snapToGrid w:val="0"/>
              <w:rPr>
                <w:rFonts w:ascii="宋体"/>
                <w:color w:val="auto"/>
                <w:sz w:val="22"/>
                <w:szCs w:val="22"/>
                <w:highlight w:val="none"/>
              </w:rPr>
            </w:pPr>
            <w:r>
              <w:rPr>
                <w:rFonts w:hint="eastAsia" w:ascii="宋体" w:hAnsi="宋体" w:cs="宋体"/>
                <w:color w:val="auto"/>
                <w:sz w:val="22"/>
                <w:szCs w:val="22"/>
                <w:highlight w:val="none"/>
              </w:rPr>
              <w:t>详细的培训计划</w:t>
            </w:r>
          </w:p>
        </w:tc>
        <w:tc>
          <w:tcPr>
            <w:tcW w:w="1099" w:type="dxa"/>
          </w:tcPr>
          <w:p w14:paraId="5CE7D2F4">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3FEB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AA52202">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22</w:t>
            </w:r>
          </w:p>
        </w:tc>
        <w:tc>
          <w:tcPr>
            <w:tcW w:w="8080" w:type="dxa"/>
            <w:vAlign w:val="center"/>
          </w:tcPr>
          <w:p w14:paraId="07B215E1">
            <w:pPr>
              <w:autoSpaceDE w:val="0"/>
              <w:autoSpaceDN w:val="0"/>
              <w:adjustRightInd w:val="0"/>
              <w:snapToGrid w:val="0"/>
              <w:rPr>
                <w:rFonts w:ascii="宋体"/>
                <w:color w:val="auto"/>
                <w:sz w:val="22"/>
                <w:szCs w:val="22"/>
                <w:highlight w:val="none"/>
              </w:rPr>
            </w:pPr>
            <w:r>
              <w:rPr>
                <w:rFonts w:hint="eastAsia" w:ascii="宋体" w:hAnsi="宋体" w:cs="宋体"/>
                <w:color w:val="auto"/>
                <w:sz w:val="22"/>
                <w:szCs w:val="22"/>
                <w:highlight w:val="none"/>
              </w:rPr>
              <w:t xml:space="preserve">售后服务承诺：技术服务和售后服务的内容、措施、承诺，包括质保期、距采购人最近的服务网点的详细介绍，资质资格、技术力量、成立时间   </w:t>
            </w:r>
          </w:p>
        </w:tc>
        <w:tc>
          <w:tcPr>
            <w:tcW w:w="1099" w:type="dxa"/>
          </w:tcPr>
          <w:p w14:paraId="0FDD6CC5">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30CE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8751373">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23</w:t>
            </w:r>
          </w:p>
        </w:tc>
        <w:tc>
          <w:tcPr>
            <w:tcW w:w="8080" w:type="dxa"/>
          </w:tcPr>
          <w:p w14:paraId="4C91A58D">
            <w:pPr>
              <w:autoSpaceDE w:val="0"/>
              <w:autoSpaceDN w:val="0"/>
              <w:adjustRightInd w:val="0"/>
              <w:snapToGrid w:val="0"/>
              <w:spacing w:line="430" w:lineRule="atLeast"/>
              <w:rPr>
                <w:rFonts w:ascii="宋体"/>
                <w:color w:val="auto"/>
                <w:sz w:val="22"/>
                <w:szCs w:val="22"/>
                <w:highlight w:val="none"/>
              </w:rPr>
            </w:pPr>
            <w:r>
              <w:rPr>
                <w:rFonts w:hint="eastAsia" w:ascii="宋体" w:hAnsi="宋体" w:cs="宋体"/>
                <w:b/>
                <w:bCs/>
                <w:color w:val="auto"/>
                <w:sz w:val="22"/>
                <w:szCs w:val="22"/>
                <w:highlight w:val="none"/>
              </w:rPr>
              <w:t>根据招标文件中的采购内容与技术要求、评标细则，需要提供的其他文件和资料</w:t>
            </w:r>
          </w:p>
        </w:tc>
        <w:tc>
          <w:tcPr>
            <w:tcW w:w="1099" w:type="dxa"/>
          </w:tcPr>
          <w:p w14:paraId="6F9A28FA">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bl>
    <w:p w14:paraId="27CBBDF3">
      <w:pPr>
        <w:spacing w:line="43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p w14:paraId="4900ADE6">
      <w:pPr>
        <w:numPr>
          <w:ilvl w:val="0"/>
          <w:numId w:val="3"/>
        </w:numPr>
        <w:spacing w:line="430" w:lineRule="exact"/>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AB15903">
      <w:pPr>
        <w:numPr>
          <w:ilvl w:val="0"/>
          <w:numId w:val="3"/>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7A020696">
      <w:pPr>
        <w:numPr>
          <w:ilvl w:val="0"/>
          <w:numId w:val="3"/>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以上所需的各种证书、证件、证明等若系复印件、扫描件，须加盖供应商有效的公章。</w:t>
      </w:r>
    </w:p>
    <w:p w14:paraId="672D5975">
      <w:pPr>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3、投标文件编制</w:t>
      </w:r>
    </w:p>
    <w:p w14:paraId="72EF866F">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3.1本项目通过“政采云平台（www.zcygov.cn）”实行在线投标响应（电子投标）。供应商应通过“政采云电子交易客户端”，并按照本招标文件和“政采云平台”的要求编制并加密投标文件。</w:t>
      </w:r>
    </w:p>
    <w:p w14:paraId="68605BC2">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3.2投标供应商应当按照本章节 “投标文件组成”规定的内容及顺序在“政采云电子交易客户端”编制投标文件。其中 “技术资信文件”中不得出现本项目投标报价，如因投标供应商原因提前泄露投标报价，是投标供应商的责任。</w:t>
      </w:r>
    </w:p>
    <w:p w14:paraId="543BA4CF">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3.3本招标文件“投标文件格式”中有提供格式的，投标供应商须参照格式进行编制（格式中要求提供相关证明材料的还需后附相关证明材料），并按格式要求在指定位置根据要求进行签章，否则视为未提供；本文件“投标文件格式”未提供格式的，请各投标单位自行拟定格式，并加盖单位公章并由法定代表人或其授权代表签署（签字或盖章），否则视为未提供。</w:t>
      </w:r>
    </w:p>
    <w:p w14:paraId="1A2F32A6">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3.4投标文件内容不完整、编排混乱导致投标文件被误读、漏读或者查找不到相关内容的，是投标供应商的责任。</w:t>
      </w:r>
    </w:p>
    <w:p w14:paraId="77BCC596">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3.5投标文件因字迹潦草或表达不清所引起的后果由投标供应商负责。</w:t>
      </w:r>
    </w:p>
    <w:p w14:paraId="3EA9FC3B">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3.6 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0519E869">
      <w:pPr>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4、投标文件的签章</w:t>
      </w:r>
    </w:p>
    <w:p w14:paraId="55D6FF27">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4.1投标文件的签章要求：投标供应商须知前附表；</w:t>
      </w:r>
    </w:p>
    <w:p w14:paraId="14EE9A73">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4.2投标文件应由投标供应商法定代表人或其授权代表签章，并加盖投标供应商公章。</w:t>
      </w:r>
    </w:p>
    <w:p w14:paraId="05EBB446">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4.3电子签章操作指南详见采购公告附件《供应商项目采购－电子招投标操作指南》。</w:t>
      </w:r>
    </w:p>
    <w:p w14:paraId="71977336">
      <w:pPr>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5、投标文件的形式</w:t>
      </w:r>
    </w:p>
    <w:p w14:paraId="5C4AA2B4">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5.1投标文件的形式：见投标供应商须知前附表；</w:t>
      </w:r>
    </w:p>
    <w:p w14:paraId="56621F68">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5.2“电子加密投标文件”：“电子加密投标文件”是指通过“政采云电子交易客户端”完成投标文件编制后生成并加密的数据电文形式的投标文件。</w:t>
      </w:r>
    </w:p>
    <w:p w14:paraId="2F5F0E33">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5.3“备份投标文件”：“备份投标文件”是指与“电子加密投标文件”同时生成的数据电文形式的电子文件（备份标书），其他方式编制的“备份投标文件”视为无效的“备份投标文件”。</w:t>
      </w:r>
    </w:p>
    <w:p w14:paraId="1367B013">
      <w:pPr>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6、投标文件的份数</w:t>
      </w:r>
    </w:p>
    <w:p w14:paraId="4873555B">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6.1投标文件的份数：见投标供应商须知前附表。</w:t>
      </w:r>
    </w:p>
    <w:p w14:paraId="0B6F3D44">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7、投标报价</w:t>
      </w:r>
      <w:bookmarkEnd w:id="43"/>
      <w:bookmarkEnd w:id="44"/>
    </w:p>
    <w:p w14:paraId="50120432">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bookmarkStart w:id="47" w:name="_Toc132122413"/>
      <w:bookmarkStart w:id="48" w:name="_Toc132122116"/>
      <w:r>
        <w:rPr>
          <w:rFonts w:hint="eastAsia" w:cs="新宋体" w:asciiTheme="majorEastAsia" w:hAnsiTheme="majorEastAsia" w:eastAsiaTheme="majorEastAsia"/>
          <w:bCs/>
          <w:color w:val="auto"/>
          <w:sz w:val="22"/>
          <w:szCs w:val="22"/>
          <w:highlight w:val="none"/>
        </w:rPr>
        <w:t>7.1供应商应按招标文件中《开标一览表》及《投标分项报价表》（如有）填写投标总价及分项报价。</w:t>
      </w:r>
    </w:p>
    <w:p w14:paraId="3CBA4647">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7.2本次招标只允许有一个报价，有选择的报价将不予接受。</w:t>
      </w:r>
    </w:p>
    <w:p w14:paraId="15961C7C">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7.3投标报价应包含以下费用。</w:t>
      </w:r>
    </w:p>
    <w:p w14:paraId="3A24350B">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color w:val="auto"/>
          <w:sz w:val="22"/>
          <w:szCs w:val="22"/>
          <w:highlight w:val="none"/>
        </w:rPr>
        <w:t>投标报价</w:t>
      </w:r>
      <w:r>
        <w:rPr>
          <w:rFonts w:hint="eastAsia" w:ascii="宋体"/>
          <w:color w:val="auto"/>
          <w:sz w:val="22"/>
          <w:szCs w:val="22"/>
          <w:highlight w:val="none"/>
        </w:rPr>
        <w:t>包括检验服务费、人工费、保险费、增值税、材料损耗费、采购保管费、配送费、利润、税金、风险等的全部费用</w:t>
      </w:r>
      <w:r>
        <w:rPr>
          <w:rFonts w:hint="eastAsia" w:cs="新宋体" w:asciiTheme="majorEastAsia" w:hAnsiTheme="majorEastAsia" w:eastAsiaTheme="majorEastAsia"/>
          <w:color w:val="auto"/>
          <w:sz w:val="22"/>
          <w:szCs w:val="22"/>
          <w:highlight w:val="none"/>
        </w:rPr>
        <w:t>。</w:t>
      </w:r>
    </w:p>
    <w:p w14:paraId="18FDC83E">
      <w:pPr>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sz w:val="22"/>
          <w:szCs w:val="22"/>
          <w:highlight w:val="none"/>
          <w:u w:val="single"/>
        </w:rPr>
      </w:pPr>
      <w:r>
        <w:rPr>
          <w:rFonts w:hint="eastAsia" w:cs="新宋体" w:asciiTheme="majorEastAsia" w:hAnsiTheme="majorEastAsia" w:eastAsiaTheme="majorEastAsia"/>
          <w:b/>
          <w:bCs/>
          <w:color w:val="auto"/>
          <w:sz w:val="22"/>
          <w:szCs w:val="22"/>
          <w:highlight w:val="none"/>
          <w:u w:val="single"/>
        </w:rPr>
        <w:t>供应商在投标报价中应充分考虑所有可能发生的费用，否则采购人将视投标总价中已包括所有费用。</w:t>
      </w:r>
    </w:p>
    <w:p w14:paraId="561E3B50">
      <w:pPr>
        <w:autoSpaceDE w:val="0"/>
        <w:autoSpaceDN w:val="0"/>
        <w:adjustRightInd w:val="0"/>
        <w:spacing w:line="460" w:lineRule="atLeast"/>
        <w:ind w:firstLine="442" w:firstLineChars="200"/>
        <w:textAlignment w:val="bottom"/>
        <w:rPr>
          <w:rFonts w:cs="新宋体" w:asciiTheme="majorEastAsia" w:hAnsiTheme="majorEastAsia" w:eastAsiaTheme="majorEastAsia"/>
          <w:bCs/>
          <w:color w:val="auto"/>
          <w:sz w:val="22"/>
          <w:szCs w:val="22"/>
          <w:highlight w:val="none"/>
          <w:u w:val="single"/>
        </w:rPr>
      </w:pPr>
      <w:r>
        <w:rPr>
          <w:rFonts w:hint="eastAsia" w:cs="新宋体" w:asciiTheme="majorEastAsia" w:hAnsiTheme="majorEastAsia" w:eastAsiaTheme="majorEastAsia"/>
          <w:b/>
          <w:bCs/>
          <w:color w:val="auto"/>
          <w:sz w:val="22"/>
          <w:szCs w:val="22"/>
          <w:highlight w:val="none"/>
          <w:u w:val="single"/>
        </w:rPr>
        <w:t>供应商对在合同执行中，除上述费用及招标文件规定的由中标供应商负责的工作范围以外需要采购人协调或提供便利的工作应当在投标文件中说明。</w:t>
      </w:r>
    </w:p>
    <w:p w14:paraId="2FF3BC11">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填写报价表格时，各项费用应如实填写。</w:t>
      </w:r>
    </w:p>
    <w:p w14:paraId="4911437A">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8、采购人要求分类报价是为了方便评标，但在任何情况下不限制采购人以其认为最合适的条款签订合同的权利。</w:t>
      </w:r>
    </w:p>
    <w:bookmarkEnd w:id="47"/>
    <w:bookmarkEnd w:id="48"/>
    <w:p w14:paraId="7CFCE543">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bookmarkStart w:id="49" w:name="_Toc132122414"/>
      <w:bookmarkStart w:id="50" w:name="_Toc132122117"/>
      <w:bookmarkStart w:id="51" w:name="_Toc132124595"/>
      <w:bookmarkStart w:id="52" w:name="_Toc132122120"/>
      <w:bookmarkStart w:id="53" w:name="_Toc132125575"/>
      <w:bookmarkStart w:id="54" w:name="_Toc132125152"/>
      <w:bookmarkStart w:id="55" w:name="_Toc332809833"/>
      <w:bookmarkStart w:id="56" w:name="_Toc132125984"/>
      <w:bookmarkStart w:id="57" w:name="_Toc132123839"/>
      <w:bookmarkStart w:id="58" w:name="_Toc132123440"/>
      <w:bookmarkStart w:id="59" w:name="_Toc132655777"/>
      <w:bookmarkStart w:id="60" w:name="_Toc132122417"/>
      <w:bookmarkStart w:id="61" w:name="_Toc132125038"/>
      <w:bookmarkStart w:id="62" w:name="_Toc132126155"/>
      <w:bookmarkStart w:id="63" w:name="_Toc132123882"/>
      <w:bookmarkStart w:id="64" w:name="_Toc132125096"/>
      <w:bookmarkStart w:id="65" w:name="_Toc132123635"/>
      <w:bookmarkStart w:id="66" w:name="_Toc132123548"/>
      <w:r>
        <w:rPr>
          <w:rFonts w:hint="eastAsia" w:cs="新宋体" w:asciiTheme="majorEastAsia" w:hAnsiTheme="majorEastAsia" w:eastAsiaTheme="majorEastAsia"/>
          <w:bCs/>
          <w:color w:val="auto"/>
          <w:sz w:val="22"/>
          <w:szCs w:val="22"/>
          <w:highlight w:val="none"/>
        </w:rPr>
        <w:t>9、投标文件的有效期</w:t>
      </w:r>
      <w:bookmarkEnd w:id="49"/>
      <w:bookmarkEnd w:id="50"/>
    </w:p>
    <w:p w14:paraId="04FCDC18">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9.1 自投标截止时间起90天内，投标文件应保持有效。有效期短于这个规定期限的投标将被拒绝。</w:t>
      </w:r>
    </w:p>
    <w:p w14:paraId="158E642C">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9.2 在特殊情况下，采购人可与供应商协商延长投标文件的有效期，这种要求和答复均应以书面形式进行。</w:t>
      </w:r>
    </w:p>
    <w:p w14:paraId="10507C5A">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9.3 供应商可拒绝接受延期要求。同意延长有效期的供应商不能修改投标文件。</w:t>
      </w:r>
    </w:p>
    <w:p w14:paraId="707B8683">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10、投标供应商如发生下列情况之一，将上报同级政府采购监督管理部门，追究其责任：</w:t>
      </w:r>
    </w:p>
    <w:p w14:paraId="6CDBAE29">
      <w:pPr>
        <w:pStyle w:val="84"/>
        <w:numPr>
          <w:ilvl w:val="0"/>
          <w:numId w:val="4"/>
        </w:numPr>
        <w:autoSpaceDE w:val="0"/>
        <w:autoSpaceDN w:val="0"/>
        <w:adjustRightInd w:val="0"/>
        <w:spacing w:line="460" w:lineRule="atLeast"/>
        <w:ind w:firstLineChars="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投标供应商在招标文件规定的投标有效期内撤回投标；</w:t>
      </w:r>
    </w:p>
    <w:p w14:paraId="78B96546">
      <w:pPr>
        <w:pStyle w:val="84"/>
        <w:numPr>
          <w:ilvl w:val="0"/>
          <w:numId w:val="4"/>
        </w:numPr>
        <w:autoSpaceDE w:val="0"/>
        <w:autoSpaceDN w:val="0"/>
        <w:adjustRightInd w:val="0"/>
        <w:spacing w:line="460" w:lineRule="atLeast"/>
        <w:ind w:firstLineChars="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中标供应商未按中标通知书中规定的时间与采购人签订合同；</w:t>
      </w:r>
    </w:p>
    <w:p w14:paraId="60DF7879">
      <w:pPr>
        <w:pStyle w:val="84"/>
        <w:numPr>
          <w:ilvl w:val="0"/>
          <w:numId w:val="4"/>
        </w:numPr>
        <w:autoSpaceDE w:val="0"/>
        <w:autoSpaceDN w:val="0"/>
        <w:adjustRightInd w:val="0"/>
        <w:spacing w:line="460" w:lineRule="atLeast"/>
        <w:ind w:firstLineChars="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投标供应商在招标文件中提供虚假技术指标及参数，经评标委员会确认属实的。</w:t>
      </w:r>
    </w:p>
    <w:p w14:paraId="47A0BF9C">
      <w:pPr>
        <w:pStyle w:val="84"/>
        <w:numPr>
          <w:ilvl w:val="0"/>
          <w:numId w:val="4"/>
        </w:numPr>
        <w:autoSpaceDE w:val="0"/>
        <w:autoSpaceDN w:val="0"/>
        <w:adjustRightInd w:val="0"/>
        <w:spacing w:line="460" w:lineRule="atLeast"/>
        <w:ind w:firstLineChars="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经同级政府采购监督管理部门审查认定投标供应商有违反《中华人民共和国政府采购法》等有关法律法规的行为。</w:t>
      </w:r>
    </w:p>
    <w:p w14:paraId="447822B8">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8"/>
          <w:szCs w:val="28"/>
          <w:highlight w:val="none"/>
        </w:rPr>
      </w:pPr>
      <w:bookmarkStart w:id="67" w:name="_Toc132123881"/>
      <w:bookmarkStart w:id="68" w:name="_Toc132655776"/>
      <w:bookmarkStart w:id="69" w:name="_Toc132123439"/>
      <w:bookmarkStart w:id="70" w:name="_Toc132124594"/>
      <w:bookmarkStart w:id="71" w:name="_Toc132125151"/>
      <w:bookmarkStart w:id="72" w:name="_Toc132125095"/>
      <w:bookmarkStart w:id="73" w:name="_Toc132125983"/>
      <w:bookmarkStart w:id="74" w:name="_Toc132125574"/>
      <w:bookmarkStart w:id="75" w:name="_Toc496116253"/>
      <w:bookmarkStart w:id="76" w:name="_Toc132123838"/>
      <w:bookmarkStart w:id="77" w:name="_Toc132122416"/>
      <w:bookmarkStart w:id="78" w:name="_Toc132126154"/>
      <w:bookmarkStart w:id="79" w:name="_Toc18653"/>
      <w:bookmarkStart w:id="80" w:name="_Toc132123547"/>
      <w:bookmarkStart w:id="81" w:name="_Toc132122119"/>
      <w:bookmarkStart w:id="82" w:name="_Toc132123634"/>
      <w:bookmarkStart w:id="83" w:name="_Toc132125037"/>
      <w:r>
        <w:rPr>
          <w:rFonts w:hint="eastAsia" w:cs="Arial" w:asciiTheme="majorEastAsia" w:hAnsiTheme="majorEastAsia" w:eastAsiaTheme="majorEastAsia"/>
          <w:b/>
          <w:bCs/>
          <w:color w:val="auto"/>
          <w:sz w:val="28"/>
          <w:szCs w:val="28"/>
          <w:highlight w:val="none"/>
        </w:rPr>
        <w:t>五、投标文件的</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eastAsia" w:cs="Arial" w:asciiTheme="majorEastAsia" w:hAnsiTheme="majorEastAsia" w:eastAsiaTheme="majorEastAsia"/>
          <w:b/>
          <w:bCs/>
          <w:color w:val="auto"/>
          <w:sz w:val="28"/>
          <w:szCs w:val="28"/>
          <w:highlight w:val="none"/>
        </w:rPr>
        <w:t>递交</w:t>
      </w:r>
    </w:p>
    <w:p w14:paraId="15C06F43">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1、投标文件的递交</w:t>
      </w:r>
    </w:p>
    <w:p w14:paraId="7240C3D6">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sz w:val="22"/>
          <w:szCs w:val="22"/>
          <w:highlight w:val="none"/>
        </w:rPr>
        <w:t>1.1投标文件的上传、递交：见投标供应商须知前附表。</w:t>
      </w:r>
    </w:p>
    <w:p w14:paraId="3DC23241">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2、 “电子加密投标文件”解密和异常情况处理。</w:t>
      </w:r>
    </w:p>
    <w:p w14:paraId="5E5D066A">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2.1“电子加密投标文件”解密：见投标供应商须知前附表。</w:t>
      </w:r>
    </w:p>
    <w:p w14:paraId="27BC9D7D">
      <w:pPr>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3、 投标文件的补充、修改或撤回</w:t>
      </w:r>
    </w:p>
    <w:p w14:paraId="51FB77C1">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3.1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024C7EF3">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3.2投标文件递交截止时间后，投标供应商不得撤回、修改投标文件。</w:t>
      </w:r>
    </w:p>
    <w:p w14:paraId="56D6BA73">
      <w:pPr>
        <w:autoSpaceDE w:val="0"/>
        <w:autoSpaceDN w:val="0"/>
        <w:adjustRightInd w:val="0"/>
        <w:spacing w:line="460" w:lineRule="atLeast"/>
        <w:ind w:firstLine="442"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4、投标文件的备选方案</w:t>
      </w:r>
    </w:p>
    <w:p w14:paraId="44264140">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4.1投标供应商不得递交任何的投标备选（替代）方案，否则其投标文件将作无效标处理。与“电子加密投标文件”同时生成的“备份投标文件”不是投标备选（替代）方案。</w:t>
      </w:r>
    </w:p>
    <w:p w14:paraId="02262E5D">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2"/>
          <w:szCs w:val="22"/>
          <w:highlight w:val="none"/>
        </w:rPr>
      </w:pPr>
      <w:bookmarkStart w:id="84" w:name="_Toc496116254"/>
      <w:bookmarkStart w:id="85" w:name="_Toc144"/>
      <w:r>
        <w:rPr>
          <w:rFonts w:hint="eastAsia" w:cs="Arial" w:asciiTheme="majorEastAsia" w:hAnsiTheme="majorEastAsia" w:eastAsiaTheme="majorEastAsia"/>
          <w:b/>
          <w:bCs/>
          <w:color w:val="auto"/>
          <w:sz w:val="28"/>
          <w:szCs w:val="28"/>
          <w:highlight w:val="none"/>
        </w:rPr>
        <w:t>六、开标和评标</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4"/>
      <w:bookmarkEnd w:id="85"/>
    </w:p>
    <w:p w14:paraId="10180FB1">
      <w:pPr>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1、开标形式</w:t>
      </w:r>
    </w:p>
    <w:p w14:paraId="59C3470F">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1.1 采购组织机构将按照招标文件规定的时间通过“政采云平台”组织开标、开启投标文件，所有供应商均应当准时在线参加。</w:t>
      </w:r>
    </w:p>
    <w:p w14:paraId="31EFCDAB">
      <w:pPr>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2、 开标准备</w:t>
      </w:r>
    </w:p>
    <w:p w14:paraId="4B53AAA0">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2.1开标的准备工作由采购组织机构负责落实。</w:t>
      </w:r>
    </w:p>
    <w:p w14:paraId="3D861C7F">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2.2采购组织机构将按照招标文件规定的时间通过“政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EDAB121">
      <w:pPr>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3、开标流程（两阶段）</w:t>
      </w:r>
    </w:p>
    <w:p w14:paraId="381EF070">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3.1开标第一阶段</w:t>
      </w:r>
    </w:p>
    <w:p w14:paraId="4FC213CA">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1）向各投标供应商发出电子加密投标文件【开始解密】通知，由供应商按招标文件规定的时间内自行进行投标文件解密。投标供应商在规定的时间内（开标时间起30分钟内）无法完成已递交的“电子加密投标文件”解密的，如已按规定递交了备份投标文件的，将由采购组织机构按“政采云平台”操作规范将备份投标文件上传至“政采云平台”，上传成功后，“电子加密投标文件”自动失效；</w:t>
      </w:r>
    </w:p>
    <w:p w14:paraId="259FC061">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（2）开启投标文件，进入资格审查；</w:t>
      </w:r>
    </w:p>
    <w:p w14:paraId="0EEA79B7">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（3）资格审查通过的投标供应商的技术资信文件进入符合性审查、技术评审；</w:t>
      </w:r>
    </w:p>
    <w:p w14:paraId="0CC8FABE">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（4）第一阶段开标结束。</w:t>
      </w:r>
    </w:p>
    <w:p w14:paraId="3DFD634E">
      <w:pPr>
        <w:tabs>
          <w:tab w:val="left" w:pos="540"/>
        </w:tabs>
        <w:spacing w:line="460" w:lineRule="exact"/>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备注：开标大会的第一阶段结束后，采购人或采购代理机构将对依法对投标供应商的资格进行审查，资格审查结束后进入符合性审查和技术资信文件的评审工作，具体见本章节“投标供应商资格审查”相关规定。</w:t>
      </w:r>
    </w:p>
    <w:p w14:paraId="68A0B740">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3.2开标第二阶段</w:t>
      </w:r>
    </w:p>
    <w:p w14:paraId="337FDEEF">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1）符合性审查、技术资信文件的评审结束后，举行开标大会第二阶段会议。首先在“政采云平台”系统平台上公布符合性审查、技术资信评审无效供应商名称及理由；公布经技术资信评审后有效投标供应商的名单，同时公布其技术资信部分得分情况。</w:t>
      </w:r>
    </w:p>
    <w:p w14:paraId="379B821C">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2）开启通过符合性审查、技术资信文件评审有效投标供应商的商务（报价）文件，在“政采云平台”系统平台上公布开标一览表有关内容，同时当场制作开标记录。开标结束后，由评标委员会对报价的合理性、准确性等进行审查核实。</w:t>
      </w:r>
    </w:p>
    <w:p w14:paraId="3AF7742A">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38F63E9E">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0DB9BFFB">
      <w:pPr>
        <w:spacing w:line="460" w:lineRule="exact"/>
        <w:ind w:firstLine="418" w:firstLineChars="190"/>
        <w:rPr>
          <w:rFonts w:ascii="新宋体" w:hAnsi="新宋体" w:eastAsia="新宋体" w:cs="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宋体"/>
          <w:color w:val="auto"/>
          <w:sz w:val="22"/>
          <w:highlight w:val="none"/>
        </w:rPr>
        <w:t>大写金额和小写金额不一致的，以大写金额为准。</w:t>
      </w:r>
    </w:p>
    <w:p w14:paraId="3FA90AC9">
      <w:pPr>
        <w:spacing w:line="460" w:lineRule="exact"/>
        <w:ind w:firstLine="418" w:firstLineChars="190"/>
        <w:rPr>
          <w:rFonts w:ascii="新宋体" w:hAnsi="新宋体" w:eastAsia="新宋体" w:cs="宋体"/>
          <w:color w:val="auto"/>
          <w:sz w:val="22"/>
          <w:highlight w:val="none"/>
        </w:rPr>
      </w:pPr>
      <w:r>
        <w:rPr>
          <w:rFonts w:hint="eastAsia" w:ascii="新宋体" w:hAnsi="新宋体" w:eastAsia="新宋体" w:cs="宋体"/>
          <w:color w:val="auto"/>
          <w:sz w:val="22"/>
          <w:highlight w:val="none"/>
        </w:rPr>
        <w:t>3）单价金额小数点或者百分比有明显错位的，以开标一览表的总价为准，并修改单价。</w:t>
      </w:r>
    </w:p>
    <w:p w14:paraId="65D67D8A">
      <w:pPr>
        <w:spacing w:line="460" w:lineRule="exact"/>
        <w:ind w:firstLine="418" w:firstLineChars="190"/>
        <w:rPr>
          <w:rFonts w:ascii="新宋体" w:hAnsi="新宋体" w:eastAsia="新宋体" w:cs="宋体"/>
          <w:color w:val="auto"/>
          <w:sz w:val="22"/>
          <w:highlight w:val="none"/>
        </w:rPr>
      </w:pPr>
      <w:r>
        <w:rPr>
          <w:rFonts w:hint="eastAsia" w:ascii="新宋体" w:hAnsi="新宋体" w:eastAsia="新宋体" w:cs="宋体"/>
          <w:color w:val="auto"/>
          <w:sz w:val="22"/>
          <w:highlight w:val="none"/>
        </w:rPr>
        <w:t>4）总价金额与按单价汇总金额不一致的，以单价金额计算结果为准。</w:t>
      </w:r>
    </w:p>
    <w:p w14:paraId="279BF6E1">
      <w:pPr>
        <w:spacing w:line="460" w:lineRule="exact"/>
        <w:ind w:firstLine="418" w:firstLineChars="190"/>
        <w:rPr>
          <w:rFonts w:ascii="新宋体" w:hAnsi="新宋体" w:eastAsia="新宋体" w:cs="宋体"/>
          <w:color w:val="auto"/>
          <w:sz w:val="22"/>
          <w:highlight w:val="none"/>
        </w:rPr>
      </w:pPr>
      <w:r>
        <w:rPr>
          <w:rFonts w:hint="eastAsia" w:ascii="新宋体" w:hAnsi="新宋体" w:eastAsia="新宋体" w:cs="宋体"/>
          <w:color w:val="auto"/>
          <w:sz w:val="22"/>
          <w:highlight w:val="none"/>
        </w:rPr>
        <w:t>5）</w:t>
      </w:r>
      <w:r>
        <w:rPr>
          <w:rFonts w:hint="eastAsia" w:ascii="新宋体" w:hAnsi="新宋体" w:eastAsia="新宋体" w:cs="新宋体"/>
          <w:color w:val="auto"/>
          <w:sz w:val="22"/>
          <w:szCs w:val="22"/>
          <w:highlight w:val="none"/>
        </w:rPr>
        <w:t>投标供应商在政采云</w:t>
      </w:r>
      <w:r>
        <w:rPr>
          <w:rFonts w:hint="eastAsia" w:ascii="宋体" w:hAnsi="宋体" w:cs="宋体"/>
          <w:color w:val="auto"/>
          <w:sz w:val="22"/>
          <w:szCs w:val="22"/>
          <w:highlight w:val="none"/>
        </w:rPr>
        <w:t>客户端填写的报价与以pdf格式上传文件中的报价不一致的，应以Pdf格式上传文件中的报价为准，修正客户端的报价。</w:t>
      </w:r>
    </w:p>
    <w:p w14:paraId="4331E891">
      <w:pPr>
        <w:spacing w:line="460" w:lineRule="exact"/>
        <w:ind w:firstLine="420" w:firstLineChars="190"/>
        <w:rPr>
          <w:rFonts w:ascii="新宋体" w:hAnsi="新宋体" w:eastAsia="新宋体" w:cs="宋体"/>
          <w:b/>
          <w:bCs/>
          <w:color w:val="auto"/>
          <w:sz w:val="22"/>
          <w:szCs w:val="22"/>
          <w:highlight w:val="none"/>
        </w:rPr>
      </w:pPr>
      <w:r>
        <w:rPr>
          <w:rFonts w:hint="eastAsia" w:ascii="新宋体" w:hAnsi="新宋体" w:eastAsia="新宋体" w:cs="宋体"/>
          <w:b/>
          <w:bCs/>
          <w:color w:val="auto"/>
          <w:sz w:val="22"/>
          <w:highlight w:val="none"/>
        </w:rPr>
        <w:t>同时出现两种以上不一致的，按照前款规定的顺序修正。修正后的报价按照本采购文件规定经供应商确认后产生约束力，供应商不确认的，其投标无效。</w:t>
      </w:r>
    </w:p>
    <w:p w14:paraId="28FA42EF">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（3）评审结束后，在“政采云平台”系统平台上公布中标（成交）候选供应商名单，及采购人最终确定中标或成交供应商名单的时间和公告方式等。</w:t>
      </w:r>
    </w:p>
    <w:p w14:paraId="21C989F7">
      <w:pPr>
        <w:tabs>
          <w:tab w:val="left" w:pos="540"/>
        </w:tabs>
        <w:spacing w:line="460" w:lineRule="exact"/>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特别说明：如遇“政采云平台”电子化开标或评审程序调整的，按调整后程序执行。</w:t>
      </w:r>
    </w:p>
    <w:p w14:paraId="032E6AD5">
      <w:pPr>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kern w:val="0"/>
          <w:sz w:val="22"/>
          <w:szCs w:val="22"/>
          <w:highlight w:val="none"/>
        </w:rPr>
      </w:pPr>
      <w:bookmarkStart w:id="86" w:name="_Toc33194393"/>
      <w:bookmarkStart w:id="87" w:name="_Toc24550037"/>
      <w:r>
        <w:rPr>
          <w:rFonts w:hint="eastAsia" w:cs="新宋体" w:asciiTheme="majorEastAsia" w:hAnsiTheme="majorEastAsia" w:eastAsiaTheme="majorEastAsia"/>
          <w:b/>
          <w:bCs/>
          <w:color w:val="auto"/>
          <w:kern w:val="0"/>
          <w:sz w:val="22"/>
          <w:szCs w:val="22"/>
          <w:highlight w:val="none"/>
        </w:rPr>
        <w:t>4、 投标供应商资格审查</w:t>
      </w:r>
      <w:bookmarkEnd w:id="86"/>
      <w:bookmarkEnd w:id="87"/>
    </w:p>
    <w:p w14:paraId="392085C6">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审查材料仅负审核的责任。如发现投标供应商所提交的资格审查材料不合法或与事实不符，采购人可取消其中标资格并追究投标供应商的法律责任。</w:t>
      </w:r>
    </w:p>
    <w:p w14:paraId="7C9A22D7">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4.2投标供应商提交的资格审查材料无法证明其符合招标文件规定的“投标供应商资格要求”的，采购人或采购代理机构将对其作资格审查不通过处理（无效投标），并不再将其投标提交评标委员会进行后续评审。</w:t>
      </w:r>
    </w:p>
    <w:p w14:paraId="54F11A8F">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4.3单位负责人为同一人或者存在直接控股、管理关系的不同供应商参加同一合同项下的政府采购活动的，相关投标供应商均作资格无效处理。</w:t>
      </w:r>
    </w:p>
    <w:p w14:paraId="0420E251">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5、评标</w:t>
      </w:r>
    </w:p>
    <w:p w14:paraId="031ABF71">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5.1评标由采购人依法组建的评标委员会负责，并独立履行下列职责：</w:t>
      </w:r>
    </w:p>
    <w:p w14:paraId="6E4E4400">
      <w:pPr>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1）审查投标文件是否符合招标文件要求，并作出评价；</w:t>
      </w:r>
    </w:p>
    <w:p w14:paraId="4F63BCE0">
      <w:pPr>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2）要求供应商对投标文件有关事项作出解释或者澄清；</w:t>
      </w:r>
    </w:p>
    <w:p w14:paraId="608BA734">
      <w:pPr>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3）按照招标文件确定的评标办法确定中标供应商，并对其排序；综合得分最高的供应商推荐为中标供应商；</w:t>
      </w:r>
    </w:p>
    <w:p w14:paraId="01BE7E08">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4）向采购人或者有关部门报告非法干预评标工作的行为。</w:t>
      </w:r>
    </w:p>
    <w:p w14:paraId="77F6A2CE">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5）根据采购人的授权确定中标供应商名单；</w:t>
      </w:r>
    </w:p>
    <w:p w14:paraId="10A1E851">
      <w:pPr>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5.2评标应当遵循下列工作程序：</w:t>
      </w:r>
    </w:p>
    <w:p w14:paraId="5EF562FB">
      <w:pPr>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1）投标文件初审。初审为符合性检查。</w:t>
      </w:r>
    </w:p>
    <w:p w14:paraId="3CA820B3">
      <w:pPr>
        <w:snapToGrid w:val="0"/>
        <w:spacing w:line="460" w:lineRule="atLeast"/>
        <w:ind w:firstLine="323" w:firstLineChars="14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（1）符合性检查。依据招标文件的规定，从投标文件的有效性、完整性和对招标文件的响应程度进行审查，以确定是否对招标文件的实质性要求作出响应。</w:t>
      </w:r>
    </w:p>
    <w:p w14:paraId="65C2D1D5">
      <w:pPr>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62C9365F">
      <w:pPr>
        <w:adjustRightInd w:val="0"/>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实质上没有响应招标文件要求的投标将被拒绝。供应商不得通过修正或撤销不合要求的偏离从而使其投标成为实质上响应的投标。</w:t>
      </w:r>
    </w:p>
    <w:p w14:paraId="2FFC0786">
      <w:pPr>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评标委员会对投标文件的判定，只依据投标文件内容本身，不依靠开标后的任何外来证明。</w:t>
      </w:r>
    </w:p>
    <w:p w14:paraId="281D73CC">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3）比较与评价。按招标文件中规定的评标方法和标准，对资格性检查和符合性检查合格的投标文件进行商务和技术评估，综合比较与评价。</w:t>
      </w:r>
    </w:p>
    <w:p w14:paraId="10520A17">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4）推荐中标供应商候选人名单，并根据采购人的授权确定中标供应商。</w:t>
      </w:r>
    </w:p>
    <w:p w14:paraId="2C300D6E">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u w:val="single"/>
        </w:rPr>
      </w:pPr>
      <w:r>
        <w:rPr>
          <w:rFonts w:hint="eastAsia" w:cs="新宋体" w:asciiTheme="majorEastAsia" w:hAnsiTheme="majorEastAsia" w:eastAsiaTheme="majorEastAsia"/>
          <w:b/>
          <w:color w:val="auto"/>
          <w:sz w:val="22"/>
          <w:szCs w:val="22"/>
          <w:highlight w:val="none"/>
        </w:rPr>
        <w:t xml:space="preserve">5.3 </w:t>
      </w:r>
      <w:r>
        <w:rPr>
          <w:rFonts w:hint="eastAsia" w:cs="新宋体" w:asciiTheme="majorEastAsia" w:hAnsiTheme="majorEastAsia" w:eastAsiaTheme="majorEastAsia"/>
          <w:b/>
          <w:color w:val="auto"/>
          <w:sz w:val="22"/>
          <w:szCs w:val="22"/>
          <w:highlight w:val="none"/>
          <w:u w:val="single"/>
        </w:rPr>
        <w:t>▲投标供应商存在下列情况之一的，投标无效：</w:t>
      </w:r>
    </w:p>
    <w:p w14:paraId="2E6AC55E">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1）投标文件未按招标文件要求签署、盖章的；</w:t>
      </w:r>
    </w:p>
    <w:p w14:paraId="45BADC73">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2）不具备招标文件中规定的资格要求的；</w:t>
      </w:r>
    </w:p>
    <w:p w14:paraId="7EEFB43A">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3）不同供应商的电子投标（响应）文件上传的IP地址或MAC地址或硬盘序列号等硬件信息相同且无法合理解释的；</w:t>
      </w:r>
    </w:p>
    <w:p w14:paraId="48FF6E3E">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4）不同供应商的电子投标（响应）文件获取采购文件手机号或上传时的手机号信息相同且无法合理解释的；</w:t>
      </w:r>
    </w:p>
    <w:p w14:paraId="22A51F10">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5）报价超过招标文件中规定的预算金额或者最高限价的；</w:t>
      </w:r>
    </w:p>
    <w:p w14:paraId="6A5F9D56">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6）投标文件含有采购人不能接受的附加条件的（包括招标文件中明确要求不得偏离的招标要求，存在负偏离的）；</w:t>
      </w:r>
    </w:p>
    <w:p w14:paraId="434C4618">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7）仅提交“备份投标文件”的；</w:t>
      </w:r>
    </w:p>
    <w:p w14:paraId="658DD3B5">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8）对关键条文的偏离、保留或反对，例如关于付款方式、完工期、免费质保期、适用法律法规、标准、税费等其他内容；</w:t>
      </w:r>
    </w:p>
    <w:p w14:paraId="3B1FAC2D">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9）存在串标、抬标或弄虚作假情况的；</w:t>
      </w:r>
    </w:p>
    <w:p w14:paraId="78325E85">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10）法律法规和招标文件规定的其他无效情形（或出现重大偏差）。</w:t>
      </w:r>
    </w:p>
    <w:p w14:paraId="613F67CF">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5.4 ▲</w:t>
      </w:r>
      <w:r>
        <w:rPr>
          <w:rFonts w:hint="eastAsia" w:cs="新宋体" w:asciiTheme="majorEastAsia" w:hAnsiTheme="majorEastAsia" w:eastAsiaTheme="majorEastAsia"/>
          <w:b/>
          <w:color w:val="auto"/>
          <w:sz w:val="22"/>
          <w:szCs w:val="22"/>
          <w:highlight w:val="none"/>
          <w:u w:val="single"/>
        </w:rPr>
        <w:t>评标委员会发现投标文件有下列情形之一的属于重大偏差（评标委员会按少数服从多数原则认定），按照无效投标处理：</w:t>
      </w:r>
    </w:p>
    <w:p w14:paraId="6A9AEBBA">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1）未按招标文件要求编制或字迹模糊、辨认不清的投标文件；</w:t>
      </w:r>
    </w:p>
    <w:p w14:paraId="18ED8BB4">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2）供应商技术资信投标文件中出现投标报价；</w:t>
      </w:r>
    </w:p>
    <w:p w14:paraId="6735F939">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3）除5.3条款以外，出现其他明显不符合技术规格、技术标准的要求或不满足招标文件技术规格书中的主要参数的投标文件；</w:t>
      </w:r>
    </w:p>
    <w:p w14:paraId="7887DB05">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4）除5.3条款以外，出现投标服务内容与招标文件对比出现较大偏差；商务报价明细表计算错误，出现较大差错；</w:t>
      </w:r>
    </w:p>
    <w:p w14:paraId="1AF4BAB6">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5）除5.3条款以外，出现其他不符合招标文件中规定的实质性要求的投标文件，是否为偏离实质性要求由评标委员会认定。</w:t>
      </w:r>
    </w:p>
    <w:p w14:paraId="3F127E69">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5.5 开启供应商商务报价文件后发现价格、数量有误，其投标价将按下述原则处理：</w:t>
      </w:r>
    </w:p>
    <w:p w14:paraId="3DA98C7C">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 任何有漏去一些小项货物或服务的投标将被视为其费用已包含在投标总价中，投标价格不予调整。如果供应商不接受上述处理方式，将作为无效投标。</w:t>
      </w:r>
    </w:p>
    <w:p w14:paraId="081D107E">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 任何有多报一些小项工程或服务的投标其投标价不予调整，如果该供应商中标，则合同价格必须为核减掉多报的一些小项工程或服务后的价格。如果供应商不接受上述处理方式，将作为无效投标。</w:t>
      </w:r>
    </w:p>
    <w:p w14:paraId="3D4642C4">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3）对于计算错误的其投标价不予调整，如果该供应商中标，如其投标价格计算错误导致多报者合同价格予以据实核减，少报者合同价格不予调整。如果供应商不接受上述处理方式，将作为无效投标。</w:t>
      </w:r>
    </w:p>
    <w:p w14:paraId="70A4A99C">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u w:val="single"/>
        </w:rPr>
      </w:pPr>
      <w:r>
        <w:rPr>
          <w:rFonts w:hint="eastAsia" w:cs="新宋体" w:asciiTheme="majorEastAsia" w:hAnsiTheme="majorEastAsia" w:eastAsiaTheme="majorEastAsia"/>
          <w:color w:val="auto"/>
          <w:sz w:val="22"/>
          <w:szCs w:val="22"/>
          <w:highlight w:val="none"/>
          <w:u w:val="single"/>
        </w:rPr>
        <w:t>4）对于计算错误，多报或漏报的一些小项工程或服务的仅仅为非实质性重大偏差范围内的偏离，并经过评标委员会按少数服从多数原则认定为细微偏差，评审时其投标价不予调整。</w:t>
      </w:r>
      <w:r>
        <w:rPr>
          <w:rFonts w:hint="eastAsia" w:cs="新宋体" w:asciiTheme="majorEastAsia" w:hAnsiTheme="majorEastAsia" w:eastAsiaTheme="majorEastAsia"/>
          <w:b/>
          <w:color w:val="auto"/>
          <w:sz w:val="22"/>
          <w:szCs w:val="22"/>
          <w:highlight w:val="none"/>
          <w:u w:val="single"/>
        </w:rPr>
        <w:t>如认定为重大偏差的，作无效投标处理。</w:t>
      </w:r>
    </w:p>
    <w:p w14:paraId="2F0E7319">
      <w:pPr>
        <w:adjustRightInd w:val="0"/>
        <w:snapToGrid w:val="0"/>
        <w:spacing w:line="460" w:lineRule="atLeast"/>
        <w:ind w:firstLine="435" w:firstLineChars="197"/>
        <w:rPr>
          <w:rFonts w:cs="新宋体" w:asciiTheme="majorEastAsia" w:hAnsiTheme="majorEastAsia" w:eastAsiaTheme="majorEastAsia"/>
          <w:b/>
          <w:color w:val="auto"/>
          <w:sz w:val="22"/>
          <w:szCs w:val="22"/>
          <w:highlight w:val="none"/>
          <w:u w:val="single"/>
        </w:rPr>
      </w:pPr>
      <w:r>
        <w:rPr>
          <w:rFonts w:hint="eastAsia" w:cs="新宋体" w:asciiTheme="majorEastAsia" w:hAnsiTheme="majorEastAsia" w:eastAsiaTheme="majorEastAsia"/>
          <w:b/>
          <w:color w:val="auto"/>
          <w:sz w:val="22"/>
          <w:szCs w:val="22"/>
          <w:highlight w:val="none"/>
          <w:u w:val="single"/>
        </w:rPr>
        <w:t>5.6▲评标委员会认为投标供应商的报价明显低于其他通过符合性审查的投标供应商的报价，有可能影响产品质量或者不能诚信履约的，将要求其在合理时间内在“政采云平台”上作出在线澄清并提供书面说明，必要时提交相关证明材料；投标供应商不能证明其报价合理性的，评标委员会应当将其作为无效投标处理。</w:t>
      </w:r>
    </w:p>
    <w:p w14:paraId="763E8143">
      <w:pPr>
        <w:adjustRightInd w:val="0"/>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u w:val="single"/>
        </w:rPr>
        <w:t>5.7如果投标供应商代表拒绝按评标委员会要求在“政采云平台”作出在线回复且无其他有效回复方式的，评标委员会可以对其作出否决投标处理。</w:t>
      </w:r>
    </w:p>
    <w:p w14:paraId="75DE4FEB">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5.8 经澄清后，若偏差仍存在，且不可接受，则投标文件将被认定为“没有实质性响应招标文件要求”，按无效投标处理，不再进入下一步评审。评标委员会在评标中，不得改变招标文件中规定的评标标准、方法和中标条件。</w:t>
      </w:r>
    </w:p>
    <w:p w14:paraId="6308FA72">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5.9 评标时如遇到招标文件未规定的特殊情况，由评标委员会按少数服从多数原则集体决定处理。</w:t>
      </w:r>
    </w:p>
    <w:p w14:paraId="641D3344">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6、投标文件的澄清</w:t>
      </w:r>
    </w:p>
    <w:p w14:paraId="302DAC27">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 xml:space="preserve">6.1 </w:t>
      </w:r>
      <w:r>
        <w:rPr>
          <w:rFonts w:hint="eastAsia" w:cs="宋体" w:asciiTheme="majorEastAsia" w:hAnsiTheme="majorEastAsia" w:eastAsiaTheme="majorEastAsia"/>
          <w:b/>
          <w:bCs/>
          <w:color w:val="auto"/>
          <w:sz w:val="22"/>
          <w:szCs w:val="22"/>
          <w:highlight w:val="none"/>
        </w:rPr>
        <w:t>为有助于投标文件的审查、评价和比较，评标小组可以在“政采云平台”在线询标或其他有效形式要求投标供应商对同一份投标文件含义不明确或同类问题表述不一致的内容（招标文件其他地方有规定处理方法的除外）作必要的澄清或说明，投标供应商应采用在线回复或其他有效形式在询标规定时间内进行澄清或说明（需加盖电子签章或实体公章），但不得超出投标文件的范围或改变投标文件的实质性内容。凡属于评标小组在评标中发现的计算错误并进行核实的修改不在此列</w:t>
      </w:r>
      <w:r>
        <w:rPr>
          <w:rFonts w:hint="eastAsia" w:cs="新宋体" w:asciiTheme="majorEastAsia" w:hAnsiTheme="majorEastAsia" w:eastAsiaTheme="majorEastAsia"/>
          <w:color w:val="auto"/>
          <w:sz w:val="22"/>
          <w:szCs w:val="22"/>
          <w:highlight w:val="none"/>
        </w:rPr>
        <w:t>。</w:t>
      </w:r>
    </w:p>
    <w:p w14:paraId="430C85D2">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6.2 若投标文件中所提交的证书、证明等材料若出现已过有效期、时间或其他主要信息不明确，且投标供应商书面澄清（书面澄清仅限在投标文件递交截止时间前所提交投标文件及相关材料中未被评标委员会审查出的内容）亦不明确的，评审过程中将不予认可，不再寻求外部证据（外部证据包括投标供应商在澄清过程中申请补交的证明材料或网络查询结果等非投标文件本身内容）。</w:t>
      </w:r>
    </w:p>
    <w:p w14:paraId="35B6DEBB">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 xml:space="preserve">6.3 供应商对投标文件的澄清不得寻求、提供或允许改变投标价格等实质性内容。 </w:t>
      </w:r>
    </w:p>
    <w:p w14:paraId="0DF8D4D0">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7、禁止供应商相互串通投标。</w:t>
      </w:r>
    </w:p>
    <w:p w14:paraId="09CC6572">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7.1、有下列情形之一的，视为供应商相互串通投标：</w:t>
      </w:r>
    </w:p>
    <w:p w14:paraId="699CA53B">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（一）不同供应商的投标文件由同一单位或者个人编制；</w:t>
      </w:r>
    </w:p>
    <w:p w14:paraId="2C3DC4BA">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（二）不同供应商委托同一单位或者个人办理投标事宜；</w:t>
      </w:r>
    </w:p>
    <w:p w14:paraId="6FAB9488">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（三）不同供应商的投标文件载明的项目管理成员为同一人；</w:t>
      </w:r>
    </w:p>
    <w:p w14:paraId="3FE88303">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（四）不同供应商的投标文件异常一致或者投标报价呈规律性差异；</w:t>
      </w:r>
    </w:p>
    <w:p w14:paraId="04F90AA7">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（五）不同供应商的投标文件相互混装；</w:t>
      </w:r>
    </w:p>
    <w:p w14:paraId="68D1021B">
      <w:pPr>
        <w:adjustRightInd w:val="0"/>
        <w:snapToGrid w:val="0"/>
        <w:spacing w:line="460" w:lineRule="atLeast"/>
        <w:ind w:left="414" w:left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7.2、经评标委员会认定供应商进行串通投标的，评标委员会可以对相关供应商做出无效投标处理，并上报政府采购管理部门进行进一步处理。</w:t>
      </w:r>
    </w:p>
    <w:p w14:paraId="5AEA8790">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8、评标原则</w:t>
      </w:r>
    </w:p>
    <w:p w14:paraId="03E69E23">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8.1 ▲</w:t>
      </w:r>
      <w:r>
        <w:rPr>
          <w:rFonts w:hint="eastAsia" w:cs="新宋体" w:asciiTheme="majorEastAsia" w:hAnsiTheme="majorEastAsia" w:eastAsiaTheme="majorEastAsia"/>
          <w:b/>
          <w:color w:val="auto"/>
          <w:sz w:val="22"/>
          <w:szCs w:val="22"/>
          <w:highlight w:val="none"/>
          <w:u w:val="single"/>
        </w:rPr>
        <w:t>投标截止时或评审过程中有效投标供应商不足三家的，不予开标或评标。</w:t>
      </w:r>
    </w:p>
    <w:p w14:paraId="5D7F02F4">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9、确定中标候选人</w:t>
      </w:r>
    </w:p>
    <w:p w14:paraId="4BE6AB58">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9.1本次招标由评标委员会推荐中标候选人，采购人根据评标委员会的推荐结果进行最终确认。</w:t>
      </w:r>
    </w:p>
    <w:p w14:paraId="3718EFEE">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9.2评标委员会依据法律法规及招标文件有关规定在有效标中按投标供应商的最终得分（即技术分与商务分之和）高低进行排序，得分前二名的投标供应商推荐为第一中标候选人与第二中标候选人（得分相同投标报价低的排序第一；得分且投标报价相同的，由评标委员会成员抽签决定排序）。</w:t>
      </w:r>
    </w:p>
    <w:p w14:paraId="7A3D6A71">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9.3若出现以下情形之一，采购人可视具体情况确定是否由下一候选人为中标供应商或重新组织招标：</w:t>
      </w:r>
    </w:p>
    <w:p w14:paraId="092D5A4F">
      <w:pPr>
        <w:spacing w:line="460" w:lineRule="exact"/>
        <w:ind w:firstLine="418" w:firstLineChars="190"/>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1）中标候选人放弃中标资格；</w:t>
      </w:r>
    </w:p>
    <w:p w14:paraId="2062346A">
      <w:pPr>
        <w:spacing w:line="460" w:lineRule="exact"/>
        <w:ind w:firstLine="418" w:firstLineChars="190"/>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2）中标候选人因不可抗力提出不能履行合同；</w:t>
      </w:r>
    </w:p>
    <w:p w14:paraId="39033AAF">
      <w:pPr>
        <w:spacing w:line="460" w:lineRule="exact"/>
        <w:ind w:firstLine="418" w:firstLineChars="190"/>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3）中标候选人未能在规定时间内与采购单位签订合同；</w:t>
      </w:r>
    </w:p>
    <w:p w14:paraId="579E4FCD">
      <w:pPr>
        <w:spacing w:line="460" w:lineRule="exact"/>
        <w:ind w:firstLine="418" w:firstLineChars="190"/>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4）经质疑，采购人审查后，中标候选人确实在本次采购活动中存在违法违规行为或其他原因使质疑成立的。</w:t>
      </w:r>
    </w:p>
    <w:p w14:paraId="614B7984">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9.4采购人、采购代理机构及评标委员会对未中标的供应商不作解释。</w:t>
      </w:r>
    </w:p>
    <w:p w14:paraId="4620493D">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10、评标细则详见“评标原则及方法”。</w:t>
      </w:r>
    </w:p>
    <w:p w14:paraId="5E6DBC16">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 可中止电子交易活动的情形</w:t>
      </w:r>
    </w:p>
    <w:p w14:paraId="63ACEF0F">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11.1采购过程中出现以下情形，导致电子交易平台无法正常运行，或者无法保证电子交易的公平、公正和安全时，采购组织机构可中止电子交易活动：</w:t>
      </w:r>
    </w:p>
    <w:p w14:paraId="0EA6A220">
      <w:pPr>
        <w:numPr>
          <w:ilvl w:val="2"/>
          <w:numId w:val="5"/>
        </w:numPr>
        <w:tabs>
          <w:tab w:val="left" w:pos="993"/>
        </w:tabs>
        <w:spacing w:line="460" w:lineRule="exact"/>
        <w:ind w:left="993" w:hanging="426"/>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电子交易平台发生故障而无法登录访问的；</w:t>
      </w:r>
    </w:p>
    <w:p w14:paraId="0D500869">
      <w:pPr>
        <w:numPr>
          <w:ilvl w:val="2"/>
          <w:numId w:val="5"/>
        </w:numPr>
        <w:tabs>
          <w:tab w:val="left" w:pos="993"/>
        </w:tabs>
        <w:spacing w:line="460" w:lineRule="exact"/>
        <w:ind w:left="993" w:hanging="426"/>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电子交易平台应用或数据库出现错误，不能进行正常操作的；</w:t>
      </w:r>
    </w:p>
    <w:p w14:paraId="3FA60647">
      <w:pPr>
        <w:numPr>
          <w:ilvl w:val="2"/>
          <w:numId w:val="5"/>
        </w:numPr>
        <w:tabs>
          <w:tab w:val="left" w:pos="993"/>
        </w:tabs>
        <w:spacing w:line="460" w:lineRule="exact"/>
        <w:ind w:left="993" w:hanging="426"/>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电子交易平台发现严重安全漏洞，有潜在泄密危险的；</w:t>
      </w:r>
    </w:p>
    <w:p w14:paraId="594603FF">
      <w:pPr>
        <w:numPr>
          <w:ilvl w:val="2"/>
          <w:numId w:val="5"/>
        </w:numPr>
        <w:tabs>
          <w:tab w:val="left" w:pos="993"/>
        </w:tabs>
        <w:spacing w:line="460" w:lineRule="exact"/>
        <w:ind w:left="993" w:hanging="426"/>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病毒发作导致不能进行正常操作的；</w:t>
      </w:r>
    </w:p>
    <w:p w14:paraId="30BC0E2D">
      <w:pPr>
        <w:numPr>
          <w:ilvl w:val="2"/>
          <w:numId w:val="5"/>
        </w:numPr>
        <w:tabs>
          <w:tab w:val="left" w:pos="993"/>
        </w:tabs>
        <w:spacing w:line="460" w:lineRule="exact"/>
        <w:ind w:left="993" w:hanging="426"/>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其他无法保证电子交易的公平、公正和安全的情况。</w:t>
      </w:r>
    </w:p>
    <w:p w14:paraId="47D7B086">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11.2出现前款规定情形，不影响采购公平、公正性的，采购组织机构可以待上述情形消除后继续组织电子交易活动；影响或可能影响采购公平、公正性的，应当重新采购。</w:t>
      </w:r>
    </w:p>
    <w:p w14:paraId="0E91D2CD">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8"/>
          <w:szCs w:val="28"/>
          <w:highlight w:val="none"/>
        </w:rPr>
      </w:pPr>
      <w:bookmarkStart w:id="88" w:name="_Toc496116255"/>
      <w:bookmarkStart w:id="89" w:name="_Toc17810"/>
      <w:r>
        <w:rPr>
          <w:rFonts w:hint="eastAsia" w:cs="Arial" w:asciiTheme="majorEastAsia" w:hAnsiTheme="majorEastAsia" w:eastAsiaTheme="majorEastAsia"/>
          <w:b/>
          <w:bCs/>
          <w:color w:val="auto"/>
          <w:sz w:val="28"/>
          <w:szCs w:val="28"/>
          <w:highlight w:val="none"/>
        </w:rPr>
        <w:t>七、授予合同</w:t>
      </w:r>
      <w:bookmarkEnd w:id="88"/>
      <w:bookmarkEnd w:id="89"/>
    </w:p>
    <w:p w14:paraId="19F958C8">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1、决标</w:t>
      </w:r>
    </w:p>
    <w:p w14:paraId="00411F13">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1.1、评标结束后，评标委员会按照招标文件确定的评标办法推荐中标供应商。</w:t>
      </w:r>
    </w:p>
    <w:p w14:paraId="5FAE2C36">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2、中标通知书</w:t>
      </w:r>
    </w:p>
    <w:p w14:paraId="2314D406">
      <w:pPr>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2.1、采购人依法确认中标供应商后，代理机构在浙江省政府采购网上公告中标结果，公告期限为1个工作日。同时向中标供应商发出中标通知书。</w:t>
      </w:r>
    </w:p>
    <w:p w14:paraId="09B2F92F">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2.2、中标通知书对采购人和中标供应商具有法律约束力。中标通知书发出后，采购人改变中标结果或者中标供应商放弃中标的，应当承担法律责任。</w:t>
      </w:r>
    </w:p>
    <w:p w14:paraId="2EECBDEC">
      <w:pPr>
        <w:adjustRightInd w:val="0"/>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2.3、中标无效</w:t>
      </w:r>
    </w:p>
    <w:p w14:paraId="629FD3DC">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u w:val="single"/>
        </w:rPr>
      </w:pPr>
      <w:r>
        <w:rPr>
          <w:rFonts w:hint="eastAsia" w:cs="新宋体" w:asciiTheme="majorEastAsia" w:hAnsiTheme="majorEastAsia" w:eastAsiaTheme="majorEastAsia"/>
          <w:color w:val="auto"/>
          <w:sz w:val="22"/>
          <w:szCs w:val="22"/>
          <w:highlight w:val="none"/>
          <w:u w:val="single"/>
        </w:rPr>
        <w:t>1）发现中标供应商资格无效或中标供应商放弃中标或拒绝与采购人签订合同的，采购人可以按照评审报告推荐的中标候选人名单排序，确定下一候选人为中标供应商，也可以重新开展政府采购活动。</w:t>
      </w:r>
    </w:p>
    <w:p w14:paraId="632833B4">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2）有《中华人民共和国政府采购法实施条例》第七十一条、第七十二条、第七十三条、第七十四条规定的违法行为之一，由政府采购监管部门依法处理。</w:t>
      </w:r>
    </w:p>
    <w:p w14:paraId="18F2F123">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4、签订合同</w:t>
      </w:r>
    </w:p>
    <w:p w14:paraId="59A6215F">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4.1 中标供应商须主动联系采购人或采购代理机构领取中标通知书。中标供应商应当在中标通知书发出之日起30日历天内与采购人签订合同。中标供应商未经采购人许可，在规定时间内未到采购人处与采购人签订合同，则视为拒签合同。</w:t>
      </w:r>
    </w:p>
    <w:p w14:paraId="71A232A8">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4.2 招标文件、中标供应商的投标文件及投标修改文件、评标过程中有关澄清文件及经双方签字的询标纪要（承诺）和中标通知书均作为合同附件。</w:t>
      </w:r>
    </w:p>
    <w:p w14:paraId="284B44C2">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4.3 拒签合同的责任</w:t>
      </w:r>
    </w:p>
    <w:p w14:paraId="0A935BF8">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中标供应商在规定时间内（30日历天）借故否认已经承诺的条件、拒签合同或拒交履约保证金者，以投标违约处理，赔偿采购人由此造成的直接经济损失；采购人重新组织招标的，所需费用由原中标供应商承担。</w:t>
      </w:r>
    </w:p>
    <w:p w14:paraId="75FD58B5">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4.4 采购人在授予合同时有权对采购的服务予以增加或减少，但不得对单价或其他的条款和条件做任何改变。</w:t>
      </w:r>
    </w:p>
    <w:p w14:paraId="3A1F89F5">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5、履约保证金</w:t>
      </w:r>
    </w:p>
    <w:p w14:paraId="5713D496">
      <w:pPr>
        <w:autoSpaceDE w:val="0"/>
        <w:autoSpaceDN w:val="0"/>
        <w:adjustRightInd w:val="0"/>
        <w:snapToGrid w:val="0"/>
        <w:spacing w:line="460" w:lineRule="atLeast"/>
        <w:ind w:firstLine="433" w:firstLineChars="197"/>
        <w:textAlignment w:val="bottom"/>
        <w:rPr>
          <w:rFonts w:cs="新宋体" w:asciiTheme="majorEastAsia" w:hAnsiTheme="majorEastAsia" w:eastAsiaTheme="majorEastAsia"/>
          <w:color w:val="auto"/>
          <w:sz w:val="22"/>
          <w:szCs w:val="22"/>
          <w:highlight w:val="none"/>
          <w:u w:val="single"/>
        </w:rPr>
      </w:pPr>
      <w:r>
        <w:rPr>
          <w:rFonts w:hint="eastAsia" w:cs="新宋体" w:asciiTheme="majorEastAsia" w:hAnsiTheme="majorEastAsia" w:eastAsiaTheme="majorEastAsia"/>
          <w:color w:val="auto"/>
          <w:sz w:val="22"/>
          <w:szCs w:val="22"/>
          <w:highlight w:val="none"/>
          <w:u w:val="single"/>
        </w:rPr>
        <w:t>履约保证金按招标文件规定，在中标供应商与采购人签订合同后递交。</w:t>
      </w:r>
    </w:p>
    <w:p w14:paraId="68B9A343">
      <w:pPr>
        <w:pStyle w:val="8"/>
        <w:ind w:firstLine="422"/>
        <w:rPr>
          <w:color w:val="auto"/>
          <w:highlight w:val="none"/>
        </w:rPr>
      </w:pPr>
      <w:r>
        <w:rPr>
          <w:rFonts w:hint="eastAsia"/>
          <w:color w:val="auto"/>
          <w:highlight w:val="none"/>
        </w:rPr>
        <w:t>6、</w:t>
      </w:r>
      <w:r>
        <w:rPr>
          <w:rFonts w:hint="eastAsia" w:cs="新宋体" w:asciiTheme="majorEastAsia" w:hAnsiTheme="majorEastAsia" w:eastAsiaTheme="majorEastAsia"/>
          <w:color w:val="auto"/>
          <w:sz w:val="22"/>
          <w:szCs w:val="22"/>
          <w:highlight w:val="none"/>
        </w:rPr>
        <w:t>招标代理服务费</w:t>
      </w:r>
    </w:p>
    <w:p w14:paraId="13E131D0">
      <w:pPr>
        <w:autoSpaceDE w:val="0"/>
        <w:autoSpaceDN w:val="0"/>
        <w:adjustRightInd w:val="0"/>
        <w:snapToGrid w:val="0"/>
        <w:spacing w:line="460" w:lineRule="atLeast"/>
        <w:ind w:firstLine="433" w:firstLineChars="197"/>
        <w:textAlignment w:val="bottom"/>
        <w:rPr>
          <w:rFonts w:ascii="宋体" w:hAnsi="宋体" w:cs="宋体"/>
          <w:color w:val="auto"/>
          <w:sz w:val="22"/>
          <w:szCs w:val="22"/>
          <w:highlight w:val="none"/>
        </w:rPr>
      </w:pPr>
      <w:r>
        <w:rPr>
          <w:rFonts w:hint="eastAsia" w:cs="新宋体" w:asciiTheme="majorEastAsia" w:hAnsiTheme="majorEastAsia" w:eastAsiaTheme="majorEastAsia"/>
          <w:color w:val="auto"/>
          <w:sz w:val="22"/>
          <w:szCs w:val="22"/>
          <w:highlight w:val="none"/>
        </w:rPr>
        <w:t>本次项目招标代理服务费按计价格</w:t>
      </w:r>
      <w:r>
        <w:rPr>
          <w:rFonts w:hint="eastAsia" w:cs="新宋体" w:asciiTheme="majorEastAsia" w:hAnsiTheme="majorEastAsia" w:eastAsiaTheme="majorEastAsia"/>
          <w:color w:val="auto"/>
          <w:sz w:val="22"/>
          <w:szCs w:val="22"/>
          <w:highlight w:val="none"/>
          <w:lang w:eastAsia="zh-CN"/>
        </w:rPr>
        <w:t>〔2002〕1980号</w:t>
      </w:r>
      <w:r>
        <w:rPr>
          <w:rFonts w:hint="eastAsia" w:cs="新宋体" w:asciiTheme="majorEastAsia" w:hAnsiTheme="majorEastAsia" w:eastAsiaTheme="majorEastAsia"/>
          <w:color w:val="auto"/>
          <w:sz w:val="22"/>
          <w:szCs w:val="22"/>
          <w:highlight w:val="none"/>
        </w:rPr>
        <w:t>文计费标准收取</w:t>
      </w:r>
      <w:r>
        <w:rPr>
          <w:rFonts w:hint="eastAsia" w:ascii="宋体" w:hAnsi="宋体" w:cs="宋体"/>
          <w:color w:val="auto"/>
          <w:sz w:val="22"/>
          <w:szCs w:val="22"/>
          <w:highlight w:val="none"/>
        </w:rPr>
        <w:t>。采购人不负责任何招标代理服务费用。招标代理服务费由中标人支付，请报价人在报价时予以考虑。招标代理服务费汇入以下账户：</w:t>
      </w:r>
    </w:p>
    <w:p w14:paraId="30857822">
      <w:pPr>
        <w:autoSpaceDE w:val="0"/>
        <w:autoSpaceDN w:val="0"/>
        <w:adjustRightInd w:val="0"/>
        <w:snapToGrid w:val="0"/>
        <w:spacing w:line="460" w:lineRule="atLeast"/>
        <w:ind w:firstLine="433" w:firstLineChars="197"/>
        <w:textAlignment w:val="bottom"/>
        <w:rPr>
          <w:rFonts w:ascii="宋体" w:hAnsi="宋体" w:cs="宋体"/>
          <w:color w:val="auto"/>
          <w:sz w:val="22"/>
          <w:szCs w:val="22"/>
          <w:highlight w:val="none"/>
        </w:rPr>
      </w:pPr>
      <w:r>
        <w:rPr>
          <w:rFonts w:hint="eastAsia" w:ascii="宋体" w:hAnsi="宋体" w:cs="宋体"/>
          <w:color w:val="auto"/>
          <w:sz w:val="22"/>
          <w:szCs w:val="22"/>
          <w:highlight w:val="none"/>
        </w:rPr>
        <w:t>开户银行：中国建设银行永嘉广场支行</w:t>
      </w:r>
    </w:p>
    <w:p w14:paraId="7F570032">
      <w:pPr>
        <w:autoSpaceDE w:val="0"/>
        <w:autoSpaceDN w:val="0"/>
        <w:adjustRightInd w:val="0"/>
        <w:snapToGrid w:val="0"/>
        <w:spacing w:line="460" w:lineRule="atLeast"/>
        <w:ind w:firstLine="433" w:firstLineChars="197"/>
        <w:textAlignment w:val="bottom"/>
        <w:rPr>
          <w:rFonts w:ascii="宋体" w:hAnsi="宋体" w:cs="宋体"/>
          <w:color w:val="auto"/>
          <w:sz w:val="22"/>
          <w:szCs w:val="22"/>
          <w:highlight w:val="none"/>
        </w:rPr>
      </w:pPr>
      <w:r>
        <w:rPr>
          <w:rFonts w:hint="eastAsia" w:ascii="宋体" w:hAnsi="宋体" w:cs="宋体"/>
          <w:color w:val="auto"/>
          <w:sz w:val="22"/>
          <w:szCs w:val="22"/>
          <w:highlight w:val="none"/>
        </w:rPr>
        <w:t>开户名称：温州市中概工程管理咨询有限公司</w:t>
      </w:r>
    </w:p>
    <w:p w14:paraId="61B5A634">
      <w:pPr>
        <w:autoSpaceDE w:val="0"/>
        <w:autoSpaceDN w:val="0"/>
        <w:adjustRightInd w:val="0"/>
        <w:snapToGrid w:val="0"/>
        <w:spacing w:line="460" w:lineRule="atLeast"/>
        <w:ind w:firstLine="433" w:firstLineChars="197"/>
        <w:textAlignment w:val="bottom"/>
        <w:rPr>
          <w:rFonts w:ascii="宋体" w:hAnsi="宋体" w:cs="宋体"/>
          <w:color w:val="auto"/>
          <w:sz w:val="22"/>
          <w:szCs w:val="22"/>
          <w:highlight w:val="none"/>
        </w:rPr>
      </w:pPr>
      <w:r>
        <w:rPr>
          <w:rFonts w:hint="eastAsia" w:ascii="宋体" w:hAnsi="宋体" w:cs="宋体"/>
          <w:color w:val="auto"/>
          <w:sz w:val="22"/>
          <w:szCs w:val="22"/>
          <w:highlight w:val="none"/>
        </w:rPr>
        <w:t>开户账号：33050162766300000011</w:t>
      </w:r>
    </w:p>
    <w:p w14:paraId="49B694CC">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招标代理服务费须在领取《中标通知书》前付清。</w:t>
      </w:r>
    </w:p>
    <w:p w14:paraId="662F94A3">
      <w:pPr>
        <w:autoSpaceDE w:val="0"/>
        <w:autoSpaceDN w:val="0"/>
        <w:adjustRightInd w:val="0"/>
        <w:snapToGrid w:val="0"/>
        <w:spacing w:line="460" w:lineRule="atLeast"/>
        <w:ind w:firstLine="433" w:firstLineChars="197"/>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注：计价格</w:t>
      </w:r>
      <w:r>
        <w:rPr>
          <w:rFonts w:hint="eastAsia" w:cs="新宋体" w:asciiTheme="majorEastAsia" w:hAnsiTheme="majorEastAsia" w:eastAsiaTheme="majorEastAsia"/>
          <w:color w:val="auto"/>
          <w:sz w:val="22"/>
          <w:szCs w:val="22"/>
          <w:highlight w:val="none"/>
          <w:lang w:eastAsia="zh-CN"/>
        </w:rPr>
        <w:t>〔2002〕1980号</w:t>
      </w:r>
      <w:r>
        <w:rPr>
          <w:rFonts w:hint="eastAsia" w:cs="新宋体" w:asciiTheme="majorEastAsia" w:hAnsiTheme="majorEastAsia" w:eastAsiaTheme="majorEastAsia"/>
          <w:color w:val="auto"/>
          <w:sz w:val="22"/>
          <w:szCs w:val="22"/>
          <w:highlight w:val="none"/>
        </w:rPr>
        <w:t>文计费标准计算的公式如下表（按差额定率累进法）：</w:t>
      </w:r>
    </w:p>
    <w:tbl>
      <w:tblPr>
        <w:tblStyle w:val="43"/>
        <w:tblW w:w="0" w:type="auto"/>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02"/>
        <w:gridCol w:w="3118"/>
      </w:tblGrid>
      <w:tr w14:paraId="6F2165D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2" w:type="dxa"/>
          </w:tcPr>
          <w:p w14:paraId="75EB7EF0">
            <w:pPr>
              <w:snapToGrid w:val="0"/>
              <w:ind w:left="360" w:hanging="360" w:hangingChars="150"/>
              <w:jc w:val="center"/>
              <w:rPr>
                <w:color w:val="auto"/>
                <w:sz w:val="24"/>
                <w:highlight w:val="none"/>
              </w:rPr>
            </w:pPr>
            <w:bookmarkStart w:id="90" w:name="RANGE!A9"/>
            <w:r>
              <w:rPr>
                <w:color w:val="auto"/>
                <w:sz w:val="24"/>
                <w:highlight w:val="none"/>
              </w:rPr>
              <w:t>计费基数</w:t>
            </w:r>
          </w:p>
          <w:p w14:paraId="69914E3C">
            <w:pPr>
              <w:snapToGrid w:val="0"/>
              <w:ind w:left="360" w:hanging="360" w:hangingChars="150"/>
              <w:jc w:val="center"/>
              <w:rPr>
                <w:color w:val="auto"/>
                <w:sz w:val="24"/>
                <w:highlight w:val="none"/>
              </w:rPr>
            </w:pPr>
            <w:r>
              <w:rPr>
                <w:color w:val="auto"/>
                <w:sz w:val="24"/>
                <w:highlight w:val="none"/>
              </w:rPr>
              <w:t>（万元人民币）</w:t>
            </w:r>
          </w:p>
        </w:tc>
        <w:tc>
          <w:tcPr>
            <w:tcW w:w="3118" w:type="dxa"/>
          </w:tcPr>
          <w:p w14:paraId="1BE3C70F">
            <w:pPr>
              <w:snapToGrid w:val="0"/>
              <w:ind w:left="360" w:hanging="360" w:hangingChars="150"/>
              <w:jc w:val="center"/>
              <w:rPr>
                <w:color w:val="auto"/>
                <w:sz w:val="24"/>
                <w:highlight w:val="none"/>
              </w:rPr>
            </w:pPr>
            <w:r>
              <w:rPr>
                <w:rFonts w:hint="eastAsia"/>
                <w:color w:val="auto"/>
                <w:sz w:val="24"/>
                <w:highlight w:val="none"/>
              </w:rPr>
              <w:t>服务</w:t>
            </w:r>
            <w:r>
              <w:rPr>
                <w:color w:val="auto"/>
                <w:sz w:val="24"/>
                <w:highlight w:val="none"/>
              </w:rPr>
              <w:t>招标服务费</w:t>
            </w:r>
          </w:p>
          <w:p w14:paraId="2FF6C6CF">
            <w:pPr>
              <w:snapToGrid w:val="0"/>
              <w:ind w:left="360" w:hanging="360" w:hangingChars="150"/>
              <w:jc w:val="center"/>
              <w:rPr>
                <w:color w:val="auto"/>
                <w:sz w:val="24"/>
                <w:highlight w:val="none"/>
              </w:rPr>
            </w:pPr>
            <w:r>
              <w:rPr>
                <w:color w:val="auto"/>
                <w:sz w:val="24"/>
                <w:highlight w:val="none"/>
              </w:rPr>
              <w:t>（万元人民币）</w:t>
            </w:r>
          </w:p>
        </w:tc>
      </w:tr>
      <w:tr w14:paraId="6374099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2" w:type="dxa"/>
          </w:tcPr>
          <w:p w14:paraId="58986B11">
            <w:pPr>
              <w:snapToGrid w:val="0"/>
              <w:ind w:left="360" w:hanging="360" w:hangingChars="150"/>
              <w:jc w:val="center"/>
              <w:rPr>
                <w:color w:val="auto"/>
                <w:sz w:val="24"/>
                <w:highlight w:val="none"/>
              </w:rPr>
            </w:pPr>
            <w:r>
              <w:rPr>
                <w:color w:val="auto"/>
                <w:sz w:val="24"/>
                <w:highlight w:val="none"/>
              </w:rPr>
              <w:t>100以下</w:t>
            </w:r>
          </w:p>
        </w:tc>
        <w:tc>
          <w:tcPr>
            <w:tcW w:w="3118" w:type="dxa"/>
            <w:vAlign w:val="center"/>
          </w:tcPr>
          <w:p w14:paraId="5C2B2873">
            <w:pPr>
              <w:tabs>
                <w:tab w:val="left" w:pos="0"/>
              </w:tabs>
              <w:snapToGrid w:val="0"/>
              <w:ind w:left="360" w:hanging="360" w:hangingChars="150"/>
              <w:jc w:val="center"/>
              <w:rPr>
                <w:color w:val="auto"/>
                <w:sz w:val="24"/>
                <w:highlight w:val="none"/>
              </w:rPr>
            </w:pPr>
            <w:r>
              <w:rPr>
                <w:rFonts w:hint="eastAsia"/>
                <w:color w:val="auto"/>
                <w:sz w:val="24"/>
                <w:highlight w:val="none"/>
              </w:rPr>
              <w:t>100</w:t>
            </w:r>
            <w:r>
              <w:rPr>
                <w:color w:val="auto"/>
                <w:sz w:val="24"/>
                <w:highlight w:val="none"/>
              </w:rPr>
              <w:t>*1.5%</w:t>
            </w:r>
          </w:p>
        </w:tc>
      </w:tr>
      <w:tr w14:paraId="4A0E2B4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2" w:type="dxa"/>
          </w:tcPr>
          <w:p w14:paraId="551F9107">
            <w:pPr>
              <w:snapToGrid w:val="0"/>
              <w:ind w:left="360" w:hanging="360" w:hangingChars="150"/>
              <w:jc w:val="center"/>
              <w:rPr>
                <w:color w:val="auto"/>
                <w:sz w:val="24"/>
                <w:highlight w:val="none"/>
              </w:rPr>
            </w:pPr>
            <w:r>
              <w:rPr>
                <w:color w:val="auto"/>
                <w:sz w:val="24"/>
                <w:highlight w:val="none"/>
              </w:rPr>
              <w:t>100-500</w:t>
            </w:r>
          </w:p>
        </w:tc>
        <w:tc>
          <w:tcPr>
            <w:tcW w:w="3118" w:type="dxa"/>
            <w:vAlign w:val="center"/>
          </w:tcPr>
          <w:p w14:paraId="5499DD88">
            <w:pPr>
              <w:tabs>
                <w:tab w:val="left" w:pos="0"/>
              </w:tabs>
              <w:snapToGrid w:val="0"/>
              <w:ind w:left="360" w:hanging="360" w:hangingChars="150"/>
              <w:jc w:val="center"/>
              <w:rPr>
                <w:color w:val="auto"/>
                <w:sz w:val="24"/>
                <w:highlight w:val="none"/>
              </w:rPr>
            </w:pPr>
            <w:r>
              <w:rPr>
                <w:rFonts w:hint="eastAsia"/>
                <w:color w:val="auto"/>
                <w:sz w:val="24"/>
                <w:highlight w:val="none"/>
                <w:lang w:val="en-US" w:eastAsia="zh-CN"/>
              </w:rPr>
              <w:t>13</w:t>
            </w:r>
            <w:r>
              <w:rPr>
                <w:rFonts w:hint="eastAsia"/>
                <w:color w:val="auto"/>
                <w:sz w:val="24"/>
                <w:highlight w:val="none"/>
              </w:rPr>
              <w:t>0</w:t>
            </w:r>
            <w:r>
              <w:rPr>
                <w:color w:val="auto"/>
                <w:sz w:val="24"/>
                <w:highlight w:val="none"/>
              </w:rPr>
              <w:t>*</w:t>
            </w:r>
            <w:r>
              <w:rPr>
                <w:rFonts w:hint="eastAsia"/>
                <w:color w:val="auto"/>
                <w:sz w:val="24"/>
                <w:highlight w:val="none"/>
                <w:lang w:val="en-US" w:eastAsia="zh-CN"/>
              </w:rPr>
              <w:t>1</w:t>
            </w:r>
            <w:r>
              <w:rPr>
                <w:rFonts w:hint="eastAsia"/>
                <w:color w:val="auto"/>
                <w:sz w:val="24"/>
                <w:highlight w:val="none"/>
              </w:rPr>
              <w:t>.</w:t>
            </w:r>
            <w:r>
              <w:rPr>
                <w:rFonts w:hint="eastAsia"/>
                <w:color w:val="auto"/>
                <w:sz w:val="24"/>
                <w:highlight w:val="none"/>
                <w:lang w:val="en-US" w:eastAsia="zh-CN"/>
              </w:rPr>
              <w:t>1</w:t>
            </w:r>
            <w:r>
              <w:rPr>
                <w:color w:val="auto"/>
                <w:sz w:val="24"/>
                <w:highlight w:val="none"/>
              </w:rPr>
              <w:t>%</w:t>
            </w:r>
          </w:p>
        </w:tc>
      </w:tr>
      <w:bookmarkEnd w:id="90"/>
    </w:tbl>
    <w:p w14:paraId="14265075">
      <w:pPr>
        <w:autoSpaceDE w:val="0"/>
        <w:autoSpaceDN w:val="0"/>
        <w:adjustRightInd w:val="0"/>
        <w:snapToGrid w:val="0"/>
        <w:spacing w:line="460" w:lineRule="atLeast"/>
        <w:ind w:firstLine="433" w:firstLineChars="197"/>
        <w:textAlignment w:val="bottom"/>
        <w:rPr>
          <w:rFonts w:cs="新宋体" w:asciiTheme="majorEastAsia" w:hAnsiTheme="majorEastAsia" w:eastAsiaTheme="majorEastAsia"/>
          <w:color w:val="auto"/>
          <w:sz w:val="22"/>
          <w:szCs w:val="22"/>
          <w:highlight w:val="none"/>
        </w:rPr>
      </w:pPr>
    </w:p>
    <w:p w14:paraId="7CC4709F">
      <w:pPr>
        <w:spacing w:line="360" w:lineRule="auto"/>
        <w:ind w:left="480" w:hanging="480" w:hangingChars="200"/>
        <w:rPr>
          <w:rFonts w:cs="新宋体" w:asciiTheme="majorEastAsia" w:hAnsiTheme="majorEastAsia" w:eastAsiaTheme="majorEastAsia"/>
          <w:color w:val="auto"/>
          <w:sz w:val="24"/>
          <w:highlight w:val="none"/>
        </w:rPr>
        <w:sectPr>
          <w:footerReference r:id="rId9" w:type="first"/>
          <w:footerReference r:id="rId8" w:type="default"/>
          <w:pgSz w:w="11906" w:h="16838"/>
          <w:pgMar w:top="1134" w:right="1134" w:bottom="1134" w:left="1134" w:header="851" w:footer="850" w:gutter="0"/>
          <w:pgNumType w:start="1"/>
          <w:cols w:space="720" w:num="1"/>
          <w:titlePg/>
          <w:docGrid w:type="lines" w:linePitch="312" w:charSpace="0"/>
        </w:sectPr>
      </w:pPr>
    </w:p>
    <w:p w14:paraId="3E88F3C2">
      <w:pPr>
        <w:pStyle w:val="40"/>
        <w:rPr>
          <w:rFonts w:cs="宋体" w:asciiTheme="majorEastAsia" w:hAnsiTheme="majorEastAsia" w:eastAsiaTheme="majorEastAsia"/>
          <w:color w:val="auto"/>
          <w:sz w:val="30"/>
          <w:szCs w:val="30"/>
          <w:highlight w:val="none"/>
        </w:rPr>
      </w:pPr>
      <w:bookmarkStart w:id="91" w:name="_Toc30125"/>
      <w:bookmarkStart w:id="92" w:name="_Toc498343170"/>
      <w:bookmarkStart w:id="93" w:name="_Toc293038719"/>
      <w:r>
        <w:rPr>
          <w:rFonts w:hint="eastAsia" w:cs="新宋体" w:asciiTheme="majorEastAsia" w:hAnsiTheme="majorEastAsia" w:eastAsiaTheme="majorEastAsia"/>
          <w:color w:val="auto"/>
          <w:sz w:val="30"/>
          <w:szCs w:val="30"/>
          <w:highlight w:val="none"/>
        </w:rPr>
        <w:t>第四部分</w:t>
      </w:r>
      <w:r>
        <w:rPr>
          <w:rFonts w:hint="eastAsia" w:cs="宋体" w:asciiTheme="majorEastAsia" w:hAnsiTheme="majorEastAsia" w:eastAsiaTheme="majorEastAsia"/>
          <w:color w:val="auto"/>
          <w:sz w:val="30"/>
          <w:szCs w:val="30"/>
          <w:highlight w:val="none"/>
        </w:rPr>
        <w:t xml:space="preserve">  政府采购政策功能相关说明</w:t>
      </w:r>
      <w:bookmarkEnd w:id="91"/>
    </w:p>
    <w:p w14:paraId="4AE1906B">
      <w:pPr>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一、小、微企业（含监狱企业、残疾人福利性单位）扶持政策说明</w:t>
      </w:r>
    </w:p>
    <w:p w14:paraId="0649684B">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1、文件依据</w:t>
      </w:r>
    </w:p>
    <w:p w14:paraId="02B3FE02">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（1）关于印发《政府采购促进中小企业发展管理办法》的通知（财库〔2020〕46号）</w:t>
      </w:r>
    </w:p>
    <w:p w14:paraId="50CE7449">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（2）浙江省财政厅《关于开展政府采购投标供应商网上注册登记和诚信管理工作的通知》（浙财采监〔2010〕8号）</w:t>
      </w:r>
    </w:p>
    <w:p w14:paraId="4D5410A9">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（3）《工业和信息化部、国家统计局、国家发展和改革委员会、财政部关于印发中小企业划型标准规定的通知》（工信部联企业〔2011〕300号）</w:t>
      </w:r>
    </w:p>
    <w:p w14:paraId="635B216E">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（4）财政部、司法部《关于政府采购支持监狱企业发展有关问题的通知》（财库〔2014〕68号）</w:t>
      </w:r>
    </w:p>
    <w:p w14:paraId="32F5E286">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（5）《财政部 民政部 中国残疾人联合会关于促进残疾人就业政府采购政策的通知》（财库〔2017〕141号）</w:t>
      </w:r>
    </w:p>
    <w:p w14:paraId="5D14812C">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（6）《浙江省财政厅  浙江省经济和信息化委员会关于简化中小企业类别确认流程有关事项的通知》（浙财采监〔2018〕2号）</w:t>
      </w:r>
    </w:p>
    <w:p w14:paraId="533921F7">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（7）《浙江省财政厅关于进一步发挥政府采购政策功能全力推动经济稳进提质的通知》（浙财采监〔2022〕3号）</w:t>
      </w:r>
    </w:p>
    <w:p w14:paraId="133EB1C5">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（8）《浙江省财政厅关于进一步加大政府采购支持中小企业力度 助力扎实稳住经济的通知》（浙财采监〔2022〕8号）</w:t>
      </w:r>
    </w:p>
    <w:p w14:paraId="48024A6E">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2、享受小微企业价格折扣应具备的条件与价格折扣比例</w:t>
      </w:r>
    </w:p>
    <w:p w14:paraId="6D795273">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（1）在货物采购项目中，货物由中小企业制造，即货物由中小企业生产且使用该中小企业商号或者注册商标；</w:t>
      </w:r>
    </w:p>
    <w:p w14:paraId="600103EB">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（2）在工程采购项目中，工程由中小企业承建，即工程施工单位为中小企业；</w:t>
      </w:r>
    </w:p>
    <w:p w14:paraId="32A540DD">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（3）在服务采购项目中，服务由中小企业承接，即提供服务的人员为中小企业依照《中华人民共和国劳动合同法》订立劳动合同的从业人员。</w:t>
      </w:r>
    </w:p>
    <w:p w14:paraId="6A1EF288">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在货物采购项目中，供应商提供的货物既有中小企业制造货物，也有大型企业制造货物的，不享受本办法规定的中小企业扶持政策。</w:t>
      </w:r>
    </w:p>
    <w:p w14:paraId="2AC4786B">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以联合体形式参加政府采购活动，联合体各方均为中小企业的，联合体视同中小企业。其中，联合体各方均为小微企业的，联合体视同小微企业。</w:t>
      </w:r>
    </w:p>
    <w:p w14:paraId="43C4C1BD">
      <w:pPr>
        <w:spacing w:line="440" w:lineRule="atLeast"/>
        <w:jc w:val="left"/>
        <w:rPr>
          <w:rFonts w:cs="宋体" w:asciiTheme="majorEastAsia" w:hAnsiTheme="majorEastAsia" w:eastAsiaTheme="majorEastAsia"/>
          <w:color w:val="auto"/>
          <w:sz w:val="22"/>
          <w:szCs w:val="22"/>
          <w:highlight w:val="none"/>
          <w:u w:val="single"/>
        </w:rPr>
      </w:pPr>
      <w:r>
        <w:rPr>
          <w:rFonts w:hint="eastAsia" w:cs="宋体" w:asciiTheme="majorEastAsia" w:hAnsiTheme="majorEastAsia" w:eastAsiaTheme="majorEastAsia"/>
          <w:color w:val="auto"/>
          <w:sz w:val="22"/>
          <w:szCs w:val="22"/>
          <w:highlight w:val="none"/>
          <w:u w:val="single"/>
        </w:rPr>
        <w:t>（4）本项目对小型和微型企业的价格给予10%的扣除，用扣除后的价格参与评审</w:t>
      </w:r>
      <w:r>
        <w:rPr>
          <w:rFonts w:hint="eastAsia" w:ascii="宋体" w:hAnsi="宋体" w:cs="宋体"/>
          <w:color w:val="auto"/>
          <w:sz w:val="22"/>
          <w:szCs w:val="22"/>
          <w:highlight w:val="none"/>
        </w:rPr>
        <w:t>。</w:t>
      </w:r>
    </w:p>
    <w:p w14:paraId="4B3B44EF">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u w:val="single"/>
        </w:rPr>
        <w:t>3、享受小微企业价格折扣投标文件中应提供以下证明材料</w:t>
      </w:r>
      <w:r>
        <w:rPr>
          <w:rFonts w:hint="eastAsia" w:cs="宋体" w:asciiTheme="majorEastAsia" w:hAnsiTheme="majorEastAsia" w:eastAsiaTheme="majorEastAsia"/>
          <w:color w:val="auto"/>
          <w:sz w:val="22"/>
          <w:szCs w:val="22"/>
          <w:highlight w:val="none"/>
        </w:rPr>
        <w:t>：</w:t>
      </w:r>
    </w:p>
    <w:p w14:paraId="132A6D02">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（1）《中小企业声明函》（原件，加盖投标供应商公章，格式见附件1）</w:t>
      </w:r>
    </w:p>
    <w:p w14:paraId="0A2C1C2B">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4、</w:t>
      </w:r>
      <w:r>
        <w:rPr>
          <w:rFonts w:hint="eastAsia" w:cs="宋体" w:asciiTheme="majorEastAsia" w:hAnsiTheme="majorEastAsia" w:eastAsiaTheme="majorEastAsia"/>
          <w:color w:val="auto"/>
          <w:sz w:val="22"/>
          <w:szCs w:val="22"/>
          <w:highlight w:val="none"/>
          <w:u w:val="single"/>
        </w:rPr>
        <w:t>享受监狱企业价格折扣应提供以下证明材料（投标文件中，不提供的不享受价格折扣或政策扶持）</w:t>
      </w:r>
      <w:r>
        <w:rPr>
          <w:rFonts w:hint="eastAsia" w:cs="宋体" w:asciiTheme="majorEastAsia" w:hAnsiTheme="majorEastAsia" w:eastAsiaTheme="majorEastAsia"/>
          <w:color w:val="auto"/>
          <w:sz w:val="22"/>
          <w:szCs w:val="22"/>
          <w:highlight w:val="none"/>
        </w:rPr>
        <w:t>：</w:t>
      </w:r>
    </w:p>
    <w:p w14:paraId="7839DD4E">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监狱企业参加政府采购活动时，应当提供由省级以上监狱管理局、戒毒管理局（含新疆生产建设兵团）出具的属于监狱企业的证明文件（原件或扫描件加盖公章）。在政府采购活动中，监狱企业视同小型、微型企业，享受价格折扣或政策扶持。</w:t>
      </w:r>
    </w:p>
    <w:p w14:paraId="25DC009D">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5、</w:t>
      </w:r>
      <w:r>
        <w:rPr>
          <w:rFonts w:hint="eastAsia" w:cs="宋体" w:asciiTheme="majorEastAsia" w:hAnsiTheme="majorEastAsia" w:eastAsiaTheme="majorEastAsia"/>
          <w:color w:val="auto"/>
          <w:sz w:val="22"/>
          <w:szCs w:val="22"/>
          <w:highlight w:val="none"/>
          <w:u w:val="single"/>
        </w:rPr>
        <w:t>享受残疾人福利性单位格折扣应提供以下证明材料（投标文件中，不提供的不享受价格折扣或政策扶持）</w:t>
      </w:r>
      <w:r>
        <w:rPr>
          <w:rFonts w:hint="eastAsia" w:cs="宋体" w:asciiTheme="majorEastAsia" w:hAnsiTheme="majorEastAsia" w:eastAsiaTheme="majorEastAsia"/>
          <w:color w:val="auto"/>
          <w:sz w:val="22"/>
          <w:szCs w:val="22"/>
          <w:highlight w:val="none"/>
        </w:rPr>
        <w:t>：</w:t>
      </w:r>
    </w:p>
    <w:p w14:paraId="7133E002">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（1）残疾人福利性单位声明函（附件2）；</w:t>
      </w:r>
    </w:p>
    <w:p w14:paraId="6FDC714B">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或政策扶持。</w:t>
      </w:r>
    </w:p>
    <w:p w14:paraId="6FCC28FF">
      <w:pPr>
        <w:spacing w:line="440" w:lineRule="atLeast"/>
        <w:jc w:val="left"/>
        <w:rPr>
          <w:rFonts w:cs="宋体" w:asciiTheme="majorEastAsia" w:hAnsiTheme="majorEastAsia" w:eastAsiaTheme="majorEastAsia"/>
          <w:b/>
          <w:bCs/>
          <w:color w:val="auto"/>
          <w:sz w:val="22"/>
          <w:szCs w:val="22"/>
          <w:highlight w:val="none"/>
        </w:rPr>
      </w:pPr>
    </w:p>
    <w:p w14:paraId="0683706E">
      <w:pPr>
        <w:spacing w:line="440" w:lineRule="atLeast"/>
        <w:jc w:val="left"/>
        <w:rPr>
          <w:rFonts w:cs="宋体" w:asciiTheme="majorEastAsia" w:hAnsiTheme="majorEastAsia" w:eastAsiaTheme="majorEastAsia"/>
          <w:b/>
          <w:bCs/>
          <w:color w:val="auto"/>
          <w:sz w:val="22"/>
          <w:szCs w:val="22"/>
          <w:highlight w:val="none"/>
        </w:rPr>
      </w:pPr>
    </w:p>
    <w:p w14:paraId="4965CC52">
      <w:pPr>
        <w:spacing w:line="440" w:lineRule="atLeast"/>
        <w:jc w:val="left"/>
        <w:rPr>
          <w:rFonts w:cs="宋体" w:asciiTheme="majorEastAsia" w:hAnsiTheme="majorEastAsia" w:eastAsiaTheme="majorEastAsia"/>
          <w:b/>
          <w:bCs/>
          <w:color w:val="auto"/>
          <w:sz w:val="22"/>
          <w:szCs w:val="22"/>
          <w:highlight w:val="none"/>
        </w:rPr>
      </w:pPr>
    </w:p>
    <w:p w14:paraId="37B1A3D7">
      <w:pPr>
        <w:spacing w:line="440" w:lineRule="atLeast"/>
        <w:jc w:val="left"/>
        <w:rPr>
          <w:rFonts w:cs="宋体" w:asciiTheme="majorEastAsia" w:hAnsiTheme="majorEastAsia" w:eastAsiaTheme="majorEastAsia"/>
          <w:b/>
          <w:bCs/>
          <w:color w:val="auto"/>
          <w:sz w:val="22"/>
          <w:szCs w:val="22"/>
          <w:highlight w:val="none"/>
        </w:rPr>
      </w:pPr>
    </w:p>
    <w:p w14:paraId="572F48F8">
      <w:pPr>
        <w:spacing w:line="440" w:lineRule="atLeast"/>
        <w:jc w:val="left"/>
        <w:rPr>
          <w:rFonts w:cs="宋体" w:asciiTheme="majorEastAsia" w:hAnsiTheme="majorEastAsia" w:eastAsiaTheme="majorEastAsia"/>
          <w:b/>
          <w:bCs/>
          <w:color w:val="auto"/>
          <w:sz w:val="22"/>
          <w:szCs w:val="22"/>
          <w:highlight w:val="none"/>
        </w:rPr>
      </w:pPr>
    </w:p>
    <w:p w14:paraId="267D0946">
      <w:pPr>
        <w:spacing w:line="440" w:lineRule="atLeast"/>
        <w:jc w:val="left"/>
        <w:rPr>
          <w:rFonts w:cs="宋体" w:asciiTheme="majorEastAsia" w:hAnsiTheme="majorEastAsia" w:eastAsiaTheme="majorEastAsia"/>
          <w:b/>
          <w:bCs/>
          <w:color w:val="auto"/>
          <w:sz w:val="22"/>
          <w:szCs w:val="22"/>
          <w:highlight w:val="none"/>
        </w:rPr>
      </w:pPr>
    </w:p>
    <w:p w14:paraId="7527ECDB">
      <w:pPr>
        <w:spacing w:line="440" w:lineRule="atLeast"/>
        <w:jc w:val="left"/>
        <w:rPr>
          <w:rFonts w:cs="宋体" w:asciiTheme="majorEastAsia" w:hAnsiTheme="majorEastAsia" w:eastAsiaTheme="majorEastAsia"/>
          <w:b/>
          <w:bCs/>
          <w:color w:val="auto"/>
          <w:sz w:val="22"/>
          <w:szCs w:val="22"/>
          <w:highlight w:val="none"/>
        </w:rPr>
      </w:pPr>
    </w:p>
    <w:p w14:paraId="20D8C5B4">
      <w:pPr>
        <w:spacing w:line="440" w:lineRule="atLeast"/>
        <w:jc w:val="left"/>
        <w:rPr>
          <w:rFonts w:cs="宋体" w:asciiTheme="majorEastAsia" w:hAnsiTheme="majorEastAsia" w:eastAsiaTheme="majorEastAsia"/>
          <w:b/>
          <w:bCs/>
          <w:color w:val="auto"/>
          <w:sz w:val="22"/>
          <w:szCs w:val="22"/>
          <w:highlight w:val="none"/>
        </w:rPr>
      </w:pPr>
    </w:p>
    <w:p w14:paraId="5C2FD813">
      <w:pPr>
        <w:spacing w:line="440" w:lineRule="atLeast"/>
        <w:jc w:val="left"/>
        <w:rPr>
          <w:rFonts w:cs="宋体" w:asciiTheme="majorEastAsia" w:hAnsiTheme="majorEastAsia" w:eastAsiaTheme="majorEastAsia"/>
          <w:b/>
          <w:bCs/>
          <w:color w:val="auto"/>
          <w:sz w:val="22"/>
          <w:szCs w:val="22"/>
          <w:highlight w:val="none"/>
        </w:rPr>
      </w:pPr>
    </w:p>
    <w:p w14:paraId="385A2152">
      <w:pPr>
        <w:spacing w:line="440" w:lineRule="atLeast"/>
        <w:jc w:val="left"/>
        <w:rPr>
          <w:rFonts w:cs="宋体" w:asciiTheme="majorEastAsia" w:hAnsiTheme="majorEastAsia" w:eastAsiaTheme="majorEastAsia"/>
          <w:b/>
          <w:bCs/>
          <w:color w:val="auto"/>
          <w:sz w:val="22"/>
          <w:szCs w:val="22"/>
          <w:highlight w:val="none"/>
        </w:rPr>
      </w:pPr>
    </w:p>
    <w:p w14:paraId="58031313">
      <w:pPr>
        <w:spacing w:line="440" w:lineRule="atLeast"/>
        <w:jc w:val="left"/>
        <w:rPr>
          <w:rFonts w:cs="宋体" w:asciiTheme="majorEastAsia" w:hAnsiTheme="majorEastAsia" w:eastAsiaTheme="majorEastAsia"/>
          <w:b/>
          <w:bCs/>
          <w:color w:val="auto"/>
          <w:sz w:val="22"/>
          <w:szCs w:val="22"/>
          <w:highlight w:val="none"/>
        </w:rPr>
      </w:pPr>
    </w:p>
    <w:p w14:paraId="709FF81C">
      <w:pPr>
        <w:widowControl/>
        <w:spacing w:before="100" w:beforeAutospacing="1" w:after="100" w:afterAutospacing="1" w:line="440" w:lineRule="atLeast"/>
        <w:jc w:val="left"/>
        <w:rPr>
          <w:rFonts w:cs="宋体" w:asciiTheme="majorEastAsia" w:hAnsiTheme="majorEastAsia" w:eastAsiaTheme="majorEastAsia"/>
          <w:b/>
          <w:bCs/>
          <w:color w:val="auto"/>
          <w:sz w:val="24"/>
          <w:highlight w:val="none"/>
        </w:rPr>
      </w:pPr>
    </w:p>
    <w:p w14:paraId="1B844014">
      <w:pPr>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br w:type="page"/>
      </w:r>
    </w:p>
    <w:p w14:paraId="49E04E7E">
      <w:pPr>
        <w:widowControl/>
        <w:spacing w:before="100" w:beforeAutospacing="1" w:after="100" w:afterAutospacing="1" w:line="440" w:lineRule="atLeast"/>
        <w:jc w:val="left"/>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附件1：</w:t>
      </w:r>
    </w:p>
    <w:p w14:paraId="4A2BC2FE">
      <w:pPr>
        <w:widowControl/>
        <w:jc w:val="left"/>
        <w:rPr>
          <w:rFonts w:cs="宋体" w:asciiTheme="majorEastAsia" w:hAnsiTheme="majorEastAsia" w:eastAsiaTheme="majorEastAsia"/>
          <w:color w:val="auto"/>
          <w:sz w:val="22"/>
          <w:szCs w:val="22"/>
          <w:highlight w:val="none"/>
        </w:rPr>
      </w:pPr>
    </w:p>
    <w:p w14:paraId="754D19E2">
      <w:pPr>
        <w:pStyle w:val="40"/>
        <w:rPr>
          <w:rFonts w:ascii="宋体" w:hAnsi="宋体" w:cs="宋体"/>
          <w:color w:val="auto"/>
          <w:highlight w:val="none"/>
        </w:rPr>
      </w:pPr>
      <w:bookmarkStart w:id="94" w:name="_Toc61276420"/>
      <w:bookmarkStart w:id="95" w:name="_Toc31622"/>
      <w:r>
        <w:rPr>
          <w:rFonts w:hint="eastAsia" w:ascii="宋体" w:hAnsi="宋体" w:cs="宋体"/>
          <w:color w:val="auto"/>
          <w:highlight w:val="none"/>
        </w:rPr>
        <w:t>中小企业声明函（工程、服务）</w:t>
      </w:r>
      <w:bookmarkEnd w:id="94"/>
      <w:bookmarkEnd w:id="95"/>
    </w:p>
    <w:p w14:paraId="6BA522C3">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本公司（联合体）郑重声明，根据《政府采购促进中小企业发展管理办法》（财库﹝2020﹞46 号）的规定，本公司（联合体）参加</w:t>
      </w:r>
      <w:r>
        <w:rPr>
          <w:rFonts w:hint="eastAsia" w:ascii="宋体"/>
          <w:color w:val="auto"/>
          <w:sz w:val="22"/>
          <w:szCs w:val="22"/>
          <w:highlight w:val="none"/>
          <w:u w:val="single"/>
        </w:rPr>
        <w:t xml:space="preserve"> （单位名称）</w:t>
      </w:r>
      <w:r>
        <w:rPr>
          <w:rFonts w:hint="eastAsia" w:ascii="宋体"/>
          <w:color w:val="auto"/>
          <w:sz w:val="22"/>
          <w:szCs w:val="22"/>
          <w:highlight w:val="none"/>
        </w:rPr>
        <w:t xml:space="preserve"> 的 </w:t>
      </w:r>
      <w:r>
        <w:rPr>
          <w:rFonts w:hint="eastAsia" w:ascii="宋体"/>
          <w:color w:val="auto"/>
          <w:sz w:val="22"/>
          <w:szCs w:val="22"/>
          <w:highlight w:val="none"/>
          <w:u w:val="single"/>
        </w:rPr>
        <w:t>（项目名称）</w:t>
      </w:r>
      <w:r>
        <w:rPr>
          <w:rFonts w:hint="eastAsia" w:ascii="宋体"/>
          <w:color w:val="auto"/>
          <w:sz w:val="22"/>
          <w:szCs w:val="22"/>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2A3992C5">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 xml:space="preserve">1. </w:t>
      </w:r>
      <w:r>
        <w:rPr>
          <w:rFonts w:hint="eastAsia" w:ascii="宋体"/>
          <w:color w:val="auto"/>
          <w:sz w:val="22"/>
          <w:szCs w:val="22"/>
          <w:highlight w:val="none"/>
          <w:u w:val="single"/>
        </w:rPr>
        <w:t xml:space="preserve">（标的名称） </w:t>
      </w:r>
      <w:r>
        <w:rPr>
          <w:rFonts w:hint="eastAsia" w:ascii="宋体"/>
          <w:color w:val="auto"/>
          <w:sz w:val="22"/>
          <w:szCs w:val="22"/>
          <w:highlight w:val="none"/>
        </w:rPr>
        <w:t>，属于</w:t>
      </w:r>
      <w:r>
        <w:rPr>
          <w:rFonts w:hint="eastAsia" w:ascii="宋体"/>
          <w:color w:val="auto"/>
          <w:sz w:val="22"/>
          <w:szCs w:val="22"/>
          <w:highlight w:val="none"/>
          <w:u w:val="single"/>
        </w:rPr>
        <w:t>工业行业</w:t>
      </w:r>
      <w:r>
        <w:rPr>
          <w:rFonts w:hint="eastAsia" w:ascii="宋体"/>
          <w:color w:val="auto"/>
          <w:sz w:val="22"/>
          <w:szCs w:val="22"/>
          <w:highlight w:val="none"/>
        </w:rPr>
        <w:t xml:space="preserve"> ；承建（承接）企业为 </w:t>
      </w:r>
      <w:r>
        <w:rPr>
          <w:rFonts w:hint="eastAsia" w:ascii="宋体"/>
          <w:color w:val="auto"/>
          <w:sz w:val="22"/>
          <w:szCs w:val="22"/>
          <w:highlight w:val="none"/>
          <w:u w:val="single"/>
        </w:rPr>
        <w:t xml:space="preserve">（企业名称） </w:t>
      </w:r>
      <w:r>
        <w:rPr>
          <w:rFonts w:hint="eastAsia" w:ascii="宋体"/>
          <w:color w:val="auto"/>
          <w:sz w:val="22"/>
          <w:szCs w:val="22"/>
          <w:highlight w:val="none"/>
        </w:rPr>
        <w:t>，从业人员</w:t>
      </w:r>
      <w:r>
        <w:rPr>
          <w:rFonts w:hint="eastAsia" w:ascii="宋体"/>
          <w:color w:val="auto"/>
          <w:sz w:val="22"/>
          <w:szCs w:val="22"/>
          <w:highlight w:val="none"/>
          <w:u w:val="single"/>
        </w:rPr>
        <w:t xml:space="preserve">        </w:t>
      </w:r>
      <w:r>
        <w:rPr>
          <w:rFonts w:hint="eastAsia" w:ascii="宋体"/>
          <w:color w:val="auto"/>
          <w:sz w:val="22"/>
          <w:szCs w:val="22"/>
          <w:highlight w:val="none"/>
        </w:rPr>
        <w:t>人，营业收入为</w:t>
      </w:r>
      <w:r>
        <w:rPr>
          <w:rFonts w:hint="eastAsia" w:ascii="宋体"/>
          <w:color w:val="auto"/>
          <w:sz w:val="22"/>
          <w:szCs w:val="22"/>
          <w:highlight w:val="none"/>
          <w:u w:val="single"/>
        </w:rPr>
        <w:t xml:space="preserve">        </w:t>
      </w:r>
      <w:r>
        <w:rPr>
          <w:rFonts w:hint="eastAsia" w:ascii="宋体"/>
          <w:color w:val="auto"/>
          <w:sz w:val="22"/>
          <w:szCs w:val="22"/>
          <w:highlight w:val="none"/>
        </w:rPr>
        <w:t>万元，资产总额为</w:t>
      </w:r>
      <w:r>
        <w:rPr>
          <w:rFonts w:hint="eastAsia" w:ascii="宋体"/>
          <w:color w:val="auto"/>
          <w:sz w:val="22"/>
          <w:szCs w:val="22"/>
          <w:highlight w:val="none"/>
          <w:u w:val="single"/>
        </w:rPr>
        <w:t xml:space="preserve">        </w:t>
      </w:r>
      <w:r>
        <w:rPr>
          <w:rFonts w:hint="eastAsia" w:ascii="宋体"/>
          <w:color w:val="auto"/>
          <w:sz w:val="22"/>
          <w:szCs w:val="22"/>
          <w:highlight w:val="none"/>
        </w:rPr>
        <w:t>万元 ，属于</w:t>
      </w:r>
      <w:r>
        <w:rPr>
          <w:rFonts w:hint="eastAsia" w:ascii="宋体"/>
          <w:color w:val="auto"/>
          <w:sz w:val="22"/>
          <w:szCs w:val="22"/>
          <w:highlight w:val="none"/>
          <w:u w:val="single"/>
        </w:rPr>
        <w:t xml:space="preserve">       （中型企业、小型企业、微型企业） </w:t>
      </w:r>
      <w:r>
        <w:rPr>
          <w:rFonts w:hint="eastAsia" w:ascii="宋体"/>
          <w:color w:val="auto"/>
          <w:sz w:val="22"/>
          <w:szCs w:val="22"/>
          <w:highlight w:val="none"/>
        </w:rPr>
        <w:t>；</w:t>
      </w:r>
    </w:p>
    <w:p w14:paraId="6AD16F22">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 xml:space="preserve">2. </w:t>
      </w:r>
      <w:r>
        <w:rPr>
          <w:rFonts w:hint="eastAsia" w:ascii="宋体"/>
          <w:color w:val="auto"/>
          <w:sz w:val="22"/>
          <w:szCs w:val="22"/>
          <w:highlight w:val="none"/>
          <w:u w:val="single"/>
        </w:rPr>
        <w:t>（标的名称）</w:t>
      </w:r>
      <w:r>
        <w:rPr>
          <w:rFonts w:hint="eastAsia" w:ascii="宋体"/>
          <w:color w:val="auto"/>
          <w:sz w:val="22"/>
          <w:szCs w:val="22"/>
          <w:highlight w:val="none"/>
        </w:rPr>
        <w:t xml:space="preserve"> ，属于工业</w:t>
      </w:r>
      <w:r>
        <w:rPr>
          <w:rFonts w:hint="eastAsia" w:ascii="宋体"/>
          <w:color w:val="auto"/>
          <w:sz w:val="22"/>
          <w:szCs w:val="22"/>
          <w:highlight w:val="none"/>
          <w:u w:val="single"/>
        </w:rPr>
        <w:t xml:space="preserve">行业 </w:t>
      </w:r>
      <w:r>
        <w:rPr>
          <w:rFonts w:hint="eastAsia" w:ascii="宋体"/>
          <w:color w:val="auto"/>
          <w:sz w:val="22"/>
          <w:szCs w:val="22"/>
          <w:highlight w:val="none"/>
        </w:rPr>
        <w:t>；承建（承接）企业为</w:t>
      </w:r>
      <w:r>
        <w:rPr>
          <w:rFonts w:hint="eastAsia" w:ascii="宋体"/>
          <w:color w:val="auto"/>
          <w:sz w:val="22"/>
          <w:szCs w:val="22"/>
          <w:highlight w:val="none"/>
          <w:u w:val="single"/>
        </w:rPr>
        <w:t xml:space="preserve"> （企业名称）</w:t>
      </w:r>
      <w:r>
        <w:rPr>
          <w:rFonts w:hint="eastAsia" w:ascii="宋体"/>
          <w:color w:val="auto"/>
          <w:sz w:val="22"/>
          <w:szCs w:val="22"/>
          <w:highlight w:val="none"/>
        </w:rPr>
        <w:t xml:space="preserve"> ，从业人员</w:t>
      </w:r>
      <w:r>
        <w:rPr>
          <w:rFonts w:hint="eastAsia" w:ascii="宋体"/>
          <w:color w:val="auto"/>
          <w:sz w:val="22"/>
          <w:szCs w:val="22"/>
          <w:highlight w:val="none"/>
          <w:u w:val="single"/>
        </w:rPr>
        <w:t xml:space="preserve">        </w:t>
      </w:r>
      <w:r>
        <w:rPr>
          <w:rFonts w:hint="eastAsia" w:ascii="宋体"/>
          <w:color w:val="auto"/>
          <w:sz w:val="22"/>
          <w:szCs w:val="22"/>
          <w:highlight w:val="none"/>
        </w:rPr>
        <w:t>人，营业收入为</w:t>
      </w:r>
      <w:r>
        <w:rPr>
          <w:rFonts w:hint="eastAsia" w:ascii="宋体"/>
          <w:color w:val="auto"/>
          <w:sz w:val="22"/>
          <w:szCs w:val="22"/>
          <w:highlight w:val="none"/>
          <w:u w:val="single"/>
        </w:rPr>
        <w:t xml:space="preserve">        </w:t>
      </w:r>
      <w:r>
        <w:rPr>
          <w:rFonts w:hint="eastAsia" w:ascii="宋体"/>
          <w:color w:val="auto"/>
          <w:sz w:val="22"/>
          <w:szCs w:val="22"/>
          <w:highlight w:val="none"/>
        </w:rPr>
        <w:t>万元，资产总额为</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万元，属于 </w:t>
      </w:r>
      <w:r>
        <w:rPr>
          <w:rFonts w:hint="eastAsia" w:ascii="宋体"/>
          <w:color w:val="auto"/>
          <w:sz w:val="22"/>
          <w:szCs w:val="22"/>
          <w:highlight w:val="none"/>
          <w:u w:val="single"/>
        </w:rPr>
        <w:t xml:space="preserve">       （中型企业、小型企业、微型企业）</w:t>
      </w:r>
      <w:r>
        <w:rPr>
          <w:rFonts w:hint="eastAsia" w:ascii="宋体"/>
          <w:color w:val="auto"/>
          <w:sz w:val="22"/>
          <w:szCs w:val="22"/>
          <w:highlight w:val="none"/>
        </w:rPr>
        <w:t xml:space="preserve"> ；</w:t>
      </w:r>
    </w:p>
    <w:p w14:paraId="4F0C40F6">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w:t>
      </w:r>
    </w:p>
    <w:p w14:paraId="2F5284DD">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以上企业，不属于大企业的分支机构，不存在控股股东为大企业的情形，也不存在与大企业的负责人为同一人的情形。</w:t>
      </w:r>
    </w:p>
    <w:p w14:paraId="61220EF5">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本企业对上述声明内容的真实性负责。如有虚假，将依法承担相应责任。</w:t>
      </w:r>
    </w:p>
    <w:p w14:paraId="0A87858F">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企业名称（盖章）：</w:t>
      </w:r>
    </w:p>
    <w:p w14:paraId="38D0C911">
      <w:pPr>
        <w:widowControl/>
        <w:spacing w:before="100" w:beforeAutospacing="1" w:after="100" w:afterAutospacing="1" w:line="440" w:lineRule="atLeast"/>
        <w:ind w:firstLine="440" w:firstLineChars="200"/>
        <w:jc w:val="left"/>
        <w:rPr>
          <w:rFonts w:cs="宋体" w:asciiTheme="majorEastAsia" w:hAnsiTheme="majorEastAsia" w:eastAsiaTheme="majorEastAsia"/>
          <w:b/>
          <w:bCs/>
          <w:color w:val="auto"/>
          <w:sz w:val="24"/>
          <w:highlight w:val="none"/>
        </w:rPr>
      </w:pPr>
      <w:r>
        <w:rPr>
          <w:rFonts w:hint="eastAsia" w:ascii="宋体"/>
          <w:color w:val="auto"/>
          <w:sz w:val="22"/>
          <w:szCs w:val="22"/>
          <w:highlight w:val="none"/>
        </w:rPr>
        <w:t>日 期：     </w:t>
      </w:r>
      <w:r>
        <w:rPr>
          <w:rFonts w:hint="eastAsia" w:cs="宋体" w:asciiTheme="majorEastAsia" w:hAnsiTheme="majorEastAsia" w:eastAsiaTheme="majorEastAsia"/>
          <w:color w:val="auto"/>
          <w:sz w:val="22"/>
          <w:szCs w:val="22"/>
          <w:highlight w:val="none"/>
        </w:rPr>
        <w:t>         　　　　</w:t>
      </w:r>
      <w:r>
        <w:rPr>
          <w:rFonts w:hint="eastAsia" w:cs="宋体" w:asciiTheme="majorEastAsia" w:hAnsiTheme="majorEastAsia" w:eastAsiaTheme="majorEastAsia"/>
          <w:b/>
          <w:bCs/>
          <w:color w:val="auto"/>
          <w:sz w:val="24"/>
          <w:highlight w:val="none"/>
        </w:rPr>
        <w:t>　</w:t>
      </w:r>
    </w:p>
    <w:p w14:paraId="529F4D90">
      <w:pPr>
        <w:spacing w:line="440" w:lineRule="atLeast"/>
        <w:rPr>
          <w:rFonts w:cs="宋体" w:asciiTheme="majorEastAsia" w:hAnsiTheme="majorEastAsia" w:eastAsiaTheme="majorEastAsia"/>
          <w:b/>
          <w:bCs/>
          <w:color w:val="auto"/>
          <w:sz w:val="24"/>
          <w:highlight w:val="none"/>
        </w:rPr>
      </w:pPr>
    </w:p>
    <w:p w14:paraId="21F93648">
      <w:pPr>
        <w:widowControl/>
        <w:spacing w:before="100" w:beforeAutospacing="1" w:after="100" w:afterAutospacing="1" w:line="440" w:lineRule="atLeast"/>
        <w:jc w:val="left"/>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注：1 从业人员、营业收入、资产总额填报上一年度数据，无上一年度数据的新成立企业可不填报。</w:t>
      </w:r>
      <w:r>
        <w:rPr>
          <w:rFonts w:hint="eastAsia" w:cs="宋体" w:asciiTheme="majorEastAsia" w:hAnsiTheme="majorEastAsia" w:eastAsiaTheme="majorEastAsia"/>
          <w:color w:val="auto"/>
          <w:sz w:val="22"/>
          <w:szCs w:val="22"/>
          <w:highlight w:val="none"/>
        </w:rPr>
        <w:t>                  　　　　</w:t>
      </w:r>
      <w:r>
        <w:rPr>
          <w:rFonts w:hint="eastAsia" w:cs="宋体" w:asciiTheme="majorEastAsia" w:hAnsiTheme="majorEastAsia" w:eastAsiaTheme="majorEastAsia"/>
          <w:b/>
          <w:bCs/>
          <w:color w:val="auto"/>
          <w:sz w:val="24"/>
          <w:highlight w:val="none"/>
        </w:rPr>
        <w:t>　</w:t>
      </w:r>
    </w:p>
    <w:p w14:paraId="3DA425D1">
      <w:pPr>
        <w:widowControl/>
        <w:spacing w:before="100" w:beforeAutospacing="1" w:after="100" w:afterAutospacing="1" w:line="440" w:lineRule="atLeast"/>
        <w:jc w:val="left"/>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br w:type="page"/>
      </w:r>
      <w:r>
        <w:rPr>
          <w:rFonts w:hint="eastAsia" w:cs="宋体" w:asciiTheme="majorEastAsia" w:hAnsiTheme="majorEastAsia" w:eastAsiaTheme="majorEastAsia"/>
          <w:b/>
          <w:bCs/>
          <w:color w:val="auto"/>
          <w:sz w:val="24"/>
          <w:highlight w:val="none"/>
        </w:rPr>
        <w:t>附件2</w:t>
      </w:r>
    </w:p>
    <w:p w14:paraId="76545097">
      <w:pPr>
        <w:widowControl/>
        <w:spacing w:before="100" w:beforeAutospacing="1" w:after="100" w:afterAutospacing="1" w:line="440" w:lineRule="atLeast"/>
        <w:jc w:val="center"/>
        <w:rPr>
          <w:rFonts w:cs="宋体" w:asciiTheme="majorEastAsia" w:hAnsiTheme="majorEastAsia" w:eastAsiaTheme="majorEastAsia"/>
          <w:b/>
          <w:bCs/>
          <w:color w:val="auto"/>
          <w:sz w:val="24"/>
          <w:highlight w:val="none"/>
        </w:rPr>
      </w:pPr>
      <w:bookmarkStart w:id="96" w:name="OLE_LINK13"/>
      <w:bookmarkStart w:id="97" w:name="OLE_LINK14"/>
      <w:r>
        <w:rPr>
          <w:rFonts w:hint="eastAsia" w:cs="宋体" w:asciiTheme="majorEastAsia" w:hAnsiTheme="majorEastAsia" w:eastAsiaTheme="majorEastAsia"/>
          <w:b/>
          <w:bCs/>
          <w:color w:val="auto"/>
          <w:sz w:val="24"/>
          <w:highlight w:val="none"/>
        </w:rPr>
        <w:t>残疾人福利性单位声明函</w:t>
      </w:r>
    </w:p>
    <w:bookmarkEnd w:id="96"/>
    <w:bookmarkEnd w:id="97"/>
    <w:p w14:paraId="6DB24465">
      <w:pPr>
        <w:spacing w:line="588" w:lineRule="exact"/>
        <w:rPr>
          <w:rFonts w:cs="宋体" w:asciiTheme="majorEastAsia" w:hAnsiTheme="majorEastAsia" w:eastAsiaTheme="majorEastAsia"/>
          <w:b/>
          <w:bCs/>
          <w:color w:val="auto"/>
          <w:spacing w:val="6"/>
          <w:sz w:val="30"/>
          <w:szCs w:val="30"/>
          <w:highlight w:val="none"/>
        </w:rPr>
      </w:pPr>
    </w:p>
    <w:p w14:paraId="65A04418">
      <w:pPr>
        <w:spacing w:line="588" w:lineRule="exact"/>
        <w:ind w:firstLine="464" w:firstLineChars="200"/>
        <w:rPr>
          <w:rFonts w:cs="宋体" w:asciiTheme="majorEastAsia" w:hAnsiTheme="majorEastAsia" w:eastAsiaTheme="majorEastAsia"/>
          <w:color w:val="auto"/>
          <w:spacing w:val="6"/>
          <w:sz w:val="22"/>
          <w:szCs w:val="22"/>
          <w:highlight w:val="none"/>
        </w:rPr>
      </w:pPr>
      <w:r>
        <w:rPr>
          <w:rFonts w:hint="eastAsia" w:cs="宋体" w:asciiTheme="majorEastAsia" w:hAnsiTheme="majorEastAsia" w:eastAsiaTheme="majorEastAsia"/>
          <w:color w:val="auto"/>
          <w:spacing w:val="6"/>
          <w:sz w:val="22"/>
          <w:szCs w:val="2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94A39C">
      <w:pPr>
        <w:spacing w:line="588" w:lineRule="exact"/>
        <w:ind w:firstLine="464" w:firstLineChars="200"/>
        <w:rPr>
          <w:rFonts w:cs="宋体" w:asciiTheme="majorEastAsia" w:hAnsiTheme="majorEastAsia" w:eastAsiaTheme="majorEastAsia"/>
          <w:color w:val="auto"/>
          <w:spacing w:val="6"/>
          <w:sz w:val="22"/>
          <w:szCs w:val="22"/>
          <w:highlight w:val="none"/>
        </w:rPr>
      </w:pPr>
      <w:r>
        <w:rPr>
          <w:rFonts w:hint="eastAsia" w:cs="宋体" w:asciiTheme="majorEastAsia" w:hAnsiTheme="majorEastAsia" w:eastAsiaTheme="majorEastAsia"/>
          <w:color w:val="auto"/>
          <w:spacing w:val="6"/>
          <w:sz w:val="22"/>
          <w:szCs w:val="22"/>
          <w:highlight w:val="none"/>
        </w:rPr>
        <w:t>本单位对上述声明的真实性负责。如有虚假，将依法承担相应责任。</w:t>
      </w:r>
    </w:p>
    <w:p w14:paraId="640B2C54">
      <w:pPr>
        <w:spacing w:line="588" w:lineRule="exact"/>
        <w:ind w:firstLine="464" w:firstLineChars="200"/>
        <w:rPr>
          <w:rFonts w:cs="宋体" w:asciiTheme="majorEastAsia" w:hAnsiTheme="majorEastAsia" w:eastAsiaTheme="majorEastAsia"/>
          <w:color w:val="auto"/>
          <w:spacing w:val="6"/>
          <w:sz w:val="22"/>
          <w:szCs w:val="22"/>
          <w:highlight w:val="none"/>
        </w:rPr>
      </w:pPr>
    </w:p>
    <w:p w14:paraId="32DDA73C">
      <w:pPr>
        <w:tabs>
          <w:tab w:val="left" w:pos="4860"/>
        </w:tabs>
        <w:spacing w:line="588" w:lineRule="exact"/>
        <w:ind w:right="1560" w:firstLine="464" w:firstLineChars="200"/>
        <w:rPr>
          <w:rFonts w:cs="宋体" w:asciiTheme="majorEastAsia" w:hAnsiTheme="majorEastAsia" w:eastAsiaTheme="majorEastAsia"/>
          <w:color w:val="auto"/>
          <w:spacing w:val="6"/>
          <w:sz w:val="22"/>
          <w:szCs w:val="22"/>
          <w:highlight w:val="none"/>
        </w:rPr>
      </w:pPr>
    </w:p>
    <w:p w14:paraId="5AAC2C42">
      <w:pPr>
        <w:tabs>
          <w:tab w:val="left" w:pos="4860"/>
        </w:tabs>
        <w:spacing w:line="588" w:lineRule="exact"/>
        <w:ind w:right="1560" w:firstLine="464" w:firstLineChars="200"/>
        <w:rPr>
          <w:rFonts w:cs="宋体" w:asciiTheme="majorEastAsia" w:hAnsiTheme="majorEastAsia" w:eastAsiaTheme="majorEastAsia"/>
          <w:color w:val="auto"/>
          <w:spacing w:val="6"/>
          <w:sz w:val="22"/>
          <w:szCs w:val="22"/>
          <w:highlight w:val="none"/>
        </w:rPr>
      </w:pPr>
      <w:r>
        <w:rPr>
          <w:rFonts w:hint="eastAsia" w:cs="宋体" w:asciiTheme="majorEastAsia" w:hAnsiTheme="majorEastAsia" w:eastAsiaTheme="majorEastAsia"/>
          <w:color w:val="auto"/>
          <w:spacing w:val="6"/>
          <w:sz w:val="22"/>
          <w:szCs w:val="22"/>
          <w:highlight w:val="none"/>
        </w:rPr>
        <w:t>投标供应商全称（盖章）：</w:t>
      </w:r>
    </w:p>
    <w:p w14:paraId="06A81D9F">
      <w:pPr>
        <w:tabs>
          <w:tab w:val="left" w:pos="4860"/>
        </w:tabs>
        <w:spacing w:line="588" w:lineRule="exact"/>
        <w:ind w:right="1560" w:firstLine="464" w:firstLineChars="200"/>
        <w:rPr>
          <w:rFonts w:cs="宋体" w:asciiTheme="majorEastAsia" w:hAnsiTheme="majorEastAsia" w:eastAsiaTheme="majorEastAsia"/>
          <w:color w:val="auto"/>
          <w:spacing w:val="6"/>
          <w:sz w:val="22"/>
          <w:szCs w:val="22"/>
          <w:highlight w:val="none"/>
        </w:rPr>
      </w:pPr>
      <w:r>
        <w:rPr>
          <w:rFonts w:hint="eastAsia" w:cs="宋体" w:asciiTheme="majorEastAsia" w:hAnsiTheme="majorEastAsia" w:eastAsiaTheme="majorEastAsia"/>
          <w:color w:val="auto"/>
          <w:spacing w:val="6"/>
          <w:sz w:val="22"/>
          <w:szCs w:val="22"/>
          <w:highlight w:val="none"/>
        </w:rPr>
        <w:t>日  期：</w:t>
      </w:r>
    </w:p>
    <w:p w14:paraId="367A7960">
      <w:pPr>
        <w:tabs>
          <w:tab w:val="left" w:pos="4860"/>
        </w:tabs>
        <w:spacing w:line="588" w:lineRule="exact"/>
        <w:ind w:right="1560" w:firstLine="464" w:firstLineChars="200"/>
        <w:jc w:val="center"/>
        <w:rPr>
          <w:rFonts w:cs="宋体" w:asciiTheme="majorEastAsia" w:hAnsiTheme="majorEastAsia" w:eastAsiaTheme="majorEastAsia"/>
          <w:color w:val="auto"/>
          <w:spacing w:val="6"/>
          <w:sz w:val="22"/>
          <w:szCs w:val="22"/>
          <w:highlight w:val="none"/>
        </w:rPr>
      </w:pPr>
    </w:p>
    <w:p w14:paraId="08772046">
      <w:pPr>
        <w:tabs>
          <w:tab w:val="left" w:pos="4860"/>
        </w:tabs>
        <w:spacing w:line="588" w:lineRule="exact"/>
        <w:ind w:right="1560" w:firstLine="464" w:firstLineChars="200"/>
        <w:jc w:val="center"/>
        <w:rPr>
          <w:rFonts w:cs="宋体" w:asciiTheme="majorEastAsia" w:hAnsiTheme="majorEastAsia" w:eastAsiaTheme="majorEastAsia"/>
          <w:color w:val="auto"/>
          <w:spacing w:val="6"/>
          <w:sz w:val="22"/>
          <w:szCs w:val="22"/>
          <w:highlight w:val="none"/>
        </w:rPr>
      </w:pPr>
    </w:p>
    <w:p w14:paraId="457C16A4">
      <w:pPr>
        <w:tabs>
          <w:tab w:val="left" w:pos="4860"/>
        </w:tabs>
        <w:spacing w:line="588" w:lineRule="exact"/>
        <w:ind w:right="1560"/>
        <w:jc w:val="left"/>
        <w:rPr>
          <w:rFonts w:cs="宋体" w:asciiTheme="majorEastAsia" w:hAnsiTheme="majorEastAsia" w:eastAsiaTheme="majorEastAsia"/>
          <w:b/>
          <w:bCs/>
          <w:color w:val="auto"/>
          <w:sz w:val="22"/>
          <w:szCs w:val="22"/>
          <w:highlight w:val="none"/>
        </w:rPr>
      </w:pPr>
      <w:r>
        <w:rPr>
          <w:rFonts w:hint="eastAsia" w:cs="宋体" w:asciiTheme="majorEastAsia" w:hAnsiTheme="majorEastAsia" w:eastAsiaTheme="majorEastAsia"/>
          <w:b/>
          <w:bCs/>
          <w:color w:val="auto"/>
          <w:sz w:val="22"/>
          <w:szCs w:val="22"/>
          <w:highlight w:val="none"/>
        </w:rPr>
        <w:t>备注说明：</w:t>
      </w:r>
    </w:p>
    <w:p w14:paraId="2FB81F63">
      <w:pPr>
        <w:tabs>
          <w:tab w:val="left" w:pos="4860"/>
        </w:tabs>
        <w:spacing w:line="588" w:lineRule="exact"/>
        <w:ind w:right="1560"/>
        <w:jc w:val="left"/>
        <w:rPr>
          <w:rFonts w:cs="宋体" w:asciiTheme="majorEastAsia" w:hAnsiTheme="majorEastAsia" w:eastAsiaTheme="majorEastAsia"/>
          <w:b/>
          <w:bCs/>
          <w:color w:val="auto"/>
          <w:sz w:val="22"/>
          <w:szCs w:val="22"/>
          <w:highlight w:val="none"/>
        </w:rPr>
      </w:pPr>
      <w:r>
        <w:rPr>
          <w:rFonts w:hint="eastAsia" w:cs="宋体" w:asciiTheme="majorEastAsia" w:hAnsiTheme="majorEastAsia" w:eastAsiaTheme="majorEastAsia"/>
          <w:b/>
          <w:bCs/>
          <w:color w:val="auto"/>
          <w:sz w:val="22"/>
          <w:szCs w:val="22"/>
          <w:highlight w:val="none"/>
        </w:rPr>
        <w:t>1、如中标，将在中标公示中将此声明函予以公示，接受社会监督；</w:t>
      </w:r>
    </w:p>
    <w:p w14:paraId="0A362401">
      <w:pPr>
        <w:autoSpaceDE w:val="0"/>
        <w:autoSpaceDN w:val="0"/>
        <w:adjustRightInd w:val="0"/>
        <w:spacing w:line="460" w:lineRule="atLeast"/>
        <w:textAlignment w:val="bottom"/>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b/>
          <w:bCs/>
          <w:color w:val="auto"/>
          <w:sz w:val="22"/>
          <w:szCs w:val="22"/>
          <w:highlight w:val="none"/>
        </w:rPr>
        <w:t>2、投标供应商提供的《残疾人福利性单位声明函》与事实不符的，依照《中华人民共和国政府采购法》第七十七条第一款的规定追究法律责任。</w:t>
      </w:r>
    </w:p>
    <w:p w14:paraId="33B96796">
      <w:pPr>
        <w:spacing w:line="360" w:lineRule="auto"/>
        <w:outlineLvl w:val="0"/>
        <w:rPr>
          <w:rFonts w:cs="宋体" w:asciiTheme="majorEastAsia" w:hAnsiTheme="majorEastAsia" w:eastAsiaTheme="majorEastAsia"/>
          <w:b/>
          <w:bCs/>
          <w:color w:val="auto"/>
          <w:sz w:val="28"/>
          <w:szCs w:val="28"/>
          <w:highlight w:val="none"/>
        </w:rPr>
      </w:pPr>
    </w:p>
    <w:p w14:paraId="559340AE">
      <w:pPr>
        <w:pStyle w:val="40"/>
        <w:rPr>
          <w:rFonts w:cs="宋体" w:asciiTheme="majorEastAsia" w:hAnsiTheme="majorEastAsia" w:eastAsiaTheme="majorEastAsia"/>
          <w:color w:val="auto"/>
          <w:sz w:val="30"/>
          <w:szCs w:val="30"/>
          <w:highlight w:val="none"/>
        </w:rPr>
      </w:pPr>
    </w:p>
    <w:p w14:paraId="68BE3A80">
      <w:pPr>
        <w:widowControl/>
        <w:jc w:val="left"/>
        <w:rPr>
          <w:rFonts w:cs="新宋体" w:asciiTheme="majorEastAsia" w:hAnsiTheme="majorEastAsia" w:eastAsiaTheme="majorEastAsia"/>
          <w:b/>
          <w:bCs/>
          <w:color w:val="auto"/>
          <w:sz w:val="30"/>
          <w:szCs w:val="30"/>
          <w:highlight w:val="none"/>
        </w:rPr>
      </w:pPr>
      <w:r>
        <w:rPr>
          <w:rFonts w:cs="新宋体" w:asciiTheme="majorEastAsia" w:hAnsiTheme="majorEastAsia" w:eastAsiaTheme="majorEastAsia"/>
          <w:color w:val="auto"/>
          <w:sz w:val="30"/>
          <w:szCs w:val="30"/>
          <w:highlight w:val="none"/>
        </w:rPr>
        <w:br w:type="page"/>
      </w:r>
    </w:p>
    <w:p w14:paraId="3D570176">
      <w:pPr>
        <w:spacing w:line="360" w:lineRule="auto"/>
        <w:jc w:val="center"/>
        <w:outlineLvl w:val="0"/>
        <w:rPr>
          <w:b/>
          <w:color w:val="auto"/>
          <w:sz w:val="36"/>
          <w:szCs w:val="36"/>
          <w:highlight w:val="none"/>
        </w:rPr>
      </w:pPr>
      <w:bookmarkStart w:id="98" w:name="_Toc23974"/>
      <w:r>
        <w:rPr>
          <w:rFonts w:hint="eastAsia" w:cs="新宋体" w:asciiTheme="majorEastAsia" w:hAnsiTheme="majorEastAsia" w:eastAsiaTheme="majorEastAsia"/>
          <w:color w:val="auto"/>
          <w:sz w:val="30"/>
          <w:szCs w:val="30"/>
          <w:highlight w:val="none"/>
        </w:rPr>
        <w:t xml:space="preserve">第五部分  </w:t>
      </w:r>
      <w:bookmarkEnd w:id="92"/>
      <w:bookmarkEnd w:id="93"/>
      <w:r>
        <w:rPr>
          <w:rFonts w:hint="eastAsia" w:cs="新宋体" w:asciiTheme="majorEastAsia" w:hAnsiTheme="majorEastAsia" w:eastAsiaTheme="majorEastAsia"/>
          <w:color w:val="auto"/>
          <w:sz w:val="30"/>
          <w:szCs w:val="30"/>
          <w:highlight w:val="none"/>
        </w:rPr>
        <w:t>合同格式（参考格式）</w:t>
      </w:r>
      <w:bookmarkEnd w:id="98"/>
      <w:r>
        <w:rPr>
          <w:rFonts w:hint="eastAsia" w:cs="新宋体" w:asciiTheme="majorEastAsia" w:hAnsiTheme="majorEastAsia" w:eastAsiaTheme="majorEastAsia"/>
          <w:color w:val="auto"/>
          <w:sz w:val="30"/>
          <w:szCs w:val="30"/>
          <w:highlight w:val="none"/>
        </w:rPr>
        <w:t xml:space="preserve">  </w:t>
      </w:r>
    </w:p>
    <w:p w14:paraId="1AEB4A0E">
      <w:pPr>
        <w:pStyle w:val="24"/>
        <w:spacing w:line="420" w:lineRule="atLeast"/>
        <w:jc w:val="center"/>
        <w:rPr>
          <w:rFonts w:hAnsi="宋体" w:cs="宋体"/>
          <w:b/>
          <w:color w:val="auto"/>
          <w:sz w:val="22"/>
          <w:szCs w:val="22"/>
          <w:highlight w:val="none"/>
        </w:rPr>
      </w:pPr>
      <w:bookmarkStart w:id="99" w:name="_Toc496116263"/>
      <w:bookmarkStart w:id="100" w:name="_Toc498343172"/>
      <w:bookmarkStart w:id="101" w:name="_Toc293038721"/>
      <w:r>
        <w:rPr>
          <w:rFonts w:hint="eastAsia" w:hAnsi="宋体" w:cs="宋体"/>
          <w:color w:val="auto"/>
          <w:sz w:val="22"/>
          <w:szCs w:val="22"/>
          <w:highlight w:val="none"/>
        </w:rPr>
        <w:t>编号  ：</w:t>
      </w:r>
    </w:p>
    <w:p w14:paraId="567DDBDA">
      <w:pPr>
        <w:pStyle w:val="24"/>
        <w:spacing w:line="460" w:lineRule="atLeast"/>
        <w:rPr>
          <w:rFonts w:hAnsi="宋体" w:cs="宋体"/>
          <w:b/>
          <w:color w:val="auto"/>
          <w:sz w:val="22"/>
          <w:szCs w:val="22"/>
          <w:highlight w:val="none"/>
        </w:rPr>
      </w:pPr>
      <w:r>
        <w:rPr>
          <w:rFonts w:hint="eastAsia" w:hAnsi="宋体" w:cs="宋体"/>
          <w:color w:val="auto"/>
          <w:sz w:val="22"/>
          <w:szCs w:val="22"/>
          <w:highlight w:val="none"/>
        </w:rPr>
        <w:t>采购人：采购人</w:t>
      </w:r>
    </w:p>
    <w:p w14:paraId="287D6220">
      <w:pPr>
        <w:pStyle w:val="24"/>
        <w:spacing w:line="460" w:lineRule="atLeast"/>
        <w:rPr>
          <w:rFonts w:hAnsi="宋体" w:cs="宋体"/>
          <w:b/>
          <w:color w:val="auto"/>
          <w:sz w:val="22"/>
          <w:szCs w:val="22"/>
          <w:highlight w:val="none"/>
        </w:rPr>
      </w:pPr>
      <w:r>
        <w:rPr>
          <w:rFonts w:hint="eastAsia" w:hAnsi="宋体" w:cs="宋体"/>
          <w:color w:val="auto"/>
          <w:sz w:val="22"/>
          <w:szCs w:val="22"/>
          <w:highlight w:val="none"/>
        </w:rPr>
        <w:t>中标供应商：本次招标的中标供应商</w:t>
      </w:r>
    </w:p>
    <w:p w14:paraId="533F93EB">
      <w:pPr>
        <w:pStyle w:val="24"/>
        <w:spacing w:line="460" w:lineRule="atLeast"/>
        <w:ind w:firstLine="570"/>
        <w:rPr>
          <w:rFonts w:hAnsi="宋体" w:cs="宋体"/>
          <w:b/>
          <w:color w:val="auto"/>
          <w:sz w:val="22"/>
          <w:szCs w:val="22"/>
          <w:highlight w:val="none"/>
        </w:rPr>
      </w:pPr>
      <w:r>
        <w:rPr>
          <w:rFonts w:hint="eastAsia" w:hAnsi="宋体" w:cs="宋体"/>
          <w:color w:val="auto"/>
          <w:sz w:val="22"/>
          <w:szCs w:val="22"/>
          <w:highlight w:val="none"/>
        </w:rPr>
        <w:t>双方经协商，就中标供应商向采购人提供本公司产品以及相关产品的伴随服务事宜达成以下条款：</w:t>
      </w:r>
    </w:p>
    <w:p w14:paraId="24E7ADE4">
      <w:pPr>
        <w:pStyle w:val="24"/>
        <w:spacing w:line="460" w:lineRule="atLeast"/>
        <w:rPr>
          <w:rFonts w:hAnsi="宋体" w:cs="宋体"/>
          <w:b/>
          <w:bCs/>
          <w:color w:val="auto"/>
          <w:sz w:val="22"/>
          <w:szCs w:val="22"/>
          <w:highlight w:val="none"/>
        </w:rPr>
      </w:pPr>
      <w:r>
        <w:rPr>
          <w:rFonts w:hint="eastAsia" w:hAnsi="宋体" w:cs="宋体"/>
          <w:color w:val="auto"/>
          <w:sz w:val="22"/>
          <w:szCs w:val="22"/>
          <w:highlight w:val="none"/>
        </w:rPr>
        <w:t>第一条：采购商品清单及合同价格</w:t>
      </w:r>
    </w:p>
    <w:p w14:paraId="29AC23B4">
      <w:pPr>
        <w:spacing w:line="460" w:lineRule="atLeast"/>
        <w:ind w:firstLine="540"/>
        <w:rPr>
          <w:rFonts w:ascii="宋体" w:hAnsi="宋体" w:cs="宋体"/>
          <w:b/>
          <w:color w:val="auto"/>
          <w:sz w:val="22"/>
          <w:szCs w:val="22"/>
          <w:highlight w:val="none"/>
        </w:rPr>
      </w:pPr>
      <w:r>
        <w:rPr>
          <w:rFonts w:hint="eastAsia" w:ascii="宋体" w:hAnsi="宋体" w:cs="宋体"/>
          <w:color w:val="auto"/>
          <w:sz w:val="22"/>
          <w:szCs w:val="22"/>
          <w:highlight w:val="none"/>
        </w:rPr>
        <w:t>中标供应商保证提供如下内容的合格产品：        金额单位：人民币/元</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14:paraId="0EEB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vAlign w:val="center"/>
          </w:tcPr>
          <w:p w14:paraId="11FE45C7">
            <w:pPr>
              <w:spacing w:line="460" w:lineRule="atLeast"/>
              <w:ind w:firstLine="240"/>
              <w:jc w:val="center"/>
              <w:rPr>
                <w:rFonts w:ascii="宋体" w:hAnsi="宋体" w:cs="宋体"/>
                <w:b/>
                <w:color w:val="auto"/>
                <w:sz w:val="22"/>
                <w:szCs w:val="22"/>
                <w:highlight w:val="none"/>
              </w:rPr>
            </w:pPr>
            <w:r>
              <w:rPr>
                <w:rFonts w:hint="eastAsia" w:ascii="宋体" w:hAnsi="宋体" w:cs="宋体"/>
                <w:color w:val="auto"/>
                <w:sz w:val="22"/>
                <w:szCs w:val="22"/>
                <w:highlight w:val="none"/>
              </w:rPr>
              <w:t>采购产品名称</w:t>
            </w:r>
          </w:p>
        </w:tc>
        <w:tc>
          <w:tcPr>
            <w:tcW w:w="2713" w:type="dxa"/>
            <w:vAlign w:val="center"/>
          </w:tcPr>
          <w:p w14:paraId="6DF9547B">
            <w:pPr>
              <w:spacing w:line="460" w:lineRule="atLeast"/>
              <w:jc w:val="center"/>
              <w:rPr>
                <w:rFonts w:ascii="宋体" w:hAnsi="宋体" w:cs="宋体"/>
                <w:b/>
                <w:color w:val="auto"/>
                <w:sz w:val="22"/>
                <w:szCs w:val="22"/>
                <w:highlight w:val="none"/>
              </w:rPr>
            </w:pPr>
            <w:r>
              <w:rPr>
                <w:rFonts w:hint="eastAsia" w:ascii="宋体" w:hAnsi="宋体" w:cs="宋体"/>
                <w:color w:val="auto"/>
                <w:sz w:val="22"/>
                <w:szCs w:val="22"/>
                <w:highlight w:val="none"/>
              </w:rPr>
              <w:t>型号规格和主要配置</w:t>
            </w:r>
          </w:p>
        </w:tc>
        <w:tc>
          <w:tcPr>
            <w:tcW w:w="816" w:type="dxa"/>
            <w:vAlign w:val="center"/>
          </w:tcPr>
          <w:p w14:paraId="7E60048C">
            <w:pPr>
              <w:spacing w:line="460" w:lineRule="atLeast"/>
              <w:jc w:val="center"/>
              <w:rPr>
                <w:rFonts w:ascii="宋体" w:hAnsi="宋体" w:cs="宋体"/>
                <w:b/>
                <w:color w:val="auto"/>
                <w:sz w:val="22"/>
                <w:szCs w:val="22"/>
                <w:highlight w:val="none"/>
              </w:rPr>
            </w:pPr>
            <w:r>
              <w:rPr>
                <w:rFonts w:hint="eastAsia" w:ascii="宋体" w:hAnsi="宋体" w:cs="宋体"/>
                <w:color w:val="auto"/>
                <w:sz w:val="22"/>
                <w:szCs w:val="22"/>
                <w:highlight w:val="none"/>
              </w:rPr>
              <w:t>数量</w:t>
            </w:r>
          </w:p>
        </w:tc>
        <w:tc>
          <w:tcPr>
            <w:tcW w:w="1259" w:type="dxa"/>
            <w:vAlign w:val="center"/>
          </w:tcPr>
          <w:p w14:paraId="51DB929D">
            <w:pPr>
              <w:spacing w:line="460" w:lineRule="atLeast"/>
              <w:jc w:val="center"/>
              <w:rPr>
                <w:rFonts w:ascii="宋体" w:hAnsi="宋体" w:cs="宋体"/>
                <w:b/>
                <w:color w:val="auto"/>
                <w:sz w:val="22"/>
                <w:szCs w:val="22"/>
                <w:highlight w:val="none"/>
              </w:rPr>
            </w:pPr>
            <w:r>
              <w:rPr>
                <w:rFonts w:hint="eastAsia" w:ascii="宋体" w:hAnsi="宋体" w:cs="宋体"/>
                <w:color w:val="auto"/>
                <w:sz w:val="22"/>
                <w:szCs w:val="22"/>
                <w:highlight w:val="none"/>
              </w:rPr>
              <w:t>中标价</w:t>
            </w:r>
          </w:p>
        </w:tc>
        <w:tc>
          <w:tcPr>
            <w:tcW w:w="1079" w:type="dxa"/>
            <w:vAlign w:val="center"/>
          </w:tcPr>
          <w:p w14:paraId="18B3B588">
            <w:pPr>
              <w:spacing w:line="460" w:lineRule="atLeast"/>
              <w:jc w:val="center"/>
              <w:rPr>
                <w:rFonts w:ascii="宋体" w:hAnsi="宋体" w:cs="宋体"/>
                <w:b/>
                <w:color w:val="auto"/>
                <w:sz w:val="22"/>
                <w:szCs w:val="22"/>
                <w:highlight w:val="none"/>
              </w:rPr>
            </w:pPr>
            <w:r>
              <w:rPr>
                <w:rFonts w:hint="eastAsia" w:ascii="宋体" w:hAnsi="宋体" w:cs="宋体"/>
                <w:color w:val="auto"/>
                <w:sz w:val="22"/>
                <w:szCs w:val="22"/>
                <w:highlight w:val="none"/>
              </w:rPr>
              <w:t>完工期</w:t>
            </w:r>
          </w:p>
        </w:tc>
        <w:tc>
          <w:tcPr>
            <w:tcW w:w="1079" w:type="dxa"/>
            <w:vAlign w:val="center"/>
          </w:tcPr>
          <w:p w14:paraId="4471B764">
            <w:pPr>
              <w:spacing w:line="460" w:lineRule="atLeast"/>
              <w:jc w:val="center"/>
              <w:rPr>
                <w:rFonts w:ascii="宋体" w:hAnsi="宋体" w:cs="宋体"/>
                <w:b/>
                <w:color w:val="auto"/>
                <w:sz w:val="22"/>
                <w:szCs w:val="22"/>
                <w:highlight w:val="none"/>
              </w:rPr>
            </w:pPr>
            <w:r>
              <w:rPr>
                <w:rFonts w:hint="eastAsia" w:ascii="宋体" w:hAnsi="宋体" w:cs="宋体"/>
                <w:color w:val="auto"/>
                <w:sz w:val="22"/>
                <w:szCs w:val="22"/>
                <w:highlight w:val="none"/>
              </w:rPr>
              <w:t>备注</w:t>
            </w:r>
          </w:p>
        </w:tc>
      </w:tr>
      <w:tr w14:paraId="2307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267" w:type="dxa"/>
            <w:vAlign w:val="center"/>
          </w:tcPr>
          <w:p w14:paraId="7C95E955">
            <w:pPr>
              <w:spacing w:line="460" w:lineRule="atLeast"/>
              <w:jc w:val="center"/>
              <w:rPr>
                <w:rFonts w:ascii="宋体" w:hAnsi="宋体" w:cs="宋体"/>
                <w:b/>
                <w:color w:val="auto"/>
                <w:sz w:val="22"/>
                <w:szCs w:val="22"/>
                <w:highlight w:val="none"/>
              </w:rPr>
            </w:pPr>
          </w:p>
        </w:tc>
        <w:tc>
          <w:tcPr>
            <w:tcW w:w="2713" w:type="dxa"/>
            <w:vAlign w:val="center"/>
          </w:tcPr>
          <w:p w14:paraId="07790DF1">
            <w:pPr>
              <w:spacing w:line="460" w:lineRule="atLeast"/>
              <w:jc w:val="center"/>
              <w:rPr>
                <w:rFonts w:ascii="宋体" w:hAnsi="宋体" w:cs="宋体"/>
                <w:b/>
                <w:color w:val="auto"/>
                <w:sz w:val="22"/>
                <w:szCs w:val="22"/>
                <w:highlight w:val="none"/>
              </w:rPr>
            </w:pPr>
          </w:p>
        </w:tc>
        <w:tc>
          <w:tcPr>
            <w:tcW w:w="816" w:type="dxa"/>
            <w:vAlign w:val="center"/>
          </w:tcPr>
          <w:p w14:paraId="4314FAC0">
            <w:pPr>
              <w:spacing w:line="460" w:lineRule="atLeast"/>
              <w:jc w:val="center"/>
              <w:rPr>
                <w:rFonts w:ascii="宋体" w:hAnsi="宋体" w:cs="宋体"/>
                <w:b/>
                <w:color w:val="auto"/>
                <w:sz w:val="22"/>
                <w:szCs w:val="22"/>
                <w:highlight w:val="none"/>
              </w:rPr>
            </w:pPr>
          </w:p>
        </w:tc>
        <w:tc>
          <w:tcPr>
            <w:tcW w:w="1259" w:type="dxa"/>
            <w:vAlign w:val="center"/>
          </w:tcPr>
          <w:p w14:paraId="75886DB6">
            <w:pPr>
              <w:spacing w:line="460" w:lineRule="atLeast"/>
              <w:jc w:val="center"/>
              <w:rPr>
                <w:rFonts w:ascii="宋体" w:hAnsi="宋体" w:cs="宋体"/>
                <w:b/>
                <w:color w:val="auto"/>
                <w:sz w:val="22"/>
                <w:szCs w:val="22"/>
                <w:highlight w:val="none"/>
              </w:rPr>
            </w:pPr>
          </w:p>
        </w:tc>
        <w:tc>
          <w:tcPr>
            <w:tcW w:w="1079" w:type="dxa"/>
            <w:vAlign w:val="center"/>
          </w:tcPr>
          <w:p w14:paraId="1BB70BC5">
            <w:pPr>
              <w:spacing w:line="460" w:lineRule="atLeast"/>
              <w:jc w:val="center"/>
              <w:rPr>
                <w:rFonts w:ascii="宋体" w:hAnsi="宋体" w:cs="宋体"/>
                <w:b/>
                <w:color w:val="auto"/>
                <w:sz w:val="22"/>
                <w:szCs w:val="22"/>
                <w:highlight w:val="none"/>
              </w:rPr>
            </w:pPr>
          </w:p>
        </w:tc>
        <w:tc>
          <w:tcPr>
            <w:tcW w:w="1079" w:type="dxa"/>
            <w:vAlign w:val="center"/>
          </w:tcPr>
          <w:p w14:paraId="3363E842">
            <w:pPr>
              <w:spacing w:line="460" w:lineRule="atLeast"/>
              <w:jc w:val="center"/>
              <w:rPr>
                <w:rFonts w:ascii="宋体" w:hAnsi="宋体" w:cs="宋体"/>
                <w:b/>
                <w:color w:val="auto"/>
                <w:sz w:val="22"/>
                <w:szCs w:val="22"/>
                <w:highlight w:val="none"/>
              </w:rPr>
            </w:pPr>
          </w:p>
        </w:tc>
      </w:tr>
      <w:tr w14:paraId="5A55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14:paraId="07A21DD1">
            <w:pPr>
              <w:spacing w:line="460" w:lineRule="atLeast"/>
              <w:jc w:val="center"/>
              <w:rPr>
                <w:rFonts w:ascii="宋体" w:hAnsi="宋体" w:cs="宋体"/>
                <w:b/>
                <w:color w:val="auto"/>
                <w:sz w:val="22"/>
                <w:szCs w:val="22"/>
                <w:highlight w:val="none"/>
              </w:rPr>
            </w:pPr>
          </w:p>
        </w:tc>
        <w:tc>
          <w:tcPr>
            <w:tcW w:w="2713" w:type="dxa"/>
            <w:vAlign w:val="center"/>
          </w:tcPr>
          <w:p w14:paraId="4D8EBBF1">
            <w:pPr>
              <w:spacing w:line="460" w:lineRule="atLeast"/>
              <w:jc w:val="center"/>
              <w:rPr>
                <w:rFonts w:ascii="宋体" w:hAnsi="宋体" w:cs="宋体"/>
                <w:b/>
                <w:color w:val="auto"/>
                <w:sz w:val="22"/>
                <w:szCs w:val="22"/>
                <w:highlight w:val="none"/>
              </w:rPr>
            </w:pPr>
          </w:p>
        </w:tc>
        <w:tc>
          <w:tcPr>
            <w:tcW w:w="816" w:type="dxa"/>
            <w:vAlign w:val="center"/>
          </w:tcPr>
          <w:p w14:paraId="00FBE95D">
            <w:pPr>
              <w:spacing w:line="460" w:lineRule="atLeast"/>
              <w:jc w:val="center"/>
              <w:rPr>
                <w:rFonts w:ascii="宋体" w:hAnsi="宋体" w:cs="宋体"/>
                <w:b/>
                <w:color w:val="auto"/>
                <w:sz w:val="22"/>
                <w:szCs w:val="22"/>
                <w:highlight w:val="none"/>
              </w:rPr>
            </w:pPr>
          </w:p>
        </w:tc>
        <w:tc>
          <w:tcPr>
            <w:tcW w:w="1259" w:type="dxa"/>
            <w:vAlign w:val="center"/>
          </w:tcPr>
          <w:p w14:paraId="66340CBF">
            <w:pPr>
              <w:spacing w:line="460" w:lineRule="atLeast"/>
              <w:jc w:val="center"/>
              <w:rPr>
                <w:rFonts w:ascii="宋体" w:hAnsi="宋体" w:cs="宋体"/>
                <w:b/>
                <w:color w:val="auto"/>
                <w:sz w:val="22"/>
                <w:szCs w:val="22"/>
                <w:highlight w:val="none"/>
              </w:rPr>
            </w:pPr>
          </w:p>
        </w:tc>
        <w:tc>
          <w:tcPr>
            <w:tcW w:w="1079" w:type="dxa"/>
            <w:vAlign w:val="center"/>
          </w:tcPr>
          <w:p w14:paraId="3848B689">
            <w:pPr>
              <w:spacing w:line="460" w:lineRule="atLeast"/>
              <w:jc w:val="center"/>
              <w:rPr>
                <w:rFonts w:ascii="宋体" w:hAnsi="宋体" w:cs="宋体"/>
                <w:b/>
                <w:color w:val="auto"/>
                <w:sz w:val="22"/>
                <w:szCs w:val="22"/>
                <w:highlight w:val="none"/>
              </w:rPr>
            </w:pPr>
          </w:p>
        </w:tc>
        <w:tc>
          <w:tcPr>
            <w:tcW w:w="1079" w:type="dxa"/>
            <w:vAlign w:val="center"/>
          </w:tcPr>
          <w:p w14:paraId="78D5BF2D">
            <w:pPr>
              <w:spacing w:line="460" w:lineRule="atLeast"/>
              <w:jc w:val="center"/>
              <w:rPr>
                <w:rFonts w:ascii="宋体" w:hAnsi="宋体" w:cs="宋体"/>
                <w:b/>
                <w:color w:val="auto"/>
                <w:sz w:val="22"/>
                <w:szCs w:val="22"/>
                <w:highlight w:val="none"/>
              </w:rPr>
            </w:pPr>
          </w:p>
        </w:tc>
      </w:tr>
      <w:tr w14:paraId="3C82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14:paraId="13A729A0">
            <w:pPr>
              <w:spacing w:line="460" w:lineRule="atLeast"/>
              <w:jc w:val="center"/>
              <w:rPr>
                <w:rFonts w:ascii="宋体" w:hAnsi="宋体" w:cs="宋体"/>
                <w:b/>
                <w:color w:val="auto"/>
                <w:sz w:val="22"/>
                <w:szCs w:val="22"/>
                <w:highlight w:val="none"/>
              </w:rPr>
            </w:pPr>
          </w:p>
        </w:tc>
        <w:tc>
          <w:tcPr>
            <w:tcW w:w="2713" w:type="dxa"/>
            <w:vAlign w:val="center"/>
          </w:tcPr>
          <w:p w14:paraId="63F127F7">
            <w:pPr>
              <w:spacing w:line="460" w:lineRule="atLeast"/>
              <w:jc w:val="center"/>
              <w:rPr>
                <w:rFonts w:ascii="宋体" w:hAnsi="宋体" w:cs="宋体"/>
                <w:b/>
                <w:color w:val="auto"/>
                <w:sz w:val="22"/>
                <w:szCs w:val="22"/>
                <w:highlight w:val="none"/>
              </w:rPr>
            </w:pPr>
          </w:p>
        </w:tc>
        <w:tc>
          <w:tcPr>
            <w:tcW w:w="816" w:type="dxa"/>
            <w:vAlign w:val="center"/>
          </w:tcPr>
          <w:p w14:paraId="00239807">
            <w:pPr>
              <w:spacing w:line="460" w:lineRule="atLeast"/>
              <w:jc w:val="center"/>
              <w:rPr>
                <w:rFonts w:ascii="宋体" w:hAnsi="宋体" w:cs="宋体"/>
                <w:b/>
                <w:color w:val="auto"/>
                <w:sz w:val="22"/>
                <w:szCs w:val="22"/>
                <w:highlight w:val="none"/>
              </w:rPr>
            </w:pPr>
          </w:p>
        </w:tc>
        <w:tc>
          <w:tcPr>
            <w:tcW w:w="1259" w:type="dxa"/>
            <w:vAlign w:val="center"/>
          </w:tcPr>
          <w:p w14:paraId="542B0F48">
            <w:pPr>
              <w:spacing w:line="460" w:lineRule="atLeast"/>
              <w:jc w:val="center"/>
              <w:rPr>
                <w:rFonts w:ascii="宋体" w:hAnsi="宋体" w:cs="宋体"/>
                <w:b/>
                <w:color w:val="auto"/>
                <w:sz w:val="22"/>
                <w:szCs w:val="22"/>
                <w:highlight w:val="none"/>
              </w:rPr>
            </w:pPr>
          </w:p>
        </w:tc>
        <w:tc>
          <w:tcPr>
            <w:tcW w:w="1079" w:type="dxa"/>
            <w:vAlign w:val="center"/>
          </w:tcPr>
          <w:p w14:paraId="0E5EC6C8">
            <w:pPr>
              <w:spacing w:line="460" w:lineRule="atLeast"/>
              <w:jc w:val="center"/>
              <w:rPr>
                <w:rFonts w:ascii="宋体" w:hAnsi="宋体" w:cs="宋体"/>
                <w:b/>
                <w:color w:val="auto"/>
                <w:sz w:val="22"/>
                <w:szCs w:val="22"/>
                <w:highlight w:val="none"/>
              </w:rPr>
            </w:pPr>
          </w:p>
        </w:tc>
        <w:tc>
          <w:tcPr>
            <w:tcW w:w="1079" w:type="dxa"/>
            <w:vAlign w:val="center"/>
          </w:tcPr>
          <w:p w14:paraId="514ECA9D">
            <w:pPr>
              <w:spacing w:line="460" w:lineRule="atLeast"/>
              <w:jc w:val="center"/>
              <w:rPr>
                <w:rFonts w:ascii="宋体" w:hAnsi="宋体" w:cs="宋体"/>
                <w:b/>
                <w:color w:val="auto"/>
                <w:sz w:val="22"/>
                <w:szCs w:val="22"/>
                <w:highlight w:val="none"/>
              </w:rPr>
            </w:pPr>
          </w:p>
        </w:tc>
      </w:tr>
    </w:tbl>
    <w:p w14:paraId="585696B8">
      <w:pPr>
        <w:pStyle w:val="24"/>
        <w:spacing w:line="460" w:lineRule="atLeast"/>
        <w:rPr>
          <w:rFonts w:hAnsi="宋体" w:cs="宋体"/>
          <w:b/>
          <w:bCs/>
          <w:color w:val="auto"/>
          <w:sz w:val="22"/>
          <w:szCs w:val="22"/>
          <w:highlight w:val="none"/>
        </w:rPr>
      </w:pPr>
      <w:r>
        <w:rPr>
          <w:rFonts w:hint="eastAsia" w:hAnsi="宋体" w:cs="宋体"/>
          <w:color w:val="auto"/>
          <w:sz w:val="22"/>
          <w:szCs w:val="22"/>
          <w:highlight w:val="none"/>
        </w:rPr>
        <w:t>第二条：质量标准和要求</w:t>
      </w:r>
    </w:p>
    <w:p w14:paraId="5DAD124D">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185D7A7C">
      <w:pPr>
        <w:pStyle w:val="24"/>
        <w:spacing w:line="460" w:lineRule="atLeast"/>
        <w:ind w:firstLine="480"/>
        <w:rPr>
          <w:rFonts w:hAnsi="宋体" w:cs="宋体"/>
          <w:b/>
          <w:color w:val="auto"/>
          <w:sz w:val="22"/>
          <w:szCs w:val="22"/>
          <w:highlight w:val="none"/>
        </w:rPr>
      </w:pPr>
      <w:r>
        <w:rPr>
          <w:rFonts w:hint="eastAsia" w:hAnsi="宋体" w:cs="宋体"/>
          <w:color w:val="auto"/>
          <w:sz w:val="22"/>
          <w:szCs w:val="22"/>
          <w:highlight w:val="none"/>
        </w:rPr>
        <w:t>2、 中标供应商所出售的货物还应符合国家和浙江省有关安全、环保、卫生之规定。</w:t>
      </w:r>
    </w:p>
    <w:p w14:paraId="7F44101D">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第三条：权利瑕疵担保</w:t>
      </w:r>
    </w:p>
    <w:p w14:paraId="3054BFE1">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1、中标供应商保证对其出售的货物享有合法的权利。</w:t>
      </w:r>
    </w:p>
    <w:p w14:paraId="0BD1E7E0">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2、中标供应商保证在其出售的货物上不存在任何未曾向采购人透露的担保物权，如抵押权、质押权、留置权等。</w:t>
      </w:r>
    </w:p>
    <w:p w14:paraId="2EE08F5F">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3、中标供应商保证其所出售的货物没有侵犯任何第三人的知识产权和商业秘密等权利。</w:t>
      </w:r>
    </w:p>
    <w:p w14:paraId="5AD7446E">
      <w:pPr>
        <w:pStyle w:val="24"/>
        <w:spacing w:line="460" w:lineRule="atLeast"/>
        <w:ind w:firstLine="360"/>
        <w:rPr>
          <w:rFonts w:hAnsi="宋体" w:cs="宋体"/>
          <w:b/>
          <w:color w:val="auto"/>
          <w:sz w:val="22"/>
          <w:szCs w:val="22"/>
          <w:highlight w:val="none"/>
        </w:rPr>
      </w:pPr>
      <w:r>
        <w:rPr>
          <w:rFonts w:hint="eastAsia" w:hAnsi="宋体" w:cs="宋体"/>
          <w:color w:val="auto"/>
          <w:sz w:val="22"/>
          <w:szCs w:val="22"/>
          <w:highlight w:val="none"/>
        </w:rPr>
        <w:t>4、如采购人使用该货物构成上述侵权的，则由中标供应商承担全部责任。</w:t>
      </w:r>
    </w:p>
    <w:p w14:paraId="2C4861D8">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第四条：包装要求</w:t>
      </w:r>
    </w:p>
    <w:p w14:paraId="6D643138">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1、中标供应商所出售的全部货物均应按标准保护措施进行包装，这类包装应适应于远距离运输、防潮、防震、防锈和防野蛮装卸等要求，以确保货物安全无损地运抵指定现场。</w:t>
      </w:r>
    </w:p>
    <w:p w14:paraId="731BA6A2">
      <w:pPr>
        <w:pStyle w:val="24"/>
        <w:spacing w:line="460" w:lineRule="atLeast"/>
        <w:ind w:firstLine="360"/>
        <w:rPr>
          <w:rFonts w:hAnsi="宋体" w:cs="宋体"/>
          <w:b/>
          <w:color w:val="auto"/>
          <w:sz w:val="22"/>
          <w:szCs w:val="22"/>
          <w:highlight w:val="none"/>
        </w:rPr>
      </w:pPr>
      <w:r>
        <w:rPr>
          <w:rFonts w:hint="eastAsia" w:hAnsi="宋体" w:cs="宋体"/>
          <w:color w:val="auto"/>
          <w:sz w:val="22"/>
          <w:szCs w:val="22"/>
          <w:highlight w:val="none"/>
        </w:rPr>
        <w:t xml:space="preserve"> 2、每一个包装箱内应附一份详细装箱单、质量证书和保修保养证书。</w:t>
      </w:r>
    </w:p>
    <w:p w14:paraId="54BC4518">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第五条：供货期限</w:t>
      </w:r>
    </w:p>
    <w:p w14:paraId="5B23B5D2">
      <w:pPr>
        <w:spacing w:line="460" w:lineRule="atLeas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中标供应商负责202</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日前完成交货，202</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日前调试验收合格。</w:t>
      </w:r>
    </w:p>
    <w:p w14:paraId="20F61C62">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第六条：供货方式</w:t>
      </w:r>
    </w:p>
    <w:p w14:paraId="0CC15FF3">
      <w:pPr>
        <w:spacing w:line="460" w:lineRule="atLeast"/>
        <w:ind w:firstLine="555"/>
        <w:rPr>
          <w:rFonts w:ascii="宋体" w:hAnsi="宋体" w:cs="宋体"/>
          <w:b/>
          <w:color w:val="auto"/>
          <w:sz w:val="22"/>
          <w:szCs w:val="22"/>
          <w:highlight w:val="none"/>
        </w:rPr>
      </w:pPr>
      <w:r>
        <w:rPr>
          <w:rFonts w:hint="eastAsia" w:ascii="宋体" w:hAnsi="宋体" w:cs="宋体"/>
          <w:color w:val="auto"/>
          <w:sz w:val="22"/>
          <w:szCs w:val="22"/>
          <w:highlight w:val="none"/>
        </w:rPr>
        <w:t>在供货期限内，中标供应商在与采购人签署合同后，保证在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个日历天内派人送货至采购人指定地点。</w:t>
      </w:r>
    </w:p>
    <w:p w14:paraId="7766DD14">
      <w:pPr>
        <w:pStyle w:val="24"/>
        <w:spacing w:line="460" w:lineRule="atLeast"/>
        <w:rPr>
          <w:rFonts w:hAnsi="宋体" w:cs="宋体"/>
          <w:b/>
          <w:bCs/>
          <w:color w:val="auto"/>
          <w:sz w:val="22"/>
          <w:szCs w:val="22"/>
          <w:highlight w:val="none"/>
        </w:rPr>
      </w:pPr>
      <w:r>
        <w:rPr>
          <w:rFonts w:hint="eastAsia" w:hAnsi="宋体" w:cs="宋体"/>
          <w:color w:val="auto"/>
          <w:sz w:val="22"/>
          <w:szCs w:val="22"/>
          <w:highlight w:val="none"/>
        </w:rPr>
        <w:t>第七条：验收</w:t>
      </w:r>
    </w:p>
    <w:p w14:paraId="5A850C36">
      <w:pPr>
        <w:spacing w:line="460" w:lineRule="atLeast"/>
        <w:ind w:firstLine="480"/>
        <w:rPr>
          <w:rFonts w:ascii="宋体" w:hAnsi="宋体" w:cs="宋体"/>
          <w:color w:val="auto"/>
          <w:sz w:val="22"/>
          <w:szCs w:val="22"/>
          <w:highlight w:val="none"/>
        </w:rPr>
      </w:pPr>
      <w:r>
        <w:rPr>
          <w:rFonts w:hint="eastAsia" w:ascii="宋体" w:hAnsi="宋体" w:cs="宋体"/>
          <w:color w:val="auto"/>
          <w:sz w:val="22"/>
          <w:szCs w:val="22"/>
          <w:highlight w:val="none"/>
        </w:rPr>
        <w:t>1、本项目验收程序参照温州市财政局关于印发《温州市政府采购履约验收办法》（温财采〔2020〕6号）文件执行。</w:t>
      </w:r>
    </w:p>
    <w:p w14:paraId="4CBF364B">
      <w:pPr>
        <w:spacing w:line="460" w:lineRule="atLeast"/>
        <w:ind w:firstLine="480"/>
        <w:rPr>
          <w:rFonts w:ascii="宋体" w:hAnsi="宋体" w:cs="宋体"/>
          <w:b/>
          <w:color w:val="auto"/>
          <w:sz w:val="22"/>
          <w:szCs w:val="22"/>
          <w:highlight w:val="none"/>
        </w:rPr>
      </w:pPr>
      <w:r>
        <w:rPr>
          <w:rFonts w:hint="eastAsia" w:ascii="宋体" w:hAnsi="宋体" w:cs="宋体"/>
          <w:color w:val="auto"/>
          <w:sz w:val="22"/>
          <w:szCs w:val="22"/>
          <w:highlight w:val="none"/>
        </w:rPr>
        <w:t>2、中标供应商送货至指定地点后，由采购人根据货物的技术规格要求和质量标准，对货物进行检查验收。</w:t>
      </w:r>
    </w:p>
    <w:p w14:paraId="1D3ECFD9">
      <w:pPr>
        <w:spacing w:line="460" w:lineRule="atLeast"/>
        <w:ind w:firstLine="480"/>
        <w:rPr>
          <w:rFonts w:ascii="宋体" w:hAnsi="宋体" w:cs="宋体"/>
          <w:b/>
          <w:color w:val="auto"/>
          <w:sz w:val="22"/>
          <w:szCs w:val="22"/>
          <w:highlight w:val="none"/>
        </w:rPr>
      </w:pPr>
      <w:r>
        <w:rPr>
          <w:rFonts w:hint="eastAsia" w:ascii="宋体" w:hAnsi="宋体" w:cs="宋体"/>
          <w:color w:val="auto"/>
          <w:sz w:val="22"/>
          <w:szCs w:val="22"/>
          <w:highlight w:val="none"/>
        </w:rPr>
        <w:t>3、货物的数量不足或表面瑕疵，采购人应在验收时当面提出；对质量问题有异议的应在安装调试后10个工作日内提出。</w:t>
      </w:r>
    </w:p>
    <w:p w14:paraId="3CF7E098">
      <w:pPr>
        <w:spacing w:line="460" w:lineRule="atLeast"/>
        <w:ind w:firstLine="480"/>
        <w:rPr>
          <w:rFonts w:ascii="宋体" w:hAnsi="宋体" w:cs="宋体"/>
          <w:b/>
          <w:color w:val="auto"/>
          <w:sz w:val="22"/>
          <w:szCs w:val="22"/>
          <w:highlight w:val="none"/>
        </w:rPr>
      </w:pPr>
      <w:r>
        <w:rPr>
          <w:rFonts w:hint="eastAsia" w:ascii="宋体" w:hAnsi="宋体" w:cs="宋体"/>
          <w:color w:val="auto"/>
          <w:sz w:val="22"/>
          <w:szCs w:val="22"/>
          <w:highlight w:val="none"/>
        </w:rPr>
        <w:t>4、在验收过程中发现数量不足或有质量、技术等问题，中标供应商应负责按照采购人的要求采取补足、更换或退货等处理措施，并承担由此发生的一切费用和损失。</w:t>
      </w:r>
    </w:p>
    <w:p w14:paraId="30D40218">
      <w:pPr>
        <w:spacing w:line="460" w:lineRule="atLeast"/>
        <w:ind w:firstLine="480"/>
        <w:rPr>
          <w:rFonts w:ascii="宋体" w:hAnsi="宋体" w:cs="宋体"/>
          <w:color w:val="auto"/>
          <w:sz w:val="22"/>
          <w:szCs w:val="22"/>
          <w:highlight w:val="none"/>
        </w:rPr>
      </w:pPr>
      <w:r>
        <w:rPr>
          <w:rFonts w:hint="eastAsia" w:ascii="宋体" w:hAnsi="宋体" w:cs="宋体"/>
          <w:color w:val="auto"/>
          <w:sz w:val="22"/>
          <w:szCs w:val="22"/>
          <w:highlight w:val="none"/>
        </w:rPr>
        <w:t>5、采购人在中标供应商按合同规定交货和安装、调试后，无正当理由而拖延接收、验收或拒绝接收、验收的，应承担由此而造成的中标供应商直接损失。</w:t>
      </w:r>
    </w:p>
    <w:p w14:paraId="7F0B8F86">
      <w:pPr>
        <w:pStyle w:val="8"/>
        <w:spacing w:line="360" w:lineRule="auto"/>
        <w:ind w:firstLine="440"/>
        <w:rPr>
          <w:rFonts w:ascii="宋体" w:eastAsia="宋体"/>
          <w:b w:val="0"/>
          <w:bCs w:val="0"/>
          <w:color w:val="auto"/>
          <w:kern w:val="2"/>
          <w:sz w:val="22"/>
          <w:szCs w:val="22"/>
          <w:highlight w:val="none"/>
        </w:rPr>
      </w:pPr>
      <w:r>
        <w:rPr>
          <w:rFonts w:hint="eastAsia" w:ascii="宋体" w:eastAsia="宋体"/>
          <w:b w:val="0"/>
          <w:bCs w:val="0"/>
          <w:color w:val="auto"/>
          <w:kern w:val="2"/>
          <w:sz w:val="22"/>
          <w:szCs w:val="22"/>
          <w:highlight w:val="none"/>
        </w:rPr>
        <w:t>6、本项目采购人将对到货设备进行严格验收，供应商投标文件偏离表中未注明偏离，但实际到货设备达不到招标文件技术要求的，做验收不通过处理，采购人有权单方面解除合同，由此造成的所有损失由中标供应商承担。</w:t>
      </w:r>
    </w:p>
    <w:p w14:paraId="27A066A3">
      <w:pPr>
        <w:pStyle w:val="24"/>
        <w:spacing w:line="460" w:lineRule="atLeast"/>
        <w:rPr>
          <w:rFonts w:hAnsi="宋体" w:cs="宋体"/>
          <w:b/>
          <w:bCs/>
          <w:color w:val="auto"/>
          <w:sz w:val="22"/>
          <w:szCs w:val="22"/>
          <w:highlight w:val="none"/>
        </w:rPr>
      </w:pPr>
      <w:r>
        <w:rPr>
          <w:rFonts w:hint="eastAsia" w:hAnsi="宋体" w:cs="宋体"/>
          <w:color w:val="auto"/>
          <w:sz w:val="22"/>
          <w:szCs w:val="22"/>
          <w:highlight w:val="none"/>
        </w:rPr>
        <w:t>第八条：售后服务</w:t>
      </w:r>
    </w:p>
    <w:p w14:paraId="45A803F0">
      <w:pPr>
        <w:pStyle w:val="24"/>
        <w:spacing w:line="460" w:lineRule="atLeast"/>
        <w:ind w:firstLine="480"/>
        <w:rPr>
          <w:rFonts w:hAnsi="宋体" w:cs="宋体"/>
          <w:b/>
          <w:color w:val="auto"/>
          <w:sz w:val="22"/>
          <w:szCs w:val="22"/>
          <w:highlight w:val="none"/>
        </w:rPr>
      </w:pPr>
      <w:r>
        <w:rPr>
          <w:rFonts w:hint="eastAsia" w:hAnsi="宋体" w:cs="宋体"/>
          <w:color w:val="auto"/>
          <w:sz w:val="22"/>
          <w:szCs w:val="22"/>
          <w:highlight w:val="none"/>
        </w:rPr>
        <w:t>中标供应商承诺售后服务按照投标承诺的服务计划实施，包括培训。</w:t>
      </w:r>
    </w:p>
    <w:p w14:paraId="51A93103">
      <w:pPr>
        <w:pStyle w:val="24"/>
        <w:spacing w:line="460" w:lineRule="atLeast"/>
        <w:rPr>
          <w:rFonts w:hAnsi="宋体" w:cs="宋体"/>
          <w:b/>
          <w:bCs/>
          <w:color w:val="auto"/>
          <w:sz w:val="22"/>
          <w:szCs w:val="22"/>
          <w:highlight w:val="none"/>
        </w:rPr>
      </w:pPr>
      <w:r>
        <w:rPr>
          <w:rFonts w:hint="eastAsia" w:hAnsi="宋体" w:cs="宋体"/>
          <w:color w:val="auto"/>
          <w:sz w:val="22"/>
          <w:szCs w:val="22"/>
          <w:highlight w:val="none"/>
        </w:rPr>
        <w:t>第九条：履约保证金</w:t>
      </w:r>
    </w:p>
    <w:p w14:paraId="58A2972F">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按招标文件要求</w:t>
      </w:r>
    </w:p>
    <w:p w14:paraId="094FB2C8">
      <w:pPr>
        <w:pStyle w:val="24"/>
        <w:spacing w:line="460" w:lineRule="atLeast"/>
        <w:rPr>
          <w:rFonts w:hAnsi="宋体" w:cs="宋体"/>
          <w:b/>
          <w:color w:val="auto"/>
          <w:sz w:val="22"/>
          <w:szCs w:val="22"/>
          <w:highlight w:val="none"/>
        </w:rPr>
      </w:pPr>
      <w:r>
        <w:rPr>
          <w:rFonts w:hint="eastAsia" w:hAnsi="宋体" w:cs="宋体"/>
          <w:color w:val="auto"/>
          <w:sz w:val="22"/>
          <w:szCs w:val="22"/>
          <w:highlight w:val="none"/>
        </w:rPr>
        <w:t>第十条：货款的支付</w:t>
      </w:r>
    </w:p>
    <w:p w14:paraId="72EA631F">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按招标文件要求</w:t>
      </w:r>
    </w:p>
    <w:p w14:paraId="5A0769A9">
      <w:pPr>
        <w:pStyle w:val="24"/>
        <w:spacing w:line="460" w:lineRule="atLeast"/>
        <w:rPr>
          <w:rFonts w:hAnsi="宋体" w:cs="宋体"/>
          <w:b/>
          <w:bCs/>
          <w:color w:val="auto"/>
          <w:sz w:val="22"/>
          <w:szCs w:val="22"/>
          <w:highlight w:val="none"/>
        </w:rPr>
      </w:pPr>
      <w:r>
        <w:rPr>
          <w:rFonts w:hint="eastAsia" w:hAnsi="宋体" w:cs="宋体"/>
          <w:color w:val="auto"/>
          <w:sz w:val="22"/>
          <w:szCs w:val="22"/>
          <w:highlight w:val="none"/>
        </w:rPr>
        <w:t>第十一条：辅助服务</w:t>
      </w:r>
    </w:p>
    <w:p w14:paraId="041743DC">
      <w:pPr>
        <w:spacing w:line="460" w:lineRule="atLeast"/>
        <w:ind w:firstLine="480"/>
        <w:rPr>
          <w:rFonts w:ascii="宋体" w:hAnsi="宋体" w:cs="宋体"/>
          <w:b/>
          <w:color w:val="auto"/>
          <w:sz w:val="22"/>
          <w:szCs w:val="22"/>
          <w:highlight w:val="none"/>
        </w:rPr>
      </w:pPr>
      <w:r>
        <w:rPr>
          <w:rFonts w:hint="eastAsia" w:ascii="宋体" w:hAnsi="宋体" w:cs="宋体"/>
          <w:color w:val="auto"/>
          <w:sz w:val="22"/>
          <w:szCs w:val="22"/>
          <w:highlight w:val="none"/>
        </w:rPr>
        <w:t>中标供应商应提交所提供货物的技术文件，包括相应的每一套设备的中文技术文件，例如：产品目录、图纸、操作手册、使用说明、维护手册和/或服务指南。这些文件应包装好随同货物一起发运。</w:t>
      </w:r>
    </w:p>
    <w:p w14:paraId="5771A97A">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中标供应商还应提供下列服务：</w:t>
      </w:r>
    </w:p>
    <w:p w14:paraId="5E9501A4">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（1）货物的现场指导安装、调试、启动监督及技术支持；</w:t>
      </w:r>
    </w:p>
    <w:p w14:paraId="23FE6CA5">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（2）在厂家和/或项目现场就货物的指导安装、启动、运营、维护对采购人操作人员进行培训。辅助服务的费用包含在合同价中，采购人不再另行支付。</w:t>
      </w:r>
    </w:p>
    <w:p w14:paraId="15475000">
      <w:pPr>
        <w:spacing w:line="460" w:lineRule="atLeast"/>
        <w:ind w:left="-360" w:firstLine="360"/>
        <w:rPr>
          <w:rFonts w:ascii="宋体" w:hAnsi="宋体" w:cs="宋体"/>
          <w:b/>
          <w:color w:val="auto"/>
          <w:sz w:val="22"/>
          <w:szCs w:val="22"/>
          <w:highlight w:val="none"/>
        </w:rPr>
      </w:pPr>
      <w:r>
        <w:rPr>
          <w:rFonts w:hint="eastAsia" w:ascii="宋体" w:hAnsi="宋体" w:cs="宋体"/>
          <w:color w:val="auto"/>
          <w:sz w:val="22"/>
          <w:szCs w:val="22"/>
          <w:highlight w:val="none"/>
        </w:rPr>
        <w:t>第十二条：质量保证</w:t>
      </w:r>
    </w:p>
    <w:p w14:paraId="59C3290A">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年的质量保证期内，中标供应商应对由于设计、工艺或材料的缺陷而产生的故障负责。</w:t>
      </w:r>
    </w:p>
    <w:p w14:paraId="007F85A1">
      <w:pPr>
        <w:spacing w:line="460" w:lineRule="atLeast"/>
        <w:ind w:firstLine="385" w:firstLineChars="175"/>
        <w:rPr>
          <w:rFonts w:ascii="宋体" w:hAnsi="宋体" w:cs="宋体"/>
          <w:b/>
          <w:color w:val="auto"/>
          <w:sz w:val="22"/>
          <w:szCs w:val="22"/>
          <w:highlight w:val="none"/>
        </w:rPr>
      </w:pPr>
      <w:r>
        <w:rPr>
          <w:rFonts w:hint="eastAsia" w:ascii="宋体" w:hAnsi="宋体" w:cs="宋体"/>
          <w:color w:val="auto"/>
          <w:sz w:val="22"/>
          <w:szCs w:val="22"/>
          <w:highlight w:val="none"/>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14:paraId="381D4F9C">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中标供应商在约定的时间内未能弥补缺陷，采购人可采取必要的补救措施，但其风险和费用将由中标供应商承担，采购人根据合同规定对中标供应商行使的其他权利不受影响。</w:t>
      </w:r>
    </w:p>
    <w:p w14:paraId="1861BE68">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第十三条：补救措施和索赔</w:t>
      </w:r>
    </w:p>
    <w:p w14:paraId="59616EED">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1、采购人有权根据权威质量检测部门出具的检验报告向中标供应商提出索赔。</w:t>
      </w:r>
    </w:p>
    <w:p w14:paraId="76ED5609">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2、在质量保证期内，如果中标供应商对缺陷产品负有责任而采购人提出索赔，中标供应商应按照采购人同意的下列一种或多种方式解决索赔事宜，并且采购人可以收取中标供应商合同总价20%的违约金：</w:t>
      </w:r>
    </w:p>
    <w:p w14:paraId="3C8EF062">
      <w:pPr>
        <w:spacing w:line="460" w:lineRule="atLeas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（1） 中标供应商退货并将货款退还给采购人，由此发生的一切费用和损失由中标供应商承担。</w:t>
      </w:r>
    </w:p>
    <w:p w14:paraId="1769BECF">
      <w:pPr>
        <w:spacing w:line="460" w:lineRule="atLeas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（2） 根据货物的质量状况以及采购人所遭受的损失，经过采购人及中标供应商商定降低货物的价格。</w:t>
      </w:r>
    </w:p>
    <w:p w14:paraId="3639D6F3">
      <w:pPr>
        <w:spacing w:line="460" w:lineRule="atLeas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14:paraId="2F849F0C">
      <w:pPr>
        <w:spacing w:line="460" w:lineRule="atLeas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的损失，采购人有权进一步要求中标供应商赔偿。</w:t>
      </w:r>
    </w:p>
    <w:p w14:paraId="4BE9289B">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第十四条：履约延误</w:t>
      </w:r>
    </w:p>
    <w:p w14:paraId="4BD714C3">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1、中标供应商应按照《合同》规定的时间、地点交货和提供服务。</w:t>
      </w:r>
    </w:p>
    <w:p w14:paraId="34947CBE">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14:paraId="1C5CE116">
      <w:pPr>
        <w:spacing w:line="460" w:lineRule="atLeast"/>
        <w:ind w:firstLine="440" w:firstLineChars="200"/>
        <w:rPr>
          <w:rFonts w:ascii="宋体" w:hAnsi="宋体" w:cs="宋体"/>
          <w:color w:val="auto"/>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如不能按时交货，每延长7天交货期，将按合同总价的0.5%作为罚金，从未付款款项中扣除</w:t>
      </w:r>
      <w:r>
        <w:rPr>
          <w:rFonts w:hint="eastAsia" w:ascii="宋体" w:hAnsi="宋体" w:cs="宋体"/>
          <w:color w:val="auto"/>
          <w:sz w:val="22"/>
          <w:szCs w:val="22"/>
          <w:highlight w:val="none"/>
        </w:rPr>
        <w:t>。</w:t>
      </w:r>
    </w:p>
    <w:p w14:paraId="339F6B55">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 xml:space="preserve"> 第十五条：不可抗力</w:t>
      </w:r>
    </w:p>
    <w:p w14:paraId="05149611">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1、如果合同各方因不可抗力而导致合同实施延误或不能履行合同义务的话，不应该承担误期赔偿或不能履行合同义务的责任。</w:t>
      </w:r>
    </w:p>
    <w:p w14:paraId="2ADEC0D4">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14:paraId="69A3FAC6">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2FD54EC9">
      <w:pPr>
        <w:pStyle w:val="24"/>
        <w:spacing w:line="460" w:lineRule="atLeast"/>
        <w:rPr>
          <w:rFonts w:hAnsi="宋体" w:cs="宋体"/>
          <w:b/>
          <w:bCs/>
          <w:color w:val="auto"/>
          <w:sz w:val="22"/>
          <w:szCs w:val="22"/>
          <w:highlight w:val="none"/>
        </w:rPr>
      </w:pPr>
      <w:r>
        <w:rPr>
          <w:rFonts w:hint="eastAsia" w:hAnsi="宋体" w:cs="宋体"/>
          <w:color w:val="auto"/>
          <w:sz w:val="22"/>
          <w:szCs w:val="22"/>
          <w:highlight w:val="none"/>
        </w:rPr>
        <w:t>第十六条：争议的解决</w:t>
      </w:r>
    </w:p>
    <w:p w14:paraId="03C4D9A6">
      <w:pPr>
        <w:pStyle w:val="24"/>
        <w:spacing w:line="460" w:lineRule="atLeast"/>
        <w:ind w:firstLine="480"/>
        <w:rPr>
          <w:rFonts w:hAnsi="宋体" w:cs="宋体"/>
          <w:b/>
          <w:color w:val="auto"/>
          <w:sz w:val="22"/>
          <w:szCs w:val="22"/>
          <w:highlight w:val="none"/>
        </w:rPr>
      </w:pPr>
      <w:r>
        <w:rPr>
          <w:rFonts w:hint="eastAsia" w:hAnsi="宋体" w:cs="宋体"/>
          <w:color w:val="auto"/>
          <w:sz w:val="22"/>
          <w:szCs w:val="22"/>
          <w:highlight w:val="none"/>
        </w:rPr>
        <w:t>在发生所供商品的质量、售后服务等问题时，采购人有权直接向中标供应商索赔，签订必要的书面处理合同。协商不能解决的，任何一方有权在采购人所在地选择诉讼的途径解决。</w:t>
      </w:r>
    </w:p>
    <w:p w14:paraId="0F2D9F16">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第十七条：违约处理</w:t>
      </w:r>
    </w:p>
    <w:p w14:paraId="11DFA4E8">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1、在采购人对中标供应商违约而采取的任何补救措施不受影响的情况下，采购人可在下列情况下向中标供应商发出书面通知书，提出终止部分或全部合同。</w:t>
      </w:r>
    </w:p>
    <w:p w14:paraId="25EFD3C6">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（1）中标供应商提供的产品质量、配置不符合国家规定和承诺的标准；</w:t>
      </w:r>
    </w:p>
    <w:p w14:paraId="5F69A359">
      <w:pPr>
        <w:spacing w:line="460" w:lineRule="atLeast"/>
        <w:ind w:firstLine="360"/>
        <w:rPr>
          <w:rFonts w:ascii="宋体" w:hAnsi="宋体" w:cs="宋体"/>
          <w:b/>
          <w:color w:val="auto"/>
          <w:sz w:val="22"/>
          <w:szCs w:val="22"/>
          <w:highlight w:val="none"/>
        </w:rPr>
      </w:pPr>
      <w:r>
        <w:rPr>
          <w:rFonts w:hint="eastAsia" w:ascii="宋体" w:hAnsi="宋体" w:cs="宋体"/>
          <w:color w:val="auto"/>
          <w:sz w:val="22"/>
          <w:szCs w:val="22"/>
          <w:highlight w:val="none"/>
        </w:rPr>
        <w:t>（2）中标供应商没有按承诺的时间供货、维修或提供其他服务；</w:t>
      </w:r>
    </w:p>
    <w:p w14:paraId="26F2E963">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（3）中标供应商没有按承诺的价格或优惠率签订合同并供货；</w:t>
      </w:r>
    </w:p>
    <w:p w14:paraId="558FDAD7">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14:paraId="77957293">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第十八条：合同转让和分包</w:t>
      </w:r>
    </w:p>
    <w:p w14:paraId="32A11837">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除采购人事先书面同意外，中标供应商不得转让和分包其应履行的合同义务。</w:t>
      </w:r>
    </w:p>
    <w:p w14:paraId="2FDB9BAD">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第十九条：合同生效</w:t>
      </w:r>
    </w:p>
    <w:p w14:paraId="7D429CF4">
      <w:pPr>
        <w:pStyle w:val="24"/>
        <w:spacing w:line="460" w:lineRule="atLeast"/>
        <w:ind w:firstLine="480"/>
        <w:rPr>
          <w:rFonts w:hAnsi="宋体" w:cs="宋体"/>
          <w:b/>
          <w:color w:val="auto"/>
          <w:sz w:val="22"/>
          <w:szCs w:val="22"/>
          <w:highlight w:val="none"/>
        </w:rPr>
      </w:pPr>
      <w:r>
        <w:rPr>
          <w:rFonts w:hint="eastAsia" w:hAnsi="宋体" w:cs="宋体"/>
          <w:color w:val="auto"/>
          <w:sz w:val="22"/>
          <w:szCs w:val="22"/>
          <w:highlight w:val="none"/>
        </w:rPr>
        <w:t>1、如上述文件与本合同有不符之处，以有利于采购人的为准。</w:t>
      </w:r>
    </w:p>
    <w:p w14:paraId="50C66189">
      <w:pPr>
        <w:pStyle w:val="24"/>
        <w:spacing w:line="460" w:lineRule="atLeast"/>
        <w:ind w:firstLine="480"/>
        <w:rPr>
          <w:rFonts w:hAnsi="宋体" w:cs="宋体"/>
          <w:b/>
          <w:color w:val="auto"/>
          <w:sz w:val="22"/>
          <w:szCs w:val="22"/>
          <w:highlight w:val="none"/>
        </w:rPr>
      </w:pPr>
      <w:r>
        <w:rPr>
          <w:rFonts w:hint="eastAsia" w:hAnsi="宋体" w:cs="宋体"/>
          <w:color w:val="auto"/>
          <w:sz w:val="22"/>
          <w:szCs w:val="22"/>
          <w:highlight w:val="none"/>
        </w:rPr>
        <w:t>2、</w:t>
      </w:r>
      <w:r>
        <w:rPr>
          <w:rFonts w:hint="eastAsia" w:hAnsi="宋体" w:cs="宋体"/>
          <w:color w:val="auto"/>
          <w:sz w:val="22"/>
          <w:szCs w:val="22"/>
          <w:highlight w:val="none"/>
          <w:u w:val="single"/>
        </w:rPr>
        <w:t>本合同经双方法定代表人或授权代表签署，采购人及中标供应商加盖印章后生效。</w:t>
      </w:r>
    </w:p>
    <w:p w14:paraId="77CEE409">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第二十条：合同修改</w:t>
      </w:r>
    </w:p>
    <w:p w14:paraId="281055A5">
      <w:pPr>
        <w:spacing w:line="460" w:lineRule="atLeast"/>
        <w:ind w:firstLine="480"/>
        <w:rPr>
          <w:rFonts w:ascii="宋体" w:hAnsi="宋体" w:cs="宋体"/>
          <w:b/>
          <w:color w:val="auto"/>
          <w:sz w:val="22"/>
          <w:szCs w:val="22"/>
          <w:highlight w:val="none"/>
        </w:rPr>
      </w:pPr>
      <w:r>
        <w:rPr>
          <w:rFonts w:hint="eastAsia" w:ascii="宋体" w:hAnsi="宋体" w:cs="宋体"/>
          <w:color w:val="auto"/>
          <w:sz w:val="22"/>
          <w:szCs w:val="22"/>
          <w:highlight w:val="none"/>
        </w:rPr>
        <w:t>除了双方签署书面修改合同，并成为本合同不可分割的一部分之外，本合同条件不得有任何变化或修改。</w:t>
      </w:r>
    </w:p>
    <w:p w14:paraId="283F91CD">
      <w:pPr>
        <w:pStyle w:val="24"/>
        <w:spacing w:line="460" w:lineRule="atLeast"/>
        <w:rPr>
          <w:rFonts w:hAnsi="宋体" w:cs="宋体"/>
          <w:b/>
          <w:bCs/>
          <w:color w:val="auto"/>
          <w:sz w:val="22"/>
          <w:szCs w:val="22"/>
          <w:highlight w:val="none"/>
        </w:rPr>
      </w:pPr>
      <w:r>
        <w:rPr>
          <w:rFonts w:hint="eastAsia" w:hAnsi="宋体" w:cs="宋体"/>
          <w:color w:val="auto"/>
          <w:sz w:val="22"/>
          <w:szCs w:val="22"/>
          <w:highlight w:val="none"/>
        </w:rPr>
        <w:t>第二十一条 合同附件</w:t>
      </w:r>
    </w:p>
    <w:p w14:paraId="26A4416B">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下列文件与本合同具有同等法律效力：</w:t>
      </w:r>
    </w:p>
    <w:p w14:paraId="7980512C">
      <w:pPr>
        <w:spacing w:line="460" w:lineRule="atLeast"/>
        <w:ind w:firstLine="431" w:firstLineChars="196"/>
        <w:rPr>
          <w:rFonts w:ascii="宋体" w:hAnsi="宋体" w:cs="宋体"/>
          <w:b/>
          <w:color w:val="auto"/>
          <w:sz w:val="22"/>
          <w:szCs w:val="22"/>
          <w:highlight w:val="none"/>
        </w:rPr>
      </w:pPr>
      <w:r>
        <w:rPr>
          <w:rFonts w:hint="eastAsia" w:ascii="宋体" w:hAnsi="宋体" w:cs="宋体"/>
          <w:color w:val="auto"/>
          <w:sz w:val="22"/>
          <w:szCs w:val="22"/>
          <w:highlight w:val="none"/>
        </w:rPr>
        <w:t>1、采购人的招标文件与招标补充文件；</w:t>
      </w:r>
    </w:p>
    <w:p w14:paraId="61D30C45">
      <w:pPr>
        <w:spacing w:line="460" w:lineRule="atLeast"/>
        <w:ind w:firstLine="431" w:firstLineChars="196"/>
        <w:rPr>
          <w:rFonts w:ascii="宋体" w:hAnsi="宋体" w:cs="宋体"/>
          <w:b/>
          <w:color w:val="auto"/>
          <w:sz w:val="22"/>
          <w:szCs w:val="22"/>
          <w:highlight w:val="none"/>
        </w:rPr>
      </w:pPr>
      <w:r>
        <w:rPr>
          <w:rFonts w:hint="eastAsia" w:ascii="宋体" w:hAnsi="宋体" w:cs="宋体"/>
          <w:color w:val="auto"/>
          <w:sz w:val="22"/>
          <w:szCs w:val="22"/>
          <w:highlight w:val="none"/>
        </w:rPr>
        <w:t>2、中标供应商投标文件；</w:t>
      </w:r>
    </w:p>
    <w:p w14:paraId="61A83AD7">
      <w:pPr>
        <w:pStyle w:val="24"/>
        <w:spacing w:line="460" w:lineRule="atLeast"/>
        <w:ind w:firstLine="323" w:firstLineChars="147"/>
        <w:rPr>
          <w:rFonts w:hAnsi="宋体" w:cs="宋体"/>
          <w:b/>
          <w:color w:val="auto"/>
          <w:sz w:val="22"/>
          <w:szCs w:val="22"/>
          <w:highlight w:val="none"/>
        </w:rPr>
      </w:pPr>
      <w:r>
        <w:rPr>
          <w:rFonts w:hint="eastAsia" w:hAnsi="宋体" w:cs="宋体"/>
          <w:color w:val="auto"/>
          <w:sz w:val="22"/>
          <w:szCs w:val="22"/>
          <w:highlight w:val="none"/>
        </w:rPr>
        <w:t xml:space="preserve"> 3、询标纪要和承诺书。</w:t>
      </w:r>
    </w:p>
    <w:p w14:paraId="67806954">
      <w:pPr>
        <w:spacing w:line="460" w:lineRule="atLeas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4、中标通知书</w:t>
      </w:r>
    </w:p>
    <w:p w14:paraId="3B7931ED">
      <w:pPr>
        <w:pStyle w:val="24"/>
        <w:spacing w:line="460" w:lineRule="atLeast"/>
        <w:ind w:firstLine="325" w:firstLineChars="147"/>
        <w:rPr>
          <w:rFonts w:hAnsi="宋体" w:cs="宋体"/>
          <w:b/>
          <w:color w:val="auto"/>
          <w:sz w:val="22"/>
          <w:szCs w:val="22"/>
          <w:highlight w:val="none"/>
        </w:rPr>
      </w:pPr>
    </w:p>
    <w:p w14:paraId="1C3890BA">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采购人：（印章）                     供应商：（印章）</w:t>
      </w:r>
    </w:p>
    <w:p w14:paraId="19C87087">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地址：                                 地址：</w:t>
      </w:r>
    </w:p>
    <w:p w14:paraId="37F0077F">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法定代表人（签名或盖章）：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法定代表人：（签名或盖章）：</w:t>
      </w:r>
    </w:p>
    <w:p w14:paraId="224D2251">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委托代理人（签名或盖章）：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委托代理人（签名或盖章）：</w:t>
      </w:r>
    </w:p>
    <w:p w14:paraId="60BE4031">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联系人：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联系人： </w:t>
      </w:r>
    </w:p>
    <w:p w14:paraId="64868E82">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电话：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电话：</w:t>
      </w:r>
    </w:p>
    <w:p w14:paraId="74FD9AF0">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传真：                                  传真：</w:t>
      </w:r>
    </w:p>
    <w:p w14:paraId="317A5B5F">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开户银行：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开户银行：</w:t>
      </w:r>
    </w:p>
    <w:p w14:paraId="4F532500">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银行账号：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银行账号：</w:t>
      </w:r>
    </w:p>
    <w:p w14:paraId="5C150818">
      <w:pPr>
        <w:spacing w:line="360" w:lineRule="auto"/>
        <w:ind w:left="688" w:leftChars="275" w:hanging="110" w:hangingChars="50"/>
        <w:rPr>
          <w:rFonts w:ascii="宋体" w:hAnsi="宋体" w:cs="宋体"/>
          <w:color w:val="auto"/>
          <w:sz w:val="22"/>
          <w:szCs w:val="22"/>
          <w:highlight w:val="none"/>
        </w:rPr>
      </w:pPr>
      <w:r>
        <w:rPr>
          <w:rFonts w:hint="eastAsia" w:ascii="宋体" w:hAnsi="宋体" w:cs="宋体"/>
          <w:color w:val="auto"/>
          <w:sz w:val="22"/>
          <w:szCs w:val="22"/>
          <w:highlight w:val="none"/>
        </w:rPr>
        <w:t xml:space="preserve">_________年____月____日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_______年____月____日</w:t>
      </w:r>
    </w:p>
    <w:p w14:paraId="6763040E">
      <w:pPr>
        <w:pStyle w:val="40"/>
        <w:jc w:val="both"/>
        <w:rPr>
          <w:rFonts w:ascii="宋体" w:hAnsi="宋体" w:cs="宋体"/>
          <w:color w:val="auto"/>
          <w:sz w:val="30"/>
          <w:szCs w:val="30"/>
          <w:highlight w:val="none"/>
        </w:rPr>
        <w:sectPr>
          <w:headerReference r:id="rId10" w:type="default"/>
          <w:footerReference r:id="rId11" w:type="default"/>
          <w:pgSz w:w="11906" w:h="16838"/>
          <w:pgMar w:top="1440" w:right="1701" w:bottom="1440" w:left="1701" w:header="851" w:footer="992" w:gutter="0"/>
          <w:cols w:space="720" w:num="1"/>
          <w:docGrid w:linePitch="312" w:charSpace="0"/>
        </w:sectPr>
      </w:pPr>
    </w:p>
    <w:p w14:paraId="56AA00FC">
      <w:pPr>
        <w:pStyle w:val="40"/>
        <w:rPr>
          <w:rFonts w:cs="新宋体" w:asciiTheme="majorEastAsia" w:hAnsiTheme="majorEastAsia" w:eastAsiaTheme="majorEastAsia"/>
          <w:color w:val="auto"/>
          <w:sz w:val="30"/>
          <w:szCs w:val="30"/>
          <w:highlight w:val="none"/>
        </w:rPr>
      </w:pPr>
      <w:bookmarkStart w:id="102" w:name="_Toc21992"/>
      <w:r>
        <w:rPr>
          <w:rFonts w:hint="eastAsia" w:cs="新宋体" w:asciiTheme="majorEastAsia" w:hAnsiTheme="majorEastAsia" w:eastAsiaTheme="majorEastAsia"/>
          <w:color w:val="auto"/>
          <w:sz w:val="30"/>
          <w:szCs w:val="30"/>
          <w:highlight w:val="none"/>
        </w:rPr>
        <w:t>第六部分 投标文件格式</w:t>
      </w:r>
      <w:bookmarkEnd w:id="99"/>
      <w:bookmarkEnd w:id="100"/>
      <w:bookmarkEnd w:id="102"/>
    </w:p>
    <w:bookmarkEnd w:id="101"/>
    <w:p w14:paraId="0D26C1A8">
      <w:pPr>
        <w:pStyle w:val="40"/>
        <w:rPr>
          <w:rFonts w:asciiTheme="majorEastAsia" w:hAnsiTheme="majorEastAsia" w:eastAsiaTheme="majorEastAsia"/>
          <w:color w:val="auto"/>
          <w:highlight w:val="none"/>
        </w:rPr>
      </w:pPr>
      <w:bookmarkStart w:id="103" w:name="_Toc96970922"/>
      <w:bookmarkStart w:id="104" w:name="_Toc42678689"/>
      <w:bookmarkStart w:id="105" w:name="_Toc65830018"/>
      <w:bookmarkStart w:id="106" w:name="_Toc3026"/>
      <w:bookmarkStart w:id="107" w:name="_Toc65590090"/>
      <w:bookmarkStart w:id="108" w:name="_Toc496116282"/>
      <w:bookmarkStart w:id="109" w:name="_Toc161563051"/>
      <w:bookmarkStart w:id="110" w:name="_Toc498343176"/>
      <w:bookmarkStart w:id="111" w:name="_Toc293038733"/>
      <w:r>
        <w:rPr>
          <w:rFonts w:hint="eastAsia" w:asciiTheme="majorEastAsia" w:hAnsiTheme="majorEastAsia" w:eastAsiaTheme="majorEastAsia"/>
          <w:color w:val="auto"/>
          <w:highlight w:val="none"/>
        </w:rPr>
        <w:t>一、资格文件部分格式</w:t>
      </w:r>
      <w:bookmarkEnd w:id="103"/>
      <w:bookmarkEnd w:id="104"/>
      <w:bookmarkEnd w:id="105"/>
      <w:bookmarkEnd w:id="106"/>
      <w:bookmarkEnd w:id="107"/>
    </w:p>
    <w:p w14:paraId="495928B7">
      <w:pPr>
        <w:widowControl/>
        <w:spacing w:line="460" w:lineRule="atLeast"/>
        <w:jc w:val="left"/>
        <w:rPr>
          <w:rFonts w:asciiTheme="majorEastAsia" w:hAnsiTheme="majorEastAsia" w:eastAsiaTheme="majorEastAsia"/>
          <w:b/>
          <w:color w:val="auto"/>
          <w:sz w:val="22"/>
          <w:szCs w:val="22"/>
          <w:highlight w:val="none"/>
        </w:rPr>
      </w:pPr>
      <w:r>
        <w:rPr>
          <w:rFonts w:hint="eastAsia" w:asciiTheme="majorEastAsia" w:hAnsiTheme="majorEastAsia" w:eastAsiaTheme="majorEastAsia"/>
          <w:b/>
          <w:color w:val="auto"/>
          <w:sz w:val="22"/>
          <w:szCs w:val="22"/>
          <w:highlight w:val="none"/>
        </w:rPr>
        <w:t>附件一</w:t>
      </w:r>
    </w:p>
    <w:p w14:paraId="07A07565">
      <w:pPr>
        <w:pStyle w:val="40"/>
        <w:rPr>
          <w:rFonts w:cs="宋体" w:asciiTheme="majorEastAsia" w:hAnsiTheme="majorEastAsia" w:eastAsiaTheme="majorEastAsia"/>
          <w:color w:val="auto"/>
          <w:highlight w:val="none"/>
          <w:lang w:val="zh-CN"/>
        </w:rPr>
      </w:pPr>
      <w:bookmarkStart w:id="112" w:name="_Toc23773"/>
      <w:r>
        <w:rPr>
          <w:rFonts w:hint="eastAsia" w:cs="宋体" w:asciiTheme="majorEastAsia" w:hAnsiTheme="majorEastAsia" w:eastAsiaTheme="majorEastAsia"/>
          <w:color w:val="auto"/>
          <w:highlight w:val="none"/>
          <w:lang w:val="zh-CN"/>
        </w:rPr>
        <w:t>资格条件承诺函</w:t>
      </w:r>
      <w:bookmarkEnd w:id="112"/>
    </w:p>
    <w:p w14:paraId="7705F748">
      <w:pPr>
        <w:spacing w:line="420" w:lineRule="exact"/>
        <w:rPr>
          <w:rFonts w:ascii="宋体" w:hAnsi="宋体"/>
          <w:color w:val="auto"/>
          <w:sz w:val="22"/>
          <w:szCs w:val="22"/>
          <w:highlight w:val="none"/>
        </w:rPr>
      </w:pPr>
      <w:r>
        <w:rPr>
          <w:rFonts w:hint="eastAsia" w:ascii="宋体" w:hAnsi="宋体"/>
          <w:color w:val="auto"/>
          <w:sz w:val="22"/>
          <w:szCs w:val="22"/>
          <w:highlight w:val="none"/>
        </w:rPr>
        <w:t>永嘉县中医医院（医共体）：</w:t>
      </w:r>
    </w:p>
    <w:p w14:paraId="1DC54E99">
      <w:pPr>
        <w:spacing w:line="420" w:lineRule="exact"/>
        <w:rPr>
          <w:rFonts w:ascii="新宋体" w:hAnsi="新宋体" w:eastAsia="新宋体" w:cs="新宋体"/>
          <w:color w:val="auto"/>
          <w:sz w:val="22"/>
          <w:szCs w:val="22"/>
          <w:highlight w:val="none"/>
        </w:rPr>
      </w:pPr>
      <w:r>
        <w:rPr>
          <w:rFonts w:hint="eastAsia" w:ascii="宋体" w:hAnsi="宋体"/>
          <w:color w:val="auto"/>
          <w:sz w:val="22"/>
          <w:szCs w:val="22"/>
          <w:highlight w:val="none"/>
        </w:rPr>
        <w:t>温州市中概工程管理咨询有限公司：</w:t>
      </w:r>
    </w:p>
    <w:p w14:paraId="19914C75">
      <w:pPr>
        <w:shd w:val="clear" w:color="auto" w:fill="FFFFFF"/>
        <w:snapToGrid w:val="0"/>
        <w:spacing w:line="440" w:lineRule="exact"/>
        <w:rPr>
          <w:rFonts w:ascii="宋体" w:hAnsi="宋体" w:cs="宋体"/>
          <w:color w:val="auto"/>
          <w:sz w:val="22"/>
          <w:szCs w:val="22"/>
          <w:highlight w:val="none"/>
        </w:rPr>
      </w:pPr>
    </w:p>
    <w:p w14:paraId="0842E14B">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（采购项目名称、编号）项目投标，现郑重承诺：</w:t>
      </w:r>
    </w:p>
    <w:p w14:paraId="4944AF35">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14:paraId="6969FC1D">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28A1C990">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3DF212B5">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49BED654">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47D1E03C">
      <w:pPr>
        <w:widowControl/>
        <w:snapToGrid w:val="0"/>
        <w:spacing w:line="440" w:lineRule="exact"/>
        <w:ind w:left="970" w:leftChars="200" w:hanging="550" w:hanging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596DF54">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0"/>
          <w:rFonts w:hint="eastAsia" w:ascii="宋体" w:hAnsi="宋体" w:cs="宋体"/>
          <w:color w:val="auto"/>
          <w:kern w:val="0"/>
          <w:sz w:val="22"/>
          <w:szCs w:val="22"/>
          <w:highlight w:val="none"/>
        </w:rPr>
        <w:t>www.creditchina.gov.cn）、</w:t>
      </w:r>
      <w:r>
        <w:rPr>
          <w:rStyle w:val="50"/>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3B128758">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3.单位、法定代表人（单位负责人）、本项目被授权人及本项目负责人在参加本项目前三年内（以法院判决书生效日期为准）均无行贿犯罪记录。</w:t>
      </w:r>
    </w:p>
    <w:p w14:paraId="668EA0FE">
      <w:pPr>
        <w:widowControl/>
        <w:snapToGrid w:val="0"/>
        <w:spacing w:line="440" w:lineRule="exact"/>
        <w:ind w:firstLine="440" w:firstLineChars="200"/>
        <w:jc w:val="left"/>
        <w:rPr>
          <w:rFonts w:ascii="宋体" w:hAnsi="宋体" w:cs="宋体"/>
          <w:color w:val="auto"/>
          <w:kern w:val="0"/>
          <w:sz w:val="22"/>
          <w:szCs w:val="22"/>
          <w:highlight w:val="none"/>
        </w:rPr>
      </w:pPr>
    </w:p>
    <w:p w14:paraId="18BFF97D">
      <w:pPr>
        <w:widowControl/>
        <w:snapToGrid w:val="0"/>
        <w:spacing w:line="440" w:lineRule="exact"/>
        <w:ind w:left="210" w:left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2B43F0DB">
      <w:pPr>
        <w:spacing w:line="400" w:lineRule="exact"/>
        <w:ind w:firstLine="770" w:firstLineChars="350"/>
        <w:rPr>
          <w:rFonts w:ascii="宋体" w:hAnsi="宋体" w:cs="宋体"/>
          <w:color w:val="auto"/>
          <w:sz w:val="22"/>
          <w:szCs w:val="22"/>
          <w:highlight w:val="none"/>
        </w:rPr>
      </w:pPr>
    </w:p>
    <w:p w14:paraId="48231B69">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3327C99C">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投标人代表（签名或盖章）：</w:t>
      </w:r>
    </w:p>
    <w:p w14:paraId="5C912F2A">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557DA8B7">
      <w:pPr>
        <w:spacing w:line="380" w:lineRule="exact"/>
        <w:ind w:left="-359" w:leftChars="-171"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14:paraId="3F9C3C4A">
      <w:pPr>
        <w:pStyle w:val="40"/>
        <w:rPr>
          <w:rFonts w:asciiTheme="majorEastAsia" w:hAnsiTheme="majorEastAsia" w:eastAsiaTheme="majorEastAsia"/>
          <w:color w:val="auto"/>
          <w:highlight w:val="none"/>
        </w:rPr>
      </w:pPr>
      <w:bookmarkStart w:id="113" w:name="_Toc56004404"/>
      <w:bookmarkStart w:id="114" w:name="_Toc61444213"/>
      <w:r>
        <w:rPr>
          <w:rFonts w:hint="eastAsia" w:cs="Arial" w:asciiTheme="majorEastAsia" w:hAnsiTheme="majorEastAsia" w:eastAsiaTheme="majorEastAsia"/>
          <w:color w:val="auto"/>
          <w:sz w:val="36"/>
          <w:highlight w:val="none"/>
        </w:rPr>
        <w:br w:type="page"/>
      </w:r>
      <w:bookmarkEnd w:id="113"/>
      <w:bookmarkEnd w:id="114"/>
      <w:bookmarkStart w:id="115" w:name="_Toc65830023"/>
      <w:bookmarkStart w:id="116" w:name="_Toc42243285"/>
      <w:bookmarkStart w:id="117" w:name="_Toc65590095"/>
      <w:bookmarkStart w:id="118" w:name="_Toc3526"/>
      <w:bookmarkStart w:id="119" w:name="_Toc42678693"/>
      <w:r>
        <w:rPr>
          <w:rFonts w:hint="eastAsia" w:asciiTheme="majorEastAsia" w:hAnsiTheme="majorEastAsia" w:eastAsiaTheme="majorEastAsia"/>
          <w:color w:val="auto"/>
          <w:highlight w:val="none"/>
        </w:rPr>
        <w:t>二、报价文件部分格式</w:t>
      </w:r>
      <w:bookmarkEnd w:id="115"/>
      <w:bookmarkEnd w:id="116"/>
      <w:bookmarkEnd w:id="117"/>
      <w:bookmarkEnd w:id="118"/>
      <w:bookmarkEnd w:id="119"/>
    </w:p>
    <w:p w14:paraId="6AA2D43E">
      <w:pPr>
        <w:widowControl/>
        <w:spacing w:line="460" w:lineRule="atLeast"/>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b/>
          <w:color w:val="auto"/>
          <w:sz w:val="22"/>
          <w:szCs w:val="22"/>
          <w:highlight w:val="none"/>
        </w:rPr>
        <w:t>附</w:t>
      </w:r>
      <w:bookmarkStart w:id="120" w:name="_Toc413747701"/>
      <w:r>
        <w:rPr>
          <w:rFonts w:hint="eastAsia" w:asciiTheme="majorEastAsia" w:hAnsiTheme="majorEastAsia" w:eastAsiaTheme="majorEastAsia"/>
          <w:b/>
          <w:color w:val="auto"/>
          <w:sz w:val="22"/>
          <w:szCs w:val="22"/>
          <w:highlight w:val="none"/>
        </w:rPr>
        <w:t>件</w:t>
      </w:r>
      <w:bookmarkEnd w:id="120"/>
      <w:r>
        <w:rPr>
          <w:rFonts w:hint="eastAsia" w:asciiTheme="majorEastAsia" w:hAnsiTheme="majorEastAsia" w:eastAsiaTheme="majorEastAsia"/>
          <w:b/>
          <w:color w:val="auto"/>
          <w:sz w:val="22"/>
          <w:szCs w:val="22"/>
          <w:highlight w:val="none"/>
        </w:rPr>
        <w:t>二</w:t>
      </w:r>
    </w:p>
    <w:p w14:paraId="33BAF79B">
      <w:pPr>
        <w:pStyle w:val="40"/>
        <w:rPr>
          <w:rFonts w:asciiTheme="majorEastAsia" w:hAnsiTheme="majorEastAsia" w:eastAsiaTheme="majorEastAsia"/>
          <w:color w:val="auto"/>
          <w:sz w:val="22"/>
          <w:szCs w:val="22"/>
          <w:highlight w:val="none"/>
        </w:rPr>
      </w:pPr>
      <w:bookmarkStart w:id="121" w:name="_Toc65830024"/>
      <w:bookmarkStart w:id="122" w:name="_Toc68189105"/>
      <w:bookmarkStart w:id="123" w:name="_Toc65590096"/>
      <w:bookmarkStart w:id="124" w:name="_Toc511045476"/>
      <w:bookmarkStart w:id="125" w:name="_Toc42678183"/>
      <w:bookmarkStart w:id="126" w:name="_Toc61444215"/>
      <w:bookmarkStart w:id="127" w:name="_Toc96970930"/>
      <w:bookmarkStart w:id="128" w:name="_Toc42243286"/>
      <w:bookmarkStart w:id="129" w:name="_Toc68188791"/>
      <w:bookmarkStart w:id="130" w:name="_Toc87518594"/>
      <w:bookmarkStart w:id="131" w:name="_Toc87518417"/>
      <w:bookmarkStart w:id="132" w:name="_Toc97033072"/>
      <w:bookmarkStart w:id="133" w:name="_Toc522469114"/>
      <w:bookmarkStart w:id="134" w:name="_Toc496618930"/>
      <w:bookmarkStart w:id="135" w:name="_Toc7030"/>
      <w:bookmarkStart w:id="136" w:name="_Toc22422"/>
      <w:bookmarkStart w:id="137" w:name="_Toc10399"/>
      <w:bookmarkStart w:id="138" w:name="_Toc9334945"/>
      <w:bookmarkStart w:id="139" w:name="_Toc518512529"/>
      <w:bookmarkStart w:id="140" w:name="_Toc42678615"/>
      <w:bookmarkStart w:id="141" w:name="_Toc42678028"/>
      <w:bookmarkStart w:id="142" w:name="_Toc20005"/>
      <w:bookmarkStart w:id="143" w:name="_Toc68187555"/>
      <w:bookmarkStart w:id="144" w:name="_Toc19204519"/>
      <w:bookmarkStart w:id="145" w:name="_Toc42678694"/>
      <w:r>
        <w:rPr>
          <w:rFonts w:hint="eastAsia" w:asciiTheme="majorEastAsia" w:hAnsiTheme="majorEastAsia" w:eastAsiaTheme="majorEastAsia"/>
          <w:color w:val="auto"/>
          <w:sz w:val="22"/>
          <w:szCs w:val="22"/>
          <w:highlight w:val="none"/>
        </w:rPr>
        <w:t>报价一览表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E1D5A02">
      <w:pPr>
        <w:autoSpaceDE w:val="0"/>
        <w:autoSpaceDN w:val="0"/>
        <w:adjustRightInd w:val="0"/>
        <w:rPr>
          <w:rFonts w:asciiTheme="majorEastAsia" w:hAnsiTheme="majorEastAsia" w:eastAsiaTheme="majorEastAsia"/>
          <w:color w:val="auto"/>
          <w:sz w:val="22"/>
          <w:szCs w:val="22"/>
          <w:highlight w:val="none"/>
          <w:u w:val="single"/>
          <w:lang w:val="zh-CN"/>
        </w:rPr>
      </w:pPr>
      <w:r>
        <w:rPr>
          <w:rFonts w:hint="eastAsia" w:asciiTheme="majorEastAsia" w:hAnsiTheme="majorEastAsia" w:eastAsiaTheme="majorEastAsia"/>
          <w:color w:val="auto"/>
          <w:sz w:val="22"/>
          <w:szCs w:val="22"/>
          <w:highlight w:val="none"/>
        </w:rPr>
        <w:t>项目</w:t>
      </w:r>
      <w:r>
        <w:rPr>
          <w:rFonts w:hint="eastAsia" w:asciiTheme="majorEastAsia" w:hAnsiTheme="majorEastAsia" w:eastAsiaTheme="majorEastAsia"/>
          <w:color w:val="auto"/>
          <w:sz w:val="22"/>
          <w:szCs w:val="22"/>
          <w:highlight w:val="none"/>
          <w:lang w:val="zh-CN"/>
        </w:rPr>
        <w:t>名称：</w:t>
      </w:r>
      <w:r>
        <w:rPr>
          <w:rFonts w:hint="eastAsia" w:asciiTheme="majorEastAsia" w:hAnsiTheme="majorEastAsia" w:eastAsiaTheme="majorEastAsia"/>
          <w:color w:val="auto"/>
          <w:sz w:val="22"/>
          <w:szCs w:val="22"/>
          <w:highlight w:val="none"/>
        </w:rPr>
        <w:t xml:space="preserve">           </w:t>
      </w:r>
      <w:r>
        <w:rPr>
          <w:rFonts w:hint="eastAsia" w:asciiTheme="majorEastAsia" w:hAnsiTheme="majorEastAsia" w:eastAsiaTheme="majorEastAsia"/>
          <w:color w:val="auto"/>
          <w:sz w:val="22"/>
          <w:szCs w:val="22"/>
          <w:highlight w:val="none"/>
          <w:lang w:val="zh-CN"/>
        </w:rPr>
        <w:t>采购编号：  报价单位：</w:t>
      </w:r>
      <w:r>
        <w:rPr>
          <w:rFonts w:hint="eastAsia" w:asciiTheme="majorEastAsia" w:hAnsiTheme="majorEastAsia" w:eastAsiaTheme="majorEastAsia"/>
          <w:color w:val="auto"/>
          <w:sz w:val="22"/>
          <w:szCs w:val="22"/>
          <w:highlight w:val="none"/>
          <w:u w:val="single"/>
          <w:lang w:val="zh-CN"/>
        </w:rPr>
        <w:t>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4"/>
        <w:gridCol w:w="3867"/>
        <w:gridCol w:w="2393"/>
      </w:tblGrid>
      <w:tr w14:paraId="1E99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824" w:type="pct"/>
            <w:tcBorders>
              <w:right w:val="single" w:color="000000" w:sz="6" w:space="0"/>
            </w:tcBorders>
            <w:vAlign w:val="center"/>
          </w:tcPr>
          <w:p w14:paraId="65B0597E">
            <w:pPr>
              <w:pStyle w:val="24"/>
              <w:snapToGrid w:val="0"/>
              <w:spacing w:line="460" w:lineRule="atLeast"/>
              <w:jc w:val="center"/>
              <w:rPr>
                <w:rFonts w:hAnsi="宋体" w:cs="宋体"/>
                <w:b/>
                <w:color w:val="auto"/>
                <w:sz w:val="22"/>
                <w:szCs w:val="22"/>
                <w:highlight w:val="none"/>
              </w:rPr>
            </w:pPr>
            <w:r>
              <w:rPr>
                <w:rFonts w:hint="eastAsia" w:hAnsi="宋体" w:cs="宋体"/>
                <w:color w:val="auto"/>
                <w:sz w:val="22"/>
                <w:szCs w:val="22"/>
                <w:highlight w:val="none"/>
              </w:rPr>
              <w:t>项目名称</w:t>
            </w:r>
          </w:p>
        </w:tc>
        <w:tc>
          <w:tcPr>
            <w:tcW w:w="1962" w:type="pct"/>
            <w:tcBorders>
              <w:left w:val="single" w:color="auto" w:sz="4" w:space="0"/>
              <w:right w:val="single" w:color="000000" w:sz="4" w:space="0"/>
            </w:tcBorders>
            <w:vAlign w:val="center"/>
          </w:tcPr>
          <w:p w14:paraId="60C7244F">
            <w:pPr>
              <w:pStyle w:val="24"/>
              <w:snapToGrid w:val="0"/>
              <w:spacing w:line="460" w:lineRule="atLeast"/>
              <w:jc w:val="center"/>
              <w:rPr>
                <w:rFonts w:hAnsi="宋体" w:cs="宋体"/>
                <w:b/>
                <w:color w:val="auto"/>
                <w:sz w:val="22"/>
                <w:szCs w:val="22"/>
                <w:highlight w:val="none"/>
              </w:rPr>
            </w:pPr>
            <w:r>
              <w:rPr>
                <w:rFonts w:hint="eastAsia" w:hAnsi="宋体" w:cs="宋体"/>
                <w:color w:val="auto"/>
                <w:sz w:val="22"/>
                <w:szCs w:val="22"/>
                <w:highlight w:val="none"/>
              </w:rPr>
              <w:t>投标总价</w:t>
            </w:r>
          </w:p>
          <w:p w14:paraId="3A77A450">
            <w:pPr>
              <w:pStyle w:val="24"/>
              <w:snapToGrid w:val="0"/>
              <w:spacing w:line="460" w:lineRule="atLeast"/>
              <w:jc w:val="center"/>
              <w:rPr>
                <w:rFonts w:hAnsi="宋体" w:cs="宋体"/>
                <w:b/>
                <w:color w:val="auto"/>
                <w:sz w:val="22"/>
                <w:szCs w:val="22"/>
                <w:highlight w:val="none"/>
              </w:rPr>
            </w:pPr>
            <w:r>
              <w:rPr>
                <w:rFonts w:hint="eastAsia" w:hAnsi="宋体" w:cs="宋体"/>
                <w:color w:val="auto"/>
                <w:sz w:val="22"/>
                <w:szCs w:val="22"/>
                <w:highlight w:val="none"/>
              </w:rPr>
              <w:t>（元人民币）</w:t>
            </w:r>
          </w:p>
        </w:tc>
        <w:tc>
          <w:tcPr>
            <w:tcW w:w="1214" w:type="pct"/>
            <w:tcBorders>
              <w:left w:val="single" w:color="000000" w:sz="4" w:space="0"/>
              <w:right w:val="single" w:color="000000" w:sz="4" w:space="0"/>
            </w:tcBorders>
            <w:vAlign w:val="center"/>
          </w:tcPr>
          <w:p w14:paraId="31466EB2">
            <w:pPr>
              <w:pStyle w:val="24"/>
              <w:jc w:val="center"/>
              <w:rPr>
                <w:rFonts w:hAnsi="宋体" w:cs="宋体"/>
                <w:b/>
                <w:color w:val="auto"/>
                <w:sz w:val="22"/>
                <w:szCs w:val="22"/>
                <w:highlight w:val="none"/>
              </w:rPr>
            </w:pPr>
            <w:r>
              <w:rPr>
                <w:rFonts w:hint="eastAsia" w:hAnsi="宋体" w:cs="宋体"/>
                <w:color w:val="auto"/>
                <w:sz w:val="22"/>
                <w:szCs w:val="22"/>
                <w:highlight w:val="none"/>
              </w:rPr>
              <w:t>备注</w:t>
            </w:r>
          </w:p>
        </w:tc>
      </w:tr>
      <w:tr w14:paraId="060B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trPr>
        <w:tc>
          <w:tcPr>
            <w:tcW w:w="1824" w:type="pct"/>
            <w:tcBorders>
              <w:right w:val="single" w:color="000000" w:sz="6" w:space="0"/>
            </w:tcBorders>
            <w:vAlign w:val="center"/>
          </w:tcPr>
          <w:p w14:paraId="5C624479">
            <w:pPr>
              <w:pStyle w:val="24"/>
              <w:snapToGrid w:val="0"/>
              <w:spacing w:line="460" w:lineRule="atLeast"/>
              <w:jc w:val="center"/>
              <w:rPr>
                <w:rFonts w:hAnsi="宋体" w:cs="宋体"/>
                <w:b/>
                <w:color w:val="auto"/>
                <w:sz w:val="22"/>
                <w:szCs w:val="22"/>
                <w:highlight w:val="none"/>
              </w:rPr>
            </w:pPr>
            <w:r>
              <w:rPr>
                <w:rFonts w:hint="eastAsia" w:hAnsi="宋体" w:cs="宋体"/>
                <w:color w:val="auto"/>
                <w:sz w:val="22"/>
                <w:szCs w:val="22"/>
                <w:highlight w:val="none"/>
              </w:rPr>
              <w:t>永嘉县中医医院（医共体）高清内窥镜采购</w:t>
            </w:r>
          </w:p>
        </w:tc>
        <w:tc>
          <w:tcPr>
            <w:tcW w:w="1962" w:type="pct"/>
            <w:tcBorders>
              <w:left w:val="single" w:color="auto" w:sz="4" w:space="0"/>
              <w:right w:val="single" w:color="000000" w:sz="4" w:space="0"/>
            </w:tcBorders>
            <w:vAlign w:val="center"/>
          </w:tcPr>
          <w:p w14:paraId="7F0F8804">
            <w:pPr>
              <w:pStyle w:val="24"/>
              <w:spacing w:line="460" w:lineRule="atLeast"/>
              <w:rPr>
                <w:rFonts w:hAnsi="宋体" w:cs="宋体"/>
                <w:b/>
                <w:color w:val="auto"/>
                <w:sz w:val="22"/>
                <w:szCs w:val="22"/>
                <w:highlight w:val="none"/>
              </w:rPr>
            </w:pPr>
            <w:r>
              <w:rPr>
                <w:rFonts w:hint="eastAsia" w:hAnsi="宋体" w:cs="宋体"/>
                <w:color w:val="auto"/>
                <w:sz w:val="22"/>
                <w:szCs w:val="22"/>
                <w:highlight w:val="none"/>
              </w:rPr>
              <w:t>大写：</w:t>
            </w:r>
          </w:p>
          <w:p w14:paraId="3E0124E7">
            <w:pPr>
              <w:pStyle w:val="24"/>
              <w:spacing w:line="460" w:lineRule="atLeast"/>
              <w:rPr>
                <w:rFonts w:hAnsi="宋体" w:cs="宋体"/>
                <w:b/>
                <w:color w:val="auto"/>
                <w:sz w:val="22"/>
                <w:szCs w:val="22"/>
                <w:highlight w:val="none"/>
              </w:rPr>
            </w:pPr>
            <w:r>
              <w:rPr>
                <w:rFonts w:hint="eastAsia" w:hAnsi="宋体" w:cs="宋体"/>
                <w:color w:val="auto"/>
                <w:sz w:val="22"/>
                <w:szCs w:val="22"/>
                <w:highlight w:val="none"/>
              </w:rPr>
              <w:t>小写：</w:t>
            </w:r>
          </w:p>
        </w:tc>
        <w:tc>
          <w:tcPr>
            <w:tcW w:w="1214" w:type="pct"/>
            <w:tcBorders>
              <w:left w:val="single" w:color="000000" w:sz="4" w:space="0"/>
              <w:right w:val="single" w:color="000000" w:sz="4" w:space="0"/>
            </w:tcBorders>
            <w:vAlign w:val="center"/>
          </w:tcPr>
          <w:p w14:paraId="735611DB">
            <w:pPr>
              <w:pStyle w:val="24"/>
              <w:jc w:val="center"/>
              <w:rPr>
                <w:rFonts w:hAnsi="宋体" w:cs="宋体"/>
                <w:b/>
                <w:color w:val="auto"/>
                <w:sz w:val="22"/>
                <w:szCs w:val="22"/>
                <w:highlight w:val="none"/>
              </w:rPr>
            </w:pPr>
          </w:p>
        </w:tc>
      </w:tr>
    </w:tbl>
    <w:p w14:paraId="6A0F2A91">
      <w:pPr>
        <w:tabs>
          <w:tab w:val="left" w:pos="540"/>
        </w:tabs>
        <w:spacing w:line="460" w:lineRule="exact"/>
        <w:rPr>
          <w:b/>
          <w:bCs/>
          <w:color w:val="auto"/>
          <w:kern w:val="0"/>
          <w:szCs w:val="21"/>
          <w:highlight w:val="none"/>
        </w:rPr>
      </w:pPr>
      <w:r>
        <w:rPr>
          <w:rFonts w:hint="eastAsia" w:cs="宋体" w:asciiTheme="majorEastAsia" w:hAnsiTheme="majorEastAsia" w:eastAsiaTheme="majorEastAsia"/>
          <w:color w:val="auto"/>
          <w:sz w:val="22"/>
          <w:szCs w:val="22"/>
          <w:highlight w:val="none"/>
        </w:rPr>
        <w:t>说明：</w:t>
      </w:r>
    </w:p>
    <w:p w14:paraId="6B550F24">
      <w:pPr>
        <w:numPr>
          <w:ilvl w:val="0"/>
          <w:numId w:val="6"/>
        </w:numPr>
        <w:autoSpaceDE w:val="0"/>
        <w:autoSpaceDN w:val="0"/>
        <w:adjustRightInd w:val="0"/>
        <w:spacing w:line="400" w:lineRule="atLeast"/>
        <w:rPr>
          <w:rFonts w:ascii="宋体" w:hAnsi="宋体" w:cs="宋体"/>
          <w:b/>
          <w:bCs/>
          <w:color w:val="auto"/>
          <w:kern w:val="0"/>
          <w:sz w:val="22"/>
          <w:szCs w:val="22"/>
          <w:highlight w:val="none"/>
          <w:u w:val="wave"/>
          <w:lang w:val="zh-CN"/>
        </w:rPr>
      </w:pPr>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rPr>
        <w:t>不提供此表格将被视为没有实质性响应招标文件。</w:t>
      </w:r>
    </w:p>
    <w:p w14:paraId="4FF7B230">
      <w:pPr>
        <w:numPr>
          <w:ilvl w:val="0"/>
          <w:numId w:val="6"/>
        </w:numPr>
        <w:autoSpaceDE w:val="0"/>
        <w:autoSpaceDN w:val="0"/>
        <w:adjustRightInd w:val="0"/>
        <w:spacing w:line="400" w:lineRule="atLeast"/>
        <w:rPr>
          <w:rFonts w:ascii="宋体" w:hAnsi="宋体" w:cs="宋体"/>
          <w:b/>
          <w:bCs/>
          <w:color w:val="auto"/>
          <w:kern w:val="0"/>
          <w:sz w:val="22"/>
          <w:szCs w:val="22"/>
          <w:highlight w:val="none"/>
          <w:u w:val="single"/>
          <w:lang w:val="zh-CN"/>
        </w:rPr>
      </w:pPr>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rPr>
        <w:t>投标总价须与投标分项报价表中的总计价相一致。</w:t>
      </w:r>
    </w:p>
    <w:p w14:paraId="749545A0">
      <w:pPr>
        <w:autoSpaceDE w:val="0"/>
        <w:autoSpaceDN w:val="0"/>
        <w:adjustRightInd w:val="0"/>
        <w:spacing w:line="500" w:lineRule="atLeast"/>
        <w:rPr>
          <w:rFonts w:cs="仿宋_GB2312" w:asciiTheme="majorEastAsia" w:hAnsiTheme="majorEastAsia" w:eastAsiaTheme="majorEastAsia"/>
          <w:color w:val="auto"/>
          <w:sz w:val="30"/>
          <w:szCs w:val="30"/>
          <w:highlight w:val="none"/>
        </w:rPr>
      </w:pPr>
    </w:p>
    <w:p w14:paraId="0DBEA6E1">
      <w:pPr>
        <w:widowControl/>
        <w:spacing w:line="460" w:lineRule="exact"/>
        <w:ind w:firstLine="440"/>
        <w:jc w:val="left"/>
        <w:rPr>
          <w:rFonts w:cs="Courier New" w:asciiTheme="majorEastAsia" w:hAnsiTheme="majorEastAsia" w:eastAsiaTheme="majorEastAsia"/>
          <w:color w:val="auto"/>
          <w:sz w:val="22"/>
          <w:szCs w:val="22"/>
          <w:highlight w:val="none"/>
        </w:rPr>
      </w:pPr>
      <w:r>
        <w:rPr>
          <w:rFonts w:cs="Courier New" w:asciiTheme="majorEastAsia" w:hAnsiTheme="majorEastAsia" w:eastAsiaTheme="majorEastAsia"/>
          <w:color w:val="auto"/>
          <w:sz w:val="22"/>
          <w:szCs w:val="22"/>
          <w:highlight w:val="none"/>
        </w:rPr>
        <w:t>投标供应商（盖章） ：</w:t>
      </w:r>
    </w:p>
    <w:p w14:paraId="68601609">
      <w:pPr>
        <w:spacing w:line="460" w:lineRule="atLeast"/>
        <w:ind w:firstLine="440"/>
        <w:rPr>
          <w:rFonts w:cs="Courier New" w:asciiTheme="majorEastAsia" w:hAnsiTheme="majorEastAsia" w:eastAsiaTheme="majorEastAsia"/>
          <w:color w:val="auto"/>
          <w:sz w:val="22"/>
          <w:szCs w:val="22"/>
          <w:highlight w:val="none"/>
        </w:rPr>
      </w:pPr>
      <w:r>
        <w:rPr>
          <w:rFonts w:cs="Courier New" w:asciiTheme="majorEastAsia" w:hAnsiTheme="majorEastAsia" w:eastAsiaTheme="majorEastAsia"/>
          <w:color w:val="auto"/>
          <w:sz w:val="22"/>
          <w:szCs w:val="22"/>
          <w:highlight w:val="none"/>
        </w:rPr>
        <w:t>日期：</w:t>
      </w:r>
    </w:p>
    <w:p w14:paraId="11B7F800">
      <w:pPr>
        <w:rPr>
          <w:rFonts w:cs="Courier New" w:asciiTheme="majorEastAsia" w:hAnsiTheme="majorEastAsia" w:eastAsiaTheme="majorEastAsia"/>
          <w:color w:val="auto"/>
          <w:sz w:val="22"/>
          <w:szCs w:val="22"/>
          <w:highlight w:val="none"/>
        </w:rPr>
      </w:pPr>
      <w:r>
        <w:rPr>
          <w:rFonts w:cs="Courier New" w:asciiTheme="majorEastAsia" w:hAnsiTheme="majorEastAsia" w:eastAsiaTheme="majorEastAsia"/>
          <w:color w:val="auto"/>
          <w:sz w:val="22"/>
          <w:szCs w:val="22"/>
          <w:highlight w:val="none"/>
        </w:rPr>
        <w:br w:type="page"/>
      </w:r>
    </w:p>
    <w:p w14:paraId="4A4434D1">
      <w:pPr>
        <w:widowControl/>
        <w:spacing w:line="460" w:lineRule="atLeast"/>
        <w:jc w:val="left"/>
        <w:rPr>
          <w:rFonts w:ascii="宋体" w:hAnsi="宋体" w:cs="宋体"/>
          <w:b/>
          <w:bCs/>
          <w:color w:val="auto"/>
          <w:sz w:val="22"/>
          <w:szCs w:val="22"/>
          <w:highlight w:val="none"/>
        </w:rPr>
      </w:pPr>
      <w:r>
        <w:rPr>
          <w:rFonts w:hint="eastAsia" w:ascii="宋体" w:hAnsi="宋体" w:cs="宋体"/>
          <w:b/>
          <w:color w:val="auto"/>
          <w:sz w:val="22"/>
          <w:szCs w:val="22"/>
          <w:highlight w:val="none"/>
        </w:rPr>
        <w:t>附件三</w:t>
      </w:r>
    </w:p>
    <w:p w14:paraId="4E6E67DB">
      <w:pPr>
        <w:autoSpaceDE w:val="0"/>
        <w:autoSpaceDN w:val="0"/>
        <w:adjustRightInd w:val="0"/>
        <w:spacing w:line="360" w:lineRule="atLeast"/>
        <w:ind w:right="220"/>
        <w:jc w:val="center"/>
        <w:textAlignment w:val="baseline"/>
        <w:rPr>
          <w:rFonts w:ascii="宋体" w:hAnsi="宋体" w:cs="宋体"/>
          <w:b/>
          <w:color w:val="auto"/>
          <w:sz w:val="22"/>
          <w:highlight w:val="none"/>
        </w:rPr>
      </w:pPr>
      <w:r>
        <w:rPr>
          <w:rFonts w:hint="eastAsia" w:ascii="宋体" w:hAnsi="宋体" w:cs="宋体"/>
          <w:b/>
          <w:bCs/>
          <w:color w:val="auto"/>
          <w:kern w:val="0"/>
          <w:sz w:val="28"/>
          <w:szCs w:val="28"/>
          <w:highlight w:val="none"/>
          <w:lang w:val="zh-CN"/>
        </w:rPr>
        <w:t>投标分项报价表</w:t>
      </w:r>
    </w:p>
    <w:p w14:paraId="786AF28F">
      <w:pPr>
        <w:spacing w:line="360" w:lineRule="exact"/>
        <w:jc w:val="right"/>
        <w:rPr>
          <w:rFonts w:ascii="宋体" w:hAnsi="宋体" w:cs="宋体"/>
          <w:color w:val="auto"/>
          <w:sz w:val="22"/>
          <w:highlight w:val="none"/>
        </w:rPr>
      </w:pPr>
      <w:r>
        <w:rPr>
          <w:rFonts w:hint="eastAsia" w:ascii="宋体" w:hAnsi="宋体" w:cs="宋体"/>
          <w:color w:val="auto"/>
          <w:sz w:val="22"/>
          <w:highlight w:val="none"/>
        </w:rPr>
        <w:t>（单位价格：元）</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963"/>
        <w:gridCol w:w="3535"/>
        <w:gridCol w:w="1127"/>
        <w:gridCol w:w="1127"/>
        <w:gridCol w:w="1117"/>
      </w:tblGrid>
      <w:tr w14:paraId="1D8F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8" w:type="pct"/>
            <w:vAlign w:val="center"/>
          </w:tcPr>
          <w:p w14:paraId="614A09D3">
            <w:pPr>
              <w:jc w:val="center"/>
              <w:rPr>
                <w:rFonts w:ascii="宋体" w:hAnsi="宋体" w:cs="宋体"/>
                <w:b/>
                <w:color w:val="auto"/>
                <w:sz w:val="22"/>
                <w:szCs w:val="22"/>
                <w:highlight w:val="none"/>
              </w:rPr>
            </w:pPr>
            <w:r>
              <w:rPr>
                <w:rFonts w:hint="eastAsia" w:ascii="宋体" w:hAnsi="宋体" w:cs="宋体"/>
                <w:color w:val="auto"/>
                <w:sz w:val="22"/>
                <w:szCs w:val="22"/>
                <w:highlight w:val="none"/>
              </w:rPr>
              <w:t>序号</w:t>
            </w:r>
          </w:p>
        </w:tc>
        <w:tc>
          <w:tcPr>
            <w:tcW w:w="996" w:type="pct"/>
            <w:vAlign w:val="center"/>
          </w:tcPr>
          <w:p w14:paraId="38BC9228">
            <w:pPr>
              <w:jc w:val="center"/>
              <w:rPr>
                <w:rFonts w:ascii="宋体" w:hAnsi="宋体" w:cs="宋体"/>
                <w:b/>
                <w:color w:val="auto"/>
                <w:sz w:val="22"/>
                <w:szCs w:val="22"/>
                <w:highlight w:val="none"/>
              </w:rPr>
            </w:pPr>
            <w:r>
              <w:rPr>
                <w:rFonts w:hint="eastAsia" w:ascii="宋体" w:hAnsi="宋体" w:cs="宋体"/>
                <w:color w:val="auto"/>
                <w:sz w:val="22"/>
                <w:szCs w:val="22"/>
                <w:highlight w:val="none"/>
              </w:rPr>
              <w:t>名称</w:t>
            </w:r>
          </w:p>
        </w:tc>
        <w:tc>
          <w:tcPr>
            <w:tcW w:w="1793" w:type="pct"/>
            <w:vAlign w:val="center"/>
          </w:tcPr>
          <w:p w14:paraId="3FD34D15">
            <w:pPr>
              <w:jc w:val="center"/>
              <w:rPr>
                <w:rFonts w:ascii="宋体" w:hAnsi="宋体" w:cs="宋体"/>
                <w:b/>
                <w:color w:val="auto"/>
                <w:sz w:val="22"/>
                <w:szCs w:val="22"/>
                <w:highlight w:val="none"/>
              </w:rPr>
            </w:pPr>
            <w:r>
              <w:rPr>
                <w:rFonts w:hint="eastAsia" w:ascii="宋体" w:hAnsi="宋体" w:cs="宋体"/>
                <w:color w:val="auto"/>
                <w:sz w:val="22"/>
                <w:szCs w:val="22"/>
                <w:highlight w:val="none"/>
              </w:rPr>
              <w:t>品牌型号规格</w:t>
            </w:r>
          </w:p>
        </w:tc>
        <w:tc>
          <w:tcPr>
            <w:tcW w:w="572" w:type="pct"/>
            <w:vAlign w:val="center"/>
          </w:tcPr>
          <w:p w14:paraId="3B8D8A34">
            <w:pPr>
              <w:jc w:val="center"/>
              <w:rPr>
                <w:rFonts w:ascii="宋体" w:hAnsi="宋体" w:cs="宋体"/>
                <w:b/>
                <w:color w:val="auto"/>
                <w:sz w:val="22"/>
                <w:szCs w:val="22"/>
                <w:highlight w:val="none"/>
              </w:rPr>
            </w:pPr>
            <w:r>
              <w:rPr>
                <w:rFonts w:hint="eastAsia" w:ascii="宋体" w:hAnsi="宋体" w:cs="宋体"/>
                <w:color w:val="auto"/>
                <w:sz w:val="22"/>
                <w:szCs w:val="22"/>
                <w:highlight w:val="none"/>
              </w:rPr>
              <w:t>数量</w:t>
            </w:r>
          </w:p>
        </w:tc>
        <w:tc>
          <w:tcPr>
            <w:tcW w:w="572" w:type="pct"/>
            <w:vAlign w:val="center"/>
          </w:tcPr>
          <w:p w14:paraId="4E4FB64A">
            <w:pPr>
              <w:jc w:val="center"/>
              <w:rPr>
                <w:rFonts w:ascii="宋体" w:hAnsi="宋体" w:cs="宋体"/>
                <w:b/>
                <w:color w:val="auto"/>
                <w:sz w:val="22"/>
                <w:szCs w:val="22"/>
                <w:highlight w:val="none"/>
              </w:rPr>
            </w:pPr>
            <w:r>
              <w:rPr>
                <w:rFonts w:hint="eastAsia" w:ascii="宋体" w:hAnsi="宋体" w:cs="宋体"/>
                <w:color w:val="auto"/>
                <w:sz w:val="22"/>
                <w:szCs w:val="22"/>
                <w:highlight w:val="none"/>
              </w:rPr>
              <w:t>单价</w:t>
            </w:r>
          </w:p>
        </w:tc>
        <w:tc>
          <w:tcPr>
            <w:tcW w:w="565" w:type="pct"/>
            <w:vAlign w:val="center"/>
          </w:tcPr>
          <w:p w14:paraId="0D7BB608">
            <w:pPr>
              <w:jc w:val="center"/>
              <w:rPr>
                <w:rFonts w:ascii="宋体" w:hAnsi="宋体" w:cs="宋体"/>
                <w:b/>
                <w:color w:val="auto"/>
                <w:sz w:val="22"/>
                <w:szCs w:val="22"/>
                <w:highlight w:val="none"/>
              </w:rPr>
            </w:pPr>
            <w:r>
              <w:rPr>
                <w:rFonts w:hint="eastAsia" w:ascii="宋体" w:hAnsi="宋体" w:cs="宋体"/>
                <w:color w:val="auto"/>
                <w:sz w:val="22"/>
                <w:szCs w:val="22"/>
                <w:highlight w:val="none"/>
              </w:rPr>
              <w:t>合价</w:t>
            </w:r>
          </w:p>
        </w:tc>
      </w:tr>
      <w:tr w14:paraId="410D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98" w:type="pct"/>
            <w:vAlign w:val="center"/>
          </w:tcPr>
          <w:p w14:paraId="1A5FCAC5">
            <w:pPr>
              <w:jc w:val="center"/>
              <w:rPr>
                <w:rFonts w:ascii="宋体" w:hAnsi="宋体" w:cs="宋体"/>
                <w:b/>
                <w:color w:val="auto"/>
                <w:sz w:val="22"/>
                <w:szCs w:val="22"/>
                <w:highlight w:val="none"/>
              </w:rPr>
            </w:pPr>
            <w:r>
              <w:rPr>
                <w:rFonts w:hint="eastAsia" w:ascii="宋体" w:hAnsi="宋体" w:cs="宋体"/>
                <w:color w:val="auto"/>
                <w:sz w:val="22"/>
                <w:szCs w:val="22"/>
                <w:highlight w:val="none"/>
              </w:rPr>
              <w:t>1</w:t>
            </w:r>
          </w:p>
        </w:tc>
        <w:tc>
          <w:tcPr>
            <w:tcW w:w="996" w:type="pct"/>
            <w:vAlign w:val="center"/>
          </w:tcPr>
          <w:p w14:paraId="6E68833A">
            <w:pPr>
              <w:ind w:right="496" w:rightChars="236"/>
              <w:jc w:val="center"/>
              <w:rPr>
                <w:rFonts w:ascii="宋体" w:hAnsi="宋体" w:cs="宋体"/>
                <w:b/>
                <w:color w:val="auto"/>
                <w:sz w:val="22"/>
                <w:szCs w:val="22"/>
                <w:highlight w:val="none"/>
              </w:rPr>
            </w:pPr>
          </w:p>
        </w:tc>
        <w:tc>
          <w:tcPr>
            <w:tcW w:w="1793" w:type="pct"/>
            <w:vAlign w:val="center"/>
          </w:tcPr>
          <w:p w14:paraId="411C4788">
            <w:pPr>
              <w:jc w:val="center"/>
              <w:rPr>
                <w:rFonts w:ascii="宋体" w:hAnsi="宋体" w:cs="宋体"/>
                <w:b/>
                <w:color w:val="auto"/>
                <w:sz w:val="22"/>
                <w:szCs w:val="22"/>
                <w:highlight w:val="none"/>
              </w:rPr>
            </w:pPr>
          </w:p>
        </w:tc>
        <w:tc>
          <w:tcPr>
            <w:tcW w:w="572" w:type="pct"/>
            <w:vAlign w:val="center"/>
          </w:tcPr>
          <w:p w14:paraId="7F5129FB">
            <w:pPr>
              <w:snapToGrid w:val="0"/>
              <w:spacing w:line="400" w:lineRule="atLeast"/>
              <w:jc w:val="center"/>
              <w:rPr>
                <w:rFonts w:ascii="宋体" w:hAnsi="宋体" w:cs="宋体"/>
                <w:b/>
                <w:color w:val="auto"/>
                <w:sz w:val="22"/>
                <w:szCs w:val="22"/>
                <w:highlight w:val="none"/>
              </w:rPr>
            </w:pPr>
          </w:p>
        </w:tc>
        <w:tc>
          <w:tcPr>
            <w:tcW w:w="572" w:type="pct"/>
            <w:vAlign w:val="center"/>
          </w:tcPr>
          <w:p w14:paraId="3C37FA48">
            <w:pPr>
              <w:jc w:val="center"/>
              <w:rPr>
                <w:rFonts w:ascii="宋体" w:hAnsi="宋体" w:cs="宋体"/>
                <w:b/>
                <w:color w:val="auto"/>
                <w:sz w:val="22"/>
                <w:szCs w:val="22"/>
                <w:highlight w:val="none"/>
              </w:rPr>
            </w:pPr>
          </w:p>
        </w:tc>
        <w:tc>
          <w:tcPr>
            <w:tcW w:w="565" w:type="pct"/>
            <w:vAlign w:val="center"/>
          </w:tcPr>
          <w:p w14:paraId="0C73FF8D">
            <w:pPr>
              <w:jc w:val="center"/>
              <w:rPr>
                <w:rFonts w:ascii="宋体" w:hAnsi="宋体" w:cs="宋体"/>
                <w:b/>
                <w:color w:val="auto"/>
                <w:sz w:val="22"/>
                <w:szCs w:val="22"/>
                <w:highlight w:val="none"/>
              </w:rPr>
            </w:pPr>
          </w:p>
        </w:tc>
      </w:tr>
      <w:tr w14:paraId="3A9D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98" w:type="pct"/>
            <w:vAlign w:val="center"/>
          </w:tcPr>
          <w:p w14:paraId="689B175C">
            <w:pPr>
              <w:jc w:val="center"/>
              <w:rPr>
                <w:rFonts w:ascii="宋体" w:hAnsi="宋体" w:cs="宋体"/>
                <w:b/>
                <w:color w:val="auto"/>
                <w:sz w:val="22"/>
                <w:szCs w:val="22"/>
                <w:highlight w:val="none"/>
              </w:rPr>
            </w:pPr>
            <w:r>
              <w:rPr>
                <w:rFonts w:hint="eastAsia" w:ascii="宋体" w:hAnsi="宋体" w:cs="宋体"/>
                <w:color w:val="auto"/>
                <w:sz w:val="22"/>
                <w:szCs w:val="22"/>
                <w:highlight w:val="none"/>
              </w:rPr>
              <w:t>2</w:t>
            </w:r>
          </w:p>
        </w:tc>
        <w:tc>
          <w:tcPr>
            <w:tcW w:w="996" w:type="pct"/>
            <w:vAlign w:val="center"/>
          </w:tcPr>
          <w:p w14:paraId="1C086542">
            <w:pPr>
              <w:jc w:val="center"/>
              <w:rPr>
                <w:rFonts w:ascii="宋体" w:hAnsi="宋体" w:cs="宋体"/>
                <w:b/>
                <w:color w:val="auto"/>
                <w:sz w:val="22"/>
                <w:szCs w:val="22"/>
                <w:highlight w:val="none"/>
              </w:rPr>
            </w:pPr>
          </w:p>
        </w:tc>
        <w:tc>
          <w:tcPr>
            <w:tcW w:w="1793" w:type="pct"/>
            <w:vAlign w:val="center"/>
          </w:tcPr>
          <w:p w14:paraId="1512EF23">
            <w:pPr>
              <w:jc w:val="center"/>
              <w:rPr>
                <w:rFonts w:ascii="宋体" w:hAnsi="宋体" w:cs="宋体"/>
                <w:b/>
                <w:color w:val="auto"/>
                <w:sz w:val="22"/>
                <w:szCs w:val="22"/>
                <w:highlight w:val="none"/>
              </w:rPr>
            </w:pPr>
          </w:p>
        </w:tc>
        <w:tc>
          <w:tcPr>
            <w:tcW w:w="572" w:type="pct"/>
            <w:vAlign w:val="center"/>
          </w:tcPr>
          <w:p w14:paraId="521C2DCD">
            <w:pPr>
              <w:snapToGrid w:val="0"/>
              <w:spacing w:line="400" w:lineRule="atLeast"/>
              <w:jc w:val="center"/>
              <w:rPr>
                <w:rFonts w:ascii="宋体" w:hAnsi="宋体" w:cs="宋体"/>
                <w:b/>
                <w:color w:val="auto"/>
                <w:sz w:val="22"/>
                <w:szCs w:val="22"/>
                <w:highlight w:val="none"/>
              </w:rPr>
            </w:pPr>
          </w:p>
        </w:tc>
        <w:tc>
          <w:tcPr>
            <w:tcW w:w="572" w:type="pct"/>
            <w:vAlign w:val="center"/>
          </w:tcPr>
          <w:p w14:paraId="217E4C4A">
            <w:pPr>
              <w:jc w:val="center"/>
              <w:rPr>
                <w:rFonts w:ascii="宋体" w:hAnsi="宋体" w:cs="宋体"/>
                <w:b/>
                <w:color w:val="auto"/>
                <w:sz w:val="22"/>
                <w:szCs w:val="22"/>
                <w:highlight w:val="none"/>
              </w:rPr>
            </w:pPr>
          </w:p>
        </w:tc>
        <w:tc>
          <w:tcPr>
            <w:tcW w:w="565" w:type="pct"/>
            <w:vAlign w:val="center"/>
          </w:tcPr>
          <w:p w14:paraId="2137AAC0">
            <w:pPr>
              <w:jc w:val="center"/>
              <w:rPr>
                <w:rFonts w:ascii="宋体" w:hAnsi="宋体" w:cs="宋体"/>
                <w:b/>
                <w:color w:val="auto"/>
                <w:sz w:val="22"/>
                <w:szCs w:val="22"/>
                <w:highlight w:val="none"/>
              </w:rPr>
            </w:pPr>
          </w:p>
        </w:tc>
      </w:tr>
      <w:tr w14:paraId="63E9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98" w:type="pct"/>
            <w:vAlign w:val="center"/>
          </w:tcPr>
          <w:p w14:paraId="0CA17DAD">
            <w:pPr>
              <w:jc w:val="center"/>
              <w:rPr>
                <w:rFonts w:ascii="宋体" w:hAnsi="宋体" w:cs="宋体"/>
                <w:b/>
                <w:color w:val="auto"/>
                <w:sz w:val="22"/>
                <w:szCs w:val="22"/>
                <w:highlight w:val="none"/>
              </w:rPr>
            </w:pPr>
            <w:r>
              <w:rPr>
                <w:rFonts w:hint="eastAsia" w:ascii="宋体" w:hAnsi="宋体" w:cs="宋体"/>
                <w:color w:val="auto"/>
                <w:sz w:val="22"/>
                <w:szCs w:val="22"/>
                <w:highlight w:val="none"/>
              </w:rPr>
              <w:t>3</w:t>
            </w:r>
          </w:p>
        </w:tc>
        <w:tc>
          <w:tcPr>
            <w:tcW w:w="996" w:type="pct"/>
            <w:vAlign w:val="center"/>
          </w:tcPr>
          <w:p w14:paraId="35E8E5AA">
            <w:pPr>
              <w:jc w:val="center"/>
              <w:rPr>
                <w:rFonts w:ascii="宋体" w:hAnsi="宋体" w:cs="宋体"/>
                <w:b/>
                <w:color w:val="auto"/>
                <w:sz w:val="22"/>
                <w:szCs w:val="22"/>
                <w:highlight w:val="none"/>
              </w:rPr>
            </w:pPr>
          </w:p>
        </w:tc>
        <w:tc>
          <w:tcPr>
            <w:tcW w:w="1793" w:type="pct"/>
            <w:vAlign w:val="center"/>
          </w:tcPr>
          <w:p w14:paraId="2A93A59B">
            <w:pPr>
              <w:jc w:val="center"/>
              <w:rPr>
                <w:rFonts w:ascii="宋体" w:hAnsi="宋体" w:cs="宋体"/>
                <w:b/>
                <w:color w:val="auto"/>
                <w:sz w:val="22"/>
                <w:szCs w:val="22"/>
                <w:highlight w:val="none"/>
              </w:rPr>
            </w:pPr>
          </w:p>
        </w:tc>
        <w:tc>
          <w:tcPr>
            <w:tcW w:w="572" w:type="pct"/>
            <w:vAlign w:val="center"/>
          </w:tcPr>
          <w:p w14:paraId="201A0C62">
            <w:pPr>
              <w:snapToGrid w:val="0"/>
              <w:spacing w:line="400" w:lineRule="atLeast"/>
              <w:jc w:val="center"/>
              <w:rPr>
                <w:rFonts w:ascii="宋体" w:hAnsi="宋体" w:cs="宋体"/>
                <w:b/>
                <w:color w:val="auto"/>
                <w:sz w:val="22"/>
                <w:szCs w:val="22"/>
                <w:highlight w:val="none"/>
              </w:rPr>
            </w:pPr>
          </w:p>
        </w:tc>
        <w:tc>
          <w:tcPr>
            <w:tcW w:w="572" w:type="pct"/>
            <w:vAlign w:val="center"/>
          </w:tcPr>
          <w:p w14:paraId="7D414D32">
            <w:pPr>
              <w:jc w:val="center"/>
              <w:rPr>
                <w:rFonts w:ascii="宋体" w:hAnsi="宋体" w:cs="宋体"/>
                <w:b/>
                <w:color w:val="auto"/>
                <w:sz w:val="22"/>
                <w:szCs w:val="22"/>
                <w:highlight w:val="none"/>
              </w:rPr>
            </w:pPr>
          </w:p>
        </w:tc>
        <w:tc>
          <w:tcPr>
            <w:tcW w:w="565" w:type="pct"/>
            <w:vAlign w:val="center"/>
          </w:tcPr>
          <w:p w14:paraId="7B4707F7">
            <w:pPr>
              <w:jc w:val="center"/>
              <w:rPr>
                <w:rFonts w:ascii="宋体" w:hAnsi="宋体" w:cs="宋体"/>
                <w:b/>
                <w:color w:val="auto"/>
                <w:sz w:val="22"/>
                <w:szCs w:val="22"/>
                <w:highlight w:val="none"/>
              </w:rPr>
            </w:pPr>
          </w:p>
        </w:tc>
      </w:tr>
      <w:tr w14:paraId="09DB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98" w:type="pct"/>
            <w:vAlign w:val="center"/>
          </w:tcPr>
          <w:p w14:paraId="6D06B6E0">
            <w:pPr>
              <w:jc w:val="center"/>
              <w:rPr>
                <w:rFonts w:ascii="宋体" w:hAnsi="宋体" w:cs="宋体"/>
                <w:b/>
                <w:color w:val="auto"/>
                <w:sz w:val="22"/>
                <w:szCs w:val="22"/>
                <w:highlight w:val="none"/>
              </w:rPr>
            </w:pPr>
          </w:p>
        </w:tc>
        <w:tc>
          <w:tcPr>
            <w:tcW w:w="996" w:type="pct"/>
            <w:vAlign w:val="center"/>
          </w:tcPr>
          <w:p w14:paraId="77FC5012">
            <w:pPr>
              <w:jc w:val="center"/>
              <w:rPr>
                <w:rFonts w:ascii="宋体" w:hAnsi="宋体" w:cs="宋体"/>
                <w:b/>
                <w:color w:val="auto"/>
                <w:sz w:val="22"/>
                <w:szCs w:val="22"/>
                <w:highlight w:val="none"/>
              </w:rPr>
            </w:pPr>
          </w:p>
        </w:tc>
        <w:tc>
          <w:tcPr>
            <w:tcW w:w="1793" w:type="pct"/>
            <w:vAlign w:val="center"/>
          </w:tcPr>
          <w:p w14:paraId="5E63DC2E">
            <w:pPr>
              <w:jc w:val="center"/>
              <w:rPr>
                <w:rFonts w:ascii="宋体" w:hAnsi="宋体" w:cs="宋体"/>
                <w:b/>
                <w:color w:val="auto"/>
                <w:sz w:val="22"/>
                <w:szCs w:val="22"/>
                <w:highlight w:val="none"/>
              </w:rPr>
            </w:pPr>
          </w:p>
        </w:tc>
        <w:tc>
          <w:tcPr>
            <w:tcW w:w="572" w:type="pct"/>
            <w:vAlign w:val="center"/>
          </w:tcPr>
          <w:p w14:paraId="7FC4DDCF">
            <w:pPr>
              <w:snapToGrid w:val="0"/>
              <w:spacing w:line="400" w:lineRule="atLeast"/>
              <w:jc w:val="center"/>
              <w:rPr>
                <w:rFonts w:ascii="宋体" w:hAnsi="宋体" w:cs="宋体"/>
                <w:b/>
                <w:color w:val="auto"/>
                <w:sz w:val="22"/>
                <w:szCs w:val="22"/>
                <w:highlight w:val="none"/>
              </w:rPr>
            </w:pPr>
          </w:p>
        </w:tc>
        <w:tc>
          <w:tcPr>
            <w:tcW w:w="572" w:type="pct"/>
            <w:vAlign w:val="center"/>
          </w:tcPr>
          <w:p w14:paraId="0E0A3C70">
            <w:pPr>
              <w:jc w:val="center"/>
              <w:rPr>
                <w:rFonts w:ascii="宋体" w:hAnsi="宋体" w:cs="宋体"/>
                <w:b/>
                <w:color w:val="auto"/>
                <w:sz w:val="22"/>
                <w:szCs w:val="22"/>
                <w:highlight w:val="none"/>
              </w:rPr>
            </w:pPr>
          </w:p>
        </w:tc>
        <w:tc>
          <w:tcPr>
            <w:tcW w:w="565" w:type="pct"/>
            <w:vAlign w:val="center"/>
          </w:tcPr>
          <w:p w14:paraId="0FF67523">
            <w:pPr>
              <w:jc w:val="center"/>
              <w:rPr>
                <w:rFonts w:ascii="宋体" w:hAnsi="宋体" w:cs="宋体"/>
                <w:b/>
                <w:color w:val="auto"/>
                <w:sz w:val="22"/>
                <w:szCs w:val="22"/>
                <w:highlight w:val="none"/>
              </w:rPr>
            </w:pPr>
          </w:p>
        </w:tc>
      </w:tr>
      <w:tr w14:paraId="2ABF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98" w:type="pct"/>
            <w:vAlign w:val="center"/>
          </w:tcPr>
          <w:p w14:paraId="43B13226">
            <w:pPr>
              <w:jc w:val="center"/>
              <w:rPr>
                <w:rFonts w:ascii="宋体" w:hAnsi="宋体" w:cs="宋体"/>
                <w:b/>
                <w:color w:val="auto"/>
                <w:sz w:val="22"/>
                <w:szCs w:val="22"/>
                <w:highlight w:val="none"/>
              </w:rPr>
            </w:pPr>
          </w:p>
        </w:tc>
        <w:tc>
          <w:tcPr>
            <w:tcW w:w="996" w:type="pct"/>
            <w:vAlign w:val="center"/>
          </w:tcPr>
          <w:p w14:paraId="126E41DE">
            <w:pPr>
              <w:jc w:val="center"/>
              <w:rPr>
                <w:rFonts w:ascii="宋体" w:hAnsi="宋体" w:cs="宋体"/>
                <w:b/>
                <w:color w:val="auto"/>
                <w:sz w:val="22"/>
                <w:szCs w:val="22"/>
                <w:highlight w:val="none"/>
              </w:rPr>
            </w:pPr>
          </w:p>
        </w:tc>
        <w:tc>
          <w:tcPr>
            <w:tcW w:w="1793" w:type="pct"/>
            <w:vAlign w:val="center"/>
          </w:tcPr>
          <w:p w14:paraId="0D27ED16">
            <w:pPr>
              <w:jc w:val="center"/>
              <w:rPr>
                <w:rFonts w:ascii="宋体" w:hAnsi="宋体" w:cs="宋体"/>
                <w:b/>
                <w:color w:val="auto"/>
                <w:sz w:val="22"/>
                <w:szCs w:val="22"/>
                <w:highlight w:val="none"/>
              </w:rPr>
            </w:pPr>
          </w:p>
        </w:tc>
        <w:tc>
          <w:tcPr>
            <w:tcW w:w="572" w:type="pct"/>
            <w:vAlign w:val="center"/>
          </w:tcPr>
          <w:p w14:paraId="7CDBAC2D">
            <w:pPr>
              <w:snapToGrid w:val="0"/>
              <w:spacing w:line="400" w:lineRule="atLeast"/>
              <w:jc w:val="center"/>
              <w:rPr>
                <w:rFonts w:ascii="宋体" w:hAnsi="宋体" w:cs="宋体"/>
                <w:b/>
                <w:color w:val="auto"/>
                <w:sz w:val="22"/>
                <w:szCs w:val="22"/>
                <w:highlight w:val="none"/>
              </w:rPr>
            </w:pPr>
          </w:p>
        </w:tc>
        <w:tc>
          <w:tcPr>
            <w:tcW w:w="572" w:type="pct"/>
            <w:vAlign w:val="center"/>
          </w:tcPr>
          <w:p w14:paraId="36033323">
            <w:pPr>
              <w:jc w:val="center"/>
              <w:rPr>
                <w:rFonts w:ascii="宋体" w:hAnsi="宋体" w:cs="宋体"/>
                <w:b/>
                <w:color w:val="auto"/>
                <w:sz w:val="22"/>
                <w:szCs w:val="22"/>
                <w:highlight w:val="none"/>
              </w:rPr>
            </w:pPr>
          </w:p>
        </w:tc>
        <w:tc>
          <w:tcPr>
            <w:tcW w:w="565" w:type="pct"/>
            <w:vAlign w:val="center"/>
          </w:tcPr>
          <w:p w14:paraId="7A3E30EB">
            <w:pPr>
              <w:jc w:val="center"/>
              <w:rPr>
                <w:rFonts w:ascii="宋体" w:hAnsi="宋体" w:cs="宋体"/>
                <w:b/>
                <w:color w:val="auto"/>
                <w:sz w:val="22"/>
                <w:szCs w:val="22"/>
                <w:highlight w:val="none"/>
              </w:rPr>
            </w:pPr>
          </w:p>
        </w:tc>
      </w:tr>
      <w:tr w14:paraId="5297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288" w:type="pct"/>
            <w:gridSpan w:val="3"/>
            <w:vAlign w:val="center"/>
          </w:tcPr>
          <w:p w14:paraId="4DD4C0E5">
            <w:pPr>
              <w:jc w:val="center"/>
              <w:rPr>
                <w:rFonts w:ascii="宋体" w:hAnsi="宋体" w:cs="宋体"/>
                <w:b/>
                <w:color w:val="auto"/>
                <w:sz w:val="22"/>
                <w:szCs w:val="22"/>
                <w:highlight w:val="none"/>
              </w:rPr>
            </w:pPr>
            <w:r>
              <w:rPr>
                <w:rFonts w:hint="eastAsia" w:ascii="宋体" w:hAnsi="宋体" w:cs="宋体"/>
                <w:color w:val="auto"/>
                <w:sz w:val="22"/>
                <w:szCs w:val="22"/>
                <w:highlight w:val="none"/>
              </w:rPr>
              <w:t>合计价</w:t>
            </w:r>
          </w:p>
        </w:tc>
        <w:tc>
          <w:tcPr>
            <w:tcW w:w="1711" w:type="pct"/>
            <w:gridSpan w:val="3"/>
            <w:vAlign w:val="center"/>
          </w:tcPr>
          <w:p w14:paraId="63E6515A">
            <w:pPr>
              <w:jc w:val="center"/>
              <w:rPr>
                <w:rFonts w:ascii="宋体" w:hAnsi="宋体" w:cs="宋体"/>
                <w:b/>
                <w:color w:val="auto"/>
                <w:sz w:val="22"/>
                <w:szCs w:val="22"/>
                <w:highlight w:val="none"/>
              </w:rPr>
            </w:pPr>
          </w:p>
        </w:tc>
      </w:tr>
    </w:tbl>
    <w:p w14:paraId="13BCBED3">
      <w:pPr>
        <w:pStyle w:val="24"/>
        <w:spacing w:line="440" w:lineRule="atLeast"/>
        <w:rPr>
          <w:rFonts w:hAnsi="宋体" w:cs="宋体"/>
          <w:color w:val="auto"/>
          <w:highlight w:val="none"/>
        </w:rPr>
      </w:pPr>
      <w:r>
        <w:rPr>
          <w:rFonts w:hint="eastAsia" w:hAnsi="宋体" w:cs="宋体"/>
          <w:b/>
          <w:color w:val="auto"/>
          <w:sz w:val="22"/>
          <w:szCs w:val="22"/>
          <w:highlight w:val="none"/>
        </w:rPr>
        <w:t>说明：</w:t>
      </w:r>
      <w:r>
        <w:rPr>
          <w:rFonts w:hint="eastAsia" w:hAnsi="宋体" w:cs="宋体"/>
          <w:color w:val="auto"/>
          <w:highlight w:val="none"/>
        </w:rPr>
        <w:t xml:space="preserve"> </w:t>
      </w:r>
    </w:p>
    <w:p w14:paraId="587FE920">
      <w:pPr>
        <w:spacing w:line="400" w:lineRule="exact"/>
        <w:ind w:left="420" w:firstLine="210" w:firstLineChars="100"/>
        <w:rPr>
          <w:rFonts w:ascii="宋体" w:hAnsi="宋体" w:cs="宋体"/>
          <w:color w:val="auto"/>
          <w:szCs w:val="21"/>
          <w:highlight w:val="none"/>
        </w:rPr>
      </w:pPr>
      <w:r>
        <w:rPr>
          <w:rFonts w:hint="eastAsia" w:ascii="宋体" w:hAnsi="宋体" w:cs="宋体"/>
          <w:color w:val="auto"/>
          <w:szCs w:val="21"/>
          <w:highlight w:val="none"/>
        </w:rPr>
        <w:t>1、总计价应与“开标一览表”中投标总价对应相一致。</w:t>
      </w:r>
    </w:p>
    <w:p w14:paraId="78932540">
      <w:pPr>
        <w:spacing w:line="400" w:lineRule="exact"/>
        <w:ind w:left="420" w:firstLine="210" w:firstLineChars="100"/>
        <w:rPr>
          <w:rFonts w:ascii="宋体" w:hAnsi="宋体" w:cs="宋体"/>
          <w:color w:val="auto"/>
          <w:szCs w:val="21"/>
          <w:highlight w:val="none"/>
        </w:rPr>
      </w:pPr>
      <w:r>
        <w:rPr>
          <w:rFonts w:hint="eastAsia" w:ascii="宋体" w:hAnsi="宋体" w:cs="宋体"/>
          <w:color w:val="auto"/>
          <w:szCs w:val="21"/>
          <w:highlight w:val="none"/>
        </w:rPr>
        <w:t>2、各项费用如已包含在产品价格中请注明“含”，若免费请注明“免”，若没有请注明“无”。</w:t>
      </w:r>
    </w:p>
    <w:p w14:paraId="179F1C55">
      <w:pPr>
        <w:spacing w:line="400" w:lineRule="exact"/>
        <w:ind w:left="420" w:firstLine="210" w:firstLineChars="1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szCs w:val="21"/>
          <w:highlight w:val="none"/>
        </w:rPr>
        <w:t>本表</w:t>
      </w:r>
      <w:r>
        <w:rPr>
          <w:rFonts w:hint="eastAsia" w:ascii="宋体" w:hAnsi="宋体" w:cs="宋体"/>
          <w:color w:val="auto"/>
          <w:highlight w:val="none"/>
        </w:rPr>
        <w:t>可在不改变格式的情况下根据具体需要自行增减。</w:t>
      </w:r>
    </w:p>
    <w:p w14:paraId="5955EFCD">
      <w:pPr>
        <w:spacing w:line="400" w:lineRule="exact"/>
        <w:ind w:left="420"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 xml:space="preserve">4、▲ </w:t>
      </w:r>
      <w:r>
        <w:rPr>
          <w:rFonts w:hint="eastAsia" w:ascii="宋体" w:hAnsi="宋体" w:cs="宋体"/>
          <w:b/>
          <w:color w:val="auto"/>
          <w:sz w:val="22"/>
          <w:szCs w:val="22"/>
          <w:highlight w:val="none"/>
          <w:u w:val="single"/>
        </w:rPr>
        <w:t>不提供此表格的将视为没有实质性响应招标文件。</w:t>
      </w:r>
    </w:p>
    <w:p w14:paraId="205EA27F">
      <w:pPr>
        <w:widowControl/>
        <w:spacing w:line="460" w:lineRule="exact"/>
        <w:ind w:firstLine="440"/>
        <w:jc w:val="left"/>
        <w:rPr>
          <w:rFonts w:ascii="宋体" w:hAnsi="宋体" w:cs="宋体"/>
          <w:color w:val="auto"/>
          <w:sz w:val="22"/>
          <w:szCs w:val="22"/>
          <w:highlight w:val="none"/>
        </w:rPr>
      </w:pPr>
      <w:r>
        <w:rPr>
          <w:rFonts w:hint="eastAsia" w:ascii="宋体" w:hAnsi="宋体" w:cs="宋体"/>
          <w:color w:val="auto"/>
          <w:sz w:val="22"/>
          <w:szCs w:val="22"/>
          <w:highlight w:val="none"/>
        </w:rPr>
        <w:t>投标供应商（盖章） ：</w:t>
      </w:r>
    </w:p>
    <w:p w14:paraId="7A5BFC00">
      <w:pPr>
        <w:spacing w:line="460" w:lineRule="atLeast"/>
        <w:ind w:firstLine="440"/>
        <w:rPr>
          <w:rFonts w:ascii="宋体" w:hAnsi="宋体" w:cs="宋体"/>
          <w:color w:val="auto"/>
          <w:sz w:val="36"/>
          <w:highlight w:val="none"/>
        </w:rPr>
      </w:pPr>
      <w:r>
        <w:rPr>
          <w:rFonts w:hint="eastAsia" w:ascii="宋体" w:hAnsi="宋体" w:cs="宋体"/>
          <w:color w:val="auto"/>
          <w:sz w:val="22"/>
          <w:szCs w:val="22"/>
          <w:highlight w:val="none"/>
        </w:rPr>
        <w:t>日期：</w:t>
      </w:r>
    </w:p>
    <w:p w14:paraId="4B361CC8">
      <w:pPr>
        <w:spacing w:line="460" w:lineRule="atLeast"/>
        <w:ind w:firstLine="440"/>
        <w:rPr>
          <w:rFonts w:cs="Courier New" w:asciiTheme="majorEastAsia" w:hAnsiTheme="majorEastAsia" w:eastAsiaTheme="majorEastAsia"/>
          <w:color w:val="auto"/>
          <w:sz w:val="22"/>
          <w:szCs w:val="22"/>
          <w:highlight w:val="none"/>
        </w:rPr>
      </w:pPr>
    </w:p>
    <w:p w14:paraId="47DECA73">
      <w:pPr>
        <w:pStyle w:val="2"/>
        <w:ind w:firstLine="21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60C12DF0">
      <w:pPr>
        <w:pStyle w:val="40"/>
        <w:rPr>
          <w:rFonts w:asciiTheme="majorEastAsia" w:hAnsiTheme="majorEastAsia" w:eastAsiaTheme="majorEastAsia"/>
          <w:color w:val="auto"/>
          <w:highlight w:val="none"/>
        </w:rPr>
      </w:pPr>
      <w:bookmarkStart w:id="146" w:name="_Toc42243287"/>
      <w:bookmarkStart w:id="147" w:name="_Toc65830025"/>
      <w:bookmarkStart w:id="148" w:name="_Toc6383"/>
      <w:bookmarkStart w:id="149" w:name="_Toc65590097"/>
      <w:bookmarkStart w:id="150" w:name="_Toc42678695"/>
      <w:r>
        <w:rPr>
          <w:rFonts w:hint="eastAsia" w:asciiTheme="majorEastAsia" w:hAnsiTheme="majorEastAsia" w:eastAsiaTheme="majorEastAsia"/>
          <w:color w:val="auto"/>
          <w:highlight w:val="none"/>
        </w:rPr>
        <w:t>三、商务技术文件部分格式</w:t>
      </w:r>
      <w:bookmarkEnd w:id="146"/>
      <w:bookmarkEnd w:id="147"/>
      <w:bookmarkEnd w:id="148"/>
      <w:bookmarkEnd w:id="149"/>
      <w:bookmarkEnd w:id="150"/>
    </w:p>
    <w:p w14:paraId="36BE1319">
      <w:pPr>
        <w:widowControl/>
        <w:spacing w:line="460" w:lineRule="atLeast"/>
        <w:jc w:val="left"/>
        <w:rPr>
          <w:rFonts w:asciiTheme="majorEastAsia" w:hAnsiTheme="majorEastAsia" w:eastAsiaTheme="majorEastAsia"/>
          <w:b/>
          <w:bCs/>
          <w:color w:val="auto"/>
          <w:sz w:val="22"/>
          <w:szCs w:val="22"/>
          <w:highlight w:val="none"/>
        </w:rPr>
      </w:pPr>
      <w:bookmarkStart w:id="151" w:name="_Toc493530215"/>
      <w:r>
        <w:rPr>
          <w:rFonts w:hint="eastAsia" w:asciiTheme="majorEastAsia" w:hAnsiTheme="majorEastAsia" w:eastAsiaTheme="majorEastAsia"/>
          <w:b/>
          <w:color w:val="auto"/>
          <w:sz w:val="22"/>
          <w:szCs w:val="22"/>
          <w:highlight w:val="none"/>
        </w:rPr>
        <w:t>附件</w:t>
      </w:r>
      <w:bookmarkEnd w:id="151"/>
      <w:r>
        <w:rPr>
          <w:rFonts w:hint="eastAsia" w:asciiTheme="majorEastAsia" w:hAnsiTheme="majorEastAsia" w:eastAsiaTheme="majorEastAsia"/>
          <w:b/>
          <w:color w:val="auto"/>
          <w:sz w:val="22"/>
          <w:szCs w:val="22"/>
          <w:highlight w:val="none"/>
        </w:rPr>
        <w:t>四</w:t>
      </w:r>
    </w:p>
    <w:p w14:paraId="6C4ECBD1">
      <w:pPr>
        <w:pStyle w:val="40"/>
        <w:rPr>
          <w:rFonts w:asciiTheme="majorEastAsia" w:hAnsiTheme="majorEastAsia" w:eastAsiaTheme="majorEastAsia"/>
          <w:color w:val="auto"/>
          <w:highlight w:val="none"/>
        </w:rPr>
      </w:pPr>
      <w:bookmarkStart w:id="152" w:name="_Toc42243288"/>
      <w:bookmarkStart w:id="153" w:name="_Toc68187557"/>
      <w:bookmarkStart w:id="154" w:name="_Toc65590098"/>
      <w:bookmarkStart w:id="155" w:name="_Toc29259"/>
      <w:bookmarkStart w:id="156" w:name="_Toc18949"/>
      <w:bookmarkStart w:id="157" w:name="_Toc511045481"/>
      <w:bookmarkStart w:id="158" w:name="_Toc87518419"/>
      <w:bookmarkStart w:id="159" w:name="_Toc522469119"/>
      <w:bookmarkStart w:id="160" w:name="_Toc68189107"/>
      <w:bookmarkStart w:id="161" w:name="_Toc87518596"/>
      <w:bookmarkStart w:id="162" w:name="_Toc97033074"/>
      <w:bookmarkStart w:id="163" w:name="_Toc42678030"/>
      <w:bookmarkStart w:id="164" w:name="_Toc42678696"/>
      <w:bookmarkStart w:id="165" w:name="_Toc42678185"/>
      <w:bookmarkStart w:id="166" w:name="_Toc19204521"/>
      <w:bookmarkStart w:id="167" w:name="_Toc21520"/>
      <w:bookmarkStart w:id="168" w:name="_Toc68188793"/>
      <w:bookmarkStart w:id="169" w:name="_Toc42678617"/>
      <w:bookmarkStart w:id="170" w:name="_Toc65830026"/>
      <w:bookmarkStart w:id="171" w:name="_Toc61444217"/>
      <w:bookmarkStart w:id="172" w:name="_Toc9334949"/>
      <w:bookmarkStart w:id="173" w:name="_Toc96970932"/>
      <w:bookmarkStart w:id="174" w:name="_Toc518512534"/>
      <w:r>
        <w:rPr>
          <w:rFonts w:hint="eastAsia" w:asciiTheme="majorEastAsia" w:hAnsiTheme="majorEastAsia" w:eastAsiaTheme="majorEastAsia"/>
          <w:color w:val="auto"/>
          <w:highlight w:val="none"/>
        </w:rPr>
        <w:t>投 标 函</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5DCD0B5A">
      <w:pPr>
        <w:autoSpaceDE w:val="0"/>
        <w:autoSpaceDN w:val="0"/>
        <w:adjustRightInd w:val="0"/>
        <w:snapToGrid w:val="0"/>
        <w:spacing w:line="480" w:lineRule="atLeast"/>
        <w:rPr>
          <w:rFonts w:asciiTheme="majorEastAsia" w:hAnsiTheme="majorEastAsia" w:eastAsiaTheme="majorEastAsia"/>
          <w:b/>
          <w:color w:val="auto"/>
          <w:sz w:val="22"/>
          <w:highlight w:val="none"/>
          <w:u w:val="single"/>
        </w:rPr>
      </w:pPr>
      <w:r>
        <w:rPr>
          <w:rFonts w:hint="eastAsia" w:cs="仿宋_GB2312" w:asciiTheme="majorEastAsia" w:hAnsiTheme="majorEastAsia" w:eastAsiaTheme="majorEastAsia"/>
          <w:b/>
          <w:color w:val="auto"/>
          <w:sz w:val="22"/>
          <w:highlight w:val="none"/>
          <w:u w:val="single"/>
          <w:lang w:val="zh-CN"/>
        </w:rPr>
        <w:t xml:space="preserve">  （采购人）   ：</w:t>
      </w:r>
    </w:p>
    <w:p w14:paraId="7361736E">
      <w:pPr>
        <w:spacing w:line="42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根据贵方为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项目（项目编号：</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）的投标邀请，我方</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（供应商名称）作为供应商正式授权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（授权代表全名，职务）代表我方处理有关本项目投标的一切事宜。</w:t>
      </w:r>
    </w:p>
    <w:p w14:paraId="5AB5275E">
      <w:pPr>
        <w:autoSpaceDE w:val="0"/>
        <w:autoSpaceDN w:val="0"/>
        <w:adjustRightInd w:val="0"/>
        <w:spacing w:line="420" w:lineRule="atLeast"/>
        <w:ind w:firstLine="440"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在此提交的投标文件中，包括如下内容，并已分别单独提交：</w:t>
      </w:r>
    </w:p>
    <w:p w14:paraId="77ADFE76">
      <w:pPr>
        <w:numPr>
          <w:ilvl w:val="0"/>
          <w:numId w:val="7"/>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按“供应商须知”要求编制的投标文件资格审查资料 ；</w:t>
      </w:r>
    </w:p>
    <w:p w14:paraId="294B4C93">
      <w:pPr>
        <w:numPr>
          <w:ilvl w:val="0"/>
          <w:numId w:val="7"/>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按“供应商须知”要求编制的投标文件商务技术文件 ；</w:t>
      </w:r>
    </w:p>
    <w:p w14:paraId="3546E5B3">
      <w:pPr>
        <w:numPr>
          <w:ilvl w:val="0"/>
          <w:numId w:val="7"/>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按“供应商须知”要求编制的投标文件报价文件 。</w:t>
      </w:r>
    </w:p>
    <w:p w14:paraId="6A55C21F">
      <w:pPr>
        <w:autoSpaceDE w:val="0"/>
        <w:autoSpaceDN w:val="0"/>
        <w:adjustRightInd w:val="0"/>
        <w:spacing w:line="420" w:lineRule="atLeast"/>
        <w:ind w:firstLine="44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我方已完全明白采购文件的所有条款要求，并重申以下几点：</w:t>
      </w:r>
    </w:p>
    <w:p w14:paraId="2699468A">
      <w:pPr>
        <w:numPr>
          <w:ilvl w:val="0"/>
          <w:numId w:val="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48B1BA9A">
      <w:pPr>
        <w:numPr>
          <w:ilvl w:val="0"/>
          <w:numId w:val="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同意提供按照贵方可能要求的与投标有关的一切数据或资料等。若贵方需要，我方愿意提供我方做出的一切承诺的证明材料。</w:t>
      </w:r>
    </w:p>
    <w:p w14:paraId="172A06E0">
      <w:pPr>
        <w:numPr>
          <w:ilvl w:val="0"/>
          <w:numId w:val="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如中标，保证按照采购文件要求及投标文件的承诺与采购人签订合同，保证履行合同条款。</w:t>
      </w:r>
    </w:p>
    <w:p w14:paraId="7626972F">
      <w:pPr>
        <w:numPr>
          <w:ilvl w:val="0"/>
          <w:numId w:val="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同意在采购文件中供应商须知规定的开标日期起遵守本投标书中的承诺且在投标有效期满之前均具有约束力。</w:t>
      </w:r>
    </w:p>
    <w:p w14:paraId="2AD5BBB9">
      <w:pPr>
        <w:numPr>
          <w:ilvl w:val="0"/>
          <w:numId w:val="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如果在开标后规定的投标有效期内撤回投标，我方接受贵方处罚。</w:t>
      </w:r>
    </w:p>
    <w:p w14:paraId="1754F724">
      <w:pPr>
        <w:numPr>
          <w:ilvl w:val="0"/>
          <w:numId w:val="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完全理解贵方不一定要接受最低价的投标。</w:t>
      </w:r>
    </w:p>
    <w:p w14:paraId="6C2C2E69">
      <w:pPr>
        <w:numPr>
          <w:ilvl w:val="0"/>
          <w:numId w:val="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在参加本项目前三年内（被通报或者处罚的违法行为有：</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）或（没有因违法经营受到刑事处罚或者责令停产停业、吊销许可证或者执照、较大数额罚款等行政处罚或处罚）或（在</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至</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期间禁止参加政府采购活动但是期限届满，须附相关证明文件）</w:t>
      </w:r>
    </w:p>
    <w:p w14:paraId="58878D37">
      <w:pPr>
        <w:numPr>
          <w:ilvl w:val="0"/>
          <w:numId w:val="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在投标截止前（未被“信用中国”网站（)列入失信被执行人、重大税收违法案件当事人名单；未被“中国政府采购网”()列入政府采购严重违法失信行为记录名单。）或（被“信用中国”或“中国政府采购网”列入……名单。）</w:t>
      </w:r>
    </w:p>
    <w:p w14:paraId="3F5A8CB1">
      <w:pPr>
        <w:numPr>
          <w:ilvl w:val="0"/>
          <w:numId w:val="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如有下列情形之一的，我方愿意被取消中标资格（如中标），同时继续承担其他一切法律后果，并不再寻求任何旨在减轻或免除法律责任的解释：</w:t>
      </w:r>
    </w:p>
    <w:p w14:paraId="4838F7F2">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（1）提供虚假材料（承诺）谋取中标、成交的；</w:t>
      </w:r>
    </w:p>
    <w:p w14:paraId="7403175C">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（2）采取不正当手段诋毁、排挤其他供应商的；</w:t>
      </w:r>
    </w:p>
    <w:p w14:paraId="0548E398">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（3）与采购人、其他供应商或者采购代理机构恶意串通的；</w:t>
      </w:r>
    </w:p>
    <w:p w14:paraId="55F4FBB9">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（4）向采购人、采购代理机构行贿或者提供其他不正当利益的；</w:t>
      </w:r>
    </w:p>
    <w:p w14:paraId="76D7DC42">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（5）在招标采购过程中与采购人进行协商谈判的；</w:t>
      </w:r>
    </w:p>
    <w:p w14:paraId="20FC1ADD">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（6）拒绝有关部门监督检查或提供虚假情况的。</w:t>
      </w:r>
    </w:p>
    <w:p w14:paraId="495AC033">
      <w:pPr>
        <w:numPr>
          <w:ilvl w:val="0"/>
          <w:numId w:val="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所有与本投标有关的函件请发往下列地址：</w:t>
      </w:r>
    </w:p>
    <w:p w14:paraId="31F23B54">
      <w:pPr>
        <w:spacing w:line="42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r>
        <w:rPr>
          <w:rFonts w:hint="eastAsia" w:ascii="新宋体" w:hAnsi="新宋体" w:eastAsia="新宋体" w:cs="新宋体"/>
          <w:color w:val="auto"/>
          <w:sz w:val="22"/>
          <w:szCs w:val="22"/>
          <w:highlight w:val="none"/>
          <w:u w:val="single"/>
        </w:rPr>
        <w:t xml:space="preserve">                           </w:t>
      </w:r>
    </w:p>
    <w:p w14:paraId="7355ACEB">
      <w:pPr>
        <w:spacing w:line="42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p>
    <w:p w14:paraId="22FDA689">
      <w:pPr>
        <w:spacing w:line="420" w:lineRule="exact"/>
        <w:ind w:firstLine="435"/>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14:paraId="53841F1D">
      <w:pPr>
        <w:spacing w:line="420" w:lineRule="exact"/>
        <w:ind w:firstLine="770" w:firstLineChars="350"/>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p>
    <w:p w14:paraId="0FA3B49A">
      <w:pPr>
        <w:autoSpaceDE w:val="0"/>
        <w:autoSpaceDN w:val="0"/>
        <w:adjustRightInd w:val="0"/>
        <w:spacing w:line="440" w:lineRule="atLeast"/>
        <w:rPr>
          <w:rFonts w:cs="新宋体" w:asciiTheme="majorEastAsia" w:hAnsiTheme="majorEastAsia" w:eastAsiaTheme="majorEastAsia"/>
          <w:color w:val="auto"/>
          <w:sz w:val="22"/>
          <w:szCs w:val="22"/>
          <w:highlight w:val="none"/>
        </w:rPr>
      </w:pPr>
    </w:p>
    <w:p w14:paraId="5AD5D87A">
      <w:pPr>
        <w:autoSpaceDE w:val="0"/>
        <w:autoSpaceDN w:val="0"/>
        <w:adjustRightInd w:val="0"/>
        <w:spacing w:line="440" w:lineRule="atLeast"/>
        <w:ind w:firstLine="1980" w:firstLineChars="900"/>
        <w:rPr>
          <w:rFonts w:cs="新宋体" w:asciiTheme="majorEastAsia" w:hAnsiTheme="majorEastAsia" w:eastAsiaTheme="majorEastAsia"/>
          <w:color w:val="auto"/>
          <w:sz w:val="22"/>
          <w:szCs w:val="22"/>
          <w:highlight w:val="none"/>
          <w:lang w:val="zh-CN"/>
        </w:rPr>
      </w:pPr>
    </w:p>
    <w:p w14:paraId="7F1688EA">
      <w:pPr>
        <w:autoSpaceDE w:val="0"/>
        <w:autoSpaceDN w:val="0"/>
        <w:adjustRightInd w:val="0"/>
        <w:spacing w:line="440" w:lineRule="atLeast"/>
        <w:jc w:val="left"/>
        <w:rPr>
          <w:rFonts w:cs="新宋体" w:asciiTheme="majorEastAsia" w:hAnsiTheme="majorEastAsia" w:eastAsiaTheme="majorEastAsia"/>
          <w:color w:val="auto"/>
          <w:sz w:val="22"/>
          <w:szCs w:val="22"/>
          <w:highlight w:val="none"/>
          <w:lang w:val="zh-CN"/>
        </w:rPr>
      </w:pPr>
      <w:r>
        <w:rPr>
          <w:rFonts w:hint="eastAsia" w:cs="新宋体" w:asciiTheme="majorEastAsia" w:hAnsiTheme="majorEastAsia" w:eastAsiaTheme="majorEastAsia"/>
          <w:color w:val="auto"/>
          <w:sz w:val="22"/>
          <w:szCs w:val="22"/>
          <w:highlight w:val="none"/>
          <w:lang w:val="zh-CN"/>
        </w:rPr>
        <w:t>供应商全称（盖章）：</w:t>
      </w:r>
    </w:p>
    <w:p w14:paraId="16C5588E">
      <w:pPr>
        <w:autoSpaceDE w:val="0"/>
        <w:autoSpaceDN w:val="0"/>
        <w:adjustRightInd w:val="0"/>
        <w:spacing w:line="440" w:lineRule="atLeast"/>
        <w:jc w:val="left"/>
        <w:rPr>
          <w:rFonts w:cs="新宋体" w:asciiTheme="majorEastAsia" w:hAnsiTheme="majorEastAsia" w:eastAsiaTheme="majorEastAsia"/>
          <w:color w:val="auto"/>
          <w:sz w:val="22"/>
          <w:szCs w:val="22"/>
          <w:highlight w:val="none"/>
          <w:lang w:val="zh-CN"/>
        </w:rPr>
      </w:pPr>
      <w:r>
        <w:rPr>
          <w:rFonts w:hint="eastAsia" w:cs="新宋体" w:asciiTheme="majorEastAsia" w:hAnsiTheme="majorEastAsia" w:eastAsiaTheme="majorEastAsia"/>
          <w:color w:val="auto"/>
          <w:sz w:val="22"/>
          <w:szCs w:val="22"/>
          <w:highlight w:val="none"/>
          <w:lang w:val="zh-CN"/>
        </w:rPr>
        <w:t>日期：</w:t>
      </w:r>
    </w:p>
    <w:p w14:paraId="702A2CB4">
      <w:pPr>
        <w:autoSpaceDE w:val="0"/>
        <w:autoSpaceDN w:val="0"/>
        <w:adjustRightInd w:val="0"/>
        <w:snapToGrid w:val="0"/>
        <w:spacing w:line="480" w:lineRule="atLeast"/>
        <w:ind w:firstLine="440" w:firstLineChars="200"/>
        <w:jc w:val="left"/>
        <w:rPr>
          <w:rFonts w:cs="仿宋_GB2312" w:asciiTheme="majorEastAsia" w:hAnsiTheme="majorEastAsia" w:eastAsiaTheme="majorEastAsia"/>
          <w:color w:val="auto"/>
          <w:sz w:val="22"/>
          <w:highlight w:val="none"/>
          <w:lang w:val="zh-CN"/>
        </w:rPr>
      </w:pPr>
    </w:p>
    <w:p w14:paraId="2604DAEB">
      <w:pPr>
        <w:rPr>
          <w:rFonts w:asciiTheme="majorEastAsia" w:hAnsiTheme="majorEastAsia" w:eastAsiaTheme="majorEastAsia"/>
          <w:b/>
          <w:bCs/>
          <w:color w:val="auto"/>
          <w:sz w:val="22"/>
          <w:szCs w:val="22"/>
          <w:highlight w:val="none"/>
        </w:rPr>
      </w:pPr>
      <w:bookmarkStart w:id="175" w:name="_Toc493530219"/>
      <w:r>
        <w:rPr>
          <w:rFonts w:hint="eastAsia" w:asciiTheme="majorEastAsia" w:hAnsiTheme="majorEastAsia" w:eastAsiaTheme="majorEastAsia"/>
          <w:b/>
          <w:bCs/>
          <w:color w:val="auto"/>
          <w:sz w:val="22"/>
          <w:szCs w:val="22"/>
          <w:highlight w:val="none"/>
        </w:rPr>
        <w:br w:type="page"/>
      </w:r>
    </w:p>
    <w:p w14:paraId="5E573D66">
      <w:pPr>
        <w:widowControl/>
        <w:spacing w:line="460" w:lineRule="atLeast"/>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b/>
          <w:bCs/>
          <w:color w:val="auto"/>
          <w:sz w:val="22"/>
          <w:szCs w:val="22"/>
          <w:highlight w:val="none"/>
        </w:rPr>
        <w:t>附件</w:t>
      </w:r>
      <w:bookmarkEnd w:id="175"/>
      <w:r>
        <w:rPr>
          <w:rFonts w:hint="eastAsia" w:asciiTheme="majorEastAsia" w:hAnsiTheme="majorEastAsia" w:eastAsiaTheme="majorEastAsia"/>
          <w:b/>
          <w:bCs/>
          <w:color w:val="auto"/>
          <w:sz w:val="22"/>
          <w:szCs w:val="22"/>
          <w:highlight w:val="none"/>
        </w:rPr>
        <w:t>五</w:t>
      </w:r>
    </w:p>
    <w:p w14:paraId="2CB34B1F">
      <w:pPr>
        <w:tabs>
          <w:tab w:val="left" w:pos="1080"/>
        </w:tabs>
        <w:autoSpaceDE w:val="0"/>
        <w:autoSpaceDN w:val="0"/>
        <w:adjustRightInd w:val="0"/>
        <w:spacing w:line="440" w:lineRule="atLeast"/>
        <w:jc w:val="center"/>
        <w:rPr>
          <w:rFonts w:cs="新宋体" w:asciiTheme="majorEastAsia" w:hAnsiTheme="majorEastAsia" w:eastAsiaTheme="majorEastAsia"/>
          <w:b/>
          <w:color w:val="auto"/>
          <w:sz w:val="32"/>
          <w:szCs w:val="32"/>
          <w:highlight w:val="none"/>
          <w:lang w:val="zh-CN"/>
        </w:rPr>
      </w:pPr>
      <w:r>
        <w:rPr>
          <w:rFonts w:hint="eastAsia" w:cs="新宋体" w:asciiTheme="majorEastAsia" w:hAnsiTheme="majorEastAsia" w:eastAsiaTheme="majorEastAsia"/>
          <w:b/>
          <w:color w:val="auto"/>
          <w:sz w:val="32"/>
          <w:szCs w:val="32"/>
          <w:highlight w:val="none"/>
          <w:lang w:val="zh-CN"/>
        </w:rPr>
        <w:t>法定代表人诚信投标承诺书</w:t>
      </w:r>
    </w:p>
    <w:p w14:paraId="09AA4FCB">
      <w:pPr>
        <w:spacing w:line="360" w:lineRule="auto"/>
        <w:jc w:val="left"/>
        <w:rPr>
          <w:rFonts w:cs="新宋体" w:asciiTheme="majorEastAsia" w:hAnsiTheme="majorEastAsia" w:eastAsiaTheme="majorEastAsia"/>
          <w:b/>
          <w:color w:val="auto"/>
          <w:sz w:val="24"/>
          <w:highlight w:val="none"/>
        </w:rPr>
      </w:pPr>
    </w:p>
    <w:p w14:paraId="203742A7">
      <w:pPr>
        <w:spacing w:line="460" w:lineRule="atLeast"/>
        <w:jc w:val="left"/>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本人以企业法定代表人的身份郑重承诺：</w:t>
      </w:r>
    </w:p>
    <w:p w14:paraId="148B6ABD">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将遵循公开、公平、公正和诚信信用的原则参加</w:t>
      </w:r>
      <w:r>
        <w:rPr>
          <w:rFonts w:hint="eastAsia" w:cs="新宋体" w:asciiTheme="majorEastAsia" w:hAnsiTheme="majorEastAsia" w:eastAsiaTheme="majorEastAsia"/>
          <w:color w:val="auto"/>
          <w:sz w:val="22"/>
          <w:szCs w:val="22"/>
          <w:highlight w:val="none"/>
          <w:u w:val="single"/>
        </w:rPr>
        <w:t xml:space="preserve">              项目（项目编号：   ）</w:t>
      </w:r>
      <w:r>
        <w:rPr>
          <w:rFonts w:hint="eastAsia" w:cs="新宋体" w:asciiTheme="majorEastAsia" w:hAnsiTheme="majorEastAsia" w:eastAsiaTheme="majorEastAsia"/>
          <w:color w:val="auto"/>
          <w:sz w:val="22"/>
          <w:szCs w:val="22"/>
          <w:highlight w:val="none"/>
        </w:rPr>
        <w:t>的投标；</w:t>
      </w:r>
    </w:p>
    <w:p w14:paraId="4B61A6E9">
      <w:pPr>
        <w:spacing w:line="460" w:lineRule="atLeast"/>
        <w:ind w:firstLine="440" w:firstLineChars="200"/>
        <w:jc w:val="left"/>
        <w:rPr>
          <w:rFonts w:cs="新宋体" w:asciiTheme="majorEastAsia" w:hAnsiTheme="majorEastAsia" w:eastAsiaTheme="majorEastAsia"/>
          <w:color w:val="auto"/>
          <w:sz w:val="22"/>
          <w:szCs w:val="22"/>
          <w:highlight w:val="none"/>
          <w:u w:val="single"/>
        </w:rPr>
      </w:pPr>
      <w:r>
        <w:rPr>
          <w:rFonts w:hint="eastAsia" w:cs="新宋体" w:asciiTheme="majorEastAsia" w:hAnsiTheme="majorEastAsia" w:eastAsiaTheme="majorEastAsia"/>
          <w:color w:val="auto"/>
          <w:sz w:val="22"/>
          <w:szCs w:val="22"/>
          <w:highlight w:val="none"/>
        </w:rPr>
        <w:t>一、杜绝以收取管理费等形式的一切挂靠、违法转包、分包行为；并选派有丰富经验、无不良行为记录的项目管理人员、技术人员，严格按招标文件、投标文件及合同等要求保证拟派人员地到岗率。</w:t>
      </w:r>
    </w:p>
    <w:p w14:paraId="1D112294">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二、投标文件所提供的一切材料都是真实、有效、合法的。</w:t>
      </w:r>
    </w:p>
    <w:p w14:paraId="32FFC8BA">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三、不与其他投标供应商相互串通投标报价，不排挤其他投标供应商的公平竞争，不损害招标人或其他投标供应商的合法权益。</w:t>
      </w:r>
    </w:p>
    <w:p w14:paraId="27CBEAED">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四、不与采购人或采购代理机构串通投标，不损害国家利益，社会公共利益或其他人的合法权益。</w:t>
      </w:r>
    </w:p>
    <w:p w14:paraId="1445569C">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五、不向采购人或者评标委员会成员行贿以牟取中标。</w:t>
      </w:r>
    </w:p>
    <w:p w14:paraId="33D5858D">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六、不以其他人名义投标或者以其他方式弄虚作假，骗取中标。</w:t>
      </w:r>
    </w:p>
    <w:p w14:paraId="51CAA7F1">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七、不在开标后进行虚假恶意投诉。</w:t>
      </w:r>
    </w:p>
    <w:p w14:paraId="7183C70B">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64639BEE">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 xml:space="preserve">九、没有被各地、各级财政部门禁止参加政府采购活动，且在限制期限内：    </w:t>
      </w:r>
    </w:p>
    <w:p w14:paraId="5C43FAFB">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十、参与本项目政府采购活动3年内没有重大违法记录情况。</w:t>
      </w:r>
    </w:p>
    <w:p w14:paraId="6E058A11">
      <w:pPr>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本公司若有违反本承诺内容的行为，愿意承担法律责任，包括不限于：愿意接受相关行政主管部门作出的处罚；给采购人造成损失的，依法承担相应的赔偿责任。</w:t>
      </w:r>
    </w:p>
    <w:p w14:paraId="0AECCE78">
      <w:pPr>
        <w:spacing w:line="460" w:lineRule="atLeast"/>
        <w:ind w:right="1120" w:firstLine="2970" w:firstLineChars="1350"/>
        <w:rPr>
          <w:rFonts w:cs="新宋体"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法定代表人（签字或盖章）：</w:t>
      </w:r>
    </w:p>
    <w:p w14:paraId="18F7D556">
      <w:pPr>
        <w:spacing w:line="460" w:lineRule="atLeast"/>
        <w:ind w:right="1120" w:firstLine="2970" w:firstLineChars="135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投标供应商（盖章）</w:t>
      </w:r>
    </w:p>
    <w:p w14:paraId="1071E452">
      <w:pPr>
        <w:spacing w:line="460" w:lineRule="atLeast"/>
        <w:ind w:right="1120" w:firstLine="2970" w:firstLineChars="135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sz w:val="22"/>
          <w:szCs w:val="22"/>
          <w:highlight w:val="none"/>
        </w:rPr>
        <w:t>承诺书签署日期：         年  月  日</w:t>
      </w:r>
    </w:p>
    <w:p w14:paraId="22909C03">
      <w:pPr>
        <w:spacing w:line="360" w:lineRule="exact"/>
        <w:jc w:val="left"/>
        <w:rPr>
          <w:rFonts w:cs="新宋体" w:asciiTheme="majorEastAsia" w:hAnsiTheme="majorEastAsia" w:eastAsiaTheme="majorEastAsia"/>
          <w:b/>
          <w:bCs/>
          <w:color w:val="auto"/>
          <w:sz w:val="22"/>
          <w:szCs w:val="22"/>
          <w:highlight w:val="none"/>
          <w:u w:val="single"/>
        </w:rPr>
      </w:pPr>
    </w:p>
    <w:p w14:paraId="6EBBA289">
      <w:pPr>
        <w:spacing w:line="360" w:lineRule="exact"/>
        <w:jc w:val="left"/>
        <w:rPr>
          <w:rFonts w:cs="新宋体" w:asciiTheme="majorEastAsia" w:hAnsiTheme="majorEastAsia" w:eastAsiaTheme="majorEastAsia"/>
          <w:b/>
          <w:color w:val="auto"/>
          <w:sz w:val="30"/>
          <w:highlight w:val="none"/>
        </w:rPr>
      </w:pPr>
      <w:r>
        <w:rPr>
          <w:rFonts w:hint="eastAsia" w:cs="新宋体" w:asciiTheme="majorEastAsia" w:hAnsiTheme="majorEastAsia" w:eastAsiaTheme="majorEastAsia"/>
          <w:b/>
          <w:color w:val="auto"/>
          <w:sz w:val="22"/>
          <w:szCs w:val="22"/>
          <w:highlight w:val="none"/>
          <w:u w:val="single"/>
        </w:rPr>
        <w:t>备注：▲投标供应商必须提供本承诺书，不提供按无效投标处理。</w:t>
      </w:r>
    </w:p>
    <w:p w14:paraId="35C521AA">
      <w:pPr>
        <w:tabs>
          <w:tab w:val="left" w:pos="2520"/>
        </w:tabs>
        <w:spacing w:line="440" w:lineRule="exact"/>
        <w:outlineLvl w:val="0"/>
        <w:rPr>
          <w:rFonts w:cs="新宋体" w:asciiTheme="majorEastAsia" w:hAnsiTheme="majorEastAsia" w:eastAsiaTheme="majorEastAsia"/>
          <w:color w:val="auto"/>
          <w:highlight w:val="none"/>
        </w:rPr>
      </w:pPr>
    </w:p>
    <w:p w14:paraId="06FF2637">
      <w:pPr>
        <w:tabs>
          <w:tab w:val="left" w:pos="2520"/>
        </w:tabs>
        <w:spacing w:line="440" w:lineRule="exact"/>
        <w:outlineLvl w:val="0"/>
        <w:rPr>
          <w:rFonts w:cs="新宋体" w:asciiTheme="majorEastAsia" w:hAnsiTheme="majorEastAsia" w:eastAsiaTheme="majorEastAsia"/>
          <w:color w:val="auto"/>
          <w:highlight w:val="none"/>
        </w:rPr>
      </w:pPr>
    </w:p>
    <w:p w14:paraId="4E1B9F7A">
      <w:pPr>
        <w:widowControl/>
        <w:spacing w:line="460" w:lineRule="atLeast"/>
        <w:jc w:val="left"/>
        <w:rPr>
          <w:rFonts w:asciiTheme="majorEastAsia" w:hAnsiTheme="majorEastAsia" w:eastAsiaTheme="majorEastAsia"/>
          <w:b/>
          <w:bCs/>
          <w:color w:val="auto"/>
          <w:sz w:val="22"/>
          <w:szCs w:val="22"/>
          <w:highlight w:val="none"/>
        </w:rPr>
      </w:pPr>
      <w:r>
        <w:rPr>
          <w:rFonts w:asciiTheme="majorEastAsia" w:hAnsiTheme="majorEastAsia" w:eastAsiaTheme="majorEastAsia"/>
          <w:color w:val="auto"/>
          <w:sz w:val="22"/>
          <w:szCs w:val="22"/>
          <w:highlight w:val="none"/>
        </w:rPr>
        <w:br w:type="page"/>
      </w:r>
      <w:bookmarkStart w:id="176" w:name="_Toc509485354"/>
      <w:r>
        <w:rPr>
          <w:rFonts w:hint="eastAsia" w:asciiTheme="majorEastAsia" w:hAnsiTheme="majorEastAsia" w:eastAsiaTheme="majorEastAsia"/>
          <w:b/>
          <w:color w:val="auto"/>
          <w:sz w:val="22"/>
          <w:szCs w:val="22"/>
          <w:highlight w:val="none"/>
        </w:rPr>
        <w:t>附件</w:t>
      </w:r>
      <w:bookmarkEnd w:id="176"/>
      <w:r>
        <w:rPr>
          <w:rFonts w:hint="eastAsia" w:asciiTheme="majorEastAsia" w:hAnsiTheme="majorEastAsia" w:eastAsiaTheme="majorEastAsia"/>
          <w:b/>
          <w:color w:val="auto"/>
          <w:sz w:val="22"/>
          <w:szCs w:val="22"/>
          <w:highlight w:val="none"/>
        </w:rPr>
        <w:t>六</w:t>
      </w:r>
    </w:p>
    <w:p w14:paraId="024351CB">
      <w:pPr>
        <w:pStyle w:val="40"/>
        <w:rPr>
          <w:rFonts w:asciiTheme="majorEastAsia" w:hAnsiTheme="majorEastAsia" w:eastAsiaTheme="majorEastAsia"/>
          <w:color w:val="auto"/>
          <w:highlight w:val="none"/>
        </w:rPr>
      </w:pPr>
      <w:bookmarkStart w:id="177" w:name="_Toc459450868"/>
      <w:bookmarkStart w:id="178" w:name="_Toc68189108"/>
      <w:bookmarkStart w:id="179" w:name="_Toc61444218"/>
      <w:bookmarkStart w:id="180" w:name="_Toc522469121"/>
      <w:bookmarkStart w:id="181" w:name="_Toc430717503"/>
      <w:bookmarkStart w:id="182" w:name="_Toc19204522"/>
      <w:bookmarkStart w:id="183" w:name="_Toc26971"/>
      <w:bookmarkStart w:id="184" w:name="_Toc410055446"/>
      <w:bookmarkStart w:id="185" w:name="_Toc404262445"/>
      <w:bookmarkStart w:id="186" w:name="_Toc68187558"/>
      <w:bookmarkStart w:id="187" w:name="_Toc42243289"/>
      <w:bookmarkStart w:id="188" w:name="_Toc87518415"/>
      <w:bookmarkStart w:id="189" w:name="_Toc518512536"/>
      <w:bookmarkStart w:id="190" w:name="_Toc42678697"/>
      <w:bookmarkStart w:id="191" w:name="_Toc96970928"/>
      <w:bookmarkStart w:id="192" w:name="_Toc459361857"/>
      <w:bookmarkStart w:id="193" w:name="_Toc9334951"/>
      <w:bookmarkStart w:id="194" w:name="_Toc855"/>
      <w:bookmarkStart w:id="195" w:name="_Toc427581337"/>
      <w:bookmarkStart w:id="196" w:name="_Toc402360964"/>
      <w:bookmarkStart w:id="197" w:name="_Toc402361081"/>
      <w:bookmarkStart w:id="198" w:name="_Toc65590099"/>
      <w:bookmarkStart w:id="199" w:name="_Toc42678618"/>
      <w:bookmarkStart w:id="200" w:name="_Toc42678186"/>
      <w:bookmarkStart w:id="201" w:name="_Toc438150553"/>
      <w:bookmarkStart w:id="202" w:name="_Toc65830027"/>
      <w:bookmarkStart w:id="203" w:name="_Toc42678031"/>
      <w:bookmarkStart w:id="204" w:name="_Toc496618934"/>
      <w:bookmarkStart w:id="205" w:name="_Toc87518592"/>
      <w:bookmarkStart w:id="206" w:name="_Toc68188794"/>
      <w:bookmarkStart w:id="207" w:name="_Toc511045483"/>
      <w:bookmarkStart w:id="208" w:name="_Toc491606420"/>
      <w:bookmarkStart w:id="209" w:name="_Toc7382"/>
      <w:bookmarkStart w:id="210" w:name="_Toc97033070"/>
      <w:bookmarkStart w:id="211" w:name="_Toc15893"/>
      <w:r>
        <w:rPr>
          <w:rFonts w:hint="eastAsia" w:asciiTheme="majorEastAsia" w:hAnsiTheme="majorEastAsia" w:eastAsiaTheme="majorEastAsia"/>
          <w:color w:val="auto"/>
          <w:highlight w:val="none"/>
        </w:rPr>
        <w:t>法定代表人授权书</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2F515CB5">
      <w:pPr>
        <w:spacing w:line="480" w:lineRule="auto"/>
        <w:rPr>
          <w:rFonts w:asciiTheme="majorEastAsia" w:hAnsiTheme="majorEastAsia" w:eastAsiaTheme="majorEastAsia"/>
          <w:b/>
          <w:color w:val="auto"/>
          <w:sz w:val="22"/>
          <w:szCs w:val="22"/>
          <w:highlight w:val="none"/>
        </w:rPr>
      </w:pPr>
      <w:r>
        <w:rPr>
          <w:rFonts w:hint="eastAsia" w:asciiTheme="majorEastAsia" w:hAnsiTheme="majorEastAsia" w:eastAsiaTheme="majorEastAsia"/>
          <w:b/>
          <w:color w:val="auto"/>
          <w:sz w:val="22"/>
          <w:szCs w:val="22"/>
          <w:highlight w:val="none"/>
          <w:u w:val="single"/>
        </w:rPr>
        <w:t>（采购人名称）</w:t>
      </w:r>
      <w:r>
        <w:rPr>
          <w:rFonts w:hint="eastAsia" w:asciiTheme="majorEastAsia" w:hAnsiTheme="majorEastAsia" w:eastAsiaTheme="majorEastAsia"/>
          <w:b/>
          <w:color w:val="auto"/>
          <w:sz w:val="22"/>
          <w:szCs w:val="22"/>
          <w:highlight w:val="none"/>
          <w:lang w:val="zh-CN"/>
        </w:rPr>
        <w:t>：</w:t>
      </w:r>
    </w:p>
    <w:p w14:paraId="4A555F4E">
      <w:pPr>
        <w:spacing w:line="480" w:lineRule="auto"/>
        <w:ind w:firstLine="440" w:firstLineChars="20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本授权委托书声明：我</w:t>
      </w:r>
      <w:r>
        <w:rPr>
          <w:rFonts w:hint="eastAsia" w:asciiTheme="majorEastAsia" w:hAnsiTheme="majorEastAsia" w:eastAsiaTheme="majorEastAsia"/>
          <w:color w:val="auto"/>
          <w:sz w:val="22"/>
          <w:szCs w:val="22"/>
          <w:highlight w:val="none"/>
          <w:u w:val="single"/>
        </w:rPr>
        <w:t xml:space="preserve">   （法定代表人姓名）   </w:t>
      </w:r>
      <w:r>
        <w:rPr>
          <w:rFonts w:hint="eastAsia" w:asciiTheme="majorEastAsia" w:hAnsiTheme="majorEastAsia" w:eastAsiaTheme="majorEastAsia"/>
          <w:color w:val="auto"/>
          <w:sz w:val="22"/>
          <w:szCs w:val="22"/>
          <w:highlight w:val="none"/>
        </w:rPr>
        <w:t>系</w:t>
      </w:r>
      <w:r>
        <w:rPr>
          <w:rFonts w:hint="eastAsia" w:asciiTheme="majorEastAsia" w:hAnsiTheme="majorEastAsia" w:eastAsiaTheme="majorEastAsia"/>
          <w:color w:val="auto"/>
          <w:sz w:val="22"/>
          <w:szCs w:val="22"/>
          <w:highlight w:val="none"/>
          <w:u w:val="single"/>
        </w:rPr>
        <w:t xml:space="preserve">   （供 应 商 名 称）  </w:t>
      </w:r>
      <w:r>
        <w:rPr>
          <w:rFonts w:hint="eastAsia" w:asciiTheme="majorEastAsia" w:hAnsiTheme="majorEastAsia" w:eastAsiaTheme="majorEastAsia"/>
          <w:color w:val="auto"/>
          <w:sz w:val="22"/>
          <w:szCs w:val="22"/>
          <w:highlight w:val="none"/>
        </w:rPr>
        <w:t>的法定代表人，现授权委托</w:t>
      </w:r>
      <w:r>
        <w:rPr>
          <w:rFonts w:hint="eastAsia" w:asciiTheme="majorEastAsia" w:hAnsiTheme="majorEastAsia" w:eastAsiaTheme="majorEastAsia"/>
          <w:color w:val="auto"/>
          <w:sz w:val="22"/>
          <w:szCs w:val="22"/>
          <w:highlight w:val="none"/>
          <w:u w:val="single"/>
        </w:rPr>
        <w:t xml:space="preserve">  （单 位 名 称）   </w:t>
      </w:r>
      <w:r>
        <w:rPr>
          <w:rFonts w:hint="eastAsia" w:asciiTheme="majorEastAsia" w:hAnsiTheme="majorEastAsia" w:eastAsiaTheme="majorEastAsia"/>
          <w:color w:val="auto"/>
          <w:sz w:val="22"/>
          <w:szCs w:val="22"/>
          <w:highlight w:val="none"/>
        </w:rPr>
        <w:t>的</w:t>
      </w:r>
      <w:r>
        <w:rPr>
          <w:rFonts w:hint="eastAsia" w:asciiTheme="majorEastAsia" w:hAnsiTheme="majorEastAsia" w:eastAsiaTheme="majorEastAsia"/>
          <w:color w:val="auto"/>
          <w:sz w:val="22"/>
          <w:szCs w:val="22"/>
          <w:highlight w:val="none"/>
          <w:u w:val="single"/>
        </w:rPr>
        <w:t xml:space="preserve">  （授权代表姓名）  </w:t>
      </w:r>
      <w:r>
        <w:rPr>
          <w:rFonts w:hint="eastAsia" w:asciiTheme="majorEastAsia" w:hAnsiTheme="majorEastAsia" w:eastAsiaTheme="majorEastAsia"/>
          <w:color w:val="auto"/>
          <w:sz w:val="22"/>
          <w:szCs w:val="22"/>
          <w:highlight w:val="none"/>
        </w:rPr>
        <w:t>为我公司法定代表人授权代表，参加贵处组织的</w:t>
      </w:r>
      <w:r>
        <w:rPr>
          <w:rFonts w:hint="eastAsia" w:asciiTheme="majorEastAsia" w:hAnsiTheme="majorEastAsia" w:eastAsiaTheme="majorEastAsia"/>
          <w:color w:val="auto"/>
          <w:sz w:val="22"/>
          <w:szCs w:val="22"/>
          <w:highlight w:val="none"/>
          <w:u w:val="single"/>
        </w:rPr>
        <w:t xml:space="preserve">  （招标项目名称，括号中填写项目编号）  </w:t>
      </w:r>
      <w:r>
        <w:rPr>
          <w:rFonts w:hint="eastAsia" w:asciiTheme="majorEastAsia" w:hAnsiTheme="majorEastAsia" w:eastAsiaTheme="majorEastAsia"/>
          <w:color w:val="auto"/>
          <w:sz w:val="22"/>
          <w:szCs w:val="22"/>
          <w:highlight w:val="none"/>
        </w:rPr>
        <w:t>项目投标，全权处理本次招投标活动中的一切事宜，我承认授权代表全权代表我所签署的本项目的投标文件的内容。</w:t>
      </w:r>
    </w:p>
    <w:p w14:paraId="2247A205">
      <w:pPr>
        <w:spacing w:line="480" w:lineRule="auto"/>
        <w:ind w:firstLine="440" w:firstLineChars="20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授权代表无转授权，特此授权</w:t>
      </w:r>
    </w:p>
    <w:p w14:paraId="1ED49185">
      <w:pPr>
        <w:spacing w:line="360" w:lineRule="auto"/>
        <w:ind w:left="1260"/>
        <w:rPr>
          <w:rFonts w:asciiTheme="majorEastAsia" w:hAnsiTheme="majorEastAsia" w:eastAsiaTheme="majorEastAsia"/>
          <w:color w:val="auto"/>
          <w:sz w:val="22"/>
          <w:szCs w:val="22"/>
          <w:highlight w:val="none"/>
        </w:rPr>
      </w:pPr>
    </w:p>
    <w:p w14:paraId="04CD9633">
      <w:pPr>
        <w:spacing w:line="480" w:lineRule="auto"/>
        <w:ind w:left="2100" w:leftChars="1000" w:firstLine="440" w:firstLineChars="200"/>
        <w:rPr>
          <w:rFonts w:asciiTheme="majorEastAsia" w:hAnsiTheme="majorEastAsia" w:eastAsiaTheme="majorEastAsia"/>
          <w:color w:val="auto"/>
          <w:sz w:val="22"/>
          <w:szCs w:val="22"/>
          <w:highlight w:val="none"/>
          <w:u w:val="single"/>
        </w:rPr>
      </w:pPr>
      <w:r>
        <w:rPr>
          <w:rFonts w:hint="eastAsia" w:asciiTheme="majorEastAsia" w:hAnsiTheme="majorEastAsia" w:eastAsiaTheme="majorEastAsia"/>
          <w:color w:val="auto"/>
          <w:sz w:val="22"/>
          <w:szCs w:val="22"/>
          <w:highlight w:val="none"/>
        </w:rPr>
        <w:t>授权代表： 性别 ：</w:t>
      </w:r>
    </w:p>
    <w:p w14:paraId="5766396B">
      <w:pPr>
        <w:spacing w:line="480" w:lineRule="auto"/>
        <w:ind w:left="2100" w:leftChars="1000" w:firstLine="440" w:firstLineChars="200"/>
        <w:rPr>
          <w:rFonts w:asciiTheme="majorEastAsia" w:hAnsiTheme="majorEastAsia" w:eastAsiaTheme="majorEastAsia"/>
          <w:color w:val="auto"/>
          <w:sz w:val="22"/>
          <w:szCs w:val="22"/>
          <w:highlight w:val="none"/>
          <w:u w:val="single"/>
        </w:rPr>
      </w:pPr>
      <w:r>
        <w:rPr>
          <w:rFonts w:hint="eastAsia" w:asciiTheme="majorEastAsia" w:hAnsiTheme="majorEastAsia" w:eastAsiaTheme="majorEastAsia"/>
          <w:color w:val="auto"/>
          <w:sz w:val="22"/>
          <w:szCs w:val="22"/>
          <w:highlight w:val="none"/>
        </w:rPr>
        <w:t>职务：年龄：</w:t>
      </w:r>
    </w:p>
    <w:p w14:paraId="036F926F">
      <w:pPr>
        <w:spacing w:line="480" w:lineRule="auto"/>
        <w:ind w:left="2100" w:leftChars="1000" w:firstLine="440" w:firstLineChars="200"/>
        <w:rPr>
          <w:rFonts w:asciiTheme="majorEastAsia" w:hAnsiTheme="majorEastAsia" w:eastAsiaTheme="majorEastAsia"/>
          <w:color w:val="auto"/>
          <w:sz w:val="22"/>
          <w:szCs w:val="22"/>
          <w:highlight w:val="none"/>
          <w:u w:val="single"/>
        </w:rPr>
      </w:pPr>
      <w:r>
        <w:rPr>
          <w:rFonts w:hint="eastAsia" w:asciiTheme="majorEastAsia" w:hAnsiTheme="majorEastAsia" w:eastAsiaTheme="majorEastAsia"/>
          <w:color w:val="auto"/>
          <w:sz w:val="22"/>
          <w:szCs w:val="22"/>
          <w:highlight w:val="none"/>
        </w:rPr>
        <w:t>详细通信地址： 邮政编码：</w:t>
      </w:r>
    </w:p>
    <w:p w14:paraId="42CECB91">
      <w:pPr>
        <w:spacing w:line="480" w:lineRule="auto"/>
        <w:ind w:left="1" w:firstLine="2510" w:firstLineChars="1141"/>
        <w:rPr>
          <w:rFonts w:asciiTheme="majorEastAsia" w:hAnsiTheme="majorEastAsia" w:eastAsiaTheme="majorEastAsia"/>
          <w:color w:val="auto"/>
          <w:sz w:val="22"/>
          <w:szCs w:val="22"/>
          <w:highlight w:val="none"/>
          <w:u w:val="single"/>
        </w:rPr>
      </w:pPr>
      <w:r>
        <w:rPr>
          <w:rFonts w:hint="eastAsia" w:asciiTheme="majorEastAsia" w:hAnsiTheme="majorEastAsia" w:eastAsiaTheme="majorEastAsia"/>
          <w:color w:val="auto"/>
          <w:sz w:val="22"/>
          <w:szCs w:val="22"/>
          <w:highlight w:val="none"/>
        </w:rPr>
        <w:t>电话： 传真：</w:t>
      </w:r>
    </w:p>
    <w:p w14:paraId="075275D3">
      <w:pPr>
        <w:spacing w:line="480" w:lineRule="auto"/>
        <w:ind w:left="1" w:firstLine="422" w:firstLineChars="192"/>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 xml:space="preserve">                   投标供应商：</w:t>
      </w:r>
      <w:r>
        <w:rPr>
          <w:rFonts w:hint="eastAsia" w:asciiTheme="majorEastAsia" w:hAnsiTheme="majorEastAsia" w:eastAsiaTheme="majorEastAsia"/>
          <w:color w:val="auto"/>
          <w:sz w:val="22"/>
          <w:szCs w:val="22"/>
          <w:highlight w:val="none"/>
          <w:u w:val="single"/>
        </w:rPr>
        <w:t xml:space="preserve">                              （盖章）</w:t>
      </w:r>
    </w:p>
    <w:p w14:paraId="549AB8A0">
      <w:pPr>
        <w:spacing w:line="480" w:lineRule="auto"/>
        <w:ind w:left="2100" w:right="440"/>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 xml:space="preserve">   法定代表人：</w:t>
      </w:r>
      <w:r>
        <w:rPr>
          <w:rFonts w:hint="eastAsia" w:asciiTheme="majorEastAsia" w:hAnsiTheme="majorEastAsia" w:eastAsiaTheme="majorEastAsia"/>
          <w:color w:val="auto"/>
          <w:sz w:val="22"/>
          <w:szCs w:val="22"/>
          <w:highlight w:val="none"/>
          <w:u w:val="single"/>
        </w:rPr>
        <w:t xml:space="preserve">                        （签字或盖章）</w:t>
      </w:r>
    </w:p>
    <w:p w14:paraId="3B65A986">
      <w:pPr>
        <w:spacing w:line="480" w:lineRule="auto"/>
        <w:ind w:right="440" w:firstLine="3300" w:firstLineChars="1500"/>
        <w:jc w:val="righ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授权委托日期：年 月日</w:t>
      </w:r>
    </w:p>
    <w:tbl>
      <w:tblPr>
        <w:tblStyle w:val="43"/>
        <w:tblW w:w="772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14:paraId="550C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720" w:type="dxa"/>
          </w:tcPr>
          <w:p w14:paraId="40EC51DE">
            <w:pPr>
              <w:pStyle w:val="24"/>
              <w:spacing w:line="440" w:lineRule="atLeast"/>
              <w:rPr>
                <w:rFonts w:asciiTheme="majorEastAsia" w:hAnsiTheme="majorEastAsia" w:eastAsiaTheme="majorEastAsia"/>
                <w:b/>
                <w:color w:val="auto"/>
                <w:sz w:val="36"/>
                <w:highlight w:val="none"/>
              </w:rPr>
            </w:pPr>
          </w:p>
          <w:p w14:paraId="31A6E62F">
            <w:pPr>
              <w:pStyle w:val="24"/>
              <w:spacing w:line="440" w:lineRule="atLeast"/>
              <w:jc w:val="center"/>
              <w:rPr>
                <w:rFonts w:asciiTheme="majorEastAsia" w:hAnsiTheme="majorEastAsia" w:eastAsiaTheme="majorEastAsia"/>
                <w:b/>
                <w:color w:val="auto"/>
                <w:sz w:val="36"/>
                <w:highlight w:val="none"/>
              </w:rPr>
            </w:pPr>
          </w:p>
          <w:p w14:paraId="5DBFF30A">
            <w:pPr>
              <w:pStyle w:val="24"/>
              <w:spacing w:line="440" w:lineRule="atLeast"/>
              <w:jc w:val="center"/>
              <w:rPr>
                <w:rFonts w:asciiTheme="majorEastAsia" w:hAnsiTheme="majorEastAsia" w:eastAsiaTheme="majorEastAsia"/>
                <w:b/>
                <w:color w:val="auto"/>
                <w:sz w:val="36"/>
                <w:highlight w:val="none"/>
              </w:rPr>
            </w:pPr>
          </w:p>
          <w:p w14:paraId="3927ECFF">
            <w:pPr>
              <w:pStyle w:val="24"/>
              <w:spacing w:line="440" w:lineRule="atLeast"/>
              <w:jc w:val="center"/>
              <w:rPr>
                <w:rFonts w:asciiTheme="majorEastAsia" w:hAnsiTheme="majorEastAsia" w:eastAsiaTheme="majorEastAsia"/>
                <w:b/>
                <w:color w:val="auto"/>
                <w:sz w:val="36"/>
                <w:highlight w:val="none"/>
              </w:rPr>
            </w:pPr>
          </w:p>
          <w:p w14:paraId="17B22CB1">
            <w:pPr>
              <w:pStyle w:val="24"/>
              <w:spacing w:line="440" w:lineRule="atLeast"/>
              <w:jc w:val="center"/>
              <w:rPr>
                <w:rFonts w:asciiTheme="majorEastAsia" w:hAnsiTheme="majorEastAsia" w:eastAsiaTheme="majorEastAsia"/>
                <w:b/>
                <w:color w:val="auto"/>
                <w:sz w:val="36"/>
                <w:highlight w:val="none"/>
              </w:rPr>
            </w:pPr>
            <w:r>
              <w:rPr>
                <w:rFonts w:hint="eastAsia" w:asciiTheme="majorEastAsia" w:hAnsiTheme="majorEastAsia" w:eastAsiaTheme="majorEastAsia"/>
                <w:color w:val="auto"/>
                <w:sz w:val="36"/>
                <w:highlight w:val="none"/>
              </w:rPr>
              <w:t>（授权代表身份证扫描件或影印件）</w:t>
            </w:r>
          </w:p>
          <w:p w14:paraId="35925FBE">
            <w:pPr>
              <w:pStyle w:val="24"/>
              <w:spacing w:line="440" w:lineRule="atLeast"/>
              <w:ind w:left="5271" w:firstLine="1084" w:firstLineChars="300"/>
              <w:rPr>
                <w:rFonts w:asciiTheme="majorEastAsia" w:hAnsiTheme="majorEastAsia" w:eastAsiaTheme="majorEastAsia"/>
                <w:b/>
                <w:color w:val="auto"/>
                <w:sz w:val="36"/>
                <w:highlight w:val="none"/>
              </w:rPr>
            </w:pPr>
          </w:p>
        </w:tc>
      </w:tr>
    </w:tbl>
    <w:p w14:paraId="47A35CA3">
      <w:pPr>
        <w:rPr>
          <w:rFonts w:asciiTheme="majorEastAsia" w:hAnsiTheme="majorEastAsia" w:eastAsiaTheme="majorEastAsia"/>
          <w:color w:val="auto"/>
          <w:sz w:val="22"/>
          <w:szCs w:val="22"/>
          <w:highlight w:val="none"/>
        </w:rPr>
      </w:pPr>
    </w:p>
    <w:p w14:paraId="6A66E2FA">
      <w:pPr>
        <w:spacing w:line="360" w:lineRule="exact"/>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b/>
          <w:color w:val="auto"/>
          <w:sz w:val="22"/>
          <w:szCs w:val="22"/>
          <w:highlight w:val="none"/>
        </w:rPr>
        <w:t>附件七</w:t>
      </w:r>
    </w:p>
    <w:p w14:paraId="7048D0A6">
      <w:pPr>
        <w:tabs>
          <w:tab w:val="left" w:pos="1080"/>
        </w:tabs>
        <w:autoSpaceDE w:val="0"/>
        <w:autoSpaceDN w:val="0"/>
        <w:adjustRightInd w:val="0"/>
        <w:spacing w:line="440" w:lineRule="atLeast"/>
        <w:jc w:val="center"/>
        <w:rPr>
          <w:rFonts w:cs="仿宋_GB2312" w:asciiTheme="majorEastAsia" w:hAnsiTheme="majorEastAsia" w:eastAsiaTheme="majorEastAsia"/>
          <w:b/>
          <w:color w:val="auto"/>
          <w:sz w:val="32"/>
          <w:szCs w:val="32"/>
          <w:highlight w:val="none"/>
          <w:lang w:val="zh-CN"/>
        </w:rPr>
      </w:pPr>
      <w:r>
        <w:rPr>
          <w:rFonts w:hint="eastAsia" w:cs="仿宋_GB2312" w:asciiTheme="majorEastAsia" w:hAnsiTheme="majorEastAsia" w:eastAsiaTheme="majorEastAsia"/>
          <w:b/>
          <w:color w:val="auto"/>
          <w:sz w:val="32"/>
          <w:szCs w:val="32"/>
          <w:highlight w:val="none"/>
          <w:lang w:val="zh-CN"/>
        </w:rPr>
        <w:t>类似业绩（时间以签订的时间为准）</w:t>
      </w:r>
    </w:p>
    <w:p w14:paraId="42E31A7A">
      <w:pPr>
        <w:spacing w:line="460" w:lineRule="exac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项目名称：                                              项目编号：</w:t>
      </w:r>
    </w:p>
    <w:tbl>
      <w:tblPr>
        <w:tblStyle w:val="43"/>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14:paraId="5AA4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62AE7D5">
            <w:pPr>
              <w:tabs>
                <w:tab w:val="left" w:pos="4140"/>
              </w:tabs>
              <w:adjustRightInd w:val="0"/>
              <w:snapToGrid w:val="0"/>
              <w:spacing w:line="320" w:lineRule="atLeast"/>
              <w:jc w:val="center"/>
              <w:rPr>
                <w:rFonts w:asciiTheme="majorEastAsia" w:hAnsiTheme="majorEastAsia" w:eastAsiaTheme="majorEastAsia"/>
                <w:caps/>
                <w:color w:val="auto"/>
                <w:spacing w:val="20"/>
                <w:sz w:val="22"/>
                <w:highlight w:val="none"/>
              </w:rPr>
            </w:pPr>
            <w:r>
              <w:rPr>
                <w:rFonts w:hint="eastAsia" w:asciiTheme="majorEastAsia" w:hAnsiTheme="majorEastAsia" w:eastAsiaTheme="majorEastAsia"/>
                <w:caps/>
                <w:color w:val="auto"/>
                <w:spacing w:val="20"/>
                <w:sz w:val="22"/>
                <w:szCs w:val="22"/>
                <w:highlight w:val="none"/>
              </w:rPr>
              <w:t>序号</w:t>
            </w:r>
          </w:p>
        </w:tc>
        <w:tc>
          <w:tcPr>
            <w:tcW w:w="1285" w:type="dxa"/>
            <w:vAlign w:val="center"/>
          </w:tcPr>
          <w:p w14:paraId="28ECBFD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采购单位</w:t>
            </w:r>
          </w:p>
        </w:tc>
        <w:tc>
          <w:tcPr>
            <w:tcW w:w="1299" w:type="dxa"/>
            <w:vAlign w:val="center"/>
          </w:tcPr>
          <w:p w14:paraId="22E726EF">
            <w:pPr>
              <w:tabs>
                <w:tab w:val="left" w:pos="4140"/>
              </w:tabs>
              <w:adjustRightInd w:val="0"/>
              <w:snapToGrid w:val="0"/>
              <w:spacing w:line="320" w:lineRule="atLeast"/>
              <w:jc w:val="center"/>
              <w:rPr>
                <w:rFonts w:asciiTheme="majorEastAsia" w:hAnsiTheme="majorEastAsia" w:eastAsiaTheme="majorEastAsia"/>
                <w:caps/>
                <w:color w:val="auto"/>
                <w:spacing w:val="20"/>
                <w:sz w:val="22"/>
                <w:highlight w:val="none"/>
              </w:rPr>
            </w:pPr>
            <w:r>
              <w:rPr>
                <w:rFonts w:hint="eastAsia" w:asciiTheme="majorEastAsia" w:hAnsiTheme="majorEastAsia" w:eastAsiaTheme="majorEastAsia"/>
                <w:caps/>
                <w:color w:val="auto"/>
                <w:spacing w:val="20"/>
                <w:sz w:val="22"/>
                <w:szCs w:val="22"/>
                <w:highlight w:val="none"/>
              </w:rPr>
              <w:t>项目名称</w:t>
            </w:r>
          </w:p>
        </w:tc>
        <w:tc>
          <w:tcPr>
            <w:tcW w:w="1355" w:type="dxa"/>
            <w:vAlign w:val="center"/>
          </w:tcPr>
          <w:p w14:paraId="53E703D6">
            <w:pPr>
              <w:tabs>
                <w:tab w:val="left" w:pos="4140"/>
              </w:tabs>
              <w:adjustRightInd w:val="0"/>
              <w:snapToGrid w:val="0"/>
              <w:spacing w:line="320" w:lineRule="atLeast"/>
              <w:jc w:val="center"/>
              <w:rPr>
                <w:rFonts w:asciiTheme="majorEastAsia" w:hAnsiTheme="majorEastAsia" w:eastAsiaTheme="majorEastAsia"/>
                <w:caps/>
                <w:color w:val="auto"/>
                <w:spacing w:val="20"/>
                <w:sz w:val="22"/>
                <w:highlight w:val="none"/>
              </w:rPr>
            </w:pPr>
            <w:r>
              <w:rPr>
                <w:rFonts w:hint="eastAsia" w:asciiTheme="majorEastAsia" w:hAnsiTheme="majorEastAsia" w:eastAsiaTheme="majorEastAsia"/>
                <w:caps/>
                <w:color w:val="auto"/>
                <w:spacing w:val="20"/>
                <w:sz w:val="22"/>
                <w:szCs w:val="22"/>
                <w:highlight w:val="none"/>
              </w:rPr>
              <w:t>合同金额</w:t>
            </w:r>
          </w:p>
        </w:tc>
        <w:tc>
          <w:tcPr>
            <w:tcW w:w="1296" w:type="dxa"/>
            <w:vAlign w:val="center"/>
          </w:tcPr>
          <w:p w14:paraId="46BD81F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签约日期</w:t>
            </w:r>
          </w:p>
        </w:tc>
        <w:tc>
          <w:tcPr>
            <w:tcW w:w="1064" w:type="dxa"/>
            <w:vAlign w:val="center"/>
          </w:tcPr>
          <w:p w14:paraId="76D5080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联系人</w:t>
            </w:r>
          </w:p>
        </w:tc>
        <w:tc>
          <w:tcPr>
            <w:tcW w:w="1271" w:type="dxa"/>
            <w:vAlign w:val="center"/>
          </w:tcPr>
          <w:p w14:paraId="34D16FC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联系电话</w:t>
            </w:r>
          </w:p>
        </w:tc>
        <w:tc>
          <w:tcPr>
            <w:tcW w:w="1064" w:type="dxa"/>
            <w:vAlign w:val="center"/>
          </w:tcPr>
          <w:p w14:paraId="2C530C4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备注</w:t>
            </w:r>
          </w:p>
        </w:tc>
      </w:tr>
      <w:tr w14:paraId="350E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227BA3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0209966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7DD63E9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5A3838C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4CDD2F9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5E42D9D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49759DD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1734F44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5C56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5FB9EE3">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1240221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3611388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5A50D4B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34DBC3C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7DD0CA6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257A926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30D9F29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55E1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112756A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1B62D1D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38C1276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01428EE3">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4D5BA48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0874BF2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437472A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49CD341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148F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BE07BD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7647EBC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62CB6C1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22245B9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7B0ED85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56570A4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47F42DA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22822F8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3F74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4DF691E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77436C3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180E5A63">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47EF9A0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729B76D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0EDEBF3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5076BFE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3694FC1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4CC4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7F7DBD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04E8B69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1FEDEEC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2BF33C4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21DF694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2AF08EE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7B345D1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4A8FA90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5F7B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1263911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2C6D19B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700CD1F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3330E9A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086FBED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0F1063B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3D071D8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73255C0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1749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C0D6BA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317121B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7906BEC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1390193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30D5A24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2BA0AC5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65A0D0D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00131BC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781A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596A80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1653EEB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4B5AB2A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52A15BD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3C91490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4D30B80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18DD751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713028E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20B3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0573517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7341CAC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7E6100E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448FAD8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5BE5041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61CED013">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4DD3805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50A52E8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6F21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BD58F13">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4B6561A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6CA7C6C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1A05343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048F554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020C63E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105FABE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116835E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2A65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EC951B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5A52B9E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3D723D1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1B19DCE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6EB5257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404BD7D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14A6EB3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124B3EA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060E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14:paraId="3204499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565E50B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069EE4B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7A764B6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5FA2849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73E7A8E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16CAB54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6BEA25F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bl>
    <w:p w14:paraId="59C1C700">
      <w:pPr>
        <w:spacing w:line="460" w:lineRule="exact"/>
        <w:ind w:left="755" w:hanging="754" w:hangingChars="343"/>
        <w:rPr>
          <w:rFonts w:asciiTheme="majorEastAsia" w:hAnsiTheme="majorEastAsia" w:eastAsiaTheme="majorEastAsia"/>
          <w:bCs/>
          <w:color w:val="auto"/>
          <w:sz w:val="22"/>
          <w:szCs w:val="22"/>
          <w:highlight w:val="none"/>
        </w:rPr>
      </w:pPr>
      <w:r>
        <w:rPr>
          <w:rFonts w:hint="eastAsia" w:asciiTheme="majorEastAsia" w:hAnsiTheme="majorEastAsia" w:eastAsiaTheme="majorEastAsia"/>
          <w:color w:val="auto"/>
          <w:sz w:val="22"/>
          <w:szCs w:val="22"/>
          <w:highlight w:val="none"/>
        </w:rPr>
        <w:t>注：投标供应商可按此表格式复制，需后附合同扫描件加盖公章。</w:t>
      </w:r>
    </w:p>
    <w:p w14:paraId="7A203986">
      <w:pPr>
        <w:spacing w:line="460" w:lineRule="exact"/>
        <w:ind w:left="755" w:hanging="754" w:hangingChars="343"/>
        <w:rPr>
          <w:rFonts w:asciiTheme="majorEastAsia" w:hAnsiTheme="majorEastAsia" w:eastAsiaTheme="majorEastAsia"/>
          <w:bCs/>
          <w:color w:val="auto"/>
          <w:sz w:val="22"/>
          <w:szCs w:val="22"/>
          <w:highlight w:val="none"/>
        </w:rPr>
      </w:pPr>
    </w:p>
    <w:p w14:paraId="06688421">
      <w:pPr>
        <w:spacing w:line="440" w:lineRule="atLeas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供应商全称（盖章）：</w:t>
      </w:r>
    </w:p>
    <w:p w14:paraId="0DD2CFE8">
      <w:pPr>
        <w:autoSpaceDE w:val="0"/>
        <w:autoSpaceDN w:val="0"/>
        <w:adjustRightInd w:val="0"/>
        <w:spacing w:line="460" w:lineRule="atLeas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日期：</w:t>
      </w:r>
    </w:p>
    <w:p w14:paraId="2E6A1518">
      <w:pPr>
        <w:autoSpaceDE w:val="0"/>
        <w:autoSpaceDN w:val="0"/>
        <w:adjustRightInd w:val="0"/>
        <w:spacing w:line="460" w:lineRule="atLeast"/>
        <w:rPr>
          <w:rFonts w:asciiTheme="majorEastAsia" w:hAnsiTheme="majorEastAsia" w:eastAsiaTheme="majorEastAsia"/>
          <w:color w:val="auto"/>
          <w:sz w:val="22"/>
          <w:highlight w:val="none"/>
        </w:rPr>
      </w:pPr>
    </w:p>
    <w:p w14:paraId="2E08C7F0">
      <w:pPr>
        <w:autoSpaceDE w:val="0"/>
        <w:autoSpaceDN w:val="0"/>
        <w:adjustRightInd w:val="0"/>
        <w:spacing w:line="460" w:lineRule="atLeast"/>
        <w:rPr>
          <w:rFonts w:asciiTheme="majorEastAsia" w:hAnsiTheme="majorEastAsia" w:eastAsiaTheme="majorEastAsia"/>
          <w:color w:val="auto"/>
          <w:sz w:val="22"/>
          <w:highlight w:val="none"/>
        </w:rPr>
      </w:pPr>
    </w:p>
    <w:p w14:paraId="74CF032A">
      <w:pPr>
        <w:pStyle w:val="40"/>
        <w:rPr>
          <w:rFonts w:asciiTheme="majorEastAsia" w:hAnsiTheme="majorEastAsia" w:eastAsiaTheme="majorEastAsia"/>
          <w:color w:val="auto"/>
          <w:highlight w:val="none"/>
        </w:rPr>
      </w:pPr>
      <w:bookmarkStart w:id="212" w:name="_Toc493530220"/>
    </w:p>
    <w:p w14:paraId="0577C0E4">
      <w:pPr>
        <w:rPr>
          <w:rFonts w:asciiTheme="majorEastAsia" w:hAnsiTheme="majorEastAsia" w:eastAsiaTheme="majorEastAsia"/>
          <w:color w:val="auto"/>
          <w:highlight w:val="none"/>
        </w:rPr>
      </w:pPr>
    </w:p>
    <w:bookmarkEnd w:id="212"/>
    <w:p w14:paraId="75A8173E">
      <w:pPr>
        <w:rPr>
          <w:rFonts w:asciiTheme="majorEastAsia" w:hAnsiTheme="majorEastAsia" w:eastAsiaTheme="majorEastAsia"/>
          <w:b/>
          <w:color w:val="auto"/>
          <w:sz w:val="22"/>
          <w:szCs w:val="22"/>
          <w:highlight w:val="none"/>
        </w:rPr>
      </w:pPr>
      <w:r>
        <w:rPr>
          <w:rFonts w:hint="eastAsia" w:asciiTheme="majorEastAsia" w:hAnsiTheme="majorEastAsia" w:eastAsiaTheme="majorEastAsia"/>
          <w:b/>
          <w:color w:val="auto"/>
          <w:sz w:val="22"/>
          <w:szCs w:val="22"/>
          <w:highlight w:val="none"/>
        </w:rPr>
        <w:br w:type="page"/>
      </w:r>
    </w:p>
    <w:p w14:paraId="736027D1">
      <w:pPr>
        <w:widowControl/>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b/>
          <w:color w:val="auto"/>
          <w:sz w:val="22"/>
          <w:szCs w:val="22"/>
          <w:highlight w:val="none"/>
        </w:rPr>
        <w:t>附件八</w:t>
      </w:r>
    </w:p>
    <w:p w14:paraId="33D3AA57">
      <w:pPr>
        <w:pStyle w:val="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商务、技术偏离表</w:t>
      </w:r>
    </w:p>
    <w:p w14:paraId="05A3BEF0">
      <w:pPr>
        <w:spacing w:line="560" w:lineRule="exact"/>
        <w:ind w:firstLine="431" w:firstLineChars="196"/>
        <w:rPr>
          <w:rFonts w:asciiTheme="majorEastAsia" w:hAnsiTheme="majorEastAsia" w:eastAsiaTheme="majorEastAsia"/>
          <w:bCs/>
          <w:color w:val="auto"/>
          <w:sz w:val="22"/>
          <w:szCs w:val="22"/>
          <w:highlight w:val="none"/>
        </w:rPr>
      </w:pPr>
      <w:r>
        <w:rPr>
          <w:rFonts w:hint="eastAsia" w:asciiTheme="majorEastAsia" w:hAnsiTheme="majorEastAsia" w:eastAsiaTheme="majorEastAsia"/>
          <w:color w:val="auto"/>
          <w:sz w:val="22"/>
          <w:szCs w:val="22"/>
          <w:highlight w:val="none"/>
        </w:rPr>
        <w:t>项目名称：                                       项目编号：</w:t>
      </w:r>
    </w:p>
    <w:tbl>
      <w:tblPr>
        <w:tblStyle w:val="4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14:paraId="2BD0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14:paraId="55B026D1">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内   容</w:t>
            </w:r>
          </w:p>
        </w:tc>
        <w:tc>
          <w:tcPr>
            <w:tcW w:w="1434" w:type="dxa"/>
            <w:vAlign w:val="center"/>
          </w:tcPr>
          <w:p w14:paraId="47DC22DF">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招标文件</w:t>
            </w:r>
          </w:p>
          <w:p w14:paraId="3C474F7E">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条目</w:t>
            </w:r>
          </w:p>
        </w:tc>
        <w:tc>
          <w:tcPr>
            <w:tcW w:w="2743" w:type="dxa"/>
            <w:vAlign w:val="center"/>
          </w:tcPr>
          <w:p w14:paraId="384CBFE0">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招标文件</w:t>
            </w:r>
          </w:p>
          <w:p w14:paraId="68BF723F">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规格要求</w:t>
            </w:r>
          </w:p>
        </w:tc>
        <w:tc>
          <w:tcPr>
            <w:tcW w:w="3023" w:type="dxa"/>
            <w:vAlign w:val="center"/>
          </w:tcPr>
          <w:p w14:paraId="3B9F404E">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投标文件</w:t>
            </w:r>
          </w:p>
          <w:p w14:paraId="24CD4726">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对应规格</w:t>
            </w:r>
          </w:p>
        </w:tc>
        <w:tc>
          <w:tcPr>
            <w:tcW w:w="1260" w:type="dxa"/>
            <w:vAlign w:val="center"/>
          </w:tcPr>
          <w:p w14:paraId="04F1BDCC">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说   明</w:t>
            </w:r>
          </w:p>
        </w:tc>
      </w:tr>
      <w:tr w14:paraId="5BCD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56124F0F">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技术偏离</w:t>
            </w:r>
          </w:p>
        </w:tc>
        <w:tc>
          <w:tcPr>
            <w:tcW w:w="1434" w:type="dxa"/>
            <w:vAlign w:val="center"/>
          </w:tcPr>
          <w:p w14:paraId="069B34C6">
            <w:pPr>
              <w:jc w:val="center"/>
              <w:rPr>
                <w:rFonts w:asciiTheme="majorEastAsia" w:hAnsiTheme="majorEastAsia" w:eastAsiaTheme="majorEastAsia"/>
                <w:color w:val="auto"/>
                <w:sz w:val="22"/>
                <w:szCs w:val="22"/>
                <w:highlight w:val="none"/>
              </w:rPr>
            </w:pPr>
          </w:p>
        </w:tc>
        <w:tc>
          <w:tcPr>
            <w:tcW w:w="2743" w:type="dxa"/>
            <w:vAlign w:val="center"/>
          </w:tcPr>
          <w:p w14:paraId="5E2C4B07">
            <w:pPr>
              <w:jc w:val="center"/>
              <w:rPr>
                <w:rFonts w:asciiTheme="majorEastAsia" w:hAnsiTheme="majorEastAsia" w:eastAsiaTheme="majorEastAsia"/>
                <w:color w:val="auto"/>
                <w:sz w:val="22"/>
                <w:szCs w:val="22"/>
                <w:highlight w:val="none"/>
              </w:rPr>
            </w:pPr>
          </w:p>
        </w:tc>
        <w:tc>
          <w:tcPr>
            <w:tcW w:w="3023" w:type="dxa"/>
            <w:vAlign w:val="center"/>
          </w:tcPr>
          <w:p w14:paraId="76A7474F">
            <w:pPr>
              <w:jc w:val="center"/>
              <w:rPr>
                <w:rFonts w:asciiTheme="majorEastAsia" w:hAnsiTheme="majorEastAsia" w:eastAsiaTheme="majorEastAsia"/>
                <w:color w:val="auto"/>
                <w:sz w:val="22"/>
                <w:szCs w:val="22"/>
                <w:highlight w:val="none"/>
              </w:rPr>
            </w:pPr>
          </w:p>
        </w:tc>
        <w:tc>
          <w:tcPr>
            <w:tcW w:w="1260" w:type="dxa"/>
            <w:vAlign w:val="center"/>
          </w:tcPr>
          <w:p w14:paraId="062A18F1">
            <w:pPr>
              <w:jc w:val="center"/>
              <w:rPr>
                <w:rFonts w:asciiTheme="majorEastAsia" w:hAnsiTheme="majorEastAsia" w:eastAsiaTheme="majorEastAsia"/>
                <w:color w:val="auto"/>
                <w:sz w:val="22"/>
                <w:szCs w:val="22"/>
                <w:highlight w:val="none"/>
              </w:rPr>
            </w:pPr>
          </w:p>
        </w:tc>
      </w:tr>
      <w:tr w14:paraId="6407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0CFDF0FD">
            <w:pPr>
              <w:jc w:val="center"/>
              <w:rPr>
                <w:rFonts w:asciiTheme="majorEastAsia" w:hAnsiTheme="majorEastAsia" w:eastAsiaTheme="majorEastAsia"/>
                <w:color w:val="auto"/>
                <w:sz w:val="22"/>
                <w:szCs w:val="22"/>
                <w:highlight w:val="none"/>
              </w:rPr>
            </w:pPr>
          </w:p>
        </w:tc>
        <w:tc>
          <w:tcPr>
            <w:tcW w:w="1434" w:type="dxa"/>
            <w:vAlign w:val="center"/>
          </w:tcPr>
          <w:p w14:paraId="1CFBE03C">
            <w:pPr>
              <w:jc w:val="center"/>
              <w:rPr>
                <w:rFonts w:asciiTheme="majorEastAsia" w:hAnsiTheme="majorEastAsia" w:eastAsiaTheme="majorEastAsia"/>
                <w:color w:val="auto"/>
                <w:sz w:val="22"/>
                <w:szCs w:val="22"/>
                <w:highlight w:val="none"/>
              </w:rPr>
            </w:pPr>
          </w:p>
        </w:tc>
        <w:tc>
          <w:tcPr>
            <w:tcW w:w="2743" w:type="dxa"/>
            <w:vAlign w:val="center"/>
          </w:tcPr>
          <w:p w14:paraId="6C77DF2F">
            <w:pPr>
              <w:jc w:val="center"/>
              <w:rPr>
                <w:rFonts w:asciiTheme="majorEastAsia" w:hAnsiTheme="majorEastAsia" w:eastAsiaTheme="majorEastAsia"/>
                <w:color w:val="auto"/>
                <w:sz w:val="22"/>
                <w:szCs w:val="22"/>
                <w:highlight w:val="none"/>
              </w:rPr>
            </w:pPr>
          </w:p>
        </w:tc>
        <w:tc>
          <w:tcPr>
            <w:tcW w:w="3023" w:type="dxa"/>
            <w:vAlign w:val="center"/>
          </w:tcPr>
          <w:p w14:paraId="0B2A0CEA">
            <w:pPr>
              <w:jc w:val="center"/>
              <w:rPr>
                <w:rFonts w:asciiTheme="majorEastAsia" w:hAnsiTheme="majorEastAsia" w:eastAsiaTheme="majorEastAsia"/>
                <w:color w:val="auto"/>
                <w:sz w:val="22"/>
                <w:szCs w:val="22"/>
                <w:highlight w:val="none"/>
              </w:rPr>
            </w:pPr>
          </w:p>
        </w:tc>
        <w:tc>
          <w:tcPr>
            <w:tcW w:w="1260" w:type="dxa"/>
            <w:vAlign w:val="center"/>
          </w:tcPr>
          <w:p w14:paraId="29389173">
            <w:pPr>
              <w:jc w:val="center"/>
              <w:rPr>
                <w:rFonts w:asciiTheme="majorEastAsia" w:hAnsiTheme="majorEastAsia" w:eastAsiaTheme="majorEastAsia"/>
                <w:color w:val="auto"/>
                <w:sz w:val="22"/>
                <w:szCs w:val="22"/>
                <w:highlight w:val="none"/>
              </w:rPr>
            </w:pPr>
          </w:p>
        </w:tc>
      </w:tr>
      <w:tr w14:paraId="447F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3A1552CE">
            <w:pPr>
              <w:jc w:val="center"/>
              <w:rPr>
                <w:rFonts w:asciiTheme="majorEastAsia" w:hAnsiTheme="majorEastAsia" w:eastAsiaTheme="majorEastAsia"/>
                <w:color w:val="auto"/>
                <w:sz w:val="22"/>
                <w:szCs w:val="22"/>
                <w:highlight w:val="none"/>
              </w:rPr>
            </w:pPr>
          </w:p>
        </w:tc>
        <w:tc>
          <w:tcPr>
            <w:tcW w:w="1434" w:type="dxa"/>
            <w:vAlign w:val="center"/>
          </w:tcPr>
          <w:p w14:paraId="3E366E06">
            <w:pPr>
              <w:jc w:val="center"/>
              <w:rPr>
                <w:rFonts w:asciiTheme="majorEastAsia" w:hAnsiTheme="majorEastAsia" w:eastAsiaTheme="majorEastAsia"/>
                <w:color w:val="auto"/>
                <w:sz w:val="22"/>
                <w:szCs w:val="22"/>
                <w:highlight w:val="none"/>
              </w:rPr>
            </w:pPr>
          </w:p>
        </w:tc>
        <w:tc>
          <w:tcPr>
            <w:tcW w:w="2743" w:type="dxa"/>
            <w:vAlign w:val="center"/>
          </w:tcPr>
          <w:p w14:paraId="70C42B84">
            <w:pPr>
              <w:jc w:val="center"/>
              <w:rPr>
                <w:rFonts w:asciiTheme="majorEastAsia" w:hAnsiTheme="majorEastAsia" w:eastAsiaTheme="majorEastAsia"/>
                <w:color w:val="auto"/>
                <w:sz w:val="22"/>
                <w:szCs w:val="22"/>
                <w:highlight w:val="none"/>
              </w:rPr>
            </w:pPr>
          </w:p>
        </w:tc>
        <w:tc>
          <w:tcPr>
            <w:tcW w:w="3023" w:type="dxa"/>
            <w:vAlign w:val="center"/>
          </w:tcPr>
          <w:p w14:paraId="0BBEA1EB">
            <w:pPr>
              <w:jc w:val="center"/>
              <w:rPr>
                <w:rFonts w:asciiTheme="majorEastAsia" w:hAnsiTheme="majorEastAsia" w:eastAsiaTheme="majorEastAsia"/>
                <w:color w:val="auto"/>
                <w:sz w:val="22"/>
                <w:szCs w:val="22"/>
                <w:highlight w:val="none"/>
              </w:rPr>
            </w:pPr>
          </w:p>
        </w:tc>
        <w:tc>
          <w:tcPr>
            <w:tcW w:w="1260" w:type="dxa"/>
            <w:vAlign w:val="center"/>
          </w:tcPr>
          <w:p w14:paraId="65FA44EE">
            <w:pPr>
              <w:jc w:val="center"/>
              <w:rPr>
                <w:rFonts w:asciiTheme="majorEastAsia" w:hAnsiTheme="majorEastAsia" w:eastAsiaTheme="majorEastAsia"/>
                <w:color w:val="auto"/>
                <w:sz w:val="22"/>
                <w:szCs w:val="22"/>
                <w:highlight w:val="none"/>
              </w:rPr>
            </w:pPr>
          </w:p>
        </w:tc>
      </w:tr>
      <w:tr w14:paraId="35A2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04C353EE">
            <w:pPr>
              <w:jc w:val="center"/>
              <w:rPr>
                <w:rFonts w:asciiTheme="majorEastAsia" w:hAnsiTheme="majorEastAsia" w:eastAsiaTheme="majorEastAsia"/>
                <w:color w:val="auto"/>
                <w:sz w:val="22"/>
                <w:szCs w:val="22"/>
                <w:highlight w:val="none"/>
              </w:rPr>
            </w:pPr>
          </w:p>
        </w:tc>
        <w:tc>
          <w:tcPr>
            <w:tcW w:w="1434" w:type="dxa"/>
            <w:vAlign w:val="center"/>
          </w:tcPr>
          <w:p w14:paraId="5498AAE3">
            <w:pPr>
              <w:jc w:val="center"/>
              <w:rPr>
                <w:rFonts w:asciiTheme="majorEastAsia" w:hAnsiTheme="majorEastAsia" w:eastAsiaTheme="majorEastAsia"/>
                <w:color w:val="auto"/>
                <w:sz w:val="22"/>
                <w:szCs w:val="22"/>
                <w:highlight w:val="none"/>
              </w:rPr>
            </w:pPr>
          </w:p>
        </w:tc>
        <w:tc>
          <w:tcPr>
            <w:tcW w:w="2743" w:type="dxa"/>
            <w:vAlign w:val="center"/>
          </w:tcPr>
          <w:p w14:paraId="62C41A69">
            <w:pPr>
              <w:jc w:val="center"/>
              <w:rPr>
                <w:rFonts w:asciiTheme="majorEastAsia" w:hAnsiTheme="majorEastAsia" w:eastAsiaTheme="majorEastAsia"/>
                <w:color w:val="auto"/>
                <w:sz w:val="22"/>
                <w:szCs w:val="22"/>
                <w:highlight w:val="none"/>
              </w:rPr>
            </w:pPr>
          </w:p>
        </w:tc>
        <w:tc>
          <w:tcPr>
            <w:tcW w:w="3023" w:type="dxa"/>
            <w:vAlign w:val="center"/>
          </w:tcPr>
          <w:p w14:paraId="07660BA6">
            <w:pPr>
              <w:jc w:val="center"/>
              <w:rPr>
                <w:rFonts w:asciiTheme="majorEastAsia" w:hAnsiTheme="majorEastAsia" w:eastAsiaTheme="majorEastAsia"/>
                <w:color w:val="auto"/>
                <w:sz w:val="22"/>
                <w:szCs w:val="22"/>
                <w:highlight w:val="none"/>
              </w:rPr>
            </w:pPr>
          </w:p>
        </w:tc>
        <w:tc>
          <w:tcPr>
            <w:tcW w:w="1260" w:type="dxa"/>
            <w:vAlign w:val="center"/>
          </w:tcPr>
          <w:p w14:paraId="7E2D05A6">
            <w:pPr>
              <w:jc w:val="center"/>
              <w:rPr>
                <w:rFonts w:asciiTheme="majorEastAsia" w:hAnsiTheme="majorEastAsia" w:eastAsiaTheme="majorEastAsia"/>
                <w:color w:val="auto"/>
                <w:sz w:val="22"/>
                <w:szCs w:val="22"/>
                <w:highlight w:val="none"/>
              </w:rPr>
            </w:pPr>
          </w:p>
        </w:tc>
      </w:tr>
      <w:tr w14:paraId="4107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2B7F4899">
            <w:pPr>
              <w:jc w:val="center"/>
              <w:rPr>
                <w:rFonts w:asciiTheme="majorEastAsia" w:hAnsiTheme="majorEastAsia" w:eastAsiaTheme="majorEastAsia"/>
                <w:color w:val="auto"/>
                <w:sz w:val="22"/>
                <w:szCs w:val="22"/>
                <w:highlight w:val="none"/>
              </w:rPr>
            </w:pPr>
          </w:p>
        </w:tc>
        <w:tc>
          <w:tcPr>
            <w:tcW w:w="1434" w:type="dxa"/>
            <w:vAlign w:val="center"/>
          </w:tcPr>
          <w:p w14:paraId="31BD94AB">
            <w:pPr>
              <w:jc w:val="center"/>
              <w:rPr>
                <w:rFonts w:asciiTheme="majorEastAsia" w:hAnsiTheme="majorEastAsia" w:eastAsiaTheme="majorEastAsia"/>
                <w:color w:val="auto"/>
                <w:sz w:val="22"/>
                <w:szCs w:val="22"/>
                <w:highlight w:val="none"/>
              </w:rPr>
            </w:pPr>
          </w:p>
        </w:tc>
        <w:tc>
          <w:tcPr>
            <w:tcW w:w="2743" w:type="dxa"/>
            <w:vAlign w:val="center"/>
          </w:tcPr>
          <w:p w14:paraId="3B34C87A">
            <w:pPr>
              <w:jc w:val="center"/>
              <w:rPr>
                <w:rFonts w:asciiTheme="majorEastAsia" w:hAnsiTheme="majorEastAsia" w:eastAsiaTheme="majorEastAsia"/>
                <w:color w:val="auto"/>
                <w:sz w:val="22"/>
                <w:szCs w:val="22"/>
                <w:highlight w:val="none"/>
              </w:rPr>
            </w:pPr>
          </w:p>
        </w:tc>
        <w:tc>
          <w:tcPr>
            <w:tcW w:w="3023" w:type="dxa"/>
            <w:vAlign w:val="center"/>
          </w:tcPr>
          <w:p w14:paraId="04C4A8EF">
            <w:pPr>
              <w:jc w:val="center"/>
              <w:rPr>
                <w:rFonts w:asciiTheme="majorEastAsia" w:hAnsiTheme="majorEastAsia" w:eastAsiaTheme="majorEastAsia"/>
                <w:color w:val="auto"/>
                <w:sz w:val="22"/>
                <w:szCs w:val="22"/>
                <w:highlight w:val="none"/>
              </w:rPr>
            </w:pPr>
          </w:p>
        </w:tc>
        <w:tc>
          <w:tcPr>
            <w:tcW w:w="1260" w:type="dxa"/>
            <w:vAlign w:val="center"/>
          </w:tcPr>
          <w:p w14:paraId="1528127E">
            <w:pPr>
              <w:jc w:val="center"/>
              <w:rPr>
                <w:rFonts w:asciiTheme="majorEastAsia" w:hAnsiTheme="majorEastAsia" w:eastAsiaTheme="majorEastAsia"/>
                <w:color w:val="auto"/>
                <w:sz w:val="22"/>
                <w:szCs w:val="22"/>
                <w:highlight w:val="none"/>
              </w:rPr>
            </w:pPr>
          </w:p>
        </w:tc>
      </w:tr>
      <w:tr w14:paraId="4D81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036E434D">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商务偏离</w:t>
            </w:r>
          </w:p>
        </w:tc>
        <w:tc>
          <w:tcPr>
            <w:tcW w:w="1434" w:type="dxa"/>
            <w:vAlign w:val="center"/>
          </w:tcPr>
          <w:p w14:paraId="5860C4F0">
            <w:pPr>
              <w:jc w:val="center"/>
              <w:rPr>
                <w:rFonts w:asciiTheme="majorEastAsia" w:hAnsiTheme="majorEastAsia" w:eastAsiaTheme="majorEastAsia"/>
                <w:color w:val="auto"/>
                <w:sz w:val="22"/>
                <w:szCs w:val="22"/>
                <w:highlight w:val="none"/>
              </w:rPr>
            </w:pPr>
          </w:p>
        </w:tc>
        <w:tc>
          <w:tcPr>
            <w:tcW w:w="2743" w:type="dxa"/>
            <w:vAlign w:val="center"/>
          </w:tcPr>
          <w:p w14:paraId="40D1BF85">
            <w:pPr>
              <w:jc w:val="center"/>
              <w:rPr>
                <w:rFonts w:asciiTheme="majorEastAsia" w:hAnsiTheme="majorEastAsia" w:eastAsiaTheme="majorEastAsia"/>
                <w:color w:val="auto"/>
                <w:sz w:val="22"/>
                <w:szCs w:val="22"/>
                <w:highlight w:val="none"/>
              </w:rPr>
            </w:pPr>
          </w:p>
        </w:tc>
        <w:tc>
          <w:tcPr>
            <w:tcW w:w="3023" w:type="dxa"/>
            <w:vAlign w:val="center"/>
          </w:tcPr>
          <w:p w14:paraId="31A8F87F">
            <w:pPr>
              <w:jc w:val="center"/>
              <w:rPr>
                <w:rFonts w:asciiTheme="majorEastAsia" w:hAnsiTheme="majorEastAsia" w:eastAsiaTheme="majorEastAsia"/>
                <w:color w:val="auto"/>
                <w:sz w:val="22"/>
                <w:szCs w:val="22"/>
                <w:highlight w:val="none"/>
              </w:rPr>
            </w:pPr>
          </w:p>
        </w:tc>
        <w:tc>
          <w:tcPr>
            <w:tcW w:w="1260" w:type="dxa"/>
            <w:vAlign w:val="center"/>
          </w:tcPr>
          <w:p w14:paraId="4A163D9E">
            <w:pPr>
              <w:jc w:val="center"/>
              <w:rPr>
                <w:rFonts w:asciiTheme="majorEastAsia" w:hAnsiTheme="majorEastAsia" w:eastAsiaTheme="majorEastAsia"/>
                <w:color w:val="auto"/>
                <w:sz w:val="22"/>
                <w:szCs w:val="22"/>
                <w:highlight w:val="none"/>
              </w:rPr>
            </w:pPr>
          </w:p>
        </w:tc>
      </w:tr>
      <w:tr w14:paraId="072A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3B1315DD">
            <w:pPr>
              <w:jc w:val="center"/>
              <w:rPr>
                <w:rFonts w:asciiTheme="majorEastAsia" w:hAnsiTheme="majorEastAsia" w:eastAsiaTheme="majorEastAsia"/>
                <w:color w:val="auto"/>
                <w:sz w:val="22"/>
                <w:szCs w:val="22"/>
                <w:highlight w:val="none"/>
              </w:rPr>
            </w:pPr>
          </w:p>
        </w:tc>
        <w:tc>
          <w:tcPr>
            <w:tcW w:w="1434" w:type="dxa"/>
            <w:vAlign w:val="center"/>
          </w:tcPr>
          <w:p w14:paraId="551F2E27">
            <w:pPr>
              <w:jc w:val="center"/>
              <w:rPr>
                <w:rFonts w:asciiTheme="majorEastAsia" w:hAnsiTheme="majorEastAsia" w:eastAsiaTheme="majorEastAsia"/>
                <w:color w:val="auto"/>
                <w:sz w:val="22"/>
                <w:szCs w:val="22"/>
                <w:highlight w:val="none"/>
              </w:rPr>
            </w:pPr>
          </w:p>
        </w:tc>
        <w:tc>
          <w:tcPr>
            <w:tcW w:w="2743" w:type="dxa"/>
            <w:vAlign w:val="center"/>
          </w:tcPr>
          <w:p w14:paraId="716523ED">
            <w:pPr>
              <w:jc w:val="center"/>
              <w:rPr>
                <w:rFonts w:asciiTheme="majorEastAsia" w:hAnsiTheme="majorEastAsia" w:eastAsiaTheme="majorEastAsia"/>
                <w:color w:val="auto"/>
                <w:sz w:val="22"/>
                <w:szCs w:val="22"/>
                <w:highlight w:val="none"/>
              </w:rPr>
            </w:pPr>
          </w:p>
        </w:tc>
        <w:tc>
          <w:tcPr>
            <w:tcW w:w="3023" w:type="dxa"/>
            <w:vAlign w:val="center"/>
          </w:tcPr>
          <w:p w14:paraId="3A2C8107">
            <w:pPr>
              <w:jc w:val="center"/>
              <w:rPr>
                <w:rFonts w:asciiTheme="majorEastAsia" w:hAnsiTheme="majorEastAsia" w:eastAsiaTheme="majorEastAsia"/>
                <w:color w:val="auto"/>
                <w:sz w:val="22"/>
                <w:szCs w:val="22"/>
                <w:highlight w:val="none"/>
              </w:rPr>
            </w:pPr>
          </w:p>
        </w:tc>
        <w:tc>
          <w:tcPr>
            <w:tcW w:w="1260" w:type="dxa"/>
            <w:vAlign w:val="center"/>
          </w:tcPr>
          <w:p w14:paraId="532F30C7">
            <w:pPr>
              <w:jc w:val="center"/>
              <w:rPr>
                <w:rFonts w:asciiTheme="majorEastAsia" w:hAnsiTheme="majorEastAsia" w:eastAsiaTheme="majorEastAsia"/>
                <w:color w:val="auto"/>
                <w:sz w:val="22"/>
                <w:szCs w:val="22"/>
                <w:highlight w:val="none"/>
              </w:rPr>
            </w:pPr>
          </w:p>
        </w:tc>
      </w:tr>
      <w:tr w14:paraId="2FA2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70B8AD5A">
            <w:pPr>
              <w:jc w:val="center"/>
              <w:rPr>
                <w:rFonts w:asciiTheme="majorEastAsia" w:hAnsiTheme="majorEastAsia" w:eastAsiaTheme="majorEastAsia"/>
                <w:color w:val="auto"/>
                <w:sz w:val="22"/>
                <w:szCs w:val="22"/>
                <w:highlight w:val="none"/>
              </w:rPr>
            </w:pPr>
          </w:p>
        </w:tc>
        <w:tc>
          <w:tcPr>
            <w:tcW w:w="1434" w:type="dxa"/>
            <w:vAlign w:val="center"/>
          </w:tcPr>
          <w:p w14:paraId="589FD36C">
            <w:pPr>
              <w:jc w:val="center"/>
              <w:rPr>
                <w:rFonts w:asciiTheme="majorEastAsia" w:hAnsiTheme="majorEastAsia" w:eastAsiaTheme="majorEastAsia"/>
                <w:color w:val="auto"/>
                <w:sz w:val="22"/>
                <w:szCs w:val="22"/>
                <w:highlight w:val="none"/>
              </w:rPr>
            </w:pPr>
          </w:p>
        </w:tc>
        <w:tc>
          <w:tcPr>
            <w:tcW w:w="2743" w:type="dxa"/>
            <w:vAlign w:val="center"/>
          </w:tcPr>
          <w:p w14:paraId="63DE1937">
            <w:pPr>
              <w:jc w:val="center"/>
              <w:rPr>
                <w:rFonts w:asciiTheme="majorEastAsia" w:hAnsiTheme="majorEastAsia" w:eastAsiaTheme="majorEastAsia"/>
                <w:color w:val="auto"/>
                <w:sz w:val="22"/>
                <w:szCs w:val="22"/>
                <w:highlight w:val="none"/>
              </w:rPr>
            </w:pPr>
          </w:p>
        </w:tc>
        <w:tc>
          <w:tcPr>
            <w:tcW w:w="3023" w:type="dxa"/>
            <w:vAlign w:val="center"/>
          </w:tcPr>
          <w:p w14:paraId="0E4793AD">
            <w:pPr>
              <w:jc w:val="center"/>
              <w:rPr>
                <w:rFonts w:asciiTheme="majorEastAsia" w:hAnsiTheme="majorEastAsia" w:eastAsiaTheme="majorEastAsia"/>
                <w:color w:val="auto"/>
                <w:sz w:val="22"/>
                <w:szCs w:val="22"/>
                <w:highlight w:val="none"/>
              </w:rPr>
            </w:pPr>
          </w:p>
        </w:tc>
        <w:tc>
          <w:tcPr>
            <w:tcW w:w="1260" w:type="dxa"/>
            <w:vAlign w:val="center"/>
          </w:tcPr>
          <w:p w14:paraId="131F14A7">
            <w:pPr>
              <w:jc w:val="center"/>
              <w:rPr>
                <w:rFonts w:asciiTheme="majorEastAsia" w:hAnsiTheme="majorEastAsia" w:eastAsiaTheme="majorEastAsia"/>
                <w:color w:val="auto"/>
                <w:sz w:val="22"/>
                <w:szCs w:val="22"/>
                <w:highlight w:val="none"/>
              </w:rPr>
            </w:pPr>
          </w:p>
        </w:tc>
      </w:tr>
      <w:tr w14:paraId="7501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25B3E21E">
            <w:pPr>
              <w:jc w:val="center"/>
              <w:rPr>
                <w:rFonts w:asciiTheme="majorEastAsia" w:hAnsiTheme="majorEastAsia" w:eastAsiaTheme="majorEastAsia"/>
                <w:color w:val="auto"/>
                <w:sz w:val="22"/>
                <w:szCs w:val="22"/>
                <w:highlight w:val="none"/>
              </w:rPr>
            </w:pPr>
          </w:p>
        </w:tc>
        <w:tc>
          <w:tcPr>
            <w:tcW w:w="1434" w:type="dxa"/>
            <w:vAlign w:val="center"/>
          </w:tcPr>
          <w:p w14:paraId="229E4F85">
            <w:pPr>
              <w:jc w:val="center"/>
              <w:rPr>
                <w:rFonts w:asciiTheme="majorEastAsia" w:hAnsiTheme="majorEastAsia" w:eastAsiaTheme="majorEastAsia"/>
                <w:color w:val="auto"/>
                <w:sz w:val="22"/>
                <w:szCs w:val="22"/>
                <w:highlight w:val="none"/>
              </w:rPr>
            </w:pPr>
          </w:p>
        </w:tc>
        <w:tc>
          <w:tcPr>
            <w:tcW w:w="2743" w:type="dxa"/>
            <w:vAlign w:val="center"/>
          </w:tcPr>
          <w:p w14:paraId="62A70E3B">
            <w:pPr>
              <w:jc w:val="center"/>
              <w:rPr>
                <w:rFonts w:asciiTheme="majorEastAsia" w:hAnsiTheme="majorEastAsia" w:eastAsiaTheme="majorEastAsia"/>
                <w:color w:val="auto"/>
                <w:sz w:val="22"/>
                <w:szCs w:val="22"/>
                <w:highlight w:val="none"/>
              </w:rPr>
            </w:pPr>
          </w:p>
        </w:tc>
        <w:tc>
          <w:tcPr>
            <w:tcW w:w="3023" w:type="dxa"/>
            <w:vAlign w:val="center"/>
          </w:tcPr>
          <w:p w14:paraId="6A5F577C">
            <w:pPr>
              <w:jc w:val="center"/>
              <w:rPr>
                <w:rFonts w:asciiTheme="majorEastAsia" w:hAnsiTheme="majorEastAsia" w:eastAsiaTheme="majorEastAsia"/>
                <w:color w:val="auto"/>
                <w:sz w:val="22"/>
                <w:szCs w:val="22"/>
                <w:highlight w:val="none"/>
              </w:rPr>
            </w:pPr>
          </w:p>
        </w:tc>
        <w:tc>
          <w:tcPr>
            <w:tcW w:w="1260" w:type="dxa"/>
            <w:vAlign w:val="center"/>
          </w:tcPr>
          <w:p w14:paraId="7F713AC8">
            <w:pPr>
              <w:jc w:val="center"/>
              <w:rPr>
                <w:rFonts w:asciiTheme="majorEastAsia" w:hAnsiTheme="majorEastAsia" w:eastAsiaTheme="majorEastAsia"/>
                <w:color w:val="auto"/>
                <w:sz w:val="22"/>
                <w:szCs w:val="22"/>
                <w:highlight w:val="none"/>
              </w:rPr>
            </w:pPr>
          </w:p>
        </w:tc>
      </w:tr>
      <w:tr w14:paraId="73E9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3DF7BB32">
            <w:pPr>
              <w:jc w:val="center"/>
              <w:rPr>
                <w:rFonts w:asciiTheme="majorEastAsia" w:hAnsiTheme="majorEastAsia" w:eastAsiaTheme="majorEastAsia"/>
                <w:color w:val="auto"/>
                <w:sz w:val="22"/>
                <w:szCs w:val="22"/>
                <w:highlight w:val="none"/>
              </w:rPr>
            </w:pPr>
          </w:p>
        </w:tc>
        <w:tc>
          <w:tcPr>
            <w:tcW w:w="1434" w:type="dxa"/>
            <w:vAlign w:val="center"/>
          </w:tcPr>
          <w:p w14:paraId="13913007">
            <w:pPr>
              <w:jc w:val="center"/>
              <w:rPr>
                <w:rFonts w:asciiTheme="majorEastAsia" w:hAnsiTheme="majorEastAsia" w:eastAsiaTheme="majorEastAsia"/>
                <w:color w:val="auto"/>
                <w:sz w:val="22"/>
                <w:szCs w:val="22"/>
                <w:highlight w:val="none"/>
              </w:rPr>
            </w:pPr>
          </w:p>
        </w:tc>
        <w:tc>
          <w:tcPr>
            <w:tcW w:w="2743" w:type="dxa"/>
            <w:vAlign w:val="center"/>
          </w:tcPr>
          <w:p w14:paraId="06E0F54C">
            <w:pPr>
              <w:jc w:val="center"/>
              <w:rPr>
                <w:rFonts w:asciiTheme="majorEastAsia" w:hAnsiTheme="majorEastAsia" w:eastAsiaTheme="majorEastAsia"/>
                <w:color w:val="auto"/>
                <w:sz w:val="22"/>
                <w:szCs w:val="22"/>
                <w:highlight w:val="none"/>
              </w:rPr>
            </w:pPr>
          </w:p>
        </w:tc>
        <w:tc>
          <w:tcPr>
            <w:tcW w:w="3023" w:type="dxa"/>
            <w:vAlign w:val="center"/>
          </w:tcPr>
          <w:p w14:paraId="7311DE8B">
            <w:pPr>
              <w:jc w:val="center"/>
              <w:rPr>
                <w:rFonts w:asciiTheme="majorEastAsia" w:hAnsiTheme="majorEastAsia" w:eastAsiaTheme="majorEastAsia"/>
                <w:color w:val="auto"/>
                <w:sz w:val="22"/>
                <w:szCs w:val="22"/>
                <w:highlight w:val="none"/>
              </w:rPr>
            </w:pPr>
          </w:p>
        </w:tc>
        <w:tc>
          <w:tcPr>
            <w:tcW w:w="1260" w:type="dxa"/>
            <w:vAlign w:val="center"/>
          </w:tcPr>
          <w:p w14:paraId="3D0730CC">
            <w:pPr>
              <w:jc w:val="center"/>
              <w:rPr>
                <w:rFonts w:asciiTheme="majorEastAsia" w:hAnsiTheme="majorEastAsia" w:eastAsiaTheme="majorEastAsia"/>
                <w:color w:val="auto"/>
                <w:sz w:val="22"/>
                <w:szCs w:val="22"/>
                <w:highlight w:val="none"/>
              </w:rPr>
            </w:pPr>
          </w:p>
        </w:tc>
      </w:tr>
    </w:tbl>
    <w:p w14:paraId="1E43E5A9">
      <w:pPr>
        <w:pStyle w:val="24"/>
        <w:spacing w:line="340" w:lineRule="exact"/>
        <w:rPr>
          <w:rFonts w:hAnsi="宋体" w:cs="宋体"/>
          <w:color w:val="auto"/>
          <w:sz w:val="22"/>
          <w:szCs w:val="22"/>
          <w:highlight w:val="none"/>
        </w:rPr>
      </w:pPr>
      <w:r>
        <w:rPr>
          <w:rFonts w:hint="eastAsia" w:cs="仿宋" w:asciiTheme="majorEastAsia" w:hAnsiTheme="majorEastAsia" w:eastAsiaTheme="majorEastAsia"/>
          <w:b/>
          <w:color w:val="auto"/>
          <w:sz w:val="22"/>
          <w:szCs w:val="22"/>
          <w:highlight w:val="none"/>
        </w:rPr>
        <w:t>注：</w:t>
      </w:r>
      <w:r>
        <w:rPr>
          <w:rFonts w:hint="eastAsia" w:hAnsi="宋体" w:cs="宋体"/>
          <w:b/>
          <w:color w:val="auto"/>
          <w:sz w:val="22"/>
          <w:szCs w:val="22"/>
          <w:highlight w:val="none"/>
        </w:rPr>
        <w:t>1、偏离表中进行如实填写详细对比说明并注明无偏离、正偏离和负偏离。</w:t>
      </w:r>
    </w:p>
    <w:p w14:paraId="3C1C11C8">
      <w:pPr>
        <w:pStyle w:val="24"/>
        <w:spacing w:line="3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2、不填写此表视作完全响应采购文件要求。</w:t>
      </w:r>
    </w:p>
    <w:p w14:paraId="39ED23C7">
      <w:pPr>
        <w:pStyle w:val="24"/>
        <w:spacing w:line="340" w:lineRule="exact"/>
        <w:ind w:firstLine="442" w:firstLineChars="200"/>
        <w:rPr>
          <w:rFonts w:hAnsi="宋体" w:cs="宋体"/>
          <w:b/>
          <w:bCs/>
          <w:color w:val="auto"/>
          <w:sz w:val="22"/>
          <w:szCs w:val="22"/>
          <w:highlight w:val="none"/>
          <w:u w:val="single"/>
        </w:rPr>
      </w:pPr>
      <w:r>
        <w:rPr>
          <w:rFonts w:hint="eastAsia" w:hAnsi="宋体" w:cs="宋体"/>
          <w:b/>
          <w:bCs/>
          <w:color w:val="auto"/>
          <w:sz w:val="22"/>
          <w:szCs w:val="22"/>
          <w:highlight w:val="none"/>
        </w:rPr>
        <w:t>3、▲</w:t>
      </w:r>
      <w:r>
        <w:rPr>
          <w:rFonts w:hint="eastAsia" w:hAnsi="宋体" w:cs="宋体"/>
          <w:b/>
          <w:bCs/>
          <w:color w:val="auto"/>
          <w:sz w:val="22"/>
          <w:szCs w:val="22"/>
          <w:highlight w:val="none"/>
          <w:u w:val="single"/>
          <w:lang w:val="zh-CN"/>
        </w:rPr>
        <w:t>不提供此表的视为没有实质性响应采购文件，其投标将被拒绝。</w:t>
      </w:r>
    </w:p>
    <w:p w14:paraId="1BA24333">
      <w:pPr>
        <w:pStyle w:val="24"/>
        <w:spacing w:line="340" w:lineRule="exact"/>
        <w:rPr>
          <w:rFonts w:asciiTheme="majorEastAsia" w:hAnsiTheme="majorEastAsia" w:eastAsiaTheme="majorEastAsia"/>
          <w:b/>
          <w:color w:val="auto"/>
          <w:sz w:val="22"/>
          <w:highlight w:val="none"/>
        </w:rPr>
      </w:pPr>
    </w:p>
    <w:p w14:paraId="76EAB5DA">
      <w:pPr>
        <w:pStyle w:val="24"/>
        <w:spacing w:line="340" w:lineRule="exact"/>
        <w:ind w:left="657" w:leftChars="313" w:firstLine="4196" w:firstLineChars="1900"/>
        <w:rPr>
          <w:rFonts w:asciiTheme="majorEastAsia" w:hAnsiTheme="majorEastAsia" w:eastAsiaTheme="majorEastAsia"/>
          <w:b/>
          <w:color w:val="auto"/>
          <w:sz w:val="22"/>
          <w:highlight w:val="none"/>
        </w:rPr>
      </w:pPr>
    </w:p>
    <w:p w14:paraId="0A4098C9">
      <w:pPr>
        <w:pStyle w:val="24"/>
        <w:spacing w:line="360" w:lineRule="auto"/>
        <w:rPr>
          <w:rFonts w:hAnsi="宋体" w:cs="宋体"/>
          <w:color w:val="auto"/>
          <w:sz w:val="22"/>
          <w:szCs w:val="22"/>
          <w:highlight w:val="none"/>
        </w:rPr>
      </w:pPr>
      <w:bookmarkStart w:id="213" w:name="_Toc5132"/>
      <w:r>
        <w:rPr>
          <w:rFonts w:hint="eastAsia" w:hAnsi="宋体" w:cs="宋体"/>
          <w:color w:val="auto"/>
          <w:sz w:val="22"/>
          <w:szCs w:val="22"/>
          <w:highlight w:val="none"/>
        </w:rPr>
        <w:t>投标供应商全称（盖章）：</w:t>
      </w:r>
    </w:p>
    <w:p w14:paraId="35038608">
      <w:pPr>
        <w:pStyle w:val="24"/>
        <w:spacing w:line="360" w:lineRule="auto"/>
        <w:rPr>
          <w:rFonts w:hAnsi="宋体" w:cs="宋体"/>
          <w:color w:val="auto"/>
          <w:sz w:val="22"/>
          <w:szCs w:val="22"/>
          <w:highlight w:val="none"/>
        </w:rPr>
        <w:sectPr>
          <w:pgSz w:w="11906" w:h="16838"/>
          <w:pgMar w:top="1134" w:right="1134" w:bottom="1134" w:left="1134" w:header="851" w:footer="850" w:gutter="0"/>
          <w:cols w:space="720" w:num="1"/>
          <w:titlePg/>
          <w:docGrid w:type="lines" w:linePitch="312" w:charSpace="0"/>
        </w:sectPr>
      </w:pPr>
      <w:r>
        <w:rPr>
          <w:rFonts w:hint="eastAsia" w:hAnsi="宋体" w:cs="宋体"/>
          <w:color w:val="auto"/>
          <w:sz w:val="22"/>
          <w:szCs w:val="22"/>
          <w:highlight w:val="none"/>
        </w:rPr>
        <w:t>日 期：       年      月      日</w:t>
      </w:r>
    </w:p>
    <w:p w14:paraId="27DA66B0">
      <w:pPr>
        <w:pStyle w:val="24"/>
        <w:spacing w:line="360" w:lineRule="auto"/>
        <w:rPr>
          <w:rFonts w:hAnsi="宋体" w:cs="宋体"/>
          <w:color w:val="auto"/>
          <w:sz w:val="22"/>
          <w:szCs w:val="22"/>
          <w:highlight w:val="none"/>
        </w:rPr>
      </w:pPr>
      <w:r>
        <w:rPr>
          <w:rFonts w:hint="eastAsia" w:hAnsi="宋体" w:cs="宋体"/>
          <w:color w:val="auto"/>
          <w:sz w:val="22"/>
          <w:szCs w:val="22"/>
          <w:highlight w:val="none"/>
        </w:rPr>
        <w:t>附件九</w:t>
      </w:r>
    </w:p>
    <w:p w14:paraId="1CA60499">
      <w:pPr>
        <w:pStyle w:val="40"/>
        <w:rPr>
          <w:rFonts w:ascii="宋体" w:hAnsi="宋体" w:cs="宋体"/>
          <w:color w:val="auto"/>
          <w:highlight w:val="none"/>
        </w:rPr>
      </w:pPr>
      <w:r>
        <w:rPr>
          <w:rFonts w:hint="eastAsia" w:ascii="宋体" w:hAnsi="宋体" w:cs="宋体"/>
          <w:color w:val="auto"/>
          <w:highlight w:val="none"/>
        </w:rPr>
        <w:t>产品配置及主要技术参数</w:t>
      </w:r>
    </w:p>
    <w:p w14:paraId="5FC068F5">
      <w:pPr>
        <w:rPr>
          <w:rFonts w:ascii="宋体" w:hAnsi="宋体" w:cs="宋体"/>
          <w:b/>
          <w:color w:val="auto"/>
          <w:spacing w:val="20"/>
          <w:sz w:val="22"/>
          <w:szCs w:val="22"/>
          <w:highlight w:val="none"/>
        </w:rPr>
      </w:pPr>
      <w:r>
        <w:rPr>
          <w:rFonts w:hint="eastAsia" w:ascii="宋体" w:hAnsi="宋体" w:cs="宋体"/>
          <w:color w:val="auto"/>
          <w:spacing w:val="20"/>
          <w:sz w:val="22"/>
          <w:szCs w:val="22"/>
          <w:highlight w:val="none"/>
        </w:rPr>
        <w:t>供应商名称：</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 xml:space="preserve">  招标编号：</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 xml:space="preserve">   项目名称：</w:t>
      </w:r>
      <w:r>
        <w:rPr>
          <w:rFonts w:hint="eastAsia" w:ascii="宋体" w:hAnsi="宋体" w:cs="宋体"/>
          <w:color w:val="auto"/>
          <w:spacing w:val="20"/>
          <w:sz w:val="22"/>
          <w:szCs w:val="22"/>
          <w:highlight w:val="none"/>
          <w:u w:val="single"/>
        </w:rPr>
        <w:t xml:space="preserve">         </w:t>
      </w:r>
    </w:p>
    <w:tbl>
      <w:tblPr>
        <w:tblStyle w:val="4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2520"/>
        <w:gridCol w:w="1995"/>
        <w:gridCol w:w="3045"/>
        <w:gridCol w:w="1260"/>
        <w:gridCol w:w="3741"/>
      </w:tblGrid>
      <w:tr w14:paraId="510426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42B5177E">
            <w:pPr>
              <w:jc w:val="center"/>
              <w:rPr>
                <w:rFonts w:ascii="宋体" w:hAnsi="宋体" w:cs="宋体"/>
                <w:b/>
                <w:color w:val="auto"/>
                <w:spacing w:val="20"/>
                <w:sz w:val="22"/>
                <w:szCs w:val="22"/>
                <w:highlight w:val="none"/>
              </w:rPr>
            </w:pPr>
            <w:r>
              <w:rPr>
                <w:rFonts w:hint="eastAsia" w:ascii="宋体" w:hAnsi="宋体" w:cs="宋体"/>
                <w:color w:val="auto"/>
                <w:spacing w:val="20"/>
                <w:sz w:val="22"/>
                <w:szCs w:val="22"/>
                <w:highlight w:val="none"/>
              </w:rPr>
              <w:t>序号</w:t>
            </w:r>
          </w:p>
        </w:tc>
        <w:tc>
          <w:tcPr>
            <w:tcW w:w="2520" w:type="dxa"/>
            <w:vAlign w:val="center"/>
          </w:tcPr>
          <w:p w14:paraId="3AE4FCF3">
            <w:pPr>
              <w:jc w:val="center"/>
              <w:rPr>
                <w:rFonts w:ascii="宋体" w:hAnsi="宋体" w:cs="宋体"/>
                <w:b/>
                <w:color w:val="auto"/>
                <w:spacing w:val="20"/>
                <w:sz w:val="22"/>
                <w:szCs w:val="22"/>
                <w:highlight w:val="none"/>
              </w:rPr>
            </w:pPr>
            <w:r>
              <w:rPr>
                <w:rFonts w:hint="eastAsia" w:ascii="宋体" w:hAnsi="宋体" w:cs="宋体"/>
                <w:color w:val="auto"/>
                <w:spacing w:val="20"/>
                <w:sz w:val="22"/>
                <w:szCs w:val="22"/>
                <w:highlight w:val="none"/>
              </w:rPr>
              <w:t>货物名称</w:t>
            </w:r>
          </w:p>
        </w:tc>
        <w:tc>
          <w:tcPr>
            <w:tcW w:w="1995" w:type="dxa"/>
            <w:vAlign w:val="center"/>
          </w:tcPr>
          <w:p w14:paraId="7EBB35AD">
            <w:pPr>
              <w:jc w:val="center"/>
              <w:rPr>
                <w:rFonts w:ascii="宋体" w:hAnsi="宋体" w:cs="宋体"/>
                <w:b/>
                <w:color w:val="auto"/>
                <w:spacing w:val="20"/>
                <w:sz w:val="22"/>
                <w:szCs w:val="22"/>
                <w:highlight w:val="none"/>
              </w:rPr>
            </w:pPr>
            <w:r>
              <w:rPr>
                <w:rFonts w:hint="eastAsia" w:ascii="宋体" w:hAnsi="宋体" w:cs="宋体"/>
                <w:color w:val="auto"/>
                <w:spacing w:val="20"/>
                <w:sz w:val="22"/>
                <w:szCs w:val="22"/>
                <w:highlight w:val="none"/>
              </w:rPr>
              <w:t>品牌及型号</w:t>
            </w:r>
          </w:p>
        </w:tc>
        <w:tc>
          <w:tcPr>
            <w:tcW w:w="3045" w:type="dxa"/>
            <w:vAlign w:val="center"/>
          </w:tcPr>
          <w:p w14:paraId="3C3C8C63">
            <w:pPr>
              <w:jc w:val="center"/>
              <w:rPr>
                <w:rFonts w:ascii="宋体" w:hAnsi="宋体" w:cs="宋体"/>
                <w:b/>
                <w:color w:val="auto"/>
                <w:spacing w:val="20"/>
                <w:sz w:val="22"/>
                <w:szCs w:val="22"/>
                <w:highlight w:val="none"/>
              </w:rPr>
            </w:pPr>
            <w:r>
              <w:rPr>
                <w:rFonts w:hint="eastAsia" w:ascii="宋体" w:hAnsi="宋体" w:cs="宋体"/>
                <w:color w:val="auto"/>
                <w:spacing w:val="20"/>
                <w:sz w:val="22"/>
                <w:szCs w:val="22"/>
                <w:highlight w:val="none"/>
              </w:rPr>
              <w:t>主要规格</w:t>
            </w:r>
          </w:p>
        </w:tc>
        <w:tc>
          <w:tcPr>
            <w:tcW w:w="1260" w:type="dxa"/>
            <w:vAlign w:val="center"/>
          </w:tcPr>
          <w:p w14:paraId="0CB83233">
            <w:pPr>
              <w:jc w:val="center"/>
              <w:rPr>
                <w:rFonts w:ascii="宋体" w:hAnsi="宋体" w:cs="宋体"/>
                <w:b/>
                <w:color w:val="auto"/>
                <w:spacing w:val="20"/>
                <w:sz w:val="22"/>
                <w:szCs w:val="22"/>
                <w:highlight w:val="none"/>
              </w:rPr>
            </w:pPr>
            <w:r>
              <w:rPr>
                <w:rFonts w:hint="eastAsia" w:ascii="宋体" w:hAnsi="宋体" w:cs="宋体"/>
                <w:color w:val="auto"/>
                <w:spacing w:val="20"/>
                <w:sz w:val="22"/>
                <w:szCs w:val="22"/>
                <w:highlight w:val="none"/>
              </w:rPr>
              <w:t>数量</w:t>
            </w:r>
          </w:p>
        </w:tc>
        <w:tc>
          <w:tcPr>
            <w:tcW w:w="3741" w:type="dxa"/>
            <w:vAlign w:val="center"/>
          </w:tcPr>
          <w:p w14:paraId="653A51AF">
            <w:pPr>
              <w:jc w:val="center"/>
              <w:rPr>
                <w:rFonts w:ascii="宋体" w:hAnsi="宋体" w:cs="宋体"/>
                <w:b/>
                <w:color w:val="auto"/>
                <w:spacing w:val="20"/>
                <w:sz w:val="22"/>
                <w:szCs w:val="22"/>
                <w:highlight w:val="none"/>
              </w:rPr>
            </w:pPr>
            <w:r>
              <w:rPr>
                <w:rFonts w:hint="eastAsia" w:ascii="宋体" w:hAnsi="宋体" w:cs="宋体"/>
                <w:color w:val="auto"/>
                <w:spacing w:val="20"/>
                <w:sz w:val="22"/>
                <w:szCs w:val="22"/>
                <w:highlight w:val="none"/>
              </w:rPr>
              <w:t>备注</w:t>
            </w:r>
          </w:p>
        </w:tc>
      </w:tr>
      <w:tr w14:paraId="4ADBAE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7771F651">
            <w:pPr>
              <w:jc w:val="center"/>
              <w:rPr>
                <w:rFonts w:ascii="宋体" w:hAnsi="宋体" w:cs="宋体"/>
                <w:color w:val="auto"/>
                <w:spacing w:val="20"/>
                <w:sz w:val="22"/>
                <w:szCs w:val="22"/>
                <w:highlight w:val="none"/>
              </w:rPr>
            </w:pPr>
          </w:p>
        </w:tc>
        <w:tc>
          <w:tcPr>
            <w:tcW w:w="2520" w:type="dxa"/>
            <w:vAlign w:val="center"/>
          </w:tcPr>
          <w:p w14:paraId="10077AAC">
            <w:pPr>
              <w:jc w:val="center"/>
              <w:rPr>
                <w:rFonts w:ascii="宋体" w:hAnsi="宋体" w:cs="宋体"/>
                <w:color w:val="auto"/>
                <w:spacing w:val="20"/>
                <w:sz w:val="22"/>
                <w:szCs w:val="22"/>
                <w:highlight w:val="none"/>
              </w:rPr>
            </w:pPr>
          </w:p>
        </w:tc>
        <w:tc>
          <w:tcPr>
            <w:tcW w:w="1995" w:type="dxa"/>
            <w:vAlign w:val="center"/>
          </w:tcPr>
          <w:p w14:paraId="16F63CBB">
            <w:pPr>
              <w:jc w:val="center"/>
              <w:rPr>
                <w:rFonts w:ascii="宋体" w:hAnsi="宋体" w:cs="宋体"/>
                <w:color w:val="auto"/>
                <w:spacing w:val="20"/>
                <w:sz w:val="22"/>
                <w:szCs w:val="22"/>
                <w:highlight w:val="none"/>
              </w:rPr>
            </w:pPr>
          </w:p>
        </w:tc>
        <w:tc>
          <w:tcPr>
            <w:tcW w:w="3045" w:type="dxa"/>
            <w:vAlign w:val="center"/>
          </w:tcPr>
          <w:p w14:paraId="453E3E6F">
            <w:pPr>
              <w:jc w:val="center"/>
              <w:rPr>
                <w:rFonts w:ascii="宋体" w:hAnsi="宋体" w:cs="宋体"/>
                <w:color w:val="auto"/>
                <w:spacing w:val="20"/>
                <w:sz w:val="22"/>
                <w:szCs w:val="22"/>
                <w:highlight w:val="none"/>
              </w:rPr>
            </w:pPr>
          </w:p>
        </w:tc>
        <w:tc>
          <w:tcPr>
            <w:tcW w:w="1260" w:type="dxa"/>
            <w:vAlign w:val="center"/>
          </w:tcPr>
          <w:p w14:paraId="51B22024">
            <w:pPr>
              <w:jc w:val="center"/>
              <w:rPr>
                <w:rFonts w:ascii="宋体" w:hAnsi="宋体" w:cs="宋体"/>
                <w:color w:val="auto"/>
                <w:spacing w:val="20"/>
                <w:sz w:val="22"/>
                <w:szCs w:val="22"/>
                <w:highlight w:val="none"/>
              </w:rPr>
            </w:pPr>
          </w:p>
        </w:tc>
        <w:tc>
          <w:tcPr>
            <w:tcW w:w="3741" w:type="dxa"/>
            <w:vAlign w:val="center"/>
          </w:tcPr>
          <w:p w14:paraId="52BB3B1C">
            <w:pPr>
              <w:jc w:val="center"/>
              <w:rPr>
                <w:rFonts w:ascii="宋体" w:hAnsi="宋体" w:cs="宋体"/>
                <w:color w:val="auto"/>
                <w:spacing w:val="20"/>
                <w:sz w:val="22"/>
                <w:szCs w:val="22"/>
                <w:highlight w:val="none"/>
              </w:rPr>
            </w:pPr>
          </w:p>
        </w:tc>
      </w:tr>
      <w:tr w14:paraId="25F64F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5DED16D0">
            <w:pPr>
              <w:jc w:val="center"/>
              <w:rPr>
                <w:rFonts w:ascii="宋体" w:hAnsi="宋体" w:cs="宋体"/>
                <w:color w:val="auto"/>
                <w:spacing w:val="20"/>
                <w:sz w:val="22"/>
                <w:szCs w:val="22"/>
                <w:highlight w:val="none"/>
              </w:rPr>
            </w:pPr>
          </w:p>
        </w:tc>
        <w:tc>
          <w:tcPr>
            <w:tcW w:w="2520" w:type="dxa"/>
            <w:vAlign w:val="center"/>
          </w:tcPr>
          <w:p w14:paraId="603606AA">
            <w:pPr>
              <w:jc w:val="center"/>
              <w:rPr>
                <w:rFonts w:ascii="宋体" w:hAnsi="宋体" w:cs="宋体"/>
                <w:color w:val="auto"/>
                <w:spacing w:val="20"/>
                <w:sz w:val="22"/>
                <w:szCs w:val="22"/>
                <w:highlight w:val="none"/>
              </w:rPr>
            </w:pPr>
          </w:p>
        </w:tc>
        <w:tc>
          <w:tcPr>
            <w:tcW w:w="1995" w:type="dxa"/>
            <w:vAlign w:val="center"/>
          </w:tcPr>
          <w:p w14:paraId="7EB14F23">
            <w:pPr>
              <w:jc w:val="center"/>
              <w:rPr>
                <w:rFonts w:ascii="宋体" w:hAnsi="宋体" w:cs="宋体"/>
                <w:color w:val="auto"/>
                <w:spacing w:val="20"/>
                <w:sz w:val="22"/>
                <w:szCs w:val="22"/>
                <w:highlight w:val="none"/>
              </w:rPr>
            </w:pPr>
          </w:p>
        </w:tc>
        <w:tc>
          <w:tcPr>
            <w:tcW w:w="3045" w:type="dxa"/>
            <w:vAlign w:val="center"/>
          </w:tcPr>
          <w:p w14:paraId="5C0D3254">
            <w:pPr>
              <w:jc w:val="center"/>
              <w:rPr>
                <w:rFonts w:ascii="宋体" w:hAnsi="宋体" w:cs="宋体"/>
                <w:color w:val="auto"/>
                <w:spacing w:val="20"/>
                <w:sz w:val="22"/>
                <w:szCs w:val="22"/>
                <w:highlight w:val="none"/>
              </w:rPr>
            </w:pPr>
          </w:p>
        </w:tc>
        <w:tc>
          <w:tcPr>
            <w:tcW w:w="1260" w:type="dxa"/>
            <w:vAlign w:val="center"/>
          </w:tcPr>
          <w:p w14:paraId="580D5EC6">
            <w:pPr>
              <w:jc w:val="center"/>
              <w:rPr>
                <w:rFonts w:ascii="宋体" w:hAnsi="宋体" w:cs="宋体"/>
                <w:color w:val="auto"/>
                <w:spacing w:val="20"/>
                <w:sz w:val="22"/>
                <w:szCs w:val="22"/>
                <w:highlight w:val="none"/>
              </w:rPr>
            </w:pPr>
          </w:p>
        </w:tc>
        <w:tc>
          <w:tcPr>
            <w:tcW w:w="3741" w:type="dxa"/>
            <w:vAlign w:val="center"/>
          </w:tcPr>
          <w:p w14:paraId="58CC182B">
            <w:pPr>
              <w:jc w:val="center"/>
              <w:rPr>
                <w:rFonts w:ascii="宋体" w:hAnsi="宋体" w:cs="宋体"/>
                <w:color w:val="auto"/>
                <w:spacing w:val="20"/>
                <w:sz w:val="22"/>
                <w:szCs w:val="22"/>
                <w:highlight w:val="none"/>
              </w:rPr>
            </w:pPr>
          </w:p>
        </w:tc>
      </w:tr>
      <w:tr w14:paraId="2EEFD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1F4227A8">
            <w:pPr>
              <w:jc w:val="center"/>
              <w:rPr>
                <w:rFonts w:ascii="宋体" w:hAnsi="宋体" w:cs="宋体"/>
                <w:color w:val="auto"/>
                <w:spacing w:val="20"/>
                <w:sz w:val="22"/>
                <w:szCs w:val="22"/>
                <w:highlight w:val="none"/>
              </w:rPr>
            </w:pPr>
          </w:p>
        </w:tc>
        <w:tc>
          <w:tcPr>
            <w:tcW w:w="2520" w:type="dxa"/>
            <w:vAlign w:val="center"/>
          </w:tcPr>
          <w:p w14:paraId="52B854CB">
            <w:pPr>
              <w:jc w:val="center"/>
              <w:rPr>
                <w:rFonts w:ascii="宋体" w:hAnsi="宋体" w:cs="宋体"/>
                <w:color w:val="auto"/>
                <w:spacing w:val="20"/>
                <w:sz w:val="22"/>
                <w:szCs w:val="22"/>
                <w:highlight w:val="none"/>
              </w:rPr>
            </w:pPr>
          </w:p>
        </w:tc>
        <w:tc>
          <w:tcPr>
            <w:tcW w:w="1995" w:type="dxa"/>
            <w:vAlign w:val="center"/>
          </w:tcPr>
          <w:p w14:paraId="1F303D90">
            <w:pPr>
              <w:jc w:val="center"/>
              <w:rPr>
                <w:rFonts w:ascii="宋体" w:hAnsi="宋体" w:cs="宋体"/>
                <w:color w:val="auto"/>
                <w:spacing w:val="20"/>
                <w:sz w:val="22"/>
                <w:szCs w:val="22"/>
                <w:highlight w:val="none"/>
              </w:rPr>
            </w:pPr>
          </w:p>
        </w:tc>
        <w:tc>
          <w:tcPr>
            <w:tcW w:w="3045" w:type="dxa"/>
            <w:vAlign w:val="center"/>
          </w:tcPr>
          <w:p w14:paraId="150347F7">
            <w:pPr>
              <w:jc w:val="center"/>
              <w:rPr>
                <w:rFonts w:ascii="宋体" w:hAnsi="宋体" w:cs="宋体"/>
                <w:color w:val="auto"/>
                <w:spacing w:val="20"/>
                <w:sz w:val="22"/>
                <w:szCs w:val="22"/>
                <w:highlight w:val="none"/>
              </w:rPr>
            </w:pPr>
          </w:p>
        </w:tc>
        <w:tc>
          <w:tcPr>
            <w:tcW w:w="1260" w:type="dxa"/>
            <w:vAlign w:val="center"/>
          </w:tcPr>
          <w:p w14:paraId="348DA444">
            <w:pPr>
              <w:jc w:val="center"/>
              <w:rPr>
                <w:rFonts w:ascii="宋体" w:hAnsi="宋体" w:cs="宋体"/>
                <w:color w:val="auto"/>
                <w:spacing w:val="20"/>
                <w:sz w:val="22"/>
                <w:szCs w:val="22"/>
                <w:highlight w:val="none"/>
              </w:rPr>
            </w:pPr>
          </w:p>
        </w:tc>
        <w:tc>
          <w:tcPr>
            <w:tcW w:w="3741" w:type="dxa"/>
            <w:vAlign w:val="center"/>
          </w:tcPr>
          <w:p w14:paraId="0F62AE5F">
            <w:pPr>
              <w:jc w:val="center"/>
              <w:rPr>
                <w:rFonts w:ascii="宋体" w:hAnsi="宋体" w:cs="宋体"/>
                <w:color w:val="auto"/>
                <w:spacing w:val="20"/>
                <w:sz w:val="22"/>
                <w:szCs w:val="22"/>
                <w:highlight w:val="none"/>
              </w:rPr>
            </w:pPr>
          </w:p>
        </w:tc>
      </w:tr>
      <w:tr w14:paraId="42D637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46C5B03F">
            <w:pPr>
              <w:jc w:val="center"/>
              <w:rPr>
                <w:rFonts w:ascii="宋体" w:hAnsi="宋体" w:cs="宋体"/>
                <w:color w:val="auto"/>
                <w:spacing w:val="20"/>
                <w:sz w:val="22"/>
                <w:szCs w:val="22"/>
                <w:highlight w:val="none"/>
              </w:rPr>
            </w:pPr>
          </w:p>
        </w:tc>
        <w:tc>
          <w:tcPr>
            <w:tcW w:w="2520" w:type="dxa"/>
            <w:vAlign w:val="center"/>
          </w:tcPr>
          <w:p w14:paraId="180EDAF5">
            <w:pPr>
              <w:jc w:val="center"/>
              <w:rPr>
                <w:rFonts w:ascii="宋体" w:hAnsi="宋体" w:cs="宋体"/>
                <w:color w:val="auto"/>
                <w:spacing w:val="20"/>
                <w:sz w:val="22"/>
                <w:szCs w:val="22"/>
                <w:highlight w:val="none"/>
              </w:rPr>
            </w:pPr>
          </w:p>
        </w:tc>
        <w:tc>
          <w:tcPr>
            <w:tcW w:w="1995" w:type="dxa"/>
            <w:vAlign w:val="center"/>
          </w:tcPr>
          <w:p w14:paraId="5B5628F5">
            <w:pPr>
              <w:jc w:val="center"/>
              <w:rPr>
                <w:rFonts w:ascii="宋体" w:hAnsi="宋体" w:cs="宋体"/>
                <w:color w:val="auto"/>
                <w:spacing w:val="20"/>
                <w:sz w:val="22"/>
                <w:szCs w:val="22"/>
                <w:highlight w:val="none"/>
              </w:rPr>
            </w:pPr>
          </w:p>
        </w:tc>
        <w:tc>
          <w:tcPr>
            <w:tcW w:w="3045" w:type="dxa"/>
            <w:vAlign w:val="center"/>
          </w:tcPr>
          <w:p w14:paraId="6C82D65E">
            <w:pPr>
              <w:jc w:val="center"/>
              <w:rPr>
                <w:rFonts w:ascii="宋体" w:hAnsi="宋体" w:cs="宋体"/>
                <w:color w:val="auto"/>
                <w:spacing w:val="20"/>
                <w:sz w:val="22"/>
                <w:szCs w:val="22"/>
                <w:highlight w:val="none"/>
              </w:rPr>
            </w:pPr>
          </w:p>
        </w:tc>
        <w:tc>
          <w:tcPr>
            <w:tcW w:w="1260" w:type="dxa"/>
            <w:vAlign w:val="center"/>
          </w:tcPr>
          <w:p w14:paraId="0603A8C8">
            <w:pPr>
              <w:jc w:val="center"/>
              <w:rPr>
                <w:rFonts w:ascii="宋体" w:hAnsi="宋体" w:cs="宋体"/>
                <w:color w:val="auto"/>
                <w:spacing w:val="20"/>
                <w:sz w:val="22"/>
                <w:szCs w:val="22"/>
                <w:highlight w:val="none"/>
              </w:rPr>
            </w:pPr>
          </w:p>
        </w:tc>
        <w:tc>
          <w:tcPr>
            <w:tcW w:w="3741" w:type="dxa"/>
            <w:vAlign w:val="center"/>
          </w:tcPr>
          <w:p w14:paraId="61B29A70">
            <w:pPr>
              <w:jc w:val="center"/>
              <w:rPr>
                <w:rFonts w:ascii="宋体" w:hAnsi="宋体" w:cs="宋体"/>
                <w:color w:val="auto"/>
                <w:spacing w:val="20"/>
                <w:sz w:val="22"/>
                <w:szCs w:val="22"/>
                <w:highlight w:val="none"/>
              </w:rPr>
            </w:pPr>
          </w:p>
        </w:tc>
      </w:tr>
      <w:tr w14:paraId="2DE844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00DAF094">
            <w:pPr>
              <w:jc w:val="center"/>
              <w:rPr>
                <w:rFonts w:ascii="宋体" w:hAnsi="宋体" w:cs="宋体"/>
                <w:color w:val="auto"/>
                <w:spacing w:val="20"/>
                <w:sz w:val="22"/>
                <w:szCs w:val="22"/>
                <w:highlight w:val="none"/>
              </w:rPr>
            </w:pPr>
          </w:p>
        </w:tc>
        <w:tc>
          <w:tcPr>
            <w:tcW w:w="2520" w:type="dxa"/>
            <w:vAlign w:val="center"/>
          </w:tcPr>
          <w:p w14:paraId="51DFAC2D">
            <w:pPr>
              <w:jc w:val="center"/>
              <w:rPr>
                <w:rFonts w:ascii="宋体" w:hAnsi="宋体" w:cs="宋体"/>
                <w:color w:val="auto"/>
                <w:spacing w:val="20"/>
                <w:sz w:val="22"/>
                <w:szCs w:val="22"/>
                <w:highlight w:val="none"/>
              </w:rPr>
            </w:pPr>
          </w:p>
        </w:tc>
        <w:tc>
          <w:tcPr>
            <w:tcW w:w="1995" w:type="dxa"/>
            <w:vAlign w:val="center"/>
          </w:tcPr>
          <w:p w14:paraId="2D20B61F">
            <w:pPr>
              <w:jc w:val="center"/>
              <w:rPr>
                <w:rFonts w:ascii="宋体" w:hAnsi="宋体" w:cs="宋体"/>
                <w:color w:val="auto"/>
                <w:spacing w:val="20"/>
                <w:sz w:val="22"/>
                <w:szCs w:val="22"/>
                <w:highlight w:val="none"/>
              </w:rPr>
            </w:pPr>
          </w:p>
        </w:tc>
        <w:tc>
          <w:tcPr>
            <w:tcW w:w="3045" w:type="dxa"/>
            <w:vAlign w:val="center"/>
          </w:tcPr>
          <w:p w14:paraId="27EE190E">
            <w:pPr>
              <w:jc w:val="center"/>
              <w:rPr>
                <w:rFonts w:ascii="宋体" w:hAnsi="宋体" w:cs="宋体"/>
                <w:color w:val="auto"/>
                <w:spacing w:val="20"/>
                <w:sz w:val="22"/>
                <w:szCs w:val="22"/>
                <w:highlight w:val="none"/>
              </w:rPr>
            </w:pPr>
          </w:p>
        </w:tc>
        <w:tc>
          <w:tcPr>
            <w:tcW w:w="1260" w:type="dxa"/>
            <w:vAlign w:val="center"/>
          </w:tcPr>
          <w:p w14:paraId="289E40CB">
            <w:pPr>
              <w:jc w:val="center"/>
              <w:rPr>
                <w:rFonts w:ascii="宋体" w:hAnsi="宋体" w:cs="宋体"/>
                <w:color w:val="auto"/>
                <w:spacing w:val="20"/>
                <w:sz w:val="22"/>
                <w:szCs w:val="22"/>
                <w:highlight w:val="none"/>
              </w:rPr>
            </w:pPr>
          </w:p>
        </w:tc>
        <w:tc>
          <w:tcPr>
            <w:tcW w:w="3741" w:type="dxa"/>
            <w:vAlign w:val="center"/>
          </w:tcPr>
          <w:p w14:paraId="2E9ED790">
            <w:pPr>
              <w:jc w:val="center"/>
              <w:rPr>
                <w:rFonts w:ascii="宋体" w:hAnsi="宋体" w:cs="宋体"/>
                <w:color w:val="auto"/>
                <w:spacing w:val="20"/>
                <w:sz w:val="22"/>
                <w:szCs w:val="22"/>
                <w:highlight w:val="none"/>
              </w:rPr>
            </w:pPr>
          </w:p>
        </w:tc>
      </w:tr>
      <w:tr w14:paraId="0199F1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37EE7C0F">
            <w:pPr>
              <w:jc w:val="center"/>
              <w:rPr>
                <w:rFonts w:ascii="宋体" w:hAnsi="宋体" w:cs="宋体"/>
                <w:color w:val="auto"/>
                <w:spacing w:val="20"/>
                <w:sz w:val="22"/>
                <w:szCs w:val="22"/>
                <w:highlight w:val="none"/>
              </w:rPr>
            </w:pPr>
          </w:p>
        </w:tc>
        <w:tc>
          <w:tcPr>
            <w:tcW w:w="2520" w:type="dxa"/>
            <w:vAlign w:val="center"/>
          </w:tcPr>
          <w:p w14:paraId="2A848268">
            <w:pPr>
              <w:jc w:val="center"/>
              <w:rPr>
                <w:rFonts w:ascii="宋体" w:hAnsi="宋体" w:cs="宋体"/>
                <w:color w:val="auto"/>
                <w:spacing w:val="20"/>
                <w:sz w:val="22"/>
                <w:szCs w:val="22"/>
                <w:highlight w:val="none"/>
              </w:rPr>
            </w:pPr>
          </w:p>
        </w:tc>
        <w:tc>
          <w:tcPr>
            <w:tcW w:w="1995" w:type="dxa"/>
            <w:vAlign w:val="center"/>
          </w:tcPr>
          <w:p w14:paraId="40BF03A2">
            <w:pPr>
              <w:jc w:val="center"/>
              <w:rPr>
                <w:rFonts w:ascii="宋体" w:hAnsi="宋体" w:cs="宋体"/>
                <w:color w:val="auto"/>
                <w:spacing w:val="20"/>
                <w:sz w:val="22"/>
                <w:szCs w:val="22"/>
                <w:highlight w:val="none"/>
              </w:rPr>
            </w:pPr>
          </w:p>
        </w:tc>
        <w:tc>
          <w:tcPr>
            <w:tcW w:w="3045" w:type="dxa"/>
            <w:vAlign w:val="center"/>
          </w:tcPr>
          <w:p w14:paraId="35A51BC5">
            <w:pPr>
              <w:jc w:val="center"/>
              <w:rPr>
                <w:rFonts w:ascii="宋体" w:hAnsi="宋体" w:cs="宋体"/>
                <w:color w:val="auto"/>
                <w:spacing w:val="20"/>
                <w:sz w:val="22"/>
                <w:szCs w:val="22"/>
                <w:highlight w:val="none"/>
              </w:rPr>
            </w:pPr>
          </w:p>
        </w:tc>
        <w:tc>
          <w:tcPr>
            <w:tcW w:w="1260" w:type="dxa"/>
            <w:vAlign w:val="center"/>
          </w:tcPr>
          <w:p w14:paraId="055258AB">
            <w:pPr>
              <w:jc w:val="center"/>
              <w:rPr>
                <w:rFonts w:ascii="宋体" w:hAnsi="宋体" w:cs="宋体"/>
                <w:color w:val="auto"/>
                <w:spacing w:val="20"/>
                <w:sz w:val="22"/>
                <w:szCs w:val="22"/>
                <w:highlight w:val="none"/>
              </w:rPr>
            </w:pPr>
          </w:p>
        </w:tc>
        <w:tc>
          <w:tcPr>
            <w:tcW w:w="3741" w:type="dxa"/>
            <w:vAlign w:val="center"/>
          </w:tcPr>
          <w:p w14:paraId="37398D1F">
            <w:pPr>
              <w:jc w:val="center"/>
              <w:rPr>
                <w:rFonts w:ascii="宋体" w:hAnsi="宋体" w:cs="宋体"/>
                <w:color w:val="auto"/>
                <w:spacing w:val="20"/>
                <w:sz w:val="22"/>
                <w:szCs w:val="22"/>
                <w:highlight w:val="none"/>
              </w:rPr>
            </w:pPr>
          </w:p>
        </w:tc>
      </w:tr>
      <w:tr w14:paraId="5B8618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666B6497">
            <w:pPr>
              <w:jc w:val="center"/>
              <w:rPr>
                <w:rFonts w:ascii="宋体" w:hAnsi="宋体" w:cs="宋体"/>
                <w:color w:val="auto"/>
                <w:spacing w:val="20"/>
                <w:sz w:val="22"/>
                <w:szCs w:val="22"/>
                <w:highlight w:val="none"/>
              </w:rPr>
            </w:pPr>
          </w:p>
        </w:tc>
        <w:tc>
          <w:tcPr>
            <w:tcW w:w="2520" w:type="dxa"/>
            <w:vAlign w:val="center"/>
          </w:tcPr>
          <w:p w14:paraId="562329C9">
            <w:pPr>
              <w:jc w:val="center"/>
              <w:rPr>
                <w:rFonts w:ascii="宋体" w:hAnsi="宋体" w:cs="宋体"/>
                <w:color w:val="auto"/>
                <w:spacing w:val="20"/>
                <w:sz w:val="22"/>
                <w:szCs w:val="22"/>
                <w:highlight w:val="none"/>
              </w:rPr>
            </w:pPr>
          </w:p>
        </w:tc>
        <w:tc>
          <w:tcPr>
            <w:tcW w:w="1995" w:type="dxa"/>
            <w:vAlign w:val="center"/>
          </w:tcPr>
          <w:p w14:paraId="177C9AA0">
            <w:pPr>
              <w:jc w:val="center"/>
              <w:rPr>
                <w:rFonts w:ascii="宋体" w:hAnsi="宋体" w:cs="宋体"/>
                <w:color w:val="auto"/>
                <w:spacing w:val="20"/>
                <w:sz w:val="22"/>
                <w:szCs w:val="22"/>
                <w:highlight w:val="none"/>
              </w:rPr>
            </w:pPr>
          </w:p>
        </w:tc>
        <w:tc>
          <w:tcPr>
            <w:tcW w:w="3045" w:type="dxa"/>
            <w:vAlign w:val="center"/>
          </w:tcPr>
          <w:p w14:paraId="4D704B6D">
            <w:pPr>
              <w:jc w:val="center"/>
              <w:rPr>
                <w:rFonts w:ascii="宋体" w:hAnsi="宋体" w:cs="宋体"/>
                <w:color w:val="auto"/>
                <w:spacing w:val="20"/>
                <w:sz w:val="22"/>
                <w:szCs w:val="22"/>
                <w:highlight w:val="none"/>
              </w:rPr>
            </w:pPr>
          </w:p>
        </w:tc>
        <w:tc>
          <w:tcPr>
            <w:tcW w:w="1260" w:type="dxa"/>
            <w:vAlign w:val="center"/>
          </w:tcPr>
          <w:p w14:paraId="3AF80052">
            <w:pPr>
              <w:jc w:val="center"/>
              <w:rPr>
                <w:rFonts w:ascii="宋体" w:hAnsi="宋体" w:cs="宋体"/>
                <w:color w:val="auto"/>
                <w:spacing w:val="20"/>
                <w:sz w:val="22"/>
                <w:szCs w:val="22"/>
                <w:highlight w:val="none"/>
              </w:rPr>
            </w:pPr>
          </w:p>
        </w:tc>
        <w:tc>
          <w:tcPr>
            <w:tcW w:w="3741" w:type="dxa"/>
            <w:vAlign w:val="center"/>
          </w:tcPr>
          <w:p w14:paraId="1405C152">
            <w:pPr>
              <w:jc w:val="center"/>
              <w:rPr>
                <w:rFonts w:ascii="宋体" w:hAnsi="宋体" w:cs="宋体"/>
                <w:color w:val="auto"/>
                <w:spacing w:val="20"/>
                <w:sz w:val="22"/>
                <w:szCs w:val="22"/>
                <w:highlight w:val="none"/>
              </w:rPr>
            </w:pPr>
          </w:p>
        </w:tc>
      </w:tr>
      <w:tr w14:paraId="57D714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00E28D50">
            <w:pPr>
              <w:jc w:val="center"/>
              <w:rPr>
                <w:rFonts w:ascii="宋体" w:hAnsi="宋体" w:cs="宋体"/>
                <w:color w:val="auto"/>
                <w:spacing w:val="20"/>
                <w:sz w:val="22"/>
                <w:szCs w:val="22"/>
                <w:highlight w:val="none"/>
              </w:rPr>
            </w:pPr>
          </w:p>
        </w:tc>
        <w:tc>
          <w:tcPr>
            <w:tcW w:w="2520" w:type="dxa"/>
            <w:vAlign w:val="center"/>
          </w:tcPr>
          <w:p w14:paraId="2BFFAC6A">
            <w:pPr>
              <w:jc w:val="center"/>
              <w:rPr>
                <w:rFonts w:ascii="宋体" w:hAnsi="宋体" w:cs="宋体"/>
                <w:color w:val="auto"/>
                <w:spacing w:val="20"/>
                <w:sz w:val="22"/>
                <w:szCs w:val="22"/>
                <w:highlight w:val="none"/>
              </w:rPr>
            </w:pPr>
          </w:p>
        </w:tc>
        <w:tc>
          <w:tcPr>
            <w:tcW w:w="1995" w:type="dxa"/>
            <w:vAlign w:val="center"/>
          </w:tcPr>
          <w:p w14:paraId="7E93B08D">
            <w:pPr>
              <w:jc w:val="center"/>
              <w:rPr>
                <w:rFonts w:ascii="宋体" w:hAnsi="宋体" w:cs="宋体"/>
                <w:color w:val="auto"/>
                <w:spacing w:val="20"/>
                <w:sz w:val="22"/>
                <w:szCs w:val="22"/>
                <w:highlight w:val="none"/>
              </w:rPr>
            </w:pPr>
          </w:p>
        </w:tc>
        <w:tc>
          <w:tcPr>
            <w:tcW w:w="3045" w:type="dxa"/>
            <w:vAlign w:val="center"/>
          </w:tcPr>
          <w:p w14:paraId="76DA9686">
            <w:pPr>
              <w:jc w:val="center"/>
              <w:rPr>
                <w:rFonts w:ascii="宋体" w:hAnsi="宋体" w:cs="宋体"/>
                <w:color w:val="auto"/>
                <w:spacing w:val="20"/>
                <w:sz w:val="22"/>
                <w:szCs w:val="22"/>
                <w:highlight w:val="none"/>
              </w:rPr>
            </w:pPr>
          </w:p>
        </w:tc>
        <w:tc>
          <w:tcPr>
            <w:tcW w:w="1260" w:type="dxa"/>
            <w:vAlign w:val="center"/>
          </w:tcPr>
          <w:p w14:paraId="0CA7956C">
            <w:pPr>
              <w:jc w:val="center"/>
              <w:rPr>
                <w:rFonts w:ascii="宋体" w:hAnsi="宋体" w:cs="宋体"/>
                <w:color w:val="auto"/>
                <w:spacing w:val="20"/>
                <w:sz w:val="22"/>
                <w:szCs w:val="22"/>
                <w:highlight w:val="none"/>
              </w:rPr>
            </w:pPr>
          </w:p>
        </w:tc>
        <w:tc>
          <w:tcPr>
            <w:tcW w:w="3741" w:type="dxa"/>
            <w:vAlign w:val="center"/>
          </w:tcPr>
          <w:p w14:paraId="65EA5DD6">
            <w:pPr>
              <w:jc w:val="center"/>
              <w:rPr>
                <w:rFonts w:ascii="宋体" w:hAnsi="宋体" w:cs="宋体"/>
                <w:color w:val="auto"/>
                <w:spacing w:val="20"/>
                <w:sz w:val="22"/>
                <w:szCs w:val="22"/>
                <w:highlight w:val="none"/>
              </w:rPr>
            </w:pPr>
          </w:p>
        </w:tc>
      </w:tr>
      <w:tr w14:paraId="451E30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1737AEFC">
            <w:pPr>
              <w:jc w:val="center"/>
              <w:rPr>
                <w:rFonts w:ascii="宋体" w:hAnsi="宋体" w:cs="宋体"/>
                <w:color w:val="auto"/>
                <w:spacing w:val="20"/>
                <w:sz w:val="22"/>
                <w:szCs w:val="22"/>
                <w:highlight w:val="none"/>
              </w:rPr>
            </w:pPr>
          </w:p>
        </w:tc>
        <w:tc>
          <w:tcPr>
            <w:tcW w:w="2520" w:type="dxa"/>
            <w:vAlign w:val="center"/>
          </w:tcPr>
          <w:p w14:paraId="3B8C9C0C">
            <w:pPr>
              <w:jc w:val="center"/>
              <w:rPr>
                <w:rFonts w:ascii="宋体" w:hAnsi="宋体" w:cs="宋体"/>
                <w:color w:val="auto"/>
                <w:spacing w:val="20"/>
                <w:sz w:val="22"/>
                <w:szCs w:val="22"/>
                <w:highlight w:val="none"/>
              </w:rPr>
            </w:pPr>
          </w:p>
        </w:tc>
        <w:tc>
          <w:tcPr>
            <w:tcW w:w="1995" w:type="dxa"/>
            <w:vAlign w:val="center"/>
          </w:tcPr>
          <w:p w14:paraId="00365F9C">
            <w:pPr>
              <w:jc w:val="center"/>
              <w:rPr>
                <w:rFonts w:ascii="宋体" w:hAnsi="宋体" w:cs="宋体"/>
                <w:color w:val="auto"/>
                <w:spacing w:val="20"/>
                <w:sz w:val="22"/>
                <w:szCs w:val="22"/>
                <w:highlight w:val="none"/>
              </w:rPr>
            </w:pPr>
          </w:p>
        </w:tc>
        <w:tc>
          <w:tcPr>
            <w:tcW w:w="3045" w:type="dxa"/>
            <w:vAlign w:val="center"/>
          </w:tcPr>
          <w:p w14:paraId="29D1FEBC">
            <w:pPr>
              <w:jc w:val="center"/>
              <w:rPr>
                <w:rFonts w:ascii="宋体" w:hAnsi="宋体" w:cs="宋体"/>
                <w:color w:val="auto"/>
                <w:spacing w:val="20"/>
                <w:sz w:val="22"/>
                <w:szCs w:val="22"/>
                <w:highlight w:val="none"/>
              </w:rPr>
            </w:pPr>
          </w:p>
        </w:tc>
        <w:tc>
          <w:tcPr>
            <w:tcW w:w="1260" w:type="dxa"/>
            <w:vAlign w:val="center"/>
          </w:tcPr>
          <w:p w14:paraId="11EC73CB">
            <w:pPr>
              <w:jc w:val="center"/>
              <w:rPr>
                <w:rFonts w:ascii="宋体" w:hAnsi="宋体" w:cs="宋体"/>
                <w:color w:val="auto"/>
                <w:spacing w:val="20"/>
                <w:sz w:val="22"/>
                <w:szCs w:val="22"/>
                <w:highlight w:val="none"/>
              </w:rPr>
            </w:pPr>
          </w:p>
        </w:tc>
        <w:tc>
          <w:tcPr>
            <w:tcW w:w="3741" w:type="dxa"/>
            <w:vAlign w:val="center"/>
          </w:tcPr>
          <w:p w14:paraId="16FFCFA9">
            <w:pPr>
              <w:jc w:val="center"/>
              <w:rPr>
                <w:rFonts w:ascii="宋体" w:hAnsi="宋体" w:cs="宋体"/>
                <w:color w:val="auto"/>
                <w:spacing w:val="20"/>
                <w:sz w:val="22"/>
                <w:szCs w:val="22"/>
                <w:highlight w:val="none"/>
              </w:rPr>
            </w:pPr>
          </w:p>
        </w:tc>
      </w:tr>
      <w:tr w14:paraId="3A1E2E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6E075E15">
            <w:pPr>
              <w:jc w:val="center"/>
              <w:rPr>
                <w:rFonts w:ascii="宋体" w:hAnsi="宋体" w:cs="宋体"/>
                <w:color w:val="auto"/>
                <w:spacing w:val="20"/>
                <w:sz w:val="22"/>
                <w:szCs w:val="22"/>
                <w:highlight w:val="none"/>
              </w:rPr>
            </w:pPr>
          </w:p>
        </w:tc>
        <w:tc>
          <w:tcPr>
            <w:tcW w:w="2520" w:type="dxa"/>
            <w:vAlign w:val="center"/>
          </w:tcPr>
          <w:p w14:paraId="26DA465A">
            <w:pPr>
              <w:jc w:val="center"/>
              <w:rPr>
                <w:rFonts w:ascii="宋体" w:hAnsi="宋体" w:cs="宋体"/>
                <w:color w:val="auto"/>
                <w:spacing w:val="20"/>
                <w:sz w:val="22"/>
                <w:szCs w:val="22"/>
                <w:highlight w:val="none"/>
              </w:rPr>
            </w:pPr>
          </w:p>
        </w:tc>
        <w:tc>
          <w:tcPr>
            <w:tcW w:w="1995" w:type="dxa"/>
            <w:vAlign w:val="center"/>
          </w:tcPr>
          <w:p w14:paraId="420788B2">
            <w:pPr>
              <w:jc w:val="center"/>
              <w:rPr>
                <w:rFonts w:ascii="宋体" w:hAnsi="宋体" w:cs="宋体"/>
                <w:color w:val="auto"/>
                <w:spacing w:val="20"/>
                <w:sz w:val="22"/>
                <w:szCs w:val="22"/>
                <w:highlight w:val="none"/>
              </w:rPr>
            </w:pPr>
          </w:p>
        </w:tc>
        <w:tc>
          <w:tcPr>
            <w:tcW w:w="3045" w:type="dxa"/>
            <w:vAlign w:val="center"/>
          </w:tcPr>
          <w:p w14:paraId="4ED66F35">
            <w:pPr>
              <w:jc w:val="center"/>
              <w:rPr>
                <w:rFonts w:ascii="宋体" w:hAnsi="宋体" w:cs="宋体"/>
                <w:color w:val="auto"/>
                <w:spacing w:val="20"/>
                <w:sz w:val="22"/>
                <w:szCs w:val="22"/>
                <w:highlight w:val="none"/>
              </w:rPr>
            </w:pPr>
          </w:p>
        </w:tc>
        <w:tc>
          <w:tcPr>
            <w:tcW w:w="1260" w:type="dxa"/>
            <w:vAlign w:val="center"/>
          </w:tcPr>
          <w:p w14:paraId="43ABAF6F">
            <w:pPr>
              <w:jc w:val="center"/>
              <w:rPr>
                <w:rFonts w:ascii="宋体" w:hAnsi="宋体" w:cs="宋体"/>
                <w:color w:val="auto"/>
                <w:spacing w:val="20"/>
                <w:sz w:val="22"/>
                <w:szCs w:val="22"/>
                <w:highlight w:val="none"/>
              </w:rPr>
            </w:pPr>
          </w:p>
        </w:tc>
        <w:tc>
          <w:tcPr>
            <w:tcW w:w="3741" w:type="dxa"/>
            <w:vAlign w:val="center"/>
          </w:tcPr>
          <w:p w14:paraId="5186496D">
            <w:pPr>
              <w:jc w:val="center"/>
              <w:rPr>
                <w:rFonts w:ascii="宋体" w:hAnsi="宋体" w:cs="宋体"/>
                <w:color w:val="auto"/>
                <w:spacing w:val="20"/>
                <w:sz w:val="22"/>
                <w:szCs w:val="22"/>
                <w:highlight w:val="none"/>
              </w:rPr>
            </w:pPr>
          </w:p>
        </w:tc>
      </w:tr>
      <w:tr w14:paraId="2D018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6504593A">
            <w:pPr>
              <w:jc w:val="center"/>
              <w:rPr>
                <w:rFonts w:ascii="宋体" w:hAnsi="宋体" w:cs="宋体"/>
                <w:color w:val="auto"/>
                <w:spacing w:val="20"/>
                <w:sz w:val="22"/>
                <w:szCs w:val="22"/>
                <w:highlight w:val="none"/>
              </w:rPr>
            </w:pPr>
          </w:p>
        </w:tc>
        <w:tc>
          <w:tcPr>
            <w:tcW w:w="2520" w:type="dxa"/>
            <w:vAlign w:val="center"/>
          </w:tcPr>
          <w:p w14:paraId="29E7826B">
            <w:pPr>
              <w:jc w:val="center"/>
              <w:rPr>
                <w:rFonts w:ascii="宋体" w:hAnsi="宋体" w:cs="宋体"/>
                <w:color w:val="auto"/>
                <w:spacing w:val="20"/>
                <w:sz w:val="22"/>
                <w:szCs w:val="22"/>
                <w:highlight w:val="none"/>
              </w:rPr>
            </w:pPr>
          </w:p>
        </w:tc>
        <w:tc>
          <w:tcPr>
            <w:tcW w:w="1995" w:type="dxa"/>
            <w:vAlign w:val="center"/>
          </w:tcPr>
          <w:p w14:paraId="3E2CABFD">
            <w:pPr>
              <w:jc w:val="center"/>
              <w:rPr>
                <w:rFonts w:ascii="宋体" w:hAnsi="宋体" w:cs="宋体"/>
                <w:color w:val="auto"/>
                <w:spacing w:val="20"/>
                <w:sz w:val="22"/>
                <w:szCs w:val="22"/>
                <w:highlight w:val="none"/>
              </w:rPr>
            </w:pPr>
          </w:p>
        </w:tc>
        <w:tc>
          <w:tcPr>
            <w:tcW w:w="3045" w:type="dxa"/>
            <w:vAlign w:val="center"/>
          </w:tcPr>
          <w:p w14:paraId="37BF02A6">
            <w:pPr>
              <w:jc w:val="center"/>
              <w:rPr>
                <w:rFonts w:ascii="宋体" w:hAnsi="宋体" w:cs="宋体"/>
                <w:color w:val="auto"/>
                <w:spacing w:val="20"/>
                <w:sz w:val="22"/>
                <w:szCs w:val="22"/>
                <w:highlight w:val="none"/>
              </w:rPr>
            </w:pPr>
          </w:p>
        </w:tc>
        <w:tc>
          <w:tcPr>
            <w:tcW w:w="1260" w:type="dxa"/>
            <w:vAlign w:val="center"/>
          </w:tcPr>
          <w:p w14:paraId="55044E5F">
            <w:pPr>
              <w:jc w:val="center"/>
              <w:rPr>
                <w:rFonts w:ascii="宋体" w:hAnsi="宋体" w:cs="宋体"/>
                <w:color w:val="auto"/>
                <w:spacing w:val="20"/>
                <w:sz w:val="22"/>
                <w:szCs w:val="22"/>
                <w:highlight w:val="none"/>
              </w:rPr>
            </w:pPr>
          </w:p>
        </w:tc>
        <w:tc>
          <w:tcPr>
            <w:tcW w:w="3741" w:type="dxa"/>
            <w:vAlign w:val="center"/>
          </w:tcPr>
          <w:p w14:paraId="1BD1C818">
            <w:pPr>
              <w:jc w:val="center"/>
              <w:rPr>
                <w:rFonts w:ascii="宋体" w:hAnsi="宋体" w:cs="宋体"/>
                <w:color w:val="auto"/>
                <w:spacing w:val="20"/>
                <w:sz w:val="22"/>
                <w:szCs w:val="22"/>
                <w:highlight w:val="none"/>
              </w:rPr>
            </w:pPr>
          </w:p>
        </w:tc>
      </w:tr>
      <w:tr w14:paraId="43A587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44C46C06">
            <w:pPr>
              <w:jc w:val="center"/>
              <w:rPr>
                <w:rFonts w:ascii="宋体" w:hAnsi="宋体" w:cs="宋体"/>
                <w:color w:val="auto"/>
                <w:spacing w:val="20"/>
                <w:sz w:val="22"/>
                <w:szCs w:val="22"/>
                <w:highlight w:val="none"/>
              </w:rPr>
            </w:pPr>
          </w:p>
        </w:tc>
        <w:tc>
          <w:tcPr>
            <w:tcW w:w="2520" w:type="dxa"/>
            <w:vAlign w:val="center"/>
          </w:tcPr>
          <w:p w14:paraId="14B9791B">
            <w:pPr>
              <w:jc w:val="center"/>
              <w:rPr>
                <w:rFonts w:ascii="宋体" w:hAnsi="宋体" w:cs="宋体"/>
                <w:color w:val="auto"/>
                <w:spacing w:val="20"/>
                <w:sz w:val="22"/>
                <w:szCs w:val="22"/>
                <w:highlight w:val="none"/>
              </w:rPr>
            </w:pPr>
          </w:p>
        </w:tc>
        <w:tc>
          <w:tcPr>
            <w:tcW w:w="1995" w:type="dxa"/>
            <w:vAlign w:val="center"/>
          </w:tcPr>
          <w:p w14:paraId="73CC8D69">
            <w:pPr>
              <w:jc w:val="center"/>
              <w:rPr>
                <w:rFonts w:ascii="宋体" w:hAnsi="宋体" w:cs="宋体"/>
                <w:color w:val="auto"/>
                <w:spacing w:val="20"/>
                <w:sz w:val="22"/>
                <w:szCs w:val="22"/>
                <w:highlight w:val="none"/>
              </w:rPr>
            </w:pPr>
          </w:p>
        </w:tc>
        <w:tc>
          <w:tcPr>
            <w:tcW w:w="3045" w:type="dxa"/>
            <w:vAlign w:val="center"/>
          </w:tcPr>
          <w:p w14:paraId="509F7870">
            <w:pPr>
              <w:jc w:val="center"/>
              <w:rPr>
                <w:rFonts w:ascii="宋体" w:hAnsi="宋体" w:cs="宋体"/>
                <w:color w:val="auto"/>
                <w:spacing w:val="20"/>
                <w:sz w:val="22"/>
                <w:szCs w:val="22"/>
                <w:highlight w:val="none"/>
              </w:rPr>
            </w:pPr>
          </w:p>
        </w:tc>
        <w:tc>
          <w:tcPr>
            <w:tcW w:w="1260" w:type="dxa"/>
            <w:vAlign w:val="center"/>
          </w:tcPr>
          <w:p w14:paraId="7EFBB3DB">
            <w:pPr>
              <w:jc w:val="center"/>
              <w:rPr>
                <w:rFonts w:ascii="宋体" w:hAnsi="宋体" w:cs="宋体"/>
                <w:color w:val="auto"/>
                <w:spacing w:val="20"/>
                <w:sz w:val="22"/>
                <w:szCs w:val="22"/>
                <w:highlight w:val="none"/>
              </w:rPr>
            </w:pPr>
          </w:p>
        </w:tc>
        <w:tc>
          <w:tcPr>
            <w:tcW w:w="3741" w:type="dxa"/>
            <w:vAlign w:val="center"/>
          </w:tcPr>
          <w:p w14:paraId="7C69712D">
            <w:pPr>
              <w:jc w:val="center"/>
              <w:rPr>
                <w:rFonts w:ascii="宋体" w:hAnsi="宋体" w:cs="宋体"/>
                <w:color w:val="auto"/>
                <w:spacing w:val="20"/>
                <w:sz w:val="22"/>
                <w:szCs w:val="22"/>
                <w:highlight w:val="none"/>
              </w:rPr>
            </w:pPr>
          </w:p>
        </w:tc>
      </w:tr>
    </w:tbl>
    <w:p w14:paraId="17B114A1">
      <w:pPr>
        <w:spacing w:line="360" w:lineRule="auto"/>
        <w:rPr>
          <w:rFonts w:ascii="宋体" w:hAnsi="宋体" w:cs="宋体"/>
          <w:iCs/>
          <w:color w:val="auto"/>
          <w:spacing w:val="20"/>
          <w:sz w:val="22"/>
          <w:szCs w:val="22"/>
          <w:highlight w:val="none"/>
          <w:u w:val="single"/>
        </w:rPr>
      </w:pPr>
      <w:r>
        <w:rPr>
          <w:rFonts w:hint="eastAsia" w:ascii="宋体" w:hAnsi="宋体" w:cs="宋体"/>
          <w:iCs/>
          <w:color w:val="auto"/>
          <w:spacing w:val="20"/>
          <w:sz w:val="22"/>
          <w:szCs w:val="22"/>
          <w:highlight w:val="none"/>
          <w:u w:val="single"/>
        </w:rPr>
        <w:t>★注：货物详细配置、技术应另页描述。</w:t>
      </w:r>
    </w:p>
    <w:p w14:paraId="66E60FED">
      <w:pPr>
        <w:pStyle w:val="8"/>
        <w:ind w:firstLine="442"/>
        <w:rPr>
          <w:rFonts w:ascii="宋体" w:eastAsia="宋体"/>
          <w:color w:val="auto"/>
          <w:sz w:val="22"/>
          <w:szCs w:val="22"/>
          <w:highlight w:val="none"/>
        </w:rPr>
      </w:pPr>
    </w:p>
    <w:p w14:paraId="0DF82F4E">
      <w:pPr>
        <w:pStyle w:val="8"/>
        <w:ind w:firstLine="440"/>
        <w:rPr>
          <w:rFonts w:ascii="宋体" w:eastAsia="宋体"/>
          <w:b w:val="0"/>
          <w:color w:val="auto"/>
          <w:sz w:val="22"/>
          <w:szCs w:val="22"/>
          <w:highlight w:val="none"/>
        </w:rPr>
      </w:pPr>
      <w:r>
        <w:rPr>
          <w:rFonts w:hint="eastAsia" w:ascii="宋体" w:eastAsia="宋体"/>
          <w:b w:val="0"/>
          <w:color w:val="auto"/>
          <w:sz w:val="22"/>
          <w:szCs w:val="22"/>
          <w:highlight w:val="none"/>
        </w:rPr>
        <w:t>投标供应商全称（盖章）：</w:t>
      </w:r>
    </w:p>
    <w:p w14:paraId="5D7A1C2A">
      <w:pPr>
        <w:pStyle w:val="8"/>
        <w:ind w:firstLine="440"/>
        <w:rPr>
          <w:rFonts w:ascii="宋体" w:eastAsia="宋体"/>
          <w:b w:val="0"/>
          <w:color w:val="auto"/>
          <w:sz w:val="22"/>
          <w:szCs w:val="22"/>
          <w:highlight w:val="none"/>
        </w:rPr>
        <w:sectPr>
          <w:pgSz w:w="16838" w:h="11906" w:orient="landscape"/>
          <w:pgMar w:top="1134" w:right="1134" w:bottom="1134" w:left="1134" w:header="851" w:footer="850" w:gutter="0"/>
          <w:cols w:space="720" w:num="1"/>
          <w:titlePg/>
          <w:docGrid w:type="lines" w:linePitch="312" w:charSpace="0"/>
        </w:sectPr>
      </w:pPr>
      <w:r>
        <w:rPr>
          <w:rFonts w:hint="eastAsia" w:ascii="宋体" w:eastAsia="宋体"/>
          <w:b w:val="0"/>
          <w:color w:val="auto"/>
          <w:sz w:val="22"/>
          <w:szCs w:val="22"/>
          <w:highlight w:val="none"/>
        </w:rPr>
        <w:t>日 期：       年      月      日</w:t>
      </w:r>
    </w:p>
    <w:p w14:paraId="3C5B101B">
      <w:pPr>
        <w:pStyle w:val="40"/>
        <w:jc w:val="left"/>
        <w:rPr>
          <w:rFonts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附件十</w:t>
      </w:r>
    </w:p>
    <w:p w14:paraId="69014A40">
      <w:pPr>
        <w:pStyle w:val="40"/>
        <w:rPr>
          <w:rFonts w:ascii="宋体" w:hAnsi="宋体" w:cs="宋体"/>
          <w:color w:val="auto"/>
          <w:highlight w:val="none"/>
        </w:rPr>
      </w:pPr>
      <w:r>
        <w:rPr>
          <w:rFonts w:hint="eastAsia" w:ascii="宋体" w:hAnsi="宋体" w:cs="宋体"/>
          <w:color w:val="auto"/>
          <w:highlight w:val="none"/>
        </w:rPr>
        <w:t>供应商项目服务人员汇总表</w:t>
      </w:r>
    </w:p>
    <w:p w14:paraId="73AEA143">
      <w:pPr>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 xml:space="preserve">招标项目名称：                                 招标编号：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3391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14:paraId="2CEA7718">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姓名</w:t>
            </w:r>
          </w:p>
        </w:tc>
        <w:tc>
          <w:tcPr>
            <w:tcW w:w="2520" w:type="dxa"/>
            <w:tcBorders>
              <w:top w:val="single" w:color="auto" w:sz="4" w:space="0"/>
              <w:left w:val="single" w:color="auto" w:sz="4" w:space="0"/>
              <w:bottom w:val="single" w:color="auto" w:sz="4" w:space="0"/>
              <w:right w:val="single" w:color="auto" w:sz="4" w:space="0"/>
            </w:tcBorders>
            <w:vAlign w:val="center"/>
          </w:tcPr>
          <w:p w14:paraId="08E2DAF0">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14:paraId="63856EDC">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年龄</w:t>
            </w:r>
          </w:p>
        </w:tc>
        <w:tc>
          <w:tcPr>
            <w:tcW w:w="720" w:type="dxa"/>
            <w:tcBorders>
              <w:top w:val="single" w:color="auto" w:sz="4" w:space="0"/>
              <w:left w:val="single" w:color="auto" w:sz="4" w:space="0"/>
              <w:bottom w:val="single" w:color="auto" w:sz="4" w:space="0"/>
              <w:right w:val="single" w:color="auto" w:sz="4" w:space="0"/>
            </w:tcBorders>
            <w:vAlign w:val="center"/>
          </w:tcPr>
          <w:p w14:paraId="313C173A">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性别</w:t>
            </w:r>
          </w:p>
        </w:tc>
        <w:tc>
          <w:tcPr>
            <w:tcW w:w="720" w:type="dxa"/>
            <w:tcBorders>
              <w:top w:val="single" w:color="auto" w:sz="4" w:space="0"/>
              <w:left w:val="single" w:color="auto" w:sz="4" w:space="0"/>
              <w:bottom w:val="single" w:color="auto" w:sz="4" w:space="0"/>
              <w:right w:val="single" w:color="auto" w:sz="4" w:space="0"/>
            </w:tcBorders>
            <w:vAlign w:val="center"/>
          </w:tcPr>
          <w:p w14:paraId="49579059">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专业</w:t>
            </w:r>
          </w:p>
        </w:tc>
        <w:tc>
          <w:tcPr>
            <w:tcW w:w="1080" w:type="dxa"/>
            <w:tcBorders>
              <w:top w:val="single" w:color="auto" w:sz="4" w:space="0"/>
              <w:left w:val="single" w:color="auto" w:sz="4" w:space="0"/>
              <w:bottom w:val="single" w:color="auto" w:sz="4" w:space="0"/>
              <w:right w:val="single" w:color="auto" w:sz="4" w:space="0"/>
            </w:tcBorders>
            <w:vAlign w:val="center"/>
          </w:tcPr>
          <w:p w14:paraId="6D407CE6">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专业</w:t>
            </w:r>
          </w:p>
          <w:p w14:paraId="711A9E79">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年限</w:t>
            </w:r>
          </w:p>
        </w:tc>
        <w:tc>
          <w:tcPr>
            <w:tcW w:w="1458" w:type="dxa"/>
            <w:tcBorders>
              <w:top w:val="single" w:color="auto" w:sz="4" w:space="0"/>
              <w:left w:val="single" w:color="auto" w:sz="4" w:space="0"/>
              <w:bottom w:val="single" w:color="auto" w:sz="4" w:space="0"/>
              <w:right w:val="single" w:color="auto" w:sz="4" w:space="0"/>
            </w:tcBorders>
            <w:vAlign w:val="center"/>
          </w:tcPr>
          <w:p w14:paraId="0D739EE6">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职务</w:t>
            </w:r>
          </w:p>
          <w:p w14:paraId="39BFD292">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和职称/认证</w:t>
            </w:r>
          </w:p>
        </w:tc>
        <w:tc>
          <w:tcPr>
            <w:tcW w:w="1560" w:type="dxa"/>
            <w:tcBorders>
              <w:top w:val="single" w:color="auto" w:sz="4" w:space="0"/>
              <w:left w:val="single" w:color="auto" w:sz="4" w:space="0"/>
              <w:bottom w:val="single" w:color="auto" w:sz="4" w:space="0"/>
              <w:right w:val="single" w:color="auto" w:sz="4" w:space="0"/>
            </w:tcBorders>
            <w:vAlign w:val="center"/>
          </w:tcPr>
          <w:p w14:paraId="4C2471D9">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到现场服务</w:t>
            </w:r>
          </w:p>
          <w:p w14:paraId="3FEFBB74">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起止时间</w:t>
            </w:r>
          </w:p>
        </w:tc>
      </w:tr>
      <w:tr w14:paraId="52A5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48D4B35">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59505CCD">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500B05D">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F5D238A">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1A33A02">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9AB2D2A">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55D324D0">
            <w:pPr>
              <w:spacing w:line="360" w:lineRule="auto"/>
              <w:ind w:left="5250"/>
              <w:rPr>
                <w:rFonts w:ascii="宋体" w:hAnsi="宋体" w:cs="宋体"/>
                <w:b/>
                <w:color w:val="auto"/>
                <w:spacing w:val="12"/>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00049F5">
            <w:pPr>
              <w:spacing w:line="360" w:lineRule="auto"/>
              <w:rPr>
                <w:rFonts w:ascii="宋体" w:hAnsi="宋体" w:cs="宋体"/>
                <w:b/>
                <w:color w:val="auto"/>
                <w:sz w:val="22"/>
                <w:szCs w:val="22"/>
                <w:highlight w:val="none"/>
              </w:rPr>
            </w:pPr>
          </w:p>
        </w:tc>
      </w:tr>
      <w:tr w14:paraId="264A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3E595B0">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61543A2">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EE635DF">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BB1E867">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61B8622">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9BD2479">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310355C7">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49992A5">
            <w:pPr>
              <w:spacing w:line="360" w:lineRule="auto"/>
              <w:ind w:left="5250"/>
              <w:rPr>
                <w:rFonts w:ascii="宋体" w:hAnsi="宋体" w:cs="宋体"/>
                <w:b/>
                <w:color w:val="auto"/>
                <w:spacing w:val="12"/>
                <w:sz w:val="22"/>
                <w:szCs w:val="22"/>
                <w:highlight w:val="none"/>
              </w:rPr>
            </w:pPr>
          </w:p>
        </w:tc>
      </w:tr>
      <w:tr w14:paraId="5B79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55DE7D70">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52AE490">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9509946">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4BAA392">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7034370">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1B0B3B9">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95A0FD8">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BA8626F">
            <w:pPr>
              <w:spacing w:line="360" w:lineRule="auto"/>
              <w:rPr>
                <w:rFonts w:ascii="宋体" w:hAnsi="宋体" w:cs="宋体"/>
                <w:b/>
                <w:color w:val="auto"/>
                <w:sz w:val="22"/>
                <w:szCs w:val="22"/>
                <w:highlight w:val="none"/>
              </w:rPr>
            </w:pPr>
          </w:p>
        </w:tc>
      </w:tr>
      <w:tr w14:paraId="76FA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426CDD3">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863B386">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1CCE73A">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65ED708">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7678258">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D55A17C">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2D340B74">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40680AC">
            <w:pPr>
              <w:spacing w:line="360" w:lineRule="auto"/>
              <w:rPr>
                <w:rFonts w:ascii="宋体" w:hAnsi="宋体" w:cs="宋体"/>
                <w:b/>
                <w:color w:val="auto"/>
                <w:sz w:val="22"/>
                <w:szCs w:val="22"/>
                <w:highlight w:val="none"/>
              </w:rPr>
            </w:pPr>
          </w:p>
        </w:tc>
      </w:tr>
      <w:tr w14:paraId="4F3A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53B9AFF">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55B92DC">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49CE914">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C74A3AC">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5C67D34">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346C84D">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2EC473B8">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6E1D893">
            <w:pPr>
              <w:spacing w:line="360" w:lineRule="auto"/>
              <w:rPr>
                <w:rFonts w:ascii="宋体" w:hAnsi="宋体" w:cs="宋体"/>
                <w:b/>
                <w:color w:val="auto"/>
                <w:sz w:val="22"/>
                <w:szCs w:val="22"/>
                <w:highlight w:val="none"/>
              </w:rPr>
            </w:pPr>
          </w:p>
        </w:tc>
      </w:tr>
      <w:tr w14:paraId="1F07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F26AC26">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7CC0181">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BE4B5DA">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3435F9B">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BEE48F6">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3182854">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29ACD809">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39F565B">
            <w:pPr>
              <w:spacing w:line="360" w:lineRule="auto"/>
              <w:rPr>
                <w:rFonts w:ascii="宋体" w:hAnsi="宋体" w:cs="宋体"/>
                <w:b/>
                <w:color w:val="auto"/>
                <w:sz w:val="22"/>
                <w:szCs w:val="22"/>
                <w:highlight w:val="none"/>
              </w:rPr>
            </w:pPr>
          </w:p>
        </w:tc>
      </w:tr>
      <w:tr w14:paraId="3A05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27849B8">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729E5D5">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68D9102">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D6F834B">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BF7B355">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BA2B8D4">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348C7B5A">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57B651B">
            <w:pPr>
              <w:spacing w:line="360" w:lineRule="auto"/>
              <w:rPr>
                <w:rFonts w:ascii="宋体" w:hAnsi="宋体" w:cs="宋体"/>
                <w:b/>
                <w:color w:val="auto"/>
                <w:sz w:val="22"/>
                <w:szCs w:val="22"/>
                <w:highlight w:val="none"/>
              </w:rPr>
            </w:pPr>
          </w:p>
        </w:tc>
      </w:tr>
      <w:tr w14:paraId="4FDE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F873AA0">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F67675D">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E6D8FA2">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F1969B6">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80CAB48">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3FA0E36">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0AE36401">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98B694F">
            <w:pPr>
              <w:spacing w:line="360" w:lineRule="auto"/>
              <w:rPr>
                <w:rFonts w:ascii="宋体" w:hAnsi="宋体" w:cs="宋体"/>
                <w:b/>
                <w:color w:val="auto"/>
                <w:sz w:val="22"/>
                <w:szCs w:val="22"/>
                <w:highlight w:val="none"/>
              </w:rPr>
            </w:pPr>
          </w:p>
        </w:tc>
      </w:tr>
      <w:tr w14:paraId="69A9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C8FC68A">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930179A">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319F84B">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6D47729">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139F646">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B9B7CD3">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736B9E1">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04819A3">
            <w:pPr>
              <w:spacing w:line="360" w:lineRule="auto"/>
              <w:rPr>
                <w:rFonts w:ascii="宋体" w:hAnsi="宋体" w:cs="宋体"/>
                <w:b/>
                <w:color w:val="auto"/>
                <w:sz w:val="22"/>
                <w:szCs w:val="22"/>
                <w:highlight w:val="none"/>
              </w:rPr>
            </w:pPr>
          </w:p>
        </w:tc>
      </w:tr>
      <w:tr w14:paraId="5B13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15C5407">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595D0DA8">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1C39F25">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E35CE88">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8731C27">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30DD1A6">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0C634491">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F252C35">
            <w:pPr>
              <w:spacing w:line="360" w:lineRule="auto"/>
              <w:rPr>
                <w:rFonts w:ascii="宋体" w:hAnsi="宋体" w:cs="宋体"/>
                <w:b/>
                <w:color w:val="auto"/>
                <w:sz w:val="22"/>
                <w:szCs w:val="22"/>
                <w:highlight w:val="none"/>
              </w:rPr>
            </w:pPr>
          </w:p>
        </w:tc>
      </w:tr>
      <w:tr w14:paraId="1EE6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0D998B03">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A07E91C">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798FE7C">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3A192FA">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37E8643">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8F0731D">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D8C19C6">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211A90E">
            <w:pPr>
              <w:spacing w:line="360" w:lineRule="auto"/>
              <w:rPr>
                <w:rFonts w:ascii="宋体" w:hAnsi="宋体" w:cs="宋体"/>
                <w:b/>
                <w:color w:val="auto"/>
                <w:sz w:val="22"/>
                <w:szCs w:val="22"/>
                <w:highlight w:val="none"/>
              </w:rPr>
            </w:pPr>
          </w:p>
        </w:tc>
      </w:tr>
      <w:tr w14:paraId="33D9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E7D1856">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7C4D23B">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3B6290C">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869D064">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4A8A724">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E3B54E0">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04939284">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8BFFB92">
            <w:pPr>
              <w:spacing w:line="360" w:lineRule="auto"/>
              <w:rPr>
                <w:rFonts w:ascii="宋体" w:hAnsi="宋体" w:cs="宋体"/>
                <w:b/>
                <w:color w:val="auto"/>
                <w:sz w:val="22"/>
                <w:szCs w:val="22"/>
                <w:highlight w:val="none"/>
              </w:rPr>
            </w:pPr>
          </w:p>
        </w:tc>
      </w:tr>
      <w:tr w14:paraId="781F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54E8D3AD">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C14FCE6">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05516BD">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FF9FBAB">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2CDBA23">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7253F24">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0880299F">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FA11574">
            <w:pPr>
              <w:spacing w:line="360" w:lineRule="auto"/>
              <w:rPr>
                <w:rFonts w:ascii="宋体" w:hAnsi="宋体" w:cs="宋体"/>
                <w:b/>
                <w:color w:val="auto"/>
                <w:sz w:val="22"/>
                <w:szCs w:val="22"/>
                <w:highlight w:val="none"/>
              </w:rPr>
            </w:pPr>
          </w:p>
        </w:tc>
      </w:tr>
      <w:tr w14:paraId="19B2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9708F7D">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9029CE0">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9ACEB02">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610F63E">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DCDBDDC">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8D8E2C7">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748519C8">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C97C75A">
            <w:pPr>
              <w:spacing w:line="360" w:lineRule="auto"/>
              <w:rPr>
                <w:rFonts w:ascii="宋体" w:hAnsi="宋体" w:cs="宋体"/>
                <w:b/>
                <w:color w:val="auto"/>
                <w:sz w:val="22"/>
                <w:szCs w:val="22"/>
                <w:highlight w:val="none"/>
              </w:rPr>
            </w:pPr>
          </w:p>
        </w:tc>
      </w:tr>
      <w:tr w14:paraId="26C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D3AE7F1">
            <w:pPr>
              <w:spacing w:line="360" w:lineRule="auto"/>
              <w:rPr>
                <w:rFonts w:ascii="宋体" w:hAnsi="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77DE4D6">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E3BEAEE">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5C67569">
            <w:pPr>
              <w:spacing w:line="360" w:lineRule="auto"/>
              <w:rPr>
                <w:rFonts w:ascii="宋体" w:hAnsi="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5CAD455">
            <w:pPr>
              <w:spacing w:line="360" w:lineRule="auto"/>
              <w:rPr>
                <w:rFonts w:ascii="宋体" w:hAnsi="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0D8D09C">
            <w:pPr>
              <w:spacing w:line="360" w:lineRule="auto"/>
              <w:rPr>
                <w:rFonts w:ascii="宋体" w:hAnsi="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05C2F528">
            <w:pPr>
              <w:spacing w:line="360" w:lineRule="auto"/>
              <w:rPr>
                <w:rFonts w:ascii="宋体" w:hAnsi="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179DB39">
            <w:pPr>
              <w:spacing w:line="360" w:lineRule="auto"/>
              <w:rPr>
                <w:rFonts w:ascii="宋体" w:hAnsi="宋体" w:cs="宋体"/>
                <w:b/>
                <w:color w:val="auto"/>
                <w:sz w:val="22"/>
                <w:szCs w:val="22"/>
                <w:highlight w:val="none"/>
              </w:rPr>
            </w:pPr>
          </w:p>
        </w:tc>
      </w:tr>
    </w:tbl>
    <w:p w14:paraId="125751C0">
      <w:pPr>
        <w:spacing w:line="360" w:lineRule="exact"/>
        <w:ind w:left="968" w:hanging="968" w:hangingChars="440"/>
        <w:rPr>
          <w:rFonts w:ascii="宋体" w:hAnsi="宋体" w:cs="宋体"/>
          <w:b/>
          <w:color w:val="auto"/>
          <w:sz w:val="22"/>
          <w:szCs w:val="22"/>
          <w:highlight w:val="none"/>
        </w:rPr>
      </w:pPr>
      <w:r>
        <w:rPr>
          <w:rFonts w:hint="eastAsia" w:ascii="宋体" w:hAnsi="宋体" w:cs="宋体"/>
          <w:color w:val="auto"/>
          <w:sz w:val="22"/>
          <w:szCs w:val="22"/>
          <w:highlight w:val="none"/>
        </w:rPr>
        <w:t>附注：1. 项目负责人、技术负责人、设备材料以及各主要专业工种负责人均应列入；</w:t>
      </w:r>
    </w:p>
    <w:p w14:paraId="7A0C3288">
      <w:pPr>
        <w:spacing w:line="360" w:lineRule="exact"/>
        <w:ind w:left="718" w:leftChars="321" w:hanging="44" w:hangingChars="20"/>
        <w:rPr>
          <w:rFonts w:ascii="宋体" w:hAnsi="宋体" w:cs="宋体"/>
          <w:b/>
          <w:color w:val="auto"/>
          <w:sz w:val="22"/>
          <w:szCs w:val="22"/>
          <w:highlight w:val="none"/>
        </w:rPr>
      </w:pPr>
      <w:r>
        <w:rPr>
          <w:rFonts w:hint="eastAsia" w:ascii="宋体" w:hAnsi="宋体" w:cs="宋体"/>
          <w:color w:val="auto"/>
          <w:sz w:val="22"/>
          <w:szCs w:val="22"/>
          <w:highlight w:val="none"/>
        </w:rPr>
        <w:t>2. 以上人员社保缴纳证明在技术资信标中提供。</w:t>
      </w:r>
    </w:p>
    <w:p w14:paraId="59CEB4DE">
      <w:pPr>
        <w:spacing w:line="360" w:lineRule="exact"/>
        <w:ind w:left="718" w:leftChars="321" w:hanging="44" w:hangingChars="20"/>
        <w:rPr>
          <w:rFonts w:ascii="宋体" w:hAnsi="宋体" w:cs="宋体"/>
          <w:b/>
          <w:color w:val="auto"/>
          <w:sz w:val="22"/>
          <w:szCs w:val="22"/>
          <w:highlight w:val="none"/>
        </w:rPr>
      </w:pPr>
      <w:r>
        <w:rPr>
          <w:rFonts w:hint="eastAsia" w:ascii="宋体" w:hAnsi="宋体" w:cs="宋体"/>
          <w:color w:val="auto"/>
          <w:sz w:val="22"/>
          <w:szCs w:val="22"/>
          <w:highlight w:val="none"/>
        </w:rPr>
        <w:t>3、表格可以延续。</w:t>
      </w:r>
    </w:p>
    <w:p w14:paraId="5806D18B">
      <w:pPr>
        <w:spacing w:line="360" w:lineRule="exact"/>
        <w:ind w:left="718" w:leftChars="321" w:hanging="44" w:hangingChars="20"/>
        <w:rPr>
          <w:rFonts w:ascii="宋体" w:hAnsi="宋体" w:cs="宋体"/>
          <w:b/>
          <w:color w:val="auto"/>
          <w:sz w:val="22"/>
          <w:szCs w:val="22"/>
          <w:highlight w:val="none"/>
        </w:rPr>
      </w:pPr>
    </w:p>
    <w:p w14:paraId="6CEA1682">
      <w:pPr>
        <w:spacing w:line="360" w:lineRule="exact"/>
        <w:ind w:left="718" w:leftChars="321" w:hanging="44" w:hangingChars="20"/>
        <w:rPr>
          <w:rFonts w:ascii="宋体" w:hAnsi="宋体" w:cs="宋体"/>
          <w:b/>
          <w:color w:val="auto"/>
          <w:sz w:val="22"/>
          <w:szCs w:val="22"/>
          <w:highlight w:val="none"/>
        </w:rPr>
      </w:pPr>
    </w:p>
    <w:p w14:paraId="78BE0912">
      <w:pPr>
        <w:spacing w:line="360" w:lineRule="exact"/>
        <w:ind w:left="718" w:leftChars="321" w:hanging="44" w:hangingChars="20"/>
        <w:rPr>
          <w:rFonts w:ascii="宋体" w:hAnsi="宋体" w:cs="宋体"/>
          <w:b/>
          <w:color w:val="auto"/>
          <w:sz w:val="22"/>
          <w:szCs w:val="22"/>
          <w:highlight w:val="none"/>
        </w:rPr>
      </w:pPr>
      <w:r>
        <w:rPr>
          <w:rFonts w:hint="eastAsia" w:ascii="宋体" w:hAnsi="宋体" w:cs="宋体"/>
          <w:color w:val="auto"/>
          <w:sz w:val="22"/>
          <w:szCs w:val="22"/>
          <w:highlight w:val="none"/>
        </w:rPr>
        <w:t>投标供应商全称（公章）：</w:t>
      </w:r>
    </w:p>
    <w:p w14:paraId="2D4B7F0E">
      <w:pPr>
        <w:spacing w:line="360" w:lineRule="exact"/>
        <w:ind w:left="718" w:leftChars="321" w:hanging="44" w:hangingChars="20"/>
        <w:rPr>
          <w:rFonts w:ascii="宋体" w:hAnsi="宋体" w:cs="宋体"/>
          <w:b/>
          <w:color w:val="auto"/>
          <w:sz w:val="22"/>
          <w:szCs w:val="22"/>
          <w:highlight w:val="none"/>
        </w:rPr>
      </w:pPr>
      <w:r>
        <w:rPr>
          <w:rFonts w:hint="eastAsia" w:ascii="宋体" w:hAnsi="宋体" w:cs="宋体"/>
          <w:color w:val="auto"/>
          <w:sz w:val="22"/>
          <w:szCs w:val="22"/>
          <w:highlight w:val="none"/>
        </w:rPr>
        <w:t>日期：  年  月  日</w:t>
      </w:r>
    </w:p>
    <w:p w14:paraId="5FA6B717">
      <w:pPr>
        <w:pStyle w:val="40"/>
        <w:rPr>
          <w:rFonts w:cs="新宋体" w:asciiTheme="majorEastAsia" w:hAnsiTheme="majorEastAsia" w:eastAsiaTheme="majorEastAsia"/>
          <w:color w:val="auto"/>
          <w:sz w:val="30"/>
          <w:szCs w:val="30"/>
          <w:highlight w:val="none"/>
        </w:rPr>
        <w:sectPr>
          <w:headerReference r:id="rId13" w:type="first"/>
          <w:headerReference r:id="rId12" w:type="default"/>
          <w:footerReference r:id="rId14" w:type="default"/>
          <w:pgSz w:w="11906" w:h="16838"/>
          <w:pgMar w:top="1134" w:right="1134" w:bottom="1134" w:left="1134" w:header="851" w:footer="850" w:gutter="0"/>
          <w:cols w:space="720" w:num="1"/>
          <w:titlePg/>
          <w:docGrid w:type="lines" w:linePitch="312" w:charSpace="0"/>
        </w:sectPr>
      </w:pPr>
    </w:p>
    <w:p w14:paraId="177F7031">
      <w:pPr>
        <w:pStyle w:val="40"/>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t>第七部分 评标定标办法</w:t>
      </w:r>
      <w:bookmarkEnd w:id="108"/>
      <w:bookmarkEnd w:id="109"/>
      <w:bookmarkEnd w:id="110"/>
      <w:bookmarkEnd w:id="213"/>
    </w:p>
    <w:p w14:paraId="38CCB7AA">
      <w:pPr>
        <w:tabs>
          <w:tab w:val="left" w:pos="8820"/>
        </w:tabs>
        <w:adjustRightInd w:val="0"/>
        <w:snapToGrid w:val="0"/>
        <w:spacing w:before="100" w:after="50"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根据《中华人民共和国政府采购法》等有关政府采购法规，结合本次所要采购服务的实际，按照公平、公正、科学、择优的原则选择中标供应商，特制定本评标办法。</w:t>
      </w:r>
    </w:p>
    <w:p w14:paraId="05607FF1">
      <w:pPr>
        <w:adjustRightInd w:val="0"/>
        <w:snapToGrid w:val="0"/>
        <w:spacing w:before="156" w:beforeLines="50" w:after="50" w:line="460" w:lineRule="atLeast"/>
        <w:jc w:val="center"/>
        <w:rPr>
          <w:rFonts w:cs="新宋体" w:asciiTheme="majorEastAsia" w:hAnsiTheme="majorEastAsia" w:eastAsiaTheme="majorEastAsia"/>
          <w:b/>
          <w:bCs/>
          <w:color w:val="auto"/>
          <w:sz w:val="22"/>
          <w:szCs w:val="22"/>
          <w:highlight w:val="none"/>
        </w:rPr>
      </w:pPr>
      <w:r>
        <w:rPr>
          <w:rFonts w:hint="eastAsia" w:cs="新宋体" w:asciiTheme="majorEastAsia" w:hAnsiTheme="majorEastAsia" w:eastAsiaTheme="majorEastAsia"/>
          <w:b/>
          <w:bCs/>
          <w:color w:val="auto"/>
          <w:sz w:val="22"/>
          <w:szCs w:val="22"/>
          <w:highlight w:val="none"/>
        </w:rPr>
        <w:t>一、总则</w:t>
      </w:r>
    </w:p>
    <w:p w14:paraId="312849E9">
      <w:pPr>
        <w:pStyle w:val="26"/>
        <w:adjustRightInd w:val="0"/>
        <w:snapToGrid w:val="0"/>
        <w:spacing w:before="100" w:after="50" w:line="460" w:lineRule="atLeast"/>
        <w:rPr>
          <w:rFonts w:cs="新宋体" w:asciiTheme="majorEastAsia" w:hAnsiTheme="majorEastAsia" w:eastAsiaTheme="majorEastAsia"/>
          <w:b w:val="0"/>
          <w:color w:val="auto"/>
          <w:sz w:val="22"/>
          <w:szCs w:val="22"/>
          <w:highlight w:val="none"/>
        </w:rPr>
      </w:pPr>
      <w:r>
        <w:rPr>
          <w:rFonts w:hint="eastAsia" w:cs="新宋体" w:asciiTheme="majorEastAsia" w:hAnsiTheme="majorEastAsia" w:eastAsiaTheme="majorEastAsia"/>
          <w:b w:val="0"/>
          <w:color w:val="auto"/>
          <w:sz w:val="22"/>
          <w:szCs w:val="22"/>
          <w:highlight w:val="none"/>
        </w:rPr>
        <w:t>评标工作遵循公平、公正、民主、科学的原则和诚实、信誉、效率的服务原则。本着科学、严谨的态度，认真进行评标。择优选定服务供应商，确保服务质量，最大限度地保护当事人权益，严格按照招标文件的商务、技术要求，对投标文件进行综合评定，提出优选方案，编写评标报告。评标委员会必须严格遵守保密规定，不得泄露评标的有关情况，不得索贿受贿，不得接受吃请和礼品，不得参加影响公正评标的有关活动。对落标供应商，评标委员会不做任何落标解释。供应商不得以任何方式干扰招投标工作的进行，一经发现其投标文件将被拒绝。</w:t>
      </w:r>
    </w:p>
    <w:p w14:paraId="781B4D62">
      <w:pPr>
        <w:adjustRightInd w:val="0"/>
        <w:snapToGrid w:val="0"/>
        <w:spacing w:before="156" w:beforeLines="50" w:after="50" w:line="460" w:lineRule="atLeast"/>
        <w:jc w:val="center"/>
        <w:rPr>
          <w:rFonts w:cs="新宋体" w:asciiTheme="majorEastAsia" w:hAnsiTheme="majorEastAsia" w:eastAsiaTheme="majorEastAsia"/>
          <w:b/>
          <w:bCs/>
          <w:color w:val="auto"/>
          <w:sz w:val="22"/>
          <w:szCs w:val="22"/>
          <w:highlight w:val="none"/>
        </w:rPr>
      </w:pPr>
      <w:r>
        <w:rPr>
          <w:rFonts w:hint="eastAsia" w:cs="新宋体" w:asciiTheme="majorEastAsia" w:hAnsiTheme="majorEastAsia" w:eastAsiaTheme="majorEastAsia"/>
          <w:b/>
          <w:bCs/>
          <w:color w:val="auto"/>
          <w:sz w:val="22"/>
          <w:szCs w:val="22"/>
          <w:highlight w:val="none"/>
        </w:rPr>
        <w:t>二、评标组织</w:t>
      </w:r>
    </w:p>
    <w:p w14:paraId="3CBDF4E4">
      <w:pPr>
        <w:pStyle w:val="26"/>
        <w:adjustRightInd w:val="0"/>
        <w:snapToGrid w:val="0"/>
        <w:spacing w:before="100" w:after="50" w:line="460" w:lineRule="atLeast"/>
        <w:rPr>
          <w:rFonts w:cs="新宋体" w:asciiTheme="majorEastAsia" w:hAnsiTheme="majorEastAsia" w:eastAsiaTheme="majorEastAsia"/>
          <w:b w:val="0"/>
          <w:color w:val="auto"/>
          <w:sz w:val="22"/>
          <w:szCs w:val="22"/>
          <w:highlight w:val="none"/>
        </w:rPr>
      </w:pPr>
      <w:r>
        <w:rPr>
          <w:rFonts w:hint="eastAsia" w:cs="新宋体" w:asciiTheme="majorEastAsia" w:hAnsiTheme="majorEastAsia" w:eastAsiaTheme="majorEastAsia"/>
          <w:b w:val="0"/>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14:paraId="57B7FE2E">
      <w:pPr>
        <w:pStyle w:val="82"/>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460" w:lineRule="atLeast"/>
        <w:textAlignment w:val="auto"/>
        <w:rPr>
          <w:rFonts w:cs="新宋体" w:asciiTheme="majorEastAsia" w:hAnsiTheme="majorEastAsia" w:eastAsiaTheme="majorEastAsia"/>
          <w:color w:val="auto"/>
          <w:kern w:val="2"/>
          <w:sz w:val="22"/>
          <w:szCs w:val="22"/>
          <w:highlight w:val="none"/>
        </w:rPr>
      </w:pPr>
      <w:r>
        <w:rPr>
          <w:rFonts w:hint="eastAsia" w:cs="新宋体" w:asciiTheme="majorEastAsia" w:hAnsiTheme="majorEastAsia" w:eastAsiaTheme="majorEastAsia"/>
          <w:color w:val="auto"/>
          <w:kern w:val="2"/>
          <w:sz w:val="22"/>
          <w:szCs w:val="22"/>
          <w:highlight w:val="none"/>
        </w:rPr>
        <w:t>三、评标程序</w:t>
      </w:r>
    </w:p>
    <w:p w14:paraId="628E44DD">
      <w:pPr>
        <w:adjustRightInd w:val="0"/>
        <w:snapToGrid w:val="0"/>
        <w:spacing w:before="100" w:after="50"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开标后，采购人或采购代理机构对各投标供应商的资格进行审查；然后评标委员会对合格投标供应商的进行符合性审查，按照招标文件中规定的评标方法和标准，对符合性审查合格的投标文件进行商务和技术评估，综合比较与评价。</w:t>
      </w:r>
    </w:p>
    <w:p w14:paraId="2BEF3EF7">
      <w:pPr>
        <w:pStyle w:val="8"/>
        <w:adjustRightInd w:val="0"/>
        <w:snapToGrid w:val="0"/>
        <w:spacing w:before="156" w:beforeLines="50" w:after="50" w:line="460" w:lineRule="atLeast"/>
        <w:ind w:firstLine="440"/>
        <w:rPr>
          <w:rFonts w:cs="新宋体" w:asciiTheme="majorEastAsia" w:hAnsiTheme="majorEastAsia" w:eastAsiaTheme="majorEastAsia"/>
          <w:b w:val="0"/>
          <w:color w:val="auto"/>
          <w:sz w:val="22"/>
          <w:szCs w:val="22"/>
          <w:highlight w:val="none"/>
        </w:rPr>
      </w:pPr>
      <w:r>
        <w:rPr>
          <w:rFonts w:hint="eastAsia" w:cs="新宋体" w:asciiTheme="majorEastAsia" w:hAnsiTheme="majorEastAsia" w:eastAsiaTheme="majorEastAsia"/>
          <w:b w:val="0"/>
          <w:color w:val="auto"/>
          <w:sz w:val="22"/>
          <w:szCs w:val="22"/>
          <w:highlight w:val="none"/>
        </w:rPr>
        <w:t>2、由评标委员会依据法律法规及招标文件有关规定在有效标中按投标供应商的最终得分（即技术分与商务分之和）高低进行排序，得分前二名的投标供应商推荐为第一中标候选人与第二中标候选人（得分相同投标报价低的排序第一；得分且投标报价相同的，由评标委员会成员抽签决定排序）。</w:t>
      </w:r>
    </w:p>
    <w:p w14:paraId="22A28959">
      <w:pPr>
        <w:pStyle w:val="8"/>
        <w:adjustRightInd w:val="0"/>
        <w:snapToGrid w:val="0"/>
        <w:spacing w:before="156" w:beforeLines="50" w:after="50" w:line="460" w:lineRule="atLeast"/>
        <w:ind w:firstLine="440"/>
        <w:rPr>
          <w:rFonts w:cs="新宋体" w:asciiTheme="majorEastAsia" w:hAnsiTheme="majorEastAsia" w:eastAsiaTheme="majorEastAsia"/>
          <w:b w:val="0"/>
          <w:color w:val="auto"/>
          <w:sz w:val="22"/>
          <w:szCs w:val="22"/>
          <w:highlight w:val="none"/>
        </w:rPr>
      </w:pPr>
      <w:r>
        <w:rPr>
          <w:rFonts w:hint="eastAsia" w:cs="新宋体" w:asciiTheme="majorEastAsia" w:hAnsiTheme="majorEastAsia" w:eastAsiaTheme="majorEastAsia"/>
          <w:b w:val="0"/>
          <w:color w:val="auto"/>
          <w:sz w:val="22"/>
          <w:szCs w:val="22"/>
          <w:highlight w:val="none"/>
        </w:rPr>
        <w:t xml:space="preserve">3、中标供应商放弃中标，或者因不可抗力提出不能履行合同，或者招标文件规定应当提交履约保证金、签订合同而在规定的期限内未能提交、签订合同的，采购人可以取消其中标资格。并按供应商评标排序从高到低排序依次确定新的中标供应商或重新组织采购。 </w:t>
      </w:r>
    </w:p>
    <w:p w14:paraId="017D7225">
      <w:pPr>
        <w:pStyle w:val="8"/>
        <w:adjustRightInd w:val="0"/>
        <w:snapToGrid w:val="0"/>
        <w:spacing w:before="156" w:beforeLines="50" w:after="50" w:line="460" w:lineRule="atLeast"/>
        <w:ind w:firstLine="440"/>
        <w:rPr>
          <w:rFonts w:cs="新宋体" w:asciiTheme="majorEastAsia" w:hAnsiTheme="majorEastAsia" w:eastAsiaTheme="majorEastAsia"/>
          <w:b w:val="0"/>
          <w:color w:val="auto"/>
          <w:sz w:val="22"/>
          <w:szCs w:val="22"/>
          <w:highlight w:val="none"/>
        </w:rPr>
      </w:pPr>
      <w:r>
        <w:rPr>
          <w:rFonts w:hint="eastAsia" w:cs="新宋体" w:asciiTheme="majorEastAsia" w:hAnsiTheme="majorEastAsia" w:eastAsiaTheme="majorEastAsia"/>
          <w:b w:val="0"/>
          <w:color w:val="auto"/>
          <w:sz w:val="22"/>
          <w:szCs w:val="22"/>
          <w:highlight w:val="none"/>
        </w:rPr>
        <w:t>4、其他参见本招标文件第三部分：“供应商须知” 中的相关内容。</w:t>
      </w:r>
    </w:p>
    <w:bookmarkEnd w:id="111"/>
    <w:p w14:paraId="5C1A4017">
      <w:pPr>
        <w:spacing w:line="400" w:lineRule="exact"/>
        <w:rPr>
          <w:rFonts w:cs="新宋体" w:asciiTheme="majorEastAsia" w:hAnsiTheme="majorEastAsia" w:eastAsiaTheme="majorEastAsia"/>
          <w:color w:val="auto"/>
          <w:szCs w:val="21"/>
          <w:highlight w:val="none"/>
        </w:rPr>
      </w:pPr>
    </w:p>
    <w:p w14:paraId="7F611331">
      <w:pPr>
        <w:adjustRightInd w:val="0"/>
        <w:spacing w:before="100" w:after="50" w:line="460" w:lineRule="atLeast"/>
        <w:jc w:val="center"/>
        <w:rPr>
          <w:rFonts w:cs="新宋体" w:asciiTheme="majorEastAsia" w:hAnsiTheme="majorEastAsia" w:eastAsiaTheme="majorEastAsia"/>
          <w:b/>
          <w:bCs/>
          <w:color w:val="auto"/>
          <w:sz w:val="22"/>
          <w:szCs w:val="22"/>
          <w:highlight w:val="none"/>
        </w:rPr>
      </w:pPr>
      <w:r>
        <w:rPr>
          <w:rFonts w:hint="eastAsia" w:cs="新宋体" w:asciiTheme="majorEastAsia" w:hAnsiTheme="majorEastAsia" w:eastAsiaTheme="majorEastAsia"/>
          <w:b/>
          <w:bCs/>
          <w:color w:val="auto"/>
          <w:sz w:val="22"/>
          <w:szCs w:val="22"/>
          <w:highlight w:val="none"/>
        </w:rPr>
        <w:t>四、评分细则</w:t>
      </w:r>
    </w:p>
    <w:p w14:paraId="2C42B790">
      <w:pPr>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一、商务报价评分30分</w:t>
      </w:r>
    </w:p>
    <w:p w14:paraId="3E2A4146">
      <w:pPr>
        <w:widowControl/>
        <w:autoSpaceDE w:val="0"/>
        <w:autoSpaceDN w:val="0"/>
        <w:adjustRightInd w:val="0"/>
        <w:spacing w:line="460" w:lineRule="atLeast"/>
        <w:ind w:firstLine="442" w:firstLineChars="200"/>
        <w:textAlignment w:val="bottom"/>
        <w:rPr>
          <w:rFonts w:ascii="宋体" w:hAnsi="宋体" w:cs="宋体"/>
          <w:b/>
          <w:bCs/>
          <w:color w:val="auto"/>
          <w:sz w:val="22"/>
          <w:szCs w:val="22"/>
          <w:highlight w:val="none"/>
        </w:rPr>
      </w:pPr>
      <w:r>
        <w:rPr>
          <w:rFonts w:hint="eastAsia" w:ascii="宋体" w:hAnsi="宋体" w:cs="宋体"/>
          <w:b/>
          <w:bCs/>
          <w:color w:val="auto"/>
          <w:sz w:val="22"/>
          <w:szCs w:val="22"/>
          <w:highlight w:val="none"/>
        </w:rPr>
        <w:t>1、以供应商有效投标价中的最低报价为评标基准价，得满分30分。商务报价评分结算公式为：投标报价得分=</w:t>
      </w:r>
      <w:bookmarkStart w:id="214" w:name="OLE_LINK1"/>
      <w:r>
        <w:rPr>
          <w:rFonts w:hint="eastAsia" w:ascii="宋体" w:hAnsi="宋体" w:cs="宋体"/>
          <w:b/>
          <w:bCs/>
          <w:color w:val="auto"/>
          <w:sz w:val="22"/>
          <w:szCs w:val="22"/>
          <w:highlight w:val="none"/>
        </w:rPr>
        <w:t>（评标基准价／投标报价）×30%×100</w:t>
      </w:r>
      <w:bookmarkEnd w:id="214"/>
      <w:r>
        <w:rPr>
          <w:rFonts w:hint="eastAsia" w:ascii="宋体" w:hAnsi="宋体" w:cs="宋体"/>
          <w:b/>
          <w:bCs/>
          <w:color w:val="auto"/>
          <w:sz w:val="22"/>
          <w:szCs w:val="22"/>
          <w:highlight w:val="none"/>
        </w:rPr>
        <w:t>。</w:t>
      </w:r>
    </w:p>
    <w:p w14:paraId="1131780D">
      <w:pPr>
        <w:widowControl/>
        <w:autoSpaceDE w:val="0"/>
        <w:autoSpaceDN w:val="0"/>
        <w:adjustRightInd w:val="0"/>
        <w:spacing w:line="460" w:lineRule="atLeast"/>
        <w:ind w:firstLine="442" w:firstLineChars="200"/>
        <w:textAlignment w:val="bottom"/>
        <w:rPr>
          <w:rFonts w:ascii="宋体" w:hAnsi="宋体" w:cs="宋体"/>
          <w:b/>
          <w:bCs/>
          <w:color w:val="auto"/>
          <w:sz w:val="22"/>
          <w:szCs w:val="22"/>
          <w:highlight w:val="none"/>
        </w:rPr>
      </w:pPr>
      <w:r>
        <w:rPr>
          <w:rFonts w:hint="eastAsia" w:ascii="宋体" w:hAnsi="宋体" w:cs="宋体"/>
          <w:b/>
          <w:bCs/>
          <w:color w:val="auto"/>
          <w:sz w:val="22"/>
          <w:szCs w:val="22"/>
          <w:highlight w:val="none"/>
        </w:rPr>
        <w:t>2、符合招标文件规定条件的小、微企业（或监狱企业、残疾人企业），给予评标价格折扣（10%）。</w:t>
      </w:r>
    </w:p>
    <w:p w14:paraId="7CE1CE7E">
      <w:pPr>
        <w:autoSpaceDE w:val="0"/>
        <w:autoSpaceDN w:val="0"/>
        <w:adjustRightInd w:val="0"/>
        <w:spacing w:line="460" w:lineRule="atLeast"/>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u w:val="single"/>
        </w:rPr>
        <w:t>3、</w:t>
      </w:r>
      <w:r>
        <w:rPr>
          <w:rFonts w:hint="eastAsia" w:ascii="宋体" w:hAnsi="宋体" w:cs="宋体"/>
          <w:b/>
          <w:color w:val="auto"/>
          <w:sz w:val="22"/>
          <w:highlight w:val="none"/>
          <w:u w:val="single"/>
        </w:rPr>
        <w:t>本项目</w:t>
      </w:r>
      <w:r>
        <w:rPr>
          <w:rFonts w:hint="eastAsia" w:ascii="宋体" w:hAnsi="宋体" w:cs="宋体"/>
          <w:b/>
          <w:color w:val="auto"/>
          <w:sz w:val="22"/>
          <w:szCs w:val="22"/>
          <w:highlight w:val="none"/>
          <w:u w:val="single"/>
        </w:rPr>
        <w:t>采购预算见采购公告。</w:t>
      </w:r>
      <w:r>
        <w:rPr>
          <w:rFonts w:hint="eastAsia" w:ascii="宋体" w:hAnsi="宋体" w:cs="宋体"/>
          <w:color w:val="auto"/>
          <w:sz w:val="22"/>
          <w:szCs w:val="22"/>
          <w:highlight w:val="none"/>
        </w:rPr>
        <w:t>如果所有供应商的报价均超出采购最高限价且采购人确认不能支付的情况，本次采购做流（废）标处理。如果仅仅某个（些）供应商的商务报价超出采购最高限价则该供应商按无效投标处理。</w:t>
      </w:r>
    </w:p>
    <w:p w14:paraId="17C2EFEC">
      <w:pPr>
        <w:spacing w:line="460" w:lineRule="atLeast"/>
        <w:ind w:firstLine="440" w:firstLineChars="200"/>
        <w:rPr>
          <w:rFonts w:ascii="宋体" w:hAnsi="宋体" w:cs="宋体"/>
          <w:color w:val="auto"/>
          <w:sz w:val="22"/>
          <w:highlight w:val="none"/>
        </w:rPr>
      </w:pPr>
      <w:r>
        <w:rPr>
          <w:rFonts w:hint="eastAsia" w:ascii="宋体" w:hAnsi="宋体" w:cs="宋体"/>
          <w:color w:val="auto"/>
          <w:sz w:val="22"/>
          <w:highlight w:val="none"/>
        </w:rPr>
        <w:t>二、技术、服务、资信业绩综合评分70分</w:t>
      </w:r>
    </w:p>
    <w:p w14:paraId="3289ED4E">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定，每人一张评分计算表，由评标委员会成员各自评定打分并记实名。如任何一张表的一项评分内容分值超过规定的范围，则该张表无效。评标委员会成员对各供应商的各项评分内容评分合计值的算术平均值为该供应商商务技术文件的最终得分（四舍五入，保留小数点后二位）。</w:t>
      </w:r>
    </w:p>
    <w:tbl>
      <w:tblPr>
        <w:tblStyle w:val="43"/>
        <w:tblW w:w="94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29"/>
        <w:gridCol w:w="7561"/>
        <w:gridCol w:w="1049"/>
      </w:tblGrid>
      <w:tr w14:paraId="0EA9F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829" w:type="dxa"/>
            <w:vAlign w:val="center"/>
          </w:tcPr>
          <w:p w14:paraId="236D4D85">
            <w:pPr>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7561" w:type="dxa"/>
            <w:vAlign w:val="center"/>
          </w:tcPr>
          <w:p w14:paraId="225C8835">
            <w:pPr>
              <w:ind w:left="105" w:leftChars="50" w:right="10" w:rightChars="5"/>
              <w:jc w:val="center"/>
              <w:rPr>
                <w:rFonts w:ascii="宋体" w:hAnsi="宋体" w:cs="宋体"/>
                <w:color w:val="auto"/>
                <w:sz w:val="22"/>
                <w:szCs w:val="22"/>
                <w:highlight w:val="none"/>
              </w:rPr>
            </w:pPr>
            <w:r>
              <w:rPr>
                <w:rFonts w:hint="eastAsia" w:ascii="宋体" w:hAnsi="宋体" w:cs="宋体"/>
                <w:color w:val="auto"/>
                <w:sz w:val="22"/>
                <w:szCs w:val="22"/>
                <w:highlight w:val="none"/>
              </w:rPr>
              <w:t>评分细则</w:t>
            </w:r>
          </w:p>
        </w:tc>
        <w:tc>
          <w:tcPr>
            <w:tcW w:w="1049" w:type="dxa"/>
            <w:vAlign w:val="center"/>
          </w:tcPr>
          <w:p w14:paraId="22466FD2">
            <w:pPr>
              <w:jc w:val="center"/>
              <w:rPr>
                <w:rFonts w:ascii="宋体" w:hAnsi="宋体" w:cs="宋体"/>
                <w:color w:val="auto"/>
                <w:sz w:val="22"/>
                <w:szCs w:val="22"/>
                <w:highlight w:val="none"/>
              </w:rPr>
            </w:pPr>
            <w:r>
              <w:rPr>
                <w:rFonts w:hint="eastAsia" w:ascii="宋体" w:hAnsi="宋体" w:cs="宋体"/>
                <w:color w:val="auto"/>
                <w:sz w:val="22"/>
                <w:szCs w:val="22"/>
                <w:highlight w:val="none"/>
              </w:rPr>
              <w:t>分值</w:t>
            </w:r>
          </w:p>
        </w:tc>
      </w:tr>
      <w:tr w14:paraId="5136F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8" w:hRule="atLeast"/>
          <w:jc w:val="center"/>
        </w:trPr>
        <w:tc>
          <w:tcPr>
            <w:tcW w:w="829" w:type="dxa"/>
            <w:vAlign w:val="center"/>
          </w:tcPr>
          <w:p w14:paraId="2DFC3D32">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7561" w:type="dxa"/>
            <w:vAlign w:val="center"/>
          </w:tcPr>
          <w:p w14:paraId="697402D9">
            <w:pPr>
              <w:rPr>
                <w:rFonts w:ascii="宋体" w:hAnsi="宋体" w:cs="宋体"/>
                <w:color w:val="auto"/>
                <w:sz w:val="22"/>
                <w:szCs w:val="22"/>
                <w:highlight w:val="none"/>
              </w:rPr>
            </w:pPr>
            <w:r>
              <w:rPr>
                <w:rFonts w:hint="eastAsia" w:ascii="宋体" w:hAnsi="宋体" w:cs="宋体"/>
                <w:color w:val="auto"/>
                <w:sz w:val="22"/>
                <w:szCs w:val="22"/>
                <w:highlight w:val="none"/>
              </w:rPr>
              <w:t>对应于招标文件技术指标的偏离度：与招标文件第二部分招标内容及要求的设备技术规格及配置对比，实质性条款（技术参数中标注▲的为实质性条款，如不满足，按无效投标处理）除外，标注★的技术指标（或功能）偏离每项扣4分，一般技术指标偏离每项扣1.5分，一般功能偏离每项扣3分，商务要求偏离每项扣3分。扣完为止。</w:t>
            </w:r>
          </w:p>
        </w:tc>
        <w:tc>
          <w:tcPr>
            <w:tcW w:w="1049" w:type="dxa"/>
            <w:vAlign w:val="center"/>
          </w:tcPr>
          <w:p w14:paraId="6AFDA3B5">
            <w:pPr>
              <w:jc w:val="center"/>
              <w:rPr>
                <w:rFonts w:ascii="宋体" w:hAnsi="宋体" w:cs="宋体"/>
                <w:color w:val="auto"/>
                <w:sz w:val="22"/>
                <w:szCs w:val="22"/>
                <w:highlight w:val="none"/>
              </w:rPr>
            </w:pPr>
            <w:r>
              <w:rPr>
                <w:rFonts w:hint="eastAsia" w:ascii="宋体" w:hAnsi="宋体" w:cs="宋体"/>
                <w:color w:val="auto"/>
                <w:sz w:val="22"/>
                <w:szCs w:val="22"/>
                <w:highlight w:val="none"/>
              </w:rPr>
              <w:t>45</w:t>
            </w:r>
          </w:p>
        </w:tc>
      </w:tr>
      <w:tr w14:paraId="26185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46" w:hRule="atLeast"/>
          <w:jc w:val="center"/>
        </w:trPr>
        <w:tc>
          <w:tcPr>
            <w:tcW w:w="829" w:type="dxa"/>
            <w:vAlign w:val="center"/>
          </w:tcPr>
          <w:p w14:paraId="516C1BB0">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7561" w:type="dxa"/>
            <w:vAlign w:val="center"/>
          </w:tcPr>
          <w:p w14:paraId="2D37D8EA">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投标设备配套的合理性：评委对投标设备配套的合理性、功能实现程度进行评价：投标设备配套合理、功能实现程度高的，得3分；配套较合理、功能实现程度较高的，得2分；配套合理性一般、不能完全达到临床要求功能的，得1分。</w:t>
            </w:r>
          </w:p>
        </w:tc>
        <w:tc>
          <w:tcPr>
            <w:tcW w:w="1049" w:type="dxa"/>
            <w:vAlign w:val="center"/>
          </w:tcPr>
          <w:p w14:paraId="6972EE1B">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2930E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3" w:hRule="atLeast"/>
          <w:jc w:val="center"/>
        </w:trPr>
        <w:tc>
          <w:tcPr>
            <w:tcW w:w="829" w:type="dxa"/>
            <w:vAlign w:val="center"/>
          </w:tcPr>
          <w:p w14:paraId="61B10D54">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7561" w:type="dxa"/>
            <w:vAlign w:val="center"/>
          </w:tcPr>
          <w:p w14:paraId="5EEB36BF">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技术指标先进性：评委对投标设备技术指标的先进性进行评价：技术指标高于招标要求且具有较高临床使用价值的，每项得1分；最高得3分。提供证明材料。</w:t>
            </w:r>
          </w:p>
        </w:tc>
        <w:tc>
          <w:tcPr>
            <w:tcW w:w="1049" w:type="dxa"/>
            <w:vAlign w:val="center"/>
          </w:tcPr>
          <w:p w14:paraId="52FD295E">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021A4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3" w:hRule="atLeast"/>
          <w:jc w:val="center"/>
        </w:trPr>
        <w:tc>
          <w:tcPr>
            <w:tcW w:w="829" w:type="dxa"/>
            <w:vAlign w:val="center"/>
          </w:tcPr>
          <w:p w14:paraId="443EFE16">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561" w:type="dxa"/>
            <w:vAlign w:val="center"/>
          </w:tcPr>
          <w:p w14:paraId="0881977B">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投标机型的临床应用：投标机型在临床上使用效果好、成熟度高的，得3分；使用效果、成熟度一般的，得2分；使用效果不佳或成熟度不高的，得1分。提供证明材料。</w:t>
            </w:r>
          </w:p>
        </w:tc>
        <w:tc>
          <w:tcPr>
            <w:tcW w:w="1049" w:type="dxa"/>
            <w:vAlign w:val="center"/>
          </w:tcPr>
          <w:p w14:paraId="1ED3BA8F">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60839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829" w:type="dxa"/>
            <w:vAlign w:val="center"/>
          </w:tcPr>
          <w:p w14:paraId="33F655C8">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7561" w:type="dxa"/>
            <w:vAlign w:val="center"/>
          </w:tcPr>
          <w:p w14:paraId="3413D310">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运行成本：包括保修价格、售后服务方案、年运行费用和消耗品或易耗品价格等综合运行成本进行评价</w:t>
            </w:r>
          </w:p>
        </w:tc>
        <w:tc>
          <w:tcPr>
            <w:tcW w:w="1049" w:type="dxa"/>
            <w:vAlign w:val="center"/>
          </w:tcPr>
          <w:p w14:paraId="578D8E1F">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6E09A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829" w:type="dxa"/>
            <w:vAlign w:val="center"/>
          </w:tcPr>
          <w:p w14:paraId="0057C486">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7561" w:type="dxa"/>
            <w:vAlign w:val="center"/>
          </w:tcPr>
          <w:p w14:paraId="4734C6AF">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保修服务：设备保修期超过招标文件要求的，每增加1年加1分，增加部分不足1年的不计分。</w:t>
            </w:r>
          </w:p>
        </w:tc>
        <w:tc>
          <w:tcPr>
            <w:tcW w:w="1049" w:type="dxa"/>
            <w:vAlign w:val="center"/>
          </w:tcPr>
          <w:p w14:paraId="3FAD3C1B">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7AE24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829" w:type="dxa"/>
            <w:vMerge w:val="restart"/>
            <w:vAlign w:val="center"/>
          </w:tcPr>
          <w:p w14:paraId="349F046E">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7561" w:type="dxa"/>
            <w:vAlign w:val="center"/>
          </w:tcPr>
          <w:p w14:paraId="104A1857">
            <w:pPr>
              <w:ind w:left="105" w:leftChars="50" w:right="10" w:rightChars="5"/>
              <w:rPr>
                <w:rFonts w:ascii="宋体" w:hAnsi="宋体" w:cs="宋体"/>
                <w:bCs/>
                <w:color w:val="auto"/>
                <w:sz w:val="22"/>
                <w:szCs w:val="22"/>
                <w:highlight w:val="none"/>
              </w:rPr>
            </w:pPr>
            <w:r>
              <w:rPr>
                <w:rFonts w:hint="eastAsia" w:ascii="宋体" w:hAnsi="宋体" w:cs="宋体"/>
                <w:color w:val="auto"/>
                <w:sz w:val="22"/>
                <w:szCs w:val="22"/>
                <w:highlight w:val="none"/>
              </w:rPr>
              <w:t>投标产品稳定性、故障率：投标产品在稳定性、故障率等总体质量性能综合评价，提供证明材料。投标产品稳定性好、故障率低的，得1分；投标产品稳定性较高、故障率较低的，得0.5分；投标产品稳定性不好、故障率较高的，得0分。</w:t>
            </w:r>
          </w:p>
        </w:tc>
        <w:tc>
          <w:tcPr>
            <w:tcW w:w="1049" w:type="dxa"/>
            <w:vAlign w:val="center"/>
          </w:tcPr>
          <w:p w14:paraId="448F0063">
            <w:pPr>
              <w:jc w:val="center"/>
              <w:rPr>
                <w:rFonts w:ascii="宋体" w:hAnsi="宋体" w:cs="宋体"/>
                <w:bCs/>
                <w:color w:val="auto"/>
                <w:sz w:val="22"/>
                <w:szCs w:val="22"/>
                <w:highlight w:val="none"/>
              </w:rPr>
            </w:pPr>
            <w:r>
              <w:rPr>
                <w:rFonts w:hint="eastAsia" w:ascii="宋体" w:hAnsi="宋体" w:cs="宋体"/>
                <w:color w:val="auto"/>
                <w:sz w:val="22"/>
                <w:szCs w:val="22"/>
                <w:highlight w:val="none"/>
              </w:rPr>
              <w:t>1</w:t>
            </w:r>
          </w:p>
        </w:tc>
      </w:tr>
      <w:tr w14:paraId="16E5E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3" w:hRule="atLeast"/>
          <w:jc w:val="center"/>
        </w:trPr>
        <w:tc>
          <w:tcPr>
            <w:tcW w:w="829" w:type="dxa"/>
            <w:vMerge w:val="continue"/>
            <w:vAlign w:val="center"/>
          </w:tcPr>
          <w:p w14:paraId="55A9B7F8">
            <w:pPr>
              <w:jc w:val="center"/>
              <w:rPr>
                <w:rFonts w:ascii="宋体" w:hAnsi="宋体" w:cs="宋体"/>
                <w:color w:val="auto"/>
                <w:sz w:val="22"/>
                <w:szCs w:val="22"/>
                <w:highlight w:val="none"/>
              </w:rPr>
            </w:pPr>
          </w:p>
        </w:tc>
        <w:tc>
          <w:tcPr>
            <w:tcW w:w="7561" w:type="dxa"/>
            <w:vAlign w:val="center"/>
          </w:tcPr>
          <w:p w14:paraId="33CA163A">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使用年限：以5年为基础，使用年限每增加1年加0.4分，最多加2分。</w:t>
            </w:r>
          </w:p>
          <w:p w14:paraId="484D202B">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需提供铭牌及说明书为证明材料，不提供不得分。</w:t>
            </w:r>
          </w:p>
        </w:tc>
        <w:tc>
          <w:tcPr>
            <w:tcW w:w="1049" w:type="dxa"/>
            <w:vAlign w:val="center"/>
          </w:tcPr>
          <w:p w14:paraId="7D4BEE37">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r>
      <w:tr w14:paraId="07A55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3" w:hRule="atLeast"/>
          <w:jc w:val="center"/>
        </w:trPr>
        <w:tc>
          <w:tcPr>
            <w:tcW w:w="829" w:type="dxa"/>
            <w:vAlign w:val="center"/>
          </w:tcPr>
          <w:p w14:paraId="42A82D85">
            <w:pPr>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7561" w:type="dxa"/>
            <w:vAlign w:val="center"/>
          </w:tcPr>
          <w:p w14:paraId="684E9533">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投标产品业绩：提供2020年1月1日起至今与最终用户签订的投标机型合同（必须含有主机）复印件，每份有效合同得1分，最多3分。</w:t>
            </w:r>
          </w:p>
          <w:p w14:paraId="3540D26B">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对省级以上主管部门认定的首台套产品，自纳入《省推广应用指导目录》起三年内参加政府采购活动，视同已具备相应销售业绩，业绩分为满分。</w:t>
            </w:r>
          </w:p>
        </w:tc>
        <w:tc>
          <w:tcPr>
            <w:tcW w:w="1049" w:type="dxa"/>
            <w:vAlign w:val="center"/>
          </w:tcPr>
          <w:p w14:paraId="597366A8">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4B733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29" w:hRule="atLeast"/>
          <w:jc w:val="center"/>
        </w:trPr>
        <w:tc>
          <w:tcPr>
            <w:tcW w:w="829" w:type="dxa"/>
            <w:vAlign w:val="center"/>
          </w:tcPr>
          <w:p w14:paraId="0E2B07F7">
            <w:pPr>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7561" w:type="dxa"/>
            <w:vAlign w:val="center"/>
          </w:tcPr>
          <w:p w14:paraId="038E162C">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制造商或代理商售后服务和维修能力：</w:t>
            </w:r>
          </w:p>
          <w:p w14:paraId="4C32EDCA">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制造商或代理商的售后服务和维修能力，服务响应速度、到达时间、备品备件配置等综合评价，最高得2分。</w:t>
            </w:r>
          </w:p>
          <w:p w14:paraId="307B3A68">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代理商配备有医疗器械相关专业工程师的得1分（提供职称证书或毕业证书，同时提供社保证明）</w:t>
            </w:r>
          </w:p>
        </w:tc>
        <w:tc>
          <w:tcPr>
            <w:tcW w:w="1049" w:type="dxa"/>
            <w:vAlign w:val="center"/>
          </w:tcPr>
          <w:p w14:paraId="4DDAA3AD">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442FB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07" w:hRule="atLeast"/>
          <w:jc w:val="center"/>
        </w:trPr>
        <w:tc>
          <w:tcPr>
            <w:tcW w:w="829" w:type="dxa"/>
            <w:vAlign w:val="center"/>
          </w:tcPr>
          <w:p w14:paraId="6BF20718">
            <w:pPr>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7561" w:type="dxa"/>
            <w:vAlign w:val="center"/>
          </w:tcPr>
          <w:p w14:paraId="3DB5FE0B">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环境标志产品、节能产品评审：1）投标产品具有国家市场监督管理总局公布的《参与实施政府采购节能产品认证机构名录》内的认证机构出具的、处于有效期之内的节能标志产品认证证书的，得0.5分。</w:t>
            </w:r>
          </w:p>
          <w:p w14:paraId="6383DFEC">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2）投标产品具有国家市场监督管理总局公布的《参与实施政府采购环境标志产品认证机构名录》内的认证机构出具的、处于有效期之内的环境标志产品认证证书，得0.5分。</w:t>
            </w:r>
          </w:p>
        </w:tc>
        <w:tc>
          <w:tcPr>
            <w:tcW w:w="1049" w:type="dxa"/>
            <w:vAlign w:val="center"/>
          </w:tcPr>
          <w:p w14:paraId="048EF55B">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r>
    </w:tbl>
    <w:p w14:paraId="553C1CEE">
      <w:pPr>
        <w:spacing w:line="46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注</w:t>
      </w:r>
    </w:p>
    <w:p w14:paraId="4D2BBDC2">
      <w:pPr>
        <w:numPr>
          <w:ilvl w:val="0"/>
          <w:numId w:val="9"/>
        </w:numPr>
        <w:spacing w:line="460" w:lineRule="exact"/>
        <w:ind w:firstLine="331" w:firstLineChars="150"/>
        <w:rPr>
          <w:rFonts w:ascii="宋体" w:hAnsi="宋体" w:cs="宋体"/>
          <w:b/>
          <w:bCs/>
          <w:color w:val="auto"/>
          <w:kern w:val="0"/>
          <w:sz w:val="22"/>
          <w:szCs w:val="22"/>
          <w:highlight w:val="none"/>
        </w:rPr>
      </w:pPr>
      <w:r>
        <w:rPr>
          <w:rFonts w:hint="eastAsia" w:ascii="宋体" w:hAnsi="宋体" w:cs="宋体"/>
          <w:b/>
          <w:color w:val="auto"/>
          <w:kern w:val="0"/>
          <w:sz w:val="22"/>
          <w:szCs w:val="22"/>
          <w:highlight w:val="none"/>
        </w:rPr>
        <w:t>业绩评分项：</w:t>
      </w:r>
      <w:r>
        <w:rPr>
          <w:rFonts w:hint="eastAsia" w:ascii="宋体" w:hAnsi="宋体" w:cs="宋体"/>
          <w:b/>
          <w:bCs/>
          <w:color w:val="auto"/>
          <w:kern w:val="0"/>
          <w:sz w:val="22"/>
          <w:szCs w:val="22"/>
          <w:highlight w:val="none"/>
        </w:rPr>
        <w:t>对省级以上主管部门认定的首台套产品，自纳入《省推广应用指导目录》起三年内参加政府采购活动，视同已具备相应销售业绩，业绩分为满分。</w:t>
      </w:r>
    </w:p>
    <w:p w14:paraId="6D7AFB3C">
      <w:pPr>
        <w:pStyle w:val="84"/>
        <w:numPr>
          <w:ilvl w:val="0"/>
          <w:numId w:val="9"/>
        </w:numPr>
        <w:ind w:firstLineChars="0"/>
        <w:rPr>
          <w:rFonts w:ascii="宋体" w:hAnsi="宋体" w:cs="宋体"/>
          <w:b/>
          <w:color w:val="auto"/>
          <w:highlight w:val="none"/>
        </w:rPr>
      </w:pPr>
      <w:r>
        <w:rPr>
          <w:rFonts w:hint="eastAsia" w:ascii="宋体" w:hAnsi="宋体" w:cs="宋体"/>
          <w:b/>
          <w:color w:val="auto"/>
          <w:sz w:val="22"/>
          <w:szCs w:val="22"/>
          <w:highlight w:val="none"/>
          <w:lang w:bidi="ar"/>
        </w:rPr>
        <w:t>节能环保评分项：</w:t>
      </w:r>
      <w:r>
        <w:rPr>
          <w:rFonts w:hint="eastAsia" w:ascii="宋体" w:hAnsi="宋体" w:cs="宋体"/>
          <w:b/>
          <w:color w:val="auto"/>
          <w:kern w:val="0"/>
          <w:sz w:val="22"/>
          <w:szCs w:val="22"/>
          <w:highlight w:val="none"/>
          <w:lang w:bidi="ar"/>
        </w:rPr>
        <w:t>《节能（环境标志）产品政府采购品目清单</w:t>
      </w:r>
      <w:r>
        <w:rPr>
          <w:rFonts w:hint="eastAsia" w:ascii="宋体" w:hAnsi="宋体" w:cs="宋体"/>
          <w:color w:val="auto"/>
          <w:kern w:val="0"/>
          <w:sz w:val="22"/>
          <w:szCs w:val="22"/>
          <w:highlight w:val="none"/>
          <w:lang w:bidi="ar"/>
        </w:rPr>
        <w:t>》</w:t>
      </w:r>
      <w:r>
        <w:rPr>
          <w:rFonts w:hint="eastAsia" w:ascii="宋体" w:hAnsi="宋体" w:cs="宋体"/>
          <w:b/>
          <w:color w:val="auto"/>
          <w:kern w:val="0"/>
          <w:sz w:val="22"/>
          <w:szCs w:val="22"/>
          <w:highlight w:val="none"/>
          <w:lang w:bidi="ar"/>
        </w:rPr>
        <w:t>见</w:t>
      </w:r>
      <w:r>
        <w:rPr>
          <w:color w:val="auto"/>
          <w:highlight w:val="none"/>
        </w:rPr>
        <w:fldChar w:fldCharType="begin"/>
      </w:r>
      <w:r>
        <w:rPr>
          <w:color w:val="auto"/>
          <w:highlight w:val="none"/>
        </w:rPr>
        <w:instrText xml:space="preserve"> HYPERLINK "http://www.ccgp.gov.cn/jnhb/jnhbqd/" </w:instrText>
      </w:r>
      <w:r>
        <w:rPr>
          <w:color w:val="auto"/>
          <w:highlight w:val="none"/>
        </w:rPr>
        <w:fldChar w:fldCharType="separate"/>
      </w:r>
      <w:r>
        <w:rPr>
          <w:rStyle w:val="50"/>
          <w:rFonts w:hint="eastAsia" w:ascii="宋体" w:hAnsi="宋体" w:cs="宋体"/>
          <w:b/>
          <w:color w:val="auto"/>
          <w:highlight w:val="none"/>
        </w:rPr>
        <w:t>http://www.ccgp.gov.cn/jnhb/jnhbqd/</w:t>
      </w:r>
      <w:r>
        <w:rPr>
          <w:rStyle w:val="50"/>
          <w:rFonts w:hint="eastAsia" w:ascii="宋体" w:hAnsi="宋体" w:cs="宋体"/>
          <w:b/>
          <w:color w:val="auto"/>
          <w:highlight w:val="none"/>
        </w:rPr>
        <w:fldChar w:fldCharType="end"/>
      </w:r>
      <w:r>
        <w:rPr>
          <w:rFonts w:hint="eastAsia" w:ascii="宋体" w:hAnsi="宋体" w:cs="宋体"/>
          <w:b/>
          <w:color w:val="auto"/>
          <w:highlight w:val="none"/>
        </w:rPr>
        <w:t>。</w:t>
      </w:r>
    </w:p>
    <w:p w14:paraId="3D5032DC">
      <w:pPr>
        <w:pStyle w:val="84"/>
        <w:numPr>
          <w:ilvl w:val="0"/>
          <w:numId w:val="9"/>
        </w:numPr>
        <w:ind w:firstLineChars="0"/>
        <w:rPr>
          <w:rFonts w:cs="新宋体" w:asciiTheme="majorEastAsia" w:hAnsiTheme="majorEastAsia" w:eastAsiaTheme="majorEastAsia"/>
          <w:b/>
          <w:color w:val="auto"/>
          <w:sz w:val="22"/>
          <w:highlight w:val="none"/>
        </w:rPr>
      </w:pPr>
      <w:r>
        <w:rPr>
          <w:rFonts w:hint="eastAsia" w:ascii="宋体" w:hAnsi="宋体" w:cs="宋体"/>
          <w:b/>
          <w:color w:val="auto"/>
          <w:sz w:val="22"/>
          <w:highlight w:val="none"/>
        </w:rPr>
        <w:t>每个供应商最终得分=技术资信部分分值（所有评标委员会成员打分的算术平均值）＋商务报价部分分值</w:t>
      </w:r>
      <w:r>
        <w:rPr>
          <w:rFonts w:hint="eastAsia" w:cs="新宋体" w:asciiTheme="majorEastAsia" w:hAnsiTheme="majorEastAsia" w:eastAsiaTheme="majorEastAsia"/>
          <w:b/>
          <w:color w:val="auto"/>
          <w:sz w:val="22"/>
          <w:highlight w:val="none"/>
        </w:rPr>
        <w:t>。</w:t>
      </w:r>
    </w:p>
    <w:p w14:paraId="7A19C6A5">
      <w:pPr>
        <w:widowControl/>
        <w:autoSpaceDE w:val="0"/>
        <w:autoSpaceDN w:val="0"/>
        <w:adjustRightInd w:val="0"/>
        <w:spacing w:line="460" w:lineRule="atLeast"/>
        <w:ind w:firstLine="42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Cs w:val="21"/>
          <w:highlight w:val="none"/>
        </w:rPr>
        <w:t>三</w:t>
      </w:r>
      <w:r>
        <w:rPr>
          <w:rFonts w:hint="eastAsia" w:cs="新宋体" w:asciiTheme="majorEastAsia" w:hAnsiTheme="majorEastAsia" w:eastAsiaTheme="majorEastAsia"/>
          <w:color w:val="auto"/>
          <w:sz w:val="22"/>
          <w:highlight w:val="none"/>
        </w:rPr>
        <w:t>、注意事项</w:t>
      </w:r>
    </w:p>
    <w:p w14:paraId="2DD28A5B">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为确保评标工作的顺利进行，防止因泄密或其他意外而造成不良后果及影响，凡参加评标工作的人员都必须认真执行下面规定：</w:t>
      </w:r>
    </w:p>
    <w:p w14:paraId="34DD53C8">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1． 在评标工作期间，所有分发的投标文件、资料等仅限于在评标场所中使用，不得带往其他地方。</w:t>
      </w:r>
    </w:p>
    <w:p w14:paraId="4FB6A843">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2． 评标人员及工作人员不得在公共场合谈论有关评标内容。</w:t>
      </w:r>
    </w:p>
    <w:p w14:paraId="47617D71">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3． 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14:paraId="6E9A768D">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4． 任何需要向投标供应商进行询标的问题必须经评标委员会成员签字并由主询标人提出。在询标期间，对于涉及本规定保密范畴的所有内容，主询标人不得向投标供应商透露。</w:t>
      </w:r>
    </w:p>
    <w:p w14:paraId="13C6AD08">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Cs w:val="21"/>
          <w:highlight w:val="none"/>
        </w:rPr>
      </w:pPr>
      <w:r>
        <w:rPr>
          <w:rFonts w:hint="eastAsia" w:cs="新宋体" w:asciiTheme="majorEastAsia" w:hAnsiTheme="majorEastAsia" w:eastAsiaTheme="majorEastAsia"/>
          <w:color w:val="auto"/>
          <w:sz w:val="22"/>
          <w:highlight w:val="none"/>
        </w:rPr>
        <w:t>5． 任何评标人员和工作人员不得对外公布评标的一切内容。</w:t>
      </w:r>
    </w:p>
    <w:sectPr>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7935B">
    <w:pPr>
      <w:pStyle w:val="28"/>
      <w:jc w:val="right"/>
    </w:pPr>
    <w:r>
      <w:rPr>
        <w:rFonts w:hint="eastAsia"/>
      </w:rPr>
      <w:t>温州市中概工程管理咨询有限公司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1746">
    <w:pPr>
      <w:pStyle w:val="28"/>
      <w:framePr w:wrap="around" w:vAnchor="text" w:hAnchor="margin" w:xAlign="center" w:y="1"/>
      <w:rPr>
        <w:rStyle w:val="47"/>
      </w:rPr>
    </w:pPr>
    <w:r>
      <w:fldChar w:fldCharType="begin"/>
    </w:r>
    <w:r>
      <w:rPr>
        <w:rStyle w:val="47"/>
      </w:rPr>
      <w:instrText xml:space="preserve">PAGE  </w:instrText>
    </w:r>
    <w:r>
      <w:fldChar w:fldCharType="end"/>
    </w:r>
  </w:p>
  <w:p w14:paraId="0C1E7218">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475111"/>
      <w:showingPlcHdr/>
    </w:sdtPr>
    <w:sdtContent>
      <w:p w14:paraId="51E7B67C">
        <w:pPr>
          <w:pStyle w:val="28"/>
          <w:jc w:val="center"/>
        </w:pPr>
      </w:p>
    </w:sdtContent>
  </w:sdt>
  <w:p w14:paraId="762BBF76">
    <w:pPr>
      <w:pStyle w:val="28"/>
      <w:ind w:right="720"/>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0E10E">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31</w:t>
    </w:r>
    <w:r>
      <w:fldChar w:fldCharType="end"/>
    </w:r>
  </w:p>
  <w:p w14:paraId="3EA5AF5D">
    <w:pPr>
      <w:pStyle w:val="28"/>
      <w:tabs>
        <w:tab w:val="left" w:pos="5820"/>
        <w:tab w:val="clear" w:pos="4153"/>
        <w:tab w:val="clear" w:pos="8306"/>
      </w:tabs>
      <w:ind w:right="990"/>
      <w:jc w:val="right"/>
    </w:pPr>
    <w:r>
      <w:rPr>
        <w:rFonts w:hint="eastAsia"/>
      </w:rPr>
      <w:t>温州市中概工程管理咨询有限公司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400974"/>
    </w:sdtPr>
    <w:sdtContent>
      <w:p w14:paraId="0A08055C">
        <w:pPr>
          <w:pStyle w:val="28"/>
          <w:jc w:val="center"/>
        </w:pPr>
        <w:r>
          <w:fldChar w:fldCharType="begin"/>
        </w:r>
        <w:r>
          <w:instrText xml:space="preserve"> PAGE   \* MERGEFORMAT </w:instrText>
        </w:r>
        <w:r>
          <w:fldChar w:fldCharType="separate"/>
        </w:r>
        <w:r>
          <w:rPr>
            <w:lang w:val="zh-CN"/>
          </w:rPr>
          <w:t>52</w:t>
        </w:r>
        <w:r>
          <w:rPr>
            <w:lang w:val="zh-CN"/>
          </w:rPr>
          <w:fldChar w:fldCharType="end"/>
        </w:r>
      </w:p>
    </w:sdtContent>
  </w:sdt>
  <w:p w14:paraId="096A3505">
    <w:pPr>
      <w:pStyle w:val="28"/>
      <w:ind w:right="720"/>
      <w:jc w:val="right"/>
      <w:rPr>
        <w:rFonts w:ascii="宋体"/>
      </w:rPr>
    </w:pPr>
    <w:r>
      <w:rPr>
        <w:rFonts w:ascii="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48749">
    <w:pPr>
      <w:pStyle w:val="28"/>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39</w:t>
    </w:r>
    <w:r>
      <w:rPr>
        <w:rFonts w:ascii="宋体"/>
      </w:rPr>
      <w:fldChar w:fldCharType="end"/>
    </w:r>
  </w:p>
  <w:p w14:paraId="74185FBE">
    <w:pPr>
      <w:pStyle w:val="28"/>
      <w:ind w:right="720"/>
      <w:rPr>
        <w:rFonts w:ascii="宋体"/>
      </w:rPr>
    </w:pPr>
    <w:r>
      <w:rPr>
        <w:rFonts w:ascii="宋体"/>
      </w:rPr>
      <w:t>温州市中概工程管理咨询有限公司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02822">
    <w:pPr>
      <w:pStyle w:val="28"/>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54</w:t>
    </w:r>
    <w:r>
      <w:rPr>
        <w:rFonts w:ascii="宋体"/>
      </w:rPr>
      <w:fldChar w:fldCharType="end"/>
    </w:r>
  </w:p>
  <w:p w14:paraId="35ADE8C9">
    <w:pPr>
      <w:pStyle w:val="28"/>
      <w:ind w:right="720"/>
      <w:jc w:val="right"/>
      <w:rPr>
        <w:rFonts w:ascii="宋体"/>
      </w:rPr>
    </w:pPr>
    <w:r>
      <w:rPr>
        <w:rFonts w:ascii="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AAE7">
    <w:pPr>
      <w:pStyle w:val="29"/>
      <w:jc w:val="both"/>
    </w:pPr>
    <w:r>
      <w:rPr>
        <w:rFonts w:hint="eastAsia"/>
      </w:rPr>
      <w:t>政府招标文件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BD0BB">
    <w:pPr>
      <w:pStyle w:val="29"/>
      <w:jc w:val="both"/>
    </w:pPr>
    <w:r>
      <w:rPr>
        <w:rFonts w:hint="eastAsia"/>
      </w:rPr>
      <w:t>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A889E">
    <w:pPr>
      <w:pStyle w:val="29"/>
      <w:jc w:val="both"/>
      <w:rPr>
        <w:rFonts w:ascii="宋体"/>
        <w:b/>
      </w:rPr>
    </w:pPr>
    <w:r>
      <w:rPr>
        <w:rFonts w:hint="eastAsia" w:ascii="宋体"/>
      </w:rPr>
      <w:t>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C0C0">
    <w:pPr>
      <w:pStyle w:val="29"/>
      <w:jc w:val="both"/>
      <w:rPr>
        <w:rFonts w:ascii="宋体"/>
        <w:b/>
      </w:rPr>
    </w:pPr>
    <w:r>
      <w:rPr>
        <w:rFonts w:hint="eastAsia" w:ascii="宋体"/>
        <w:b/>
      </w:rPr>
      <w:t>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7629">
    <w:pPr>
      <w:pStyle w:val="29"/>
      <w:jc w:val="both"/>
      <w:rPr>
        <w:rFonts w:ascii="宋体"/>
        <w:b/>
      </w:rPr>
    </w:pPr>
    <w:r>
      <w:rPr>
        <w:rFonts w:hint="eastAsia" w:ascii="宋体"/>
        <w:b/>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3">
    <w:nsid w:val="0D1875C4"/>
    <w:multiLevelType w:val="multilevel"/>
    <w:tmpl w:val="0D1875C4"/>
    <w:lvl w:ilvl="0" w:tentative="0">
      <w:start w:val="1"/>
      <w:numFmt w:val="decimalEnclosedCircleChinese"/>
      <w:lvlText w:val="%1　"/>
      <w:lvlJc w:val="left"/>
      <w:pPr>
        <w:ind w:left="420" w:hanging="420"/>
      </w:pPr>
    </w:lvl>
    <w:lvl w:ilvl="1" w:tentative="0">
      <w:start w:val="1"/>
      <w:numFmt w:val="decimal"/>
      <w:lvlText w:val="%2."/>
      <w:lvlJc w:val="left"/>
      <w:pPr>
        <w:tabs>
          <w:tab w:val="left" w:pos="1440"/>
        </w:tabs>
        <w:ind w:left="1440" w:hanging="360"/>
      </w:pPr>
    </w:lvl>
    <w:lvl w:ilvl="2" w:tentative="0">
      <w:start w:val="1"/>
      <w:numFmt w:val="decimalEnclosedCircleChinese"/>
      <w:lvlText w:val="%3　"/>
      <w:lvlJc w:val="left"/>
      <w:pPr>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F9E5DD4"/>
    <w:multiLevelType w:val="multilevel"/>
    <w:tmpl w:val="0F9E5DD4"/>
    <w:lvl w:ilvl="0" w:tentative="0">
      <w:start w:val="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B919D6"/>
    <w:multiLevelType w:val="multilevel"/>
    <w:tmpl w:val="27B919D6"/>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57AD38E6"/>
    <w:multiLevelType w:val="singleLevel"/>
    <w:tmpl w:val="57AD38E6"/>
    <w:lvl w:ilvl="0" w:tentative="0">
      <w:start w:val="2"/>
      <w:numFmt w:val="chineseCounting"/>
      <w:suff w:val="nothing"/>
      <w:lvlText w:val="%1、"/>
      <w:lvlJc w:val="left"/>
      <w:rPr>
        <w:rFonts w:hint="eastAsia"/>
      </w:rPr>
    </w:lvl>
  </w:abstractNum>
  <w:abstractNum w:abstractNumId="7">
    <w:nsid w:val="6C07C839"/>
    <w:multiLevelType w:val="singleLevel"/>
    <w:tmpl w:val="6C07C839"/>
    <w:lvl w:ilvl="0" w:tentative="0">
      <w:start w:val="1"/>
      <w:numFmt w:val="decimal"/>
      <w:suff w:val="nothing"/>
      <w:lvlText w:val="（%1）"/>
      <w:lvlJc w:val="left"/>
    </w:lvl>
  </w:abstractNum>
  <w:abstractNum w:abstractNumId="8">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4"/>
  </w:num>
  <w:num w:numId="3">
    <w:abstractNumId w:val="8"/>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NzU3Mjk4OTdiMmI1MGZjODAzMmE2ZmYyN2ZmNTQifQ=="/>
  </w:docVars>
  <w:rsids>
    <w:rsidRoot w:val="00AF6227"/>
    <w:rsid w:val="0000005C"/>
    <w:rsid w:val="00002061"/>
    <w:rsid w:val="000020A8"/>
    <w:rsid w:val="000025D0"/>
    <w:rsid w:val="0000311A"/>
    <w:rsid w:val="0000333D"/>
    <w:rsid w:val="0000391E"/>
    <w:rsid w:val="00005613"/>
    <w:rsid w:val="00005A48"/>
    <w:rsid w:val="00006A42"/>
    <w:rsid w:val="00007907"/>
    <w:rsid w:val="00007A30"/>
    <w:rsid w:val="0001039F"/>
    <w:rsid w:val="00011410"/>
    <w:rsid w:val="0001323D"/>
    <w:rsid w:val="000138B4"/>
    <w:rsid w:val="00013DE8"/>
    <w:rsid w:val="0001559D"/>
    <w:rsid w:val="000163FB"/>
    <w:rsid w:val="00017269"/>
    <w:rsid w:val="00017C20"/>
    <w:rsid w:val="00021779"/>
    <w:rsid w:val="00021D1D"/>
    <w:rsid w:val="00024C7A"/>
    <w:rsid w:val="00024FDE"/>
    <w:rsid w:val="00025079"/>
    <w:rsid w:val="00026E94"/>
    <w:rsid w:val="00027072"/>
    <w:rsid w:val="00027A5C"/>
    <w:rsid w:val="00030140"/>
    <w:rsid w:val="00030435"/>
    <w:rsid w:val="00030615"/>
    <w:rsid w:val="00030C19"/>
    <w:rsid w:val="00030C61"/>
    <w:rsid w:val="0003197C"/>
    <w:rsid w:val="000335A6"/>
    <w:rsid w:val="000352D7"/>
    <w:rsid w:val="000356EA"/>
    <w:rsid w:val="00037F27"/>
    <w:rsid w:val="000410B8"/>
    <w:rsid w:val="00041F1F"/>
    <w:rsid w:val="00042A65"/>
    <w:rsid w:val="00042F61"/>
    <w:rsid w:val="000430D7"/>
    <w:rsid w:val="0004325C"/>
    <w:rsid w:val="00043D81"/>
    <w:rsid w:val="00044563"/>
    <w:rsid w:val="00044A09"/>
    <w:rsid w:val="0004559B"/>
    <w:rsid w:val="00046E9A"/>
    <w:rsid w:val="00050219"/>
    <w:rsid w:val="00051F29"/>
    <w:rsid w:val="0005220E"/>
    <w:rsid w:val="00053BE2"/>
    <w:rsid w:val="00053D63"/>
    <w:rsid w:val="00054613"/>
    <w:rsid w:val="00054A1A"/>
    <w:rsid w:val="00054CDE"/>
    <w:rsid w:val="0005556E"/>
    <w:rsid w:val="00055C14"/>
    <w:rsid w:val="000605C8"/>
    <w:rsid w:val="00060FB3"/>
    <w:rsid w:val="00061B13"/>
    <w:rsid w:val="00062A47"/>
    <w:rsid w:val="0006310B"/>
    <w:rsid w:val="000634EC"/>
    <w:rsid w:val="0006355C"/>
    <w:rsid w:val="00064919"/>
    <w:rsid w:val="00064B20"/>
    <w:rsid w:val="00064C44"/>
    <w:rsid w:val="00064C6E"/>
    <w:rsid w:val="00065845"/>
    <w:rsid w:val="000676E6"/>
    <w:rsid w:val="0006788E"/>
    <w:rsid w:val="0007127B"/>
    <w:rsid w:val="00073DCC"/>
    <w:rsid w:val="00074EF5"/>
    <w:rsid w:val="00075082"/>
    <w:rsid w:val="00076519"/>
    <w:rsid w:val="000776B7"/>
    <w:rsid w:val="00077E2F"/>
    <w:rsid w:val="00080672"/>
    <w:rsid w:val="00080BE8"/>
    <w:rsid w:val="00081438"/>
    <w:rsid w:val="0008180F"/>
    <w:rsid w:val="00082ACA"/>
    <w:rsid w:val="0008321E"/>
    <w:rsid w:val="000836EA"/>
    <w:rsid w:val="000842D2"/>
    <w:rsid w:val="000843FA"/>
    <w:rsid w:val="00084586"/>
    <w:rsid w:val="00084844"/>
    <w:rsid w:val="00085C2F"/>
    <w:rsid w:val="00085E61"/>
    <w:rsid w:val="00086538"/>
    <w:rsid w:val="00086C22"/>
    <w:rsid w:val="00086C2A"/>
    <w:rsid w:val="00086C38"/>
    <w:rsid w:val="00087389"/>
    <w:rsid w:val="00087781"/>
    <w:rsid w:val="00091BE1"/>
    <w:rsid w:val="00092AB7"/>
    <w:rsid w:val="00093339"/>
    <w:rsid w:val="000938BC"/>
    <w:rsid w:val="00093AE4"/>
    <w:rsid w:val="00093C07"/>
    <w:rsid w:val="000941F0"/>
    <w:rsid w:val="0009444B"/>
    <w:rsid w:val="000944AD"/>
    <w:rsid w:val="000945AF"/>
    <w:rsid w:val="00094AAF"/>
    <w:rsid w:val="000953C4"/>
    <w:rsid w:val="00095548"/>
    <w:rsid w:val="00095570"/>
    <w:rsid w:val="000956DF"/>
    <w:rsid w:val="0009590D"/>
    <w:rsid w:val="00095E6A"/>
    <w:rsid w:val="0009608E"/>
    <w:rsid w:val="00096711"/>
    <w:rsid w:val="00097189"/>
    <w:rsid w:val="000A0293"/>
    <w:rsid w:val="000A1491"/>
    <w:rsid w:val="000A1E95"/>
    <w:rsid w:val="000A23C6"/>
    <w:rsid w:val="000A24D9"/>
    <w:rsid w:val="000A26E7"/>
    <w:rsid w:val="000A318D"/>
    <w:rsid w:val="000A3745"/>
    <w:rsid w:val="000A4FB6"/>
    <w:rsid w:val="000A533B"/>
    <w:rsid w:val="000A596D"/>
    <w:rsid w:val="000A5A41"/>
    <w:rsid w:val="000A5EBC"/>
    <w:rsid w:val="000A7AB5"/>
    <w:rsid w:val="000B02A3"/>
    <w:rsid w:val="000B0393"/>
    <w:rsid w:val="000B0648"/>
    <w:rsid w:val="000B1353"/>
    <w:rsid w:val="000B3313"/>
    <w:rsid w:val="000B44B5"/>
    <w:rsid w:val="000B5045"/>
    <w:rsid w:val="000B52ED"/>
    <w:rsid w:val="000B6938"/>
    <w:rsid w:val="000B7114"/>
    <w:rsid w:val="000B7352"/>
    <w:rsid w:val="000B7A57"/>
    <w:rsid w:val="000C0973"/>
    <w:rsid w:val="000C0E8E"/>
    <w:rsid w:val="000C139D"/>
    <w:rsid w:val="000C1A09"/>
    <w:rsid w:val="000C2BB1"/>
    <w:rsid w:val="000C2ED9"/>
    <w:rsid w:val="000C3605"/>
    <w:rsid w:val="000C3931"/>
    <w:rsid w:val="000C3F83"/>
    <w:rsid w:val="000C5181"/>
    <w:rsid w:val="000C568A"/>
    <w:rsid w:val="000C59AC"/>
    <w:rsid w:val="000C5C41"/>
    <w:rsid w:val="000C783C"/>
    <w:rsid w:val="000C7DFA"/>
    <w:rsid w:val="000D0CE1"/>
    <w:rsid w:val="000D1234"/>
    <w:rsid w:val="000D12CD"/>
    <w:rsid w:val="000D139B"/>
    <w:rsid w:val="000D1D8D"/>
    <w:rsid w:val="000D1E63"/>
    <w:rsid w:val="000D26C8"/>
    <w:rsid w:val="000D3854"/>
    <w:rsid w:val="000D3866"/>
    <w:rsid w:val="000D4569"/>
    <w:rsid w:val="000D4B9A"/>
    <w:rsid w:val="000D5398"/>
    <w:rsid w:val="000D5EB4"/>
    <w:rsid w:val="000D6053"/>
    <w:rsid w:val="000D64E5"/>
    <w:rsid w:val="000E024B"/>
    <w:rsid w:val="000E09BF"/>
    <w:rsid w:val="000E118B"/>
    <w:rsid w:val="000E1253"/>
    <w:rsid w:val="000E1A2A"/>
    <w:rsid w:val="000E21CE"/>
    <w:rsid w:val="000E24CD"/>
    <w:rsid w:val="000E2574"/>
    <w:rsid w:val="000E3977"/>
    <w:rsid w:val="000E3B25"/>
    <w:rsid w:val="000E4034"/>
    <w:rsid w:val="000E4481"/>
    <w:rsid w:val="000E4776"/>
    <w:rsid w:val="000E4C02"/>
    <w:rsid w:val="000E4EF2"/>
    <w:rsid w:val="000E50E0"/>
    <w:rsid w:val="000E63BA"/>
    <w:rsid w:val="000E6A7B"/>
    <w:rsid w:val="000E6E6A"/>
    <w:rsid w:val="000F088D"/>
    <w:rsid w:val="000F115A"/>
    <w:rsid w:val="000F188F"/>
    <w:rsid w:val="000F2120"/>
    <w:rsid w:val="000F2200"/>
    <w:rsid w:val="000F35E2"/>
    <w:rsid w:val="000F39AA"/>
    <w:rsid w:val="000F3C69"/>
    <w:rsid w:val="000F4740"/>
    <w:rsid w:val="000F61EC"/>
    <w:rsid w:val="0010035B"/>
    <w:rsid w:val="0010063E"/>
    <w:rsid w:val="001007F1"/>
    <w:rsid w:val="001014AF"/>
    <w:rsid w:val="0010229C"/>
    <w:rsid w:val="0010279A"/>
    <w:rsid w:val="00104584"/>
    <w:rsid w:val="00106AAB"/>
    <w:rsid w:val="00107410"/>
    <w:rsid w:val="001103F5"/>
    <w:rsid w:val="001108DE"/>
    <w:rsid w:val="00110F7D"/>
    <w:rsid w:val="00111825"/>
    <w:rsid w:val="001124B3"/>
    <w:rsid w:val="00112BF0"/>
    <w:rsid w:val="00112E48"/>
    <w:rsid w:val="0011301B"/>
    <w:rsid w:val="0011326C"/>
    <w:rsid w:val="00113862"/>
    <w:rsid w:val="00113DEA"/>
    <w:rsid w:val="0011494F"/>
    <w:rsid w:val="00114D55"/>
    <w:rsid w:val="00115FCC"/>
    <w:rsid w:val="00116893"/>
    <w:rsid w:val="001178CF"/>
    <w:rsid w:val="00123CC4"/>
    <w:rsid w:val="00123D6A"/>
    <w:rsid w:val="00125555"/>
    <w:rsid w:val="00125B54"/>
    <w:rsid w:val="00126530"/>
    <w:rsid w:val="00126D79"/>
    <w:rsid w:val="00127130"/>
    <w:rsid w:val="00127AB3"/>
    <w:rsid w:val="00130065"/>
    <w:rsid w:val="00133381"/>
    <w:rsid w:val="0013430F"/>
    <w:rsid w:val="00135824"/>
    <w:rsid w:val="001361BD"/>
    <w:rsid w:val="00140B8B"/>
    <w:rsid w:val="0014129F"/>
    <w:rsid w:val="00141F27"/>
    <w:rsid w:val="00143C54"/>
    <w:rsid w:val="00144918"/>
    <w:rsid w:val="00144CCF"/>
    <w:rsid w:val="001455C9"/>
    <w:rsid w:val="00145A19"/>
    <w:rsid w:val="00146232"/>
    <w:rsid w:val="001463A9"/>
    <w:rsid w:val="00146555"/>
    <w:rsid w:val="00146D9B"/>
    <w:rsid w:val="00146EE0"/>
    <w:rsid w:val="001502BC"/>
    <w:rsid w:val="00151F6C"/>
    <w:rsid w:val="001542FA"/>
    <w:rsid w:val="0015469B"/>
    <w:rsid w:val="001546D2"/>
    <w:rsid w:val="001550AC"/>
    <w:rsid w:val="0015553F"/>
    <w:rsid w:val="00155860"/>
    <w:rsid w:val="00155BCA"/>
    <w:rsid w:val="00155E47"/>
    <w:rsid w:val="00155F48"/>
    <w:rsid w:val="00156EEE"/>
    <w:rsid w:val="001575D4"/>
    <w:rsid w:val="001579B6"/>
    <w:rsid w:val="00161E2A"/>
    <w:rsid w:val="0016216C"/>
    <w:rsid w:val="00163794"/>
    <w:rsid w:val="00163B70"/>
    <w:rsid w:val="00163D03"/>
    <w:rsid w:val="001655BA"/>
    <w:rsid w:val="00165673"/>
    <w:rsid w:val="001660B2"/>
    <w:rsid w:val="00166F8C"/>
    <w:rsid w:val="001673E0"/>
    <w:rsid w:val="00167C28"/>
    <w:rsid w:val="001705F9"/>
    <w:rsid w:val="00171516"/>
    <w:rsid w:val="001721E5"/>
    <w:rsid w:val="001727E7"/>
    <w:rsid w:val="00173674"/>
    <w:rsid w:val="00173B7B"/>
    <w:rsid w:val="001748DC"/>
    <w:rsid w:val="001758C8"/>
    <w:rsid w:val="00175D42"/>
    <w:rsid w:val="00175D54"/>
    <w:rsid w:val="00175DAB"/>
    <w:rsid w:val="00176208"/>
    <w:rsid w:val="00176D09"/>
    <w:rsid w:val="00176E72"/>
    <w:rsid w:val="00177960"/>
    <w:rsid w:val="00177B64"/>
    <w:rsid w:val="00180A3A"/>
    <w:rsid w:val="00183061"/>
    <w:rsid w:val="001832A3"/>
    <w:rsid w:val="0018462F"/>
    <w:rsid w:val="00184681"/>
    <w:rsid w:val="001848B8"/>
    <w:rsid w:val="001851AB"/>
    <w:rsid w:val="0018525E"/>
    <w:rsid w:val="00185510"/>
    <w:rsid w:val="00185DDD"/>
    <w:rsid w:val="00185E0D"/>
    <w:rsid w:val="0018678B"/>
    <w:rsid w:val="00190D79"/>
    <w:rsid w:val="001910E8"/>
    <w:rsid w:val="0019112F"/>
    <w:rsid w:val="00191735"/>
    <w:rsid w:val="00191910"/>
    <w:rsid w:val="0019298D"/>
    <w:rsid w:val="00192EA7"/>
    <w:rsid w:val="001931EF"/>
    <w:rsid w:val="0019325A"/>
    <w:rsid w:val="0019385C"/>
    <w:rsid w:val="00193BBC"/>
    <w:rsid w:val="00194588"/>
    <w:rsid w:val="0019461A"/>
    <w:rsid w:val="00194D56"/>
    <w:rsid w:val="00194DEA"/>
    <w:rsid w:val="00196A61"/>
    <w:rsid w:val="001970B6"/>
    <w:rsid w:val="00197329"/>
    <w:rsid w:val="001974F3"/>
    <w:rsid w:val="001976DD"/>
    <w:rsid w:val="001A0831"/>
    <w:rsid w:val="001A101C"/>
    <w:rsid w:val="001A25E3"/>
    <w:rsid w:val="001A3847"/>
    <w:rsid w:val="001A3AD5"/>
    <w:rsid w:val="001A3B9E"/>
    <w:rsid w:val="001A3DEA"/>
    <w:rsid w:val="001A458D"/>
    <w:rsid w:val="001A4DC0"/>
    <w:rsid w:val="001A66A6"/>
    <w:rsid w:val="001A6700"/>
    <w:rsid w:val="001A6E87"/>
    <w:rsid w:val="001A77A5"/>
    <w:rsid w:val="001B0428"/>
    <w:rsid w:val="001B0C6B"/>
    <w:rsid w:val="001B13D3"/>
    <w:rsid w:val="001B1E03"/>
    <w:rsid w:val="001B2DC1"/>
    <w:rsid w:val="001B3A4C"/>
    <w:rsid w:val="001B3DB1"/>
    <w:rsid w:val="001B3DF5"/>
    <w:rsid w:val="001B3F00"/>
    <w:rsid w:val="001B41FD"/>
    <w:rsid w:val="001B4216"/>
    <w:rsid w:val="001B4971"/>
    <w:rsid w:val="001B4AC5"/>
    <w:rsid w:val="001B515D"/>
    <w:rsid w:val="001B66E0"/>
    <w:rsid w:val="001B7574"/>
    <w:rsid w:val="001B75D2"/>
    <w:rsid w:val="001B7FBF"/>
    <w:rsid w:val="001C0E2E"/>
    <w:rsid w:val="001C0E81"/>
    <w:rsid w:val="001C13F5"/>
    <w:rsid w:val="001C1D62"/>
    <w:rsid w:val="001C29CC"/>
    <w:rsid w:val="001C2B4B"/>
    <w:rsid w:val="001C2CC4"/>
    <w:rsid w:val="001C3F18"/>
    <w:rsid w:val="001C4B16"/>
    <w:rsid w:val="001C58B5"/>
    <w:rsid w:val="001C6427"/>
    <w:rsid w:val="001C6925"/>
    <w:rsid w:val="001C7031"/>
    <w:rsid w:val="001C7C9F"/>
    <w:rsid w:val="001D0546"/>
    <w:rsid w:val="001D1380"/>
    <w:rsid w:val="001D2104"/>
    <w:rsid w:val="001D3075"/>
    <w:rsid w:val="001D3321"/>
    <w:rsid w:val="001D3ADD"/>
    <w:rsid w:val="001D3D60"/>
    <w:rsid w:val="001D4502"/>
    <w:rsid w:val="001D50BA"/>
    <w:rsid w:val="001D53C4"/>
    <w:rsid w:val="001D563E"/>
    <w:rsid w:val="001D7588"/>
    <w:rsid w:val="001D75F5"/>
    <w:rsid w:val="001D7EF1"/>
    <w:rsid w:val="001E0B75"/>
    <w:rsid w:val="001E0EEA"/>
    <w:rsid w:val="001E131D"/>
    <w:rsid w:val="001E1A7A"/>
    <w:rsid w:val="001E1ECF"/>
    <w:rsid w:val="001E2150"/>
    <w:rsid w:val="001E26AE"/>
    <w:rsid w:val="001E2C3D"/>
    <w:rsid w:val="001E35B8"/>
    <w:rsid w:val="001E4043"/>
    <w:rsid w:val="001E6581"/>
    <w:rsid w:val="001F064C"/>
    <w:rsid w:val="001F1178"/>
    <w:rsid w:val="001F1448"/>
    <w:rsid w:val="001F1850"/>
    <w:rsid w:val="001F27BC"/>
    <w:rsid w:val="001F2D5C"/>
    <w:rsid w:val="001F3285"/>
    <w:rsid w:val="001F3595"/>
    <w:rsid w:val="001F38AA"/>
    <w:rsid w:val="001F3CFB"/>
    <w:rsid w:val="001F40CC"/>
    <w:rsid w:val="001F5246"/>
    <w:rsid w:val="001F5456"/>
    <w:rsid w:val="001F6574"/>
    <w:rsid w:val="001F6BE3"/>
    <w:rsid w:val="001F6C53"/>
    <w:rsid w:val="001F795D"/>
    <w:rsid w:val="00200A92"/>
    <w:rsid w:val="00202344"/>
    <w:rsid w:val="002039DA"/>
    <w:rsid w:val="00203D45"/>
    <w:rsid w:val="002044FE"/>
    <w:rsid w:val="002048BB"/>
    <w:rsid w:val="00204F27"/>
    <w:rsid w:val="00205404"/>
    <w:rsid w:val="0020556E"/>
    <w:rsid w:val="002118CB"/>
    <w:rsid w:val="00211B42"/>
    <w:rsid w:val="00213484"/>
    <w:rsid w:val="0021379B"/>
    <w:rsid w:val="00214C24"/>
    <w:rsid w:val="00215318"/>
    <w:rsid w:val="00215A0E"/>
    <w:rsid w:val="0021694E"/>
    <w:rsid w:val="00216EDF"/>
    <w:rsid w:val="0022107C"/>
    <w:rsid w:val="00222052"/>
    <w:rsid w:val="0022246D"/>
    <w:rsid w:val="0022377D"/>
    <w:rsid w:val="00224C16"/>
    <w:rsid w:val="00224E41"/>
    <w:rsid w:val="0022580B"/>
    <w:rsid w:val="00226D48"/>
    <w:rsid w:val="00226D76"/>
    <w:rsid w:val="0022799E"/>
    <w:rsid w:val="00227F94"/>
    <w:rsid w:val="002343C2"/>
    <w:rsid w:val="00234FB0"/>
    <w:rsid w:val="0023544B"/>
    <w:rsid w:val="002357FE"/>
    <w:rsid w:val="00235F5D"/>
    <w:rsid w:val="00236429"/>
    <w:rsid w:val="00236A21"/>
    <w:rsid w:val="00236DD9"/>
    <w:rsid w:val="00237FDB"/>
    <w:rsid w:val="00240521"/>
    <w:rsid w:val="00241202"/>
    <w:rsid w:val="002418CB"/>
    <w:rsid w:val="002419B0"/>
    <w:rsid w:val="00241C9A"/>
    <w:rsid w:val="00241EBD"/>
    <w:rsid w:val="00242B92"/>
    <w:rsid w:val="00244B1A"/>
    <w:rsid w:val="00245A31"/>
    <w:rsid w:val="002462DE"/>
    <w:rsid w:val="00246362"/>
    <w:rsid w:val="0025070E"/>
    <w:rsid w:val="00250BF1"/>
    <w:rsid w:val="0025102F"/>
    <w:rsid w:val="002510AD"/>
    <w:rsid w:val="00252F1B"/>
    <w:rsid w:val="00254AFB"/>
    <w:rsid w:val="00254DCA"/>
    <w:rsid w:val="0025508A"/>
    <w:rsid w:val="002552B5"/>
    <w:rsid w:val="00255F2D"/>
    <w:rsid w:val="002567F1"/>
    <w:rsid w:val="0025792B"/>
    <w:rsid w:val="00261544"/>
    <w:rsid w:val="0026190B"/>
    <w:rsid w:val="0026209E"/>
    <w:rsid w:val="00262587"/>
    <w:rsid w:val="00262BFB"/>
    <w:rsid w:val="00263FCC"/>
    <w:rsid w:val="00264182"/>
    <w:rsid w:val="00264934"/>
    <w:rsid w:val="002649EE"/>
    <w:rsid w:val="002652A5"/>
    <w:rsid w:val="002654EC"/>
    <w:rsid w:val="002658CC"/>
    <w:rsid w:val="00265F89"/>
    <w:rsid w:val="00266F39"/>
    <w:rsid w:val="00267060"/>
    <w:rsid w:val="00270316"/>
    <w:rsid w:val="002715F0"/>
    <w:rsid w:val="00272A41"/>
    <w:rsid w:val="00272BE1"/>
    <w:rsid w:val="00272FFF"/>
    <w:rsid w:val="00273952"/>
    <w:rsid w:val="00274171"/>
    <w:rsid w:val="002745C8"/>
    <w:rsid w:val="0027463A"/>
    <w:rsid w:val="002747E3"/>
    <w:rsid w:val="002749FC"/>
    <w:rsid w:val="00274C2E"/>
    <w:rsid w:val="002752AA"/>
    <w:rsid w:val="002757B8"/>
    <w:rsid w:val="00277D43"/>
    <w:rsid w:val="002803EA"/>
    <w:rsid w:val="00280840"/>
    <w:rsid w:val="00280C3F"/>
    <w:rsid w:val="00280F86"/>
    <w:rsid w:val="00281241"/>
    <w:rsid w:val="0028162F"/>
    <w:rsid w:val="002817C5"/>
    <w:rsid w:val="002821F9"/>
    <w:rsid w:val="00282DFA"/>
    <w:rsid w:val="00282F30"/>
    <w:rsid w:val="002833A3"/>
    <w:rsid w:val="00283984"/>
    <w:rsid w:val="002839D9"/>
    <w:rsid w:val="002854D7"/>
    <w:rsid w:val="002868E1"/>
    <w:rsid w:val="00286AA5"/>
    <w:rsid w:val="00286D89"/>
    <w:rsid w:val="00287140"/>
    <w:rsid w:val="0029108F"/>
    <w:rsid w:val="002913B3"/>
    <w:rsid w:val="0029163F"/>
    <w:rsid w:val="00292E14"/>
    <w:rsid w:val="00293572"/>
    <w:rsid w:val="00293E4F"/>
    <w:rsid w:val="00295FC9"/>
    <w:rsid w:val="00296A1F"/>
    <w:rsid w:val="00296F17"/>
    <w:rsid w:val="00297482"/>
    <w:rsid w:val="002A0150"/>
    <w:rsid w:val="002A08F7"/>
    <w:rsid w:val="002A0F48"/>
    <w:rsid w:val="002A1279"/>
    <w:rsid w:val="002A1FE0"/>
    <w:rsid w:val="002A2269"/>
    <w:rsid w:val="002A288B"/>
    <w:rsid w:val="002A2C24"/>
    <w:rsid w:val="002A3871"/>
    <w:rsid w:val="002A3E40"/>
    <w:rsid w:val="002B00E3"/>
    <w:rsid w:val="002B0164"/>
    <w:rsid w:val="002B0D95"/>
    <w:rsid w:val="002B0ECA"/>
    <w:rsid w:val="002B1E6E"/>
    <w:rsid w:val="002B27F7"/>
    <w:rsid w:val="002B2F4B"/>
    <w:rsid w:val="002B3A38"/>
    <w:rsid w:val="002B4FB9"/>
    <w:rsid w:val="002B5E20"/>
    <w:rsid w:val="002B6254"/>
    <w:rsid w:val="002B66AB"/>
    <w:rsid w:val="002B6B1C"/>
    <w:rsid w:val="002B6BF9"/>
    <w:rsid w:val="002C0551"/>
    <w:rsid w:val="002C066F"/>
    <w:rsid w:val="002C0885"/>
    <w:rsid w:val="002C10E0"/>
    <w:rsid w:val="002C2865"/>
    <w:rsid w:val="002C3114"/>
    <w:rsid w:val="002C3C04"/>
    <w:rsid w:val="002C4499"/>
    <w:rsid w:val="002C5D32"/>
    <w:rsid w:val="002C6660"/>
    <w:rsid w:val="002C6AEB"/>
    <w:rsid w:val="002C6CA3"/>
    <w:rsid w:val="002C7435"/>
    <w:rsid w:val="002D1361"/>
    <w:rsid w:val="002D1B96"/>
    <w:rsid w:val="002D2822"/>
    <w:rsid w:val="002D3325"/>
    <w:rsid w:val="002D3756"/>
    <w:rsid w:val="002D4143"/>
    <w:rsid w:val="002D422C"/>
    <w:rsid w:val="002D6BA2"/>
    <w:rsid w:val="002E1783"/>
    <w:rsid w:val="002E25CE"/>
    <w:rsid w:val="002E35CA"/>
    <w:rsid w:val="002E41C8"/>
    <w:rsid w:val="002E5C2C"/>
    <w:rsid w:val="002E5C70"/>
    <w:rsid w:val="002E6B46"/>
    <w:rsid w:val="002E7A62"/>
    <w:rsid w:val="002E7C35"/>
    <w:rsid w:val="002F02FF"/>
    <w:rsid w:val="002F1C1D"/>
    <w:rsid w:val="002F1F75"/>
    <w:rsid w:val="002F1FF4"/>
    <w:rsid w:val="002F2172"/>
    <w:rsid w:val="002F2DE3"/>
    <w:rsid w:val="002F3831"/>
    <w:rsid w:val="002F3A07"/>
    <w:rsid w:val="002F4334"/>
    <w:rsid w:val="002F45F4"/>
    <w:rsid w:val="002F5525"/>
    <w:rsid w:val="002F658E"/>
    <w:rsid w:val="002F7003"/>
    <w:rsid w:val="002F7173"/>
    <w:rsid w:val="00302B0A"/>
    <w:rsid w:val="00303B36"/>
    <w:rsid w:val="00303C5B"/>
    <w:rsid w:val="00304A9F"/>
    <w:rsid w:val="00304C12"/>
    <w:rsid w:val="00305BD3"/>
    <w:rsid w:val="0030682C"/>
    <w:rsid w:val="00306B04"/>
    <w:rsid w:val="0030757E"/>
    <w:rsid w:val="003075D2"/>
    <w:rsid w:val="0031039B"/>
    <w:rsid w:val="00310FF5"/>
    <w:rsid w:val="0031105D"/>
    <w:rsid w:val="00311692"/>
    <w:rsid w:val="00311B27"/>
    <w:rsid w:val="00311FAA"/>
    <w:rsid w:val="003121BE"/>
    <w:rsid w:val="003130D6"/>
    <w:rsid w:val="00313ED0"/>
    <w:rsid w:val="003141E7"/>
    <w:rsid w:val="003156AC"/>
    <w:rsid w:val="003163F6"/>
    <w:rsid w:val="003168A3"/>
    <w:rsid w:val="003169C0"/>
    <w:rsid w:val="00317845"/>
    <w:rsid w:val="00317A4E"/>
    <w:rsid w:val="00320018"/>
    <w:rsid w:val="003200B5"/>
    <w:rsid w:val="00321148"/>
    <w:rsid w:val="00322AC4"/>
    <w:rsid w:val="00323034"/>
    <w:rsid w:val="003233C6"/>
    <w:rsid w:val="003235A8"/>
    <w:rsid w:val="00323ABA"/>
    <w:rsid w:val="00325FD8"/>
    <w:rsid w:val="003268B5"/>
    <w:rsid w:val="003268FA"/>
    <w:rsid w:val="00326E13"/>
    <w:rsid w:val="00334E12"/>
    <w:rsid w:val="00334FA2"/>
    <w:rsid w:val="0033578E"/>
    <w:rsid w:val="00335F8B"/>
    <w:rsid w:val="0033688B"/>
    <w:rsid w:val="003368AF"/>
    <w:rsid w:val="00340F8B"/>
    <w:rsid w:val="00343641"/>
    <w:rsid w:val="003436F0"/>
    <w:rsid w:val="003439E0"/>
    <w:rsid w:val="00344703"/>
    <w:rsid w:val="003458DD"/>
    <w:rsid w:val="00346353"/>
    <w:rsid w:val="003467E9"/>
    <w:rsid w:val="00346859"/>
    <w:rsid w:val="003474A7"/>
    <w:rsid w:val="00350476"/>
    <w:rsid w:val="0035198D"/>
    <w:rsid w:val="00351CC3"/>
    <w:rsid w:val="00351F6A"/>
    <w:rsid w:val="00352953"/>
    <w:rsid w:val="0035342E"/>
    <w:rsid w:val="00354A41"/>
    <w:rsid w:val="0035533C"/>
    <w:rsid w:val="00355384"/>
    <w:rsid w:val="003558A4"/>
    <w:rsid w:val="00356F95"/>
    <w:rsid w:val="003575E6"/>
    <w:rsid w:val="003604A2"/>
    <w:rsid w:val="00360B48"/>
    <w:rsid w:val="00360D82"/>
    <w:rsid w:val="003623B6"/>
    <w:rsid w:val="003638C6"/>
    <w:rsid w:val="00363DE7"/>
    <w:rsid w:val="00364189"/>
    <w:rsid w:val="00364798"/>
    <w:rsid w:val="00364BED"/>
    <w:rsid w:val="00364C9D"/>
    <w:rsid w:val="00365E49"/>
    <w:rsid w:val="0036606D"/>
    <w:rsid w:val="003663CE"/>
    <w:rsid w:val="00366A4D"/>
    <w:rsid w:val="00366DBC"/>
    <w:rsid w:val="00367D64"/>
    <w:rsid w:val="0037085D"/>
    <w:rsid w:val="003710F6"/>
    <w:rsid w:val="003712C1"/>
    <w:rsid w:val="003720AC"/>
    <w:rsid w:val="0037282B"/>
    <w:rsid w:val="0037514E"/>
    <w:rsid w:val="00375D27"/>
    <w:rsid w:val="00375DCC"/>
    <w:rsid w:val="00376C1A"/>
    <w:rsid w:val="00377DD3"/>
    <w:rsid w:val="00380332"/>
    <w:rsid w:val="003809C8"/>
    <w:rsid w:val="00382AC2"/>
    <w:rsid w:val="003841DF"/>
    <w:rsid w:val="00384245"/>
    <w:rsid w:val="0038439F"/>
    <w:rsid w:val="0038453E"/>
    <w:rsid w:val="003851F7"/>
    <w:rsid w:val="003859D0"/>
    <w:rsid w:val="003862ED"/>
    <w:rsid w:val="00386C5E"/>
    <w:rsid w:val="003875EB"/>
    <w:rsid w:val="00387CAB"/>
    <w:rsid w:val="0039054A"/>
    <w:rsid w:val="00390E91"/>
    <w:rsid w:val="00390FB3"/>
    <w:rsid w:val="00390FD5"/>
    <w:rsid w:val="00392D36"/>
    <w:rsid w:val="00392FD4"/>
    <w:rsid w:val="00393019"/>
    <w:rsid w:val="00394173"/>
    <w:rsid w:val="0039451A"/>
    <w:rsid w:val="00394CFD"/>
    <w:rsid w:val="003954D8"/>
    <w:rsid w:val="00395916"/>
    <w:rsid w:val="00396E09"/>
    <w:rsid w:val="003970CC"/>
    <w:rsid w:val="00397B29"/>
    <w:rsid w:val="00397EB8"/>
    <w:rsid w:val="003A0B8B"/>
    <w:rsid w:val="003A1709"/>
    <w:rsid w:val="003A22C0"/>
    <w:rsid w:val="003A4855"/>
    <w:rsid w:val="003A54FF"/>
    <w:rsid w:val="003A5529"/>
    <w:rsid w:val="003A5D1D"/>
    <w:rsid w:val="003A5FBE"/>
    <w:rsid w:val="003A6911"/>
    <w:rsid w:val="003A7276"/>
    <w:rsid w:val="003B012F"/>
    <w:rsid w:val="003B0131"/>
    <w:rsid w:val="003B035A"/>
    <w:rsid w:val="003B064A"/>
    <w:rsid w:val="003B0D42"/>
    <w:rsid w:val="003B2124"/>
    <w:rsid w:val="003B5167"/>
    <w:rsid w:val="003B5953"/>
    <w:rsid w:val="003B5A30"/>
    <w:rsid w:val="003B5C35"/>
    <w:rsid w:val="003B5D5A"/>
    <w:rsid w:val="003B5F7E"/>
    <w:rsid w:val="003C00AD"/>
    <w:rsid w:val="003C0445"/>
    <w:rsid w:val="003C088F"/>
    <w:rsid w:val="003C0D38"/>
    <w:rsid w:val="003C114A"/>
    <w:rsid w:val="003C1736"/>
    <w:rsid w:val="003C198E"/>
    <w:rsid w:val="003C1D34"/>
    <w:rsid w:val="003C2743"/>
    <w:rsid w:val="003C3387"/>
    <w:rsid w:val="003C363F"/>
    <w:rsid w:val="003C5550"/>
    <w:rsid w:val="003C6925"/>
    <w:rsid w:val="003C7F75"/>
    <w:rsid w:val="003D114D"/>
    <w:rsid w:val="003D1BA8"/>
    <w:rsid w:val="003D2060"/>
    <w:rsid w:val="003D2A01"/>
    <w:rsid w:val="003D3420"/>
    <w:rsid w:val="003D35D8"/>
    <w:rsid w:val="003D400D"/>
    <w:rsid w:val="003D4995"/>
    <w:rsid w:val="003D4AA5"/>
    <w:rsid w:val="003D551B"/>
    <w:rsid w:val="003D5873"/>
    <w:rsid w:val="003D5A9F"/>
    <w:rsid w:val="003D5F9E"/>
    <w:rsid w:val="003D630C"/>
    <w:rsid w:val="003D6E96"/>
    <w:rsid w:val="003D6F6E"/>
    <w:rsid w:val="003D70D7"/>
    <w:rsid w:val="003D7DCB"/>
    <w:rsid w:val="003E07DA"/>
    <w:rsid w:val="003E1EC3"/>
    <w:rsid w:val="003E2505"/>
    <w:rsid w:val="003E3046"/>
    <w:rsid w:val="003E4957"/>
    <w:rsid w:val="003E4C4B"/>
    <w:rsid w:val="003E5300"/>
    <w:rsid w:val="003E58CA"/>
    <w:rsid w:val="003E6165"/>
    <w:rsid w:val="003E7070"/>
    <w:rsid w:val="003E7798"/>
    <w:rsid w:val="003E7A0A"/>
    <w:rsid w:val="003E7B27"/>
    <w:rsid w:val="003F084E"/>
    <w:rsid w:val="003F08CE"/>
    <w:rsid w:val="003F17E1"/>
    <w:rsid w:val="003F1C4E"/>
    <w:rsid w:val="003F25F9"/>
    <w:rsid w:val="003F3EFC"/>
    <w:rsid w:val="003F4043"/>
    <w:rsid w:val="003F4F33"/>
    <w:rsid w:val="003F724B"/>
    <w:rsid w:val="0040008D"/>
    <w:rsid w:val="004007EE"/>
    <w:rsid w:val="0040239C"/>
    <w:rsid w:val="00402C80"/>
    <w:rsid w:val="00402D26"/>
    <w:rsid w:val="00402DBC"/>
    <w:rsid w:val="00403FC1"/>
    <w:rsid w:val="00404429"/>
    <w:rsid w:val="00404591"/>
    <w:rsid w:val="00404AB1"/>
    <w:rsid w:val="004052C7"/>
    <w:rsid w:val="00405CA0"/>
    <w:rsid w:val="004061DE"/>
    <w:rsid w:val="00407A3C"/>
    <w:rsid w:val="00407CB8"/>
    <w:rsid w:val="00407EF3"/>
    <w:rsid w:val="004101A6"/>
    <w:rsid w:val="004103A5"/>
    <w:rsid w:val="004109E6"/>
    <w:rsid w:val="00411175"/>
    <w:rsid w:val="00413181"/>
    <w:rsid w:val="004139E1"/>
    <w:rsid w:val="00413F04"/>
    <w:rsid w:val="004154AD"/>
    <w:rsid w:val="0041632D"/>
    <w:rsid w:val="00416E66"/>
    <w:rsid w:val="00421264"/>
    <w:rsid w:val="00421E01"/>
    <w:rsid w:val="004222DB"/>
    <w:rsid w:val="004234C0"/>
    <w:rsid w:val="00424125"/>
    <w:rsid w:val="00424E11"/>
    <w:rsid w:val="00424E85"/>
    <w:rsid w:val="0042736A"/>
    <w:rsid w:val="00427AA3"/>
    <w:rsid w:val="0043028B"/>
    <w:rsid w:val="00430841"/>
    <w:rsid w:val="004314CE"/>
    <w:rsid w:val="004318B4"/>
    <w:rsid w:val="00431C5E"/>
    <w:rsid w:val="00432ADD"/>
    <w:rsid w:val="004330F7"/>
    <w:rsid w:val="004341D5"/>
    <w:rsid w:val="0043437F"/>
    <w:rsid w:val="004348F1"/>
    <w:rsid w:val="0043629F"/>
    <w:rsid w:val="004367CC"/>
    <w:rsid w:val="00436F17"/>
    <w:rsid w:val="00437D2D"/>
    <w:rsid w:val="0044125C"/>
    <w:rsid w:val="004422A7"/>
    <w:rsid w:val="00442D1D"/>
    <w:rsid w:val="00443261"/>
    <w:rsid w:val="004449E6"/>
    <w:rsid w:val="004454D6"/>
    <w:rsid w:val="00450AEB"/>
    <w:rsid w:val="00452B9A"/>
    <w:rsid w:val="00454701"/>
    <w:rsid w:val="0045477E"/>
    <w:rsid w:val="0045479B"/>
    <w:rsid w:val="00454CE9"/>
    <w:rsid w:val="00454E63"/>
    <w:rsid w:val="00455FBB"/>
    <w:rsid w:val="00456139"/>
    <w:rsid w:val="00456594"/>
    <w:rsid w:val="00456840"/>
    <w:rsid w:val="004571E4"/>
    <w:rsid w:val="00462FA8"/>
    <w:rsid w:val="00463024"/>
    <w:rsid w:val="004633BC"/>
    <w:rsid w:val="004637D5"/>
    <w:rsid w:val="004639D4"/>
    <w:rsid w:val="00463A7A"/>
    <w:rsid w:val="004642F9"/>
    <w:rsid w:val="00464D73"/>
    <w:rsid w:val="00465919"/>
    <w:rsid w:val="00465B99"/>
    <w:rsid w:val="00466BDD"/>
    <w:rsid w:val="00467203"/>
    <w:rsid w:val="004674D6"/>
    <w:rsid w:val="00467EA5"/>
    <w:rsid w:val="00467EC9"/>
    <w:rsid w:val="00467FC0"/>
    <w:rsid w:val="00470525"/>
    <w:rsid w:val="0047181A"/>
    <w:rsid w:val="00471849"/>
    <w:rsid w:val="0047193E"/>
    <w:rsid w:val="004721A8"/>
    <w:rsid w:val="004725D1"/>
    <w:rsid w:val="00472FBD"/>
    <w:rsid w:val="004732A8"/>
    <w:rsid w:val="00473DAB"/>
    <w:rsid w:val="004746E4"/>
    <w:rsid w:val="00474B7D"/>
    <w:rsid w:val="00475035"/>
    <w:rsid w:val="00476152"/>
    <w:rsid w:val="00477296"/>
    <w:rsid w:val="004779BF"/>
    <w:rsid w:val="004802E9"/>
    <w:rsid w:val="0048033F"/>
    <w:rsid w:val="0048062E"/>
    <w:rsid w:val="0048139F"/>
    <w:rsid w:val="0048207C"/>
    <w:rsid w:val="004902D0"/>
    <w:rsid w:val="00490F10"/>
    <w:rsid w:val="004913B0"/>
    <w:rsid w:val="00491484"/>
    <w:rsid w:val="00492644"/>
    <w:rsid w:val="0049418F"/>
    <w:rsid w:val="0049467D"/>
    <w:rsid w:val="004969C5"/>
    <w:rsid w:val="004A14A8"/>
    <w:rsid w:val="004A1E94"/>
    <w:rsid w:val="004A21DB"/>
    <w:rsid w:val="004A6B85"/>
    <w:rsid w:val="004A7708"/>
    <w:rsid w:val="004A7A2B"/>
    <w:rsid w:val="004B18D5"/>
    <w:rsid w:val="004B1D36"/>
    <w:rsid w:val="004B40DA"/>
    <w:rsid w:val="004B4654"/>
    <w:rsid w:val="004B5676"/>
    <w:rsid w:val="004B5A55"/>
    <w:rsid w:val="004B63EF"/>
    <w:rsid w:val="004B686D"/>
    <w:rsid w:val="004B6EA1"/>
    <w:rsid w:val="004B73D5"/>
    <w:rsid w:val="004C1EA0"/>
    <w:rsid w:val="004C2F2D"/>
    <w:rsid w:val="004C3F1A"/>
    <w:rsid w:val="004C48B6"/>
    <w:rsid w:val="004C49C1"/>
    <w:rsid w:val="004C4DC0"/>
    <w:rsid w:val="004C55AD"/>
    <w:rsid w:val="004C5905"/>
    <w:rsid w:val="004C60C0"/>
    <w:rsid w:val="004C78AD"/>
    <w:rsid w:val="004D0999"/>
    <w:rsid w:val="004D0AFC"/>
    <w:rsid w:val="004D162E"/>
    <w:rsid w:val="004D1FE2"/>
    <w:rsid w:val="004D2067"/>
    <w:rsid w:val="004D2ED1"/>
    <w:rsid w:val="004D39DA"/>
    <w:rsid w:val="004D3C71"/>
    <w:rsid w:val="004D3CD2"/>
    <w:rsid w:val="004D489A"/>
    <w:rsid w:val="004D4F35"/>
    <w:rsid w:val="004D601B"/>
    <w:rsid w:val="004D60A9"/>
    <w:rsid w:val="004D651B"/>
    <w:rsid w:val="004D69A0"/>
    <w:rsid w:val="004E0F73"/>
    <w:rsid w:val="004E13A8"/>
    <w:rsid w:val="004E2DC7"/>
    <w:rsid w:val="004E3AF3"/>
    <w:rsid w:val="004E3FA7"/>
    <w:rsid w:val="004E44D8"/>
    <w:rsid w:val="004E524B"/>
    <w:rsid w:val="004E6919"/>
    <w:rsid w:val="004E6EB1"/>
    <w:rsid w:val="004E6FA9"/>
    <w:rsid w:val="004F0318"/>
    <w:rsid w:val="004F044B"/>
    <w:rsid w:val="004F0D46"/>
    <w:rsid w:val="004F19E3"/>
    <w:rsid w:val="004F2445"/>
    <w:rsid w:val="004F2A83"/>
    <w:rsid w:val="004F44D5"/>
    <w:rsid w:val="004F480A"/>
    <w:rsid w:val="004F4A10"/>
    <w:rsid w:val="004F5236"/>
    <w:rsid w:val="004F5617"/>
    <w:rsid w:val="004F5ACD"/>
    <w:rsid w:val="004F666B"/>
    <w:rsid w:val="005003B5"/>
    <w:rsid w:val="00503096"/>
    <w:rsid w:val="00504588"/>
    <w:rsid w:val="00504FB2"/>
    <w:rsid w:val="005053F4"/>
    <w:rsid w:val="00505E13"/>
    <w:rsid w:val="00506436"/>
    <w:rsid w:val="00506E07"/>
    <w:rsid w:val="00506E80"/>
    <w:rsid w:val="005072EE"/>
    <w:rsid w:val="00507AF2"/>
    <w:rsid w:val="0051027B"/>
    <w:rsid w:val="00510EA8"/>
    <w:rsid w:val="00511360"/>
    <w:rsid w:val="0051180C"/>
    <w:rsid w:val="00511EE1"/>
    <w:rsid w:val="00512721"/>
    <w:rsid w:val="00513303"/>
    <w:rsid w:val="00514D42"/>
    <w:rsid w:val="00514E83"/>
    <w:rsid w:val="00516410"/>
    <w:rsid w:val="00516A40"/>
    <w:rsid w:val="00517267"/>
    <w:rsid w:val="005172F3"/>
    <w:rsid w:val="0051763A"/>
    <w:rsid w:val="005203DA"/>
    <w:rsid w:val="0052049C"/>
    <w:rsid w:val="0052112B"/>
    <w:rsid w:val="00521283"/>
    <w:rsid w:val="005217F0"/>
    <w:rsid w:val="005219BD"/>
    <w:rsid w:val="0052215C"/>
    <w:rsid w:val="005231C2"/>
    <w:rsid w:val="0052346C"/>
    <w:rsid w:val="0052383A"/>
    <w:rsid w:val="005238FD"/>
    <w:rsid w:val="00523AB0"/>
    <w:rsid w:val="00523F0C"/>
    <w:rsid w:val="00525079"/>
    <w:rsid w:val="00526B3D"/>
    <w:rsid w:val="0052731C"/>
    <w:rsid w:val="00527770"/>
    <w:rsid w:val="00530FCA"/>
    <w:rsid w:val="00531F98"/>
    <w:rsid w:val="005328B2"/>
    <w:rsid w:val="005329C9"/>
    <w:rsid w:val="00533ECD"/>
    <w:rsid w:val="00533F42"/>
    <w:rsid w:val="005347F8"/>
    <w:rsid w:val="00534FAA"/>
    <w:rsid w:val="00535017"/>
    <w:rsid w:val="00535285"/>
    <w:rsid w:val="00535628"/>
    <w:rsid w:val="005358A0"/>
    <w:rsid w:val="00535DEE"/>
    <w:rsid w:val="00540690"/>
    <w:rsid w:val="00540DB0"/>
    <w:rsid w:val="00541BEB"/>
    <w:rsid w:val="005426DF"/>
    <w:rsid w:val="005430F4"/>
    <w:rsid w:val="005439BE"/>
    <w:rsid w:val="00543B1F"/>
    <w:rsid w:val="00543DEA"/>
    <w:rsid w:val="005443B9"/>
    <w:rsid w:val="005457A5"/>
    <w:rsid w:val="00546C38"/>
    <w:rsid w:val="00546D55"/>
    <w:rsid w:val="00546FAB"/>
    <w:rsid w:val="005504B6"/>
    <w:rsid w:val="005506FE"/>
    <w:rsid w:val="00550A00"/>
    <w:rsid w:val="005510B0"/>
    <w:rsid w:val="00551E0D"/>
    <w:rsid w:val="00554418"/>
    <w:rsid w:val="005547E9"/>
    <w:rsid w:val="005554B9"/>
    <w:rsid w:val="00555822"/>
    <w:rsid w:val="00556479"/>
    <w:rsid w:val="00556B66"/>
    <w:rsid w:val="00556E29"/>
    <w:rsid w:val="00557051"/>
    <w:rsid w:val="005577F1"/>
    <w:rsid w:val="00560D19"/>
    <w:rsid w:val="00561119"/>
    <w:rsid w:val="00561CD5"/>
    <w:rsid w:val="005622BB"/>
    <w:rsid w:val="0056304C"/>
    <w:rsid w:val="0057003B"/>
    <w:rsid w:val="0057059B"/>
    <w:rsid w:val="00571844"/>
    <w:rsid w:val="00571BF4"/>
    <w:rsid w:val="0057267E"/>
    <w:rsid w:val="00573536"/>
    <w:rsid w:val="00573CC5"/>
    <w:rsid w:val="00574B59"/>
    <w:rsid w:val="005752F4"/>
    <w:rsid w:val="00575808"/>
    <w:rsid w:val="00576444"/>
    <w:rsid w:val="00576BB8"/>
    <w:rsid w:val="00577587"/>
    <w:rsid w:val="005775C8"/>
    <w:rsid w:val="0058174A"/>
    <w:rsid w:val="00581DD5"/>
    <w:rsid w:val="00582508"/>
    <w:rsid w:val="0058356C"/>
    <w:rsid w:val="00583E5F"/>
    <w:rsid w:val="00584802"/>
    <w:rsid w:val="005862BF"/>
    <w:rsid w:val="00586672"/>
    <w:rsid w:val="005868AB"/>
    <w:rsid w:val="00586AE2"/>
    <w:rsid w:val="00587712"/>
    <w:rsid w:val="00587797"/>
    <w:rsid w:val="00587C4A"/>
    <w:rsid w:val="00590A35"/>
    <w:rsid w:val="005920D4"/>
    <w:rsid w:val="005930AA"/>
    <w:rsid w:val="00593577"/>
    <w:rsid w:val="00593E98"/>
    <w:rsid w:val="00594458"/>
    <w:rsid w:val="00594F7D"/>
    <w:rsid w:val="00595524"/>
    <w:rsid w:val="00595FA4"/>
    <w:rsid w:val="005A0A06"/>
    <w:rsid w:val="005A1A49"/>
    <w:rsid w:val="005A2236"/>
    <w:rsid w:val="005A34B7"/>
    <w:rsid w:val="005A3E3D"/>
    <w:rsid w:val="005A3E93"/>
    <w:rsid w:val="005A67E6"/>
    <w:rsid w:val="005A6D9F"/>
    <w:rsid w:val="005A75ED"/>
    <w:rsid w:val="005B050D"/>
    <w:rsid w:val="005B05AA"/>
    <w:rsid w:val="005B1182"/>
    <w:rsid w:val="005B19DF"/>
    <w:rsid w:val="005B1E4A"/>
    <w:rsid w:val="005B2421"/>
    <w:rsid w:val="005B2A71"/>
    <w:rsid w:val="005B565E"/>
    <w:rsid w:val="005B7482"/>
    <w:rsid w:val="005B7C6F"/>
    <w:rsid w:val="005C0056"/>
    <w:rsid w:val="005C0777"/>
    <w:rsid w:val="005C0D41"/>
    <w:rsid w:val="005C1B1A"/>
    <w:rsid w:val="005C2775"/>
    <w:rsid w:val="005C3211"/>
    <w:rsid w:val="005C3977"/>
    <w:rsid w:val="005C3AB1"/>
    <w:rsid w:val="005C521C"/>
    <w:rsid w:val="005C5462"/>
    <w:rsid w:val="005C5A78"/>
    <w:rsid w:val="005C6106"/>
    <w:rsid w:val="005C73CC"/>
    <w:rsid w:val="005D0522"/>
    <w:rsid w:val="005D1524"/>
    <w:rsid w:val="005D31F1"/>
    <w:rsid w:val="005D36A0"/>
    <w:rsid w:val="005D37B6"/>
    <w:rsid w:val="005D3889"/>
    <w:rsid w:val="005D469F"/>
    <w:rsid w:val="005D475C"/>
    <w:rsid w:val="005D47F7"/>
    <w:rsid w:val="005D483E"/>
    <w:rsid w:val="005D4B41"/>
    <w:rsid w:val="005D70B2"/>
    <w:rsid w:val="005D7334"/>
    <w:rsid w:val="005D77E0"/>
    <w:rsid w:val="005D7CCF"/>
    <w:rsid w:val="005D7F6E"/>
    <w:rsid w:val="005E0836"/>
    <w:rsid w:val="005E0B9F"/>
    <w:rsid w:val="005E0EF5"/>
    <w:rsid w:val="005E0F5D"/>
    <w:rsid w:val="005E1A33"/>
    <w:rsid w:val="005E2BD3"/>
    <w:rsid w:val="005E31A3"/>
    <w:rsid w:val="005E3D0B"/>
    <w:rsid w:val="005E3D62"/>
    <w:rsid w:val="005E59CD"/>
    <w:rsid w:val="005E5B1C"/>
    <w:rsid w:val="005E7F55"/>
    <w:rsid w:val="005F091B"/>
    <w:rsid w:val="005F1444"/>
    <w:rsid w:val="005F2161"/>
    <w:rsid w:val="005F229D"/>
    <w:rsid w:val="005F2724"/>
    <w:rsid w:val="005F293F"/>
    <w:rsid w:val="005F2E07"/>
    <w:rsid w:val="005F325B"/>
    <w:rsid w:val="005F35C2"/>
    <w:rsid w:val="005F3EE7"/>
    <w:rsid w:val="005F4EE2"/>
    <w:rsid w:val="005F54C9"/>
    <w:rsid w:val="005F56A2"/>
    <w:rsid w:val="005F65CB"/>
    <w:rsid w:val="005F6FB6"/>
    <w:rsid w:val="005F7408"/>
    <w:rsid w:val="005F774A"/>
    <w:rsid w:val="00600D7A"/>
    <w:rsid w:val="006013E3"/>
    <w:rsid w:val="006026AF"/>
    <w:rsid w:val="00602815"/>
    <w:rsid w:val="00602CE6"/>
    <w:rsid w:val="00603292"/>
    <w:rsid w:val="006039A7"/>
    <w:rsid w:val="0060440E"/>
    <w:rsid w:val="00604BB0"/>
    <w:rsid w:val="006050C3"/>
    <w:rsid w:val="00605D26"/>
    <w:rsid w:val="006064E3"/>
    <w:rsid w:val="00607AB9"/>
    <w:rsid w:val="00607E5B"/>
    <w:rsid w:val="00611267"/>
    <w:rsid w:val="00611F8B"/>
    <w:rsid w:val="0061295E"/>
    <w:rsid w:val="00612C74"/>
    <w:rsid w:val="00612CE7"/>
    <w:rsid w:val="00612F99"/>
    <w:rsid w:val="0061320B"/>
    <w:rsid w:val="006135D5"/>
    <w:rsid w:val="00613729"/>
    <w:rsid w:val="006156E6"/>
    <w:rsid w:val="006162ED"/>
    <w:rsid w:val="006165BB"/>
    <w:rsid w:val="00616E90"/>
    <w:rsid w:val="00617C71"/>
    <w:rsid w:val="0062088B"/>
    <w:rsid w:val="006209E1"/>
    <w:rsid w:val="00620CF0"/>
    <w:rsid w:val="0062273F"/>
    <w:rsid w:val="0062286E"/>
    <w:rsid w:val="00622E40"/>
    <w:rsid w:val="00622FEE"/>
    <w:rsid w:val="00623172"/>
    <w:rsid w:val="006234AE"/>
    <w:rsid w:val="0062367B"/>
    <w:rsid w:val="0062367D"/>
    <w:rsid w:val="00624889"/>
    <w:rsid w:val="00626864"/>
    <w:rsid w:val="00630278"/>
    <w:rsid w:val="00630786"/>
    <w:rsid w:val="00631B80"/>
    <w:rsid w:val="006322F9"/>
    <w:rsid w:val="006327EB"/>
    <w:rsid w:val="0063323E"/>
    <w:rsid w:val="006338CB"/>
    <w:rsid w:val="00633C03"/>
    <w:rsid w:val="006346AD"/>
    <w:rsid w:val="00634B93"/>
    <w:rsid w:val="00634C5A"/>
    <w:rsid w:val="00636DF7"/>
    <w:rsid w:val="006400E7"/>
    <w:rsid w:val="00640883"/>
    <w:rsid w:val="00640A10"/>
    <w:rsid w:val="00640DF1"/>
    <w:rsid w:val="00641242"/>
    <w:rsid w:val="00641DB3"/>
    <w:rsid w:val="00643B1D"/>
    <w:rsid w:val="006441EC"/>
    <w:rsid w:val="00645629"/>
    <w:rsid w:val="006458E1"/>
    <w:rsid w:val="00645EBF"/>
    <w:rsid w:val="0064611C"/>
    <w:rsid w:val="006461A0"/>
    <w:rsid w:val="006475D8"/>
    <w:rsid w:val="00647DC3"/>
    <w:rsid w:val="0065074F"/>
    <w:rsid w:val="0065112C"/>
    <w:rsid w:val="00651E01"/>
    <w:rsid w:val="0065248B"/>
    <w:rsid w:val="00652CE6"/>
    <w:rsid w:val="00655EED"/>
    <w:rsid w:val="006567CE"/>
    <w:rsid w:val="00660785"/>
    <w:rsid w:val="00660859"/>
    <w:rsid w:val="00660863"/>
    <w:rsid w:val="00661102"/>
    <w:rsid w:val="006611C4"/>
    <w:rsid w:val="00661304"/>
    <w:rsid w:val="00662108"/>
    <w:rsid w:val="006628BF"/>
    <w:rsid w:val="00662983"/>
    <w:rsid w:val="00662E05"/>
    <w:rsid w:val="006648F7"/>
    <w:rsid w:val="006651C8"/>
    <w:rsid w:val="00665835"/>
    <w:rsid w:val="00665B86"/>
    <w:rsid w:val="00666143"/>
    <w:rsid w:val="00666149"/>
    <w:rsid w:val="006661B8"/>
    <w:rsid w:val="006669CB"/>
    <w:rsid w:val="00666B10"/>
    <w:rsid w:val="00666CC0"/>
    <w:rsid w:val="0066738A"/>
    <w:rsid w:val="006675A7"/>
    <w:rsid w:val="0066797C"/>
    <w:rsid w:val="006706D8"/>
    <w:rsid w:val="006711FF"/>
    <w:rsid w:val="00671AA6"/>
    <w:rsid w:val="00672506"/>
    <w:rsid w:val="00672858"/>
    <w:rsid w:val="006731F0"/>
    <w:rsid w:val="00674409"/>
    <w:rsid w:val="00677617"/>
    <w:rsid w:val="00680BAF"/>
    <w:rsid w:val="00681466"/>
    <w:rsid w:val="006818D2"/>
    <w:rsid w:val="00682332"/>
    <w:rsid w:val="00682A44"/>
    <w:rsid w:val="0068320A"/>
    <w:rsid w:val="00684615"/>
    <w:rsid w:val="00684EA0"/>
    <w:rsid w:val="006853A5"/>
    <w:rsid w:val="00685992"/>
    <w:rsid w:val="00685AFF"/>
    <w:rsid w:val="00686237"/>
    <w:rsid w:val="00686994"/>
    <w:rsid w:val="0069237A"/>
    <w:rsid w:val="0069256A"/>
    <w:rsid w:val="006925BB"/>
    <w:rsid w:val="00692D45"/>
    <w:rsid w:val="00693623"/>
    <w:rsid w:val="00693C64"/>
    <w:rsid w:val="00693FA7"/>
    <w:rsid w:val="00694488"/>
    <w:rsid w:val="006960E0"/>
    <w:rsid w:val="0069659B"/>
    <w:rsid w:val="00696B03"/>
    <w:rsid w:val="006973AE"/>
    <w:rsid w:val="00697515"/>
    <w:rsid w:val="00697B29"/>
    <w:rsid w:val="00697F9F"/>
    <w:rsid w:val="006A094E"/>
    <w:rsid w:val="006A0D2E"/>
    <w:rsid w:val="006A1E72"/>
    <w:rsid w:val="006A2060"/>
    <w:rsid w:val="006A233F"/>
    <w:rsid w:val="006A2DF1"/>
    <w:rsid w:val="006A3151"/>
    <w:rsid w:val="006A3C61"/>
    <w:rsid w:val="006A3F9D"/>
    <w:rsid w:val="006A4DBB"/>
    <w:rsid w:val="006A56E8"/>
    <w:rsid w:val="006A688A"/>
    <w:rsid w:val="006A69CA"/>
    <w:rsid w:val="006A6FA0"/>
    <w:rsid w:val="006B1054"/>
    <w:rsid w:val="006B1368"/>
    <w:rsid w:val="006B3C23"/>
    <w:rsid w:val="006B3E6C"/>
    <w:rsid w:val="006B3E74"/>
    <w:rsid w:val="006B5A32"/>
    <w:rsid w:val="006B6371"/>
    <w:rsid w:val="006B66B8"/>
    <w:rsid w:val="006B6ADD"/>
    <w:rsid w:val="006B78EB"/>
    <w:rsid w:val="006C0553"/>
    <w:rsid w:val="006C0A48"/>
    <w:rsid w:val="006C141F"/>
    <w:rsid w:val="006C163C"/>
    <w:rsid w:val="006C1796"/>
    <w:rsid w:val="006C1CE3"/>
    <w:rsid w:val="006C3DFB"/>
    <w:rsid w:val="006C4655"/>
    <w:rsid w:val="006C5007"/>
    <w:rsid w:val="006C5253"/>
    <w:rsid w:val="006C673C"/>
    <w:rsid w:val="006C703E"/>
    <w:rsid w:val="006C793B"/>
    <w:rsid w:val="006D0C35"/>
    <w:rsid w:val="006D1CEF"/>
    <w:rsid w:val="006D252E"/>
    <w:rsid w:val="006D3B5D"/>
    <w:rsid w:val="006D4EA8"/>
    <w:rsid w:val="006D50B9"/>
    <w:rsid w:val="006D5334"/>
    <w:rsid w:val="006D69A8"/>
    <w:rsid w:val="006D6A05"/>
    <w:rsid w:val="006D7A89"/>
    <w:rsid w:val="006D7BB3"/>
    <w:rsid w:val="006E0F48"/>
    <w:rsid w:val="006E110F"/>
    <w:rsid w:val="006E1689"/>
    <w:rsid w:val="006E30B4"/>
    <w:rsid w:val="006E3F96"/>
    <w:rsid w:val="006E66CC"/>
    <w:rsid w:val="006E789E"/>
    <w:rsid w:val="006F0536"/>
    <w:rsid w:val="006F165C"/>
    <w:rsid w:val="006F216A"/>
    <w:rsid w:val="006F2FE2"/>
    <w:rsid w:val="006F32F5"/>
    <w:rsid w:val="006F3EB5"/>
    <w:rsid w:val="006F498F"/>
    <w:rsid w:val="006F49CA"/>
    <w:rsid w:val="006F4A6A"/>
    <w:rsid w:val="006F5185"/>
    <w:rsid w:val="006F5A65"/>
    <w:rsid w:val="006F6464"/>
    <w:rsid w:val="006F66B1"/>
    <w:rsid w:val="006F7816"/>
    <w:rsid w:val="00701088"/>
    <w:rsid w:val="0070188F"/>
    <w:rsid w:val="00701B4D"/>
    <w:rsid w:val="007029C1"/>
    <w:rsid w:val="00702CC6"/>
    <w:rsid w:val="00703D3E"/>
    <w:rsid w:val="00705B4D"/>
    <w:rsid w:val="00705B9C"/>
    <w:rsid w:val="00706276"/>
    <w:rsid w:val="007104CA"/>
    <w:rsid w:val="007106F9"/>
    <w:rsid w:val="00710DCF"/>
    <w:rsid w:val="0071185F"/>
    <w:rsid w:val="00711B5B"/>
    <w:rsid w:val="00711C7B"/>
    <w:rsid w:val="0071332E"/>
    <w:rsid w:val="00714F03"/>
    <w:rsid w:val="0071501F"/>
    <w:rsid w:val="007154E4"/>
    <w:rsid w:val="0071688F"/>
    <w:rsid w:val="007177BA"/>
    <w:rsid w:val="00717901"/>
    <w:rsid w:val="00717A1F"/>
    <w:rsid w:val="0072030E"/>
    <w:rsid w:val="007209A0"/>
    <w:rsid w:val="00720B87"/>
    <w:rsid w:val="00721422"/>
    <w:rsid w:val="00721BB0"/>
    <w:rsid w:val="00721EB4"/>
    <w:rsid w:val="00722110"/>
    <w:rsid w:val="00722DCF"/>
    <w:rsid w:val="007240EE"/>
    <w:rsid w:val="007241E2"/>
    <w:rsid w:val="00725EBD"/>
    <w:rsid w:val="007262F0"/>
    <w:rsid w:val="007264D5"/>
    <w:rsid w:val="007267CA"/>
    <w:rsid w:val="00726F62"/>
    <w:rsid w:val="007278C4"/>
    <w:rsid w:val="00730B41"/>
    <w:rsid w:val="007314DB"/>
    <w:rsid w:val="00732BDD"/>
    <w:rsid w:val="007340FE"/>
    <w:rsid w:val="007348F8"/>
    <w:rsid w:val="00735238"/>
    <w:rsid w:val="0073578A"/>
    <w:rsid w:val="007363AF"/>
    <w:rsid w:val="007365B7"/>
    <w:rsid w:val="00737A25"/>
    <w:rsid w:val="007401A4"/>
    <w:rsid w:val="0074055F"/>
    <w:rsid w:val="00741685"/>
    <w:rsid w:val="007419ED"/>
    <w:rsid w:val="00742A2F"/>
    <w:rsid w:val="00744978"/>
    <w:rsid w:val="00745021"/>
    <w:rsid w:val="007456E0"/>
    <w:rsid w:val="00746B41"/>
    <w:rsid w:val="007478C0"/>
    <w:rsid w:val="00747F08"/>
    <w:rsid w:val="00750080"/>
    <w:rsid w:val="0075042A"/>
    <w:rsid w:val="00750DB0"/>
    <w:rsid w:val="00751970"/>
    <w:rsid w:val="00752FE3"/>
    <w:rsid w:val="00753212"/>
    <w:rsid w:val="00753B55"/>
    <w:rsid w:val="00753FAC"/>
    <w:rsid w:val="007553A2"/>
    <w:rsid w:val="0075549C"/>
    <w:rsid w:val="00755B5F"/>
    <w:rsid w:val="00755CCF"/>
    <w:rsid w:val="00757B46"/>
    <w:rsid w:val="00757EED"/>
    <w:rsid w:val="00760322"/>
    <w:rsid w:val="00760D19"/>
    <w:rsid w:val="00761B12"/>
    <w:rsid w:val="00762643"/>
    <w:rsid w:val="00763BCF"/>
    <w:rsid w:val="00764168"/>
    <w:rsid w:val="00764D34"/>
    <w:rsid w:val="00765652"/>
    <w:rsid w:val="00765A19"/>
    <w:rsid w:val="00765D05"/>
    <w:rsid w:val="007661F3"/>
    <w:rsid w:val="007700DA"/>
    <w:rsid w:val="00770330"/>
    <w:rsid w:val="00770CB2"/>
    <w:rsid w:val="0077196D"/>
    <w:rsid w:val="0077252E"/>
    <w:rsid w:val="00774030"/>
    <w:rsid w:val="007749A2"/>
    <w:rsid w:val="00774C4F"/>
    <w:rsid w:val="00775050"/>
    <w:rsid w:val="00775167"/>
    <w:rsid w:val="00775CCD"/>
    <w:rsid w:val="00780161"/>
    <w:rsid w:val="00780939"/>
    <w:rsid w:val="007816A5"/>
    <w:rsid w:val="00781C33"/>
    <w:rsid w:val="00781E62"/>
    <w:rsid w:val="00782A67"/>
    <w:rsid w:val="00782E75"/>
    <w:rsid w:val="00784E62"/>
    <w:rsid w:val="00784F0C"/>
    <w:rsid w:val="00786833"/>
    <w:rsid w:val="007872E3"/>
    <w:rsid w:val="00790B41"/>
    <w:rsid w:val="00790E39"/>
    <w:rsid w:val="00790F4E"/>
    <w:rsid w:val="00791483"/>
    <w:rsid w:val="00791954"/>
    <w:rsid w:val="007922DA"/>
    <w:rsid w:val="0079411F"/>
    <w:rsid w:val="00794181"/>
    <w:rsid w:val="007948C0"/>
    <w:rsid w:val="007948D9"/>
    <w:rsid w:val="00795E13"/>
    <w:rsid w:val="0079699C"/>
    <w:rsid w:val="007A22A2"/>
    <w:rsid w:val="007A2750"/>
    <w:rsid w:val="007A278E"/>
    <w:rsid w:val="007A2C42"/>
    <w:rsid w:val="007A3D24"/>
    <w:rsid w:val="007A4E10"/>
    <w:rsid w:val="007A58DC"/>
    <w:rsid w:val="007A5B63"/>
    <w:rsid w:val="007A638E"/>
    <w:rsid w:val="007B071B"/>
    <w:rsid w:val="007B1681"/>
    <w:rsid w:val="007B19FC"/>
    <w:rsid w:val="007B3091"/>
    <w:rsid w:val="007B3116"/>
    <w:rsid w:val="007B32BF"/>
    <w:rsid w:val="007B499E"/>
    <w:rsid w:val="007B5A59"/>
    <w:rsid w:val="007B5D96"/>
    <w:rsid w:val="007B5F02"/>
    <w:rsid w:val="007B6C90"/>
    <w:rsid w:val="007B6CC4"/>
    <w:rsid w:val="007B76A1"/>
    <w:rsid w:val="007B791C"/>
    <w:rsid w:val="007C00B7"/>
    <w:rsid w:val="007C0A8E"/>
    <w:rsid w:val="007C0C17"/>
    <w:rsid w:val="007C0D41"/>
    <w:rsid w:val="007C0FE0"/>
    <w:rsid w:val="007C1B1F"/>
    <w:rsid w:val="007C2BF3"/>
    <w:rsid w:val="007C32B1"/>
    <w:rsid w:val="007C3631"/>
    <w:rsid w:val="007C38F2"/>
    <w:rsid w:val="007C418C"/>
    <w:rsid w:val="007C42BD"/>
    <w:rsid w:val="007C573F"/>
    <w:rsid w:val="007C586B"/>
    <w:rsid w:val="007C5D12"/>
    <w:rsid w:val="007C655E"/>
    <w:rsid w:val="007C6AC9"/>
    <w:rsid w:val="007C7043"/>
    <w:rsid w:val="007C79A1"/>
    <w:rsid w:val="007C7A15"/>
    <w:rsid w:val="007D0D81"/>
    <w:rsid w:val="007D15CB"/>
    <w:rsid w:val="007D17E7"/>
    <w:rsid w:val="007D30E0"/>
    <w:rsid w:val="007D3511"/>
    <w:rsid w:val="007D3B6B"/>
    <w:rsid w:val="007D4F98"/>
    <w:rsid w:val="007D5B19"/>
    <w:rsid w:val="007D5D84"/>
    <w:rsid w:val="007D6CD7"/>
    <w:rsid w:val="007D6F0F"/>
    <w:rsid w:val="007D790F"/>
    <w:rsid w:val="007D7C8B"/>
    <w:rsid w:val="007E0630"/>
    <w:rsid w:val="007E0BCC"/>
    <w:rsid w:val="007E19FB"/>
    <w:rsid w:val="007E1FB8"/>
    <w:rsid w:val="007E2ED5"/>
    <w:rsid w:val="007E3658"/>
    <w:rsid w:val="007E45D3"/>
    <w:rsid w:val="007E4B62"/>
    <w:rsid w:val="007E4BE8"/>
    <w:rsid w:val="007E5431"/>
    <w:rsid w:val="007E5B06"/>
    <w:rsid w:val="007E657B"/>
    <w:rsid w:val="007E6C91"/>
    <w:rsid w:val="007F1D58"/>
    <w:rsid w:val="007F2D71"/>
    <w:rsid w:val="007F3B11"/>
    <w:rsid w:val="007F4274"/>
    <w:rsid w:val="007F4A5D"/>
    <w:rsid w:val="007F5651"/>
    <w:rsid w:val="007F7D14"/>
    <w:rsid w:val="00800183"/>
    <w:rsid w:val="00800BCF"/>
    <w:rsid w:val="0080160F"/>
    <w:rsid w:val="00801D88"/>
    <w:rsid w:val="00803F1D"/>
    <w:rsid w:val="0080409B"/>
    <w:rsid w:val="00804658"/>
    <w:rsid w:val="00804AD8"/>
    <w:rsid w:val="008050C1"/>
    <w:rsid w:val="00805EC4"/>
    <w:rsid w:val="00806402"/>
    <w:rsid w:val="00806841"/>
    <w:rsid w:val="00806B0D"/>
    <w:rsid w:val="00810321"/>
    <w:rsid w:val="00810821"/>
    <w:rsid w:val="008108EF"/>
    <w:rsid w:val="0081157E"/>
    <w:rsid w:val="008120C6"/>
    <w:rsid w:val="00813E27"/>
    <w:rsid w:val="0081426D"/>
    <w:rsid w:val="00814385"/>
    <w:rsid w:val="0081560A"/>
    <w:rsid w:val="00815927"/>
    <w:rsid w:val="00815AA4"/>
    <w:rsid w:val="00815E3A"/>
    <w:rsid w:val="0081647D"/>
    <w:rsid w:val="0081693A"/>
    <w:rsid w:val="00816BE7"/>
    <w:rsid w:val="00816F54"/>
    <w:rsid w:val="00817574"/>
    <w:rsid w:val="00821AE1"/>
    <w:rsid w:val="00821B7B"/>
    <w:rsid w:val="0082236A"/>
    <w:rsid w:val="008228AA"/>
    <w:rsid w:val="00822A64"/>
    <w:rsid w:val="00822CCA"/>
    <w:rsid w:val="008235A7"/>
    <w:rsid w:val="008236E5"/>
    <w:rsid w:val="008239F0"/>
    <w:rsid w:val="008252C2"/>
    <w:rsid w:val="00825510"/>
    <w:rsid w:val="0082578E"/>
    <w:rsid w:val="00826749"/>
    <w:rsid w:val="008275F3"/>
    <w:rsid w:val="00827B3E"/>
    <w:rsid w:val="00830B95"/>
    <w:rsid w:val="0083127C"/>
    <w:rsid w:val="008316A5"/>
    <w:rsid w:val="008317D1"/>
    <w:rsid w:val="00831DD5"/>
    <w:rsid w:val="0083262E"/>
    <w:rsid w:val="00833762"/>
    <w:rsid w:val="008337C3"/>
    <w:rsid w:val="0083454A"/>
    <w:rsid w:val="008346F6"/>
    <w:rsid w:val="00834A29"/>
    <w:rsid w:val="00834EB5"/>
    <w:rsid w:val="008350D3"/>
    <w:rsid w:val="00835327"/>
    <w:rsid w:val="00835723"/>
    <w:rsid w:val="00841213"/>
    <w:rsid w:val="00841F8B"/>
    <w:rsid w:val="00842CB6"/>
    <w:rsid w:val="0084336E"/>
    <w:rsid w:val="00844F26"/>
    <w:rsid w:val="00845656"/>
    <w:rsid w:val="008457B4"/>
    <w:rsid w:val="00847A49"/>
    <w:rsid w:val="00847B3D"/>
    <w:rsid w:val="0085007C"/>
    <w:rsid w:val="00850218"/>
    <w:rsid w:val="00850544"/>
    <w:rsid w:val="00850F79"/>
    <w:rsid w:val="008527A7"/>
    <w:rsid w:val="008530D9"/>
    <w:rsid w:val="008530DA"/>
    <w:rsid w:val="008533C7"/>
    <w:rsid w:val="0085366F"/>
    <w:rsid w:val="00853CE1"/>
    <w:rsid w:val="0085474F"/>
    <w:rsid w:val="008548C6"/>
    <w:rsid w:val="008565C0"/>
    <w:rsid w:val="00856798"/>
    <w:rsid w:val="00860FBA"/>
    <w:rsid w:val="00861D93"/>
    <w:rsid w:val="00863547"/>
    <w:rsid w:val="0086354E"/>
    <w:rsid w:val="00863596"/>
    <w:rsid w:val="008648A5"/>
    <w:rsid w:val="0086604D"/>
    <w:rsid w:val="00866487"/>
    <w:rsid w:val="008664F7"/>
    <w:rsid w:val="0086675B"/>
    <w:rsid w:val="00866FB2"/>
    <w:rsid w:val="008710D3"/>
    <w:rsid w:val="00871209"/>
    <w:rsid w:val="00872327"/>
    <w:rsid w:val="00874EC7"/>
    <w:rsid w:val="00876489"/>
    <w:rsid w:val="00876E3B"/>
    <w:rsid w:val="0087740C"/>
    <w:rsid w:val="00877EC2"/>
    <w:rsid w:val="00880669"/>
    <w:rsid w:val="00880C07"/>
    <w:rsid w:val="008818DD"/>
    <w:rsid w:val="00881C25"/>
    <w:rsid w:val="008820F9"/>
    <w:rsid w:val="008821F9"/>
    <w:rsid w:val="0088241E"/>
    <w:rsid w:val="008838D5"/>
    <w:rsid w:val="00883C52"/>
    <w:rsid w:val="00884583"/>
    <w:rsid w:val="00885A1C"/>
    <w:rsid w:val="0088685B"/>
    <w:rsid w:val="00886F39"/>
    <w:rsid w:val="00890ED3"/>
    <w:rsid w:val="0089204E"/>
    <w:rsid w:val="0089230F"/>
    <w:rsid w:val="0089248E"/>
    <w:rsid w:val="008925C6"/>
    <w:rsid w:val="00893398"/>
    <w:rsid w:val="00893B43"/>
    <w:rsid w:val="00893D30"/>
    <w:rsid w:val="00895B6A"/>
    <w:rsid w:val="0089610F"/>
    <w:rsid w:val="0089651B"/>
    <w:rsid w:val="00896A1B"/>
    <w:rsid w:val="00896FE9"/>
    <w:rsid w:val="008973DE"/>
    <w:rsid w:val="00897521"/>
    <w:rsid w:val="00897CAF"/>
    <w:rsid w:val="008A02E5"/>
    <w:rsid w:val="008A099F"/>
    <w:rsid w:val="008A119A"/>
    <w:rsid w:val="008A1E19"/>
    <w:rsid w:val="008A3DC3"/>
    <w:rsid w:val="008A4E24"/>
    <w:rsid w:val="008A4FEB"/>
    <w:rsid w:val="008A5EAE"/>
    <w:rsid w:val="008A684F"/>
    <w:rsid w:val="008A7675"/>
    <w:rsid w:val="008A7D2B"/>
    <w:rsid w:val="008B1A7F"/>
    <w:rsid w:val="008B21A9"/>
    <w:rsid w:val="008B256C"/>
    <w:rsid w:val="008B31CC"/>
    <w:rsid w:val="008B3E35"/>
    <w:rsid w:val="008B4159"/>
    <w:rsid w:val="008B4857"/>
    <w:rsid w:val="008B4AE6"/>
    <w:rsid w:val="008B4C8D"/>
    <w:rsid w:val="008B53BA"/>
    <w:rsid w:val="008B5485"/>
    <w:rsid w:val="008B663A"/>
    <w:rsid w:val="008B70AD"/>
    <w:rsid w:val="008C03DE"/>
    <w:rsid w:val="008C04D9"/>
    <w:rsid w:val="008C12C5"/>
    <w:rsid w:val="008C157C"/>
    <w:rsid w:val="008C16FD"/>
    <w:rsid w:val="008C19A5"/>
    <w:rsid w:val="008C1C4F"/>
    <w:rsid w:val="008C2580"/>
    <w:rsid w:val="008C3025"/>
    <w:rsid w:val="008C332B"/>
    <w:rsid w:val="008C3672"/>
    <w:rsid w:val="008C3A73"/>
    <w:rsid w:val="008C3AF8"/>
    <w:rsid w:val="008C5926"/>
    <w:rsid w:val="008C6394"/>
    <w:rsid w:val="008C66CD"/>
    <w:rsid w:val="008C70DA"/>
    <w:rsid w:val="008C797D"/>
    <w:rsid w:val="008C7A62"/>
    <w:rsid w:val="008D09DF"/>
    <w:rsid w:val="008D1FE9"/>
    <w:rsid w:val="008D2B77"/>
    <w:rsid w:val="008D33BE"/>
    <w:rsid w:val="008D42BD"/>
    <w:rsid w:val="008D441A"/>
    <w:rsid w:val="008D52B7"/>
    <w:rsid w:val="008D55ED"/>
    <w:rsid w:val="008D76B0"/>
    <w:rsid w:val="008E1555"/>
    <w:rsid w:val="008E1A32"/>
    <w:rsid w:val="008E1E5B"/>
    <w:rsid w:val="008E2057"/>
    <w:rsid w:val="008E20E9"/>
    <w:rsid w:val="008E2E44"/>
    <w:rsid w:val="008E3783"/>
    <w:rsid w:val="008E37E7"/>
    <w:rsid w:val="008E46F9"/>
    <w:rsid w:val="008E5FE3"/>
    <w:rsid w:val="008E70F6"/>
    <w:rsid w:val="008E7904"/>
    <w:rsid w:val="008E79C1"/>
    <w:rsid w:val="008F0A3D"/>
    <w:rsid w:val="008F103F"/>
    <w:rsid w:val="008F1CFA"/>
    <w:rsid w:val="008F254B"/>
    <w:rsid w:val="008F30B8"/>
    <w:rsid w:val="008F3AAF"/>
    <w:rsid w:val="008F464C"/>
    <w:rsid w:val="008F5CE6"/>
    <w:rsid w:val="008F71A8"/>
    <w:rsid w:val="008F73EB"/>
    <w:rsid w:val="008F7B14"/>
    <w:rsid w:val="009016EC"/>
    <w:rsid w:val="00901B8F"/>
    <w:rsid w:val="00901E73"/>
    <w:rsid w:val="00902E1E"/>
    <w:rsid w:val="00903400"/>
    <w:rsid w:val="009042EF"/>
    <w:rsid w:val="0090440D"/>
    <w:rsid w:val="0090496B"/>
    <w:rsid w:val="00904AD4"/>
    <w:rsid w:val="0090564E"/>
    <w:rsid w:val="00905C08"/>
    <w:rsid w:val="009061E8"/>
    <w:rsid w:val="00906448"/>
    <w:rsid w:val="00906EB3"/>
    <w:rsid w:val="00907243"/>
    <w:rsid w:val="009129AF"/>
    <w:rsid w:val="00912ACF"/>
    <w:rsid w:val="00912D61"/>
    <w:rsid w:val="00914486"/>
    <w:rsid w:val="009152E6"/>
    <w:rsid w:val="009152F8"/>
    <w:rsid w:val="00915D2A"/>
    <w:rsid w:val="009160D9"/>
    <w:rsid w:val="009164DA"/>
    <w:rsid w:val="00920141"/>
    <w:rsid w:val="00920432"/>
    <w:rsid w:val="009208FB"/>
    <w:rsid w:val="00920EBD"/>
    <w:rsid w:val="00921418"/>
    <w:rsid w:val="0092197F"/>
    <w:rsid w:val="00922206"/>
    <w:rsid w:val="0092253A"/>
    <w:rsid w:val="00922A08"/>
    <w:rsid w:val="00923A92"/>
    <w:rsid w:val="00923CF2"/>
    <w:rsid w:val="00924400"/>
    <w:rsid w:val="009251AF"/>
    <w:rsid w:val="00933606"/>
    <w:rsid w:val="009338B1"/>
    <w:rsid w:val="00934809"/>
    <w:rsid w:val="0093524E"/>
    <w:rsid w:val="009365FA"/>
    <w:rsid w:val="00936664"/>
    <w:rsid w:val="00937A41"/>
    <w:rsid w:val="00940404"/>
    <w:rsid w:val="00942152"/>
    <w:rsid w:val="00942307"/>
    <w:rsid w:val="00942953"/>
    <w:rsid w:val="00943202"/>
    <w:rsid w:val="00943DCB"/>
    <w:rsid w:val="0094577A"/>
    <w:rsid w:val="00946087"/>
    <w:rsid w:val="00946122"/>
    <w:rsid w:val="00946D44"/>
    <w:rsid w:val="00947034"/>
    <w:rsid w:val="00947D1C"/>
    <w:rsid w:val="00947F3A"/>
    <w:rsid w:val="00951CB2"/>
    <w:rsid w:val="00952AB7"/>
    <w:rsid w:val="00952EF7"/>
    <w:rsid w:val="00952F2B"/>
    <w:rsid w:val="00953B2E"/>
    <w:rsid w:val="00953C54"/>
    <w:rsid w:val="00954DC0"/>
    <w:rsid w:val="00954FAE"/>
    <w:rsid w:val="009558D4"/>
    <w:rsid w:val="00955D64"/>
    <w:rsid w:val="00955FE6"/>
    <w:rsid w:val="009576F3"/>
    <w:rsid w:val="009608EF"/>
    <w:rsid w:val="00960C90"/>
    <w:rsid w:val="00960ECD"/>
    <w:rsid w:val="009612CB"/>
    <w:rsid w:val="0096281D"/>
    <w:rsid w:val="00963F09"/>
    <w:rsid w:val="00964272"/>
    <w:rsid w:val="0096517D"/>
    <w:rsid w:val="0096590B"/>
    <w:rsid w:val="00966B1B"/>
    <w:rsid w:val="009674E8"/>
    <w:rsid w:val="009676B8"/>
    <w:rsid w:val="00970414"/>
    <w:rsid w:val="00970D1F"/>
    <w:rsid w:val="00971386"/>
    <w:rsid w:val="00971513"/>
    <w:rsid w:val="0097170E"/>
    <w:rsid w:val="009735FC"/>
    <w:rsid w:val="0097421B"/>
    <w:rsid w:val="00974333"/>
    <w:rsid w:val="00975597"/>
    <w:rsid w:val="00981846"/>
    <w:rsid w:val="00981AD9"/>
    <w:rsid w:val="00982518"/>
    <w:rsid w:val="00982BF5"/>
    <w:rsid w:val="009830ED"/>
    <w:rsid w:val="009836BB"/>
    <w:rsid w:val="0098578A"/>
    <w:rsid w:val="00985834"/>
    <w:rsid w:val="00985E27"/>
    <w:rsid w:val="0098680E"/>
    <w:rsid w:val="009903CD"/>
    <w:rsid w:val="009905C9"/>
    <w:rsid w:val="009909CE"/>
    <w:rsid w:val="00991A1B"/>
    <w:rsid w:val="00992193"/>
    <w:rsid w:val="00992431"/>
    <w:rsid w:val="00993D19"/>
    <w:rsid w:val="009948E2"/>
    <w:rsid w:val="0099494C"/>
    <w:rsid w:val="009949ED"/>
    <w:rsid w:val="00994AD9"/>
    <w:rsid w:val="00994D84"/>
    <w:rsid w:val="00995876"/>
    <w:rsid w:val="009959EB"/>
    <w:rsid w:val="009961EC"/>
    <w:rsid w:val="009964D6"/>
    <w:rsid w:val="009A163F"/>
    <w:rsid w:val="009A2324"/>
    <w:rsid w:val="009A245D"/>
    <w:rsid w:val="009A32B8"/>
    <w:rsid w:val="009A4176"/>
    <w:rsid w:val="009A4265"/>
    <w:rsid w:val="009A4295"/>
    <w:rsid w:val="009A42A3"/>
    <w:rsid w:val="009A66DC"/>
    <w:rsid w:val="009A6E23"/>
    <w:rsid w:val="009B1FD4"/>
    <w:rsid w:val="009B2177"/>
    <w:rsid w:val="009B38F7"/>
    <w:rsid w:val="009B4422"/>
    <w:rsid w:val="009B4694"/>
    <w:rsid w:val="009B4790"/>
    <w:rsid w:val="009B4838"/>
    <w:rsid w:val="009B4D03"/>
    <w:rsid w:val="009B550D"/>
    <w:rsid w:val="009B611B"/>
    <w:rsid w:val="009B633B"/>
    <w:rsid w:val="009B66B7"/>
    <w:rsid w:val="009B7587"/>
    <w:rsid w:val="009C0280"/>
    <w:rsid w:val="009C09FC"/>
    <w:rsid w:val="009C0D90"/>
    <w:rsid w:val="009C0FDF"/>
    <w:rsid w:val="009C2466"/>
    <w:rsid w:val="009C33CC"/>
    <w:rsid w:val="009C4D33"/>
    <w:rsid w:val="009C6B9F"/>
    <w:rsid w:val="009C6BAE"/>
    <w:rsid w:val="009C74DE"/>
    <w:rsid w:val="009C7790"/>
    <w:rsid w:val="009C7A40"/>
    <w:rsid w:val="009C7F13"/>
    <w:rsid w:val="009D0392"/>
    <w:rsid w:val="009D1886"/>
    <w:rsid w:val="009D1BA8"/>
    <w:rsid w:val="009D2489"/>
    <w:rsid w:val="009D29D7"/>
    <w:rsid w:val="009D3049"/>
    <w:rsid w:val="009D3EC2"/>
    <w:rsid w:val="009D590B"/>
    <w:rsid w:val="009D5C0C"/>
    <w:rsid w:val="009D6A38"/>
    <w:rsid w:val="009D73EF"/>
    <w:rsid w:val="009E016A"/>
    <w:rsid w:val="009E266E"/>
    <w:rsid w:val="009E289D"/>
    <w:rsid w:val="009E3F9E"/>
    <w:rsid w:val="009E40F8"/>
    <w:rsid w:val="009E559C"/>
    <w:rsid w:val="009E69A9"/>
    <w:rsid w:val="009F00FC"/>
    <w:rsid w:val="009F19AF"/>
    <w:rsid w:val="009F2BA4"/>
    <w:rsid w:val="009F32F8"/>
    <w:rsid w:val="009F344D"/>
    <w:rsid w:val="009F5116"/>
    <w:rsid w:val="009F6C2B"/>
    <w:rsid w:val="009F6F03"/>
    <w:rsid w:val="00A002A5"/>
    <w:rsid w:val="00A00631"/>
    <w:rsid w:val="00A0148D"/>
    <w:rsid w:val="00A03578"/>
    <w:rsid w:val="00A03832"/>
    <w:rsid w:val="00A048B1"/>
    <w:rsid w:val="00A057FB"/>
    <w:rsid w:val="00A05DEF"/>
    <w:rsid w:val="00A0728C"/>
    <w:rsid w:val="00A07DE8"/>
    <w:rsid w:val="00A10611"/>
    <w:rsid w:val="00A111B8"/>
    <w:rsid w:val="00A1123D"/>
    <w:rsid w:val="00A12B1E"/>
    <w:rsid w:val="00A13120"/>
    <w:rsid w:val="00A138C5"/>
    <w:rsid w:val="00A13DF3"/>
    <w:rsid w:val="00A14581"/>
    <w:rsid w:val="00A15144"/>
    <w:rsid w:val="00A15828"/>
    <w:rsid w:val="00A1741B"/>
    <w:rsid w:val="00A17668"/>
    <w:rsid w:val="00A20041"/>
    <w:rsid w:val="00A208C5"/>
    <w:rsid w:val="00A247C6"/>
    <w:rsid w:val="00A24D9C"/>
    <w:rsid w:val="00A257CF"/>
    <w:rsid w:val="00A25C99"/>
    <w:rsid w:val="00A26293"/>
    <w:rsid w:val="00A26D55"/>
    <w:rsid w:val="00A27BDC"/>
    <w:rsid w:val="00A307C7"/>
    <w:rsid w:val="00A31003"/>
    <w:rsid w:val="00A3146F"/>
    <w:rsid w:val="00A3291C"/>
    <w:rsid w:val="00A32C9D"/>
    <w:rsid w:val="00A3612A"/>
    <w:rsid w:val="00A37418"/>
    <w:rsid w:val="00A4005F"/>
    <w:rsid w:val="00A4017E"/>
    <w:rsid w:val="00A42526"/>
    <w:rsid w:val="00A435D3"/>
    <w:rsid w:val="00A44DC2"/>
    <w:rsid w:val="00A45C92"/>
    <w:rsid w:val="00A463AE"/>
    <w:rsid w:val="00A46AE8"/>
    <w:rsid w:val="00A471C1"/>
    <w:rsid w:val="00A47587"/>
    <w:rsid w:val="00A4766E"/>
    <w:rsid w:val="00A47A2A"/>
    <w:rsid w:val="00A47DA5"/>
    <w:rsid w:val="00A47DB2"/>
    <w:rsid w:val="00A528F0"/>
    <w:rsid w:val="00A52CA9"/>
    <w:rsid w:val="00A52D17"/>
    <w:rsid w:val="00A546E0"/>
    <w:rsid w:val="00A5559F"/>
    <w:rsid w:val="00A566F9"/>
    <w:rsid w:val="00A56AC8"/>
    <w:rsid w:val="00A56E84"/>
    <w:rsid w:val="00A57101"/>
    <w:rsid w:val="00A57152"/>
    <w:rsid w:val="00A5789C"/>
    <w:rsid w:val="00A57AFC"/>
    <w:rsid w:val="00A60C73"/>
    <w:rsid w:val="00A61355"/>
    <w:rsid w:val="00A615F9"/>
    <w:rsid w:val="00A62E98"/>
    <w:rsid w:val="00A637F0"/>
    <w:rsid w:val="00A64FCF"/>
    <w:rsid w:val="00A65D59"/>
    <w:rsid w:val="00A65E4B"/>
    <w:rsid w:val="00A667FF"/>
    <w:rsid w:val="00A66B6F"/>
    <w:rsid w:val="00A66D69"/>
    <w:rsid w:val="00A704F4"/>
    <w:rsid w:val="00A70904"/>
    <w:rsid w:val="00A71601"/>
    <w:rsid w:val="00A71EFC"/>
    <w:rsid w:val="00A72EF1"/>
    <w:rsid w:val="00A732EC"/>
    <w:rsid w:val="00A7392A"/>
    <w:rsid w:val="00A74927"/>
    <w:rsid w:val="00A74963"/>
    <w:rsid w:val="00A7498D"/>
    <w:rsid w:val="00A7507D"/>
    <w:rsid w:val="00A757CD"/>
    <w:rsid w:val="00A76081"/>
    <w:rsid w:val="00A77189"/>
    <w:rsid w:val="00A777C1"/>
    <w:rsid w:val="00A77A04"/>
    <w:rsid w:val="00A822EC"/>
    <w:rsid w:val="00A82D74"/>
    <w:rsid w:val="00A82FFC"/>
    <w:rsid w:val="00A83F6D"/>
    <w:rsid w:val="00A83FDC"/>
    <w:rsid w:val="00A84339"/>
    <w:rsid w:val="00A84C69"/>
    <w:rsid w:val="00A85A26"/>
    <w:rsid w:val="00A86143"/>
    <w:rsid w:val="00A86154"/>
    <w:rsid w:val="00A8696A"/>
    <w:rsid w:val="00A86F4B"/>
    <w:rsid w:val="00A8790C"/>
    <w:rsid w:val="00A91558"/>
    <w:rsid w:val="00A91764"/>
    <w:rsid w:val="00A92EB3"/>
    <w:rsid w:val="00A9338C"/>
    <w:rsid w:val="00A93C5F"/>
    <w:rsid w:val="00A93FE0"/>
    <w:rsid w:val="00A95744"/>
    <w:rsid w:val="00A95E1B"/>
    <w:rsid w:val="00A96127"/>
    <w:rsid w:val="00A96BB9"/>
    <w:rsid w:val="00AA1CD6"/>
    <w:rsid w:val="00AA1E0B"/>
    <w:rsid w:val="00AA2492"/>
    <w:rsid w:val="00AA3659"/>
    <w:rsid w:val="00AA37BA"/>
    <w:rsid w:val="00AA494E"/>
    <w:rsid w:val="00AA517D"/>
    <w:rsid w:val="00AA544C"/>
    <w:rsid w:val="00AA749D"/>
    <w:rsid w:val="00AA7988"/>
    <w:rsid w:val="00AA79FF"/>
    <w:rsid w:val="00AB0147"/>
    <w:rsid w:val="00AB21C4"/>
    <w:rsid w:val="00AB522E"/>
    <w:rsid w:val="00AB54EF"/>
    <w:rsid w:val="00AB54F7"/>
    <w:rsid w:val="00AB6291"/>
    <w:rsid w:val="00AB6520"/>
    <w:rsid w:val="00AB7663"/>
    <w:rsid w:val="00AB7E21"/>
    <w:rsid w:val="00AC0621"/>
    <w:rsid w:val="00AC0DC5"/>
    <w:rsid w:val="00AC22E3"/>
    <w:rsid w:val="00AC287B"/>
    <w:rsid w:val="00AC2EA8"/>
    <w:rsid w:val="00AC340C"/>
    <w:rsid w:val="00AC3B6D"/>
    <w:rsid w:val="00AC41B8"/>
    <w:rsid w:val="00AC470D"/>
    <w:rsid w:val="00AC4D06"/>
    <w:rsid w:val="00AC4D2F"/>
    <w:rsid w:val="00AC55B5"/>
    <w:rsid w:val="00AC5639"/>
    <w:rsid w:val="00AC67EE"/>
    <w:rsid w:val="00AC6966"/>
    <w:rsid w:val="00AC7887"/>
    <w:rsid w:val="00AD05D2"/>
    <w:rsid w:val="00AD0976"/>
    <w:rsid w:val="00AD0EF1"/>
    <w:rsid w:val="00AD10BA"/>
    <w:rsid w:val="00AD126E"/>
    <w:rsid w:val="00AD175A"/>
    <w:rsid w:val="00AD1F00"/>
    <w:rsid w:val="00AD2CF2"/>
    <w:rsid w:val="00AD2EF1"/>
    <w:rsid w:val="00AD5B85"/>
    <w:rsid w:val="00AD5D2E"/>
    <w:rsid w:val="00AD5ECB"/>
    <w:rsid w:val="00AD6027"/>
    <w:rsid w:val="00AD66DC"/>
    <w:rsid w:val="00AD693E"/>
    <w:rsid w:val="00AD7FEF"/>
    <w:rsid w:val="00AE0378"/>
    <w:rsid w:val="00AE0784"/>
    <w:rsid w:val="00AE10C3"/>
    <w:rsid w:val="00AE1810"/>
    <w:rsid w:val="00AE1DE8"/>
    <w:rsid w:val="00AE2193"/>
    <w:rsid w:val="00AE21C1"/>
    <w:rsid w:val="00AE39F6"/>
    <w:rsid w:val="00AE3C67"/>
    <w:rsid w:val="00AE4205"/>
    <w:rsid w:val="00AE4F37"/>
    <w:rsid w:val="00AE4F93"/>
    <w:rsid w:val="00AE7561"/>
    <w:rsid w:val="00AE768F"/>
    <w:rsid w:val="00AE79B4"/>
    <w:rsid w:val="00AE7CE4"/>
    <w:rsid w:val="00AF047D"/>
    <w:rsid w:val="00AF0836"/>
    <w:rsid w:val="00AF0C81"/>
    <w:rsid w:val="00AF188B"/>
    <w:rsid w:val="00AF1E04"/>
    <w:rsid w:val="00AF1E22"/>
    <w:rsid w:val="00AF24DE"/>
    <w:rsid w:val="00AF2C49"/>
    <w:rsid w:val="00AF31EF"/>
    <w:rsid w:val="00AF3465"/>
    <w:rsid w:val="00AF3B18"/>
    <w:rsid w:val="00AF4516"/>
    <w:rsid w:val="00AF474C"/>
    <w:rsid w:val="00AF4B84"/>
    <w:rsid w:val="00AF4E85"/>
    <w:rsid w:val="00AF6227"/>
    <w:rsid w:val="00AF688A"/>
    <w:rsid w:val="00AF6A0E"/>
    <w:rsid w:val="00B00ED4"/>
    <w:rsid w:val="00B012AA"/>
    <w:rsid w:val="00B01524"/>
    <w:rsid w:val="00B01B3D"/>
    <w:rsid w:val="00B02398"/>
    <w:rsid w:val="00B0246C"/>
    <w:rsid w:val="00B02AFC"/>
    <w:rsid w:val="00B0402C"/>
    <w:rsid w:val="00B04F80"/>
    <w:rsid w:val="00B0596C"/>
    <w:rsid w:val="00B0653E"/>
    <w:rsid w:val="00B06F29"/>
    <w:rsid w:val="00B07391"/>
    <w:rsid w:val="00B07A9D"/>
    <w:rsid w:val="00B10CE1"/>
    <w:rsid w:val="00B114BB"/>
    <w:rsid w:val="00B135AA"/>
    <w:rsid w:val="00B13B22"/>
    <w:rsid w:val="00B14C61"/>
    <w:rsid w:val="00B14E9A"/>
    <w:rsid w:val="00B16707"/>
    <w:rsid w:val="00B17357"/>
    <w:rsid w:val="00B17B3E"/>
    <w:rsid w:val="00B17B4B"/>
    <w:rsid w:val="00B17BA1"/>
    <w:rsid w:val="00B20AC0"/>
    <w:rsid w:val="00B21C60"/>
    <w:rsid w:val="00B21DC0"/>
    <w:rsid w:val="00B22C97"/>
    <w:rsid w:val="00B23AE5"/>
    <w:rsid w:val="00B242D9"/>
    <w:rsid w:val="00B24584"/>
    <w:rsid w:val="00B24F6F"/>
    <w:rsid w:val="00B252F5"/>
    <w:rsid w:val="00B25717"/>
    <w:rsid w:val="00B25BE0"/>
    <w:rsid w:val="00B25DC8"/>
    <w:rsid w:val="00B2603B"/>
    <w:rsid w:val="00B2641C"/>
    <w:rsid w:val="00B268A6"/>
    <w:rsid w:val="00B277ED"/>
    <w:rsid w:val="00B278E2"/>
    <w:rsid w:val="00B30D63"/>
    <w:rsid w:val="00B30FEA"/>
    <w:rsid w:val="00B31110"/>
    <w:rsid w:val="00B33919"/>
    <w:rsid w:val="00B33B31"/>
    <w:rsid w:val="00B3429D"/>
    <w:rsid w:val="00B35394"/>
    <w:rsid w:val="00B35563"/>
    <w:rsid w:val="00B35B92"/>
    <w:rsid w:val="00B36320"/>
    <w:rsid w:val="00B36934"/>
    <w:rsid w:val="00B36D69"/>
    <w:rsid w:val="00B400BD"/>
    <w:rsid w:val="00B40399"/>
    <w:rsid w:val="00B404D1"/>
    <w:rsid w:val="00B4079A"/>
    <w:rsid w:val="00B40833"/>
    <w:rsid w:val="00B40902"/>
    <w:rsid w:val="00B41EFC"/>
    <w:rsid w:val="00B42840"/>
    <w:rsid w:val="00B42979"/>
    <w:rsid w:val="00B431E9"/>
    <w:rsid w:val="00B439F8"/>
    <w:rsid w:val="00B44DE8"/>
    <w:rsid w:val="00B454A9"/>
    <w:rsid w:val="00B459C2"/>
    <w:rsid w:val="00B47CBA"/>
    <w:rsid w:val="00B51310"/>
    <w:rsid w:val="00B513BE"/>
    <w:rsid w:val="00B515AA"/>
    <w:rsid w:val="00B5199A"/>
    <w:rsid w:val="00B51EE1"/>
    <w:rsid w:val="00B52D05"/>
    <w:rsid w:val="00B540C1"/>
    <w:rsid w:val="00B540D4"/>
    <w:rsid w:val="00B54380"/>
    <w:rsid w:val="00B543FE"/>
    <w:rsid w:val="00B545DE"/>
    <w:rsid w:val="00B5660D"/>
    <w:rsid w:val="00B5684E"/>
    <w:rsid w:val="00B57981"/>
    <w:rsid w:val="00B60A34"/>
    <w:rsid w:val="00B61175"/>
    <w:rsid w:val="00B614FB"/>
    <w:rsid w:val="00B618C2"/>
    <w:rsid w:val="00B6194E"/>
    <w:rsid w:val="00B61950"/>
    <w:rsid w:val="00B6295A"/>
    <w:rsid w:val="00B634E3"/>
    <w:rsid w:val="00B6419B"/>
    <w:rsid w:val="00B644AE"/>
    <w:rsid w:val="00B6460E"/>
    <w:rsid w:val="00B646C0"/>
    <w:rsid w:val="00B65941"/>
    <w:rsid w:val="00B65CFD"/>
    <w:rsid w:val="00B660F5"/>
    <w:rsid w:val="00B661E1"/>
    <w:rsid w:val="00B66986"/>
    <w:rsid w:val="00B66AD1"/>
    <w:rsid w:val="00B67E1D"/>
    <w:rsid w:val="00B708DC"/>
    <w:rsid w:val="00B71F7F"/>
    <w:rsid w:val="00B72360"/>
    <w:rsid w:val="00B74426"/>
    <w:rsid w:val="00B7587A"/>
    <w:rsid w:val="00B76019"/>
    <w:rsid w:val="00B76445"/>
    <w:rsid w:val="00B765BA"/>
    <w:rsid w:val="00B76797"/>
    <w:rsid w:val="00B76D1B"/>
    <w:rsid w:val="00B80335"/>
    <w:rsid w:val="00B80B44"/>
    <w:rsid w:val="00B83E08"/>
    <w:rsid w:val="00B85885"/>
    <w:rsid w:val="00B85BB8"/>
    <w:rsid w:val="00B8646B"/>
    <w:rsid w:val="00B872D2"/>
    <w:rsid w:val="00B901A4"/>
    <w:rsid w:val="00B9092A"/>
    <w:rsid w:val="00B90FDF"/>
    <w:rsid w:val="00B91C8A"/>
    <w:rsid w:val="00B91DFB"/>
    <w:rsid w:val="00B920D1"/>
    <w:rsid w:val="00B925BE"/>
    <w:rsid w:val="00B93061"/>
    <w:rsid w:val="00B933CF"/>
    <w:rsid w:val="00B93A48"/>
    <w:rsid w:val="00B945F5"/>
    <w:rsid w:val="00B9529A"/>
    <w:rsid w:val="00B9681A"/>
    <w:rsid w:val="00B971E9"/>
    <w:rsid w:val="00B97F29"/>
    <w:rsid w:val="00BA0662"/>
    <w:rsid w:val="00BA0723"/>
    <w:rsid w:val="00BA0ED2"/>
    <w:rsid w:val="00BA11CB"/>
    <w:rsid w:val="00BA1AC3"/>
    <w:rsid w:val="00BA1C54"/>
    <w:rsid w:val="00BA2D33"/>
    <w:rsid w:val="00BA3115"/>
    <w:rsid w:val="00BA3E65"/>
    <w:rsid w:val="00BA3F82"/>
    <w:rsid w:val="00BA4468"/>
    <w:rsid w:val="00BA4653"/>
    <w:rsid w:val="00BA5B14"/>
    <w:rsid w:val="00BA6BE4"/>
    <w:rsid w:val="00BA7461"/>
    <w:rsid w:val="00BB01B5"/>
    <w:rsid w:val="00BB08B2"/>
    <w:rsid w:val="00BB29AA"/>
    <w:rsid w:val="00BB35DF"/>
    <w:rsid w:val="00BB3EC0"/>
    <w:rsid w:val="00BB4A0D"/>
    <w:rsid w:val="00BB4A5B"/>
    <w:rsid w:val="00BB5336"/>
    <w:rsid w:val="00BB5538"/>
    <w:rsid w:val="00BB554E"/>
    <w:rsid w:val="00BB5B81"/>
    <w:rsid w:val="00BB5E21"/>
    <w:rsid w:val="00BB611E"/>
    <w:rsid w:val="00BB62D4"/>
    <w:rsid w:val="00BB6BD5"/>
    <w:rsid w:val="00BB6D39"/>
    <w:rsid w:val="00BB7152"/>
    <w:rsid w:val="00BB71A8"/>
    <w:rsid w:val="00BB7792"/>
    <w:rsid w:val="00BB7A3C"/>
    <w:rsid w:val="00BB7C2D"/>
    <w:rsid w:val="00BC092A"/>
    <w:rsid w:val="00BC0BCA"/>
    <w:rsid w:val="00BC1C49"/>
    <w:rsid w:val="00BC22D7"/>
    <w:rsid w:val="00BC2AD6"/>
    <w:rsid w:val="00BC3756"/>
    <w:rsid w:val="00BC4D9A"/>
    <w:rsid w:val="00BC5602"/>
    <w:rsid w:val="00BC56FA"/>
    <w:rsid w:val="00BC719C"/>
    <w:rsid w:val="00BC7D17"/>
    <w:rsid w:val="00BD3603"/>
    <w:rsid w:val="00BD400A"/>
    <w:rsid w:val="00BD425A"/>
    <w:rsid w:val="00BD45B0"/>
    <w:rsid w:val="00BD4B3A"/>
    <w:rsid w:val="00BD4DBD"/>
    <w:rsid w:val="00BD7328"/>
    <w:rsid w:val="00BD7498"/>
    <w:rsid w:val="00BD7EE7"/>
    <w:rsid w:val="00BE039B"/>
    <w:rsid w:val="00BE0BA8"/>
    <w:rsid w:val="00BE189B"/>
    <w:rsid w:val="00BE4793"/>
    <w:rsid w:val="00BE59EF"/>
    <w:rsid w:val="00BE6BD1"/>
    <w:rsid w:val="00BE7BA2"/>
    <w:rsid w:val="00BF0966"/>
    <w:rsid w:val="00BF19CA"/>
    <w:rsid w:val="00BF1B16"/>
    <w:rsid w:val="00BF2FF1"/>
    <w:rsid w:val="00BF3302"/>
    <w:rsid w:val="00BF3697"/>
    <w:rsid w:val="00BF3DAB"/>
    <w:rsid w:val="00BF4ED4"/>
    <w:rsid w:val="00BF4FD6"/>
    <w:rsid w:val="00BF569C"/>
    <w:rsid w:val="00BF5FBD"/>
    <w:rsid w:val="00BF62FC"/>
    <w:rsid w:val="00BF6563"/>
    <w:rsid w:val="00BF6A65"/>
    <w:rsid w:val="00BF6ACE"/>
    <w:rsid w:val="00BF7356"/>
    <w:rsid w:val="00BF79ED"/>
    <w:rsid w:val="00BF7F1C"/>
    <w:rsid w:val="00C00D0F"/>
    <w:rsid w:val="00C0177B"/>
    <w:rsid w:val="00C01827"/>
    <w:rsid w:val="00C0250D"/>
    <w:rsid w:val="00C03F7B"/>
    <w:rsid w:val="00C04F0C"/>
    <w:rsid w:val="00C04FB6"/>
    <w:rsid w:val="00C0518A"/>
    <w:rsid w:val="00C05C58"/>
    <w:rsid w:val="00C0754D"/>
    <w:rsid w:val="00C07667"/>
    <w:rsid w:val="00C10295"/>
    <w:rsid w:val="00C10C4D"/>
    <w:rsid w:val="00C11961"/>
    <w:rsid w:val="00C13A51"/>
    <w:rsid w:val="00C1476B"/>
    <w:rsid w:val="00C16160"/>
    <w:rsid w:val="00C169C7"/>
    <w:rsid w:val="00C1746A"/>
    <w:rsid w:val="00C20039"/>
    <w:rsid w:val="00C20CD5"/>
    <w:rsid w:val="00C2110E"/>
    <w:rsid w:val="00C2119A"/>
    <w:rsid w:val="00C226E6"/>
    <w:rsid w:val="00C22E85"/>
    <w:rsid w:val="00C236D1"/>
    <w:rsid w:val="00C24CAC"/>
    <w:rsid w:val="00C2517F"/>
    <w:rsid w:val="00C25815"/>
    <w:rsid w:val="00C26A45"/>
    <w:rsid w:val="00C26B29"/>
    <w:rsid w:val="00C273EB"/>
    <w:rsid w:val="00C31018"/>
    <w:rsid w:val="00C313BF"/>
    <w:rsid w:val="00C31432"/>
    <w:rsid w:val="00C31EAE"/>
    <w:rsid w:val="00C322CE"/>
    <w:rsid w:val="00C323A5"/>
    <w:rsid w:val="00C32750"/>
    <w:rsid w:val="00C32BBA"/>
    <w:rsid w:val="00C3342D"/>
    <w:rsid w:val="00C33450"/>
    <w:rsid w:val="00C3426B"/>
    <w:rsid w:val="00C35CFB"/>
    <w:rsid w:val="00C36B6B"/>
    <w:rsid w:val="00C37071"/>
    <w:rsid w:val="00C37D32"/>
    <w:rsid w:val="00C37F3E"/>
    <w:rsid w:val="00C40C4C"/>
    <w:rsid w:val="00C41586"/>
    <w:rsid w:val="00C42902"/>
    <w:rsid w:val="00C429CF"/>
    <w:rsid w:val="00C42C94"/>
    <w:rsid w:val="00C4353C"/>
    <w:rsid w:val="00C43C45"/>
    <w:rsid w:val="00C43FE2"/>
    <w:rsid w:val="00C44118"/>
    <w:rsid w:val="00C444CE"/>
    <w:rsid w:val="00C505E4"/>
    <w:rsid w:val="00C51DBB"/>
    <w:rsid w:val="00C52061"/>
    <w:rsid w:val="00C522E9"/>
    <w:rsid w:val="00C524A3"/>
    <w:rsid w:val="00C52681"/>
    <w:rsid w:val="00C53095"/>
    <w:rsid w:val="00C5317F"/>
    <w:rsid w:val="00C53680"/>
    <w:rsid w:val="00C55D51"/>
    <w:rsid w:val="00C57C43"/>
    <w:rsid w:val="00C611D9"/>
    <w:rsid w:val="00C617D4"/>
    <w:rsid w:val="00C61F61"/>
    <w:rsid w:val="00C620A7"/>
    <w:rsid w:val="00C62342"/>
    <w:rsid w:val="00C634A0"/>
    <w:rsid w:val="00C645F9"/>
    <w:rsid w:val="00C6482B"/>
    <w:rsid w:val="00C64967"/>
    <w:rsid w:val="00C65456"/>
    <w:rsid w:val="00C65AA3"/>
    <w:rsid w:val="00C66AB2"/>
    <w:rsid w:val="00C679ED"/>
    <w:rsid w:val="00C71151"/>
    <w:rsid w:val="00C715E1"/>
    <w:rsid w:val="00C72544"/>
    <w:rsid w:val="00C734E9"/>
    <w:rsid w:val="00C7590D"/>
    <w:rsid w:val="00C76765"/>
    <w:rsid w:val="00C76FBB"/>
    <w:rsid w:val="00C777A9"/>
    <w:rsid w:val="00C80455"/>
    <w:rsid w:val="00C8114F"/>
    <w:rsid w:val="00C84E62"/>
    <w:rsid w:val="00C86DAC"/>
    <w:rsid w:val="00C87C55"/>
    <w:rsid w:val="00C92596"/>
    <w:rsid w:val="00C92FD1"/>
    <w:rsid w:val="00C93576"/>
    <w:rsid w:val="00C937E1"/>
    <w:rsid w:val="00C93BB7"/>
    <w:rsid w:val="00C94281"/>
    <w:rsid w:val="00C954E6"/>
    <w:rsid w:val="00C955A6"/>
    <w:rsid w:val="00C96353"/>
    <w:rsid w:val="00C97369"/>
    <w:rsid w:val="00C97628"/>
    <w:rsid w:val="00C97CCB"/>
    <w:rsid w:val="00C97F5E"/>
    <w:rsid w:val="00CA020D"/>
    <w:rsid w:val="00CA0D6F"/>
    <w:rsid w:val="00CA0D7D"/>
    <w:rsid w:val="00CA1147"/>
    <w:rsid w:val="00CA2ACA"/>
    <w:rsid w:val="00CA3407"/>
    <w:rsid w:val="00CA41E9"/>
    <w:rsid w:val="00CA4A3C"/>
    <w:rsid w:val="00CA4FEC"/>
    <w:rsid w:val="00CA50E5"/>
    <w:rsid w:val="00CA6044"/>
    <w:rsid w:val="00CA645C"/>
    <w:rsid w:val="00CA650E"/>
    <w:rsid w:val="00CA6F45"/>
    <w:rsid w:val="00CA7473"/>
    <w:rsid w:val="00CB0D7D"/>
    <w:rsid w:val="00CB0F13"/>
    <w:rsid w:val="00CB151B"/>
    <w:rsid w:val="00CB36C1"/>
    <w:rsid w:val="00CB4258"/>
    <w:rsid w:val="00CB42EF"/>
    <w:rsid w:val="00CB45BC"/>
    <w:rsid w:val="00CB4609"/>
    <w:rsid w:val="00CB4B74"/>
    <w:rsid w:val="00CB636A"/>
    <w:rsid w:val="00CC0D33"/>
    <w:rsid w:val="00CC16ED"/>
    <w:rsid w:val="00CC29FD"/>
    <w:rsid w:val="00CC311F"/>
    <w:rsid w:val="00CC3DCF"/>
    <w:rsid w:val="00CC50E3"/>
    <w:rsid w:val="00CC5511"/>
    <w:rsid w:val="00CC5973"/>
    <w:rsid w:val="00CC5E52"/>
    <w:rsid w:val="00CC6048"/>
    <w:rsid w:val="00CC6147"/>
    <w:rsid w:val="00CC66AF"/>
    <w:rsid w:val="00CC69B2"/>
    <w:rsid w:val="00CC6A11"/>
    <w:rsid w:val="00CC7450"/>
    <w:rsid w:val="00CC7AC1"/>
    <w:rsid w:val="00CD139A"/>
    <w:rsid w:val="00CD209F"/>
    <w:rsid w:val="00CD31CD"/>
    <w:rsid w:val="00CD339A"/>
    <w:rsid w:val="00CD35CA"/>
    <w:rsid w:val="00CD368F"/>
    <w:rsid w:val="00CD3CB8"/>
    <w:rsid w:val="00CD4F11"/>
    <w:rsid w:val="00CD592C"/>
    <w:rsid w:val="00CD5AD0"/>
    <w:rsid w:val="00CD6665"/>
    <w:rsid w:val="00CD70F8"/>
    <w:rsid w:val="00CE02D2"/>
    <w:rsid w:val="00CE2335"/>
    <w:rsid w:val="00CE32D5"/>
    <w:rsid w:val="00CE4537"/>
    <w:rsid w:val="00CE588D"/>
    <w:rsid w:val="00CE6528"/>
    <w:rsid w:val="00CE75EF"/>
    <w:rsid w:val="00CF1638"/>
    <w:rsid w:val="00CF17FD"/>
    <w:rsid w:val="00CF1B4B"/>
    <w:rsid w:val="00CF1C7F"/>
    <w:rsid w:val="00CF288F"/>
    <w:rsid w:val="00CF2921"/>
    <w:rsid w:val="00CF50E5"/>
    <w:rsid w:val="00CF5EFF"/>
    <w:rsid w:val="00CF62D6"/>
    <w:rsid w:val="00CF721B"/>
    <w:rsid w:val="00CF75F9"/>
    <w:rsid w:val="00D0122B"/>
    <w:rsid w:val="00D01FEC"/>
    <w:rsid w:val="00D027D9"/>
    <w:rsid w:val="00D04130"/>
    <w:rsid w:val="00D054E8"/>
    <w:rsid w:val="00D06E18"/>
    <w:rsid w:val="00D0715E"/>
    <w:rsid w:val="00D0731C"/>
    <w:rsid w:val="00D074E2"/>
    <w:rsid w:val="00D07950"/>
    <w:rsid w:val="00D11C1F"/>
    <w:rsid w:val="00D12D81"/>
    <w:rsid w:val="00D12D97"/>
    <w:rsid w:val="00D136A0"/>
    <w:rsid w:val="00D13A8F"/>
    <w:rsid w:val="00D15073"/>
    <w:rsid w:val="00D15407"/>
    <w:rsid w:val="00D166CB"/>
    <w:rsid w:val="00D178CE"/>
    <w:rsid w:val="00D20490"/>
    <w:rsid w:val="00D205D3"/>
    <w:rsid w:val="00D213D1"/>
    <w:rsid w:val="00D214EF"/>
    <w:rsid w:val="00D22F72"/>
    <w:rsid w:val="00D2371B"/>
    <w:rsid w:val="00D23A8C"/>
    <w:rsid w:val="00D24F9D"/>
    <w:rsid w:val="00D254F0"/>
    <w:rsid w:val="00D25899"/>
    <w:rsid w:val="00D276A0"/>
    <w:rsid w:val="00D27B6B"/>
    <w:rsid w:val="00D31C8A"/>
    <w:rsid w:val="00D325B3"/>
    <w:rsid w:val="00D32C8B"/>
    <w:rsid w:val="00D33370"/>
    <w:rsid w:val="00D33A16"/>
    <w:rsid w:val="00D33AAF"/>
    <w:rsid w:val="00D356F9"/>
    <w:rsid w:val="00D35B97"/>
    <w:rsid w:val="00D362C3"/>
    <w:rsid w:val="00D36426"/>
    <w:rsid w:val="00D36C4E"/>
    <w:rsid w:val="00D36D9A"/>
    <w:rsid w:val="00D402B0"/>
    <w:rsid w:val="00D402EB"/>
    <w:rsid w:val="00D4076E"/>
    <w:rsid w:val="00D40F8C"/>
    <w:rsid w:val="00D41484"/>
    <w:rsid w:val="00D42135"/>
    <w:rsid w:val="00D445BA"/>
    <w:rsid w:val="00D45206"/>
    <w:rsid w:val="00D46A00"/>
    <w:rsid w:val="00D46F74"/>
    <w:rsid w:val="00D47132"/>
    <w:rsid w:val="00D47BC0"/>
    <w:rsid w:val="00D50391"/>
    <w:rsid w:val="00D50839"/>
    <w:rsid w:val="00D5124C"/>
    <w:rsid w:val="00D512D2"/>
    <w:rsid w:val="00D517D4"/>
    <w:rsid w:val="00D51C36"/>
    <w:rsid w:val="00D529B1"/>
    <w:rsid w:val="00D55330"/>
    <w:rsid w:val="00D55558"/>
    <w:rsid w:val="00D566E1"/>
    <w:rsid w:val="00D56989"/>
    <w:rsid w:val="00D5740A"/>
    <w:rsid w:val="00D57410"/>
    <w:rsid w:val="00D6095E"/>
    <w:rsid w:val="00D621E0"/>
    <w:rsid w:val="00D622DA"/>
    <w:rsid w:val="00D6316B"/>
    <w:rsid w:val="00D632B5"/>
    <w:rsid w:val="00D63E6D"/>
    <w:rsid w:val="00D64301"/>
    <w:rsid w:val="00D64E04"/>
    <w:rsid w:val="00D652F2"/>
    <w:rsid w:val="00D66AF8"/>
    <w:rsid w:val="00D66CD0"/>
    <w:rsid w:val="00D70D04"/>
    <w:rsid w:val="00D70FD0"/>
    <w:rsid w:val="00D7100F"/>
    <w:rsid w:val="00D72429"/>
    <w:rsid w:val="00D73260"/>
    <w:rsid w:val="00D733D0"/>
    <w:rsid w:val="00D73F2A"/>
    <w:rsid w:val="00D75048"/>
    <w:rsid w:val="00D7543F"/>
    <w:rsid w:val="00D75CC6"/>
    <w:rsid w:val="00D7644F"/>
    <w:rsid w:val="00D76C5B"/>
    <w:rsid w:val="00D7730C"/>
    <w:rsid w:val="00D8068A"/>
    <w:rsid w:val="00D818FC"/>
    <w:rsid w:val="00D81B34"/>
    <w:rsid w:val="00D81E5D"/>
    <w:rsid w:val="00D8268A"/>
    <w:rsid w:val="00D82BAE"/>
    <w:rsid w:val="00D83916"/>
    <w:rsid w:val="00D844CC"/>
    <w:rsid w:val="00D8479E"/>
    <w:rsid w:val="00D848D0"/>
    <w:rsid w:val="00D84EF5"/>
    <w:rsid w:val="00D84F0E"/>
    <w:rsid w:val="00D85A22"/>
    <w:rsid w:val="00D872E5"/>
    <w:rsid w:val="00D90081"/>
    <w:rsid w:val="00D901B4"/>
    <w:rsid w:val="00D91AA3"/>
    <w:rsid w:val="00D91DE7"/>
    <w:rsid w:val="00D91EE4"/>
    <w:rsid w:val="00D92005"/>
    <w:rsid w:val="00D92312"/>
    <w:rsid w:val="00D92C18"/>
    <w:rsid w:val="00D970D3"/>
    <w:rsid w:val="00D974D9"/>
    <w:rsid w:val="00D9784A"/>
    <w:rsid w:val="00D97F26"/>
    <w:rsid w:val="00DA1553"/>
    <w:rsid w:val="00DA2762"/>
    <w:rsid w:val="00DA2AE9"/>
    <w:rsid w:val="00DA3AFC"/>
    <w:rsid w:val="00DA3ED6"/>
    <w:rsid w:val="00DA4326"/>
    <w:rsid w:val="00DA562E"/>
    <w:rsid w:val="00DA6F73"/>
    <w:rsid w:val="00DB1531"/>
    <w:rsid w:val="00DB2067"/>
    <w:rsid w:val="00DB4212"/>
    <w:rsid w:val="00DB4C26"/>
    <w:rsid w:val="00DB4D1E"/>
    <w:rsid w:val="00DB516B"/>
    <w:rsid w:val="00DB5ED6"/>
    <w:rsid w:val="00DB6910"/>
    <w:rsid w:val="00DC0546"/>
    <w:rsid w:val="00DC24DE"/>
    <w:rsid w:val="00DC56C0"/>
    <w:rsid w:val="00DC5A39"/>
    <w:rsid w:val="00DC6707"/>
    <w:rsid w:val="00DC6F4B"/>
    <w:rsid w:val="00DC75FE"/>
    <w:rsid w:val="00DC7664"/>
    <w:rsid w:val="00DD0BF1"/>
    <w:rsid w:val="00DD364F"/>
    <w:rsid w:val="00DD3B77"/>
    <w:rsid w:val="00DD4069"/>
    <w:rsid w:val="00DD418A"/>
    <w:rsid w:val="00DD43CA"/>
    <w:rsid w:val="00DD494B"/>
    <w:rsid w:val="00DD514D"/>
    <w:rsid w:val="00DD59AB"/>
    <w:rsid w:val="00DD5AB8"/>
    <w:rsid w:val="00DD789E"/>
    <w:rsid w:val="00DE01D1"/>
    <w:rsid w:val="00DE0839"/>
    <w:rsid w:val="00DE14E5"/>
    <w:rsid w:val="00DE1BC4"/>
    <w:rsid w:val="00DE5C64"/>
    <w:rsid w:val="00DE6304"/>
    <w:rsid w:val="00DE6410"/>
    <w:rsid w:val="00DE77C9"/>
    <w:rsid w:val="00DF042B"/>
    <w:rsid w:val="00DF17AE"/>
    <w:rsid w:val="00DF1C40"/>
    <w:rsid w:val="00DF359C"/>
    <w:rsid w:val="00DF3A46"/>
    <w:rsid w:val="00DF4163"/>
    <w:rsid w:val="00DF56FC"/>
    <w:rsid w:val="00DF589D"/>
    <w:rsid w:val="00DF66B5"/>
    <w:rsid w:val="00DF6D21"/>
    <w:rsid w:val="00DF6E0F"/>
    <w:rsid w:val="00DF724E"/>
    <w:rsid w:val="00DF75AF"/>
    <w:rsid w:val="00E00704"/>
    <w:rsid w:val="00E00743"/>
    <w:rsid w:val="00E010F8"/>
    <w:rsid w:val="00E013F0"/>
    <w:rsid w:val="00E01EAB"/>
    <w:rsid w:val="00E020D0"/>
    <w:rsid w:val="00E025C3"/>
    <w:rsid w:val="00E02DF8"/>
    <w:rsid w:val="00E034E0"/>
    <w:rsid w:val="00E0409D"/>
    <w:rsid w:val="00E04CA7"/>
    <w:rsid w:val="00E05823"/>
    <w:rsid w:val="00E05C48"/>
    <w:rsid w:val="00E05C89"/>
    <w:rsid w:val="00E066F3"/>
    <w:rsid w:val="00E075A5"/>
    <w:rsid w:val="00E075EF"/>
    <w:rsid w:val="00E07D2A"/>
    <w:rsid w:val="00E10F9D"/>
    <w:rsid w:val="00E11270"/>
    <w:rsid w:val="00E115B4"/>
    <w:rsid w:val="00E11A15"/>
    <w:rsid w:val="00E12D5D"/>
    <w:rsid w:val="00E14BC1"/>
    <w:rsid w:val="00E150D0"/>
    <w:rsid w:val="00E15F47"/>
    <w:rsid w:val="00E16563"/>
    <w:rsid w:val="00E167ED"/>
    <w:rsid w:val="00E171C2"/>
    <w:rsid w:val="00E20542"/>
    <w:rsid w:val="00E21914"/>
    <w:rsid w:val="00E234BE"/>
    <w:rsid w:val="00E24C40"/>
    <w:rsid w:val="00E2615F"/>
    <w:rsid w:val="00E26AE7"/>
    <w:rsid w:val="00E27142"/>
    <w:rsid w:val="00E278F8"/>
    <w:rsid w:val="00E303F1"/>
    <w:rsid w:val="00E305AA"/>
    <w:rsid w:val="00E30C0D"/>
    <w:rsid w:val="00E311FE"/>
    <w:rsid w:val="00E31D2D"/>
    <w:rsid w:val="00E31DEB"/>
    <w:rsid w:val="00E323DF"/>
    <w:rsid w:val="00E32A0A"/>
    <w:rsid w:val="00E345F3"/>
    <w:rsid w:val="00E3480F"/>
    <w:rsid w:val="00E34A0B"/>
    <w:rsid w:val="00E35066"/>
    <w:rsid w:val="00E353D2"/>
    <w:rsid w:val="00E35A74"/>
    <w:rsid w:val="00E35E78"/>
    <w:rsid w:val="00E363BF"/>
    <w:rsid w:val="00E365C0"/>
    <w:rsid w:val="00E365FA"/>
    <w:rsid w:val="00E36F35"/>
    <w:rsid w:val="00E41886"/>
    <w:rsid w:val="00E42736"/>
    <w:rsid w:val="00E43517"/>
    <w:rsid w:val="00E43C40"/>
    <w:rsid w:val="00E44630"/>
    <w:rsid w:val="00E44D75"/>
    <w:rsid w:val="00E44E70"/>
    <w:rsid w:val="00E45955"/>
    <w:rsid w:val="00E46572"/>
    <w:rsid w:val="00E46635"/>
    <w:rsid w:val="00E4685E"/>
    <w:rsid w:val="00E47046"/>
    <w:rsid w:val="00E47580"/>
    <w:rsid w:val="00E475B2"/>
    <w:rsid w:val="00E47E99"/>
    <w:rsid w:val="00E508D0"/>
    <w:rsid w:val="00E50A06"/>
    <w:rsid w:val="00E511BD"/>
    <w:rsid w:val="00E5207C"/>
    <w:rsid w:val="00E523B3"/>
    <w:rsid w:val="00E54065"/>
    <w:rsid w:val="00E545CD"/>
    <w:rsid w:val="00E554AF"/>
    <w:rsid w:val="00E57340"/>
    <w:rsid w:val="00E6017F"/>
    <w:rsid w:val="00E60A7B"/>
    <w:rsid w:val="00E60D48"/>
    <w:rsid w:val="00E611CC"/>
    <w:rsid w:val="00E6227E"/>
    <w:rsid w:val="00E626B6"/>
    <w:rsid w:val="00E63E2D"/>
    <w:rsid w:val="00E6456B"/>
    <w:rsid w:val="00E64D54"/>
    <w:rsid w:val="00E64F29"/>
    <w:rsid w:val="00E663BA"/>
    <w:rsid w:val="00E66932"/>
    <w:rsid w:val="00E67881"/>
    <w:rsid w:val="00E70033"/>
    <w:rsid w:val="00E70135"/>
    <w:rsid w:val="00E70461"/>
    <w:rsid w:val="00E7069A"/>
    <w:rsid w:val="00E70A57"/>
    <w:rsid w:val="00E71351"/>
    <w:rsid w:val="00E714BE"/>
    <w:rsid w:val="00E71728"/>
    <w:rsid w:val="00E737F7"/>
    <w:rsid w:val="00E740A7"/>
    <w:rsid w:val="00E748F1"/>
    <w:rsid w:val="00E74A55"/>
    <w:rsid w:val="00E75202"/>
    <w:rsid w:val="00E75DF2"/>
    <w:rsid w:val="00E7702F"/>
    <w:rsid w:val="00E775D4"/>
    <w:rsid w:val="00E7769F"/>
    <w:rsid w:val="00E77756"/>
    <w:rsid w:val="00E77ACA"/>
    <w:rsid w:val="00E77B8F"/>
    <w:rsid w:val="00E8141A"/>
    <w:rsid w:val="00E81EC5"/>
    <w:rsid w:val="00E825ED"/>
    <w:rsid w:val="00E82F28"/>
    <w:rsid w:val="00E835AC"/>
    <w:rsid w:val="00E84027"/>
    <w:rsid w:val="00E850B8"/>
    <w:rsid w:val="00E850FE"/>
    <w:rsid w:val="00E85D1F"/>
    <w:rsid w:val="00E86059"/>
    <w:rsid w:val="00E86F0B"/>
    <w:rsid w:val="00E87877"/>
    <w:rsid w:val="00E879C9"/>
    <w:rsid w:val="00E90016"/>
    <w:rsid w:val="00E905A4"/>
    <w:rsid w:val="00E914ED"/>
    <w:rsid w:val="00E928C6"/>
    <w:rsid w:val="00E9341F"/>
    <w:rsid w:val="00E93D37"/>
    <w:rsid w:val="00E93DB4"/>
    <w:rsid w:val="00E93DD4"/>
    <w:rsid w:val="00E94CA8"/>
    <w:rsid w:val="00E94F0B"/>
    <w:rsid w:val="00E956D4"/>
    <w:rsid w:val="00E95CB2"/>
    <w:rsid w:val="00E968D7"/>
    <w:rsid w:val="00E96C9B"/>
    <w:rsid w:val="00EA08B1"/>
    <w:rsid w:val="00EA0AE5"/>
    <w:rsid w:val="00EA147D"/>
    <w:rsid w:val="00EA18AF"/>
    <w:rsid w:val="00EA192A"/>
    <w:rsid w:val="00EA289A"/>
    <w:rsid w:val="00EA30AA"/>
    <w:rsid w:val="00EA30F5"/>
    <w:rsid w:val="00EA44A9"/>
    <w:rsid w:val="00EA5016"/>
    <w:rsid w:val="00EA5310"/>
    <w:rsid w:val="00EA5E0C"/>
    <w:rsid w:val="00EA5F60"/>
    <w:rsid w:val="00EA69A1"/>
    <w:rsid w:val="00EA6E93"/>
    <w:rsid w:val="00EA71FA"/>
    <w:rsid w:val="00EA7A2A"/>
    <w:rsid w:val="00EB1807"/>
    <w:rsid w:val="00EB1995"/>
    <w:rsid w:val="00EB21BE"/>
    <w:rsid w:val="00EB27CC"/>
    <w:rsid w:val="00EB2EFD"/>
    <w:rsid w:val="00EB49DB"/>
    <w:rsid w:val="00EB6299"/>
    <w:rsid w:val="00EB632A"/>
    <w:rsid w:val="00EB6B8D"/>
    <w:rsid w:val="00EB6CF1"/>
    <w:rsid w:val="00EB6EFB"/>
    <w:rsid w:val="00EB78EA"/>
    <w:rsid w:val="00EB7BF1"/>
    <w:rsid w:val="00EC01D8"/>
    <w:rsid w:val="00EC06F0"/>
    <w:rsid w:val="00EC0912"/>
    <w:rsid w:val="00EC0DB5"/>
    <w:rsid w:val="00EC17BB"/>
    <w:rsid w:val="00EC1977"/>
    <w:rsid w:val="00EC2088"/>
    <w:rsid w:val="00EC2111"/>
    <w:rsid w:val="00EC274D"/>
    <w:rsid w:val="00EC38FD"/>
    <w:rsid w:val="00EC3D3E"/>
    <w:rsid w:val="00EC517B"/>
    <w:rsid w:val="00EC576A"/>
    <w:rsid w:val="00EC5816"/>
    <w:rsid w:val="00EC5838"/>
    <w:rsid w:val="00EC5BD1"/>
    <w:rsid w:val="00EC5BFC"/>
    <w:rsid w:val="00EC615B"/>
    <w:rsid w:val="00EC6798"/>
    <w:rsid w:val="00EC6A81"/>
    <w:rsid w:val="00EC6B30"/>
    <w:rsid w:val="00EC6E05"/>
    <w:rsid w:val="00EC7929"/>
    <w:rsid w:val="00ED1A6D"/>
    <w:rsid w:val="00ED1F06"/>
    <w:rsid w:val="00ED321E"/>
    <w:rsid w:val="00ED440A"/>
    <w:rsid w:val="00ED460F"/>
    <w:rsid w:val="00ED4E3A"/>
    <w:rsid w:val="00ED56D0"/>
    <w:rsid w:val="00ED5E8C"/>
    <w:rsid w:val="00ED6831"/>
    <w:rsid w:val="00ED7330"/>
    <w:rsid w:val="00ED741D"/>
    <w:rsid w:val="00EE0AB4"/>
    <w:rsid w:val="00EE16D2"/>
    <w:rsid w:val="00EE2FB1"/>
    <w:rsid w:val="00EE3A42"/>
    <w:rsid w:val="00EE3BBD"/>
    <w:rsid w:val="00EE4499"/>
    <w:rsid w:val="00EE4D99"/>
    <w:rsid w:val="00EE5110"/>
    <w:rsid w:val="00EE62DF"/>
    <w:rsid w:val="00EE65BC"/>
    <w:rsid w:val="00EE686E"/>
    <w:rsid w:val="00EE70D3"/>
    <w:rsid w:val="00EE754D"/>
    <w:rsid w:val="00EF00B8"/>
    <w:rsid w:val="00EF0E19"/>
    <w:rsid w:val="00EF16A3"/>
    <w:rsid w:val="00EF254D"/>
    <w:rsid w:val="00EF2BAA"/>
    <w:rsid w:val="00EF44F7"/>
    <w:rsid w:val="00EF471A"/>
    <w:rsid w:val="00EF5B17"/>
    <w:rsid w:val="00EF60A0"/>
    <w:rsid w:val="00EF663A"/>
    <w:rsid w:val="00EF6829"/>
    <w:rsid w:val="00EF692E"/>
    <w:rsid w:val="00EF6F41"/>
    <w:rsid w:val="00F005AC"/>
    <w:rsid w:val="00F008F6"/>
    <w:rsid w:val="00F00A4D"/>
    <w:rsid w:val="00F02DE5"/>
    <w:rsid w:val="00F02EE3"/>
    <w:rsid w:val="00F0418B"/>
    <w:rsid w:val="00F04CA3"/>
    <w:rsid w:val="00F052FF"/>
    <w:rsid w:val="00F0673C"/>
    <w:rsid w:val="00F06A67"/>
    <w:rsid w:val="00F06C34"/>
    <w:rsid w:val="00F0740E"/>
    <w:rsid w:val="00F106A3"/>
    <w:rsid w:val="00F10826"/>
    <w:rsid w:val="00F10A23"/>
    <w:rsid w:val="00F10D50"/>
    <w:rsid w:val="00F10DDE"/>
    <w:rsid w:val="00F10E4D"/>
    <w:rsid w:val="00F11688"/>
    <w:rsid w:val="00F11B72"/>
    <w:rsid w:val="00F138A3"/>
    <w:rsid w:val="00F14554"/>
    <w:rsid w:val="00F14629"/>
    <w:rsid w:val="00F1615C"/>
    <w:rsid w:val="00F162CA"/>
    <w:rsid w:val="00F16779"/>
    <w:rsid w:val="00F16BE9"/>
    <w:rsid w:val="00F2049E"/>
    <w:rsid w:val="00F20DB1"/>
    <w:rsid w:val="00F21545"/>
    <w:rsid w:val="00F2190D"/>
    <w:rsid w:val="00F22060"/>
    <w:rsid w:val="00F22200"/>
    <w:rsid w:val="00F23A7E"/>
    <w:rsid w:val="00F2491D"/>
    <w:rsid w:val="00F25301"/>
    <w:rsid w:val="00F25480"/>
    <w:rsid w:val="00F26691"/>
    <w:rsid w:val="00F27430"/>
    <w:rsid w:val="00F30A19"/>
    <w:rsid w:val="00F30BB1"/>
    <w:rsid w:val="00F323A9"/>
    <w:rsid w:val="00F32453"/>
    <w:rsid w:val="00F34D23"/>
    <w:rsid w:val="00F34FD0"/>
    <w:rsid w:val="00F359B9"/>
    <w:rsid w:val="00F35CCB"/>
    <w:rsid w:val="00F35CD9"/>
    <w:rsid w:val="00F405B9"/>
    <w:rsid w:val="00F40605"/>
    <w:rsid w:val="00F40765"/>
    <w:rsid w:val="00F41169"/>
    <w:rsid w:val="00F419E3"/>
    <w:rsid w:val="00F41AD9"/>
    <w:rsid w:val="00F41B9E"/>
    <w:rsid w:val="00F426D5"/>
    <w:rsid w:val="00F430C7"/>
    <w:rsid w:val="00F440E1"/>
    <w:rsid w:val="00F44B4E"/>
    <w:rsid w:val="00F457B3"/>
    <w:rsid w:val="00F45B8B"/>
    <w:rsid w:val="00F45C66"/>
    <w:rsid w:val="00F4620C"/>
    <w:rsid w:val="00F51C4C"/>
    <w:rsid w:val="00F53E6C"/>
    <w:rsid w:val="00F5446A"/>
    <w:rsid w:val="00F54B69"/>
    <w:rsid w:val="00F54C45"/>
    <w:rsid w:val="00F55248"/>
    <w:rsid w:val="00F552C7"/>
    <w:rsid w:val="00F55396"/>
    <w:rsid w:val="00F553EF"/>
    <w:rsid w:val="00F55587"/>
    <w:rsid w:val="00F55B70"/>
    <w:rsid w:val="00F578DE"/>
    <w:rsid w:val="00F605F5"/>
    <w:rsid w:val="00F60D73"/>
    <w:rsid w:val="00F61ECE"/>
    <w:rsid w:val="00F62C41"/>
    <w:rsid w:val="00F64389"/>
    <w:rsid w:val="00F64891"/>
    <w:rsid w:val="00F64B64"/>
    <w:rsid w:val="00F64FDE"/>
    <w:rsid w:val="00F65221"/>
    <w:rsid w:val="00F654EA"/>
    <w:rsid w:val="00F654FA"/>
    <w:rsid w:val="00F65BB8"/>
    <w:rsid w:val="00F65E49"/>
    <w:rsid w:val="00F65FFA"/>
    <w:rsid w:val="00F66B02"/>
    <w:rsid w:val="00F66C21"/>
    <w:rsid w:val="00F67102"/>
    <w:rsid w:val="00F67EDB"/>
    <w:rsid w:val="00F70758"/>
    <w:rsid w:val="00F7152E"/>
    <w:rsid w:val="00F7328D"/>
    <w:rsid w:val="00F74B24"/>
    <w:rsid w:val="00F752B3"/>
    <w:rsid w:val="00F75E9C"/>
    <w:rsid w:val="00F7607D"/>
    <w:rsid w:val="00F76393"/>
    <w:rsid w:val="00F76DA4"/>
    <w:rsid w:val="00F76F8A"/>
    <w:rsid w:val="00F8019B"/>
    <w:rsid w:val="00F80488"/>
    <w:rsid w:val="00F80843"/>
    <w:rsid w:val="00F80AD3"/>
    <w:rsid w:val="00F8144C"/>
    <w:rsid w:val="00F81F51"/>
    <w:rsid w:val="00F8267D"/>
    <w:rsid w:val="00F84851"/>
    <w:rsid w:val="00F84D46"/>
    <w:rsid w:val="00F85A80"/>
    <w:rsid w:val="00F86697"/>
    <w:rsid w:val="00F86801"/>
    <w:rsid w:val="00F869F0"/>
    <w:rsid w:val="00F86AED"/>
    <w:rsid w:val="00F90224"/>
    <w:rsid w:val="00F9113D"/>
    <w:rsid w:val="00F912CC"/>
    <w:rsid w:val="00F91FA5"/>
    <w:rsid w:val="00F92AD7"/>
    <w:rsid w:val="00F92CF0"/>
    <w:rsid w:val="00F94D61"/>
    <w:rsid w:val="00F95556"/>
    <w:rsid w:val="00F95C26"/>
    <w:rsid w:val="00F96D2A"/>
    <w:rsid w:val="00F96F23"/>
    <w:rsid w:val="00F97198"/>
    <w:rsid w:val="00F977B9"/>
    <w:rsid w:val="00F97DEF"/>
    <w:rsid w:val="00FA0350"/>
    <w:rsid w:val="00FA3F4F"/>
    <w:rsid w:val="00FA40B1"/>
    <w:rsid w:val="00FA46F8"/>
    <w:rsid w:val="00FA693F"/>
    <w:rsid w:val="00FA69EB"/>
    <w:rsid w:val="00FA7600"/>
    <w:rsid w:val="00FA7745"/>
    <w:rsid w:val="00FA7DEA"/>
    <w:rsid w:val="00FB0862"/>
    <w:rsid w:val="00FB0896"/>
    <w:rsid w:val="00FB09F0"/>
    <w:rsid w:val="00FB0AC1"/>
    <w:rsid w:val="00FB19BB"/>
    <w:rsid w:val="00FB41C7"/>
    <w:rsid w:val="00FB50BC"/>
    <w:rsid w:val="00FB5274"/>
    <w:rsid w:val="00FB587C"/>
    <w:rsid w:val="00FB58A9"/>
    <w:rsid w:val="00FB681C"/>
    <w:rsid w:val="00FB71D2"/>
    <w:rsid w:val="00FB72BB"/>
    <w:rsid w:val="00FB7C04"/>
    <w:rsid w:val="00FC11FC"/>
    <w:rsid w:val="00FC1E2D"/>
    <w:rsid w:val="00FC2B66"/>
    <w:rsid w:val="00FC352A"/>
    <w:rsid w:val="00FC359D"/>
    <w:rsid w:val="00FC40D8"/>
    <w:rsid w:val="00FC41BD"/>
    <w:rsid w:val="00FC487C"/>
    <w:rsid w:val="00FC4D2D"/>
    <w:rsid w:val="00FC4E69"/>
    <w:rsid w:val="00FC5C2A"/>
    <w:rsid w:val="00FC5F08"/>
    <w:rsid w:val="00FC5F5D"/>
    <w:rsid w:val="00FC61F9"/>
    <w:rsid w:val="00FC622E"/>
    <w:rsid w:val="00FC66E0"/>
    <w:rsid w:val="00FD0437"/>
    <w:rsid w:val="00FD051E"/>
    <w:rsid w:val="00FD0688"/>
    <w:rsid w:val="00FD0BD6"/>
    <w:rsid w:val="00FD12CD"/>
    <w:rsid w:val="00FD1309"/>
    <w:rsid w:val="00FD14DE"/>
    <w:rsid w:val="00FD28F1"/>
    <w:rsid w:val="00FD44C2"/>
    <w:rsid w:val="00FD452A"/>
    <w:rsid w:val="00FD4FFA"/>
    <w:rsid w:val="00FD705E"/>
    <w:rsid w:val="00FD76AA"/>
    <w:rsid w:val="00FE0A16"/>
    <w:rsid w:val="00FE0C04"/>
    <w:rsid w:val="00FE1437"/>
    <w:rsid w:val="00FE1529"/>
    <w:rsid w:val="00FE1A12"/>
    <w:rsid w:val="00FE2D54"/>
    <w:rsid w:val="00FE2F3C"/>
    <w:rsid w:val="00FE43BE"/>
    <w:rsid w:val="00FE4710"/>
    <w:rsid w:val="00FE4736"/>
    <w:rsid w:val="00FE4898"/>
    <w:rsid w:val="00FE5304"/>
    <w:rsid w:val="00FE740A"/>
    <w:rsid w:val="00FE7866"/>
    <w:rsid w:val="00FE7C19"/>
    <w:rsid w:val="00FF06D9"/>
    <w:rsid w:val="00FF0849"/>
    <w:rsid w:val="00FF0A08"/>
    <w:rsid w:val="00FF1647"/>
    <w:rsid w:val="00FF22B8"/>
    <w:rsid w:val="00FF2F76"/>
    <w:rsid w:val="00FF3F2D"/>
    <w:rsid w:val="00FF4025"/>
    <w:rsid w:val="00FF4A63"/>
    <w:rsid w:val="00FF4F57"/>
    <w:rsid w:val="00FF54B8"/>
    <w:rsid w:val="00FF7497"/>
    <w:rsid w:val="00FF7835"/>
    <w:rsid w:val="00FF784D"/>
    <w:rsid w:val="0104458B"/>
    <w:rsid w:val="0133758F"/>
    <w:rsid w:val="01640518"/>
    <w:rsid w:val="016D57FA"/>
    <w:rsid w:val="017A6055"/>
    <w:rsid w:val="01956F93"/>
    <w:rsid w:val="019B53E2"/>
    <w:rsid w:val="01C41113"/>
    <w:rsid w:val="01D279D6"/>
    <w:rsid w:val="01DF1D31"/>
    <w:rsid w:val="01F92D80"/>
    <w:rsid w:val="01F954D4"/>
    <w:rsid w:val="01FD4042"/>
    <w:rsid w:val="020458F6"/>
    <w:rsid w:val="02673CEB"/>
    <w:rsid w:val="026D0521"/>
    <w:rsid w:val="0272173C"/>
    <w:rsid w:val="027D02FE"/>
    <w:rsid w:val="028326FA"/>
    <w:rsid w:val="028B5747"/>
    <w:rsid w:val="02B83F1D"/>
    <w:rsid w:val="02B96CB0"/>
    <w:rsid w:val="03026A0B"/>
    <w:rsid w:val="03186D24"/>
    <w:rsid w:val="032B3844"/>
    <w:rsid w:val="03395FEA"/>
    <w:rsid w:val="035A307B"/>
    <w:rsid w:val="0388410D"/>
    <w:rsid w:val="03A43FBF"/>
    <w:rsid w:val="03BA25ED"/>
    <w:rsid w:val="04006A2B"/>
    <w:rsid w:val="0409276C"/>
    <w:rsid w:val="045836F1"/>
    <w:rsid w:val="04F902ED"/>
    <w:rsid w:val="054B3988"/>
    <w:rsid w:val="057B39E0"/>
    <w:rsid w:val="057D4BD1"/>
    <w:rsid w:val="05886E77"/>
    <w:rsid w:val="058A3C4A"/>
    <w:rsid w:val="05C518F2"/>
    <w:rsid w:val="05C555C6"/>
    <w:rsid w:val="05CE6C7E"/>
    <w:rsid w:val="06080586"/>
    <w:rsid w:val="060F2843"/>
    <w:rsid w:val="0620408A"/>
    <w:rsid w:val="063D0ACC"/>
    <w:rsid w:val="06667525"/>
    <w:rsid w:val="067D1B0C"/>
    <w:rsid w:val="06885230"/>
    <w:rsid w:val="06B405F7"/>
    <w:rsid w:val="06B85605"/>
    <w:rsid w:val="06BA4742"/>
    <w:rsid w:val="06C5167C"/>
    <w:rsid w:val="073432EC"/>
    <w:rsid w:val="075637EA"/>
    <w:rsid w:val="075C60BF"/>
    <w:rsid w:val="076520D3"/>
    <w:rsid w:val="076E75D8"/>
    <w:rsid w:val="07C04B38"/>
    <w:rsid w:val="07D72EA9"/>
    <w:rsid w:val="07E472F9"/>
    <w:rsid w:val="07FA5809"/>
    <w:rsid w:val="080839BA"/>
    <w:rsid w:val="080D3087"/>
    <w:rsid w:val="08187E7F"/>
    <w:rsid w:val="08721009"/>
    <w:rsid w:val="089B4E12"/>
    <w:rsid w:val="089F7BB5"/>
    <w:rsid w:val="08D03634"/>
    <w:rsid w:val="08E77122"/>
    <w:rsid w:val="09220E03"/>
    <w:rsid w:val="09235FAE"/>
    <w:rsid w:val="09440A55"/>
    <w:rsid w:val="094E5E8B"/>
    <w:rsid w:val="09513AC6"/>
    <w:rsid w:val="09570B83"/>
    <w:rsid w:val="097D6385"/>
    <w:rsid w:val="0980144C"/>
    <w:rsid w:val="098B2F1A"/>
    <w:rsid w:val="09C736B1"/>
    <w:rsid w:val="09D12691"/>
    <w:rsid w:val="09DA7976"/>
    <w:rsid w:val="09DE7D03"/>
    <w:rsid w:val="09E667D0"/>
    <w:rsid w:val="0A2A52A4"/>
    <w:rsid w:val="0A425AE5"/>
    <w:rsid w:val="0A7F444C"/>
    <w:rsid w:val="0A8B48B0"/>
    <w:rsid w:val="0A8D4D2E"/>
    <w:rsid w:val="0AAF72EA"/>
    <w:rsid w:val="0AF41A11"/>
    <w:rsid w:val="0B0405DA"/>
    <w:rsid w:val="0B0C7351"/>
    <w:rsid w:val="0B3138BD"/>
    <w:rsid w:val="0B4827D7"/>
    <w:rsid w:val="0B4C466E"/>
    <w:rsid w:val="0B525F23"/>
    <w:rsid w:val="0B54287F"/>
    <w:rsid w:val="0B5C10FD"/>
    <w:rsid w:val="0B8F4F60"/>
    <w:rsid w:val="0BC15C42"/>
    <w:rsid w:val="0BCE4DC7"/>
    <w:rsid w:val="0BF476EA"/>
    <w:rsid w:val="0C0C5967"/>
    <w:rsid w:val="0C2E67E4"/>
    <w:rsid w:val="0C623C90"/>
    <w:rsid w:val="0C6939A6"/>
    <w:rsid w:val="0C873461"/>
    <w:rsid w:val="0CAE6E4A"/>
    <w:rsid w:val="0CB40839"/>
    <w:rsid w:val="0CDF41BF"/>
    <w:rsid w:val="0CEC5419"/>
    <w:rsid w:val="0CFA74C1"/>
    <w:rsid w:val="0D0316DE"/>
    <w:rsid w:val="0D0B0DAD"/>
    <w:rsid w:val="0D0F2DE6"/>
    <w:rsid w:val="0D1A404E"/>
    <w:rsid w:val="0D1A7B4B"/>
    <w:rsid w:val="0D254B47"/>
    <w:rsid w:val="0DAE15DF"/>
    <w:rsid w:val="0DE011D7"/>
    <w:rsid w:val="0DED6C3C"/>
    <w:rsid w:val="0DF77E44"/>
    <w:rsid w:val="0E140D02"/>
    <w:rsid w:val="0E4256B8"/>
    <w:rsid w:val="0E461E6E"/>
    <w:rsid w:val="0E951E2D"/>
    <w:rsid w:val="0EB04C1D"/>
    <w:rsid w:val="0ED32755"/>
    <w:rsid w:val="0ED60439"/>
    <w:rsid w:val="0F0F7EFA"/>
    <w:rsid w:val="0F2036E7"/>
    <w:rsid w:val="0F565086"/>
    <w:rsid w:val="0F572DAE"/>
    <w:rsid w:val="0F5825A4"/>
    <w:rsid w:val="0F840E19"/>
    <w:rsid w:val="0F890D17"/>
    <w:rsid w:val="0F9C6460"/>
    <w:rsid w:val="0FA27879"/>
    <w:rsid w:val="0FBD5EF4"/>
    <w:rsid w:val="0FCC044D"/>
    <w:rsid w:val="0FD854CE"/>
    <w:rsid w:val="0FED709C"/>
    <w:rsid w:val="0FFC53D4"/>
    <w:rsid w:val="100162AE"/>
    <w:rsid w:val="10025C94"/>
    <w:rsid w:val="10216377"/>
    <w:rsid w:val="1030066E"/>
    <w:rsid w:val="104A131B"/>
    <w:rsid w:val="109E1DEB"/>
    <w:rsid w:val="10DA157D"/>
    <w:rsid w:val="114809B7"/>
    <w:rsid w:val="1164759D"/>
    <w:rsid w:val="117B74D9"/>
    <w:rsid w:val="11AD0C25"/>
    <w:rsid w:val="11CD49CA"/>
    <w:rsid w:val="11F373CA"/>
    <w:rsid w:val="12110C5C"/>
    <w:rsid w:val="12772755"/>
    <w:rsid w:val="12BD132F"/>
    <w:rsid w:val="12CE0564"/>
    <w:rsid w:val="12E615C9"/>
    <w:rsid w:val="12F059D1"/>
    <w:rsid w:val="130A0F96"/>
    <w:rsid w:val="13220D54"/>
    <w:rsid w:val="133348AD"/>
    <w:rsid w:val="13525B1D"/>
    <w:rsid w:val="13696028"/>
    <w:rsid w:val="139934F3"/>
    <w:rsid w:val="13E97E92"/>
    <w:rsid w:val="140D2A59"/>
    <w:rsid w:val="141E3874"/>
    <w:rsid w:val="143E00CE"/>
    <w:rsid w:val="146A6E8E"/>
    <w:rsid w:val="147B791F"/>
    <w:rsid w:val="14AD3953"/>
    <w:rsid w:val="14BE1DE8"/>
    <w:rsid w:val="14D26371"/>
    <w:rsid w:val="14E279DF"/>
    <w:rsid w:val="150342CB"/>
    <w:rsid w:val="1506086F"/>
    <w:rsid w:val="150F7544"/>
    <w:rsid w:val="15141771"/>
    <w:rsid w:val="151E6F20"/>
    <w:rsid w:val="15263142"/>
    <w:rsid w:val="152B0F93"/>
    <w:rsid w:val="153214E5"/>
    <w:rsid w:val="15341106"/>
    <w:rsid w:val="15477660"/>
    <w:rsid w:val="154D7DE4"/>
    <w:rsid w:val="15662480"/>
    <w:rsid w:val="156E3F86"/>
    <w:rsid w:val="15953F29"/>
    <w:rsid w:val="15B36D47"/>
    <w:rsid w:val="15F15AC1"/>
    <w:rsid w:val="1606497D"/>
    <w:rsid w:val="165F21A3"/>
    <w:rsid w:val="16647696"/>
    <w:rsid w:val="16A4068F"/>
    <w:rsid w:val="170D0C8A"/>
    <w:rsid w:val="1726591C"/>
    <w:rsid w:val="17384992"/>
    <w:rsid w:val="17843C25"/>
    <w:rsid w:val="178C5750"/>
    <w:rsid w:val="17EA65A4"/>
    <w:rsid w:val="17FD5C86"/>
    <w:rsid w:val="180247C3"/>
    <w:rsid w:val="18343FFF"/>
    <w:rsid w:val="183744C0"/>
    <w:rsid w:val="184B0F97"/>
    <w:rsid w:val="185F343A"/>
    <w:rsid w:val="1876171F"/>
    <w:rsid w:val="189026E3"/>
    <w:rsid w:val="189059A1"/>
    <w:rsid w:val="18975489"/>
    <w:rsid w:val="18B53599"/>
    <w:rsid w:val="190F4E12"/>
    <w:rsid w:val="19230F50"/>
    <w:rsid w:val="19304014"/>
    <w:rsid w:val="19375EE1"/>
    <w:rsid w:val="19584D2D"/>
    <w:rsid w:val="199D0935"/>
    <w:rsid w:val="1A2B1DC2"/>
    <w:rsid w:val="1A827FFE"/>
    <w:rsid w:val="1A8C7994"/>
    <w:rsid w:val="1A8F413B"/>
    <w:rsid w:val="1A9A3794"/>
    <w:rsid w:val="1AB6217A"/>
    <w:rsid w:val="1AC75372"/>
    <w:rsid w:val="1ACA0F29"/>
    <w:rsid w:val="1AEF58C2"/>
    <w:rsid w:val="1B071D87"/>
    <w:rsid w:val="1B0F3D40"/>
    <w:rsid w:val="1B1C6848"/>
    <w:rsid w:val="1B2D23AB"/>
    <w:rsid w:val="1B434E49"/>
    <w:rsid w:val="1B466A2A"/>
    <w:rsid w:val="1B7E091C"/>
    <w:rsid w:val="1B8265A5"/>
    <w:rsid w:val="1B8913EB"/>
    <w:rsid w:val="1BCE681B"/>
    <w:rsid w:val="1BDA0C95"/>
    <w:rsid w:val="1BE258E0"/>
    <w:rsid w:val="1BE56AC9"/>
    <w:rsid w:val="1BF43FD9"/>
    <w:rsid w:val="1C12322B"/>
    <w:rsid w:val="1C124AEB"/>
    <w:rsid w:val="1C1450E3"/>
    <w:rsid w:val="1C2C4884"/>
    <w:rsid w:val="1C2E4DFD"/>
    <w:rsid w:val="1C480375"/>
    <w:rsid w:val="1C62492D"/>
    <w:rsid w:val="1C6C6C7A"/>
    <w:rsid w:val="1C7C30D0"/>
    <w:rsid w:val="1C8C6544"/>
    <w:rsid w:val="1CDB1FF0"/>
    <w:rsid w:val="1D047631"/>
    <w:rsid w:val="1D187D1E"/>
    <w:rsid w:val="1D1E5006"/>
    <w:rsid w:val="1DAC4008"/>
    <w:rsid w:val="1DC3043A"/>
    <w:rsid w:val="1DE52654"/>
    <w:rsid w:val="1E157496"/>
    <w:rsid w:val="1E1B1837"/>
    <w:rsid w:val="1E3A5066"/>
    <w:rsid w:val="1E3F7864"/>
    <w:rsid w:val="1E6E4862"/>
    <w:rsid w:val="1E82106B"/>
    <w:rsid w:val="1EAB79B8"/>
    <w:rsid w:val="1EB32B16"/>
    <w:rsid w:val="1ECD1BD7"/>
    <w:rsid w:val="1EDE362D"/>
    <w:rsid w:val="1EDE3910"/>
    <w:rsid w:val="1F120AE9"/>
    <w:rsid w:val="1F390DB9"/>
    <w:rsid w:val="1F3A7674"/>
    <w:rsid w:val="1F945ADB"/>
    <w:rsid w:val="1FEA3F52"/>
    <w:rsid w:val="1FF1726E"/>
    <w:rsid w:val="200417AB"/>
    <w:rsid w:val="202C46B2"/>
    <w:rsid w:val="204145CD"/>
    <w:rsid w:val="20AB4C76"/>
    <w:rsid w:val="20F3118C"/>
    <w:rsid w:val="21285A05"/>
    <w:rsid w:val="213C07A8"/>
    <w:rsid w:val="216F7B6E"/>
    <w:rsid w:val="21864FA7"/>
    <w:rsid w:val="219016C0"/>
    <w:rsid w:val="21932BE4"/>
    <w:rsid w:val="21B955C6"/>
    <w:rsid w:val="21D17CB7"/>
    <w:rsid w:val="21D932F2"/>
    <w:rsid w:val="21D94230"/>
    <w:rsid w:val="21E704CA"/>
    <w:rsid w:val="222474BF"/>
    <w:rsid w:val="222C10C5"/>
    <w:rsid w:val="22836B71"/>
    <w:rsid w:val="2294503F"/>
    <w:rsid w:val="22A76527"/>
    <w:rsid w:val="22DC2DB3"/>
    <w:rsid w:val="22FE2E0C"/>
    <w:rsid w:val="232D1C8D"/>
    <w:rsid w:val="23671921"/>
    <w:rsid w:val="23841BD9"/>
    <w:rsid w:val="239F04F3"/>
    <w:rsid w:val="23A010F0"/>
    <w:rsid w:val="23CE47E7"/>
    <w:rsid w:val="23F61D9C"/>
    <w:rsid w:val="23F738D7"/>
    <w:rsid w:val="2446410F"/>
    <w:rsid w:val="24963554"/>
    <w:rsid w:val="249656F3"/>
    <w:rsid w:val="249917FE"/>
    <w:rsid w:val="24B610FA"/>
    <w:rsid w:val="252C1A2E"/>
    <w:rsid w:val="25886BE3"/>
    <w:rsid w:val="25B07A26"/>
    <w:rsid w:val="25C16051"/>
    <w:rsid w:val="25ED2172"/>
    <w:rsid w:val="25FF65CF"/>
    <w:rsid w:val="26034647"/>
    <w:rsid w:val="261E5379"/>
    <w:rsid w:val="264048FF"/>
    <w:rsid w:val="265C2DD3"/>
    <w:rsid w:val="265E1183"/>
    <w:rsid w:val="26A96E8E"/>
    <w:rsid w:val="26CE139B"/>
    <w:rsid w:val="26D7660D"/>
    <w:rsid w:val="27012EBF"/>
    <w:rsid w:val="270E6D97"/>
    <w:rsid w:val="27105E71"/>
    <w:rsid w:val="271105A4"/>
    <w:rsid w:val="271C092F"/>
    <w:rsid w:val="274B54E9"/>
    <w:rsid w:val="2768006F"/>
    <w:rsid w:val="277D1DB1"/>
    <w:rsid w:val="27AA4769"/>
    <w:rsid w:val="27ED64B9"/>
    <w:rsid w:val="27F31232"/>
    <w:rsid w:val="280B6E46"/>
    <w:rsid w:val="284D4DD9"/>
    <w:rsid w:val="285E50E5"/>
    <w:rsid w:val="287A5D4B"/>
    <w:rsid w:val="2891170D"/>
    <w:rsid w:val="28AA6DA0"/>
    <w:rsid w:val="28CB5BE0"/>
    <w:rsid w:val="28EA0C9D"/>
    <w:rsid w:val="28F03F58"/>
    <w:rsid w:val="28FF2BF1"/>
    <w:rsid w:val="29135029"/>
    <w:rsid w:val="291746DE"/>
    <w:rsid w:val="291E64FD"/>
    <w:rsid w:val="293F6408"/>
    <w:rsid w:val="29677EAC"/>
    <w:rsid w:val="296E1BA6"/>
    <w:rsid w:val="2972448D"/>
    <w:rsid w:val="29777B12"/>
    <w:rsid w:val="29A42A73"/>
    <w:rsid w:val="29B41ABF"/>
    <w:rsid w:val="29CA2C4E"/>
    <w:rsid w:val="2A1B7E77"/>
    <w:rsid w:val="2A4027BC"/>
    <w:rsid w:val="2A602652"/>
    <w:rsid w:val="2AB0092A"/>
    <w:rsid w:val="2AD06D94"/>
    <w:rsid w:val="2AE02C51"/>
    <w:rsid w:val="2AE64466"/>
    <w:rsid w:val="2B0E16D2"/>
    <w:rsid w:val="2B1716CE"/>
    <w:rsid w:val="2B38542D"/>
    <w:rsid w:val="2B43781E"/>
    <w:rsid w:val="2B6C52CA"/>
    <w:rsid w:val="2B75215F"/>
    <w:rsid w:val="2B782CC2"/>
    <w:rsid w:val="2BA4331E"/>
    <w:rsid w:val="2BA72EB6"/>
    <w:rsid w:val="2BBD5701"/>
    <w:rsid w:val="2BC773D1"/>
    <w:rsid w:val="2BFD2DC5"/>
    <w:rsid w:val="2C19523E"/>
    <w:rsid w:val="2C6223C9"/>
    <w:rsid w:val="2C765FF1"/>
    <w:rsid w:val="2C77792C"/>
    <w:rsid w:val="2C7F3BA9"/>
    <w:rsid w:val="2CA85A95"/>
    <w:rsid w:val="2CB91342"/>
    <w:rsid w:val="2CD1673D"/>
    <w:rsid w:val="2CE87263"/>
    <w:rsid w:val="2CFA5C0F"/>
    <w:rsid w:val="2D154990"/>
    <w:rsid w:val="2D3F3BA4"/>
    <w:rsid w:val="2D886C00"/>
    <w:rsid w:val="2D8A3D5B"/>
    <w:rsid w:val="2DAF5059"/>
    <w:rsid w:val="2DBF2B4A"/>
    <w:rsid w:val="2E397741"/>
    <w:rsid w:val="2E3D2F06"/>
    <w:rsid w:val="2E53220A"/>
    <w:rsid w:val="2E695DB6"/>
    <w:rsid w:val="2E72456E"/>
    <w:rsid w:val="2EA73BA5"/>
    <w:rsid w:val="2EB43687"/>
    <w:rsid w:val="2ECC1D1F"/>
    <w:rsid w:val="2ED95C04"/>
    <w:rsid w:val="2EE04163"/>
    <w:rsid w:val="2F2627FA"/>
    <w:rsid w:val="2F9C0964"/>
    <w:rsid w:val="2F9E043D"/>
    <w:rsid w:val="2FB85027"/>
    <w:rsid w:val="2FEB0BD7"/>
    <w:rsid w:val="2FF03353"/>
    <w:rsid w:val="30263F63"/>
    <w:rsid w:val="30313B07"/>
    <w:rsid w:val="30645C10"/>
    <w:rsid w:val="30702C3E"/>
    <w:rsid w:val="308D1AEC"/>
    <w:rsid w:val="308E1D3F"/>
    <w:rsid w:val="30DA7865"/>
    <w:rsid w:val="30E166B5"/>
    <w:rsid w:val="30ED7376"/>
    <w:rsid w:val="311724AB"/>
    <w:rsid w:val="311F214E"/>
    <w:rsid w:val="31216F79"/>
    <w:rsid w:val="3152478A"/>
    <w:rsid w:val="319513A0"/>
    <w:rsid w:val="31AB45BC"/>
    <w:rsid w:val="31BA1CDF"/>
    <w:rsid w:val="31CC3BDF"/>
    <w:rsid w:val="31E56E8B"/>
    <w:rsid w:val="31FE2D9B"/>
    <w:rsid w:val="3200110E"/>
    <w:rsid w:val="321C64A9"/>
    <w:rsid w:val="32284277"/>
    <w:rsid w:val="3233692D"/>
    <w:rsid w:val="32516607"/>
    <w:rsid w:val="329267C1"/>
    <w:rsid w:val="32934090"/>
    <w:rsid w:val="329C2479"/>
    <w:rsid w:val="32B62DBE"/>
    <w:rsid w:val="32D103B5"/>
    <w:rsid w:val="32EB7DAF"/>
    <w:rsid w:val="32F16EDE"/>
    <w:rsid w:val="3368435D"/>
    <w:rsid w:val="33807805"/>
    <w:rsid w:val="339414D9"/>
    <w:rsid w:val="339E3C85"/>
    <w:rsid w:val="33B813EE"/>
    <w:rsid w:val="33D50207"/>
    <w:rsid w:val="33D765B5"/>
    <w:rsid w:val="33D77C4D"/>
    <w:rsid w:val="33EC7DBB"/>
    <w:rsid w:val="34007F6D"/>
    <w:rsid w:val="34062ABA"/>
    <w:rsid w:val="34085A9F"/>
    <w:rsid w:val="341E39AA"/>
    <w:rsid w:val="34241386"/>
    <w:rsid w:val="342B30BF"/>
    <w:rsid w:val="343B04AE"/>
    <w:rsid w:val="34514AB9"/>
    <w:rsid w:val="345C4C50"/>
    <w:rsid w:val="34655258"/>
    <w:rsid w:val="3470421E"/>
    <w:rsid w:val="349A66C0"/>
    <w:rsid w:val="34AC65B3"/>
    <w:rsid w:val="34C8321F"/>
    <w:rsid w:val="34CE11CA"/>
    <w:rsid w:val="34E55D94"/>
    <w:rsid w:val="353448B6"/>
    <w:rsid w:val="353F287E"/>
    <w:rsid w:val="35914485"/>
    <w:rsid w:val="35B139A8"/>
    <w:rsid w:val="35B960E0"/>
    <w:rsid w:val="35EC7188"/>
    <w:rsid w:val="35F42522"/>
    <w:rsid w:val="3617106C"/>
    <w:rsid w:val="3633380E"/>
    <w:rsid w:val="36546526"/>
    <w:rsid w:val="365550E2"/>
    <w:rsid w:val="365E7EE1"/>
    <w:rsid w:val="365F6999"/>
    <w:rsid w:val="366413ED"/>
    <w:rsid w:val="36980C13"/>
    <w:rsid w:val="36E14E00"/>
    <w:rsid w:val="36F5703C"/>
    <w:rsid w:val="36FC4E07"/>
    <w:rsid w:val="37170FFE"/>
    <w:rsid w:val="373C412D"/>
    <w:rsid w:val="37920A5A"/>
    <w:rsid w:val="37923071"/>
    <w:rsid w:val="37C02717"/>
    <w:rsid w:val="37D16988"/>
    <w:rsid w:val="37E011F8"/>
    <w:rsid w:val="37EF0A4F"/>
    <w:rsid w:val="37EF6DC8"/>
    <w:rsid w:val="38094CF1"/>
    <w:rsid w:val="382830B0"/>
    <w:rsid w:val="3845395B"/>
    <w:rsid w:val="3865335C"/>
    <w:rsid w:val="38691B28"/>
    <w:rsid w:val="389C1A37"/>
    <w:rsid w:val="38D35375"/>
    <w:rsid w:val="390D4393"/>
    <w:rsid w:val="390F050A"/>
    <w:rsid w:val="392512E2"/>
    <w:rsid w:val="39441387"/>
    <w:rsid w:val="39900FC9"/>
    <w:rsid w:val="39936F54"/>
    <w:rsid w:val="3A090F25"/>
    <w:rsid w:val="3A20601D"/>
    <w:rsid w:val="3A4373AE"/>
    <w:rsid w:val="3A523F1C"/>
    <w:rsid w:val="3A7C328C"/>
    <w:rsid w:val="3A7D7ABA"/>
    <w:rsid w:val="3A933634"/>
    <w:rsid w:val="3A954F9A"/>
    <w:rsid w:val="3AD0536F"/>
    <w:rsid w:val="3AD43EBF"/>
    <w:rsid w:val="3AE325E1"/>
    <w:rsid w:val="3AEA2D04"/>
    <w:rsid w:val="3B0B173D"/>
    <w:rsid w:val="3B0C4E1B"/>
    <w:rsid w:val="3B4445BF"/>
    <w:rsid w:val="3B4E75A1"/>
    <w:rsid w:val="3B6F43AA"/>
    <w:rsid w:val="3B8D09A8"/>
    <w:rsid w:val="3B943D76"/>
    <w:rsid w:val="3BAC0F6E"/>
    <w:rsid w:val="3BB6629A"/>
    <w:rsid w:val="3BB755D2"/>
    <w:rsid w:val="3BC16DB3"/>
    <w:rsid w:val="3BC7787A"/>
    <w:rsid w:val="3BE50B73"/>
    <w:rsid w:val="3C0B2B4A"/>
    <w:rsid w:val="3CA62DA2"/>
    <w:rsid w:val="3CB672C1"/>
    <w:rsid w:val="3CBA041E"/>
    <w:rsid w:val="3CC4148B"/>
    <w:rsid w:val="3CD03E9B"/>
    <w:rsid w:val="3CEC6C0D"/>
    <w:rsid w:val="3CF74F4B"/>
    <w:rsid w:val="3CF80C64"/>
    <w:rsid w:val="3D0A244D"/>
    <w:rsid w:val="3D4715A7"/>
    <w:rsid w:val="3D4D5D93"/>
    <w:rsid w:val="3D5E2E2E"/>
    <w:rsid w:val="3D6913B0"/>
    <w:rsid w:val="3D727210"/>
    <w:rsid w:val="3D8C4073"/>
    <w:rsid w:val="3D8E705B"/>
    <w:rsid w:val="3DB72499"/>
    <w:rsid w:val="3DC90816"/>
    <w:rsid w:val="3DDD2B60"/>
    <w:rsid w:val="3DE3072F"/>
    <w:rsid w:val="3DED2C8D"/>
    <w:rsid w:val="3DEE5856"/>
    <w:rsid w:val="3DF24F78"/>
    <w:rsid w:val="3DFD109C"/>
    <w:rsid w:val="3E12768D"/>
    <w:rsid w:val="3E55686A"/>
    <w:rsid w:val="3E5C3666"/>
    <w:rsid w:val="3E826293"/>
    <w:rsid w:val="3E8E35FE"/>
    <w:rsid w:val="3E9B5E9B"/>
    <w:rsid w:val="3EB94B24"/>
    <w:rsid w:val="3ED40779"/>
    <w:rsid w:val="3EF400E7"/>
    <w:rsid w:val="3EFA2362"/>
    <w:rsid w:val="3F0B211E"/>
    <w:rsid w:val="3F21410E"/>
    <w:rsid w:val="3F6860DC"/>
    <w:rsid w:val="3F8247ED"/>
    <w:rsid w:val="3F8E13A9"/>
    <w:rsid w:val="3FA02BC6"/>
    <w:rsid w:val="3FA1306F"/>
    <w:rsid w:val="3FA656C4"/>
    <w:rsid w:val="3FC77876"/>
    <w:rsid w:val="3FFF76D2"/>
    <w:rsid w:val="40220EF1"/>
    <w:rsid w:val="408C6948"/>
    <w:rsid w:val="409273D5"/>
    <w:rsid w:val="409D542C"/>
    <w:rsid w:val="40A50367"/>
    <w:rsid w:val="40B12ADB"/>
    <w:rsid w:val="40C258A9"/>
    <w:rsid w:val="40D53E95"/>
    <w:rsid w:val="40E154B1"/>
    <w:rsid w:val="40F462E2"/>
    <w:rsid w:val="40F91A2C"/>
    <w:rsid w:val="4111695C"/>
    <w:rsid w:val="412F3401"/>
    <w:rsid w:val="41A5318D"/>
    <w:rsid w:val="41AB16C2"/>
    <w:rsid w:val="41BF3DDD"/>
    <w:rsid w:val="41D0160D"/>
    <w:rsid w:val="41F379CF"/>
    <w:rsid w:val="4223547E"/>
    <w:rsid w:val="42551D91"/>
    <w:rsid w:val="426F60F8"/>
    <w:rsid w:val="427C4B65"/>
    <w:rsid w:val="42DB107E"/>
    <w:rsid w:val="42DE523E"/>
    <w:rsid w:val="42F223AD"/>
    <w:rsid w:val="43184F08"/>
    <w:rsid w:val="43451D91"/>
    <w:rsid w:val="435A40A4"/>
    <w:rsid w:val="435D300A"/>
    <w:rsid w:val="43706CDA"/>
    <w:rsid w:val="438976E2"/>
    <w:rsid w:val="439A4563"/>
    <w:rsid w:val="439E6DDD"/>
    <w:rsid w:val="43AD6999"/>
    <w:rsid w:val="43B23EDE"/>
    <w:rsid w:val="43B93537"/>
    <w:rsid w:val="43BE3CB6"/>
    <w:rsid w:val="43F43652"/>
    <w:rsid w:val="442B137D"/>
    <w:rsid w:val="444B5EFF"/>
    <w:rsid w:val="449B3345"/>
    <w:rsid w:val="44C24D59"/>
    <w:rsid w:val="44D160F3"/>
    <w:rsid w:val="44F3065E"/>
    <w:rsid w:val="45094B99"/>
    <w:rsid w:val="45097E04"/>
    <w:rsid w:val="453F4F0D"/>
    <w:rsid w:val="454D6A28"/>
    <w:rsid w:val="45961954"/>
    <w:rsid w:val="45A66A4B"/>
    <w:rsid w:val="45AE4F0C"/>
    <w:rsid w:val="45F9568D"/>
    <w:rsid w:val="46123BE6"/>
    <w:rsid w:val="463073E2"/>
    <w:rsid w:val="46455223"/>
    <w:rsid w:val="46756481"/>
    <w:rsid w:val="469255FF"/>
    <w:rsid w:val="46C118E6"/>
    <w:rsid w:val="46E548C9"/>
    <w:rsid w:val="471D6E2E"/>
    <w:rsid w:val="47227E01"/>
    <w:rsid w:val="473505D7"/>
    <w:rsid w:val="47393594"/>
    <w:rsid w:val="473A029C"/>
    <w:rsid w:val="47620BE1"/>
    <w:rsid w:val="47BB49AE"/>
    <w:rsid w:val="47C52DB3"/>
    <w:rsid w:val="47D43FC2"/>
    <w:rsid w:val="47F21BE5"/>
    <w:rsid w:val="47FB124E"/>
    <w:rsid w:val="480677D8"/>
    <w:rsid w:val="480E1C3D"/>
    <w:rsid w:val="48102173"/>
    <w:rsid w:val="481870DA"/>
    <w:rsid w:val="485618D3"/>
    <w:rsid w:val="48621A3D"/>
    <w:rsid w:val="486779BC"/>
    <w:rsid w:val="4876582E"/>
    <w:rsid w:val="487C58DA"/>
    <w:rsid w:val="48803767"/>
    <w:rsid w:val="488A31DA"/>
    <w:rsid w:val="48A10BBA"/>
    <w:rsid w:val="48A5320C"/>
    <w:rsid w:val="48AF1CF1"/>
    <w:rsid w:val="48AF3822"/>
    <w:rsid w:val="48B84099"/>
    <w:rsid w:val="48D72771"/>
    <w:rsid w:val="48E75D4F"/>
    <w:rsid w:val="48E76D9A"/>
    <w:rsid w:val="48EC3ED9"/>
    <w:rsid w:val="491958D5"/>
    <w:rsid w:val="49326680"/>
    <w:rsid w:val="493A3472"/>
    <w:rsid w:val="495D66C7"/>
    <w:rsid w:val="49862ABB"/>
    <w:rsid w:val="498F5A6D"/>
    <w:rsid w:val="49DA40B8"/>
    <w:rsid w:val="49F652BE"/>
    <w:rsid w:val="4A214220"/>
    <w:rsid w:val="4A31496B"/>
    <w:rsid w:val="4A424BAD"/>
    <w:rsid w:val="4A431329"/>
    <w:rsid w:val="4A4E23DD"/>
    <w:rsid w:val="4A5D3C7D"/>
    <w:rsid w:val="4A696A7F"/>
    <w:rsid w:val="4A952B26"/>
    <w:rsid w:val="4AAA1398"/>
    <w:rsid w:val="4AFC12FE"/>
    <w:rsid w:val="4B057E38"/>
    <w:rsid w:val="4B093CD0"/>
    <w:rsid w:val="4B134411"/>
    <w:rsid w:val="4B1D6435"/>
    <w:rsid w:val="4B284B27"/>
    <w:rsid w:val="4B35462A"/>
    <w:rsid w:val="4B4025BF"/>
    <w:rsid w:val="4B433C2A"/>
    <w:rsid w:val="4B4A03C6"/>
    <w:rsid w:val="4B926799"/>
    <w:rsid w:val="4B93411F"/>
    <w:rsid w:val="4B9C1BF1"/>
    <w:rsid w:val="4BB07945"/>
    <w:rsid w:val="4BF03B4A"/>
    <w:rsid w:val="4C05738B"/>
    <w:rsid w:val="4C076AAD"/>
    <w:rsid w:val="4C1F37E3"/>
    <w:rsid w:val="4C4C631A"/>
    <w:rsid w:val="4C511B02"/>
    <w:rsid w:val="4C5F3EA9"/>
    <w:rsid w:val="4C6654AF"/>
    <w:rsid w:val="4C8D5F79"/>
    <w:rsid w:val="4CA126E0"/>
    <w:rsid w:val="4CAE078C"/>
    <w:rsid w:val="4CC8179B"/>
    <w:rsid w:val="4CD63FE8"/>
    <w:rsid w:val="4CE35F38"/>
    <w:rsid w:val="4CE52275"/>
    <w:rsid w:val="4D0E3CC7"/>
    <w:rsid w:val="4D4025AD"/>
    <w:rsid w:val="4D647C72"/>
    <w:rsid w:val="4D83633C"/>
    <w:rsid w:val="4DAD3A24"/>
    <w:rsid w:val="4DAE320A"/>
    <w:rsid w:val="4DCC14D7"/>
    <w:rsid w:val="4E1966D8"/>
    <w:rsid w:val="4E383A52"/>
    <w:rsid w:val="4E415D30"/>
    <w:rsid w:val="4E4D7F30"/>
    <w:rsid w:val="4E5C13E7"/>
    <w:rsid w:val="4E807407"/>
    <w:rsid w:val="4E976CD4"/>
    <w:rsid w:val="4E9C5361"/>
    <w:rsid w:val="4F342BFF"/>
    <w:rsid w:val="4F7F321A"/>
    <w:rsid w:val="4FBA7CE5"/>
    <w:rsid w:val="4FBF0074"/>
    <w:rsid w:val="4FD00F08"/>
    <w:rsid w:val="50320DEC"/>
    <w:rsid w:val="503329A9"/>
    <w:rsid w:val="50604A09"/>
    <w:rsid w:val="50612488"/>
    <w:rsid w:val="5065585D"/>
    <w:rsid w:val="506C625F"/>
    <w:rsid w:val="5077175A"/>
    <w:rsid w:val="507E1183"/>
    <w:rsid w:val="5083417C"/>
    <w:rsid w:val="509E1DC6"/>
    <w:rsid w:val="50AA4F92"/>
    <w:rsid w:val="50F53763"/>
    <w:rsid w:val="51165F8B"/>
    <w:rsid w:val="512E1C9C"/>
    <w:rsid w:val="51323452"/>
    <w:rsid w:val="513E2CF8"/>
    <w:rsid w:val="514C4A3C"/>
    <w:rsid w:val="51585B51"/>
    <w:rsid w:val="51622426"/>
    <w:rsid w:val="516A0329"/>
    <w:rsid w:val="519D7CD0"/>
    <w:rsid w:val="51E73BF5"/>
    <w:rsid w:val="51FE4265"/>
    <w:rsid w:val="520D7203"/>
    <w:rsid w:val="52195BC5"/>
    <w:rsid w:val="522312C4"/>
    <w:rsid w:val="522D4084"/>
    <w:rsid w:val="52461A35"/>
    <w:rsid w:val="52563B54"/>
    <w:rsid w:val="528B7FD0"/>
    <w:rsid w:val="52B8621F"/>
    <w:rsid w:val="52BB3C0E"/>
    <w:rsid w:val="52E736B3"/>
    <w:rsid w:val="53241C21"/>
    <w:rsid w:val="532B6FE0"/>
    <w:rsid w:val="534E48C4"/>
    <w:rsid w:val="5352666A"/>
    <w:rsid w:val="5367649F"/>
    <w:rsid w:val="537529C3"/>
    <w:rsid w:val="537627F1"/>
    <w:rsid w:val="539D1AC3"/>
    <w:rsid w:val="53AE30FB"/>
    <w:rsid w:val="53B678B6"/>
    <w:rsid w:val="53DC3678"/>
    <w:rsid w:val="53E113BC"/>
    <w:rsid w:val="54163ED2"/>
    <w:rsid w:val="541C105F"/>
    <w:rsid w:val="543D456B"/>
    <w:rsid w:val="54684B80"/>
    <w:rsid w:val="54702962"/>
    <w:rsid w:val="54784D46"/>
    <w:rsid w:val="54797EC9"/>
    <w:rsid w:val="54801B99"/>
    <w:rsid w:val="549238A7"/>
    <w:rsid w:val="54A82158"/>
    <w:rsid w:val="54BF1B49"/>
    <w:rsid w:val="550C3B72"/>
    <w:rsid w:val="551C543A"/>
    <w:rsid w:val="55417049"/>
    <w:rsid w:val="556348BE"/>
    <w:rsid w:val="55791CB7"/>
    <w:rsid w:val="55A0038E"/>
    <w:rsid w:val="55B654BC"/>
    <w:rsid w:val="55F5614A"/>
    <w:rsid w:val="55FF51A1"/>
    <w:rsid w:val="56257F68"/>
    <w:rsid w:val="56BF46DA"/>
    <w:rsid w:val="56E7290C"/>
    <w:rsid w:val="570E6F78"/>
    <w:rsid w:val="571037CE"/>
    <w:rsid w:val="57323E10"/>
    <w:rsid w:val="5753751A"/>
    <w:rsid w:val="575C3988"/>
    <w:rsid w:val="575C50AB"/>
    <w:rsid w:val="576E3B6D"/>
    <w:rsid w:val="5784103C"/>
    <w:rsid w:val="57855CC0"/>
    <w:rsid w:val="57E3171A"/>
    <w:rsid w:val="57E445EB"/>
    <w:rsid w:val="57F458FB"/>
    <w:rsid w:val="57FB18AC"/>
    <w:rsid w:val="580D6A27"/>
    <w:rsid w:val="58160C42"/>
    <w:rsid w:val="5877457A"/>
    <w:rsid w:val="588640B5"/>
    <w:rsid w:val="58955049"/>
    <w:rsid w:val="58C846E4"/>
    <w:rsid w:val="58CE0955"/>
    <w:rsid w:val="58D66C1E"/>
    <w:rsid w:val="58EC1008"/>
    <w:rsid w:val="59162550"/>
    <w:rsid w:val="59410FB8"/>
    <w:rsid w:val="59582FD5"/>
    <w:rsid w:val="595876CA"/>
    <w:rsid w:val="597F00FA"/>
    <w:rsid w:val="59941F3D"/>
    <w:rsid w:val="59C236A3"/>
    <w:rsid w:val="59E52C79"/>
    <w:rsid w:val="5A0A1AD1"/>
    <w:rsid w:val="5A1D1000"/>
    <w:rsid w:val="5A3A2ED4"/>
    <w:rsid w:val="5A4A2677"/>
    <w:rsid w:val="5A622D11"/>
    <w:rsid w:val="5A7E01E4"/>
    <w:rsid w:val="5ABD109B"/>
    <w:rsid w:val="5AF173B1"/>
    <w:rsid w:val="5AFD17EF"/>
    <w:rsid w:val="5AFE6AD9"/>
    <w:rsid w:val="5B023FE7"/>
    <w:rsid w:val="5B0E68CE"/>
    <w:rsid w:val="5B335BF8"/>
    <w:rsid w:val="5B3A31F8"/>
    <w:rsid w:val="5B8E7FDE"/>
    <w:rsid w:val="5BEA572B"/>
    <w:rsid w:val="5BF5130D"/>
    <w:rsid w:val="5C33727A"/>
    <w:rsid w:val="5C3E758A"/>
    <w:rsid w:val="5C4936E2"/>
    <w:rsid w:val="5C857A7E"/>
    <w:rsid w:val="5CA97FED"/>
    <w:rsid w:val="5CB93BD4"/>
    <w:rsid w:val="5CEB7286"/>
    <w:rsid w:val="5D1F42BD"/>
    <w:rsid w:val="5D315141"/>
    <w:rsid w:val="5D547D2E"/>
    <w:rsid w:val="5D923F2C"/>
    <w:rsid w:val="5DC84336"/>
    <w:rsid w:val="5DD54F2A"/>
    <w:rsid w:val="5DD7245D"/>
    <w:rsid w:val="5E14191A"/>
    <w:rsid w:val="5E2D3E9D"/>
    <w:rsid w:val="5E471E25"/>
    <w:rsid w:val="5E635121"/>
    <w:rsid w:val="5EC2139F"/>
    <w:rsid w:val="5EC90ECF"/>
    <w:rsid w:val="5ED13367"/>
    <w:rsid w:val="5EEB60C5"/>
    <w:rsid w:val="5EF23FAE"/>
    <w:rsid w:val="5F1E1789"/>
    <w:rsid w:val="5F203499"/>
    <w:rsid w:val="5F69359F"/>
    <w:rsid w:val="5F8C21A0"/>
    <w:rsid w:val="5F8F1CC4"/>
    <w:rsid w:val="5FA46905"/>
    <w:rsid w:val="5FBE3344"/>
    <w:rsid w:val="5FCC560E"/>
    <w:rsid w:val="60202B79"/>
    <w:rsid w:val="60256AF3"/>
    <w:rsid w:val="60483C8B"/>
    <w:rsid w:val="605379AE"/>
    <w:rsid w:val="60791C44"/>
    <w:rsid w:val="60793714"/>
    <w:rsid w:val="608140D0"/>
    <w:rsid w:val="608C62A2"/>
    <w:rsid w:val="609F3F51"/>
    <w:rsid w:val="60E514BE"/>
    <w:rsid w:val="60E86DF7"/>
    <w:rsid w:val="60F4333C"/>
    <w:rsid w:val="60F63F7B"/>
    <w:rsid w:val="60FB12D6"/>
    <w:rsid w:val="612D17BE"/>
    <w:rsid w:val="61425571"/>
    <w:rsid w:val="615D7AD0"/>
    <w:rsid w:val="619B1E3A"/>
    <w:rsid w:val="61F30701"/>
    <w:rsid w:val="621E5A12"/>
    <w:rsid w:val="6243586F"/>
    <w:rsid w:val="62A12E77"/>
    <w:rsid w:val="62A55DAB"/>
    <w:rsid w:val="62A911E5"/>
    <w:rsid w:val="62E458D7"/>
    <w:rsid w:val="62FE50AD"/>
    <w:rsid w:val="630713BC"/>
    <w:rsid w:val="63201103"/>
    <w:rsid w:val="63255DA8"/>
    <w:rsid w:val="63496EF9"/>
    <w:rsid w:val="635118DB"/>
    <w:rsid w:val="63842425"/>
    <w:rsid w:val="63D02A49"/>
    <w:rsid w:val="63DA7C6F"/>
    <w:rsid w:val="63F920C0"/>
    <w:rsid w:val="640577EE"/>
    <w:rsid w:val="643028DD"/>
    <w:rsid w:val="645B2C5D"/>
    <w:rsid w:val="645C7FB4"/>
    <w:rsid w:val="649225A4"/>
    <w:rsid w:val="64941A25"/>
    <w:rsid w:val="64B31F24"/>
    <w:rsid w:val="64BE458F"/>
    <w:rsid w:val="64BE6048"/>
    <w:rsid w:val="64DD3BD7"/>
    <w:rsid w:val="64EE1A20"/>
    <w:rsid w:val="65016B7F"/>
    <w:rsid w:val="651C30F1"/>
    <w:rsid w:val="65523170"/>
    <w:rsid w:val="657E4B86"/>
    <w:rsid w:val="659A6BA8"/>
    <w:rsid w:val="65A91CE6"/>
    <w:rsid w:val="65C315DD"/>
    <w:rsid w:val="65C778A0"/>
    <w:rsid w:val="65D5738F"/>
    <w:rsid w:val="65EF17FA"/>
    <w:rsid w:val="65FC7799"/>
    <w:rsid w:val="66086618"/>
    <w:rsid w:val="660A20B4"/>
    <w:rsid w:val="660A43EF"/>
    <w:rsid w:val="66237D86"/>
    <w:rsid w:val="66362933"/>
    <w:rsid w:val="66680A54"/>
    <w:rsid w:val="6695111E"/>
    <w:rsid w:val="66BF4DB0"/>
    <w:rsid w:val="66E86D85"/>
    <w:rsid w:val="66EA3294"/>
    <w:rsid w:val="66F057E5"/>
    <w:rsid w:val="67060CBC"/>
    <w:rsid w:val="67072561"/>
    <w:rsid w:val="674A0B72"/>
    <w:rsid w:val="67586998"/>
    <w:rsid w:val="676E12F3"/>
    <w:rsid w:val="679B2F67"/>
    <w:rsid w:val="67C00F56"/>
    <w:rsid w:val="67F17E02"/>
    <w:rsid w:val="68195C76"/>
    <w:rsid w:val="681F0A68"/>
    <w:rsid w:val="683B3E0E"/>
    <w:rsid w:val="685C7C97"/>
    <w:rsid w:val="6879367D"/>
    <w:rsid w:val="68794EC1"/>
    <w:rsid w:val="68CC7889"/>
    <w:rsid w:val="68E1011E"/>
    <w:rsid w:val="68F81D58"/>
    <w:rsid w:val="69073A8D"/>
    <w:rsid w:val="69154FC4"/>
    <w:rsid w:val="693D525A"/>
    <w:rsid w:val="694B23CE"/>
    <w:rsid w:val="69545C1F"/>
    <w:rsid w:val="6967264B"/>
    <w:rsid w:val="698A09A5"/>
    <w:rsid w:val="69B47BD4"/>
    <w:rsid w:val="69BB1F5B"/>
    <w:rsid w:val="69E25F8C"/>
    <w:rsid w:val="6A0E4E80"/>
    <w:rsid w:val="6A140B24"/>
    <w:rsid w:val="6A766A86"/>
    <w:rsid w:val="6A7872EA"/>
    <w:rsid w:val="6A9C6FE9"/>
    <w:rsid w:val="6AA807F1"/>
    <w:rsid w:val="6AAB03F6"/>
    <w:rsid w:val="6AB73049"/>
    <w:rsid w:val="6ABF703F"/>
    <w:rsid w:val="6AE12B6B"/>
    <w:rsid w:val="6AF2613C"/>
    <w:rsid w:val="6B17420F"/>
    <w:rsid w:val="6B48686A"/>
    <w:rsid w:val="6BCF6F7E"/>
    <w:rsid w:val="6BFF1AC2"/>
    <w:rsid w:val="6C0A3AC6"/>
    <w:rsid w:val="6C154B37"/>
    <w:rsid w:val="6C20148A"/>
    <w:rsid w:val="6C250EBE"/>
    <w:rsid w:val="6C2E3D59"/>
    <w:rsid w:val="6C337C4D"/>
    <w:rsid w:val="6C49456A"/>
    <w:rsid w:val="6C4F2F8E"/>
    <w:rsid w:val="6C87517B"/>
    <w:rsid w:val="6C9C1724"/>
    <w:rsid w:val="6CBC5B45"/>
    <w:rsid w:val="6CBF3BA0"/>
    <w:rsid w:val="6CBF4421"/>
    <w:rsid w:val="6CD938B8"/>
    <w:rsid w:val="6CEC305A"/>
    <w:rsid w:val="6CF14736"/>
    <w:rsid w:val="6CF4496F"/>
    <w:rsid w:val="6D20348C"/>
    <w:rsid w:val="6D246EEC"/>
    <w:rsid w:val="6D2620AE"/>
    <w:rsid w:val="6D3A6B13"/>
    <w:rsid w:val="6D846E13"/>
    <w:rsid w:val="6D9A1ED1"/>
    <w:rsid w:val="6D9F5DA6"/>
    <w:rsid w:val="6DBF419D"/>
    <w:rsid w:val="6E05286F"/>
    <w:rsid w:val="6E18375C"/>
    <w:rsid w:val="6E53312C"/>
    <w:rsid w:val="6E57131F"/>
    <w:rsid w:val="6E676007"/>
    <w:rsid w:val="6E695932"/>
    <w:rsid w:val="6E994887"/>
    <w:rsid w:val="6EA506C4"/>
    <w:rsid w:val="6ED22D2D"/>
    <w:rsid w:val="6ED578C8"/>
    <w:rsid w:val="6F00384F"/>
    <w:rsid w:val="6F3C27DD"/>
    <w:rsid w:val="6F753DC4"/>
    <w:rsid w:val="6F836956"/>
    <w:rsid w:val="6FCE14E4"/>
    <w:rsid w:val="6FD364B6"/>
    <w:rsid w:val="700E32C7"/>
    <w:rsid w:val="7036521B"/>
    <w:rsid w:val="70405B5C"/>
    <w:rsid w:val="70407FC9"/>
    <w:rsid w:val="70532E88"/>
    <w:rsid w:val="712D4800"/>
    <w:rsid w:val="714670E7"/>
    <w:rsid w:val="715259A5"/>
    <w:rsid w:val="716F0649"/>
    <w:rsid w:val="719B1193"/>
    <w:rsid w:val="71A10A4C"/>
    <w:rsid w:val="71A67EED"/>
    <w:rsid w:val="71B07F9A"/>
    <w:rsid w:val="721B2713"/>
    <w:rsid w:val="72230E8C"/>
    <w:rsid w:val="725B514E"/>
    <w:rsid w:val="7294350F"/>
    <w:rsid w:val="72997E60"/>
    <w:rsid w:val="72B21613"/>
    <w:rsid w:val="72ED0140"/>
    <w:rsid w:val="730D6C0C"/>
    <w:rsid w:val="731D6723"/>
    <w:rsid w:val="733D3045"/>
    <w:rsid w:val="7372069C"/>
    <w:rsid w:val="73867C84"/>
    <w:rsid w:val="73C30F94"/>
    <w:rsid w:val="73D21451"/>
    <w:rsid w:val="73E2194B"/>
    <w:rsid w:val="742171A7"/>
    <w:rsid w:val="74444DB1"/>
    <w:rsid w:val="747C43B9"/>
    <w:rsid w:val="74A85E8F"/>
    <w:rsid w:val="74CC78E6"/>
    <w:rsid w:val="74D973E1"/>
    <w:rsid w:val="74DA5D73"/>
    <w:rsid w:val="752E3777"/>
    <w:rsid w:val="7578309F"/>
    <w:rsid w:val="75831F98"/>
    <w:rsid w:val="75956A44"/>
    <w:rsid w:val="759C588F"/>
    <w:rsid w:val="75B643F3"/>
    <w:rsid w:val="75C331E2"/>
    <w:rsid w:val="75DB55A5"/>
    <w:rsid w:val="75E31DE4"/>
    <w:rsid w:val="75F748A2"/>
    <w:rsid w:val="76112E45"/>
    <w:rsid w:val="761B45EA"/>
    <w:rsid w:val="7639110C"/>
    <w:rsid w:val="76484F6D"/>
    <w:rsid w:val="766F63FB"/>
    <w:rsid w:val="767A6C75"/>
    <w:rsid w:val="76CC0432"/>
    <w:rsid w:val="76DA5057"/>
    <w:rsid w:val="76FF646A"/>
    <w:rsid w:val="771C30BE"/>
    <w:rsid w:val="771D2658"/>
    <w:rsid w:val="774C3F3A"/>
    <w:rsid w:val="77703586"/>
    <w:rsid w:val="779251BE"/>
    <w:rsid w:val="77B07A88"/>
    <w:rsid w:val="77C90C27"/>
    <w:rsid w:val="77C93705"/>
    <w:rsid w:val="77DC05B7"/>
    <w:rsid w:val="77E06906"/>
    <w:rsid w:val="77FB74CB"/>
    <w:rsid w:val="78166745"/>
    <w:rsid w:val="78943932"/>
    <w:rsid w:val="78994327"/>
    <w:rsid w:val="789D3206"/>
    <w:rsid w:val="78C45314"/>
    <w:rsid w:val="78D41F79"/>
    <w:rsid w:val="790B3268"/>
    <w:rsid w:val="7922503D"/>
    <w:rsid w:val="79256CAC"/>
    <w:rsid w:val="79257675"/>
    <w:rsid w:val="792F0363"/>
    <w:rsid w:val="79515F63"/>
    <w:rsid w:val="79743091"/>
    <w:rsid w:val="7982235E"/>
    <w:rsid w:val="79AA0299"/>
    <w:rsid w:val="79AB780C"/>
    <w:rsid w:val="79E753EB"/>
    <w:rsid w:val="7A1856FB"/>
    <w:rsid w:val="7A6D7D87"/>
    <w:rsid w:val="7A721A4A"/>
    <w:rsid w:val="7A7C03CF"/>
    <w:rsid w:val="7A910027"/>
    <w:rsid w:val="7A9C35F5"/>
    <w:rsid w:val="7ACA5B43"/>
    <w:rsid w:val="7ADB2D85"/>
    <w:rsid w:val="7B0A533F"/>
    <w:rsid w:val="7B203E54"/>
    <w:rsid w:val="7B3B6FC0"/>
    <w:rsid w:val="7B8339B3"/>
    <w:rsid w:val="7B9361A0"/>
    <w:rsid w:val="7BA67BFD"/>
    <w:rsid w:val="7BB5352B"/>
    <w:rsid w:val="7BB77852"/>
    <w:rsid w:val="7BC41AE3"/>
    <w:rsid w:val="7BCA7E8D"/>
    <w:rsid w:val="7BCD200C"/>
    <w:rsid w:val="7BE23358"/>
    <w:rsid w:val="7C18599D"/>
    <w:rsid w:val="7C4953F6"/>
    <w:rsid w:val="7C646D0F"/>
    <w:rsid w:val="7C941BC3"/>
    <w:rsid w:val="7CDB76B6"/>
    <w:rsid w:val="7D92777B"/>
    <w:rsid w:val="7DAC4A5D"/>
    <w:rsid w:val="7E092BAE"/>
    <w:rsid w:val="7E385DD8"/>
    <w:rsid w:val="7E523AE3"/>
    <w:rsid w:val="7E6A6551"/>
    <w:rsid w:val="7E9006F1"/>
    <w:rsid w:val="7E9A0244"/>
    <w:rsid w:val="7EAC0F2D"/>
    <w:rsid w:val="7EAF15B4"/>
    <w:rsid w:val="7EEF65DD"/>
    <w:rsid w:val="7F193382"/>
    <w:rsid w:val="7F562866"/>
    <w:rsid w:val="7FA97153"/>
    <w:rsid w:val="7FAD6673"/>
    <w:rsid w:val="7FC02E5E"/>
    <w:rsid w:val="7FD75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qFormat="1" w:uiPriority="99"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0"/>
    <w:qFormat/>
    <w:uiPriority w:val="0"/>
    <w:pPr>
      <w:keepNext/>
      <w:keepLines/>
      <w:tabs>
        <w:tab w:val="left" w:pos="720"/>
      </w:tabs>
      <w:spacing w:before="260" w:afterLines="50" w:line="416" w:lineRule="auto"/>
      <w:ind w:left="720" w:hanging="720"/>
      <w:outlineLvl w:val="2"/>
    </w:pPr>
    <w:rPr>
      <w:rFonts w:ascii="Arial" w:hAnsi="Arial" w:eastAsia="黑体" w:cs="宋体"/>
      <w:color w:val="000000"/>
      <w:spacing w:val="20"/>
      <w:kern w:val="0"/>
      <w:sz w:val="30"/>
      <w:szCs w:val="32"/>
    </w:rPr>
  </w:style>
  <w:style w:type="paragraph" w:styleId="7">
    <w:name w:val="heading 4"/>
    <w:basedOn w:val="1"/>
    <w:next w:val="8"/>
    <w:link w:val="61"/>
    <w:qFormat/>
    <w:uiPriority w:val="0"/>
    <w:pPr>
      <w:keepNext/>
      <w:keepLines/>
      <w:tabs>
        <w:tab w:val="left" w:pos="1079"/>
      </w:tabs>
      <w:spacing w:before="280" w:afterLines="50" w:line="377" w:lineRule="auto"/>
      <w:ind w:left="1077" w:hanging="1077"/>
      <w:outlineLvl w:val="3"/>
    </w:pPr>
    <w:rPr>
      <w:rFonts w:ascii="Arial" w:hAnsi="Arial" w:eastAsia="黑体" w:cs="宋体"/>
      <w:color w:val="000000"/>
      <w:spacing w:val="10"/>
      <w:kern w:val="0"/>
      <w:sz w:val="28"/>
      <w:szCs w:val="28"/>
    </w:rPr>
  </w:style>
  <w:style w:type="paragraph" w:styleId="9">
    <w:name w:val="heading 5"/>
    <w:basedOn w:val="1"/>
    <w:next w:val="8"/>
    <w:link w:val="62"/>
    <w:qFormat/>
    <w:uiPriority w:val="0"/>
    <w:pPr>
      <w:keepNext/>
      <w:keepLines/>
      <w:tabs>
        <w:tab w:val="left" w:pos="1260"/>
      </w:tabs>
      <w:spacing w:before="280" w:afterLines="50" w:line="377" w:lineRule="auto"/>
      <w:ind w:left="1259" w:hanging="1259"/>
      <w:outlineLvl w:val="4"/>
    </w:pPr>
    <w:rPr>
      <w:rFonts w:ascii="Arial" w:hAnsi="Arial" w:eastAsia="黑体" w:cs="宋体"/>
      <w:color w:val="000000"/>
      <w:spacing w:val="10"/>
      <w:kern w:val="0"/>
      <w:sz w:val="28"/>
      <w:szCs w:val="28"/>
    </w:rPr>
  </w:style>
  <w:style w:type="paragraph" w:styleId="10">
    <w:name w:val="heading 6"/>
    <w:basedOn w:val="1"/>
    <w:next w:val="8"/>
    <w:link w:val="63"/>
    <w:qFormat/>
    <w:uiPriority w:val="0"/>
    <w:pPr>
      <w:keepNext/>
      <w:keepLines/>
      <w:tabs>
        <w:tab w:val="left" w:pos="1428"/>
      </w:tabs>
      <w:spacing w:before="240" w:afterLines="50" w:line="319" w:lineRule="auto"/>
      <w:ind w:left="550" w:hanging="550" w:hangingChars="550"/>
      <w:outlineLvl w:val="5"/>
    </w:pPr>
    <w:rPr>
      <w:rFonts w:ascii="Arial" w:hAnsi="Arial" w:eastAsia="黑体" w:cs="宋体"/>
      <w:color w:val="000000"/>
      <w:spacing w:val="10"/>
      <w:kern w:val="0"/>
      <w:sz w:val="24"/>
      <w:szCs w:val="21"/>
    </w:rPr>
  </w:style>
  <w:style w:type="paragraph" w:styleId="11">
    <w:name w:val="heading 7"/>
    <w:basedOn w:val="1"/>
    <w:next w:val="8"/>
    <w:link w:val="64"/>
    <w:qFormat/>
    <w:uiPriority w:val="0"/>
    <w:pPr>
      <w:keepNext/>
      <w:keepLines/>
      <w:tabs>
        <w:tab w:val="left" w:pos="1638"/>
      </w:tabs>
      <w:spacing w:before="240" w:afterLines="50" w:line="319" w:lineRule="auto"/>
      <w:ind w:left="1633" w:hanging="1633"/>
      <w:outlineLvl w:val="6"/>
    </w:pPr>
    <w:rPr>
      <w:rFonts w:ascii="Arial" w:hAnsi="Arial" w:eastAsia="黑体" w:cs="宋体"/>
      <w:color w:val="000000"/>
      <w:kern w:val="0"/>
      <w:sz w:val="24"/>
      <w:szCs w:val="21"/>
    </w:rPr>
  </w:style>
  <w:style w:type="paragraph" w:styleId="12">
    <w:name w:val="heading 8"/>
    <w:basedOn w:val="1"/>
    <w:next w:val="8"/>
    <w:link w:val="65"/>
    <w:qFormat/>
    <w:uiPriority w:val="0"/>
    <w:pPr>
      <w:keepNext/>
      <w:keepLines/>
      <w:tabs>
        <w:tab w:val="left" w:pos="1800"/>
      </w:tabs>
      <w:spacing w:before="240" w:afterLines="50" w:line="319" w:lineRule="auto"/>
      <w:ind w:left="1797" w:hanging="1797"/>
      <w:outlineLvl w:val="7"/>
    </w:pPr>
    <w:rPr>
      <w:rFonts w:ascii="Arial" w:hAnsi="Arial" w:eastAsia="黑体" w:cs="宋体"/>
      <w:b/>
      <w:bCs/>
      <w:color w:val="000000"/>
      <w:kern w:val="0"/>
      <w:sz w:val="24"/>
      <w:szCs w:val="21"/>
    </w:rPr>
  </w:style>
  <w:style w:type="paragraph" w:styleId="13">
    <w:name w:val="heading 9"/>
    <w:basedOn w:val="1"/>
    <w:next w:val="8"/>
    <w:link w:val="66"/>
    <w:qFormat/>
    <w:uiPriority w:val="0"/>
    <w:pPr>
      <w:keepNext/>
      <w:keepLines/>
      <w:tabs>
        <w:tab w:val="left" w:pos="1980"/>
      </w:tabs>
      <w:spacing w:before="240" w:afterLines="50" w:line="319" w:lineRule="auto"/>
      <w:ind w:left="1979" w:hanging="1979"/>
      <w:outlineLvl w:val="8"/>
    </w:pPr>
    <w:rPr>
      <w:rFonts w:ascii="Arial" w:hAnsi="Arial" w:eastAsia="黑体" w:cs="宋体"/>
      <w:b/>
      <w:bCs/>
      <w:color w:val="000000"/>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style>
  <w:style w:type="paragraph" w:styleId="8">
    <w:name w:val="Normal Indent"/>
    <w:basedOn w:val="1"/>
    <w:next w:val="1"/>
    <w:link w:val="59"/>
    <w:qFormat/>
    <w:uiPriority w:val="0"/>
    <w:pPr>
      <w:ind w:firstLine="420" w:firstLineChars="200"/>
    </w:pPr>
    <w:rPr>
      <w:rFonts w:ascii="仿宋_GB2312" w:hAnsi="宋体" w:eastAsia="仿宋_GB2312" w:cs="宋体"/>
      <w:b/>
      <w:bCs/>
      <w:color w:val="000000"/>
      <w:kern w:val="0"/>
      <w:szCs w:val="21"/>
    </w:rPr>
  </w:style>
  <w:style w:type="paragraph" w:styleId="14">
    <w:name w:val="caption"/>
    <w:basedOn w:val="1"/>
    <w:next w:val="1"/>
    <w:qFormat/>
    <w:uiPriority w:val="0"/>
    <w:rPr>
      <w:rFonts w:ascii="Arial" w:hAnsi="Arial" w:eastAsia="黑体" w:cs="Arial"/>
      <w:color w:val="000000"/>
      <w:kern w:val="1"/>
      <w:sz w:val="20"/>
      <w:szCs w:val="20"/>
    </w:rPr>
  </w:style>
  <w:style w:type="paragraph" w:styleId="15">
    <w:name w:val="List Bullet"/>
    <w:basedOn w:val="1"/>
    <w:qFormat/>
    <w:uiPriority w:val="0"/>
    <w:pPr>
      <w:spacing w:line="360" w:lineRule="auto"/>
    </w:pPr>
    <w:rPr>
      <w:rFonts w:ascii="宋体" w:hAnsi="宋体"/>
      <w:sz w:val="20"/>
      <w:szCs w:val="20"/>
    </w:rPr>
  </w:style>
  <w:style w:type="paragraph" w:styleId="16">
    <w:name w:val="Document Map"/>
    <w:basedOn w:val="1"/>
    <w:link w:val="96"/>
    <w:semiHidden/>
    <w:qFormat/>
    <w:uiPriority w:val="0"/>
    <w:pPr>
      <w:shd w:val="clear" w:color="auto" w:fill="000080"/>
    </w:pPr>
  </w:style>
  <w:style w:type="paragraph" w:styleId="17">
    <w:name w:val="annotation text"/>
    <w:basedOn w:val="1"/>
    <w:link w:val="67"/>
    <w:unhideWhenUsed/>
    <w:qFormat/>
    <w:uiPriority w:val="0"/>
    <w:pPr>
      <w:jc w:val="left"/>
    </w:pPr>
  </w:style>
  <w:style w:type="paragraph" w:styleId="18">
    <w:name w:val="Body Text 3"/>
    <w:basedOn w:val="1"/>
    <w:link w:val="176"/>
    <w:unhideWhenUsed/>
    <w:qFormat/>
    <w:uiPriority w:val="0"/>
    <w:pPr>
      <w:spacing w:after="120"/>
    </w:pPr>
    <w:rPr>
      <w:sz w:val="16"/>
      <w:szCs w:val="16"/>
    </w:rPr>
  </w:style>
  <w:style w:type="paragraph" w:styleId="19">
    <w:name w:val="Body Text Indent"/>
    <w:basedOn w:val="1"/>
    <w:next w:val="1"/>
    <w:qFormat/>
    <w:uiPriority w:val="0"/>
    <w:pPr>
      <w:ind w:left="480" w:hanging="480" w:hangingChars="200"/>
    </w:pPr>
    <w:rPr>
      <w:sz w:val="24"/>
    </w:rPr>
  </w:style>
  <w:style w:type="paragraph" w:styleId="20">
    <w:name w:val="List Number 3"/>
    <w:basedOn w:val="1"/>
    <w:qFormat/>
    <w:uiPriority w:val="0"/>
    <w:pPr>
      <w:widowControl/>
      <w:tabs>
        <w:tab w:val="left" w:pos="2260"/>
      </w:tabs>
      <w:spacing w:afterLines="50"/>
      <w:ind w:left="2260" w:hanging="340"/>
      <w:jc w:val="left"/>
    </w:pPr>
    <w:rPr>
      <w:kern w:val="0"/>
      <w:sz w:val="24"/>
      <w:szCs w:val="20"/>
    </w:rPr>
  </w:style>
  <w:style w:type="paragraph" w:styleId="21">
    <w:name w:val="List Continue"/>
    <w:basedOn w:val="1"/>
    <w:qFormat/>
    <w:uiPriority w:val="0"/>
    <w:pPr>
      <w:spacing w:after="120"/>
      <w:ind w:left="420"/>
    </w:pPr>
    <w:rPr>
      <w:rFonts w:eastAsia="楷体_GB2312"/>
      <w:sz w:val="32"/>
      <w:szCs w:val="20"/>
    </w:rPr>
  </w:style>
  <w:style w:type="paragraph" w:styleId="22">
    <w:name w:val="Block Text"/>
    <w:basedOn w:val="1"/>
    <w:qFormat/>
    <w:uiPriority w:val="0"/>
    <w:pPr>
      <w:spacing w:after="120"/>
      <w:ind w:left="1440" w:leftChars="700" w:right="1440" w:rightChars="700"/>
    </w:pPr>
    <w:rPr>
      <w:szCs w:val="22"/>
    </w:rPr>
  </w:style>
  <w:style w:type="paragraph" w:styleId="23">
    <w:name w:val="toc 3"/>
    <w:basedOn w:val="1"/>
    <w:next w:val="1"/>
    <w:semiHidden/>
    <w:qFormat/>
    <w:uiPriority w:val="0"/>
    <w:pPr>
      <w:tabs>
        <w:tab w:val="right" w:leader="dot" w:pos="8777"/>
      </w:tabs>
      <w:spacing w:line="500" w:lineRule="atLeast"/>
      <w:ind w:left="540" w:leftChars="257"/>
    </w:pPr>
  </w:style>
  <w:style w:type="paragraph" w:styleId="24">
    <w:name w:val="Plain Text"/>
    <w:basedOn w:val="1"/>
    <w:link w:val="6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5">
    <w:name w:val="Date"/>
    <w:basedOn w:val="1"/>
    <w:next w:val="1"/>
    <w:link w:val="97"/>
    <w:qFormat/>
    <w:uiPriority w:val="0"/>
    <w:pPr>
      <w:ind w:left="100" w:leftChars="2500"/>
    </w:pPr>
    <w:rPr>
      <w:rFonts w:ascii="仿宋_GB2312" w:hAnsi="宋体" w:eastAsia="仿宋_GB2312" w:cs="宋体"/>
      <w:b/>
      <w:bCs/>
      <w:color w:val="000000"/>
      <w:kern w:val="0"/>
      <w:sz w:val="24"/>
      <w:szCs w:val="21"/>
    </w:rPr>
  </w:style>
  <w:style w:type="paragraph" w:styleId="26">
    <w:name w:val="Body Text Indent 2"/>
    <w:basedOn w:val="1"/>
    <w:link w:val="69"/>
    <w:qFormat/>
    <w:uiPriority w:val="0"/>
    <w:pPr>
      <w:widowControl/>
      <w:spacing w:line="480" w:lineRule="atLeast"/>
      <w:ind w:firstLine="480"/>
    </w:pPr>
    <w:rPr>
      <w:rFonts w:ascii="宋体" w:hAnsi="宋体" w:eastAsia="仿宋_GB2312"/>
      <w:b/>
      <w:bCs/>
      <w:color w:val="000000"/>
      <w:kern w:val="0"/>
      <w:sz w:val="24"/>
      <w:szCs w:val="20"/>
    </w:rPr>
  </w:style>
  <w:style w:type="paragraph" w:styleId="27">
    <w:name w:val="Balloon Text"/>
    <w:basedOn w:val="1"/>
    <w:semiHidden/>
    <w:qFormat/>
    <w:uiPriority w:val="0"/>
    <w:rPr>
      <w:sz w:val="18"/>
      <w:szCs w:val="18"/>
    </w:rPr>
  </w:style>
  <w:style w:type="paragraph" w:styleId="28">
    <w:name w:val="footer"/>
    <w:basedOn w:val="1"/>
    <w:link w:val="70"/>
    <w:qFormat/>
    <w:uiPriority w:val="0"/>
    <w:pPr>
      <w:tabs>
        <w:tab w:val="center" w:pos="4153"/>
        <w:tab w:val="right" w:pos="8306"/>
      </w:tabs>
      <w:snapToGrid w:val="0"/>
      <w:jc w:val="left"/>
    </w:pPr>
    <w:rPr>
      <w:sz w:val="18"/>
      <w:szCs w:val="18"/>
    </w:rPr>
  </w:style>
  <w:style w:type="paragraph" w:styleId="29">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777"/>
      </w:tabs>
      <w:spacing w:line="500" w:lineRule="exact"/>
      <w:jc w:val="left"/>
    </w:pPr>
  </w:style>
  <w:style w:type="paragraph" w:styleId="31">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420" w:hanging="420"/>
    </w:pPr>
    <w:rPr>
      <w:rFonts w:eastAsia="楷体_GB2312"/>
      <w:sz w:val="32"/>
      <w:szCs w:val="20"/>
    </w:rPr>
  </w:style>
  <w:style w:type="paragraph" w:styleId="33">
    <w:name w:val="footnote text"/>
    <w:basedOn w:val="1"/>
    <w:link w:val="98"/>
    <w:qFormat/>
    <w:uiPriority w:val="0"/>
    <w:pPr>
      <w:snapToGrid w:val="0"/>
      <w:jc w:val="left"/>
    </w:pPr>
    <w:rPr>
      <w:sz w:val="18"/>
    </w:rPr>
  </w:style>
  <w:style w:type="paragraph" w:styleId="34">
    <w:name w:val="toc 6"/>
    <w:basedOn w:val="1"/>
    <w:next w:val="1"/>
    <w:qFormat/>
    <w:uiPriority w:val="0"/>
    <w:pPr>
      <w:ind w:left="2100" w:leftChars="1000"/>
    </w:pPr>
    <w:rPr>
      <w:rFonts w:ascii="仿宋_GB2312" w:hAnsi="宋体" w:eastAsia="仿宋_GB2312" w:cs="宋体"/>
      <w:b/>
      <w:bCs/>
      <w:color w:val="000000"/>
      <w:kern w:val="0"/>
      <w:szCs w:val="21"/>
    </w:rPr>
  </w:style>
  <w:style w:type="paragraph" w:styleId="35">
    <w:name w:val="Body Text Indent 3"/>
    <w:basedOn w:val="1"/>
    <w:link w:val="99"/>
    <w:qFormat/>
    <w:uiPriority w:val="0"/>
    <w:pPr>
      <w:spacing w:after="120"/>
      <w:ind w:left="420" w:leftChars="200"/>
    </w:pPr>
    <w:rPr>
      <w:rFonts w:ascii="仿宋_GB2312" w:hAnsi="宋体" w:eastAsia="仿宋_GB2312" w:cs="宋体"/>
      <w:b/>
      <w:bCs/>
      <w:color w:val="000000"/>
      <w:kern w:val="0"/>
      <w:sz w:val="16"/>
      <w:szCs w:val="16"/>
    </w:rPr>
  </w:style>
  <w:style w:type="paragraph" w:styleId="36">
    <w:name w:val="toc 2"/>
    <w:basedOn w:val="1"/>
    <w:next w:val="1"/>
    <w:qFormat/>
    <w:uiPriority w:val="39"/>
    <w:pPr>
      <w:tabs>
        <w:tab w:val="right" w:leader="dot" w:pos="8777"/>
      </w:tabs>
      <w:spacing w:line="500" w:lineRule="atLeast"/>
      <w:ind w:left="420" w:leftChars="200" w:firstLine="120" w:firstLineChars="50"/>
    </w:pPr>
  </w:style>
  <w:style w:type="paragraph" w:styleId="37">
    <w:name w:val="Body Text 2"/>
    <w:basedOn w:val="1"/>
    <w:link w:val="100"/>
    <w:qFormat/>
    <w:uiPriority w:val="0"/>
    <w:pPr>
      <w:spacing w:after="120" w:line="480" w:lineRule="auto"/>
    </w:pPr>
  </w:style>
  <w:style w:type="paragraph" w:styleId="38">
    <w:name w:val="HTML Preformatted"/>
    <w:basedOn w:val="1"/>
    <w:link w:val="1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9">
    <w:name w:val="Normal (Web)"/>
    <w:basedOn w:val="1"/>
    <w:link w:val="73"/>
    <w:unhideWhenUsed/>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74"/>
    <w:qFormat/>
    <w:uiPriority w:val="0"/>
    <w:pPr>
      <w:spacing w:before="240" w:after="60"/>
      <w:jc w:val="center"/>
      <w:outlineLvl w:val="0"/>
    </w:pPr>
    <w:rPr>
      <w:rFonts w:ascii="Cambria" w:hAnsi="Cambria"/>
      <w:b/>
      <w:bCs/>
      <w:sz w:val="32"/>
      <w:szCs w:val="32"/>
    </w:rPr>
  </w:style>
  <w:style w:type="paragraph" w:styleId="41">
    <w:name w:val="annotation subject"/>
    <w:basedOn w:val="17"/>
    <w:next w:val="17"/>
    <w:link w:val="75"/>
    <w:semiHidden/>
    <w:unhideWhenUsed/>
    <w:qFormat/>
    <w:uiPriority w:val="0"/>
    <w:rPr>
      <w:b/>
      <w:bCs/>
    </w:rPr>
  </w:style>
  <w:style w:type="paragraph" w:styleId="42">
    <w:name w:val="Body Text First Indent 2"/>
    <w:basedOn w:val="19"/>
    <w:next w:val="1"/>
    <w:qFormat/>
    <w:uiPriority w:val="0"/>
    <w:pPr>
      <w:spacing w:after="120"/>
      <w:ind w:firstLine="420" w:firstLineChars="200"/>
    </w:p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22"/>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i/>
      <w:iCs/>
    </w:rPr>
  </w:style>
  <w:style w:type="character" w:styleId="50">
    <w:name w:val="Hyperlink"/>
    <w:basedOn w:val="45"/>
    <w:qFormat/>
    <w:uiPriority w:val="99"/>
    <w:rPr>
      <w:color w:val="0000FF"/>
      <w:u w:val="single"/>
    </w:rPr>
  </w:style>
  <w:style w:type="character" w:styleId="51">
    <w:name w:val="annotation reference"/>
    <w:basedOn w:val="45"/>
    <w:semiHidden/>
    <w:unhideWhenUsed/>
    <w:qFormat/>
    <w:uiPriority w:val="0"/>
    <w:rPr>
      <w:sz w:val="21"/>
      <w:szCs w:val="21"/>
    </w:rPr>
  </w:style>
  <w:style w:type="character" w:styleId="52">
    <w:name w:val="HTML Keyboard"/>
    <w:qFormat/>
    <w:uiPriority w:val="0"/>
    <w:rPr>
      <w:rFonts w:ascii="monospace" w:hAnsi="monospace" w:eastAsia="monospace" w:cs="monospace"/>
      <w:sz w:val="21"/>
      <w:szCs w:val="21"/>
    </w:rPr>
  </w:style>
  <w:style w:type="character" w:styleId="53">
    <w:name w:val="HTML Sample"/>
    <w:basedOn w:val="45"/>
    <w:semiHidden/>
    <w:unhideWhenUsed/>
    <w:qFormat/>
    <w:uiPriority w:val="99"/>
    <w:rPr>
      <w:rFonts w:ascii="宋体" w:hAnsi="宋体" w:eastAsia="宋体" w:cs="宋体"/>
    </w:rPr>
  </w:style>
  <w:style w:type="paragraph" w:customStyle="1" w:styleId="54">
    <w:name w:val="TOC 标题1"/>
    <w:basedOn w:val="4"/>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5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6">
    <w:name w:val="文档正文"/>
    <w:basedOn w:val="1"/>
    <w:qFormat/>
    <w:uiPriority w:val="0"/>
    <w:pPr>
      <w:adjustRightInd w:val="0"/>
      <w:spacing w:line="300" w:lineRule="auto"/>
      <w:ind w:firstLine="567"/>
      <w:textAlignment w:val="baseline"/>
    </w:pPr>
    <w:rPr>
      <w:kern w:val="0"/>
      <w:sz w:val="24"/>
      <w:szCs w:val="20"/>
    </w:rPr>
  </w:style>
  <w:style w:type="character" w:customStyle="1" w:styleId="57">
    <w:name w:val="标题 1 Char"/>
    <w:link w:val="4"/>
    <w:qFormat/>
    <w:uiPriority w:val="0"/>
    <w:rPr>
      <w:b/>
      <w:bCs/>
      <w:kern w:val="44"/>
      <w:sz w:val="44"/>
      <w:szCs w:val="44"/>
    </w:rPr>
  </w:style>
  <w:style w:type="character" w:customStyle="1" w:styleId="58">
    <w:name w:val="标题 2 Char"/>
    <w:basedOn w:val="45"/>
    <w:link w:val="5"/>
    <w:qFormat/>
    <w:uiPriority w:val="0"/>
    <w:rPr>
      <w:rFonts w:ascii="Arial" w:hAnsi="Arial" w:eastAsia="黑体"/>
      <w:b/>
      <w:bCs/>
      <w:kern w:val="2"/>
      <w:sz w:val="32"/>
      <w:szCs w:val="32"/>
    </w:rPr>
  </w:style>
  <w:style w:type="character" w:customStyle="1" w:styleId="59">
    <w:name w:val="正文缩进 Char"/>
    <w:link w:val="8"/>
    <w:qFormat/>
    <w:uiPriority w:val="0"/>
    <w:rPr>
      <w:rFonts w:ascii="仿宋_GB2312" w:hAnsi="宋体" w:eastAsia="仿宋_GB2312" w:cs="宋体"/>
      <w:b/>
      <w:bCs/>
      <w:color w:val="000000"/>
      <w:sz w:val="21"/>
      <w:szCs w:val="21"/>
      <w:lang w:val="en-US" w:eastAsia="zh-CN" w:bidi="ar-SA"/>
    </w:rPr>
  </w:style>
  <w:style w:type="character" w:customStyle="1" w:styleId="60">
    <w:name w:val="标题 3 Char"/>
    <w:basedOn w:val="45"/>
    <w:link w:val="6"/>
    <w:qFormat/>
    <w:uiPriority w:val="0"/>
    <w:rPr>
      <w:rFonts w:ascii="Arial" w:hAnsi="Arial" w:eastAsia="黑体" w:cs="宋体"/>
      <w:color w:val="000000"/>
      <w:spacing w:val="20"/>
      <w:sz w:val="30"/>
      <w:szCs w:val="32"/>
    </w:rPr>
  </w:style>
  <w:style w:type="character" w:customStyle="1" w:styleId="61">
    <w:name w:val="标题 4 Char"/>
    <w:basedOn w:val="45"/>
    <w:link w:val="7"/>
    <w:qFormat/>
    <w:uiPriority w:val="0"/>
    <w:rPr>
      <w:rFonts w:ascii="Arial" w:hAnsi="Arial" w:eastAsia="黑体" w:cs="宋体"/>
      <w:color w:val="000000"/>
      <w:spacing w:val="10"/>
      <w:sz w:val="28"/>
      <w:szCs w:val="28"/>
    </w:rPr>
  </w:style>
  <w:style w:type="character" w:customStyle="1" w:styleId="62">
    <w:name w:val="标题 5 Char"/>
    <w:basedOn w:val="45"/>
    <w:link w:val="9"/>
    <w:qFormat/>
    <w:uiPriority w:val="0"/>
    <w:rPr>
      <w:rFonts w:ascii="Arial" w:hAnsi="Arial" w:eastAsia="黑体" w:cs="宋体"/>
      <w:color w:val="000000"/>
      <w:spacing w:val="10"/>
      <w:sz w:val="28"/>
      <w:szCs w:val="28"/>
    </w:rPr>
  </w:style>
  <w:style w:type="character" w:customStyle="1" w:styleId="63">
    <w:name w:val="标题 6 Char"/>
    <w:basedOn w:val="45"/>
    <w:link w:val="10"/>
    <w:qFormat/>
    <w:uiPriority w:val="0"/>
    <w:rPr>
      <w:rFonts w:ascii="Arial" w:hAnsi="Arial" w:eastAsia="黑体" w:cs="宋体"/>
      <w:color w:val="000000"/>
      <w:spacing w:val="10"/>
      <w:sz w:val="24"/>
      <w:szCs w:val="21"/>
    </w:rPr>
  </w:style>
  <w:style w:type="character" w:customStyle="1" w:styleId="64">
    <w:name w:val="标题 7 Char"/>
    <w:basedOn w:val="45"/>
    <w:link w:val="11"/>
    <w:qFormat/>
    <w:uiPriority w:val="0"/>
    <w:rPr>
      <w:rFonts w:ascii="Arial" w:hAnsi="Arial" w:eastAsia="黑体" w:cs="宋体"/>
      <w:color w:val="000000"/>
      <w:sz w:val="24"/>
      <w:szCs w:val="21"/>
    </w:rPr>
  </w:style>
  <w:style w:type="character" w:customStyle="1" w:styleId="65">
    <w:name w:val="标题 8 Char"/>
    <w:basedOn w:val="45"/>
    <w:link w:val="12"/>
    <w:qFormat/>
    <w:uiPriority w:val="0"/>
    <w:rPr>
      <w:rFonts w:ascii="Arial" w:hAnsi="Arial" w:eastAsia="黑体" w:cs="宋体"/>
      <w:b/>
      <w:bCs/>
      <w:color w:val="000000"/>
      <w:sz w:val="24"/>
      <w:szCs w:val="21"/>
    </w:rPr>
  </w:style>
  <w:style w:type="character" w:customStyle="1" w:styleId="66">
    <w:name w:val="标题 9 Char"/>
    <w:basedOn w:val="45"/>
    <w:link w:val="13"/>
    <w:qFormat/>
    <w:uiPriority w:val="0"/>
    <w:rPr>
      <w:rFonts w:ascii="Arial" w:hAnsi="Arial" w:eastAsia="黑体" w:cs="宋体"/>
      <w:b/>
      <w:bCs/>
      <w:color w:val="000000"/>
      <w:sz w:val="21"/>
      <w:szCs w:val="21"/>
    </w:rPr>
  </w:style>
  <w:style w:type="character" w:customStyle="1" w:styleId="67">
    <w:name w:val="批注文字 Char"/>
    <w:basedOn w:val="45"/>
    <w:link w:val="17"/>
    <w:qFormat/>
    <w:uiPriority w:val="0"/>
    <w:rPr>
      <w:kern w:val="2"/>
      <w:sz w:val="21"/>
      <w:szCs w:val="24"/>
    </w:rPr>
  </w:style>
  <w:style w:type="character" w:customStyle="1" w:styleId="68">
    <w:name w:val="纯文本 Char"/>
    <w:link w:val="24"/>
    <w:qFormat/>
    <w:uiPriority w:val="0"/>
    <w:rPr>
      <w:rFonts w:ascii="宋体" w:hAnsi="Courier New" w:eastAsia="宋体"/>
      <w:sz w:val="21"/>
      <w:szCs w:val="21"/>
      <w:lang w:val="en-US" w:eastAsia="zh-CN" w:bidi="ar-SA"/>
    </w:rPr>
  </w:style>
  <w:style w:type="character" w:customStyle="1" w:styleId="69">
    <w:name w:val="正文文本缩进 2 Char"/>
    <w:link w:val="26"/>
    <w:qFormat/>
    <w:uiPriority w:val="0"/>
    <w:rPr>
      <w:rFonts w:ascii="宋体" w:hAnsi="宋体" w:eastAsia="仿宋_GB2312"/>
      <w:b/>
      <w:bCs/>
      <w:color w:val="000000"/>
      <w:sz w:val="24"/>
      <w:lang w:bidi="ar-SA"/>
    </w:rPr>
  </w:style>
  <w:style w:type="character" w:customStyle="1" w:styleId="70">
    <w:name w:val="页脚 Char"/>
    <w:link w:val="28"/>
    <w:qFormat/>
    <w:uiPriority w:val="0"/>
    <w:rPr>
      <w:kern w:val="2"/>
      <w:sz w:val="18"/>
      <w:szCs w:val="18"/>
    </w:rPr>
  </w:style>
  <w:style w:type="character" w:customStyle="1" w:styleId="71">
    <w:name w:val="页眉 Char"/>
    <w:link w:val="29"/>
    <w:qFormat/>
    <w:uiPriority w:val="0"/>
    <w:rPr>
      <w:kern w:val="2"/>
      <w:sz w:val="18"/>
      <w:szCs w:val="18"/>
    </w:rPr>
  </w:style>
  <w:style w:type="character" w:customStyle="1" w:styleId="72">
    <w:name w:val="副标题 Char"/>
    <w:basedOn w:val="45"/>
    <w:link w:val="31"/>
    <w:qFormat/>
    <w:uiPriority w:val="0"/>
    <w:rPr>
      <w:rFonts w:ascii="Cambria" w:hAnsi="Cambria" w:cs="Times New Roman"/>
      <w:b/>
      <w:bCs/>
      <w:kern w:val="28"/>
      <w:sz w:val="32"/>
      <w:szCs w:val="32"/>
    </w:rPr>
  </w:style>
  <w:style w:type="character" w:customStyle="1" w:styleId="73">
    <w:name w:val="普通(网站) Char"/>
    <w:link w:val="39"/>
    <w:qFormat/>
    <w:uiPriority w:val="0"/>
    <w:rPr>
      <w:rFonts w:ascii="宋体" w:hAnsi="宋体" w:cs="宋体"/>
      <w:sz w:val="24"/>
      <w:szCs w:val="24"/>
    </w:rPr>
  </w:style>
  <w:style w:type="character" w:customStyle="1" w:styleId="74">
    <w:name w:val="标题 Char"/>
    <w:basedOn w:val="45"/>
    <w:link w:val="40"/>
    <w:qFormat/>
    <w:uiPriority w:val="0"/>
    <w:rPr>
      <w:rFonts w:ascii="Cambria" w:hAnsi="Cambria" w:cs="Times New Roman"/>
      <w:b/>
      <w:bCs/>
      <w:kern w:val="2"/>
      <w:sz w:val="32"/>
      <w:szCs w:val="32"/>
    </w:rPr>
  </w:style>
  <w:style w:type="character" w:customStyle="1" w:styleId="75">
    <w:name w:val="批注主题 Char"/>
    <w:basedOn w:val="67"/>
    <w:link w:val="41"/>
    <w:semiHidden/>
    <w:qFormat/>
    <w:uiPriority w:val="0"/>
    <w:rPr>
      <w:b/>
      <w:bCs/>
      <w:kern w:val="2"/>
      <w:sz w:val="21"/>
      <w:szCs w:val="24"/>
    </w:rPr>
  </w:style>
  <w:style w:type="character" w:customStyle="1" w:styleId="76">
    <w:name w:val="Char Char5"/>
    <w:qFormat/>
    <w:uiPriority w:val="0"/>
    <w:rPr>
      <w:rFonts w:ascii="Arial" w:hAnsi="Arial" w:eastAsia="宋体" w:cs="Arial"/>
      <w:b/>
      <w:bCs/>
      <w:color w:val="000000"/>
      <w:sz w:val="32"/>
      <w:szCs w:val="32"/>
      <w:lang w:val="en-US" w:eastAsia="zh-CN" w:bidi="ar-SA"/>
    </w:rPr>
  </w:style>
  <w:style w:type="paragraph" w:customStyle="1" w:styleId="77">
    <w:name w:val="p16"/>
    <w:basedOn w:val="1"/>
    <w:qFormat/>
    <w:uiPriority w:val="0"/>
    <w:pPr>
      <w:widowControl/>
    </w:pPr>
    <w:rPr>
      <w:rFonts w:ascii="Calibri" w:hAnsi="Calibri" w:cs="宋体"/>
      <w:kern w:val="0"/>
      <w:szCs w:val="21"/>
    </w:rPr>
  </w:style>
  <w:style w:type="paragraph" w:styleId="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Char Char Char Char Char Char Char"/>
    <w:basedOn w:val="1"/>
    <w:qFormat/>
    <w:uiPriority w:val="0"/>
    <w:rPr>
      <w:rFonts w:ascii="仿宋_GB2312" w:eastAsia="仿宋_GB2312"/>
      <w:b/>
      <w:sz w:val="32"/>
      <w:szCs w:val="32"/>
    </w:rPr>
  </w:style>
  <w:style w:type="paragraph" w:customStyle="1" w:styleId="80">
    <w:name w:val="p15"/>
    <w:basedOn w:val="1"/>
    <w:qFormat/>
    <w:uiPriority w:val="0"/>
    <w:pPr>
      <w:widowControl/>
      <w:ind w:firstLine="420"/>
    </w:pPr>
    <w:rPr>
      <w:rFonts w:ascii="Calibri" w:hAnsi="Calibri" w:cs="宋体"/>
      <w:kern w:val="0"/>
      <w:szCs w:val="21"/>
    </w:rPr>
  </w:style>
  <w:style w:type="paragraph" w:customStyle="1" w:styleId="81">
    <w:name w:val="Char Char"/>
    <w:basedOn w:val="1"/>
    <w:qFormat/>
    <w:uiPriority w:val="0"/>
    <w:pPr>
      <w:spacing w:line="360" w:lineRule="auto"/>
    </w:pPr>
    <w:rPr>
      <w:rFonts w:ascii="Tahoma" w:hAnsi="Tahoma"/>
      <w:sz w:val="24"/>
      <w:szCs w:val="20"/>
    </w:rPr>
  </w:style>
  <w:style w:type="paragraph" w:customStyle="1" w:styleId="8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83">
    <w:name w:val="[Normal]"/>
    <w:qFormat/>
    <w:uiPriority w:val="0"/>
    <w:rPr>
      <w:rFonts w:ascii="宋体" w:hAnsi="宋体" w:eastAsia="宋体" w:cs="Times New Roman"/>
      <w:sz w:val="24"/>
      <w:szCs w:val="22"/>
      <w:lang w:val="zh-CN" w:eastAsia="zh-CN" w:bidi="ar-SA"/>
    </w:rPr>
  </w:style>
  <w:style w:type="paragraph" w:styleId="84">
    <w:name w:val="List Paragraph"/>
    <w:basedOn w:val="1"/>
    <w:next w:val="1"/>
    <w:qFormat/>
    <w:uiPriority w:val="34"/>
    <w:pPr>
      <w:ind w:firstLine="420" w:firstLineChars="200"/>
    </w:pPr>
  </w:style>
  <w:style w:type="paragraph" w:customStyle="1" w:styleId="85">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8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Table Paragraph"/>
    <w:basedOn w:val="1"/>
    <w:qFormat/>
    <w:uiPriority w:val="1"/>
    <w:pPr>
      <w:widowControl/>
      <w:autoSpaceDE w:val="0"/>
      <w:autoSpaceDN w:val="0"/>
      <w:spacing w:line="360" w:lineRule="auto"/>
      <w:jc w:val="left"/>
    </w:pPr>
    <w:rPr>
      <w:rFonts w:ascii="宋体" w:hAnsi="宋体" w:cs="宋体"/>
      <w:kern w:val="0"/>
      <w:sz w:val="22"/>
      <w:szCs w:val="22"/>
      <w:lang w:val="zh-CN" w:bidi="zh-CN"/>
    </w:rPr>
  </w:style>
  <w:style w:type="character" w:customStyle="1" w:styleId="88">
    <w:name w:val="纯文本 Char2"/>
    <w:qFormat/>
    <w:uiPriority w:val="0"/>
    <w:rPr>
      <w:rFonts w:ascii="宋体" w:hAnsi="Courier New" w:eastAsia="仿宋_GB2312" w:cs="宋体"/>
      <w:b/>
      <w:bCs/>
      <w:color w:val="000000"/>
      <w:sz w:val="21"/>
      <w:lang w:val="en-US" w:eastAsia="zh-CN" w:bidi="ar-SA"/>
    </w:rPr>
  </w:style>
  <w:style w:type="character" w:customStyle="1" w:styleId="89">
    <w:name w:val="NormalCharacter"/>
    <w:qFormat/>
    <w:uiPriority w:val="0"/>
  </w:style>
  <w:style w:type="paragraph" w:customStyle="1" w:styleId="90">
    <w:name w:val="列出段落3"/>
    <w:basedOn w:val="1"/>
    <w:qFormat/>
    <w:uiPriority w:val="0"/>
    <w:pPr>
      <w:spacing w:line="360" w:lineRule="auto"/>
      <w:ind w:firstLine="420" w:firstLineChars="200"/>
    </w:pPr>
    <w:rPr>
      <w:rFonts w:ascii="Calibri" w:hAnsi="Calibri"/>
      <w:sz w:val="24"/>
      <w:szCs w:val="22"/>
    </w:rPr>
  </w:style>
  <w:style w:type="character" w:customStyle="1" w:styleId="91">
    <w:name w:val="纯文本 Char1"/>
    <w:qFormat/>
    <w:uiPriority w:val="0"/>
    <w:rPr>
      <w:rFonts w:ascii="宋体" w:hAnsi="Courier New" w:eastAsia="仿宋_GB2312" w:cs="宋体"/>
      <w:b/>
      <w:bCs/>
      <w:color w:val="000000"/>
    </w:rPr>
  </w:style>
  <w:style w:type="character" w:customStyle="1" w:styleId="92">
    <w:name w:val="skancount"/>
    <w:basedOn w:val="45"/>
    <w:qFormat/>
    <w:uiPriority w:val="0"/>
  </w:style>
  <w:style w:type="character" w:customStyle="1" w:styleId="93">
    <w:name w:val="bookmark-item"/>
    <w:basedOn w:val="45"/>
    <w:qFormat/>
    <w:uiPriority w:val="0"/>
  </w:style>
  <w:style w:type="paragraph" w:customStyle="1" w:styleId="94">
    <w:name w:val="正文文本首行缩进1"/>
    <w:basedOn w:val="3"/>
    <w:qFormat/>
    <w:uiPriority w:val="0"/>
    <w:pPr>
      <w:spacing w:line="360" w:lineRule="auto"/>
      <w:ind w:firstLine="200" w:firstLineChars="200"/>
    </w:pPr>
    <w:rPr>
      <w:rFonts w:ascii="宋体" w:hAnsi="宋体"/>
      <w:bCs/>
      <w:sz w:val="24"/>
      <w:szCs w:val="21"/>
    </w:rPr>
  </w:style>
  <w:style w:type="paragraph" w:customStyle="1" w:styleId="95">
    <w:name w:val="列表段落1"/>
    <w:basedOn w:val="1"/>
    <w:qFormat/>
    <w:uiPriority w:val="0"/>
    <w:pPr>
      <w:ind w:firstLine="420" w:firstLineChars="200"/>
    </w:pPr>
    <w:rPr>
      <w:rFonts w:asciiTheme="minorHAnsi" w:hAnsiTheme="minorHAnsi" w:eastAsiaTheme="minorEastAsia" w:cstheme="minorBidi"/>
      <w:sz w:val="24"/>
    </w:rPr>
  </w:style>
  <w:style w:type="character" w:customStyle="1" w:styleId="96">
    <w:name w:val="文档结构图 Char"/>
    <w:basedOn w:val="45"/>
    <w:link w:val="16"/>
    <w:semiHidden/>
    <w:qFormat/>
    <w:uiPriority w:val="0"/>
    <w:rPr>
      <w:kern w:val="2"/>
      <w:sz w:val="21"/>
      <w:szCs w:val="24"/>
      <w:shd w:val="clear" w:color="auto" w:fill="000080"/>
    </w:rPr>
  </w:style>
  <w:style w:type="character" w:customStyle="1" w:styleId="97">
    <w:name w:val="日期 Char"/>
    <w:basedOn w:val="45"/>
    <w:link w:val="25"/>
    <w:qFormat/>
    <w:uiPriority w:val="0"/>
    <w:rPr>
      <w:rFonts w:ascii="仿宋_GB2312" w:hAnsi="宋体" w:eastAsia="仿宋_GB2312" w:cs="宋体"/>
      <w:b/>
      <w:bCs/>
      <w:color w:val="000000"/>
      <w:sz w:val="24"/>
      <w:szCs w:val="21"/>
    </w:rPr>
  </w:style>
  <w:style w:type="character" w:customStyle="1" w:styleId="98">
    <w:name w:val="脚注文本 Char"/>
    <w:basedOn w:val="45"/>
    <w:link w:val="33"/>
    <w:qFormat/>
    <w:uiPriority w:val="0"/>
    <w:rPr>
      <w:kern w:val="2"/>
      <w:sz w:val="18"/>
      <w:szCs w:val="24"/>
    </w:rPr>
  </w:style>
  <w:style w:type="character" w:customStyle="1" w:styleId="99">
    <w:name w:val="正文文本缩进 3 Char"/>
    <w:basedOn w:val="45"/>
    <w:link w:val="35"/>
    <w:qFormat/>
    <w:uiPriority w:val="0"/>
    <w:rPr>
      <w:rFonts w:ascii="仿宋_GB2312" w:hAnsi="宋体" w:eastAsia="仿宋_GB2312" w:cs="宋体"/>
      <w:b/>
      <w:bCs/>
      <w:color w:val="000000"/>
      <w:sz w:val="16"/>
      <w:szCs w:val="16"/>
    </w:rPr>
  </w:style>
  <w:style w:type="character" w:customStyle="1" w:styleId="100">
    <w:name w:val="正文文本 2 Char"/>
    <w:basedOn w:val="45"/>
    <w:link w:val="37"/>
    <w:qFormat/>
    <w:uiPriority w:val="0"/>
    <w:rPr>
      <w:kern w:val="2"/>
      <w:sz w:val="21"/>
      <w:szCs w:val="24"/>
    </w:rPr>
  </w:style>
  <w:style w:type="character" w:customStyle="1" w:styleId="101">
    <w:name w:val="HTML 预设格式 Char"/>
    <w:basedOn w:val="45"/>
    <w:link w:val="38"/>
    <w:qFormat/>
    <w:uiPriority w:val="0"/>
    <w:rPr>
      <w:rFonts w:ascii="黑体" w:hAnsi="Courier New" w:eastAsia="黑体"/>
    </w:rPr>
  </w:style>
  <w:style w:type="character" w:customStyle="1" w:styleId="102">
    <w:name w:val="style11"/>
    <w:qFormat/>
    <w:uiPriority w:val="0"/>
    <w:rPr>
      <w:sz w:val="18"/>
      <w:szCs w:val="18"/>
    </w:rPr>
  </w:style>
  <w:style w:type="character" w:customStyle="1" w:styleId="103">
    <w:name w:val="Char Char2"/>
    <w:qFormat/>
    <w:uiPriority w:val="0"/>
    <w:rPr>
      <w:rFonts w:eastAsia="宋体"/>
      <w:kern w:val="2"/>
      <w:sz w:val="18"/>
      <w:szCs w:val="18"/>
      <w:lang w:val="en-US" w:eastAsia="zh-CN" w:bidi="ar-SA"/>
    </w:rPr>
  </w:style>
  <w:style w:type="character" w:customStyle="1" w:styleId="104">
    <w:name w:val="ca-6"/>
    <w:basedOn w:val="45"/>
    <w:qFormat/>
    <w:uiPriority w:val="0"/>
  </w:style>
  <w:style w:type="character" w:customStyle="1" w:styleId="105">
    <w:name w:val="unnamed11"/>
    <w:qFormat/>
    <w:uiPriority w:val="0"/>
    <w:rPr>
      <w:color w:val="000000"/>
      <w:sz w:val="20"/>
      <w:szCs w:val="20"/>
    </w:rPr>
  </w:style>
  <w:style w:type="character" w:customStyle="1" w:styleId="106">
    <w:name w:val="Texte Char Char"/>
    <w:qFormat/>
    <w:uiPriority w:val="0"/>
    <w:rPr>
      <w:rFonts w:ascii="宋体" w:hAnsi="Courier New" w:eastAsia="仿宋_GB2312" w:cs="宋体"/>
      <w:b/>
      <w:bCs/>
      <w:color w:val="000000"/>
      <w:sz w:val="21"/>
      <w:lang w:val="en-US" w:eastAsia="zh-CN" w:bidi="ar-SA"/>
    </w:rPr>
  </w:style>
  <w:style w:type="character" w:customStyle="1" w:styleId="107">
    <w:name w:val="f10"/>
    <w:basedOn w:val="45"/>
    <w:qFormat/>
    <w:uiPriority w:val="0"/>
  </w:style>
  <w:style w:type="character" w:customStyle="1" w:styleId="108">
    <w:name w:val="ca-2"/>
    <w:basedOn w:val="45"/>
    <w:qFormat/>
    <w:uiPriority w:val="0"/>
  </w:style>
  <w:style w:type="character" w:customStyle="1" w:styleId="109">
    <w:name w:val="缩进2字符 Char"/>
    <w:link w:val="110"/>
    <w:qFormat/>
    <w:locked/>
    <w:uiPriority w:val="0"/>
    <w:rPr>
      <w:rFonts w:ascii="仿宋_GB2312" w:hAnsi="仿宋_GB2312" w:eastAsia="仿宋_GB2312" w:cs="Arial"/>
      <w:snapToGrid w:val="0"/>
      <w:color w:val="000000"/>
      <w:sz w:val="28"/>
      <w:szCs w:val="28"/>
    </w:rPr>
  </w:style>
  <w:style w:type="paragraph" w:customStyle="1" w:styleId="110">
    <w:name w:val="缩进2字符"/>
    <w:basedOn w:val="1"/>
    <w:link w:val="109"/>
    <w:qFormat/>
    <w:uiPriority w:val="0"/>
    <w:pPr>
      <w:widowControl/>
      <w:ind w:firstLine="200" w:firstLineChars="200"/>
      <w:jc w:val="left"/>
    </w:pPr>
    <w:rPr>
      <w:rFonts w:ascii="仿宋_GB2312" w:hAnsi="仿宋_GB2312" w:eastAsia="仿宋_GB2312" w:cs="Arial"/>
      <w:snapToGrid w:val="0"/>
      <w:color w:val="000000"/>
      <w:kern w:val="0"/>
      <w:sz w:val="28"/>
      <w:szCs w:val="28"/>
    </w:rPr>
  </w:style>
  <w:style w:type="character" w:customStyle="1" w:styleId="111">
    <w:name w:val="ca-11"/>
    <w:qFormat/>
    <w:uiPriority w:val="0"/>
    <w:rPr>
      <w:rFonts w:hint="eastAsia" w:ascii="宋体" w:hAnsi="宋体" w:eastAsia="宋体"/>
      <w:sz w:val="18"/>
      <w:szCs w:val="18"/>
    </w:rPr>
  </w:style>
  <w:style w:type="character" w:customStyle="1" w:styleId="112">
    <w:name w:val="标题 Char1"/>
    <w:qFormat/>
    <w:locked/>
    <w:uiPriority w:val="0"/>
    <w:rPr>
      <w:rFonts w:ascii="Arial" w:hAnsi="Arial" w:cs="Arial"/>
      <w:b/>
      <w:bCs/>
      <w:color w:val="000000"/>
      <w:sz w:val="32"/>
      <w:szCs w:val="32"/>
    </w:rPr>
  </w:style>
  <w:style w:type="character" w:customStyle="1" w:styleId="113">
    <w:name w:val="ca-3"/>
    <w:basedOn w:val="45"/>
    <w:qFormat/>
    <w:uiPriority w:val="0"/>
  </w:style>
  <w:style w:type="character" w:customStyle="1" w:styleId="114">
    <w:name w:val="para"/>
    <w:basedOn w:val="45"/>
    <w:qFormat/>
    <w:uiPriority w:val="0"/>
  </w:style>
  <w:style w:type="character" w:customStyle="1" w:styleId="115">
    <w:name w:val="表格文本 Char"/>
    <w:link w:val="116"/>
    <w:qFormat/>
    <w:locked/>
    <w:uiPriority w:val="0"/>
    <w:rPr>
      <w:rFonts w:ascii="宋体" w:hAnsi="宋体" w:cs="Arial"/>
      <w:snapToGrid w:val="0"/>
      <w:szCs w:val="21"/>
    </w:rPr>
  </w:style>
  <w:style w:type="paragraph" w:customStyle="1" w:styleId="116">
    <w:name w:val="表格文本"/>
    <w:basedOn w:val="1"/>
    <w:link w:val="115"/>
    <w:qFormat/>
    <w:uiPriority w:val="0"/>
    <w:pPr>
      <w:snapToGrid w:val="0"/>
      <w:jc w:val="left"/>
    </w:pPr>
    <w:rPr>
      <w:rFonts w:ascii="宋体" w:hAnsi="宋体" w:cs="Arial"/>
      <w:snapToGrid w:val="0"/>
      <w:kern w:val="0"/>
      <w:sz w:val="20"/>
      <w:szCs w:val="21"/>
    </w:rPr>
  </w:style>
  <w:style w:type="character" w:customStyle="1" w:styleId="117">
    <w:name w:val="ca-8"/>
    <w:basedOn w:val="45"/>
    <w:qFormat/>
    <w:uiPriority w:val="0"/>
  </w:style>
  <w:style w:type="character" w:customStyle="1" w:styleId="118">
    <w:name w:val="smalltxt1"/>
    <w:qFormat/>
    <w:uiPriority w:val="0"/>
    <w:rPr>
      <w:rFonts w:hint="default" w:ascii="ˎ̥" w:hAnsi="ˎ̥" w:eastAsia="仿宋_GB2312"/>
      <w:b/>
      <w:sz w:val="24"/>
      <w:szCs w:val="24"/>
    </w:rPr>
  </w:style>
  <w:style w:type="character" w:customStyle="1" w:styleId="119">
    <w:name w:val="Char Char1"/>
    <w:qFormat/>
    <w:uiPriority w:val="0"/>
    <w:rPr>
      <w:rFonts w:ascii="宋体" w:hAnsi="Courier New" w:eastAsia="仿宋_GB2312" w:cs="宋体"/>
      <w:b/>
      <w:bCs/>
      <w:color w:val="000000"/>
      <w:sz w:val="21"/>
      <w:lang w:val="en-US" w:eastAsia="zh-CN" w:bidi="ar-SA"/>
    </w:rPr>
  </w:style>
  <w:style w:type="character" w:customStyle="1" w:styleId="120">
    <w:name w:val="apple-converted-space"/>
    <w:basedOn w:val="45"/>
    <w:qFormat/>
    <w:uiPriority w:val="0"/>
  </w:style>
  <w:style w:type="character" w:customStyle="1" w:styleId="121">
    <w:name w:val="bigtitle1"/>
    <w:qFormat/>
    <w:uiPriority w:val="0"/>
    <w:rPr>
      <w:sz w:val="28"/>
      <w:szCs w:val="28"/>
    </w:rPr>
  </w:style>
  <w:style w:type="character" w:customStyle="1" w:styleId="122">
    <w:name w:val="Char Char4"/>
    <w:qFormat/>
    <w:uiPriority w:val="0"/>
    <w:rPr>
      <w:rFonts w:eastAsia="宋体"/>
      <w:sz w:val="18"/>
      <w:szCs w:val="18"/>
      <w:lang w:val="en-US" w:eastAsia="zh-CN" w:bidi="ar-SA"/>
    </w:rPr>
  </w:style>
  <w:style w:type="character" w:customStyle="1" w:styleId="123">
    <w:name w:val="样式3 Char"/>
    <w:link w:val="124"/>
    <w:qFormat/>
    <w:uiPriority w:val="0"/>
    <w:rPr>
      <w:rFonts w:eastAsia="黑体"/>
      <w:kern w:val="2"/>
      <w:sz w:val="28"/>
      <w:szCs w:val="21"/>
    </w:rPr>
  </w:style>
  <w:style w:type="paragraph" w:customStyle="1" w:styleId="124">
    <w:name w:val="样式3"/>
    <w:basedOn w:val="1"/>
    <w:link w:val="123"/>
    <w:qFormat/>
    <w:uiPriority w:val="0"/>
    <w:pPr>
      <w:snapToGrid w:val="0"/>
      <w:outlineLvl w:val="2"/>
    </w:pPr>
    <w:rPr>
      <w:rFonts w:eastAsia="黑体"/>
      <w:sz w:val="28"/>
      <w:szCs w:val="21"/>
    </w:rPr>
  </w:style>
  <w:style w:type="character" w:customStyle="1" w:styleId="125">
    <w:name w:val="unnamed51"/>
    <w:qFormat/>
    <w:uiPriority w:val="0"/>
    <w:rPr>
      <w:sz w:val="22"/>
      <w:szCs w:val="22"/>
    </w:rPr>
  </w:style>
  <w:style w:type="paragraph" w:customStyle="1" w:styleId="126">
    <w:name w:val="默认段落字体 Para Char"/>
    <w:basedOn w:val="1"/>
    <w:qFormat/>
    <w:uiPriority w:val="0"/>
    <w:pPr>
      <w:adjustRightInd w:val="0"/>
      <w:spacing w:line="360" w:lineRule="auto"/>
    </w:pPr>
    <w:rPr>
      <w:kern w:val="0"/>
      <w:sz w:val="24"/>
      <w:szCs w:val="20"/>
    </w:rPr>
  </w:style>
  <w:style w:type="paragraph" w:customStyle="1" w:styleId="127">
    <w:name w:val="Char Char Char Char Char Char Char Char Char Char Char Char"/>
    <w:basedOn w:val="1"/>
    <w:qFormat/>
    <w:uiPriority w:val="0"/>
    <w:pPr>
      <w:spacing w:line="300" w:lineRule="auto"/>
    </w:pPr>
    <w:rPr>
      <w:rFonts w:ascii="宋体" w:hAnsi="宋体"/>
      <w:b/>
      <w:bCs/>
      <w:color w:val="000000"/>
      <w:spacing w:val="8"/>
      <w:kern w:val="0"/>
      <w:sz w:val="24"/>
    </w:rPr>
  </w:style>
  <w:style w:type="paragraph" w:customStyle="1" w:styleId="128">
    <w:name w:val="Char Char Char Char"/>
    <w:basedOn w:val="16"/>
    <w:qFormat/>
    <w:uiPriority w:val="0"/>
    <w:rPr>
      <w:rFonts w:ascii="Tahoma" w:hAnsi="Tahoma"/>
      <w:sz w:val="24"/>
    </w:rPr>
  </w:style>
  <w:style w:type="paragraph" w:customStyle="1" w:styleId="129">
    <w:name w:val="Char"/>
    <w:basedOn w:val="1"/>
    <w:qFormat/>
    <w:uiPriority w:val="0"/>
    <w:rPr>
      <w:rFonts w:ascii="仿宋_GB2312" w:eastAsia="仿宋_GB2312"/>
      <w:b/>
      <w:sz w:val="32"/>
      <w:szCs w:val="32"/>
    </w:rPr>
  </w:style>
  <w:style w:type="paragraph" w:customStyle="1" w:styleId="130">
    <w:name w:val="Char2"/>
    <w:basedOn w:val="1"/>
    <w:qFormat/>
    <w:uiPriority w:val="0"/>
    <w:rPr>
      <w:rFonts w:ascii="仿宋_GB2312" w:hAnsi="宋体" w:eastAsia="仿宋_GB2312" w:cs="宋体"/>
      <w:bCs/>
      <w:color w:val="000000"/>
      <w:kern w:val="0"/>
      <w:sz w:val="32"/>
      <w:szCs w:val="32"/>
    </w:rPr>
  </w:style>
  <w:style w:type="paragraph" w:customStyle="1" w:styleId="131">
    <w:name w:val="默认段落字体 Para Char Char Char Char"/>
    <w:basedOn w:val="1"/>
    <w:qFormat/>
    <w:uiPriority w:val="0"/>
  </w:style>
  <w:style w:type="paragraph" w:customStyle="1" w:styleId="132">
    <w:name w:val="样式1"/>
    <w:basedOn w:val="5"/>
    <w:qFormat/>
    <w:uiPriority w:val="0"/>
    <w:pPr>
      <w:tabs>
        <w:tab w:val="left" w:pos="432"/>
        <w:tab w:val="left" w:pos="576"/>
        <w:tab w:val="left" w:pos="2340"/>
        <w:tab w:val="left" w:pos="2700"/>
        <w:tab w:val="left" w:pos="2880"/>
        <w:tab w:val="left" w:pos="3060"/>
        <w:tab w:val="left" w:pos="3240"/>
        <w:tab w:val="left" w:pos="3420"/>
        <w:tab w:val="left" w:pos="3780"/>
      </w:tabs>
      <w:spacing w:before="120" w:after="0" w:line="360" w:lineRule="auto"/>
    </w:pPr>
    <w:rPr>
      <w:rFonts w:eastAsia="Arial"/>
      <w:color w:val="000000"/>
    </w:rPr>
  </w:style>
  <w:style w:type="paragraph" w:customStyle="1" w:styleId="133">
    <w:name w:val="pa-2"/>
    <w:basedOn w:val="1"/>
    <w:qFormat/>
    <w:uiPriority w:val="0"/>
    <w:pPr>
      <w:widowControl/>
      <w:spacing w:line="240" w:lineRule="atLeast"/>
      <w:ind w:firstLine="440"/>
    </w:pPr>
    <w:rPr>
      <w:rFonts w:ascii="宋体" w:hAnsi="宋体" w:cs="宋体"/>
      <w:kern w:val="0"/>
      <w:sz w:val="24"/>
    </w:rPr>
  </w:style>
  <w:style w:type="paragraph" w:customStyle="1" w:styleId="13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1 Char Char Char"/>
    <w:basedOn w:val="1"/>
    <w:qFormat/>
    <w:uiPriority w:val="0"/>
    <w:rPr>
      <w:rFonts w:ascii="仿宋_GB2312" w:eastAsia="仿宋_GB2312"/>
      <w:b/>
      <w:sz w:val="32"/>
      <w:szCs w:val="32"/>
    </w:rPr>
  </w:style>
  <w:style w:type="paragraph" w:customStyle="1" w:styleId="136">
    <w:name w:val="Body Text(ch)"/>
    <w:basedOn w:val="1"/>
    <w:next w:val="3"/>
    <w:qFormat/>
    <w:uiPriority w:val="0"/>
    <w:pPr>
      <w:spacing w:line="500" w:lineRule="exact"/>
      <w:jc w:val="center"/>
    </w:pPr>
  </w:style>
  <w:style w:type="paragraph" w:customStyle="1" w:styleId="13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138">
    <w:name w:val="Char Char1 Char Char Char Char Char Char Char Char Char Char"/>
    <w:basedOn w:val="1"/>
    <w:qFormat/>
    <w:uiPriority w:val="0"/>
    <w:rPr>
      <w:rFonts w:ascii="Tahoma" w:hAnsi="Tahoma" w:eastAsia="仿宋_GB2312" w:cs="宋体"/>
      <w:b/>
      <w:bCs/>
      <w:color w:val="000000"/>
      <w:kern w:val="0"/>
      <w:sz w:val="24"/>
      <w:szCs w:val="20"/>
    </w:rPr>
  </w:style>
  <w:style w:type="paragraph" w:customStyle="1" w:styleId="139">
    <w:name w:val="小点说明"/>
    <w:basedOn w:val="1"/>
    <w:qFormat/>
    <w:uiPriority w:val="0"/>
    <w:pPr>
      <w:tabs>
        <w:tab w:val="left" w:pos="0"/>
      </w:tabs>
      <w:adjustRightInd w:val="0"/>
      <w:snapToGrid w:val="0"/>
      <w:spacing w:line="340" w:lineRule="atLeast"/>
    </w:pPr>
    <w:rPr>
      <w:rFonts w:ascii="宋体" w:hAnsi="宋体"/>
      <w:bCs/>
      <w:kern w:val="0"/>
      <w:lang w:val="eu-ES"/>
    </w:rPr>
  </w:style>
  <w:style w:type="paragraph" w:customStyle="1" w:styleId="140">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41">
    <w:name w:val="Char Char Char"/>
    <w:basedOn w:val="1"/>
    <w:qFormat/>
    <w:uiPriority w:val="0"/>
    <w:rPr>
      <w:rFonts w:ascii="Tahoma" w:hAnsi="Tahoma"/>
      <w:sz w:val="24"/>
      <w:szCs w:val="20"/>
    </w:rPr>
  </w:style>
  <w:style w:type="paragraph" w:customStyle="1" w:styleId="142">
    <w:name w:val="List Paragraph1"/>
    <w:basedOn w:val="1"/>
    <w:qFormat/>
    <w:uiPriority w:val="0"/>
    <w:pPr>
      <w:ind w:firstLine="420" w:firstLineChars="200"/>
    </w:pPr>
    <w:rPr>
      <w:rFonts w:ascii="仿宋_GB2312" w:hAnsi="宋体" w:eastAsia="仿宋_GB2312" w:cs="仿宋_GB2312"/>
      <w:b/>
      <w:bCs/>
      <w:color w:val="000000"/>
      <w:kern w:val="0"/>
      <w:szCs w:val="21"/>
    </w:rPr>
  </w:style>
  <w:style w:type="paragraph" w:customStyle="1" w:styleId="143">
    <w:name w:val="默认段落字体 Para Char Char Char Char Char Char Char Char Char1 Char Char Char Char Char Char Char"/>
    <w:basedOn w:val="16"/>
    <w:qFormat/>
    <w:uiPriority w:val="0"/>
    <w:rPr>
      <w:rFonts w:ascii="Tahoma" w:hAnsi="Tahoma"/>
      <w:sz w:val="24"/>
    </w:rPr>
  </w:style>
  <w:style w:type="paragraph" w:customStyle="1" w:styleId="144">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145">
    <w:name w:val="Numbered list 2.3"/>
    <w:basedOn w:val="6"/>
    <w:next w:val="1"/>
    <w:qFormat/>
    <w:uiPriority w:val="0"/>
    <w:pPr>
      <w:keepLines w:val="0"/>
      <w:widowControl/>
      <w:tabs>
        <w:tab w:val="left" w:pos="360"/>
        <w:tab w:val="left" w:pos="705"/>
        <w:tab w:val="left" w:pos="1080"/>
        <w:tab w:val="clear" w:pos="720"/>
      </w:tabs>
      <w:spacing w:before="240" w:afterLines="0" w:line="240" w:lineRule="auto"/>
      <w:jc w:val="left"/>
    </w:pPr>
    <w:rPr>
      <w:rFonts w:eastAsia="宋体" w:cs="Times New Roman"/>
      <w:bCs/>
      <w:iCs/>
      <w:color w:val="auto"/>
      <w:spacing w:val="0"/>
      <w:sz w:val="28"/>
      <w:szCs w:val="24"/>
    </w:rPr>
  </w:style>
  <w:style w:type="paragraph" w:customStyle="1" w:styleId="146">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47">
    <w:name w:val="样式 宋体 小四 首行缩进:  0.93 厘米 段前: 11.15 磅 段后: 11.15 磅1"/>
    <w:basedOn w:val="1"/>
    <w:qFormat/>
    <w:uiPriority w:val="0"/>
    <w:pPr>
      <w:adjustRightInd w:val="0"/>
      <w:snapToGrid w:val="0"/>
      <w:ind w:left="200" w:leftChars="200"/>
    </w:pPr>
    <w:rPr>
      <w:rFonts w:ascii="宋体"/>
      <w:sz w:val="24"/>
      <w:szCs w:val="20"/>
    </w:rPr>
  </w:style>
  <w:style w:type="paragraph" w:customStyle="1" w:styleId="14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9">
    <w:name w:val="Char3"/>
    <w:basedOn w:val="1"/>
    <w:qFormat/>
    <w:uiPriority w:val="0"/>
    <w:rPr>
      <w:szCs w:val="20"/>
    </w:rPr>
  </w:style>
  <w:style w:type="paragraph" w:customStyle="1" w:styleId="150">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正文段"/>
    <w:basedOn w:val="1"/>
    <w:qFormat/>
    <w:uiPriority w:val="0"/>
    <w:pPr>
      <w:widowControl/>
      <w:snapToGrid w:val="0"/>
      <w:spacing w:afterLines="50"/>
      <w:ind w:firstLine="200" w:firstLineChars="200"/>
    </w:pPr>
    <w:rPr>
      <w:kern w:val="0"/>
      <w:sz w:val="24"/>
      <w:szCs w:val="20"/>
    </w:rPr>
  </w:style>
  <w:style w:type="paragraph" w:customStyle="1" w:styleId="15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3">
    <w:name w:val="正文－恩普"/>
    <w:basedOn w:val="8"/>
    <w:qFormat/>
    <w:uiPriority w:val="0"/>
    <w:pPr>
      <w:widowControl/>
      <w:spacing w:before="100" w:beforeAutospacing="1" w:afterLines="50" w:afterAutospacing="1" w:line="360" w:lineRule="auto"/>
      <w:ind w:firstLine="480"/>
      <w:jc w:val="left"/>
    </w:pPr>
    <w:rPr>
      <w:sz w:val="24"/>
      <w:szCs w:val="20"/>
    </w:rPr>
  </w:style>
  <w:style w:type="paragraph" w:customStyle="1" w:styleId="154">
    <w:name w:val="Char1 Char Char Char Char Char"/>
    <w:basedOn w:val="1"/>
    <w:qFormat/>
    <w:uiPriority w:val="0"/>
  </w:style>
  <w:style w:type="paragraph" w:customStyle="1" w:styleId="155">
    <w:name w:val="Char Char Char1"/>
    <w:basedOn w:val="16"/>
    <w:qFormat/>
    <w:uiPriority w:val="0"/>
    <w:rPr>
      <w:rFonts w:ascii="Tahoma" w:hAnsi="Tahoma"/>
      <w:sz w:val="24"/>
    </w:rPr>
  </w:style>
  <w:style w:type="paragraph" w:customStyle="1" w:styleId="156">
    <w:name w:val="Char1 Char Char Char Char Char Char"/>
    <w:basedOn w:val="1"/>
    <w:qFormat/>
    <w:uiPriority w:val="0"/>
    <w:rPr>
      <w:rFonts w:ascii="Tahoma" w:hAnsi="Tahoma"/>
      <w:sz w:val="24"/>
      <w:szCs w:val="20"/>
    </w:rPr>
  </w:style>
  <w:style w:type="paragraph" w:customStyle="1" w:styleId="157">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58">
    <w:name w:val="表内文字"/>
    <w:basedOn w:val="1"/>
    <w:qFormat/>
    <w:uiPriority w:val="0"/>
    <w:pPr>
      <w:spacing w:line="500" w:lineRule="atLeast"/>
      <w:jc w:val="center"/>
    </w:pPr>
    <w:rPr>
      <w:rFonts w:ascii="Arial" w:hAnsi="Arial" w:eastAsia="楷体_GB2312" w:cs="Arial"/>
      <w:sz w:val="28"/>
    </w:rPr>
  </w:style>
  <w:style w:type="character" w:customStyle="1" w:styleId="159">
    <w:name w:val="标题 4 Char1"/>
    <w:qFormat/>
    <w:uiPriority w:val="0"/>
    <w:rPr>
      <w:rFonts w:ascii="Arial" w:hAnsi="Arial" w:eastAsia="黑体"/>
      <w:b/>
      <w:bCs/>
      <w:kern w:val="2"/>
      <w:sz w:val="28"/>
      <w:szCs w:val="28"/>
      <w:lang w:val="en-US" w:eastAsia="zh-CN" w:bidi="ar-SA"/>
    </w:rPr>
  </w:style>
  <w:style w:type="paragraph" w:customStyle="1" w:styleId="160">
    <w:name w:val="正文缩进1"/>
    <w:basedOn w:val="1"/>
    <w:qFormat/>
    <w:uiPriority w:val="0"/>
    <w:pPr>
      <w:spacing w:line="360" w:lineRule="auto"/>
      <w:ind w:firstLine="454"/>
      <w:jc w:val="left"/>
    </w:pPr>
    <w:rPr>
      <w:sz w:val="24"/>
    </w:rPr>
  </w:style>
  <w:style w:type="paragraph" w:customStyle="1" w:styleId="161">
    <w:name w:val="列出段落1"/>
    <w:basedOn w:val="1"/>
    <w:qFormat/>
    <w:uiPriority w:val="0"/>
    <w:pPr>
      <w:ind w:firstLine="420" w:firstLineChars="200"/>
    </w:pPr>
    <w:rPr>
      <w:sz w:val="36"/>
      <w:szCs w:val="20"/>
    </w:rPr>
  </w:style>
  <w:style w:type="character" w:customStyle="1" w:styleId="162">
    <w:name w:val="无"/>
    <w:qFormat/>
    <w:uiPriority w:val="0"/>
  </w:style>
  <w:style w:type="paragraph" w:customStyle="1" w:styleId="163">
    <w:name w:val="Other|1"/>
    <w:basedOn w:val="1"/>
    <w:qFormat/>
    <w:uiPriority w:val="0"/>
    <w:pPr>
      <w:spacing w:line="311" w:lineRule="exact"/>
    </w:pPr>
    <w:rPr>
      <w:rFonts w:ascii="宋体" w:hAnsi="宋体" w:cs="宋体"/>
      <w:sz w:val="20"/>
      <w:szCs w:val="20"/>
      <w:lang w:val="zh-TW" w:eastAsia="zh-TW" w:bidi="zh-TW"/>
    </w:rPr>
  </w:style>
  <w:style w:type="character" w:customStyle="1" w:styleId="164">
    <w:name w:val="font21"/>
    <w:basedOn w:val="45"/>
    <w:qFormat/>
    <w:uiPriority w:val="0"/>
    <w:rPr>
      <w:rFonts w:hint="eastAsia" w:ascii="宋体" w:hAnsi="宋体" w:eastAsia="宋体"/>
      <w:color w:val="000000"/>
      <w:sz w:val="21"/>
      <w:szCs w:val="21"/>
      <w:u w:val="none"/>
    </w:rPr>
  </w:style>
  <w:style w:type="paragraph" w:customStyle="1" w:styleId="165">
    <w:name w:val="章正文"/>
    <w:basedOn w:val="1"/>
    <w:qFormat/>
    <w:uiPriority w:val="99"/>
    <w:pPr>
      <w:spacing w:beforeLines="50" w:after="120" w:line="300" w:lineRule="auto"/>
      <w:ind w:firstLine="480"/>
    </w:pPr>
    <w:rPr>
      <w:rFonts w:ascii="Helvetica" w:hAnsi="Helvetica"/>
      <w:kern w:val="0"/>
      <w:sz w:val="24"/>
    </w:rPr>
  </w:style>
  <w:style w:type="paragraph" w:customStyle="1" w:styleId="166">
    <w:name w:val="表格文字"/>
    <w:basedOn w:val="1"/>
    <w:next w:val="3"/>
    <w:qFormat/>
    <w:uiPriority w:val="0"/>
    <w:pPr>
      <w:widowControl/>
      <w:adjustRightInd w:val="0"/>
      <w:spacing w:line="420" w:lineRule="atLeast"/>
      <w:jc w:val="left"/>
      <w:textAlignment w:val="baseline"/>
    </w:pPr>
  </w:style>
  <w:style w:type="paragraph" w:customStyle="1" w:styleId="167">
    <w:name w:val="引用1"/>
    <w:basedOn w:val="1"/>
    <w:next w:val="1"/>
    <w:qFormat/>
    <w:uiPriority w:val="29"/>
    <w:rPr>
      <w:i/>
      <w:iCs/>
      <w:color w:val="000000"/>
    </w:rPr>
  </w:style>
  <w:style w:type="paragraph" w:customStyle="1" w:styleId="168">
    <w:name w:val="正文首行缩进2字符"/>
    <w:basedOn w:val="1"/>
    <w:qFormat/>
    <w:uiPriority w:val="0"/>
    <w:pPr>
      <w:widowControl/>
    </w:pPr>
  </w:style>
  <w:style w:type="paragraph" w:customStyle="1" w:styleId="16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0">
    <w:name w:val="_Style 167"/>
    <w:basedOn w:val="3"/>
    <w:next w:val="34"/>
    <w:qFormat/>
    <w:uiPriority w:val="0"/>
    <w:pPr>
      <w:adjustRightInd w:val="0"/>
      <w:snapToGrid w:val="0"/>
      <w:spacing w:after="120" w:line="288" w:lineRule="auto"/>
      <w:ind w:firstLine="420" w:firstLineChars="100"/>
    </w:pPr>
    <w:rPr>
      <w:rFonts w:hAnsi="Calibri"/>
      <w:szCs w:val="20"/>
    </w:rPr>
  </w:style>
  <w:style w:type="paragraph" w:customStyle="1" w:styleId="17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7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174">
    <w:name w:val="标题 Char2"/>
    <w:qFormat/>
    <w:uiPriority w:val="0"/>
    <w:rPr>
      <w:rFonts w:ascii="Arial" w:hAnsi="Arial" w:cs="Arial"/>
      <w:b/>
      <w:bCs/>
      <w:color w:val="000000"/>
      <w:sz w:val="32"/>
      <w:szCs w:val="32"/>
    </w:rPr>
  </w:style>
  <w:style w:type="character" w:customStyle="1" w:styleId="175">
    <w:name w:val="纯文本 Char3"/>
    <w:qFormat/>
    <w:uiPriority w:val="0"/>
    <w:rPr>
      <w:rFonts w:ascii="宋体" w:hAnsi="Courier New" w:eastAsia="仿宋_GB2312" w:cs="宋体"/>
      <w:b/>
      <w:bCs/>
      <w:color w:val="000000"/>
      <w:sz w:val="21"/>
      <w:lang w:val="en-US" w:eastAsia="zh-CN" w:bidi="ar-SA"/>
    </w:rPr>
  </w:style>
  <w:style w:type="character" w:customStyle="1" w:styleId="176">
    <w:name w:val="正文文本 3 Char"/>
    <w:basedOn w:val="45"/>
    <w:link w:val="18"/>
    <w:qFormat/>
    <w:uiPriority w:val="0"/>
    <w:rPr>
      <w:kern w:val="2"/>
      <w:sz w:val="16"/>
      <w:szCs w:val="16"/>
    </w:rPr>
  </w:style>
  <w:style w:type="paragraph" w:customStyle="1" w:styleId="177">
    <w:name w:val="DAS正文"/>
    <w:basedOn w:val="1"/>
    <w:qFormat/>
    <w:uiPriority w:val="0"/>
    <w:pPr>
      <w:spacing w:line="360" w:lineRule="auto"/>
      <w:ind w:right="181" w:firstLine="480" w:firstLineChars="200"/>
    </w:pPr>
    <w:rPr>
      <w:rFonts w:ascii="Verdana" w:hAnsi="Verdana"/>
      <w:sz w:val="24"/>
    </w:rPr>
  </w:style>
  <w:style w:type="paragraph" w:customStyle="1" w:styleId="178">
    <w:name w:val="无间隔1"/>
    <w:qFormat/>
    <w:uiPriority w:val="99"/>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7310</Words>
  <Characters>8119</Characters>
  <Lines>284</Lines>
  <Paragraphs>80</Paragraphs>
  <TotalTime>6</TotalTime>
  <ScaleCrop>false</ScaleCrop>
  <LinksUpToDate>false</LinksUpToDate>
  <CharactersWithSpaces>8655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2023-10-16T00:48:00Z</dcterms:created>
  <dc:creator>lrj</dc:creator>
  <cp:lastModifiedBy>cici</cp:lastModifiedBy>
  <cp:lastPrinted>2023-10-20T01:48:00Z</cp:lastPrinted>
  <dcterms:modified xsi:type="dcterms:W3CDTF">2025-01-21T02:33:39Z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59173AADEA2D48CC9464EA358D325E68_13</vt:lpwstr>
  </property>
  <property fmtid="{D5CDD505-2E9C-101B-9397-08002B2CF9AE}" pid="4" name="KSOTemplateDocerSaveRecord">
    <vt:lpwstr>eyJoZGlkIjoiNTQ1YjNkMTZlOWM2MTdjMjI3ZDQyMDcwMzJhMTRmODkiLCJ1c2VySWQiOiIzNjM5Mzk4OTQifQ==</vt:lpwstr>
  </property>
</Properties>
</file>