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0"/>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180" w:type="dxa"/>
          </w:tcPr>
          <w:p>
            <w:pPr>
              <w:autoSpaceDE w:val="0"/>
              <w:autoSpaceDN w:val="0"/>
              <w:adjustRightInd w:val="0"/>
              <w:snapToGrid w:val="0"/>
              <w:spacing w:line="500" w:lineRule="atLeast"/>
              <w:ind w:left="956"/>
              <w:rPr>
                <w:rFonts w:ascii="宋体" w:eastAsia="宋体" w:cs="仿宋_GB2312"/>
                <w:b w:val="0"/>
                <w:bCs w:val="0"/>
                <w:color w:val="auto"/>
                <w:sz w:val="32"/>
                <w:szCs w:val="32"/>
                <w:lang w:val="zh-CN"/>
              </w:rPr>
            </w:pPr>
            <w:r>
              <w:rPr>
                <w:rFonts w:hint="eastAsia" w:ascii="宋体" w:eastAsia="宋体" w:cs="仿宋_GB2312"/>
                <w:b w:val="0"/>
                <w:bCs w:val="0"/>
                <w:color w:val="auto"/>
                <w:sz w:val="32"/>
                <w:szCs w:val="32"/>
                <w:lang w:val="zh-CN"/>
              </w:rPr>
              <w:t xml:space="preserve"> </w:t>
            </w:r>
          </w:p>
          <w:p>
            <w:pPr>
              <w:autoSpaceDE w:val="0"/>
              <w:autoSpaceDN w:val="0"/>
              <w:adjustRightInd w:val="0"/>
              <w:snapToGrid w:val="0"/>
              <w:spacing w:line="500" w:lineRule="atLeast"/>
              <w:jc w:val="center"/>
              <w:rPr>
                <w:rFonts w:ascii="宋体" w:eastAsia="宋体" w:cs="仿宋_GB2312"/>
                <w:color w:val="auto"/>
                <w:sz w:val="32"/>
                <w:szCs w:val="32"/>
                <w:lang w:val="zh-CN"/>
              </w:rPr>
            </w:pPr>
          </w:p>
          <w:p>
            <w:pPr>
              <w:spacing w:line="480" w:lineRule="auto"/>
              <w:jc w:val="center"/>
              <w:rPr>
                <w:rFonts w:ascii="黑体" w:eastAsia="黑体"/>
                <w:color w:val="auto"/>
                <w:sz w:val="72"/>
              </w:rPr>
            </w:pPr>
            <w:r>
              <w:rPr>
                <w:rFonts w:hint="eastAsia" w:ascii="黑体" w:eastAsia="黑体"/>
                <w:color w:val="auto"/>
                <w:sz w:val="72"/>
              </w:rPr>
              <w:t>永嘉县政府采购</w:t>
            </w:r>
          </w:p>
          <w:p>
            <w:pPr>
              <w:spacing w:line="480" w:lineRule="auto"/>
              <w:jc w:val="center"/>
              <w:rPr>
                <w:rFonts w:ascii="黑体" w:eastAsia="黑体"/>
                <w:color w:val="auto"/>
                <w:sz w:val="72"/>
              </w:rPr>
            </w:pPr>
            <w:r>
              <w:rPr>
                <w:rFonts w:hint="eastAsia" w:ascii="黑体" w:eastAsia="黑体"/>
                <w:color w:val="auto"/>
                <w:sz w:val="72"/>
              </w:rPr>
              <w:t>招标文件</w:t>
            </w:r>
          </w:p>
          <w:p>
            <w:pPr>
              <w:spacing w:line="480" w:lineRule="auto"/>
              <w:jc w:val="center"/>
              <w:rPr>
                <w:rFonts w:ascii="黑体" w:eastAsia="黑体"/>
                <w:color w:val="auto"/>
                <w:sz w:val="72"/>
              </w:rPr>
            </w:pPr>
            <w:r>
              <w:rPr>
                <w:rFonts w:hint="eastAsia" w:ascii="黑体" w:eastAsia="黑体"/>
                <w:color w:val="auto"/>
                <w:sz w:val="72"/>
              </w:rPr>
              <w:t>（电子招投标）</w:t>
            </w:r>
          </w:p>
          <w:p>
            <w:pPr>
              <w:snapToGrid w:val="0"/>
              <w:spacing w:line="480" w:lineRule="auto"/>
              <w:ind w:left="2692" w:leftChars="568" w:hanging="1500" w:hangingChars="500"/>
              <w:rPr>
                <w:rFonts w:ascii="黑体" w:eastAsia="黑体"/>
                <w:color w:val="auto"/>
                <w:sz w:val="30"/>
                <w:szCs w:val="30"/>
              </w:rPr>
            </w:pPr>
          </w:p>
          <w:p>
            <w:pPr>
              <w:pStyle w:val="2"/>
              <w:ind w:firstLine="211"/>
              <w:rPr>
                <w:color w:val="auto"/>
              </w:rPr>
            </w:pPr>
          </w:p>
          <w:p>
            <w:pPr>
              <w:snapToGrid w:val="0"/>
              <w:spacing w:line="480" w:lineRule="auto"/>
              <w:ind w:left="2692" w:leftChars="568" w:hanging="1500" w:hangingChars="500"/>
              <w:rPr>
                <w:rFonts w:hint="eastAsia" w:ascii="黑体" w:eastAsia="黑体"/>
                <w:color w:val="auto"/>
                <w:sz w:val="30"/>
                <w:szCs w:val="30"/>
                <w:lang w:eastAsia="zh-CN"/>
              </w:rPr>
            </w:pPr>
            <w:r>
              <w:rPr>
                <w:rFonts w:hint="eastAsia" w:ascii="黑体" w:eastAsia="黑体"/>
                <w:color w:val="auto"/>
                <w:sz w:val="30"/>
                <w:szCs w:val="30"/>
              </w:rPr>
              <w:t>项目名称：</w:t>
            </w:r>
            <w:r>
              <w:rPr>
                <w:rFonts w:hint="eastAsia" w:ascii="黑体" w:eastAsia="黑体"/>
                <w:color w:val="auto"/>
                <w:sz w:val="30"/>
                <w:szCs w:val="30"/>
                <w:lang w:eastAsia="zh-CN"/>
              </w:rPr>
              <w:t>永嘉县公安局交通警察大队国省道信号灯建设</w:t>
            </w:r>
          </w:p>
          <w:p>
            <w:pPr>
              <w:snapToGrid w:val="0"/>
              <w:spacing w:line="480" w:lineRule="auto"/>
              <w:ind w:left="2692" w:leftChars="568" w:hanging="1500" w:hangingChars="500"/>
              <w:rPr>
                <w:rFonts w:hint="eastAsia" w:ascii="黑体" w:eastAsia="黑体"/>
                <w:color w:val="auto"/>
                <w:sz w:val="30"/>
                <w:szCs w:val="30"/>
                <w:highlight w:val="none"/>
                <w:lang w:eastAsia="zh-CN"/>
              </w:rPr>
            </w:pPr>
            <w:r>
              <w:rPr>
                <w:rFonts w:hint="eastAsia" w:ascii="黑体" w:eastAsia="黑体"/>
                <w:color w:val="auto"/>
                <w:sz w:val="30"/>
                <w:szCs w:val="30"/>
              </w:rPr>
              <w:t>采购编号</w:t>
            </w:r>
            <w:r>
              <w:rPr>
                <w:rFonts w:hint="eastAsia" w:ascii="黑体" w:eastAsia="黑体"/>
                <w:color w:val="auto"/>
                <w:sz w:val="30"/>
                <w:szCs w:val="30"/>
                <w:highlight w:val="none"/>
              </w:rPr>
              <w:t>：</w:t>
            </w:r>
            <w:r>
              <w:rPr>
                <w:rFonts w:hint="eastAsia" w:ascii="黑体" w:eastAsia="黑体"/>
                <w:color w:val="auto"/>
                <w:sz w:val="30"/>
                <w:szCs w:val="30"/>
                <w:highlight w:val="none"/>
                <w:lang w:eastAsia="zh-CN"/>
              </w:rPr>
              <w:t>ZGCG-2024072201</w:t>
            </w:r>
          </w:p>
          <w:p>
            <w:pPr>
              <w:snapToGrid w:val="0"/>
              <w:spacing w:line="480" w:lineRule="auto"/>
              <w:ind w:left="2692" w:leftChars="568" w:hanging="1500" w:hangingChars="500"/>
              <w:rPr>
                <w:rFonts w:hint="default" w:ascii="黑体" w:eastAsia="黑体"/>
                <w:color w:val="auto"/>
                <w:sz w:val="30"/>
                <w:szCs w:val="30"/>
                <w:highlight w:val="none"/>
                <w:lang w:val="en-US" w:eastAsia="zh-CN"/>
              </w:rPr>
            </w:pPr>
            <w:r>
              <w:rPr>
                <w:rFonts w:hint="eastAsia" w:ascii="黑体" w:eastAsia="黑体"/>
                <w:color w:val="auto"/>
                <w:sz w:val="30"/>
                <w:szCs w:val="30"/>
                <w:highlight w:val="none"/>
                <w:lang w:val="en-US" w:eastAsia="zh-CN"/>
              </w:rPr>
              <w:t>采购方式：公开招标</w:t>
            </w:r>
          </w:p>
          <w:p>
            <w:pPr>
              <w:snapToGrid w:val="0"/>
              <w:spacing w:line="480" w:lineRule="auto"/>
              <w:ind w:firstLine="1200" w:firstLineChars="400"/>
              <w:rPr>
                <w:rFonts w:ascii="黑体" w:eastAsia="黑体"/>
                <w:color w:val="auto"/>
                <w:sz w:val="30"/>
                <w:szCs w:val="30"/>
              </w:rPr>
            </w:pPr>
          </w:p>
          <w:p>
            <w:pPr>
              <w:pStyle w:val="39"/>
            </w:pPr>
          </w:p>
          <w:p>
            <w:pPr>
              <w:pStyle w:val="2"/>
              <w:ind w:firstLine="211"/>
              <w:rPr>
                <w:color w:val="auto"/>
              </w:rPr>
            </w:pPr>
          </w:p>
          <w:p>
            <w:pPr>
              <w:snapToGrid w:val="0"/>
              <w:spacing w:line="480" w:lineRule="auto"/>
              <w:ind w:firstLine="1200" w:firstLineChars="400"/>
              <w:rPr>
                <w:rFonts w:hint="eastAsia" w:ascii="黑体" w:eastAsia="黑体"/>
                <w:color w:val="auto"/>
                <w:sz w:val="30"/>
                <w:szCs w:val="30"/>
                <w:lang w:eastAsia="zh-CN"/>
              </w:rPr>
            </w:pPr>
            <w:r>
              <w:rPr>
                <w:rFonts w:hint="eastAsia" w:ascii="黑体" w:eastAsia="黑体"/>
                <w:color w:val="auto"/>
                <w:sz w:val="30"/>
                <w:szCs w:val="30"/>
              </w:rPr>
              <w:t>采 购 人：</w:t>
            </w:r>
            <w:r>
              <w:rPr>
                <w:rFonts w:hint="eastAsia" w:ascii="黑体" w:eastAsia="黑体"/>
                <w:color w:val="auto"/>
                <w:sz w:val="30"/>
                <w:szCs w:val="30"/>
                <w:lang w:eastAsia="zh-CN"/>
              </w:rPr>
              <w:t>永嘉县公安局交通警察大队</w:t>
            </w:r>
          </w:p>
          <w:p>
            <w:pPr>
              <w:snapToGrid w:val="0"/>
              <w:spacing w:line="480" w:lineRule="auto"/>
              <w:ind w:firstLine="1200" w:firstLineChars="400"/>
              <w:rPr>
                <w:rFonts w:ascii="黑体" w:eastAsia="黑体"/>
                <w:color w:val="auto"/>
                <w:sz w:val="30"/>
                <w:szCs w:val="30"/>
              </w:rPr>
            </w:pPr>
            <w:r>
              <w:rPr>
                <w:rFonts w:hint="eastAsia" w:ascii="黑体" w:eastAsia="黑体"/>
                <w:color w:val="auto"/>
                <w:sz w:val="30"/>
                <w:szCs w:val="30"/>
              </w:rPr>
              <w:t>采购机构：温州市中概工程管理咨询有限公司</w:t>
            </w:r>
          </w:p>
          <w:p>
            <w:pPr>
              <w:autoSpaceDE w:val="0"/>
              <w:autoSpaceDN w:val="0"/>
              <w:adjustRightInd w:val="0"/>
              <w:snapToGrid w:val="0"/>
              <w:spacing w:line="480" w:lineRule="auto"/>
              <w:jc w:val="center"/>
              <w:rPr>
                <w:rFonts w:ascii="黑体" w:eastAsia="黑体"/>
                <w:color w:val="auto"/>
                <w:sz w:val="30"/>
                <w:szCs w:val="30"/>
              </w:rPr>
            </w:pPr>
          </w:p>
          <w:p>
            <w:pPr>
              <w:pStyle w:val="2"/>
              <w:ind w:firstLine="211"/>
              <w:rPr>
                <w:color w:val="auto"/>
              </w:rPr>
            </w:pPr>
          </w:p>
          <w:p>
            <w:pPr>
              <w:autoSpaceDE w:val="0"/>
              <w:autoSpaceDN w:val="0"/>
              <w:adjustRightInd w:val="0"/>
              <w:snapToGrid w:val="0"/>
              <w:spacing w:line="480" w:lineRule="auto"/>
              <w:jc w:val="center"/>
              <w:rPr>
                <w:rFonts w:ascii="黑体" w:eastAsia="黑体" w:cs="仿宋_GB2312"/>
                <w:color w:val="auto"/>
                <w:sz w:val="32"/>
                <w:szCs w:val="32"/>
              </w:rPr>
            </w:pPr>
            <w:r>
              <w:rPr>
                <w:rFonts w:hint="eastAsia" w:ascii="黑体" w:eastAsia="黑体"/>
                <w:color w:val="auto"/>
                <w:sz w:val="30"/>
                <w:szCs w:val="30"/>
              </w:rPr>
              <w:t>二○二</w:t>
            </w:r>
            <w:r>
              <w:rPr>
                <w:rFonts w:hint="eastAsia" w:ascii="黑体" w:eastAsia="黑体"/>
                <w:color w:val="auto"/>
                <w:sz w:val="30"/>
                <w:szCs w:val="30"/>
                <w:lang w:val="en-US" w:eastAsia="zh-CN"/>
              </w:rPr>
              <w:t>四</w:t>
            </w:r>
            <w:r>
              <w:rPr>
                <w:rFonts w:hint="eastAsia" w:ascii="黑体" w:eastAsia="黑体"/>
                <w:color w:val="auto"/>
                <w:sz w:val="30"/>
                <w:szCs w:val="30"/>
              </w:rPr>
              <w:t>年</w:t>
            </w:r>
            <w:r>
              <w:rPr>
                <w:rFonts w:hint="eastAsia" w:ascii="黑体" w:eastAsia="黑体"/>
                <w:color w:val="auto"/>
                <w:sz w:val="30"/>
                <w:szCs w:val="30"/>
                <w:lang w:val="en-US" w:eastAsia="zh-CN"/>
              </w:rPr>
              <w:t>七</w:t>
            </w:r>
            <w:r>
              <w:rPr>
                <w:rFonts w:hint="eastAsia" w:ascii="黑体" w:eastAsia="黑体"/>
                <w:color w:val="auto"/>
                <w:sz w:val="30"/>
                <w:szCs w:val="30"/>
              </w:rPr>
              <w:t>月</w:t>
            </w:r>
          </w:p>
          <w:p>
            <w:pPr>
              <w:autoSpaceDE w:val="0"/>
              <w:autoSpaceDN w:val="0"/>
              <w:adjustRightInd w:val="0"/>
              <w:spacing w:line="540" w:lineRule="exact"/>
              <w:ind w:left="4782"/>
              <w:jc w:val="center"/>
              <w:rPr>
                <w:rFonts w:ascii="宋体" w:eastAsia="宋体" w:cs="仿宋_GB2312"/>
                <w:b w:val="0"/>
                <w:bCs w:val="0"/>
                <w:color w:val="auto"/>
                <w:sz w:val="32"/>
                <w:szCs w:val="32"/>
              </w:rPr>
            </w:pPr>
            <w:r>
              <w:rPr>
                <w:rFonts w:ascii="宋体" w:eastAsia="宋体" w:cs="仿宋_GB2312"/>
                <w:b w:val="0"/>
                <w:color w:val="auto"/>
                <w:sz w:val="24"/>
              </w:rPr>
              <w:t xml:space="preserve">    </w:t>
            </w:r>
          </w:p>
        </w:tc>
      </w:tr>
    </w:tbl>
    <w:p>
      <w:pPr>
        <w:spacing w:before="312" w:beforeLines="100" w:after="156" w:afterLines="50" w:line="340" w:lineRule="exact"/>
        <w:jc w:val="center"/>
        <w:rPr>
          <w:rFonts w:ascii="宋体" w:eastAsia="宋体" w:cs="Arial"/>
          <w:b w:val="0"/>
          <w:bCs w:val="0"/>
          <w:color w:val="auto"/>
          <w:sz w:val="36"/>
          <w:szCs w:val="36"/>
        </w:rPr>
        <w:sectPr>
          <w:footerReference r:id="rId7" w:type="first"/>
          <w:headerReference r:id="rId3" w:type="default"/>
          <w:footerReference r:id="rId5" w:type="default"/>
          <w:headerReference r:id="rId4" w:type="even"/>
          <w:footerReference r:id="rId6" w:type="even"/>
          <w:pgSz w:w="11906" w:h="16838"/>
          <w:pgMar w:top="1440" w:right="1622" w:bottom="1440" w:left="1287" w:header="851" w:footer="992" w:gutter="0"/>
          <w:pgBorders>
            <w:top w:val="none" w:sz="0" w:space="0"/>
            <w:left w:val="none" w:sz="0" w:space="0"/>
            <w:bottom w:val="none" w:sz="0" w:space="0"/>
            <w:right w:val="none" w:sz="0" w:space="0"/>
          </w:pgBorders>
          <w:cols w:space="720" w:num="1"/>
          <w:titlePg/>
          <w:docGrid w:type="linesAndChars" w:linePitch="312" w:charSpace="0"/>
        </w:sectPr>
      </w:pPr>
    </w:p>
    <w:p>
      <w:pPr>
        <w:autoSpaceDE w:val="0"/>
        <w:autoSpaceDN w:val="0"/>
        <w:adjustRightInd w:val="0"/>
        <w:spacing w:after="360" w:afterLines="150" w:line="440" w:lineRule="atLeast"/>
        <w:jc w:val="center"/>
        <w:rPr>
          <w:rFonts w:ascii="宋体" w:eastAsia="宋体" w:cs="仿宋_GB2312"/>
          <w:color w:val="auto"/>
          <w:sz w:val="36"/>
          <w:szCs w:val="36"/>
          <w:lang w:val="zh-CN"/>
        </w:rPr>
      </w:pPr>
      <w:r>
        <w:rPr>
          <w:rFonts w:hint="eastAsia" w:ascii="宋体" w:eastAsia="宋体" w:cs="仿宋_GB2312"/>
          <w:color w:val="auto"/>
          <w:sz w:val="36"/>
          <w:szCs w:val="36"/>
          <w:lang w:val="zh-CN"/>
        </w:rPr>
        <w:t>招标文件目录</w:t>
      </w:r>
    </w:p>
    <w:p>
      <w:pPr>
        <w:pStyle w:val="36"/>
        <w:tabs>
          <w:tab w:val="right" w:leader="dot" w:pos="9179"/>
        </w:tabs>
        <w:spacing w:line="360" w:lineRule="auto"/>
      </w:pPr>
      <w:r>
        <w:rPr>
          <w:rFonts w:cs="仿宋_GB2312"/>
          <w:b w:val="0"/>
          <w:bCs/>
          <w:lang w:val="zh-CN"/>
        </w:rPr>
        <w:fldChar w:fldCharType="begin"/>
      </w:r>
      <w:r>
        <w:rPr>
          <w:rFonts w:cs="仿宋_GB2312"/>
          <w:b w:val="0"/>
          <w:bCs/>
          <w:lang w:val="zh-CN"/>
        </w:rPr>
        <w:instrText xml:space="preserve"> TOC \o "1-1" \h \z \u </w:instrText>
      </w:r>
      <w:r>
        <w:rPr>
          <w:rFonts w:cs="仿宋_GB2312"/>
          <w:b w:val="0"/>
          <w:bCs/>
          <w:lang w:val="zh-CN"/>
        </w:rPr>
        <w:fldChar w:fldCharType="separate"/>
      </w:r>
      <w:r>
        <w:fldChar w:fldCharType="begin"/>
      </w:r>
      <w:r>
        <w:instrText xml:space="preserve"> HYPERLINK \l "_Toc7755" </w:instrText>
      </w:r>
      <w:r>
        <w:fldChar w:fldCharType="separate"/>
      </w:r>
      <w:r>
        <w:rPr>
          <w:rFonts w:hint="eastAsia"/>
        </w:rPr>
        <w:t>关于</w:t>
      </w:r>
      <w:r>
        <w:rPr>
          <w:rFonts w:hint="eastAsia"/>
          <w:lang w:eastAsia="zh-CN"/>
        </w:rPr>
        <w:t>永嘉县公安局交通警察大队国省道信号灯建设</w:t>
      </w:r>
      <w:r>
        <w:rPr>
          <w:rFonts w:hint="eastAsia"/>
          <w:lang w:val="en-US" w:eastAsia="zh-CN"/>
        </w:rPr>
        <w:t>项目</w:t>
      </w:r>
      <w:r>
        <w:rPr>
          <w:rFonts w:hint="eastAsia"/>
        </w:rPr>
        <w:t>公开招标公告</w:t>
      </w:r>
      <w:r>
        <w:tab/>
      </w:r>
      <w:r>
        <w:fldChar w:fldCharType="begin"/>
      </w:r>
      <w:r>
        <w:instrText xml:space="preserve"> PAGEREF _Toc7755 \h </w:instrText>
      </w:r>
      <w:r>
        <w:fldChar w:fldCharType="separate"/>
      </w:r>
      <w:r>
        <w:t>2</w:t>
      </w:r>
      <w:r>
        <w:fldChar w:fldCharType="end"/>
      </w:r>
      <w:r>
        <w:fldChar w:fldCharType="end"/>
      </w:r>
    </w:p>
    <w:p>
      <w:pPr>
        <w:pStyle w:val="36"/>
        <w:tabs>
          <w:tab w:val="right" w:leader="dot" w:pos="9179"/>
        </w:tabs>
        <w:spacing w:line="360" w:lineRule="auto"/>
      </w:pPr>
      <w:r>
        <w:fldChar w:fldCharType="begin"/>
      </w:r>
      <w:r>
        <w:instrText xml:space="preserve"> HYPERLINK \l "_Toc21825" </w:instrText>
      </w:r>
      <w:r>
        <w:fldChar w:fldCharType="separate"/>
      </w:r>
      <w:r>
        <w:rPr>
          <w:rFonts w:hint="eastAsia"/>
        </w:rPr>
        <w:t>第一部分 投标通知(邀请)书</w:t>
      </w:r>
      <w:r>
        <w:tab/>
      </w:r>
      <w:r>
        <w:fldChar w:fldCharType="begin"/>
      </w:r>
      <w:r>
        <w:instrText xml:space="preserve"> PAGEREF _Toc21825 \h </w:instrText>
      </w:r>
      <w:r>
        <w:fldChar w:fldCharType="separate"/>
      </w:r>
      <w:r>
        <w:t>6</w:t>
      </w:r>
      <w:r>
        <w:fldChar w:fldCharType="end"/>
      </w:r>
      <w:r>
        <w:fldChar w:fldCharType="end"/>
      </w:r>
    </w:p>
    <w:p>
      <w:pPr>
        <w:pStyle w:val="36"/>
        <w:tabs>
          <w:tab w:val="right" w:leader="dot" w:pos="9179"/>
        </w:tabs>
        <w:spacing w:line="360" w:lineRule="auto"/>
      </w:pPr>
      <w:r>
        <w:fldChar w:fldCharType="begin"/>
      </w:r>
      <w:r>
        <w:instrText xml:space="preserve"> HYPERLINK \l "_Toc30494" </w:instrText>
      </w:r>
      <w:r>
        <w:fldChar w:fldCharType="separate"/>
      </w:r>
      <w:r>
        <w:rPr>
          <w:rFonts w:hint="eastAsia"/>
        </w:rPr>
        <w:t>第二部分 招标内容及要求</w:t>
      </w:r>
      <w:r>
        <w:tab/>
      </w:r>
      <w:r>
        <w:fldChar w:fldCharType="begin"/>
      </w:r>
      <w:r>
        <w:instrText xml:space="preserve"> PAGEREF _Toc30494 \h </w:instrText>
      </w:r>
      <w:r>
        <w:fldChar w:fldCharType="separate"/>
      </w:r>
      <w:r>
        <w:t>10</w:t>
      </w:r>
      <w:r>
        <w:fldChar w:fldCharType="end"/>
      </w:r>
      <w:r>
        <w:fldChar w:fldCharType="end"/>
      </w:r>
    </w:p>
    <w:p>
      <w:pPr>
        <w:pStyle w:val="36"/>
        <w:tabs>
          <w:tab w:val="right" w:leader="dot" w:pos="9179"/>
        </w:tabs>
        <w:spacing w:line="360" w:lineRule="auto"/>
      </w:pPr>
      <w:r>
        <w:fldChar w:fldCharType="begin"/>
      </w:r>
      <w:r>
        <w:instrText xml:space="preserve"> HYPERLINK \l "_Toc1655" </w:instrText>
      </w:r>
      <w:r>
        <w:fldChar w:fldCharType="separate"/>
      </w:r>
      <w:r>
        <w:rPr>
          <w:rFonts w:hint="eastAsia"/>
        </w:rPr>
        <w:t>一、采购总说明</w:t>
      </w:r>
      <w:r>
        <w:tab/>
      </w:r>
      <w:r>
        <w:fldChar w:fldCharType="begin"/>
      </w:r>
      <w:r>
        <w:instrText xml:space="preserve"> PAGEREF _Toc1655 \h </w:instrText>
      </w:r>
      <w:r>
        <w:fldChar w:fldCharType="separate"/>
      </w:r>
      <w:r>
        <w:t>11</w:t>
      </w:r>
      <w:r>
        <w:fldChar w:fldCharType="end"/>
      </w:r>
      <w:r>
        <w:fldChar w:fldCharType="end"/>
      </w:r>
    </w:p>
    <w:p>
      <w:pPr>
        <w:pStyle w:val="36"/>
        <w:tabs>
          <w:tab w:val="right" w:leader="dot" w:pos="9179"/>
        </w:tabs>
        <w:spacing w:line="360" w:lineRule="auto"/>
      </w:pPr>
      <w:r>
        <w:fldChar w:fldCharType="begin"/>
      </w:r>
      <w:r>
        <w:instrText xml:space="preserve"> HYPERLINK \l "_Toc24080" </w:instrText>
      </w:r>
      <w:r>
        <w:fldChar w:fldCharType="separate"/>
      </w:r>
      <w:r>
        <w:rPr>
          <w:rFonts w:hint="eastAsia"/>
        </w:rPr>
        <w:t>二、采购内容及技术要求</w:t>
      </w:r>
      <w:r>
        <w:tab/>
      </w:r>
      <w:r>
        <w:fldChar w:fldCharType="begin"/>
      </w:r>
      <w:r>
        <w:instrText xml:space="preserve"> PAGEREF _Toc24080 \h </w:instrText>
      </w:r>
      <w:r>
        <w:fldChar w:fldCharType="separate"/>
      </w:r>
      <w:r>
        <w:t>13</w:t>
      </w:r>
      <w:r>
        <w:fldChar w:fldCharType="end"/>
      </w:r>
      <w:r>
        <w:fldChar w:fldCharType="end"/>
      </w:r>
    </w:p>
    <w:p>
      <w:pPr>
        <w:pStyle w:val="36"/>
        <w:tabs>
          <w:tab w:val="right" w:leader="dot" w:pos="9179"/>
        </w:tabs>
        <w:spacing w:line="360" w:lineRule="auto"/>
      </w:pPr>
      <w:r>
        <w:fldChar w:fldCharType="begin"/>
      </w:r>
      <w:r>
        <w:instrText xml:space="preserve"> HYPERLINK \l "_Toc22791" </w:instrText>
      </w:r>
      <w:r>
        <w:fldChar w:fldCharType="separate"/>
      </w:r>
      <w:r>
        <w:rPr>
          <w:rFonts w:hint="eastAsia"/>
        </w:rPr>
        <w:t>三、商务条款</w:t>
      </w:r>
      <w:r>
        <w:tab/>
      </w:r>
      <w:r>
        <w:fldChar w:fldCharType="begin"/>
      </w:r>
      <w:r>
        <w:instrText xml:space="preserve"> PAGEREF _Toc22791 \h </w:instrText>
      </w:r>
      <w:r>
        <w:fldChar w:fldCharType="separate"/>
      </w:r>
      <w:r>
        <w:t>24</w:t>
      </w:r>
      <w:r>
        <w:fldChar w:fldCharType="end"/>
      </w:r>
      <w:r>
        <w:fldChar w:fldCharType="end"/>
      </w:r>
    </w:p>
    <w:p>
      <w:pPr>
        <w:pStyle w:val="36"/>
        <w:tabs>
          <w:tab w:val="right" w:leader="dot" w:pos="9179"/>
        </w:tabs>
        <w:spacing w:line="360" w:lineRule="auto"/>
      </w:pPr>
      <w:r>
        <w:fldChar w:fldCharType="begin"/>
      </w:r>
      <w:r>
        <w:instrText xml:space="preserve"> HYPERLINK \l "_Toc23798" </w:instrText>
      </w:r>
      <w:r>
        <w:fldChar w:fldCharType="separate"/>
      </w:r>
      <w:r>
        <w:rPr>
          <w:rFonts w:hint="eastAsia"/>
        </w:rPr>
        <w:t>第三部分 供应商须知</w:t>
      </w:r>
      <w:r>
        <w:tab/>
      </w:r>
      <w:r>
        <w:fldChar w:fldCharType="begin"/>
      </w:r>
      <w:r>
        <w:instrText xml:space="preserve"> PAGEREF _Toc23798 \h </w:instrText>
      </w:r>
      <w:r>
        <w:fldChar w:fldCharType="separate"/>
      </w:r>
      <w:r>
        <w:t>27</w:t>
      </w:r>
      <w:r>
        <w:fldChar w:fldCharType="end"/>
      </w:r>
      <w:r>
        <w:fldChar w:fldCharType="end"/>
      </w:r>
    </w:p>
    <w:p>
      <w:pPr>
        <w:pStyle w:val="36"/>
        <w:tabs>
          <w:tab w:val="right" w:leader="dot" w:pos="9179"/>
        </w:tabs>
        <w:spacing w:line="360" w:lineRule="auto"/>
      </w:pPr>
      <w:r>
        <w:fldChar w:fldCharType="begin"/>
      </w:r>
      <w:r>
        <w:instrText xml:space="preserve"> HYPERLINK \l "_Toc2470" </w:instrText>
      </w:r>
      <w:r>
        <w:fldChar w:fldCharType="separate"/>
      </w:r>
      <w:r>
        <w:rPr>
          <w:rFonts w:hint="eastAsia"/>
        </w:rPr>
        <w:t>一、说明</w:t>
      </w:r>
      <w:r>
        <w:tab/>
      </w:r>
      <w:r>
        <w:fldChar w:fldCharType="begin"/>
      </w:r>
      <w:r>
        <w:instrText xml:space="preserve"> PAGEREF _Toc2470 \h </w:instrText>
      </w:r>
      <w:r>
        <w:fldChar w:fldCharType="separate"/>
      </w:r>
      <w:r>
        <w:t>27</w:t>
      </w:r>
      <w:r>
        <w:fldChar w:fldCharType="end"/>
      </w:r>
      <w:r>
        <w:fldChar w:fldCharType="end"/>
      </w:r>
    </w:p>
    <w:p>
      <w:pPr>
        <w:pStyle w:val="36"/>
        <w:tabs>
          <w:tab w:val="right" w:leader="dot" w:pos="9179"/>
        </w:tabs>
        <w:spacing w:line="360" w:lineRule="auto"/>
      </w:pPr>
      <w:r>
        <w:fldChar w:fldCharType="begin"/>
      </w:r>
      <w:r>
        <w:instrText xml:space="preserve"> HYPERLINK \l "_Toc32476" </w:instrText>
      </w:r>
      <w:r>
        <w:fldChar w:fldCharType="separate"/>
      </w:r>
      <w:r>
        <w:rPr>
          <w:rFonts w:hint="eastAsia"/>
        </w:rPr>
        <w:t>二、招标文件</w:t>
      </w:r>
      <w:r>
        <w:tab/>
      </w:r>
      <w:r>
        <w:fldChar w:fldCharType="begin"/>
      </w:r>
      <w:r>
        <w:instrText xml:space="preserve"> PAGEREF _Toc32476 \h </w:instrText>
      </w:r>
      <w:r>
        <w:fldChar w:fldCharType="separate"/>
      </w:r>
      <w:r>
        <w:t>28</w:t>
      </w:r>
      <w:r>
        <w:fldChar w:fldCharType="end"/>
      </w:r>
      <w:r>
        <w:fldChar w:fldCharType="end"/>
      </w:r>
    </w:p>
    <w:p>
      <w:pPr>
        <w:pStyle w:val="36"/>
        <w:tabs>
          <w:tab w:val="right" w:leader="dot" w:pos="9179"/>
        </w:tabs>
        <w:spacing w:line="360" w:lineRule="auto"/>
      </w:pPr>
      <w:r>
        <w:fldChar w:fldCharType="begin"/>
      </w:r>
      <w:r>
        <w:instrText xml:space="preserve"> HYPERLINK \l "_Toc7707" </w:instrText>
      </w:r>
      <w:r>
        <w:fldChar w:fldCharType="separate"/>
      </w:r>
      <w:r>
        <w:rPr>
          <w:rFonts w:hint="eastAsia"/>
        </w:rPr>
        <w:t>三、投标文件</w:t>
      </w:r>
      <w:r>
        <w:tab/>
      </w:r>
      <w:r>
        <w:fldChar w:fldCharType="begin"/>
      </w:r>
      <w:r>
        <w:instrText xml:space="preserve"> PAGEREF _Toc7707 \h </w:instrText>
      </w:r>
      <w:r>
        <w:fldChar w:fldCharType="separate"/>
      </w:r>
      <w:r>
        <w:t>29</w:t>
      </w:r>
      <w:r>
        <w:fldChar w:fldCharType="end"/>
      </w:r>
      <w:r>
        <w:fldChar w:fldCharType="end"/>
      </w:r>
    </w:p>
    <w:p>
      <w:pPr>
        <w:pStyle w:val="36"/>
        <w:tabs>
          <w:tab w:val="right" w:leader="dot" w:pos="9179"/>
        </w:tabs>
        <w:spacing w:line="360" w:lineRule="auto"/>
      </w:pPr>
      <w:r>
        <w:fldChar w:fldCharType="begin"/>
      </w:r>
      <w:r>
        <w:instrText xml:space="preserve"> HYPERLINK \l "_Toc12710" </w:instrText>
      </w:r>
      <w:r>
        <w:fldChar w:fldCharType="separate"/>
      </w:r>
      <w:r>
        <w:rPr>
          <w:rFonts w:hint="eastAsia"/>
        </w:rPr>
        <w:t>四、投标文件递交</w:t>
      </w:r>
      <w:r>
        <w:tab/>
      </w:r>
      <w:r>
        <w:fldChar w:fldCharType="begin"/>
      </w:r>
      <w:r>
        <w:instrText xml:space="preserve"> PAGEREF _Toc12710 \h </w:instrText>
      </w:r>
      <w:r>
        <w:fldChar w:fldCharType="separate"/>
      </w:r>
      <w:r>
        <w:t>34</w:t>
      </w:r>
      <w:r>
        <w:fldChar w:fldCharType="end"/>
      </w:r>
      <w:r>
        <w:fldChar w:fldCharType="end"/>
      </w:r>
    </w:p>
    <w:p>
      <w:pPr>
        <w:pStyle w:val="36"/>
        <w:tabs>
          <w:tab w:val="right" w:leader="dot" w:pos="9179"/>
        </w:tabs>
        <w:spacing w:line="360" w:lineRule="auto"/>
      </w:pPr>
      <w:r>
        <w:fldChar w:fldCharType="begin"/>
      </w:r>
      <w:r>
        <w:instrText xml:space="preserve"> HYPERLINK \l "_Toc6496" </w:instrText>
      </w:r>
      <w:r>
        <w:fldChar w:fldCharType="separate"/>
      </w:r>
      <w:r>
        <w:rPr>
          <w:rFonts w:hint="eastAsia"/>
        </w:rPr>
        <w:t>五、开标和评标</w:t>
      </w:r>
      <w:r>
        <w:tab/>
      </w:r>
      <w:r>
        <w:fldChar w:fldCharType="begin"/>
      </w:r>
      <w:r>
        <w:instrText xml:space="preserve"> PAGEREF _Toc6496 \h </w:instrText>
      </w:r>
      <w:r>
        <w:fldChar w:fldCharType="separate"/>
      </w:r>
      <w:r>
        <w:t>35</w:t>
      </w:r>
      <w:r>
        <w:fldChar w:fldCharType="end"/>
      </w:r>
      <w:r>
        <w:fldChar w:fldCharType="end"/>
      </w:r>
    </w:p>
    <w:p>
      <w:pPr>
        <w:pStyle w:val="36"/>
        <w:tabs>
          <w:tab w:val="right" w:leader="dot" w:pos="9179"/>
        </w:tabs>
        <w:spacing w:line="360" w:lineRule="auto"/>
      </w:pPr>
      <w:r>
        <w:fldChar w:fldCharType="begin"/>
      </w:r>
      <w:r>
        <w:instrText xml:space="preserve"> HYPERLINK \l "_Toc22679" </w:instrText>
      </w:r>
      <w:r>
        <w:fldChar w:fldCharType="separate"/>
      </w:r>
      <w:r>
        <w:rPr>
          <w:rFonts w:hint="eastAsia"/>
        </w:rPr>
        <w:t>六、授予合同</w:t>
      </w:r>
      <w:r>
        <w:tab/>
      </w:r>
      <w:r>
        <w:fldChar w:fldCharType="begin"/>
      </w:r>
      <w:r>
        <w:instrText xml:space="preserve"> PAGEREF _Toc22679 \h </w:instrText>
      </w:r>
      <w:r>
        <w:fldChar w:fldCharType="separate"/>
      </w:r>
      <w:r>
        <w:t>39</w:t>
      </w:r>
      <w:r>
        <w:fldChar w:fldCharType="end"/>
      </w:r>
      <w:r>
        <w:fldChar w:fldCharType="end"/>
      </w:r>
    </w:p>
    <w:p>
      <w:pPr>
        <w:pStyle w:val="36"/>
        <w:tabs>
          <w:tab w:val="right" w:leader="dot" w:pos="9179"/>
        </w:tabs>
        <w:spacing w:line="360" w:lineRule="auto"/>
      </w:pPr>
      <w:r>
        <w:fldChar w:fldCharType="begin"/>
      </w:r>
      <w:r>
        <w:instrText xml:space="preserve"> HYPERLINK \l "_Toc24430" </w:instrText>
      </w:r>
      <w:r>
        <w:fldChar w:fldCharType="separate"/>
      </w:r>
      <w:r>
        <w:rPr>
          <w:rFonts w:hint="eastAsia"/>
        </w:rPr>
        <w:t>第四部分 政府采购政策功能相关说明</w:t>
      </w:r>
      <w:r>
        <w:tab/>
      </w:r>
      <w:r>
        <w:fldChar w:fldCharType="begin"/>
      </w:r>
      <w:r>
        <w:instrText xml:space="preserve"> PAGEREF _Toc24430 \h </w:instrText>
      </w:r>
      <w:r>
        <w:fldChar w:fldCharType="separate"/>
      </w:r>
      <w:r>
        <w:t>41</w:t>
      </w:r>
      <w:r>
        <w:fldChar w:fldCharType="end"/>
      </w:r>
      <w:r>
        <w:fldChar w:fldCharType="end"/>
      </w:r>
    </w:p>
    <w:p>
      <w:pPr>
        <w:pStyle w:val="36"/>
        <w:tabs>
          <w:tab w:val="right" w:leader="dot" w:pos="9179"/>
        </w:tabs>
        <w:spacing w:line="360" w:lineRule="auto"/>
      </w:pPr>
      <w:r>
        <w:fldChar w:fldCharType="begin"/>
      </w:r>
      <w:r>
        <w:instrText xml:space="preserve"> HYPERLINK \l "_Toc667" </w:instrText>
      </w:r>
      <w:r>
        <w:fldChar w:fldCharType="separate"/>
      </w:r>
      <w:r>
        <w:rPr>
          <w:rFonts w:hint="eastAsia"/>
        </w:rPr>
        <w:t>第五部分 合同格式（仅供参考）</w:t>
      </w:r>
      <w:r>
        <w:tab/>
      </w:r>
      <w:r>
        <w:fldChar w:fldCharType="begin"/>
      </w:r>
      <w:r>
        <w:instrText xml:space="preserve"> PAGEREF _Toc667 \h </w:instrText>
      </w:r>
      <w:r>
        <w:fldChar w:fldCharType="separate"/>
      </w:r>
      <w:r>
        <w:t>46</w:t>
      </w:r>
      <w:r>
        <w:fldChar w:fldCharType="end"/>
      </w:r>
      <w:r>
        <w:fldChar w:fldCharType="end"/>
      </w:r>
    </w:p>
    <w:p>
      <w:pPr>
        <w:pStyle w:val="36"/>
        <w:tabs>
          <w:tab w:val="right" w:leader="dot" w:pos="9179"/>
        </w:tabs>
        <w:spacing w:line="360" w:lineRule="auto"/>
      </w:pPr>
      <w:r>
        <w:fldChar w:fldCharType="begin"/>
      </w:r>
      <w:r>
        <w:instrText xml:space="preserve"> HYPERLINK \l "_Toc32760" </w:instrText>
      </w:r>
      <w:r>
        <w:fldChar w:fldCharType="separate"/>
      </w:r>
      <w:r>
        <w:rPr>
          <w:rFonts w:hint="eastAsia"/>
        </w:rPr>
        <w:t>第六部分 投标文件格式</w:t>
      </w:r>
      <w:r>
        <w:tab/>
      </w:r>
      <w:r>
        <w:fldChar w:fldCharType="begin"/>
      </w:r>
      <w:r>
        <w:instrText xml:space="preserve"> PAGEREF _Toc32760 \h </w:instrText>
      </w:r>
      <w:r>
        <w:fldChar w:fldCharType="separate"/>
      </w:r>
      <w:r>
        <w:t>47</w:t>
      </w:r>
      <w:r>
        <w:fldChar w:fldCharType="end"/>
      </w:r>
      <w:r>
        <w:fldChar w:fldCharType="end"/>
      </w:r>
    </w:p>
    <w:p>
      <w:pPr>
        <w:pStyle w:val="36"/>
        <w:tabs>
          <w:tab w:val="right" w:leader="dot" w:pos="9179"/>
        </w:tabs>
        <w:spacing w:line="360" w:lineRule="auto"/>
      </w:pPr>
      <w:r>
        <w:fldChar w:fldCharType="begin"/>
      </w:r>
      <w:r>
        <w:instrText xml:space="preserve"> HYPERLINK \l "_Toc4932" </w:instrText>
      </w:r>
      <w:r>
        <w:fldChar w:fldCharType="separate"/>
      </w:r>
      <w:r>
        <w:rPr>
          <w:rFonts w:hint="eastAsia"/>
          <w:lang w:val="zh-CN"/>
        </w:rPr>
        <w:t>一、资格文件格式</w:t>
      </w:r>
      <w:r>
        <w:tab/>
      </w:r>
      <w:r>
        <w:fldChar w:fldCharType="begin"/>
      </w:r>
      <w:r>
        <w:instrText xml:space="preserve"> PAGEREF _Toc4932 \h </w:instrText>
      </w:r>
      <w:r>
        <w:fldChar w:fldCharType="separate"/>
      </w:r>
      <w:r>
        <w:t>52</w:t>
      </w:r>
      <w:r>
        <w:fldChar w:fldCharType="end"/>
      </w:r>
      <w:r>
        <w:fldChar w:fldCharType="end"/>
      </w:r>
    </w:p>
    <w:p>
      <w:pPr>
        <w:pStyle w:val="36"/>
        <w:tabs>
          <w:tab w:val="right" w:leader="dot" w:pos="9179"/>
        </w:tabs>
        <w:spacing w:line="360" w:lineRule="auto"/>
      </w:pPr>
      <w:r>
        <w:fldChar w:fldCharType="begin"/>
      </w:r>
      <w:r>
        <w:instrText xml:space="preserve"> HYPERLINK \l "_Toc20050" </w:instrText>
      </w:r>
      <w:r>
        <w:fldChar w:fldCharType="separate"/>
      </w:r>
      <w:r>
        <w:rPr>
          <w:rFonts w:hint="eastAsia"/>
        </w:rPr>
        <w:t>二、报价文件格式</w:t>
      </w:r>
      <w:r>
        <w:tab/>
      </w:r>
      <w:r>
        <w:fldChar w:fldCharType="begin"/>
      </w:r>
      <w:r>
        <w:instrText xml:space="preserve"> PAGEREF _Toc20050 \h </w:instrText>
      </w:r>
      <w:r>
        <w:fldChar w:fldCharType="separate"/>
      </w:r>
      <w:r>
        <w:t>57</w:t>
      </w:r>
      <w:r>
        <w:fldChar w:fldCharType="end"/>
      </w:r>
      <w:r>
        <w:fldChar w:fldCharType="end"/>
      </w:r>
    </w:p>
    <w:p>
      <w:pPr>
        <w:pStyle w:val="36"/>
        <w:tabs>
          <w:tab w:val="right" w:leader="dot" w:pos="9179"/>
        </w:tabs>
        <w:spacing w:line="360" w:lineRule="auto"/>
      </w:pPr>
      <w:r>
        <w:fldChar w:fldCharType="begin"/>
      </w:r>
      <w:r>
        <w:instrText xml:space="preserve"> HYPERLINK \l "_Toc13847" </w:instrText>
      </w:r>
      <w:r>
        <w:fldChar w:fldCharType="separate"/>
      </w:r>
      <w:r>
        <w:rPr>
          <w:rFonts w:hint="eastAsia"/>
        </w:rPr>
        <w:t>三、商务技术文件格式</w:t>
      </w:r>
      <w:r>
        <w:tab/>
      </w:r>
      <w:r>
        <w:fldChar w:fldCharType="begin"/>
      </w:r>
      <w:r>
        <w:instrText xml:space="preserve"> PAGEREF _Toc13847 \h </w:instrText>
      </w:r>
      <w:r>
        <w:fldChar w:fldCharType="separate"/>
      </w:r>
      <w:r>
        <w:t>59</w:t>
      </w:r>
      <w:r>
        <w:fldChar w:fldCharType="end"/>
      </w:r>
      <w:r>
        <w:fldChar w:fldCharType="end"/>
      </w:r>
    </w:p>
    <w:p>
      <w:pPr>
        <w:pStyle w:val="36"/>
        <w:tabs>
          <w:tab w:val="right" w:leader="dot" w:pos="9179"/>
        </w:tabs>
        <w:spacing w:line="360" w:lineRule="auto"/>
      </w:pPr>
      <w:r>
        <w:fldChar w:fldCharType="begin"/>
      </w:r>
      <w:r>
        <w:instrText xml:space="preserve"> HYPERLINK \l "_Toc7773" </w:instrText>
      </w:r>
      <w:r>
        <w:fldChar w:fldCharType="separate"/>
      </w:r>
      <w:r>
        <w:rPr>
          <w:rFonts w:hint="eastAsia"/>
        </w:rPr>
        <w:t>第七部分 评标定标办法</w:t>
      </w:r>
      <w:r>
        <w:tab/>
      </w:r>
      <w:r>
        <w:fldChar w:fldCharType="begin"/>
      </w:r>
      <w:r>
        <w:instrText xml:space="preserve"> PAGEREF _Toc7773 \h </w:instrText>
      </w:r>
      <w:r>
        <w:fldChar w:fldCharType="separate"/>
      </w:r>
      <w:r>
        <w:t>65</w:t>
      </w:r>
      <w:r>
        <w:fldChar w:fldCharType="end"/>
      </w:r>
      <w:r>
        <w:fldChar w:fldCharType="end"/>
      </w:r>
    </w:p>
    <w:p>
      <w:pPr>
        <w:pStyle w:val="36"/>
        <w:tabs>
          <w:tab w:val="right" w:leader="dot" w:pos="9169"/>
        </w:tabs>
        <w:spacing w:line="360" w:lineRule="auto"/>
      </w:pPr>
      <w:r>
        <w:rPr>
          <w:bCs/>
          <w:lang w:val="zh-CN"/>
        </w:rPr>
        <w:fldChar w:fldCharType="end"/>
      </w:r>
      <w:r>
        <w:rPr>
          <w:rFonts w:hint="eastAsia"/>
          <w:lang w:val="zh-CN"/>
        </w:rPr>
        <w:t xml:space="preserve"> </w:t>
      </w:r>
    </w:p>
    <w:p>
      <w:pPr>
        <w:spacing w:line="480" w:lineRule="auto"/>
        <w:ind w:firstLine="442" w:firstLineChars="200"/>
        <w:rPr>
          <w:rFonts w:hint="eastAsia" w:ascii="宋体" w:hAnsi="宋体" w:eastAsia="宋体" w:cs="Times New Roman"/>
          <w:b/>
          <w:bCs w:val="0"/>
          <w:color w:val="auto"/>
          <w:kern w:val="2"/>
          <w:sz w:val="22"/>
          <w:szCs w:val="22"/>
          <w:lang w:val="en-US" w:eastAsia="zh-CN" w:bidi="ar-SA"/>
        </w:rPr>
      </w:pPr>
      <w:bookmarkStart w:id="0" w:name="_Toc486964700"/>
      <w:r>
        <w:rPr>
          <w:rFonts w:hint="eastAsia" w:ascii="宋体" w:hAnsi="宋体" w:eastAsia="宋体" w:cs="Times New Roman"/>
          <w:b/>
          <w:bCs w:val="0"/>
          <w:color w:val="auto"/>
          <w:kern w:val="2"/>
          <w:sz w:val="22"/>
          <w:szCs w:val="22"/>
          <w:lang w:val="en-US" w:eastAsia="zh-CN" w:bidi="ar-SA"/>
        </w:rPr>
        <w:t>注：招标文件中部分加“▲”的条款，为招标的实质性要求和条件，着重提醒各投标人注意，并认真查看招标文件中的每一个条款及要求，因误读招标文件而造成的后果，招标人概不负责。</w:t>
      </w: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jc w:val="center"/>
        <w:rPr>
          <w:rFonts w:ascii="宋体" w:hAnsi="宋体"/>
          <w:color w:val="auto"/>
        </w:rPr>
      </w:pPr>
      <w:bookmarkStart w:id="1" w:name="_Toc7755"/>
      <w:bookmarkStart w:id="2" w:name="_Hlk45013924"/>
      <w:r>
        <w:rPr>
          <w:rFonts w:hint="eastAsia" w:ascii="宋体" w:hAnsi="宋体"/>
          <w:color w:val="auto"/>
        </w:rPr>
        <w:br w:type="column"/>
      </w:r>
      <w:r>
        <w:rPr>
          <w:rFonts w:hint="eastAsia" w:ascii="宋体" w:hAnsi="宋体" w:cs="宋体"/>
          <w:b/>
          <w:color w:val="auto"/>
          <w:sz w:val="32"/>
          <w:szCs w:val="32"/>
          <w:highlight w:val="none"/>
        </w:rPr>
        <w:t>温州市中概工程管理咨询有限公司</w:t>
      </w:r>
      <w:r>
        <w:rPr>
          <w:rFonts w:hint="eastAsia" w:ascii="宋体" w:hAnsi="宋体"/>
          <w:color w:val="auto"/>
        </w:rPr>
        <w:t>关于</w:t>
      </w:r>
      <w:r>
        <w:rPr>
          <w:rFonts w:hint="eastAsia" w:ascii="宋体" w:hAnsi="宋体"/>
          <w:color w:val="auto"/>
          <w:lang w:eastAsia="zh-CN"/>
        </w:rPr>
        <w:t>永嘉县公安局交通警察大队国省道信号灯建设</w:t>
      </w:r>
      <w:r>
        <w:rPr>
          <w:rFonts w:hint="eastAsia" w:ascii="宋体" w:hAnsi="宋体"/>
          <w:color w:val="auto"/>
        </w:rPr>
        <w:t>的公开招标公告</w:t>
      </w:r>
      <w:bookmarkEnd w:id="0"/>
      <w:bookmarkEnd w:id="1"/>
    </w:p>
    <w:p>
      <w:pPr>
        <w:pStyle w:val="45"/>
        <w:keepNext w:val="0"/>
        <w:keepLines w:val="0"/>
        <w:widowControl/>
        <w:suppressLineNumbers w:val="0"/>
        <w:spacing w:before="75" w:beforeAutospacing="0" w:after="75" w:afterAutospacing="0"/>
        <w:ind w:left="0" w:right="0"/>
      </w:pPr>
      <w:r>
        <w:rPr>
          <w:rFonts w:ascii="仿宋" w:hAnsi="仿宋" w:eastAsia="仿宋" w:cs="仿宋"/>
          <w:i w:val="0"/>
          <w:iCs w:val="0"/>
          <w:caps w:val="0"/>
          <w:color w:val="000000"/>
          <w:spacing w:val="0"/>
          <w:sz w:val="27"/>
          <w:szCs w:val="27"/>
        </w:rPr>
        <w:t>项目概况</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eastAsia="zh-CN"/>
        </w:rPr>
        <w:t>永嘉县公安局交通警察大队国省道信号灯建设</w:t>
      </w:r>
      <w:r>
        <w:rPr>
          <w:rFonts w:hint="eastAsia" w:ascii="仿宋" w:hAnsi="仿宋" w:eastAsia="仿宋" w:cs="仿宋"/>
          <w:i w:val="0"/>
          <w:iCs w:val="0"/>
          <w:caps w:val="0"/>
          <w:color w:val="000000"/>
          <w:spacing w:val="0"/>
          <w:sz w:val="27"/>
          <w:szCs w:val="27"/>
        </w:rPr>
        <w:t>招标项目的潜在投标人应在</w:t>
      </w:r>
      <w:r>
        <w:rPr>
          <w:rFonts w:hint="eastAsia" w:ascii="仿宋" w:hAnsi="仿宋" w:eastAsia="仿宋" w:cs="仿宋"/>
          <w:i w:val="0"/>
          <w:iCs w:val="0"/>
          <w:caps w:val="0"/>
          <w:color w:val="000000"/>
          <w:spacing w:val="0"/>
          <w:sz w:val="27"/>
          <w:szCs w:val="27"/>
          <w:u w:val="none"/>
        </w:rPr>
        <w:t>政采云平台线上获取</w:t>
      </w:r>
      <w:r>
        <w:rPr>
          <w:rFonts w:hint="eastAsia" w:ascii="仿宋" w:hAnsi="仿宋" w:eastAsia="仿宋" w:cs="仿宋"/>
          <w:i w:val="0"/>
          <w:iCs w:val="0"/>
          <w:caps w:val="0"/>
          <w:color w:val="000000"/>
          <w:spacing w:val="0"/>
          <w:sz w:val="27"/>
          <w:szCs w:val="27"/>
        </w:rPr>
        <w:t>获取（下载）招标文件，并于</w:t>
      </w:r>
      <w:r>
        <w:rPr>
          <w:rFonts w:hint="eastAsia" w:ascii="仿宋" w:hAnsi="仿宋" w:eastAsia="仿宋" w:cs="仿宋"/>
          <w:i w:val="0"/>
          <w:iCs w:val="0"/>
          <w:caps w:val="0"/>
          <w:color w:val="000000"/>
          <w:spacing w:val="0"/>
          <w:sz w:val="27"/>
          <w:szCs w:val="27"/>
          <w:lang w:eastAsia="zh-CN"/>
        </w:rPr>
        <w:t> 2024年08月13日</w:t>
      </w:r>
      <w:r>
        <w:rPr>
          <w:rFonts w:hint="eastAsia" w:ascii="仿宋" w:hAnsi="仿宋" w:eastAsia="仿宋" w:cs="仿宋"/>
          <w:i w:val="0"/>
          <w:iCs w:val="0"/>
          <w:caps w:val="0"/>
          <w:color w:val="000000"/>
          <w:spacing w:val="0"/>
          <w:sz w:val="27"/>
          <w:szCs w:val="27"/>
        </w:rPr>
        <w:t xml:space="preserve"> 09:30（北京时间）前递交（上传）投标文件。</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Fonts w:hint="eastAsia" w:ascii="黑体" w:hAnsi="宋体" w:eastAsia="黑体" w:cs="黑体"/>
          <w:i w:val="0"/>
          <w:iCs w:val="0"/>
          <w:caps w:val="0"/>
          <w:color w:val="000000"/>
          <w:spacing w:val="0"/>
          <w:sz w:val="27"/>
          <w:szCs w:val="27"/>
          <w:lang w:eastAsia="zh-CN"/>
        </w:rPr>
        <w:t>一、项目基本情况</w:t>
      </w:r>
      <w:r>
        <w:rPr>
          <w:rFonts w:ascii="黑体" w:hAnsi="宋体" w:eastAsia="黑体" w:cs="黑体"/>
          <w:i w:val="0"/>
          <w:iCs w:val="0"/>
          <w:caps w:val="0"/>
          <w:color w:val="000000"/>
          <w:spacing w:val="0"/>
          <w:sz w:val="27"/>
          <w:szCs w:val="27"/>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项目编号：</w:t>
      </w:r>
      <w:r>
        <w:rPr>
          <w:rFonts w:hint="eastAsia" w:ascii="仿宋" w:hAnsi="仿宋" w:eastAsia="仿宋" w:cs="仿宋"/>
          <w:i w:val="0"/>
          <w:iCs w:val="0"/>
          <w:caps w:val="0"/>
          <w:color w:val="000000"/>
          <w:spacing w:val="0"/>
          <w:sz w:val="27"/>
          <w:szCs w:val="27"/>
          <w:lang w:eastAsia="zh-CN"/>
        </w:rPr>
        <w:t>ZGCG-2024072201</w:t>
      </w:r>
      <w:r>
        <w:rPr>
          <w:rFonts w:hint="eastAsia" w:ascii="仿宋" w:hAnsi="仿宋" w:eastAsia="仿宋" w:cs="仿宋"/>
          <w:i w:val="0"/>
          <w:iCs w:val="0"/>
          <w:caps w:val="0"/>
          <w:color w:val="000000"/>
          <w:spacing w:val="0"/>
          <w:sz w:val="27"/>
          <w:szCs w:val="27"/>
        </w:rPr>
        <w:t> </w:t>
      </w:r>
    </w:p>
    <w:p>
      <w:pPr>
        <w:pStyle w:val="45"/>
        <w:keepNext w:val="0"/>
        <w:keepLines w:val="0"/>
        <w:widowControl/>
        <w:suppressLineNumbers w:val="0"/>
        <w:spacing w:before="75" w:beforeAutospacing="0" w:after="75" w:afterAutospacing="0" w:line="300" w:lineRule="atLeast"/>
        <w:ind w:left="0" w:right="0"/>
        <w:rPr>
          <w:rFonts w:hint="eastAsia" w:eastAsia="仿宋"/>
          <w:lang w:eastAsia="zh-CN"/>
        </w:rPr>
      </w:pPr>
      <w:r>
        <w:rPr>
          <w:rFonts w:hint="eastAsia" w:ascii="仿宋" w:hAnsi="仿宋" w:eastAsia="仿宋" w:cs="仿宋"/>
          <w:i w:val="0"/>
          <w:iCs w:val="0"/>
          <w:caps w:val="0"/>
          <w:color w:val="000000"/>
          <w:spacing w:val="0"/>
          <w:sz w:val="27"/>
          <w:szCs w:val="27"/>
        </w:rPr>
        <w:t>    项目名称：</w:t>
      </w:r>
      <w:r>
        <w:rPr>
          <w:rFonts w:hint="eastAsia" w:ascii="仿宋" w:hAnsi="仿宋" w:eastAsia="仿宋" w:cs="仿宋"/>
          <w:i w:val="0"/>
          <w:iCs w:val="0"/>
          <w:caps w:val="0"/>
          <w:color w:val="000000"/>
          <w:spacing w:val="0"/>
          <w:sz w:val="27"/>
          <w:szCs w:val="27"/>
          <w:lang w:eastAsia="zh-CN"/>
        </w:rPr>
        <w:t>永嘉县公安局交通警察大队国省道信号灯建设</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w:t>
      </w:r>
      <w:r>
        <w:rPr>
          <w:rFonts w:hint="eastAsia" w:ascii="仿宋" w:hAnsi="仿宋" w:eastAsia="仿宋" w:cs="仿宋"/>
          <w:i w:val="0"/>
          <w:iCs w:val="0"/>
          <w:caps w:val="0"/>
          <w:color w:val="000000"/>
          <w:spacing w:val="0"/>
          <w:sz w:val="27"/>
          <w:szCs w:val="27"/>
          <w:lang w:eastAsia="zh-CN"/>
        </w:rPr>
        <w:t>1760000</w:t>
      </w: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line="300" w:lineRule="atLeast"/>
        <w:ind w:left="0" w:right="0"/>
        <w:rPr>
          <w:rFonts w:hint="eastAsia" w:eastAsia="仿宋"/>
          <w:lang w:eastAsia="zh-CN"/>
        </w:rPr>
      </w:pPr>
      <w:r>
        <w:rPr>
          <w:rFonts w:hint="eastAsia" w:ascii="仿宋" w:hAnsi="仿宋" w:eastAsia="仿宋" w:cs="仿宋"/>
          <w:i w:val="0"/>
          <w:iCs w:val="0"/>
          <w:caps w:val="0"/>
          <w:color w:val="000000"/>
          <w:spacing w:val="0"/>
          <w:sz w:val="27"/>
          <w:szCs w:val="27"/>
        </w:rPr>
        <w:t>    最高限价（元）</w:t>
      </w: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spacing w:val="0"/>
          <w:sz w:val="27"/>
          <w:szCs w:val="27"/>
          <w:highlight w:val="none"/>
          <w:lang w:val="en-US" w:eastAsia="zh-CN"/>
        </w:rPr>
        <w:t>/</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采购需求：</w:t>
      </w:r>
    </w:p>
    <w:p>
      <w:pPr>
        <w:pStyle w:val="45"/>
        <w:keepNext w:val="0"/>
        <w:keepLines w:val="0"/>
        <w:widowControl/>
        <w:suppressLineNumbers w:val="0"/>
        <w:spacing w:before="75" w:beforeAutospacing="0" w:after="75" w:afterAutospacing="0" w:line="315" w:lineRule="atLeast"/>
        <w:ind w:left="0" w:right="0"/>
        <w:rPr>
          <w:highlight w:val="none"/>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标项名称: </w:t>
      </w:r>
      <w:r>
        <w:rPr>
          <w:rFonts w:hint="eastAsia" w:ascii="仿宋" w:hAnsi="仿宋" w:eastAsia="仿宋" w:cs="仿宋"/>
          <w:i w:val="0"/>
          <w:iCs w:val="0"/>
          <w:caps w:val="0"/>
          <w:color w:val="000000"/>
          <w:spacing w:val="0"/>
          <w:sz w:val="27"/>
          <w:szCs w:val="27"/>
          <w:lang w:eastAsia="zh-CN"/>
        </w:rPr>
        <w:t>永嘉县公安局交通警察大队国省道信号灯建设</w:t>
      </w: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数量:</w:t>
      </w:r>
      <w:r>
        <w:rPr>
          <w:rFonts w:hint="eastAsia" w:ascii="仿宋" w:hAnsi="仿宋" w:eastAsia="仿宋" w:cs="仿宋"/>
          <w:i w:val="0"/>
          <w:iCs w:val="0"/>
          <w:caps w:val="0"/>
          <w:color w:val="000000"/>
          <w:spacing w:val="0"/>
          <w:sz w:val="27"/>
          <w:szCs w:val="27"/>
          <w:lang w:val="en-US" w:eastAsia="zh-CN"/>
        </w:rPr>
        <w:t>1项</w:t>
      </w: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预算金额（元）: </w:t>
      </w:r>
      <w:r>
        <w:rPr>
          <w:rFonts w:hint="eastAsia" w:ascii="仿宋" w:hAnsi="仿宋" w:eastAsia="仿宋" w:cs="仿宋"/>
          <w:i w:val="0"/>
          <w:iCs w:val="0"/>
          <w:caps w:val="0"/>
          <w:color w:val="000000"/>
          <w:spacing w:val="0"/>
          <w:sz w:val="27"/>
          <w:szCs w:val="27"/>
          <w:lang w:eastAsia="zh-CN"/>
        </w:rPr>
        <w:t>1760000</w:t>
      </w: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简要规格描述或项目基本概况介绍、用途：</w:t>
      </w:r>
      <w:r>
        <w:rPr>
          <w:rFonts w:hint="eastAsia" w:ascii="仿宋" w:hAnsi="仿宋" w:eastAsia="仿宋" w:cs="仿宋"/>
          <w:i w:val="0"/>
          <w:iCs w:val="0"/>
          <w:caps w:val="0"/>
          <w:color w:val="000000"/>
          <w:spacing w:val="0"/>
          <w:sz w:val="27"/>
          <w:szCs w:val="27"/>
          <w:lang w:eastAsia="zh-CN"/>
        </w:rPr>
        <w:t>永嘉县公安局交通警察大队国省道信号灯建设</w:t>
      </w: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spacing w:val="0"/>
          <w:sz w:val="27"/>
          <w:szCs w:val="27"/>
          <w:highlight w:val="none"/>
        </w:rPr>
        <w:br w:type="textWrapping"/>
      </w:r>
      <w:r>
        <w:rPr>
          <w:rFonts w:hint="eastAsia" w:ascii="仿宋" w:hAnsi="仿宋" w:eastAsia="仿宋" w:cs="仿宋"/>
          <w:i w:val="0"/>
          <w:iCs w:val="0"/>
          <w:caps w:val="0"/>
          <w:color w:val="000000"/>
          <w:spacing w:val="0"/>
          <w:sz w:val="27"/>
          <w:szCs w:val="27"/>
          <w:highlight w:val="none"/>
        </w:rPr>
        <w:t>    备注：</w:t>
      </w:r>
      <w:r>
        <w:rPr>
          <w:rFonts w:hint="eastAsia" w:ascii="仿宋" w:hAnsi="仿宋" w:eastAsia="仿宋" w:cs="仿宋"/>
          <w:i w:val="0"/>
          <w:iCs w:val="0"/>
          <w:caps w:val="0"/>
          <w:color w:val="000000"/>
          <w:spacing w:val="0"/>
          <w:sz w:val="24"/>
          <w:szCs w:val="24"/>
          <w:highlight w:val="none"/>
        </w:rPr>
        <w:t> </w:t>
      </w:r>
    </w:p>
    <w:p>
      <w:pPr>
        <w:pStyle w:val="45"/>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highlight w:val="none"/>
          <w:lang w:eastAsia="zh-CN"/>
        </w:rPr>
      </w:pPr>
      <w:r>
        <w:rPr>
          <w:rFonts w:hint="eastAsia" w:ascii="仿宋" w:hAnsi="仿宋" w:eastAsia="仿宋" w:cs="仿宋"/>
          <w:i w:val="0"/>
          <w:iCs w:val="0"/>
          <w:caps w:val="0"/>
          <w:color w:val="000000"/>
          <w:spacing w:val="0"/>
          <w:sz w:val="27"/>
          <w:szCs w:val="27"/>
          <w:highlight w:val="none"/>
        </w:rPr>
        <w:t>    合同履约期限：</w:t>
      </w:r>
      <w:r>
        <w:rPr>
          <w:rFonts w:hint="eastAsia" w:ascii="仿宋" w:hAnsi="仿宋" w:eastAsia="仿宋" w:cs="仿宋"/>
          <w:i w:val="0"/>
          <w:iCs w:val="0"/>
          <w:caps w:val="0"/>
          <w:color w:val="000000"/>
          <w:spacing w:val="0"/>
          <w:sz w:val="27"/>
          <w:szCs w:val="27"/>
          <w:highlight w:val="none"/>
          <w:lang w:val="en-US" w:eastAsia="zh-CN"/>
        </w:rPr>
        <w:t>标项1，</w:t>
      </w:r>
      <w:r>
        <w:rPr>
          <w:rFonts w:hint="eastAsia" w:ascii="仿宋" w:hAnsi="仿宋" w:eastAsia="仿宋" w:cs="仿宋"/>
          <w:i w:val="0"/>
          <w:iCs w:val="0"/>
          <w:caps w:val="0"/>
          <w:color w:val="000000"/>
          <w:spacing w:val="0"/>
          <w:sz w:val="27"/>
          <w:szCs w:val="27"/>
          <w:highlight w:val="none"/>
        </w:rPr>
        <w:t>在合同签订后15个日历天内开始供货，</w:t>
      </w:r>
      <w:r>
        <w:rPr>
          <w:rFonts w:hint="eastAsia" w:ascii="仿宋" w:hAnsi="仿宋" w:eastAsia="仿宋" w:cs="仿宋"/>
          <w:i w:val="0"/>
          <w:iCs w:val="0"/>
          <w:caps w:val="0"/>
          <w:color w:val="000000"/>
          <w:spacing w:val="0"/>
          <w:sz w:val="27"/>
          <w:szCs w:val="27"/>
          <w:highlight w:val="none"/>
          <w:lang w:val="en-US" w:eastAsia="zh-CN"/>
        </w:rPr>
        <w:t>3个月</w:t>
      </w:r>
      <w:r>
        <w:rPr>
          <w:rFonts w:hint="eastAsia" w:ascii="仿宋" w:hAnsi="仿宋" w:eastAsia="仿宋" w:cs="仿宋"/>
          <w:i w:val="0"/>
          <w:iCs w:val="0"/>
          <w:caps w:val="0"/>
          <w:color w:val="000000"/>
          <w:spacing w:val="0"/>
          <w:sz w:val="27"/>
          <w:szCs w:val="27"/>
          <w:highlight w:val="none"/>
        </w:rPr>
        <w:t>内供货完毕并调试验收合格。</w:t>
      </w:r>
    </w:p>
    <w:p>
      <w:pPr>
        <w:pStyle w:val="45"/>
        <w:keepNext w:val="0"/>
        <w:keepLines w:val="0"/>
        <w:widowControl/>
        <w:suppressLineNumbers w:val="0"/>
        <w:spacing w:before="75" w:beforeAutospacing="0" w:after="75" w:afterAutospacing="0" w:line="300" w:lineRule="atLeast"/>
        <w:ind w:left="0" w:right="0"/>
        <w:rPr>
          <w:rFonts w:hint="eastAsia" w:eastAsia="仿宋"/>
          <w:highlight w:val="none"/>
          <w:lang w:val="en-US" w:eastAsia="zh-CN"/>
        </w:rPr>
      </w:pPr>
    </w:p>
    <w:p>
      <w:pPr>
        <w:pStyle w:val="45"/>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本项目（否）接受联合体投标。</w:t>
      </w:r>
    </w:p>
    <w:p>
      <w:pPr>
        <w:pStyle w:val="45"/>
        <w:keepNext w:val="0"/>
        <w:keepLines w:val="0"/>
        <w:widowControl/>
        <w:suppressLineNumbers w:val="0"/>
        <w:spacing w:before="225" w:beforeAutospacing="0" w:after="225" w:afterAutospacing="0" w:line="300" w:lineRule="atLeast"/>
        <w:ind w:left="0" w:right="0"/>
        <w:rPr>
          <w:highlight w:val="none"/>
        </w:rPr>
      </w:pPr>
      <w:r>
        <w:rPr>
          <w:rStyle w:val="53"/>
          <w:rFonts w:ascii="黑体" w:hAnsi="宋体" w:eastAsia="黑体" w:cs="黑体"/>
          <w:b/>
          <w:bCs/>
          <w:i w:val="0"/>
          <w:iCs w:val="0"/>
          <w:caps w:val="0"/>
          <w:color w:val="000000"/>
          <w:spacing w:val="0"/>
          <w:sz w:val="27"/>
          <w:szCs w:val="27"/>
          <w:highlight w:val="none"/>
        </w:rPr>
        <w:t>二、申请人的资格要求：</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highlight w:val="none"/>
        </w:rPr>
        <w:t>    1.满足《中华人民共和国政府采购法》第二十二条规定；未被“信用中国”（www.creditchina.go</w:t>
      </w:r>
      <w:r>
        <w:rPr>
          <w:rFonts w:hint="eastAsia" w:ascii="仿宋" w:hAnsi="仿宋" w:eastAsia="仿宋" w:cs="仿宋"/>
          <w:i w:val="0"/>
          <w:iCs w:val="0"/>
          <w:caps w:val="0"/>
          <w:color w:val="000000"/>
          <w:spacing w:val="0"/>
          <w:sz w:val="27"/>
          <w:szCs w:val="27"/>
        </w:rPr>
        <w:t>v.cn)、中国政府采购网（www.ccgp.gov.cn）列入失信被执行人、重大税收违法案件当事人名单、政府采购严重违法失信行为记录名单。</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2.落实政府采购政策需满足的资格要求：标项1：无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w:t>
      </w:r>
      <w:r>
        <w:rPr>
          <w:rFonts w:hint="eastAsia" w:ascii="仿宋" w:hAnsi="仿宋" w:eastAsia="仿宋" w:cs="仿宋"/>
          <w:i w:val="0"/>
          <w:iCs w:val="0"/>
          <w:caps w:val="0"/>
          <w:color w:val="000000"/>
          <w:spacing w:val="0"/>
          <w:sz w:val="27"/>
          <w:szCs w:val="27"/>
          <w:lang w:val="en-US" w:eastAsia="zh-CN"/>
        </w:rPr>
        <w:t>标项1：</w:t>
      </w:r>
      <w:r>
        <w:rPr>
          <w:rFonts w:hint="eastAsia" w:ascii="仿宋" w:hAnsi="仿宋" w:eastAsia="仿宋" w:cs="仿宋"/>
          <w:i w:val="0"/>
          <w:iCs w:val="0"/>
          <w:caps w:val="0"/>
          <w:color w:val="000000"/>
          <w:spacing w:val="0"/>
          <w:sz w:val="27"/>
          <w:szCs w:val="27"/>
        </w:rPr>
        <w:t>无 </w:t>
      </w:r>
    </w:p>
    <w:p>
      <w:pPr>
        <w:pStyle w:val="45"/>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53"/>
          <w:rFonts w:ascii="黑体" w:hAnsi="宋体" w:eastAsia="黑体" w:cs="黑体"/>
          <w:b/>
          <w:bCs/>
          <w:i w:val="0"/>
          <w:iCs w:val="0"/>
          <w:caps w:val="0"/>
          <w:color w:val="000000"/>
          <w:spacing w:val="0"/>
          <w:sz w:val="27"/>
          <w:szCs w:val="27"/>
        </w:rPr>
        <w:t>三、获取招标文件</w:t>
      </w:r>
      <w:r>
        <w:rPr>
          <w:rFonts w:ascii="黑体" w:hAnsi="宋体" w:eastAsia="黑体" w:cs="黑体"/>
          <w:i w:val="0"/>
          <w:iCs w:val="0"/>
          <w:caps w:val="0"/>
          <w:color w:val="000000"/>
          <w:spacing w:val="0"/>
          <w:sz w:val="27"/>
          <w:szCs w:val="27"/>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时间：/至202</w:t>
      </w:r>
      <w:r>
        <w:rPr>
          <w:rFonts w:hint="eastAsia" w:ascii="仿宋" w:hAnsi="仿宋" w:eastAsia="仿宋" w:cs="仿宋"/>
          <w:i w:val="0"/>
          <w:iCs w:val="0"/>
          <w:caps w:val="0"/>
          <w:color w:val="000000"/>
          <w:spacing w:val="0"/>
          <w:sz w:val="27"/>
          <w:szCs w:val="27"/>
          <w:u w:val="none"/>
          <w:lang w:val="en-US" w:eastAsia="zh-CN"/>
        </w:rPr>
        <w:t>4</w:t>
      </w:r>
      <w:r>
        <w:rPr>
          <w:rFonts w:hint="eastAsia" w:ascii="仿宋" w:hAnsi="仿宋" w:eastAsia="仿宋" w:cs="仿宋"/>
          <w:i w:val="0"/>
          <w:iCs w:val="0"/>
          <w:caps w:val="0"/>
          <w:color w:val="000000"/>
          <w:spacing w:val="0"/>
          <w:sz w:val="27"/>
          <w:szCs w:val="27"/>
          <w:u w:val="none"/>
        </w:rPr>
        <w:t>年</w:t>
      </w:r>
      <w:r>
        <w:rPr>
          <w:rFonts w:hint="eastAsia" w:ascii="仿宋" w:hAnsi="仿宋" w:eastAsia="仿宋" w:cs="仿宋"/>
          <w:i w:val="0"/>
          <w:iCs w:val="0"/>
          <w:caps w:val="0"/>
          <w:color w:val="000000"/>
          <w:spacing w:val="0"/>
          <w:sz w:val="27"/>
          <w:szCs w:val="27"/>
          <w:u w:val="none"/>
          <w:lang w:val="en-US" w:eastAsia="zh-CN"/>
        </w:rPr>
        <w:t>08月13日</w:t>
      </w:r>
      <w:r>
        <w:rPr>
          <w:rFonts w:hint="eastAsia" w:ascii="仿宋" w:hAnsi="仿宋" w:eastAsia="仿宋" w:cs="仿宋"/>
          <w:i w:val="0"/>
          <w:iCs w:val="0"/>
          <w:caps w:val="0"/>
          <w:color w:val="000000"/>
          <w:spacing w:val="0"/>
          <w:sz w:val="27"/>
          <w:szCs w:val="27"/>
          <w:u w:val="none"/>
        </w:rPr>
        <w:t> ，每天上午00:00至12:00 ，下午12:00至23:59（北京时间，线上获取法定节假日均可，线下获取文件法定节假日除外）</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地点（网址）：政采云平台线上获取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方式：供应商登录政采云平台https://www.zcygov.cn/在线申请获取采购文件（进入“项目采购”应用，在获取采购文件菜单中选择项目，申请获取采购文件）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53"/>
          <w:rFonts w:ascii="黑体" w:hAnsi="宋体" w:eastAsia="黑体" w:cs="黑体"/>
          <w:b/>
          <w:bCs/>
          <w:i w:val="0"/>
          <w:iCs w:val="0"/>
          <w:caps w:val="0"/>
          <w:color w:val="000000"/>
          <w:spacing w:val="0"/>
          <w:sz w:val="27"/>
          <w:szCs w:val="27"/>
        </w:rPr>
        <w:t>四、提交投标文件截止时间、开标时间和地点</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提交投标文件截止时间：202</w:t>
      </w:r>
      <w:r>
        <w:rPr>
          <w:rFonts w:hint="eastAsia" w:ascii="仿宋" w:hAnsi="仿宋" w:eastAsia="仿宋" w:cs="仿宋"/>
          <w:i w:val="0"/>
          <w:iCs w:val="0"/>
          <w:caps w:val="0"/>
          <w:color w:val="000000"/>
          <w:spacing w:val="0"/>
          <w:sz w:val="27"/>
          <w:szCs w:val="27"/>
          <w:u w:val="none"/>
          <w:lang w:val="en-US" w:eastAsia="zh-CN"/>
        </w:rPr>
        <w:t>4</w:t>
      </w:r>
      <w:r>
        <w:rPr>
          <w:rFonts w:hint="eastAsia" w:ascii="仿宋" w:hAnsi="仿宋" w:eastAsia="仿宋" w:cs="仿宋"/>
          <w:i w:val="0"/>
          <w:iCs w:val="0"/>
          <w:caps w:val="0"/>
          <w:color w:val="000000"/>
          <w:spacing w:val="0"/>
          <w:sz w:val="27"/>
          <w:szCs w:val="27"/>
          <w:u w:val="none"/>
        </w:rPr>
        <w:t>年</w:t>
      </w:r>
      <w:r>
        <w:rPr>
          <w:rFonts w:hint="eastAsia" w:ascii="仿宋" w:hAnsi="仿宋" w:eastAsia="仿宋" w:cs="仿宋"/>
          <w:i w:val="0"/>
          <w:iCs w:val="0"/>
          <w:caps w:val="0"/>
          <w:color w:val="000000"/>
          <w:spacing w:val="0"/>
          <w:sz w:val="27"/>
          <w:szCs w:val="27"/>
          <w:u w:val="none"/>
          <w:lang w:val="en-US" w:eastAsia="zh-CN"/>
        </w:rPr>
        <w:t>08月13日</w:t>
      </w:r>
      <w:r>
        <w:rPr>
          <w:rFonts w:hint="eastAsia" w:ascii="仿宋" w:hAnsi="仿宋" w:eastAsia="仿宋" w:cs="仿宋"/>
          <w:i w:val="0"/>
          <w:iCs w:val="0"/>
          <w:caps w:val="0"/>
          <w:color w:val="000000"/>
          <w:spacing w:val="0"/>
          <w:sz w:val="27"/>
          <w:szCs w:val="27"/>
          <w:u w:val="none"/>
        </w:rPr>
        <w:t xml:space="preserve"> 09:30（北京时间）</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投标地点（网址）：请登录政采云投标客户端投标</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开标时间：202</w:t>
      </w:r>
      <w:r>
        <w:rPr>
          <w:rFonts w:hint="eastAsia" w:ascii="仿宋" w:hAnsi="仿宋" w:eastAsia="仿宋" w:cs="仿宋"/>
          <w:i w:val="0"/>
          <w:iCs w:val="0"/>
          <w:caps w:val="0"/>
          <w:color w:val="000000"/>
          <w:spacing w:val="0"/>
          <w:sz w:val="27"/>
          <w:szCs w:val="27"/>
          <w:u w:val="none"/>
          <w:lang w:val="en-US" w:eastAsia="zh-CN"/>
        </w:rPr>
        <w:t>4</w:t>
      </w:r>
      <w:r>
        <w:rPr>
          <w:rFonts w:hint="eastAsia" w:ascii="仿宋" w:hAnsi="仿宋" w:eastAsia="仿宋" w:cs="仿宋"/>
          <w:i w:val="0"/>
          <w:iCs w:val="0"/>
          <w:caps w:val="0"/>
          <w:color w:val="000000"/>
          <w:spacing w:val="0"/>
          <w:sz w:val="27"/>
          <w:szCs w:val="27"/>
          <w:u w:val="none"/>
        </w:rPr>
        <w:t>年</w:t>
      </w:r>
      <w:r>
        <w:rPr>
          <w:rFonts w:hint="eastAsia" w:ascii="仿宋" w:hAnsi="仿宋" w:eastAsia="仿宋" w:cs="仿宋"/>
          <w:i w:val="0"/>
          <w:iCs w:val="0"/>
          <w:caps w:val="0"/>
          <w:color w:val="000000"/>
          <w:spacing w:val="0"/>
          <w:sz w:val="27"/>
          <w:szCs w:val="27"/>
          <w:u w:val="none"/>
          <w:lang w:val="en-US" w:eastAsia="zh-CN"/>
        </w:rPr>
        <w:t>08月13日</w:t>
      </w:r>
      <w:r>
        <w:rPr>
          <w:rFonts w:hint="eastAsia" w:ascii="仿宋" w:hAnsi="仿宋" w:eastAsia="仿宋" w:cs="仿宋"/>
          <w:i w:val="0"/>
          <w:iCs w:val="0"/>
          <w:caps w:val="0"/>
          <w:color w:val="000000"/>
          <w:spacing w:val="0"/>
          <w:sz w:val="27"/>
          <w:szCs w:val="27"/>
          <w:u w:val="none"/>
        </w:rPr>
        <w:t xml:space="preserve"> 09:30</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开标地点（网址）：政采云平台（https://www.zcygov.cn/）</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53"/>
          <w:rFonts w:ascii="黑体" w:hAnsi="宋体" w:eastAsia="黑体" w:cs="黑体"/>
          <w:b/>
          <w:bCs/>
          <w:i w:val="0"/>
          <w:iCs w:val="0"/>
          <w:caps w:val="0"/>
          <w:color w:val="000000"/>
          <w:spacing w:val="0"/>
          <w:sz w:val="27"/>
          <w:szCs w:val="27"/>
        </w:rPr>
        <w:t>五、公告期限</w:t>
      </w:r>
      <w:r>
        <w:rPr>
          <w:rFonts w:ascii="黑体" w:hAnsi="宋体" w:eastAsia="黑体" w:cs="黑体"/>
          <w:i w:val="0"/>
          <w:iCs w:val="0"/>
          <w:caps w:val="0"/>
          <w:color w:val="000000"/>
          <w:spacing w:val="0"/>
          <w:sz w:val="31"/>
          <w:szCs w:val="31"/>
        </w:rPr>
        <w:t> </w:t>
      </w:r>
    </w:p>
    <w:p>
      <w:pPr>
        <w:pStyle w:val="45"/>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自本公告发布之日起5个工作日。</w:t>
      </w:r>
    </w:p>
    <w:p>
      <w:pPr>
        <w:pStyle w:val="45"/>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53"/>
          <w:rFonts w:ascii="黑体" w:hAnsi="宋体" w:eastAsia="黑体" w:cs="黑体"/>
          <w:b/>
          <w:bCs/>
          <w:i w:val="0"/>
          <w:iCs w:val="0"/>
          <w:caps w:val="0"/>
          <w:color w:val="000000"/>
          <w:spacing w:val="0"/>
          <w:sz w:val="27"/>
          <w:szCs w:val="27"/>
        </w:rPr>
        <w:t>六、其他补充事宜</w:t>
      </w:r>
    </w:p>
    <w:p>
      <w:pPr>
        <w:pStyle w:val="45"/>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5"/>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5"/>
        <w:keepNext w:val="0"/>
        <w:keepLines w:val="0"/>
        <w:widowControl/>
        <w:suppressLineNumbers w:val="0"/>
        <w:spacing w:before="75" w:beforeAutospacing="0" w:after="75" w:afterAutospacing="0" w:line="315" w:lineRule="atLeast"/>
        <w:ind w:left="0" w:right="0" w:firstLine="420"/>
      </w:pPr>
      <w:r>
        <w:rPr>
          <w:rFonts w:hint="eastAsia" w:ascii="仿宋" w:hAnsi="仿宋" w:eastAsia="仿宋" w:cs="仿宋"/>
          <w:i w:val="0"/>
          <w:iCs w:val="0"/>
          <w:caps w:val="0"/>
          <w:color w:val="000000"/>
          <w:spacing w:val="0"/>
          <w:sz w:val="27"/>
          <w:szCs w:val="27"/>
        </w:rPr>
        <w:t>3.其他事项：（1）需要落实的政府采购政策：包括节约资源、保护环境、支持创新、促进中小企业发展等。详见招标文件。（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三部分—“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本项目投标截止后不再接受针对招标文件的质疑。 </w:t>
      </w:r>
    </w:p>
    <w:p>
      <w:pPr>
        <w:pStyle w:val="45"/>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53"/>
          <w:rFonts w:ascii="黑体" w:hAnsi="宋体" w:eastAsia="黑体" w:cs="黑体"/>
          <w:b/>
          <w:bCs/>
          <w:i w:val="0"/>
          <w:iCs w:val="0"/>
          <w:caps w:val="0"/>
          <w:color w:val="000000"/>
          <w:spacing w:val="0"/>
          <w:sz w:val="27"/>
          <w:szCs w:val="27"/>
        </w:rPr>
        <w:t>七、对本次采购提出询问、质疑、投诉，请按以下方式联系</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1.采购人信息</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w:t>
      </w:r>
      <w:r>
        <w:rPr>
          <w:rFonts w:hint="eastAsia" w:ascii="仿宋" w:hAnsi="仿宋" w:eastAsia="仿宋" w:cs="仿宋"/>
          <w:i w:val="0"/>
          <w:iCs w:val="0"/>
          <w:caps w:val="0"/>
          <w:color w:val="000000"/>
          <w:spacing w:val="0"/>
          <w:sz w:val="27"/>
          <w:szCs w:val="27"/>
          <w:lang w:eastAsia="zh-CN"/>
        </w:rPr>
        <w:t>永嘉县公安局交通警察大队</w:t>
      </w:r>
      <w:r>
        <w:rPr>
          <w:rFonts w:hint="eastAsia" w:ascii="仿宋" w:hAnsi="仿宋" w:eastAsia="仿宋" w:cs="仿宋"/>
          <w:i w:val="0"/>
          <w:iCs w:val="0"/>
          <w:caps w:val="0"/>
          <w:color w:val="000000"/>
          <w:spacing w:val="0"/>
          <w:sz w:val="27"/>
          <w:szCs w:val="27"/>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w:t>
      </w:r>
      <w:r>
        <w:rPr>
          <w:rFonts w:hint="eastAsia" w:ascii="仿宋" w:hAnsi="仿宋" w:eastAsia="仿宋" w:cs="仿宋"/>
          <w:i w:val="0"/>
          <w:iCs w:val="0"/>
          <w:caps w:val="0"/>
          <w:color w:val="000000"/>
          <w:spacing w:val="0"/>
          <w:sz w:val="27"/>
          <w:szCs w:val="27"/>
          <w:lang w:eastAsia="zh-CN"/>
        </w:rPr>
        <w:t>永嘉县沙门路1号</w:t>
      </w:r>
      <w:r>
        <w:rPr>
          <w:rFonts w:hint="eastAsia" w:ascii="仿宋" w:hAnsi="仿宋" w:eastAsia="仿宋" w:cs="仿宋"/>
          <w:i w:val="0"/>
          <w:iCs w:val="0"/>
          <w:caps w:val="0"/>
          <w:color w:val="000000"/>
          <w:spacing w:val="0"/>
          <w:sz w:val="27"/>
          <w:szCs w:val="27"/>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w:t>
      </w:r>
      <w:r>
        <w:rPr>
          <w:rFonts w:hint="eastAsia" w:ascii="仿宋" w:hAnsi="仿宋" w:eastAsia="仿宋" w:cs="仿宋"/>
          <w:i w:val="0"/>
          <w:iCs w:val="0"/>
          <w:caps w:val="0"/>
          <w:color w:val="000000"/>
          <w:spacing w:val="0"/>
          <w:sz w:val="27"/>
          <w:szCs w:val="27"/>
          <w:lang w:eastAsia="zh-CN"/>
        </w:rPr>
        <w:t>全先生</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项目联系方式（询问）：0577-67252857</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w:t>
      </w:r>
      <w:r>
        <w:rPr>
          <w:rFonts w:hint="eastAsia" w:ascii="仿宋" w:hAnsi="仿宋" w:eastAsia="仿宋" w:cs="仿宋"/>
          <w:i w:val="0"/>
          <w:iCs w:val="0"/>
          <w:caps w:val="0"/>
          <w:color w:val="000000"/>
          <w:spacing w:val="0"/>
          <w:sz w:val="27"/>
          <w:szCs w:val="27"/>
          <w:lang w:val="en-US" w:eastAsia="zh-CN"/>
        </w:rPr>
        <w:t>全先生</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line="300" w:lineRule="atLeast"/>
        <w:ind w:left="0" w:right="0"/>
        <w:rPr>
          <w:rFonts w:hint="eastAsia" w:eastAsia="仿宋"/>
          <w:lang w:eastAsia="zh-CN"/>
        </w:rPr>
      </w:pPr>
      <w:r>
        <w:rPr>
          <w:rFonts w:hint="eastAsia" w:ascii="仿宋" w:hAnsi="仿宋" w:eastAsia="仿宋" w:cs="仿宋"/>
          <w:i w:val="0"/>
          <w:iCs w:val="0"/>
          <w:caps w:val="0"/>
          <w:color w:val="000000"/>
          <w:spacing w:val="0"/>
          <w:sz w:val="27"/>
          <w:szCs w:val="27"/>
        </w:rPr>
        <w:t>    质疑联系方式：</w:t>
      </w:r>
      <w:r>
        <w:rPr>
          <w:rFonts w:hint="eastAsia" w:ascii="仿宋" w:hAnsi="仿宋" w:eastAsia="仿宋" w:cs="仿宋"/>
          <w:i w:val="0"/>
          <w:iCs w:val="0"/>
          <w:caps w:val="0"/>
          <w:color w:val="000000"/>
          <w:spacing w:val="0"/>
          <w:sz w:val="27"/>
          <w:szCs w:val="27"/>
          <w:lang w:eastAsia="zh-CN"/>
        </w:rPr>
        <w:t>0577-67252857</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称：温州市中概工程管理咨询有限公司 </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址：温州市永嘉县南城街道环城北路云碓大厦503室 </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项目联系人（询问）：黄曼曼  </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项目联系方式（询问）：15858728890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质疑联系人：胡可可 </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质疑联系方式：15258683545 　　　　　　</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w:t>
      </w:r>
      <w:r>
        <w:rPr>
          <w:rStyle w:val="59"/>
          <w:rFonts w:hint="eastAsia" w:ascii="仿宋" w:hAnsi="仿宋" w:eastAsia="仿宋" w:cs="仿宋"/>
          <w:i w:val="0"/>
          <w:iCs w:val="0"/>
          <w:caps w:val="0"/>
          <w:color w:val="000000"/>
          <w:spacing w:val="0"/>
          <w:sz w:val="27"/>
          <w:szCs w:val="27"/>
        </w:rPr>
        <w:t>同级政府采购监督管理部门</w:t>
      </w:r>
    </w:p>
    <w:p>
      <w:pPr>
        <w:pStyle w:val="45"/>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名    称：永嘉县财政局</w:t>
      </w:r>
    </w:p>
    <w:p>
      <w:pPr>
        <w:pStyle w:val="45"/>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地    址：</w:t>
      </w:r>
    </w:p>
    <w:p>
      <w:pPr>
        <w:pStyle w:val="45"/>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传    真：</w:t>
      </w:r>
    </w:p>
    <w:p>
      <w:pPr>
        <w:pStyle w:val="45"/>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联 系 人：</w:t>
      </w:r>
      <w:r>
        <w:rPr>
          <w:rFonts w:hint="eastAsia" w:ascii="仿宋" w:hAnsi="仿宋" w:eastAsia="仿宋" w:cs="仿宋"/>
          <w:i w:val="0"/>
          <w:iCs w:val="0"/>
          <w:caps w:val="0"/>
          <w:color w:val="000000"/>
          <w:spacing w:val="0"/>
          <w:sz w:val="27"/>
          <w:szCs w:val="27"/>
          <w:lang w:val="en-US" w:eastAsia="zh-CN"/>
        </w:rPr>
        <w:t>沈</w:t>
      </w:r>
      <w:r>
        <w:rPr>
          <w:rFonts w:hint="eastAsia" w:ascii="仿宋" w:hAnsi="仿宋" w:eastAsia="仿宋" w:cs="仿宋"/>
          <w:i w:val="0"/>
          <w:iCs w:val="0"/>
          <w:caps w:val="0"/>
          <w:color w:val="000000"/>
          <w:spacing w:val="0"/>
          <w:sz w:val="27"/>
          <w:szCs w:val="27"/>
        </w:rPr>
        <w:t>女士</w:t>
      </w:r>
    </w:p>
    <w:p>
      <w:pPr>
        <w:pStyle w:val="45"/>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监督投诉电话：0577-67230257</w:t>
      </w:r>
    </w:p>
    <w:p>
      <w:pPr>
        <w:keepNext w:val="0"/>
        <w:keepLines w:val="0"/>
        <w:widowControl/>
        <w:suppressLineNumbers w:val="0"/>
        <w:spacing w:line="300" w:lineRule="atLeast"/>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b/>
          <w:bCs/>
          <w:i w:val="0"/>
          <w:iCs w:val="0"/>
          <w:caps w:val="0"/>
          <w:color w:val="000000"/>
          <w:spacing w:val="0"/>
          <w:kern w:val="0"/>
          <w:sz w:val="27"/>
          <w:szCs w:val="27"/>
          <w:lang w:val="en-US" w:eastAsia="zh-CN" w:bidi="ar"/>
        </w:rPr>
        <w:t> </w:t>
      </w:r>
      <w:r>
        <w:rPr>
          <w:rFonts w:hint="eastAsia" w:ascii="仿宋" w:hAnsi="仿宋" w:eastAsia="仿宋" w:cs="仿宋"/>
          <w:b/>
          <w:bCs/>
          <w:i w:val="0"/>
          <w:iCs w:val="0"/>
          <w:caps w:val="0"/>
          <w:color w:val="000000"/>
          <w:spacing w:val="0"/>
          <w:kern w:val="0"/>
          <w:sz w:val="24"/>
          <w:szCs w:val="24"/>
          <w:lang w:val="en-US" w:eastAsia="zh-CN" w:bidi="ar"/>
        </w:rPr>
        <w:t>           </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ind w:left="0" w:right="0"/>
      </w:pP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b/>
          <w:bCs/>
          <w:i w:val="0"/>
          <w:iCs w:val="0"/>
          <w:caps w:val="0"/>
          <w:color w:val="000000"/>
          <w:spacing w:val="0"/>
          <w:kern w:val="0"/>
          <w:sz w:val="24"/>
          <w:szCs w:val="24"/>
          <w:lang w:val="en-US" w:eastAsia="zh-CN" w:bidi="ar"/>
        </w:rPr>
        <w:t>若对项目采购电子交易系统操作有疑问，可登录政采云（https://www.zcygov.cn/），点击右侧咨询小采，获取采小蜜智能服务管家帮助，或拨打政采云服务热线95763获取热线服务帮助。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b/>
          <w:bCs/>
          <w:i w:val="0"/>
          <w:iCs w:val="0"/>
          <w:caps w:val="0"/>
          <w:color w:val="000000"/>
          <w:spacing w:val="0"/>
          <w:kern w:val="0"/>
          <w:sz w:val="24"/>
          <w:szCs w:val="24"/>
          <w:lang w:val="en-US" w:eastAsia="zh-CN" w:bidi="ar"/>
        </w:rPr>
        <w:t>CA问题联系电话（人工）：汇信CA 400-888-4636；天谷CA 400-087-8198。</w:t>
      </w:r>
    </w:p>
    <w:p>
      <w:pPr>
        <w:keepNext w:val="0"/>
        <w:keepLines w:val="0"/>
        <w:widowControl/>
        <w:suppressLineNumbers w:val="0"/>
        <w:jc w:val="left"/>
        <w:rPr>
          <w:rFonts w:hint="eastAsia" w:ascii="仿宋" w:hAnsi="仿宋" w:eastAsia="仿宋" w:cs="仿宋"/>
          <w:b w:val="0"/>
          <w:bCs w:val="0"/>
        </w:rPr>
      </w:pPr>
    </w:p>
    <w:p>
      <w:pPr>
        <w:pStyle w:val="45"/>
        <w:keepNext w:val="0"/>
        <w:keepLines w:val="0"/>
        <w:widowControl/>
        <w:suppressLineNumbers w:val="0"/>
        <w:spacing w:before="75" w:beforeAutospacing="0" w:after="75" w:afterAutospacing="0"/>
        <w:ind w:left="0" w:right="0"/>
      </w:pPr>
    </w:p>
    <w:p>
      <w:pPr>
        <w:widowControl/>
        <w:jc w:val="left"/>
        <w:rPr>
          <w:rFonts w:ascii="仿宋" w:hAnsi="仿宋" w:eastAsia="仿宋" w:cs="仿宋"/>
          <w:sz w:val="24"/>
          <w:szCs w:val="24"/>
        </w:rPr>
      </w:pPr>
    </w:p>
    <w:p>
      <w:pPr>
        <w:widowControl/>
        <w:autoSpaceDE w:val="0"/>
        <w:autoSpaceDN w:val="0"/>
        <w:adjustRightInd w:val="0"/>
        <w:spacing w:line="460" w:lineRule="atLeast"/>
        <w:ind w:firstLine="440" w:firstLineChars="200"/>
        <w:textAlignment w:val="bottom"/>
        <w:rPr>
          <w:rFonts w:ascii="宋体" w:eastAsia="宋体"/>
          <w:b w:val="0"/>
          <w:color w:val="auto"/>
          <w:sz w:val="22"/>
        </w:rPr>
      </w:pPr>
    </w:p>
    <w:bookmarkEnd w:id="2"/>
    <w:p>
      <w:pPr>
        <w:pStyle w:val="47"/>
        <w:rPr>
          <w:rFonts w:ascii="宋体" w:hAnsi="宋体"/>
          <w:color w:val="auto"/>
        </w:rPr>
      </w:pPr>
    </w:p>
    <w:p>
      <w:pPr>
        <w:pStyle w:val="47"/>
        <w:rPr>
          <w:rFonts w:ascii="宋体" w:hAnsi="宋体"/>
          <w:color w:val="auto"/>
        </w:rPr>
      </w:pPr>
      <w:bookmarkStart w:id="3" w:name="_Toc21825"/>
      <w:r>
        <w:rPr>
          <w:rFonts w:hint="eastAsia" w:ascii="宋体" w:hAnsi="宋体"/>
          <w:color w:val="auto"/>
        </w:rPr>
        <w:br w:type="column"/>
      </w:r>
      <w:r>
        <w:rPr>
          <w:rFonts w:hint="eastAsia" w:ascii="宋体" w:hAnsi="宋体"/>
          <w:color w:val="auto"/>
        </w:rPr>
        <w:t>第一部分 投标通知(邀请)书</w:t>
      </w:r>
      <w:bookmarkEnd w:id="3"/>
    </w:p>
    <w:tbl>
      <w:tblPr>
        <w:tblStyle w:val="50"/>
        <w:tblW w:w="106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75"/>
        <w:gridCol w:w="2047"/>
        <w:gridCol w:w="7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spacing w:line="400" w:lineRule="atLeast"/>
              <w:ind w:right="330"/>
              <w:jc w:val="right"/>
              <w:rPr>
                <w:rFonts w:ascii="宋体" w:eastAsia="宋体" w:cs="Arial"/>
                <w:b w:val="0"/>
                <w:color w:val="auto"/>
                <w:sz w:val="22"/>
                <w:szCs w:val="22"/>
              </w:rPr>
            </w:pPr>
            <w:r>
              <w:rPr>
                <w:rFonts w:hint="eastAsia" w:ascii="宋体" w:eastAsia="宋体" w:cs="Arial"/>
                <w:b w:val="0"/>
                <w:color w:val="auto"/>
                <w:sz w:val="22"/>
                <w:szCs w:val="22"/>
              </w:rPr>
              <w:t>项号</w:t>
            </w:r>
          </w:p>
        </w:tc>
        <w:tc>
          <w:tcPr>
            <w:tcW w:w="2047" w:type="dxa"/>
            <w:vAlign w:val="center"/>
          </w:tcPr>
          <w:p>
            <w:pPr>
              <w:spacing w:line="400" w:lineRule="atLeast"/>
              <w:rPr>
                <w:rFonts w:ascii="宋体" w:eastAsia="宋体" w:cs="Arial"/>
                <w:b w:val="0"/>
                <w:color w:val="auto"/>
                <w:sz w:val="22"/>
                <w:szCs w:val="22"/>
              </w:rPr>
            </w:pPr>
            <w:r>
              <w:rPr>
                <w:rFonts w:hint="eastAsia" w:ascii="宋体" w:eastAsia="宋体" w:cs="Arial"/>
                <w:b w:val="0"/>
                <w:color w:val="auto"/>
                <w:sz w:val="22"/>
                <w:szCs w:val="22"/>
              </w:rPr>
              <w:t>内容</w:t>
            </w:r>
          </w:p>
        </w:tc>
        <w:tc>
          <w:tcPr>
            <w:tcW w:w="7957" w:type="dxa"/>
            <w:vAlign w:val="center"/>
          </w:tcPr>
          <w:p>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项目名称</w:t>
            </w:r>
          </w:p>
        </w:tc>
        <w:tc>
          <w:tcPr>
            <w:tcW w:w="7957" w:type="dxa"/>
            <w:vAlign w:val="center"/>
          </w:tcPr>
          <w:p>
            <w:pPr>
              <w:rPr>
                <w:rFonts w:hint="eastAsia" w:ascii="宋体" w:eastAsia="宋体"/>
                <w:b w:val="0"/>
                <w:color w:val="auto"/>
                <w:sz w:val="22"/>
                <w:szCs w:val="22"/>
                <w:lang w:eastAsia="zh-CN"/>
              </w:rPr>
            </w:pPr>
            <w:r>
              <w:rPr>
                <w:rFonts w:hint="eastAsia" w:ascii="宋体" w:eastAsia="宋体"/>
                <w:b w:val="0"/>
                <w:color w:val="auto"/>
                <w:sz w:val="22"/>
                <w:szCs w:val="22"/>
                <w:lang w:eastAsia="zh-CN"/>
              </w:rPr>
              <w:t>永嘉县公安局交通警察大队国省道信号灯建设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r>
              <w:rPr>
                <w:rFonts w:hint="eastAsia" w:ascii="宋体" w:eastAsia="宋体" w:cs="Arial"/>
                <w:b w:val="0"/>
                <w:color w:val="auto"/>
                <w:sz w:val="22"/>
                <w:szCs w:val="22"/>
              </w:rPr>
              <w:t xml:space="preserve"> </w:t>
            </w:r>
          </w:p>
        </w:tc>
        <w:tc>
          <w:tcPr>
            <w:tcW w:w="2047" w:type="dxa"/>
            <w:vAlign w:val="center"/>
          </w:tcPr>
          <w:p>
            <w:pPr>
              <w:jc w:val="center"/>
              <w:rPr>
                <w:rFonts w:ascii="宋体" w:eastAsia="宋体"/>
                <w:b w:val="0"/>
                <w:bCs/>
                <w:color w:val="auto"/>
                <w:sz w:val="22"/>
                <w:szCs w:val="22"/>
                <w:highlight w:val="none"/>
              </w:rPr>
            </w:pPr>
            <w:r>
              <w:rPr>
                <w:rFonts w:hint="eastAsia" w:ascii="宋体" w:eastAsia="宋体"/>
                <w:b w:val="0"/>
                <w:bCs/>
                <w:color w:val="auto"/>
                <w:sz w:val="22"/>
                <w:szCs w:val="22"/>
                <w:highlight w:val="none"/>
              </w:rPr>
              <w:t>项目编号</w:t>
            </w:r>
          </w:p>
        </w:tc>
        <w:tc>
          <w:tcPr>
            <w:tcW w:w="7957" w:type="dxa"/>
            <w:vAlign w:val="center"/>
          </w:tcPr>
          <w:p>
            <w:pPr>
              <w:rPr>
                <w:rFonts w:hint="eastAsia" w:ascii="宋体" w:eastAsia="宋体"/>
                <w:b w:val="0"/>
                <w:bCs/>
                <w:color w:val="auto"/>
                <w:sz w:val="22"/>
                <w:szCs w:val="22"/>
                <w:highlight w:val="none"/>
                <w:lang w:eastAsia="zh-CN"/>
              </w:rPr>
            </w:pPr>
            <w:r>
              <w:rPr>
                <w:rFonts w:hint="eastAsia" w:ascii="宋体" w:eastAsia="宋体"/>
                <w:b w:val="0"/>
                <w:bCs/>
                <w:color w:val="auto"/>
                <w:sz w:val="22"/>
                <w:szCs w:val="22"/>
                <w:highlight w:val="none"/>
                <w:lang w:eastAsia="zh-CN"/>
              </w:rPr>
              <w:t>ZGCG-2024072201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b w:val="0"/>
                <w:color w:val="auto"/>
                <w:sz w:val="22"/>
                <w:szCs w:val="22"/>
              </w:rPr>
              <w:t>资金来源</w:t>
            </w:r>
          </w:p>
        </w:tc>
        <w:tc>
          <w:tcPr>
            <w:tcW w:w="7957" w:type="dxa"/>
            <w:vAlign w:val="center"/>
          </w:tcPr>
          <w:p>
            <w:pPr>
              <w:rPr>
                <w:rFonts w:ascii="宋体" w:eastAsia="宋体"/>
                <w:b w:val="0"/>
                <w:color w:val="auto"/>
                <w:sz w:val="22"/>
                <w:szCs w:val="22"/>
              </w:rPr>
            </w:pPr>
            <w:r>
              <w:rPr>
                <w:rFonts w:hint="eastAsia" w:ascii="宋体" w:eastAsia="宋体"/>
                <w:b w:val="0"/>
                <w:color w:val="auto"/>
                <w:sz w:val="22"/>
                <w:szCs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b w:val="0"/>
                <w:color w:val="auto"/>
                <w:sz w:val="22"/>
                <w:szCs w:val="22"/>
              </w:rPr>
            </w:pPr>
            <w:r>
              <w:rPr>
                <w:rFonts w:hint="eastAsia" w:ascii="宋体" w:eastAsia="宋体"/>
                <w:b w:val="0"/>
                <w:color w:val="auto"/>
                <w:sz w:val="22"/>
                <w:szCs w:val="22"/>
              </w:rPr>
              <w:t>采购方式</w:t>
            </w:r>
          </w:p>
        </w:tc>
        <w:tc>
          <w:tcPr>
            <w:tcW w:w="7957" w:type="dxa"/>
            <w:vAlign w:val="center"/>
          </w:tcPr>
          <w:p>
            <w:pPr>
              <w:rPr>
                <w:rFonts w:ascii="宋体" w:eastAsia="宋体"/>
                <w:b w:val="0"/>
                <w:color w:val="auto"/>
                <w:sz w:val="22"/>
                <w:szCs w:val="22"/>
              </w:rPr>
            </w:pPr>
            <w:r>
              <w:rPr>
                <w:rFonts w:hint="eastAsia" w:ascii="宋体" w:eastAsia="宋体"/>
                <w:b w:val="0"/>
                <w:color w:val="auto"/>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b w:val="0"/>
                <w:color w:val="auto"/>
                <w:sz w:val="22"/>
                <w:szCs w:val="22"/>
              </w:rPr>
            </w:pPr>
            <w:r>
              <w:rPr>
                <w:rFonts w:hint="eastAsia" w:ascii="宋体" w:eastAsia="宋体"/>
                <w:b w:val="0"/>
                <w:color w:val="auto"/>
                <w:sz w:val="22"/>
                <w:szCs w:val="22"/>
              </w:rPr>
              <w:t>采购预算</w:t>
            </w:r>
          </w:p>
          <w:p>
            <w:pPr>
              <w:jc w:val="center"/>
              <w:rPr>
                <w:rFonts w:ascii="宋体" w:eastAsia="宋体"/>
                <w:b w:val="0"/>
                <w:color w:val="auto"/>
                <w:sz w:val="22"/>
                <w:szCs w:val="22"/>
              </w:rPr>
            </w:pPr>
            <w:r>
              <w:rPr>
                <w:rFonts w:hint="eastAsia" w:ascii="宋体" w:eastAsia="宋体"/>
                <w:b w:val="0"/>
                <w:color w:val="auto"/>
                <w:sz w:val="22"/>
                <w:szCs w:val="22"/>
              </w:rPr>
              <w:t>（最高限价）</w:t>
            </w:r>
          </w:p>
        </w:tc>
        <w:tc>
          <w:tcPr>
            <w:tcW w:w="7957" w:type="dxa"/>
            <w:vAlign w:val="center"/>
          </w:tcPr>
          <w:p>
            <w:pPr>
              <w:rPr>
                <w:rFonts w:ascii="宋体" w:eastAsia="宋体"/>
                <w:b w:val="0"/>
                <w:color w:val="auto"/>
                <w:sz w:val="22"/>
                <w:szCs w:val="22"/>
              </w:rPr>
            </w:pPr>
            <w:r>
              <w:rPr>
                <w:rFonts w:hint="eastAsia" w:ascii="宋体" w:eastAsia="宋体" w:cs="Arial"/>
                <w:b w:val="0"/>
                <w:color w:val="auto"/>
                <w:sz w:val="22"/>
                <w:szCs w:val="22"/>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b w:val="0"/>
                <w:color w:val="auto"/>
                <w:sz w:val="22"/>
                <w:szCs w:val="22"/>
              </w:rPr>
            </w:pPr>
            <w:r>
              <w:rPr>
                <w:rFonts w:hint="eastAsia" w:ascii="宋体" w:eastAsia="宋体"/>
                <w:b w:val="0"/>
                <w:color w:val="auto"/>
                <w:sz w:val="22"/>
                <w:szCs w:val="22"/>
              </w:rPr>
              <w:t>采购人</w:t>
            </w:r>
          </w:p>
        </w:tc>
        <w:tc>
          <w:tcPr>
            <w:tcW w:w="7957" w:type="dxa"/>
            <w:vAlign w:val="center"/>
          </w:tcPr>
          <w:p>
            <w:pPr>
              <w:adjustRightInd w:val="0"/>
              <w:jc w:val="left"/>
              <w:rPr>
                <w:rFonts w:hint="eastAsia" w:ascii="宋体" w:eastAsia="宋体"/>
                <w:b w:val="0"/>
                <w:bCs w:val="0"/>
                <w:sz w:val="22"/>
                <w:szCs w:val="22"/>
                <w:lang w:eastAsia="zh-CN"/>
              </w:rPr>
            </w:pPr>
            <w:r>
              <w:rPr>
                <w:rFonts w:hint="eastAsia" w:ascii="宋体" w:eastAsia="宋体"/>
                <w:b w:val="0"/>
                <w:bCs w:val="0"/>
                <w:sz w:val="22"/>
                <w:szCs w:val="22"/>
              </w:rPr>
              <w:t>名  称：</w:t>
            </w:r>
            <w:r>
              <w:rPr>
                <w:rFonts w:hint="eastAsia" w:ascii="宋体" w:eastAsia="宋体"/>
                <w:b w:val="0"/>
                <w:bCs w:val="0"/>
                <w:sz w:val="22"/>
                <w:szCs w:val="22"/>
                <w:lang w:eastAsia="zh-CN"/>
              </w:rPr>
              <w:t>永嘉县公安局交通警察大队</w:t>
            </w:r>
          </w:p>
          <w:p>
            <w:pPr>
              <w:adjustRightInd w:val="0"/>
              <w:jc w:val="left"/>
              <w:rPr>
                <w:rFonts w:hint="eastAsia" w:ascii="宋体" w:eastAsia="宋体"/>
                <w:b w:val="0"/>
                <w:bCs w:val="0"/>
                <w:sz w:val="22"/>
                <w:szCs w:val="22"/>
                <w:lang w:eastAsia="zh-CN"/>
              </w:rPr>
            </w:pPr>
            <w:r>
              <w:rPr>
                <w:rFonts w:hint="eastAsia" w:ascii="宋体" w:eastAsia="宋体"/>
                <w:b w:val="0"/>
                <w:bCs w:val="0"/>
                <w:sz w:val="22"/>
                <w:szCs w:val="22"/>
              </w:rPr>
              <w:t>联系人：</w:t>
            </w:r>
            <w:r>
              <w:rPr>
                <w:rFonts w:hint="eastAsia" w:ascii="宋体" w:eastAsia="宋体"/>
                <w:b w:val="0"/>
                <w:bCs w:val="0"/>
                <w:sz w:val="22"/>
                <w:szCs w:val="22"/>
                <w:lang w:val="en-US" w:eastAsia="zh-CN"/>
              </w:rPr>
              <w:t>全</w:t>
            </w:r>
            <w:r>
              <w:rPr>
                <w:rFonts w:hint="eastAsia" w:ascii="宋体" w:eastAsia="宋体"/>
                <w:b w:val="0"/>
                <w:bCs w:val="0"/>
                <w:sz w:val="22"/>
                <w:szCs w:val="22"/>
                <w:lang w:eastAsia="zh-CN"/>
              </w:rPr>
              <w:t>先生</w:t>
            </w:r>
          </w:p>
          <w:p>
            <w:pPr>
              <w:adjustRightInd w:val="0"/>
              <w:rPr>
                <w:rFonts w:hint="default" w:ascii="宋体" w:eastAsia="宋体"/>
                <w:b w:val="0"/>
                <w:bCs w:val="0"/>
                <w:color w:val="auto"/>
                <w:sz w:val="22"/>
                <w:szCs w:val="22"/>
                <w:lang w:val="en-US" w:eastAsia="zh-CN"/>
              </w:rPr>
            </w:pPr>
            <w:r>
              <w:rPr>
                <w:rFonts w:hint="eastAsia" w:ascii="宋体" w:eastAsia="宋体"/>
                <w:b w:val="0"/>
                <w:bCs w:val="0"/>
                <w:sz w:val="22"/>
                <w:szCs w:val="22"/>
              </w:rPr>
              <w:t>联系电话</w:t>
            </w:r>
            <w:r>
              <w:rPr>
                <w:rFonts w:hint="eastAsia" w:ascii="宋体" w:eastAsia="宋体"/>
                <w:b w:val="0"/>
                <w:bCs w:val="0"/>
                <w:sz w:val="22"/>
                <w:szCs w:val="22"/>
                <w:lang w:eastAsia="zh-CN"/>
              </w:rPr>
              <w:t>：0577-67252857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right="105" w:hanging="420"/>
              <w:jc w:val="right"/>
              <w:rPr>
                <w:rFonts w:ascii="宋体" w:eastAsia="宋体" w:cs="Arial"/>
                <w:b w:val="0"/>
                <w:color w:val="auto"/>
                <w:sz w:val="22"/>
                <w:szCs w:val="22"/>
              </w:rPr>
            </w:pPr>
            <w:r>
              <w:rPr>
                <w:rFonts w:hint="eastAsia" w:ascii="宋体" w:eastAsia="宋体" w:cs="Arial"/>
                <w:b w:val="0"/>
                <w:color w:val="auto"/>
                <w:sz w:val="22"/>
                <w:szCs w:val="22"/>
              </w:rPr>
              <w:t xml:space="preserve"> </w:t>
            </w:r>
          </w:p>
        </w:tc>
        <w:tc>
          <w:tcPr>
            <w:tcW w:w="2047" w:type="dxa"/>
            <w:vAlign w:val="center"/>
          </w:tcPr>
          <w:p>
            <w:pPr>
              <w:adjustRightInd w:val="0"/>
              <w:jc w:val="center"/>
              <w:rPr>
                <w:rFonts w:ascii="宋体" w:eastAsia="宋体"/>
                <w:b w:val="0"/>
                <w:bCs w:val="0"/>
                <w:color w:val="auto"/>
                <w:sz w:val="22"/>
                <w:szCs w:val="22"/>
              </w:rPr>
            </w:pPr>
            <w:r>
              <w:rPr>
                <w:rFonts w:hint="eastAsia" w:ascii="宋体" w:eastAsia="宋体"/>
                <w:b w:val="0"/>
                <w:bCs w:val="0"/>
                <w:color w:val="auto"/>
                <w:sz w:val="22"/>
                <w:szCs w:val="22"/>
              </w:rPr>
              <w:t>采购代理机构</w:t>
            </w:r>
          </w:p>
        </w:tc>
        <w:tc>
          <w:tcPr>
            <w:tcW w:w="7957" w:type="dxa"/>
            <w:vAlign w:val="center"/>
          </w:tcPr>
          <w:p>
            <w:pPr>
              <w:adjustRightInd w:val="0"/>
              <w:rPr>
                <w:rFonts w:ascii="宋体" w:eastAsia="宋体"/>
                <w:b w:val="0"/>
                <w:bCs w:val="0"/>
                <w:color w:val="auto"/>
                <w:sz w:val="22"/>
                <w:szCs w:val="22"/>
              </w:rPr>
            </w:pPr>
            <w:r>
              <w:rPr>
                <w:rFonts w:hint="eastAsia" w:ascii="宋体" w:eastAsia="宋体"/>
                <w:b w:val="0"/>
                <w:bCs w:val="0"/>
                <w:color w:val="auto"/>
                <w:sz w:val="22"/>
                <w:szCs w:val="22"/>
              </w:rPr>
              <w:t>名称：温州市中概工程管理咨询有限公司</w:t>
            </w:r>
          </w:p>
          <w:p>
            <w:pPr>
              <w:adjustRightInd w:val="0"/>
              <w:rPr>
                <w:rFonts w:ascii="宋体" w:eastAsia="宋体"/>
                <w:b w:val="0"/>
                <w:bCs w:val="0"/>
                <w:color w:val="auto"/>
                <w:sz w:val="22"/>
                <w:szCs w:val="22"/>
              </w:rPr>
            </w:pPr>
            <w:r>
              <w:rPr>
                <w:rFonts w:hint="eastAsia" w:ascii="宋体" w:eastAsia="宋体"/>
                <w:b w:val="0"/>
                <w:bCs w:val="0"/>
                <w:color w:val="auto"/>
                <w:sz w:val="22"/>
                <w:szCs w:val="22"/>
              </w:rPr>
              <w:t>地址：温州市永嘉县南城街道环城北路618号云碓大厦503室</w:t>
            </w:r>
          </w:p>
          <w:p>
            <w:pPr>
              <w:adjustRightInd w:val="0"/>
              <w:rPr>
                <w:rFonts w:ascii="宋体" w:eastAsia="宋体"/>
                <w:b w:val="0"/>
                <w:bCs w:val="0"/>
                <w:color w:val="auto"/>
                <w:sz w:val="22"/>
                <w:szCs w:val="22"/>
              </w:rPr>
            </w:pPr>
            <w:r>
              <w:rPr>
                <w:rFonts w:hint="eastAsia" w:ascii="宋体" w:eastAsia="宋体"/>
                <w:b w:val="0"/>
                <w:bCs w:val="0"/>
                <w:color w:val="auto"/>
                <w:sz w:val="22"/>
                <w:szCs w:val="22"/>
              </w:rPr>
              <w:t>项目联系人：黄曼曼</w:t>
            </w:r>
          </w:p>
          <w:p>
            <w:pPr>
              <w:adjustRightInd w:val="0"/>
              <w:rPr>
                <w:rFonts w:ascii="宋体" w:eastAsia="宋体"/>
                <w:b w:val="0"/>
                <w:bCs w:val="0"/>
                <w:color w:val="auto"/>
                <w:sz w:val="22"/>
                <w:szCs w:val="22"/>
              </w:rPr>
            </w:pPr>
            <w:r>
              <w:rPr>
                <w:rFonts w:hint="eastAsia" w:ascii="宋体" w:eastAsia="宋体"/>
                <w:b w:val="0"/>
                <w:bCs w:val="0"/>
                <w:color w:val="auto"/>
                <w:sz w:val="22"/>
                <w:szCs w:val="22"/>
              </w:rPr>
              <w:t>项目联系方式：15858728890</w:t>
            </w:r>
          </w:p>
          <w:p>
            <w:pPr>
              <w:adjustRightInd w:val="0"/>
              <w:rPr>
                <w:rFonts w:ascii="宋体" w:eastAsia="宋体"/>
                <w:b w:val="0"/>
                <w:bCs w:val="0"/>
                <w:color w:val="auto"/>
                <w:sz w:val="22"/>
                <w:szCs w:val="22"/>
              </w:rPr>
            </w:pPr>
            <w:r>
              <w:rPr>
                <w:rFonts w:hint="eastAsia" w:ascii="宋体" w:eastAsia="宋体"/>
                <w:b w:val="0"/>
                <w:bCs w:val="0"/>
                <w:color w:val="auto"/>
                <w:sz w:val="22"/>
                <w:szCs w:val="22"/>
              </w:rPr>
              <w:t>质疑联系人：胡可可</w:t>
            </w:r>
          </w:p>
          <w:p>
            <w:pPr>
              <w:adjustRightInd w:val="0"/>
              <w:rPr>
                <w:rFonts w:ascii="宋体" w:eastAsia="宋体"/>
                <w:b w:val="0"/>
                <w:bCs w:val="0"/>
                <w:color w:val="auto"/>
                <w:sz w:val="22"/>
                <w:szCs w:val="22"/>
              </w:rPr>
            </w:pPr>
            <w:r>
              <w:rPr>
                <w:rFonts w:hint="eastAsia" w:ascii="宋体" w:eastAsia="宋体"/>
                <w:b w:val="0"/>
                <w:bCs w:val="0"/>
                <w:color w:val="auto"/>
                <w:sz w:val="22"/>
                <w:szCs w:val="22"/>
              </w:rPr>
              <w:t>质疑联系方式：15258683545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right="105"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b w:val="0"/>
                <w:bCs w:val="0"/>
                <w:color w:val="auto"/>
                <w:sz w:val="22"/>
                <w:szCs w:val="22"/>
              </w:rPr>
            </w:pPr>
            <w:r>
              <w:rPr>
                <w:rFonts w:hint="eastAsia" w:ascii="宋体" w:eastAsia="宋体"/>
                <w:b w:val="0"/>
                <w:bCs w:val="0"/>
                <w:color w:val="auto"/>
                <w:sz w:val="22"/>
                <w:szCs w:val="22"/>
              </w:rPr>
              <w:t>评标办法</w:t>
            </w:r>
          </w:p>
        </w:tc>
        <w:tc>
          <w:tcPr>
            <w:tcW w:w="7957" w:type="dxa"/>
            <w:vAlign w:val="center"/>
          </w:tcPr>
          <w:p>
            <w:pPr>
              <w:adjustRightInd w:val="0"/>
              <w:rPr>
                <w:rFonts w:ascii="宋体" w:eastAsia="宋体"/>
                <w:b w:val="0"/>
                <w:bCs w:val="0"/>
                <w:color w:val="auto"/>
                <w:sz w:val="22"/>
                <w:szCs w:val="22"/>
              </w:rPr>
            </w:pPr>
            <w:r>
              <w:rPr>
                <w:rFonts w:hint="eastAsia" w:ascii="宋体" w:eastAsia="宋体"/>
                <w:b w:val="0"/>
                <w:bCs w:val="0"/>
                <w:color w:val="auto"/>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招标内容</w:t>
            </w:r>
          </w:p>
        </w:tc>
        <w:tc>
          <w:tcPr>
            <w:tcW w:w="795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投标供应商</w:t>
            </w:r>
          </w:p>
          <w:p>
            <w:pPr>
              <w:jc w:val="center"/>
              <w:rPr>
                <w:rFonts w:ascii="宋体" w:eastAsia="宋体"/>
                <w:b w:val="0"/>
                <w:color w:val="auto"/>
                <w:sz w:val="22"/>
                <w:szCs w:val="22"/>
                <w:highlight w:val="none"/>
              </w:rPr>
            </w:pPr>
            <w:r>
              <w:rPr>
                <w:rFonts w:hint="eastAsia" w:ascii="宋体" w:eastAsia="宋体"/>
                <w:b w:val="0"/>
                <w:color w:val="auto"/>
                <w:sz w:val="22"/>
                <w:szCs w:val="22"/>
                <w:highlight w:val="none"/>
              </w:rPr>
              <w:t>资格要求</w:t>
            </w:r>
          </w:p>
        </w:tc>
        <w:tc>
          <w:tcPr>
            <w:tcW w:w="7957" w:type="dxa"/>
            <w:vAlign w:val="center"/>
          </w:tcPr>
          <w:p>
            <w:pPr>
              <w:adjustRightInd w:val="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2.落实政府采购政策需满足的资格要求：</w:t>
            </w:r>
            <w:r>
              <w:rPr>
                <w:rFonts w:hint="eastAsia" w:ascii="宋体" w:eastAsia="宋体" w:cs="Times New Roman"/>
                <w:b w:val="0"/>
                <w:bCs w:val="0"/>
                <w:color w:val="auto"/>
                <w:sz w:val="22"/>
                <w:szCs w:val="22"/>
                <w:highlight w:val="none"/>
                <w:lang w:eastAsia="zh-CN"/>
              </w:rPr>
              <w:t>无</w:t>
            </w:r>
            <w:r>
              <w:rPr>
                <w:rFonts w:hint="eastAsia" w:ascii="宋体" w:eastAsia="宋体"/>
                <w:b w:val="0"/>
                <w:color w:val="auto"/>
                <w:sz w:val="22"/>
                <w:highlight w:val="none"/>
              </w:rPr>
              <w:t>。</w:t>
            </w:r>
          </w:p>
          <w:p>
            <w:pPr>
              <w:adjustRightInd w:val="0"/>
              <w:rPr>
                <w:rFonts w:hint="eastAsia" w:eastAsia="宋体"/>
                <w:color w:val="auto"/>
                <w:highlight w:val="none"/>
                <w:lang w:eastAsia="zh-CN"/>
              </w:rPr>
            </w:pPr>
            <w:r>
              <w:rPr>
                <w:rFonts w:hint="eastAsia" w:ascii="宋体" w:eastAsia="宋体"/>
                <w:b w:val="0"/>
                <w:bCs w:val="0"/>
                <w:color w:val="auto"/>
                <w:sz w:val="22"/>
                <w:szCs w:val="22"/>
                <w:highlight w:val="none"/>
              </w:rPr>
              <w:t>3.本项目的特定资格要求：无</w:t>
            </w:r>
            <w:r>
              <w:rPr>
                <w:rFonts w:hint="eastAsia" w:ascii="宋体" w:eastAsia="宋体"/>
                <w:b w:val="0"/>
                <w:bCs w:val="0"/>
                <w:color w:val="auto"/>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b w:val="0"/>
                <w:color w:val="auto"/>
                <w:sz w:val="22"/>
                <w:szCs w:val="22"/>
              </w:rPr>
            </w:pPr>
            <w:r>
              <w:rPr>
                <w:rFonts w:hint="eastAsia" w:ascii="宋体" w:eastAsia="宋体"/>
                <w:b w:val="0"/>
                <w:color w:val="auto"/>
                <w:sz w:val="22"/>
                <w:szCs w:val="22"/>
              </w:rPr>
              <w:t>是否接受联合体投标</w:t>
            </w:r>
          </w:p>
        </w:tc>
        <w:tc>
          <w:tcPr>
            <w:tcW w:w="7957" w:type="dxa"/>
            <w:vAlign w:val="center"/>
          </w:tcPr>
          <w:p>
            <w:pPr>
              <w:adjustRightInd w:val="0"/>
              <w:rPr>
                <w:rFonts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i/>
                <w:color w:val="auto"/>
                <w:sz w:val="22"/>
                <w:szCs w:val="22"/>
              </w:rPr>
              <w:t>不接受</w:t>
            </w:r>
          </w:p>
          <w:p>
            <w:pPr>
              <w:adjustRightInd w:val="0"/>
              <w:rPr>
                <w:rFonts w:ascii="宋体" w:eastAsia="宋体"/>
                <w:b w:val="0"/>
                <w:i/>
                <w:color w:val="auto"/>
                <w:sz w:val="22"/>
                <w:szCs w:val="22"/>
              </w:rPr>
            </w:pPr>
            <w:r>
              <w:rPr>
                <w:rFonts w:ascii="宋体" w:eastAsia="宋体"/>
                <w:b w:val="0"/>
                <w:color w:val="auto"/>
                <w:sz w:val="22"/>
                <w:szCs w:val="22"/>
              </w:rPr>
              <w:t>□</w:t>
            </w:r>
            <w:r>
              <w:rPr>
                <w:rFonts w:hint="eastAsia" w:ascii="宋体" w:eastAsia="宋体"/>
                <w:b w:val="0"/>
                <w:i/>
                <w:color w:val="auto"/>
                <w:sz w:val="22"/>
                <w:szCs w:val="22"/>
              </w:rPr>
              <w:t>接受</w:t>
            </w:r>
            <w:r>
              <w:rPr>
                <w:rFonts w:ascii="宋体" w:eastAsia="宋体"/>
                <w:b w:val="0"/>
                <w:i/>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b w:val="0"/>
                <w:color w:val="auto"/>
                <w:sz w:val="22"/>
                <w:szCs w:val="22"/>
              </w:rPr>
            </w:pPr>
            <w:r>
              <w:rPr>
                <w:rFonts w:hint="eastAsia" w:ascii="宋体" w:eastAsia="宋体"/>
                <w:b w:val="0"/>
                <w:color w:val="auto"/>
                <w:sz w:val="22"/>
                <w:szCs w:val="22"/>
              </w:rPr>
              <w:t>是否允许分包</w:t>
            </w:r>
          </w:p>
        </w:tc>
        <w:tc>
          <w:tcPr>
            <w:tcW w:w="7957" w:type="dxa"/>
            <w:vAlign w:val="center"/>
          </w:tcPr>
          <w:p>
            <w:pPr>
              <w:adjustRightInd w:val="0"/>
              <w:rPr>
                <w:rFonts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i/>
                <w:color w:val="auto"/>
                <w:sz w:val="22"/>
                <w:szCs w:val="22"/>
              </w:rPr>
              <w:t>不允许</w:t>
            </w:r>
          </w:p>
          <w:p>
            <w:pPr>
              <w:adjustRightInd w:val="0"/>
              <w:rPr>
                <w:rFonts w:ascii="宋体" w:eastAsia="宋体"/>
                <w:b w:val="0"/>
                <w:color w:val="auto"/>
                <w:sz w:val="22"/>
                <w:szCs w:val="22"/>
              </w:rPr>
            </w:pPr>
            <w:r>
              <w:rPr>
                <w:rFonts w:ascii="宋体" w:eastAsia="宋体"/>
                <w:b w:val="0"/>
                <w:color w:val="auto"/>
                <w:sz w:val="22"/>
                <w:szCs w:val="22"/>
              </w:rPr>
              <w:t>□</w:t>
            </w:r>
            <w:r>
              <w:rPr>
                <w:rFonts w:hint="eastAsia" w:ascii="宋体" w:eastAsia="宋体"/>
                <w:b w:val="0"/>
                <w:i/>
                <w:color w:val="auto"/>
                <w:sz w:val="22"/>
                <w:szCs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color w:val="auto"/>
                <w:sz w:val="22"/>
                <w:szCs w:val="22"/>
              </w:rPr>
            </w:pPr>
            <w:r>
              <w:rPr>
                <w:rFonts w:hint="eastAsia" w:ascii="宋体" w:eastAsia="宋体"/>
                <w:color w:val="auto"/>
                <w:sz w:val="22"/>
                <w:szCs w:val="22"/>
              </w:rPr>
              <w:t>项目属性与核心产品</w:t>
            </w:r>
          </w:p>
        </w:tc>
        <w:tc>
          <w:tcPr>
            <w:tcW w:w="7957" w:type="dxa"/>
            <w:vAlign w:val="center"/>
          </w:tcPr>
          <w:p>
            <w:pPr>
              <w:adjustRightInd w:val="0"/>
              <w:rPr>
                <w:rFonts w:ascii="宋体" w:eastAsia="宋体"/>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color w:val="auto"/>
                <w:sz w:val="22"/>
                <w:szCs w:val="22"/>
              </w:rPr>
              <w:t>A货物类，单一产品或核心产品为：</w:t>
            </w:r>
            <w:r>
              <w:rPr>
                <w:rFonts w:hint="eastAsia" w:ascii="宋体" w:eastAsia="宋体"/>
                <w:color w:val="auto"/>
                <w:sz w:val="22"/>
              </w:rPr>
              <w:t>单项</w:t>
            </w:r>
            <w:r>
              <w:rPr>
                <w:rFonts w:ascii="宋体" w:eastAsia="宋体"/>
                <w:color w:val="auto"/>
                <w:sz w:val="22"/>
              </w:rPr>
              <w:t>产品</w:t>
            </w:r>
            <w:r>
              <w:rPr>
                <w:rFonts w:hint="eastAsia" w:ascii="宋体" w:eastAsia="宋体"/>
                <w:color w:val="auto"/>
                <w:sz w:val="22"/>
              </w:rPr>
              <w:t>投标</w:t>
            </w:r>
            <w:r>
              <w:rPr>
                <w:rFonts w:ascii="宋体" w:eastAsia="宋体"/>
                <w:color w:val="auto"/>
                <w:sz w:val="22"/>
              </w:rPr>
              <w:t>价格比重</w:t>
            </w:r>
            <w:r>
              <w:rPr>
                <w:rFonts w:hint="eastAsia" w:ascii="宋体" w:eastAsia="宋体"/>
                <w:color w:val="auto"/>
                <w:sz w:val="22"/>
              </w:rPr>
              <w:t>占总投标价30%及以上的认定为</w:t>
            </w:r>
            <w:r>
              <w:rPr>
                <w:rFonts w:ascii="宋体" w:eastAsia="宋体"/>
                <w:color w:val="auto"/>
                <w:sz w:val="22"/>
              </w:rPr>
              <w:t>核心产品</w:t>
            </w:r>
            <w:r>
              <w:rPr>
                <w:rFonts w:hint="eastAsia" w:ascii="宋体" w:eastAsia="宋体"/>
                <w:color w:val="auto"/>
                <w:sz w:val="22"/>
              </w:rPr>
              <w:t>（有效投标供应商中一家供应商该产品投标价格占总投标价30%级以上即认定）</w:t>
            </w:r>
            <w:r>
              <w:rPr>
                <w:rFonts w:hint="eastAsia" w:ascii="宋体" w:eastAsia="宋体"/>
                <w:color w:val="auto"/>
                <w:sz w:val="22"/>
                <w:szCs w:val="22"/>
              </w:rPr>
              <w:t>。</w:t>
            </w:r>
          </w:p>
          <w:p>
            <w:pPr>
              <w:adjustRightInd w:val="0"/>
              <w:rPr>
                <w:rFonts w:ascii="宋体" w:eastAsia="宋体"/>
                <w:color w:val="auto"/>
                <w:sz w:val="22"/>
                <w:szCs w:val="22"/>
              </w:rPr>
            </w:pPr>
            <w:r>
              <w:rPr>
                <w:rFonts w:hint="eastAsia" w:ascii="宋体" w:eastAsia="宋体"/>
                <w:color w:val="auto"/>
                <w:sz w:val="22"/>
                <w:szCs w:val="22"/>
              </w:rPr>
              <w:t>☐B服务类。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color w:val="auto"/>
                <w:sz w:val="22"/>
                <w:szCs w:val="22"/>
              </w:rPr>
            </w:pPr>
            <w:r>
              <w:rPr>
                <w:rFonts w:hint="eastAsia" w:ascii="宋体" w:eastAsia="宋体"/>
                <w:color w:val="auto"/>
                <w:sz w:val="22"/>
                <w:szCs w:val="22"/>
              </w:rPr>
              <w:t>采购标的对应的中小企业划分标准所属行业</w:t>
            </w:r>
          </w:p>
        </w:tc>
        <w:tc>
          <w:tcPr>
            <w:tcW w:w="7957" w:type="dxa"/>
            <w:vAlign w:val="center"/>
          </w:tcPr>
          <w:p>
            <w:pPr>
              <w:adjustRightInd w:val="0"/>
              <w:rPr>
                <w:rFonts w:ascii="宋体" w:eastAsia="宋体"/>
                <w:color w:val="auto"/>
                <w:sz w:val="22"/>
                <w:szCs w:val="22"/>
              </w:rPr>
            </w:pPr>
            <w:r>
              <w:rPr>
                <w:rFonts w:hint="eastAsia" w:ascii="宋体" w:eastAsia="宋体"/>
                <w:color w:val="auto"/>
                <w:sz w:val="22"/>
                <w:szCs w:val="22"/>
              </w:rPr>
              <w:t>（1）标的：</w:t>
            </w:r>
            <w:r>
              <w:rPr>
                <w:rFonts w:hint="eastAsia" w:ascii="宋体" w:eastAsia="宋体"/>
                <w:color w:val="auto"/>
                <w:sz w:val="22"/>
                <w:szCs w:val="22"/>
                <w:u w:val="single"/>
                <w:lang w:eastAsia="zh-CN"/>
              </w:rPr>
              <w:t>永嘉县公安局交通警察大队国省道信号灯建设</w:t>
            </w:r>
            <w:r>
              <w:rPr>
                <w:rFonts w:hint="eastAsia" w:ascii="宋体" w:eastAsia="宋体"/>
                <w:color w:val="auto"/>
                <w:sz w:val="22"/>
                <w:szCs w:val="22"/>
              </w:rPr>
              <w:t>，属于</w:t>
            </w:r>
            <w:r>
              <w:rPr>
                <w:rFonts w:hint="eastAsia" w:ascii="宋体" w:eastAsia="宋体"/>
                <w:color w:val="auto"/>
                <w:sz w:val="22"/>
                <w:szCs w:val="22"/>
                <w:u w:val="single"/>
                <w:lang w:val="en-US" w:eastAsia="zh-CN"/>
              </w:rPr>
              <w:t>工</w:t>
            </w:r>
            <w:r>
              <w:rPr>
                <w:rFonts w:hint="eastAsia" w:ascii="宋体" w:eastAsia="宋体"/>
                <w:color w:val="auto"/>
                <w:sz w:val="22"/>
                <w:szCs w:val="22"/>
                <w:u w:val="single"/>
              </w:rPr>
              <w:t>业</w:t>
            </w:r>
            <w:r>
              <w:rPr>
                <w:rFonts w:hint="eastAsia" w:ascii="宋体" w:eastAsia="宋体"/>
                <w:color w:val="auto"/>
                <w:sz w:val="22"/>
                <w:szCs w:val="22"/>
                <w:u w:val="none"/>
                <w:lang w:val="en-US" w:eastAsia="zh-CN"/>
              </w:rPr>
              <w:t>行业</w:t>
            </w:r>
            <w:r>
              <w:rPr>
                <w:rFonts w:hint="eastAsia" w:ascii="宋体" w:eastAsia="宋体"/>
                <w:color w:val="auto"/>
                <w:sz w:val="22"/>
                <w:szCs w:val="22"/>
              </w:rPr>
              <w:t>；</w:t>
            </w:r>
          </w:p>
          <w:p>
            <w:pPr>
              <w:adjustRightInd w:val="0"/>
              <w:rPr>
                <w:rFonts w:ascii="宋体" w:eastAsia="宋体"/>
                <w:b w:val="0"/>
                <w:bCs w:val="0"/>
                <w:color w:val="auto"/>
                <w:spacing w:val="20"/>
                <w:sz w:val="22"/>
                <w:szCs w:val="22"/>
              </w:rPr>
            </w:pPr>
            <w:r>
              <w:rPr>
                <w:rFonts w:hint="eastAsia" w:ascii="宋体" w:eastAsia="宋体"/>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b w:val="0"/>
                <w:color w:val="auto"/>
                <w:sz w:val="22"/>
                <w:szCs w:val="22"/>
              </w:rPr>
            </w:pPr>
            <w:r>
              <w:rPr>
                <w:rFonts w:hint="eastAsia" w:ascii="宋体" w:eastAsia="宋体"/>
                <w:b w:val="0"/>
                <w:color w:val="auto"/>
                <w:sz w:val="22"/>
                <w:szCs w:val="22"/>
              </w:rPr>
              <w:t>踏勘现场</w:t>
            </w:r>
          </w:p>
        </w:tc>
        <w:tc>
          <w:tcPr>
            <w:tcW w:w="7957" w:type="dxa"/>
            <w:vAlign w:val="center"/>
          </w:tcPr>
          <w:p>
            <w:pPr>
              <w:adjustRightInd w:val="0"/>
              <w:rPr>
                <w:rFonts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i/>
                <w:color w:val="auto"/>
                <w:sz w:val="22"/>
                <w:szCs w:val="22"/>
              </w:rPr>
              <w:t>不组织</w:t>
            </w:r>
          </w:p>
          <w:p>
            <w:pPr>
              <w:adjustRightInd w:val="0"/>
              <w:rPr>
                <w:rFonts w:ascii="宋体" w:eastAsia="宋体"/>
                <w:b w:val="0"/>
                <w:i/>
                <w:color w:val="auto"/>
                <w:sz w:val="22"/>
                <w:szCs w:val="22"/>
              </w:rPr>
            </w:pPr>
            <w:r>
              <w:rPr>
                <w:rFonts w:ascii="宋体" w:eastAsia="宋体"/>
                <w:b w:val="0"/>
                <w:color w:val="auto"/>
                <w:sz w:val="22"/>
                <w:szCs w:val="22"/>
              </w:rPr>
              <w:t>□</w:t>
            </w:r>
            <w:r>
              <w:rPr>
                <w:rFonts w:hint="eastAsia" w:ascii="宋体" w:eastAsia="宋体"/>
                <w:b w:val="0"/>
                <w:i/>
                <w:color w:val="auto"/>
                <w:sz w:val="22"/>
                <w:szCs w:val="22"/>
              </w:rPr>
              <w:t>组</w:t>
            </w:r>
            <w:r>
              <w:rPr>
                <w:rFonts w:hint="eastAsia" w:ascii="宋体" w:eastAsia="宋体"/>
                <w:b w:val="0"/>
                <w:color w:val="auto"/>
                <w:sz w:val="22"/>
                <w:szCs w:val="22"/>
              </w:rPr>
              <w:t>织</w:t>
            </w:r>
            <w:r>
              <w:rPr>
                <w:rFonts w:hint="eastAsia" w:ascii="宋体" w:eastAsia="宋体"/>
                <w:b w:val="0"/>
                <w:i/>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b w:val="0"/>
                <w:color w:val="auto"/>
                <w:sz w:val="22"/>
                <w:szCs w:val="22"/>
              </w:rPr>
            </w:pPr>
            <w:r>
              <w:rPr>
                <w:rFonts w:hint="eastAsia" w:ascii="宋体" w:eastAsia="宋体"/>
                <w:b w:val="0"/>
                <w:color w:val="auto"/>
                <w:sz w:val="22"/>
                <w:szCs w:val="22"/>
              </w:rPr>
              <w:t>是否允许递交备选投标方案</w:t>
            </w:r>
          </w:p>
        </w:tc>
        <w:tc>
          <w:tcPr>
            <w:tcW w:w="7957" w:type="dxa"/>
            <w:vAlign w:val="center"/>
          </w:tcPr>
          <w:p>
            <w:pPr>
              <w:adjustRightInd w:val="0"/>
              <w:rPr>
                <w:rFonts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 xml:space="preserve"> </w:t>
            </w:r>
            <w:r>
              <w:rPr>
                <w:rFonts w:hint="eastAsia" w:ascii="宋体" w:eastAsia="宋体"/>
                <w:b w:val="0"/>
                <w:i/>
                <w:color w:val="auto"/>
                <w:sz w:val="22"/>
                <w:szCs w:val="22"/>
              </w:rPr>
              <w:t>不允许</w:t>
            </w:r>
          </w:p>
          <w:p>
            <w:pPr>
              <w:adjustRightInd w:val="0"/>
              <w:rPr>
                <w:rFonts w:ascii="宋体" w:eastAsia="宋体" w:cs="仿宋_GB2312"/>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 </w:t>
            </w:r>
            <w:r>
              <w:rPr>
                <w:rFonts w:hint="eastAsia" w:ascii="宋体" w:eastAsia="宋体"/>
                <w:b w:val="0"/>
                <w:i/>
                <w:color w:val="auto"/>
                <w:sz w:val="22"/>
                <w:szCs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b w:val="0"/>
                <w:color w:val="auto"/>
                <w:sz w:val="22"/>
                <w:szCs w:val="22"/>
              </w:rPr>
            </w:pPr>
            <w:r>
              <w:rPr>
                <w:rFonts w:hint="eastAsia" w:ascii="宋体" w:eastAsia="宋体"/>
                <w:b w:val="0"/>
                <w:color w:val="auto"/>
                <w:sz w:val="22"/>
                <w:szCs w:val="22"/>
              </w:rPr>
              <w:t>投标货币</w:t>
            </w:r>
          </w:p>
        </w:tc>
        <w:tc>
          <w:tcPr>
            <w:tcW w:w="795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b w:val="0"/>
                <w:color w:val="auto"/>
                <w:sz w:val="22"/>
                <w:szCs w:val="22"/>
              </w:rPr>
            </w:pPr>
            <w:r>
              <w:rPr>
                <w:rFonts w:hint="eastAsia" w:ascii="宋体" w:eastAsia="宋体"/>
                <w:b w:val="0"/>
                <w:color w:val="auto"/>
                <w:sz w:val="22"/>
                <w:szCs w:val="22"/>
              </w:rPr>
              <w:t>投标语言</w:t>
            </w:r>
          </w:p>
        </w:tc>
        <w:tc>
          <w:tcPr>
            <w:tcW w:w="795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b w:val="0"/>
                <w:color w:val="auto"/>
                <w:sz w:val="22"/>
                <w:szCs w:val="22"/>
              </w:rPr>
            </w:pPr>
            <w:r>
              <w:rPr>
                <w:rFonts w:hint="eastAsia" w:ascii="宋体" w:eastAsia="宋体" w:cs="Courier New"/>
                <w:color w:val="auto"/>
                <w:sz w:val="22"/>
              </w:rPr>
              <w:t>投标文件的形式</w:t>
            </w:r>
          </w:p>
        </w:tc>
        <w:tc>
          <w:tcPr>
            <w:tcW w:w="7957" w:type="dxa"/>
            <w:vAlign w:val="center"/>
          </w:tcPr>
          <w:p>
            <w:pPr>
              <w:rPr>
                <w:rFonts w:ascii="宋体" w:eastAsia="宋体" w:cs="Courier New"/>
                <w:color w:val="auto"/>
                <w:sz w:val="22"/>
              </w:rPr>
            </w:pPr>
            <w:r>
              <w:rPr>
                <w:rFonts w:hint="eastAsia" w:ascii="宋体" w:eastAsia="宋体" w:cs="Courier New"/>
                <w:color w:val="auto"/>
                <w:sz w:val="22"/>
              </w:rPr>
              <w:t>投标供应商应准备电子投标文件</w:t>
            </w:r>
          </w:p>
          <w:p>
            <w:pPr>
              <w:rPr>
                <w:rFonts w:ascii="宋体" w:eastAsia="宋体"/>
                <w:b w:val="0"/>
                <w:color w:val="auto"/>
                <w:sz w:val="22"/>
                <w:szCs w:val="22"/>
              </w:rPr>
            </w:pPr>
            <w:r>
              <w:rPr>
                <w:rFonts w:hint="eastAsia" w:ascii="宋体" w:eastAsia="宋体" w:cs="Courier New"/>
                <w:color w:val="auto"/>
                <w:sz w:val="22"/>
              </w:rPr>
              <w:t>电子投标文件是指通过“政采云电子交易客户端”完成投标文件编制后生成并加密的数据电文形式的电子加密投标文件</w:t>
            </w:r>
            <w:r>
              <w:rPr>
                <w:rFonts w:hint="eastAsia" w:ascii="宋体" w:eastAsia="宋体" w:cs="Courier New"/>
                <w:color w:val="auto"/>
                <w:sz w:val="22"/>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Courier New"/>
                <w:color w:val="auto"/>
                <w:sz w:val="22"/>
              </w:rPr>
            </w:pPr>
            <w:r>
              <w:rPr>
                <w:rFonts w:hint="eastAsia" w:ascii="宋体" w:eastAsia="宋体" w:cs="Courier New"/>
                <w:color w:val="auto"/>
                <w:sz w:val="22"/>
              </w:rPr>
              <w:t>投标文件的编制</w:t>
            </w:r>
          </w:p>
        </w:tc>
        <w:tc>
          <w:tcPr>
            <w:tcW w:w="7957" w:type="dxa"/>
            <w:vAlign w:val="center"/>
          </w:tcPr>
          <w:p>
            <w:pPr>
              <w:rPr>
                <w:rFonts w:ascii="宋体" w:eastAsia="宋体" w:cs="Courier New"/>
                <w:color w:val="auto"/>
                <w:sz w:val="22"/>
              </w:rPr>
            </w:pPr>
            <w:r>
              <w:rPr>
                <w:rFonts w:hint="eastAsia" w:ascii="宋体" w:eastAsia="宋体" w:cs="Courier New"/>
                <w:color w:val="auto"/>
                <w:sz w:val="22"/>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Courier New"/>
                <w:color w:val="auto"/>
                <w:sz w:val="22"/>
              </w:rPr>
              <w:t>投标文件份数</w:t>
            </w:r>
          </w:p>
        </w:tc>
        <w:tc>
          <w:tcPr>
            <w:tcW w:w="7957" w:type="dxa"/>
            <w:vAlign w:val="center"/>
          </w:tcPr>
          <w:p>
            <w:pPr>
              <w:rPr>
                <w:b w:val="0"/>
                <w:color w:val="auto"/>
              </w:rPr>
            </w:pPr>
            <w:r>
              <w:rPr>
                <w:rFonts w:hint="eastAsia" w:ascii="宋体" w:eastAsia="宋体"/>
                <w:color w:val="auto"/>
                <w:sz w:val="22"/>
                <w:szCs w:val="22"/>
              </w:rPr>
              <w:t>“电子加密投标文件”：在线上传递交，一份。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投标有效期</w:t>
            </w:r>
          </w:p>
        </w:tc>
        <w:tc>
          <w:tcPr>
            <w:tcW w:w="7957" w:type="dxa"/>
            <w:vAlign w:val="center"/>
          </w:tcPr>
          <w:p>
            <w:pPr>
              <w:rPr>
                <w:rFonts w:ascii="宋体" w:eastAsia="宋体" w:cs="Arial"/>
                <w:b w:val="0"/>
                <w:i/>
                <w:color w:val="auto"/>
                <w:sz w:val="22"/>
                <w:szCs w:val="22"/>
              </w:rPr>
            </w:pPr>
            <w:r>
              <w:rPr>
                <w:rFonts w:hint="eastAsia" w:ascii="宋体" w:eastAsia="宋体" w:cs="Arial"/>
                <w:b w:val="0"/>
                <w:i/>
                <w:color w:val="auto"/>
                <w:sz w:val="22"/>
                <w:szCs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Courier New"/>
                <w:color w:val="auto"/>
                <w:sz w:val="22"/>
              </w:rPr>
              <w:t>投标文件的签章</w:t>
            </w:r>
          </w:p>
        </w:tc>
        <w:tc>
          <w:tcPr>
            <w:tcW w:w="7957" w:type="dxa"/>
            <w:vAlign w:val="center"/>
          </w:tcPr>
          <w:p>
            <w:pPr>
              <w:rPr>
                <w:rFonts w:ascii="宋体" w:eastAsia="宋体" w:cs="Arial"/>
                <w:b w:val="0"/>
                <w:color w:val="auto"/>
                <w:sz w:val="22"/>
                <w:szCs w:val="22"/>
              </w:rPr>
            </w:pPr>
            <w:r>
              <w:rPr>
                <w:rFonts w:hint="eastAsia" w:ascii="宋体" w:eastAsia="宋体" w:cs="Courier New"/>
                <w:color w:val="auto"/>
                <w:sz w:val="22"/>
              </w:rPr>
              <w:t>投标文件中所涉及的加盖公章均采用CA电子签章。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投标样品/演示</w:t>
            </w:r>
          </w:p>
        </w:tc>
        <w:tc>
          <w:tcPr>
            <w:tcW w:w="7957" w:type="dxa"/>
            <w:vAlign w:val="center"/>
          </w:tcPr>
          <w:p>
            <w:pPr>
              <w:rPr>
                <w:rFonts w:ascii="宋体" w:eastAsia="宋体"/>
                <w:b w:val="0"/>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不需要</w:t>
            </w:r>
          </w:p>
          <w:p>
            <w:pPr>
              <w:adjustRightInd w:val="0"/>
              <w:rPr>
                <w:color w:val="auto"/>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履约担保</w:t>
            </w:r>
          </w:p>
        </w:tc>
        <w:tc>
          <w:tcPr>
            <w:tcW w:w="7957" w:type="dxa"/>
            <w:vAlign w:val="center"/>
          </w:tcPr>
          <w:p>
            <w:pPr>
              <w:rPr>
                <w:rFonts w:ascii="宋体" w:eastAsia="宋体"/>
                <w:b w:val="0"/>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不需要</w:t>
            </w:r>
          </w:p>
          <w:p>
            <w:pPr>
              <w:adjustRightInd w:val="0"/>
              <w:rPr>
                <w:rFonts w:hint="default" w:ascii="宋体" w:eastAsia="宋体"/>
                <w:b w:val="0"/>
                <w:color w:val="auto"/>
                <w:sz w:val="22"/>
                <w:szCs w:val="22"/>
                <w:highlight w:val="none"/>
                <w:lang w:val="en-US" w:eastAsia="zh-CN"/>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 xml:space="preserve">需要 </w:t>
            </w:r>
            <w:r>
              <w:rPr>
                <w:rFonts w:hint="eastAsia" w:ascii="宋体" w:eastAsia="宋体"/>
                <w:b w:val="0"/>
                <w:color w:val="auto"/>
                <w:sz w:val="22"/>
                <w:szCs w:val="22"/>
                <w:highlight w:val="none"/>
                <w:lang w:val="en-US" w:eastAsia="zh-CN"/>
              </w:rPr>
              <w:t>见招标文件要求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招标文件获取方式</w:t>
            </w:r>
          </w:p>
        </w:tc>
        <w:tc>
          <w:tcPr>
            <w:tcW w:w="7957" w:type="dxa"/>
            <w:vAlign w:val="center"/>
          </w:tcPr>
          <w:p>
            <w:pPr>
              <w:rPr>
                <w:rFonts w:ascii="宋体" w:eastAsia="宋体" w:cs="Arial"/>
                <w:b w:val="0"/>
                <w:color w:val="auto"/>
                <w:sz w:val="22"/>
                <w:szCs w:val="22"/>
              </w:rPr>
            </w:pPr>
            <w:r>
              <w:rPr>
                <w:rFonts w:hint="eastAsia" w:ascii="宋体" w:eastAsia="宋体"/>
                <w:b w:val="0"/>
                <w:color w:val="auto"/>
                <w:sz w:val="22"/>
                <w:szCs w:val="22"/>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标书售价</w:t>
            </w:r>
          </w:p>
        </w:tc>
        <w:tc>
          <w:tcPr>
            <w:tcW w:w="7957" w:type="dxa"/>
            <w:vAlign w:val="center"/>
          </w:tcPr>
          <w:p>
            <w:pPr>
              <w:rPr>
                <w:rFonts w:ascii="宋体" w:eastAsia="宋体"/>
                <w:b w:val="0"/>
                <w:color w:val="auto"/>
                <w:sz w:val="22"/>
                <w:szCs w:val="22"/>
              </w:rPr>
            </w:pPr>
            <w:r>
              <w:rPr>
                <w:rFonts w:hint="eastAsia" w:ascii="宋体" w:eastAsia="宋体"/>
                <w:b w:val="0"/>
                <w:color w:val="auto"/>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投标截止时间</w:t>
            </w:r>
          </w:p>
        </w:tc>
        <w:tc>
          <w:tcPr>
            <w:tcW w:w="7957" w:type="dxa"/>
            <w:vAlign w:val="center"/>
          </w:tcPr>
          <w:p>
            <w:pPr>
              <w:rPr>
                <w:rFonts w:ascii="宋体" w:eastAsia="宋体" w:cs="Arial"/>
                <w:b w:val="0"/>
                <w:color w:val="auto"/>
                <w:sz w:val="22"/>
                <w:szCs w:val="22"/>
              </w:rPr>
            </w:pPr>
            <w:r>
              <w:rPr>
                <w:rFonts w:hint="eastAsia" w:ascii="宋体" w:eastAsia="宋体"/>
                <w:b w:val="0"/>
                <w:color w:val="auto"/>
                <w:sz w:val="22"/>
              </w:rPr>
              <w:t>202</w:t>
            </w:r>
            <w:r>
              <w:rPr>
                <w:rFonts w:hint="eastAsia" w:ascii="宋体" w:eastAsia="宋体"/>
                <w:b w:val="0"/>
                <w:color w:val="auto"/>
                <w:sz w:val="22"/>
                <w:lang w:val="en-US" w:eastAsia="zh-CN"/>
              </w:rPr>
              <w:t>4</w:t>
            </w:r>
            <w:r>
              <w:rPr>
                <w:rFonts w:hint="eastAsia" w:ascii="宋体" w:eastAsia="宋体"/>
                <w:b w:val="0"/>
                <w:color w:val="auto"/>
                <w:sz w:val="22"/>
              </w:rPr>
              <w:t>年</w:t>
            </w:r>
            <w:r>
              <w:rPr>
                <w:rFonts w:hint="eastAsia" w:ascii="宋体" w:eastAsia="宋体"/>
                <w:b w:val="0"/>
                <w:color w:val="auto"/>
                <w:sz w:val="22"/>
                <w:lang w:val="en-US" w:eastAsia="zh-CN"/>
              </w:rPr>
              <w:t>08月13日</w:t>
            </w:r>
            <w:r>
              <w:rPr>
                <w:rFonts w:hint="eastAsia" w:ascii="宋体" w:eastAsia="宋体"/>
                <w:b w:val="0"/>
                <w:i/>
                <w:color w:val="auto"/>
                <w:sz w:val="22"/>
                <w:szCs w:val="22"/>
              </w:rPr>
              <w:t>09:</w:t>
            </w:r>
            <w:r>
              <w:rPr>
                <w:rFonts w:ascii="宋体" w:eastAsia="宋体"/>
                <w:b w:val="0"/>
                <w:i/>
                <w:color w:val="auto"/>
                <w:sz w:val="22"/>
                <w:szCs w:val="22"/>
              </w:rPr>
              <w:t>3</w:t>
            </w:r>
            <w:r>
              <w:rPr>
                <w:rFonts w:hint="eastAsia" w:ascii="宋体" w:eastAsia="宋体"/>
                <w:b w:val="0"/>
                <w:i/>
                <w:color w:val="auto"/>
                <w:sz w:val="22"/>
                <w:szCs w:val="22"/>
              </w:rPr>
              <w:t>0 截</w:t>
            </w:r>
            <w:r>
              <w:rPr>
                <w:rFonts w:hint="eastAsia" w:ascii="宋体" w:eastAsia="宋体" w:cs="Arial"/>
                <w:b w:val="0"/>
                <w:color w:val="auto"/>
                <w:sz w:val="22"/>
                <w:szCs w:val="22"/>
              </w:rPr>
              <w:t>止</w:t>
            </w:r>
            <w:r>
              <w:rPr>
                <w:rFonts w:ascii="宋体" w:eastAsia="宋体" w:cs="Arial"/>
                <w:b w:val="0"/>
                <w:color w:val="auto"/>
                <w:sz w:val="22"/>
                <w:szCs w:val="22"/>
              </w:rPr>
              <w:t>(</w:t>
            </w:r>
            <w:r>
              <w:rPr>
                <w:rFonts w:hint="eastAsia" w:ascii="宋体" w:eastAsia="宋体" w:cs="Arial"/>
                <w:b w:val="0"/>
                <w:color w:val="auto"/>
                <w:sz w:val="22"/>
                <w:szCs w:val="22"/>
              </w:rPr>
              <w:t>北京时间</w:t>
            </w:r>
            <w:r>
              <w:rPr>
                <w:rFonts w:ascii="宋体" w:eastAsia="宋体" w:cs="Arial"/>
                <w:b w:val="0"/>
                <w:color w:val="auto"/>
                <w:sz w:val="22"/>
                <w:szCs w:val="22"/>
              </w:rPr>
              <w:t>)</w:t>
            </w:r>
            <w:r>
              <w:rPr>
                <w:rFonts w:hint="eastAsia" w:ascii="宋体" w:eastAsia="宋体" w:cs="Arial"/>
                <w:b w:val="0"/>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b w:val="0"/>
                <w:color w:val="auto"/>
                <w:sz w:val="22"/>
                <w:szCs w:val="22"/>
              </w:rPr>
              <w:t>投标文件递交时间及地点</w:t>
            </w:r>
          </w:p>
        </w:tc>
        <w:tc>
          <w:tcPr>
            <w:tcW w:w="7957" w:type="dxa"/>
            <w:vAlign w:val="center"/>
          </w:tcPr>
          <w:p>
            <w:pPr>
              <w:rPr>
                <w:rFonts w:ascii="宋体" w:eastAsia="宋体" w:cs="Arial"/>
                <w:b w:val="0"/>
                <w:color w:val="auto"/>
                <w:sz w:val="22"/>
                <w:szCs w:val="22"/>
              </w:rPr>
            </w:pPr>
            <w:r>
              <w:rPr>
                <w:rFonts w:hint="eastAsia" w:ascii="宋体" w:eastAsia="宋体"/>
                <w:color w:val="auto"/>
                <w:sz w:val="22"/>
              </w:rPr>
              <w:t>本项目采用在线投标方式，投标供应商无须前往投标现场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开标时间</w:t>
            </w:r>
          </w:p>
          <w:p>
            <w:pPr>
              <w:jc w:val="center"/>
              <w:rPr>
                <w:rFonts w:ascii="宋体" w:eastAsia="宋体" w:cs="Arial"/>
                <w:b w:val="0"/>
                <w:color w:val="auto"/>
                <w:sz w:val="22"/>
                <w:szCs w:val="22"/>
              </w:rPr>
            </w:pPr>
            <w:r>
              <w:rPr>
                <w:rFonts w:hint="eastAsia" w:ascii="宋体" w:eastAsia="宋体" w:cs="Arial"/>
                <w:b w:val="0"/>
                <w:color w:val="auto"/>
                <w:sz w:val="22"/>
                <w:szCs w:val="22"/>
              </w:rPr>
              <w:t>开标地点</w:t>
            </w:r>
          </w:p>
        </w:tc>
        <w:tc>
          <w:tcPr>
            <w:tcW w:w="7957" w:type="dxa"/>
            <w:vAlign w:val="center"/>
          </w:tcPr>
          <w:p>
            <w:pPr>
              <w:rPr>
                <w:rFonts w:ascii="宋体" w:eastAsia="宋体"/>
                <w:bCs w:val="0"/>
                <w:color w:val="auto"/>
                <w:sz w:val="22"/>
                <w:szCs w:val="22"/>
              </w:rPr>
            </w:pPr>
            <w:r>
              <w:rPr>
                <w:rFonts w:hint="eastAsia" w:ascii="宋体" w:eastAsia="宋体" w:cs="Arial"/>
                <w:bCs w:val="0"/>
                <w:color w:val="auto"/>
                <w:sz w:val="22"/>
                <w:szCs w:val="22"/>
              </w:rPr>
              <w:t>开标时间：</w:t>
            </w:r>
            <w:r>
              <w:rPr>
                <w:rFonts w:hint="eastAsia" w:ascii="宋体" w:eastAsia="宋体"/>
                <w:bCs w:val="0"/>
                <w:i/>
                <w:color w:val="auto"/>
                <w:sz w:val="22"/>
                <w:szCs w:val="22"/>
              </w:rPr>
              <w:t>202</w:t>
            </w:r>
            <w:r>
              <w:rPr>
                <w:rFonts w:hint="eastAsia" w:ascii="宋体" w:eastAsia="宋体"/>
                <w:bCs w:val="0"/>
                <w:i/>
                <w:color w:val="auto"/>
                <w:sz w:val="22"/>
                <w:szCs w:val="22"/>
                <w:lang w:val="en-US" w:eastAsia="zh-CN"/>
              </w:rPr>
              <w:t>4</w:t>
            </w:r>
            <w:r>
              <w:rPr>
                <w:rFonts w:hint="eastAsia" w:ascii="宋体" w:eastAsia="宋体"/>
                <w:bCs w:val="0"/>
                <w:i/>
                <w:color w:val="auto"/>
                <w:sz w:val="22"/>
                <w:szCs w:val="22"/>
              </w:rPr>
              <w:t>年</w:t>
            </w:r>
            <w:r>
              <w:rPr>
                <w:rFonts w:hint="eastAsia" w:ascii="宋体" w:eastAsia="宋体"/>
                <w:bCs w:val="0"/>
                <w:i/>
                <w:color w:val="auto"/>
                <w:sz w:val="22"/>
                <w:szCs w:val="22"/>
                <w:lang w:val="en-US" w:eastAsia="zh-CN"/>
              </w:rPr>
              <w:t>08月13日</w:t>
            </w:r>
            <w:r>
              <w:rPr>
                <w:rFonts w:hint="eastAsia" w:ascii="宋体" w:eastAsia="宋体"/>
                <w:bCs w:val="0"/>
                <w:i/>
                <w:color w:val="auto"/>
                <w:sz w:val="22"/>
                <w:szCs w:val="22"/>
              </w:rPr>
              <w:t>09:</w:t>
            </w:r>
            <w:r>
              <w:rPr>
                <w:rFonts w:ascii="宋体" w:eastAsia="宋体"/>
                <w:bCs w:val="0"/>
                <w:i/>
                <w:color w:val="auto"/>
                <w:sz w:val="22"/>
                <w:szCs w:val="22"/>
              </w:rPr>
              <w:t>3</w:t>
            </w:r>
            <w:r>
              <w:rPr>
                <w:rFonts w:hint="eastAsia" w:ascii="宋体" w:eastAsia="宋体"/>
                <w:bCs w:val="0"/>
                <w:i/>
                <w:color w:val="auto"/>
                <w:sz w:val="22"/>
                <w:szCs w:val="22"/>
              </w:rPr>
              <w:t xml:space="preserve">0 </w:t>
            </w:r>
            <w:r>
              <w:rPr>
                <w:rFonts w:hint="eastAsia" w:ascii="宋体" w:eastAsia="宋体" w:cs="Arial"/>
                <w:bCs w:val="0"/>
                <w:i/>
                <w:color w:val="auto"/>
                <w:sz w:val="22"/>
                <w:szCs w:val="22"/>
              </w:rPr>
              <w:t>正</w:t>
            </w:r>
            <w:r>
              <w:rPr>
                <w:rFonts w:ascii="宋体" w:eastAsia="宋体" w:cs="Arial"/>
                <w:bCs w:val="0"/>
                <w:i/>
                <w:color w:val="auto"/>
                <w:sz w:val="22"/>
                <w:szCs w:val="22"/>
              </w:rPr>
              <w:t xml:space="preserve"> </w:t>
            </w:r>
            <w:r>
              <w:rPr>
                <w:rFonts w:ascii="宋体" w:eastAsia="宋体" w:cs="Arial"/>
                <w:bCs w:val="0"/>
                <w:color w:val="auto"/>
                <w:sz w:val="22"/>
                <w:szCs w:val="22"/>
              </w:rPr>
              <w:t>(</w:t>
            </w:r>
            <w:r>
              <w:rPr>
                <w:rFonts w:hint="eastAsia" w:ascii="宋体" w:eastAsia="宋体" w:cs="Arial"/>
                <w:bCs w:val="0"/>
                <w:color w:val="auto"/>
                <w:sz w:val="22"/>
                <w:szCs w:val="22"/>
              </w:rPr>
              <w:t>北</w:t>
            </w:r>
            <w:r>
              <w:rPr>
                <w:rFonts w:hint="eastAsia" w:ascii="宋体" w:eastAsia="宋体"/>
                <w:bCs w:val="0"/>
                <w:color w:val="auto"/>
                <w:sz w:val="22"/>
                <w:szCs w:val="22"/>
              </w:rPr>
              <w:t>京时间)</w:t>
            </w:r>
          </w:p>
          <w:p>
            <w:pPr>
              <w:rPr>
                <w:rFonts w:ascii="宋体" w:eastAsia="宋体"/>
                <w:b w:val="0"/>
                <w:color w:val="auto"/>
                <w:sz w:val="22"/>
                <w:szCs w:val="22"/>
              </w:rPr>
            </w:pPr>
            <w:r>
              <w:rPr>
                <w:rFonts w:hint="eastAsia" w:ascii="宋体" w:eastAsia="宋体"/>
                <w:bCs w:val="0"/>
                <w:color w:val="auto"/>
                <w:sz w:val="22"/>
                <w:szCs w:val="22"/>
              </w:rPr>
              <w:t xml:space="preserve">开标地点：政采云平台（https://www.zcygov.cn/）   </w:t>
            </w:r>
            <w:r>
              <w:rPr>
                <w:rFonts w:ascii="宋体" w:eastAsia="宋体"/>
                <w:bCs w:val="0"/>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Courier New"/>
                <w:color w:val="auto"/>
                <w:sz w:val="22"/>
              </w:rPr>
              <w:t>投标文件上传和递交</w:t>
            </w:r>
          </w:p>
        </w:tc>
        <w:tc>
          <w:tcPr>
            <w:tcW w:w="7957" w:type="dxa"/>
            <w:vAlign w:val="center"/>
          </w:tcPr>
          <w:p>
            <w:pPr>
              <w:rPr>
                <w:rFonts w:ascii="宋体" w:eastAsia="宋体" w:cs="Courier New"/>
                <w:color w:val="auto"/>
                <w:sz w:val="22"/>
              </w:rPr>
            </w:pPr>
            <w:r>
              <w:rPr>
                <w:rFonts w:hint="eastAsia" w:ascii="宋体" w:eastAsia="宋体" w:cs="Courier New"/>
                <w:color w:val="auto"/>
                <w:sz w:val="22"/>
              </w:rPr>
              <w:t>本项目通过“政府采购云平台（</w:t>
            </w:r>
            <w:r>
              <w:fldChar w:fldCharType="begin"/>
            </w:r>
            <w:r>
              <w:instrText xml:space="preserve"> HYPERLINK "http://www.zcygov" </w:instrText>
            </w:r>
            <w:r>
              <w:fldChar w:fldCharType="separate"/>
            </w:r>
            <w:r>
              <w:rPr>
                <w:rStyle w:val="57"/>
                <w:rFonts w:ascii="宋体" w:eastAsia="宋体" w:cs="Courier New"/>
                <w:color w:val="auto"/>
                <w:sz w:val="22"/>
              </w:rPr>
              <w:t>www.zcygov</w:t>
            </w:r>
            <w:r>
              <w:rPr>
                <w:rStyle w:val="57"/>
                <w:rFonts w:ascii="宋体" w:eastAsia="宋体" w:cs="Courier New"/>
                <w:color w:val="auto"/>
                <w:sz w:val="22"/>
              </w:rPr>
              <w:fldChar w:fldCharType="end"/>
            </w:r>
            <w:r>
              <w:rPr>
                <w:rFonts w:ascii="宋体" w:eastAsia="宋体" w:cs="Courier New"/>
                <w:color w:val="auto"/>
                <w:sz w:val="22"/>
              </w:rPr>
              <w:t>.cn）”实行在线投标响应（电子投标），投标供应商应当在投标截止时间前，将生成的“电子加密投标文件”上传递交至“政府采购云平台”。</w:t>
            </w:r>
          </w:p>
          <w:p>
            <w:pPr>
              <w:rPr>
                <w:rFonts w:ascii="宋体" w:eastAsia="宋体" w:cs="Courier New"/>
                <w:color w:val="auto"/>
                <w:sz w:val="22"/>
                <w:lang w:bidi="ar"/>
              </w:rPr>
            </w:pPr>
            <w:r>
              <w:rPr>
                <w:rFonts w:hint="eastAsia" w:ascii="宋体" w:eastAsia="宋体" w:cs="Courier New"/>
                <w:color w:val="auto"/>
                <w:sz w:val="22"/>
                <w:lang w:bidi="ar"/>
              </w:rPr>
              <w:t>“电子加密投标文件”的上传、递交：</w:t>
            </w:r>
          </w:p>
          <w:p>
            <w:pPr>
              <w:rPr>
                <w:rFonts w:ascii="宋体" w:eastAsia="宋体" w:cs="Courier New"/>
                <w:color w:val="auto"/>
                <w:sz w:val="22"/>
                <w:lang w:bidi="ar"/>
              </w:rPr>
            </w:pPr>
            <w:r>
              <w:rPr>
                <w:rFonts w:hint="eastAsia" w:ascii="宋体" w:eastAsia="宋体" w:cs="Courier New"/>
                <w:color w:val="auto"/>
                <w:sz w:val="22"/>
                <w:lang w:bidi="ar"/>
              </w:rPr>
              <w:t>a.投标供应商应在投标截止时间前将“电子加密投标文件”成功上传递交至“政府采购云平台”，否则投标无效。</w:t>
            </w:r>
          </w:p>
          <w:p>
            <w:pPr>
              <w:rPr>
                <w:rFonts w:ascii="宋体" w:eastAsia="宋体"/>
                <w:b w:val="0"/>
                <w:color w:val="auto"/>
                <w:sz w:val="22"/>
                <w:szCs w:val="22"/>
              </w:rPr>
            </w:pPr>
            <w:r>
              <w:rPr>
                <w:rFonts w:hint="eastAsia" w:ascii="宋体" w:eastAsia="宋体" w:cs="Courier New"/>
                <w:color w:val="auto"/>
                <w:sz w:val="22"/>
                <w:lang w:bidi="ar"/>
              </w:rPr>
              <w:t>b.“电子加密投标文件”成功上传递交后，供应商可自行打印投标文件接收回执。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Courier New"/>
                <w:color w:val="auto"/>
                <w:sz w:val="22"/>
              </w:rPr>
            </w:pPr>
            <w:r>
              <w:rPr>
                <w:rFonts w:hint="eastAsia" w:ascii="宋体" w:eastAsia="宋体"/>
                <w:color w:val="auto"/>
                <w:sz w:val="22"/>
                <w:szCs w:val="22"/>
              </w:rPr>
              <w:t>备份投标文件送达地点和签收</w:t>
            </w:r>
            <w:r>
              <w:rPr>
                <w:rFonts w:hint="eastAsia" w:ascii="宋体" w:eastAsia="宋体" w:cs="Courier New"/>
                <w:color w:val="auto"/>
                <w:sz w:val="22"/>
              </w:rPr>
              <w:t xml:space="preserve">人员 </w:t>
            </w:r>
          </w:p>
        </w:tc>
        <w:tc>
          <w:tcPr>
            <w:tcW w:w="7957" w:type="dxa"/>
            <w:vAlign w:val="center"/>
          </w:tcPr>
          <w:p>
            <w:pPr>
              <w:rPr>
                <w:rFonts w:ascii="宋体" w:eastAsia="宋体"/>
                <w:color w:val="auto"/>
                <w:sz w:val="22"/>
                <w:szCs w:val="22"/>
              </w:rPr>
            </w:pPr>
            <w:r>
              <w:rPr>
                <w:rFonts w:hint="eastAsia" w:ascii="宋体" w:eastAsia="宋体"/>
                <w:color w:val="auto"/>
                <w:kern w:val="28"/>
                <w:sz w:val="22"/>
                <w:szCs w:val="22"/>
              </w:rPr>
              <w:t>备份投标文件送达地点：</w:t>
            </w:r>
            <w:r>
              <w:rPr>
                <w:rFonts w:hint="eastAsia" w:ascii="宋体" w:eastAsia="宋体" w:cs="Courier New"/>
                <w:color w:val="auto"/>
                <w:sz w:val="22"/>
                <w:lang w:bidi="ar"/>
              </w:rPr>
              <w:t>温州市永嘉县南城街道环城北路618号云碓大厦503室；</w:t>
            </w:r>
            <w:r>
              <w:rPr>
                <w:rFonts w:hint="eastAsia" w:ascii="宋体" w:eastAsia="宋体"/>
                <w:color w:val="auto"/>
                <w:kern w:val="28"/>
                <w:sz w:val="22"/>
                <w:szCs w:val="22"/>
              </w:rPr>
              <w:t>备份投标文件签收人员及联系电话：</w:t>
            </w:r>
            <w:r>
              <w:rPr>
                <w:rFonts w:hint="eastAsia" w:ascii="宋体" w:eastAsia="宋体"/>
                <w:color w:val="auto"/>
                <w:sz w:val="22"/>
                <w:szCs w:val="22"/>
                <w:u w:val="single"/>
              </w:rPr>
              <w:t>黄曼曼 15858728890</w:t>
            </w:r>
            <w:r>
              <w:rPr>
                <w:rFonts w:hint="eastAsia" w:ascii="宋体" w:eastAsia="宋体"/>
                <w:color w:val="auto"/>
                <w:sz w:val="22"/>
                <w:szCs w:val="22"/>
              </w:rPr>
              <w:t>。</w:t>
            </w:r>
          </w:p>
          <w:p>
            <w:pPr>
              <w:rPr>
                <w:rFonts w:ascii="宋体" w:eastAsia="宋体"/>
                <w:color w:val="auto"/>
                <w:kern w:val="28"/>
                <w:sz w:val="22"/>
                <w:szCs w:val="22"/>
              </w:rPr>
            </w:pPr>
            <w:r>
              <w:rPr>
                <w:rFonts w:hint="eastAsia" w:ascii="宋体" w:eastAsia="宋体"/>
                <w:color w:val="auto"/>
                <w:sz w:val="22"/>
                <w:szCs w:val="22"/>
              </w:rPr>
              <w:t>采购人、采购机构不强制或变相强制投标人提交备份投标文件。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rPr>
                <w:rFonts w:ascii="宋体" w:eastAsia="宋体" w:cs="Courier New"/>
                <w:b w:val="0"/>
                <w:color w:val="auto"/>
                <w:sz w:val="22"/>
              </w:rPr>
            </w:pPr>
            <w:r>
              <w:rPr>
                <w:rFonts w:hint="eastAsia" w:ascii="宋体" w:eastAsia="宋体" w:cs="Courier New"/>
                <w:b w:val="0"/>
                <w:color w:val="auto"/>
                <w:sz w:val="22"/>
                <w:lang w:bidi="ar"/>
              </w:rPr>
              <w:t>电子加密投标文件的解密和异常情况处理</w:t>
            </w:r>
          </w:p>
        </w:tc>
        <w:tc>
          <w:tcPr>
            <w:tcW w:w="7957" w:type="dxa"/>
            <w:vAlign w:val="center"/>
          </w:tcPr>
          <w:p>
            <w:pPr>
              <w:rPr>
                <w:rFonts w:ascii="宋体" w:eastAsia="宋体" w:cs="Courier New"/>
                <w:color w:val="auto"/>
                <w:sz w:val="22"/>
                <w:lang w:bidi="ar"/>
              </w:rPr>
            </w:pPr>
            <w:r>
              <w:rPr>
                <w:rFonts w:hint="eastAsia" w:ascii="宋体" w:eastAsia="宋体" w:cs="Courier New"/>
                <w:color w:val="auto"/>
                <w:sz w:val="22"/>
                <w:lang w:bidi="ar"/>
              </w:rPr>
              <w:t>1、开标后，采购组织机构将向各投标供应商发出“电子加密投标文件”的解密通知，各投标供应商代表应当在接到解密通知后30分钟内自行完成“电子加密投标文件”的在线解密。</w:t>
            </w:r>
          </w:p>
          <w:p>
            <w:pPr>
              <w:rPr>
                <w:rFonts w:ascii="宋体" w:eastAsia="宋体" w:cs="Courier New"/>
                <w:color w:val="auto"/>
                <w:sz w:val="22"/>
                <w:lang w:bidi="ar"/>
              </w:rPr>
            </w:pPr>
            <w:r>
              <w:rPr>
                <w:rFonts w:hint="eastAsia" w:ascii="宋体" w:eastAsia="宋体" w:cs="Courier New"/>
                <w:color w:val="auto"/>
                <w:sz w:val="22"/>
                <w:lang w:bidi="ar"/>
              </w:rPr>
              <w:t>2、投标文件未按时解密，投标人提供了备份投标文件的，以备份投标文件作为依据，否则视为投标文件撤回。投标文件已按时解密的，备份投标文件自动失效。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评审委员会的</w:t>
            </w:r>
          </w:p>
          <w:p>
            <w:pPr>
              <w:jc w:val="center"/>
              <w:rPr>
                <w:rFonts w:ascii="宋体" w:eastAsia="宋体" w:cs="Arial"/>
                <w:b w:val="0"/>
                <w:color w:val="auto"/>
                <w:sz w:val="22"/>
                <w:szCs w:val="22"/>
              </w:rPr>
            </w:pPr>
            <w:r>
              <w:rPr>
                <w:rFonts w:hint="eastAsia" w:ascii="宋体" w:eastAsia="宋体" w:cs="Arial"/>
                <w:b w:val="0"/>
                <w:color w:val="auto"/>
                <w:sz w:val="22"/>
                <w:szCs w:val="22"/>
              </w:rPr>
              <w:t>组建</w:t>
            </w:r>
          </w:p>
        </w:tc>
        <w:tc>
          <w:tcPr>
            <w:tcW w:w="7957" w:type="dxa"/>
            <w:vAlign w:val="center"/>
          </w:tcPr>
          <w:p>
            <w:pPr>
              <w:rPr>
                <w:rFonts w:ascii="宋体" w:eastAsia="宋体" w:cs="Arial"/>
                <w:b w:val="0"/>
                <w:color w:val="auto"/>
                <w:sz w:val="22"/>
                <w:szCs w:val="22"/>
              </w:rPr>
            </w:pPr>
            <w:r>
              <w:rPr>
                <w:rFonts w:hint="eastAsia" w:ascii="宋体" w:eastAsia="宋体" w:cs="Arial"/>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b w:val="0"/>
                <w:color w:val="auto"/>
                <w:sz w:val="22"/>
                <w:szCs w:val="22"/>
              </w:rPr>
            </w:pPr>
            <w:r>
              <w:rPr>
                <w:rFonts w:ascii="宋体" w:eastAsia="宋体"/>
                <w:b w:val="0"/>
                <w:color w:val="auto"/>
                <w:sz w:val="22"/>
                <w:szCs w:val="22"/>
              </w:rPr>
              <w:t>政府采购</w:t>
            </w:r>
            <w:r>
              <w:rPr>
                <w:rFonts w:hint="eastAsia" w:ascii="宋体" w:eastAsia="宋体"/>
                <w:b w:val="0"/>
                <w:color w:val="auto"/>
                <w:sz w:val="22"/>
                <w:szCs w:val="22"/>
              </w:rPr>
              <w:t>扶持</w:t>
            </w:r>
            <w:r>
              <w:rPr>
                <w:rFonts w:ascii="宋体" w:eastAsia="宋体"/>
                <w:b w:val="0"/>
                <w:color w:val="auto"/>
                <w:sz w:val="22"/>
                <w:szCs w:val="22"/>
              </w:rPr>
              <w:t>政策</w:t>
            </w:r>
          </w:p>
        </w:tc>
        <w:tc>
          <w:tcPr>
            <w:tcW w:w="7957" w:type="dxa"/>
            <w:vAlign w:val="center"/>
          </w:tcPr>
          <w:p>
            <w:pPr>
              <w:rPr>
                <w:rFonts w:hint="eastAsia" w:ascii="宋体" w:eastAsia="宋体"/>
                <w:b w:val="0"/>
                <w:color w:val="auto"/>
                <w:sz w:val="22"/>
                <w:szCs w:val="22"/>
              </w:rPr>
            </w:pPr>
            <w:r>
              <w:rPr>
                <w:rFonts w:hint="eastAsia" w:ascii="宋体" w:eastAsia="宋体"/>
                <w:b w:val="0"/>
                <w:color w:val="auto"/>
                <w:sz w:val="22"/>
                <w:szCs w:val="22"/>
              </w:rPr>
              <w:t>1.本项目对符合财政扶持政策的中小企业（小型、微型）、监狱企业、残疾人福利性单位给予价格优惠扶持，价格优惠扶持见《评分办法》。</w:t>
            </w:r>
          </w:p>
          <w:p>
            <w:pPr>
              <w:rPr>
                <w:rFonts w:hint="eastAsia" w:ascii="宋体" w:eastAsia="宋体"/>
                <w:b w:val="0"/>
                <w:color w:val="auto"/>
                <w:sz w:val="22"/>
                <w:szCs w:val="22"/>
              </w:rPr>
            </w:pPr>
            <w:r>
              <w:rPr>
                <w:rFonts w:hint="eastAsia" w:ascii="宋体" w:eastAsia="宋体"/>
                <w:b w:val="0"/>
                <w:color w:val="auto"/>
                <w:sz w:val="22"/>
                <w:szCs w:val="22"/>
              </w:rPr>
              <w:t>2.满足财政部 工业和信息化部关于印发《政府采购促进中小企业发展管理办法》的通知（财库〔2020〕46号）的规定的中小企业可享受优惠扶持。</w:t>
            </w:r>
          </w:p>
          <w:p>
            <w:pPr>
              <w:rPr>
                <w:rFonts w:hint="eastAsia" w:ascii="宋体" w:eastAsia="宋体"/>
                <w:b w:val="0"/>
                <w:color w:val="auto"/>
                <w:sz w:val="22"/>
                <w:szCs w:val="22"/>
              </w:rPr>
            </w:pPr>
            <w:r>
              <w:rPr>
                <w:rFonts w:hint="eastAsia" w:ascii="宋体" w:eastAsia="宋体"/>
                <w:b w:val="0"/>
                <w:color w:val="auto"/>
                <w:sz w:val="22"/>
                <w:szCs w:val="22"/>
              </w:rPr>
              <w:t>3.满足关于政府采购支持监狱企业发展有关问题的通知（财库[2014]68号）的规定的供应商可享受优惠扶持。</w:t>
            </w:r>
          </w:p>
          <w:p>
            <w:pPr>
              <w:rPr>
                <w:rFonts w:hint="eastAsia" w:ascii="宋体" w:eastAsia="宋体"/>
                <w:b w:val="0"/>
                <w:color w:val="auto"/>
                <w:sz w:val="22"/>
                <w:szCs w:val="22"/>
              </w:rPr>
            </w:pPr>
            <w:r>
              <w:rPr>
                <w:rFonts w:hint="eastAsia" w:ascii="宋体" w:eastAsia="宋体"/>
                <w:b w:val="0"/>
                <w:color w:val="auto"/>
                <w:sz w:val="22"/>
                <w:szCs w:val="22"/>
              </w:rPr>
              <w:t>4.满足关于促进残疾人就业政府采购政策的通知（财库[2017]141号）的规定的供应商可享受优惠扶持。</w:t>
            </w:r>
          </w:p>
          <w:p>
            <w:pPr>
              <w:rPr>
                <w:rFonts w:hint="eastAsia" w:ascii="宋体" w:eastAsia="宋体"/>
                <w:b w:val="0"/>
                <w:color w:val="auto"/>
                <w:sz w:val="22"/>
                <w:szCs w:val="22"/>
              </w:rPr>
            </w:pPr>
            <w:r>
              <w:rPr>
                <w:rFonts w:hint="eastAsia" w:ascii="宋体" w:eastAsia="宋体"/>
                <w:b w:val="0"/>
                <w:color w:val="auto"/>
                <w:sz w:val="22"/>
                <w:szCs w:val="22"/>
              </w:rPr>
              <w:t>5. 为支持和促进中小企业发展，进一步发挥政府采购政策功能，“政采云”平台目前提供政采贷、履约保函、预付款保函等金融服务，供应商若有融资意向，可登陆https://jinrong.zcygov.cn/finance-service/#/help查看详情。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p>
            <w:pPr>
              <w:rPr>
                <w:rFonts w:hint="eastAsia" w:ascii="宋体" w:eastAsia="宋体"/>
                <w:b w:val="0"/>
                <w:color w:val="auto"/>
                <w:sz w:val="22"/>
                <w:szCs w:val="22"/>
              </w:rPr>
            </w:pPr>
            <w:r>
              <w:rPr>
                <w:rFonts w:hint="eastAsia" w:ascii="宋体" w:eastAsia="宋体"/>
                <w:b w:val="0"/>
                <w:color w:val="auto"/>
                <w:sz w:val="22"/>
                <w:szCs w:val="22"/>
              </w:rPr>
              <w:t>6.对节能、环保产品优先采购。</w:t>
            </w:r>
          </w:p>
          <w:p>
            <w:pPr>
              <w:rPr>
                <w:rFonts w:ascii="宋体" w:eastAsia="宋体"/>
                <w:b w:val="0"/>
                <w:color w:val="auto"/>
                <w:sz w:val="22"/>
                <w:szCs w:val="22"/>
              </w:rPr>
            </w:pPr>
            <w:r>
              <w:rPr>
                <w:rFonts w:hint="eastAsia" w:ascii="宋体" w:eastAsia="宋体"/>
                <w:b w:val="0"/>
                <w:color w:val="auto"/>
                <w:sz w:val="22"/>
                <w:szCs w:val="22"/>
                <w:lang w:val="en-US" w:eastAsia="zh-CN"/>
              </w:rPr>
              <w:t>具体</w:t>
            </w:r>
            <w:r>
              <w:rPr>
                <w:rFonts w:hint="eastAsia" w:ascii="宋体" w:eastAsia="宋体"/>
                <w:b w:val="0"/>
                <w:color w:val="auto"/>
                <w:sz w:val="22"/>
                <w:szCs w:val="22"/>
              </w:rPr>
              <w:t>详见第四部分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b w:val="0"/>
                <w:color w:val="auto"/>
                <w:sz w:val="22"/>
                <w:szCs w:val="22"/>
              </w:rPr>
            </w:pPr>
            <w:r>
              <w:rPr>
                <w:rFonts w:hint="eastAsia" w:ascii="宋体" w:eastAsia="宋体"/>
                <w:b w:val="0"/>
                <w:bCs w:val="0"/>
                <w:color w:val="auto"/>
                <w:sz w:val="22"/>
                <w:szCs w:val="22"/>
              </w:rPr>
              <w:t>政采金融服务</w:t>
            </w:r>
          </w:p>
        </w:tc>
        <w:tc>
          <w:tcPr>
            <w:tcW w:w="7957" w:type="dxa"/>
            <w:vAlign w:val="center"/>
          </w:tcPr>
          <w:p>
            <w:pPr>
              <w:rPr>
                <w:rFonts w:ascii="宋体" w:eastAsia="宋体" w:cs="Arial"/>
                <w:b w:val="0"/>
                <w:bCs w:val="0"/>
                <w:color w:val="auto"/>
                <w:sz w:val="22"/>
                <w:szCs w:val="22"/>
              </w:rPr>
            </w:pPr>
            <w:r>
              <w:rPr>
                <w:rFonts w:hint="eastAsia" w:ascii="宋体" w:eastAsia="宋体" w:cs="Arial"/>
                <w:b w:val="0"/>
                <w:bCs w:val="0"/>
                <w:color w:val="auto"/>
                <w:sz w:val="22"/>
                <w:szCs w:val="22"/>
              </w:rPr>
              <w:t>为支持和促进中小企业发展，进一步发挥政府采购政策功能，“政采云”平台目前提供政采贷、履约保函、预付款保函等金融服务，供应商若有融资意向，可登陆https://jinrong.zcygov.cn/finance-service/#/help查看详情。</w:t>
            </w:r>
          </w:p>
          <w:p>
            <w:pPr>
              <w:rPr>
                <w:rFonts w:ascii="宋体" w:eastAsia="宋体"/>
                <w:b w:val="0"/>
                <w:color w:val="auto"/>
                <w:sz w:val="22"/>
                <w:szCs w:val="22"/>
              </w:rPr>
            </w:pPr>
            <w:r>
              <w:rPr>
                <w:rFonts w:hint="eastAsia" w:ascii="宋体" w:eastAsia="宋体" w:cs="Arial"/>
                <w:b w:val="0"/>
                <w:bCs w:val="0"/>
                <w:color w:val="auto"/>
                <w:sz w:val="22"/>
                <w:szCs w:val="22"/>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rPr>
                <w:rFonts w:ascii="宋体" w:eastAsia="宋体" w:cs="Arial"/>
                <w:b w:val="0"/>
                <w:color w:val="auto"/>
                <w:sz w:val="22"/>
                <w:szCs w:val="22"/>
              </w:rPr>
            </w:pPr>
            <w:r>
              <w:rPr>
                <w:rFonts w:hint="eastAsia" w:ascii="宋体" w:eastAsia="宋体" w:cs="Arial"/>
                <w:b w:val="0"/>
                <w:color w:val="auto"/>
                <w:sz w:val="22"/>
                <w:szCs w:val="22"/>
              </w:rPr>
              <w:t>供应商信用查询</w:t>
            </w:r>
          </w:p>
        </w:tc>
        <w:tc>
          <w:tcPr>
            <w:tcW w:w="7957" w:type="dxa"/>
            <w:vAlign w:val="center"/>
          </w:tcPr>
          <w:p>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w:t>
            </w:r>
            <w:r>
              <w:rPr>
                <w:rFonts w:hint="eastAsia" w:cs="宋体" w:asciiTheme="majorEastAsia" w:hAnsiTheme="majorEastAsia" w:eastAsiaTheme="majorEastAsia"/>
                <w:color w:val="auto"/>
                <w:sz w:val="22"/>
                <w:szCs w:val="22"/>
                <w:highlight w:val="none"/>
                <w:lang w:eastAsia="zh-CN"/>
              </w:rPr>
              <w:t>投标人</w:t>
            </w:r>
            <w:r>
              <w:rPr>
                <w:rFonts w:hint="eastAsia" w:cs="宋体" w:asciiTheme="majorEastAsia" w:hAnsiTheme="majorEastAsia" w:eastAsiaTheme="majorEastAsia"/>
                <w:color w:val="auto"/>
                <w:sz w:val="22"/>
                <w:szCs w:val="22"/>
                <w:highlight w:val="none"/>
              </w:rPr>
              <w:t>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asciiTheme="majorEastAsia" w:hAnsiTheme="majorEastAsia" w:eastAsiaTheme="majorEastAsia"/>
                <w:color w:val="auto"/>
                <w:sz w:val="22"/>
                <w:szCs w:val="22"/>
                <w:highlight w:val="none"/>
              </w:rPr>
              <w:t>www.creditchina.gov.cn</w:t>
            </w:r>
            <w:r>
              <w:rPr>
                <w:rFonts w:hint="eastAsia" w:cs="宋体" w:asciiTheme="majorEastAsia" w:hAnsiTheme="majorEastAsia" w:eastAsiaTheme="majorEastAsia"/>
                <w:color w:val="auto"/>
                <w:sz w:val="22"/>
                <w:szCs w:val="22"/>
                <w:highlight w:val="none"/>
              </w:rPr>
              <w:fldChar w:fldCharType="end"/>
            </w:r>
            <w:r>
              <w:rPr>
                <w:rFonts w:hint="eastAsia" w:cs="宋体" w:asciiTheme="majorEastAsia" w:hAnsiTheme="majorEastAsia" w:eastAsiaTheme="majorEastAsia"/>
                <w:color w:val="auto"/>
                <w:sz w:val="22"/>
                <w:szCs w:val="22"/>
                <w:highlight w:val="none"/>
              </w:rPr>
              <w:t>)；“中国政府采购网”（</w:t>
            </w:r>
            <w:r>
              <w:rPr>
                <w:rFonts w:cs="宋体" w:asciiTheme="majorEastAsia" w:hAnsiTheme="majorEastAsia" w:eastAsiaTheme="majorEastAsia"/>
                <w:color w:val="auto"/>
                <w:sz w:val="22"/>
                <w:szCs w:val="22"/>
                <w:highlight w:val="none"/>
              </w:rPr>
              <w:t>www.ccgp.gov.cn/search/cr/</w:t>
            </w:r>
            <w:r>
              <w:rPr>
                <w:rFonts w:hint="eastAsia" w:cs="宋体" w:asciiTheme="majorEastAsia" w:hAnsiTheme="majorEastAsia" w:eastAsiaTheme="majorEastAsia"/>
                <w:color w:val="auto"/>
                <w:sz w:val="22"/>
                <w:szCs w:val="22"/>
                <w:highlight w:val="none"/>
              </w:rPr>
              <w:t>）；</w:t>
            </w:r>
          </w:p>
          <w:p>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w:t>
            </w:r>
            <w:r>
              <w:rPr>
                <w:rFonts w:hint="eastAsia" w:cs="宋体" w:asciiTheme="majorEastAsia" w:hAnsiTheme="majorEastAsia" w:eastAsiaTheme="majorEastAsia"/>
                <w:color w:val="auto"/>
                <w:sz w:val="22"/>
                <w:szCs w:val="22"/>
                <w:highlight w:val="none"/>
                <w:lang w:eastAsia="zh-CN"/>
              </w:rPr>
              <w:t>投标人</w:t>
            </w:r>
            <w:r>
              <w:rPr>
                <w:rFonts w:hint="eastAsia" w:cs="宋体" w:asciiTheme="majorEastAsia" w:hAnsiTheme="majorEastAsia" w:eastAsiaTheme="majorEastAsia"/>
                <w:color w:val="auto"/>
                <w:sz w:val="22"/>
                <w:szCs w:val="22"/>
                <w:highlight w:val="none"/>
              </w:rPr>
              <w:t>信用信息查询截止时点：招标公告发布之日至投标截止时间前；</w:t>
            </w:r>
          </w:p>
          <w:p>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3、</w:t>
            </w:r>
            <w:r>
              <w:rPr>
                <w:rFonts w:hint="eastAsia" w:cs="宋体" w:asciiTheme="majorEastAsia" w:hAnsiTheme="majorEastAsia" w:eastAsiaTheme="majorEastAsia"/>
                <w:color w:val="auto"/>
                <w:sz w:val="22"/>
                <w:szCs w:val="22"/>
                <w:highlight w:val="none"/>
                <w:lang w:eastAsia="zh-CN"/>
              </w:rPr>
              <w:t>投标人</w:t>
            </w:r>
            <w:r>
              <w:rPr>
                <w:rFonts w:hint="eastAsia" w:cs="宋体" w:asciiTheme="majorEastAsia" w:hAnsiTheme="majorEastAsia" w:eastAsiaTheme="majorEastAsia"/>
                <w:color w:val="auto"/>
                <w:sz w:val="22"/>
                <w:szCs w:val="22"/>
                <w:highlight w:val="none"/>
              </w:rPr>
              <w:t>信用信息查询记录和证据留存的具体方式：网页截图或报告；</w:t>
            </w:r>
          </w:p>
          <w:p>
            <w:pPr>
              <w:rPr>
                <w:rFonts w:ascii="宋体" w:eastAsia="宋体" w:cs="Arial"/>
                <w:color w:val="auto"/>
                <w:sz w:val="22"/>
                <w:szCs w:val="22"/>
              </w:rPr>
            </w:pPr>
            <w:r>
              <w:rPr>
                <w:rFonts w:hint="eastAsia" w:cs="宋体" w:asciiTheme="majorEastAsia" w:hAnsiTheme="majorEastAsia" w:eastAsiaTheme="majorEastAsia"/>
                <w:color w:val="auto"/>
                <w:sz w:val="22"/>
                <w:szCs w:val="22"/>
                <w:highlight w:val="non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合同备案</w:t>
            </w:r>
          </w:p>
        </w:tc>
        <w:tc>
          <w:tcPr>
            <w:tcW w:w="7957" w:type="dxa"/>
            <w:vAlign w:val="center"/>
          </w:tcPr>
          <w:p>
            <w:pPr>
              <w:rPr>
                <w:rFonts w:ascii="宋体" w:eastAsia="宋体" w:cs="Arial"/>
                <w:b w:val="0"/>
                <w:color w:val="auto"/>
                <w:sz w:val="22"/>
                <w:szCs w:val="22"/>
              </w:rPr>
            </w:pPr>
            <w:r>
              <w:rPr>
                <w:rFonts w:hint="eastAsia" w:ascii="宋体" w:eastAsia="宋体" w:cs="Arial"/>
                <w:b w:val="0"/>
                <w:color w:val="auto"/>
                <w:sz w:val="22"/>
                <w:szCs w:val="22"/>
              </w:rPr>
              <w:t>1、中标供应商须在发出中标通知书之日起30日历天内与采购人签订合同。</w:t>
            </w:r>
          </w:p>
          <w:p>
            <w:pPr>
              <w:rPr>
                <w:rFonts w:ascii="宋体" w:eastAsia="宋体" w:cs="Arial"/>
                <w:b w:val="0"/>
                <w:color w:val="auto"/>
                <w:sz w:val="22"/>
                <w:szCs w:val="22"/>
              </w:rPr>
            </w:pPr>
            <w:r>
              <w:rPr>
                <w:rFonts w:hint="eastAsia" w:ascii="宋体" w:eastAsia="宋体" w:cs="Arial"/>
                <w:b w:val="0"/>
                <w:color w:val="auto"/>
                <w:sz w:val="22"/>
                <w:szCs w:val="22"/>
              </w:rPr>
              <w:t>2、本项目政府采购合同按规定在</w:t>
            </w:r>
            <w:r>
              <w:rPr>
                <w:rFonts w:hint="eastAsia" w:ascii="宋体" w:eastAsia="宋体"/>
                <w:b w:val="0"/>
                <w:color w:val="auto"/>
                <w:sz w:val="22"/>
                <w:szCs w:val="22"/>
              </w:rPr>
              <w:t>浙江政府采购网（</w:t>
            </w:r>
            <w:r>
              <w:rPr>
                <w:rFonts w:ascii="宋体" w:eastAsia="宋体"/>
                <w:b w:val="0"/>
                <w:color w:val="auto"/>
                <w:sz w:val="22"/>
                <w:szCs w:val="22"/>
              </w:rPr>
              <w:t>http://www.zjzfcg.gov.cn</w:t>
            </w:r>
            <w:r>
              <w:rPr>
                <w:rFonts w:hint="eastAsia" w:ascii="宋体" w:eastAsia="宋体"/>
                <w:b w:val="0"/>
                <w:color w:val="auto"/>
                <w:sz w:val="22"/>
                <w:szCs w:val="22"/>
              </w:rPr>
              <w:t>）</w:t>
            </w:r>
            <w:r>
              <w:rPr>
                <w:rFonts w:hint="eastAsia" w:ascii="宋体" w:eastAsia="宋体" w:cs="Arial"/>
                <w:b w:val="0"/>
                <w:color w:val="auto"/>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7957" w:type="dxa"/>
            <w:vAlign w:val="center"/>
          </w:tcPr>
          <w:p>
            <w:pPr>
              <w:rPr>
                <w:rFonts w:ascii="宋体" w:eastAsia="宋体" w:cs="Arial"/>
                <w:b w:val="0"/>
                <w:color w:val="auto"/>
                <w:sz w:val="22"/>
                <w:szCs w:val="22"/>
              </w:rPr>
            </w:pPr>
            <w:r>
              <w:rPr>
                <w:rFonts w:hint="eastAsia" w:ascii="宋体" w:eastAsia="宋体" w:cs="Arial"/>
                <w:b w:val="0"/>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68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b w:val="0"/>
                <w:color w:val="auto"/>
                <w:sz w:val="22"/>
                <w:szCs w:val="22"/>
              </w:rPr>
            </w:pPr>
            <w:r>
              <w:rPr>
                <w:rFonts w:hint="eastAsia" w:ascii="宋体" w:eastAsia="宋体"/>
                <w:b w:val="0"/>
                <w:color w:val="auto"/>
                <w:sz w:val="22"/>
                <w:szCs w:val="22"/>
              </w:rPr>
              <w:t>免责声明</w:t>
            </w:r>
          </w:p>
        </w:tc>
        <w:tc>
          <w:tcPr>
            <w:tcW w:w="7957" w:type="dxa"/>
            <w:vAlign w:val="center"/>
          </w:tcPr>
          <w:p>
            <w:pPr>
              <w:rPr>
                <w:rFonts w:ascii="宋体" w:eastAsia="宋体" w:cs="Arial"/>
                <w:b w:val="0"/>
                <w:color w:val="auto"/>
                <w:sz w:val="22"/>
                <w:szCs w:val="22"/>
              </w:rPr>
            </w:pPr>
            <w:r>
              <w:rPr>
                <w:rFonts w:hint="eastAsia" w:ascii="宋体" w:eastAsia="宋体" w:cs="Arial"/>
                <w:b w:val="0"/>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pPr>
              <w:rPr>
                <w:rFonts w:ascii="宋体" w:eastAsia="宋体" w:cs="Arial"/>
                <w:b w:val="0"/>
                <w:color w:val="auto"/>
                <w:sz w:val="22"/>
                <w:szCs w:val="22"/>
              </w:rPr>
            </w:pPr>
            <w:r>
              <w:rPr>
                <w:rFonts w:hint="eastAsia" w:ascii="宋体" w:eastAsia="宋体" w:cs="Arial"/>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4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Courier New"/>
                <w:b w:val="0"/>
                <w:color w:val="auto"/>
                <w:sz w:val="22"/>
              </w:rPr>
              <w:t>解释权</w:t>
            </w:r>
          </w:p>
        </w:tc>
        <w:tc>
          <w:tcPr>
            <w:tcW w:w="7957" w:type="dxa"/>
            <w:vAlign w:val="center"/>
          </w:tcPr>
          <w:p>
            <w:pPr>
              <w:rPr>
                <w:rFonts w:ascii="宋体" w:eastAsia="宋体" w:cs="Arial"/>
                <w:b w:val="0"/>
                <w:color w:val="auto"/>
                <w:sz w:val="22"/>
                <w:szCs w:val="22"/>
              </w:rPr>
            </w:pPr>
            <w:r>
              <w:rPr>
                <w:rFonts w:hint="eastAsia" w:ascii="宋体" w:eastAsia="宋体" w:cs="Courier New"/>
                <w:b w:val="0"/>
                <w:color w:val="auto"/>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b w:val="0"/>
                <w:bCs w:val="0"/>
                <w:color w:val="auto"/>
                <w:sz w:val="22"/>
              </w:rPr>
              <w:t>注意事项</w:t>
            </w:r>
          </w:p>
        </w:tc>
        <w:tc>
          <w:tcPr>
            <w:tcW w:w="7957" w:type="dxa"/>
            <w:vAlign w:val="center"/>
          </w:tcPr>
          <w:p>
            <w:pPr>
              <w:rPr>
                <w:rFonts w:ascii="宋体" w:eastAsia="宋体" w:cs="Arial"/>
                <w:b w:val="0"/>
                <w:bCs w:val="0"/>
                <w:color w:val="auto"/>
                <w:sz w:val="22"/>
                <w:szCs w:val="22"/>
              </w:rPr>
            </w:pPr>
            <w:r>
              <w:rPr>
                <w:rFonts w:hint="eastAsia" w:ascii="宋体" w:eastAsia="宋体" w:cs="Arial"/>
                <w:b w:val="0"/>
                <w:bCs w:val="0"/>
                <w:color w:val="auto"/>
                <w:sz w:val="22"/>
                <w:szCs w:val="22"/>
              </w:rPr>
              <w:t>1、请务必确保投标文件制作客户端为最新版本，旧版本可能导致投标文件解密失败。</w:t>
            </w:r>
          </w:p>
          <w:p>
            <w:pPr>
              <w:rPr>
                <w:rFonts w:ascii="宋体" w:eastAsia="宋体" w:cs="Arial"/>
                <w:b w:val="0"/>
                <w:color w:val="auto"/>
                <w:sz w:val="22"/>
                <w:szCs w:val="22"/>
              </w:rPr>
            </w:pPr>
            <w:r>
              <w:rPr>
                <w:rFonts w:hint="eastAsia" w:ascii="宋体" w:eastAsia="宋体" w:cs="Arial"/>
                <w:b w:val="0"/>
                <w:bCs w:val="0"/>
                <w:color w:val="auto"/>
                <w:sz w:val="22"/>
                <w:szCs w:val="22"/>
              </w:rPr>
              <w:t>2、请务必确保投标文件制作时所用的 CA 锁与投标文件解密时的 CA 锁为同一把，否则可能导致投标文件解密失败。</w:t>
            </w:r>
          </w:p>
        </w:tc>
      </w:tr>
    </w:tbl>
    <w:p>
      <w:pPr>
        <w:pStyle w:val="47"/>
        <w:rPr>
          <w:rFonts w:ascii="宋体" w:hAnsi="宋体"/>
          <w:color w:val="auto"/>
        </w:rPr>
      </w:pPr>
      <w:bookmarkStart w:id="4" w:name="_Toc30494"/>
      <w:r>
        <w:rPr>
          <w:rFonts w:hint="eastAsia" w:ascii="宋体" w:hAnsi="宋体"/>
          <w:color w:val="auto"/>
        </w:rPr>
        <w:br w:type="column"/>
      </w:r>
      <w:r>
        <w:rPr>
          <w:rFonts w:hint="eastAsia" w:ascii="宋体" w:hAnsi="宋体"/>
          <w:color w:val="auto"/>
        </w:rPr>
        <w:t xml:space="preserve">第二部分 </w:t>
      </w:r>
      <w:bookmarkStart w:id="5" w:name="_Hlk41920469"/>
      <w:r>
        <w:rPr>
          <w:rFonts w:hint="eastAsia" w:ascii="宋体" w:hAnsi="宋体"/>
          <w:color w:val="auto"/>
        </w:rPr>
        <w:t>招标内容及要求</w:t>
      </w:r>
      <w:bookmarkEnd w:id="4"/>
      <w:bookmarkStart w:id="6" w:name="_Toc157410886"/>
    </w:p>
    <w:bookmarkEnd w:id="5"/>
    <w:bookmarkEnd w:id="6"/>
    <w:p>
      <w:pPr>
        <w:pStyle w:val="47"/>
        <w:rPr>
          <w:rFonts w:hint="eastAsia" w:ascii="宋体" w:hAnsi="宋体" w:eastAsia="宋体"/>
          <w:color w:val="auto"/>
          <w:lang w:val="en-US" w:eastAsia="zh-CN"/>
        </w:rPr>
      </w:pPr>
      <w:bookmarkStart w:id="7" w:name="_Toc1655"/>
      <w:bookmarkStart w:id="8" w:name="_Toc484540405"/>
      <w:bookmarkStart w:id="9" w:name="_Toc501892974"/>
      <w:bookmarkStart w:id="10" w:name="_Toc66643429"/>
      <w:bookmarkStart w:id="11" w:name="_Toc405377115"/>
      <w:r>
        <w:rPr>
          <w:rFonts w:hint="eastAsia" w:ascii="宋体" w:hAnsi="宋体"/>
          <w:color w:val="auto"/>
        </w:rPr>
        <w:t>一、</w:t>
      </w:r>
      <w:bookmarkEnd w:id="7"/>
      <w:r>
        <w:rPr>
          <w:rFonts w:hint="eastAsia" w:ascii="宋体" w:hAnsi="宋体"/>
          <w:color w:val="auto"/>
          <w:lang w:eastAsia="zh-CN"/>
        </w:rPr>
        <w:t>采购总说明</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1、本技术规范要求提出的是最低限度的基本技术要求，并未对所有技术细节作出规定，供应商应提供符合本技术要求和国家标准、行业标准的优质产品。</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3、技术要求及标准的执行</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供应商提供的产品投标时需说明所执行的质量标准，若同一标准已颁发新标准，则按最新标准执行。若同一产品同时有几个标准（国际标准、国家标准、行业标准、企业标准等），则按最高层次的标准执行。</w:t>
      </w:r>
    </w:p>
    <w:p>
      <w:pPr>
        <w:numPr>
          <w:ilvl w:val="0"/>
          <w:numId w:val="0"/>
        </w:numPr>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lang w:val="en-US" w:eastAsia="zh-CN"/>
        </w:rPr>
        <w:t>4、</w:t>
      </w:r>
      <w:r>
        <w:rPr>
          <w:rFonts w:hint="eastAsia" w:ascii="宋体" w:eastAsia="宋体"/>
          <w:b w:val="0"/>
          <w:color w:val="auto"/>
          <w:sz w:val="22"/>
          <w:szCs w:val="22"/>
        </w:rPr>
        <w:t>供应商须按国家有关规定及标准完成本次采购产品的供货、运输、装卸、就位、安装、调试、技术培训、检验、通过有关部门验收、维保期服务、产品终身维修等各项工作，并保证投标产品使用的安全性能与检测结果的可靠性。</w:t>
      </w:r>
      <w:r>
        <w:rPr>
          <w:rFonts w:hint="eastAsia" w:ascii="宋体" w:eastAsia="宋体"/>
          <w:b w:val="0"/>
          <w:bCs w:val="0"/>
          <w:color w:val="auto"/>
          <w:sz w:val="22"/>
          <w:szCs w:val="22"/>
        </w:rPr>
        <w:t>如中标，中标供应商及制造商对中标产品使用的安全性能与可靠性负全部责任。中标供应商须随产</w:t>
      </w:r>
      <w:r>
        <w:rPr>
          <w:rFonts w:hint="eastAsia" w:ascii="宋体" w:eastAsia="宋体"/>
          <w:b w:val="0"/>
          <w:color w:val="auto"/>
          <w:sz w:val="22"/>
          <w:szCs w:val="22"/>
        </w:rPr>
        <w:t>品提供使用说明书与维保卡。供应商提供相关数据与说明，投标文件须对下列要求作出实质性回应。</w:t>
      </w:r>
    </w:p>
    <w:p>
      <w:pPr>
        <w:numPr>
          <w:ilvl w:val="0"/>
          <w:numId w:val="0"/>
        </w:numPr>
        <w:spacing w:line="460" w:lineRule="atLeast"/>
        <w:ind w:firstLine="440" w:firstLineChars="200"/>
        <w:rPr>
          <w:rFonts w:hint="eastAsia" w:ascii="宋体" w:eastAsia="宋体"/>
          <w:b w:val="0"/>
          <w:color w:val="auto"/>
          <w:sz w:val="22"/>
          <w:szCs w:val="22"/>
          <w:lang w:val="en-US" w:eastAsia="zh-CN"/>
        </w:rPr>
      </w:pPr>
      <w:r>
        <w:rPr>
          <w:rFonts w:hint="eastAsia" w:ascii="宋体" w:eastAsia="宋体"/>
          <w:b w:val="0"/>
          <w:color w:val="auto"/>
          <w:sz w:val="22"/>
          <w:szCs w:val="22"/>
          <w:lang w:val="en-US" w:eastAsia="zh-CN"/>
        </w:rPr>
        <w:t>5、执行标准（如有更新，采用最新标准执行）</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w:t>
      </w:r>
      <w:r>
        <w:rPr>
          <w:rFonts w:ascii="宋体" w:eastAsia="宋体"/>
          <w:b w:val="0"/>
          <w:bCs w:val="0"/>
          <w:color w:val="auto"/>
          <w:sz w:val="22"/>
          <w:szCs w:val="22"/>
          <w:highlight w:val="none"/>
        </w:rPr>
        <w:t>《中华人民共和国道路交通安全法》</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w:t>
      </w:r>
      <w:r>
        <w:rPr>
          <w:rFonts w:ascii="宋体" w:eastAsia="宋体"/>
          <w:b w:val="0"/>
          <w:bCs w:val="0"/>
          <w:color w:val="auto"/>
          <w:sz w:val="22"/>
          <w:szCs w:val="22"/>
          <w:highlight w:val="none"/>
        </w:rPr>
        <w:t>《中华人民共和国道路交通安全法实施条例》</w:t>
      </w:r>
    </w:p>
    <w:p>
      <w:pPr>
        <w:widowControl/>
        <w:autoSpaceDE w:val="0"/>
        <w:autoSpaceDN w:val="0"/>
        <w:adjustRightInd w:val="0"/>
        <w:spacing w:line="460" w:lineRule="atLeast"/>
        <w:ind w:firstLine="431" w:firstLineChars="196"/>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w:t>
      </w:r>
      <w:r>
        <w:rPr>
          <w:rFonts w:ascii="宋体" w:eastAsia="宋体"/>
          <w:b w:val="0"/>
          <w:bCs w:val="0"/>
          <w:color w:val="auto"/>
          <w:sz w:val="22"/>
          <w:szCs w:val="22"/>
          <w:highlight w:val="none"/>
        </w:rPr>
        <w:t>《中华人民共和国公共安全行业标准》GA38-92</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（4）</w:t>
      </w:r>
      <w:r>
        <w:rPr>
          <w:rFonts w:ascii="宋体" w:eastAsia="宋体"/>
          <w:b w:val="0"/>
          <w:bCs w:val="0"/>
          <w:color w:val="auto"/>
          <w:sz w:val="22"/>
          <w:szCs w:val="22"/>
          <w:highlight w:val="none"/>
        </w:rPr>
        <w:t>《中国电气装置安装工程施工及验收规范》GBJ232-90.92</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（5）《计算机软件开发规范》</w:t>
      </w:r>
      <w:r>
        <w:rPr>
          <w:rFonts w:ascii="宋体" w:eastAsia="宋体"/>
          <w:b w:val="0"/>
          <w:bCs w:val="0"/>
          <w:color w:val="auto"/>
          <w:sz w:val="22"/>
          <w:szCs w:val="22"/>
          <w:highlight w:val="none"/>
        </w:rPr>
        <w:t>(GB 8566-88)</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（6）《建筑防雷设计规范》</w:t>
      </w:r>
      <w:r>
        <w:rPr>
          <w:rFonts w:ascii="宋体" w:eastAsia="宋体"/>
          <w:b w:val="0"/>
          <w:bCs w:val="0"/>
          <w:color w:val="auto"/>
          <w:sz w:val="22"/>
          <w:szCs w:val="22"/>
          <w:highlight w:val="none"/>
        </w:rPr>
        <w:t>(GBJ 57-83)</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（7）《安全防范工程程序与要求》GA/T75-94</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（8）《中国电气装置安装工程施工及验收规范》GBJ232-90.92</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（9）《安防系统工程质量检验实施细则》</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（10）《公安交通指挥中心建设与发展的若干意见》</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（11）《道路交通科技发展九五计划和2010年规划》</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（12）《交通管理信息系统建设框架》（公安部）</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（13）</w:t>
      </w:r>
      <w:r>
        <w:rPr>
          <w:rFonts w:ascii="宋体" w:eastAsia="宋体"/>
          <w:b w:val="0"/>
          <w:bCs w:val="0"/>
          <w:color w:val="auto"/>
          <w:sz w:val="22"/>
          <w:szCs w:val="22"/>
          <w:highlight w:val="none"/>
        </w:rPr>
        <w:t>《</w:t>
      </w:r>
      <w:r>
        <w:rPr>
          <w:rFonts w:hint="eastAsia" w:ascii="宋体" w:eastAsia="宋体"/>
          <w:b w:val="0"/>
          <w:bCs w:val="0"/>
          <w:color w:val="auto"/>
          <w:sz w:val="22"/>
          <w:szCs w:val="22"/>
          <w:highlight w:val="none"/>
        </w:rPr>
        <w:t>公路交通安全设施设计技术规范</w:t>
      </w:r>
      <w:r>
        <w:rPr>
          <w:rFonts w:ascii="宋体" w:eastAsia="宋体"/>
          <w:b w:val="0"/>
          <w:bCs w:val="0"/>
          <w:color w:val="auto"/>
          <w:sz w:val="22"/>
          <w:szCs w:val="22"/>
          <w:highlight w:val="none"/>
        </w:rPr>
        <w:t>》</w:t>
      </w:r>
      <w:r>
        <w:rPr>
          <w:rFonts w:hint="eastAsia" w:ascii="宋体" w:eastAsia="宋体"/>
          <w:b w:val="0"/>
          <w:bCs w:val="0"/>
          <w:color w:val="auto"/>
          <w:sz w:val="22"/>
          <w:szCs w:val="22"/>
          <w:highlight w:val="none"/>
        </w:rPr>
        <w:t>（JTJ 074-2003）</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（14）《机动车/驾驶人信息资源库数据标准和规范》（公安部）</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（15）</w:t>
      </w:r>
      <w:r>
        <w:rPr>
          <w:rFonts w:ascii="宋体" w:eastAsia="宋体"/>
          <w:b w:val="0"/>
          <w:bCs w:val="0"/>
          <w:color w:val="auto"/>
          <w:sz w:val="22"/>
          <w:szCs w:val="22"/>
          <w:highlight w:val="none"/>
        </w:rPr>
        <w:t>《全国道路交通违法信息异地交换系统改造升级实施方案</w:t>
      </w:r>
      <w:r>
        <w:rPr>
          <w:rFonts w:hint="eastAsia" w:ascii="宋体" w:eastAsia="宋体"/>
          <w:b w:val="0"/>
          <w:bCs w:val="0"/>
          <w:color w:val="auto"/>
          <w:sz w:val="22"/>
          <w:szCs w:val="22"/>
          <w:highlight w:val="none"/>
        </w:rPr>
        <w:t>》（公安部）</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（16）《道路交通违法业务处理系统建设指导意见(征求意见稿)》（公安部）</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（17）《浙江省全国道路交通违法信息异地交换系统改造升级实施方案》（浙江省交管局）</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（18）《闯红灯自动记录系统通用技术条件》GA/T496-20</w:t>
      </w: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rPr>
        <w:t>4标准</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（19）</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lang w:val="en-US" w:eastAsia="zh-CN"/>
        </w:rPr>
        <w:t>闯红灯自动记录系统验收技术规范</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GA/T</w:t>
      </w:r>
      <w:r>
        <w:rPr>
          <w:rFonts w:hint="eastAsia" w:ascii="宋体" w:eastAsia="宋体"/>
          <w:b w:val="0"/>
          <w:bCs w:val="0"/>
          <w:color w:val="auto"/>
          <w:sz w:val="22"/>
          <w:szCs w:val="22"/>
          <w:highlight w:val="none"/>
          <w:lang w:val="en-US" w:eastAsia="zh-CN"/>
        </w:rPr>
        <w:t>870</w:t>
      </w:r>
      <w:r>
        <w:rPr>
          <w:rFonts w:hint="eastAsia" w:ascii="宋体" w:eastAsia="宋体"/>
          <w:b w:val="0"/>
          <w:bCs w:val="0"/>
          <w:color w:val="auto"/>
          <w:sz w:val="22"/>
          <w:szCs w:val="22"/>
          <w:highlight w:val="none"/>
        </w:rPr>
        <w:t>-20</w:t>
      </w:r>
      <w:r>
        <w:rPr>
          <w:rFonts w:hint="eastAsia" w:ascii="宋体" w:eastAsia="宋体"/>
          <w:b w:val="0"/>
          <w:bCs w:val="0"/>
          <w:color w:val="auto"/>
          <w:sz w:val="22"/>
          <w:szCs w:val="22"/>
          <w:highlight w:val="none"/>
          <w:lang w:val="en-US" w:eastAsia="zh-CN"/>
        </w:rPr>
        <w:t>17</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lang w:val="en-US" w:eastAsia="zh-CN"/>
        </w:rPr>
        <w:t>20</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公安部、浙江省公安厅其他相关规范性文件</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w:t>
      </w: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rPr>
        <w:t>）《</w:t>
      </w:r>
      <w:r>
        <w:rPr>
          <w:rFonts w:ascii="宋体" w:eastAsia="宋体"/>
          <w:b w:val="0"/>
          <w:bCs w:val="0"/>
          <w:color w:val="auto"/>
          <w:sz w:val="22"/>
          <w:szCs w:val="22"/>
          <w:highlight w:val="none"/>
        </w:rPr>
        <w:t>道路交通安全违法行为图像取证技术规范</w:t>
      </w:r>
      <w:r>
        <w:rPr>
          <w:rFonts w:hint="eastAsia" w:ascii="宋体" w:eastAsia="宋体"/>
          <w:b w:val="0"/>
          <w:bCs w:val="0"/>
          <w:color w:val="auto"/>
          <w:sz w:val="22"/>
          <w:szCs w:val="22"/>
          <w:highlight w:val="none"/>
        </w:rPr>
        <w:t>》GA/T832-2009</w:t>
      </w:r>
    </w:p>
    <w:p>
      <w:pPr>
        <w:widowControl/>
        <w:autoSpaceDE w:val="0"/>
        <w:autoSpaceDN w:val="0"/>
        <w:adjustRightInd w:val="0"/>
        <w:spacing w:line="460" w:lineRule="atLeast"/>
        <w:ind w:firstLine="431" w:firstLineChars="196"/>
        <w:textAlignment w:val="bottom"/>
        <w:rPr>
          <w:rFonts w:ascii="宋体" w:eastAsia="宋体"/>
          <w:b w:val="0"/>
          <w:bCs w:val="0"/>
          <w:color w:val="auto"/>
          <w:sz w:val="22"/>
          <w:szCs w:val="22"/>
          <w:highlight w:val="none"/>
        </w:rPr>
      </w:pPr>
      <w:bookmarkStart w:id="12" w:name="_Hlk41566487"/>
      <w:r>
        <w:rPr>
          <w:rFonts w:hint="eastAsia" w:ascii="宋体" w:eastAsia="宋体"/>
          <w:b w:val="0"/>
          <w:bCs w:val="0"/>
          <w:color w:val="auto"/>
          <w:sz w:val="22"/>
          <w:szCs w:val="22"/>
          <w:highlight w:val="none"/>
        </w:rPr>
        <w:t>（2</w:t>
      </w:r>
      <w:r>
        <w:rPr>
          <w:rFonts w:hint="eastAsia"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rPr>
        <w:t>）</w:t>
      </w:r>
      <w:r>
        <w:rPr>
          <w:rFonts w:ascii="宋体" w:eastAsia="宋体"/>
          <w:b w:val="0"/>
          <w:bCs w:val="0"/>
          <w:color w:val="auto"/>
          <w:sz w:val="22"/>
          <w:szCs w:val="22"/>
          <w:highlight w:val="none"/>
        </w:rPr>
        <w:t>《道路交通信号灯》GB 14887-2011</w:t>
      </w:r>
      <w:bookmarkEnd w:id="12"/>
    </w:p>
    <w:p>
      <w:pPr>
        <w:widowControl/>
        <w:autoSpaceDE w:val="0"/>
        <w:autoSpaceDN w:val="0"/>
        <w:adjustRightInd w:val="0"/>
        <w:spacing w:line="460" w:lineRule="atLeast"/>
        <w:ind w:firstLine="431" w:firstLineChars="196"/>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w:t>
      </w:r>
      <w:r>
        <w:rPr>
          <w:rFonts w:hint="eastAsia" w:ascii="宋体" w:eastAsia="宋体"/>
          <w:b w:val="0"/>
          <w:bCs w:val="0"/>
          <w:color w:val="auto"/>
          <w:sz w:val="22"/>
          <w:szCs w:val="22"/>
          <w:highlight w:val="none"/>
          <w:lang w:val="en-US" w:eastAsia="zh-CN"/>
        </w:rPr>
        <w:t>23</w:t>
      </w:r>
      <w:r>
        <w:rPr>
          <w:rFonts w:hint="eastAsia" w:ascii="宋体" w:eastAsia="宋体"/>
          <w:b w:val="0"/>
          <w:bCs w:val="0"/>
          <w:color w:val="auto"/>
          <w:sz w:val="22"/>
          <w:szCs w:val="22"/>
          <w:highlight w:val="none"/>
        </w:rPr>
        <w:t>）《道路交通信号控制机》</w:t>
      </w:r>
      <w:r>
        <w:rPr>
          <w:rFonts w:ascii="宋体" w:eastAsia="宋体"/>
          <w:b w:val="0"/>
          <w:bCs w:val="0"/>
          <w:color w:val="auto"/>
          <w:sz w:val="22"/>
          <w:szCs w:val="22"/>
          <w:highlight w:val="none"/>
        </w:rPr>
        <w:t>GB 25280-2016</w:t>
      </w:r>
    </w:p>
    <w:p>
      <w:pPr>
        <w:widowControl/>
        <w:autoSpaceDE w:val="0"/>
        <w:autoSpaceDN w:val="0"/>
        <w:adjustRightInd w:val="0"/>
        <w:spacing w:line="460" w:lineRule="atLeast"/>
        <w:ind w:firstLine="431" w:firstLineChars="196"/>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w:t>
      </w:r>
      <w:r>
        <w:rPr>
          <w:rFonts w:hint="eastAsia" w:ascii="宋体" w:eastAsia="宋体"/>
          <w:b w:val="0"/>
          <w:bCs w:val="0"/>
          <w:color w:val="auto"/>
          <w:sz w:val="22"/>
          <w:szCs w:val="22"/>
          <w:highlight w:val="none"/>
          <w:lang w:val="en-US" w:eastAsia="zh-CN"/>
        </w:rPr>
        <w:t>4</w:t>
      </w:r>
      <w:r>
        <w:rPr>
          <w:rFonts w:hint="eastAsia" w:ascii="宋体" w:eastAsia="宋体"/>
          <w:b w:val="0"/>
          <w:bCs w:val="0"/>
          <w:color w:val="auto"/>
          <w:sz w:val="22"/>
          <w:szCs w:val="22"/>
          <w:highlight w:val="none"/>
        </w:rPr>
        <w:t>）</w:t>
      </w:r>
      <w:r>
        <w:rPr>
          <w:rFonts w:ascii="宋体" w:eastAsia="宋体"/>
          <w:b w:val="0"/>
          <w:bCs w:val="0"/>
          <w:color w:val="auto"/>
          <w:sz w:val="22"/>
          <w:szCs w:val="22"/>
          <w:highlight w:val="none"/>
        </w:rPr>
        <w:t>《道路交通信号灯</w:t>
      </w:r>
      <w:r>
        <w:rPr>
          <w:rFonts w:hint="eastAsia" w:ascii="宋体" w:eastAsia="宋体"/>
          <w:b w:val="0"/>
          <w:bCs w:val="0"/>
          <w:color w:val="auto"/>
          <w:sz w:val="22"/>
          <w:szCs w:val="22"/>
          <w:highlight w:val="none"/>
        </w:rPr>
        <w:t>设置与安装规范</w:t>
      </w:r>
      <w:r>
        <w:rPr>
          <w:rFonts w:ascii="宋体" w:eastAsia="宋体"/>
          <w:b w:val="0"/>
          <w:bCs w:val="0"/>
          <w:color w:val="auto"/>
          <w:sz w:val="22"/>
          <w:szCs w:val="22"/>
          <w:highlight w:val="none"/>
        </w:rPr>
        <w:t>》GB 14886-2016</w:t>
      </w:r>
    </w:p>
    <w:p>
      <w:pPr>
        <w:widowControl/>
        <w:autoSpaceDE w:val="0"/>
        <w:autoSpaceDN w:val="0"/>
        <w:adjustRightInd w:val="0"/>
        <w:spacing w:line="460" w:lineRule="atLeast"/>
        <w:ind w:firstLine="431" w:firstLineChars="196"/>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w:t>
      </w:r>
      <w:r>
        <w:rPr>
          <w:rFonts w:hint="eastAsia" w:ascii="宋体" w:eastAsia="宋体"/>
          <w:b w:val="0"/>
          <w:bCs w:val="0"/>
          <w:color w:val="auto"/>
          <w:sz w:val="22"/>
          <w:szCs w:val="22"/>
          <w:highlight w:val="none"/>
          <w:lang w:val="en-US" w:eastAsia="zh-CN"/>
        </w:rPr>
        <w:t>5</w:t>
      </w:r>
      <w:r>
        <w:rPr>
          <w:rFonts w:hint="eastAsia" w:ascii="宋体" w:eastAsia="宋体"/>
          <w:b w:val="0"/>
          <w:bCs w:val="0"/>
          <w:color w:val="auto"/>
          <w:sz w:val="22"/>
          <w:szCs w:val="22"/>
          <w:highlight w:val="none"/>
        </w:rPr>
        <w:t>）</w:t>
      </w:r>
      <w:r>
        <w:rPr>
          <w:rFonts w:ascii="宋体" w:eastAsia="宋体"/>
          <w:b w:val="0"/>
          <w:bCs w:val="0"/>
          <w:color w:val="auto"/>
          <w:sz w:val="22"/>
          <w:szCs w:val="22"/>
          <w:highlight w:val="none"/>
        </w:rPr>
        <w:t xml:space="preserve">《道路交通反光膜》GBT 18833-2012 </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w:t>
      </w:r>
      <w:r>
        <w:rPr>
          <w:rFonts w:hint="eastAsia" w:ascii="宋体" w:eastAsia="宋体"/>
          <w:b w:val="0"/>
          <w:bCs w:val="0"/>
          <w:color w:val="auto"/>
          <w:sz w:val="22"/>
          <w:szCs w:val="22"/>
          <w:highlight w:val="none"/>
          <w:lang w:val="en-US" w:eastAsia="zh-CN"/>
        </w:rPr>
        <w:t>6</w:t>
      </w:r>
      <w:r>
        <w:rPr>
          <w:rFonts w:hint="eastAsia" w:ascii="宋体" w:eastAsia="宋体"/>
          <w:b w:val="0"/>
          <w:bCs w:val="0"/>
          <w:color w:val="auto"/>
          <w:sz w:val="22"/>
          <w:szCs w:val="22"/>
          <w:highlight w:val="none"/>
        </w:rPr>
        <w:t>）</w:t>
      </w:r>
      <w:r>
        <w:rPr>
          <w:rFonts w:ascii="宋体" w:eastAsia="宋体"/>
          <w:b w:val="0"/>
          <w:bCs w:val="0"/>
          <w:color w:val="auto"/>
          <w:sz w:val="22"/>
          <w:szCs w:val="22"/>
          <w:highlight w:val="none"/>
        </w:rPr>
        <w:t>《道路交通信号倒计时显示器》GAT508 2014</w:t>
      </w:r>
    </w:p>
    <w:p>
      <w:pPr>
        <w:widowControl/>
        <w:autoSpaceDE w:val="0"/>
        <w:autoSpaceDN w:val="0"/>
        <w:adjustRightInd w:val="0"/>
        <w:spacing w:line="460" w:lineRule="atLeast"/>
        <w:ind w:firstLine="431" w:firstLineChars="196"/>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上述技术标准和规范如与国家、国际标准相抵触或未能罗列完全时，应以国家、国际标准为依据。</w:t>
      </w:r>
    </w:p>
    <w:p>
      <w:pPr>
        <w:widowControl/>
        <w:autoSpaceDE w:val="0"/>
        <w:autoSpaceDN w:val="0"/>
        <w:adjustRightInd w:val="0"/>
        <w:spacing w:line="460" w:lineRule="atLeast"/>
        <w:ind w:firstLine="431" w:firstLineChars="196"/>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6、本次采购的设备必须选用视频监控专业设备，有良好的图像采集能力，支持超宽动态、强光抑制功能，有良好的网络适应能力，在网络质量较差的时候也能获得流畅清晰的视频；有良好的可靠性，可在室外恶劣环境下长时间、稳定工作，具备抗环境干扰能力与防雷电浪涌能力。有良好的用户界面，支持网管、远程监测、远程操作、集中控制，提高故障发现、诊断能力与运维工作效率。</w:t>
      </w:r>
    </w:p>
    <w:p>
      <w:pPr>
        <w:widowControl/>
        <w:autoSpaceDE w:val="0"/>
        <w:autoSpaceDN w:val="0"/>
        <w:adjustRightInd w:val="0"/>
        <w:spacing w:line="460" w:lineRule="atLeast"/>
        <w:ind w:firstLine="431" w:firstLineChars="196"/>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7、供应商必须具备整体系统的设计能力，本采购文件所列设备清单为基准清单，投标单位中标后要根据实际点位环境、系统要求、所投设备的性能指标配合采购方作进一步的细化设计，  细化设计与基准清单不符的，以细化设计为准并按照规定要求办理变更手续，以确保整体系统效果能符合实际需求。</w:t>
      </w:r>
    </w:p>
    <w:p>
      <w:pPr>
        <w:widowControl/>
        <w:autoSpaceDE w:val="0"/>
        <w:autoSpaceDN w:val="0"/>
        <w:adjustRightInd w:val="0"/>
        <w:spacing w:line="460" w:lineRule="atLeast"/>
        <w:ind w:firstLine="431" w:firstLineChars="196"/>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8、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widowControl/>
        <w:autoSpaceDE w:val="0"/>
        <w:autoSpaceDN w:val="0"/>
        <w:adjustRightInd w:val="0"/>
        <w:spacing w:line="460" w:lineRule="atLeast"/>
        <w:ind w:firstLine="431" w:firstLineChars="196"/>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9、供应商应根据招标文件所提出的技术规格、参数、数量和服务要求，综合考虑货物的适应性，选择具有最佳性能价格比的货物前来报价。希望供应商以精良的货物、优良的服务和优惠的价格，充分显示自身的竞争实力。</w:t>
      </w:r>
    </w:p>
    <w:p>
      <w:pPr>
        <w:widowControl/>
        <w:autoSpaceDE w:val="0"/>
        <w:autoSpaceDN w:val="0"/>
        <w:adjustRightInd w:val="0"/>
        <w:spacing w:line="460" w:lineRule="atLeast"/>
        <w:ind w:firstLine="431" w:firstLineChars="196"/>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10、供应商所投产品及主要部件的名称、品牌、型号、技术参数、性能、数量、单价、合价、厂商、产地、质保期等应在投标文件中明确，对采购文件的技术条款及要求应予以实质性响应，如有偏离应在偏离表中注明。对于设备列表中所列的设备指标与服务说明均为基本、关键性指标，必须完全满足，所有指标必须为实标参数，支持随时随机抽检。</w:t>
      </w:r>
    </w:p>
    <w:p>
      <w:pPr>
        <w:widowControl/>
        <w:autoSpaceDE w:val="0"/>
        <w:autoSpaceDN w:val="0"/>
        <w:adjustRightInd w:val="0"/>
        <w:spacing w:line="460" w:lineRule="atLeast"/>
        <w:ind w:firstLine="433" w:firstLineChars="196"/>
        <w:textAlignment w:val="bottom"/>
        <w:rPr>
          <w:rFonts w:ascii="宋体" w:eastAsia="宋体"/>
          <w:bCs w:val="0"/>
          <w:color w:val="auto"/>
          <w:sz w:val="22"/>
          <w:szCs w:val="22"/>
          <w:highlight w:val="none"/>
          <w:u w:val="single"/>
        </w:rPr>
      </w:pPr>
      <w:r>
        <w:rPr>
          <w:rFonts w:hint="eastAsia" w:ascii="宋体" w:eastAsia="宋体"/>
          <w:bCs w:val="0"/>
          <w:color w:val="auto"/>
          <w:sz w:val="22"/>
          <w:szCs w:val="22"/>
          <w:highlight w:val="none"/>
          <w:u w:val="single"/>
        </w:rPr>
        <w:t>11、本项目所有设备在验收后第一年故障率不得高于</w:t>
      </w:r>
      <w:r>
        <w:rPr>
          <w:rFonts w:ascii="宋体" w:eastAsia="宋体"/>
          <w:bCs w:val="0"/>
          <w:color w:val="auto"/>
          <w:sz w:val="22"/>
          <w:szCs w:val="22"/>
          <w:highlight w:val="none"/>
          <w:u w:val="single"/>
        </w:rPr>
        <w:t>10%</w:t>
      </w:r>
      <w:r>
        <w:rPr>
          <w:rFonts w:hint="eastAsia" w:ascii="宋体" w:eastAsia="宋体"/>
          <w:bCs w:val="0"/>
          <w:color w:val="auto"/>
          <w:sz w:val="22"/>
          <w:szCs w:val="22"/>
          <w:highlight w:val="none"/>
          <w:u w:val="single"/>
        </w:rPr>
        <w:t>，故障率每年递增不得超过</w:t>
      </w:r>
      <w:r>
        <w:rPr>
          <w:rFonts w:ascii="宋体" w:eastAsia="宋体"/>
          <w:bCs w:val="0"/>
          <w:color w:val="auto"/>
          <w:sz w:val="22"/>
          <w:szCs w:val="22"/>
          <w:highlight w:val="none"/>
          <w:u w:val="single"/>
        </w:rPr>
        <w:t>2%</w:t>
      </w:r>
      <w:r>
        <w:rPr>
          <w:rFonts w:hint="eastAsia" w:ascii="宋体" w:eastAsia="宋体"/>
          <w:bCs w:val="0"/>
          <w:color w:val="auto"/>
          <w:sz w:val="22"/>
          <w:szCs w:val="22"/>
          <w:highlight w:val="none"/>
          <w:u w:val="single"/>
        </w:rPr>
        <w:t>，服务期内实际性能指标不得低于标称指标的</w:t>
      </w:r>
      <w:r>
        <w:rPr>
          <w:rFonts w:ascii="宋体" w:eastAsia="宋体"/>
          <w:bCs w:val="0"/>
          <w:color w:val="auto"/>
          <w:sz w:val="22"/>
          <w:szCs w:val="22"/>
          <w:highlight w:val="none"/>
          <w:u w:val="single"/>
        </w:rPr>
        <w:t>95%</w:t>
      </w:r>
      <w:r>
        <w:rPr>
          <w:rFonts w:hint="eastAsia" w:ascii="宋体" w:eastAsia="宋体"/>
          <w:bCs w:val="0"/>
          <w:color w:val="auto"/>
          <w:sz w:val="22"/>
          <w:szCs w:val="22"/>
          <w:highlight w:val="none"/>
          <w:u w:val="single"/>
        </w:rPr>
        <w:t>，否则招标人有权要求供应商全部更换该设备，所有费用由供应商承担。</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12、本工程为交钥匙工程，供应商不得以其它理由增加费用；中标人自行负责道路开挖审批手续及由此产生的费用、五年光纤链路租赁服务费，招标人仅提供必要协助。</w:t>
      </w:r>
    </w:p>
    <w:p>
      <w:pPr>
        <w:widowControl/>
        <w:autoSpaceDE w:val="0"/>
        <w:autoSpaceDN w:val="0"/>
        <w:adjustRightInd w:val="0"/>
        <w:spacing w:line="460" w:lineRule="atLeast"/>
        <w:ind w:firstLine="431" w:firstLineChars="196"/>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13、此项目整体（包括所有设备及五年光纤链路服务）保修</w:t>
      </w:r>
      <w:r>
        <w:rPr>
          <w:rFonts w:hint="eastAsia" w:ascii="宋体" w:eastAsia="宋体"/>
          <w:bCs w:val="0"/>
          <w:color w:val="auto"/>
          <w:sz w:val="22"/>
          <w:szCs w:val="22"/>
          <w:highlight w:val="none"/>
        </w:rPr>
        <w:t>伍</w:t>
      </w:r>
      <w:r>
        <w:rPr>
          <w:rFonts w:hint="eastAsia" w:ascii="宋体" w:eastAsia="宋体"/>
          <w:b w:val="0"/>
          <w:bCs w:val="0"/>
          <w:color w:val="auto"/>
          <w:sz w:val="22"/>
          <w:szCs w:val="22"/>
          <w:highlight w:val="none"/>
        </w:rPr>
        <w:t>年，供应商在保修期间应严格按照相关标准及双方的约定做好维保服务工作，如服务未能达到考核要求，招标人有权要求供应商更换维保人员并接受由招标人选择维保人员。</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14、要求投标人提供应急预案，以支撑招标人在应急情况下的增加点位、移机应急解决故障等。</w:t>
      </w:r>
    </w:p>
    <w:p>
      <w:pPr>
        <w:widowControl/>
        <w:autoSpaceDE w:val="0"/>
        <w:autoSpaceDN w:val="0"/>
        <w:adjustRightInd w:val="0"/>
        <w:spacing w:line="460" w:lineRule="atLeast"/>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15、中标单位施工前需出具项目设计图，设计图纸需由具备资质的单位出具，并经采购人审核后方可施工。</w:t>
      </w:r>
    </w:p>
    <w:p>
      <w:pPr>
        <w:widowControl/>
        <w:autoSpaceDE w:val="0"/>
        <w:autoSpaceDN w:val="0"/>
        <w:adjustRightInd w:val="0"/>
        <w:spacing w:line="460" w:lineRule="atLeast"/>
        <w:ind w:firstLine="431" w:firstLineChars="196"/>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16、项目验收合格后，需出具质检部门针对本项目的质检报告。</w:t>
      </w:r>
    </w:p>
    <w:p>
      <w:pPr>
        <w:pStyle w:val="3"/>
        <w:rPr>
          <w:rFonts w:hint="default"/>
          <w:lang w:val="en-US" w:eastAsia="zh-CN"/>
        </w:rPr>
      </w:pPr>
    </w:p>
    <w:p>
      <w:pPr>
        <w:pStyle w:val="47"/>
        <w:rPr>
          <w:rFonts w:ascii="宋体" w:hAnsi="宋体"/>
          <w:color w:val="auto"/>
        </w:rPr>
      </w:pPr>
      <w:bookmarkStart w:id="13" w:name="_Toc24080"/>
      <w:r>
        <w:rPr>
          <w:rFonts w:hint="eastAsia" w:ascii="宋体" w:hAnsi="宋体"/>
          <w:color w:val="auto"/>
        </w:rPr>
        <w:t>二、采购内容及技术要求</w:t>
      </w:r>
      <w:bookmarkEnd w:id="13"/>
    </w:p>
    <w:bookmarkEnd w:id="8"/>
    <w:bookmarkEnd w:id="9"/>
    <w:bookmarkEnd w:id="10"/>
    <w:bookmarkEnd w:id="11"/>
    <w:p>
      <w:pPr>
        <w:spacing w:after="120" w:afterLines="50" w:line="460" w:lineRule="atLeast"/>
        <w:ind w:firstLine="442" w:firstLineChars="200"/>
        <w:rPr>
          <w:rFonts w:hint="eastAsia" w:ascii="宋体" w:hAnsi="宋体" w:eastAsia="宋体" w:cs="宋体"/>
          <w:color w:val="auto"/>
          <w:sz w:val="22"/>
          <w:szCs w:val="22"/>
        </w:rPr>
      </w:pPr>
      <w:bookmarkStart w:id="14" w:name="_Toc67213288"/>
      <w:bookmarkStart w:id="15" w:name="_Toc533"/>
      <w:r>
        <w:rPr>
          <w:rFonts w:hint="eastAsia" w:ascii="宋体" w:eastAsia="宋体"/>
          <w:color w:val="auto"/>
          <w:sz w:val="22"/>
          <w:szCs w:val="22"/>
          <w:lang w:val="en-US" w:eastAsia="zh-CN"/>
        </w:rPr>
        <w:t>（一）采购内容</w:t>
      </w:r>
      <w:r>
        <w:rPr>
          <w:rFonts w:hint="eastAsia" w:ascii="宋体" w:hAnsi="宋体" w:eastAsia="宋体" w:cs="宋体"/>
          <w:color w:val="auto"/>
          <w:sz w:val="22"/>
          <w:szCs w:val="22"/>
        </w:rPr>
        <w:t>：</w:t>
      </w:r>
    </w:p>
    <w:tbl>
      <w:tblPr>
        <w:tblStyle w:val="50"/>
        <w:tblW w:w="8819"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4475"/>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73" w:type="dxa"/>
            <w:noWrap w:val="0"/>
            <w:vAlign w:val="center"/>
          </w:tcPr>
          <w:p>
            <w:pPr>
              <w:jc w:val="center"/>
              <w:rPr>
                <w:rFonts w:hint="eastAsia" w:ascii="宋体" w:eastAsia="宋体" w:cs="Courier New"/>
                <w:color w:val="auto"/>
                <w:sz w:val="22"/>
                <w:highlight w:val="none"/>
                <w:lang w:eastAsia="zh-CN"/>
              </w:rPr>
            </w:pPr>
            <w:bookmarkStart w:id="16" w:name="_Toc13070"/>
            <w:r>
              <w:rPr>
                <w:rFonts w:hint="eastAsia" w:ascii="宋体" w:eastAsia="宋体" w:cs="Courier New"/>
                <w:color w:val="auto"/>
                <w:sz w:val="22"/>
                <w:highlight w:val="none"/>
                <w:lang w:val="en-US" w:eastAsia="zh-CN"/>
              </w:rPr>
              <w:t>标项</w:t>
            </w:r>
          </w:p>
        </w:tc>
        <w:tc>
          <w:tcPr>
            <w:tcW w:w="4475" w:type="dxa"/>
            <w:noWrap w:val="0"/>
            <w:vAlign w:val="center"/>
          </w:tcPr>
          <w:p>
            <w:pPr>
              <w:jc w:val="center"/>
              <w:rPr>
                <w:rFonts w:hint="default" w:ascii="宋体" w:eastAsia="宋体" w:cs="Courier New"/>
                <w:color w:val="auto"/>
                <w:sz w:val="22"/>
                <w:highlight w:val="none"/>
                <w:lang w:val="en-US"/>
              </w:rPr>
            </w:pPr>
            <w:r>
              <w:rPr>
                <w:rFonts w:hint="eastAsia" w:ascii="宋体" w:eastAsia="宋体" w:cs="Courier New"/>
                <w:color w:val="auto"/>
                <w:sz w:val="22"/>
                <w:highlight w:val="none"/>
                <w:lang w:val="en-US" w:eastAsia="zh-CN"/>
              </w:rPr>
              <w:t>标项内容</w:t>
            </w:r>
          </w:p>
        </w:tc>
        <w:tc>
          <w:tcPr>
            <w:tcW w:w="3371" w:type="dxa"/>
            <w:noWrap w:val="0"/>
            <w:vAlign w:val="center"/>
          </w:tcPr>
          <w:p>
            <w:pPr>
              <w:jc w:val="center"/>
              <w:rPr>
                <w:rFonts w:ascii="宋体" w:eastAsia="宋体" w:cs="Courier New"/>
                <w:color w:val="auto"/>
                <w:sz w:val="22"/>
                <w:highlight w:val="none"/>
              </w:rPr>
            </w:pPr>
            <w:r>
              <w:rPr>
                <w:rFonts w:hint="eastAsia" w:ascii="宋体" w:eastAsia="宋体" w:cs="Courier New"/>
                <w:color w:val="auto"/>
                <w:sz w:val="22"/>
                <w:highlight w:val="none"/>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3" w:type="dxa"/>
            <w:noWrap w:val="0"/>
            <w:vAlign w:val="center"/>
          </w:tcPr>
          <w:p>
            <w:pPr>
              <w:jc w:val="center"/>
              <w:rPr>
                <w:rFonts w:hint="eastAsia" w:ascii="宋体" w:eastAsia="宋体" w:cs="Courier New"/>
                <w:color w:val="auto"/>
                <w:sz w:val="22"/>
                <w:highlight w:val="none"/>
              </w:rPr>
            </w:pPr>
            <w:r>
              <w:rPr>
                <w:rFonts w:hint="eastAsia" w:ascii="宋体" w:eastAsia="宋体" w:cs="Courier New"/>
                <w:color w:val="auto"/>
                <w:sz w:val="22"/>
                <w:highlight w:val="none"/>
              </w:rPr>
              <w:t>1</w:t>
            </w:r>
          </w:p>
        </w:tc>
        <w:tc>
          <w:tcPr>
            <w:tcW w:w="4475" w:type="dxa"/>
            <w:noWrap w:val="0"/>
            <w:vAlign w:val="center"/>
          </w:tcPr>
          <w:p>
            <w:pPr>
              <w:jc w:val="center"/>
              <w:rPr>
                <w:rFonts w:hint="default" w:ascii="宋体" w:eastAsia="宋体" w:cs="Courier New"/>
                <w:color w:val="auto"/>
                <w:sz w:val="22"/>
                <w:highlight w:val="none"/>
                <w:lang w:val="en-US"/>
              </w:rPr>
            </w:pPr>
            <w:r>
              <w:rPr>
                <w:rFonts w:hint="eastAsia" w:ascii="宋体" w:eastAsia="宋体" w:cs="Courier New"/>
                <w:color w:val="auto"/>
                <w:sz w:val="22"/>
                <w:highlight w:val="none"/>
                <w:lang w:val="en-US" w:eastAsia="zh-CN"/>
              </w:rPr>
              <w:t>永嘉县公安局交通警察大队国省道信号灯建设</w:t>
            </w:r>
          </w:p>
        </w:tc>
        <w:tc>
          <w:tcPr>
            <w:tcW w:w="3371" w:type="dxa"/>
            <w:noWrap w:val="0"/>
            <w:vAlign w:val="center"/>
          </w:tcPr>
          <w:p>
            <w:pPr>
              <w:jc w:val="center"/>
              <w:rPr>
                <w:rFonts w:hint="eastAsia" w:ascii="宋体" w:eastAsia="宋体" w:cs="Courier New"/>
                <w:color w:val="auto"/>
                <w:sz w:val="22"/>
                <w:highlight w:val="none"/>
              </w:rPr>
            </w:pPr>
            <w:r>
              <w:rPr>
                <w:rFonts w:hint="eastAsia" w:ascii="宋体" w:eastAsia="宋体" w:cs="Courier New"/>
                <w:color w:val="auto"/>
                <w:sz w:val="22"/>
                <w:highlight w:val="none"/>
              </w:rPr>
              <w:t>新建，具体见详细清单及技术要求</w:t>
            </w:r>
          </w:p>
        </w:tc>
      </w:tr>
    </w:tbl>
    <w:p>
      <w:pPr>
        <w:spacing w:after="120" w:afterLines="50" w:line="460" w:lineRule="atLeast"/>
        <w:ind w:firstLine="442" w:firstLineChars="200"/>
        <w:rPr>
          <w:rFonts w:hint="eastAsia" w:ascii="宋体" w:eastAsia="宋体"/>
          <w:color w:val="auto"/>
          <w:sz w:val="22"/>
          <w:szCs w:val="22"/>
          <w:lang w:val="en-US" w:eastAsia="zh-CN"/>
        </w:rPr>
      </w:pPr>
    </w:p>
    <w:p>
      <w:pPr>
        <w:spacing w:after="120" w:afterLines="50" w:line="460" w:lineRule="atLeast"/>
        <w:ind w:firstLine="442" w:firstLineChars="200"/>
        <w:rPr>
          <w:rFonts w:hint="eastAsia" w:ascii="宋体" w:eastAsia="宋体"/>
          <w:color w:val="auto"/>
          <w:sz w:val="22"/>
          <w:szCs w:val="22"/>
          <w:lang w:val="en-US" w:eastAsia="zh-CN"/>
        </w:rPr>
      </w:pPr>
    </w:p>
    <w:p>
      <w:pPr>
        <w:spacing w:after="120" w:afterLines="50" w:line="460" w:lineRule="atLeast"/>
        <w:ind w:firstLine="442" w:firstLineChars="200"/>
        <w:rPr>
          <w:rFonts w:hint="eastAsia" w:ascii="宋体" w:hAnsi="宋体" w:eastAsia="宋体" w:cs="宋体"/>
          <w:color w:val="auto"/>
          <w:sz w:val="22"/>
          <w:szCs w:val="22"/>
          <w:highlight w:val="none"/>
        </w:rPr>
      </w:pPr>
      <w:r>
        <w:rPr>
          <w:rFonts w:hint="eastAsia" w:ascii="宋体" w:eastAsia="宋体"/>
          <w:color w:val="auto"/>
          <w:sz w:val="22"/>
          <w:szCs w:val="22"/>
          <w:lang w:val="en-US" w:eastAsia="zh-CN"/>
        </w:rPr>
        <w:br w:type="column"/>
      </w:r>
      <w:r>
        <w:rPr>
          <w:rFonts w:hint="eastAsia" w:ascii="宋体" w:eastAsia="宋体"/>
          <w:color w:val="auto"/>
          <w:sz w:val="22"/>
          <w:szCs w:val="22"/>
          <w:lang w:val="en-US" w:eastAsia="zh-CN"/>
        </w:rPr>
        <w:t>（二）详</w:t>
      </w:r>
      <w:r>
        <w:rPr>
          <w:rFonts w:hint="eastAsia" w:ascii="宋体" w:eastAsia="宋体"/>
          <w:color w:val="auto"/>
          <w:sz w:val="22"/>
          <w:szCs w:val="22"/>
          <w:highlight w:val="none"/>
          <w:lang w:val="en-US" w:eastAsia="zh-CN"/>
        </w:rPr>
        <w:t>细清单及技术要求</w:t>
      </w:r>
      <w:r>
        <w:rPr>
          <w:rFonts w:hint="eastAsia" w:ascii="宋体" w:hAnsi="宋体" w:eastAsia="宋体" w:cs="宋体"/>
          <w:color w:val="auto"/>
          <w:sz w:val="22"/>
          <w:szCs w:val="22"/>
          <w:highlight w:val="none"/>
        </w:rPr>
        <w:t>：</w:t>
      </w:r>
    </w:p>
    <w:tbl>
      <w:tblPr>
        <w:tblStyle w:val="50"/>
        <w:tblW w:w="97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1120"/>
        <w:gridCol w:w="4165"/>
        <w:gridCol w:w="664"/>
        <w:gridCol w:w="664"/>
        <w:gridCol w:w="650"/>
        <w:gridCol w:w="650"/>
        <w:gridCol w:w="579"/>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18"/>
                <w:szCs w:val="18"/>
                <w:u w:val="none"/>
                <w:lang w:val="en-US" w:eastAsia="zh-CN" w:bidi="ar"/>
              </w:rPr>
              <w:t>货物名称</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18"/>
                <w:szCs w:val="18"/>
                <w:u w:val="none"/>
                <w:lang w:val="en-US" w:eastAsia="zh-CN" w:bidi="ar"/>
              </w:rPr>
              <w:t>主要规格</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18"/>
                <w:szCs w:val="18"/>
                <w:u w:val="none"/>
                <w:lang w:val="en-US" w:eastAsia="zh-CN" w:bidi="ar"/>
              </w:rPr>
              <w:t>208省道-码砗村</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18"/>
                <w:szCs w:val="18"/>
                <w:u w:val="none"/>
                <w:lang w:val="en-US" w:eastAsia="zh-CN" w:bidi="ar"/>
              </w:rPr>
              <w:t>208省道-西岸村</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18"/>
                <w:szCs w:val="18"/>
                <w:u w:val="none"/>
                <w:lang w:val="en-US" w:eastAsia="zh-CN" w:bidi="ar"/>
              </w:rPr>
              <w:t>208省道-岩坦小学</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18"/>
                <w:szCs w:val="18"/>
                <w:u w:val="none"/>
                <w:lang w:val="en-US" w:eastAsia="zh-CN" w:bidi="ar"/>
              </w:rPr>
              <w:t>330国道-洛溪村</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18"/>
                <w:szCs w:val="18"/>
                <w:u w:val="none"/>
                <w:lang w:val="en-US" w:eastAsia="zh-CN" w:bidi="ar"/>
              </w:rPr>
              <w:t>数量</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机动车信号灯控制机</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18"/>
                <w:szCs w:val="18"/>
                <w:u w:val="none"/>
                <w:lang w:val="en-US" w:eastAsia="zh-CN" w:bidi="ar"/>
              </w:rPr>
              <w:t>支持路口联调,支持GPS对时，可同时控制4个临近路口。</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具有行人过街请求按钮，警察手控按钮。停电时，5年不丢失数据。16相位控制，相序可由用户设置。54路灯控输出，可扩充到108路。</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自带16路线圈检测器，可扩充到32路；可接二种类型的车辆检测器(环形线圈检测器、 视频检测器)。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设有“节假日”、“星期”、“普通”三种模式，可指定多于32个特殊日配时方案，每天可 设16个时段和20种配时方案。</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支持NTCIP通信协议2个RS232、1个RS422串行通信口、1个RJ45网络接口。每路驱动功率：大于 800W（AC220V）  交流输入： 220(+15%、-20%)VAC，50±2HZ  输入功耗： 小于 50W（不包括信号灯）工作温度： -20℃～+70℃ 相对湿度： 5～95%，不绣钢机箱</w:t>
            </w:r>
            <w:r>
              <w:rPr>
                <w:rFonts w:hint="eastAsia" w:ascii="宋体" w:eastAsia="宋体" w:cs="宋体"/>
                <w:b w:val="0"/>
                <w:bCs w:val="0"/>
                <w:i w:val="0"/>
                <w:iCs w:val="0"/>
                <w:color w:val="000000"/>
                <w:kern w:val="0"/>
                <w:sz w:val="18"/>
                <w:szCs w:val="18"/>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auto"/>
                <w:kern w:val="0"/>
                <w:sz w:val="18"/>
                <w:szCs w:val="18"/>
                <w:highlight w:val="none"/>
                <w:u w:val="none"/>
                <w:shd w:val="clear" w:color="auto" w:fill="auto"/>
                <w:lang w:val="en-US" w:eastAsia="zh-CN" w:bidi="ar"/>
              </w:rPr>
              <w:t>信号灯落地机柜</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val="0"/>
                <w:bCs w:val="0"/>
                <w:i w:val="0"/>
                <w:iCs w:val="0"/>
                <w:color w:val="000000"/>
                <w:sz w:val="22"/>
                <w:szCs w:val="22"/>
                <w:u w:val="none"/>
                <w:lang w:val="en-US" w:eastAsia="zh-CN"/>
              </w:rPr>
            </w:pPr>
            <w:r>
              <w:rPr>
                <w:rFonts w:hint="eastAsia" w:ascii="宋体" w:eastAsia="宋体" w:cs="宋体"/>
                <w:b w:val="0"/>
                <w:bCs w:val="0"/>
                <w:i w:val="0"/>
                <w:iCs w:val="0"/>
                <w:color w:val="000000"/>
                <w:sz w:val="18"/>
                <w:szCs w:val="18"/>
                <w:u w:val="none"/>
                <w:lang w:val="en-US" w:eastAsia="zh-CN" w:bidi="ar"/>
              </w:rPr>
              <w:t>国产定制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信号灯落地机柜基础</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1000*1000*1000mm ,C25商品混凝土， 含挖掘费、人工、材料费、土方清理费用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信号灯落地机柜内设</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备安装调试</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定制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辅助交通信号灯</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三联机动车灯为三联灯，由红色灯、黄色灯和绿色灯三单元装入灯壳构成一个整体，发光单元直径为</w:t>
            </w:r>
            <w:r>
              <w:rPr>
                <w:rFonts w:ascii="Calibri" w:hAnsi="Calibri" w:eastAsia="宋体" w:cs="Calibri"/>
                <w:b w:val="0"/>
                <w:bCs w:val="0"/>
                <w:i w:val="0"/>
                <w:iCs w:val="0"/>
                <w:color w:val="000000"/>
                <w:kern w:val="0"/>
                <w:sz w:val="18"/>
                <w:szCs w:val="18"/>
                <w:u w:val="none"/>
                <w:lang w:val="en-US" w:eastAsia="zh-CN" w:bidi="ar"/>
              </w:rPr>
              <w:t>Φ</w:t>
            </w:r>
            <w:r>
              <w:rPr>
                <w:rFonts w:hint="eastAsia" w:ascii="宋体" w:hAnsi="宋体" w:eastAsia="宋体" w:cs="宋体"/>
                <w:b w:val="0"/>
                <w:bCs w:val="0"/>
                <w:i w:val="0"/>
                <w:iCs w:val="0"/>
                <w:color w:val="000000"/>
                <w:kern w:val="0"/>
                <w:sz w:val="18"/>
                <w:szCs w:val="18"/>
                <w:u w:val="none"/>
                <w:lang w:val="en-US" w:eastAsia="zh-CN" w:bidi="ar"/>
              </w:rPr>
              <w:t>400mm。 灯芯采用进口大功率LED配合自由曲面灯罩的新型光学系统。符合中华人民共和国GB14887-2011标准中的技术指标；（1） LED光源：采用3W大功率LED，全部为原装进口日本日亚公司生产的LED发光二极（或质量、性能不低于其的产品）。大功率LED可靠性更高，寿命更长，光衰更小的特点，光通量维持率（维持到初始时70%时间）≥10万小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（2）光强分布： 符合GB14887-2011表2图案信号灯光强分布,其中红车灯中心&gt;820cd，黄车灯中心&gt;820cd，绿车灯中心&gt;880cd</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 色 坐 标：符合GB14887-2011  色度性能表6</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红色625±5nm    X=0.6984，Y=0.3014</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黄色590±5nm    X=0.5802，Y=0.4137</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绿色505±4nm    X=0.0848，Y=0.5739</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 外形尺寸： 1359X456X508mm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（5） 灯面尺寸： </w:t>
            </w:r>
            <w:r>
              <w:rPr>
                <w:rFonts w:ascii="Calibri" w:hAnsi="Calibri" w:eastAsia="宋体" w:cs="Calibri"/>
                <w:b w:val="0"/>
                <w:bCs w:val="0"/>
                <w:i w:val="0"/>
                <w:iCs w:val="0"/>
                <w:color w:val="000000"/>
                <w:kern w:val="0"/>
                <w:sz w:val="18"/>
                <w:szCs w:val="18"/>
                <w:u w:val="none"/>
                <w:lang w:val="en-US" w:eastAsia="zh-CN" w:bidi="ar"/>
              </w:rPr>
              <w:t>Φ</w:t>
            </w:r>
            <w:r>
              <w:rPr>
                <w:rFonts w:hint="eastAsia" w:ascii="宋体" w:hAnsi="宋体" w:eastAsia="宋体" w:cs="宋体"/>
                <w:b w:val="0"/>
                <w:bCs w:val="0"/>
                <w:i w:val="0"/>
                <w:iCs w:val="0"/>
                <w:color w:val="000000"/>
                <w:kern w:val="0"/>
                <w:sz w:val="18"/>
                <w:szCs w:val="18"/>
                <w:u w:val="none"/>
                <w:lang w:val="en-US" w:eastAsia="zh-CN" w:bidi="ar"/>
              </w:rPr>
              <w:t>400mm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 光学透镜： 采用菲涅尔透镜配光技术，灯面更匀，亮度更高，单颗LED失效，</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灯面不会出现明显局部暗区。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  供电电压： AC220V±20%  50Hz</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  功    率： ≤20W</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  谐波失真： ＜20%</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 功率因数： ≥0.9</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 启动瞬时电流：≤1A</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 启动时间和关断时间：均≤75ms</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（13） 关断电压： 95V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（14） 工作温度： -40℃~+75℃</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（15） 湿度范围： 5%--95%</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（16） 绝缘电阻： ≥10M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（17） 使用寿命： ＞50000h</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（18） 抗 风 压： 符合 GB14887 的相关要求</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（19） 抗 振 动： 符合 GB14887 的相关要求</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（20） 防水、防尘措施防护等级：不低于IP54</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（21） 重    量： ≤18kg（含包装、配件）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（22） 外壳材质：压铸铝</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箭头交通信号灯</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三联机动车灯为三联灯，由红色灯、黄色灯和绿色灯三单元装入灯壳构成一个整体，发光单元直径为</w:t>
            </w:r>
            <w:r>
              <w:rPr>
                <w:rFonts w:hint="default" w:ascii="Calibri" w:hAnsi="Calibri" w:eastAsia="宋体" w:cs="Calibri"/>
                <w:b w:val="0"/>
                <w:bCs w:val="0"/>
                <w:i w:val="0"/>
                <w:iCs w:val="0"/>
                <w:color w:val="000000"/>
                <w:kern w:val="0"/>
                <w:sz w:val="18"/>
                <w:szCs w:val="18"/>
                <w:u w:val="none"/>
                <w:lang w:val="en-US" w:eastAsia="zh-CN" w:bidi="ar"/>
              </w:rPr>
              <w:t>Φ</w:t>
            </w:r>
            <w:r>
              <w:rPr>
                <w:rFonts w:hint="eastAsia" w:ascii="宋体" w:hAnsi="宋体" w:eastAsia="宋体" w:cs="宋体"/>
                <w:b w:val="0"/>
                <w:bCs w:val="0"/>
                <w:i w:val="0"/>
                <w:iCs w:val="0"/>
                <w:color w:val="000000"/>
                <w:kern w:val="0"/>
                <w:sz w:val="18"/>
                <w:szCs w:val="18"/>
                <w:u w:val="none"/>
                <w:lang w:val="en-US" w:eastAsia="zh-CN" w:bidi="ar"/>
              </w:rPr>
              <w:t>400mm。 灯芯采用进口大功率LED配合自由曲面灯罩的新型光学系统。符合中华人民共和国GB14887-2011标准中的技术指标；（1） LED光源：采用3W大功率LED，全部为原装进口日本日亚公司生产的LED发光二极（或质量、性能不低于其的产品）。大功率LED可靠性更高，寿命更长，光衰更小的特点，光通量维持率（维持到初始时70%时间）≥10万小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（2）光强分布： 符合GB14887-2011表2图案信号灯光强分布,其中红车灯中心&gt;820cd，黄车灯中心&gt;820cd，绿车灯中心&gt;880cd</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 色 坐 标：符合GB14887-2011  色度性能表6</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红色625±5nm    X=0.6984，Y=0.3014</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黄色590±5nm    X=0.5802，Y=0.4137</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绿色505±4nm    X=0.0848，Y=0.5739</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 外形尺寸： 1359X456X508mm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（5） 灯面尺寸： </w:t>
            </w:r>
            <w:r>
              <w:rPr>
                <w:rFonts w:hint="default" w:ascii="Calibri" w:hAnsi="Calibri" w:eastAsia="宋体" w:cs="Calibri"/>
                <w:b w:val="0"/>
                <w:bCs w:val="0"/>
                <w:i w:val="0"/>
                <w:iCs w:val="0"/>
                <w:color w:val="000000"/>
                <w:kern w:val="0"/>
                <w:sz w:val="18"/>
                <w:szCs w:val="18"/>
                <w:u w:val="none"/>
                <w:lang w:val="en-US" w:eastAsia="zh-CN" w:bidi="ar"/>
              </w:rPr>
              <w:t>Φ</w:t>
            </w:r>
            <w:r>
              <w:rPr>
                <w:rFonts w:hint="eastAsia" w:ascii="宋体" w:hAnsi="宋体" w:eastAsia="宋体" w:cs="宋体"/>
                <w:b w:val="0"/>
                <w:bCs w:val="0"/>
                <w:i w:val="0"/>
                <w:iCs w:val="0"/>
                <w:color w:val="000000"/>
                <w:kern w:val="0"/>
                <w:sz w:val="18"/>
                <w:szCs w:val="18"/>
                <w:u w:val="none"/>
                <w:lang w:val="en-US" w:eastAsia="zh-CN" w:bidi="ar"/>
              </w:rPr>
              <w:t>400mm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 光学透镜： 采用菲涅尔透镜配光技术，灯面更匀，亮度更高，单颗LED失效，</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灯面不会出现明显局部暗区。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  供电电压： AC220V±20%  50Hz</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  功    率： ≤20W</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  谐波失真： ＜20%</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 功率因数： ≥0.9</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 启动瞬时电流：≤1A</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 启动时间和关断时间：均≤75ms</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（13） 关断电压： 95V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（14） 工作温度： -40℃~+75℃</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（15） 湿度范围： 5%--95%</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（16） 绝缘电阻： ≥10M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（17） 使用寿命： ＞50000h</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（18） 抗 风 压： 符合 GB14887 的相关要求</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（19） 抗 振 动： 符合 GB14887 的相关要求</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（20） 防水、防尘措施防护等级：不低于IP54</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（21） 重    量： ≤18kg（含包装、配件）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（22） 外壳材质：压铸铝</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圆盘交通信号灯</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三联机动车灯为三联灯，由红色灯、黄色灯和绿色灯三单元装入灯壳构成一个整体，发光单元直径为</w:t>
            </w:r>
            <w:r>
              <w:rPr>
                <w:rFonts w:hint="default" w:ascii="Calibri" w:hAnsi="Calibri" w:eastAsia="宋体" w:cs="Calibri"/>
                <w:b w:val="0"/>
                <w:bCs w:val="0"/>
                <w:i w:val="0"/>
                <w:iCs w:val="0"/>
                <w:color w:val="000000"/>
                <w:kern w:val="0"/>
                <w:sz w:val="18"/>
                <w:szCs w:val="18"/>
                <w:u w:val="none"/>
                <w:lang w:val="en-US" w:eastAsia="zh-CN" w:bidi="ar"/>
              </w:rPr>
              <w:t>Φ</w:t>
            </w:r>
            <w:r>
              <w:rPr>
                <w:rFonts w:hint="eastAsia" w:ascii="宋体" w:hAnsi="宋体" w:eastAsia="宋体" w:cs="宋体"/>
                <w:b w:val="0"/>
                <w:bCs w:val="0"/>
                <w:i w:val="0"/>
                <w:iCs w:val="0"/>
                <w:color w:val="000000"/>
                <w:kern w:val="0"/>
                <w:sz w:val="18"/>
                <w:szCs w:val="18"/>
                <w:u w:val="none"/>
                <w:lang w:val="en-US" w:eastAsia="zh-CN" w:bidi="ar"/>
              </w:rPr>
              <w:t>400mm。 灯芯采用进口大功率LED配合自由曲面灯罩的新型光学系统。符合中华人民共和国GB14887-2011标准中的技术指标；（1） LED光源：采用3W大功率LED，全部为原装进口日本日亚公司生产的LED发光二极（或质量、性能不低于其的产品）。大功率LED可靠性更高，寿命更长，光衰更小的特点，光通量维持率（维持到初始时70%时间）≥10万小时；（2）光强分布： 符合GB14887-2011表2图案信号灯光强分布，其中红车灯中心&gt;820cd，黄车灯中心&gt;820cd，</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绿车灯中心&gt;880cd（3） 色 坐 标：符合GB14887-2011  色度性能表6</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红色625±5nm    X=0.6984，Y=0.3014</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黄色590±5nm    X=0.5802，Y=0.4137</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绿色505±4nm    X=0.0848，Y=0.5739</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 外形尺寸： 1359X456X508mm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（5） 灯面尺寸： </w:t>
            </w:r>
            <w:r>
              <w:rPr>
                <w:rFonts w:hint="default" w:ascii="Calibri" w:hAnsi="Calibri" w:eastAsia="宋体" w:cs="Calibri"/>
                <w:b w:val="0"/>
                <w:bCs w:val="0"/>
                <w:i w:val="0"/>
                <w:iCs w:val="0"/>
                <w:color w:val="000000"/>
                <w:kern w:val="0"/>
                <w:sz w:val="18"/>
                <w:szCs w:val="18"/>
                <w:u w:val="none"/>
                <w:lang w:val="en-US" w:eastAsia="zh-CN" w:bidi="ar"/>
              </w:rPr>
              <w:t>Φ</w:t>
            </w:r>
            <w:r>
              <w:rPr>
                <w:rFonts w:hint="eastAsia" w:ascii="宋体" w:hAnsi="宋体" w:eastAsia="宋体" w:cs="宋体"/>
                <w:b w:val="0"/>
                <w:bCs w:val="0"/>
                <w:i w:val="0"/>
                <w:iCs w:val="0"/>
                <w:color w:val="000000"/>
                <w:kern w:val="0"/>
                <w:sz w:val="18"/>
                <w:szCs w:val="18"/>
                <w:u w:val="none"/>
                <w:lang w:val="en-US" w:eastAsia="zh-CN" w:bidi="ar"/>
              </w:rPr>
              <w:t>400mm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 光学透镜： 采用菲涅尔透镜配光技术，灯面更匀，亮度更高，单颗LED失效，</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灯面不会出现明显局部暗区。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  供电电压： AC220V±20%  50Hz</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  功    率： ≤20W</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  谐波失真： ＜20%</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 功率因数： ≥0.9</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 启动瞬时电流：≤1A</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 启动时间和关断时间：均≤75ms</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（13） 关断电压： 95V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（14） 工作温度： -40℃~+75℃</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（15） 湿度范围： 5%--95%</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（16） 绝缘电阻： ≥10M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（17） 使用寿命： ＞50000h</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（18） 抗 风 压： 符合 GB14887 的相关要求</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（19） 抗 振 动： 符合 GB14887 的相关要求</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（20） 防水、防尘措施防护等级：不低于IP54</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（21） 重    量： ≤18kg（含包装、配件）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（22） 外壳材质：压铸铝</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 xml:space="preserve"> 倒计时器</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 xml:space="preserve">倒计时屏（通讯型)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光学特性 采用3W大功率LED，全部为原装进口日本日亚公司生产的LED发光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二极（或质量、性能不低于其的产品）。</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1、灯面尺寸：          800mm*600mm*70mm。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2、LED个数及基准波长： 红发光二极管：392个，波长625±5mm。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绿发光二极管：350个，波长505±2mm。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黄发光二极管：196个，波长590±5mm。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3、亮    度：          符合《道路交通信号倒计时显示器（GA/T508-2014）》章节4.5表2倒计时显示器的最低亮度值。</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4、色    度：           符合《道路交通信号倒计时显示器（GA/T508-2014）》章节4.6表3倒计时显示器光色色品坐标范围。</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电气特性</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1、功率: 红倒计时（显示88）小于18W；黄倒计时（显示8）小于15W;绿倒计时（显示88）小于20W。</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2、工作电压：        AC220V±22V，50HZ/60HZ。</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3、倒计时工作方式：    RS485实时通信方式：协议采用《道路交通信号倒计时显示器》 （GA/T508-2014）版，通信速率9600波特率。</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学习式：上电第一二周期处于学习阶段，黑屏，第三周期后显示倒计时时间。</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红倒计时时间范围1-99；绿倒计时时间范围1-99；黄倒计时时间范围1-9。</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4、环境温度：  -40℃~+75℃。</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5、耐高低温性能： 符合《道路交通信号倒计时显示器（GA/T508-2014）》章节4.10、4.11气候环境适应性要求。</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6、供电方式: 外拉AC220V供电。</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7、绝缘电阻：倒计时带电部分和箱体之间绝缘电阻不小于10M</w:t>
            </w:r>
            <w:r>
              <w:rPr>
                <w:rFonts w:hint="default" w:ascii="Calibri" w:hAnsi="Calibri" w:eastAsia="宋体" w:cs="Calibri"/>
                <w:b w:val="0"/>
                <w:bCs w:val="0"/>
                <w:i w:val="0"/>
                <w:iCs w:val="0"/>
                <w:color w:val="000000"/>
                <w:kern w:val="0"/>
                <w:sz w:val="18"/>
                <w:szCs w:val="18"/>
                <w:u w:val="none"/>
                <w:lang w:val="en-US" w:eastAsia="zh-CN" w:bidi="ar"/>
              </w:rPr>
              <w:t>Ω</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其他</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1、灯箱外壳材料：  铝壳。</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2、使用寿命： 大于50000h（6年）。</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 防水、防尘等级： 不低于IP54。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20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抱箍</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材质：不锈钢。表面处理：米黄漆；</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24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24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86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人行信号灯</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竖装双8静态人行灯</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包含：灯具、帽檐、装饰边、横连杆抱箍（直径：89mm）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产品尺寸：1065×350×120mm（铝壳灯体）</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面罩规格：</w:t>
            </w:r>
            <w:r>
              <w:rPr>
                <w:rFonts w:hint="default" w:ascii="Calibri" w:hAnsi="Calibri" w:eastAsia="宋体" w:cs="Calibri"/>
                <w:b w:val="0"/>
                <w:bCs w:val="0"/>
                <w:i w:val="0"/>
                <w:iCs w:val="0"/>
                <w:color w:val="000000"/>
                <w:kern w:val="0"/>
                <w:sz w:val="18"/>
                <w:szCs w:val="18"/>
                <w:u w:val="none"/>
                <w:lang w:val="en-US" w:eastAsia="zh-CN" w:bidi="ar"/>
              </w:rPr>
              <w:t>φ</w:t>
            </w:r>
            <w:r>
              <w:rPr>
                <w:rFonts w:hint="eastAsia" w:ascii="宋体" w:hAnsi="宋体" w:eastAsia="宋体" w:cs="宋体"/>
                <w:b w:val="0"/>
                <w:bCs w:val="0"/>
                <w:i w:val="0"/>
                <w:iCs w:val="0"/>
                <w:color w:val="000000"/>
                <w:kern w:val="0"/>
                <w:sz w:val="18"/>
                <w:szCs w:val="18"/>
                <w:u w:val="none"/>
                <w:lang w:val="en-US" w:eastAsia="zh-CN" w:bidi="ar"/>
              </w:rPr>
              <w:t xml:space="preserve">300mm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面罩材质：玻璃</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外壳材质：铝压铸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表面处理：黑色喷塑哑光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LED数量：红60，绿56；倒计时：红140，绿140</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LED波长：红：625nm；绿：505nm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LED直径：</w:t>
            </w:r>
            <w:r>
              <w:rPr>
                <w:rFonts w:hint="default" w:ascii="Calibri" w:hAnsi="Calibri" w:eastAsia="宋体" w:cs="Calibri"/>
                <w:b w:val="0"/>
                <w:bCs w:val="0"/>
                <w:i w:val="0"/>
                <w:iCs w:val="0"/>
                <w:color w:val="000000"/>
                <w:kern w:val="0"/>
                <w:sz w:val="18"/>
                <w:szCs w:val="18"/>
                <w:u w:val="none"/>
                <w:lang w:val="en-US" w:eastAsia="zh-CN" w:bidi="ar"/>
              </w:rPr>
              <w:t>φ</w:t>
            </w:r>
            <w:r>
              <w:rPr>
                <w:rFonts w:hint="eastAsia" w:ascii="宋体" w:hAnsi="宋体" w:eastAsia="宋体" w:cs="宋体"/>
                <w:b w:val="0"/>
                <w:bCs w:val="0"/>
                <w:i w:val="0"/>
                <w:iCs w:val="0"/>
                <w:color w:val="000000"/>
                <w:kern w:val="0"/>
                <w:sz w:val="18"/>
                <w:szCs w:val="18"/>
                <w:u w:val="none"/>
                <w:lang w:val="en-US" w:eastAsia="zh-CN" w:bidi="ar"/>
              </w:rPr>
              <w:t xml:space="preserve">5mm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单管电流：＜18mA</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LED寿命：≥70000小时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绝缘电阻：≥500M</w:t>
            </w:r>
            <w:r>
              <w:rPr>
                <w:rFonts w:hint="default" w:ascii="Calibri" w:hAnsi="Calibri" w:eastAsia="宋体" w:cs="Calibri"/>
                <w:b w:val="0"/>
                <w:bCs w:val="0"/>
                <w:i w:val="0"/>
                <w:iCs w:val="0"/>
                <w:color w:val="000000"/>
                <w:kern w:val="0"/>
                <w:sz w:val="18"/>
                <w:szCs w:val="18"/>
                <w:u w:val="none"/>
                <w:lang w:val="en-US" w:eastAsia="zh-CN" w:bidi="ar"/>
              </w:rPr>
              <w:t>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介电强度：≥1440V</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中心光强：150~400 cd</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可视距离：＞300m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可视角度：＞30°</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工作电压：AC 220V±44V，50HZ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功率：功率≤15W</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工作温度：-40 ~ +80℃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相对湿度：≤93%</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防护等级：IP53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人行信号灯杆</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1.名称:中89单柱式标志杆;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2.材料品种:A3无缝钢管，采用热浸镀锌进行防锈处理;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3.规格:中89*6*4550mm立柱。</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人行灯基础</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基础材料品种、厚度、强度:100cm厚C25混凝土基础。</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辅助交通信号灯杆件及基础</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定制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抱杆控制机箱</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材质：304不锈钢。800mm×500mm×300mm；配置4层隔板，4套排插，配置漏电保护空开，同时支持内嵌式、外抱式固定，厚度大于2mm。</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动态显示屏（含软件）</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产品参数：</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·材质 外壳不锈钢，表面喷塑哑光处理；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·文字内容  待行区显示：左转动态箭头+左转车入待行区；直行动态箭头+直行车入待行区； 信息显示：可输入红、绿两种颜色的任意文字；</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·显示尺寸 164 cm×84 cm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·像素WH 164×84；间距10mm；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·外形尺寸 170cm×90cm×15cm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·重量  约62KG</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·毛重  ≤67KG</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·输入电压 220±20% VAC;</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·LED屏功率   最大360W；</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·控制信号 信号灯取控制信号220V，最多可接入三路控制信号；</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·控制方式  信号上电触发，内容持续保持到新信号触发切换；脉冲触发；</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·控制接口   A直行待行区触发信号，B左转待行区触发信号，</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C禁止进入触发信号（可用作信息显示触发信号）；</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·联网方式  100/10M以太网 RJ45接口</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·内容设定 远程设定或内置存储；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·内容颜色 节目设定，自动跟随切换（有绿信号即显示绿，否则显示红）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·使用环境 户外-20 ~ +80℃；湿度≤93%</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·保存环境 0~50℃，40~60%RH</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·安装模式 横放。</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枪球一体机</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内置2个镜头，可以输出两路视频图像，1路全景视频图像、1路细节视频图像;内置2颗GPU芯片（以公安部检验报告为准）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全景通道采用1/1.8＂CMOS传感器，镜头焦距4mm；细节通道采用1/2.8＂CMOS传感器，23倍光学变倍，镜头4.8 mm~110 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视频输出分辨率：2560×1440</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支持采用H.265、H.264视频编码标准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支持对镜头前盖玻璃加热，去除玻璃上的冰状和水状附着物。（以公安部检验报告为准）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★支持快捷配置功能，可在预览画面开启/关闭“快捷配置”页面，对曝光参数、OSD、智能资源分配模式等参数进行配置，并可一键恢复为默认设置。（以公安部检验报告为准）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★支持跟踪报警功能，可对监视画面中的多个目标进行跟踪，并可显示移动目标的属性（人、车、其他）；当移动目标进入监视画面时可报警上传，离开监视画面5s后解除报警（以公安部检验报告为准）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★支持白平衡参数锁定功能，可将白平衡参数锁定为当前设定值，锁定后白平衡参数值不应改变（以公安部检验报告为准）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定位联动功能，可自动标定全景视频图像与细节视频图像，使通过客户端软件或IE浏览器在全景视频图像中点击或框选任意区域后，在细节视频图像旋转角度范围允许的条件下，可将该区域处于细节视频图像中央，标定点数量不少于6个，且标定用时不大于1s（以公安部检验报告为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支持电源电压低于设定阈值时，可通过客户端软件或IE浏览器给出欠压报警提示，并可在预览界面显示报警图标（以公安部检验报告为准）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支持循环跟踪功能，当全景视频图像中有多个目标触发报警事件后，细节视频图像可联动对多个目标循环跟踪。（以公安部检验报告为准）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支持预置位视频冻结功能；可实现RS485接口优先或RJ45网络接口优先控制功能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支持智能红外、透雾、强光抑制、电子防抖、数字降噪、防红外过曝功能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支持区域遮盖功能，支持设置不规则四边形区域遮盖，可设置不同颜色</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球机应具备本机存储功能，支持SD卡热插拔</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支持区域入侵、越界入侵、徘徊、物品移除、物品遗留、人员聚集、停车、快速移动，并联动报警</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球机支架</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材质：不锈钢。表面处理：米黄漆；360度全方位旋转！</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工业级交换机</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高性能及可灵活配置的三层线性交换机； 支持100Base-TX、1000Base-T、100Base-FX、1000Base-X等协议；10/100/1000Mbps自适应，便于网络的升级</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9K巨型帧，适合高清视频传输；支持AC-220V/DC-12V/DC-5V供电，满足多种场合的应用需求；支持自协商或强制模式，支持全双工和半双工网络通信；支持VLAN隔离，利于多方式网络智能管理；支持直连交叉自动识别(AUTO-MDIX)；带有防静电、防浪涌保护功能，确保恶劣环境下的稳定工作；先进的技术方案与性能优异的集成芯片结合，抗电磁干扰能力强；低功耗无风扇设计，良好的散热性,保证长时间的稳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红绿灯信号灯灯杆</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6.8米L杆，挑臂长度 7-11 米，（根据实际道路宽度而定）</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1：材质：八角杆体，Q235钢材，立柱采用的钢材符合GB-700的要求。主杆壁厚≥10mm，横挑臂厚≥8mm，底法兰厚度≥20mm，加强筋厚度≥20mm，主杆直径≥340mm，主杆采用针型避雷。（防锈、热镀锌处理）。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2：基础规格:不低于1400*1400*2000（mm），所有监控立杆预埋件混凝土为C25砼，所配钢筋符合国标及受风要求。混凝土的配比和最小水泥用量应符合GBJ204-83的规定，接地电阻＜4</w:t>
            </w:r>
            <w:r>
              <w:rPr>
                <w:rFonts w:hint="default" w:ascii="Calibri" w:hAnsi="Calibri" w:eastAsia="宋体" w:cs="Calibri"/>
                <w:b w:val="0"/>
                <w:bCs w:val="0"/>
                <w:i w:val="0"/>
                <w:iCs w:val="0"/>
                <w:color w:val="000000"/>
                <w:kern w:val="0"/>
                <w:sz w:val="18"/>
                <w:szCs w:val="18"/>
                <w:u w:val="none"/>
                <w:lang w:val="en-US" w:eastAsia="zh-CN" w:bidi="ar"/>
              </w:rPr>
              <w:t>Ω</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3：焊接工艺:应采用电焊接,整个杆体无漏焊,焊缝平整,无焊接缺陷。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4：喷塑工艺:镀锌钝化处理,喷塑附着力好,厚度≥65</w:t>
            </w:r>
            <w:r>
              <w:rPr>
                <w:rFonts w:hint="default" w:ascii="Calibri" w:hAnsi="Calibri" w:eastAsia="宋体" w:cs="Calibri"/>
                <w:b w:val="0"/>
                <w:bCs w:val="0"/>
                <w:i w:val="0"/>
                <w:iCs w:val="0"/>
                <w:color w:val="000000"/>
                <w:kern w:val="0"/>
                <w:sz w:val="18"/>
                <w:szCs w:val="18"/>
                <w:u w:val="none"/>
                <w:lang w:val="en-US" w:eastAsia="zh-CN" w:bidi="ar"/>
              </w:rPr>
              <w:t>μ</w:t>
            </w:r>
            <w:r>
              <w:rPr>
                <w:rFonts w:hint="eastAsia" w:ascii="宋体" w:hAnsi="宋体" w:eastAsia="宋体" w:cs="宋体"/>
                <w:b w:val="0"/>
                <w:bCs w:val="0"/>
                <w:i w:val="0"/>
                <w:iCs w:val="0"/>
                <w:color w:val="000000"/>
                <w:kern w:val="0"/>
                <w:sz w:val="18"/>
                <w:szCs w:val="18"/>
                <w:u w:val="none"/>
                <w:lang w:val="en-US" w:eastAsia="zh-CN" w:bidi="ar"/>
              </w:rPr>
              <w:t xml:space="preserve">m。采用进口塑粉。符合 D3359-83标准。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杆体观感:造型及尺寸符合用户要求,造型流畅和谐,美观大方,色泽均匀,钢管直径选用合理。监控立杆为圆椎八角形结构,八角锥形杆整体无变形扭曲。圆度标准1.0mm≤。表面光滑一致,无横向焊缝。刀片划痕测试（25×25mm方格）喷塑层粘贴力强不轻易剥落。密封立杆并包顶端以防水气进入,防水内漏措施可靠。</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红绿灯信号灯灯杆预埋件</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M30-8柱，L=1800mm</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信号灯杆安装费用</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信号灯杆安装费用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登高车租赁费用</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登高车租赁费用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机动车信号灯杆件基础</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1600*1600*2000mm ,C35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交通穿线窨井</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 xml:space="preserve">700*700*700mm管线窨井,C25商品混凝土 700*700*700mm管线窨井  </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56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电缆保护管铺设</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电缆保护管铺设（含过路管、顶管等）</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车行信号灯信号线</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RVV 16*1.5,室外防水,1.成品电缆导体（R类）直流电阻（符合GB3956规定　2．工频电压试验：交流50HZ3.5KV/5min不击穿　3.　IEC阻燃等级　</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人行信号灯信号线</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RVV 4*1.5，1.成品电缆导体（R类）直流电阻（符合GB3956规定　2．工频电压试验：交流50HZ3.5KV/5min不击穿　3.　IEC阻燃等级　</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网线</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超6类室外防水网线，双层保护，内置十字骨架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监控电源线</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RVV 4*1.5，1.成品电缆导体（R类）直流电阻（符合GB3956规定　2．工频电压试验：交流50HZ3.5KV/5min不击穿　3.　IEC阻燃等级　</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取电电源线</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RVV 3*6.0,室外防水,1.成品电缆导体（R类）直流电阻（符合GB3956规定　2．工频电压试验：交流50HZ3.5KV/5min不击穿　3.　IEC阻燃等级　</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穿线费用</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穿线费用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信号灯安装调试费用</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含设备安装、调试、接线等施工费用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60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企业级硬盘</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16T 7200转 3.5英寸 企业级</w:t>
            </w:r>
          </w:p>
        </w:tc>
        <w:tc>
          <w:tcPr>
            <w:tcW w:w="2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反光贴膜</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定制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26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光纤租赁费用</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光纤租赁费用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5</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p>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年/条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维护费用</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运维费用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5</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p>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年</w:t>
            </w:r>
          </w:p>
        </w:tc>
      </w:tr>
      <w:bookmarkEnd w:id="16"/>
    </w:tbl>
    <w:p>
      <w:pPr>
        <w:widowControl/>
        <w:autoSpaceDE w:val="0"/>
        <w:autoSpaceDN w:val="0"/>
        <w:adjustRightInd w:val="0"/>
        <w:spacing w:line="460" w:lineRule="atLeast"/>
        <w:ind w:firstLine="442" w:firstLineChars="200"/>
        <w:textAlignment w:val="bottom"/>
        <w:rPr>
          <w:rFonts w:hint="eastAsia" w:ascii="宋体" w:eastAsia="宋体"/>
          <w:bCs w:val="0"/>
          <w:color w:val="auto"/>
          <w:sz w:val="22"/>
          <w:szCs w:val="22"/>
          <w:highlight w:val="none"/>
          <w:u w:val="single"/>
        </w:rPr>
      </w:pPr>
      <w:bookmarkStart w:id="17" w:name="_Toc518"/>
      <w:r>
        <w:rPr>
          <w:rFonts w:hint="eastAsia" w:ascii="宋体" w:eastAsia="宋体"/>
          <w:bCs w:val="0"/>
          <w:color w:val="auto"/>
          <w:sz w:val="22"/>
          <w:szCs w:val="22"/>
          <w:highlight w:val="none"/>
          <w:u w:val="single"/>
        </w:rPr>
        <w:t>其他说明：</w:t>
      </w:r>
    </w:p>
    <w:p>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u w:val="single"/>
        </w:rPr>
      </w:pPr>
      <w:r>
        <w:rPr>
          <w:rFonts w:hint="eastAsia" w:ascii="宋体" w:eastAsia="宋体"/>
          <w:color w:val="auto"/>
          <w:sz w:val="22"/>
          <w:szCs w:val="22"/>
          <w:highlight w:val="none"/>
          <w:u w:val="single"/>
        </w:rPr>
        <w:t>1、以上清单内所涉及的信号线（包含人行信号灯信号线、车行信号灯信号线）、窖井、电源线（包含取电电源线、监控电源线）、网线、光纤、穿线费用、电缆保护铺设、熔纤费用、熔纤盒、登高设备租用、管道施工、电警路口车道数在三个（包含）以上路口需增加车道指示牌及杆件等、</w:t>
      </w:r>
      <w:r>
        <w:rPr>
          <w:rFonts w:hint="eastAsia" w:ascii="宋体" w:eastAsia="宋体"/>
          <w:color w:val="auto"/>
          <w:sz w:val="22"/>
          <w:szCs w:val="22"/>
          <w:highlight w:val="none"/>
          <w:u w:val="single"/>
          <w:lang w:eastAsia="zh-CN"/>
        </w:rPr>
        <w:t>本项目</w:t>
      </w:r>
      <w:r>
        <w:rPr>
          <w:rFonts w:hint="eastAsia" w:ascii="宋体" w:eastAsia="宋体"/>
          <w:color w:val="auto"/>
          <w:sz w:val="22"/>
          <w:szCs w:val="22"/>
          <w:highlight w:val="none"/>
          <w:u w:val="single"/>
        </w:rPr>
        <w:t>采用包干形式，</w:t>
      </w:r>
      <w:r>
        <w:rPr>
          <w:rFonts w:hint="eastAsia" w:ascii="宋体" w:eastAsia="宋体"/>
          <w:color w:val="auto"/>
          <w:sz w:val="22"/>
          <w:szCs w:val="22"/>
          <w:highlight w:val="none"/>
          <w:u w:val="single"/>
          <w:lang w:val="zh-CN"/>
        </w:rPr>
        <w:t>所有管路、线材等均包含在本次投标总价中，</w:t>
      </w:r>
      <w:r>
        <w:rPr>
          <w:rFonts w:hint="eastAsia" w:ascii="宋体" w:eastAsia="宋体"/>
          <w:color w:val="auto"/>
          <w:sz w:val="22"/>
          <w:szCs w:val="22"/>
          <w:highlight w:val="none"/>
          <w:u w:val="single"/>
        </w:rPr>
        <w:t>不再进行额外的统计结算，供应商自行考虑报价风险。</w:t>
      </w:r>
    </w:p>
    <w:p>
      <w:pPr>
        <w:widowControl/>
        <w:autoSpaceDE w:val="0"/>
        <w:autoSpaceDN w:val="0"/>
        <w:adjustRightInd w:val="0"/>
        <w:spacing w:line="460" w:lineRule="atLeast"/>
        <w:ind w:firstLine="442" w:firstLineChars="200"/>
        <w:textAlignment w:val="bottom"/>
        <w:rPr>
          <w:rFonts w:hint="eastAsia"/>
        </w:rPr>
      </w:pPr>
      <w:r>
        <w:rPr>
          <w:rFonts w:hint="eastAsia" w:ascii="宋体" w:eastAsia="宋体"/>
          <w:bCs w:val="0"/>
          <w:color w:val="auto"/>
          <w:sz w:val="22"/>
          <w:szCs w:val="22"/>
          <w:highlight w:val="none"/>
          <w:u w:val="single"/>
        </w:rPr>
        <w:t>2、</w:t>
      </w:r>
      <w:r>
        <w:rPr>
          <w:rFonts w:ascii="宋体" w:eastAsia="宋体"/>
          <w:bCs w:val="0"/>
          <w:color w:val="auto"/>
          <w:sz w:val="22"/>
          <w:szCs w:val="22"/>
          <w:highlight w:val="none"/>
          <w:u w:val="single"/>
        </w:rPr>
        <w:t>▲</w:t>
      </w:r>
      <w:r>
        <w:rPr>
          <w:rFonts w:hint="eastAsia" w:ascii="宋体" w:eastAsia="宋体"/>
          <w:color w:val="auto"/>
          <w:sz w:val="22"/>
          <w:szCs w:val="22"/>
          <w:highlight w:val="none"/>
          <w:u w:val="single"/>
        </w:rPr>
        <w:t>以上清单只是采购人提出的清单，但作为所有供应商的报价基础，供应商提供的报价清单不得少于</w:t>
      </w:r>
      <w:r>
        <w:rPr>
          <w:rFonts w:hint="eastAsia" w:ascii="宋体" w:eastAsia="宋体"/>
          <w:color w:val="auto"/>
          <w:sz w:val="22"/>
          <w:szCs w:val="22"/>
          <w:highlight w:val="none"/>
          <w:u w:val="single"/>
          <w:lang w:val="en-US" w:eastAsia="zh-CN"/>
        </w:rPr>
        <w:t>招标文件</w:t>
      </w:r>
      <w:r>
        <w:rPr>
          <w:rFonts w:hint="eastAsia" w:ascii="宋体" w:eastAsia="宋体"/>
          <w:color w:val="auto"/>
          <w:sz w:val="22"/>
          <w:szCs w:val="22"/>
          <w:highlight w:val="none"/>
          <w:u w:val="single"/>
        </w:rPr>
        <w:t>规定的货物及数量</w:t>
      </w:r>
      <w:r>
        <w:rPr>
          <w:rFonts w:hint="eastAsia" w:ascii="宋体" w:eastAsia="宋体"/>
          <w:color w:val="auto"/>
          <w:sz w:val="22"/>
          <w:szCs w:val="22"/>
          <w:highlight w:val="none"/>
          <w:u w:val="single"/>
          <w:lang w:eastAsia="zh-CN"/>
        </w:rPr>
        <w:t>，</w:t>
      </w:r>
      <w:r>
        <w:rPr>
          <w:rFonts w:hint="eastAsia" w:ascii="宋体" w:eastAsia="宋体"/>
          <w:color w:val="auto"/>
          <w:sz w:val="22"/>
          <w:szCs w:val="22"/>
          <w:highlight w:val="none"/>
          <w:u w:val="single"/>
        </w:rPr>
        <w:t>否则视为无效标书；设备清单为最低配置要求。如采购文件中遗漏了完工必须具备的设备、材料、货物、配件或服务，请供应商在采购文件中自行配齐，并包含在投标总价中</w:t>
      </w:r>
      <w:r>
        <w:rPr>
          <w:rFonts w:ascii="宋体" w:eastAsia="宋体"/>
          <w:b w:val="0"/>
          <w:color w:val="auto"/>
          <w:sz w:val="22"/>
          <w:highlight w:val="none"/>
          <w:u w:val="single"/>
        </w:rPr>
        <w:t>。</w:t>
      </w:r>
      <w:r>
        <w:rPr>
          <w:rFonts w:hint="eastAsia" w:ascii="宋体" w:hAnsi="宋体" w:eastAsia="宋体" w:cs="宋体"/>
          <w:b/>
          <w:bCs/>
          <w:i w:val="0"/>
          <w:iCs w:val="0"/>
          <w:color w:val="auto"/>
          <w:kern w:val="0"/>
          <w:sz w:val="22"/>
          <w:szCs w:val="22"/>
          <w:highlight w:val="none"/>
          <w:u w:val="single"/>
          <w:lang w:val="en-US" w:eastAsia="zh-CN" w:bidi="ar"/>
        </w:rPr>
        <w:t>（注意：投标供应商</w:t>
      </w:r>
      <w:r>
        <w:rPr>
          <w:rFonts w:hint="eastAsia" w:ascii="宋体" w:eastAsia="宋体" w:cs="宋体"/>
          <w:b/>
          <w:bCs/>
          <w:i w:val="0"/>
          <w:iCs w:val="0"/>
          <w:color w:val="auto"/>
          <w:kern w:val="0"/>
          <w:sz w:val="22"/>
          <w:szCs w:val="22"/>
          <w:highlight w:val="none"/>
          <w:u w:val="single"/>
          <w:lang w:val="en-US" w:eastAsia="zh-CN" w:bidi="ar"/>
        </w:rPr>
        <w:t>获取招标文件后</w:t>
      </w:r>
      <w:r>
        <w:rPr>
          <w:rFonts w:hint="eastAsia" w:ascii="宋体" w:hAnsi="宋体" w:eastAsia="宋体" w:cs="宋体"/>
          <w:b/>
          <w:bCs/>
          <w:i w:val="0"/>
          <w:iCs w:val="0"/>
          <w:color w:val="auto"/>
          <w:kern w:val="0"/>
          <w:sz w:val="22"/>
          <w:szCs w:val="22"/>
          <w:highlight w:val="none"/>
          <w:u w:val="single"/>
          <w:lang w:val="en-US" w:eastAsia="zh-CN" w:bidi="ar"/>
        </w:rPr>
        <w:t>须自行联系采购人勘探现场，如未联系造成的一切损失由投标供应商自行负责）</w:t>
      </w:r>
    </w:p>
    <w:p>
      <w:pPr>
        <w:widowControl/>
        <w:autoSpaceDE w:val="0"/>
        <w:autoSpaceDN w:val="0"/>
        <w:adjustRightInd w:val="0"/>
        <w:spacing w:line="460" w:lineRule="atLeast"/>
        <w:ind w:firstLine="442" w:firstLineChars="200"/>
        <w:textAlignment w:val="bottom"/>
        <w:rPr>
          <w:rFonts w:ascii="宋体" w:eastAsia="宋体"/>
          <w:b w:val="0"/>
          <w:color w:val="auto"/>
          <w:sz w:val="22"/>
          <w:highlight w:val="none"/>
          <w:u w:val="single"/>
        </w:rPr>
      </w:pPr>
      <w:r>
        <w:rPr>
          <w:rFonts w:hint="eastAsia" w:ascii="宋体" w:eastAsia="宋体"/>
          <w:bCs w:val="0"/>
          <w:color w:val="auto"/>
          <w:sz w:val="22"/>
          <w:szCs w:val="22"/>
          <w:highlight w:val="none"/>
          <w:u w:val="single"/>
        </w:rPr>
        <w:t>3、</w:t>
      </w:r>
      <w:r>
        <w:rPr>
          <w:rFonts w:ascii="宋体" w:eastAsia="宋体"/>
          <w:bCs w:val="0"/>
          <w:color w:val="auto"/>
          <w:sz w:val="22"/>
          <w:szCs w:val="22"/>
          <w:highlight w:val="none"/>
          <w:u w:val="single"/>
        </w:rPr>
        <w:t>▲</w:t>
      </w:r>
      <w:r>
        <w:rPr>
          <w:rFonts w:hint="eastAsia" w:ascii="宋体" w:eastAsia="宋体"/>
          <w:b w:val="0"/>
          <w:color w:val="auto"/>
          <w:sz w:val="22"/>
          <w:highlight w:val="none"/>
          <w:u w:val="single"/>
        </w:rPr>
        <w:t>中标方</w:t>
      </w:r>
      <w:r>
        <w:rPr>
          <w:rFonts w:ascii="宋体" w:eastAsia="宋体"/>
          <w:b w:val="0"/>
          <w:color w:val="auto"/>
          <w:sz w:val="22"/>
          <w:highlight w:val="none"/>
          <w:u w:val="single"/>
        </w:rPr>
        <w:t>在</w:t>
      </w:r>
      <w:r>
        <w:rPr>
          <w:rFonts w:hint="eastAsia" w:ascii="宋体" w:eastAsia="宋体"/>
          <w:b w:val="0"/>
          <w:color w:val="auto"/>
          <w:sz w:val="22"/>
          <w:highlight w:val="none"/>
          <w:u w:val="single"/>
        </w:rPr>
        <w:t>施工</w:t>
      </w:r>
      <w:r>
        <w:rPr>
          <w:rFonts w:ascii="宋体" w:eastAsia="宋体"/>
          <w:b w:val="0"/>
          <w:color w:val="auto"/>
          <w:sz w:val="22"/>
          <w:highlight w:val="none"/>
          <w:u w:val="single"/>
        </w:rPr>
        <w:t>过程中，</w:t>
      </w:r>
      <w:r>
        <w:rPr>
          <w:rFonts w:hint="eastAsia" w:ascii="宋体" w:eastAsia="宋体"/>
          <w:b w:val="0"/>
          <w:color w:val="auto"/>
          <w:sz w:val="22"/>
          <w:highlight w:val="none"/>
          <w:u w:val="single"/>
        </w:rPr>
        <w:t>除信号灯、摄像头、立杆等主要设备外，其他所有在本项目施工中用到的附属设备、材料，可能与实际采购数量有偏差，中标方不得以此为借口而停止本项目的施工，招标方不会为本项目追加任何额外费用。因此，投标方</w:t>
      </w:r>
      <w:r>
        <w:rPr>
          <w:rFonts w:ascii="宋体" w:eastAsia="宋体"/>
          <w:b w:val="0"/>
          <w:color w:val="auto"/>
          <w:sz w:val="22"/>
          <w:highlight w:val="none"/>
          <w:u w:val="single"/>
        </w:rPr>
        <w:t>须自行考虑报价风险。</w:t>
      </w:r>
    </w:p>
    <w:p>
      <w:pPr>
        <w:widowControl/>
        <w:autoSpaceDE w:val="0"/>
        <w:autoSpaceDN w:val="0"/>
        <w:adjustRightInd w:val="0"/>
        <w:spacing w:line="460" w:lineRule="atLeast"/>
        <w:ind w:left="420"/>
        <w:textAlignment w:val="bottom"/>
        <w:rPr>
          <w:rFonts w:ascii="宋体" w:eastAsia="宋体"/>
          <w:bCs w:val="0"/>
          <w:color w:val="auto"/>
          <w:sz w:val="22"/>
          <w:szCs w:val="22"/>
          <w:highlight w:val="none"/>
          <w:u w:val="single"/>
        </w:rPr>
      </w:pPr>
      <w:r>
        <w:rPr>
          <w:rFonts w:hint="eastAsia" w:ascii="宋体" w:eastAsia="宋体"/>
          <w:bCs w:val="0"/>
          <w:color w:val="auto"/>
          <w:sz w:val="22"/>
          <w:szCs w:val="22"/>
          <w:highlight w:val="none"/>
          <w:u w:val="single"/>
        </w:rPr>
        <w:t>4、</w:t>
      </w:r>
      <w:r>
        <w:rPr>
          <w:rFonts w:ascii="宋体" w:eastAsia="宋体"/>
          <w:bCs w:val="0"/>
          <w:color w:val="auto"/>
          <w:sz w:val="22"/>
          <w:szCs w:val="22"/>
          <w:highlight w:val="none"/>
          <w:u w:val="single"/>
        </w:rPr>
        <w:t>▲</w:t>
      </w:r>
      <w:r>
        <w:rPr>
          <w:rFonts w:hint="eastAsia" w:ascii="宋体" w:eastAsia="宋体"/>
          <w:bCs w:val="0"/>
          <w:color w:val="auto"/>
          <w:sz w:val="22"/>
          <w:szCs w:val="22"/>
          <w:highlight w:val="none"/>
          <w:u w:val="single"/>
        </w:rPr>
        <w:t>设备完工后需出具检测报告。</w:t>
      </w:r>
    </w:p>
    <w:p>
      <w:pPr>
        <w:widowControl/>
        <w:autoSpaceDE w:val="0"/>
        <w:autoSpaceDN w:val="0"/>
        <w:adjustRightInd w:val="0"/>
        <w:spacing w:line="460" w:lineRule="atLeast"/>
        <w:ind w:firstLine="442" w:firstLineChars="200"/>
        <w:textAlignment w:val="bottom"/>
        <w:rPr>
          <w:rFonts w:hint="eastAsia" w:ascii="宋体" w:eastAsia="宋体"/>
          <w:b w:val="0"/>
          <w:bCs w:val="0"/>
          <w:color w:val="auto"/>
          <w:sz w:val="22"/>
          <w:szCs w:val="22"/>
          <w:highlight w:val="none"/>
        </w:rPr>
      </w:pPr>
      <w:r>
        <w:rPr>
          <w:rFonts w:hint="eastAsia" w:ascii="宋体" w:eastAsia="宋体"/>
          <w:b/>
          <w:bCs/>
          <w:color w:val="auto"/>
          <w:sz w:val="22"/>
          <w:szCs w:val="22"/>
          <w:highlight w:val="none"/>
          <w:u w:val="single"/>
          <w:lang w:val="en-US" w:eastAsia="zh-CN"/>
        </w:rPr>
        <w:t>5</w:t>
      </w:r>
      <w:r>
        <w:rPr>
          <w:rFonts w:hint="eastAsia" w:ascii="宋体" w:eastAsia="宋体"/>
          <w:b/>
          <w:bCs/>
          <w:color w:val="auto"/>
          <w:sz w:val="22"/>
          <w:szCs w:val="22"/>
          <w:highlight w:val="none"/>
          <w:u w:val="single"/>
        </w:rPr>
        <w:t>、</w:t>
      </w:r>
      <w:bookmarkEnd w:id="17"/>
      <w:r>
        <w:rPr>
          <w:rFonts w:hint="eastAsia" w:ascii="宋体" w:eastAsia="宋体"/>
          <w:b w:val="0"/>
          <w:bCs w:val="0"/>
          <w:color w:val="auto"/>
          <w:sz w:val="22"/>
          <w:szCs w:val="22"/>
          <w:highlight w:val="none"/>
        </w:rPr>
        <w:t>带▲系指实质性要求条款，须逐条按要求提供佐证材料，如不提供佐证材料或属负偏离或缺漏项或佐证材料不充分的，投标文件将被视为无效。</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bookmarkStart w:id="18" w:name="_Toc9089"/>
      <w:r>
        <w:rPr>
          <w:rFonts w:hint="eastAsia" w:ascii="宋体" w:eastAsia="宋体"/>
          <w:b w:val="0"/>
          <w:bCs w:val="0"/>
          <w:color w:val="auto"/>
          <w:sz w:val="22"/>
          <w:szCs w:val="22"/>
          <w:highlight w:val="none"/>
          <w:lang w:val="en-US" w:eastAsia="zh-CN"/>
        </w:rPr>
        <w:t>6</w:t>
      </w:r>
      <w:r>
        <w:rPr>
          <w:rFonts w:hint="eastAsia" w:ascii="宋体" w:eastAsia="宋体"/>
          <w:b w:val="0"/>
          <w:bCs w:val="0"/>
          <w:color w:val="auto"/>
          <w:sz w:val="22"/>
          <w:szCs w:val="22"/>
          <w:highlight w:val="none"/>
        </w:rPr>
        <w:t>、带★为重要的性能指标及技术参数，须逐条按要求提供佐证材料。</w:t>
      </w:r>
      <w:bookmarkEnd w:id="18"/>
    </w:p>
    <w:p>
      <w:pPr>
        <w:spacing w:after="120" w:afterLines="50" w:line="460" w:lineRule="atLeast"/>
        <w:ind w:firstLine="442" w:firstLineChars="200"/>
        <w:rPr>
          <w:rFonts w:hint="eastAsia" w:ascii="宋体" w:hAnsi="宋体" w:eastAsia="宋体" w:cs="宋体"/>
          <w:color w:val="auto"/>
          <w:sz w:val="22"/>
          <w:szCs w:val="22"/>
        </w:rPr>
      </w:pPr>
      <w:r>
        <w:rPr>
          <w:rFonts w:hint="eastAsia" w:ascii="宋体" w:eastAsia="宋体"/>
          <w:color w:val="auto"/>
          <w:sz w:val="22"/>
          <w:szCs w:val="22"/>
          <w:lang w:val="en-US" w:eastAsia="zh-CN"/>
        </w:rPr>
        <w:t>（三）整体项目技术要求及规范</w:t>
      </w:r>
      <w:r>
        <w:rPr>
          <w:rFonts w:hint="eastAsia" w:ascii="宋体" w:hAnsi="宋体" w:eastAsia="宋体" w:cs="宋体"/>
          <w:color w:val="auto"/>
          <w:sz w:val="22"/>
          <w:szCs w:val="22"/>
        </w:rPr>
        <w:t>：</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（一）稳定、可靠</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整个系统运行稳定，并具有故障自动检测和报警功能，系统死机后能自动重启，保证不间断运行。用户信息要加密保存并作备份，监控图像信息要防止泄漏、防止被修改、删除。前端硬件设备具有良好的防盗、防水、防尘、防腐蚀、防雷击，尤其是应当具有抗12级以上台风能力。</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系统设备在符合系统设计要求的前提下，综合考虑其性能价格比、产品的合格性以及设备环境适应性等因素。关键设备（摄像机、主控制设备、线材等）产品采用国内外有较高知名度和稳定性的产品。所有前端及中心系统能全天候24小时不间断地安全运行，同时考虑设备的应急备份。</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（二）开放并可扩展</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系统应具有良好的升级能力，遵循的国际标准、国家标准和行业标准，遵循开放的原则。投标人必须提供相关系统设备的技术标准术语。系统接口标准化，在系统设计、设备选型等方面，对系统及设备在部件结构、电气规格、数据结构、通信协议等方面遵从国际国内标准和公安部相关要求。系统必须能与温州市公安局现有的数据库和业务系统相连接。</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（三）易维护</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系统维护、系统软件配置、应用软件安装简单、易于操作。操作界面友好，使数据处理工作简单、方便、快捷。系统数据备份及数据恢复快速简单。硬件尽量选择模块化设计，方便维修维护。</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▲（四）系统建设的相关标准及技术要求</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1、本系统集成的技术指标按照《闯红灯自动记录系统通用技术条件》（GA/T</w:t>
      </w:r>
      <w:r>
        <w:rPr>
          <w:rFonts w:hint="eastAsia" w:ascii="宋体" w:eastAsia="宋体"/>
          <w:b w:val="0"/>
          <w:color w:val="auto"/>
          <w:sz w:val="22"/>
          <w:highlight w:val="none"/>
          <w:lang w:val="en-US" w:eastAsia="zh-CN"/>
        </w:rPr>
        <w:t xml:space="preserve"> </w:t>
      </w:r>
      <w:r>
        <w:rPr>
          <w:rFonts w:hint="eastAsia" w:ascii="宋体" w:eastAsia="宋体"/>
          <w:b w:val="0"/>
          <w:color w:val="auto"/>
          <w:sz w:val="22"/>
          <w:highlight w:val="none"/>
        </w:rPr>
        <w:t>496–20</w:t>
      </w:r>
      <w:r>
        <w:rPr>
          <w:rFonts w:hint="eastAsia" w:ascii="宋体" w:eastAsia="宋体"/>
          <w:b w:val="0"/>
          <w:color w:val="auto"/>
          <w:sz w:val="22"/>
          <w:highlight w:val="none"/>
          <w:lang w:val="en-US" w:eastAsia="zh-CN"/>
        </w:rPr>
        <w:t>14</w:t>
      </w:r>
      <w:r>
        <w:rPr>
          <w:rFonts w:hint="eastAsia" w:ascii="宋体" w:eastAsia="宋体"/>
          <w:b w:val="0"/>
          <w:color w:val="auto"/>
          <w:sz w:val="22"/>
          <w:highlight w:val="none"/>
        </w:rPr>
        <w:t>）、《公路车辆智能监测记录系统通用技术条件》（GA/T 497–20</w:t>
      </w:r>
      <w:r>
        <w:rPr>
          <w:rFonts w:hint="eastAsia" w:ascii="宋体" w:eastAsia="宋体"/>
          <w:b w:val="0"/>
          <w:color w:val="auto"/>
          <w:sz w:val="22"/>
          <w:highlight w:val="none"/>
          <w:lang w:val="en-US" w:eastAsia="zh-CN"/>
        </w:rPr>
        <w:t>16</w:t>
      </w:r>
      <w:r>
        <w:rPr>
          <w:rFonts w:hint="eastAsia" w:ascii="宋体" w:eastAsia="宋体"/>
          <w:b w:val="0"/>
          <w:color w:val="auto"/>
          <w:sz w:val="22"/>
          <w:highlight w:val="none"/>
        </w:rPr>
        <w:t>）以及其他有关的国家标准和行业标准要求进行建设。</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2、系统所有主机均应可接受中心的校时命令，至少每一小时与指定的计算机等设备自动校时，完成统一精准校时功能，并提供手动校对功能。</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3、系统平台能对前端设备进行管理，能自动监测前端设备运行状况，系统平台应自动识别前端设备宕机、死锁等故障状况。</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4、系统所有录像、图片应实时上传，延时不得大于3秒。录像及图片的字符叠加应根据要求设置。</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5、系统具有自动逆光补偿和强光抑制功能。补光系统可以采用光控开关也可以由成像系统根据成像要求自动调整（不得通过人工手动调整），车辆图像捕获时应不受雨、雪、雾等天气、环境光和相临车道通行车辆的影响而出现误记录。前端系统应具有自动测光及补光功能，自动测光调节曝光量，能在光照度不够时自动启用辅助灯光补光；必须保证全天候拍摄的图片及录像清晰。系统采用LED补光设备。补光设备不得对驾驶人员安全驾驶造成影响，若因此而产生交通事故或其他的相关诉讼，其后果由投标人承担。</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6、图片可根据用户需求压缩，达到存储最优，且不影响图片质量。</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7、路口摄像机录像应通过网络存储在机房，并接入永嘉县公安局天网工程视频平台。需支持GB/T28181-2011协议和ONVIF标准。高清摄像机应达到分辨率为2448×2048个像素点8帧/秒或1920×1080个像素点10帧/秒。</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8、220V供电电源线不小于RVV3*2.5平方电缆，弱电设备供电不小于RVV2*1.0平方电缆.户外应采用超5类户外阻水网线，机房用六类网线。</w:t>
      </w:r>
    </w:p>
    <w:p>
      <w:pPr>
        <w:widowControl/>
        <w:autoSpaceDE w:val="0"/>
        <w:autoSpaceDN w:val="0"/>
        <w:adjustRightInd w:val="0"/>
        <w:spacing w:line="460" w:lineRule="atLeast"/>
        <w:ind w:firstLine="442" w:firstLineChars="200"/>
        <w:textAlignment w:val="bottom"/>
        <w:rPr>
          <w:rFonts w:ascii="宋体" w:eastAsia="宋体"/>
          <w:color w:val="auto"/>
          <w:sz w:val="22"/>
          <w:highlight w:val="none"/>
        </w:rPr>
      </w:pPr>
      <w:r>
        <w:rPr>
          <w:rFonts w:hint="eastAsia" w:ascii="宋体" w:eastAsia="宋体"/>
          <w:color w:val="auto"/>
          <w:sz w:val="22"/>
          <w:highlight w:val="none"/>
          <w:lang w:val="en-US" w:eastAsia="zh-CN"/>
        </w:rPr>
        <w:t>9</w:t>
      </w:r>
      <w:r>
        <w:rPr>
          <w:rFonts w:hint="eastAsia" w:ascii="宋体" w:eastAsia="宋体"/>
          <w:color w:val="auto"/>
          <w:sz w:val="22"/>
          <w:highlight w:val="none"/>
        </w:rPr>
        <w:t>、所有卡口、电子警察、高清视频系统拍摄的图片、视频须统一平台，卡口数据应接入永嘉交警管控平台以及提供一机一档接入温州公安通道平台。接入方式需支持SOA方式的标准接入或者支持车辆抓拍设备的直接接入。卡口的车辆数据超出设备最大存储容量时，自动对最早的车辆信息和图片进行循环覆盖。</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1</w:t>
      </w:r>
      <w:r>
        <w:rPr>
          <w:rFonts w:hint="eastAsia" w:ascii="宋体" w:eastAsia="宋体"/>
          <w:b w:val="0"/>
          <w:color w:val="auto"/>
          <w:sz w:val="22"/>
          <w:highlight w:val="none"/>
          <w:lang w:val="en-US" w:eastAsia="zh-CN"/>
        </w:rPr>
        <w:t>0</w:t>
      </w:r>
      <w:r>
        <w:rPr>
          <w:rFonts w:hint="eastAsia" w:ascii="宋体" w:eastAsia="宋体"/>
          <w:b w:val="0"/>
          <w:color w:val="auto"/>
          <w:sz w:val="22"/>
          <w:highlight w:val="none"/>
        </w:rPr>
        <w:t>、系统能够对车辆违法时间段的录像单独存放。支持后台通过车辆号牌精确查询，支持按时间段和违法地点模糊查询功能。</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1</w:t>
      </w:r>
      <w:r>
        <w:rPr>
          <w:rFonts w:hint="eastAsia" w:ascii="宋体" w:eastAsia="宋体"/>
          <w:b w:val="0"/>
          <w:color w:val="auto"/>
          <w:sz w:val="22"/>
          <w:highlight w:val="none"/>
          <w:lang w:val="en-US" w:eastAsia="zh-CN"/>
        </w:rPr>
        <w:t>1</w:t>
      </w:r>
      <w:r>
        <w:rPr>
          <w:rFonts w:hint="eastAsia" w:ascii="宋体" w:eastAsia="宋体"/>
          <w:b w:val="0"/>
          <w:color w:val="auto"/>
          <w:sz w:val="22"/>
          <w:highlight w:val="none"/>
        </w:rPr>
        <w:t>、边界安全技术要求。前端路口网络设备，主要是指IP摄像机、路口交换机，不得使用公安网IP地址，前端及中心部分设备组建局域网。网络应考虑有流量检测。前端路口网络与公安网络之间使用网闸隔离。能在公安网络内访问实时图片、视频。</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1</w:t>
      </w:r>
      <w:r>
        <w:rPr>
          <w:rFonts w:hint="eastAsia" w:ascii="宋体" w:eastAsia="宋体"/>
          <w:b w:val="0"/>
          <w:color w:val="auto"/>
          <w:sz w:val="22"/>
          <w:highlight w:val="none"/>
          <w:lang w:val="en-US" w:eastAsia="zh-CN"/>
        </w:rPr>
        <w:t>2</w:t>
      </w:r>
      <w:r>
        <w:rPr>
          <w:rFonts w:hint="eastAsia" w:ascii="宋体" w:eastAsia="宋体"/>
          <w:b w:val="0"/>
          <w:color w:val="auto"/>
          <w:sz w:val="22"/>
          <w:highlight w:val="none"/>
        </w:rPr>
        <w:t>、前端环境条件：环境温度:－20℃～＋70℃；环境湿度:10％～95％；工作方式:24小时全天候工作。</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1</w:t>
      </w:r>
      <w:r>
        <w:rPr>
          <w:rFonts w:hint="eastAsia" w:ascii="宋体" w:eastAsia="宋体"/>
          <w:b w:val="0"/>
          <w:color w:val="auto"/>
          <w:sz w:val="22"/>
          <w:highlight w:val="none"/>
          <w:lang w:val="en-US" w:eastAsia="zh-CN"/>
        </w:rPr>
        <w:t>3</w:t>
      </w:r>
      <w:r>
        <w:rPr>
          <w:rFonts w:hint="eastAsia" w:ascii="宋体" w:eastAsia="宋体"/>
          <w:b w:val="0"/>
          <w:color w:val="auto"/>
          <w:sz w:val="22"/>
          <w:highlight w:val="none"/>
        </w:rPr>
        <w:t>、系统室外设备要求具有防雷、防潮、防盗、防破坏功能，能抗12级以上台风。</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1</w:t>
      </w:r>
      <w:r>
        <w:rPr>
          <w:rFonts w:hint="eastAsia" w:ascii="宋体" w:eastAsia="宋体"/>
          <w:b w:val="0"/>
          <w:color w:val="auto"/>
          <w:sz w:val="22"/>
          <w:highlight w:val="none"/>
          <w:lang w:val="en-US" w:eastAsia="zh-CN"/>
        </w:rPr>
        <w:t>4</w:t>
      </w:r>
      <w:r>
        <w:rPr>
          <w:rFonts w:hint="eastAsia" w:ascii="宋体" w:eastAsia="宋体"/>
          <w:b w:val="0"/>
          <w:color w:val="auto"/>
          <w:sz w:val="22"/>
          <w:highlight w:val="none"/>
        </w:rPr>
        <w:t>、考虑公安数据信息安全原因，本项目涉及所有硬盘故障的，直接更换硬盘，故障硬盘不返修（交给交警大队处理）。</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1</w:t>
      </w:r>
      <w:r>
        <w:rPr>
          <w:rFonts w:hint="eastAsia" w:ascii="宋体" w:eastAsia="宋体"/>
          <w:b w:val="0"/>
          <w:color w:val="auto"/>
          <w:sz w:val="22"/>
          <w:highlight w:val="none"/>
          <w:lang w:val="en-US" w:eastAsia="zh-CN"/>
        </w:rPr>
        <w:t>5</w:t>
      </w:r>
      <w:r>
        <w:rPr>
          <w:rFonts w:hint="eastAsia" w:ascii="宋体" w:eastAsia="宋体"/>
          <w:b w:val="0"/>
          <w:color w:val="auto"/>
          <w:sz w:val="22"/>
          <w:highlight w:val="none"/>
        </w:rPr>
        <w:t>、系统安装概要说明</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中标方需完成系统前端所需立杆和机箱的设计及施工，硬件设备的安装以及防雷接地系统、接电工程的施工，完成设备的上电调试，负责将图片数据和监控录像按照要求实时传送到后端指定平台上，满足与后端管理平台之间相互数据信号交互的要求。</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本项目为交钥匙工程。投标人负责整体项目工程的施工，在施工前应向采购方提供立杆设计图和施工图，经采购方确认后方可施工。没有明确说明，但在整体系统建设安装时，不可缺少的设备或附属配件（如抱箍、线缆、电源逆变模块等），以及施工过程中产生一切费用，都一并包含在本标内，由中标方统一负责。</w:t>
      </w:r>
    </w:p>
    <w:p>
      <w:pPr>
        <w:pStyle w:val="2"/>
        <w:jc w:val="both"/>
      </w:pPr>
    </w:p>
    <w:p>
      <w:pPr>
        <w:pStyle w:val="47"/>
        <w:rPr>
          <w:rFonts w:ascii="宋体" w:hAnsi="宋体"/>
          <w:color w:val="auto"/>
          <w:highlight w:val="none"/>
        </w:rPr>
      </w:pPr>
      <w:bookmarkStart w:id="19" w:name="_Toc22791"/>
      <w:r>
        <w:rPr>
          <w:rFonts w:hint="eastAsia" w:ascii="宋体" w:hAnsi="宋体"/>
          <w:color w:val="auto"/>
          <w:highlight w:val="none"/>
        </w:rPr>
        <w:t>三、商务条款</w:t>
      </w:r>
      <w:bookmarkEnd w:id="14"/>
      <w:bookmarkEnd w:id="15"/>
      <w:bookmarkEnd w:id="19"/>
    </w:p>
    <w:p>
      <w:pPr>
        <w:widowControl/>
        <w:numPr>
          <w:ilvl w:val="0"/>
          <w:numId w:val="0"/>
        </w:numPr>
        <w:autoSpaceDE w:val="0"/>
        <w:autoSpaceDN w:val="0"/>
        <w:adjustRightInd w:val="0"/>
        <w:spacing w:line="460" w:lineRule="atLeast"/>
        <w:ind w:firstLine="442" w:firstLineChars="200"/>
        <w:textAlignment w:val="bottom"/>
        <w:rPr>
          <w:rFonts w:hint="eastAsia" w:ascii="宋体" w:eastAsia="宋体"/>
          <w:color w:val="auto"/>
          <w:sz w:val="22"/>
          <w:szCs w:val="22"/>
          <w:highlight w:val="none"/>
          <w:lang w:eastAsia="zh-CN"/>
        </w:rPr>
      </w:pPr>
      <w:bookmarkStart w:id="20" w:name="_Toc493682316"/>
      <w:bookmarkStart w:id="21" w:name="_Toc515017337"/>
      <w:bookmarkStart w:id="22" w:name="_Toc446429436"/>
      <w:bookmarkStart w:id="23" w:name="_Toc520146750"/>
      <w:bookmarkStart w:id="24" w:name="_Toc14080391"/>
      <w:r>
        <w:rPr>
          <w:rFonts w:hint="eastAsia" w:ascii="宋体" w:eastAsia="宋体"/>
          <w:color w:val="auto"/>
          <w:sz w:val="22"/>
          <w:szCs w:val="22"/>
          <w:highlight w:val="none"/>
        </w:rPr>
        <w:t>1、</w:t>
      </w:r>
      <w:r>
        <w:rPr>
          <w:rFonts w:hint="eastAsia" w:ascii="宋体" w:eastAsia="宋体"/>
          <w:color w:val="auto"/>
          <w:sz w:val="22"/>
          <w:szCs w:val="22"/>
          <w:highlight w:val="none"/>
          <w:lang w:val="en-US" w:eastAsia="zh-CN"/>
        </w:rPr>
        <w:t>供货日</w:t>
      </w:r>
      <w:r>
        <w:rPr>
          <w:rFonts w:hint="eastAsia" w:ascii="宋体" w:eastAsia="宋体"/>
          <w:color w:val="auto"/>
          <w:sz w:val="22"/>
          <w:szCs w:val="22"/>
          <w:highlight w:val="none"/>
          <w:lang w:eastAsia="zh-CN"/>
        </w:rPr>
        <w:t>期：</w:t>
      </w:r>
    </w:p>
    <w:p>
      <w:pPr>
        <w:spacing w:line="460" w:lineRule="atLeast"/>
        <w:ind w:firstLine="418" w:firstLineChars="190"/>
        <w:rPr>
          <w:rFonts w:hint="eastAsia" w:ascii="宋体" w:hAnsi="宋体" w:eastAsia="宋体" w:cs="宋体"/>
          <w:b/>
          <w:bCs w:val="0"/>
          <w:color w:val="auto"/>
          <w:sz w:val="22"/>
          <w:szCs w:val="22"/>
          <w:highlight w:val="none"/>
          <w:u w:val="single"/>
          <w:lang w:eastAsia="zh-CN"/>
        </w:rPr>
      </w:pPr>
      <w:r>
        <w:rPr>
          <w:rFonts w:hint="eastAsia" w:ascii="宋体" w:eastAsia="宋体" w:cs="Arial"/>
          <w:b w:val="0"/>
          <w:color w:val="auto"/>
          <w:sz w:val="22"/>
          <w:szCs w:val="22"/>
          <w:highlight w:val="none"/>
          <w:u w:val="single"/>
        </w:rPr>
        <w:t>▲</w:t>
      </w:r>
      <w:r>
        <w:rPr>
          <w:rFonts w:hint="eastAsia" w:ascii="宋体" w:eastAsia="宋体"/>
          <w:color w:val="auto"/>
          <w:sz w:val="22"/>
          <w:szCs w:val="22"/>
          <w:highlight w:val="none"/>
          <w:u w:val="single"/>
        </w:rPr>
        <w:t>在合同签订后15个日历天内开始供货</w:t>
      </w:r>
      <w:r>
        <w:rPr>
          <w:rFonts w:hint="eastAsia" w:ascii="宋体" w:eastAsia="宋体"/>
          <w:color w:val="auto"/>
          <w:sz w:val="22"/>
          <w:szCs w:val="22"/>
          <w:highlight w:val="none"/>
          <w:u w:val="single"/>
          <w:lang w:val="en-US" w:eastAsia="zh-CN"/>
        </w:rPr>
        <w:t>安装</w:t>
      </w:r>
      <w:r>
        <w:rPr>
          <w:rFonts w:hint="eastAsia" w:ascii="宋体" w:eastAsia="宋体"/>
          <w:color w:val="auto"/>
          <w:sz w:val="22"/>
          <w:szCs w:val="22"/>
          <w:highlight w:val="none"/>
          <w:u w:val="single"/>
        </w:rPr>
        <w:t>，</w:t>
      </w:r>
      <w:r>
        <w:rPr>
          <w:rFonts w:hint="eastAsia" w:ascii="宋体" w:eastAsia="宋体"/>
          <w:color w:val="auto"/>
          <w:sz w:val="22"/>
          <w:szCs w:val="22"/>
          <w:highlight w:val="none"/>
          <w:u w:val="single"/>
          <w:lang w:val="en-US" w:eastAsia="zh-CN"/>
        </w:rPr>
        <w:t>3个月内</w:t>
      </w:r>
      <w:r>
        <w:rPr>
          <w:rFonts w:hint="eastAsia" w:ascii="宋体" w:eastAsia="宋体"/>
          <w:color w:val="auto"/>
          <w:sz w:val="22"/>
          <w:szCs w:val="22"/>
          <w:highlight w:val="none"/>
          <w:u w:val="single"/>
        </w:rPr>
        <w:t>供货完毕并调试验收合格。</w:t>
      </w:r>
    </w:p>
    <w:p>
      <w:pPr>
        <w:widowControl/>
        <w:autoSpaceDE w:val="0"/>
        <w:autoSpaceDN w:val="0"/>
        <w:adjustRightInd w:val="0"/>
        <w:spacing w:line="460" w:lineRule="atLeast"/>
        <w:ind w:firstLine="442" w:firstLineChars="200"/>
        <w:textAlignment w:val="bottom"/>
        <w:rPr>
          <w:rFonts w:ascii="宋体" w:eastAsia="宋体"/>
          <w:color w:val="auto"/>
          <w:sz w:val="22"/>
          <w:szCs w:val="22"/>
          <w:highlight w:val="none"/>
        </w:rPr>
      </w:pPr>
      <w:r>
        <w:rPr>
          <w:rFonts w:hint="eastAsia" w:ascii="宋体" w:eastAsia="宋体"/>
          <w:color w:val="auto"/>
          <w:sz w:val="22"/>
          <w:szCs w:val="22"/>
          <w:highlight w:val="none"/>
          <w:lang w:val="en-US" w:eastAsia="zh-CN"/>
        </w:rPr>
        <w:t>2、</w:t>
      </w:r>
      <w:r>
        <w:rPr>
          <w:rFonts w:hint="eastAsia" w:ascii="宋体" w:eastAsia="宋体"/>
          <w:color w:val="auto"/>
          <w:sz w:val="22"/>
          <w:szCs w:val="22"/>
          <w:highlight w:val="none"/>
        </w:rPr>
        <w:t xml:space="preserve">付款方式： </w:t>
      </w:r>
    </w:p>
    <w:p>
      <w:pPr>
        <w:snapToGrid w:val="0"/>
        <w:spacing w:line="450" w:lineRule="atLeast"/>
        <w:ind w:firstLine="442" w:firstLineChars="200"/>
        <w:rPr>
          <w:rFonts w:hint="eastAsia" w:ascii="宋体" w:hAnsi="宋体" w:eastAsia="宋体" w:cs="宋体"/>
          <w:b/>
          <w:bCs w:val="0"/>
          <w:color w:val="auto"/>
          <w:sz w:val="22"/>
          <w:highlight w:val="none"/>
        </w:rPr>
      </w:pPr>
      <w:r>
        <w:rPr>
          <w:rFonts w:hint="eastAsia" w:ascii="宋体" w:eastAsia="宋体"/>
          <w:color w:val="auto"/>
          <w:sz w:val="22"/>
          <w:szCs w:val="22"/>
          <w:highlight w:val="none"/>
          <w:u w:val="single"/>
        </w:rPr>
        <w:t>在合同签订后</w:t>
      </w:r>
      <w:r>
        <w:rPr>
          <w:rFonts w:hint="eastAsia" w:ascii="宋体" w:eastAsia="宋体"/>
          <w:color w:val="auto"/>
          <w:sz w:val="22"/>
          <w:szCs w:val="22"/>
          <w:highlight w:val="none"/>
          <w:u w:val="single"/>
          <w:lang w:val="en-US" w:eastAsia="zh-CN"/>
        </w:rPr>
        <w:t>7个工作日</w:t>
      </w:r>
      <w:r>
        <w:rPr>
          <w:rFonts w:hint="eastAsia" w:ascii="宋体" w:eastAsia="宋体"/>
          <w:color w:val="auto"/>
          <w:sz w:val="22"/>
          <w:szCs w:val="22"/>
          <w:highlight w:val="none"/>
          <w:u w:val="single"/>
        </w:rPr>
        <w:t>内中标供应商应提供合同总金额1%的履约保证金</w:t>
      </w:r>
      <w:r>
        <w:rPr>
          <w:rFonts w:hint="eastAsia" w:ascii="宋体" w:eastAsia="宋体"/>
          <w:color w:val="auto"/>
          <w:sz w:val="22"/>
          <w:szCs w:val="22"/>
          <w:highlight w:val="none"/>
          <w:u w:val="single"/>
          <w:lang w:eastAsia="zh-CN"/>
        </w:rPr>
        <w:t>，</w:t>
      </w:r>
      <w:r>
        <w:rPr>
          <w:rFonts w:hint="eastAsia" w:ascii="宋体" w:hAnsi="宋体" w:eastAsia="宋体" w:cs="宋体"/>
          <w:b/>
          <w:bCs w:val="0"/>
          <w:color w:val="auto"/>
          <w:sz w:val="22"/>
          <w:highlight w:val="none"/>
        </w:rPr>
        <w:t>合同签订后，采购人应在七个工作日内支付合同总金额的</w:t>
      </w:r>
      <w:r>
        <w:rPr>
          <w:rFonts w:hint="eastAsia" w:ascii="宋体" w:hAnsi="宋体" w:eastAsia="宋体" w:cs="宋体"/>
          <w:b/>
          <w:bCs w:val="0"/>
          <w:color w:val="auto"/>
          <w:sz w:val="22"/>
          <w:highlight w:val="none"/>
          <w:lang w:val="en-US" w:eastAsia="zh-CN"/>
        </w:rPr>
        <w:t>4</w:t>
      </w:r>
      <w:r>
        <w:rPr>
          <w:rFonts w:hint="eastAsia" w:ascii="宋体" w:hAnsi="宋体" w:eastAsia="宋体" w:cs="宋体"/>
          <w:b/>
          <w:bCs w:val="0"/>
          <w:color w:val="auto"/>
          <w:sz w:val="22"/>
          <w:highlight w:val="none"/>
        </w:rPr>
        <w:t>0%作为</w:t>
      </w:r>
      <w:r>
        <w:rPr>
          <w:rFonts w:hint="eastAsia" w:ascii="宋体" w:hAnsi="宋体" w:eastAsia="宋体" w:cs="宋体"/>
          <w:b/>
          <w:bCs w:val="0"/>
          <w:color w:val="auto"/>
          <w:sz w:val="22"/>
          <w:highlight w:val="none"/>
          <w:lang w:val="en-US" w:eastAsia="zh-CN"/>
        </w:rPr>
        <w:t>预付款</w:t>
      </w:r>
      <w:r>
        <w:rPr>
          <w:rFonts w:hint="eastAsia" w:ascii="宋体" w:hAnsi="宋体" w:eastAsia="宋体" w:cs="宋体"/>
          <w:b/>
          <w:bCs w:val="0"/>
          <w:color w:val="auto"/>
          <w:sz w:val="22"/>
          <w:highlight w:val="none"/>
        </w:rPr>
        <w:t>。</w:t>
      </w:r>
    </w:p>
    <w:p>
      <w:pPr>
        <w:widowControl/>
        <w:autoSpaceDE w:val="0"/>
        <w:autoSpaceDN w:val="0"/>
        <w:adjustRightInd w:val="0"/>
        <w:spacing w:line="460" w:lineRule="atLeast"/>
        <w:ind w:firstLine="442" w:firstLineChars="200"/>
        <w:textAlignment w:val="bottom"/>
        <w:rPr>
          <w:rFonts w:hint="eastAsia" w:ascii="宋体" w:eastAsia="宋体"/>
          <w:b/>
          <w:bCs/>
          <w:color w:val="auto"/>
          <w:sz w:val="22"/>
          <w:szCs w:val="22"/>
          <w:highlight w:val="none"/>
          <w:lang w:eastAsia="zh-CN"/>
        </w:rPr>
      </w:pPr>
      <w:r>
        <w:rPr>
          <w:rFonts w:ascii="宋体" w:eastAsia="宋体"/>
          <w:b/>
          <w:bCs/>
          <w:color w:val="auto"/>
          <w:sz w:val="22"/>
          <w:szCs w:val="22"/>
          <w:highlight w:val="none"/>
        </w:rPr>
        <w:t>完成全部设备供货</w:t>
      </w:r>
      <w:r>
        <w:rPr>
          <w:rFonts w:hint="eastAsia" w:ascii="宋体" w:eastAsia="宋体"/>
          <w:b/>
          <w:bCs/>
          <w:color w:val="auto"/>
          <w:sz w:val="22"/>
          <w:szCs w:val="22"/>
          <w:highlight w:val="none"/>
          <w:lang w:eastAsia="zh-CN"/>
        </w:rPr>
        <w:t>、</w:t>
      </w:r>
      <w:r>
        <w:rPr>
          <w:rFonts w:ascii="宋体" w:eastAsia="宋体"/>
          <w:b/>
          <w:bCs/>
          <w:color w:val="auto"/>
          <w:sz w:val="22"/>
          <w:szCs w:val="22"/>
          <w:highlight w:val="none"/>
        </w:rPr>
        <w:t>施工安装</w:t>
      </w:r>
      <w:r>
        <w:rPr>
          <w:rFonts w:hint="eastAsia" w:ascii="宋体" w:eastAsia="宋体"/>
          <w:b/>
          <w:bCs/>
          <w:color w:val="auto"/>
          <w:sz w:val="22"/>
          <w:szCs w:val="22"/>
          <w:highlight w:val="none"/>
          <w:lang w:eastAsia="zh-CN"/>
        </w:rPr>
        <w:t>、</w:t>
      </w:r>
      <w:r>
        <w:rPr>
          <w:rFonts w:ascii="宋体" w:eastAsia="宋体"/>
          <w:b/>
          <w:bCs/>
          <w:color w:val="auto"/>
          <w:sz w:val="22"/>
          <w:szCs w:val="22"/>
          <w:highlight w:val="none"/>
        </w:rPr>
        <w:t>调试经验收合格通过，</w:t>
      </w:r>
      <w:r>
        <w:rPr>
          <w:rFonts w:hint="eastAsia" w:ascii="宋体" w:eastAsia="宋体"/>
          <w:b/>
          <w:bCs/>
          <w:color w:val="auto"/>
          <w:sz w:val="22"/>
          <w:szCs w:val="22"/>
          <w:highlight w:val="none"/>
          <w:lang w:val="en-US" w:eastAsia="zh-CN"/>
        </w:rPr>
        <w:t>并</w:t>
      </w:r>
      <w:r>
        <w:rPr>
          <w:rFonts w:ascii="宋体" w:eastAsia="宋体"/>
          <w:b/>
          <w:bCs/>
          <w:color w:val="auto"/>
          <w:sz w:val="22"/>
          <w:szCs w:val="22"/>
          <w:highlight w:val="none"/>
        </w:rPr>
        <w:t>出具竣工验收报告</w:t>
      </w:r>
      <w:r>
        <w:rPr>
          <w:rFonts w:hint="eastAsia" w:ascii="宋体" w:eastAsia="宋体"/>
          <w:b/>
          <w:bCs/>
          <w:color w:val="auto"/>
          <w:sz w:val="22"/>
          <w:szCs w:val="22"/>
          <w:highlight w:val="none"/>
        </w:rPr>
        <w:t>（</w:t>
      </w:r>
      <w:r>
        <w:rPr>
          <w:rFonts w:ascii="宋体" w:eastAsia="宋体"/>
          <w:b/>
          <w:bCs/>
          <w:color w:val="auto"/>
          <w:sz w:val="22"/>
          <w:szCs w:val="22"/>
          <w:highlight w:val="none"/>
        </w:rPr>
        <w:t>监理报告</w:t>
      </w:r>
      <w:r>
        <w:rPr>
          <w:rFonts w:hint="eastAsia" w:ascii="宋体" w:eastAsia="宋体"/>
          <w:b/>
          <w:bCs/>
          <w:color w:val="auto"/>
          <w:sz w:val="22"/>
          <w:szCs w:val="22"/>
          <w:highlight w:val="none"/>
        </w:rPr>
        <w:t>）</w:t>
      </w:r>
      <w:r>
        <w:rPr>
          <w:rFonts w:hint="eastAsia" w:ascii="宋体" w:eastAsia="宋体"/>
          <w:b/>
          <w:bCs/>
          <w:color w:val="auto"/>
          <w:sz w:val="22"/>
          <w:szCs w:val="22"/>
          <w:highlight w:val="none"/>
          <w:lang w:val="en-US" w:eastAsia="zh-CN"/>
        </w:rPr>
        <w:t>后</w:t>
      </w:r>
      <w:r>
        <w:rPr>
          <w:rFonts w:ascii="宋体" w:eastAsia="宋体"/>
          <w:b/>
          <w:bCs/>
          <w:color w:val="auto"/>
          <w:sz w:val="22"/>
          <w:szCs w:val="22"/>
          <w:highlight w:val="none"/>
        </w:rPr>
        <w:t>七个工作日内付设备及安装合同总金额的</w:t>
      </w:r>
      <w:r>
        <w:rPr>
          <w:rFonts w:hint="eastAsia" w:ascii="宋体" w:eastAsia="宋体"/>
          <w:b/>
          <w:bCs/>
          <w:color w:val="auto"/>
          <w:sz w:val="22"/>
          <w:szCs w:val="22"/>
          <w:highlight w:val="none"/>
          <w:lang w:val="en-US" w:eastAsia="zh-CN"/>
        </w:rPr>
        <w:t>100</w:t>
      </w:r>
      <w:r>
        <w:rPr>
          <w:rFonts w:ascii="宋体" w:eastAsia="宋体"/>
          <w:b/>
          <w:bCs/>
          <w:color w:val="auto"/>
          <w:sz w:val="22"/>
          <w:szCs w:val="22"/>
          <w:highlight w:val="none"/>
        </w:rPr>
        <w:t>%</w:t>
      </w:r>
      <w:r>
        <w:rPr>
          <w:rFonts w:hint="eastAsia" w:ascii="宋体" w:eastAsia="宋体"/>
          <w:b/>
          <w:bCs/>
          <w:color w:val="auto"/>
          <w:sz w:val="22"/>
          <w:szCs w:val="22"/>
          <w:highlight w:val="none"/>
          <w:lang w:eastAsia="zh-CN"/>
        </w:rPr>
        <w:t>。</w:t>
      </w:r>
    </w:p>
    <w:p>
      <w:pPr>
        <w:widowControl/>
        <w:autoSpaceDE w:val="0"/>
        <w:autoSpaceDN w:val="0"/>
        <w:adjustRightInd w:val="0"/>
        <w:spacing w:line="460" w:lineRule="atLeast"/>
        <w:ind w:firstLine="442" w:firstLineChars="200"/>
        <w:textAlignment w:val="bottom"/>
        <w:rPr>
          <w:rFonts w:ascii="宋体" w:eastAsia="宋体"/>
          <w:b/>
          <w:bCs/>
          <w:color w:val="auto"/>
          <w:sz w:val="22"/>
          <w:szCs w:val="22"/>
          <w:highlight w:val="none"/>
        </w:rPr>
      </w:pPr>
      <w:r>
        <w:rPr>
          <w:rFonts w:hint="eastAsia" w:ascii="宋体" w:eastAsia="宋体"/>
          <w:b/>
          <w:bCs/>
          <w:color w:val="auto"/>
          <w:sz w:val="22"/>
          <w:szCs w:val="22"/>
          <w:highlight w:val="none"/>
          <w:lang w:val="en-US" w:eastAsia="zh-CN"/>
        </w:rPr>
        <w:t>维保期满7个工作日内采购人</w:t>
      </w:r>
      <w:r>
        <w:rPr>
          <w:rFonts w:hint="eastAsia" w:ascii="宋体" w:eastAsia="宋体"/>
          <w:b/>
          <w:bCs/>
          <w:color w:val="auto"/>
          <w:sz w:val="22"/>
          <w:szCs w:val="22"/>
          <w:highlight w:val="none"/>
        </w:rPr>
        <w:t>无息退还履约保证金</w:t>
      </w:r>
      <w:r>
        <w:rPr>
          <w:rFonts w:hint="eastAsia" w:ascii="宋体" w:eastAsia="宋体"/>
          <w:b/>
          <w:bCs/>
          <w:color w:val="auto"/>
          <w:sz w:val="22"/>
          <w:szCs w:val="22"/>
          <w:highlight w:val="none"/>
          <w:lang w:eastAsia="zh-CN"/>
        </w:rPr>
        <w:t>（</w:t>
      </w:r>
      <w:r>
        <w:rPr>
          <w:rFonts w:hint="eastAsia" w:ascii="宋体" w:eastAsia="宋体"/>
          <w:b/>
          <w:bCs/>
          <w:color w:val="auto"/>
          <w:sz w:val="22"/>
          <w:szCs w:val="22"/>
          <w:highlight w:val="none"/>
          <w:lang w:val="en-US" w:eastAsia="zh-CN"/>
        </w:rPr>
        <w:t>或保函自动作废</w:t>
      </w:r>
      <w:r>
        <w:rPr>
          <w:rFonts w:hint="eastAsia" w:ascii="宋体" w:eastAsia="宋体"/>
          <w:b/>
          <w:bCs/>
          <w:color w:val="auto"/>
          <w:sz w:val="22"/>
          <w:szCs w:val="22"/>
          <w:highlight w:val="none"/>
          <w:lang w:eastAsia="zh-CN"/>
        </w:rPr>
        <w:t>）。</w:t>
      </w:r>
    </w:p>
    <w:p>
      <w:pPr>
        <w:snapToGrid w:val="0"/>
        <w:spacing w:line="450" w:lineRule="atLeast"/>
        <w:ind w:firstLine="440" w:firstLineChars="200"/>
        <w:rPr>
          <w:rFonts w:hint="eastAsia" w:ascii="宋体" w:hAnsi="宋体" w:eastAsia="宋体" w:cs="宋体"/>
          <w:b w:val="0"/>
          <w:bCs/>
          <w:color w:val="auto"/>
          <w:sz w:val="22"/>
        </w:rPr>
      </w:pPr>
      <w:r>
        <w:rPr>
          <w:rFonts w:hint="eastAsia" w:ascii="宋体" w:hAnsi="宋体" w:eastAsia="宋体" w:cs="宋体"/>
          <w:b w:val="0"/>
          <w:bCs/>
          <w:color w:val="auto"/>
          <w:sz w:val="22"/>
          <w:highlight w:val="none"/>
        </w:rPr>
        <w:t>说明:（1）根据浙江省财政厅文件《浙江省财政厅关于进一步发挥政府采购政策功能全力推动经济稳进提质的通知》（浙财采监[2022]3号</w:t>
      </w:r>
      <w:r>
        <w:rPr>
          <w:rFonts w:hint="eastAsia" w:ascii="宋体" w:hAnsi="宋体" w:eastAsia="宋体" w:cs="宋体"/>
          <w:b w:val="0"/>
          <w:bCs/>
          <w:color w:val="auto"/>
          <w:sz w:val="22"/>
        </w:rPr>
        <w:t>）的规定“在签订合同时，供应商明确表示无需预付款或者主动要求降低预付款比例的，采购单位可不适用前述规定”。</w:t>
      </w:r>
    </w:p>
    <w:p>
      <w:pPr>
        <w:snapToGrid w:val="0"/>
        <w:spacing w:line="450" w:lineRule="atLeast"/>
        <w:ind w:firstLine="440" w:firstLineChars="200"/>
        <w:rPr>
          <w:rFonts w:hint="eastAsia" w:ascii="宋体" w:hAnsi="宋体" w:eastAsia="宋体" w:cs="宋体"/>
          <w:b w:val="0"/>
          <w:bCs/>
          <w:color w:val="auto"/>
          <w:sz w:val="22"/>
        </w:rPr>
      </w:pPr>
      <w:r>
        <w:rPr>
          <w:rFonts w:hint="eastAsia" w:ascii="宋体" w:hAnsi="宋体" w:eastAsia="宋体" w:cs="宋体"/>
          <w:b w:val="0"/>
          <w:bCs/>
          <w:color w:val="auto"/>
          <w:sz w:val="22"/>
        </w:rPr>
        <w:t>（2）对于满足合同支付约定条件的，采购人于收到中标供应商开具的正式税务发票后7个工作日内予以支付相应合同价款，具体视财政资金到位情况为准。</w:t>
      </w:r>
    </w:p>
    <w:p>
      <w:pPr>
        <w:snapToGrid w:val="0"/>
        <w:spacing w:line="450" w:lineRule="atLeast"/>
        <w:ind w:firstLine="440" w:firstLineChars="200"/>
        <w:rPr>
          <w:rFonts w:hint="eastAsia" w:ascii="宋体" w:hAnsi="宋体" w:eastAsia="宋体" w:cs="宋体"/>
          <w:b w:val="0"/>
          <w:bCs/>
          <w:color w:val="auto"/>
          <w:sz w:val="22"/>
        </w:rPr>
      </w:pPr>
      <w:r>
        <w:rPr>
          <w:rFonts w:hint="eastAsia" w:ascii="宋体" w:hAnsi="宋体" w:eastAsia="宋体" w:cs="宋体"/>
          <w:b w:val="0"/>
          <w:bCs/>
          <w:color w:val="auto"/>
          <w:sz w:val="22"/>
        </w:rPr>
        <w:t>（3）本项目的经费由政府拨款，如因拨款未能及时到位，中标供应商不得以此为由而不履行本项目规定的义务。如因财政资金拨付原因，预付款可能会延缓支付或不予支付，供应商报价时充分考虑，自行承担垫资风险。</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color w:val="auto"/>
          <w:sz w:val="22"/>
        </w:rPr>
        <w:t>（4）</w:t>
      </w:r>
      <w:r>
        <w:rPr>
          <w:rFonts w:hint="eastAsia" w:ascii="宋体" w:hAnsi="宋体" w:eastAsia="宋体" w:cs="宋体"/>
          <w:b w:val="0"/>
          <w:color w:val="auto"/>
          <w:sz w:val="22"/>
          <w:lang w:val="zh-CN" w:eastAsia="zh-CN"/>
        </w:rPr>
        <w:t>如在合同签订期间及合同签订后，现代服务业增值税税率发生变化的，本合同总价保持不变，不含税综合单价相应调整。</w:t>
      </w:r>
    </w:p>
    <w:p>
      <w:pPr>
        <w:spacing w:line="460" w:lineRule="atLeast"/>
        <w:ind w:firstLine="418" w:firstLineChars="190"/>
        <w:rPr>
          <w:rFonts w:eastAsia="宋体"/>
          <w:color w:val="auto"/>
          <w:highlight w:val="none"/>
        </w:rPr>
      </w:pPr>
      <w:r>
        <w:rPr>
          <w:rFonts w:hint="eastAsia" w:ascii="宋体" w:hAnsi="宋体" w:eastAsia="宋体" w:cs="宋体"/>
          <w:b w:val="0"/>
          <w:sz w:val="22"/>
          <w:szCs w:val="22"/>
          <w:highlight w:val="none"/>
        </w:rPr>
        <w:t>因财政国</w:t>
      </w:r>
      <w:r>
        <w:rPr>
          <w:rFonts w:hint="eastAsia" w:ascii="宋体" w:eastAsia="宋体"/>
          <w:b w:val="0"/>
          <w:sz w:val="22"/>
          <w:szCs w:val="22"/>
          <w:highlight w:val="none"/>
        </w:rPr>
        <w:t>库库款能力不足等情势变更情况导致无法执行相关文件要求的支付比例，采购人与中标供应商应根据实际情况另行协商约定。</w:t>
      </w:r>
    </w:p>
    <w:bookmarkEnd w:id="20"/>
    <w:bookmarkEnd w:id="21"/>
    <w:bookmarkEnd w:id="22"/>
    <w:bookmarkEnd w:id="23"/>
    <w:bookmarkEnd w:id="24"/>
    <w:p>
      <w:pPr>
        <w:widowControl/>
        <w:numPr>
          <w:ilvl w:val="0"/>
          <w:numId w:val="0"/>
        </w:numPr>
        <w:autoSpaceDE w:val="0"/>
        <w:autoSpaceDN w:val="0"/>
        <w:adjustRightInd w:val="0"/>
        <w:spacing w:line="460" w:lineRule="atLeast"/>
        <w:ind w:firstLine="442" w:firstLineChars="200"/>
        <w:textAlignment w:val="bottom"/>
        <w:rPr>
          <w:rFonts w:ascii="宋体" w:eastAsia="宋体"/>
          <w:color w:val="auto"/>
          <w:sz w:val="22"/>
          <w:szCs w:val="22"/>
          <w:highlight w:val="none"/>
        </w:rPr>
      </w:pPr>
      <w:r>
        <w:rPr>
          <w:rFonts w:hint="eastAsia" w:ascii="宋体" w:hAnsi="宋体" w:eastAsia="宋体" w:cs="宋体"/>
          <w:b/>
          <w:bCs/>
          <w:color w:val="auto"/>
          <w:sz w:val="22"/>
          <w:szCs w:val="22"/>
          <w:highlight w:val="none"/>
          <w:lang w:val="en-US" w:eastAsia="zh-CN" w:bidi="ar-SA"/>
        </w:rPr>
        <w:t>3、</w:t>
      </w:r>
      <w:r>
        <w:rPr>
          <w:rFonts w:hint="eastAsia" w:ascii="宋体" w:eastAsia="宋体"/>
          <w:color w:val="auto"/>
          <w:sz w:val="22"/>
          <w:szCs w:val="22"/>
          <w:highlight w:val="none"/>
          <w:lang w:val="en-US" w:eastAsia="zh-CN"/>
        </w:rPr>
        <w:t>其他</w:t>
      </w:r>
      <w:r>
        <w:rPr>
          <w:rFonts w:hint="eastAsia" w:ascii="宋体" w:eastAsia="宋体"/>
          <w:color w:val="auto"/>
          <w:sz w:val="22"/>
          <w:szCs w:val="22"/>
          <w:highlight w:val="none"/>
        </w:rPr>
        <w:t>要求：</w:t>
      </w:r>
    </w:p>
    <w:p>
      <w:pPr>
        <w:autoSpaceDE w:val="0"/>
        <w:autoSpaceDN w:val="0"/>
        <w:adjustRightInd w:val="0"/>
        <w:spacing w:line="460" w:lineRule="atLeast"/>
        <w:ind w:firstLine="440" w:firstLineChars="200"/>
        <w:rPr>
          <w:rFonts w:hint="eastAsia" w:ascii="宋体" w:eastAsia="宋体"/>
          <w:b w:val="0"/>
          <w:color w:val="auto"/>
          <w:sz w:val="22"/>
          <w:szCs w:val="22"/>
        </w:rPr>
      </w:pPr>
      <w:bookmarkStart w:id="25" w:name="_Toc112675539"/>
      <w:bookmarkStart w:id="26" w:name="_Toc112674939"/>
      <w:bookmarkStart w:id="27" w:name="_Toc112722777"/>
      <w:r>
        <w:rPr>
          <w:rFonts w:hint="eastAsia" w:ascii="宋体" w:eastAsia="宋体"/>
          <w:b w:val="0"/>
          <w:color w:val="auto"/>
          <w:sz w:val="22"/>
          <w:lang w:val="en-US" w:eastAsia="zh-CN"/>
        </w:rPr>
        <w:t>3</w:t>
      </w:r>
      <w:r>
        <w:rPr>
          <w:rFonts w:hint="eastAsia" w:ascii="宋体" w:eastAsia="宋体"/>
          <w:b w:val="0"/>
          <w:color w:val="auto"/>
          <w:sz w:val="22"/>
        </w:rPr>
        <w:t xml:space="preserve">.1 </w:t>
      </w:r>
      <w:bookmarkEnd w:id="25"/>
      <w:bookmarkEnd w:id="26"/>
      <w:bookmarkEnd w:id="27"/>
      <w:r>
        <w:rPr>
          <w:rFonts w:hint="eastAsia" w:ascii="宋体" w:eastAsia="宋体"/>
          <w:b w:val="0"/>
          <w:color w:val="auto"/>
          <w:sz w:val="22"/>
          <w:szCs w:val="22"/>
        </w:rPr>
        <w:t xml:space="preserve">点位确认 </w:t>
      </w:r>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中标单位在确认安装点位时应以照片或图像等形式固定点位，同时按照《跨区域视频监控联网共享技术规范》（DB33/T629—2007）要求完成点位的编码工作、按照警用地理信息系统数据库视频监控图层数据的要求提供点位精确的经、纬度、通道编号等数据</w:t>
      </w:r>
      <w:r>
        <w:rPr>
          <w:rFonts w:hint="eastAsia" w:ascii="宋体" w:eastAsia="宋体"/>
          <w:b w:val="0"/>
          <w:color w:val="auto"/>
          <w:sz w:val="22"/>
          <w:szCs w:val="22"/>
          <w:highlight w:val="none"/>
        </w:rPr>
        <w:t>，并在抱杆机箱上粘贴一机一档国标码。</w:t>
      </w:r>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lang w:val="en-US" w:eastAsia="zh-CN"/>
        </w:rPr>
        <w:t xml:space="preserve">3.2 </w:t>
      </w:r>
      <w:r>
        <w:rPr>
          <w:rFonts w:hint="eastAsia" w:ascii="宋体" w:eastAsia="宋体"/>
          <w:b w:val="0"/>
          <w:color w:val="auto"/>
          <w:sz w:val="22"/>
          <w:szCs w:val="22"/>
        </w:rPr>
        <w:t>安装、调试</w:t>
      </w:r>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道路开挖审批、接电等由中标单位负责，</w:t>
      </w:r>
      <w:r>
        <w:rPr>
          <w:rFonts w:hint="eastAsia" w:ascii="宋体" w:eastAsia="宋体"/>
          <w:b w:val="0"/>
          <w:color w:val="auto"/>
          <w:sz w:val="22"/>
          <w:szCs w:val="22"/>
          <w:lang w:eastAsia="zh-CN"/>
        </w:rPr>
        <w:t>采购人</w:t>
      </w:r>
      <w:r>
        <w:rPr>
          <w:rFonts w:hint="eastAsia" w:ascii="宋体" w:eastAsia="宋体"/>
          <w:b w:val="0"/>
          <w:color w:val="auto"/>
          <w:sz w:val="22"/>
          <w:szCs w:val="22"/>
        </w:rPr>
        <w:t>协助，费用含在本项建设中标价中；设备的安装必须符合有关标准和规范，中标单位必需选择具备安防资信等级的企业并有</w:t>
      </w:r>
      <w:r>
        <w:rPr>
          <w:rFonts w:ascii="宋体" w:eastAsia="宋体"/>
          <w:b w:val="0"/>
          <w:color w:val="auto"/>
          <w:sz w:val="22"/>
          <w:szCs w:val="22"/>
        </w:rPr>
        <w:t>以往类似施工经验</w:t>
      </w:r>
      <w:r>
        <w:rPr>
          <w:rFonts w:hint="eastAsia" w:ascii="宋体" w:eastAsia="宋体"/>
          <w:b w:val="0"/>
          <w:color w:val="auto"/>
          <w:sz w:val="22"/>
          <w:szCs w:val="22"/>
        </w:rPr>
        <w:t>的施工队伍负责项目施工。同时应聘请第三方监理公司对项目进行全程监理，并在工程竣工后出具监理报告。设备安装就位、校准后，中标方应按提交初验报告给</w:t>
      </w:r>
      <w:r>
        <w:rPr>
          <w:rFonts w:hint="eastAsia" w:ascii="宋体" w:eastAsia="宋体"/>
          <w:b w:val="0"/>
          <w:color w:val="auto"/>
          <w:sz w:val="22"/>
          <w:szCs w:val="22"/>
          <w:lang w:eastAsia="zh-CN"/>
        </w:rPr>
        <w:t>采购人</w:t>
      </w:r>
      <w:r>
        <w:rPr>
          <w:rFonts w:hint="eastAsia" w:ascii="宋体" w:eastAsia="宋体"/>
          <w:b w:val="0"/>
          <w:color w:val="auto"/>
          <w:sz w:val="22"/>
          <w:szCs w:val="22"/>
        </w:rPr>
        <w:t>，开始至少连续一个月以上的系统试运行，并做好试运行记录。</w:t>
      </w:r>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lang w:val="en-US" w:eastAsia="zh-CN"/>
        </w:rPr>
        <w:t xml:space="preserve">3.3 </w:t>
      </w:r>
      <w:r>
        <w:rPr>
          <w:rFonts w:hint="eastAsia" w:ascii="宋体" w:eastAsia="宋体"/>
          <w:b w:val="0"/>
          <w:color w:val="auto"/>
          <w:sz w:val="22"/>
          <w:szCs w:val="22"/>
        </w:rPr>
        <w:t>检测</w:t>
      </w:r>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系统在正式验收前，必须由国家认证合格的检测部门对系统进行检测，并出具检测报告。对于检测不合格的地方应及时进行整改和调整，直至检测合格。中标方负责测试所需的一切费用。系统检测应执行相关安防行业法规、政策、行业标准，主要以本项目合同的要求为准。</w:t>
      </w:r>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lang w:val="en-US" w:eastAsia="zh-CN"/>
        </w:rPr>
        <w:t xml:space="preserve">3.4  </w:t>
      </w:r>
      <w:r>
        <w:rPr>
          <w:rFonts w:hint="eastAsia" w:ascii="宋体" w:eastAsia="宋体"/>
          <w:b w:val="0"/>
          <w:color w:val="auto"/>
          <w:sz w:val="22"/>
          <w:szCs w:val="22"/>
        </w:rPr>
        <w:t>验收</w:t>
      </w:r>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lang w:val="en-US" w:eastAsia="zh-CN"/>
        </w:rPr>
        <w:t>3.4</w:t>
      </w:r>
      <w:r>
        <w:rPr>
          <w:rFonts w:hint="eastAsia" w:ascii="宋体" w:eastAsia="宋体"/>
          <w:b w:val="0"/>
          <w:color w:val="auto"/>
          <w:sz w:val="22"/>
          <w:szCs w:val="22"/>
        </w:rPr>
        <w:t>.1系统调试开通后至少连续试运行一个月无故障或已发现的故障和隐患均已全部排除，</w:t>
      </w:r>
      <w:r>
        <w:rPr>
          <w:rFonts w:hint="eastAsia" w:ascii="宋体" w:eastAsia="宋体"/>
          <w:b w:val="0"/>
          <w:color w:val="auto"/>
          <w:sz w:val="22"/>
          <w:szCs w:val="22"/>
          <w:highlight w:val="none"/>
        </w:rPr>
        <w:t>并经第三方检测合格，</w:t>
      </w:r>
      <w:r>
        <w:rPr>
          <w:rFonts w:hint="eastAsia" w:ascii="宋体" w:eastAsia="宋体"/>
          <w:b w:val="0"/>
          <w:color w:val="auto"/>
          <w:sz w:val="22"/>
          <w:szCs w:val="22"/>
        </w:rPr>
        <w:t>所有的技术资料和图纸已向</w:t>
      </w:r>
      <w:r>
        <w:rPr>
          <w:rFonts w:hint="eastAsia" w:ascii="宋体" w:eastAsia="宋体"/>
          <w:b w:val="0"/>
          <w:color w:val="auto"/>
          <w:sz w:val="22"/>
          <w:szCs w:val="22"/>
          <w:lang w:eastAsia="zh-CN"/>
        </w:rPr>
        <w:t>采购人</w:t>
      </w:r>
      <w:r>
        <w:rPr>
          <w:rFonts w:hint="eastAsia" w:ascii="宋体" w:eastAsia="宋体"/>
          <w:b w:val="0"/>
          <w:color w:val="auto"/>
          <w:sz w:val="22"/>
          <w:szCs w:val="22"/>
        </w:rPr>
        <w:t>提交并被接受后，</w:t>
      </w:r>
      <w:r>
        <w:rPr>
          <w:rFonts w:hint="eastAsia" w:ascii="宋体" w:eastAsia="宋体"/>
          <w:b w:val="0"/>
          <w:color w:val="auto"/>
          <w:sz w:val="22"/>
          <w:szCs w:val="22"/>
          <w:lang w:eastAsia="zh-CN"/>
        </w:rPr>
        <w:t>采购人</w:t>
      </w:r>
      <w:r>
        <w:rPr>
          <w:rFonts w:hint="eastAsia" w:ascii="宋体" w:eastAsia="宋体"/>
          <w:b w:val="0"/>
          <w:color w:val="auto"/>
          <w:sz w:val="22"/>
          <w:szCs w:val="22"/>
        </w:rPr>
        <w:t>应及时组织验收，验收合格后，出具验收合格证明。验收由技术验收、施工验收和资料审查三部分内容组成。未经审核验收通过的监控系统不得投入使用，验收合格方可移交运行。系统验收应执行相关安防行业法规、政策、行业标准及本项目合同的要求。</w:t>
      </w:r>
    </w:p>
    <w:p>
      <w:pPr>
        <w:spacing w:line="440" w:lineRule="exact"/>
        <w:ind w:firstLine="440" w:firstLineChars="200"/>
        <w:rPr>
          <w:rFonts w:hint="eastAsia" w:ascii="宋体" w:eastAsia="宋体"/>
          <w:b w:val="0"/>
          <w:color w:val="auto"/>
          <w:sz w:val="22"/>
          <w:szCs w:val="22"/>
          <w:lang w:val="en-US" w:eastAsia="zh-CN"/>
        </w:rPr>
      </w:pPr>
      <w:r>
        <w:rPr>
          <w:rFonts w:hint="eastAsia" w:ascii="宋体" w:eastAsia="宋体"/>
          <w:b w:val="0"/>
          <w:color w:val="auto"/>
          <w:sz w:val="22"/>
          <w:szCs w:val="22"/>
          <w:lang w:val="en-US" w:eastAsia="zh-CN"/>
        </w:rPr>
        <w:t>3.4</w:t>
      </w:r>
      <w:r>
        <w:rPr>
          <w:rFonts w:hint="eastAsia" w:ascii="宋体" w:eastAsia="宋体"/>
          <w:b w:val="0"/>
          <w:color w:val="auto"/>
          <w:sz w:val="22"/>
          <w:szCs w:val="22"/>
        </w:rPr>
        <w:t>.2若因中标单位产品质量或安装技术问题导致验收不合格，中标单位应及时予以处理，直至验收合格，期间发生的一切相关费用由中标单位承担，</w:t>
      </w:r>
      <w:r>
        <w:rPr>
          <w:rFonts w:hint="eastAsia" w:ascii="宋体" w:eastAsia="宋体"/>
          <w:b w:val="0"/>
          <w:color w:val="auto"/>
          <w:sz w:val="22"/>
          <w:szCs w:val="22"/>
          <w:lang w:eastAsia="zh-CN"/>
        </w:rPr>
        <w:t>采购人</w:t>
      </w:r>
      <w:r>
        <w:rPr>
          <w:rFonts w:hint="eastAsia" w:ascii="宋体" w:eastAsia="宋体"/>
          <w:b w:val="0"/>
          <w:color w:val="auto"/>
          <w:sz w:val="22"/>
          <w:szCs w:val="22"/>
        </w:rPr>
        <w:t>保留向中标单位索赔的权利。</w:t>
      </w:r>
    </w:p>
    <w:p>
      <w:pPr>
        <w:widowControl/>
        <w:autoSpaceDE w:val="0"/>
        <w:autoSpaceDN w:val="0"/>
        <w:adjustRightInd w:val="0"/>
        <w:spacing w:line="450" w:lineRule="atLeast"/>
        <w:ind w:firstLine="442" w:firstLineChars="200"/>
        <w:textAlignment w:val="bottom"/>
        <w:rPr>
          <w:rFonts w:hint="eastAsia" w:ascii="宋体" w:eastAsia="宋体"/>
          <w:color w:val="auto"/>
          <w:sz w:val="22"/>
          <w:szCs w:val="22"/>
          <w:highlight w:val="none"/>
          <w:lang w:eastAsia="zh-CN"/>
        </w:rPr>
      </w:pPr>
      <w:r>
        <w:rPr>
          <w:rFonts w:hint="eastAsia" w:ascii="宋体" w:eastAsia="宋体"/>
          <w:color w:val="auto"/>
          <w:sz w:val="22"/>
          <w:szCs w:val="22"/>
          <w:highlight w:val="none"/>
        </w:rPr>
        <w:t>4、技术服务和人员培训</w:t>
      </w:r>
      <w:r>
        <w:rPr>
          <w:rFonts w:hint="eastAsia" w:ascii="宋体" w:eastAsia="宋体"/>
          <w:color w:val="auto"/>
          <w:sz w:val="22"/>
          <w:szCs w:val="22"/>
          <w:highlight w:val="none"/>
          <w:lang w:eastAsia="zh-CN"/>
        </w:rPr>
        <w:t>：</w:t>
      </w:r>
    </w:p>
    <w:p>
      <w:pPr>
        <w:spacing w:line="44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用户通过故障保修热线或客户经理报障，运行维护期内，中标单位负责对出现故障的所有设备免费的维修和更换，并提供终身优惠维修保养服务，每次维修都将形成必要的记录，为用户建立一套完整的运行纪要。</w:t>
      </w:r>
    </w:p>
    <w:p>
      <w:pPr>
        <w:spacing w:line="44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4.1、提供系统日巡检服务，确保每台服务器在稳定的工作；服务器出现异常情况应在4小时内解决。</w:t>
      </w:r>
    </w:p>
    <w:p>
      <w:pPr>
        <w:spacing w:line="44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4.2、每个季度对整个系统进行现场巡检一次和摄像机镜头擦拭一次，遇重大活动和重要保障任务时，接公安局通知时应立即进行检修和擦拭，对系统存在的潜在安全或故障隐患进行分析并提出相应的解决方案加以排除。</w:t>
      </w:r>
    </w:p>
    <w:p>
      <w:pPr>
        <w:spacing w:line="44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4.3、提供每周</w:t>
      </w:r>
      <w:r>
        <w:rPr>
          <w:rFonts w:ascii="宋体" w:eastAsia="宋体"/>
          <w:b w:val="0"/>
          <w:color w:val="auto"/>
          <w:sz w:val="22"/>
          <w:szCs w:val="22"/>
          <w:highlight w:val="none"/>
        </w:rPr>
        <w:t>7</w:t>
      </w:r>
      <w:r>
        <w:rPr>
          <w:rFonts w:hint="eastAsia" w:ascii="宋体" w:eastAsia="宋体"/>
          <w:b w:val="0"/>
          <w:color w:val="auto"/>
          <w:sz w:val="22"/>
          <w:szCs w:val="22"/>
          <w:highlight w:val="none"/>
        </w:rPr>
        <w:t>×</w:t>
      </w:r>
      <w:r>
        <w:rPr>
          <w:rFonts w:ascii="宋体" w:eastAsia="宋体"/>
          <w:b w:val="0"/>
          <w:color w:val="auto"/>
          <w:sz w:val="22"/>
          <w:szCs w:val="22"/>
          <w:highlight w:val="none"/>
        </w:rPr>
        <w:t>24</w:t>
      </w:r>
      <w:r>
        <w:rPr>
          <w:rFonts w:hint="eastAsia" w:ascii="宋体" w:eastAsia="宋体"/>
          <w:b w:val="0"/>
          <w:color w:val="auto"/>
          <w:sz w:val="22"/>
          <w:szCs w:val="22"/>
          <w:highlight w:val="none"/>
        </w:rPr>
        <w:t>小时电话技术服务、技术咨询或现场技术服务。</w:t>
      </w:r>
    </w:p>
    <w:p>
      <w:pPr>
        <w:spacing w:line="44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4.4、中标单位应有完整的售后服务配套设施。</w:t>
      </w:r>
    </w:p>
    <w:p>
      <w:pPr>
        <w:tabs>
          <w:tab w:val="left" w:pos="1260"/>
        </w:tabs>
        <w:spacing w:line="44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4.5、针对本项目中的所有设备，中标单位需在备件库中有高于或等同于本项目设备型号或系列的备品备件，对无法及时修复的故障先免费更换；备品储备量需达到本项目设备的5%。</w:t>
      </w:r>
    </w:p>
    <w:p>
      <w:pPr>
        <w:tabs>
          <w:tab w:val="left" w:pos="1260"/>
        </w:tabs>
        <w:spacing w:line="44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4.6、提供系统所有故障排除服务，确保系统进行实时、有效的视频探测、视频监视，图像显示、记录与回放。</w:t>
      </w:r>
    </w:p>
    <w:p>
      <w:pPr>
        <w:tabs>
          <w:tab w:val="left" w:pos="1260"/>
        </w:tabs>
        <w:spacing w:line="44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4.7、提供系统及网络现状测试和评估服务，为客户远程网络视频监控系统提供详细系统测试报告。</w:t>
      </w:r>
    </w:p>
    <w:p>
      <w:pPr>
        <w:tabs>
          <w:tab w:val="left" w:pos="1260"/>
        </w:tabs>
        <w:spacing w:line="44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4.8、运行维护服务期内免费提供设备软件升级服务，在网络和设备扩容及软件升级时，中标单位需派技术人员到场免费实施或指导。</w:t>
      </w:r>
    </w:p>
    <w:p>
      <w:pPr>
        <w:tabs>
          <w:tab w:val="left" w:pos="1260"/>
        </w:tabs>
        <w:spacing w:line="44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4.9、在系统验收时，中标单位为客户远程网络视频监控系统提供详细的施工文档、设备操作使用指南和维护手册、以及详细的安装调试文档，并提供文档更新服务。</w:t>
      </w:r>
    </w:p>
    <w:p>
      <w:pPr>
        <w:pStyle w:val="3"/>
        <w:snapToGrid w:val="0"/>
        <w:spacing w:after="0" w:line="440" w:lineRule="exact"/>
        <w:ind w:firstLine="440" w:firstLineChars="200"/>
        <w:rPr>
          <w:rFonts w:ascii="宋体" w:hAnsi="宋体"/>
          <w:sz w:val="22"/>
          <w:szCs w:val="22"/>
          <w:highlight w:val="none"/>
        </w:rPr>
      </w:pPr>
      <w:r>
        <w:rPr>
          <w:rFonts w:hint="eastAsia" w:ascii="宋体" w:hAnsi="宋体"/>
          <w:sz w:val="22"/>
          <w:szCs w:val="22"/>
          <w:highlight w:val="none"/>
        </w:rPr>
        <w:t>4.10、在设备投入运行后，如对系统软件有所改进，增加新功能，将免费为</w:t>
      </w:r>
      <w:r>
        <w:rPr>
          <w:rFonts w:hint="eastAsia" w:ascii="宋体" w:hAnsi="宋体" w:cs="宋体"/>
          <w:sz w:val="22"/>
          <w:szCs w:val="22"/>
          <w:highlight w:val="none"/>
        </w:rPr>
        <w:t>客户远程网络视频监控系统</w:t>
      </w:r>
      <w:r>
        <w:rPr>
          <w:rFonts w:hint="eastAsia" w:ascii="宋体" w:hAnsi="宋体"/>
          <w:sz w:val="22"/>
          <w:szCs w:val="22"/>
          <w:highlight w:val="none"/>
        </w:rPr>
        <w:t>提供使用。</w:t>
      </w:r>
    </w:p>
    <w:p>
      <w:pPr>
        <w:spacing w:line="440" w:lineRule="exact"/>
        <w:ind w:firstLine="440" w:firstLineChars="200"/>
        <w:rPr>
          <w:rFonts w:ascii="宋体" w:eastAsia="宋体"/>
          <w:b w:val="0"/>
          <w:color w:val="auto"/>
          <w:sz w:val="22"/>
          <w:szCs w:val="22"/>
          <w:highlight w:val="none"/>
          <w:u w:val="single"/>
        </w:rPr>
      </w:pPr>
      <w:r>
        <w:rPr>
          <w:rFonts w:hint="eastAsia" w:ascii="宋体" w:eastAsia="宋体"/>
          <w:b w:val="0"/>
          <w:color w:val="auto"/>
          <w:sz w:val="22"/>
          <w:szCs w:val="22"/>
          <w:highlight w:val="none"/>
        </w:rPr>
        <w:t>4.11、设备安装、调试结束后，中标单位应立即派有经验的工程师对业主单位人员进行操作和日常管理的培训，并确保业主单位参与培训的人员能独立、熟练地进行操作。</w:t>
      </w:r>
    </w:p>
    <w:p>
      <w:pPr>
        <w:widowControl/>
        <w:autoSpaceDE w:val="0"/>
        <w:autoSpaceDN w:val="0"/>
        <w:adjustRightInd w:val="0"/>
        <w:spacing w:line="460" w:lineRule="atLeast"/>
        <w:ind w:firstLine="440" w:firstLineChars="200"/>
        <w:textAlignment w:val="bottom"/>
        <w:rPr>
          <w:rFonts w:hint="eastAsia" w:ascii="宋体"/>
          <w:color w:val="auto"/>
          <w:highlight w:val="none"/>
        </w:rPr>
      </w:pPr>
      <w:r>
        <w:rPr>
          <w:rFonts w:hint="eastAsia" w:ascii="宋体" w:eastAsia="宋体"/>
          <w:b w:val="0"/>
          <w:color w:val="auto"/>
          <w:sz w:val="22"/>
          <w:szCs w:val="22"/>
          <w:highlight w:val="none"/>
        </w:rPr>
        <w:t>4.12、投标人每年对采购单位提供免费培训。</w:t>
      </w:r>
    </w:p>
    <w:p>
      <w:pPr>
        <w:widowControl/>
        <w:autoSpaceDE w:val="0"/>
        <w:autoSpaceDN w:val="0"/>
        <w:adjustRightInd w:val="0"/>
        <w:spacing w:line="460" w:lineRule="atLeast"/>
        <w:ind w:firstLine="442" w:firstLineChars="200"/>
        <w:textAlignment w:val="bottom"/>
        <w:rPr>
          <w:rFonts w:ascii="宋体" w:eastAsia="宋体"/>
          <w:color w:val="auto"/>
          <w:sz w:val="22"/>
          <w:szCs w:val="22"/>
        </w:rPr>
      </w:pPr>
    </w:p>
    <w:p>
      <w:pPr>
        <w:pStyle w:val="47"/>
        <w:rPr>
          <w:rFonts w:ascii="宋体" w:hAnsi="宋体"/>
          <w:color w:val="auto"/>
        </w:rPr>
      </w:pPr>
      <w:r>
        <w:rPr>
          <w:rFonts w:hint="eastAsia" w:ascii="宋体" w:hAnsi="宋体"/>
          <w:color w:val="auto"/>
        </w:rPr>
        <w:br w:type="page"/>
      </w:r>
      <w:bookmarkStart w:id="28" w:name="_Toc23798"/>
      <w:r>
        <w:rPr>
          <w:rFonts w:hint="eastAsia" w:ascii="宋体" w:hAnsi="宋体"/>
          <w:color w:val="auto"/>
        </w:rPr>
        <w:t>第三部分 供应商须知</w:t>
      </w:r>
      <w:bookmarkEnd w:id="28"/>
    </w:p>
    <w:p>
      <w:pPr>
        <w:pStyle w:val="47"/>
        <w:rPr>
          <w:rFonts w:ascii="宋体" w:hAnsi="宋体"/>
          <w:color w:val="auto"/>
        </w:rPr>
      </w:pPr>
      <w:bookmarkStart w:id="29" w:name="_Toc2470"/>
      <w:r>
        <w:rPr>
          <w:rFonts w:hint="eastAsia" w:ascii="宋体" w:hAnsi="宋体"/>
          <w:color w:val="auto"/>
        </w:rPr>
        <w:t>一、说明</w:t>
      </w:r>
      <w:bookmarkEnd w:id="29"/>
    </w:p>
    <w:p>
      <w:pPr>
        <w:autoSpaceDE w:val="0"/>
        <w:autoSpaceDN w:val="0"/>
        <w:adjustRightInd w:val="0"/>
        <w:spacing w:line="460" w:lineRule="atLeas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w:t>
      </w:r>
      <w:r>
        <w:rPr>
          <w:rFonts w:hint="eastAsia" w:ascii="宋体" w:eastAsia="宋体"/>
          <w:b w:val="0"/>
          <w:color w:val="auto"/>
          <w:sz w:val="22"/>
          <w:szCs w:val="22"/>
        </w:rPr>
        <w:t>本次采购工作是按照《中华人民共和国政府采购法》及相关法律规章组织和实施。</w:t>
      </w:r>
    </w:p>
    <w:p>
      <w:pPr>
        <w:adjustRightInd w:val="0"/>
        <w:spacing w:line="460" w:lineRule="atLeast"/>
        <w:ind w:firstLine="431" w:firstLineChars="196"/>
        <w:rPr>
          <w:rFonts w:ascii="宋体" w:eastAsia="宋体"/>
          <w:color w:val="auto"/>
          <w:sz w:val="22"/>
          <w:szCs w:val="22"/>
          <w:u w:val="single"/>
        </w:rPr>
      </w:pPr>
      <w:r>
        <w:rPr>
          <w:rFonts w:hint="eastAsia" w:ascii="宋体" w:eastAsia="宋体"/>
          <w:b w:val="0"/>
          <w:color w:val="auto"/>
          <w:sz w:val="22"/>
          <w:szCs w:val="22"/>
        </w:rPr>
        <w:t>2、</w:t>
      </w:r>
      <w:r>
        <w:rPr>
          <w:rFonts w:hint="eastAsia" w:ascii="宋体" w:eastAsia="宋体" w:cs="Arial"/>
          <w:b w:val="0"/>
          <w:color w:val="auto"/>
          <w:sz w:val="22"/>
          <w:szCs w:val="22"/>
        </w:rPr>
        <w:t>▲</w:t>
      </w:r>
      <w:r>
        <w:rPr>
          <w:rFonts w:hint="eastAsia" w:cs="新宋体" w:asciiTheme="majorEastAsia" w:hAnsiTheme="majorEastAsia" w:eastAsiaTheme="majorEastAsia"/>
          <w:color w:val="auto"/>
          <w:sz w:val="22"/>
          <w:szCs w:val="22"/>
          <w:highlight w:val="none"/>
        </w:rPr>
        <w:t>供应商必须对全部内容进行投标报价，只对部分内容进行投标报价的供应商将按无效投标处理。</w:t>
      </w:r>
    </w:p>
    <w:p>
      <w:pPr>
        <w:autoSpaceDE w:val="0"/>
        <w:autoSpaceDN w:val="0"/>
        <w:adjustRightInd w:val="0"/>
        <w:spacing w:line="460" w:lineRule="atLeas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3、无论投标过程中的作法和结果如何，供应商自行承担投标活动中所发生的全部费用。采购人有权选择中标供应商的供货和服务范围。</w:t>
      </w:r>
    </w:p>
    <w:p>
      <w:pPr>
        <w:autoSpaceDE w:val="0"/>
        <w:autoSpaceDN w:val="0"/>
        <w:adjustRightInd w:val="0"/>
        <w:spacing w:line="460" w:lineRule="atLeas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4、本次采购采用商务投标文件与技术资信文件分别评审，评标委员会首先评审供应商技术资信部分，技术资信部分无效的供应商不进入商务报价评审。要求供应商技术资信部分的投标文件（含资信与服务）中不得含产品报价，否则做无效投标处理。</w:t>
      </w:r>
    </w:p>
    <w:p>
      <w:pPr>
        <w:adjustRightInd w:val="0"/>
        <w:spacing w:line="460" w:lineRule="atLeast"/>
        <w:ind w:firstLine="431" w:firstLineChars="196"/>
        <w:rPr>
          <w:rFonts w:hint="eastAsia" w:ascii="宋体" w:eastAsia="宋体"/>
          <w:b w:val="0"/>
          <w:color w:val="auto"/>
          <w:sz w:val="22"/>
          <w:szCs w:val="22"/>
          <w:highlight w:val="none"/>
        </w:rPr>
      </w:pPr>
      <w:r>
        <w:rPr>
          <w:rFonts w:hint="eastAsia" w:ascii="宋体" w:eastAsia="宋体" w:cs="仿宋_GB2312"/>
          <w:b w:val="0"/>
          <w:bCs w:val="0"/>
          <w:color w:val="auto"/>
          <w:sz w:val="22"/>
          <w:szCs w:val="22"/>
          <w:lang w:val="zh-CN"/>
        </w:rPr>
        <w:t>5、</w:t>
      </w:r>
      <w:r>
        <w:rPr>
          <w:rFonts w:hint="eastAsia" w:ascii="宋体" w:eastAsia="宋体"/>
          <w:b w:val="0"/>
          <w:color w:val="auto"/>
          <w:sz w:val="22"/>
          <w:szCs w:val="22"/>
          <w:highlight w:val="none"/>
        </w:rPr>
        <w:t>安全生产</w:t>
      </w:r>
    </w:p>
    <w:p>
      <w:pPr>
        <w:adjustRightIn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在招标及合同执行过程中，投标供应商应承担由于其行为所造成的人身伤害、财产损失或损坏的责任，无论何种原因所造成，采购人均不负责。</w:t>
      </w:r>
    </w:p>
    <w:p>
      <w:pPr>
        <w:autoSpaceDE w:val="0"/>
        <w:autoSpaceDN w:val="0"/>
        <w:adjustRightInd w:val="0"/>
        <w:spacing w:line="460" w:lineRule="atLeas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6、知识产权</w:t>
      </w:r>
    </w:p>
    <w:p>
      <w:pPr>
        <w:autoSpaceDE w:val="0"/>
        <w:autoSpaceDN w:val="0"/>
        <w:adjustRightInd w:val="0"/>
        <w:spacing w:line="460" w:lineRule="atLeas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6.1 供应商应保证，采购人在中华人民共和国使用货物和服务的任何一部分时，免受第三方提出侵犯其专利权、商标权或其它知识产权的起诉。</w:t>
      </w:r>
    </w:p>
    <w:p>
      <w:pPr>
        <w:autoSpaceDE w:val="0"/>
        <w:autoSpaceDN w:val="0"/>
        <w:adjustRightInd w:val="0"/>
        <w:spacing w:line="460" w:lineRule="atLeas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6.2 投标人应对采购人在使用该产品时所涉及到的专利权负责，不损害采购人的利益。</w:t>
      </w:r>
    </w:p>
    <w:p>
      <w:pPr>
        <w:autoSpaceDE w:val="0"/>
        <w:autoSpaceDN w:val="0"/>
        <w:adjustRightInd w:val="0"/>
        <w:spacing w:line="460" w:lineRule="atLeas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6.3 报价应包括所有应支付的对专利权和版权、设计或其他知识产权而需要向其他方支付的版税。</w:t>
      </w:r>
    </w:p>
    <w:p>
      <w:pPr>
        <w:autoSpaceDE w:val="0"/>
        <w:autoSpaceDN w:val="0"/>
        <w:adjustRightInd w:val="0"/>
        <w:spacing w:line="460" w:lineRule="atLeas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6.4 投标人提供得货物中如使用其他公司的相关专利，应在标书中出示相关授权，如未出示但使用了其他公司的专利，导致供应商中标而引起相关诉讼，由投标人承担。</w:t>
      </w:r>
    </w:p>
    <w:p>
      <w:pPr>
        <w:autoSpaceDE w:val="0"/>
        <w:autoSpaceDN w:val="0"/>
        <w:adjustRightInd w:val="0"/>
        <w:spacing w:line="460" w:lineRule="atLeast"/>
        <w:ind w:firstLine="440" w:firstLineChars="200"/>
        <w:rPr>
          <w:rFonts w:ascii="宋体" w:eastAsia="宋体"/>
          <w:b w:val="0"/>
          <w:color w:val="auto"/>
          <w:sz w:val="22"/>
        </w:rPr>
      </w:pPr>
      <w:r>
        <w:rPr>
          <w:rFonts w:hint="eastAsia" w:ascii="宋体" w:eastAsia="宋体"/>
          <w:b w:val="0"/>
          <w:color w:val="auto"/>
          <w:sz w:val="22"/>
        </w:rPr>
        <w:t>7、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pPr>
        <w:autoSpaceDE w:val="0"/>
        <w:autoSpaceDN w:val="0"/>
        <w:adjustRightInd w:val="0"/>
        <w:spacing w:line="460" w:lineRule="atLeast"/>
        <w:ind w:firstLine="440" w:firstLineChars="200"/>
        <w:rPr>
          <w:rFonts w:ascii="宋体" w:eastAsia="宋体"/>
          <w:b w:val="0"/>
          <w:color w:val="auto"/>
          <w:sz w:val="22"/>
        </w:rPr>
      </w:pPr>
      <w:r>
        <w:rPr>
          <w:rFonts w:hint="eastAsia" w:ascii="宋体" w:eastAsia="宋体"/>
          <w:b w:val="0"/>
          <w:color w:val="auto"/>
          <w:sz w:val="22"/>
        </w:rPr>
        <w:t>8、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autoSpaceDE w:val="0"/>
        <w:autoSpaceDN w:val="0"/>
        <w:adjustRightInd w:val="0"/>
        <w:spacing w:line="460" w:lineRule="atLeast"/>
        <w:ind w:firstLine="440" w:firstLineChars="200"/>
        <w:rPr>
          <w:rFonts w:ascii="宋体" w:eastAsia="宋体"/>
          <w:b w:val="0"/>
          <w:color w:val="auto"/>
          <w:sz w:val="22"/>
        </w:rPr>
      </w:pPr>
      <w:r>
        <w:rPr>
          <w:rFonts w:hint="eastAsia" w:ascii="宋体" w:eastAsia="宋体"/>
          <w:b w:val="0"/>
          <w:color w:val="auto"/>
          <w:sz w:val="22"/>
        </w:rPr>
        <w:t>除单一来源采购项目外，为采购项目提供整体设计、规范编制或者项目管理、监理、检测等服务的供应商，不得再参加该采购项目的其他采购活动。</w:t>
      </w:r>
    </w:p>
    <w:p>
      <w:pPr>
        <w:autoSpaceDE w:val="0"/>
        <w:autoSpaceDN w:val="0"/>
        <w:adjustRightInd w:val="0"/>
        <w:spacing w:line="460" w:lineRule="atLeast"/>
        <w:ind w:firstLine="440" w:firstLineChars="200"/>
        <w:rPr>
          <w:rFonts w:ascii="宋体" w:eastAsia="宋体"/>
          <w:b w:val="0"/>
          <w:color w:val="auto"/>
          <w:sz w:val="22"/>
        </w:rPr>
      </w:pPr>
      <w:r>
        <w:rPr>
          <w:rFonts w:hint="eastAsia" w:ascii="宋体" w:eastAsia="宋体"/>
          <w:b w:val="0"/>
          <w:color w:val="auto"/>
          <w:sz w:val="22"/>
          <w:lang w:val="en-US" w:eastAsia="zh-CN"/>
        </w:rPr>
        <w:t>9</w:t>
      </w:r>
      <w:r>
        <w:rPr>
          <w:rFonts w:hint="eastAsia" w:ascii="宋体" w:eastAsia="宋体"/>
          <w:b w:val="0"/>
          <w:color w:val="auto"/>
          <w:sz w:val="22"/>
        </w:rPr>
        <w:t>、进口产品参与政府采购，按财政部《</w:t>
      </w:r>
      <w:r>
        <w:fldChar w:fldCharType="begin"/>
      </w:r>
      <w:r>
        <w:instrText xml:space="preserve"> HYPERLINK "http://www.chinaacc.com/new/63/64/80/2008/1/wa2420495431112180022419-0.htm" \t "_blank" </w:instrText>
      </w:r>
      <w:r>
        <w:fldChar w:fldCharType="separate"/>
      </w:r>
      <w:r>
        <w:rPr>
          <w:rFonts w:hint="eastAsia" w:ascii="宋体" w:eastAsia="宋体"/>
          <w:b w:val="0"/>
          <w:color w:val="auto"/>
          <w:sz w:val="22"/>
        </w:rPr>
        <w:t>关于印发〈政府采购进口产品管理办法〉的通知</w:t>
      </w:r>
      <w:r>
        <w:rPr>
          <w:rFonts w:hint="eastAsia" w:ascii="宋体" w:eastAsia="宋体"/>
          <w:b w:val="0"/>
          <w:color w:val="auto"/>
          <w:sz w:val="22"/>
        </w:rPr>
        <w:fldChar w:fldCharType="end"/>
      </w:r>
      <w:r>
        <w:rPr>
          <w:rFonts w:hint="eastAsia" w:ascii="宋体" w:eastAsia="宋体"/>
          <w:b w:val="0"/>
          <w:color w:val="auto"/>
          <w:sz w:val="22"/>
        </w:rPr>
        <w:t>》（财库[2007]119号）和财政部办公厅《</w:t>
      </w:r>
      <w:r>
        <w:fldChar w:fldCharType="begin"/>
      </w:r>
      <w:r>
        <w:instrText xml:space="preserve"> HYPERLINK "http://www.chinaacc.com/new/63/64/80/2008/10/wa29611252241030180027592-0.htm" \t "_blank" </w:instrText>
      </w:r>
      <w:r>
        <w:fldChar w:fldCharType="separate"/>
      </w:r>
      <w:r>
        <w:rPr>
          <w:rFonts w:hint="eastAsia" w:ascii="宋体" w:eastAsia="宋体"/>
          <w:b w:val="0"/>
          <w:color w:val="auto"/>
          <w:sz w:val="22"/>
        </w:rPr>
        <w:t>关于政府采购进口产品管理有关问题的通知</w:t>
      </w:r>
      <w:r>
        <w:rPr>
          <w:rFonts w:hint="eastAsia" w:ascii="宋体" w:eastAsia="宋体"/>
          <w:b w:val="0"/>
          <w:color w:val="auto"/>
          <w:sz w:val="22"/>
        </w:rPr>
        <w:fldChar w:fldCharType="end"/>
      </w:r>
      <w:r>
        <w:rPr>
          <w:rFonts w:hint="eastAsia" w:ascii="宋体" w:eastAsia="宋体"/>
          <w:b w:val="0"/>
          <w:color w:val="auto"/>
          <w:sz w:val="22"/>
        </w:rPr>
        <w:t>》（财办库〔2008〕248号）、《浙江省财政厅关于进一步加强政府采购进口产品管理的通知》（浙财采监[2010]51号）等相关文件规定处理。</w:t>
      </w:r>
    </w:p>
    <w:p>
      <w:pPr>
        <w:snapToGrid w:val="0"/>
        <w:spacing w:line="460" w:lineRule="atLeast"/>
        <w:ind w:firstLine="442" w:firstLineChars="200"/>
        <w:rPr>
          <w:rFonts w:ascii="宋体" w:eastAsia="宋体"/>
          <w:color w:val="auto"/>
          <w:sz w:val="22"/>
          <w:szCs w:val="22"/>
        </w:rPr>
      </w:pPr>
      <w:r>
        <w:rPr>
          <w:rFonts w:hint="eastAsia" w:ascii="宋体" w:eastAsia="宋体"/>
          <w:color w:val="auto"/>
          <w:sz w:val="22"/>
          <w:szCs w:val="22"/>
        </w:rPr>
        <w:t>1</w:t>
      </w:r>
      <w:r>
        <w:rPr>
          <w:rFonts w:hint="eastAsia" w:ascii="宋体" w:eastAsia="宋体"/>
          <w:color w:val="auto"/>
          <w:sz w:val="22"/>
          <w:szCs w:val="22"/>
          <w:lang w:val="en-US" w:eastAsia="zh-CN"/>
        </w:rPr>
        <w:t>0</w:t>
      </w:r>
      <w:r>
        <w:rPr>
          <w:rFonts w:hint="eastAsia" w:ascii="宋体" w:eastAsia="宋体"/>
          <w:color w:val="auto"/>
          <w:sz w:val="22"/>
          <w:szCs w:val="22"/>
        </w:rPr>
        <w:t>、法定代表人授权书中法定代表人必须签字或盖章，否则做无效投标处理</w:t>
      </w:r>
      <w:r>
        <w:rPr>
          <w:rFonts w:ascii="宋体" w:eastAsia="宋体"/>
          <w:color w:val="auto"/>
          <w:sz w:val="22"/>
          <w:szCs w:val="22"/>
        </w:rPr>
        <w:t>。</w:t>
      </w:r>
      <w:r>
        <w:rPr>
          <w:rFonts w:hint="eastAsia" w:ascii="宋体" w:eastAsia="宋体"/>
          <w:color w:val="auto"/>
          <w:sz w:val="22"/>
          <w:szCs w:val="22"/>
        </w:rPr>
        <w:t>（供应商为负责人制的，招标文件中规定的法定代表人等同于负责人。招标文件要求法定代表人须签字盖章处可以由负责人签字或盖章）。</w:t>
      </w:r>
    </w:p>
    <w:p>
      <w:pPr>
        <w:autoSpaceDE w:val="0"/>
        <w:autoSpaceDN w:val="0"/>
        <w:adjustRightInd w:val="0"/>
        <w:spacing w:line="460" w:lineRule="atLeast"/>
        <w:ind w:firstLine="442" w:firstLineChars="200"/>
        <w:rPr>
          <w:rFonts w:ascii="宋体" w:eastAsia="宋体"/>
          <w:color w:val="auto"/>
          <w:sz w:val="22"/>
        </w:rPr>
      </w:pPr>
      <w:r>
        <w:rPr>
          <w:rFonts w:hint="eastAsia" w:ascii="宋体" w:eastAsia="宋体"/>
          <w:color w:val="auto"/>
          <w:sz w:val="22"/>
        </w:rPr>
        <w:t>1</w:t>
      </w:r>
      <w:r>
        <w:rPr>
          <w:rFonts w:hint="eastAsia" w:ascii="宋体" w:eastAsia="宋体"/>
          <w:color w:val="auto"/>
          <w:sz w:val="22"/>
          <w:lang w:val="en-US" w:eastAsia="zh-CN"/>
        </w:rPr>
        <w:t>1</w:t>
      </w:r>
      <w:r>
        <w:rPr>
          <w:rFonts w:hint="eastAsia" w:ascii="宋体" w:eastAsia="宋体"/>
          <w:color w:val="auto"/>
          <w:sz w:val="22"/>
        </w:rPr>
        <w:t>、本项目招标文件如有补充、更正均见浙江政府采购网（</w:t>
      </w:r>
      <w:r>
        <w:rPr>
          <w:rFonts w:ascii="宋体" w:eastAsia="宋体"/>
          <w:color w:val="auto"/>
          <w:sz w:val="22"/>
        </w:rPr>
        <w:t>http://www.zjzfcg.gov.cn/</w:t>
      </w:r>
      <w:r>
        <w:rPr>
          <w:rFonts w:hint="eastAsia" w:ascii="宋体" w:eastAsia="宋体"/>
          <w:color w:val="auto"/>
          <w:sz w:val="22"/>
        </w:rPr>
        <w:t>）。供应商须在投标截止前自行查看是否有补充、更正文件，并按补充、更正文件要求投标，否则责任自负。</w:t>
      </w:r>
    </w:p>
    <w:p>
      <w:pPr>
        <w:autoSpaceDE w:val="0"/>
        <w:autoSpaceDN w:val="0"/>
        <w:adjustRightInd w:val="0"/>
        <w:spacing w:line="460" w:lineRule="atLeast"/>
        <w:ind w:firstLine="442" w:firstLineChars="200"/>
        <w:rPr>
          <w:rFonts w:ascii="宋体" w:eastAsia="宋体"/>
          <w:color w:val="auto"/>
          <w:sz w:val="22"/>
          <w:szCs w:val="22"/>
        </w:rPr>
      </w:pPr>
      <w:r>
        <w:rPr>
          <w:rFonts w:hint="eastAsia" w:ascii="宋体" w:eastAsia="宋体"/>
          <w:color w:val="auto"/>
          <w:sz w:val="22"/>
          <w:szCs w:val="22"/>
        </w:rPr>
        <w:t>1</w:t>
      </w:r>
      <w:r>
        <w:rPr>
          <w:rFonts w:hint="eastAsia" w:ascii="宋体" w:eastAsia="宋体"/>
          <w:color w:val="auto"/>
          <w:sz w:val="22"/>
          <w:szCs w:val="22"/>
          <w:lang w:val="en-US" w:eastAsia="zh-CN"/>
        </w:rPr>
        <w:t>2</w:t>
      </w:r>
      <w:r>
        <w:rPr>
          <w:rFonts w:hint="eastAsia" w:ascii="宋体" w:eastAsia="宋体"/>
          <w:color w:val="auto"/>
          <w:sz w:val="22"/>
          <w:szCs w:val="22"/>
        </w:rPr>
        <w:t>、本项目采购预算详见招标公告。如果所有供应商的报价均超出采购预算且采购人确认不能支付的情况，本次采购做流（废）标处理。如果仅仅某个（些）供应商的商务报价超出采购预算则该供应商按无效投标处理。</w:t>
      </w:r>
    </w:p>
    <w:p>
      <w:pPr>
        <w:pStyle w:val="47"/>
        <w:rPr>
          <w:rFonts w:ascii="宋体" w:hAnsi="宋体"/>
          <w:color w:val="auto"/>
        </w:rPr>
      </w:pPr>
      <w:bookmarkStart w:id="30" w:name="_Toc32476"/>
      <w:bookmarkStart w:id="31" w:name="_Toc332809831"/>
      <w:r>
        <w:rPr>
          <w:rFonts w:hint="eastAsia" w:ascii="宋体" w:hAnsi="宋体"/>
          <w:color w:val="auto"/>
        </w:rPr>
        <w:t>二、招标文件</w:t>
      </w:r>
      <w:bookmarkEnd w:id="30"/>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1、招标文件</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1.1、招标文件约束力</w:t>
      </w:r>
    </w:p>
    <w:p>
      <w:pPr>
        <w:autoSpaceDE w:val="0"/>
        <w:autoSpaceDN w:val="0"/>
        <w:adjustRightInd w:val="0"/>
        <w:spacing w:line="460" w:lineRule="atLeast"/>
        <w:ind w:firstLine="440" w:firstLineChars="200"/>
        <w:rPr>
          <w:rFonts w:ascii="宋体" w:eastAsia="宋体"/>
          <w:b w:val="0"/>
          <w:color w:val="auto"/>
          <w:sz w:val="22"/>
          <w:szCs w:val="22"/>
          <w:u w:val="single"/>
        </w:rPr>
      </w:pPr>
      <w:r>
        <w:rPr>
          <w:rFonts w:hint="eastAsia" w:ascii="宋体" w:eastAsia="宋体"/>
          <w:b w:val="0"/>
          <w:color w:val="auto"/>
          <w:sz w:val="22"/>
          <w:szCs w:val="22"/>
          <w:highlight w:val="none"/>
        </w:rPr>
        <w:t>★</w:t>
      </w:r>
      <w:r>
        <w:rPr>
          <w:rFonts w:hint="eastAsia" w:ascii="宋体" w:eastAsia="宋体"/>
          <w:b w:val="0"/>
          <w:color w:val="auto"/>
          <w:sz w:val="22"/>
          <w:szCs w:val="22"/>
          <w:u w:val="single"/>
        </w:rPr>
        <w:t>供应商一旦获取了本招标文件并参加投标，即被认为接受了本招标文件中所有条款和规定。</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1.2、招标文件的组成</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招标文件由招标文件总目录所列内容及补充资料等组成。</w:t>
      </w:r>
    </w:p>
    <w:p>
      <w:pPr>
        <w:autoSpaceDE w:val="0"/>
        <w:autoSpaceDN w:val="0"/>
        <w:adjustRightInd w:val="0"/>
        <w:spacing w:line="460" w:lineRule="atLeast"/>
        <w:ind w:firstLine="440" w:firstLineChars="200"/>
        <w:rPr>
          <w:rFonts w:hint="eastAsia" w:ascii="宋体" w:eastAsia="宋体"/>
          <w:b w:val="0"/>
          <w:color w:val="auto"/>
          <w:sz w:val="22"/>
          <w:szCs w:val="22"/>
          <w:lang w:eastAsia="zh-CN"/>
        </w:rPr>
      </w:pPr>
      <w:r>
        <w:rPr>
          <w:rFonts w:hint="eastAsia" w:ascii="宋体" w:eastAsia="宋体"/>
          <w:b w:val="0"/>
          <w:color w:val="auto"/>
          <w:sz w:val="22"/>
          <w:szCs w:val="22"/>
        </w:rPr>
        <w:t>2、</w:t>
      </w:r>
      <w:r>
        <w:rPr>
          <w:rFonts w:hint="eastAsia" w:ascii="宋体" w:eastAsia="宋体"/>
          <w:b w:val="0"/>
          <w:bCs/>
          <w:color w:val="auto"/>
          <w:sz w:val="22"/>
          <w:szCs w:val="22"/>
          <w:lang w:eastAsia="zh-CN"/>
        </w:rPr>
        <w:t>质疑</w:t>
      </w:r>
    </w:p>
    <w:p>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w:t>
      </w:r>
      <w:r>
        <w:rPr>
          <w:rFonts w:hint="default"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lang w:val="en-US" w:eastAsia="zh-CN"/>
        </w:rPr>
        <w:t xml:space="preserve"> </w:t>
      </w:r>
      <w:r>
        <w:rPr>
          <w:rFonts w:hint="default" w:ascii="宋体" w:eastAsia="宋体"/>
          <w:b w:val="0"/>
          <w:bCs w:val="0"/>
          <w:color w:val="auto"/>
          <w:sz w:val="22"/>
          <w:szCs w:val="22"/>
          <w:highlight w:val="none"/>
          <w:lang w:val="en-US" w:eastAsia="zh-CN"/>
        </w:rPr>
        <w:t>投标供应商认为采购文件、采购过程、中标或者成交结果使自己的权益受到损害的，可以在知道或者应知其权益受到损害之日起7个工作日内，以书面形式或在政采云（在线询问和质疑系统）中向采购人、采购代理机构提出质疑。逾期提出的，采购组织机构将不予受理、答复。</w:t>
      </w:r>
    </w:p>
    <w:p>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w:t>
      </w:r>
      <w:r>
        <w:rPr>
          <w:rFonts w:hint="default"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lang w:val="en-US" w:eastAsia="zh-CN"/>
        </w:rPr>
        <w:t xml:space="preserve"> </w:t>
      </w:r>
      <w:r>
        <w:rPr>
          <w:rFonts w:hint="default" w:ascii="宋体" w:eastAsia="宋体"/>
          <w:b w:val="0"/>
          <w:bCs w:val="0"/>
          <w:color w:val="auto"/>
          <w:sz w:val="22"/>
          <w:szCs w:val="22"/>
          <w:highlight w:val="none"/>
          <w:lang w:val="en-US" w:eastAsia="zh-CN"/>
        </w:rPr>
        <w:t>投标供应商提出质疑应当提交质疑函和必要的证明材料，质疑函范本请到“浙江政府采购网下载专区”下载，质疑函内容及签署等相关要求请参看《政府采购质疑和投诉办法》相关规定。</w:t>
      </w:r>
    </w:p>
    <w:p>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w:t>
      </w:r>
      <w:r>
        <w:rPr>
          <w:rFonts w:hint="default" w:ascii="宋体" w:eastAsia="宋体"/>
          <w:b w:val="0"/>
          <w:bCs w:val="0"/>
          <w:color w:val="auto"/>
          <w:sz w:val="22"/>
          <w:szCs w:val="22"/>
          <w:highlight w:val="none"/>
          <w:lang w:val="en-US" w:eastAsia="zh-CN"/>
        </w:rPr>
        <w:t>.3</w:t>
      </w:r>
      <w:r>
        <w:rPr>
          <w:rFonts w:hint="eastAsia" w:ascii="宋体" w:eastAsia="宋体"/>
          <w:b w:val="0"/>
          <w:bCs w:val="0"/>
          <w:color w:val="auto"/>
          <w:sz w:val="22"/>
          <w:szCs w:val="22"/>
          <w:highlight w:val="none"/>
          <w:lang w:val="en-US" w:eastAsia="zh-CN"/>
        </w:rPr>
        <w:t xml:space="preserve"> </w:t>
      </w:r>
      <w:r>
        <w:rPr>
          <w:rFonts w:hint="default" w:ascii="宋体" w:eastAsia="宋体"/>
          <w:b w:val="0"/>
          <w:bCs w:val="0"/>
          <w:color w:val="auto"/>
          <w:sz w:val="22"/>
          <w:szCs w:val="22"/>
          <w:highlight w:val="none"/>
          <w:lang w:val="en-US" w:eastAsia="zh-CN"/>
        </w:rPr>
        <w:t>提出质疑的投标供应商应当是参与本项目招标活动的投标供应商。投标供应商在法定质疑期内一次性提出针对同一采购程序环节的质疑。</w:t>
      </w:r>
    </w:p>
    <w:p>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w:t>
      </w:r>
      <w:r>
        <w:rPr>
          <w:rFonts w:hint="default" w:ascii="宋体" w:eastAsia="宋体"/>
          <w:b w:val="0"/>
          <w:bCs w:val="0"/>
          <w:color w:val="auto"/>
          <w:sz w:val="22"/>
          <w:szCs w:val="22"/>
          <w:highlight w:val="none"/>
          <w:lang w:val="en-US" w:eastAsia="zh-CN"/>
        </w:rPr>
        <w:t>.4</w:t>
      </w:r>
      <w:r>
        <w:rPr>
          <w:rFonts w:hint="eastAsia" w:ascii="宋体" w:eastAsia="宋体"/>
          <w:b w:val="0"/>
          <w:bCs w:val="0"/>
          <w:color w:val="auto"/>
          <w:sz w:val="22"/>
          <w:szCs w:val="22"/>
          <w:highlight w:val="none"/>
          <w:lang w:val="en-US" w:eastAsia="zh-CN"/>
        </w:rPr>
        <w:t xml:space="preserve"> </w:t>
      </w:r>
      <w:r>
        <w:rPr>
          <w:rFonts w:hint="default" w:ascii="宋体" w:eastAsia="宋体"/>
          <w:b w:val="0"/>
          <w:bCs w:val="0"/>
          <w:color w:val="auto"/>
          <w:sz w:val="22"/>
          <w:szCs w:val="22"/>
          <w:highlight w:val="none"/>
          <w:lang w:val="en-US" w:eastAsia="zh-CN"/>
        </w:rPr>
        <w:t>根据《政府采购质疑和投诉办法》第三十七条的规定，投诉人在全国范围12个月内三次以上投诉查无实据的，由财政部门列入不良行为记录名单。</w:t>
      </w:r>
    </w:p>
    <w:p>
      <w:pPr>
        <w:autoSpaceDE w:val="0"/>
        <w:autoSpaceDN w:val="0"/>
        <w:adjustRightInd w:val="0"/>
        <w:spacing w:line="460" w:lineRule="atLeast"/>
        <w:ind w:firstLine="440" w:firstLineChars="200"/>
        <w:rPr>
          <w:rFonts w:hint="default" w:ascii="宋体" w:eastAsia="宋体"/>
          <w:b/>
          <w:bCs/>
          <w:color w:val="auto"/>
          <w:sz w:val="22"/>
          <w:szCs w:val="22"/>
          <w:highlight w:val="none"/>
          <w:lang w:val="en-US" w:eastAsia="zh-CN"/>
        </w:rPr>
      </w:pPr>
      <w:r>
        <w:rPr>
          <w:rFonts w:hint="eastAsia" w:ascii="宋体" w:eastAsia="宋体"/>
          <w:b w:val="0"/>
          <w:color w:val="auto"/>
          <w:sz w:val="22"/>
          <w:szCs w:val="22"/>
        </w:rPr>
        <w:t>3、</w:t>
      </w:r>
      <w:r>
        <w:rPr>
          <w:rFonts w:hint="default" w:ascii="宋体" w:eastAsia="宋体"/>
          <w:b/>
          <w:bCs/>
          <w:color w:val="auto"/>
          <w:sz w:val="22"/>
          <w:szCs w:val="22"/>
          <w:highlight w:val="none"/>
          <w:lang w:val="en-US" w:eastAsia="zh-CN"/>
        </w:rPr>
        <w:t>投诉</w:t>
      </w:r>
    </w:p>
    <w:p>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3</w:t>
      </w:r>
      <w:r>
        <w:rPr>
          <w:rFonts w:hint="default"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lang w:val="en-US" w:eastAsia="zh-CN"/>
        </w:rPr>
        <w:t xml:space="preserve"> </w:t>
      </w:r>
      <w:r>
        <w:rPr>
          <w:rFonts w:hint="default" w:ascii="宋体" w:eastAsia="宋体"/>
          <w:b w:val="0"/>
          <w:bCs w:val="0"/>
          <w:color w:val="auto"/>
          <w:sz w:val="22"/>
          <w:szCs w:val="22"/>
          <w:highlight w:val="none"/>
          <w:lang w:val="en-US" w:eastAsia="zh-CN"/>
        </w:rPr>
        <w:t>质疑投标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default" w:ascii="宋体" w:eastAsia="宋体"/>
          <w:b w:val="0"/>
          <w:bCs w:val="0"/>
          <w:color w:val="auto"/>
          <w:sz w:val="22"/>
          <w:szCs w:val="22"/>
          <w:highlight w:val="none"/>
          <w:lang w:val="en-US" w:eastAsia="zh-CN"/>
        </w:rPr>
        <w:t>4.采购文件的澄清或修改</w:t>
      </w:r>
    </w:p>
    <w:p>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default" w:ascii="宋体" w:eastAsia="宋体"/>
          <w:b w:val="0"/>
          <w:bCs w:val="0"/>
          <w:color w:val="auto"/>
          <w:sz w:val="22"/>
          <w:szCs w:val="22"/>
          <w:highlight w:val="none"/>
          <w:lang w:val="en-US" w:eastAsia="zh-CN"/>
        </w:rPr>
        <w:t>4.1采购人或者采购代理机构可以对已发出的采购文件进行必要的澄清或者修改。澄清或者修改在浙江政府采购网上发布公告，同时政采云系统会向所有已按采购文件规定方式获取采购文件的潜在投标供应商发送更正提醒信息，潜在投标供应商请自行到浙江省政府采购网上下载公告附件，潜在投标供应商在收到该公告附件后应于1日内，以书面或传真形式（签署意见并加盖公章）向采购代理机构回函给予确认。过期未回复的，视为默认接受。澄清或者修改的内容为采购文件的组成部分。</w:t>
      </w:r>
    </w:p>
    <w:p>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default" w:ascii="宋体" w:eastAsia="宋体"/>
          <w:b w:val="0"/>
          <w:bCs w:val="0"/>
          <w:color w:val="auto"/>
          <w:sz w:val="22"/>
          <w:szCs w:val="22"/>
          <w:highlight w:val="none"/>
          <w:lang w:val="en-US" w:eastAsia="zh-CN"/>
        </w:rPr>
        <w:t>4.2澄清或者修改的内容可能影响投标文件编制的，采购人或者采购代理机构应当在投标截止时间至少</w:t>
      </w:r>
      <w:r>
        <w:rPr>
          <w:rFonts w:hint="eastAsia" w:ascii="宋体" w:eastAsia="宋体"/>
          <w:b w:val="0"/>
          <w:bCs w:val="0"/>
          <w:color w:val="auto"/>
          <w:sz w:val="22"/>
          <w:szCs w:val="22"/>
          <w:highlight w:val="none"/>
          <w:lang w:val="en-US" w:eastAsia="zh-CN"/>
        </w:rPr>
        <w:t>1</w:t>
      </w:r>
      <w:r>
        <w:rPr>
          <w:rFonts w:hint="default" w:ascii="宋体" w:eastAsia="宋体"/>
          <w:b w:val="0"/>
          <w:bCs w:val="0"/>
          <w:color w:val="auto"/>
          <w:sz w:val="22"/>
          <w:szCs w:val="22"/>
          <w:highlight w:val="none"/>
          <w:lang w:val="en-US" w:eastAsia="zh-CN"/>
        </w:rPr>
        <w:t>5日前，以书面形式（在浙江政府采购网上发布公告）通知所有获取采购文件的潜在投标供应商；不足</w:t>
      </w:r>
      <w:r>
        <w:rPr>
          <w:rFonts w:hint="eastAsia" w:ascii="宋体" w:eastAsia="宋体"/>
          <w:b w:val="0"/>
          <w:bCs w:val="0"/>
          <w:color w:val="auto"/>
          <w:sz w:val="22"/>
          <w:szCs w:val="22"/>
          <w:highlight w:val="none"/>
          <w:lang w:val="en-US" w:eastAsia="zh-CN"/>
        </w:rPr>
        <w:t>1</w:t>
      </w:r>
      <w:r>
        <w:rPr>
          <w:rFonts w:hint="default" w:ascii="宋体" w:eastAsia="宋体"/>
          <w:b w:val="0"/>
          <w:bCs w:val="0"/>
          <w:color w:val="auto"/>
          <w:sz w:val="22"/>
          <w:szCs w:val="22"/>
          <w:highlight w:val="none"/>
          <w:lang w:val="en-US" w:eastAsia="zh-CN"/>
        </w:rPr>
        <w:t>5日的，采购人或者采购代理机构应当顺延提交投标文件的截止时间。</w:t>
      </w:r>
    </w:p>
    <w:p>
      <w:pPr>
        <w:autoSpaceDE w:val="0"/>
        <w:autoSpaceDN w:val="0"/>
        <w:adjustRightInd w:val="0"/>
        <w:spacing w:line="460" w:lineRule="atLeast"/>
        <w:ind w:firstLine="440" w:firstLineChars="200"/>
        <w:rPr>
          <w:rFonts w:hint="default" w:ascii="宋体" w:eastAsia="宋体"/>
          <w:b w:val="0"/>
          <w:bCs w:val="0"/>
          <w:color w:val="auto"/>
          <w:sz w:val="22"/>
          <w:szCs w:val="22"/>
          <w:highlight w:val="none"/>
          <w:lang w:val="en-US" w:eastAsia="zh-CN"/>
        </w:rPr>
      </w:pPr>
      <w:r>
        <w:rPr>
          <w:rFonts w:hint="default" w:ascii="宋体" w:eastAsia="宋体"/>
          <w:b w:val="0"/>
          <w:bCs w:val="0"/>
          <w:color w:val="auto"/>
          <w:sz w:val="22"/>
          <w:szCs w:val="22"/>
          <w:highlight w:val="none"/>
          <w:lang w:val="en-US" w:eastAsia="zh-CN"/>
        </w:rPr>
        <w:t>4.3采购文件如有补充更正均见“政采云”（http://www.zjzfcg.gov.cn）。投标供应商须在开标前一日自行查看是否有补充更正文件，并按补充更正文件要求投标，否则责任自负。</w:t>
      </w:r>
    </w:p>
    <w:p>
      <w:pPr>
        <w:pStyle w:val="47"/>
        <w:rPr>
          <w:rFonts w:ascii="宋体" w:hAnsi="宋体"/>
          <w:color w:val="auto"/>
        </w:rPr>
      </w:pPr>
      <w:bookmarkStart w:id="32" w:name="_Toc7707"/>
      <w:r>
        <w:rPr>
          <w:rFonts w:hint="eastAsia" w:ascii="宋体" w:hAnsi="宋体"/>
          <w:color w:val="auto"/>
        </w:rPr>
        <w:t>三、投标文件</w:t>
      </w:r>
      <w:bookmarkEnd w:id="32"/>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1、投标文件</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1.1供应商提交的投标文件以及供应商与采购人就有关投标的所有来往函电均应使用中文。供应商可以提交用其它语言印制的资料，但必须译成中文，在有差异和矛盾时以中文为准。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1.2供应商提交的投标文件报价均采用人民币报价。</w:t>
      </w:r>
    </w:p>
    <w:p>
      <w:pPr>
        <w:autoSpaceDE w:val="0"/>
        <w:autoSpaceDN w:val="0"/>
        <w:adjustRightInd w:val="0"/>
        <w:snapToGrid w:val="0"/>
        <w:spacing w:line="454" w:lineRule="atLeast"/>
        <w:ind w:firstLine="431" w:firstLineChars="196"/>
        <w:textAlignment w:val="bottom"/>
        <w:rPr>
          <w:rFonts w:ascii="宋体" w:eastAsia="宋体" w:cs="Arial"/>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3</w:t>
      </w:r>
      <w:r>
        <w:rPr>
          <w:rFonts w:hint="eastAsia" w:ascii="宋体" w:eastAsia="宋体" w:cs="Arial"/>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pPr>
        <w:autoSpaceDE w:val="0"/>
        <w:autoSpaceDN w:val="0"/>
        <w:adjustRightInd w:val="0"/>
        <w:snapToGrid w:val="0"/>
        <w:spacing w:line="454" w:lineRule="atLeast"/>
        <w:ind w:firstLine="440" w:firstLineChars="200"/>
        <w:textAlignment w:val="bottom"/>
        <w:rPr>
          <w:rFonts w:ascii="宋体" w:eastAsia="宋体" w:cs="Arial"/>
          <w:b w:val="0"/>
          <w:color w:val="auto"/>
          <w:sz w:val="22"/>
          <w:szCs w:val="22"/>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4</w:t>
      </w:r>
      <w:r>
        <w:rPr>
          <w:rFonts w:hint="eastAsia" w:ascii="宋体" w:eastAsia="宋体" w:cs="Arial"/>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30" w:lineRule="atLeast"/>
        <w:ind w:firstLine="440" w:firstLineChars="200"/>
        <w:rPr>
          <w:rFonts w:ascii="宋体" w:eastAsia="宋体"/>
          <w:b w:val="0"/>
          <w:color w:val="auto"/>
          <w:sz w:val="22"/>
          <w:lang w:val="zh-CN"/>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5</w:t>
      </w:r>
      <w:r>
        <w:rPr>
          <w:rFonts w:hint="eastAsia" w:ascii="宋体" w:eastAsia="宋体" w:cs="仿宋_GB2312"/>
          <w:b w:val="0"/>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bookmarkEnd w:id="31"/>
    <w:p>
      <w:pPr>
        <w:autoSpaceDE w:val="0"/>
        <w:autoSpaceDN w:val="0"/>
        <w:adjustRightInd w:val="0"/>
        <w:spacing w:line="460" w:lineRule="atLeas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2、投标文件的组成</w:t>
      </w:r>
    </w:p>
    <w:p>
      <w:pPr>
        <w:autoSpaceDE w:val="0"/>
        <w:autoSpaceDN w:val="0"/>
        <w:adjustRightInd w:val="0"/>
        <w:spacing w:line="460" w:lineRule="atLeast"/>
        <w:ind w:firstLine="442" w:firstLineChars="200"/>
        <w:rPr>
          <w:rFonts w:ascii="宋体" w:eastAsia="宋体"/>
          <w:color w:val="auto"/>
          <w:sz w:val="22"/>
          <w:szCs w:val="22"/>
          <w:u w:val="single"/>
        </w:rPr>
      </w:pPr>
      <w:r>
        <w:rPr>
          <w:rFonts w:hint="eastAsia" w:ascii="宋体" w:eastAsia="宋体"/>
          <w:color w:val="auto"/>
          <w:sz w:val="22"/>
          <w:szCs w:val="22"/>
          <w:u w:val="single"/>
        </w:rPr>
        <w:t>投标文件由资格文件、报价文件、商务技术文件组成。</w:t>
      </w:r>
    </w:p>
    <w:p>
      <w:pPr>
        <w:autoSpaceDE w:val="0"/>
        <w:autoSpaceDN w:val="0"/>
        <w:adjustRightInd w:val="0"/>
        <w:snapToGrid w:val="0"/>
        <w:spacing w:line="460" w:lineRule="atLeast"/>
        <w:ind w:firstLine="442" w:firstLineChars="200"/>
        <w:rPr>
          <w:rFonts w:ascii="宋体" w:eastAsia="宋体"/>
          <w:color w:val="auto"/>
          <w:sz w:val="22"/>
          <w:szCs w:val="22"/>
          <w:u w:val="single"/>
        </w:rPr>
      </w:pPr>
      <w:r>
        <w:rPr>
          <w:rFonts w:hint="eastAsia" w:ascii="宋体" w:eastAsia="宋体"/>
          <w:color w:val="auto"/>
          <w:sz w:val="22"/>
          <w:szCs w:val="22"/>
          <w:lang w:val="zh-CN"/>
        </w:rPr>
        <w:t>2.1、</w:t>
      </w:r>
      <w:r>
        <w:rPr>
          <w:rFonts w:hint="eastAsia" w:ascii="宋体" w:eastAsia="宋体"/>
          <w:color w:val="auto"/>
          <w:sz w:val="22"/>
          <w:szCs w:val="22"/>
          <w:u w:val="single"/>
        </w:rPr>
        <w:t>资格文件组成</w:t>
      </w:r>
    </w:p>
    <w:tbl>
      <w:tblPr>
        <w:tblStyle w:val="5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lang w:val="zh-CN"/>
              </w:rPr>
            </w:pPr>
            <w:r>
              <w:rPr>
                <w:rFonts w:hint="eastAsia" w:ascii="宋体" w:eastAsia="宋体" w:cs="Courier New"/>
                <w:b w:val="0"/>
                <w:color w:val="auto"/>
                <w:sz w:val="22"/>
                <w:lang w:val="zh-CN"/>
              </w:rPr>
              <w:t>序号</w:t>
            </w:r>
          </w:p>
        </w:tc>
        <w:tc>
          <w:tcPr>
            <w:tcW w:w="8747" w:type="dxa"/>
          </w:tcPr>
          <w:p>
            <w:pPr>
              <w:autoSpaceDE w:val="0"/>
              <w:autoSpaceDN w:val="0"/>
              <w:adjustRightInd w:val="0"/>
              <w:snapToGrid w:val="0"/>
              <w:spacing w:line="430" w:lineRule="atLeast"/>
              <w:rPr>
                <w:rFonts w:ascii="宋体" w:eastAsia="宋体" w:cs="Courier New"/>
                <w:b w:val="0"/>
                <w:color w:val="auto"/>
                <w:sz w:val="22"/>
                <w:lang w:val="zh-CN"/>
              </w:rPr>
            </w:pPr>
            <w:r>
              <w:rPr>
                <w:rFonts w:hint="eastAsia" w:ascii="宋体" w:eastAsia="宋体" w:cs="Courier New"/>
                <w:b/>
                <w:bCs w:val="0"/>
                <w:color w:val="auto"/>
                <w:sz w:val="22"/>
                <w:highlight w:val="none"/>
                <w:lang w:val="zh-CN"/>
              </w:rPr>
              <w:t>内容</w:t>
            </w:r>
            <w:r>
              <w:rPr>
                <w:rFonts w:hint="eastAsia" w:ascii="宋体" w:eastAsia="宋体" w:cs="Courier New"/>
                <w:b w:val="0"/>
                <w:color w:val="auto"/>
                <w:sz w:val="22"/>
                <w:highlight w:val="none"/>
                <w:lang w:val="zh-CN"/>
              </w:rPr>
              <w:t>（</w:t>
            </w:r>
            <w:r>
              <w:rPr>
                <w:rFonts w:hint="eastAsia" w:ascii="宋体" w:hAnsi="宋体" w:eastAsia="宋体" w:cs="Times New Roman"/>
                <w:b/>
                <w:bCs w:val="0"/>
                <w:color w:val="auto"/>
                <w:kern w:val="2"/>
                <w:sz w:val="22"/>
                <w:szCs w:val="22"/>
                <w:highlight w:val="none"/>
                <w:lang w:val="en-US" w:eastAsia="zh-CN" w:bidi="ar-SA"/>
              </w:rPr>
              <w:t>▲</w:t>
            </w:r>
            <w:r>
              <w:rPr>
                <w:rFonts w:hint="eastAsia" w:ascii="宋体" w:eastAsia="宋体" w:cs="Courier New"/>
                <w:color w:val="auto"/>
                <w:sz w:val="22"/>
                <w:highlight w:val="none"/>
                <w:lang w:val="zh-CN"/>
              </w:rPr>
              <w:t>以</w:t>
            </w:r>
            <w:r>
              <w:rPr>
                <w:rFonts w:hint="eastAsia" w:ascii="宋体" w:eastAsia="宋体" w:cs="Courier New"/>
                <w:color w:val="auto"/>
                <w:sz w:val="22"/>
                <w:lang w:val="zh-CN"/>
              </w:rPr>
              <w:t>下1-</w:t>
            </w:r>
            <w:r>
              <w:rPr>
                <w:rFonts w:hint="eastAsia" w:ascii="宋体" w:eastAsia="宋体" w:cs="Courier New"/>
                <w:color w:val="auto"/>
                <w:sz w:val="22"/>
                <w:lang w:val="en-US" w:eastAsia="zh-CN"/>
              </w:rPr>
              <w:t>7</w:t>
            </w:r>
            <w:r>
              <w:rPr>
                <w:rFonts w:hint="eastAsia" w:ascii="宋体" w:eastAsia="宋体" w:cs="Courier New"/>
                <w:color w:val="auto"/>
                <w:sz w:val="22"/>
                <w:lang w:val="zh-CN"/>
              </w:rPr>
              <w:t>项内容投标供应商必须提供，否则不能通过资格审查的，责任自负。</w:t>
            </w:r>
            <w:r>
              <w:rPr>
                <w:rFonts w:hint="eastAsia" w:ascii="宋体" w:eastAsia="宋体" w:cs="Courier New"/>
                <w:b w:val="0"/>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lang w:val="zh-CN"/>
              </w:rPr>
            </w:pPr>
            <w:r>
              <w:rPr>
                <w:rFonts w:hint="eastAsia" w:ascii="宋体" w:eastAsia="宋体" w:cs="Courier New"/>
                <w:b w:val="0"/>
                <w:color w:val="auto"/>
                <w:sz w:val="22"/>
                <w:lang w:val="zh-CN"/>
              </w:rPr>
              <w:t>1</w:t>
            </w:r>
          </w:p>
        </w:tc>
        <w:tc>
          <w:tcPr>
            <w:tcW w:w="8747" w:type="dxa"/>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b w:val="0"/>
                <w:bCs w:val="0"/>
                <w:color w:val="auto"/>
                <w:sz w:val="22"/>
                <w:szCs w:val="22"/>
              </w:rPr>
              <w:t>投标供应商的营业执照（或事业法人登记证书或其它工商等登记证明材料）、税务登记证（如为多证合一仅需提供营业执照（或事业法人登记证书或其它工商等登记证明材料），扫描件加盖公章）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lang w:val="zh-CN"/>
              </w:rPr>
            </w:pPr>
            <w:r>
              <w:rPr>
                <w:rFonts w:hint="eastAsia" w:ascii="宋体" w:eastAsia="宋体" w:cs="Courier New"/>
                <w:b w:val="0"/>
                <w:color w:val="auto"/>
                <w:sz w:val="22"/>
                <w:lang w:val="zh-CN"/>
              </w:rPr>
              <w:t>2</w:t>
            </w:r>
          </w:p>
        </w:tc>
        <w:tc>
          <w:tcPr>
            <w:tcW w:w="8747" w:type="dxa"/>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rPr>
              <w:t>具有财务会计制度、设备和专业技术能力、依法缴纳税收和社会保障资金记录、无重大违法记录的承诺函（附件一）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rPr>
            </w:pPr>
            <w:r>
              <w:rPr>
                <w:rFonts w:hint="eastAsia" w:ascii="宋体" w:eastAsia="宋体" w:cs="Courier New"/>
                <w:b w:val="0"/>
                <w:color w:val="auto"/>
                <w:sz w:val="22"/>
              </w:rPr>
              <w:t>3</w:t>
            </w:r>
          </w:p>
        </w:tc>
        <w:tc>
          <w:tcPr>
            <w:tcW w:w="8747" w:type="dxa"/>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lang w:eastAsia="zh-CN"/>
              </w:rPr>
              <w:t>投标</w:t>
            </w:r>
            <w:r>
              <w:rPr>
                <w:rFonts w:hint="eastAsia" w:ascii="宋体" w:eastAsia="宋体" w:cs="Courier New"/>
                <w:b w:val="0"/>
                <w:color w:val="auto"/>
                <w:sz w:val="22"/>
                <w:lang w:val="en-US" w:eastAsia="zh-CN"/>
              </w:rPr>
              <w:t>供应商须</w:t>
            </w:r>
            <w:r>
              <w:rPr>
                <w:rFonts w:hint="eastAsia" w:ascii="宋体" w:eastAsia="宋体" w:cs="Courier New"/>
                <w:b w:val="0"/>
                <w:color w:val="auto"/>
                <w:sz w:val="22"/>
              </w:rPr>
              <w:t>同时提供以下信用记录查询网页截图或报告（采购公告发布之日至投标文件递交截止时间前关于</w:t>
            </w:r>
            <w:r>
              <w:rPr>
                <w:rFonts w:hint="eastAsia" w:ascii="宋体" w:eastAsia="宋体" w:cs="Courier New"/>
                <w:b w:val="0"/>
                <w:color w:val="auto"/>
                <w:sz w:val="22"/>
                <w:lang w:eastAsia="zh-CN"/>
              </w:rPr>
              <w:t>投标人</w:t>
            </w:r>
            <w:r>
              <w:rPr>
                <w:rFonts w:hint="eastAsia" w:ascii="宋体" w:eastAsia="宋体" w:cs="Courier New"/>
                <w:b w:val="0"/>
                <w:color w:val="auto"/>
                <w:sz w:val="22"/>
              </w:rPr>
              <w:t>信用记录的查询网页）：</w:t>
            </w:r>
          </w:p>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rPr>
              <w:t>（1）“信用中国”(</w:t>
            </w:r>
            <w:r>
              <w:rPr>
                <w:rFonts w:ascii="宋体" w:eastAsia="宋体" w:cs="Courier New"/>
                <w:b w:val="0"/>
                <w:color w:val="auto"/>
                <w:sz w:val="22"/>
              </w:rPr>
              <w:fldChar w:fldCharType="begin"/>
            </w:r>
            <w:r>
              <w:rPr>
                <w:rFonts w:ascii="宋体" w:eastAsia="宋体" w:cs="Courier New"/>
                <w:b w:val="0"/>
                <w:color w:val="auto"/>
                <w:sz w:val="22"/>
              </w:rPr>
              <w:instrText xml:space="preserve"> HYPERLINK "http://www.creditchina.gov.cn" </w:instrText>
            </w:r>
            <w:r>
              <w:rPr>
                <w:rFonts w:ascii="宋体" w:eastAsia="宋体" w:cs="Courier New"/>
                <w:b w:val="0"/>
                <w:color w:val="auto"/>
                <w:sz w:val="22"/>
              </w:rPr>
              <w:fldChar w:fldCharType="separate"/>
            </w:r>
            <w:r>
              <w:rPr>
                <w:rFonts w:hint="eastAsia" w:ascii="宋体" w:eastAsia="宋体" w:cs="Courier New"/>
                <w:b w:val="0"/>
                <w:color w:val="auto"/>
                <w:sz w:val="22"/>
              </w:rPr>
              <w:t>www.creditchina.gov.cn</w:t>
            </w:r>
            <w:r>
              <w:rPr>
                <w:rFonts w:hint="eastAsia" w:ascii="宋体" w:eastAsia="宋体" w:cs="Courier New"/>
                <w:b w:val="0"/>
                <w:color w:val="auto"/>
                <w:sz w:val="22"/>
              </w:rPr>
              <w:fldChar w:fldCharType="end"/>
            </w:r>
            <w:r>
              <w:rPr>
                <w:rFonts w:hint="eastAsia" w:ascii="宋体" w:eastAsia="宋体" w:cs="Courier New"/>
                <w:b w:val="0"/>
                <w:color w:val="auto"/>
                <w:sz w:val="22"/>
              </w:rPr>
              <w:t>)，在信用中国首页搜索栏中直接输入</w:t>
            </w:r>
            <w:r>
              <w:rPr>
                <w:rFonts w:hint="eastAsia" w:ascii="宋体" w:eastAsia="宋体" w:cs="Courier New"/>
                <w:b w:val="0"/>
                <w:color w:val="auto"/>
                <w:sz w:val="22"/>
                <w:lang w:eastAsia="zh-CN"/>
              </w:rPr>
              <w:t>投标人</w:t>
            </w:r>
            <w:r>
              <w:rPr>
                <w:rFonts w:hint="eastAsia" w:ascii="宋体" w:eastAsia="宋体" w:cs="Courier New"/>
                <w:b w:val="0"/>
                <w:color w:val="auto"/>
                <w:sz w:val="22"/>
              </w:rPr>
              <w:t>全称搜索信用信息，再找到并点击进人</w:t>
            </w:r>
            <w:r>
              <w:rPr>
                <w:rFonts w:hint="eastAsia" w:ascii="宋体" w:eastAsia="宋体" w:cs="Courier New"/>
                <w:b w:val="0"/>
                <w:color w:val="auto"/>
                <w:sz w:val="22"/>
                <w:lang w:eastAsia="zh-CN"/>
              </w:rPr>
              <w:t>投标人</w:t>
            </w:r>
            <w:r>
              <w:rPr>
                <w:rFonts w:hint="eastAsia" w:ascii="宋体" w:eastAsia="宋体" w:cs="Courier New"/>
                <w:b w:val="0"/>
                <w:color w:val="auto"/>
                <w:sz w:val="22"/>
              </w:rPr>
              <w:t>全称的查询页面。</w:t>
            </w:r>
          </w:p>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rPr>
              <w:t>（2）“中国政府采购网”（</w:t>
            </w:r>
            <w:r>
              <w:rPr>
                <w:rFonts w:ascii="宋体" w:eastAsia="宋体" w:cs="Courier New"/>
                <w:b w:val="0"/>
                <w:color w:val="auto"/>
                <w:sz w:val="22"/>
              </w:rPr>
              <w:fldChar w:fldCharType="begin"/>
            </w:r>
            <w:r>
              <w:rPr>
                <w:rFonts w:ascii="宋体" w:eastAsia="宋体" w:cs="Courier New"/>
                <w:b w:val="0"/>
                <w:color w:val="auto"/>
                <w:sz w:val="22"/>
              </w:rPr>
              <w:instrText xml:space="preserve"> HYPERLINK "http://www.ccgp.gov.cn/search/cr/" </w:instrText>
            </w:r>
            <w:r>
              <w:rPr>
                <w:rFonts w:ascii="宋体" w:eastAsia="宋体" w:cs="Courier New"/>
                <w:b w:val="0"/>
                <w:color w:val="auto"/>
                <w:sz w:val="22"/>
              </w:rPr>
              <w:fldChar w:fldCharType="separate"/>
            </w:r>
            <w:r>
              <w:rPr>
                <w:rFonts w:ascii="宋体" w:eastAsia="宋体" w:cs="Courier New"/>
                <w:b w:val="0"/>
                <w:color w:val="auto"/>
                <w:sz w:val="22"/>
              </w:rPr>
              <w:t>www.ccgp.gov.cn/search/cr/</w:t>
            </w:r>
            <w:r>
              <w:rPr>
                <w:rFonts w:ascii="宋体" w:eastAsia="宋体" w:cs="Courier New"/>
                <w:b w:val="0"/>
                <w:color w:val="auto"/>
                <w:sz w:val="22"/>
              </w:rPr>
              <w:fldChar w:fldCharType="end"/>
            </w:r>
            <w:r>
              <w:rPr>
                <w:rFonts w:hint="eastAsia" w:ascii="宋体" w:eastAsia="宋体" w:cs="Courier New"/>
                <w:b w:val="0"/>
                <w:color w:val="auto"/>
                <w:sz w:val="22"/>
              </w:rPr>
              <w:t>）</w:t>
            </w:r>
          </w:p>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rPr>
              <w:t>注：①若供应商查询页面“行政处罚”栏显示有行政处罚事项，须将所有行政处罚事项在“信用中国”网页上列出的明细一并打印，并附说明，是否属于“经营活动中的重大违法记录”。</w:t>
            </w:r>
          </w:p>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rPr>
              <w:t>②若供应商在“信用中国”无数据，亦须将搜索结果页面打印，并附说明。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rPr>
            </w:pPr>
            <w:r>
              <w:rPr>
                <w:rFonts w:hint="eastAsia" w:ascii="宋体" w:eastAsia="宋体" w:cs="Courier New"/>
                <w:b w:val="0"/>
                <w:color w:val="auto"/>
                <w:sz w:val="22"/>
              </w:rPr>
              <w:t>4</w:t>
            </w:r>
          </w:p>
        </w:tc>
        <w:tc>
          <w:tcPr>
            <w:tcW w:w="8747" w:type="dxa"/>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rPr>
              <w:t>与参加本次项目同一合同项下政府采购活动的其他供应商不存在单位负责人为同一人或者直接控股、管理关系的承诺函（附件二）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rPr>
            </w:pPr>
            <w:r>
              <w:rPr>
                <w:rFonts w:hint="eastAsia" w:ascii="宋体" w:eastAsia="宋体" w:cs="Courier New"/>
                <w:b w:val="0"/>
                <w:color w:val="auto"/>
                <w:sz w:val="22"/>
              </w:rPr>
              <w:t>5</w:t>
            </w:r>
          </w:p>
        </w:tc>
        <w:tc>
          <w:tcPr>
            <w:tcW w:w="8747" w:type="dxa"/>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rPr>
              <w:t>投标供应商参与政府采购活动投标资格声明函（附件三）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eastAsia="宋体" w:cs="Courier New"/>
                <w:b w:val="0"/>
                <w:bCs w:val="0"/>
                <w:color w:val="auto"/>
                <w:sz w:val="22"/>
                <w:lang w:val="zh-CN"/>
              </w:rPr>
            </w:pPr>
            <w:r>
              <w:rPr>
                <w:rFonts w:hint="eastAsia" w:ascii="宋体" w:eastAsia="宋体" w:cs="Courier New"/>
                <w:b w:val="0"/>
                <w:bCs w:val="0"/>
                <w:color w:val="auto"/>
                <w:sz w:val="22"/>
                <w:lang w:val="zh-CN"/>
              </w:rPr>
              <w:t>6</w:t>
            </w:r>
          </w:p>
        </w:tc>
        <w:tc>
          <w:tcPr>
            <w:tcW w:w="8747" w:type="dxa"/>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rPr>
              <w:t>法定代表人授权书（如果投标供应商代表是法定代表人的，仅须提供身份证扫描件；如果投标供应商代表不是法定代表人，须持有《法定代表人授权书》）（附件四）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rPr>
            </w:pPr>
            <w:r>
              <w:rPr>
                <w:rFonts w:hint="eastAsia" w:ascii="宋体" w:eastAsia="宋体" w:cs="Courier New"/>
                <w:b w:val="0"/>
                <w:color w:val="auto"/>
                <w:sz w:val="22"/>
              </w:rPr>
              <w:t>7</w:t>
            </w:r>
          </w:p>
        </w:tc>
        <w:tc>
          <w:tcPr>
            <w:tcW w:w="8747" w:type="dxa"/>
          </w:tcPr>
          <w:p>
            <w:pPr>
              <w:autoSpaceDE w:val="0"/>
              <w:autoSpaceDN w:val="0"/>
              <w:adjustRightInd w:val="0"/>
              <w:snapToGrid w:val="0"/>
              <w:rPr>
                <w:rFonts w:ascii="宋体" w:eastAsia="宋体" w:cs="Courier New"/>
                <w:b w:val="0"/>
                <w:color w:val="auto"/>
                <w:sz w:val="22"/>
              </w:rPr>
            </w:pPr>
            <w:r>
              <w:rPr>
                <w:rFonts w:hint="eastAsia" w:ascii="宋体" w:eastAsia="宋体" w:cs="Courier New"/>
                <w:b w:val="0"/>
                <w:color w:val="auto"/>
                <w:sz w:val="22"/>
              </w:rPr>
              <w:t>投标供应商不属于公益一类事业单位、使用事业编制且由财政拨款保障的群团组织承诺函（附件五）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rPr>
            </w:pPr>
            <w:r>
              <w:rPr>
                <w:rFonts w:hint="eastAsia" w:ascii="宋体" w:eastAsia="宋体" w:cs="Courier New"/>
                <w:b w:val="0"/>
                <w:color w:val="auto"/>
                <w:sz w:val="22"/>
              </w:rPr>
              <w:t>8</w:t>
            </w:r>
          </w:p>
        </w:tc>
        <w:tc>
          <w:tcPr>
            <w:tcW w:w="8747" w:type="dxa"/>
            <w:vAlign w:val="center"/>
          </w:tcPr>
          <w:p>
            <w:pPr>
              <w:autoSpaceDE w:val="0"/>
              <w:autoSpaceDN w:val="0"/>
              <w:adjustRightInd w:val="0"/>
              <w:snapToGrid w:val="0"/>
              <w:rPr>
                <w:rFonts w:ascii="宋体" w:eastAsia="宋体" w:cs="Courier New"/>
                <w:b w:val="0"/>
                <w:color w:val="auto"/>
                <w:sz w:val="22"/>
              </w:rPr>
            </w:pPr>
            <w:r>
              <w:rPr>
                <w:rFonts w:hint="eastAsia" w:ascii="宋体" w:eastAsia="宋体" w:cs="Courier New"/>
                <w:b w:val="0"/>
                <w:color w:val="auto"/>
                <w:sz w:val="22"/>
              </w:rPr>
              <w:t>投标供应商特定资格条件证明：无。</w:t>
            </w:r>
          </w:p>
        </w:tc>
      </w:tr>
    </w:tbl>
    <w:p>
      <w:pPr>
        <w:autoSpaceDE w:val="0"/>
        <w:autoSpaceDN w:val="0"/>
        <w:adjustRightInd w:val="0"/>
        <w:spacing w:line="460" w:lineRule="atLeas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2.</w:t>
      </w:r>
      <w:r>
        <w:rPr>
          <w:rFonts w:hint="eastAsia" w:ascii="宋体" w:eastAsia="宋体" w:cs="仿宋_GB2312"/>
          <w:b w:val="0"/>
          <w:color w:val="auto"/>
          <w:sz w:val="22"/>
          <w:szCs w:val="22"/>
        </w:rPr>
        <w:t>2</w:t>
      </w:r>
      <w:r>
        <w:rPr>
          <w:rFonts w:hint="eastAsia" w:ascii="宋体" w:eastAsia="宋体" w:cs="仿宋_GB2312"/>
          <w:b w:val="0"/>
          <w:color w:val="auto"/>
          <w:sz w:val="22"/>
          <w:szCs w:val="22"/>
          <w:lang w:val="zh-CN"/>
        </w:rPr>
        <w:t>、</w:t>
      </w:r>
      <w:r>
        <w:rPr>
          <w:rFonts w:hint="eastAsia" w:ascii="宋体" w:eastAsia="宋体" w:cs="Arial"/>
          <w:bCs w:val="0"/>
          <w:color w:val="auto"/>
          <w:sz w:val="22"/>
          <w:szCs w:val="22"/>
          <w:u w:val="single"/>
        </w:rPr>
        <w:t>报价文件</w:t>
      </w:r>
      <w:r>
        <w:rPr>
          <w:rFonts w:hint="eastAsia" w:ascii="宋体" w:eastAsia="宋体" w:cs="仿宋_GB2312"/>
          <w:color w:val="auto"/>
          <w:sz w:val="22"/>
          <w:szCs w:val="22"/>
          <w:u w:val="single"/>
          <w:lang w:val="zh-CN"/>
        </w:rPr>
        <w:t>组成</w:t>
      </w:r>
    </w:p>
    <w:tbl>
      <w:tblPr>
        <w:tblStyle w:val="5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736" w:type="dxa"/>
          </w:tcPr>
          <w:p>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r>
              <w:rPr>
                <w:rFonts w:hint="eastAsia" w:ascii="宋体" w:eastAsia="宋体"/>
                <w:color w:val="auto"/>
                <w:sz w:val="22"/>
                <w:szCs w:val="22"/>
                <w:highlight w:val="none"/>
                <w:lang w:val="zh-CN"/>
              </w:rPr>
              <w:t>（</w:t>
            </w:r>
            <w:r>
              <w:rPr>
                <w:rFonts w:hint="eastAsia" w:ascii="宋体" w:hAnsi="宋体" w:eastAsia="宋体" w:cs="Times New Roman"/>
                <w:b/>
                <w:bCs w:val="0"/>
                <w:color w:val="auto"/>
                <w:kern w:val="2"/>
                <w:sz w:val="22"/>
                <w:szCs w:val="22"/>
                <w:highlight w:val="none"/>
                <w:lang w:val="en-US" w:eastAsia="zh-CN" w:bidi="ar-SA"/>
              </w:rPr>
              <w:t>▲</w:t>
            </w:r>
            <w:r>
              <w:rPr>
                <w:rFonts w:hint="eastAsia" w:ascii="宋体" w:eastAsia="宋体"/>
                <w:color w:val="auto"/>
                <w:sz w:val="22"/>
                <w:szCs w:val="22"/>
                <w:highlight w:val="none"/>
                <w:lang w:val="zh-CN"/>
              </w:rPr>
              <w:t>序号</w:t>
            </w:r>
            <w:r>
              <w:rPr>
                <w:rFonts w:hint="eastAsia" w:ascii="宋体" w:eastAsia="宋体"/>
                <w:color w:val="auto"/>
                <w:sz w:val="22"/>
                <w:szCs w:val="22"/>
                <w:lang w:val="zh-CN"/>
              </w:rPr>
              <w:t>1-</w:t>
            </w:r>
            <w:r>
              <w:rPr>
                <w:rFonts w:ascii="宋体" w:eastAsia="宋体"/>
                <w:color w:val="auto"/>
                <w:sz w:val="22"/>
                <w:szCs w:val="22"/>
                <w:lang w:val="zh-CN"/>
              </w:rPr>
              <w:t>2</w:t>
            </w:r>
            <w:r>
              <w:rPr>
                <w:rFonts w:hint="eastAsia" w:ascii="宋体" w:eastAsia="宋体"/>
                <w:color w:val="auto"/>
                <w:sz w:val="22"/>
                <w:szCs w:val="22"/>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w:t>
            </w:r>
          </w:p>
        </w:tc>
        <w:tc>
          <w:tcPr>
            <w:tcW w:w="8736" w:type="dxa"/>
          </w:tcPr>
          <w:p>
            <w:pPr>
              <w:autoSpaceDE w:val="0"/>
              <w:autoSpaceDN w:val="0"/>
              <w:adjustRightInd w:val="0"/>
              <w:spacing w:line="430" w:lineRule="atLeast"/>
              <w:textAlignment w:val="bottom"/>
              <w:rPr>
                <w:rFonts w:ascii="宋体" w:eastAsia="宋体"/>
                <w:b w:val="0"/>
                <w:color w:val="auto"/>
                <w:sz w:val="22"/>
                <w:szCs w:val="22"/>
              </w:rPr>
            </w:pPr>
            <w:r>
              <w:rPr>
                <w:rFonts w:hint="eastAsia" w:ascii="宋体" w:eastAsia="宋体"/>
                <w:b w:val="0"/>
                <w:color w:val="auto"/>
                <w:sz w:val="22"/>
                <w:szCs w:val="22"/>
              </w:rPr>
              <w:t>开标一览表（附件六）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2</w:t>
            </w:r>
          </w:p>
        </w:tc>
        <w:tc>
          <w:tcPr>
            <w:tcW w:w="8736" w:type="dxa"/>
          </w:tcPr>
          <w:p>
            <w:pPr>
              <w:autoSpaceDE w:val="0"/>
              <w:autoSpaceDN w:val="0"/>
              <w:adjustRightInd w:val="0"/>
              <w:spacing w:line="430" w:lineRule="atLeast"/>
              <w:textAlignment w:val="bottom"/>
              <w:rPr>
                <w:rFonts w:ascii="宋体" w:eastAsia="宋体"/>
                <w:b w:val="0"/>
                <w:color w:val="auto"/>
                <w:sz w:val="22"/>
                <w:szCs w:val="22"/>
                <w:lang w:val="zh-CN"/>
              </w:rPr>
            </w:pPr>
            <w:r>
              <w:rPr>
                <w:rFonts w:hint="eastAsia" w:ascii="宋体" w:eastAsia="宋体"/>
                <w:b w:val="0"/>
                <w:color w:val="auto"/>
                <w:sz w:val="22"/>
                <w:szCs w:val="22"/>
              </w:rPr>
              <w:t>投标货物数量价格表（附件七）；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784" w:type="dxa"/>
            <w:vAlign w:val="center"/>
          </w:tcPr>
          <w:p>
            <w:pPr>
              <w:autoSpaceDE w:val="0"/>
              <w:autoSpaceDN w:val="0"/>
              <w:adjustRightInd w:val="0"/>
              <w:snapToGrid w:val="0"/>
              <w:jc w:val="center"/>
              <w:rPr>
                <w:rFonts w:hint="eastAsia" w:ascii="宋体" w:eastAsia="宋体"/>
                <w:b w:val="0"/>
                <w:color w:val="auto"/>
                <w:sz w:val="22"/>
                <w:szCs w:val="22"/>
                <w:lang w:val="en-US" w:eastAsia="zh-CN"/>
              </w:rPr>
            </w:pPr>
            <w:r>
              <w:rPr>
                <w:rFonts w:hint="eastAsia" w:ascii="宋体" w:eastAsia="宋体"/>
                <w:b w:val="0"/>
                <w:color w:val="auto"/>
                <w:sz w:val="22"/>
                <w:szCs w:val="22"/>
                <w:lang w:val="en-US" w:eastAsia="zh-CN"/>
              </w:rPr>
              <w:t>3</w:t>
            </w:r>
          </w:p>
        </w:tc>
        <w:tc>
          <w:tcPr>
            <w:tcW w:w="8736" w:type="dxa"/>
          </w:tcPr>
          <w:p>
            <w:pPr>
              <w:autoSpaceDE w:val="0"/>
              <w:autoSpaceDN w:val="0"/>
              <w:adjustRightInd w:val="0"/>
              <w:spacing w:line="430" w:lineRule="atLeast"/>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享受小微企业（含监狱企业、残疾人福利性单位）价格折扣须按供应商单位性质提供以下相关的证明材料：</w:t>
            </w:r>
          </w:p>
          <w:p>
            <w:pPr>
              <w:autoSpaceDE w:val="0"/>
              <w:autoSpaceDN w:val="0"/>
              <w:adjustRightInd w:val="0"/>
              <w:spacing w:line="430" w:lineRule="atLeast"/>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（1）《中小企业声明函》（加盖供应商公章，格式见招标文件第四部分）</w:t>
            </w:r>
          </w:p>
          <w:p>
            <w:pPr>
              <w:autoSpaceDE w:val="0"/>
              <w:autoSpaceDN w:val="0"/>
              <w:adjustRightInd w:val="0"/>
              <w:spacing w:line="430" w:lineRule="atLeast"/>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监狱企业参加政府采购活动时，应当提供由省级以上监狱管理局、戒毒管理局(含新疆生产建设兵团)出具的属于监狱企业的证明文件（复印件加盖公章）。在政府采购活动中，监狱企业视同小型、微型企业，享受评审中价格扣除政策。</w:t>
            </w:r>
          </w:p>
          <w:p>
            <w:pPr>
              <w:autoSpaceDE w:val="0"/>
              <w:autoSpaceDN w:val="0"/>
              <w:adjustRightInd w:val="0"/>
              <w:spacing w:line="430" w:lineRule="atLeast"/>
              <w:textAlignment w:val="bottom"/>
              <w:rPr>
                <w:rFonts w:ascii="宋体" w:eastAsia="宋体"/>
                <w:b w:val="0"/>
                <w:color w:val="auto"/>
                <w:sz w:val="22"/>
                <w:szCs w:val="22"/>
                <w:highlight w:val="none"/>
              </w:rPr>
            </w:pPr>
            <w:r>
              <w:rPr>
                <w:rFonts w:hint="eastAsia" w:ascii="宋体" w:hAnsi="宋体" w:eastAsia="宋体" w:cs="宋体"/>
                <w:b w:val="0"/>
                <w:color w:val="auto"/>
                <w:sz w:val="22"/>
                <w:szCs w:val="22"/>
                <w:highlight w:val="none"/>
              </w:rPr>
              <w:t>（3）残疾人福利性单位声明函（加盖供应商公章，格式见招标文件第四部分）在政府采购活动中，残疾人福利性单位视同小型、微型企业，享受评审中价格扣除政策。</w:t>
            </w:r>
          </w:p>
        </w:tc>
      </w:tr>
    </w:tbl>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2.3、</w:t>
      </w:r>
      <w:r>
        <w:rPr>
          <w:rFonts w:hint="eastAsia" w:ascii="宋体" w:eastAsia="宋体"/>
          <w:color w:val="auto"/>
          <w:sz w:val="22"/>
          <w:szCs w:val="22"/>
        </w:rPr>
        <w:t>商务技术文件</w:t>
      </w:r>
      <w:r>
        <w:rPr>
          <w:rFonts w:hint="eastAsia" w:ascii="宋体" w:eastAsia="宋体"/>
          <w:bCs w:val="0"/>
          <w:color w:val="auto"/>
          <w:sz w:val="22"/>
          <w:szCs w:val="22"/>
          <w:u w:val="single"/>
        </w:rPr>
        <w:t>组成</w:t>
      </w:r>
    </w:p>
    <w:tbl>
      <w:tblPr>
        <w:tblStyle w:val="5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rPr>
                <w:rFonts w:ascii="宋体" w:eastAsia="宋体"/>
                <w:b w:val="0"/>
                <w:color w:val="auto"/>
                <w:sz w:val="22"/>
                <w:szCs w:val="22"/>
                <w:lang w:val="zh-CN"/>
              </w:rPr>
            </w:pPr>
            <w:bookmarkStart w:id="33" w:name="_Toc132122113"/>
            <w:bookmarkStart w:id="34" w:name="_Toc132122410"/>
            <w:r>
              <w:rPr>
                <w:rFonts w:hint="eastAsia" w:ascii="宋体" w:eastAsia="宋体"/>
                <w:b w:val="0"/>
                <w:color w:val="auto"/>
                <w:sz w:val="22"/>
                <w:szCs w:val="22"/>
                <w:lang w:val="zh-CN"/>
              </w:rPr>
              <w:t>序号</w:t>
            </w:r>
          </w:p>
        </w:tc>
        <w:tc>
          <w:tcPr>
            <w:tcW w:w="8736" w:type="dxa"/>
          </w:tcPr>
          <w:p>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Pr>
          <w:p>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资信部分</w:t>
            </w:r>
            <w:r>
              <w:rPr>
                <w:rFonts w:hint="eastAsia" w:ascii="宋体" w:eastAsia="宋体"/>
                <w:color w:val="auto"/>
                <w:sz w:val="22"/>
                <w:szCs w:val="22"/>
                <w:highlight w:val="none"/>
                <w:lang w:val="zh-CN"/>
              </w:rPr>
              <w:t>（</w:t>
            </w:r>
            <w:r>
              <w:rPr>
                <w:rFonts w:hint="eastAsia" w:ascii="宋体" w:hAnsi="宋体" w:eastAsia="宋体" w:cs="Times New Roman"/>
                <w:b/>
                <w:bCs w:val="0"/>
                <w:color w:val="auto"/>
                <w:kern w:val="2"/>
                <w:sz w:val="22"/>
                <w:szCs w:val="22"/>
                <w:highlight w:val="none"/>
                <w:lang w:val="en-US" w:eastAsia="zh-CN" w:bidi="ar-SA"/>
              </w:rPr>
              <w:t>▲</w:t>
            </w:r>
            <w:r>
              <w:rPr>
                <w:rFonts w:hint="eastAsia" w:ascii="宋体" w:eastAsia="宋体"/>
                <w:color w:val="auto"/>
                <w:sz w:val="22"/>
                <w:szCs w:val="22"/>
                <w:highlight w:val="none"/>
                <w:lang w:val="zh-CN"/>
              </w:rPr>
              <w:t>序号1、</w:t>
            </w:r>
            <w:r>
              <w:rPr>
                <w:rFonts w:hint="eastAsia" w:ascii="宋体" w:eastAsia="宋体"/>
                <w:color w:val="auto"/>
                <w:sz w:val="22"/>
                <w:szCs w:val="22"/>
                <w:highlight w:val="none"/>
                <w:lang w:val="en-US" w:eastAsia="zh-CN"/>
              </w:rPr>
              <w:t>2、10</w:t>
            </w:r>
            <w:r>
              <w:rPr>
                <w:rFonts w:hint="eastAsia" w:ascii="宋体" w:eastAsia="宋体"/>
                <w:color w:val="auto"/>
                <w:sz w:val="22"/>
                <w:szCs w:val="22"/>
                <w:highlight w:val="none"/>
                <w:lang w:val="zh-CN"/>
              </w:rPr>
              <w:t>项供应</w:t>
            </w:r>
            <w:r>
              <w:rPr>
                <w:rFonts w:hint="eastAsia" w:ascii="宋体" w:eastAsia="宋体"/>
                <w:color w:val="auto"/>
                <w:sz w:val="22"/>
                <w:szCs w:val="22"/>
                <w:lang w:val="zh-CN"/>
              </w:rPr>
              <w:t>商必须提供，否则不能通过资格性审查的，责任自负）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w:t>
            </w:r>
          </w:p>
        </w:tc>
        <w:tc>
          <w:tcPr>
            <w:tcW w:w="8736" w:type="dxa"/>
          </w:tcPr>
          <w:p>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rPr>
              <w:t>投标函（附件八）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2</w:t>
            </w:r>
          </w:p>
        </w:tc>
        <w:tc>
          <w:tcPr>
            <w:tcW w:w="8736" w:type="dxa"/>
          </w:tcPr>
          <w:p>
            <w:pPr>
              <w:autoSpaceDE w:val="0"/>
              <w:autoSpaceDN w:val="0"/>
              <w:adjustRightInd w:val="0"/>
              <w:snapToGrid w:val="0"/>
              <w:spacing w:line="430" w:lineRule="atLeast"/>
              <w:rPr>
                <w:rFonts w:ascii="宋体" w:eastAsia="宋体"/>
                <w:color w:val="auto"/>
                <w:sz w:val="22"/>
                <w:szCs w:val="22"/>
              </w:rPr>
            </w:pPr>
            <w:r>
              <w:rPr>
                <w:rFonts w:hint="eastAsia" w:ascii="宋体" w:eastAsia="宋体"/>
                <w:b w:val="0"/>
                <w:bCs w:val="0"/>
                <w:color w:val="auto"/>
                <w:sz w:val="22"/>
                <w:szCs w:val="22"/>
              </w:rPr>
              <w:t>法定代表人诚信投标承诺书（附件九）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3</w:t>
            </w:r>
          </w:p>
        </w:tc>
        <w:tc>
          <w:tcPr>
            <w:tcW w:w="8736"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供应商质量体系认证证书（如有则提供）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4</w:t>
            </w:r>
          </w:p>
        </w:tc>
        <w:tc>
          <w:tcPr>
            <w:tcW w:w="8736"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供应商环境体系认证证书（如有则提供）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5</w:t>
            </w:r>
          </w:p>
        </w:tc>
        <w:tc>
          <w:tcPr>
            <w:tcW w:w="8736"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6</w:t>
            </w:r>
          </w:p>
        </w:tc>
        <w:tc>
          <w:tcPr>
            <w:tcW w:w="8736"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7</w:t>
            </w:r>
          </w:p>
        </w:tc>
        <w:tc>
          <w:tcPr>
            <w:tcW w:w="8736"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8</w:t>
            </w:r>
          </w:p>
        </w:tc>
        <w:tc>
          <w:tcPr>
            <w:tcW w:w="8736"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9</w:t>
            </w:r>
          </w:p>
        </w:tc>
        <w:tc>
          <w:tcPr>
            <w:tcW w:w="8736" w:type="dxa"/>
            <w:vAlign w:val="center"/>
          </w:tcPr>
          <w:p>
            <w:pPr>
              <w:autoSpaceDE w:val="0"/>
              <w:autoSpaceDN w:val="0"/>
              <w:adjustRightInd w:val="0"/>
              <w:snapToGrid w:val="0"/>
              <w:jc w:val="left"/>
              <w:rPr>
                <w:rFonts w:ascii="宋体" w:eastAsia="宋体"/>
                <w:b w:val="0"/>
                <w:color w:val="auto"/>
                <w:sz w:val="22"/>
                <w:szCs w:val="22"/>
              </w:rPr>
            </w:pPr>
            <w:r>
              <w:rPr>
                <w:rFonts w:hint="eastAsia" w:ascii="宋体" w:eastAsia="宋体"/>
                <w:b w:val="0"/>
                <w:color w:val="auto"/>
                <w:sz w:val="22"/>
                <w:szCs w:val="22"/>
              </w:rPr>
              <w:t>提供</w:t>
            </w:r>
            <w:r>
              <w:rPr>
                <w:rFonts w:hint="eastAsia" w:ascii="宋体" w:eastAsia="宋体"/>
                <w:b w:val="0"/>
                <w:color w:val="auto"/>
                <w:sz w:val="22"/>
                <w:szCs w:val="22"/>
                <w:lang w:val="en-US" w:eastAsia="zh-CN"/>
              </w:rPr>
              <w:t>2021</w:t>
            </w:r>
            <w:r>
              <w:rPr>
                <w:rFonts w:hint="eastAsia" w:ascii="宋体" w:eastAsia="宋体"/>
                <w:b w:val="0"/>
                <w:color w:val="auto"/>
                <w:sz w:val="22"/>
                <w:szCs w:val="22"/>
              </w:rPr>
              <w:t>年1月1日以来同类项目业绩；（具体以评分细则中的要求为准）（附件十）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10</w:t>
            </w:r>
          </w:p>
        </w:tc>
        <w:tc>
          <w:tcPr>
            <w:tcW w:w="8736" w:type="dxa"/>
            <w:vAlign w:val="center"/>
          </w:tcPr>
          <w:p>
            <w:pPr>
              <w:autoSpaceDE w:val="0"/>
              <w:autoSpaceDN w:val="0"/>
              <w:adjustRightInd w:val="0"/>
              <w:snapToGrid w:val="0"/>
              <w:spacing w:line="430" w:lineRule="atLeast"/>
              <w:jc w:val="left"/>
              <w:rPr>
                <w:rFonts w:ascii="宋体" w:eastAsia="宋体"/>
                <w:b w:val="0"/>
                <w:color w:val="auto"/>
                <w:sz w:val="22"/>
                <w:szCs w:val="22"/>
              </w:rPr>
            </w:pPr>
            <w:r>
              <w:rPr>
                <w:rFonts w:hint="eastAsia" w:ascii="宋体" w:eastAsia="宋体"/>
                <w:b w:val="0"/>
                <w:color w:val="auto"/>
                <w:sz w:val="22"/>
                <w:szCs w:val="22"/>
              </w:rPr>
              <w:t>商务偏离表（附件十一（一））、技术偏离表（附件十一（二））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11</w:t>
            </w:r>
          </w:p>
        </w:tc>
        <w:tc>
          <w:tcPr>
            <w:tcW w:w="8736" w:type="dxa"/>
          </w:tcPr>
          <w:p>
            <w:pPr>
              <w:autoSpaceDE w:val="0"/>
              <w:autoSpaceDN w:val="0"/>
              <w:adjustRightInd w:val="0"/>
              <w:textAlignment w:val="bottom"/>
              <w:rPr>
                <w:rFonts w:ascii="宋体" w:eastAsia="宋体"/>
                <w:b w:val="0"/>
                <w:color w:val="auto"/>
                <w:sz w:val="22"/>
                <w:szCs w:val="22"/>
              </w:rPr>
            </w:pPr>
            <w:r>
              <w:rPr>
                <w:rFonts w:hint="eastAsia" w:ascii="宋体" w:eastAsia="宋体" w:cs="Arial"/>
                <w:b w:val="0"/>
                <w:color w:val="auto"/>
                <w:sz w:val="22"/>
                <w:szCs w:val="22"/>
              </w:rPr>
              <w:t>供货商提供的产品数量、配置清单；</w:t>
            </w:r>
            <w:r>
              <w:rPr>
                <w:rFonts w:hint="eastAsia" w:ascii="宋体" w:eastAsia="宋体"/>
                <w:color w:val="auto"/>
                <w:sz w:val="22"/>
                <w:szCs w:val="22"/>
                <w:u w:val="single"/>
              </w:rPr>
              <w:t>（与货物数量价格表</w:t>
            </w:r>
            <w:r>
              <w:rPr>
                <w:rFonts w:hint="eastAsia" w:ascii="宋体" w:eastAsia="宋体" w:cs="Arial"/>
                <w:color w:val="auto"/>
                <w:sz w:val="22"/>
                <w:szCs w:val="22"/>
                <w:u w:val="single"/>
              </w:rPr>
              <w:t>对应，不得带有价格）*；</w:t>
            </w:r>
            <w:r>
              <w:rPr>
                <w:rFonts w:hint="eastAsia" w:ascii="宋体" w:eastAsia="宋体"/>
                <w:b w:val="0"/>
                <w:color w:val="auto"/>
                <w:sz w:val="22"/>
                <w:szCs w:val="22"/>
              </w:rPr>
              <w:t>（附件十二）；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12</w:t>
            </w:r>
          </w:p>
        </w:tc>
        <w:tc>
          <w:tcPr>
            <w:tcW w:w="8736" w:type="dxa"/>
          </w:tcPr>
          <w:p>
            <w:pPr>
              <w:autoSpaceDE w:val="0"/>
              <w:autoSpaceDN w:val="0"/>
              <w:adjustRightInd w:val="0"/>
              <w:snapToGrid w:val="0"/>
              <w:rPr>
                <w:rFonts w:ascii="宋体" w:eastAsia="宋体"/>
                <w:b w:val="0"/>
                <w:color w:val="auto"/>
                <w:sz w:val="22"/>
                <w:szCs w:val="22"/>
              </w:rPr>
            </w:pPr>
            <w:r>
              <w:rPr>
                <w:rFonts w:hint="eastAsia" w:ascii="宋体" w:eastAsia="宋体" w:cs="Arial"/>
                <w:b w:val="0"/>
                <w:color w:val="auto"/>
                <w:sz w:val="22"/>
                <w:szCs w:val="22"/>
              </w:rPr>
              <w:t>产品技术规格书、产品的主要技术、结构、性能、特点和质量水平的详细描述； 技术规格书中须供应商提供的参数、承诺和保证；</w:t>
            </w:r>
            <w:r>
              <w:rPr>
                <w:rFonts w:hint="eastAsia" w:ascii="宋体" w:eastAsia="宋体" w:cs="Arial"/>
                <w:color w:val="auto"/>
                <w:sz w:val="22"/>
                <w:szCs w:val="22"/>
                <w:u w:val="single"/>
              </w:rPr>
              <w:t>（如果资料提供不全，可能导致对供应商不利的评定）；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13</w:t>
            </w:r>
          </w:p>
        </w:tc>
        <w:tc>
          <w:tcPr>
            <w:tcW w:w="8736" w:type="dxa"/>
          </w:tcPr>
          <w:p>
            <w:pPr>
              <w:autoSpaceDE w:val="0"/>
              <w:autoSpaceDN w:val="0"/>
              <w:adjustRightInd w:val="0"/>
              <w:snapToGrid w:val="0"/>
              <w:rPr>
                <w:rFonts w:ascii="宋体" w:eastAsia="宋体"/>
                <w:color w:val="auto"/>
                <w:sz w:val="22"/>
                <w:szCs w:val="22"/>
              </w:rPr>
            </w:pPr>
            <w:r>
              <w:rPr>
                <w:rFonts w:hint="eastAsia" w:ascii="宋体" w:eastAsia="宋体"/>
                <w:color w:val="auto"/>
                <w:sz w:val="22"/>
                <w:szCs w:val="22"/>
              </w:rPr>
              <w:t>所投产品的相关检测报告、</w:t>
            </w:r>
            <w:r>
              <w:rPr>
                <w:rFonts w:ascii="宋体" w:eastAsia="宋体"/>
                <w:color w:val="auto"/>
                <w:sz w:val="22"/>
                <w:szCs w:val="22"/>
              </w:rPr>
              <w:t>相关产品生产销售许可证</w:t>
            </w:r>
            <w:r>
              <w:rPr>
                <w:rFonts w:hint="eastAsia" w:ascii="宋体" w:eastAsia="宋体"/>
                <w:color w:val="auto"/>
                <w:sz w:val="22"/>
                <w:szCs w:val="22"/>
              </w:rPr>
              <w:t>；自主创新、节能、绿色环保方面认证等；（如有则提供，复印件加盖有效公章）；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14</w:t>
            </w:r>
          </w:p>
        </w:tc>
        <w:tc>
          <w:tcPr>
            <w:tcW w:w="8736"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项目服务人员汇总表（附件十三）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15</w:t>
            </w:r>
          </w:p>
        </w:tc>
        <w:tc>
          <w:tcPr>
            <w:tcW w:w="8736" w:type="dxa"/>
            <w:vAlign w:val="center"/>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lang w:val="en-US" w:eastAsia="zh-CN"/>
              </w:rPr>
              <w:t>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16</w:t>
            </w:r>
          </w:p>
        </w:tc>
        <w:tc>
          <w:tcPr>
            <w:tcW w:w="8736" w:type="dxa"/>
            <w:vAlign w:val="top"/>
          </w:tcPr>
          <w:p>
            <w:pPr>
              <w:autoSpaceDE w:val="0"/>
              <w:autoSpaceDN w:val="0"/>
              <w:adjustRightInd w:val="0"/>
              <w:snapToGrid w:val="0"/>
              <w:spacing w:line="430" w:lineRule="atLeast"/>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实施方案（含具备履行合同所必需的设备投入说明）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17</w:t>
            </w:r>
          </w:p>
        </w:tc>
        <w:tc>
          <w:tcPr>
            <w:tcW w:w="8736" w:type="dxa"/>
            <w:vAlign w:val="top"/>
          </w:tcPr>
          <w:p>
            <w:pPr>
              <w:autoSpaceDE w:val="0"/>
              <w:autoSpaceDN w:val="0"/>
              <w:adjustRightInd w:val="0"/>
              <w:snapToGrid w:val="0"/>
              <w:spacing w:line="430" w:lineRule="atLeast"/>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测试验收方案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18</w:t>
            </w:r>
          </w:p>
        </w:tc>
        <w:tc>
          <w:tcPr>
            <w:tcW w:w="8736" w:type="dxa"/>
            <w:vAlign w:val="top"/>
          </w:tcPr>
          <w:p>
            <w:pPr>
              <w:autoSpaceDE w:val="0"/>
              <w:autoSpaceDN w:val="0"/>
              <w:adjustRightInd w:val="0"/>
              <w:snapToGrid w:val="0"/>
              <w:spacing w:line="430" w:lineRule="atLeast"/>
              <w:rPr>
                <w:rFonts w:ascii="宋体" w:hAnsi="宋体" w:eastAsia="宋体" w:cs="宋体"/>
                <w:b w:val="0"/>
                <w:bCs/>
                <w:color w:val="auto"/>
                <w:sz w:val="22"/>
                <w:szCs w:val="22"/>
                <w:lang w:val="en-US" w:eastAsia="zh-CN" w:bidi="ar-SA"/>
              </w:rPr>
            </w:pPr>
            <w:r>
              <w:rPr>
                <w:rFonts w:hint="eastAsia" w:ascii="宋体" w:eastAsia="宋体" w:cs="Arial"/>
                <w:b w:val="0"/>
                <w:color w:val="auto"/>
                <w:sz w:val="22"/>
                <w:szCs w:val="22"/>
              </w:rPr>
              <w:t>详细的培训计划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19</w:t>
            </w:r>
          </w:p>
        </w:tc>
        <w:tc>
          <w:tcPr>
            <w:tcW w:w="8736" w:type="dxa"/>
            <w:vAlign w:val="center"/>
          </w:tcPr>
          <w:p>
            <w:pPr>
              <w:autoSpaceDE w:val="0"/>
              <w:autoSpaceDN w:val="0"/>
              <w:adjustRightInd w:val="0"/>
              <w:snapToGrid w:val="0"/>
              <w:jc w:val="left"/>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售后服务承诺：技术服务和售后服务的内容、措施、承诺，包括质保期、距采购人最近的服务网点的详细介绍，资质资格、技术力量、成立时间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84"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20</w:t>
            </w:r>
          </w:p>
        </w:tc>
        <w:tc>
          <w:tcPr>
            <w:tcW w:w="8736" w:type="dxa"/>
            <w:vAlign w:val="top"/>
          </w:tcPr>
          <w:p>
            <w:pPr>
              <w:autoSpaceDE w:val="0"/>
              <w:autoSpaceDN w:val="0"/>
              <w:adjustRightInd w:val="0"/>
              <w:snapToGrid w:val="0"/>
              <w:spacing w:line="430" w:lineRule="atLeast"/>
              <w:rPr>
                <w:rFonts w:ascii="宋体" w:hAnsi="宋体" w:eastAsia="宋体" w:cs="宋体"/>
                <w:b/>
                <w:bCs/>
                <w:color w:val="auto"/>
                <w:sz w:val="22"/>
                <w:szCs w:val="22"/>
                <w:lang w:val="en-US" w:eastAsia="zh-CN" w:bidi="ar-SA"/>
              </w:rPr>
            </w:pPr>
            <w:r>
              <w:rPr>
                <w:rFonts w:hint="eastAsia" w:ascii="宋体" w:eastAsia="宋体"/>
                <w:color w:val="auto"/>
                <w:sz w:val="22"/>
                <w:szCs w:val="22"/>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lang w:val="zh-CN"/>
              </w:rPr>
              <w:t>2</w:t>
            </w:r>
            <w:r>
              <w:rPr>
                <w:rFonts w:hint="eastAsia" w:ascii="宋体" w:eastAsia="宋体"/>
                <w:b w:val="0"/>
                <w:color w:val="auto"/>
                <w:sz w:val="22"/>
                <w:szCs w:val="22"/>
              </w:rPr>
              <w:t>1</w:t>
            </w:r>
          </w:p>
        </w:tc>
        <w:tc>
          <w:tcPr>
            <w:tcW w:w="8736" w:type="dxa"/>
            <w:vAlign w:val="top"/>
          </w:tcPr>
          <w:p>
            <w:pPr>
              <w:autoSpaceDE w:val="0"/>
              <w:autoSpaceDN w:val="0"/>
              <w:adjustRightInd w:val="0"/>
              <w:snapToGrid w:val="0"/>
              <w:spacing w:line="430" w:lineRule="atLeast"/>
              <w:rPr>
                <w:rFonts w:ascii="宋体" w:hAnsi="宋体" w:eastAsia="宋体" w:cs="宋体"/>
                <w:b/>
                <w:bCs/>
                <w:color w:val="auto"/>
                <w:sz w:val="22"/>
                <w:szCs w:val="22"/>
                <w:lang w:val="en-US" w:eastAsia="zh-CN" w:bidi="ar-SA"/>
              </w:rPr>
            </w:pPr>
            <w:r>
              <w:rPr>
                <w:rFonts w:hint="eastAsia" w:ascii="宋体" w:eastAsia="宋体"/>
                <w:b w:val="0"/>
                <w:color w:val="auto"/>
                <w:sz w:val="22"/>
                <w:szCs w:val="22"/>
              </w:rPr>
              <w:t>供应商针对评分细则，编制目录索引，注明评标细则项目所在投标文件页码。</w:t>
            </w:r>
          </w:p>
        </w:tc>
      </w:tr>
      <w:bookmarkEnd w:id="33"/>
      <w:bookmarkEnd w:id="34"/>
    </w:tbl>
    <w:p>
      <w:pPr>
        <w:autoSpaceDE w:val="0"/>
        <w:autoSpaceDN w:val="0"/>
        <w:adjustRightInd w:val="0"/>
        <w:spacing w:line="460" w:lineRule="atLeast"/>
        <w:ind w:firstLine="440" w:firstLineChars="200"/>
        <w:textAlignment w:val="bottom"/>
        <w:rPr>
          <w:rFonts w:ascii="宋体" w:eastAsia="宋体"/>
          <w:b w:val="0"/>
          <w:color w:val="auto"/>
          <w:sz w:val="22"/>
        </w:rPr>
      </w:pPr>
      <w:bookmarkStart w:id="35" w:name="_Toc132122115"/>
      <w:bookmarkStart w:id="36" w:name="_Toc132122412"/>
      <w:r>
        <w:rPr>
          <w:rFonts w:hint="eastAsia" w:ascii="宋体" w:eastAsia="宋体"/>
          <w:b w:val="0"/>
          <w:color w:val="auto"/>
          <w:sz w:val="22"/>
        </w:rPr>
        <w:t>3、投标内容填写说明</w:t>
      </w:r>
    </w:p>
    <w:p>
      <w:pPr>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3.1投标文件格式</w:t>
      </w:r>
    </w:p>
    <w:p>
      <w:pPr>
        <w:autoSpaceDE w:val="0"/>
        <w:autoSpaceDN w:val="0"/>
        <w:adjustRightInd w:val="0"/>
        <w:spacing w:line="460" w:lineRule="atLeast"/>
        <w:ind w:firstLine="442" w:firstLineChars="200"/>
        <w:textAlignment w:val="bottom"/>
        <w:rPr>
          <w:rFonts w:ascii="宋体" w:eastAsia="宋体"/>
          <w:color w:val="auto"/>
          <w:sz w:val="22"/>
          <w:szCs w:val="22"/>
        </w:rPr>
      </w:pPr>
      <w:r>
        <w:rPr>
          <w:rFonts w:hint="eastAsia" w:ascii="宋体" w:eastAsia="宋体"/>
          <w:color w:val="auto"/>
          <w:sz w:val="22"/>
          <w:szCs w:val="22"/>
        </w:rPr>
        <w:t>投标供应商应按照</w:t>
      </w:r>
      <w:r>
        <w:rPr>
          <w:rFonts w:hint="eastAsia" w:ascii="宋体" w:eastAsia="宋体" w:cs="Arial"/>
          <w:color w:val="auto"/>
          <w:sz w:val="22"/>
          <w:szCs w:val="22"/>
        </w:rPr>
        <w:t>第三部分第三条第2款</w:t>
      </w:r>
      <w:r>
        <w:rPr>
          <w:rFonts w:hint="eastAsia" w:ascii="宋体" w:eastAsia="宋体"/>
          <w:color w:val="auto"/>
          <w:sz w:val="22"/>
          <w:szCs w:val="22"/>
        </w:rPr>
        <w:t>所列出的内容及格式</w:t>
      </w:r>
      <w:r>
        <w:rPr>
          <w:rFonts w:hint="eastAsia" w:ascii="宋体" w:eastAsia="宋体"/>
          <w:color w:val="auto"/>
          <w:sz w:val="22"/>
          <w:szCs w:val="22"/>
          <w:u w:val="thick"/>
        </w:rPr>
        <w:t>逐一按顺序</w:t>
      </w:r>
      <w:r>
        <w:rPr>
          <w:rFonts w:hint="eastAsia" w:ascii="宋体" w:eastAsia="宋体"/>
          <w:color w:val="auto"/>
          <w:sz w:val="22"/>
          <w:szCs w:val="22"/>
        </w:rPr>
        <w:t>组成投标文件。</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4、投标报价</w:t>
      </w:r>
      <w:bookmarkEnd w:id="35"/>
      <w:bookmarkEnd w:id="36"/>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bookmarkStart w:id="37" w:name="_Toc132122413"/>
      <w:bookmarkStart w:id="38" w:name="_Toc132122116"/>
      <w:r>
        <w:rPr>
          <w:rFonts w:hint="eastAsia" w:ascii="宋体" w:eastAsia="宋体"/>
          <w:b w:val="0"/>
          <w:bCs w:val="0"/>
          <w:color w:val="auto"/>
          <w:sz w:val="22"/>
          <w:szCs w:val="22"/>
        </w:rPr>
        <w:t>4.1、供应商应按招标文件中《开标一览表》填写投标设备总价；按照招标文件中《投标产品数量、价格表》填写投标设备数量、价格。</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4.2、本次招标只允许有一个报价，有选择的报价将不予接受。</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4.3、本次招标只有一次投标报价的机会，投标报价为到货并送到最终用户安装调试验收合格后的全部费用。供应商应在各自技术和商务占优势的基础上并充分考虑本项目的重要性，提供对采购人最优惠的投标报价。</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4.4、投标报价应按包含以下费用。</w:t>
      </w:r>
    </w:p>
    <w:p>
      <w:pPr>
        <w:numPr>
          <w:ilvl w:val="0"/>
          <w:numId w:val="6"/>
        </w:numPr>
        <w:tabs>
          <w:tab w:val="left" w:pos="1025"/>
          <w:tab w:val="clear" w:pos="425"/>
        </w:tabs>
        <w:adjustRightInd w:val="0"/>
        <w:spacing w:line="46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产品价格</w:t>
      </w:r>
    </w:p>
    <w:p>
      <w:pPr>
        <w:numPr>
          <w:ilvl w:val="0"/>
          <w:numId w:val="6"/>
        </w:numPr>
        <w:tabs>
          <w:tab w:val="left" w:pos="1025"/>
          <w:tab w:val="clear" w:pos="425"/>
        </w:tabs>
        <w:adjustRightInd w:val="0"/>
        <w:spacing w:line="46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关税、增值税等其它税（包括产品报关、商检等），须将税费及税率单列</w:t>
      </w:r>
    </w:p>
    <w:p>
      <w:pPr>
        <w:numPr>
          <w:ilvl w:val="0"/>
          <w:numId w:val="6"/>
        </w:numPr>
        <w:tabs>
          <w:tab w:val="left" w:pos="1025"/>
          <w:tab w:val="clear" w:pos="425"/>
        </w:tabs>
        <w:adjustRightInd w:val="0"/>
        <w:spacing w:line="46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随机工具、随机易损件费（计入产品价格，单列报价清单）</w:t>
      </w:r>
    </w:p>
    <w:p>
      <w:pPr>
        <w:numPr>
          <w:ilvl w:val="0"/>
          <w:numId w:val="6"/>
        </w:numPr>
        <w:tabs>
          <w:tab w:val="left" w:pos="1025"/>
          <w:tab w:val="clear" w:pos="425"/>
        </w:tabs>
        <w:adjustRightInd w:val="0"/>
        <w:spacing w:line="46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国内运杂费（包括产品到最终用户的装货、卸车、就位费等）</w:t>
      </w:r>
    </w:p>
    <w:p>
      <w:pPr>
        <w:numPr>
          <w:ilvl w:val="0"/>
          <w:numId w:val="6"/>
        </w:numPr>
        <w:tabs>
          <w:tab w:val="left" w:pos="1025"/>
          <w:tab w:val="clear" w:pos="425"/>
        </w:tabs>
        <w:adjustRightInd w:val="0"/>
        <w:spacing w:line="46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国内运输保险费（是否保险由供应商负责）</w:t>
      </w:r>
    </w:p>
    <w:p>
      <w:pPr>
        <w:numPr>
          <w:ilvl w:val="0"/>
          <w:numId w:val="6"/>
        </w:numPr>
        <w:tabs>
          <w:tab w:val="left" w:pos="1025"/>
          <w:tab w:val="clear" w:pos="425"/>
        </w:tabs>
        <w:adjustRightInd w:val="0"/>
        <w:spacing w:line="46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安装、调试、检验及验收费（包括调试人员的食宿、交通等）</w:t>
      </w:r>
    </w:p>
    <w:p>
      <w:pPr>
        <w:numPr>
          <w:ilvl w:val="0"/>
          <w:numId w:val="6"/>
        </w:numPr>
        <w:tabs>
          <w:tab w:val="left" w:pos="1025"/>
          <w:tab w:val="clear" w:pos="425"/>
        </w:tabs>
        <w:adjustRightInd w:val="0"/>
        <w:spacing w:line="46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服务及培训费、招标代理服务费</w:t>
      </w:r>
    </w:p>
    <w:p>
      <w:pPr>
        <w:autoSpaceDE w:val="0"/>
        <w:autoSpaceDN w:val="0"/>
        <w:adjustRightInd w:val="0"/>
        <w:spacing w:line="460" w:lineRule="atLeast"/>
        <w:ind w:firstLine="442" w:firstLineChars="200"/>
        <w:textAlignment w:val="bottom"/>
        <w:rPr>
          <w:rFonts w:ascii="宋体" w:eastAsia="宋体"/>
          <w:bCs w:val="0"/>
          <w:color w:val="auto"/>
          <w:sz w:val="22"/>
          <w:szCs w:val="22"/>
          <w:u w:val="single"/>
        </w:rPr>
      </w:pPr>
      <w:r>
        <w:rPr>
          <w:rFonts w:hint="eastAsia" w:ascii="宋体" w:eastAsia="宋体"/>
          <w:bCs w:val="0"/>
          <w:color w:val="auto"/>
          <w:sz w:val="22"/>
          <w:szCs w:val="22"/>
          <w:u w:val="single"/>
        </w:rPr>
        <w:t>供应商在投标报价中应充分考虑所有可能发生的费用，否则采购人将视投标总价中已包括所有费用。</w:t>
      </w:r>
    </w:p>
    <w:p>
      <w:pPr>
        <w:autoSpaceDE w:val="0"/>
        <w:autoSpaceDN w:val="0"/>
        <w:adjustRightInd w:val="0"/>
        <w:spacing w:line="460" w:lineRule="atLeast"/>
        <w:ind w:firstLine="442" w:firstLineChars="200"/>
        <w:textAlignment w:val="bottom"/>
        <w:rPr>
          <w:rFonts w:ascii="宋体" w:eastAsia="宋体"/>
          <w:bCs w:val="0"/>
          <w:color w:val="auto"/>
          <w:sz w:val="22"/>
          <w:szCs w:val="22"/>
          <w:u w:val="single"/>
        </w:rPr>
      </w:pPr>
      <w:r>
        <w:rPr>
          <w:rFonts w:hint="eastAsia" w:ascii="宋体" w:eastAsia="宋体"/>
          <w:bCs w:val="0"/>
          <w:color w:val="auto"/>
          <w:sz w:val="22"/>
          <w:szCs w:val="22"/>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填写报价表格时，各项费用应如实填写。</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5、采购人要求分类报价是为了方便评标，但在任何情况下不限制采购人以其认为最合适的条款签订合同的权利。</w:t>
      </w:r>
    </w:p>
    <w:bookmarkEnd w:id="37"/>
    <w:bookmarkEnd w:id="38"/>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bookmarkStart w:id="39" w:name="_Toc132122414"/>
      <w:bookmarkStart w:id="40" w:name="_Toc132122117"/>
      <w:bookmarkStart w:id="41" w:name="_Toc132122417"/>
      <w:bookmarkStart w:id="42" w:name="_Toc132125096"/>
      <w:bookmarkStart w:id="43" w:name="_Toc132124595"/>
      <w:bookmarkStart w:id="44" w:name="_Toc132126155"/>
      <w:bookmarkStart w:id="45" w:name="_Toc132122120"/>
      <w:bookmarkStart w:id="46" w:name="_Toc132125575"/>
      <w:bookmarkStart w:id="47" w:name="_Toc132123635"/>
      <w:bookmarkStart w:id="48" w:name="_Toc132123839"/>
      <w:bookmarkStart w:id="49" w:name="_Toc132125984"/>
      <w:bookmarkStart w:id="50" w:name="_Toc132123440"/>
      <w:bookmarkStart w:id="51" w:name="_Toc132125038"/>
      <w:bookmarkStart w:id="52" w:name="_Toc132123548"/>
      <w:bookmarkStart w:id="53" w:name="_Toc332809833"/>
      <w:bookmarkStart w:id="54" w:name="_Toc132655777"/>
      <w:bookmarkStart w:id="55" w:name="_Toc132125152"/>
      <w:bookmarkStart w:id="56" w:name="_Toc132123882"/>
      <w:r>
        <w:rPr>
          <w:rFonts w:hint="eastAsia" w:ascii="宋体" w:eastAsia="宋体"/>
          <w:b w:val="0"/>
          <w:bCs w:val="0"/>
          <w:color w:val="auto"/>
          <w:sz w:val="22"/>
          <w:szCs w:val="22"/>
        </w:rPr>
        <w:t>6、投标文件的有效期</w:t>
      </w:r>
      <w:bookmarkEnd w:id="39"/>
      <w:bookmarkEnd w:id="40"/>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6.1 自投标截止时间起90天内，投标文件应保持有效。有效期短于这个规定期限的投标将被拒绝。</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6.2 在特殊情况下，采购人可与供应商协商延长投标文件的有效期，这种要求和答复均应以书面形式进行。</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6.3 供应商可拒绝接受延期要求而不会导致投标保证金（如有）被不予退还。同意延长有效期的供应商不能修改投标文件。</w:t>
      </w:r>
    </w:p>
    <w:p>
      <w:pPr>
        <w:autoSpaceDE w:val="0"/>
        <w:autoSpaceDN w:val="0"/>
        <w:adjustRightInd w:val="0"/>
        <w:spacing w:line="460" w:lineRule="atLeast"/>
        <w:ind w:firstLine="440" w:firstLineChars="200"/>
        <w:textAlignment w:val="bottom"/>
        <w:rPr>
          <w:rFonts w:ascii="宋体" w:eastAsia="宋体"/>
          <w:b w:val="0"/>
          <w:color w:val="auto"/>
          <w:sz w:val="22"/>
          <w:szCs w:val="22"/>
        </w:rPr>
      </w:pPr>
      <w:bookmarkStart w:id="57" w:name="_Toc132122118"/>
      <w:bookmarkStart w:id="58" w:name="_Toc132122415"/>
      <w:bookmarkStart w:id="59" w:name="_Toc132125151"/>
      <w:bookmarkStart w:id="60" w:name="_Toc132126154"/>
      <w:bookmarkStart w:id="61" w:name="_Toc132122119"/>
      <w:bookmarkStart w:id="62" w:name="_Toc132125983"/>
      <w:bookmarkStart w:id="63" w:name="_Toc132125574"/>
      <w:bookmarkStart w:id="64" w:name="_Toc132123881"/>
      <w:bookmarkStart w:id="65" w:name="_Toc132124594"/>
      <w:bookmarkStart w:id="66" w:name="_Toc132123634"/>
      <w:bookmarkStart w:id="67" w:name="_Toc132123439"/>
      <w:bookmarkStart w:id="68" w:name="_Toc132125095"/>
      <w:bookmarkStart w:id="69" w:name="_Toc132122416"/>
      <w:bookmarkStart w:id="70" w:name="_Toc132123838"/>
      <w:bookmarkStart w:id="71" w:name="_Toc132123547"/>
      <w:bookmarkStart w:id="72" w:name="_Toc132125037"/>
      <w:bookmarkStart w:id="73" w:name="_Toc132655776"/>
      <w:r>
        <w:rPr>
          <w:rFonts w:hint="eastAsia" w:ascii="宋体" w:eastAsia="宋体"/>
          <w:b w:val="0"/>
          <w:color w:val="auto"/>
          <w:sz w:val="22"/>
          <w:szCs w:val="22"/>
        </w:rPr>
        <w:t>7</w:t>
      </w:r>
      <w:r>
        <w:rPr>
          <w:rFonts w:ascii="宋体" w:eastAsia="宋体"/>
          <w:b w:val="0"/>
          <w:color w:val="auto"/>
          <w:sz w:val="22"/>
          <w:szCs w:val="22"/>
        </w:rPr>
        <w:t>、投标文件的</w:t>
      </w:r>
      <w:bookmarkEnd w:id="57"/>
      <w:bookmarkEnd w:id="58"/>
      <w:r>
        <w:rPr>
          <w:rFonts w:ascii="宋体" w:eastAsia="宋体"/>
          <w:b w:val="0"/>
          <w:color w:val="auto"/>
          <w:sz w:val="22"/>
          <w:szCs w:val="22"/>
        </w:rPr>
        <w:t>编制</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7</w:t>
      </w:r>
      <w:r>
        <w:rPr>
          <w:rFonts w:ascii="宋体" w:eastAsia="宋体"/>
          <w:b w:val="0"/>
          <w:color w:val="auto"/>
          <w:sz w:val="22"/>
          <w:szCs w:val="22"/>
        </w:rPr>
        <w:t>.1、本项目通过“政府采购云平台（www.zcygov.cn）”实行在线投标响应（电子投标）。供应商应通过“政采云电子交易客户端”，并按照本招标文件和“政府采购云平台”的要求编制并加密投标文件。</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7</w:t>
      </w:r>
      <w:r>
        <w:rPr>
          <w:rFonts w:ascii="宋体" w:eastAsia="宋体"/>
          <w:b w:val="0"/>
          <w:color w:val="auto"/>
          <w:sz w:val="22"/>
          <w:szCs w:val="22"/>
        </w:rPr>
        <w:t>.2、投标供应商应当按照本章节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7</w:t>
      </w:r>
      <w:r>
        <w:rPr>
          <w:rFonts w:ascii="宋体" w:eastAsia="宋体"/>
          <w:b w:val="0"/>
          <w:color w:val="auto"/>
          <w:sz w:val="22"/>
          <w:szCs w:val="22"/>
        </w:rPr>
        <w:t>.3、本文件《第六部分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7</w:t>
      </w:r>
      <w:r>
        <w:rPr>
          <w:rFonts w:ascii="宋体" w:eastAsia="宋体"/>
          <w:b w:val="0"/>
          <w:color w:val="auto"/>
          <w:sz w:val="22"/>
          <w:szCs w:val="22"/>
        </w:rPr>
        <w:t>.4、《投标文件》内容不完整、编排混乱导致《投标文件》被误读、漏读或者查找不到相关内容的，相关责任由投标供应商自负。</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7</w:t>
      </w:r>
      <w:r>
        <w:rPr>
          <w:rFonts w:ascii="宋体" w:eastAsia="宋体"/>
          <w:b w:val="0"/>
          <w:color w:val="auto"/>
          <w:sz w:val="22"/>
          <w:szCs w:val="22"/>
        </w:rPr>
        <w:t>.5、《投标文件》因字迹潦草或表达不清所引起的后果由投标供应商负责。</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7</w:t>
      </w:r>
      <w:r>
        <w:rPr>
          <w:rFonts w:ascii="宋体" w:eastAsia="宋体"/>
          <w:b w:val="0"/>
          <w:color w:val="auto"/>
          <w:sz w:val="22"/>
          <w:szCs w:val="22"/>
        </w:rPr>
        <w:t>.6、投标供应商没有按照本章节“投标文件组成”要求提供全部资料，或者没有仔细阅读招标文件，或者没有对招标文件在各方面的要求作出实质性响应，由此造成的一切后果由投标供应商自行承担。</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8</w:t>
      </w:r>
      <w:r>
        <w:rPr>
          <w:rFonts w:ascii="宋体" w:eastAsia="宋体"/>
          <w:b w:val="0"/>
          <w:color w:val="auto"/>
          <w:sz w:val="22"/>
          <w:szCs w:val="22"/>
        </w:rPr>
        <w:t>、投标文件的签章</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8</w:t>
      </w:r>
      <w:r>
        <w:rPr>
          <w:rFonts w:ascii="宋体" w:eastAsia="宋体"/>
          <w:b w:val="0"/>
          <w:color w:val="auto"/>
          <w:sz w:val="22"/>
          <w:szCs w:val="22"/>
        </w:rPr>
        <w:t>.1、《投标文件》的签章：见《第一部分    投标邀请函（投标须知前附表）》；</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9.2、《投标文件》</w:t>
      </w:r>
      <w:r>
        <w:rPr>
          <w:rFonts w:hint="eastAsia" w:ascii="宋体" w:eastAsia="宋体"/>
          <w:b w:val="0"/>
          <w:color w:val="auto"/>
          <w:sz w:val="22"/>
          <w:szCs w:val="22"/>
        </w:rPr>
        <w:t>：</w:t>
      </w:r>
      <w:r>
        <w:rPr>
          <w:rFonts w:ascii="宋体" w:eastAsia="宋体"/>
          <w:b w:val="0"/>
          <w:color w:val="auto"/>
          <w:sz w:val="22"/>
          <w:szCs w:val="22"/>
        </w:rPr>
        <w:t>根据招标文件要求在投标文件相应位置由投标供应商法定代表人或授权代表签字（或盖章）</w:t>
      </w:r>
      <w:r>
        <w:rPr>
          <w:rFonts w:hint="eastAsia" w:ascii="宋体" w:eastAsia="宋体"/>
          <w:b w:val="0"/>
          <w:color w:val="auto"/>
          <w:sz w:val="22"/>
          <w:szCs w:val="22"/>
        </w:rPr>
        <w:t>，需要加盖投标供应商公章的采用</w:t>
      </w:r>
      <w:r>
        <w:rPr>
          <w:rFonts w:ascii="宋体" w:eastAsia="宋体"/>
          <w:b w:val="0"/>
          <w:color w:val="auto"/>
          <w:sz w:val="22"/>
          <w:szCs w:val="22"/>
        </w:rPr>
        <w:t>CA电子签章。</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9.3、</w:t>
      </w:r>
      <w:r>
        <w:rPr>
          <w:rFonts w:hint="eastAsia" w:ascii="宋体" w:eastAsia="宋体"/>
          <w:b w:val="0"/>
          <w:color w:val="auto"/>
          <w:sz w:val="22"/>
          <w:szCs w:val="22"/>
        </w:rPr>
        <w:t>CA</w:t>
      </w:r>
      <w:r>
        <w:rPr>
          <w:rFonts w:ascii="宋体" w:eastAsia="宋体"/>
          <w:b w:val="0"/>
          <w:color w:val="auto"/>
          <w:sz w:val="22"/>
          <w:szCs w:val="22"/>
        </w:rPr>
        <w:t>电子签章操作指南详见《</w:t>
      </w:r>
      <w:r>
        <w:rPr>
          <w:rFonts w:hint="eastAsia" w:ascii="宋体" w:eastAsia="宋体"/>
          <w:b w:val="0"/>
          <w:color w:val="auto"/>
          <w:sz w:val="22"/>
          <w:szCs w:val="22"/>
        </w:rPr>
        <w:t>供应商</w:t>
      </w:r>
      <w:r>
        <w:rPr>
          <w:rFonts w:ascii="宋体" w:eastAsia="宋体"/>
          <w:b w:val="0"/>
          <w:color w:val="auto"/>
          <w:sz w:val="22"/>
          <w:szCs w:val="22"/>
        </w:rPr>
        <w:t>-政府采购项目电子交易操作指南》（https://help.zcygov.cn/web/site_2/2018/12-28/2573.html）。</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10、投标文件的形式</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10.1、投标文件的形式：见《第一部分    投标邀请函（投标须知前附表）》；</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10.2、“电子加密投标文件”：“电子加密投标文件”是指通过“政采云电子交易客户端”完成投标文件编制后生成并加密的数据电文形式的投标文件。</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10.3、投标文件的份数</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投标文件的份数：见《第一部分    投标邀请函（投标须知前附表）》。</w:t>
      </w:r>
    </w:p>
    <w:p>
      <w:pPr>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11、</w:t>
      </w:r>
      <w:r>
        <w:rPr>
          <w:rFonts w:ascii="宋体" w:eastAsia="宋体"/>
          <w:b w:val="0"/>
          <w:bCs w:val="0"/>
          <w:color w:val="auto"/>
          <w:sz w:val="22"/>
          <w:szCs w:val="22"/>
        </w:rPr>
        <w:t>备份投标文件</w:t>
      </w:r>
    </w:p>
    <w:p>
      <w:pPr>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11</w:t>
      </w:r>
      <w:r>
        <w:rPr>
          <w:rFonts w:ascii="宋体" w:eastAsia="宋体"/>
          <w:b w:val="0"/>
          <w:bCs w:val="0"/>
          <w:color w:val="auto"/>
          <w:sz w:val="22"/>
          <w:szCs w:val="22"/>
        </w:rPr>
        <w:t>.1</w:t>
      </w:r>
      <w:r>
        <w:rPr>
          <w:rFonts w:hint="eastAsia" w:ascii="宋体" w:eastAsia="宋体"/>
          <w:b w:val="0"/>
          <w:bCs w:val="0"/>
          <w:color w:val="auto"/>
          <w:sz w:val="22"/>
          <w:szCs w:val="22"/>
        </w:rPr>
        <w:t xml:space="preserve"> </w:t>
      </w:r>
      <w:r>
        <w:rPr>
          <w:rFonts w:ascii="宋体" w:eastAsia="宋体"/>
          <w:b w:val="0"/>
          <w:bCs w:val="0"/>
          <w:color w:val="auto"/>
          <w:sz w:val="22"/>
          <w:szCs w:val="22"/>
        </w:rPr>
        <w:t>投标人在电子交易平台传输递交投标文件后，还可以在投标截止时间前直接提交或者以邮政快递方式递交备份投标文件1份，</w:t>
      </w:r>
      <w:r>
        <w:rPr>
          <w:rFonts w:hint="eastAsia" w:ascii="宋体" w:eastAsia="宋体"/>
          <w:b w:val="0"/>
          <w:bCs w:val="0"/>
          <w:color w:val="auto"/>
          <w:sz w:val="22"/>
          <w:szCs w:val="22"/>
        </w:rPr>
        <w:t>但采购人、采购机构不强制或变相强制投标人提交备份投标文件。</w:t>
      </w:r>
    </w:p>
    <w:p>
      <w:pPr>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11</w:t>
      </w:r>
      <w:r>
        <w:rPr>
          <w:rFonts w:ascii="宋体" w:eastAsia="宋体"/>
          <w:b w:val="0"/>
          <w:bCs w:val="0"/>
          <w:color w:val="auto"/>
          <w:sz w:val="22"/>
          <w:szCs w:val="22"/>
        </w:rPr>
        <w:t>.2</w:t>
      </w:r>
      <w:r>
        <w:rPr>
          <w:rFonts w:hint="eastAsia" w:ascii="宋体" w:eastAsia="宋体"/>
          <w:b w:val="0"/>
          <w:bCs w:val="0"/>
          <w:color w:val="auto"/>
          <w:sz w:val="22"/>
          <w:szCs w:val="22"/>
        </w:rPr>
        <w:t xml:space="preserve"> </w:t>
      </w:r>
      <w:r>
        <w:rPr>
          <w:rFonts w:ascii="宋体" w:eastAsia="宋体"/>
          <w:b w:val="0"/>
          <w:bCs w:val="0"/>
          <w:color w:val="auto"/>
          <w:sz w:val="22"/>
          <w:szCs w:val="22"/>
        </w:rPr>
        <w:t>备份投标文件须在“政</w:t>
      </w:r>
      <w:r>
        <w:rPr>
          <w:rFonts w:hint="eastAsia" w:ascii="宋体" w:eastAsia="宋体"/>
          <w:b w:val="0"/>
          <w:bCs w:val="0"/>
          <w:color w:val="auto"/>
          <w:sz w:val="22"/>
          <w:szCs w:val="22"/>
        </w:rPr>
        <w:t>采云投标客户端”制作生成，并储存在</w:t>
      </w:r>
      <w:r>
        <w:rPr>
          <w:rFonts w:ascii="宋体" w:eastAsia="宋体"/>
          <w:b w:val="0"/>
          <w:bCs w:val="0"/>
          <w:color w:val="auto"/>
          <w:sz w:val="22"/>
          <w:szCs w:val="22"/>
        </w:rPr>
        <w:t>DVD光盘</w:t>
      </w:r>
      <w:r>
        <w:rPr>
          <w:rFonts w:hint="eastAsia" w:ascii="宋体" w:eastAsia="宋体"/>
          <w:b w:val="0"/>
          <w:bCs w:val="0"/>
          <w:color w:val="auto"/>
          <w:sz w:val="22"/>
          <w:szCs w:val="22"/>
        </w:rPr>
        <w:t>或其他存储介质中。备份投标文件应当密封包装并在包装上加盖公章并注明投标项目名称，投标人名称</w:t>
      </w:r>
      <w:r>
        <w:rPr>
          <w:rFonts w:ascii="宋体" w:eastAsia="宋体"/>
          <w:b w:val="0"/>
          <w:bCs w:val="0"/>
          <w:color w:val="auto"/>
          <w:sz w:val="22"/>
          <w:szCs w:val="22"/>
        </w:rPr>
        <w:t>(联合体投标的，包装物封面需注明联合体投标，并注明联合体成员各方的名称和联合协议中约定的牵头人的名称)。</w:t>
      </w:r>
      <w:r>
        <w:rPr>
          <w:rFonts w:hint="eastAsia" w:ascii="宋体" w:eastAsia="宋体"/>
          <w:b w:val="0"/>
          <w:bCs w:val="0"/>
          <w:color w:val="auto"/>
          <w:sz w:val="22"/>
          <w:szCs w:val="22"/>
        </w:rPr>
        <w:t>不符合上述制作、存储、密封规定的备份投标文件将被视为无效或者被拒绝接收。</w:t>
      </w:r>
    </w:p>
    <w:p>
      <w:pPr>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11</w:t>
      </w:r>
      <w:r>
        <w:rPr>
          <w:rFonts w:ascii="宋体" w:eastAsia="宋体"/>
          <w:b w:val="0"/>
          <w:bCs w:val="0"/>
          <w:color w:val="auto"/>
          <w:sz w:val="22"/>
          <w:szCs w:val="22"/>
        </w:rPr>
        <w:t>.3</w:t>
      </w:r>
      <w:r>
        <w:rPr>
          <w:rFonts w:hint="eastAsia" w:ascii="宋体" w:eastAsia="宋体"/>
          <w:b w:val="0"/>
          <w:bCs w:val="0"/>
          <w:color w:val="auto"/>
          <w:sz w:val="22"/>
          <w:szCs w:val="22"/>
        </w:rPr>
        <w:t xml:space="preserve"> </w:t>
      </w:r>
      <w:r>
        <w:rPr>
          <w:rFonts w:ascii="宋体" w:eastAsia="宋体"/>
          <w:b w:val="0"/>
          <w:bCs w:val="0"/>
          <w:color w:val="auto"/>
          <w:sz w:val="22"/>
          <w:szCs w:val="22"/>
        </w:rPr>
        <w:t>直接提交备份投标文件的，投标人应于投标截止时间前在招标公告中载明的开标地点将备份投标文件提交给采购机构，采购机构将拒绝接受逾期送达的备份投标文件。</w:t>
      </w:r>
    </w:p>
    <w:p>
      <w:pPr>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11</w:t>
      </w:r>
      <w:r>
        <w:rPr>
          <w:rFonts w:ascii="宋体" w:eastAsia="宋体"/>
          <w:b w:val="0"/>
          <w:bCs w:val="0"/>
          <w:color w:val="auto"/>
          <w:sz w:val="22"/>
          <w:szCs w:val="22"/>
        </w:rPr>
        <w:t>.4</w:t>
      </w:r>
      <w:r>
        <w:rPr>
          <w:rFonts w:hint="eastAsia" w:ascii="宋体" w:eastAsia="宋体"/>
          <w:b w:val="0"/>
          <w:bCs w:val="0"/>
          <w:color w:val="auto"/>
          <w:sz w:val="22"/>
          <w:szCs w:val="22"/>
        </w:rPr>
        <w:t xml:space="preserve"> </w:t>
      </w:r>
      <w:r>
        <w:rPr>
          <w:rFonts w:ascii="宋体" w:eastAsia="宋体"/>
          <w:b w:val="0"/>
          <w:bCs w:val="0"/>
          <w:color w:val="auto"/>
          <w:sz w:val="22"/>
          <w:szCs w:val="22"/>
        </w:rPr>
        <w:t>以邮政快递方式递交备份投标文件的，投标人应先将备份投标文件按要求密封和标记，再进行邮政快递包装后邮寄。备份投标文件须在投标截止时间之前送达</w:t>
      </w:r>
      <w:r>
        <w:rPr>
          <w:rFonts w:hint="eastAsia" w:ascii="宋体" w:eastAsia="宋体"/>
          <w:b w:val="0"/>
          <w:bCs w:val="0"/>
          <w:color w:val="auto"/>
          <w:sz w:val="22"/>
          <w:szCs w:val="22"/>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11</w:t>
      </w:r>
      <w:r>
        <w:rPr>
          <w:rFonts w:ascii="宋体" w:eastAsia="宋体"/>
          <w:b w:val="0"/>
          <w:bCs w:val="0"/>
          <w:color w:val="auto"/>
          <w:sz w:val="22"/>
          <w:szCs w:val="22"/>
        </w:rPr>
        <w:t>.5</w:t>
      </w:r>
      <w:r>
        <w:rPr>
          <w:rFonts w:hint="eastAsia" w:ascii="宋体" w:eastAsia="宋体"/>
          <w:b w:val="0"/>
          <w:bCs w:val="0"/>
          <w:color w:val="auto"/>
          <w:sz w:val="22"/>
          <w:szCs w:val="22"/>
        </w:rPr>
        <w:t xml:space="preserve"> </w:t>
      </w:r>
      <w:r>
        <w:rPr>
          <w:rFonts w:ascii="宋体" w:eastAsia="宋体"/>
          <w:b w:val="0"/>
          <w:bCs w:val="0"/>
          <w:color w:val="auto"/>
          <w:sz w:val="22"/>
          <w:szCs w:val="22"/>
        </w:rPr>
        <w:t>投标人仅提交备份投标文件，没有在电子交易平台传输递交投标文件的，投标无效。</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Pr>
        <w:pStyle w:val="47"/>
        <w:rPr>
          <w:rFonts w:ascii="宋体" w:hAnsi="宋体"/>
          <w:color w:val="auto"/>
        </w:rPr>
      </w:pPr>
      <w:bookmarkStart w:id="74" w:name="_Toc12710"/>
      <w:r>
        <w:rPr>
          <w:rFonts w:hint="eastAsia" w:ascii="宋体" w:hAnsi="宋体"/>
          <w:color w:val="auto"/>
        </w:rPr>
        <w:t>四、投标文件递交</w:t>
      </w:r>
      <w:bookmarkEnd w:id="74"/>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1、投标文件的上传和递交</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“投标文件”的上传、递交：见《</w:t>
      </w:r>
      <w:r>
        <w:rPr>
          <w:rFonts w:hint="eastAsia" w:ascii="宋体" w:eastAsia="宋体"/>
          <w:b w:val="0"/>
          <w:color w:val="auto"/>
          <w:sz w:val="22"/>
          <w:szCs w:val="22"/>
        </w:rPr>
        <w:t>第一部分</w:t>
      </w:r>
      <w:r>
        <w:rPr>
          <w:rFonts w:ascii="宋体" w:eastAsia="宋体"/>
          <w:b w:val="0"/>
          <w:color w:val="auto"/>
          <w:sz w:val="22"/>
          <w:szCs w:val="22"/>
        </w:rPr>
        <w:t xml:space="preserve">    投标邀请函（投标须知前附表）》。</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2、“电子加密投标文件”解密和异常情况处理</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“电子加密投标文件”解密：见《</w:t>
      </w:r>
      <w:r>
        <w:rPr>
          <w:rFonts w:hint="eastAsia" w:ascii="宋体" w:eastAsia="宋体"/>
          <w:b w:val="0"/>
          <w:color w:val="auto"/>
          <w:sz w:val="22"/>
          <w:szCs w:val="22"/>
        </w:rPr>
        <w:t>第一部分</w:t>
      </w:r>
      <w:r>
        <w:rPr>
          <w:rFonts w:ascii="宋体" w:eastAsia="宋体"/>
          <w:b w:val="0"/>
          <w:color w:val="auto"/>
          <w:sz w:val="22"/>
          <w:szCs w:val="22"/>
        </w:rPr>
        <w:t xml:space="preserve">    投标邀请函（投标须知前附表）》。</w:t>
      </w:r>
    </w:p>
    <w:p>
      <w:pPr>
        <w:autoSpaceDE w:val="0"/>
        <w:autoSpaceDN w:val="0"/>
        <w:adjustRightInd w:val="0"/>
        <w:snapToGrid w:val="0"/>
        <w:spacing w:line="460" w:lineRule="atLeast"/>
        <w:ind w:firstLine="440" w:firstLineChars="200"/>
        <w:textAlignment w:val="bottom"/>
        <w:rPr>
          <w:rFonts w:ascii="宋体" w:eastAsia="宋体"/>
          <w:color w:val="auto"/>
          <w:sz w:val="22"/>
          <w:szCs w:val="22"/>
        </w:rPr>
      </w:pPr>
      <w:r>
        <w:rPr>
          <w:rFonts w:hint="eastAsia" w:ascii="宋体" w:eastAsia="宋体"/>
          <w:b w:val="0"/>
          <w:color w:val="auto"/>
          <w:sz w:val="22"/>
          <w:szCs w:val="22"/>
        </w:rPr>
        <w:t>3、投标文件的补充、修改或撤回</w:t>
      </w:r>
      <w:r>
        <w:rPr>
          <w:rFonts w:ascii="宋体" w:eastAsia="宋体"/>
          <w:color w:val="auto"/>
          <w:sz w:val="22"/>
          <w:szCs w:val="22"/>
        </w:rPr>
        <w:tab/>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3.1</w:t>
      </w:r>
      <w:r>
        <w:rPr>
          <w:rFonts w:hint="eastAsia" w:ascii="宋体" w:eastAsia="宋体"/>
          <w:b w:val="0"/>
          <w:color w:val="auto"/>
          <w:sz w:val="22"/>
          <w:szCs w:val="22"/>
        </w:rPr>
        <w:t>、</w:t>
      </w:r>
      <w:r>
        <w:rPr>
          <w:rFonts w:ascii="宋体" w:eastAsia="宋体"/>
          <w:b w:val="0"/>
          <w:color w:val="auto"/>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3.2</w:t>
      </w:r>
      <w:r>
        <w:rPr>
          <w:rFonts w:hint="eastAsia" w:ascii="宋体" w:eastAsia="宋体"/>
          <w:b w:val="0"/>
          <w:color w:val="auto"/>
          <w:sz w:val="22"/>
          <w:szCs w:val="22"/>
        </w:rPr>
        <w:t>、</w:t>
      </w:r>
      <w:r>
        <w:rPr>
          <w:rFonts w:ascii="宋体" w:eastAsia="宋体"/>
          <w:b w:val="0"/>
          <w:color w:val="auto"/>
          <w:sz w:val="22"/>
          <w:szCs w:val="22"/>
        </w:rPr>
        <w:t>投标截止时间后，投标供应商不得撤回、修改《投标文件》。</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4、投标文件的备选方案</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投标供应商不得递交任何的投标备选（替代）方案，否则其投标文件将作无效标处理。</w:t>
      </w:r>
    </w:p>
    <w:p>
      <w:pPr>
        <w:pStyle w:val="47"/>
        <w:rPr>
          <w:rFonts w:ascii="宋体" w:hAnsi="宋体"/>
          <w:color w:val="auto"/>
        </w:rPr>
      </w:pPr>
      <w:bookmarkStart w:id="75" w:name="_Toc6496"/>
      <w:r>
        <w:rPr>
          <w:rFonts w:hint="eastAsia" w:ascii="宋体" w:hAnsi="宋体"/>
          <w:color w:val="auto"/>
        </w:rPr>
        <w:t>五、开标和评标</w:t>
      </w:r>
      <w:bookmarkEnd w:id="75"/>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1、开标</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1.1、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1.2、开标流程</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（1）向各投标供应商发出电子加密投标文件【开始解密】通知，由供应商按招标文件规定的时间内自行进行投标文件解密。</w:t>
      </w:r>
    </w:p>
    <w:p>
      <w:pPr>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（2）投标文件解密结束，开启资格文件，进入资格审查环节，采购人或采购代理机构将对依法对投标供应商的资格进行审查，具体见本章节“投标供应商资格审查”相关规定。</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（3）开启资格审查通过的投标供应商的商务技术文件进入符合性审查及商务技术评审；</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开标时，报价文件中投标报价出现前后不一致的，按照下列规定修正：</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（一）投标文件中开标一览表内容与投标文件中相应内容不一致的，以开标一览表为准；</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（二）大写金额和小写金额不一致的，以大写金额为准；</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（三）单价金额小数点或者百分比有明显错位的，以开标一览表的总价为准，并修改单价；</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（四）总价金额与按单价汇总金额不一致的，以单价金额计算结果为准。</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（5）评审结束后，公布采购结果。</w:t>
      </w:r>
    </w:p>
    <w:p>
      <w:pPr>
        <w:autoSpaceDE w:val="0"/>
        <w:autoSpaceDN w:val="0"/>
        <w:adjustRightInd w:val="0"/>
        <w:snapToGrid w:val="0"/>
        <w:spacing w:line="460" w:lineRule="atLeast"/>
        <w:ind w:firstLine="442" w:firstLineChars="200"/>
        <w:textAlignment w:val="bottom"/>
        <w:rPr>
          <w:rFonts w:ascii="宋体" w:eastAsia="宋体"/>
          <w:b w:val="0"/>
          <w:color w:val="auto"/>
          <w:sz w:val="22"/>
          <w:szCs w:val="22"/>
        </w:rPr>
      </w:pPr>
      <w:r>
        <w:rPr>
          <w:rFonts w:ascii="宋体" w:eastAsia="宋体"/>
          <w:bCs w:val="0"/>
          <w:color w:val="auto"/>
          <w:sz w:val="22"/>
          <w:szCs w:val="22"/>
        </w:rPr>
        <w:t>特别说明：如遇“政府采购云平台”电子化开标或评审程序调整的，按调整后程序执行。</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2、投标供应商资格审查</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2.3、单位负责人为同一人或者存在直接控股、管理关系的不同供应商参加同一合同项下的政府采购活动的，相关投标供应商均作资格无效处理。</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2.4、属于公益一类事业单位、使用事业编制且由财政拨款保障的群团组织参与本项目投标的按无效投标处理。</w:t>
      </w:r>
    </w:p>
    <w:p>
      <w:pPr>
        <w:autoSpaceDE w:val="0"/>
        <w:autoSpaceDN w:val="0"/>
        <w:adjustRightInd w:val="0"/>
        <w:snapToGrid w:val="0"/>
        <w:spacing w:line="460" w:lineRule="atLeast"/>
        <w:ind w:firstLine="440" w:firstLineChars="200"/>
        <w:textAlignment w:val="bottom"/>
        <w:rPr>
          <w:rFonts w:eastAsia="宋体"/>
          <w:b w:val="0"/>
          <w:color w:val="auto"/>
          <w:sz w:val="22"/>
          <w:szCs w:val="22"/>
        </w:rPr>
      </w:pPr>
      <w:r>
        <w:rPr>
          <w:rFonts w:eastAsia="宋体"/>
          <w:b w:val="0"/>
          <w:color w:val="auto"/>
          <w:sz w:val="22"/>
          <w:szCs w:val="22"/>
        </w:rPr>
        <w:t>3、评标</w:t>
      </w:r>
    </w:p>
    <w:p>
      <w:pPr>
        <w:autoSpaceDE w:val="0"/>
        <w:autoSpaceDN w:val="0"/>
        <w:adjustRightInd w:val="0"/>
        <w:snapToGrid w:val="0"/>
        <w:spacing w:line="460" w:lineRule="atLeast"/>
        <w:ind w:firstLine="440" w:firstLineChars="200"/>
        <w:textAlignment w:val="bottom"/>
        <w:rPr>
          <w:rFonts w:eastAsia="宋体"/>
          <w:b w:val="0"/>
          <w:color w:val="auto"/>
          <w:sz w:val="22"/>
          <w:szCs w:val="22"/>
        </w:rPr>
      </w:pPr>
      <w:r>
        <w:rPr>
          <w:rFonts w:eastAsia="宋体"/>
          <w:b w:val="0"/>
          <w:color w:val="auto"/>
          <w:sz w:val="22"/>
          <w:szCs w:val="22"/>
        </w:rPr>
        <w:t>3.1、评标由采购人依法组建的评标委员会负责，并独立履行下列职责：</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1）审查投标文件是否符合招标文件要求，并作出评价；</w:t>
      </w:r>
    </w:p>
    <w:p>
      <w:pPr>
        <w:autoSpaceDE w:val="0"/>
        <w:autoSpaceDN w:val="0"/>
        <w:adjustRightInd w:val="0"/>
        <w:snapToGrid w:val="0"/>
        <w:spacing w:line="460" w:lineRule="atLeast"/>
        <w:ind w:firstLine="440" w:firstLineChars="200"/>
        <w:textAlignment w:val="bottom"/>
        <w:rPr>
          <w:rFonts w:eastAsia="宋体"/>
          <w:b w:val="0"/>
          <w:color w:val="auto"/>
          <w:sz w:val="22"/>
          <w:szCs w:val="22"/>
        </w:rPr>
      </w:pPr>
      <w:r>
        <w:rPr>
          <w:rFonts w:eastAsia="宋体"/>
          <w:b w:val="0"/>
          <w:color w:val="auto"/>
          <w:sz w:val="22"/>
          <w:szCs w:val="22"/>
        </w:rPr>
        <w:t>2）要求投标供应商对投标文件有关事项作出解释或者澄清；</w:t>
      </w:r>
    </w:p>
    <w:p>
      <w:pPr>
        <w:autoSpaceDE w:val="0"/>
        <w:autoSpaceDN w:val="0"/>
        <w:adjustRightInd w:val="0"/>
        <w:snapToGrid w:val="0"/>
        <w:spacing w:line="460" w:lineRule="atLeast"/>
        <w:ind w:firstLine="440" w:firstLineChars="200"/>
        <w:textAlignment w:val="bottom"/>
        <w:rPr>
          <w:rFonts w:eastAsia="宋体"/>
          <w:b w:val="0"/>
          <w:color w:val="auto"/>
          <w:sz w:val="22"/>
          <w:szCs w:val="22"/>
        </w:rPr>
      </w:pPr>
      <w:r>
        <w:rPr>
          <w:rFonts w:eastAsia="宋体"/>
          <w:b w:val="0"/>
          <w:color w:val="auto"/>
          <w:sz w:val="22"/>
          <w:szCs w:val="22"/>
        </w:rPr>
        <w:t>3）按照招标文件确定的评标办法对各投标供应商进行排序，推荐中标候选供应商（不超过3个）；综合得分最高的供应商推荐为中标供应商；</w:t>
      </w:r>
    </w:p>
    <w:p>
      <w:pPr>
        <w:autoSpaceDE w:val="0"/>
        <w:autoSpaceDN w:val="0"/>
        <w:adjustRightInd w:val="0"/>
        <w:snapToGrid w:val="0"/>
        <w:spacing w:line="460" w:lineRule="atLeast"/>
        <w:ind w:firstLine="440" w:firstLineChars="200"/>
        <w:textAlignment w:val="bottom"/>
        <w:rPr>
          <w:rFonts w:eastAsia="宋体"/>
          <w:b w:val="0"/>
          <w:color w:val="auto"/>
          <w:sz w:val="22"/>
          <w:szCs w:val="22"/>
        </w:rPr>
      </w:pPr>
      <w:r>
        <w:rPr>
          <w:rFonts w:eastAsia="宋体"/>
          <w:b w:val="0"/>
          <w:color w:val="auto"/>
          <w:sz w:val="22"/>
          <w:szCs w:val="22"/>
        </w:rPr>
        <w:t>4）向采购人推荐综合得分第一名的供应商为中标供应商，并提交书面评审报告。如果第一名得分相同，以投标报价低的优先；投标报价也相同，以抽签随机决定。</w:t>
      </w:r>
    </w:p>
    <w:p>
      <w:pPr>
        <w:pStyle w:val="28"/>
        <w:adjustRightInd w:val="0"/>
        <w:snapToGrid w:val="0"/>
        <w:spacing w:line="460" w:lineRule="atLeast"/>
        <w:ind w:firstLine="440"/>
        <w:rPr>
          <w:rFonts w:hAnsi="宋体" w:eastAsia="宋体"/>
          <w:b w:val="0"/>
          <w:color w:val="auto"/>
          <w:sz w:val="22"/>
          <w:szCs w:val="22"/>
        </w:rPr>
      </w:pPr>
      <w:r>
        <w:rPr>
          <w:rFonts w:hAnsi="宋体" w:eastAsia="宋体"/>
          <w:b w:val="0"/>
          <w:color w:val="auto"/>
          <w:sz w:val="22"/>
          <w:szCs w:val="22"/>
        </w:rPr>
        <w:t>5）向采购代理机构或者有关部门报告非法干预评标工作的行为。</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3.2、评标应当遵循下列工作程序：</w:t>
      </w:r>
    </w:p>
    <w:p>
      <w:pPr>
        <w:pStyle w:val="28"/>
        <w:adjustRightInd w:val="0"/>
        <w:snapToGrid w:val="0"/>
        <w:spacing w:line="460" w:lineRule="atLeast"/>
        <w:rPr>
          <w:rFonts w:hAnsi="宋体" w:eastAsia="宋体"/>
          <w:b w:val="0"/>
          <w:color w:val="auto"/>
          <w:sz w:val="22"/>
          <w:szCs w:val="22"/>
        </w:rPr>
      </w:pPr>
      <w:r>
        <w:rPr>
          <w:rFonts w:hAnsi="宋体" w:eastAsia="宋体"/>
          <w:b w:val="0"/>
          <w:color w:val="auto"/>
          <w:sz w:val="22"/>
          <w:szCs w:val="22"/>
        </w:rPr>
        <w:t xml:space="preserve">    1）投标文件符合性审查。依据招标文件的规定，从投标文件的有效性、完整性和对招标文件的响应程度进行审查，以确定是否对招标文件的实质性要求作出响应。</w:t>
      </w:r>
    </w:p>
    <w:p>
      <w:pPr>
        <w:pStyle w:val="28"/>
        <w:adjustRightInd w:val="0"/>
        <w:snapToGrid w:val="0"/>
        <w:spacing w:line="460" w:lineRule="atLeast"/>
        <w:rPr>
          <w:rFonts w:hAnsi="宋体" w:eastAsia="宋体"/>
          <w:b w:val="0"/>
          <w:color w:val="auto"/>
          <w:sz w:val="22"/>
          <w:szCs w:val="22"/>
        </w:rPr>
      </w:pPr>
      <w:r>
        <w:rPr>
          <w:rFonts w:hAnsi="宋体" w:eastAsia="宋体"/>
          <w:b w:val="0"/>
          <w:color w:val="auto"/>
          <w:sz w:val="22"/>
          <w:szCs w:val="22"/>
        </w:rPr>
        <w:t xml:space="preserve">    2）澄清有关问题。对投标文件中含义不明确、同类问题表述不一致或者有明显文字和计算错误的内容，评标委员会可以书面形式要求投标供应商作出必要的澄清、说明或者纠正。投标供应商的澄清、说明或者补正应当采用书面形式，由其授权的代表签字，并不得超出投标文件的范围或者改变投标文件的实质性内容。</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3）比较与评价。按招标文件中规定的评标方法和标准，对资格审查和符合性审查合格的投标文件进行商务和技术评估，综合比较与评价。</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3.3、</w:t>
      </w:r>
      <w:r>
        <w:rPr>
          <w:rFonts w:hint="eastAsia" w:eastAsia="宋体" w:cs="Arial"/>
          <w:b w:val="0"/>
          <w:color w:val="auto"/>
          <w:sz w:val="22"/>
          <w:szCs w:val="22"/>
          <w:highlight w:val="none"/>
        </w:rPr>
        <w:t>▲</w:t>
      </w:r>
      <w:r>
        <w:rPr>
          <w:rFonts w:hAnsi="宋体" w:eastAsia="宋体"/>
          <w:b/>
          <w:bCs w:val="0"/>
          <w:color w:val="auto"/>
          <w:sz w:val="22"/>
          <w:szCs w:val="22"/>
          <w:highlight w:val="none"/>
          <w:u w:val="single"/>
        </w:rPr>
        <w:t>投标供应商存在下列情况之一的，投标无效：</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1）投标文件未按招标文件要求签署或CA电子签章的；</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2）不具备招标文件中规定的资格要求的；</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3）报价超过招标文件中规定的预算金额或者最高限价的；</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4）供应商递交两份或两份以上内容不同的投标文件，未声明哪一份有效的；</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5）对关键条文的偏离、保留或反对，例如关于付款方式、完工期、免费质保期、适用法律法规、标准、税费等其他内容；</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6）存在串标或弄虚作假情况的；</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7）参与本项目的不同供应商单位负责人为同一人或者存在直接控股、管理关系的；</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8）供应商的资格文件或者商务技术文件中出现投标报价的；</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9）投标供应商在线制作投标文件时《开标一览表》中填写的金额与解密后“电子加密投标文件”中《开标一览表》填写的金额不一致并拒绝按招标文件要求接受此调整的；</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10）属于公益一类事业单位、使用事业编制且由财政拨款保障的群团组织参与本项目投标的；</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11）法律、法规和招标文件规定的其他无效情形（或出现重大偏差）。</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 xml:space="preserve">3.4 </w:t>
      </w:r>
      <w:r>
        <w:rPr>
          <w:rFonts w:hint="eastAsia" w:eastAsia="宋体" w:cs="Arial"/>
          <w:b w:val="0"/>
          <w:color w:val="auto"/>
          <w:sz w:val="22"/>
          <w:szCs w:val="22"/>
          <w:highlight w:val="none"/>
        </w:rPr>
        <w:t>▲</w:t>
      </w:r>
      <w:r>
        <w:rPr>
          <w:rFonts w:hAnsi="宋体" w:eastAsia="宋体"/>
          <w:b/>
          <w:bCs w:val="0"/>
          <w:color w:val="auto"/>
          <w:sz w:val="22"/>
          <w:szCs w:val="22"/>
          <w:highlight w:val="none"/>
          <w:u w:val="single"/>
        </w:rPr>
        <w:t>评标</w:t>
      </w:r>
      <w:r>
        <w:rPr>
          <w:rFonts w:hAnsi="宋体" w:eastAsia="宋体"/>
          <w:b/>
          <w:bCs w:val="0"/>
          <w:color w:val="auto"/>
          <w:sz w:val="22"/>
          <w:szCs w:val="22"/>
          <w:u w:val="single"/>
        </w:rPr>
        <w:t>委员会发现投标文件有下列情形之一的属于重大偏差(评标委员会按少数服从多数原则认定),按照无效投标处理：</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1）未按招标文件要求编制或字迹模糊、辨认不清的投标文件；</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2）除3.3条款以外，出现其它明显不符合技术规格、技术标准的要求或不满足招标文件技术规格书中的主要参数的投标文件；</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3）除3.3条款以外，出现投标货物数量与招标文件对比出现较大偏差或商务报价明细表计算错误，出现较大差错；</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4）除3.3条款以外，出现其它不符合招标文件中规定的实质性要求的投标文件，是否为偏离实质性要求由评标委员会认定。</w:t>
      </w:r>
    </w:p>
    <w:p>
      <w:pPr>
        <w:pStyle w:val="28"/>
        <w:adjustRightInd w:val="0"/>
        <w:snapToGrid w:val="0"/>
        <w:spacing w:line="460" w:lineRule="atLeast"/>
        <w:ind w:firstLine="440" w:firstLineChars="200"/>
        <w:rPr>
          <w:rFonts w:hAnsi="宋体" w:eastAsia="宋体"/>
          <w:color w:val="auto"/>
          <w:sz w:val="22"/>
          <w:szCs w:val="22"/>
        </w:rPr>
      </w:pPr>
      <w:r>
        <w:rPr>
          <w:rFonts w:hAnsi="宋体" w:eastAsia="宋体"/>
          <w:b w:val="0"/>
          <w:color w:val="auto"/>
          <w:sz w:val="22"/>
          <w:szCs w:val="22"/>
        </w:rPr>
        <w:t>3.5、</w:t>
      </w:r>
      <w:r>
        <w:rPr>
          <w:rFonts w:hAnsi="宋体" w:eastAsia="宋体"/>
          <w:color w:val="auto"/>
          <w:sz w:val="22"/>
          <w:szCs w:val="22"/>
        </w:rPr>
        <w:t>本次采购，如果投标供应商的投标报价均超出采购预算，本次招标做流标处理。</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3.6、评标委员会对投标供应商报价文件评审时发现价格、数量有误，其投标价将按下述原则处理：</w:t>
      </w:r>
    </w:p>
    <w:p>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w:t>
      </w:r>
    </w:p>
    <w:p>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2) 任何有多报一些小项工程或货物的投标其投标价不予调整，如果该投标供应商中标，则合同价格必须为核减掉多报的一些小项工程或货物后的价格。</w:t>
      </w:r>
    </w:p>
    <w:p>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对于计算错误的其投标价不予调整，如果该投标供应商中标，如其投标价格计算错误导致多报者合同价格予以据实核减，少报者合同价格不予调整。</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rPr>
        <w:t>4）对于计算错误，多报或漏报的一些小项工程或货物、服务的仅仅为非实质性重大偏差范</w:t>
      </w:r>
      <w:r>
        <w:rPr>
          <w:rFonts w:hAnsi="宋体" w:eastAsia="宋体"/>
          <w:b w:val="0"/>
          <w:color w:val="auto"/>
          <w:sz w:val="22"/>
          <w:szCs w:val="22"/>
        </w:rPr>
        <w:t>围内的偏离，并经过评标委员会按少数服从多数原则认定为细微偏差，评审时其投标价不予调整。</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5）供应商不接受上述处理方式，将按无效投标处理。</w:t>
      </w:r>
    </w:p>
    <w:p>
      <w:pPr>
        <w:pStyle w:val="28"/>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w:t>
      </w:r>
      <w:r>
        <w:rPr>
          <w:rFonts w:hAnsi="宋体" w:eastAsia="宋体"/>
          <w:b w:val="0"/>
          <w:color w:val="auto"/>
          <w:sz w:val="22"/>
          <w:szCs w:val="22"/>
        </w:rPr>
        <w:t>.</w:t>
      </w:r>
      <w:r>
        <w:rPr>
          <w:rFonts w:hint="eastAsia" w:hAnsi="宋体" w:eastAsia="宋体"/>
          <w:b w:val="0"/>
          <w:color w:val="auto"/>
          <w:sz w:val="22"/>
          <w:szCs w:val="22"/>
        </w:rPr>
        <w:t>7、</w:t>
      </w:r>
      <w:r>
        <w:rPr>
          <w:rFonts w:hint="eastAsia" w:eastAsia="宋体" w:cs="Arial"/>
          <w:b/>
          <w:bCs w:val="0"/>
          <w:color w:val="auto"/>
          <w:sz w:val="22"/>
          <w:szCs w:val="22"/>
          <w:u w:val="single"/>
        </w:rPr>
        <w:t>▲</w:t>
      </w:r>
      <w:r>
        <w:rPr>
          <w:rFonts w:hAnsi="宋体" w:eastAsia="宋体"/>
          <w:b/>
          <w:bCs w:val="0"/>
          <w:color w:val="auto"/>
          <w:sz w:val="22"/>
          <w:szCs w:val="22"/>
          <w:u w:val="single"/>
        </w:rPr>
        <w:t>评标委员会认为投标</w:t>
      </w:r>
      <w:r>
        <w:rPr>
          <w:rFonts w:hint="eastAsia" w:hAnsi="宋体" w:eastAsia="宋体"/>
          <w:b/>
          <w:bCs w:val="0"/>
          <w:color w:val="auto"/>
          <w:sz w:val="22"/>
          <w:szCs w:val="22"/>
          <w:u w:val="single"/>
        </w:rPr>
        <w:t>供应商</w:t>
      </w:r>
      <w:r>
        <w:rPr>
          <w:rFonts w:hAnsi="宋体" w:eastAsia="宋体"/>
          <w:b/>
          <w:bCs w:val="0"/>
          <w:color w:val="auto"/>
          <w:sz w:val="22"/>
          <w:szCs w:val="22"/>
          <w:u w:val="single"/>
        </w:rPr>
        <w:t>的报价明显低于其他通过符合性审查投标</w:t>
      </w:r>
      <w:r>
        <w:rPr>
          <w:rFonts w:hint="eastAsia" w:hAnsi="宋体" w:eastAsia="宋体"/>
          <w:b/>
          <w:bCs w:val="0"/>
          <w:color w:val="auto"/>
          <w:sz w:val="22"/>
          <w:szCs w:val="22"/>
          <w:u w:val="single"/>
        </w:rPr>
        <w:t>供应商</w:t>
      </w:r>
      <w:r>
        <w:rPr>
          <w:rFonts w:hAnsi="宋体" w:eastAsia="宋体"/>
          <w:b/>
          <w:bCs w:val="0"/>
          <w:color w:val="auto"/>
          <w:sz w:val="22"/>
          <w:szCs w:val="22"/>
          <w:u w:val="single"/>
        </w:rPr>
        <w:t>的报价，有可能影响产品质量或者不能诚信履约的，应当要求其在评标现场合理的时间内提供书面说明，必要时提交相关证明材料；投标</w:t>
      </w:r>
      <w:r>
        <w:rPr>
          <w:rFonts w:hint="eastAsia" w:hAnsi="宋体" w:eastAsia="宋体"/>
          <w:b/>
          <w:bCs w:val="0"/>
          <w:color w:val="auto"/>
          <w:sz w:val="22"/>
          <w:szCs w:val="22"/>
          <w:u w:val="single"/>
        </w:rPr>
        <w:t>供应商</w:t>
      </w:r>
      <w:r>
        <w:rPr>
          <w:rFonts w:hAnsi="宋体" w:eastAsia="宋体"/>
          <w:b/>
          <w:bCs w:val="0"/>
          <w:color w:val="auto"/>
          <w:sz w:val="22"/>
          <w:szCs w:val="22"/>
          <w:u w:val="single"/>
        </w:rPr>
        <w:t>不能证明其报价合理性的，评标委员会应当将其作为无效投标处理。</w:t>
      </w:r>
    </w:p>
    <w:p>
      <w:pPr>
        <w:pStyle w:val="28"/>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3.8、评标过程中遇到特殊情况，由评标委员会遵循公开、公正原则，采取投票方式按照少数服从多数原则决定。</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3.9、实质上没有响应招标文件要求的投标将被拒绝。评标委员会不得通过询标使投标供应商修正或撤消不合要求的偏离从而使其投标成为实质上响应的投标。</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3.10、评标委员会对投标文件的判定，只依据投标内容本身，不依靠开标后的任何外来证明。</w:t>
      </w:r>
    </w:p>
    <w:p>
      <w:pPr>
        <w:pStyle w:val="28"/>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3.11、评标委员会在评标中，不得改变招标文件中规定的评标标准、方法和中标条件。</w:t>
      </w:r>
    </w:p>
    <w:p>
      <w:pPr>
        <w:pStyle w:val="28"/>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w:t>
      </w:r>
      <w:r>
        <w:rPr>
          <w:rFonts w:hAnsi="宋体" w:eastAsia="宋体"/>
          <w:b w:val="0"/>
          <w:color w:val="auto"/>
          <w:sz w:val="22"/>
          <w:szCs w:val="22"/>
        </w:rPr>
        <w:t>.</w:t>
      </w:r>
      <w:r>
        <w:rPr>
          <w:rFonts w:hint="eastAsia" w:hAnsi="宋体" w:eastAsia="宋体"/>
          <w:b w:val="0"/>
          <w:color w:val="auto"/>
          <w:sz w:val="22"/>
          <w:szCs w:val="22"/>
        </w:rPr>
        <w:t>12、</w:t>
      </w:r>
      <w:r>
        <w:rPr>
          <w:rFonts w:hAnsi="宋体" w:eastAsia="宋体"/>
          <w:b w:val="0"/>
          <w:color w:val="auto"/>
          <w:sz w:val="22"/>
          <w:szCs w:val="22"/>
        </w:rPr>
        <w:t>评标委员会对未中标的供应商不作解释。同时根据政府采购法实施条例第四十条规定，本项目不对各投标供应商公布详细的评审情况，不公布具体评标细则中小项得分。</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4、投标文件的澄清</w:t>
      </w:r>
    </w:p>
    <w:p>
      <w:pPr>
        <w:pStyle w:val="28"/>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4.1、为有利于对投标文件的比较和评议，必要时评标委员会可要求投标供应商对投标文件相关事宜进行澄清。评标委员会将通过“政府采购云平台”在线询标的形式要求</w:t>
      </w:r>
      <w:r>
        <w:rPr>
          <w:rFonts w:hAnsi="宋体" w:eastAsia="宋体"/>
          <w:b w:val="0"/>
          <w:color w:val="auto"/>
          <w:sz w:val="22"/>
          <w:szCs w:val="22"/>
        </w:rPr>
        <w:t>投标供应商</w:t>
      </w:r>
      <w:r>
        <w:rPr>
          <w:rFonts w:hint="eastAsia" w:hAnsi="宋体" w:eastAsia="宋体"/>
          <w:b w:val="0"/>
          <w:color w:val="auto"/>
          <w:sz w:val="22"/>
          <w:szCs w:val="22"/>
        </w:rPr>
        <w:t>在规定的时间内作出必要的澄清、说明，供投标供应商澄清、说明时间不少于30分钟，投标供应商未在规定的时间内作出必要的澄清、说明可能导致对其不利的评定。</w:t>
      </w:r>
    </w:p>
    <w:p>
      <w:pPr>
        <w:pStyle w:val="28"/>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4.2、</w:t>
      </w:r>
      <w:r>
        <w:rPr>
          <w:rFonts w:hAnsi="宋体" w:eastAsia="宋体"/>
          <w:b w:val="0"/>
          <w:color w:val="auto"/>
          <w:sz w:val="22"/>
          <w:szCs w:val="22"/>
        </w:rPr>
        <w:t>投标供应商</w:t>
      </w:r>
      <w:r>
        <w:rPr>
          <w:rFonts w:hint="eastAsia" w:hAnsi="宋体" w:eastAsia="宋体"/>
          <w:b w:val="0"/>
          <w:color w:val="auto"/>
          <w:sz w:val="22"/>
          <w:szCs w:val="22"/>
        </w:rPr>
        <w:t>的澄清、说明应当通过“政府采购云平台”在线答复形式提交，并加盖公章。</w:t>
      </w:r>
      <w:r>
        <w:rPr>
          <w:rFonts w:hAnsi="宋体" w:eastAsia="宋体"/>
          <w:b w:val="0"/>
          <w:color w:val="auto"/>
          <w:sz w:val="22"/>
          <w:szCs w:val="22"/>
        </w:rPr>
        <w:t>投标供应商</w:t>
      </w:r>
      <w:r>
        <w:rPr>
          <w:rFonts w:hint="eastAsia" w:hAnsi="宋体" w:eastAsia="宋体"/>
          <w:b w:val="0"/>
          <w:color w:val="auto"/>
          <w:sz w:val="22"/>
          <w:szCs w:val="22"/>
        </w:rPr>
        <w:t>的澄清、说明不得超出投标文件的范围或者改变投标文件的实质性内容。</w:t>
      </w:r>
    </w:p>
    <w:p>
      <w:pPr>
        <w:pStyle w:val="28"/>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5</w:t>
      </w:r>
      <w:r>
        <w:rPr>
          <w:rFonts w:hAnsi="宋体" w:eastAsia="宋体"/>
          <w:b w:val="0"/>
          <w:color w:val="auto"/>
          <w:sz w:val="22"/>
          <w:szCs w:val="22"/>
        </w:rPr>
        <w:t>、有下列情形之一的，视为投标供应商相互串通投标：</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.1不同投标供应商的投标文件由同一单位或者个人编制；</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.2不同投标供应商委托同一单位或者个人办理投标事宜；</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.3不同投标供应商的投标文件载明的项目管理成员为同一人；</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.4不同投标供应商的投标文件异常一致或者投标报价呈规律性差异；</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.5不同投标供应商的投标文件相互混装；</w:t>
      </w:r>
    </w:p>
    <w:p>
      <w:pPr>
        <w:snapToGrid w:val="0"/>
        <w:spacing w:line="460" w:lineRule="atLeast"/>
        <w:ind w:firstLine="431" w:firstLineChars="196"/>
        <w:rPr>
          <w:rFonts w:ascii="宋体" w:eastAsia="宋体"/>
          <w:b w:val="0"/>
          <w:color w:val="auto"/>
          <w:sz w:val="22"/>
          <w:szCs w:val="22"/>
        </w:rPr>
      </w:pPr>
      <w:r>
        <w:rPr>
          <w:rFonts w:hint="eastAsia" w:ascii="宋体" w:eastAsia="宋体"/>
          <w:b w:val="0"/>
          <w:color w:val="auto"/>
          <w:sz w:val="22"/>
          <w:szCs w:val="22"/>
        </w:rPr>
        <w:t>6、</w:t>
      </w:r>
      <w:r>
        <w:rPr>
          <w:rFonts w:ascii="宋体" w:eastAsia="宋体"/>
          <w:b w:val="0"/>
          <w:color w:val="auto"/>
          <w:sz w:val="22"/>
          <w:szCs w:val="22"/>
        </w:rPr>
        <w:t>经评标委员会认定投标供应商进行串通投标的，评标委员会可以对相关投标供应商做出无效投标处理，并上报政府采购管理部门进行进一步处理。</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7、评标原则</w:t>
      </w:r>
    </w:p>
    <w:p>
      <w:pPr>
        <w:pStyle w:val="28"/>
        <w:adjustRightInd w:val="0"/>
        <w:snapToGrid w:val="0"/>
        <w:spacing w:line="460" w:lineRule="atLeast"/>
        <w:ind w:left="218" w:leftChars="104" w:firstLine="220" w:firstLineChars="100"/>
        <w:rPr>
          <w:rFonts w:hAnsi="宋体" w:eastAsia="宋体"/>
          <w:b w:val="0"/>
          <w:color w:val="auto"/>
          <w:sz w:val="22"/>
          <w:szCs w:val="22"/>
        </w:rPr>
      </w:pPr>
      <w:r>
        <w:rPr>
          <w:rFonts w:hint="eastAsia" w:eastAsia="宋体" w:cs="Arial"/>
          <w:b w:val="0"/>
          <w:color w:val="auto"/>
          <w:sz w:val="22"/>
          <w:szCs w:val="22"/>
        </w:rPr>
        <w:t>▲</w:t>
      </w:r>
      <w:r>
        <w:rPr>
          <w:rFonts w:hAnsi="宋体" w:eastAsia="宋体"/>
          <w:color w:val="auto"/>
          <w:sz w:val="22"/>
          <w:szCs w:val="22"/>
        </w:rPr>
        <w:t>投标截止时或评审过程中有效投标供应商不足三家的，不予开标或评标。</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评标委员会按照招标文件的要求和条件对投标文件进行商务和技术评估，综合比较与评价。评标办法具体见本招标文件第七部分。</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8、可中止电子交易活动的情形</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采购过程中出现以下情形，导致电子交易平台无法正常运行，或者无法保证电子交易的公平、公正和安全时，采购组织机构可中止电子交易活动：</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1）电子交易平台发生故障而无法登录访问的；</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2）电子交易平台应用或数据库出现错误，不能进行正常操作的；</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3）电子交易平台发现严重安全漏洞，有潜在泄密危险的；</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4）病毒发作导致不能进行正常操作的；</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5）其他无法保证电子交易的公平、公正和安全的情况。</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出现前款规定情形，不影响采购公平、公正性的，采购组织机构可以待上述情形消除后继续组织电子交易活动；影响或可能影响采购公平、公正性的，应当重新采购。</w:t>
      </w:r>
    </w:p>
    <w:p>
      <w:pPr>
        <w:pStyle w:val="47"/>
        <w:rPr>
          <w:rFonts w:ascii="宋体" w:hAnsi="宋体"/>
          <w:color w:val="auto"/>
        </w:rPr>
      </w:pPr>
      <w:bookmarkStart w:id="76" w:name="_Toc132123883"/>
      <w:bookmarkStart w:id="77" w:name="_Toc132125039"/>
      <w:bookmarkStart w:id="78" w:name="_Toc132125153"/>
      <w:bookmarkStart w:id="79" w:name="_Toc132123636"/>
      <w:bookmarkStart w:id="80" w:name="_Toc132655778"/>
      <w:bookmarkStart w:id="81" w:name="_Toc132125576"/>
      <w:bookmarkStart w:id="82" w:name="_Toc132125097"/>
      <w:bookmarkStart w:id="83" w:name="_Toc22679"/>
      <w:bookmarkStart w:id="84" w:name="_Toc132122418"/>
      <w:bookmarkStart w:id="85" w:name="_Toc132123441"/>
      <w:bookmarkStart w:id="86" w:name="_Toc132124596"/>
      <w:bookmarkStart w:id="87" w:name="_Toc132122121"/>
      <w:bookmarkStart w:id="88" w:name="_Toc132123549"/>
      <w:bookmarkStart w:id="89" w:name="_Toc132125985"/>
      <w:bookmarkStart w:id="90" w:name="_Toc132126156"/>
      <w:bookmarkStart w:id="91" w:name="_Toc132123840"/>
      <w:r>
        <w:rPr>
          <w:rFonts w:hint="eastAsia" w:ascii="宋体" w:hAnsi="宋体"/>
          <w:color w:val="auto"/>
        </w:rPr>
        <w:t>六、授予合同</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pStyle w:val="28"/>
        <w:adjustRightInd w:val="0"/>
        <w:snapToGrid w:val="0"/>
        <w:spacing w:line="460" w:lineRule="atLeast"/>
        <w:ind w:firstLine="440" w:firstLineChars="200"/>
        <w:outlineLvl w:val="1"/>
        <w:rPr>
          <w:rFonts w:hAnsi="宋体" w:eastAsia="宋体"/>
          <w:b w:val="0"/>
          <w:color w:val="auto"/>
          <w:sz w:val="22"/>
          <w:szCs w:val="22"/>
        </w:rPr>
      </w:pPr>
      <w:r>
        <w:rPr>
          <w:rFonts w:hAnsi="宋体" w:eastAsia="宋体"/>
          <w:b w:val="0"/>
          <w:color w:val="auto"/>
          <w:sz w:val="22"/>
          <w:szCs w:val="22"/>
        </w:rPr>
        <w:t>1、中标条件</w:t>
      </w:r>
    </w:p>
    <w:p>
      <w:pPr>
        <w:adjustRightInd w:val="0"/>
        <w:snapToGrid w:val="0"/>
        <w:spacing w:line="460" w:lineRule="atLeast"/>
        <w:ind w:hanging="1"/>
        <w:rPr>
          <w:rFonts w:ascii="宋体" w:eastAsia="宋体"/>
          <w:b w:val="0"/>
          <w:color w:val="auto"/>
          <w:sz w:val="22"/>
          <w:szCs w:val="22"/>
        </w:rPr>
      </w:pPr>
      <w:r>
        <w:rPr>
          <w:rFonts w:hint="eastAsia" w:ascii="宋体" w:eastAsia="宋体"/>
          <w:b w:val="0"/>
          <w:color w:val="auto"/>
          <w:sz w:val="22"/>
          <w:szCs w:val="22"/>
        </w:rPr>
        <w:t xml:space="preserve">    1)投标文件基本符合招标文件要求，能够最大限度满足招标文件中规定的各项综合评价标准；</w:t>
      </w:r>
    </w:p>
    <w:p>
      <w:pPr>
        <w:pStyle w:val="28"/>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2)投标供应商有很好的执行合同的能力；</w:t>
      </w:r>
    </w:p>
    <w:p>
      <w:pPr>
        <w:pStyle w:val="28"/>
        <w:adjustRightInd w:val="0"/>
        <w:snapToGrid w:val="0"/>
        <w:spacing w:line="460" w:lineRule="atLeast"/>
        <w:ind w:firstLine="440"/>
        <w:rPr>
          <w:rFonts w:hAnsi="宋体" w:eastAsia="宋体"/>
          <w:b w:val="0"/>
          <w:color w:val="auto"/>
          <w:sz w:val="22"/>
          <w:szCs w:val="22"/>
        </w:rPr>
      </w:pPr>
      <w:bookmarkStart w:id="92" w:name="_Toc132122419"/>
      <w:bookmarkStart w:id="93" w:name="_Toc132122122"/>
      <w:r>
        <w:rPr>
          <w:rFonts w:hAnsi="宋体" w:eastAsia="宋体"/>
          <w:b w:val="0"/>
          <w:color w:val="auto"/>
          <w:sz w:val="22"/>
          <w:szCs w:val="22"/>
        </w:rPr>
        <w:t>3)投标供应商能够提供质量技术、商务经济占综合优势的产品及服务；</w:t>
      </w:r>
      <w:bookmarkEnd w:id="92"/>
      <w:bookmarkEnd w:id="93"/>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4)中标供应商商务报价为中标价，作为中标供应商与采购人签订合同的合同价。</w:t>
      </w:r>
    </w:p>
    <w:p>
      <w:pPr>
        <w:pStyle w:val="28"/>
        <w:adjustRightInd w:val="0"/>
        <w:snapToGrid w:val="0"/>
        <w:spacing w:line="460" w:lineRule="atLeast"/>
        <w:rPr>
          <w:rFonts w:hAnsi="宋体" w:eastAsia="宋体"/>
          <w:color w:val="auto"/>
          <w:sz w:val="22"/>
          <w:szCs w:val="22"/>
          <w:u w:val="single"/>
        </w:rPr>
      </w:pPr>
      <w:r>
        <w:rPr>
          <w:rFonts w:hAnsi="宋体" w:eastAsia="宋体"/>
          <w:b w:val="0"/>
          <w:color w:val="auto"/>
          <w:sz w:val="22"/>
          <w:szCs w:val="22"/>
        </w:rPr>
        <w:t xml:space="preserve">   </w:t>
      </w:r>
      <w:r>
        <w:rPr>
          <w:rFonts w:hAnsi="宋体" w:eastAsia="宋体"/>
          <w:color w:val="auto"/>
          <w:sz w:val="22"/>
          <w:szCs w:val="22"/>
        </w:rPr>
        <w:t xml:space="preserve"> </w:t>
      </w:r>
      <w:r>
        <w:rPr>
          <w:rFonts w:hAnsi="宋体" w:eastAsia="宋体"/>
          <w:color w:val="auto"/>
          <w:sz w:val="22"/>
          <w:szCs w:val="22"/>
          <w:u w:val="single"/>
        </w:rPr>
        <w:t>采购代理机构将把中标通知书授予最佳投标者，但最低报价不是中标的唯一保证。</w:t>
      </w:r>
    </w:p>
    <w:p>
      <w:pPr>
        <w:pStyle w:val="28"/>
        <w:adjustRightInd w:val="0"/>
        <w:snapToGrid w:val="0"/>
        <w:spacing w:line="460" w:lineRule="atLeast"/>
        <w:rPr>
          <w:rFonts w:hAnsi="宋体" w:eastAsia="宋体"/>
          <w:b w:val="0"/>
          <w:color w:val="auto"/>
          <w:sz w:val="22"/>
          <w:szCs w:val="22"/>
        </w:rPr>
      </w:pPr>
      <w:r>
        <w:rPr>
          <w:rFonts w:hAnsi="宋体" w:eastAsia="宋体"/>
          <w:b w:val="0"/>
          <w:color w:val="auto"/>
          <w:sz w:val="22"/>
          <w:szCs w:val="22"/>
        </w:rPr>
        <w:t xml:space="preserve">    </w:t>
      </w:r>
      <w:bookmarkStart w:id="94" w:name="_Toc132122123"/>
      <w:bookmarkStart w:id="95" w:name="_Toc132122420"/>
      <w:r>
        <w:rPr>
          <w:rFonts w:hAnsi="宋体" w:eastAsia="宋体"/>
          <w:b w:val="0"/>
          <w:color w:val="auto"/>
          <w:sz w:val="22"/>
          <w:szCs w:val="22"/>
        </w:rPr>
        <w:t>2、中标通知</w:t>
      </w:r>
      <w:bookmarkEnd w:id="94"/>
      <w:bookmarkEnd w:id="95"/>
    </w:p>
    <w:p>
      <w:pPr>
        <w:adjustRightInd w:val="0"/>
        <w:snapToGrid w:val="0"/>
        <w:spacing w:line="460" w:lineRule="exact"/>
        <w:ind w:firstLine="480"/>
        <w:rPr>
          <w:rFonts w:ascii="宋体" w:eastAsia="宋体"/>
          <w:b w:val="0"/>
          <w:color w:val="auto"/>
          <w:sz w:val="22"/>
          <w:szCs w:val="22"/>
        </w:rPr>
      </w:pPr>
      <w:r>
        <w:rPr>
          <w:rFonts w:hint="eastAsia" w:ascii="宋体" w:eastAsia="宋体"/>
          <w:b w:val="0"/>
          <w:color w:val="auto"/>
          <w:sz w:val="22"/>
          <w:szCs w:val="22"/>
        </w:rPr>
        <w:t>2.1、采购人依法确认中标供应商后</w:t>
      </w:r>
      <w:r>
        <w:rPr>
          <w:rFonts w:ascii="宋体" w:eastAsia="宋体"/>
          <w:b w:val="0"/>
          <w:color w:val="auto"/>
          <w:sz w:val="22"/>
          <w:szCs w:val="22"/>
        </w:rPr>
        <w:t>，采购代理机构在浙江政府采购网公告中标结果，同时发出中标通知书，中标公告期限为1个工作日</w:t>
      </w:r>
      <w:r>
        <w:rPr>
          <w:rFonts w:hint="eastAsia" w:ascii="宋体" w:eastAsia="宋体"/>
          <w:b w:val="0"/>
          <w:color w:val="auto"/>
          <w:sz w:val="22"/>
          <w:szCs w:val="22"/>
        </w:rPr>
        <w:t>。</w:t>
      </w:r>
    </w:p>
    <w:p>
      <w:pPr>
        <w:adjustRightInd w:val="0"/>
        <w:snapToGrid w:val="0"/>
        <w:spacing w:line="460" w:lineRule="exact"/>
        <w:ind w:firstLine="480"/>
        <w:rPr>
          <w:rFonts w:ascii="宋体" w:eastAsia="宋体"/>
          <w:b w:val="0"/>
          <w:color w:val="auto"/>
          <w:sz w:val="22"/>
          <w:szCs w:val="22"/>
        </w:rPr>
      </w:pPr>
      <w:r>
        <w:rPr>
          <w:rFonts w:hint="eastAsia" w:ascii="宋体" w:eastAsia="宋体"/>
          <w:b w:val="0"/>
          <w:color w:val="auto"/>
          <w:sz w:val="22"/>
          <w:szCs w:val="22"/>
        </w:rPr>
        <w:t>2.2、中标通知书对采购单位和中标供应商具有法律约束力。中标通知书发出后，采购人改变中标结果或者中标供应商放弃中标的，应当承担法律责任。</w:t>
      </w:r>
    </w:p>
    <w:p>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2.3、中标无效</w:t>
      </w:r>
    </w:p>
    <w:p>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1）</w:t>
      </w:r>
      <w:r>
        <w:rPr>
          <w:rFonts w:hint="eastAsia" w:ascii="宋体" w:eastAsia="宋体"/>
          <w:b w:val="0"/>
          <w:color w:val="auto"/>
          <w:sz w:val="22"/>
          <w:szCs w:val="22"/>
        </w:rPr>
        <w:t>发现中标供应商资格无效或中标供应商放弃中标或拒绝与采购人签订合同的,按</w:t>
      </w:r>
      <w:r>
        <w:rPr>
          <w:rFonts w:ascii="宋体" w:eastAsia="宋体"/>
          <w:b w:val="0"/>
          <w:color w:val="auto"/>
          <w:sz w:val="22"/>
          <w:szCs w:val="22"/>
        </w:rPr>
        <w:t>相关规定执行。</w:t>
      </w:r>
    </w:p>
    <w:p>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有《中华人民共和国政府采购法实施条例》第七十一条、第七十二条、第七十三条、第七十四条规定的违法行为之一</w:t>
      </w:r>
      <w:r>
        <w:rPr>
          <w:rFonts w:ascii="宋体" w:eastAsia="宋体"/>
          <w:b w:val="0"/>
          <w:color w:val="auto"/>
          <w:sz w:val="22"/>
          <w:szCs w:val="22"/>
        </w:rPr>
        <w:t>，由政府采购监管部门依法处理。</w:t>
      </w:r>
    </w:p>
    <w:p>
      <w:pPr>
        <w:pStyle w:val="28"/>
        <w:adjustRightInd w:val="0"/>
        <w:snapToGrid w:val="0"/>
        <w:spacing w:line="460" w:lineRule="exact"/>
        <w:rPr>
          <w:rFonts w:hAnsi="宋体" w:eastAsia="宋体"/>
          <w:b w:val="0"/>
          <w:color w:val="auto"/>
          <w:sz w:val="22"/>
          <w:szCs w:val="22"/>
        </w:rPr>
      </w:pPr>
      <w:r>
        <w:rPr>
          <w:rFonts w:hAnsi="宋体" w:eastAsia="宋体"/>
          <w:b w:val="0"/>
          <w:color w:val="auto"/>
          <w:sz w:val="22"/>
          <w:szCs w:val="22"/>
        </w:rPr>
        <w:t xml:space="preserve">    </w:t>
      </w:r>
      <w:bookmarkStart w:id="96" w:name="_Toc132122124"/>
      <w:bookmarkStart w:id="97" w:name="_Toc132122421"/>
      <w:r>
        <w:rPr>
          <w:rFonts w:hAnsi="宋体" w:eastAsia="宋体"/>
          <w:b w:val="0"/>
          <w:color w:val="auto"/>
          <w:sz w:val="22"/>
          <w:szCs w:val="22"/>
        </w:rPr>
        <w:t>3、签订合同</w:t>
      </w:r>
      <w:bookmarkEnd w:id="96"/>
      <w:bookmarkEnd w:id="97"/>
    </w:p>
    <w:p>
      <w:pPr>
        <w:pStyle w:val="28"/>
        <w:adjustRightInd w:val="0"/>
        <w:snapToGrid w:val="0"/>
        <w:spacing w:line="460" w:lineRule="exact"/>
        <w:rPr>
          <w:rFonts w:hAnsi="宋体" w:eastAsia="宋体"/>
          <w:b w:val="0"/>
          <w:color w:val="auto"/>
          <w:sz w:val="22"/>
          <w:szCs w:val="22"/>
        </w:rPr>
      </w:pPr>
      <w:r>
        <w:rPr>
          <w:rFonts w:hAnsi="宋体" w:eastAsia="宋体"/>
          <w:b w:val="0"/>
          <w:color w:val="auto"/>
          <w:sz w:val="22"/>
          <w:szCs w:val="22"/>
        </w:rPr>
        <w:t xml:space="preserve">    3.1、中标供应商须主动联系采购人或采购代理机构领取中标通知书。中标供应商应当在中标通知书发出之日起30日内与采购人签订合同。中标供应商未经采购人许可，在规定时间内未到采购人处与采购人签订合同，则视为拒签合同。</w:t>
      </w:r>
    </w:p>
    <w:p>
      <w:pPr>
        <w:pStyle w:val="28"/>
        <w:adjustRightInd w:val="0"/>
        <w:snapToGrid w:val="0"/>
        <w:spacing w:line="460" w:lineRule="exact"/>
        <w:rPr>
          <w:rFonts w:hAnsi="宋体" w:eastAsia="宋体"/>
          <w:b w:val="0"/>
          <w:color w:val="auto"/>
          <w:sz w:val="22"/>
          <w:szCs w:val="22"/>
        </w:rPr>
      </w:pPr>
      <w:r>
        <w:rPr>
          <w:rFonts w:hAnsi="宋体" w:eastAsia="宋体"/>
          <w:b w:val="0"/>
          <w:color w:val="auto"/>
          <w:sz w:val="22"/>
          <w:szCs w:val="22"/>
        </w:rPr>
        <w:t xml:space="preserve">    3.2、招标文件、中标供应商的投标文件及投标修改文件、评标过程中有关澄清文件及经双方签字的询标纪要和中标通知书均作为合同附件。</w:t>
      </w:r>
    </w:p>
    <w:p>
      <w:pPr>
        <w:pStyle w:val="28"/>
        <w:adjustRightInd w:val="0"/>
        <w:snapToGrid w:val="0"/>
        <w:spacing w:line="460" w:lineRule="exact"/>
        <w:rPr>
          <w:rFonts w:hAnsi="宋体" w:eastAsia="宋体"/>
          <w:b w:val="0"/>
          <w:color w:val="auto"/>
          <w:sz w:val="22"/>
          <w:szCs w:val="22"/>
        </w:rPr>
      </w:pPr>
      <w:r>
        <w:rPr>
          <w:rFonts w:hAnsi="宋体" w:eastAsia="宋体"/>
          <w:b w:val="0"/>
          <w:color w:val="auto"/>
          <w:sz w:val="22"/>
          <w:szCs w:val="22"/>
        </w:rPr>
        <w:t xml:space="preserve">    3.3、拒签合同的责任</w:t>
      </w:r>
    </w:p>
    <w:p>
      <w:pPr>
        <w:pStyle w:val="28"/>
        <w:adjustRightInd w:val="0"/>
        <w:snapToGrid w:val="0"/>
        <w:spacing w:line="460" w:lineRule="exact"/>
        <w:rPr>
          <w:rFonts w:hAnsi="宋体" w:eastAsia="宋体"/>
          <w:b w:val="0"/>
          <w:color w:val="auto"/>
          <w:sz w:val="22"/>
          <w:szCs w:val="22"/>
        </w:rPr>
      </w:pPr>
      <w:r>
        <w:rPr>
          <w:rFonts w:hAnsi="宋体" w:eastAsia="宋体"/>
          <w:b w:val="0"/>
          <w:color w:val="auto"/>
          <w:sz w:val="22"/>
          <w:szCs w:val="22"/>
        </w:rPr>
        <w:t xml:space="preserve">    中标供应商在规定时间内借故否认已经承诺的条件或拒签合同者，以投标违约处理，并赔偿采购人由此造成的直接经济损失；采购人重新组织招标的，所需费用由原中标供应商承担。</w:t>
      </w:r>
    </w:p>
    <w:p>
      <w:pPr>
        <w:pStyle w:val="28"/>
        <w:adjustRightInd w:val="0"/>
        <w:snapToGrid w:val="0"/>
        <w:spacing w:line="460" w:lineRule="atLeast"/>
        <w:ind w:firstLine="435" w:firstLineChars="197"/>
        <w:rPr>
          <w:rFonts w:hint="eastAsia" w:hAnsi="宋体" w:eastAsia="宋体"/>
          <w:color w:val="auto"/>
          <w:sz w:val="22"/>
          <w:szCs w:val="22"/>
          <w:highlight w:val="none"/>
        </w:rPr>
      </w:pPr>
      <w:r>
        <w:rPr>
          <w:rFonts w:hint="eastAsia" w:hAnsi="宋体" w:eastAsia="宋体"/>
          <w:color w:val="auto"/>
          <w:sz w:val="22"/>
          <w:szCs w:val="22"/>
          <w:highlight w:val="none"/>
        </w:rPr>
        <w:t>4、履约保证金</w:t>
      </w:r>
    </w:p>
    <w:p>
      <w:pPr>
        <w:pStyle w:val="28"/>
        <w:adjustRightInd w:val="0"/>
        <w:snapToGrid w:val="0"/>
        <w:spacing w:line="460" w:lineRule="exact"/>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合同签订后五日内供应商应当以支票、汇票、本票或者金融机构、担保机构出具的保函等非现金形式提交。</w:t>
      </w:r>
      <w:r>
        <w:rPr>
          <w:rFonts w:hint="eastAsia" w:hAnsi="宋体" w:eastAsia="宋体"/>
          <w:b/>
          <w:bCs/>
          <w:color w:val="auto"/>
          <w:sz w:val="22"/>
          <w:szCs w:val="22"/>
          <w:highlight w:val="none"/>
          <w:lang w:val="en-US" w:eastAsia="zh-CN"/>
        </w:rPr>
        <w:t>本项目</w:t>
      </w:r>
      <w:r>
        <w:rPr>
          <w:rFonts w:hint="eastAsia" w:hAnsi="宋体" w:eastAsia="宋体"/>
          <w:b/>
          <w:bCs/>
          <w:color w:val="auto"/>
          <w:sz w:val="22"/>
          <w:szCs w:val="22"/>
          <w:highlight w:val="none"/>
        </w:rPr>
        <w:t>履约保证金的数额为合同</w:t>
      </w:r>
      <w:r>
        <w:rPr>
          <w:rFonts w:hint="eastAsia" w:eastAsia="宋体"/>
          <w:b/>
          <w:bCs/>
          <w:color w:val="auto"/>
          <w:sz w:val="22"/>
          <w:szCs w:val="22"/>
          <w:highlight w:val="none"/>
          <w:lang w:val="en-US" w:eastAsia="zh-CN"/>
        </w:rPr>
        <w:t>总</w:t>
      </w:r>
      <w:r>
        <w:rPr>
          <w:rFonts w:hint="eastAsia" w:hAnsi="宋体" w:eastAsia="宋体"/>
          <w:b/>
          <w:bCs/>
          <w:color w:val="auto"/>
          <w:sz w:val="22"/>
          <w:szCs w:val="22"/>
          <w:highlight w:val="none"/>
        </w:rPr>
        <w:t>金额的1</w:t>
      </w:r>
      <w:r>
        <w:rPr>
          <w:rFonts w:hAnsi="宋体" w:eastAsia="宋体"/>
          <w:b/>
          <w:bCs/>
          <w:color w:val="auto"/>
          <w:sz w:val="22"/>
          <w:szCs w:val="22"/>
          <w:highlight w:val="none"/>
        </w:rPr>
        <w:t>%。</w:t>
      </w:r>
      <w:r>
        <w:rPr>
          <w:rFonts w:hint="eastAsia" w:hAnsi="宋体" w:eastAsia="宋体"/>
          <w:b w:val="0"/>
          <w:bCs w:val="0"/>
          <w:color w:val="auto"/>
          <w:sz w:val="22"/>
          <w:szCs w:val="22"/>
          <w:highlight w:val="none"/>
        </w:rPr>
        <w:t>鼓励和支持供应商以银行、保险公司出具的保函形式提供履约保证金。采购人不得拒收履约保函。</w:t>
      </w:r>
    </w:p>
    <w:p>
      <w:pPr>
        <w:pStyle w:val="28"/>
        <w:adjustRightInd w:val="0"/>
        <w:snapToGrid w:val="0"/>
        <w:spacing w:line="460" w:lineRule="exact"/>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8"/>
        <w:numPr>
          <w:ilvl w:val="0"/>
          <w:numId w:val="7"/>
        </w:numPr>
        <w:spacing w:line="460" w:lineRule="atLeast"/>
        <w:ind w:firstLine="440" w:firstLineChars="200"/>
        <w:rPr>
          <w:rFonts w:hint="eastAsia" w:hAnsi="宋体" w:eastAsia="宋体" w:cs="Arial"/>
          <w:b w:val="0"/>
          <w:bCs w:val="0"/>
          <w:color w:val="auto"/>
          <w:sz w:val="22"/>
          <w:szCs w:val="22"/>
          <w:highlight w:val="none"/>
        </w:rPr>
      </w:pPr>
      <w:r>
        <w:rPr>
          <w:rFonts w:hint="eastAsia" w:hAnsi="宋体" w:eastAsia="宋体" w:cs="Arial"/>
          <w:b w:val="0"/>
          <w:bCs w:val="0"/>
          <w:color w:val="auto"/>
          <w:sz w:val="22"/>
          <w:szCs w:val="22"/>
          <w:highlight w:val="none"/>
        </w:rPr>
        <w:t>咨询费按固定金额</w:t>
      </w:r>
      <w:r>
        <w:rPr>
          <w:rFonts w:hint="eastAsia" w:hAnsi="宋体" w:eastAsia="宋体" w:cs="Arial"/>
          <w:b w:val="0"/>
          <w:bCs w:val="0"/>
          <w:color w:val="auto"/>
          <w:sz w:val="22"/>
          <w:szCs w:val="22"/>
          <w:highlight w:val="none"/>
          <w:lang w:val="en-US" w:eastAsia="zh-CN"/>
        </w:rPr>
        <w:t>35</w:t>
      </w:r>
      <w:bookmarkStart w:id="225" w:name="_GoBack"/>
      <w:bookmarkEnd w:id="225"/>
      <w:r>
        <w:rPr>
          <w:rFonts w:hint="eastAsia" w:hAnsi="宋体" w:eastAsia="宋体" w:cs="Arial"/>
          <w:b w:val="0"/>
          <w:bCs w:val="0"/>
          <w:color w:val="auto"/>
          <w:sz w:val="22"/>
          <w:szCs w:val="22"/>
          <w:highlight w:val="none"/>
        </w:rPr>
        <w:t>00元收费，由中标人在签订合同之前支付给第三方咨询单位，费用由中标人自行计入投标总价。</w:t>
      </w:r>
    </w:p>
    <w:p>
      <w:pPr>
        <w:pStyle w:val="28"/>
        <w:numPr>
          <w:ilvl w:val="0"/>
          <w:numId w:val="7"/>
        </w:numPr>
        <w:spacing w:line="460" w:lineRule="atLeast"/>
        <w:ind w:firstLine="440" w:firstLineChars="200"/>
        <w:rPr>
          <w:rFonts w:hint="eastAsia" w:hAnsi="宋体" w:eastAsia="宋体" w:cs="Arial"/>
          <w:b w:val="0"/>
          <w:bCs w:val="0"/>
          <w:color w:val="auto"/>
          <w:sz w:val="22"/>
          <w:szCs w:val="22"/>
          <w:highlight w:val="none"/>
        </w:rPr>
      </w:pPr>
      <w:r>
        <w:rPr>
          <w:rFonts w:hint="eastAsia" w:eastAsia="宋体" w:cs="Arial"/>
          <w:b w:val="0"/>
          <w:bCs w:val="0"/>
          <w:color w:val="auto"/>
          <w:sz w:val="22"/>
          <w:szCs w:val="22"/>
          <w:highlight w:val="none"/>
        </w:rPr>
        <w:t>招标代理服务费</w:t>
      </w:r>
    </w:p>
    <w:p>
      <w:pPr>
        <w:spacing w:line="460" w:lineRule="atLeast"/>
        <w:ind w:firstLine="673" w:firstLineChars="306"/>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中标供应商在领取中标通知书前按照预算金额根据国家计委印发的《招标代理服务收费管理暂行办法》(计价格【2002】1980号文)货物类标准支付给招标代理公司相应的代理服务费；招标代理服务费包含在投标总价中，汇入以下帐号：</w:t>
      </w:r>
    </w:p>
    <w:p>
      <w:pPr>
        <w:spacing w:line="460" w:lineRule="atLeast"/>
        <w:ind w:firstLine="433"/>
        <w:rPr>
          <w:rFonts w:ascii="宋体" w:eastAsia="宋体"/>
          <w:b w:val="0"/>
          <w:bCs w:val="0"/>
          <w:color w:val="auto"/>
          <w:sz w:val="22"/>
          <w:szCs w:val="22"/>
        </w:rPr>
      </w:pPr>
      <w:r>
        <w:rPr>
          <w:rFonts w:hint="eastAsia" w:ascii="宋体" w:eastAsia="宋体"/>
          <w:b w:val="0"/>
          <w:bCs w:val="0"/>
          <w:color w:val="auto"/>
          <w:sz w:val="22"/>
          <w:szCs w:val="22"/>
        </w:rPr>
        <w:t>开户银行：中国建设银行永嘉广场支行</w:t>
      </w:r>
    </w:p>
    <w:p>
      <w:pPr>
        <w:spacing w:line="460" w:lineRule="atLeast"/>
        <w:ind w:firstLine="433"/>
        <w:rPr>
          <w:rFonts w:ascii="宋体" w:eastAsia="宋体"/>
          <w:b w:val="0"/>
          <w:color w:val="auto"/>
          <w:sz w:val="22"/>
          <w:szCs w:val="22"/>
        </w:rPr>
      </w:pPr>
      <w:r>
        <w:rPr>
          <w:rFonts w:hint="eastAsia" w:ascii="宋体" w:eastAsia="宋体"/>
          <w:b w:val="0"/>
          <w:color w:val="auto"/>
          <w:sz w:val="22"/>
          <w:szCs w:val="22"/>
        </w:rPr>
        <w:t>开户名称：温州市中概工程管理咨询有限公司</w:t>
      </w:r>
    </w:p>
    <w:p>
      <w:pPr>
        <w:spacing w:line="460" w:lineRule="atLeast"/>
        <w:ind w:firstLine="433"/>
        <w:rPr>
          <w:rFonts w:ascii="宋体" w:eastAsia="宋体"/>
          <w:b w:val="0"/>
          <w:color w:val="auto"/>
          <w:sz w:val="22"/>
          <w:szCs w:val="22"/>
        </w:rPr>
      </w:pPr>
      <w:r>
        <w:rPr>
          <w:rFonts w:hint="eastAsia" w:ascii="宋体" w:eastAsia="宋体"/>
          <w:b w:val="0"/>
          <w:color w:val="auto"/>
          <w:sz w:val="22"/>
          <w:szCs w:val="22"/>
        </w:rPr>
        <w:t>开户帐号：</w:t>
      </w:r>
      <w:r>
        <w:rPr>
          <w:rFonts w:ascii="宋体" w:eastAsia="宋体"/>
          <w:b w:val="0"/>
          <w:color w:val="auto"/>
          <w:sz w:val="22"/>
          <w:szCs w:val="22"/>
        </w:rPr>
        <w:t>33050162766</w:t>
      </w:r>
      <w:r>
        <w:rPr>
          <w:rFonts w:hint="eastAsia" w:ascii="宋体" w:eastAsia="宋体"/>
          <w:b w:val="0"/>
          <w:color w:val="auto"/>
          <w:sz w:val="22"/>
          <w:szCs w:val="22"/>
          <w:lang w:val="en-US" w:eastAsia="zh-CN"/>
        </w:rPr>
        <w:t>3</w:t>
      </w:r>
      <w:r>
        <w:rPr>
          <w:rFonts w:hint="eastAsia" w:ascii="宋体" w:eastAsia="宋体"/>
          <w:b w:val="0"/>
          <w:color w:val="auto"/>
          <w:sz w:val="22"/>
          <w:szCs w:val="22"/>
          <w:lang w:eastAsia="zh-CN"/>
        </w:rPr>
        <w:t>00000</w:t>
      </w:r>
      <w:r>
        <w:rPr>
          <w:rFonts w:ascii="宋体" w:eastAsia="宋体"/>
          <w:b w:val="0"/>
          <w:color w:val="auto"/>
          <w:sz w:val="22"/>
          <w:szCs w:val="22"/>
        </w:rPr>
        <w:t>011</w:t>
      </w:r>
    </w:p>
    <w:p>
      <w:pPr>
        <w:spacing w:line="460" w:lineRule="atLeast"/>
        <w:ind w:firstLine="433"/>
        <w:rPr>
          <w:rFonts w:ascii="宋体" w:eastAsia="宋体"/>
          <w:b w:val="0"/>
          <w:color w:val="auto"/>
          <w:sz w:val="22"/>
          <w:szCs w:val="22"/>
        </w:rPr>
      </w:pPr>
      <w:r>
        <w:rPr>
          <w:rFonts w:hint="eastAsia" w:ascii="宋体" w:eastAsia="宋体"/>
          <w:b w:val="0"/>
          <w:color w:val="auto"/>
          <w:sz w:val="22"/>
          <w:szCs w:val="22"/>
        </w:rPr>
        <w:t>招标代理服务费须在领取《中标通知书》前付清。</w:t>
      </w:r>
    </w:p>
    <w:p>
      <w:pPr>
        <w:autoSpaceDE w:val="0"/>
        <w:autoSpaceDN w:val="0"/>
        <w:adjustRightInd w:val="0"/>
        <w:spacing w:line="440" w:lineRule="atLeast"/>
        <w:ind w:firstLine="720" w:firstLineChars="200"/>
        <w:textAlignment w:val="bottom"/>
        <w:rPr>
          <w:rFonts w:ascii="宋体" w:eastAsia="宋体"/>
          <w:b w:val="0"/>
          <w:color w:val="auto"/>
          <w:sz w:val="36"/>
          <w:szCs w:val="36"/>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bookmarkStart w:id="98" w:name="_Toc24430"/>
      <w:r>
        <w:rPr>
          <w:rFonts w:hint="eastAsia" w:ascii="宋体" w:hAnsi="宋体"/>
          <w:color w:val="auto"/>
        </w:rPr>
        <w:t>第四部分 政府采购政策功能相关说明</w:t>
      </w:r>
      <w:bookmarkEnd w:id="98"/>
    </w:p>
    <w:p>
      <w:pPr>
        <w:autoSpaceDE w:val="0"/>
        <w:autoSpaceDN w:val="0"/>
        <w:adjustRightInd w:val="0"/>
        <w:spacing w:line="440" w:lineRule="atLeast"/>
        <w:ind w:firstLine="442" w:firstLineChars="200"/>
        <w:textAlignment w:val="bottom"/>
        <w:rPr>
          <w:rFonts w:ascii="宋体" w:eastAsia="宋体" w:cs="Arial"/>
          <w:bCs w:val="0"/>
          <w:color w:val="auto"/>
          <w:sz w:val="22"/>
          <w:szCs w:val="22"/>
        </w:rPr>
      </w:pPr>
      <w:r>
        <w:rPr>
          <w:rFonts w:hint="eastAsia" w:ascii="宋体" w:eastAsia="宋体" w:cs="Arial"/>
          <w:bCs w:val="0"/>
          <w:color w:val="auto"/>
          <w:sz w:val="22"/>
          <w:szCs w:val="22"/>
        </w:rPr>
        <w:t>采购文件中需要落实相关政府采购政策包括采购非进口产品、节能环保、扶持中小企业、支持创新发展等。</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2、支持绿色发展</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2.2 修缮、装修类项目采购建材的，采购人应将绿色建筑和绿色建材性能、指标等作为实质性条件纳入招标文件和合同。</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3、支持中小企业发展</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符合中小企业划分标准的个体工商户，在政府采购活动中视同中小企业。</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3.2在政府采购活动中，投标人提供的货物、工程或者服务符合下列情形的，享受中小企业扶持政策：</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3.2.1在货物采购项目中，货物由中小企业制造，即货物由中小企业生产且使用该中小企业商号或者注册商标；</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3.2.2在工程采购项目中，工程由中小企业承建，即工程施工单位为中小企业；</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3.2.3在服务采购项目中，服务由中小企业承接，即提供服务的人员为中小企业依照《中华人民共和国劳动合同法》订立劳动合同的从业人员。</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在货物采购项目中，投标人提供的货物既有中小企业制造货物，也有大型企业制造货物的，不享受中小企业扶持政策。</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以联合体形式参加政府采购活动，联合体各方均为中小企业的，联合体视同中小企业。其中，联合体各方均为小微企业的，联合体视同小微企业。</w:t>
      </w:r>
    </w:p>
    <w:p>
      <w:pPr>
        <w:autoSpaceDE w:val="0"/>
        <w:autoSpaceDN w:val="0"/>
        <w:adjustRightInd w:val="0"/>
        <w:spacing w:line="440" w:lineRule="atLeast"/>
        <w:ind w:firstLine="440" w:firstLineChars="200"/>
        <w:textAlignment w:val="bottom"/>
        <w:rPr>
          <w:rFonts w:hint="eastAsia" w:ascii="宋体" w:eastAsia="宋体" w:cs="Arial"/>
          <w:b/>
          <w:bCs w:val="0"/>
          <w:color w:val="auto"/>
          <w:sz w:val="22"/>
          <w:szCs w:val="22"/>
          <w:highlight w:val="none"/>
          <w:u w:val="single"/>
        </w:rPr>
      </w:pPr>
      <w:r>
        <w:rPr>
          <w:rFonts w:hint="eastAsia" w:ascii="宋体" w:hAnsi="宋体" w:eastAsia="宋体" w:cs="Arial"/>
          <w:b w:val="0"/>
          <w:color w:val="auto"/>
          <w:sz w:val="22"/>
          <w:szCs w:val="22"/>
        </w:rPr>
        <w:t>3.3对于未预留份额专门面向中小企业的政府采购货物或服务项目，以及预留份额政府采购货物或服务</w:t>
      </w:r>
      <w:r>
        <w:rPr>
          <w:rFonts w:hint="eastAsia" w:ascii="宋体" w:eastAsia="宋体" w:cs="Arial"/>
          <w:b w:val="0"/>
          <w:color w:val="auto"/>
          <w:sz w:val="22"/>
          <w:szCs w:val="22"/>
        </w:rPr>
        <w:t>项目中的非预留部分标项，对小型和微型企业的投标报价给予</w:t>
      </w:r>
      <w:r>
        <w:rPr>
          <w:rFonts w:hint="eastAsia" w:ascii="宋体" w:eastAsia="宋体" w:cs="Arial"/>
          <w:b w:val="0"/>
          <w:color w:val="auto"/>
          <w:sz w:val="22"/>
          <w:szCs w:val="22"/>
          <w:u w:val="single"/>
        </w:rPr>
        <w:t>10%</w:t>
      </w:r>
      <w:r>
        <w:rPr>
          <w:rFonts w:hint="eastAsia" w:ascii="宋体" w:eastAsia="宋体" w:cs="Arial"/>
          <w:b w:val="0"/>
          <w:color w:val="auto"/>
          <w:sz w:val="22"/>
          <w:szCs w:val="22"/>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3.4符合《关于促进残疾人就业政府采购政策的通知》（财库〔2017〕141号）规定的条件并提供《残疾人福利性单位声明函》（附件2）的残疾人福利性单位视同小型、微型企业；</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3.6可享受中小企业扶持政策的投标人应按照招标文件格式要求提供《中小企业声明函》（附件1），投标人提供的《中小企业声明函》与实际情况不符的，不享受中小企业扶持政策。声明内容不实的，属于提供虚假材料谋取中标、成交的，依法承担法律责任。</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3.3.7中小企业享受扶持政策获得政府采购合同的，小微企业不得将合同分包给大中型企业，中型企业不得将合同分包给大型企业。</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4、支持创新发展</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4.1 采购人优先采购被认定为首台套产品和“制造精品”的自主创新产品。</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 xml:space="preserve">4.2 </w:t>
      </w:r>
      <w:r>
        <w:rPr>
          <w:rFonts w:hint="eastAsia" w:ascii="宋体" w:hAnsi="宋体" w:eastAsia="宋体" w:cs="宋体"/>
          <w:b/>
          <w:bCs w:val="0"/>
          <w:color w:val="auto"/>
          <w:sz w:val="22"/>
        </w:rPr>
        <w:t>对省级以上主管部门认定的首台套产品，自纳入《省推广应用指导目录》起三年内参加政府采购活动，视同已具备相应销售业绩，业绩分为满分。</w:t>
      </w:r>
    </w:p>
    <w:p>
      <w:pPr>
        <w:autoSpaceDE w:val="0"/>
        <w:autoSpaceDN w:val="0"/>
        <w:adjustRightInd w:val="0"/>
        <w:spacing w:line="44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5、中小企业信用融资：为支持和促进中小企业发展，进一步发挥政府采购政策功能，“政采云”平台目前提供政采贷、履约保函、预付款保函等金融服务，供应商若有融资意向，可登陆https://jinrong.zcygov.cn/finance-service/#/help查看详情。</w:t>
      </w:r>
    </w:p>
    <w:p>
      <w:pPr>
        <w:spacing w:line="440" w:lineRule="atLeast"/>
        <w:jc w:val="left"/>
        <w:rPr>
          <w:rFonts w:ascii="宋体" w:eastAsia="宋体"/>
          <w:b w:val="0"/>
          <w:color w:val="auto"/>
          <w:sz w:val="22"/>
          <w:szCs w:val="22"/>
        </w:rPr>
      </w:pPr>
    </w:p>
    <w:p>
      <w:pPr>
        <w:spacing w:line="460" w:lineRule="atLeast"/>
        <w:rPr>
          <w:rFonts w:ascii="宋体" w:eastAsia="宋体"/>
          <w:b w:val="0"/>
          <w:color w:val="auto"/>
          <w:sz w:val="22"/>
          <w:szCs w:val="22"/>
        </w:rPr>
      </w:pPr>
    </w:p>
    <w:p>
      <w:pPr>
        <w:rPr>
          <w:rFonts w:hint="eastAsia" w:ascii="宋体" w:eastAsia="宋体"/>
          <w:b w:val="0"/>
          <w:color w:val="auto"/>
          <w:sz w:val="22"/>
          <w:szCs w:val="22"/>
        </w:rPr>
      </w:pPr>
      <w:r>
        <w:rPr>
          <w:rFonts w:hint="eastAsia" w:ascii="宋体" w:eastAsia="宋体"/>
          <w:b w:val="0"/>
          <w:color w:val="auto"/>
          <w:sz w:val="22"/>
          <w:szCs w:val="22"/>
        </w:rPr>
        <w:br w:type="page"/>
      </w:r>
    </w:p>
    <w:p>
      <w:pPr>
        <w:spacing w:line="460" w:lineRule="atLeast"/>
        <w:rPr>
          <w:rFonts w:ascii="宋体" w:eastAsia="宋体"/>
          <w:b w:val="0"/>
          <w:color w:val="auto"/>
          <w:sz w:val="22"/>
          <w:szCs w:val="22"/>
        </w:rPr>
      </w:pPr>
      <w:r>
        <w:rPr>
          <w:rFonts w:hint="eastAsia" w:ascii="宋体" w:eastAsia="宋体"/>
          <w:b w:val="0"/>
          <w:color w:val="auto"/>
          <w:sz w:val="22"/>
          <w:szCs w:val="22"/>
        </w:rPr>
        <w:t>附件1：</w:t>
      </w:r>
    </w:p>
    <w:p>
      <w:pPr>
        <w:pStyle w:val="15"/>
        <w:spacing w:before="240" w:after="60"/>
        <w:jc w:val="center"/>
        <w:outlineLvl w:val="0"/>
        <w:rPr>
          <w:rFonts w:ascii="宋体" w:hAnsi="宋体" w:eastAsia="宋体" w:cs="宋体"/>
          <w:b/>
          <w:kern w:val="0"/>
          <w:sz w:val="32"/>
          <w:szCs w:val="32"/>
        </w:rPr>
      </w:pPr>
      <w:bookmarkStart w:id="99" w:name="_Toc521141901"/>
      <w:bookmarkEnd w:id="99"/>
      <w:bookmarkStart w:id="100" w:name="_Toc519543229"/>
      <w:bookmarkEnd w:id="100"/>
      <w:bookmarkStart w:id="101" w:name="_Toc523757076"/>
      <w:bookmarkEnd w:id="101"/>
      <w:bookmarkStart w:id="102" w:name="_Toc67213299"/>
      <w:bookmarkStart w:id="103" w:name="_Toc22315"/>
      <w:bookmarkStart w:id="104" w:name="_Toc61286948"/>
      <w:bookmarkStart w:id="105" w:name="_Toc18018"/>
      <w:bookmarkStart w:id="106" w:name="_Toc61343839"/>
      <w:r>
        <w:rPr>
          <w:rFonts w:ascii="宋体" w:hAnsi="宋体" w:eastAsia="宋体" w:cs="宋体"/>
          <w:b/>
          <w:kern w:val="0"/>
          <w:sz w:val="32"/>
          <w:szCs w:val="32"/>
        </w:rPr>
        <w:t>中小企业声明函（货物）</w:t>
      </w:r>
      <w:bookmarkEnd w:id="102"/>
      <w:bookmarkEnd w:id="103"/>
      <w:bookmarkEnd w:id="104"/>
      <w:bookmarkEnd w:id="105"/>
      <w:bookmarkEnd w:id="106"/>
      <w:r>
        <w:rPr>
          <w:rFonts w:ascii="宋体" w:hAnsi="宋体" w:eastAsia="宋体" w:cs="宋体"/>
          <w:b/>
          <w:kern w:val="0"/>
          <w:sz w:val="32"/>
          <w:szCs w:val="32"/>
        </w:rPr>
        <w:t xml:space="preserve"> </w:t>
      </w:r>
    </w:p>
    <w:p>
      <w:pPr>
        <w:spacing w:line="460" w:lineRule="atLeast"/>
        <w:ind w:firstLine="440"/>
        <w:rPr>
          <w:rFonts w:ascii="宋体" w:eastAsia="宋体"/>
          <w:b w:val="0"/>
          <w:color w:val="auto"/>
          <w:sz w:val="22"/>
          <w:szCs w:val="22"/>
        </w:rPr>
      </w:pPr>
      <w:r>
        <w:rPr>
          <w:rFonts w:ascii="宋体" w:eastAsia="宋体"/>
          <w:b w:val="0"/>
          <w:color w:val="auto"/>
          <w:sz w:val="22"/>
          <w:szCs w:val="22"/>
        </w:rPr>
        <w:t>本公司（联合体）郑重声明，根据《政府采购促进中小 企业发展管理办法》（财库﹝2020﹞46 号）的规定，本公司 （联合体）参加</w:t>
      </w:r>
      <w:r>
        <w:rPr>
          <w:rFonts w:ascii="宋体" w:eastAsia="宋体"/>
          <w:b w:val="0"/>
          <w:color w:val="auto"/>
          <w:sz w:val="22"/>
          <w:szCs w:val="22"/>
          <w:u w:val="single"/>
        </w:rPr>
        <w:t>（单位名称）</w:t>
      </w:r>
      <w:r>
        <w:rPr>
          <w:rFonts w:ascii="宋体" w:eastAsia="宋体"/>
          <w:b w:val="0"/>
          <w:color w:val="auto"/>
          <w:sz w:val="22"/>
          <w:szCs w:val="22"/>
        </w:rPr>
        <w:t>的</w:t>
      </w:r>
      <w:r>
        <w:rPr>
          <w:rFonts w:ascii="宋体" w:eastAsia="宋体"/>
          <w:b w:val="0"/>
          <w:color w:val="auto"/>
          <w:sz w:val="22"/>
          <w:szCs w:val="22"/>
          <w:u w:val="single"/>
        </w:rPr>
        <w:t>（项目名称）</w:t>
      </w:r>
      <w:r>
        <w:rPr>
          <w:rFonts w:ascii="宋体" w:eastAsia="宋体"/>
          <w:b w:val="0"/>
          <w:color w:val="auto"/>
          <w:sz w:val="22"/>
          <w:szCs w:val="22"/>
        </w:rPr>
        <w:t>采购活动，提 供的货物全部由符合政策要求的中小企业制造。相关企业 （含联合体中的中小企业、签订分包意向协议的中小企业） 的具体情况如下：</w:t>
      </w:r>
    </w:p>
    <w:p>
      <w:pPr>
        <w:spacing w:line="460" w:lineRule="atLeast"/>
        <w:ind w:firstLine="440"/>
        <w:rPr>
          <w:rFonts w:ascii="宋体" w:eastAsia="宋体"/>
          <w:b w:val="0"/>
          <w:color w:val="auto"/>
          <w:sz w:val="22"/>
          <w:szCs w:val="22"/>
        </w:rPr>
      </w:pPr>
      <w:r>
        <w:rPr>
          <w:rFonts w:ascii="宋体" w:eastAsia="宋体"/>
          <w:b w:val="0"/>
          <w:color w:val="auto"/>
          <w:sz w:val="22"/>
          <w:szCs w:val="22"/>
        </w:rPr>
        <w:t xml:space="preserve">1. </w:t>
      </w:r>
      <w:r>
        <w:rPr>
          <w:rFonts w:ascii="宋体" w:eastAsia="宋体"/>
          <w:b w:val="0"/>
          <w:color w:val="auto"/>
          <w:sz w:val="22"/>
          <w:szCs w:val="22"/>
          <w:u w:val="single"/>
        </w:rPr>
        <w:t xml:space="preserve">（标的名称） </w:t>
      </w:r>
      <w:r>
        <w:rPr>
          <w:rFonts w:ascii="宋体" w:eastAsia="宋体"/>
          <w:b w:val="0"/>
          <w:color w:val="auto"/>
          <w:sz w:val="22"/>
          <w:szCs w:val="22"/>
        </w:rPr>
        <w:t>，属于</w:t>
      </w:r>
      <w:r>
        <w:rPr>
          <w:rFonts w:ascii="宋体" w:eastAsia="宋体"/>
          <w:b w:val="0"/>
          <w:color w:val="auto"/>
          <w:sz w:val="22"/>
          <w:szCs w:val="22"/>
          <w:u w:val="single"/>
        </w:rPr>
        <w:t xml:space="preserve">（采购文件中明确的所属行业） </w:t>
      </w:r>
      <w:r>
        <w:rPr>
          <w:rFonts w:ascii="宋体" w:eastAsia="宋体"/>
          <w:b w:val="0"/>
          <w:color w:val="auto"/>
          <w:sz w:val="22"/>
          <w:szCs w:val="22"/>
        </w:rPr>
        <w:t>行业；制造商为</w:t>
      </w:r>
      <w:r>
        <w:rPr>
          <w:rFonts w:ascii="宋体" w:eastAsia="宋体"/>
          <w:b w:val="0"/>
          <w:color w:val="auto"/>
          <w:sz w:val="22"/>
          <w:szCs w:val="22"/>
          <w:u w:val="single"/>
        </w:rPr>
        <w:t>（企业名称）</w:t>
      </w:r>
      <w:r>
        <w:rPr>
          <w:rFonts w:ascii="宋体" w:eastAsia="宋体"/>
          <w:b w:val="0"/>
          <w:color w:val="auto"/>
          <w:sz w:val="22"/>
          <w:szCs w:val="22"/>
        </w:rPr>
        <w:t>，从业人员</w:t>
      </w:r>
      <w:r>
        <w:rPr>
          <w:rFonts w:ascii="宋体" w:eastAsia="宋体"/>
          <w:b w:val="0"/>
          <w:color w:val="auto"/>
          <w:sz w:val="22"/>
          <w:szCs w:val="22"/>
          <w:u w:val="single"/>
        </w:rPr>
        <w:t xml:space="preserve">      </w:t>
      </w:r>
      <w:r>
        <w:rPr>
          <w:rFonts w:ascii="宋体" w:eastAsia="宋体"/>
          <w:b w:val="0"/>
          <w:color w:val="auto"/>
          <w:sz w:val="22"/>
          <w:szCs w:val="22"/>
        </w:rPr>
        <w:t>人，营业收入为</w:t>
      </w:r>
      <w:r>
        <w:rPr>
          <w:rFonts w:ascii="宋体" w:eastAsia="宋体"/>
          <w:b w:val="0"/>
          <w:color w:val="auto"/>
          <w:sz w:val="22"/>
          <w:szCs w:val="22"/>
          <w:u w:val="single"/>
        </w:rPr>
        <w:t xml:space="preserve">      </w:t>
      </w:r>
      <w:r>
        <w:rPr>
          <w:rFonts w:ascii="宋体" w:eastAsia="宋体"/>
          <w:b w:val="0"/>
          <w:color w:val="auto"/>
          <w:sz w:val="22"/>
          <w:szCs w:val="22"/>
        </w:rPr>
        <w:t>万元，资产总额为</w:t>
      </w:r>
      <w:r>
        <w:rPr>
          <w:rFonts w:ascii="宋体" w:eastAsia="宋体"/>
          <w:b w:val="0"/>
          <w:color w:val="auto"/>
          <w:sz w:val="22"/>
          <w:szCs w:val="22"/>
          <w:u w:val="single"/>
        </w:rPr>
        <w:t xml:space="preserve">        </w:t>
      </w:r>
      <w:r>
        <w:rPr>
          <w:rFonts w:ascii="宋体" w:eastAsia="宋体"/>
          <w:b w:val="0"/>
          <w:color w:val="auto"/>
          <w:sz w:val="22"/>
          <w:szCs w:val="22"/>
        </w:rPr>
        <w:t>万元，属于（中型企业、小 型企业、微型企业）；</w:t>
      </w:r>
    </w:p>
    <w:p>
      <w:pPr>
        <w:spacing w:line="460" w:lineRule="atLeast"/>
        <w:ind w:firstLine="440"/>
        <w:rPr>
          <w:rFonts w:ascii="宋体" w:eastAsia="宋体"/>
          <w:b w:val="0"/>
          <w:color w:val="auto"/>
          <w:sz w:val="22"/>
          <w:szCs w:val="22"/>
        </w:rPr>
      </w:pPr>
      <w:r>
        <w:rPr>
          <w:rFonts w:ascii="宋体" w:eastAsia="宋体"/>
          <w:b w:val="0"/>
          <w:color w:val="auto"/>
          <w:sz w:val="22"/>
          <w:szCs w:val="22"/>
        </w:rPr>
        <w:t xml:space="preserve">2. </w:t>
      </w:r>
      <w:r>
        <w:rPr>
          <w:rFonts w:ascii="宋体" w:eastAsia="宋体"/>
          <w:b w:val="0"/>
          <w:color w:val="auto"/>
          <w:sz w:val="22"/>
          <w:szCs w:val="22"/>
          <w:u w:val="single"/>
        </w:rPr>
        <w:t>（标的名称）</w:t>
      </w:r>
      <w:r>
        <w:rPr>
          <w:rFonts w:ascii="宋体" w:eastAsia="宋体"/>
          <w:b w:val="0"/>
          <w:color w:val="auto"/>
          <w:sz w:val="22"/>
          <w:szCs w:val="22"/>
        </w:rPr>
        <w:t xml:space="preserve"> ，属于</w:t>
      </w:r>
      <w:r>
        <w:rPr>
          <w:rFonts w:ascii="宋体" w:eastAsia="宋体"/>
          <w:b w:val="0"/>
          <w:color w:val="auto"/>
          <w:sz w:val="22"/>
          <w:szCs w:val="22"/>
          <w:u w:val="single"/>
        </w:rPr>
        <w:t xml:space="preserve">（采购文件中明确的所属行业） </w:t>
      </w:r>
      <w:r>
        <w:rPr>
          <w:rFonts w:ascii="宋体" w:eastAsia="宋体"/>
          <w:b w:val="0"/>
          <w:color w:val="auto"/>
          <w:sz w:val="22"/>
          <w:szCs w:val="22"/>
        </w:rPr>
        <w:t>行业；制造商为</w:t>
      </w:r>
      <w:r>
        <w:rPr>
          <w:rFonts w:ascii="宋体" w:eastAsia="宋体"/>
          <w:b w:val="0"/>
          <w:color w:val="auto"/>
          <w:sz w:val="22"/>
          <w:szCs w:val="22"/>
          <w:u w:val="single"/>
        </w:rPr>
        <w:t>（企业名称）</w:t>
      </w:r>
      <w:r>
        <w:rPr>
          <w:rFonts w:ascii="宋体" w:eastAsia="宋体"/>
          <w:b w:val="0"/>
          <w:color w:val="auto"/>
          <w:sz w:val="22"/>
          <w:szCs w:val="22"/>
        </w:rPr>
        <w:t>，从业人员</w:t>
      </w:r>
      <w:r>
        <w:rPr>
          <w:rFonts w:ascii="宋体" w:eastAsia="宋体"/>
          <w:b w:val="0"/>
          <w:color w:val="auto"/>
          <w:sz w:val="22"/>
          <w:szCs w:val="22"/>
          <w:u w:val="single"/>
        </w:rPr>
        <w:t xml:space="preserve">    </w:t>
      </w:r>
      <w:r>
        <w:rPr>
          <w:rFonts w:ascii="宋体" w:eastAsia="宋体"/>
          <w:b w:val="0"/>
          <w:color w:val="auto"/>
          <w:sz w:val="22"/>
          <w:szCs w:val="22"/>
        </w:rPr>
        <w:t>人，营业收入为</w:t>
      </w:r>
      <w:r>
        <w:rPr>
          <w:rFonts w:ascii="宋体" w:eastAsia="宋体"/>
          <w:b w:val="0"/>
          <w:color w:val="auto"/>
          <w:sz w:val="22"/>
          <w:szCs w:val="22"/>
          <w:u w:val="single"/>
        </w:rPr>
        <w:t xml:space="preserve">    </w:t>
      </w:r>
      <w:r>
        <w:rPr>
          <w:rFonts w:ascii="宋体" w:eastAsia="宋体"/>
          <w:b w:val="0"/>
          <w:color w:val="auto"/>
          <w:sz w:val="22"/>
          <w:szCs w:val="22"/>
        </w:rPr>
        <w:t>万元，资产总额为</w:t>
      </w:r>
      <w:r>
        <w:rPr>
          <w:rFonts w:ascii="宋体" w:eastAsia="宋体"/>
          <w:b w:val="0"/>
          <w:color w:val="auto"/>
          <w:sz w:val="22"/>
          <w:szCs w:val="22"/>
          <w:u w:val="single"/>
        </w:rPr>
        <w:t xml:space="preserve">      </w:t>
      </w:r>
      <w:r>
        <w:rPr>
          <w:rFonts w:ascii="宋体" w:eastAsia="宋体"/>
          <w:b w:val="0"/>
          <w:color w:val="auto"/>
          <w:sz w:val="22"/>
          <w:szCs w:val="22"/>
        </w:rPr>
        <w:t xml:space="preserve">万元，属于（中型企业、小型 企业、微型企业）； </w:t>
      </w:r>
    </w:p>
    <w:p>
      <w:pPr>
        <w:spacing w:line="460" w:lineRule="atLeast"/>
        <w:ind w:firstLine="440"/>
        <w:rPr>
          <w:rFonts w:ascii="宋体" w:eastAsia="宋体"/>
          <w:b w:val="0"/>
          <w:color w:val="auto"/>
          <w:sz w:val="22"/>
          <w:szCs w:val="22"/>
        </w:rPr>
      </w:pPr>
      <w:r>
        <w:rPr>
          <w:rFonts w:ascii="宋体" w:eastAsia="宋体"/>
          <w:b w:val="0"/>
          <w:color w:val="auto"/>
          <w:sz w:val="22"/>
          <w:szCs w:val="22"/>
        </w:rPr>
        <w:t>……</w:t>
      </w:r>
    </w:p>
    <w:p>
      <w:pPr>
        <w:spacing w:line="460" w:lineRule="atLeast"/>
        <w:ind w:firstLine="440"/>
        <w:rPr>
          <w:rFonts w:ascii="宋体" w:eastAsia="宋体"/>
          <w:b w:val="0"/>
          <w:color w:val="auto"/>
          <w:sz w:val="22"/>
          <w:szCs w:val="22"/>
        </w:rPr>
      </w:pPr>
      <w:r>
        <w:rPr>
          <w:rFonts w:ascii="宋体" w:eastAsia="宋体"/>
          <w:b w:val="0"/>
          <w:color w:val="auto"/>
          <w:sz w:val="22"/>
          <w:szCs w:val="22"/>
        </w:rPr>
        <w:t xml:space="preserve">以上企业，不属于大企业的分支机构，不存在控股股东 为大企业的情形，也不存在与大企业的负责人为同一人的情 形。 本企业对上述声明内容的真实性负责。如有虚假，将依 法承担相应责任。 </w:t>
      </w:r>
    </w:p>
    <w:p>
      <w:pPr>
        <w:spacing w:line="460" w:lineRule="atLeast"/>
        <w:ind w:firstLine="5940" w:firstLineChars="2700"/>
        <w:rPr>
          <w:rFonts w:ascii="宋体" w:eastAsia="宋体"/>
          <w:b w:val="0"/>
          <w:color w:val="auto"/>
          <w:sz w:val="22"/>
          <w:szCs w:val="22"/>
        </w:rPr>
      </w:pPr>
      <w:r>
        <w:rPr>
          <w:rFonts w:ascii="宋体" w:eastAsia="宋体"/>
          <w:b w:val="0"/>
          <w:color w:val="auto"/>
          <w:sz w:val="22"/>
          <w:szCs w:val="22"/>
        </w:rPr>
        <w:t xml:space="preserve">企业名称（盖章）： </w:t>
      </w:r>
    </w:p>
    <w:p>
      <w:pPr>
        <w:spacing w:line="460" w:lineRule="atLeast"/>
        <w:ind w:firstLine="5940" w:firstLineChars="2700"/>
        <w:rPr>
          <w:rFonts w:ascii="宋体" w:eastAsia="宋体"/>
          <w:b w:val="0"/>
          <w:color w:val="auto"/>
          <w:sz w:val="22"/>
          <w:szCs w:val="22"/>
        </w:rPr>
      </w:pPr>
      <w:r>
        <w:rPr>
          <w:rFonts w:ascii="宋体" w:eastAsia="宋体"/>
          <w:b w:val="0"/>
          <w:color w:val="auto"/>
          <w:sz w:val="22"/>
          <w:szCs w:val="22"/>
        </w:rPr>
        <w:t xml:space="preserve">日 期： </w:t>
      </w:r>
    </w:p>
    <w:p>
      <w:pPr>
        <w:spacing w:line="460" w:lineRule="atLeast"/>
        <w:rPr>
          <w:color w:val="auto"/>
        </w:rPr>
      </w:pPr>
    </w:p>
    <w:p>
      <w:pPr>
        <w:spacing w:line="460" w:lineRule="atLeast"/>
        <w:ind w:firstLine="440"/>
        <w:rPr>
          <w:rFonts w:ascii="宋体" w:eastAsia="宋体"/>
          <w:color w:val="auto"/>
          <w:sz w:val="22"/>
          <w:szCs w:val="22"/>
          <w:highlight w:val="none"/>
        </w:rPr>
      </w:pPr>
      <w:r>
        <w:rPr>
          <w:rFonts w:hint="eastAsia" w:ascii="宋体" w:eastAsia="宋体"/>
          <w:color w:val="auto"/>
          <w:sz w:val="22"/>
          <w:szCs w:val="22"/>
          <w:highlight w:val="none"/>
        </w:rPr>
        <w:t>注：</w:t>
      </w:r>
    </w:p>
    <w:p>
      <w:pPr>
        <w:spacing w:line="460" w:lineRule="atLeast"/>
        <w:ind w:firstLine="440"/>
        <w:rPr>
          <w:rFonts w:ascii="宋体" w:eastAsia="宋体"/>
          <w:color w:val="auto"/>
          <w:sz w:val="22"/>
          <w:szCs w:val="22"/>
          <w:highlight w:val="none"/>
        </w:rPr>
      </w:pPr>
      <w:r>
        <w:rPr>
          <w:rFonts w:hint="eastAsia" w:ascii="宋体" w:eastAsia="宋体"/>
          <w:color w:val="auto"/>
          <w:sz w:val="22"/>
          <w:szCs w:val="22"/>
          <w:highlight w:val="none"/>
        </w:rPr>
        <w:t>填写要求：①“标的名称”、“采购文件中明确的所属行业”依据招标文件第一部分 投标通知(邀请)书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Style w:val="15"/>
        <w:spacing w:before="240" w:after="60"/>
        <w:jc w:val="center"/>
        <w:outlineLvl w:val="0"/>
        <w:rPr>
          <w:rFonts w:ascii="宋体" w:hAnsi="宋体" w:eastAsia="宋体" w:cs="宋体"/>
          <w:b/>
          <w:kern w:val="0"/>
          <w:sz w:val="32"/>
          <w:szCs w:val="32"/>
        </w:rPr>
      </w:pPr>
    </w:p>
    <w:p>
      <w:pPr>
        <w:spacing w:line="440" w:lineRule="atLeast"/>
        <w:rPr>
          <w:rFonts w:ascii="宋体" w:eastAsia="宋体"/>
          <w:b w:val="0"/>
          <w:color w:val="auto"/>
          <w:sz w:val="24"/>
          <w:szCs w:val="24"/>
        </w:rPr>
      </w:pPr>
      <w:r>
        <w:rPr>
          <w:rFonts w:ascii="宋体" w:eastAsia="宋体"/>
          <w:b w:val="0"/>
          <w:color w:val="auto"/>
          <w:sz w:val="24"/>
          <w:szCs w:val="24"/>
        </w:rPr>
        <w:br w:type="column"/>
      </w:r>
      <w:r>
        <w:rPr>
          <w:rFonts w:ascii="宋体" w:eastAsia="宋体"/>
          <w:b w:val="0"/>
          <w:color w:val="auto"/>
          <w:sz w:val="24"/>
          <w:szCs w:val="24"/>
        </w:rPr>
        <w:t>附件2</w:t>
      </w:r>
    </w:p>
    <w:p>
      <w:pPr>
        <w:pStyle w:val="15"/>
        <w:spacing w:before="240" w:after="60"/>
        <w:jc w:val="center"/>
        <w:outlineLvl w:val="0"/>
        <w:rPr>
          <w:rFonts w:ascii="宋体" w:hAnsi="宋体" w:eastAsia="宋体" w:cs="宋体"/>
          <w:b/>
          <w:kern w:val="0"/>
          <w:sz w:val="32"/>
          <w:szCs w:val="32"/>
        </w:rPr>
      </w:pPr>
      <w:bookmarkStart w:id="107" w:name="OLE_LINK14"/>
      <w:bookmarkEnd w:id="107"/>
      <w:bookmarkStart w:id="108" w:name="OLE_LINK13"/>
      <w:bookmarkEnd w:id="108"/>
      <w:bookmarkStart w:id="109" w:name="_Toc523757077"/>
      <w:bookmarkEnd w:id="109"/>
      <w:bookmarkStart w:id="110" w:name="_Toc61343841"/>
      <w:bookmarkStart w:id="111" w:name="_Toc67213301"/>
      <w:bookmarkStart w:id="112" w:name="_Toc17150"/>
      <w:bookmarkStart w:id="113" w:name="_Toc61286950"/>
      <w:bookmarkStart w:id="114" w:name="_Toc1103"/>
      <w:r>
        <w:rPr>
          <w:rFonts w:hint="eastAsia" w:ascii="宋体" w:hAnsi="宋体" w:eastAsia="宋体" w:cs="宋体"/>
          <w:b/>
          <w:kern w:val="0"/>
          <w:sz w:val="32"/>
          <w:szCs w:val="32"/>
        </w:rPr>
        <w:t>残疾人福利性单位声明函</w:t>
      </w:r>
      <w:bookmarkEnd w:id="110"/>
      <w:bookmarkEnd w:id="111"/>
      <w:bookmarkEnd w:id="112"/>
      <w:bookmarkEnd w:id="113"/>
      <w:bookmarkEnd w:id="114"/>
    </w:p>
    <w:p>
      <w:pPr>
        <w:spacing w:line="588" w:lineRule="exact"/>
        <w:ind w:firstLine="440"/>
        <w:rPr>
          <w:color w:val="auto"/>
          <w:spacing w:val="8"/>
          <w:sz w:val="22"/>
          <w:szCs w:val="22"/>
        </w:rPr>
      </w:pPr>
      <w:r>
        <w:rPr>
          <w:rFonts w:hint="eastAsia" w:ascii="宋体" w:eastAsia="宋体"/>
          <w:b w:val="0"/>
          <w:color w:val="auto"/>
          <w:sz w:val="22"/>
          <w:szCs w:val="22"/>
        </w:rPr>
        <w:t>本单位郑重声明，根据《财政部 民政部 中国残疾人联合会关于促进残疾人就业政府采购政策的通知》（财库〔2017〕 141号）的规定，本单位为符合条件的残疾人福利性单位，且本单位参加</w:t>
      </w:r>
      <w:r>
        <w:rPr>
          <w:rFonts w:hint="eastAsia" w:ascii="宋体" w:eastAsia="宋体"/>
          <w:color w:val="auto"/>
          <w:spacing w:val="6"/>
          <w:sz w:val="22"/>
          <w:szCs w:val="22"/>
        </w:rPr>
        <w:t>______单位的______</w:t>
      </w:r>
      <w:r>
        <w:rPr>
          <w:rFonts w:hint="eastAsia" w:ascii="宋体" w:eastAsia="宋体"/>
          <w:b w:val="0"/>
          <w:color w:val="auto"/>
          <w:sz w:val="22"/>
          <w:szCs w:val="22"/>
        </w:rPr>
        <w:t>项目采购活动提供本单位制造的货物（由本单位承担工程/提供服务），或者提供其他残疾人福利性单位制造的货物（不包括使用非残疾人福利性单位注册商标的货物）。</w:t>
      </w:r>
    </w:p>
    <w:p>
      <w:pPr>
        <w:spacing w:line="588" w:lineRule="exact"/>
        <w:ind w:firstLine="440"/>
        <w:rPr>
          <w:rFonts w:ascii="宋体" w:eastAsia="宋体"/>
          <w:b w:val="0"/>
          <w:color w:val="auto"/>
          <w:sz w:val="22"/>
          <w:szCs w:val="22"/>
        </w:rPr>
      </w:pPr>
      <w:r>
        <w:rPr>
          <w:rFonts w:hint="eastAsia" w:ascii="宋体" w:eastAsia="宋体"/>
          <w:b w:val="0"/>
          <w:color w:val="auto"/>
          <w:sz w:val="22"/>
          <w:szCs w:val="22"/>
        </w:rPr>
        <w:t>本单位对上述声明的真实性负责。如有虚假，将依法承担相应责任。</w:t>
      </w:r>
    </w:p>
    <w:p>
      <w:pPr>
        <w:spacing w:line="588" w:lineRule="exact"/>
        <w:ind w:firstLine="466"/>
        <w:rPr>
          <w:color w:val="auto"/>
          <w:spacing w:val="8"/>
          <w:sz w:val="22"/>
          <w:szCs w:val="22"/>
        </w:rPr>
      </w:pPr>
    </w:p>
    <w:p>
      <w:pPr>
        <w:spacing w:line="460" w:lineRule="exact"/>
        <w:ind w:firstLine="440"/>
        <w:rPr>
          <w:rFonts w:ascii="宋体" w:eastAsia="宋体"/>
          <w:b w:val="0"/>
          <w:color w:val="auto"/>
          <w:sz w:val="22"/>
          <w:szCs w:val="22"/>
        </w:rPr>
      </w:pPr>
      <w:r>
        <w:rPr>
          <w:rFonts w:hint="eastAsia" w:ascii="宋体" w:eastAsia="宋体"/>
          <w:b w:val="0"/>
          <w:color w:val="auto"/>
          <w:sz w:val="22"/>
          <w:szCs w:val="22"/>
        </w:rPr>
        <w:t>单位名称（盖章）：</w:t>
      </w:r>
    </w:p>
    <w:p>
      <w:pPr>
        <w:spacing w:line="460" w:lineRule="exact"/>
        <w:ind w:firstLine="440"/>
        <w:rPr>
          <w:rFonts w:ascii="宋体" w:eastAsia="宋体"/>
          <w:b w:val="0"/>
          <w:color w:val="auto"/>
          <w:sz w:val="22"/>
          <w:szCs w:val="22"/>
        </w:rPr>
      </w:pPr>
      <w:r>
        <w:rPr>
          <w:rFonts w:hint="eastAsia" w:ascii="宋体" w:eastAsia="宋体"/>
          <w:b w:val="0"/>
          <w:color w:val="auto"/>
          <w:sz w:val="22"/>
          <w:szCs w:val="22"/>
        </w:rPr>
        <w:t>日  期：</w:t>
      </w:r>
    </w:p>
    <w:p>
      <w:pPr>
        <w:spacing w:line="460" w:lineRule="exact"/>
        <w:rPr>
          <w:rFonts w:ascii="宋体" w:eastAsia="宋体"/>
          <w:b w:val="0"/>
          <w:color w:val="auto"/>
          <w:sz w:val="22"/>
          <w:szCs w:val="22"/>
        </w:rPr>
      </w:pPr>
      <w:r>
        <w:rPr>
          <w:rFonts w:hint="eastAsia" w:ascii="宋体" w:eastAsia="宋体"/>
          <w:b w:val="0"/>
          <w:color w:val="auto"/>
          <w:sz w:val="22"/>
          <w:szCs w:val="22"/>
        </w:rPr>
        <w:t>备注说明：</w:t>
      </w:r>
    </w:p>
    <w:p>
      <w:pPr>
        <w:numPr>
          <w:ilvl w:val="0"/>
          <w:numId w:val="8"/>
        </w:numPr>
        <w:spacing w:line="460" w:lineRule="exact"/>
        <w:rPr>
          <w:rFonts w:ascii="宋体" w:eastAsia="宋体"/>
          <w:b w:val="0"/>
          <w:color w:val="auto"/>
          <w:sz w:val="22"/>
          <w:szCs w:val="22"/>
        </w:rPr>
      </w:pPr>
      <w:r>
        <w:rPr>
          <w:rFonts w:hint="eastAsia" w:ascii="宋体" w:eastAsia="宋体"/>
          <w:b w:val="0"/>
          <w:color w:val="auto"/>
          <w:sz w:val="22"/>
          <w:szCs w:val="22"/>
        </w:rPr>
        <w:t>如中标，将在中标公示中将此残疾人福利性单位声明函予以公示，接受社会监督；</w:t>
      </w:r>
    </w:p>
    <w:p>
      <w:pPr>
        <w:widowControl/>
        <w:spacing w:line="460" w:lineRule="atLeast"/>
        <w:ind w:firstLine="440" w:firstLineChars="200"/>
        <w:rPr>
          <w:rFonts w:ascii="宋体" w:eastAsia="宋体"/>
          <w:b w:val="0"/>
          <w:color w:val="auto"/>
          <w:sz w:val="22"/>
          <w:szCs w:val="22"/>
        </w:rPr>
      </w:pPr>
      <w:r>
        <w:rPr>
          <w:rFonts w:ascii="宋体" w:eastAsia="宋体"/>
          <w:b w:val="0"/>
          <w:color w:val="auto"/>
          <w:sz w:val="22"/>
          <w:szCs w:val="22"/>
        </w:rPr>
        <w:t>2、供应商提供的《残疾人福利性单位声明函》与事实不符的，依照《政府采购法》第七十七条第一款的规定追究法律责任。</w:t>
      </w:r>
    </w:p>
    <w:p>
      <w:pPr>
        <w:widowControl/>
        <w:spacing w:line="460" w:lineRule="atLeast"/>
        <w:ind w:firstLine="440" w:firstLineChars="200"/>
        <w:rPr>
          <w:rFonts w:ascii="宋体" w:eastAsia="宋体"/>
          <w:b w:val="0"/>
          <w:color w:val="auto"/>
          <w:sz w:val="22"/>
          <w:szCs w:val="22"/>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rPr>
          <w:rFonts w:hint="eastAsia" w:ascii="宋体" w:hAnsi="宋体"/>
          <w:color w:val="auto"/>
        </w:rPr>
      </w:pPr>
      <w:bookmarkStart w:id="115" w:name="_Toc667"/>
      <w:r>
        <w:rPr>
          <w:rFonts w:hint="eastAsia" w:ascii="宋体" w:hAnsi="宋体"/>
          <w:color w:val="auto"/>
        </w:rPr>
        <w:br w:type="page"/>
      </w:r>
    </w:p>
    <w:p>
      <w:pPr>
        <w:pStyle w:val="47"/>
        <w:rPr>
          <w:rFonts w:ascii="宋体" w:hAnsi="宋体"/>
          <w:color w:val="auto"/>
        </w:rPr>
      </w:pPr>
      <w:r>
        <w:rPr>
          <w:rFonts w:hint="eastAsia" w:ascii="宋体" w:hAnsi="宋体"/>
          <w:color w:val="auto"/>
        </w:rPr>
        <w:t>第五部分 合同格式（仅供参考）</w:t>
      </w:r>
      <w:bookmarkEnd w:id="115"/>
    </w:p>
    <w:p>
      <w:pPr>
        <w:pStyle w:val="47"/>
        <w:tabs>
          <w:tab w:val="right" w:pos="8306"/>
        </w:tabs>
        <w:rPr>
          <w:rFonts w:hAnsi="宋体"/>
          <w:color w:val="auto"/>
        </w:rPr>
      </w:pPr>
      <w:bookmarkStart w:id="116" w:name="_Toc501892989"/>
      <w:bookmarkStart w:id="117" w:name="_Toc2311"/>
      <w:bookmarkStart w:id="118" w:name="_Toc21472"/>
      <w:bookmarkStart w:id="119" w:name="_Toc305054894"/>
      <w:bookmarkStart w:id="120" w:name="_Toc304922913"/>
      <w:bookmarkStart w:id="121" w:name="_Toc305069263"/>
      <w:bookmarkStart w:id="122" w:name="_Toc502658149"/>
      <w:r>
        <w:rPr>
          <w:rFonts w:hint="eastAsia" w:hAnsi="宋体"/>
          <w:color w:val="auto"/>
        </w:rPr>
        <w:t xml:space="preserve">                              项目编号：</w:t>
      </w:r>
      <w:bookmarkEnd w:id="116"/>
      <w:bookmarkEnd w:id="117"/>
      <w:bookmarkEnd w:id="118"/>
      <w:bookmarkEnd w:id="119"/>
      <w:bookmarkEnd w:id="120"/>
      <w:bookmarkEnd w:id="121"/>
      <w:bookmarkEnd w:id="122"/>
    </w:p>
    <w:p>
      <w:pPr>
        <w:rPr>
          <w:color w:val="auto"/>
        </w:rPr>
      </w:pPr>
    </w:p>
    <w:p>
      <w:pPr>
        <w:rPr>
          <w:color w:val="auto"/>
        </w:rPr>
      </w:pPr>
    </w:p>
    <w:p>
      <w:pPr>
        <w:rPr>
          <w:color w:val="auto"/>
        </w:rPr>
      </w:pPr>
    </w:p>
    <w:p>
      <w:pPr>
        <w:rPr>
          <w:color w:val="auto"/>
        </w:rPr>
      </w:pPr>
    </w:p>
    <w:p>
      <w:pPr>
        <w:rPr>
          <w:color w:val="auto"/>
        </w:rPr>
      </w:pPr>
    </w:p>
    <w:p>
      <w:pPr>
        <w:jc w:val="center"/>
        <w:rPr>
          <w:color w:val="auto"/>
          <w:sz w:val="52"/>
        </w:rPr>
      </w:pPr>
      <w:r>
        <w:rPr>
          <w:rFonts w:hint="eastAsia"/>
          <w:color w:val="auto"/>
          <w:sz w:val="52"/>
        </w:rPr>
        <w:t>XXXXXXX（项目名称）</w:t>
      </w:r>
    </w:p>
    <w:p>
      <w:pPr>
        <w:pStyle w:val="47"/>
        <w:tabs>
          <w:tab w:val="left" w:pos="190"/>
          <w:tab w:val="center" w:pos="4153"/>
          <w:tab w:val="left" w:pos="7105"/>
          <w:tab w:val="left" w:pos="7309"/>
        </w:tabs>
        <w:spacing w:before="1200" w:beforeLines="500" w:after="1200" w:afterLines="500"/>
        <w:rPr>
          <w:rFonts w:hAnsi="宋体"/>
          <w:color w:val="auto"/>
          <w:sz w:val="52"/>
          <w:szCs w:val="52"/>
        </w:rPr>
      </w:pPr>
      <w:bookmarkStart w:id="123" w:name="_Toc305054896"/>
      <w:bookmarkStart w:id="124" w:name="_Toc17962"/>
      <w:bookmarkStart w:id="125" w:name="_Toc501892990"/>
      <w:bookmarkStart w:id="126" w:name="_Toc305069265"/>
      <w:bookmarkStart w:id="127" w:name="_Toc502658150"/>
      <w:bookmarkStart w:id="128" w:name="_Toc304922915"/>
      <w:bookmarkStart w:id="129" w:name="_Toc224"/>
      <w:r>
        <w:rPr>
          <w:rFonts w:hint="eastAsia" w:hAnsi="宋体"/>
          <w:color w:val="auto"/>
          <w:sz w:val="52"/>
          <w:szCs w:val="52"/>
        </w:rPr>
        <w:t>项目合同</w:t>
      </w:r>
      <w:bookmarkEnd w:id="123"/>
      <w:bookmarkEnd w:id="124"/>
      <w:bookmarkEnd w:id="125"/>
      <w:bookmarkEnd w:id="126"/>
      <w:bookmarkEnd w:id="127"/>
      <w:bookmarkEnd w:id="128"/>
      <w:bookmarkEnd w:id="129"/>
    </w:p>
    <w:p>
      <w:pPr>
        <w:pStyle w:val="47"/>
        <w:spacing w:before="2160" w:beforeLines="900"/>
        <w:ind w:left="840" w:leftChars="400"/>
        <w:jc w:val="left"/>
        <w:rPr>
          <w:rFonts w:ascii="宋体"/>
          <w:color w:val="auto"/>
          <w:u w:val="single"/>
        </w:rPr>
      </w:pPr>
      <w:bookmarkStart w:id="130" w:name="_Toc305054897"/>
      <w:bookmarkStart w:id="131" w:name="_Toc305069266"/>
      <w:bookmarkStart w:id="132" w:name="_Toc304922916"/>
      <w:bookmarkStart w:id="133" w:name="_Toc18552"/>
      <w:bookmarkStart w:id="134" w:name="_Toc502658151"/>
      <w:bookmarkStart w:id="135" w:name="_Toc501892991"/>
      <w:bookmarkStart w:id="136" w:name="_Toc2286"/>
      <w:r>
        <w:rPr>
          <w:rFonts w:hint="eastAsia" w:ascii="宋体" w:hAnsi="宋体"/>
          <w:color w:val="auto"/>
        </w:rPr>
        <w:t>甲</w:t>
      </w:r>
      <w:r>
        <w:rPr>
          <w:rFonts w:ascii="宋体" w:hAnsi="宋体"/>
          <w:color w:val="auto"/>
        </w:rPr>
        <w:t xml:space="preserve">   </w:t>
      </w:r>
      <w:r>
        <w:rPr>
          <w:rFonts w:hint="eastAsia" w:ascii="宋体" w:hAnsi="宋体"/>
          <w:color w:val="auto"/>
        </w:rPr>
        <w:t>方</w:t>
      </w:r>
      <w:bookmarkEnd w:id="130"/>
      <w:bookmarkEnd w:id="131"/>
      <w:bookmarkEnd w:id="132"/>
      <w:r>
        <w:rPr>
          <w:rFonts w:hint="eastAsia" w:ascii="宋体" w:hAnsi="宋体"/>
          <w:color w:val="auto"/>
        </w:rPr>
        <w:t xml:space="preserve">： </w:t>
      </w:r>
      <w:r>
        <w:rPr>
          <w:rFonts w:hint="eastAsia" w:ascii="宋体" w:hAnsi="宋体"/>
          <w:color w:val="auto"/>
          <w:u w:val="single"/>
        </w:rPr>
        <w:t xml:space="preserve">    </w:t>
      </w:r>
      <w:bookmarkEnd w:id="133"/>
      <w:bookmarkEnd w:id="134"/>
      <w:bookmarkEnd w:id="135"/>
      <w:bookmarkEnd w:id="136"/>
      <w:r>
        <w:rPr>
          <w:rFonts w:hint="eastAsia" w:ascii="宋体" w:hAnsi="宋体"/>
          <w:color w:val="auto"/>
          <w:u w:val="single"/>
          <w:lang w:eastAsia="zh-CN"/>
        </w:rPr>
        <w:t>永嘉县公安局交通警察大队</w:t>
      </w:r>
      <w:r>
        <w:rPr>
          <w:rFonts w:hint="eastAsia" w:ascii="宋体" w:hAnsi="宋体"/>
          <w:color w:val="auto"/>
          <w:u w:val="single"/>
        </w:rPr>
        <w:t xml:space="preserve">         </w:t>
      </w:r>
    </w:p>
    <w:p>
      <w:pPr>
        <w:pStyle w:val="47"/>
        <w:ind w:left="840" w:leftChars="400"/>
        <w:jc w:val="left"/>
        <w:rPr>
          <w:rFonts w:ascii="宋体"/>
          <w:color w:val="auto"/>
          <w:u w:val="single"/>
        </w:rPr>
      </w:pPr>
      <w:bookmarkStart w:id="137" w:name="_Toc501892992"/>
      <w:bookmarkStart w:id="138" w:name="_Toc304922917"/>
      <w:bookmarkStart w:id="139" w:name="_Toc10710"/>
      <w:bookmarkStart w:id="140" w:name="_Toc305054898"/>
      <w:bookmarkStart w:id="141" w:name="_Toc305069267"/>
      <w:bookmarkStart w:id="142" w:name="_Toc502658152"/>
      <w:bookmarkStart w:id="143" w:name="_Toc15302"/>
      <w:r>
        <w:rPr>
          <w:rFonts w:hint="eastAsia" w:ascii="宋体" w:hAnsi="宋体"/>
          <w:color w:val="auto"/>
        </w:rPr>
        <w:t>乙</w:t>
      </w:r>
      <w:r>
        <w:rPr>
          <w:rFonts w:ascii="宋体" w:hAnsi="宋体"/>
          <w:color w:val="auto"/>
        </w:rPr>
        <w:t xml:space="preserve">   </w:t>
      </w:r>
      <w:r>
        <w:rPr>
          <w:rFonts w:hint="eastAsia" w:ascii="宋体" w:hAnsi="宋体"/>
          <w:color w:val="auto"/>
        </w:rPr>
        <w:t>方：</w:t>
      </w:r>
      <w:bookmarkEnd w:id="137"/>
      <w:bookmarkEnd w:id="138"/>
      <w:bookmarkEnd w:id="139"/>
      <w:bookmarkEnd w:id="140"/>
      <w:bookmarkEnd w:id="141"/>
      <w:bookmarkEnd w:id="142"/>
      <w:bookmarkEnd w:id="143"/>
      <w:r>
        <w:rPr>
          <w:rFonts w:hint="eastAsia" w:ascii="宋体" w:hAnsi="宋体"/>
          <w:color w:val="auto"/>
        </w:rPr>
        <w:t xml:space="preserve"> </w:t>
      </w:r>
      <w:r>
        <w:rPr>
          <w:rFonts w:ascii="宋体" w:hAnsi="宋体"/>
          <w:color w:val="auto"/>
          <w:u w:val="single"/>
        </w:rPr>
        <w:t xml:space="preserve">                         </w:t>
      </w:r>
    </w:p>
    <w:p>
      <w:pPr>
        <w:pStyle w:val="47"/>
        <w:ind w:left="840" w:leftChars="400"/>
        <w:jc w:val="left"/>
        <w:rPr>
          <w:rFonts w:ascii="宋体"/>
          <w:color w:val="auto"/>
          <w:u w:val="single"/>
        </w:rPr>
      </w:pPr>
      <w:bookmarkStart w:id="144" w:name="_Toc13507"/>
      <w:bookmarkStart w:id="145" w:name="_Toc305054899"/>
      <w:bookmarkStart w:id="146" w:name="_Toc305069268"/>
      <w:bookmarkStart w:id="147" w:name="_Toc501892993"/>
      <w:bookmarkStart w:id="148" w:name="_Toc502658153"/>
      <w:bookmarkStart w:id="149" w:name="_Toc12662"/>
      <w:bookmarkStart w:id="150" w:name="_Toc304922918"/>
      <w:r>
        <w:rPr>
          <w:rFonts w:hint="eastAsia" w:ascii="宋体" w:hAnsi="宋体"/>
          <w:color w:val="auto"/>
        </w:rPr>
        <w:t>签订地点：</w:t>
      </w:r>
      <w:r>
        <w:rPr>
          <w:rFonts w:ascii="宋体" w:hAnsi="宋体"/>
          <w:color w:val="auto"/>
          <w:u w:val="single"/>
        </w:rPr>
        <w:t xml:space="preserve">    </w:t>
      </w:r>
      <w:r>
        <w:rPr>
          <w:rFonts w:hint="eastAsia" w:ascii="宋体" w:hAnsi="宋体"/>
          <w:color w:val="auto"/>
          <w:u w:val="single"/>
        </w:rPr>
        <w:t>浙江</w:t>
      </w:r>
      <w:r>
        <w:rPr>
          <w:rFonts w:ascii="宋体" w:hAnsi="宋体"/>
          <w:color w:val="auto"/>
          <w:u w:val="single"/>
        </w:rPr>
        <w:t xml:space="preserve">      </w:t>
      </w:r>
      <w:r>
        <w:rPr>
          <w:rFonts w:hint="eastAsia" w:ascii="宋体" w:hAnsi="宋体"/>
          <w:color w:val="auto"/>
          <w:u w:val="single"/>
        </w:rPr>
        <w:t>永嘉</w:t>
      </w:r>
      <w:r>
        <w:rPr>
          <w:rFonts w:ascii="宋体" w:hAnsi="宋体"/>
          <w:color w:val="auto"/>
          <w:u w:val="single"/>
        </w:rPr>
        <w:t xml:space="preserve">      </w:t>
      </w:r>
      <w:bookmarkEnd w:id="144"/>
      <w:bookmarkEnd w:id="145"/>
      <w:bookmarkEnd w:id="146"/>
      <w:bookmarkEnd w:id="147"/>
      <w:bookmarkEnd w:id="148"/>
      <w:bookmarkEnd w:id="149"/>
      <w:bookmarkEnd w:id="150"/>
      <w:r>
        <w:rPr>
          <w:rFonts w:hint="eastAsia" w:ascii="宋体" w:hAnsi="宋体"/>
          <w:color w:val="auto"/>
          <w:u w:val="single"/>
        </w:rPr>
        <w:t xml:space="preserve"> </w:t>
      </w:r>
    </w:p>
    <w:p>
      <w:pPr>
        <w:pStyle w:val="47"/>
        <w:ind w:left="840" w:leftChars="400"/>
        <w:jc w:val="left"/>
        <w:rPr>
          <w:rFonts w:ascii="宋体"/>
          <w:color w:val="auto"/>
          <w:u w:val="single"/>
        </w:rPr>
      </w:pPr>
      <w:bookmarkStart w:id="151" w:name="_Toc305069269"/>
      <w:bookmarkStart w:id="152" w:name="_Toc502658154"/>
      <w:bookmarkStart w:id="153" w:name="_Toc23256"/>
      <w:bookmarkStart w:id="154" w:name="_Toc304922919"/>
      <w:bookmarkStart w:id="155" w:name="_Toc501892994"/>
      <w:bookmarkStart w:id="156" w:name="_Toc305054900"/>
      <w:bookmarkStart w:id="157" w:name="_Toc19567"/>
      <w:r>
        <w:rPr>
          <w:rFonts w:hint="eastAsia" w:ascii="宋体" w:hAnsi="宋体"/>
          <w:color w:val="auto"/>
        </w:rPr>
        <w:t>签订时间：</w:t>
      </w:r>
      <w:r>
        <w:rPr>
          <w:rFonts w:ascii="宋体" w:hAnsi="宋体"/>
          <w:color w:val="auto"/>
          <w:u w:val="single"/>
        </w:rPr>
        <w:t xml:space="preserve">        </w:t>
      </w:r>
      <w:r>
        <w:rPr>
          <w:rFonts w:hint="eastAsia" w:ascii="宋体" w:hAnsi="宋体"/>
          <w:color w:val="auto"/>
          <w:u w:val="single"/>
        </w:rPr>
        <w:t xml:space="preserve">年  </w:t>
      </w:r>
      <w:r>
        <w:rPr>
          <w:rFonts w:ascii="宋体" w:hAnsi="宋体"/>
          <w:color w:val="auto"/>
          <w:u w:val="single"/>
        </w:rPr>
        <w:t xml:space="preserve">  </w:t>
      </w:r>
      <w:r>
        <w:rPr>
          <w:rFonts w:hint="eastAsia" w:ascii="宋体" w:hAnsi="宋体"/>
          <w:color w:val="auto"/>
          <w:u w:val="single"/>
        </w:rPr>
        <w:t xml:space="preserve"> 月  </w:t>
      </w:r>
      <w:r>
        <w:rPr>
          <w:rFonts w:ascii="宋体" w:hAnsi="宋体"/>
          <w:color w:val="auto"/>
          <w:u w:val="single"/>
        </w:rPr>
        <w:t xml:space="preserve">   </w:t>
      </w:r>
      <w:r>
        <w:rPr>
          <w:rFonts w:hint="eastAsia" w:ascii="宋体" w:hAnsi="宋体"/>
          <w:color w:val="auto"/>
          <w:u w:val="single"/>
        </w:rPr>
        <w:t xml:space="preserve"> 日</w:t>
      </w:r>
      <w:bookmarkEnd w:id="151"/>
      <w:bookmarkEnd w:id="152"/>
      <w:bookmarkEnd w:id="153"/>
      <w:bookmarkEnd w:id="154"/>
      <w:bookmarkEnd w:id="155"/>
      <w:bookmarkEnd w:id="156"/>
      <w:bookmarkEnd w:id="157"/>
    </w:p>
    <w:p>
      <w:pPr>
        <w:pStyle w:val="28"/>
        <w:spacing w:line="460" w:lineRule="atLeast"/>
        <w:ind w:firstLine="310" w:firstLineChars="147"/>
        <w:rPr>
          <w:rFonts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28"/>
        <w:spacing w:line="420" w:lineRule="atLeast"/>
        <w:jc w:val="left"/>
        <w:rPr>
          <w:rFonts w:hint="eastAsia" w:hAnsi="宋体" w:eastAsia="宋体"/>
          <w:b w:val="0"/>
          <w:color w:val="auto"/>
          <w:sz w:val="22"/>
          <w:szCs w:val="22"/>
          <w:highlight w:val="none"/>
        </w:rPr>
      </w:pPr>
      <w:r>
        <w:rPr>
          <w:rFonts w:hint="eastAsia" w:hAnsi="宋体" w:eastAsia="宋体"/>
          <w:b w:val="0"/>
          <w:color w:val="auto"/>
          <w:sz w:val="22"/>
          <w:szCs w:val="22"/>
        </w:rPr>
        <w:br w:type="column"/>
      </w:r>
      <w:r>
        <w:rPr>
          <w:rFonts w:hint="eastAsia" w:hAnsi="宋体" w:eastAsia="宋体"/>
          <w:b w:val="0"/>
          <w:color w:val="auto"/>
          <w:sz w:val="22"/>
          <w:szCs w:val="22"/>
        </w:rPr>
        <w:t xml:space="preserve">      </w:t>
      </w:r>
      <w:bookmarkStart w:id="158" w:name="_Toc32760"/>
      <w:r>
        <w:rPr>
          <w:rFonts w:hint="eastAsia" w:hAnsi="宋体" w:eastAsia="宋体"/>
          <w:b w:val="0"/>
          <w:color w:val="auto"/>
          <w:sz w:val="24"/>
          <w:szCs w:val="24"/>
          <w:highlight w:val="none"/>
        </w:rPr>
        <w:t xml:space="preserve"> </w:t>
      </w:r>
      <w:r>
        <w:rPr>
          <w:rFonts w:hint="eastAsia" w:hAnsi="宋体" w:eastAsia="宋体"/>
          <w:b w:val="0"/>
          <w:color w:val="auto"/>
          <w:sz w:val="22"/>
          <w:szCs w:val="22"/>
          <w:highlight w:val="none"/>
        </w:rPr>
        <w:t xml:space="preserve">   编号  ：</w:t>
      </w:r>
    </w:p>
    <w:p>
      <w:pPr>
        <w:pStyle w:val="28"/>
        <w:spacing w:line="46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采购人：采购人</w:t>
      </w:r>
    </w:p>
    <w:p>
      <w:pPr>
        <w:pStyle w:val="28"/>
        <w:spacing w:line="46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中标供应商：本次招标的中标供应商</w:t>
      </w:r>
    </w:p>
    <w:p>
      <w:pPr>
        <w:pStyle w:val="28"/>
        <w:spacing w:line="460" w:lineRule="atLeast"/>
        <w:ind w:firstLine="570"/>
        <w:rPr>
          <w:rFonts w:hint="eastAsia" w:hAnsi="宋体" w:eastAsia="宋体"/>
          <w:b w:val="0"/>
          <w:color w:val="auto"/>
          <w:sz w:val="22"/>
          <w:szCs w:val="22"/>
          <w:highlight w:val="none"/>
        </w:rPr>
      </w:pPr>
      <w:r>
        <w:rPr>
          <w:rFonts w:hint="eastAsia" w:hAnsi="宋体" w:eastAsia="宋体"/>
          <w:b w:val="0"/>
          <w:color w:val="auto"/>
          <w:sz w:val="22"/>
          <w:szCs w:val="22"/>
          <w:highlight w:val="none"/>
        </w:rPr>
        <w:t>双方经协商，就中标供应商向采购人提供本公司产品以及相关产品的伴随服务事宜达成以下条款：</w:t>
      </w:r>
    </w:p>
    <w:p>
      <w:pPr>
        <w:pStyle w:val="28"/>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第一条：采购商品清单及合同价格</w:t>
      </w:r>
    </w:p>
    <w:p>
      <w:pPr>
        <w:spacing w:line="460" w:lineRule="atLeast"/>
        <w:ind w:firstLine="54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中标供应商保证提供如下内容的合格产品：        金额单位：人民币/元</w:t>
      </w:r>
    </w:p>
    <w:tbl>
      <w:tblPr>
        <w:tblStyle w:val="50"/>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pPr>
              <w:spacing w:line="460" w:lineRule="atLeast"/>
              <w:ind w:firstLine="240"/>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采购产品名称</w:t>
            </w:r>
          </w:p>
        </w:tc>
        <w:tc>
          <w:tcPr>
            <w:tcW w:w="2713" w:type="dxa"/>
            <w:noWrap w:val="0"/>
            <w:vAlign w:val="center"/>
          </w:tcPr>
          <w:p>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型号规格和主要配置</w:t>
            </w:r>
          </w:p>
        </w:tc>
        <w:tc>
          <w:tcPr>
            <w:tcW w:w="816" w:type="dxa"/>
            <w:noWrap w:val="0"/>
            <w:vAlign w:val="center"/>
          </w:tcPr>
          <w:p>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数量</w:t>
            </w:r>
          </w:p>
        </w:tc>
        <w:tc>
          <w:tcPr>
            <w:tcW w:w="1259" w:type="dxa"/>
            <w:noWrap w:val="0"/>
            <w:vAlign w:val="center"/>
          </w:tcPr>
          <w:p>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中标价</w:t>
            </w:r>
          </w:p>
        </w:tc>
        <w:tc>
          <w:tcPr>
            <w:tcW w:w="1079" w:type="dxa"/>
            <w:noWrap w:val="0"/>
            <w:vAlign w:val="center"/>
          </w:tcPr>
          <w:p>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完工期</w:t>
            </w:r>
          </w:p>
        </w:tc>
        <w:tc>
          <w:tcPr>
            <w:tcW w:w="1079" w:type="dxa"/>
            <w:noWrap w:val="0"/>
            <w:vAlign w:val="center"/>
          </w:tcPr>
          <w:p>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267" w:type="dxa"/>
            <w:noWrap w:val="0"/>
            <w:vAlign w:val="center"/>
          </w:tcPr>
          <w:p>
            <w:pPr>
              <w:spacing w:line="460" w:lineRule="atLeast"/>
              <w:jc w:val="center"/>
              <w:rPr>
                <w:rFonts w:hint="eastAsia" w:ascii="宋体" w:eastAsia="宋体"/>
                <w:b w:val="0"/>
                <w:color w:val="auto"/>
                <w:sz w:val="22"/>
                <w:szCs w:val="22"/>
                <w:highlight w:val="none"/>
              </w:rPr>
            </w:pPr>
          </w:p>
        </w:tc>
        <w:tc>
          <w:tcPr>
            <w:tcW w:w="2713" w:type="dxa"/>
            <w:noWrap w:val="0"/>
            <w:vAlign w:val="center"/>
          </w:tcPr>
          <w:p>
            <w:pPr>
              <w:spacing w:line="460" w:lineRule="atLeast"/>
              <w:jc w:val="center"/>
              <w:rPr>
                <w:rFonts w:hint="eastAsia" w:ascii="宋体" w:eastAsia="宋体"/>
                <w:b w:val="0"/>
                <w:color w:val="auto"/>
                <w:sz w:val="22"/>
                <w:szCs w:val="22"/>
                <w:highlight w:val="none"/>
              </w:rPr>
            </w:pPr>
          </w:p>
        </w:tc>
        <w:tc>
          <w:tcPr>
            <w:tcW w:w="816" w:type="dxa"/>
            <w:noWrap w:val="0"/>
            <w:vAlign w:val="center"/>
          </w:tcPr>
          <w:p>
            <w:pPr>
              <w:spacing w:line="460" w:lineRule="atLeast"/>
              <w:jc w:val="center"/>
              <w:rPr>
                <w:rFonts w:hint="eastAsia" w:ascii="宋体" w:eastAsia="宋体"/>
                <w:b w:val="0"/>
                <w:color w:val="auto"/>
                <w:sz w:val="22"/>
                <w:szCs w:val="22"/>
                <w:highlight w:val="none"/>
              </w:rPr>
            </w:pPr>
          </w:p>
        </w:tc>
        <w:tc>
          <w:tcPr>
            <w:tcW w:w="1259" w:type="dxa"/>
            <w:noWrap w:val="0"/>
            <w:vAlign w:val="center"/>
          </w:tcPr>
          <w:p>
            <w:pPr>
              <w:spacing w:line="460" w:lineRule="atLeast"/>
              <w:jc w:val="center"/>
              <w:rPr>
                <w:rFonts w:hint="eastAsia" w:ascii="宋体" w:eastAsia="宋体"/>
                <w:b w:val="0"/>
                <w:color w:val="auto"/>
                <w:sz w:val="22"/>
                <w:szCs w:val="22"/>
                <w:highlight w:val="none"/>
              </w:rPr>
            </w:pPr>
          </w:p>
        </w:tc>
        <w:tc>
          <w:tcPr>
            <w:tcW w:w="1079" w:type="dxa"/>
            <w:noWrap w:val="0"/>
            <w:vAlign w:val="center"/>
          </w:tcPr>
          <w:p>
            <w:pPr>
              <w:spacing w:line="460" w:lineRule="atLeast"/>
              <w:jc w:val="center"/>
              <w:rPr>
                <w:rFonts w:hint="eastAsia" w:ascii="宋体" w:eastAsia="宋体"/>
                <w:b w:val="0"/>
                <w:color w:val="auto"/>
                <w:sz w:val="22"/>
                <w:szCs w:val="22"/>
                <w:highlight w:val="none"/>
              </w:rPr>
            </w:pPr>
          </w:p>
        </w:tc>
        <w:tc>
          <w:tcPr>
            <w:tcW w:w="1079" w:type="dxa"/>
            <w:noWrap w:val="0"/>
            <w:vAlign w:val="center"/>
          </w:tcPr>
          <w:p>
            <w:pPr>
              <w:spacing w:line="460" w:lineRule="atLeast"/>
              <w:jc w:val="center"/>
              <w:rPr>
                <w:rFonts w:hint="eastAsia" w:ascii="宋体" w:eastAsia="宋体"/>
                <w:b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pPr>
              <w:spacing w:line="460" w:lineRule="atLeast"/>
              <w:jc w:val="center"/>
              <w:rPr>
                <w:rFonts w:hint="eastAsia" w:ascii="宋体" w:eastAsia="宋体"/>
                <w:b w:val="0"/>
                <w:color w:val="auto"/>
                <w:sz w:val="22"/>
                <w:szCs w:val="22"/>
                <w:highlight w:val="none"/>
              </w:rPr>
            </w:pPr>
          </w:p>
        </w:tc>
        <w:tc>
          <w:tcPr>
            <w:tcW w:w="2713" w:type="dxa"/>
            <w:noWrap w:val="0"/>
            <w:vAlign w:val="center"/>
          </w:tcPr>
          <w:p>
            <w:pPr>
              <w:spacing w:line="460" w:lineRule="atLeast"/>
              <w:jc w:val="center"/>
              <w:rPr>
                <w:rFonts w:hint="eastAsia" w:ascii="宋体" w:eastAsia="宋体"/>
                <w:b w:val="0"/>
                <w:color w:val="auto"/>
                <w:sz w:val="22"/>
                <w:szCs w:val="22"/>
                <w:highlight w:val="none"/>
              </w:rPr>
            </w:pPr>
          </w:p>
        </w:tc>
        <w:tc>
          <w:tcPr>
            <w:tcW w:w="816" w:type="dxa"/>
            <w:noWrap w:val="0"/>
            <w:vAlign w:val="center"/>
          </w:tcPr>
          <w:p>
            <w:pPr>
              <w:spacing w:line="460" w:lineRule="atLeast"/>
              <w:jc w:val="center"/>
              <w:rPr>
                <w:rFonts w:hint="eastAsia" w:ascii="宋体" w:eastAsia="宋体"/>
                <w:b w:val="0"/>
                <w:color w:val="auto"/>
                <w:sz w:val="22"/>
                <w:szCs w:val="22"/>
                <w:highlight w:val="none"/>
              </w:rPr>
            </w:pPr>
          </w:p>
        </w:tc>
        <w:tc>
          <w:tcPr>
            <w:tcW w:w="1259" w:type="dxa"/>
            <w:noWrap w:val="0"/>
            <w:vAlign w:val="center"/>
          </w:tcPr>
          <w:p>
            <w:pPr>
              <w:spacing w:line="460" w:lineRule="atLeast"/>
              <w:jc w:val="center"/>
              <w:rPr>
                <w:rFonts w:hint="eastAsia" w:ascii="宋体" w:eastAsia="宋体"/>
                <w:b w:val="0"/>
                <w:color w:val="auto"/>
                <w:sz w:val="22"/>
                <w:szCs w:val="22"/>
                <w:highlight w:val="none"/>
              </w:rPr>
            </w:pPr>
          </w:p>
        </w:tc>
        <w:tc>
          <w:tcPr>
            <w:tcW w:w="1079" w:type="dxa"/>
            <w:noWrap w:val="0"/>
            <w:vAlign w:val="center"/>
          </w:tcPr>
          <w:p>
            <w:pPr>
              <w:spacing w:line="460" w:lineRule="atLeast"/>
              <w:jc w:val="center"/>
              <w:rPr>
                <w:rFonts w:hint="eastAsia" w:ascii="宋体" w:eastAsia="宋体"/>
                <w:b w:val="0"/>
                <w:color w:val="auto"/>
                <w:sz w:val="22"/>
                <w:szCs w:val="22"/>
                <w:highlight w:val="none"/>
              </w:rPr>
            </w:pPr>
          </w:p>
        </w:tc>
        <w:tc>
          <w:tcPr>
            <w:tcW w:w="1079" w:type="dxa"/>
            <w:noWrap w:val="0"/>
            <w:vAlign w:val="center"/>
          </w:tcPr>
          <w:p>
            <w:pPr>
              <w:spacing w:line="460" w:lineRule="atLeast"/>
              <w:jc w:val="center"/>
              <w:rPr>
                <w:rFonts w:hint="eastAsia" w:ascii="宋体" w:eastAsia="宋体"/>
                <w:b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pPr>
              <w:spacing w:line="460" w:lineRule="atLeast"/>
              <w:jc w:val="center"/>
              <w:rPr>
                <w:rFonts w:hint="eastAsia" w:ascii="宋体" w:eastAsia="宋体"/>
                <w:b w:val="0"/>
                <w:color w:val="auto"/>
                <w:sz w:val="22"/>
                <w:szCs w:val="22"/>
                <w:highlight w:val="none"/>
              </w:rPr>
            </w:pPr>
          </w:p>
        </w:tc>
        <w:tc>
          <w:tcPr>
            <w:tcW w:w="2713" w:type="dxa"/>
            <w:noWrap w:val="0"/>
            <w:vAlign w:val="center"/>
          </w:tcPr>
          <w:p>
            <w:pPr>
              <w:spacing w:line="460" w:lineRule="atLeast"/>
              <w:jc w:val="center"/>
              <w:rPr>
                <w:rFonts w:hint="eastAsia" w:ascii="宋体" w:eastAsia="宋体"/>
                <w:b w:val="0"/>
                <w:color w:val="auto"/>
                <w:sz w:val="22"/>
                <w:szCs w:val="22"/>
                <w:highlight w:val="none"/>
              </w:rPr>
            </w:pPr>
          </w:p>
        </w:tc>
        <w:tc>
          <w:tcPr>
            <w:tcW w:w="816" w:type="dxa"/>
            <w:noWrap w:val="0"/>
            <w:vAlign w:val="center"/>
          </w:tcPr>
          <w:p>
            <w:pPr>
              <w:spacing w:line="460" w:lineRule="atLeast"/>
              <w:jc w:val="center"/>
              <w:rPr>
                <w:rFonts w:hint="eastAsia" w:ascii="宋体" w:eastAsia="宋体"/>
                <w:b w:val="0"/>
                <w:color w:val="auto"/>
                <w:sz w:val="22"/>
                <w:szCs w:val="22"/>
                <w:highlight w:val="none"/>
              </w:rPr>
            </w:pPr>
          </w:p>
        </w:tc>
        <w:tc>
          <w:tcPr>
            <w:tcW w:w="1259" w:type="dxa"/>
            <w:noWrap w:val="0"/>
            <w:vAlign w:val="center"/>
          </w:tcPr>
          <w:p>
            <w:pPr>
              <w:spacing w:line="460" w:lineRule="atLeast"/>
              <w:jc w:val="center"/>
              <w:rPr>
                <w:rFonts w:hint="eastAsia" w:ascii="宋体" w:eastAsia="宋体"/>
                <w:b w:val="0"/>
                <w:color w:val="auto"/>
                <w:sz w:val="22"/>
                <w:szCs w:val="22"/>
                <w:highlight w:val="none"/>
              </w:rPr>
            </w:pPr>
          </w:p>
        </w:tc>
        <w:tc>
          <w:tcPr>
            <w:tcW w:w="1079" w:type="dxa"/>
            <w:noWrap w:val="0"/>
            <w:vAlign w:val="center"/>
          </w:tcPr>
          <w:p>
            <w:pPr>
              <w:spacing w:line="460" w:lineRule="atLeast"/>
              <w:jc w:val="center"/>
              <w:rPr>
                <w:rFonts w:hint="eastAsia" w:ascii="宋体" w:eastAsia="宋体"/>
                <w:b w:val="0"/>
                <w:color w:val="auto"/>
                <w:sz w:val="22"/>
                <w:szCs w:val="22"/>
                <w:highlight w:val="none"/>
              </w:rPr>
            </w:pPr>
          </w:p>
        </w:tc>
        <w:tc>
          <w:tcPr>
            <w:tcW w:w="1079" w:type="dxa"/>
            <w:noWrap w:val="0"/>
            <w:vAlign w:val="center"/>
          </w:tcPr>
          <w:p>
            <w:pPr>
              <w:spacing w:line="460" w:lineRule="atLeast"/>
              <w:jc w:val="center"/>
              <w:rPr>
                <w:rFonts w:hint="eastAsia" w:ascii="宋体" w:eastAsia="宋体"/>
                <w:b w:val="0"/>
                <w:color w:val="auto"/>
                <w:sz w:val="22"/>
                <w:szCs w:val="22"/>
                <w:highlight w:val="none"/>
              </w:rPr>
            </w:pPr>
          </w:p>
        </w:tc>
      </w:tr>
    </w:tbl>
    <w:p>
      <w:pPr>
        <w:pStyle w:val="28"/>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第二条：质量标准和要求</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28"/>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2、 中标供应商所出售的货物还应符合国家和浙江省有关安全、环保、卫生之规定。</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第三条：权利瑕疵担保</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1、中标供应商保证对其出售的货物享有合法的权利。</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2、中标供应商保证在其出售的货物上不存在任何未曾向采购人透露的担保物权，如抵押权、质押权、留置权等。</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3、中标供应商保证其所出售的货物没有侵犯任何第三人的知识产权和商业秘密等权利。</w:t>
      </w:r>
    </w:p>
    <w:p>
      <w:pPr>
        <w:pStyle w:val="28"/>
        <w:spacing w:line="460" w:lineRule="atLeast"/>
        <w:ind w:firstLine="440" w:firstLineChars="200"/>
        <w:rPr>
          <w:rFonts w:hint="eastAsia" w:hAnsi="宋体" w:eastAsia="宋体"/>
          <w:b w:val="0"/>
          <w:color w:val="auto"/>
          <w:sz w:val="22"/>
          <w:szCs w:val="22"/>
          <w:highlight w:val="none"/>
        </w:rPr>
      </w:pPr>
      <w:r>
        <w:rPr>
          <w:rFonts w:hint="eastAsia" w:hAnsi="宋体" w:eastAsia="宋体"/>
          <w:b w:val="0"/>
          <w:color w:val="auto"/>
          <w:sz w:val="22"/>
          <w:szCs w:val="22"/>
          <w:highlight w:val="none"/>
        </w:rPr>
        <w:t>4、如采购人使用该货物构成上述侵权的，则由中标供应商承担全部责任。</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第四条：包装要求</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1、中标供应商所出售的全部货物均应按标准保护措施进行包装，这类包装应适应于远距离运输、防潮、防震、防锈和防野蛮装卸等要求，以确保货物安全无损地运抵指定现场。</w:t>
      </w:r>
    </w:p>
    <w:p>
      <w:pPr>
        <w:pStyle w:val="28"/>
        <w:spacing w:line="460" w:lineRule="atLeast"/>
        <w:ind w:firstLine="360"/>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 2、每一个包装箱内应附一份详细装箱单、质量证书和保修保养证书。</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第五条：供货期限</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中标供应商负责202  年 月  日前完成交货，202  年 月  日前调试验收合格。</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第六条：供货方式</w:t>
      </w:r>
    </w:p>
    <w:p>
      <w:pPr>
        <w:spacing w:line="460" w:lineRule="atLeast"/>
        <w:ind w:firstLine="555"/>
        <w:rPr>
          <w:rFonts w:hint="eastAsia" w:ascii="宋体" w:eastAsia="宋体"/>
          <w:b w:val="0"/>
          <w:color w:val="auto"/>
          <w:sz w:val="22"/>
          <w:szCs w:val="22"/>
          <w:highlight w:val="none"/>
        </w:rPr>
      </w:pPr>
      <w:r>
        <w:rPr>
          <w:rFonts w:hint="eastAsia" w:ascii="宋体" w:eastAsia="宋体"/>
          <w:b w:val="0"/>
          <w:color w:val="auto"/>
          <w:sz w:val="22"/>
          <w:szCs w:val="22"/>
          <w:highlight w:val="none"/>
        </w:rPr>
        <w:t>在供货期限内，中标供应商在与采购人签署合同后，保证在</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个日历天内派人送货至采购人指定地点。</w:t>
      </w:r>
    </w:p>
    <w:p>
      <w:pPr>
        <w:pStyle w:val="28"/>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第七条：验收</w:t>
      </w:r>
    </w:p>
    <w:p>
      <w:pPr>
        <w:spacing w:line="460" w:lineRule="atLeast"/>
        <w:ind w:firstLine="480"/>
        <w:rPr>
          <w:rFonts w:hint="eastAsia" w:ascii="宋体" w:eastAsia="宋体"/>
          <w:color w:val="auto"/>
          <w:sz w:val="22"/>
          <w:szCs w:val="22"/>
          <w:highlight w:val="none"/>
        </w:rPr>
      </w:pPr>
      <w:r>
        <w:rPr>
          <w:rFonts w:hint="eastAsia" w:ascii="宋体" w:eastAsia="宋体"/>
          <w:color w:val="auto"/>
          <w:sz w:val="22"/>
          <w:szCs w:val="22"/>
          <w:highlight w:val="none"/>
        </w:rPr>
        <w:t>1、本项目验收程序参照温州市财政局关于印发《温州市政府采购履约验收办法》（温财采〔2020〕6号 ）文件执行。</w:t>
      </w:r>
    </w:p>
    <w:p>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2</w:t>
      </w:r>
      <w:r>
        <w:rPr>
          <w:rFonts w:hint="eastAsia" w:ascii="宋体" w:eastAsia="宋体"/>
          <w:b w:val="0"/>
          <w:color w:val="auto"/>
          <w:sz w:val="22"/>
          <w:szCs w:val="22"/>
          <w:highlight w:val="none"/>
        </w:rPr>
        <w:t>、中标供应商送货至指定地点后，由采购人根据货物的技术规格要求和质量标准，对货物进行检查验收。</w:t>
      </w:r>
    </w:p>
    <w:p>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3</w:t>
      </w:r>
      <w:r>
        <w:rPr>
          <w:rFonts w:hint="eastAsia" w:ascii="宋体" w:eastAsia="宋体"/>
          <w:b w:val="0"/>
          <w:color w:val="auto"/>
          <w:sz w:val="22"/>
          <w:szCs w:val="22"/>
          <w:highlight w:val="none"/>
        </w:rPr>
        <w:t>、货物的数量不足或表面瑕疵，采购人应在验收时当面提出；对质量问题有异议的应在安装调试后10个工作日内提出。</w:t>
      </w:r>
    </w:p>
    <w:p>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4</w:t>
      </w:r>
      <w:r>
        <w:rPr>
          <w:rFonts w:hint="eastAsia" w:ascii="宋体" w:eastAsia="宋体"/>
          <w:b w:val="0"/>
          <w:color w:val="auto"/>
          <w:sz w:val="22"/>
          <w:szCs w:val="22"/>
          <w:highlight w:val="none"/>
        </w:rPr>
        <w:t>、在验收过程中发现数量不足或有质量、技术等问题，中标供应商应负责按照采购人的要求采取补足、更换或退货等处理措施，并承担由此发生的一切费用和损失。</w:t>
      </w:r>
    </w:p>
    <w:p>
      <w:pPr>
        <w:spacing w:line="460" w:lineRule="atLeast"/>
        <w:ind w:firstLine="480"/>
        <w:rPr>
          <w:rFonts w:ascii="宋体" w:eastAsia="宋体"/>
          <w:b w:val="0"/>
          <w:color w:val="auto"/>
          <w:sz w:val="22"/>
          <w:szCs w:val="22"/>
          <w:highlight w:val="none"/>
        </w:rPr>
      </w:pPr>
      <w:r>
        <w:rPr>
          <w:rFonts w:ascii="宋体" w:eastAsia="宋体"/>
          <w:b w:val="0"/>
          <w:color w:val="auto"/>
          <w:sz w:val="22"/>
          <w:szCs w:val="22"/>
          <w:highlight w:val="none"/>
        </w:rPr>
        <w:t>5</w:t>
      </w:r>
      <w:r>
        <w:rPr>
          <w:rFonts w:hint="eastAsia" w:ascii="宋体" w:eastAsia="宋体"/>
          <w:b w:val="0"/>
          <w:color w:val="auto"/>
          <w:sz w:val="22"/>
          <w:szCs w:val="22"/>
          <w:highlight w:val="none"/>
        </w:rPr>
        <w:t>、采购人在中标供应商按合同规定交货和安装、调试后，无正当理由而拖延接收、验收或拒绝接收、验收的，应承担由此而造成的中标供应商直接损失。</w:t>
      </w:r>
    </w:p>
    <w:p>
      <w:pPr>
        <w:pStyle w:val="28"/>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第八条：售后服务</w:t>
      </w:r>
    </w:p>
    <w:p>
      <w:pPr>
        <w:pStyle w:val="28"/>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中标供应商承诺售后服务按照投标承诺的服务计划实施，包括培训。</w:t>
      </w:r>
    </w:p>
    <w:p>
      <w:pPr>
        <w:pStyle w:val="28"/>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第九条：履约保证金</w:t>
      </w:r>
    </w:p>
    <w:p>
      <w:pPr>
        <w:widowControl/>
        <w:autoSpaceDE w:val="0"/>
        <w:autoSpaceDN w:val="0"/>
        <w:adjustRightInd w:val="0"/>
        <w:spacing w:line="460" w:lineRule="atLeast"/>
        <w:ind w:firstLine="442" w:firstLineChars="200"/>
        <w:textAlignment w:val="bottom"/>
        <w:rPr>
          <w:rFonts w:ascii="宋体" w:eastAsia="宋体"/>
          <w:b/>
          <w:bCs/>
          <w:color w:val="auto"/>
          <w:sz w:val="22"/>
          <w:szCs w:val="22"/>
          <w:highlight w:val="none"/>
        </w:rPr>
      </w:pPr>
      <w:r>
        <w:rPr>
          <w:rFonts w:hint="eastAsia" w:ascii="宋体" w:eastAsia="宋体"/>
          <w:color w:val="auto"/>
          <w:sz w:val="22"/>
          <w:szCs w:val="22"/>
          <w:highlight w:val="none"/>
          <w:u w:val="single"/>
        </w:rPr>
        <w:t>在合同签订后5日内中标供应商应提供合同总金额1%的履约保证金</w:t>
      </w:r>
      <w:r>
        <w:rPr>
          <w:rFonts w:hint="eastAsia" w:ascii="宋体" w:eastAsia="宋体"/>
          <w:color w:val="auto"/>
          <w:sz w:val="22"/>
          <w:szCs w:val="22"/>
          <w:highlight w:val="none"/>
          <w:u w:val="single"/>
          <w:lang w:eastAsia="zh-CN"/>
        </w:rPr>
        <w:t>。</w:t>
      </w:r>
    </w:p>
    <w:p>
      <w:pPr>
        <w:pStyle w:val="28"/>
        <w:spacing w:line="460" w:lineRule="atLeast"/>
        <w:rPr>
          <w:rFonts w:hint="eastAsia" w:hAnsi="宋体" w:eastAsia="宋体"/>
          <w:b w:val="0"/>
          <w:color w:val="auto"/>
          <w:sz w:val="22"/>
          <w:szCs w:val="22"/>
          <w:highlight w:val="none"/>
          <w:lang w:eastAsia="zh-CN"/>
        </w:rPr>
      </w:pPr>
      <w:r>
        <w:rPr>
          <w:rFonts w:hint="eastAsia" w:hAnsi="宋体" w:eastAsia="宋体"/>
          <w:b w:val="0"/>
          <w:color w:val="auto"/>
          <w:sz w:val="22"/>
          <w:szCs w:val="22"/>
          <w:highlight w:val="none"/>
        </w:rPr>
        <w:t>第十条：货款的支付</w:t>
      </w:r>
      <w:r>
        <w:rPr>
          <w:rFonts w:hint="eastAsia" w:hAnsi="宋体" w:eastAsia="宋体"/>
          <w:b w:val="0"/>
          <w:color w:val="auto"/>
          <w:sz w:val="22"/>
          <w:szCs w:val="22"/>
          <w:highlight w:val="none"/>
          <w:lang w:eastAsia="zh-CN"/>
        </w:rPr>
        <w:t>及供货日期</w:t>
      </w:r>
    </w:p>
    <w:p>
      <w:pPr>
        <w:widowControl/>
        <w:numPr>
          <w:ilvl w:val="0"/>
          <w:numId w:val="0"/>
        </w:numPr>
        <w:autoSpaceDE w:val="0"/>
        <w:autoSpaceDN w:val="0"/>
        <w:adjustRightInd w:val="0"/>
        <w:spacing w:line="460" w:lineRule="atLeast"/>
        <w:ind w:firstLine="442" w:firstLineChars="200"/>
        <w:textAlignment w:val="bottom"/>
        <w:rPr>
          <w:rFonts w:hint="eastAsia" w:ascii="宋体" w:eastAsia="宋体"/>
          <w:color w:val="auto"/>
          <w:sz w:val="22"/>
          <w:szCs w:val="22"/>
          <w:highlight w:val="none"/>
          <w:lang w:eastAsia="zh-CN"/>
        </w:rPr>
      </w:pPr>
      <w:r>
        <w:rPr>
          <w:rFonts w:hint="eastAsia" w:ascii="宋体" w:eastAsia="宋体"/>
          <w:color w:val="auto"/>
          <w:sz w:val="22"/>
          <w:szCs w:val="22"/>
          <w:highlight w:val="none"/>
        </w:rPr>
        <w:t>1、</w:t>
      </w:r>
      <w:r>
        <w:rPr>
          <w:rFonts w:hint="eastAsia" w:ascii="宋体" w:eastAsia="宋体"/>
          <w:color w:val="auto"/>
          <w:sz w:val="22"/>
          <w:szCs w:val="22"/>
          <w:highlight w:val="none"/>
          <w:lang w:eastAsia="zh-CN"/>
        </w:rPr>
        <w:t>供货日期：</w:t>
      </w:r>
    </w:p>
    <w:p>
      <w:pPr>
        <w:spacing w:line="460" w:lineRule="atLeast"/>
        <w:ind w:firstLine="418" w:firstLineChars="190"/>
        <w:rPr>
          <w:rFonts w:hint="eastAsia" w:ascii="宋体" w:hAnsi="宋体" w:eastAsia="宋体" w:cs="宋体"/>
          <w:b/>
          <w:bCs w:val="0"/>
          <w:color w:val="auto"/>
          <w:sz w:val="22"/>
          <w:szCs w:val="22"/>
          <w:highlight w:val="none"/>
          <w:u w:val="single"/>
          <w:lang w:eastAsia="zh-CN"/>
        </w:rPr>
      </w:pPr>
      <w:r>
        <w:rPr>
          <w:rFonts w:hint="eastAsia" w:ascii="宋体" w:eastAsia="宋体" w:cs="Arial"/>
          <w:b w:val="0"/>
          <w:color w:val="auto"/>
          <w:sz w:val="22"/>
          <w:szCs w:val="22"/>
          <w:highlight w:val="none"/>
          <w:u w:val="single"/>
        </w:rPr>
        <w:t>▲</w:t>
      </w:r>
      <w:r>
        <w:rPr>
          <w:rFonts w:hint="eastAsia" w:ascii="宋体" w:eastAsia="宋体"/>
          <w:color w:val="auto"/>
          <w:sz w:val="22"/>
          <w:szCs w:val="22"/>
          <w:highlight w:val="none"/>
          <w:u w:val="single"/>
        </w:rPr>
        <w:t>在合同签订后15个日历天内开始供货，</w:t>
      </w:r>
      <w:r>
        <w:rPr>
          <w:rFonts w:hint="eastAsia" w:ascii="宋体" w:eastAsia="宋体"/>
          <w:color w:val="auto"/>
          <w:sz w:val="22"/>
          <w:szCs w:val="22"/>
          <w:highlight w:val="none"/>
          <w:u w:val="single"/>
          <w:lang w:val="en-US" w:eastAsia="zh-CN"/>
        </w:rPr>
        <w:t>3个月</w:t>
      </w:r>
      <w:r>
        <w:rPr>
          <w:rFonts w:hint="eastAsia" w:ascii="宋体" w:eastAsia="宋体"/>
          <w:color w:val="auto"/>
          <w:sz w:val="22"/>
          <w:szCs w:val="22"/>
          <w:highlight w:val="none"/>
          <w:u w:val="single"/>
        </w:rPr>
        <w:t>内供货完毕并调试验收合格。</w:t>
      </w:r>
    </w:p>
    <w:p>
      <w:pPr>
        <w:widowControl/>
        <w:autoSpaceDE w:val="0"/>
        <w:autoSpaceDN w:val="0"/>
        <w:adjustRightInd w:val="0"/>
        <w:spacing w:line="460" w:lineRule="atLeast"/>
        <w:ind w:firstLine="442" w:firstLineChars="200"/>
        <w:textAlignment w:val="bottom"/>
        <w:rPr>
          <w:rFonts w:ascii="宋体" w:eastAsia="宋体"/>
          <w:color w:val="auto"/>
          <w:sz w:val="22"/>
          <w:szCs w:val="22"/>
          <w:highlight w:val="none"/>
        </w:rPr>
      </w:pPr>
      <w:r>
        <w:rPr>
          <w:rFonts w:hint="eastAsia" w:ascii="宋体" w:eastAsia="宋体"/>
          <w:color w:val="auto"/>
          <w:sz w:val="22"/>
          <w:szCs w:val="22"/>
          <w:highlight w:val="none"/>
          <w:lang w:val="en-US" w:eastAsia="zh-CN"/>
        </w:rPr>
        <w:t>2、</w:t>
      </w:r>
      <w:r>
        <w:rPr>
          <w:rFonts w:hint="eastAsia" w:ascii="宋体" w:eastAsia="宋体"/>
          <w:color w:val="auto"/>
          <w:sz w:val="22"/>
          <w:szCs w:val="22"/>
          <w:highlight w:val="none"/>
        </w:rPr>
        <w:t xml:space="preserve">付款方式： </w:t>
      </w:r>
    </w:p>
    <w:p>
      <w:pPr>
        <w:snapToGrid w:val="0"/>
        <w:spacing w:line="450" w:lineRule="atLeast"/>
        <w:ind w:firstLine="442" w:firstLineChars="200"/>
        <w:rPr>
          <w:rFonts w:hint="eastAsia" w:ascii="宋体" w:hAnsi="宋体" w:eastAsia="宋体" w:cs="宋体"/>
          <w:b/>
          <w:bCs w:val="0"/>
          <w:color w:val="auto"/>
          <w:sz w:val="22"/>
          <w:highlight w:val="none"/>
        </w:rPr>
      </w:pPr>
      <w:r>
        <w:rPr>
          <w:rFonts w:hint="eastAsia" w:ascii="宋体" w:eastAsia="宋体"/>
          <w:color w:val="auto"/>
          <w:sz w:val="22"/>
          <w:szCs w:val="22"/>
          <w:highlight w:val="none"/>
          <w:u w:val="single"/>
        </w:rPr>
        <w:t>在合同签订后</w:t>
      </w:r>
      <w:r>
        <w:rPr>
          <w:rFonts w:hint="eastAsia" w:ascii="宋体" w:eastAsia="宋体"/>
          <w:color w:val="auto"/>
          <w:sz w:val="22"/>
          <w:szCs w:val="22"/>
          <w:highlight w:val="none"/>
          <w:u w:val="single"/>
          <w:lang w:val="en-US" w:eastAsia="zh-CN"/>
        </w:rPr>
        <w:t>7个工作日</w:t>
      </w:r>
      <w:r>
        <w:rPr>
          <w:rFonts w:hint="eastAsia" w:ascii="宋体" w:eastAsia="宋体"/>
          <w:color w:val="auto"/>
          <w:sz w:val="22"/>
          <w:szCs w:val="22"/>
          <w:highlight w:val="none"/>
          <w:u w:val="single"/>
        </w:rPr>
        <w:t>内中标供应商应提供合同总金额1%的履约保证金</w:t>
      </w:r>
      <w:r>
        <w:rPr>
          <w:rFonts w:hint="eastAsia" w:ascii="宋体" w:eastAsia="宋体"/>
          <w:color w:val="auto"/>
          <w:sz w:val="22"/>
          <w:szCs w:val="22"/>
          <w:highlight w:val="none"/>
          <w:u w:val="single"/>
          <w:lang w:eastAsia="zh-CN"/>
        </w:rPr>
        <w:t>，</w:t>
      </w:r>
      <w:r>
        <w:rPr>
          <w:rFonts w:hint="eastAsia" w:ascii="宋体" w:hAnsi="宋体" w:eastAsia="宋体" w:cs="宋体"/>
          <w:b/>
          <w:bCs w:val="0"/>
          <w:color w:val="auto"/>
          <w:sz w:val="22"/>
          <w:highlight w:val="none"/>
        </w:rPr>
        <w:t>合同签订后，采购人应在七个工作日内支付合同总金额的</w:t>
      </w:r>
      <w:r>
        <w:rPr>
          <w:rFonts w:hint="eastAsia" w:ascii="宋体" w:hAnsi="宋体" w:eastAsia="宋体" w:cs="宋体"/>
          <w:b/>
          <w:bCs w:val="0"/>
          <w:color w:val="auto"/>
          <w:sz w:val="22"/>
          <w:highlight w:val="none"/>
          <w:lang w:val="en-US" w:eastAsia="zh-CN"/>
        </w:rPr>
        <w:t>4</w:t>
      </w:r>
      <w:r>
        <w:rPr>
          <w:rFonts w:hint="eastAsia" w:ascii="宋体" w:hAnsi="宋体" w:eastAsia="宋体" w:cs="宋体"/>
          <w:b/>
          <w:bCs w:val="0"/>
          <w:color w:val="auto"/>
          <w:sz w:val="22"/>
          <w:highlight w:val="none"/>
        </w:rPr>
        <w:t>0%作为</w:t>
      </w:r>
      <w:r>
        <w:rPr>
          <w:rFonts w:hint="eastAsia" w:ascii="宋体" w:hAnsi="宋体" w:eastAsia="宋体" w:cs="宋体"/>
          <w:b/>
          <w:bCs w:val="0"/>
          <w:color w:val="auto"/>
          <w:sz w:val="22"/>
          <w:highlight w:val="none"/>
          <w:lang w:val="en-US" w:eastAsia="zh-CN"/>
        </w:rPr>
        <w:t>预付款</w:t>
      </w:r>
      <w:r>
        <w:rPr>
          <w:rFonts w:hint="eastAsia" w:ascii="宋体" w:hAnsi="宋体" w:eastAsia="宋体" w:cs="宋体"/>
          <w:b/>
          <w:bCs w:val="0"/>
          <w:color w:val="auto"/>
          <w:sz w:val="22"/>
          <w:highlight w:val="none"/>
        </w:rPr>
        <w:t>。</w:t>
      </w:r>
    </w:p>
    <w:p>
      <w:pPr>
        <w:widowControl/>
        <w:autoSpaceDE w:val="0"/>
        <w:autoSpaceDN w:val="0"/>
        <w:adjustRightInd w:val="0"/>
        <w:spacing w:line="460" w:lineRule="atLeast"/>
        <w:ind w:firstLine="442" w:firstLineChars="200"/>
        <w:textAlignment w:val="bottom"/>
        <w:rPr>
          <w:rFonts w:hint="eastAsia" w:ascii="宋体" w:eastAsia="宋体"/>
          <w:b/>
          <w:bCs/>
          <w:color w:val="auto"/>
          <w:sz w:val="22"/>
          <w:szCs w:val="22"/>
          <w:highlight w:val="none"/>
          <w:lang w:eastAsia="zh-CN"/>
        </w:rPr>
      </w:pPr>
      <w:r>
        <w:rPr>
          <w:rFonts w:ascii="宋体" w:eastAsia="宋体"/>
          <w:b/>
          <w:bCs/>
          <w:color w:val="auto"/>
          <w:sz w:val="22"/>
          <w:szCs w:val="22"/>
          <w:highlight w:val="none"/>
        </w:rPr>
        <w:t>完成全部设备供货</w:t>
      </w:r>
      <w:r>
        <w:rPr>
          <w:rFonts w:hint="eastAsia" w:ascii="宋体" w:eastAsia="宋体"/>
          <w:b/>
          <w:bCs/>
          <w:color w:val="auto"/>
          <w:sz w:val="22"/>
          <w:szCs w:val="22"/>
          <w:highlight w:val="none"/>
          <w:lang w:eastAsia="zh-CN"/>
        </w:rPr>
        <w:t>、</w:t>
      </w:r>
      <w:r>
        <w:rPr>
          <w:rFonts w:ascii="宋体" w:eastAsia="宋体"/>
          <w:b/>
          <w:bCs/>
          <w:color w:val="auto"/>
          <w:sz w:val="22"/>
          <w:szCs w:val="22"/>
          <w:highlight w:val="none"/>
        </w:rPr>
        <w:t>施工安装</w:t>
      </w:r>
      <w:r>
        <w:rPr>
          <w:rFonts w:hint="eastAsia" w:ascii="宋体" w:eastAsia="宋体"/>
          <w:b/>
          <w:bCs/>
          <w:color w:val="auto"/>
          <w:sz w:val="22"/>
          <w:szCs w:val="22"/>
          <w:highlight w:val="none"/>
          <w:lang w:eastAsia="zh-CN"/>
        </w:rPr>
        <w:t>、</w:t>
      </w:r>
      <w:r>
        <w:rPr>
          <w:rFonts w:ascii="宋体" w:eastAsia="宋体"/>
          <w:b/>
          <w:bCs/>
          <w:color w:val="auto"/>
          <w:sz w:val="22"/>
          <w:szCs w:val="22"/>
          <w:highlight w:val="none"/>
        </w:rPr>
        <w:t>调试经验收合格通过，</w:t>
      </w:r>
      <w:r>
        <w:rPr>
          <w:rFonts w:hint="eastAsia" w:ascii="宋体" w:eastAsia="宋体"/>
          <w:b/>
          <w:bCs/>
          <w:color w:val="auto"/>
          <w:sz w:val="22"/>
          <w:szCs w:val="22"/>
          <w:highlight w:val="none"/>
          <w:lang w:val="en-US" w:eastAsia="zh-CN"/>
        </w:rPr>
        <w:t>并</w:t>
      </w:r>
      <w:r>
        <w:rPr>
          <w:rFonts w:ascii="宋体" w:eastAsia="宋体"/>
          <w:b/>
          <w:bCs/>
          <w:color w:val="auto"/>
          <w:sz w:val="22"/>
          <w:szCs w:val="22"/>
          <w:highlight w:val="none"/>
        </w:rPr>
        <w:t>出具竣工验收报告</w:t>
      </w:r>
      <w:r>
        <w:rPr>
          <w:rFonts w:hint="eastAsia" w:ascii="宋体" w:eastAsia="宋体"/>
          <w:b/>
          <w:bCs/>
          <w:color w:val="auto"/>
          <w:sz w:val="22"/>
          <w:szCs w:val="22"/>
          <w:highlight w:val="none"/>
        </w:rPr>
        <w:t>（</w:t>
      </w:r>
      <w:r>
        <w:rPr>
          <w:rFonts w:ascii="宋体" w:eastAsia="宋体"/>
          <w:b/>
          <w:bCs/>
          <w:color w:val="auto"/>
          <w:sz w:val="22"/>
          <w:szCs w:val="22"/>
          <w:highlight w:val="none"/>
        </w:rPr>
        <w:t>监理报告</w:t>
      </w:r>
      <w:r>
        <w:rPr>
          <w:rFonts w:hint="eastAsia" w:ascii="宋体" w:eastAsia="宋体"/>
          <w:b/>
          <w:bCs/>
          <w:color w:val="auto"/>
          <w:sz w:val="22"/>
          <w:szCs w:val="22"/>
          <w:highlight w:val="none"/>
        </w:rPr>
        <w:t>）</w:t>
      </w:r>
      <w:r>
        <w:rPr>
          <w:rFonts w:hint="eastAsia" w:ascii="宋体" w:eastAsia="宋体"/>
          <w:b/>
          <w:bCs/>
          <w:color w:val="auto"/>
          <w:sz w:val="22"/>
          <w:szCs w:val="22"/>
          <w:highlight w:val="none"/>
          <w:lang w:val="en-US" w:eastAsia="zh-CN"/>
        </w:rPr>
        <w:t>后</w:t>
      </w:r>
      <w:r>
        <w:rPr>
          <w:rFonts w:ascii="宋体" w:eastAsia="宋体"/>
          <w:b/>
          <w:bCs/>
          <w:color w:val="auto"/>
          <w:sz w:val="22"/>
          <w:szCs w:val="22"/>
          <w:highlight w:val="none"/>
        </w:rPr>
        <w:t>七个工作日内付设备及安装合同总金额的</w:t>
      </w:r>
      <w:r>
        <w:rPr>
          <w:rFonts w:hint="eastAsia" w:ascii="宋体" w:eastAsia="宋体"/>
          <w:b/>
          <w:bCs/>
          <w:color w:val="auto"/>
          <w:sz w:val="22"/>
          <w:szCs w:val="22"/>
          <w:highlight w:val="none"/>
          <w:lang w:val="en-US" w:eastAsia="zh-CN"/>
        </w:rPr>
        <w:t>100</w:t>
      </w:r>
      <w:r>
        <w:rPr>
          <w:rFonts w:ascii="宋体" w:eastAsia="宋体"/>
          <w:b/>
          <w:bCs/>
          <w:color w:val="auto"/>
          <w:sz w:val="22"/>
          <w:szCs w:val="22"/>
          <w:highlight w:val="none"/>
        </w:rPr>
        <w:t>%</w:t>
      </w:r>
      <w:r>
        <w:rPr>
          <w:rFonts w:hint="eastAsia" w:ascii="宋体" w:eastAsia="宋体"/>
          <w:b/>
          <w:bCs/>
          <w:color w:val="auto"/>
          <w:sz w:val="22"/>
          <w:szCs w:val="22"/>
          <w:highlight w:val="none"/>
          <w:lang w:eastAsia="zh-CN"/>
        </w:rPr>
        <w:t>。</w:t>
      </w:r>
    </w:p>
    <w:p>
      <w:pPr>
        <w:widowControl/>
        <w:autoSpaceDE w:val="0"/>
        <w:autoSpaceDN w:val="0"/>
        <w:adjustRightInd w:val="0"/>
        <w:spacing w:line="460" w:lineRule="atLeast"/>
        <w:ind w:firstLine="442" w:firstLineChars="200"/>
        <w:textAlignment w:val="bottom"/>
        <w:rPr>
          <w:rFonts w:ascii="宋体" w:eastAsia="宋体"/>
          <w:b/>
          <w:bCs/>
          <w:color w:val="auto"/>
          <w:sz w:val="22"/>
          <w:szCs w:val="22"/>
          <w:highlight w:val="none"/>
        </w:rPr>
      </w:pPr>
      <w:r>
        <w:rPr>
          <w:rFonts w:hint="eastAsia" w:ascii="宋体" w:eastAsia="宋体"/>
          <w:b/>
          <w:bCs/>
          <w:color w:val="auto"/>
          <w:sz w:val="22"/>
          <w:szCs w:val="22"/>
          <w:highlight w:val="none"/>
          <w:lang w:val="en-US" w:eastAsia="zh-CN"/>
        </w:rPr>
        <w:t>维保期满7个工作日内采购人</w:t>
      </w:r>
      <w:r>
        <w:rPr>
          <w:rFonts w:hint="eastAsia" w:ascii="宋体" w:eastAsia="宋体"/>
          <w:b/>
          <w:bCs/>
          <w:color w:val="auto"/>
          <w:sz w:val="22"/>
          <w:szCs w:val="22"/>
          <w:highlight w:val="none"/>
        </w:rPr>
        <w:t>无息退还履约保证金</w:t>
      </w:r>
      <w:r>
        <w:rPr>
          <w:rFonts w:hint="eastAsia" w:ascii="宋体" w:eastAsia="宋体"/>
          <w:b/>
          <w:bCs/>
          <w:color w:val="auto"/>
          <w:sz w:val="22"/>
          <w:szCs w:val="22"/>
          <w:highlight w:val="none"/>
          <w:lang w:eastAsia="zh-CN"/>
        </w:rPr>
        <w:t>（</w:t>
      </w:r>
      <w:r>
        <w:rPr>
          <w:rFonts w:hint="eastAsia" w:ascii="宋体" w:eastAsia="宋体"/>
          <w:b/>
          <w:bCs/>
          <w:color w:val="auto"/>
          <w:sz w:val="22"/>
          <w:szCs w:val="22"/>
          <w:highlight w:val="none"/>
          <w:lang w:val="en-US" w:eastAsia="zh-CN"/>
        </w:rPr>
        <w:t>或保函自动作废</w:t>
      </w:r>
      <w:r>
        <w:rPr>
          <w:rFonts w:hint="eastAsia" w:ascii="宋体" w:eastAsia="宋体"/>
          <w:b/>
          <w:bCs/>
          <w:color w:val="auto"/>
          <w:sz w:val="22"/>
          <w:szCs w:val="22"/>
          <w:highlight w:val="none"/>
          <w:lang w:eastAsia="zh-CN"/>
        </w:rPr>
        <w:t>）。</w:t>
      </w:r>
    </w:p>
    <w:p>
      <w:pPr>
        <w:snapToGrid w:val="0"/>
        <w:spacing w:line="450" w:lineRule="atLeast"/>
        <w:ind w:firstLine="440" w:firstLineChars="200"/>
        <w:rPr>
          <w:rFonts w:hint="eastAsia" w:ascii="宋体" w:hAnsi="宋体" w:eastAsia="宋体" w:cs="宋体"/>
          <w:b w:val="0"/>
          <w:bCs/>
          <w:color w:val="auto"/>
          <w:sz w:val="22"/>
        </w:rPr>
      </w:pPr>
      <w:r>
        <w:rPr>
          <w:rFonts w:hint="eastAsia" w:ascii="宋体" w:hAnsi="宋体" w:eastAsia="宋体" w:cs="宋体"/>
          <w:b w:val="0"/>
          <w:bCs/>
          <w:color w:val="auto"/>
          <w:sz w:val="22"/>
          <w:highlight w:val="none"/>
        </w:rPr>
        <w:t>说明:（1）根据浙江省财政厅文件《浙江省财政厅关于进一步发挥政府采购政策功能全力推动经济稳进提质的通知》（浙财采监[2022]3号）的规定“在签订合同时，供应商明确表示无需预付款或者主动要求降低预付款比例的</w:t>
      </w:r>
      <w:r>
        <w:rPr>
          <w:rFonts w:hint="eastAsia" w:ascii="宋体" w:hAnsi="宋体" w:eastAsia="宋体" w:cs="宋体"/>
          <w:b w:val="0"/>
          <w:bCs/>
          <w:color w:val="auto"/>
          <w:sz w:val="22"/>
        </w:rPr>
        <w:t>，采购单位可不适用前述规定”。</w:t>
      </w:r>
    </w:p>
    <w:p>
      <w:pPr>
        <w:snapToGrid w:val="0"/>
        <w:spacing w:line="450" w:lineRule="atLeast"/>
        <w:ind w:firstLine="440" w:firstLineChars="200"/>
        <w:rPr>
          <w:rFonts w:hint="eastAsia" w:ascii="宋体" w:hAnsi="宋体" w:eastAsia="宋体" w:cs="宋体"/>
          <w:b w:val="0"/>
          <w:bCs/>
          <w:color w:val="auto"/>
          <w:sz w:val="22"/>
        </w:rPr>
      </w:pPr>
      <w:r>
        <w:rPr>
          <w:rFonts w:hint="eastAsia" w:ascii="宋体" w:hAnsi="宋体" w:eastAsia="宋体" w:cs="宋体"/>
          <w:b w:val="0"/>
          <w:bCs/>
          <w:color w:val="auto"/>
          <w:sz w:val="22"/>
        </w:rPr>
        <w:t>（2）对于满足合同支付约定条件的，采购人于收到中标供应商开具的正式税务发票后7个工作日内予以支付相应合同价款，具体视财政资金到位情况为准。</w:t>
      </w:r>
    </w:p>
    <w:p>
      <w:pPr>
        <w:snapToGrid w:val="0"/>
        <w:spacing w:line="450" w:lineRule="atLeast"/>
        <w:ind w:firstLine="440" w:firstLineChars="200"/>
        <w:rPr>
          <w:rFonts w:hint="eastAsia" w:ascii="宋体" w:hAnsi="宋体" w:eastAsia="宋体" w:cs="宋体"/>
          <w:b w:val="0"/>
          <w:bCs/>
          <w:color w:val="auto"/>
          <w:sz w:val="22"/>
        </w:rPr>
      </w:pPr>
      <w:r>
        <w:rPr>
          <w:rFonts w:hint="eastAsia" w:ascii="宋体" w:hAnsi="宋体" w:eastAsia="宋体" w:cs="宋体"/>
          <w:b w:val="0"/>
          <w:bCs/>
          <w:color w:val="auto"/>
          <w:sz w:val="22"/>
        </w:rPr>
        <w:t>（3）本项目的经费由政府拨款，如因拨款未能及时到位，中标供应商不得以此为由而不履行本项目规定的义务。如因财政资金拨付原因，预付款可能会延缓支付或不予支付，供应商报价时充分考虑，自行承担垫资风险。</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color w:val="auto"/>
          <w:sz w:val="22"/>
        </w:rPr>
        <w:t>（4）</w:t>
      </w:r>
      <w:r>
        <w:rPr>
          <w:rFonts w:hint="eastAsia" w:ascii="宋体" w:hAnsi="宋体" w:eastAsia="宋体" w:cs="宋体"/>
          <w:b w:val="0"/>
          <w:color w:val="auto"/>
          <w:sz w:val="22"/>
          <w:lang w:val="zh-CN" w:eastAsia="zh-CN"/>
        </w:rPr>
        <w:t>如在合同签订期间及合同签订后，现代服务业增值税税率发生变化的，本合同总价保持不变，不含税综合单价相应调整。</w:t>
      </w:r>
    </w:p>
    <w:p>
      <w:pPr>
        <w:spacing w:line="460" w:lineRule="atLeast"/>
        <w:ind w:firstLine="418" w:firstLineChars="190"/>
        <w:rPr>
          <w:rFonts w:eastAsia="宋体"/>
          <w:color w:val="auto"/>
          <w:highlight w:val="none"/>
        </w:rPr>
      </w:pPr>
      <w:r>
        <w:rPr>
          <w:rFonts w:hint="eastAsia" w:ascii="宋体" w:hAnsi="宋体" w:eastAsia="宋体" w:cs="宋体"/>
          <w:b w:val="0"/>
          <w:sz w:val="22"/>
          <w:szCs w:val="22"/>
          <w:highlight w:val="none"/>
        </w:rPr>
        <w:t>因财政国</w:t>
      </w:r>
      <w:r>
        <w:rPr>
          <w:rFonts w:hint="eastAsia" w:ascii="宋体" w:eastAsia="宋体"/>
          <w:b w:val="0"/>
          <w:sz w:val="22"/>
          <w:szCs w:val="22"/>
          <w:highlight w:val="none"/>
        </w:rPr>
        <w:t>库库款能力不足等情势变更情况导致无法执行相关文件要求的支付比例，采购人与中标供应商应根据实际情况另行协商约定。</w:t>
      </w:r>
    </w:p>
    <w:p>
      <w:pPr>
        <w:pStyle w:val="28"/>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第十一条：辅助服务</w:t>
      </w:r>
    </w:p>
    <w:p>
      <w:pPr>
        <w:spacing w:line="460" w:lineRule="atLeas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中标供应商应提交所提供货物的技术文件，包括相应的每一套设备的中文技术文件，例如：产品目录、图纸、操作手册、使用说明、维护手册和/或服务指南。这些文件应包装好随同货物一起发运。</w:t>
      </w:r>
    </w:p>
    <w:p>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中标供应商还应提供下列服务：</w:t>
      </w:r>
    </w:p>
    <w:p>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（1）货物的现场指导安装、调试、启动监督及技术支持；</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（2）在厂家和/或项目现场就货物的指导安装、启动、运营、维护对采购人操作人员进行培训。辅助服务的费用包含在合同价中，采购人不再另行支付。</w:t>
      </w:r>
    </w:p>
    <w:p>
      <w:pPr>
        <w:spacing w:line="460" w:lineRule="atLeast"/>
        <w:ind w:left="-360" w:firstLine="360"/>
        <w:rPr>
          <w:rFonts w:hint="eastAsia" w:ascii="宋体" w:eastAsia="宋体"/>
          <w:b w:val="0"/>
          <w:color w:val="auto"/>
          <w:sz w:val="22"/>
          <w:szCs w:val="22"/>
          <w:highlight w:val="none"/>
        </w:rPr>
      </w:pPr>
      <w:r>
        <w:rPr>
          <w:rFonts w:hint="eastAsia" w:ascii="宋体" w:eastAsia="宋体"/>
          <w:b w:val="0"/>
          <w:color w:val="auto"/>
          <w:sz w:val="22"/>
          <w:szCs w:val="22"/>
          <w:highlight w:val="none"/>
        </w:rPr>
        <w:t>第十二条：质量保证</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ascii="宋体" w:eastAsia="宋体"/>
          <w:color w:val="auto"/>
          <w:sz w:val="22"/>
          <w:szCs w:val="22"/>
          <w:highlight w:val="none"/>
          <w:u w:val="single"/>
        </w:rPr>
        <w:t xml:space="preserve">  </w:t>
      </w:r>
      <w:r>
        <w:rPr>
          <w:rFonts w:hint="eastAsia" w:ascii="宋体" w:eastAsia="宋体"/>
          <w:b w:val="0"/>
          <w:color w:val="auto"/>
          <w:sz w:val="22"/>
          <w:szCs w:val="22"/>
          <w:highlight w:val="none"/>
        </w:rPr>
        <w:t>年的质量保证期内，中标供应商应对由于设计、工艺或材料的缺陷而产生的故障负责。</w:t>
      </w:r>
    </w:p>
    <w:p>
      <w:pPr>
        <w:spacing w:line="460" w:lineRule="atLeast"/>
        <w:ind w:firstLine="385" w:firstLineChars="175"/>
        <w:rPr>
          <w:rFonts w:hint="eastAsia" w:ascii="宋体" w:eastAsia="宋体"/>
          <w:b w:val="0"/>
          <w:color w:val="auto"/>
          <w:sz w:val="22"/>
          <w:szCs w:val="22"/>
          <w:highlight w:val="none"/>
        </w:rPr>
      </w:pPr>
      <w:r>
        <w:rPr>
          <w:rFonts w:hint="eastAsia" w:ascii="宋体" w:eastAsia="宋体"/>
          <w:b w:val="0"/>
          <w:color w:val="auto"/>
          <w:sz w:val="22"/>
          <w:szCs w:val="22"/>
          <w:highlight w:val="none"/>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中标供应商在约定的时间内未能弥补缺陷，采购人可采取必要的补救措施，但其风险和费用将由中标供应商承担，采购人根据合同规定对中标供应商行使的其他权利不受影响。</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第十三条：补救措施和索赔</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1、采购人有权根据权威质量检测部门出具的检验报告向中标供应商提出索赔。</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2、在质量保证期内，如果中标供应商对缺陷产品负有责任而采购人提出索赔，中标供应商应按照采购人同意的下列一种或多种方式解决索赔事宜，并且采购人可以收取中标供应商合同总价20%的违约金：</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（1） 中标供应商退货并将货款退还给采购人，由此发生的一切费用和损失由中标供应商承担。</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（2） 根据货物的质量状况以及采购人所遭受的损失，经过采购人及中标供应商商定降低货物的价格。</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第十四条：履约延误</w:t>
      </w:r>
    </w:p>
    <w:p>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1、中标供应商应按照《合同》规定的时间、地点交货和提供服务。</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如中标供应商无正当理由而拖延交货，经协商无效,采购人有权追究中标供应商的违约责任。延期交货违约责任按每延期一天罚款2万元处理，如果超出合同规定期限15天应不能供货，则采购人可以终止合同，并收取中标供应商合同总价20%的违约金。</w:t>
      </w:r>
    </w:p>
    <w:p>
      <w:pPr>
        <w:spacing w:line="460" w:lineRule="atLeast"/>
        <w:rPr>
          <w:rFonts w:hint="eastAsia" w:ascii="宋体" w:eastAsia="宋体"/>
          <w:b w:val="0"/>
          <w:bCs w:val="0"/>
          <w:color w:val="auto"/>
          <w:sz w:val="22"/>
          <w:szCs w:val="22"/>
          <w:highlight w:val="none"/>
        </w:rPr>
      </w:pPr>
      <w:r>
        <w:rPr>
          <w:rFonts w:hint="eastAsia" w:ascii="宋体" w:eastAsia="宋体"/>
          <w:b w:val="0"/>
          <w:color w:val="auto"/>
          <w:sz w:val="22"/>
          <w:szCs w:val="22"/>
          <w:highlight w:val="none"/>
        </w:rPr>
        <w:t xml:space="preserve"> </w:t>
      </w:r>
      <w:r>
        <w:rPr>
          <w:rFonts w:hint="eastAsia" w:ascii="宋体" w:eastAsia="宋体"/>
          <w:b w:val="0"/>
          <w:bCs w:val="0"/>
          <w:color w:val="auto"/>
          <w:sz w:val="22"/>
          <w:szCs w:val="22"/>
          <w:highlight w:val="none"/>
        </w:rPr>
        <w:t>第十五条：不可抗力</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1、如果合同各方因不可抗力而导致合同实施延误或不能履行合同义务的话，不应该承担误期赔偿或不能履行合同义务的责任。</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28"/>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第十六条：争议的解决</w:t>
      </w:r>
    </w:p>
    <w:p>
      <w:pPr>
        <w:pStyle w:val="28"/>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在发生所供商品的质量、售后服务等问题时，采购人有权直接向中标供应商索赔，签订必要的书面处理合同。协商不能解决的，任何一方有权在合同签约地选择仲裁或诉讼的途径解决。</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第十七条：违约处理</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1、在采购人对中标供应商违约而采取的任何补救措施不受影响的情况下，采购人可在下列情况下向中标供应商发出书面通知书，提出终止部分或全部合同。</w:t>
      </w:r>
    </w:p>
    <w:p>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（1）中标供应商提供的产品质量、配置不符合国家规定和承诺的标准；</w:t>
      </w:r>
    </w:p>
    <w:p>
      <w:pPr>
        <w:spacing w:line="460" w:lineRule="atLeast"/>
        <w:ind w:firstLine="360"/>
        <w:rPr>
          <w:rFonts w:hint="eastAsia" w:ascii="宋体" w:eastAsia="宋体"/>
          <w:b w:val="0"/>
          <w:color w:val="auto"/>
          <w:sz w:val="22"/>
          <w:szCs w:val="22"/>
          <w:highlight w:val="none"/>
        </w:rPr>
      </w:pPr>
      <w:r>
        <w:rPr>
          <w:rFonts w:hint="eastAsia" w:ascii="宋体" w:eastAsia="宋体"/>
          <w:b w:val="0"/>
          <w:color w:val="auto"/>
          <w:sz w:val="22"/>
          <w:szCs w:val="22"/>
          <w:highlight w:val="none"/>
        </w:rPr>
        <w:t>（2）中标供应商没有按承诺的时间供货、维修或提供其他服务；</w:t>
      </w:r>
    </w:p>
    <w:p>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（3）中标供应商没有按承诺的价格或优惠率签订合同并供货；</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第十八条：合同转让和分包</w:t>
      </w:r>
    </w:p>
    <w:p>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除采购人事先书面同意外，中标供应商不得转让和分包其应履行的合同义务。</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第十九条：合同生效</w:t>
      </w:r>
    </w:p>
    <w:p>
      <w:pPr>
        <w:pStyle w:val="28"/>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1、如上述文件与本合同有不符之处，以有利于采购人的为准。</w:t>
      </w:r>
    </w:p>
    <w:p>
      <w:pPr>
        <w:pStyle w:val="28"/>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2、</w:t>
      </w:r>
      <w:r>
        <w:rPr>
          <w:rFonts w:hint="eastAsia" w:hAnsi="宋体" w:eastAsia="宋体"/>
          <w:color w:val="auto"/>
          <w:sz w:val="22"/>
          <w:szCs w:val="22"/>
          <w:highlight w:val="none"/>
          <w:u w:val="single"/>
        </w:rPr>
        <w:t>本合同经双方法定代表人或授权代表签署，采购人及中标供应商加盖印章后生效。</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第二十条：合同修改</w:t>
      </w:r>
    </w:p>
    <w:p>
      <w:pPr>
        <w:spacing w:line="460" w:lineRule="atLeas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除了双方签署书面修改合同，并成为本合同不可分割的一部分之外，本合同条件不得有任何变化或修改。</w:t>
      </w:r>
    </w:p>
    <w:p>
      <w:pPr>
        <w:pStyle w:val="28"/>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第二十一条 合同附件</w:t>
      </w:r>
    </w:p>
    <w:p>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下列文件与本合同具有同等法律效力：</w:t>
      </w:r>
    </w:p>
    <w:p>
      <w:pPr>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1、采购人的招标文件与招标补充文件；</w:t>
      </w:r>
    </w:p>
    <w:p>
      <w:pPr>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2、中标供应商投标文件；</w:t>
      </w:r>
    </w:p>
    <w:p>
      <w:pPr>
        <w:pStyle w:val="28"/>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 3、询标纪要和承诺书。</w:t>
      </w:r>
    </w:p>
    <w:p>
      <w:pPr>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4、中标通知书</w:t>
      </w:r>
    </w:p>
    <w:p>
      <w:pPr>
        <w:pStyle w:val="28"/>
        <w:spacing w:line="460" w:lineRule="atLeast"/>
        <w:ind w:firstLine="323" w:firstLineChars="147"/>
        <w:rPr>
          <w:rFonts w:hint="eastAsia" w:hAnsi="宋体" w:eastAsia="宋体"/>
          <w:b w:val="0"/>
          <w:color w:val="auto"/>
          <w:sz w:val="22"/>
          <w:szCs w:val="22"/>
          <w:highlight w:val="none"/>
        </w:rPr>
      </w:pPr>
    </w:p>
    <w:p>
      <w:pPr>
        <w:pStyle w:val="28"/>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采购人：（印章）                     供应商：（印章）</w:t>
      </w:r>
    </w:p>
    <w:p>
      <w:pPr>
        <w:pStyle w:val="28"/>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全权代表:（签字）                    全权代表:（签字）</w:t>
      </w:r>
    </w:p>
    <w:p>
      <w:pPr>
        <w:pStyle w:val="28"/>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地址：                               地址：</w:t>
      </w:r>
    </w:p>
    <w:p>
      <w:pPr>
        <w:pStyle w:val="28"/>
        <w:spacing w:line="460" w:lineRule="atLeast"/>
        <w:ind w:firstLine="323" w:firstLineChars="147"/>
        <w:rPr>
          <w:rFonts w:hint="eastAsia" w:ascii="宋体" w:hAnsi="宋体"/>
          <w:color w:val="auto"/>
          <w:highlight w:val="none"/>
        </w:rPr>
      </w:pPr>
      <w:r>
        <w:rPr>
          <w:rFonts w:hint="eastAsia" w:hAnsi="宋体" w:eastAsia="宋体"/>
          <w:b w:val="0"/>
          <w:color w:val="auto"/>
          <w:sz w:val="22"/>
          <w:szCs w:val="22"/>
          <w:highlight w:val="none"/>
        </w:rPr>
        <w:t>电话：                               电话：</w:t>
      </w:r>
      <w:r>
        <w:rPr>
          <w:rFonts w:hint="eastAsia" w:ascii="宋体" w:eastAsia="宋体"/>
          <w:b w:val="0"/>
          <w:color w:val="auto"/>
          <w:sz w:val="22"/>
          <w:szCs w:val="22"/>
          <w:highlight w:val="none"/>
        </w:rPr>
        <w:t xml:space="preserve">   </w:t>
      </w:r>
    </w:p>
    <w:p>
      <w:pPr>
        <w:rPr>
          <w:rFonts w:hint="eastAsia" w:ascii="宋体" w:hAnsi="宋体"/>
          <w:color w:val="auto"/>
        </w:rPr>
      </w:pPr>
      <w:r>
        <w:rPr>
          <w:rFonts w:hint="eastAsia" w:ascii="宋体" w:hAnsi="宋体"/>
          <w:color w:val="auto"/>
        </w:rPr>
        <w:br w:type="page"/>
      </w:r>
    </w:p>
    <w:p>
      <w:pPr>
        <w:pStyle w:val="47"/>
        <w:rPr>
          <w:rFonts w:ascii="宋体" w:hAnsi="宋体"/>
          <w:color w:val="auto"/>
        </w:rPr>
      </w:pPr>
      <w:r>
        <w:rPr>
          <w:rFonts w:hint="eastAsia" w:ascii="宋体" w:hAnsi="宋体"/>
          <w:color w:val="auto"/>
        </w:rPr>
        <w:t>第六部分 投标文件格式</w:t>
      </w:r>
      <w:bookmarkEnd w:id="158"/>
    </w:p>
    <w:p>
      <w:pPr>
        <w:pStyle w:val="47"/>
        <w:rPr>
          <w:rFonts w:ascii="宋体" w:hAnsi="宋体"/>
          <w:color w:val="auto"/>
          <w:lang w:val="zh-CN"/>
        </w:rPr>
      </w:pPr>
      <w:bookmarkStart w:id="159" w:name="_Toc4932"/>
      <w:bookmarkStart w:id="160" w:name="_Toc493706071"/>
      <w:bookmarkStart w:id="161" w:name="_Toc493682332"/>
      <w:r>
        <w:rPr>
          <w:rFonts w:hint="eastAsia" w:ascii="宋体" w:hAnsi="宋体"/>
          <w:color w:val="auto"/>
          <w:lang w:val="zh-CN"/>
        </w:rPr>
        <w:t>一、资格文件格式</w:t>
      </w:r>
      <w:bookmarkEnd w:id="159"/>
    </w:p>
    <w:p>
      <w:pPr>
        <w:pStyle w:val="47"/>
        <w:rPr>
          <w:rFonts w:ascii="宋体" w:hAnsi="宋体"/>
          <w:color w:val="auto"/>
          <w:lang w:val="zh-CN"/>
        </w:rPr>
      </w:pPr>
      <w:bookmarkStart w:id="162" w:name="_Toc9364"/>
      <w:r>
        <w:rPr>
          <w:rFonts w:hint="eastAsia" w:ascii="宋体" w:hAnsi="宋体"/>
          <w:color w:val="auto"/>
          <w:lang w:val="zh-CN"/>
        </w:rPr>
        <w:t>附件一</w:t>
      </w:r>
      <w:r>
        <w:rPr>
          <w:rFonts w:hint="eastAsia" w:ascii="宋体" w:hAnsi="宋体"/>
          <w:color w:val="auto"/>
        </w:rPr>
        <w:t xml:space="preserve"> </w:t>
      </w:r>
      <w:r>
        <w:rPr>
          <w:rFonts w:hint="eastAsia" w:ascii="宋体" w:hAnsi="宋体"/>
          <w:color w:val="auto"/>
          <w:lang w:val="zh-CN"/>
        </w:rPr>
        <w:t>具有财务会计制度、设备和专业技术能力、依法缴纳税收和社会保障资金记录、无重大违法记录的承诺函</w:t>
      </w:r>
      <w:bookmarkEnd w:id="162"/>
    </w:p>
    <w:p>
      <w:pPr>
        <w:spacing w:line="460" w:lineRule="exact"/>
        <w:rPr>
          <w:rFonts w:ascii="宋体" w:eastAsia="宋体" w:cs="黑体"/>
          <w:b w:val="0"/>
          <w:color w:val="auto"/>
          <w:sz w:val="22"/>
          <w:szCs w:val="22"/>
          <w:u w:val="single"/>
        </w:rPr>
      </w:pPr>
    </w:p>
    <w:p>
      <w:pPr>
        <w:spacing w:line="460" w:lineRule="exact"/>
        <w:rPr>
          <w:rFonts w:ascii="宋体" w:eastAsia="宋体" w:cs="黑体"/>
          <w:b w:val="0"/>
          <w:color w:val="auto"/>
          <w:sz w:val="22"/>
          <w:szCs w:val="22"/>
          <w:u w:val="single"/>
        </w:rPr>
      </w:pPr>
      <w:r>
        <w:rPr>
          <w:rFonts w:hint="eastAsia" w:ascii="宋体" w:eastAsia="宋体" w:cs="黑体"/>
          <w:b w:val="0"/>
          <w:color w:val="auto"/>
          <w:sz w:val="22"/>
          <w:szCs w:val="22"/>
          <w:u w:val="single"/>
          <w:lang w:eastAsia="zh-CN"/>
        </w:rPr>
        <w:t>永嘉县公安局交通警察大队</w:t>
      </w:r>
      <w:r>
        <w:rPr>
          <w:rFonts w:hint="eastAsia" w:ascii="宋体" w:eastAsia="宋体" w:cs="黑体"/>
          <w:b w:val="0"/>
          <w:color w:val="auto"/>
          <w:sz w:val="22"/>
          <w:szCs w:val="22"/>
          <w:u w:val="single"/>
        </w:rPr>
        <w:t>：</w:t>
      </w:r>
    </w:p>
    <w:p>
      <w:pPr>
        <w:spacing w:line="460" w:lineRule="exact"/>
        <w:rPr>
          <w:rFonts w:ascii="宋体" w:eastAsia="宋体" w:cs="黑体"/>
          <w:b w:val="0"/>
          <w:color w:val="auto"/>
          <w:sz w:val="22"/>
          <w:szCs w:val="22"/>
          <w:u w:val="single"/>
        </w:rPr>
      </w:pPr>
      <w:r>
        <w:rPr>
          <w:rFonts w:hint="eastAsia" w:ascii="宋体" w:eastAsia="宋体" w:cs="黑体"/>
          <w:b w:val="0"/>
          <w:color w:val="auto"/>
          <w:sz w:val="22"/>
          <w:szCs w:val="22"/>
          <w:u w:val="single"/>
        </w:rPr>
        <w:t>温州市中概工程管理咨询有限公司：</w:t>
      </w:r>
    </w:p>
    <w:p>
      <w:pPr>
        <w:widowControl/>
        <w:snapToGrid w:val="0"/>
        <w:spacing w:line="460" w:lineRule="exact"/>
        <w:ind w:firstLine="440" w:firstLineChars="200"/>
        <w:jc w:val="left"/>
        <w:rPr>
          <w:rFonts w:ascii="宋体" w:eastAsia="宋体" w:cs="Courier New"/>
          <w:b w:val="0"/>
          <w:color w:val="auto"/>
          <w:sz w:val="22"/>
          <w:szCs w:val="22"/>
        </w:rPr>
      </w:pPr>
    </w:p>
    <w:p>
      <w:pPr>
        <w:widowControl/>
        <w:snapToGrid w:val="0"/>
        <w:spacing w:line="460" w:lineRule="exact"/>
        <w:ind w:firstLine="440" w:firstLineChars="200"/>
        <w:jc w:val="left"/>
        <w:rPr>
          <w:rFonts w:ascii="宋体" w:eastAsia="宋体"/>
          <w:b w:val="0"/>
          <w:color w:val="auto"/>
          <w:sz w:val="22"/>
          <w:szCs w:val="22"/>
        </w:rPr>
      </w:pPr>
      <w:r>
        <w:rPr>
          <w:rFonts w:hint="eastAsia" w:ascii="宋体" w:eastAsia="宋体"/>
          <w:b w:val="0"/>
          <w:color w:val="auto"/>
          <w:sz w:val="22"/>
          <w:szCs w:val="22"/>
        </w:rPr>
        <w:t>1、具有良好的商业信誉和健全的财务会计制度；</w:t>
      </w:r>
    </w:p>
    <w:p>
      <w:pPr>
        <w:widowControl/>
        <w:snapToGrid w:val="0"/>
        <w:spacing w:line="460" w:lineRule="exact"/>
        <w:ind w:firstLine="440" w:firstLineChars="200"/>
        <w:jc w:val="left"/>
        <w:rPr>
          <w:rFonts w:ascii="宋体" w:eastAsia="宋体"/>
          <w:b w:val="0"/>
          <w:color w:val="auto"/>
          <w:sz w:val="22"/>
          <w:szCs w:val="22"/>
        </w:rPr>
      </w:pPr>
      <w:r>
        <w:rPr>
          <w:rFonts w:hint="eastAsia" w:ascii="宋体" w:eastAsia="宋体"/>
          <w:b w:val="0"/>
          <w:color w:val="auto"/>
          <w:sz w:val="22"/>
          <w:szCs w:val="22"/>
        </w:rPr>
        <w:t>2、承诺具有履行合同所必需的设备和专业技术能力。如有虚假，采购人可取消我方任何资格（投标/中标/签订合同），我方对此无任何异议。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ascii="宋体" w:eastAsia="宋体"/>
          <w:b w:val="0"/>
          <w:color w:val="auto"/>
          <w:sz w:val="22"/>
          <w:szCs w:val="22"/>
        </w:rPr>
      </w:pPr>
      <w:r>
        <w:rPr>
          <w:rFonts w:hint="eastAsia" w:ascii="宋体" w:eastAsia="宋体"/>
          <w:b w:val="0"/>
          <w:color w:val="auto"/>
          <w:sz w:val="22"/>
          <w:szCs w:val="22"/>
        </w:rPr>
        <w:t>3、严格依法缴纳税收和社会保障资金，本文件中所提供的相关材料均真实有效，不存在虚假、造假行为。如有违反，愿承担一切责任。</w:t>
      </w:r>
    </w:p>
    <w:p>
      <w:pPr>
        <w:widowControl/>
        <w:snapToGrid w:val="0"/>
        <w:spacing w:line="460" w:lineRule="exact"/>
        <w:ind w:firstLine="440" w:firstLineChars="200"/>
        <w:jc w:val="left"/>
        <w:rPr>
          <w:rFonts w:ascii="宋体" w:eastAsia="宋体"/>
          <w:b w:val="0"/>
          <w:color w:val="auto"/>
          <w:sz w:val="22"/>
          <w:szCs w:val="22"/>
        </w:rPr>
      </w:pPr>
      <w:r>
        <w:rPr>
          <w:rFonts w:hint="eastAsia" w:ascii="宋体"/>
          <w:b w:val="0"/>
          <w:color w:val="auto"/>
          <w:sz w:val="22"/>
          <w:szCs w:val="22"/>
        </w:rPr>
        <w:t>4、</w:t>
      </w:r>
      <w:r>
        <w:rPr>
          <w:rFonts w:hint="eastAsia" w:ascii="宋体" w:eastAsia="宋体"/>
          <w:b w:val="0"/>
          <w:color w:val="auto"/>
          <w:sz w:val="22"/>
          <w:szCs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0" w:firstLineChars="200"/>
        <w:jc w:val="left"/>
        <w:rPr>
          <w:rFonts w:ascii="宋体" w:eastAsia="宋体"/>
          <w:b w:val="0"/>
          <w:color w:val="auto"/>
          <w:sz w:val="22"/>
          <w:szCs w:val="22"/>
        </w:rPr>
      </w:pP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特此承诺！</w:t>
      </w:r>
    </w:p>
    <w:p>
      <w:pPr>
        <w:widowControl/>
        <w:snapToGrid w:val="0"/>
        <w:spacing w:line="460" w:lineRule="exact"/>
        <w:ind w:firstLine="440" w:firstLineChars="200"/>
        <w:jc w:val="left"/>
        <w:rPr>
          <w:rFonts w:ascii="宋体" w:eastAsia="宋体" w:cs="Courier New"/>
          <w:b w:val="0"/>
          <w:color w:val="auto"/>
          <w:sz w:val="22"/>
          <w:szCs w:val="22"/>
        </w:rPr>
      </w:pP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 xml:space="preserve">投标供应商（盖章） ： </w:t>
      </w: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日期：</w:t>
      </w:r>
    </w:p>
    <w:p>
      <w:pPr>
        <w:pStyle w:val="47"/>
        <w:rPr>
          <w:rFonts w:ascii="宋体" w:hAnsi="宋体"/>
          <w:color w:val="auto"/>
          <w:lang w:val="zh-CN"/>
        </w:rPr>
      </w:pPr>
      <w:r>
        <w:rPr>
          <w:rFonts w:ascii="宋体"/>
          <w:b w:val="0"/>
          <w:color w:val="auto"/>
          <w:sz w:val="36"/>
        </w:rPr>
        <w:br w:type="page"/>
      </w:r>
      <w:bookmarkStart w:id="163" w:name="_Toc5567"/>
      <w:r>
        <w:rPr>
          <w:rFonts w:hint="eastAsia" w:ascii="宋体" w:hAnsi="宋体"/>
          <w:color w:val="auto"/>
          <w:lang w:val="zh-CN"/>
        </w:rPr>
        <w:t>附件二</w:t>
      </w:r>
      <w:r>
        <w:rPr>
          <w:rFonts w:hint="eastAsia" w:ascii="宋体" w:hAnsi="宋体"/>
          <w:color w:val="auto"/>
        </w:rPr>
        <w:t xml:space="preserve"> </w:t>
      </w:r>
      <w:r>
        <w:rPr>
          <w:rFonts w:hint="eastAsia" w:ascii="宋体" w:hAnsi="宋体"/>
          <w:color w:val="auto"/>
          <w:lang w:val="zh-CN"/>
        </w:rPr>
        <w:t>与参加本次项目同一合同项下政府采购活动的其他供应商不存在单位负责人为同一人或者直接控股、管理关系的承诺函</w:t>
      </w:r>
      <w:bookmarkEnd w:id="163"/>
    </w:p>
    <w:p>
      <w:pPr>
        <w:spacing w:line="460" w:lineRule="exact"/>
        <w:rPr>
          <w:rFonts w:ascii="宋体" w:eastAsia="宋体" w:cs="黑体"/>
          <w:b w:val="0"/>
          <w:color w:val="auto"/>
          <w:sz w:val="22"/>
          <w:szCs w:val="22"/>
          <w:u w:val="single"/>
        </w:rPr>
      </w:pPr>
    </w:p>
    <w:p>
      <w:pPr>
        <w:spacing w:line="460" w:lineRule="exact"/>
        <w:rPr>
          <w:rFonts w:ascii="宋体" w:eastAsia="宋体" w:cs="黑体"/>
          <w:b w:val="0"/>
          <w:color w:val="auto"/>
          <w:sz w:val="22"/>
          <w:szCs w:val="22"/>
          <w:u w:val="single"/>
        </w:rPr>
      </w:pPr>
      <w:r>
        <w:rPr>
          <w:rFonts w:hint="eastAsia" w:ascii="宋体" w:eastAsia="宋体" w:cs="黑体"/>
          <w:b w:val="0"/>
          <w:color w:val="auto"/>
          <w:sz w:val="22"/>
          <w:szCs w:val="22"/>
          <w:u w:val="single"/>
          <w:lang w:eastAsia="zh-CN"/>
        </w:rPr>
        <w:t>永嘉县公安局交通警察大队</w:t>
      </w:r>
      <w:r>
        <w:rPr>
          <w:rFonts w:hint="eastAsia" w:ascii="宋体" w:eastAsia="宋体" w:cs="黑体"/>
          <w:b w:val="0"/>
          <w:color w:val="auto"/>
          <w:sz w:val="22"/>
          <w:szCs w:val="22"/>
          <w:u w:val="single"/>
        </w:rPr>
        <w:t>：</w:t>
      </w:r>
    </w:p>
    <w:p>
      <w:pPr>
        <w:spacing w:line="460" w:lineRule="exact"/>
        <w:rPr>
          <w:rFonts w:ascii="宋体" w:eastAsia="宋体" w:cs="黑体"/>
          <w:b w:val="0"/>
          <w:color w:val="auto"/>
          <w:sz w:val="22"/>
          <w:szCs w:val="22"/>
          <w:u w:val="single"/>
        </w:rPr>
      </w:pPr>
      <w:r>
        <w:rPr>
          <w:rFonts w:hint="eastAsia" w:ascii="宋体" w:eastAsia="宋体" w:cs="黑体"/>
          <w:b w:val="0"/>
          <w:color w:val="auto"/>
          <w:sz w:val="22"/>
          <w:szCs w:val="22"/>
          <w:u w:val="single"/>
        </w:rPr>
        <w:t>温州市中概工程管理咨询有限公司：</w:t>
      </w:r>
    </w:p>
    <w:p>
      <w:pPr>
        <w:spacing w:line="460" w:lineRule="exact"/>
        <w:ind w:firstLine="440" w:firstLineChars="200"/>
        <w:rPr>
          <w:rFonts w:ascii="宋体" w:eastAsia="宋体" w:cs="黑体"/>
          <w:b w:val="0"/>
          <w:color w:val="auto"/>
          <w:sz w:val="22"/>
          <w:szCs w:val="22"/>
        </w:rPr>
      </w:pPr>
    </w:p>
    <w:p>
      <w:pPr>
        <w:spacing w:line="460" w:lineRule="exact"/>
        <w:ind w:firstLine="440" w:firstLineChars="200"/>
        <w:rPr>
          <w:rFonts w:ascii="宋体" w:eastAsia="宋体" w:cs="黑体"/>
          <w:b w:val="0"/>
          <w:color w:val="auto"/>
          <w:sz w:val="22"/>
          <w:szCs w:val="22"/>
        </w:rPr>
      </w:pPr>
      <w:r>
        <w:rPr>
          <w:rFonts w:hint="eastAsia" w:ascii="宋体" w:eastAsia="宋体" w:cs="黑体"/>
          <w:b w:val="0"/>
          <w:color w:val="auto"/>
          <w:sz w:val="22"/>
          <w:szCs w:val="22"/>
        </w:rPr>
        <w:t>我方郑重承诺，我方此次参加本项目的投标，与参加本次项目同一合同项下政府采购活动的其他供应商不存在单位负责人为同一人或者直接控股、管理关系。如有虚假或隐瞒，愿意承担一切后果。</w:t>
      </w:r>
    </w:p>
    <w:p>
      <w:pPr>
        <w:spacing w:line="460" w:lineRule="exact"/>
        <w:ind w:firstLine="440" w:firstLineChars="200"/>
        <w:rPr>
          <w:rFonts w:ascii="宋体" w:eastAsia="宋体" w:cs="黑体"/>
          <w:b w:val="0"/>
          <w:color w:val="auto"/>
          <w:sz w:val="22"/>
          <w:szCs w:val="22"/>
        </w:rPr>
      </w:pPr>
    </w:p>
    <w:p>
      <w:pPr>
        <w:spacing w:line="460" w:lineRule="exact"/>
        <w:ind w:firstLine="440" w:firstLineChars="200"/>
        <w:rPr>
          <w:rFonts w:ascii="宋体" w:eastAsia="宋体" w:cs="黑体"/>
          <w:b w:val="0"/>
          <w:color w:val="auto"/>
          <w:sz w:val="22"/>
          <w:szCs w:val="22"/>
        </w:rPr>
      </w:pPr>
      <w:r>
        <w:rPr>
          <w:rFonts w:hint="eastAsia" w:ascii="宋体" w:eastAsia="宋体" w:cs="黑体"/>
          <w:b w:val="0"/>
          <w:color w:val="auto"/>
          <w:sz w:val="22"/>
          <w:szCs w:val="22"/>
        </w:rPr>
        <w:t>特此承诺！</w:t>
      </w:r>
    </w:p>
    <w:p>
      <w:pPr>
        <w:widowControl/>
        <w:snapToGrid w:val="0"/>
        <w:spacing w:line="460" w:lineRule="exact"/>
        <w:ind w:firstLine="440" w:firstLineChars="200"/>
        <w:jc w:val="left"/>
        <w:rPr>
          <w:rFonts w:ascii="宋体" w:eastAsia="宋体" w:cs="Courier New"/>
          <w:b w:val="0"/>
          <w:color w:val="auto"/>
          <w:sz w:val="22"/>
          <w:szCs w:val="22"/>
        </w:rPr>
      </w:pP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 xml:space="preserve">投标供应商（盖章） ： </w:t>
      </w: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 xml:space="preserve">日期： </w:t>
      </w:r>
    </w:p>
    <w:p>
      <w:pPr>
        <w:widowControl/>
        <w:snapToGrid w:val="0"/>
        <w:spacing w:line="460" w:lineRule="exact"/>
        <w:ind w:firstLine="440" w:firstLineChars="200"/>
        <w:jc w:val="left"/>
        <w:rPr>
          <w:rFonts w:ascii="宋体" w:eastAsia="宋体" w:cs="Courier New"/>
          <w:b w:val="0"/>
          <w:color w:val="auto"/>
          <w:sz w:val="22"/>
          <w:szCs w:val="22"/>
        </w:rPr>
      </w:pPr>
    </w:p>
    <w:p>
      <w:pPr>
        <w:pStyle w:val="47"/>
        <w:rPr>
          <w:rFonts w:ascii="宋体" w:hAnsi="宋体"/>
          <w:color w:val="auto"/>
        </w:rPr>
      </w:pPr>
      <w:bookmarkStart w:id="164" w:name="_Toc10630"/>
      <w:bookmarkStart w:id="165" w:name="_Toc14988"/>
      <w:bookmarkStart w:id="166" w:name="_Toc31544"/>
      <w:bookmarkStart w:id="167" w:name="_Toc18304"/>
      <w:bookmarkStart w:id="168" w:name="_Toc28957"/>
      <w:bookmarkStart w:id="169" w:name="_Toc31784"/>
      <w:bookmarkStart w:id="170" w:name="_Toc13669"/>
      <w:bookmarkStart w:id="171" w:name="_Toc11360"/>
      <w:bookmarkStart w:id="172" w:name="_Toc33194406"/>
      <w:bookmarkStart w:id="173" w:name="_Toc27119255"/>
      <w:bookmarkStart w:id="174" w:name="_Toc6606"/>
      <w:bookmarkStart w:id="175" w:name="_Toc14589"/>
      <w:r>
        <w:rPr>
          <w:rFonts w:ascii="宋体"/>
          <w:b w:val="0"/>
          <w:color w:val="auto"/>
          <w:sz w:val="30"/>
          <w:lang w:val="zh-CN"/>
        </w:rPr>
        <w:br w:type="page"/>
      </w:r>
      <w:bookmarkEnd w:id="164"/>
      <w:bookmarkEnd w:id="165"/>
      <w:bookmarkEnd w:id="166"/>
      <w:bookmarkEnd w:id="167"/>
      <w:bookmarkEnd w:id="168"/>
      <w:bookmarkEnd w:id="169"/>
      <w:bookmarkEnd w:id="170"/>
      <w:bookmarkEnd w:id="171"/>
      <w:bookmarkEnd w:id="172"/>
      <w:bookmarkEnd w:id="173"/>
      <w:bookmarkEnd w:id="174"/>
      <w:bookmarkEnd w:id="175"/>
      <w:bookmarkStart w:id="176" w:name="_Toc32478"/>
      <w:r>
        <w:rPr>
          <w:rFonts w:hint="eastAsia" w:ascii="宋体" w:hAnsi="宋体"/>
          <w:color w:val="auto"/>
        </w:rPr>
        <w:t>附件三 供应商参与政府采购活动投标资格声明函</w:t>
      </w:r>
      <w:bookmarkEnd w:id="176"/>
    </w:p>
    <w:tbl>
      <w:tblPr>
        <w:tblStyle w:val="50"/>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28"/>
              <w:adjustRightInd w:val="0"/>
              <w:snapToGrid w:val="0"/>
              <w:spacing w:line="400" w:lineRule="exact"/>
              <w:rPr>
                <w:rFonts w:hAnsi="宋体" w:eastAsia="宋体"/>
                <w:b w:val="0"/>
                <w:bCs w:val="0"/>
                <w:color w:val="auto"/>
                <w:szCs w:val="21"/>
              </w:rPr>
            </w:pPr>
            <w:r>
              <w:rPr>
                <w:rFonts w:hint="eastAsia" w:hAnsi="宋体" w:eastAsia="宋体"/>
                <w:b w:val="0"/>
                <w:bCs w:val="0"/>
                <w:color w:val="auto"/>
                <w:szCs w:val="21"/>
              </w:rPr>
              <w:t>项目名称</w:t>
            </w:r>
          </w:p>
        </w:tc>
        <w:tc>
          <w:tcPr>
            <w:tcW w:w="7992" w:type="dxa"/>
          </w:tcPr>
          <w:p>
            <w:pPr>
              <w:pStyle w:val="28"/>
              <w:adjustRightInd w:val="0"/>
              <w:snapToGrid w:val="0"/>
              <w:spacing w:line="400" w:lineRule="exact"/>
              <w:ind w:left="422" w:firstLine="331"/>
              <w:rPr>
                <w:rFonts w:hAnsi="宋体" w:eastAsia="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28"/>
              <w:adjustRightInd w:val="0"/>
              <w:snapToGrid w:val="0"/>
              <w:spacing w:line="400" w:lineRule="exact"/>
              <w:rPr>
                <w:rFonts w:hAnsi="宋体" w:eastAsia="宋体"/>
                <w:b w:val="0"/>
                <w:bCs w:val="0"/>
                <w:color w:val="auto"/>
                <w:szCs w:val="21"/>
              </w:rPr>
            </w:pPr>
            <w:r>
              <w:rPr>
                <w:rFonts w:hint="eastAsia" w:hAnsi="宋体" w:eastAsia="宋体"/>
                <w:b w:val="0"/>
                <w:bCs w:val="0"/>
                <w:color w:val="auto"/>
                <w:szCs w:val="21"/>
              </w:rPr>
              <w:t>项目采购编号</w:t>
            </w:r>
          </w:p>
        </w:tc>
        <w:tc>
          <w:tcPr>
            <w:tcW w:w="7992" w:type="dxa"/>
          </w:tcPr>
          <w:p>
            <w:pPr>
              <w:pStyle w:val="28"/>
              <w:adjustRightInd w:val="0"/>
              <w:snapToGrid w:val="0"/>
              <w:spacing w:line="400" w:lineRule="exact"/>
              <w:ind w:left="422" w:firstLine="361"/>
              <w:rPr>
                <w:rFonts w:hAnsi="宋体" w:eastAsia="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28"/>
              <w:adjustRightInd w:val="0"/>
              <w:snapToGrid w:val="0"/>
              <w:spacing w:line="400" w:lineRule="exact"/>
              <w:rPr>
                <w:rFonts w:hAnsi="宋体" w:eastAsia="宋体"/>
                <w:b w:val="0"/>
                <w:bCs w:val="0"/>
                <w:color w:val="auto"/>
                <w:szCs w:val="21"/>
              </w:rPr>
            </w:pPr>
            <w:r>
              <w:rPr>
                <w:rFonts w:hint="eastAsia" w:hAnsi="宋体" w:eastAsia="宋体"/>
                <w:b w:val="0"/>
                <w:bCs w:val="0"/>
                <w:color w:val="auto"/>
                <w:szCs w:val="21"/>
              </w:rPr>
              <w:t>时    间</w:t>
            </w:r>
          </w:p>
        </w:tc>
        <w:tc>
          <w:tcPr>
            <w:tcW w:w="7992" w:type="dxa"/>
          </w:tcPr>
          <w:p>
            <w:pPr>
              <w:pStyle w:val="28"/>
              <w:adjustRightInd w:val="0"/>
              <w:snapToGrid w:val="0"/>
              <w:spacing w:line="400" w:lineRule="exact"/>
              <w:rPr>
                <w:rFonts w:hAnsi="宋体" w:eastAsia="宋体"/>
                <w:b w:val="0"/>
                <w:bCs w:val="0"/>
                <w:color w:val="auto"/>
                <w:szCs w:val="21"/>
              </w:rPr>
            </w:pPr>
            <w:r>
              <w:rPr>
                <w:rFonts w:hint="eastAsia" w:hAnsi="宋体" w:eastAsia="宋体"/>
                <w:b w:val="0"/>
                <w:bCs w:val="0"/>
                <w:color w:val="auto"/>
                <w:szCs w:val="21"/>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28"/>
              <w:adjustRightInd w:val="0"/>
              <w:snapToGrid w:val="0"/>
              <w:spacing w:line="400" w:lineRule="exact"/>
              <w:ind w:firstLine="450"/>
              <w:rPr>
                <w:rFonts w:hAnsi="宋体" w:eastAsia="宋体"/>
                <w:b w:val="0"/>
                <w:color w:val="auto"/>
                <w:szCs w:val="21"/>
              </w:rPr>
            </w:pPr>
            <w:r>
              <w:rPr>
                <w:rFonts w:hint="eastAsia" w:hAnsi="宋体" w:eastAsia="宋体"/>
                <w:b w:val="0"/>
                <w:color w:val="auto"/>
                <w:szCs w:val="21"/>
              </w:rPr>
              <w:t>1、根据政府采购法第二十二条规定，我单位满足以下条件，并已经在投标文件中提供了相应的证明材料：</w:t>
            </w:r>
          </w:p>
          <w:p>
            <w:pPr>
              <w:pStyle w:val="28"/>
              <w:adjustRightInd w:val="0"/>
              <w:snapToGrid w:val="0"/>
              <w:spacing w:line="400" w:lineRule="exact"/>
              <w:ind w:firstLine="450"/>
              <w:rPr>
                <w:rFonts w:hAnsi="宋体" w:eastAsia="宋体"/>
                <w:b w:val="0"/>
                <w:color w:val="auto"/>
                <w:szCs w:val="21"/>
              </w:rPr>
            </w:pPr>
            <w:r>
              <w:rPr>
                <w:rFonts w:hint="eastAsia" w:hAnsi="宋体" w:eastAsia="宋体"/>
                <w:b w:val="0"/>
                <w:color w:val="auto"/>
                <w:szCs w:val="21"/>
              </w:rPr>
              <w:t xml:space="preserve">（一）具有独立承担民事责任的能力； </w:t>
            </w:r>
          </w:p>
          <w:p>
            <w:pPr>
              <w:pStyle w:val="28"/>
              <w:adjustRightInd w:val="0"/>
              <w:snapToGrid w:val="0"/>
              <w:spacing w:line="400" w:lineRule="exact"/>
              <w:ind w:firstLine="450"/>
              <w:rPr>
                <w:rFonts w:hAnsi="宋体" w:eastAsia="宋体"/>
                <w:b w:val="0"/>
                <w:color w:val="auto"/>
                <w:szCs w:val="21"/>
              </w:rPr>
            </w:pPr>
            <w:r>
              <w:rPr>
                <w:rFonts w:hint="eastAsia" w:hAnsi="宋体" w:eastAsia="宋体"/>
                <w:b w:val="0"/>
                <w:color w:val="auto"/>
                <w:szCs w:val="21"/>
              </w:rPr>
              <w:t xml:space="preserve">　　（二）具有良好的商业信誉和健全的财务会计制度； </w:t>
            </w:r>
          </w:p>
          <w:p>
            <w:pPr>
              <w:pStyle w:val="28"/>
              <w:adjustRightInd w:val="0"/>
              <w:snapToGrid w:val="0"/>
              <w:spacing w:line="400" w:lineRule="exact"/>
              <w:ind w:firstLine="450"/>
              <w:rPr>
                <w:rFonts w:hAnsi="宋体" w:eastAsia="宋体"/>
                <w:b w:val="0"/>
                <w:color w:val="auto"/>
                <w:szCs w:val="21"/>
              </w:rPr>
            </w:pPr>
            <w:r>
              <w:rPr>
                <w:rFonts w:hint="eastAsia" w:hAnsi="宋体" w:eastAsia="宋体"/>
                <w:b w:val="0"/>
                <w:color w:val="auto"/>
                <w:szCs w:val="21"/>
              </w:rPr>
              <w:t xml:space="preserve">　　（三）具有履行合同所必需的设备和专业技术能力； </w:t>
            </w:r>
          </w:p>
          <w:p>
            <w:pPr>
              <w:pStyle w:val="28"/>
              <w:adjustRightInd w:val="0"/>
              <w:snapToGrid w:val="0"/>
              <w:spacing w:line="400" w:lineRule="exact"/>
              <w:ind w:firstLine="450"/>
              <w:rPr>
                <w:rFonts w:hAnsi="宋体" w:eastAsia="宋体"/>
                <w:b w:val="0"/>
                <w:color w:val="auto"/>
                <w:szCs w:val="21"/>
              </w:rPr>
            </w:pPr>
            <w:r>
              <w:rPr>
                <w:rFonts w:hint="eastAsia" w:hAnsi="宋体" w:eastAsia="宋体"/>
                <w:b w:val="0"/>
                <w:color w:val="auto"/>
                <w:szCs w:val="21"/>
              </w:rPr>
              <w:t xml:space="preserve">　　（四）有依法缴纳税收和社会保障资金的良好记录； </w:t>
            </w:r>
          </w:p>
          <w:p>
            <w:pPr>
              <w:pStyle w:val="28"/>
              <w:adjustRightInd w:val="0"/>
              <w:snapToGrid w:val="0"/>
              <w:spacing w:line="400" w:lineRule="exact"/>
              <w:ind w:firstLine="450"/>
              <w:rPr>
                <w:rFonts w:hAnsi="宋体" w:eastAsia="宋体"/>
                <w:b w:val="0"/>
                <w:color w:val="auto"/>
                <w:szCs w:val="21"/>
              </w:rPr>
            </w:pPr>
            <w:r>
              <w:rPr>
                <w:rFonts w:hint="eastAsia" w:hAnsi="宋体" w:eastAsia="宋体"/>
                <w:b w:val="0"/>
                <w:color w:val="auto"/>
                <w:szCs w:val="21"/>
              </w:rPr>
              <w:t xml:space="preserve">　　（五）参加政府采购活动前三年内，在经营活动中没有重大违法记录； </w:t>
            </w:r>
          </w:p>
          <w:p>
            <w:pPr>
              <w:pStyle w:val="28"/>
              <w:adjustRightInd w:val="0"/>
              <w:snapToGrid w:val="0"/>
              <w:spacing w:line="400" w:lineRule="exact"/>
              <w:ind w:firstLine="450"/>
              <w:rPr>
                <w:rFonts w:hAnsi="宋体" w:eastAsia="宋体"/>
                <w:b w:val="0"/>
                <w:color w:val="auto"/>
                <w:szCs w:val="21"/>
              </w:rPr>
            </w:pPr>
            <w:r>
              <w:rPr>
                <w:rFonts w:hint="eastAsia" w:hAnsi="宋体" w:eastAsia="宋体"/>
                <w:b w:val="0"/>
                <w:color w:val="auto"/>
                <w:szCs w:val="21"/>
              </w:rPr>
              <w:t xml:space="preserve">　　（六）法律、行政法规规定的其他条件。 </w:t>
            </w:r>
          </w:p>
          <w:p>
            <w:pPr>
              <w:pStyle w:val="28"/>
              <w:adjustRightInd w:val="0"/>
              <w:snapToGrid w:val="0"/>
              <w:spacing w:line="400" w:lineRule="exact"/>
              <w:ind w:firstLine="450"/>
              <w:rPr>
                <w:rFonts w:hAnsi="宋体" w:eastAsia="宋体"/>
                <w:b w:val="0"/>
                <w:color w:val="auto"/>
                <w:szCs w:val="21"/>
              </w:rPr>
            </w:pPr>
            <w:r>
              <w:rPr>
                <w:rFonts w:hAnsi="宋体" w:eastAsia="宋体"/>
                <w:b w:val="0"/>
                <w:color w:val="auto"/>
                <w:szCs w:val="21"/>
              </w:rPr>
              <w:t>2</w:t>
            </w:r>
            <w:r>
              <w:rPr>
                <w:rFonts w:hint="eastAsia" w:hAnsi="宋体" w:eastAsia="宋体"/>
                <w:b w:val="0"/>
                <w:color w:val="auto"/>
                <w:szCs w:val="21"/>
              </w:rPr>
              <w:t>、根据</w:t>
            </w:r>
            <w:r>
              <w:rPr>
                <w:rFonts w:hAnsi="宋体" w:eastAsia="宋体"/>
                <w:b w:val="0"/>
                <w:color w:val="auto"/>
                <w:szCs w:val="21"/>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eastAsia="宋体"/>
                <w:b w:val="0"/>
                <w:color w:val="auto"/>
                <w:szCs w:val="21"/>
              </w:rPr>
              <w:t>我单位不存在上述文件规定依法限制参与政府采购的情况，并提供“信用中国”、 “中国政府采购网”查询网页截图（公告发布之日至投标截止时间）。</w:t>
            </w:r>
          </w:p>
          <w:p>
            <w:pPr>
              <w:pStyle w:val="28"/>
              <w:adjustRightInd w:val="0"/>
              <w:snapToGrid w:val="0"/>
              <w:spacing w:line="400" w:lineRule="exact"/>
              <w:ind w:firstLine="450"/>
              <w:rPr>
                <w:rFonts w:hAnsi="宋体" w:eastAsia="宋体"/>
                <w:bCs w:val="0"/>
                <w:color w:val="auto"/>
                <w:szCs w:val="21"/>
              </w:rPr>
            </w:pPr>
            <w:r>
              <w:rPr>
                <w:rFonts w:hint="eastAsia" w:hAnsi="宋体" w:eastAsia="宋体"/>
                <w:color w:val="auto"/>
                <w:szCs w:val="21"/>
              </w:rPr>
              <w:t>3、我单位没有</w:t>
            </w:r>
            <w:r>
              <w:rPr>
                <w:rFonts w:hAnsi="宋体" w:eastAsia="宋体"/>
                <w:color w:val="auto"/>
                <w:szCs w:val="21"/>
              </w:rPr>
              <w:t>被</w:t>
            </w:r>
            <w:r>
              <w:rPr>
                <w:rFonts w:hint="eastAsia" w:hAnsi="宋体" w:eastAsia="宋体"/>
                <w:color w:val="auto"/>
                <w:szCs w:val="21"/>
              </w:rPr>
              <w:t>各地、</w:t>
            </w:r>
            <w:r>
              <w:rPr>
                <w:rFonts w:hAnsi="宋体" w:eastAsia="宋体"/>
                <w:color w:val="auto"/>
                <w:szCs w:val="21"/>
              </w:rPr>
              <w:t>各级财政部门</w:t>
            </w:r>
            <w:r>
              <w:rPr>
                <w:rFonts w:hint="eastAsia" w:hAnsi="宋体" w:eastAsia="宋体"/>
                <w:color w:val="auto"/>
                <w:szCs w:val="21"/>
              </w:rPr>
              <w:t>限制</w:t>
            </w:r>
            <w:r>
              <w:rPr>
                <w:rFonts w:hAnsi="宋体" w:eastAsia="宋体"/>
                <w:color w:val="auto"/>
                <w:szCs w:val="21"/>
              </w:rPr>
              <w:t>参加政府采购</w:t>
            </w:r>
            <w:r>
              <w:rPr>
                <w:rFonts w:hint="eastAsia" w:hAnsi="宋体" w:eastAsia="宋体"/>
                <w:color w:val="auto"/>
                <w:szCs w:val="21"/>
              </w:rPr>
              <w:t>活动，且在限制期内：</w:t>
            </w:r>
          </w:p>
          <w:p>
            <w:pPr>
              <w:tabs>
                <w:tab w:val="center" w:pos="4483"/>
              </w:tabs>
              <w:adjustRightInd w:val="0"/>
              <w:spacing w:line="360" w:lineRule="auto"/>
              <w:ind w:firstLine="400"/>
              <w:rPr>
                <w:rFonts w:ascii="宋体" w:eastAsia="宋体"/>
                <w:color w:val="auto"/>
              </w:rPr>
            </w:pPr>
            <w:r>
              <w:rPr>
                <w:rFonts w:ascii="宋体" w:eastAsia="宋体"/>
                <w:bCs w:val="0"/>
                <w:color w:val="auto"/>
              </w:rPr>
              <w:t>4</w:t>
            </w:r>
            <w:r>
              <w:rPr>
                <w:rFonts w:hint="eastAsia" w:ascii="宋体" w:eastAsia="宋体"/>
                <w:bCs w:val="0"/>
                <w:color w:val="auto"/>
              </w:rPr>
              <w:t>、我单位</w:t>
            </w:r>
            <w:r>
              <w:rPr>
                <w:rFonts w:hint="eastAsia" w:ascii="宋体" w:eastAsia="宋体"/>
                <w:color w:val="auto"/>
              </w:rPr>
              <w:t>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ascii="宋体" w:eastAsia="宋体"/>
                <w:color w:val="auto"/>
                <w:u w:val="single"/>
              </w:rPr>
            </w:pPr>
            <w:r>
              <w:rPr>
                <w:rFonts w:ascii="宋体" w:eastAsia="宋体"/>
                <w:color w:val="auto"/>
                <w:u w:val="single"/>
              </w:rPr>
              <w:t xml:space="preserve">                                                                               </w:t>
            </w:r>
          </w:p>
          <w:p>
            <w:pPr>
              <w:tabs>
                <w:tab w:val="center" w:pos="4483"/>
              </w:tabs>
              <w:adjustRightInd w:val="0"/>
              <w:spacing w:line="360" w:lineRule="auto"/>
              <w:ind w:firstLine="400"/>
              <w:rPr>
                <w:rFonts w:ascii="宋体" w:eastAsia="宋体"/>
                <w:b w:val="0"/>
                <w:color w:val="auto"/>
              </w:rPr>
            </w:pPr>
            <w:r>
              <w:rPr>
                <w:rFonts w:ascii="宋体" w:eastAsia="宋体"/>
                <w:b w:val="0"/>
                <w:color w:val="auto"/>
                <w:u w:val="single"/>
              </w:rPr>
              <w:t>5</w:t>
            </w:r>
            <w:r>
              <w:rPr>
                <w:rFonts w:hint="eastAsia" w:ascii="宋体" w:eastAsia="宋体"/>
                <w:b w:val="0"/>
                <w:color w:val="auto"/>
                <w:u w:val="single"/>
              </w:rPr>
              <w:t>、我单位符合本项目特定资格条件：                         的要求，并在</w:t>
            </w:r>
            <w:r>
              <w:rPr>
                <w:rFonts w:hint="eastAsia" w:ascii="宋体" w:eastAsia="宋体"/>
                <w:b w:val="0"/>
                <w:color w:val="auto"/>
              </w:rPr>
              <w:t>投标文件中提供了相应的证明材料</w:t>
            </w:r>
            <w:r>
              <w:rPr>
                <w:rFonts w:hint="eastAsia" w:ascii="宋体" w:eastAsia="宋体"/>
                <w:b w:val="0"/>
                <w:color w:val="auto"/>
                <w:u w:val="single"/>
              </w:rPr>
              <w:t>（招标文件没有要求特定资格条件的，本条款空格处可以空白）</w:t>
            </w:r>
          </w:p>
          <w:p>
            <w:pPr>
              <w:tabs>
                <w:tab w:val="center" w:pos="4483"/>
              </w:tabs>
              <w:adjustRightInd w:val="0"/>
              <w:spacing w:line="360" w:lineRule="auto"/>
              <w:ind w:firstLine="422" w:firstLineChars="200"/>
              <w:rPr>
                <w:rFonts w:ascii="宋体" w:eastAsia="宋体"/>
                <w:bCs w:val="0"/>
                <w:color w:val="auto"/>
              </w:rPr>
            </w:pPr>
            <w:r>
              <w:rPr>
                <w:rFonts w:hint="eastAsia" w:ascii="宋体" w:eastAsia="宋体"/>
                <w:bCs w:val="0"/>
                <w:color w:val="auto"/>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28"/>
              <w:adjustRightInd w:val="0"/>
              <w:snapToGrid w:val="0"/>
              <w:spacing w:line="400" w:lineRule="exact"/>
              <w:ind w:left="422" w:firstLine="331"/>
              <w:rPr>
                <w:rFonts w:hAnsi="宋体" w:eastAsia="宋体"/>
                <w:bCs w:val="0"/>
                <w:color w:val="auto"/>
                <w:szCs w:val="21"/>
              </w:rPr>
            </w:pPr>
            <w:r>
              <w:rPr>
                <w:rFonts w:hint="eastAsia" w:hAnsi="宋体" w:eastAsia="宋体"/>
                <w:bCs w:val="0"/>
                <w:color w:val="auto"/>
                <w:szCs w:val="21"/>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612" w:type="dxa"/>
            <w:gridSpan w:val="2"/>
            <w:vAlign w:val="center"/>
          </w:tcPr>
          <w:p>
            <w:pPr>
              <w:pStyle w:val="28"/>
              <w:adjustRightInd w:val="0"/>
              <w:snapToGrid w:val="0"/>
              <w:spacing w:line="400" w:lineRule="exact"/>
              <w:ind w:left="422" w:firstLine="331"/>
              <w:rPr>
                <w:rFonts w:hAnsi="宋体" w:eastAsia="宋体"/>
                <w:bCs w:val="0"/>
                <w:color w:val="auto"/>
                <w:szCs w:val="21"/>
              </w:rPr>
            </w:pPr>
            <w:r>
              <w:rPr>
                <w:rFonts w:hint="eastAsia" w:hAnsi="宋体" w:eastAsia="宋体"/>
                <w:bCs w:val="0"/>
                <w:color w:val="auto"/>
                <w:szCs w:val="21"/>
              </w:rPr>
              <w:t>签署日期：</w:t>
            </w:r>
          </w:p>
        </w:tc>
      </w:tr>
    </w:tbl>
    <w:p>
      <w:pPr>
        <w:spacing w:line="360" w:lineRule="exact"/>
        <w:jc w:val="left"/>
        <w:rPr>
          <w:rFonts w:ascii="宋体" w:eastAsia="宋体"/>
          <w:bCs w:val="0"/>
          <w:color w:val="auto"/>
          <w:u w:val="single"/>
        </w:rPr>
      </w:pPr>
      <w:r>
        <w:rPr>
          <w:rFonts w:hint="eastAsia" w:ascii="宋体" w:eastAsia="宋体"/>
          <w:b w:val="0"/>
          <w:bCs w:val="0"/>
          <w:color w:val="auto"/>
        </w:rPr>
        <w:t xml:space="preserve"> </w:t>
      </w:r>
      <w:r>
        <w:rPr>
          <w:rFonts w:hint="eastAsia" w:ascii="宋体" w:eastAsia="宋体"/>
          <w:bCs w:val="0"/>
          <w:color w:val="auto"/>
        </w:rPr>
        <w:t xml:space="preserve"> </w:t>
      </w:r>
      <w:r>
        <w:rPr>
          <w:rFonts w:hint="eastAsia" w:ascii="宋体" w:eastAsia="宋体"/>
          <w:bCs w:val="0"/>
          <w:color w:val="auto"/>
          <w:u w:val="single"/>
        </w:rPr>
        <w:t>备注：</w:t>
      </w:r>
      <w:r>
        <w:rPr>
          <w:rFonts w:hint="eastAsia" w:ascii="宋体" w:eastAsia="宋体" w:cs="Arial"/>
          <w:b w:val="0"/>
          <w:color w:val="auto"/>
          <w:sz w:val="22"/>
          <w:szCs w:val="22"/>
          <w:u w:val="single"/>
        </w:rPr>
        <w:t>▲</w:t>
      </w:r>
      <w:r>
        <w:rPr>
          <w:rFonts w:hint="eastAsia" w:ascii="宋体" w:eastAsia="宋体"/>
          <w:bCs w:val="0"/>
          <w:color w:val="auto"/>
          <w:u w:val="single"/>
        </w:rPr>
        <w:t>投标供应商必须提供本声明，不提供按无效投标处理。</w:t>
      </w:r>
    </w:p>
    <w:p>
      <w:pPr>
        <w:widowControl/>
        <w:autoSpaceDE w:val="0"/>
        <w:autoSpaceDN w:val="0"/>
        <w:adjustRightInd w:val="0"/>
        <w:spacing w:line="460" w:lineRule="atLeast"/>
        <w:textAlignment w:val="bottom"/>
        <w:rPr>
          <w:rFonts w:ascii="宋体" w:eastAsia="宋体"/>
          <w:bCs w:val="0"/>
          <w:color w:val="auto"/>
          <w:sz w:val="22"/>
          <w:szCs w:val="22"/>
        </w:rPr>
      </w:pPr>
    </w:p>
    <w:p>
      <w:pPr>
        <w:widowControl/>
        <w:autoSpaceDE w:val="0"/>
        <w:autoSpaceDN w:val="0"/>
        <w:adjustRightInd w:val="0"/>
        <w:spacing w:line="460" w:lineRule="atLeast"/>
        <w:textAlignment w:val="bottom"/>
        <w:rPr>
          <w:rFonts w:ascii="宋体" w:eastAsia="宋体"/>
          <w:bCs w:val="0"/>
          <w:color w:val="auto"/>
          <w:sz w:val="22"/>
          <w:szCs w:val="22"/>
        </w:rPr>
      </w:pPr>
    </w:p>
    <w:p>
      <w:pPr>
        <w:autoSpaceDE w:val="0"/>
        <w:autoSpaceDN w:val="0"/>
        <w:adjustRightInd w:val="0"/>
        <w:spacing w:line="460" w:lineRule="atLeast"/>
        <w:rPr>
          <w:rFonts w:ascii="宋体" w:eastAsia="宋体"/>
          <w:b w:val="0"/>
          <w:color w:val="auto"/>
          <w:sz w:val="30"/>
          <w:lang w:val="zh-CN"/>
        </w:rPr>
      </w:pPr>
    </w:p>
    <w:p>
      <w:pPr>
        <w:pStyle w:val="47"/>
        <w:rPr>
          <w:rFonts w:ascii="宋体" w:hAnsi="宋体" w:cs="宋体"/>
          <w:color w:val="auto"/>
        </w:rPr>
      </w:pPr>
      <w:bookmarkStart w:id="177" w:name="_Toc18892"/>
      <w:r>
        <w:rPr>
          <w:rFonts w:hint="eastAsia" w:ascii="宋体" w:hAnsi="宋体"/>
          <w:color w:val="auto"/>
          <w:lang w:val="zh-CN"/>
        </w:rPr>
        <w:t>附件四</w:t>
      </w:r>
      <w:r>
        <w:rPr>
          <w:rFonts w:hint="eastAsia" w:ascii="宋体" w:hAnsi="宋体"/>
          <w:color w:val="auto"/>
        </w:rPr>
        <w:t xml:space="preserve"> </w:t>
      </w:r>
      <w:bookmarkStart w:id="178" w:name="_Toc19204522"/>
      <w:bookmarkStart w:id="179" w:name="_Toc438150553"/>
      <w:bookmarkStart w:id="180" w:name="_Toc518512536"/>
      <w:bookmarkStart w:id="181" w:name="_Toc31628"/>
      <w:bookmarkStart w:id="182" w:name="_Toc68188424"/>
      <w:bookmarkStart w:id="183" w:name="_Toc430717503"/>
      <w:bookmarkStart w:id="184" w:name="_Toc42678186"/>
      <w:bookmarkStart w:id="185" w:name="_Toc496618934"/>
      <w:bookmarkStart w:id="186" w:name="_Toc65830027"/>
      <w:bookmarkStart w:id="187" w:name="_Toc459361857"/>
      <w:bookmarkStart w:id="188" w:name="_Toc402361081"/>
      <w:bookmarkStart w:id="189" w:name="_Toc8873"/>
      <w:bookmarkStart w:id="190" w:name="_Toc65590099"/>
      <w:bookmarkStart w:id="191" w:name="_Toc410055446"/>
      <w:bookmarkStart w:id="192" w:name="_Toc522469121"/>
      <w:bookmarkStart w:id="193" w:name="_Toc42678618"/>
      <w:bookmarkStart w:id="194" w:name="_Toc28039"/>
      <w:bookmarkStart w:id="195" w:name="_Toc61444218"/>
      <w:bookmarkStart w:id="196" w:name="_Toc511045483"/>
      <w:bookmarkStart w:id="197" w:name="_Toc404262445"/>
      <w:bookmarkStart w:id="198" w:name="_Toc459450868"/>
      <w:bookmarkStart w:id="199" w:name="_Toc20107"/>
      <w:bookmarkStart w:id="200" w:name="_Toc1281"/>
      <w:bookmarkStart w:id="201" w:name="_Toc4906"/>
      <w:bookmarkStart w:id="202" w:name="_Toc42243289"/>
      <w:bookmarkStart w:id="203" w:name="_Toc491606420"/>
      <w:bookmarkStart w:id="204" w:name="_Toc10693"/>
      <w:bookmarkStart w:id="205" w:name="_Toc9334951"/>
      <w:bookmarkStart w:id="206" w:name="_Toc427581337"/>
      <w:bookmarkStart w:id="207" w:name="_Toc42678031"/>
      <w:bookmarkStart w:id="208" w:name="_Toc42678697"/>
      <w:bookmarkStart w:id="209" w:name="_Toc402360964"/>
      <w:r>
        <w:rPr>
          <w:rFonts w:hint="eastAsia" w:ascii="宋体" w:hAnsi="宋体"/>
          <w:color w:val="auto"/>
        </w:rPr>
        <w:t xml:space="preserve"> 法定代表人授权书</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spacing w:line="480" w:lineRule="auto"/>
        <w:rPr>
          <w:rFonts w:ascii="宋体" w:eastAsia="宋体"/>
          <w:color w:val="auto"/>
          <w:sz w:val="22"/>
          <w:szCs w:val="22"/>
        </w:rPr>
      </w:pPr>
      <w:r>
        <w:rPr>
          <w:rFonts w:hint="eastAsia" w:ascii="宋体" w:eastAsia="宋体"/>
          <w:color w:val="auto"/>
          <w:sz w:val="22"/>
          <w:szCs w:val="22"/>
          <w:u w:val="single"/>
        </w:rPr>
        <w:t>（采购人名称）</w:t>
      </w:r>
      <w:r>
        <w:rPr>
          <w:rFonts w:hint="eastAsia" w:ascii="宋体" w:eastAsia="宋体"/>
          <w:color w:val="auto"/>
          <w:sz w:val="22"/>
          <w:szCs w:val="22"/>
          <w:lang w:val="zh-CN"/>
        </w:rPr>
        <w:t>：</w:t>
      </w:r>
    </w:p>
    <w:p>
      <w:pPr>
        <w:spacing w:line="480" w:lineRule="auto"/>
        <w:ind w:firstLine="440" w:firstLineChars="200"/>
        <w:rPr>
          <w:rFonts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  </w:t>
      </w:r>
      <w:r>
        <w:rPr>
          <w:rFonts w:hint="eastAsia" w:ascii="宋体" w:eastAsia="宋体"/>
          <w:b w:val="0"/>
          <w:color w:val="auto"/>
          <w:sz w:val="22"/>
          <w:szCs w:val="22"/>
        </w:rPr>
        <w:t>项目投标，全权处理本次招投标活动中的一切事宜，我承认授权代表全权代表我所签署的本项目的投标文件的内容。</w:t>
      </w:r>
    </w:p>
    <w:p>
      <w:pPr>
        <w:spacing w:line="480" w:lineRule="auto"/>
        <w:ind w:firstLine="440" w:firstLineChars="200"/>
        <w:rPr>
          <w:rFonts w:ascii="宋体" w:eastAsia="宋体"/>
          <w:b w:val="0"/>
          <w:color w:val="auto"/>
          <w:sz w:val="22"/>
          <w:szCs w:val="22"/>
        </w:rPr>
      </w:pPr>
      <w:r>
        <w:rPr>
          <w:rFonts w:hint="eastAsia" w:ascii="宋体" w:eastAsia="宋体"/>
          <w:b w:val="0"/>
          <w:color w:val="auto"/>
          <w:sz w:val="22"/>
          <w:szCs w:val="22"/>
        </w:rPr>
        <w:t>授权代表无转授权，特此授权</w:t>
      </w:r>
    </w:p>
    <w:p>
      <w:pPr>
        <w:spacing w:line="480" w:lineRule="auto"/>
        <w:ind w:left="2100" w:leftChars="1000" w:firstLine="440" w:firstLineChars="200"/>
        <w:rPr>
          <w:rFonts w:ascii="宋体" w:eastAsia="宋体"/>
          <w:b w:val="0"/>
          <w:color w:val="auto"/>
          <w:sz w:val="22"/>
          <w:szCs w:val="22"/>
          <w:u w:val="single"/>
        </w:rPr>
      </w:pPr>
      <w:r>
        <w:rPr>
          <w:rFonts w:hint="eastAsia" w:ascii="宋体" w:eastAsia="宋体"/>
          <w:b w:val="0"/>
          <w:color w:val="auto"/>
          <w:sz w:val="22"/>
          <w:szCs w:val="22"/>
        </w:rPr>
        <w:t>授权代表：</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性别 ：</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w:t>
      </w:r>
    </w:p>
    <w:p>
      <w:pPr>
        <w:spacing w:line="480" w:lineRule="auto"/>
        <w:ind w:left="2100" w:leftChars="1000" w:firstLine="440" w:firstLineChars="200"/>
        <w:rPr>
          <w:rFonts w:ascii="宋体" w:eastAsia="宋体"/>
          <w:b w:val="0"/>
          <w:color w:val="auto"/>
          <w:sz w:val="22"/>
          <w:szCs w:val="22"/>
          <w:u w:val="single"/>
        </w:rPr>
      </w:pPr>
      <w:r>
        <w:rPr>
          <w:rFonts w:hint="eastAsia" w:ascii="宋体" w:eastAsia="宋体"/>
          <w:b w:val="0"/>
          <w:color w:val="auto"/>
          <w:sz w:val="22"/>
          <w:szCs w:val="22"/>
        </w:rPr>
        <w:t>职务：</w:t>
      </w:r>
      <w:r>
        <w:rPr>
          <w:rFonts w:hint="eastAsia" w:ascii="宋体" w:eastAsia="宋体"/>
          <w:b w:val="0"/>
          <w:color w:val="auto"/>
          <w:sz w:val="22"/>
          <w:szCs w:val="22"/>
          <w:u w:val="single"/>
        </w:rPr>
        <w:t xml:space="preserve">                  </w:t>
      </w:r>
      <w:r>
        <w:rPr>
          <w:rFonts w:hint="eastAsia" w:ascii="宋体" w:eastAsia="宋体"/>
          <w:b w:val="0"/>
          <w:color w:val="auto"/>
          <w:sz w:val="22"/>
          <w:szCs w:val="22"/>
        </w:rPr>
        <w:t>年龄：</w:t>
      </w:r>
      <w:r>
        <w:rPr>
          <w:rFonts w:hint="eastAsia" w:ascii="宋体" w:eastAsia="宋体"/>
          <w:b w:val="0"/>
          <w:color w:val="auto"/>
          <w:sz w:val="22"/>
          <w:szCs w:val="22"/>
          <w:u w:val="single"/>
        </w:rPr>
        <w:t xml:space="preserve">                        </w:t>
      </w:r>
    </w:p>
    <w:p>
      <w:pPr>
        <w:spacing w:line="480" w:lineRule="auto"/>
        <w:ind w:left="2100" w:leftChars="1000" w:firstLine="440" w:firstLineChars="200"/>
        <w:rPr>
          <w:rFonts w:ascii="宋体" w:eastAsia="宋体"/>
          <w:b w:val="0"/>
          <w:color w:val="auto"/>
          <w:sz w:val="22"/>
          <w:szCs w:val="22"/>
          <w:u w:val="single"/>
        </w:rPr>
      </w:pPr>
      <w:r>
        <w:rPr>
          <w:rFonts w:hint="eastAsia" w:ascii="宋体" w:eastAsia="宋体"/>
          <w:b w:val="0"/>
          <w:color w:val="auto"/>
          <w:sz w:val="22"/>
          <w:szCs w:val="22"/>
        </w:rPr>
        <w:t>详细通讯地址：</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邮政编码：</w:t>
      </w:r>
      <w:r>
        <w:rPr>
          <w:rFonts w:hint="eastAsia" w:ascii="宋体" w:eastAsia="宋体"/>
          <w:b w:val="0"/>
          <w:color w:val="auto"/>
          <w:sz w:val="22"/>
          <w:szCs w:val="22"/>
          <w:u w:val="single"/>
        </w:rPr>
        <w:t xml:space="preserve">           </w:t>
      </w:r>
    </w:p>
    <w:p>
      <w:pPr>
        <w:spacing w:line="480" w:lineRule="auto"/>
        <w:ind w:left="1" w:firstLine="2510" w:firstLineChars="1141"/>
        <w:rPr>
          <w:rFonts w:ascii="宋体" w:eastAsia="宋体"/>
          <w:b w:val="0"/>
          <w:color w:val="auto"/>
          <w:sz w:val="22"/>
          <w:szCs w:val="22"/>
          <w:u w:val="single"/>
        </w:rPr>
      </w:pPr>
      <w:r>
        <w:rPr>
          <w:rFonts w:hint="eastAsia" w:ascii="宋体" w:eastAsia="宋体"/>
          <w:b w:val="0"/>
          <w:color w:val="auto"/>
          <w:sz w:val="22"/>
          <w:szCs w:val="22"/>
        </w:rPr>
        <w:t>电话：</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传真：</w:t>
      </w:r>
      <w:r>
        <w:rPr>
          <w:rFonts w:hint="eastAsia" w:ascii="宋体" w:eastAsia="宋体"/>
          <w:b w:val="0"/>
          <w:color w:val="auto"/>
          <w:sz w:val="22"/>
          <w:szCs w:val="22"/>
          <w:u w:val="single"/>
        </w:rPr>
        <w:t xml:space="preserve">                      </w:t>
      </w:r>
    </w:p>
    <w:p>
      <w:pPr>
        <w:spacing w:line="480" w:lineRule="auto"/>
        <w:ind w:left="1" w:firstLine="422" w:firstLineChars="192"/>
        <w:rPr>
          <w:rFonts w:ascii="宋体" w:eastAsia="宋体"/>
          <w:b w:val="0"/>
          <w:color w:val="auto"/>
          <w:sz w:val="22"/>
          <w:szCs w:val="22"/>
        </w:rPr>
      </w:pPr>
      <w:r>
        <w:rPr>
          <w:rFonts w:hint="eastAsia" w:ascii="宋体" w:eastAsia="宋体"/>
          <w:b w:val="0"/>
          <w:color w:val="auto"/>
          <w:sz w:val="22"/>
          <w:szCs w:val="22"/>
        </w:rPr>
        <w:t xml:space="preserve">                   投标供应商：</w:t>
      </w:r>
      <w:r>
        <w:rPr>
          <w:rFonts w:hint="eastAsia" w:ascii="宋体" w:eastAsia="宋体"/>
          <w:b w:val="0"/>
          <w:color w:val="auto"/>
          <w:sz w:val="22"/>
          <w:szCs w:val="22"/>
          <w:u w:val="single"/>
        </w:rPr>
        <w:t xml:space="preserve">                                  （盖章）</w:t>
      </w:r>
    </w:p>
    <w:p>
      <w:pPr>
        <w:spacing w:line="480" w:lineRule="auto"/>
        <w:ind w:left="2100" w:right="440" w:firstLine="440" w:firstLineChars="200"/>
        <w:rPr>
          <w:rFonts w:ascii="宋体" w:eastAsia="宋体"/>
          <w:b w:val="0"/>
          <w:color w:val="auto"/>
          <w:sz w:val="22"/>
          <w:szCs w:val="22"/>
        </w:rPr>
      </w:pPr>
      <w:r>
        <w:rPr>
          <w:rFonts w:hint="eastAsia" w:ascii="宋体" w:eastAsia="宋体"/>
          <w:b w:val="0"/>
          <w:color w:val="auto"/>
          <w:sz w:val="22"/>
          <w:szCs w:val="22"/>
        </w:rPr>
        <w:t>法定代表人：</w:t>
      </w:r>
      <w:r>
        <w:rPr>
          <w:rFonts w:hint="eastAsia" w:ascii="宋体" w:eastAsia="宋体"/>
          <w:b w:val="0"/>
          <w:color w:val="auto"/>
          <w:sz w:val="22"/>
          <w:szCs w:val="22"/>
          <w:u w:val="single"/>
        </w:rPr>
        <w:t xml:space="preserve">                         （签字或盖章）</w:t>
      </w:r>
    </w:p>
    <w:p>
      <w:pPr>
        <w:spacing w:line="480" w:lineRule="auto"/>
        <w:ind w:right="440" w:firstLine="2640" w:firstLineChars="1200"/>
        <w:rPr>
          <w:rFonts w:ascii="宋体" w:eastAsia="宋体"/>
          <w:b w:val="0"/>
          <w:color w:val="auto"/>
          <w:sz w:val="22"/>
          <w:szCs w:val="22"/>
        </w:rPr>
      </w:pPr>
      <w:r>
        <w:rPr>
          <w:rFonts w:hint="eastAsia" w:ascii="宋体" w:eastAsia="宋体"/>
          <w:b w:val="0"/>
          <w:color w:val="auto"/>
          <w:sz w:val="22"/>
          <w:szCs w:val="22"/>
        </w:rPr>
        <w:t>授权委托日期：</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年 </w:t>
      </w:r>
      <w:r>
        <w:rPr>
          <w:rFonts w:hint="eastAsia" w:ascii="宋体" w:eastAsia="宋体"/>
          <w:b w:val="0"/>
          <w:color w:val="auto"/>
          <w:sz w:val="22"/>
          <w:szCs w:val="22"/>
          <w:u w:val="single"/>
        </w:rPr>
        <w:t xml:space="preserve">    </w:t>
      </w:r>
      <w:r>
        <w:rPr>
          <w:rFonts w:hint="eastAsia" w:ascii="宋体" w:eastAsia="宋体"/>
          <w:b w:val="0"/>
          <w:color w:val="auto"/>
          <w:sz w:val="22"/>
          <w:szCs w:val="22"/>
        </w:rPr>
        <w:t>月</w:t>
      </w:r>
      <w:r>
        <w:rPr>
          <w:rFonts w:hint="eastAsia" w:ascii="宋体" w:eastAsia="宋体"/>
          <w:b w:val="0"/>
          <w:color w:val="auto"/>
          <w:sz w:val="22"/>
          <w:szCs w:val="22"/>
          <w:u w:val="single"/>
        </w:rPr>
        <w:t xml:space="preserve">     </w:t>
      </w:r>
      <w:r>
        <w:rPr>
          <w:rFonts w:hint="eastAsia" w:ascii="宋体" w:eastAsia="宋体"/>
          <w:b w:val="0"/>
          <w:color w:val="auto"/>
          <w:sz w:val="22"/>
          <w:szCs w:val="22"/>
        </w:rPr>
        <w:t>日</w:t>
      </w:r>
    </w:p>
    <w:tbl>
      <w:tblPr>
        <w:tblStyle w:val="50"/>
        <w:tblW w:w="7839"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trPr>
        <w:tc>
          <w:tcPr>
            <w:tcW w:w="7839" w:type="dxa"/>
          </w:tcPr>
          <w:p>
            <w:pPr>
              <w:pStyle w:val="28"/>
              <w:spacing w:line="440" w:lineRule="atLeast"/>
              <w:rPr>
                <w:rFonts w:hAnsi="宋体" w:eastAsia="宋体"/>
                <w:b w:val="0"/>
                <w:color w:val="auto"/>
                <w:sz w:val="36"/>
              </w:rPr>
            </w:pPr>
          </w:p>
          <w:p>
            <w:pPr>
              <w:pStyle w:val="28"/>
              <w:spacing w:line="440" w:lineRule="atLeast"/>
              <w:jc w:val="center"/>
              <w:rPr>
                <w:rFonts w:hAnsi="宋体" w:eastAsia="宋体"/>
                <w:b w:val="0"/>
                <w:color w:val="auto"/>
                <w:sz w:val="36"/>
              </w:rPr>
            </w:pPr>
          </w:p>
          <w:p>
            <w:pPr>
              <w:pStyle w:val="28"/>
              <w:spacing w:line="440" w:lineRule="atLeast"/>
              <w:jc w:val="center"/>
              <w:rPr>
                <w:rFonts w:hAnsi="宋体" w:eastAsia="宋体"/>
                <w:b w:val="0"/>
                <w:color w:val="auto"/>
                <w:sz w:val="36"/>
              </w:rPr>
            </w:pPr>
          </w:p>
          <w:p>
            <w:pPr>
              <w:pStyle w:val="28"/>
              <w:spacing w:line="440" w:lineRule="atLeast"/>
              <w:jc w:val="center"/>
              <w:rPr>
                <w:rFonts w:hAnsi="宋体" w:eastAsia="宋体"/>
                <w:b w:val="0"/>
                <w:color w:val="auto"/>
                <w:sz w:val="36"/>
              </w:rPr>
            </w:pPr>
          </w:p>
          <w:p>
            <w:pPr>
              <w:pStyle w:val="28"/>
              <w:spacing w:line="440" w:lineRule="atLeast"/>
              <w:jc w:val="center"/>
              <w:rPr>
                <w:rFonts w:hAnsi="宋体" w:eastAsia="宋体"/>
                <w:b w:val="0"/>
                <w:color w:val="auto"/>
                <w:sz w:val="36"/>
              </w:rPr>
            </w:pPr>
            <w:r>
              <w:rPr>
                <w:rFonts w:hint="eastAsia" w:hAnsi="宋体" w:eastAsia="宋体"/>
                <w:color w:val="auto"/>
                <w:sz w:val="36"/>
              </w:rPr>
              <w:t>（授权代表身份证扫描件或影印件）</w:t>
            </w:r>
          </w:p>
          <w:p>
            <w:pPr>
              <w:pStyle w:val="28"/>
              <w:spacing w:line="440" w:lineRule="atLeast"/>
              <w:ind w:left="5271" w:firstLine="1080" w:firstLineChars="300"/>
              <w:rPr>
                <w:rFonts w:hAnsi="宋体" w:eastAsia="宋体"/>
                <w:b w:val="0"/>
                <w:color w:val="auto"/>
                <w:sz w:val="36"/>
              </w:rPr>
            </w:pPr>
          </w:p>
        </w:tc>
      </w:tr>
    </w:tbl>
    <w:p>
      <w:pPr>
        <w:autoSpaceDE w:val="0"/>
        <w:autoSpaceDN w:val="0"/>
        <w:adjustRightInd w:val="0"/>
        <w:spacing w:line="460" w:lineRule="atLeast"/>
        <w:ind w:firstLine="720" w:firstLineChars="200"/>
        <w:rPr>
          <w:rFonts w:ascii="宋体" w:eastAsia="宋体"/>
          <w:b w:val="0"/>
          <w:color w:val="auto"/>
          <w:sz w:val="36"/>
        </w:rPr>
      </w:pPr>
    </w:p>
    <w:p>
      <w:pPr>
        <w:pStyle w:val="47"/>
        <w:rPr>
          <w:rFonts w:ascii="宋体" w:hAnsi="宋体"/>
          <w:color w:val="auto"/>
        </w:rPr>
      </w:pPr>
    </w:p>
    <w:p>
      <w:pPr>
        <w:pStyle w:val="47"/>
        <w:rPr>
          <w:rFonts w:ascii="宋体" w:hAnsi="宋体"/>
          <w:color w:val="auto"/>
          <w:lang w:val="zh-CN"/>
        </w:rPr>
      </w:pPr>
      <w:bookmarkStart w:id="210" w:name="_Toc24975"/>
      <w:r>
        <w:rPr>
          <w:rFonts w:hint="eastAsia" w:ascii="宋体" w:hAnsi="宋体"/>
          <w:color w:val="auto"/>
          <w:lang w:val="zh-CN"/>
        </w:rPr>
        <w:t>附件五 投标供应商不属于公益一类事业单位、使用事业编制且由财政拨款保障的群团组织承诺函</w:t>
      </w:r>
      <w:bookmarkEnd w:id="210"/>
    </w:p>
    <w:p>
      <w:pPr>
        <w:shd w:val="clear" w:color="auto" w:fill="FFFFFF"/>
        <w:snapToGrid w:val="0"/>
        <w:spacing w:line="360" w:lineRule="auto"/>
        <w:rPr>
          <w:rFonts w:ascii="宋体" w:eastAsia="宋体" w:cs="黑体"/>
          <w:b w:val="0"/>
          <w:color w:val="auto"/>
          <w:sz w:val="22"/>
          <w:szCs w:val="22"/>
          <w:u w:val="single"/>
        </w:rPr>
      </w:pPr>
    </w:p>
    <w:p>
      <w:pPr>
        <w:shd w:val="clear" w:color="auto" w:fill="FFFFFF"/>
        <w:snapToGrid w:val="0"/>
        <w:spacing w:line="360" w:lineRule="auto"/>
        <w:rPr>
          <w:rFonts w:ascii="宋体" w:eastAsia="宋体" w:cs="黑体"/>
          <w:b w:val="0"/>
          <w:color w:val="auto"/>
          <w:sz w:val="22"/>
          <w:szCs w:val="22"/>
          <w:u w:val="single"/>
        </w:rPr>
      </w:pPr>
      <w:r>
        <w:rPr>
          <w:rFonts w:hint="eastAsia" w:ascii="宋体" w:eastAsia="宋体" w:cs="黑体"/>
          <w:b w:val="0"/>
          <w:color w:val="auto"/>
          <w:sz w:val="22"/>
          <w:szCs w:val="22"/>
          <w:u w:val="single"/>
          <w:lang w:eastAsia="zh-CN"/>
        </w:rPr>
        <w:t>永嘉县公安局交通警察大队</w:t>
      </w:r>
      <w:r>
        <w:rPr>
          <w:rFonts w:hint="eastAsia" w:ascii="宋体" w:eastAsia="宋体" w:cs="黑体"/>
          <w:b w:val="0"/>
          <w:color w:val="auto"/>
          <w:sz w:val="22"/>
          <w:szCs w:val="22"/>
          <w:u w:val="single"/>
        </w:rPr>
        <w:t>：</w:t>
      </w:r>
    </w:p>
    <w:p>
      <w:pPr>
        <w:shd w:val="clear" w:color="auto" w:fill="FFFFFF"/>
        <w:snapToGrid w:val="0"/>
        <w:spacing w:line="360" w:lineRule="auto"/>
        <w:rPr>
          <w:rFonts w:ascii="宋体" w:eastAsia="宋体"/>
          <w:color w:val="auto"/>
          <w:sz w:val="24"/>
        </w:rPr>
      </w:pPr>
      <w:r>
        <w:rPr>
          <w:rFonts w:hint="eastAsia" w:ascii="宋体" w:eastAsia="宋体" w:cs="黑体"/>
          <w:b w:val="0"/>
          <w:color w:val="auto"/>
          <w:sz w:val="22"/>
          <w:szCs w:val="22"/>
          <w:u w:val="single"/>
        </w:rPr>
        <w:t>温州市中概工程管理咨询有限公司：</w:t>
      </w: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我方郑重承诺，我单位不属于</w:t>
      </w:r>
      <w:r>
        <w:rPr>
          <w:rFonts w:hint="eastAsia" w:ascii="宋体" w:eastAsia="宋体"/>
          <w:b w:val="0"/>
          <w:color w:val="auto"/>
          <w:sz w:val="22"/>
          <w:szCs w:val="22"/>
        </w:rPr>
        <w:t>公益一类事业单位、使用事业编制且由财政拨款保障的群团组织，</w:t>
      </w:r>
      <w:r>
        <w:rPr>
          <w:rFonts w:hint="eastAsia" w:ascii="宋体" w:eastAsia="宋体" w:cs="Courier New"/>
          <w:b w:val="0"/>
          <w:color w:val="auto"/>
          <w:sz w:val="22"/>
          <w:szCs w:val="22"/>
        </w:rPr>
        <w:t>可承接本项目的相关内容。如有虚假或隐瞒，愿意承担一切后果。</w:t>
      </w:r>
    </w:p>
    <w:p>
      <w:pPr>
        <w:shd w:val="clear" w:color="auto" w:fill="FFFFFF"/>
        <w:snapToGrid w:val="0"/>
        <w:spacing w:line="360" w:lineRule="auto"/>
        <w:jc w:val="center"/>
        <w:rPr>
          <w:rFonts w:ascii="宋体" w:eastAsia="宋体"/>
          <w:b w:val="0"/>
          <w:color w:val="auto"/>
          <w:kern w:val="36"/>
          <w:sz w:val="22"/>
          <w:szCs w:val="22"/>
        </w:rPr>
      </w:pPr>
    </w:p>
    <w:p>
      <w:pPr>
        <w:widowControl/>
        <w:snapToGrid w:val="0"/>
        <w:spacing w:line="360" w:lineRule="auto"/>
        <w:ind w:firstLine="440" w:firstLineChars="200"/>
        <w:jc w:val="left"/>
        <w:rPr>
          <w:rFonts w:ascii="宋体" w:eastAsia="宋体"/>
          <w:b w:val="0"/>
          <w:color w:val="auto"/>
          <w:sz w:val="22"/>
          <w:szCs w:val="22"/>
        </w:rPr>
      </w:pPr>
      <w:r>
        <w:rPr>
          <w:rFonts w:hint="eastAsia" w:ascii="宋体" w:eastAsia="宋体"/>
          <w:b w:val="0"/>
          <w:color w:val="auto"/>
          <w:sz w:val="22"/>
          <w:szCs w:val="22"/>
        </w:rPr>
        <w:t>特此承诺！</w:t>
      </w:r>
    </w:p>
    <w:p>
      <w:pPr>
        <w:widowControl/>
        <w:snapToGrid w:val="0"/>
        <w:spacing w:line="360" w:lineRule="auto"/>
        <w:ind w:firstLine="440" w:firstLineChars="200"/>
        <w:jc w:val="left"/>
        <w:rPr>
          <w:rFonts w:ascii="宋体" w:eastAsia="宋体"/>
          <w:b w:val="0"/>
          <w:color w:val="auto"/>
          <w:sz w:val="22"/>
          <w:szCs w:val="22"/>
        </w:rPr>
      </w:pPr>
    </w:p>
    <w:p>
      <w:pPr>
        <w:widowControl/>
        <w:snapToGrid w:val="0"/>
        <w:spacing w:line="360" w:lineRule="auto"/>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 xml:space="preserve">投标供应商（盖章） ： </w:t>
      </w:r>
    </w:p>
    <w:p>
      <w:pPr>
        <w:widowControl/>
        <w:snapToGrid w:val="0"/>
        <w:spacing w:line="360" w:lineRule="auto"/>
        <w:ind w:firstLine="440" w:firstLineChars="200"/>
        <w:jc w:val="left"/>
        <w:rPr>
          <w:rFonts w:ascii="宋体" w:eastAsia="宋体"/>
          <w:b w:val="0"/>
          <w:color w:val="auto"/>
          <w:sz w:val="22"/>
          <w:szCs w:val="22"/>
        </w:rPr>
      </w:pPr>
      <w:r>
        <w:rPr>
          <w:rFonts w:hint="eastAsia" w:ascii="宋体" w:eastAsia="宋体" w:cs="Courier New"/>
          <w:b w:val="0"/>
          <w:color w:val="auto"/>
          <w:sz w:val="22"/>
          <w:szCs w:val="22"/>
        </w:rPr>
        <w:t>日期：</w:t>
      </w: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bookmarkStart w:id="211" w:name="_Toc20050"/>
      <w:r>
        <w:rPr>
          <w:rFonts w:hint="eastAsia" w:ascii="宋体" w:hAnsi="宋体"/>
          <w:color w:val="auto"/>
        </w:rPr>
        <w:t>二、报价文件格式</w:t>
      </w:r>
      <w:bookmarkEnd w:id="160"/>
      <w:bookmarkEnd w:id="161"/>
      <w:bookmarkEnd w:id="211"/>
    </w:p>
    <w:p>
      <w:pPr>
        <w:pStyle w:val="47"/>
        <w:rPr>
          <w:color w:val="auto"/>
          <w:lang w:val="zh-CN"/>
        </w:rPr>
      </w:pPr>
      <w:bookmarkStart w:id="212" w:name="_Toc21202"/>
      <w:r>
        <w:rPr>
          <w:rFonts w:hint="eastAsia" w:ascii="宋体" w:hAnsi="宋体"/>
          <w:color w:val="auto"/>
        </w:rPr>
        <w:t>附件六 开标一览表</w:t>
      </w:r>
      <w:bookmarkEnd w:id="212"/>
      <w:r>
        <w:rPr>
          <w:rFonts w:hint="eastAsia" w:ascii="宋体" w:hAnsi="宋体"/>
          <w:color w:val="auto"/>
        </w:rPr>
        <w:t xml:space="preserve"> </w:t>
      </w:r>
      <w:r>
        <w:rPr>
          <w:rFonts w:hint="eastAsia" w:ascii="宋体"/>
          <w:bCs w:val="0"/>
          <w:color w:val="auto"/>
          <w:sz w:val="22"/>
          <w:szCs w:val="22"/>
        </w:rPr>
        <w:t xml:space="preserve"> </w:t>
      </w:r>
      <w:r>
        <w:rPr>
          <w:rFonts w:hint="eastAsia"/>
          <w:color w:val="auto"/>
          <w:lang w:val="zh-CN"/>
        </w:rPr>
        <w:t xml:space="preserve">                         </w:t>
      </w:r>
    </w:p>
    <w:p>
      <w:pPr>
        <w:autoSpaceDE w:val="0"/>
        <w:autoSpaceDN w:val="0"/>
        <w:adjustRightInd w:val="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供应商名称：</w:t>
      </w:r>
      <w:r>
        <w:rPr>
          <w:rFonts w:ascii="宋体" w:eastAsia="宋体" w:cs="仿宋_GB2312"/>
          <w:b w:val="0"/>
          <w:color w:val="auto"/>
          <w:sz w:val="22"/>
          <w:szCs w:val="22"/>
          <w:u w:val="single"/>
          <w:lang w:val="zh-CN"/>
        </w:rPr>
        <w:t xml:space="preserve">             </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rPr>
        <w:t xml:space="preserve"> </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招标编号：</w:t>
      </w:r>
      <w:r>
        <w:rPr>
          <w:rFonts w:ascii="宋体" w:eastAsia="宋体" w:cs="仿宋_GB2312"/>
          <w:b w:val="0"/>
          <w:color w:val="auto"/>
          <w:sz w:val="22"/>
          <w:szCs w:val="22"/>
          <w:u w:val="single"/>
          <w:lang w:val="zh-CN"/>
        </w:rPr>
        <w:t xml:space="preserve">         </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w:t>
      </w:r>
      <w:r>
        <w:rPr>
          <w:rFonts w:hint="eastAsia" w:ascii="宋体" w:eastAsia="宋体" w:cs="仿宋_GB2312"/>
          <w:b w:val="0"/>
          <w:color w:val="auto"/>
          <w:sz w:val="22"/>
          <w:szCs w:val="22"/>
        </w:rPr>
        <w:t xml:space="preserve">  </w:t>
      </w:r>
    </w:p>
    <w:tbl>
      <w:tblPr>
        <w:tblStyle w:val="50"/>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603"/>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3045" w:type="dxa"/>
            <w:tcBorders>
              <w:right w:val="single" w:color="000000" w:sz="6" w:space="0"/>
            </w:tcBorders>
            <w:vAlign w:val="center"/>
          </w:tcPr>
          <w:p>
            <w:pPr>
              <w:pStyle w:val="28"/>
              <w:snapToGrid w:val="0"/>
              <w:spacing w:line="460" w:lineRule="atLeast"/>
              <w:jc w:val="center"/>
              <w:rPr>
                <w:rFonts w:hAnsi="宋体" w:eastAsia="宋体"/>
                <w:b w:val="0"/>
                <w:color w:val="auto"/>
                <w:sz w:val="22"/>
                <w:szCs w:val="22"/>
              </w:rPr>
            </w:pPr>
            <w:r>
              <w:rPr>
                <w:rFonts w:hint="eastAsia" w:hAnsi="宋体" w:eastAsia="宋体"/>
                <w:b w:val="0"/>
                <w:color w:val="auto"/>
                <w:sz w:val="22"/>
                <w:szCs w:val="22"/>
              </w:rPr>
              <w:t>项目名称</w:t>
            </w:r>
          </w:p>
        </w:tc>
        <w:tc>
          <w:tcPr>
            <w:tcW w:w="3603" w:type="dxa"/>
            <w:tcBorders>
              <w:left w:val="single" w:color="auto" w:sz="4" w:space="0"/>
              <w:right w:val="single" w:color="000000" w:sz="4" w:space="0"/>
            </w:tcBorders>
            <w:vAlign w:val="center"/>
          </w:tcPr>
          <w:p>
            <w:pPr>
              <w:pStyle w:val="28"/>
              <w:snapToGrid w:val="0"/>
              <w:spacing w:line="460" w:lineRule="atLeast"/>
              <w:jc w:val="center"/>
              <w:rPr>
                <w:rFonts w:hAnsi="宋体" w:eastAsia="宋体"/>
                <w:b w:val="0"/>
                <w:color w:val="auto"/>
                <w:sz w:val="22"/>
                <w:szCs w:val="22"/>
              </w:rPr>
            </w:pPr>
            <w:r>
              <w:rPr>
                <w:rFonts w:hint="eastAsia" w:hAnsi="宋体" w:eastAsia="宋体"/>
                <w:b w:val="0"/>
                <w:color w:val="auto"/>
                <w:sz w:val="22"/>
                <w:szCs w:val="22"/>
              </w:rPr>
              <w:t>投标总价</w:t>
            </w:r>
          </w:p>
          <w:p>
            <w:pPr>
              <w:pStyle w:val="28"/>
              <w:snapToGrid w:val="0"/>
              <w:spacing w:line="460" w:lineRule="atLeast"/>
              <w:jc w:val="center"/>
              <w:rPr>
                <w:rFonts w:hAnsi="宋体" w:eastAsia="宋体"/>
                <w:b w:val="0"/>
                <w:color w:val="auto"/>
                <w:sz w:val="22"/>
                <w:szCs w:val="22"/>
              </w:rPr>
            </w:pPr>
            <w:r>
              <w:rPr>
                <w:rFonts w:hint="eastAsia" w:hAnsi="宋体" w:eastAsia="宋体"/>
                <w:b w:val="0"/>
                <w:color w:val="auto"/>
                <w:sz w:val="22"/>
                <w:szCs w:val="22"/>
              </w:rPr>
              <w:t>（元人民币）</w:t>
            </w:r>
          </w:p>
        </w:tc>
        <w:tc>
          <w:tcPr>
            <w:tcW w:w="3130" w:type="dxa"/>
            <w:tcBorders>
              <w:left w:val="single" w:color="000000" w:sz="4" w:space="0"/>
              <w:right w:val="single" w:color="000000" w:sz="4" w:space="0"/>
            </w:tcBorders>
            <w:vAlign w:val="center"/>
          </w:tcPr>
          <w:p>
            <w:pPr>
              <w:pStyle w:val="28"/>
              <w:jc w:val="center"/>
              <w:rPr>
                <w:rFonts w:hint="eastAsia" w:hAnsi="宋体" w:eastAsia="宋体"/>
                <w:b w:val="0"/>
                <w:color w:val="auto"/>
                <w:sz w:val="22"/>
                <w:szCs w:val="22"/>
                <w:lang w:eastAsia="zh-CN"/>
              </w:rPr>
            </w:pPr>
            <w:r>
              <w:rPr>
                <w:rFonts w:hint="eastAsia" w:hAnsi="宋体" w:eastAsia="宋体"/>
                <w:b w:val="0"/>
                <w:color w:val="auto"/>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trPr>
        <w:tc>
          <w:tcPr>
            <w:tcW w:w="3045" w:type="dxa"/>
            <w:tcBorders>
              <w:right w:val="single" w:color="000000" w:sz="6" w:space="0"/>
            </w:tcBorders>
            <w:vAlign w:val="center"/>
          </w:tcPr>
          <w:p>
            <w:pPr>
              <w:pStyle w:val="28"/>
              <w:snapToGrid w:val="0"/>
              <w:spacing w:line="460" w:lineRule="atLeast"/>
              <w:jc w:val="center"/>
              <w:rPr>
                <w:rFonts w:hAnsi="宋体" w:eastAsia="宋体"/>
                <w:b w:val="0"/>
                <w:color w:val="auto"/>
                <w:sz w:val="22"/>
                <w:szCs w:val="22"/>
              </w:rPr>
            </w:pPr>
          </w:p>
        </w:tc>
        <w:tc>
          <w:tcPr>
            <w:tcW w:w="3603" w:type="dxa"/>
            <w:tcBorders>
              <w:left w:val="single" w:color="auto" w:sz="4" w:space="0"/>
              <w:right w:val="single" w:color="000000" w:sz="4" w:space="0"/>
            </w:tcBorders>
            <w:vAlign w:val="center"/>
          </w:tcPr>
          <w:p>
            <w:pPr>
              <w:pStyle w:val="28"/>
              <w:spacing w:line="460" w:lineRule="atLeast"/>
              <w:ind w:firstLine="220" w:firstLineChars="100"/>
              <w:rPr>
                <w:rFonts w:hAnsi="宋体" w:eastAsia="宋体"/>
                <w:b w:val="0"/>
                <w:color w:val="auto"/>
                <w:sz w:val="22"/>
                <w:szCs w:val="22"/>
              </w:rPr>
            </w:pPr>
            <w:r>
              <w:rPr>
                <w:rFonts w:hint="eastAsia" w:hAnsi="宋体" w:eastAsia="宋体"/>
                <w:b w:val="0"/>
                <w:color w:val="auto"/>
                <w:sz w:val="22"/>
                <w:szCs w:val="22"/>
              </w:rPr>
              <w:t>大写：</w:t>
            </w:r>
          </w:p>
          <w:p>
            <w:pPr>
              <w:pStyle w:val="28"/>
              <w:spacing w:line="460" w:lineRule="atLeast"/>
              <w:ind w:firstLine="220" w:firstLineChars="100"/>
              <w:rPr>
                <w:rFonts w:hAnsi="宋体" w:eastAsia="宋体"/>
                <w:b w:val="0"/>
                <w:color w:val="auto"/>
                <w:sz w:val="22"/>
                <w:szCs w:val="22"/>
              </w:rPr>
            </w:pPr>
            <w:r>
              <w:rPr>
                <w:rFonts w:hint="eastAsia" w:hAnsi="宋体" w:eastAsia="宋体"/>
                <w:b w:val="0"/>
                <w:color w:val="auto"/>
                <w:sz w:val="22"/>
                <w:szCs w:val="22"/>
              </w:rPr>
              <w:t>小写：</w:t>
            </w:r>
          </w:p>
        </w:tc>
        <w:tc>
          <w:tcPr>
            <w:tcW w:w="3130" w:type="dxa"/>
            <w:tcBorders>
              <w:left w:val="single" w:color="000000" w:sz="4" w:space="0"/>
              <w:right w:val="single" w:color="000000" w:sz="4" w:space="0"/>
            </w:tcBorders>
            <w:vAlign w:val="center"/>
          </w:tcPr>
          <w:p>
            <w:pPr>
              <w:pStyle w:val="3"/>
              <w:jc w:val="center"/>
              <w:rPr>
                <w:b/>
                <w:sz w:val="22"/>
                <w:szCs w:val="22"/>
              </w:rPr>
            </w:pPr>
          </w:p>
        </w:tc>
      </w:tr>
    </w:tbl>
    <w:p>
      <w:pPr>
        <w:autoSpaceDE w:val="0"/>
        <w:autoSpaceDN w:val="0"/>
        <w:adjustRightInd w:val="0"/>
        <w:spacing w:line="460" w:lineRule="atLeast"/>
        <w:rPr>
          <w:rFonts w:ascii="宋体" w:eastAsia="宋体" w:cs="仿宋_GB2312"/>
          <w:b w:val="0"/>
          <w:color w:val="auto"/>
          <w:sz w:val="22"/>
          <w:szCs w:val="22"/>
          <w:lang w:val="zh-CN"/>
        </w:rPr>
      </w:pPr>
    </w:p>
    <w:p>
      <w:pPr>
        <w:autoSpaceDE w:val="0"/>
        <w:autoSpaceDN w:val="0"/>
        <w:adjustRightInd w:val="0"/>
        <w:spacing w:line="46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供应商全称（盖章）：</w:t>
      </w:r>
      <w:r>
        <w:rPr>
          <w:rFonts w:ascii="宋体" w:eastAsia="宋体" w:cs="仿宋_GB2312"/>
          <w:b w:val="0"/>
          <w:color w:val="auto"/>
          <w:sz w:val="22"/>
          <w:szCs w:val="22"/>
          <w:lang w:val="zh-CN"/>
        </w:rPr>
        <w:t xml:space="preserve">                          </w:t>
      </w:r>
    </w:p>
    <w:p>
      <w:pPr>
        <w:autoSpaceDE w:val="0"/>
        <w:autoSpaceDN w:val="0"/>
        <w:adjustRightInd w:val="0"/>
        <w:spacing w:line="46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日期：</w:t>
      </w:r>
    </w:p>
    <w:p>
      <w:pPr>
        <w:pStyle w:val="28"/>
        <w:spacing w:line="460" w:lineRule="atLeast"/>
        <w:rPr>
          <w:rFonts w:hAnsi="宋体" w:eastAsia="宋体"/>
          <w:b w:val="0"/>
          <w:color w:val="auto"/>
          <w:sz w:val="22"/>
          <w:szCs w:val="22"/>
        </w:rPr>
      </w:pPr>
      <w:r>
        <w:rPr>
          <w:rFonts w:hint="eastAsia" w:eastAsia="宋体" w:cs="Arial"/>
          <w:b w:val="0"/>
          <w:color w:val="auto"/>
          <w:sz w:val="22"/>
          <w:szCs w:val="22"/>
        </w:rPr>
        <w:t>▲</w:t>
      </w:r>
      <w:r>
        <w:rPr>
          <w:rFonts w:hint="eastAsia" w:hAnsi="宋体" w:eastAsia="宋体"/>
          <w:b w:val="0"/>
          <w:color w:val="auto"/>
          <w:sz w:val="22"/>
          <w:szCs w:val="22"/>
        </w:rPr>
        <w:t>开标一览表中投标价为符合招标文件要求的总报价。</w:t>
      </w:r>
    </w:p>
    <w:p>
      <w:pPr>
        <w:pStyle w:val="28"/>
        <w:spacing w:line="460" w:lineRule="atLeast"/>
        <w:rPr>
          <w:rFonts w:hAnsi="宋体" w:eastAsia="宋体"/>
          <w:b w:val="0"/>
          <w:color w:val="auto"/>
          <w:sz w:val="22"/>
          <w:szCs w:val="22"/>
        </w:rPr>
      </w:pPr>
      <w:r>
        <w:rPr>
          <w:rFonts w:hint="eastAsia" w:eastAsia="宋体" w:cs="Arial"/>
          <w:b w:val="0"/>
          <w:color w:val="auto"/>
          <w:sz w:val="22"/>
          <w:szCs w:val="22"/>
        </w:rPr>
        <w:t>▲</w:t>
      </w:r>
      <w:r>
        <w:rPr>
          <w:rFonts w:hint="eastAsia" w:hAnsi="宋体" w:eastAsia="宋体"/>
          <w:b w:val="0"/>
          <w:color w:val="auto"/>
          <w:sz w:val="22"/>
          <w:szCs w:val="22"/>
        </w:rPr>
        <w:t>不提供此表格的将视为没有实质性响应招标文件。</w:t>
      </w:r>
    </w:p>
    <w:p>
      <w:pPr>
        <w:autoSpaceDE w:val="0"/>
        <w:autoSpaceDN w:val="0"/>
        <w:adjustRightInd w:val="0"/>
        <w:spacing w:line="500" w:lineRule="atLeast"/>
        <w:rPr>
          <w:rFonts w:ascii="宋体" w:eastAsia="宋体" w:cs="仿宋_GB2312"/>
          <w:b w:val="0"/>
          <w:color w:val="auto"/>
          <w:sz w:val="22"/>
          <w:szCs w:val="22"/>
          <w:lang w:val="zh-CN"/>
        </w:rPr>
      </w:pPr>
    </w:p>
    <w:p>
      <w:pPr>
        <w:autoSpaceDE w:val="0"/>
        <w:autoSpaceDN w:val="0"/>
        <w:adjustRightInd w:val="0"/>
        <w:spacing w:line="500" w:lineRule="atLeast"/>
        <w:rPr>
          <w:rFonts w:ascii="宋体" w:eastAsia="宋体" w:cs="仿宋_GB2312"/>
          <w:b w:val="0"/>
          <w:color w:val="auto"/>
          <w:sz w:val="30"/>
          <w:szCs w:val="30"/>
          <w:lang w:val="zh-CN"/>
        </w:rPr>
      </w:pPr>
    </w:p>
    <w:p>
      <w:pPr>
        <w:autoSpaceDE w:val="0"/>
        <w:autoSpaceDN w:val="0"/>
        <w:adjustRightInd w:val="0"/>
        <w:spacing w:line="500" w:lineRule="atLeast"/>
        <w:rPr>
          <w:rFonts w:ascii="宋体" w:eastAsia="宋体" w:cs="仿宋_GB2312"/>
          <w:b w:val="0"/>
          <w:color w:val="auto"/>
          <w:sz w:val="30"/>
          <w:szCs w:val="30"/>
          <w:lang w:val="zh-CN"/>
        </w:rPr>
      </w:pPr>
    </w:p>
    <w:p>
      <w:pPr>
        <w:autoSpaceDE w:val="0"/>
        <w:autoSpaceDN w:val="0"/>
        <w:adjustRightInd w:val="0"/>
        <w:spacing w:line="500" w:lineRule="atLeast"/>
        <w:rPr>
          <w:rFonts w:ascii="宋体" w:eastAsia="宋体" w:cs="仿宋_GB2312"/>
          <w:b w:val="0"/>
          <w:color w:val="auto"/>
          <w:sz w:val="30"/>
          <w:szCs w:val="30"/>
          <w:lang w:val="zh-CN"/>
        </w:rPr>
      </w:pPr>
    </w:p>
    <w:p>
      <w:pPr>
        <w:autoSpaceDE w:val="0"/>
        <w:autoSpaceDN w:val="0"/>
        <w:adjustRightInd w:val="0"/>
        <w:spacing w:line="500" w:lineRule="atLeast"/>
        <w:rPr>
          <w:rFonts w:ascii="宋体" w:eastAsia="宋体" w:cs="仿宋_GB2312"/>
          <w:b w:val="0"/>
          <w:color w:val="auto"/>
          <w:sz w:val="30"/>
          <w:szCs w:val="30"/>
          <w:lang w:val="zh-CN"/>
        </w:rPr>
      </w:pPr>
    </w:p>
    <w:p>
      <w:pPr>
        <w:autoSpaceDE w:val="0"/>
        <w:autoSpaceDN w:val="0"/>
        <w:adjustRightInd w:val="0"/>
        <w:spacing w:line="500" w:lineRule="atLeast"/>
        <w:rPr>
          <w:rFonts w:ascii="宋体" w:eastAsia="宋体" w:cs="仿宋_GB2312"/>
          <w:b w:val="0"/>
          <w:color w:val="auto"/>
          <w:sz w:val="30"/>
          <w:szCs w:val="30"/>
          <w:lang w:val="zh-CN"/>
        </w:rPr>
      </w:pPr>
    </w:p>
    <w:p>
      <w:pPr>
        <w:autoSpaceDE w:val="0"/>
        <w:autoSpaceDN w:val="0"/>
        <w:adjustRightInd w:val="0"/>
        <w:spacing w:line="500" w:lineRule="atLeast"/>
        <w:rPr>
          <w:rFonts w:ascii="宋体" w:eastAsia="宋体" w:cs="仿宋_GB2312"/>
          <w:b w:val="0"/>
          <w:color w:val="auto"/>
          <w:sz w:val="30"/>
          <w:szCs w:val="30"/>
          <w:lang w:val="zh-CN"/>
        </w:rPr>
      </w:pPr>
    </w:p>
    <w:p>
      <w:pPr>
        <w:autoSpaceDE w:val="0"/>
        <w:autoSpaceDN w:val="0"/>
        <w:adjustRightInd w:val="0"/>
        <w:spacing w:line="500" w:lineRule="atLeast"/>
        <w:rPr>
          <w:rFonts w:ascii="宋体" w:eastAsia="宋体" w:cs="仿宋_GB2312"/>
          <w:b w:val="0"/>
          <w:color w:val="auto"/>
          <w:sz w:val="30"/>
          <w:szCs w:val="30"/>
          <w:lang w:val="zh-CN"/>
        </w:rPr>
      </w:pPr>
    </w:p>
    <w:p>
      <w:pPr>
        <w:autoSpaceDE w:val="0"/>
        <w:autoSpaceDN w:val="0"/>
        <w:adjustRightInd w:val="0"/>
        <w:spacing w:line="500" w:lineRule="atLeast"/>
        <w:rPr>
          <w:rFonts w:ascii="宋体" w:eastAsia="宋体" w:cs="仿宋_GB2312"/>
          <w:b w:val="0"/>
          <w:color w:val="auto"/>
          <w:sz w:val="30"/>
          <w:szCs w:val="30"/>
          <w:lang w:val="zh-CN"/>
        </w:rPr>
      </w:pPr>
    </w:p>
    <w:p>
      <w:pPr>
        <w:pStyle w:val="47"/>
        <w:rPr>
          <w:rFonts w:ascii="宋体" w:hAnsi="宋体"/>
          <w:color w:val="auto"/>
        </w:rPr>
      </w:pPr>
    </w:p>
    <w:p>
      <w:pPr>
        <w:pStyle w:val="47"/>
        <w:jc w:val="both"/>
        <w:rPr>
          <w:rFonts w:ascii="宋体" w:hAnsi="宋体"/>
          <w:color w:val="auto"/>
        </w:rPr>
      </w:pPr>
      <w:bookmarkStart w:id="213" w:name="_Toc332809839"/>
    </w:p>
    <w:p>
      <w:pPr>
        <w:pStyle w:val="47"/>
        <w:rPr>
          <w:rFonts w:ascii="宋体" w:hAnsi="宋体"/>
          <w:color w:val="auto"/>
        </w:rPr>
      </w:pPr>
      <w:bookmarkStart w:id="214" w:name="_Toc28712"/>
      <w:r>
        <w:rPr>
          <w:rFonts w:hint="eastAsia" w:ascii="宋体" w:hAnsi="宋体"/>
          <w:color w:val="auto"/>
        </w:rPr>
        <w:t>附件七  投标产品数量、价格表</w:t>
      </w:r>
      <w:bookmarkEnd w:id="213"/>
      <w:bookmarkEnd w:id="214"/>
    </w:p>
    <w:p>
      <w:pPr>
        <w:autoSpaceDE w:val="0"/>
        <w:autoSpaceDN w:val="0"/>
        <w:adjustRightInd w:val="0"/>
        <w:spacing w:line="460" w:lineRule="atLeast"/>
        <w:jc w:val="righ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（价格单位：元）</w:t>
      </w:r>
    </w:p>
    <w:tbl>
      <w:tblPr>
        <w:tblStyle w:val="50"/>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916"/>
        <w:gridCol w:w="3449"/>
        <w:gridCol w:w="1102"/>
        <w:gridCol w:w="110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60" w:type="dxa"/>
            <w:vAlign w:val="center"/>
          </w:tcPr>
          <w:p>
            <w:pPr>
              <w:jc w:val="center"/>
              <w:rPr>
                <w:rFonts w:ascii="宋体" w:eastAsia="宋体"/>
                <w:b w:val="0"/>
                <w:color w:val="auto"/>
                <w:sz w:val="22"/>
                <w:szCs w:val="22"/>
              </w:rPr>
            </w:pPr>
            <w:r>
              <w:rPr>
                <w:rFonts w:hint="eastAsia" w:ascii="宋体" w:eastAsia="宋体"/>
                <w:b w:val="0"/>
                <w:color w:val="auto"/>
                <w:sz w:val="22"/>
                <w:szCs w:val="22"/>
              </w:rPr>
              <w:t>序号</w:t>
            </w:r>
          </w:p>
        </w:tc>
        <w:tc>
          <w:tcPr>
            <w:tcW w:w="1916" w:type="dxa"/>
            <w:vAlign w:val="center"/>
          </w:tcPr>
          <w:p>
            <w:pPr>
              <w:jc w:val="center"/>
              <w:rPr>
                <w:rFonts w:ascii="宋体" w:eastAsia="宋体"/>
                <w:b w:val="0"/>
                <w:color w:val="auto"/>
                <w:sz w:val="22"/>
                <w:szCs w:val="22"/>
              </w:rPr>
            </w:pPr>
            <w:r>
              <w:rPr>
                <w:rFonts w:hint="eastAsia" w:ascii="宋体" w:eastAsia="宋体"/>
                <w:b w:val="0"/>
                <w:color w:val="auto"/>
                <w:sz w:val="22"/>
                <w:szCs w:val="22"/>
              </w:rPr>
              <w:t>名称</w:t>
            </w:r>
          </w:p>
        </w:tc>
        <w:tc>
          <w:tcPr>
            <w:tcW w:w="3449" w:type="dxa"/>
            <w:vAlign w:val="center"/>
          </w:tcPr>
          <w:p>
            <w:pPr>
              <w:jc w:val="center"/>
              <w:rPr>
                <w:rFonts w:ascii="宋体" w:eastAsia="宋体"/>
                <w:b w:val="0"/>
                <w:color w:val="auto"/>
                <w:sz w:val="22"/>
                <w:szCs w:val="22"/>
              </w:rPr>
            </w:pPr>
            <w:r>
              <w:rPr>
                <w:rFonts w:hint="eastAsia" w:ascii="宋体" w:eastAsia="宋体"/>
                <w:b w:val="0"/>
                <w:color w:val="auto"/>
                <w:sz w:val="22"/>
                <w:szCs w:val="22"/>
              </w:rPr>
              <w:t>品牌型号规格</w:t>
            </w:r>
          </w:p>
        </w:tc>
        <w:tc>
          <w:tcPr>
            <w:tcW w:w="1102" w:type="dxa"/>
            <w:vAlign w:val="center"/>
          </w:tcPr>
          <w:p>
            <w:pPr>
              <w:jc w:val="center"/>
              <w:rPr>
                <w:rFonts w:ascii="宋体" w:eastAsia="宋体"/>
                <w:b w:val="0"/>
                <w:color w:val="auto"/>
                <w:sz w:val="22"/>
                <w:szCs w:val="22"/>
              </w:rPr>
            </w:pPr>
            <w:r>
              <w:rPr>
                <w:rFonts w:hint="eastAsia" w:ascii="宋体" w:eastAsia="宋体"/>
                <w:b w:val="0"/>
                <w:color w:val="auto"/>
                <w:sz w:val="22"/>
                <w:szCs w:val="22"/>
              </w:rPr>
              <w:t>数量</w:t>
            </w:r>
          </w:p>
        </w:tc>
        <w:tc>
          <w:tcPr>
            <w:tcW w:w="1102" w:type="dxa"/>
            <w:vAlign w:val="center"/>
          </w:tcPr>
          <w:p>
            <w:pPr>
              <w:jc w:val="center"/>
              <w:rPr>
                <w:rFonts w:ascii="宋体" w:eastAsia="宋体"/>
                <w:b w:val="0"/>
                <w:color w:val="auto"/>
                <w:sz w:val="22"/>
                <w:szCs w:val="22"/>
              </w:rPr>
            </w:pPr>
            <w:r>
              <w:rPr>
                <w:rFonts w:hint="eastAsia" w:ascii="宋体" w:eastAsia="宋体"/>
                <w:b w:val="0"/>
                <w:color w:val="auto"/>
                <w:sz w:val="22"/>
                <w:szCs w:val="22"/>
              </w:rPr>
              <w:t>单价</w:t>
            </w:r>
          </w:p>
        </w:tc>
        <w:tc>
          <w:tcPr>
            <w:tcW w:w="1088" w:type="dxa"/>
            <w:vAlign w:val="center"/>
          </w:tcPr>
          <w:p>
            <w:pPr>
              <w:jc w:val="center"/>
              <w:rPr>
                <w:rFonts w:ascii="宋体" w:eastAsia="宋体"/>
                <w:b w:val="0"/>
                <w:color w:val="auto"/>
                <w:sz w:val="22"/>
                <w:szCs w:val="22"/>
              </w:rPr>
            </w:pPr>
            <w:r>
              <w:rPr>
                <w:rFonts w:hint="eastAsia" w:ascii="宋体" w:eastAsia="宋体"/>
                <w:b w:val="0"/>
                <w:color w:val="auto"/>
                <w:sz w:val="22"/>
                <w:szCs w:val="22"/>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60" w:type="dxa"/>
            <w:vAlign w:val="center"/>
          </w:tcPr>
          <w:p>
            <w:pPr>
              <w:jc w:val="center"/>
              <w:rPr>
                <w:rFonts w:ascii="宋体" w:eastAsia="宋体"/>
                <w:b w:val="0"/>
                <w:color w:val="auto"/>
                <w:sz w:val="22"/>
                <w:szCs w:val="22"/>
              </w:rPr>
            </w:pPr>
            <w:r>
              <w:rPr>
                <w:rFonts w:hint="eastAsia" w:ascii="宋体" w:eastAsia="宋体"/>
                <w:b w:val="0"/>
                <w:color w:val="auto"/>
                <w:sz w:val="22"/>
                <w:szCs w:val="22"/>
              </w:rPr>
              <w:t>1</w:t>
            </w:r>
          </w:p>
        </w:tc>
        <w:tc>
          <w:tcPr>
            <w:tcW w:w="1916" w:type="dxa"/>
            <w:vAlign w:val="center"/>
          </w:tcPr>
          <w:p>
            <w:pPr>
              <w:ind w:right="496" w:rightChars="236"/>
              <w:jc w:val="center"/>
              <w:rPr>
                <w:rFonts w:ascii="宋体" w:eastAsia="宋体"/>
                <w:b w:val="0"/>
                <w:color w:val="auto"/>
                <w:sz w:val="22"/>
                <w:szCs w:val="22"/>
              </w:rPr>
            </w:pPr>
          </w:p>
        </w:tc>
        <w:tc>
          <w:tcPr>
            <w:tcW w:w="3449" w:type="dxa"/>
            <w:vAlign w:val="center"/>
          </w:tcPr>
          <w:p>
            <w:pPr>
              <w:jc w:val="center"/>
              <w:rPr>
                <w:rFonts w:ascii="宋体" w:eastAsia="宋体"/>
                <w:b w:val="0"/>
                <w:color w:val="auto"/>
                <w:sz w:val="22"/>
                <w:szCs w:val="22"/>
              </w:rPr>
            </w:pPr>
          </w:p>
        </w:tc>
        <w:tc>
          <w:tcPr>
            <w:tcW w:w="1102" w:type="dxa"/>
            <w:vAlign w:val="center"/>
          </w:tcPr>
          <w:p>
            <w:pPr>
              <w:snapToGrid w:val="0"/>
              <w:spacing w:line="400" w:lineRule="atLeast"/>
              <w:jc w:val="center"/>
              <w:rPr>
                <w:rFonts w:ascii="宋体" w:eastAsia="宋体"/>
                <w:b w:val="0"/>
                <w:color w:val="auto"/>
                <w:sz w:val="22"/>
                <w:szCs w:val="22"/>
              </w:rPr>
            </w:pPr>
          </w:p>
        </w:tc>
        <w:tc>
          <w:tcPr>
            <w:tcW w:w="1102" w:type="dxa"/>
            <w:vAlign w:val="center"/>
          </w:tcPr>
          <w:p>
            <w:pPr>
              <w:jc w:val="center"/>
              <w:rPr>
                <w:rFonts w:ascii="宋体" w:eastAsia="宋体"/>
                <w:b w:val="0"/>
                <w:color w:val="auto"/>
                <w:sz w:val="22"/>
                <w:szCs w:val="22"/>
              </w:rPr>
            </w:pPr>
          </w:p>
        </w:tc>
        <w:tc>
          <w:tcPr>
            <w:tcW w:w="1088" w:type="dxa"/>
            <w:vAlign w:val="center"/>
          </w:tcPr>
          <w:p>
            <w:pPr>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60" w:type="dxa"/>
            <w:vAlign w:val="center"/>
          </w:tcPr>
          <w:p>
            <w:pPr>
              <w:jc w:val="center"/>
              <w:rPr>
                <w:rFonts w:ascii="宋体" w:eastAsia="宋体"/>
                <w:b w:val="0"/>
                <w:color w:val="auto"/>
                <w:sz w:val="22"/>
                <w:szCs w:val="22"/>
              </w:rPr>
            </w:pPr>
            <w:r>
              <w:rPr>
                <w:rFonts w:hint="eastAsia" w:ascii="宋体" w:eastAsia="宋体"/>
                <w:b w:val="0"/>
                <w:color w:val="auto"/>
                <w:sz w:val="22"/>
                <w:szCs w:val="22"/>
              </w:rPr>
              <w:t>2</w:t>
            </w:r>
          </w:p>
        </w:tc>
        <w:tc>
          <w:tcPr>
            <w:tcW w:w="1916" w:type="dxa"/>
            <w:vAlign w:val="center"/>
          </w:tcPr>
          <w:p>
            <w:pPr>
              <w:jc w:val="center"/>
              <w:rPr>
                <w:rFonts w:ascii="宋体" w:eastAsia="宋体"/>
                <w:b w:val="0"/>
                <w:color w:val="auto"/>
                <w:sz w:val="22"/>
                <w:szCs w:val="22"/>
              </w:rPr>
            </w:pPr>
          </w:p>
        </w:tc>
        <w:tc>
          <w:tcPr>
            <w:tcW w:w="3449" w:type="dxa"/>
            <w:vAlign w:val="center"/>
          </w:tcPr>
          <w:p>
            <w:pPr>
              <w:jc w:val="center"/>
              <w:rPr>
                <w:rFonts w:ascii="宋体" w:eastAsia="宋体"/>
                <w:b w:val="0"/>
                <w:color w:val="auto"/>
                <w:sz w:val="22"/>
                <w:szCs w:val="22"/>
              </w:rPr>
            </w:pPr>
          </w:p>
        </w:tc>
        <w:tc>
          <w:tcPr>
            <w:tcW w:w="1102" w:type="dxa"/>
            <w:vAlign w:val="center"/>
          </w:tcPr>
          <w:p>
            <w:pPr>
              <w:snapToGrid w:val="0"/>
              <w:spacing w:line="400" w:lineRule="atLeast"/>
              <w:jc w:val="center"/>
              <w:rPr>
                <w:rFonts w:ascii="宋体" w:eastAsia="宋体"/>
                <w:b w:val="0"/>
                <w:color w:val="auto"/>
                <w:sz w:val="22"/>
                <w:szCs w:val="22"/>
              </w:rPr>
            </w:pPr>
          </w:p>
        </w:tc>
        <w:tc>
          <w:tcPr>
            <w:tcW w:w="1102" w:type="dxa"/>
            <w:vAlign w:val="center"/>
          </w:tcPr>
          <w:p>
            <w:pPr>
              <w:jc w:val="center"/>
              <w:rPr>
                <w:rFonts w:ascii="宋体" w:eastAsia="宋体"/>
                <w:b w:val="0"/>
                <w:color w:val="auto"/>
                <w:sz w:val="22"/>
                <w:szCs w:val="22"/>
              </w:rPr>
            </w:pPr>
          </w:p>
        </w:tc>
        <w:tc>
          <w:tcPr>
            <w:tcW w:w="1088" w:type="dxa"/>
            <w:vAlign w:val="center"/>
          </w:tcPr>
          <w:p>
            <w:pPr>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60" w:type="dxa"/>
            <w:vAlign w:val="center"/>
          </w:tcPr>
          <w:p>
            <w:pPr>
              <w:jc w:val="center"/>
              <w:rPr>
                <w:rFonts w:ascii="宋体" w:eastAsia="宋体"/>
                <w:b w:val="0"/>
                <w:color w:val="auto"/>
                <w:sz w:val="22"/>
                <w:szCs w:val="22"/>
              </w:rPr>
            </w:pPr>
            <w:r>
              <w:rPr>
                <w:rFonts w:hint="eastAsia" w:ascii="宋体" w:eastAsia="宋体"/>
                <w:b w:val="0"/>
                <w:color w:val="auto"/>
                <w:sz w:val="22"/>
                <w:szCs w:val="22"/>
              </w:rPr>
              <w:t>3</w:t>
            </w:r>
          </w:p>
        </w:tc>
        <w:tc>
          <w:tcPr>
            <w:tcW w:w="1916" w:type="dxa"/>
            <w:vAlign w:val="center"/>
          </w:tcPr>
          <w:p>
            <w:pPr>
              <w:jc w:val="center"/>
              <w:rPr>
                <w:rFonts w:ascii="宋体" w:eastAsia="宋体"/>
                <w:b w:val="0"/>
                <w:color w:val="auto"/>
                <w:sz w:val="22"/>
                <w:szCs w:val="22"/>
              </w:rPr>
            </w:pPr>
          </w:p>
        </w:tc>
        <w:tc>
          <w:tcPr>
            <w:tcW w:w="3449" w:type="dxa"/>
            <w:vAlign w:val="center"/>
          </w:tcPr>
          <w:p>
            <w:pPr>
              <w:jc w:val="center"/>
              <w:rPr>
                <w:rFonts w:ascii="宋体" w:eastAsia="宋体"/>
                <w:b w:val="0"/>
                <w:color w:val="auto"/>
                <w:sz w:val="22"/>
                <w:szCs w:val="22"/>
              </w:rPr>
            </w:pPr>
          </w:p>
        </w:tc>
        <w:tc>
          <w:tcPr>
            <w:tcW w:w="1102" w:type="dxa"/>
            <w:vAlign w:val="center"/>
          </w:tcPr>
          <w:p>
            <w:pPr>
              <w:snapToGrid w:val="0"/>
              <w:spacing w:line="400" w:lineRule="atLeast"/>
              <w:jc w:val="center"/>
              <w:rPr>
                <w:rFonts w:ascii="宋体" w:eastAsia="宋体"/>
                <w:b w:val="0"/>
                <w:color w:val="auto"/>
                <w:sz w:val="22"/>
                <w:szCs w:val="22"/>
              </w:rPr>
            </w:pPr>
          </w:p>
        </w:tc>
        <w:tc>
          <w:tcPr>
            <w:tcW w:w="1102" w:type="dxa"/>
            <w:vAlign w:val="center"/>
          </w:tcPr>
          <w:p>
            <w:pPr>
              <w:jc w:val="center"/>
              <w:rPr>
                <w:rFonts w:ascii="宋体" w:eastAsia="宋体"/>
                <w:b w:val="0"/>
                <w:color w:val="auto"/>
                <w:sz w:val="22"/>
                <w:szCs w:val="22"/>
              </w:rPr>
            </w:pPr>
          </w:p>
        </w:tc>
        <w:tc>
          <w:tcPr>
            <w:tcW w:w="1088" w:type="dxa"/>
            <w:vAlign w:val="center"/>
          </w:tcPr>
          <w:p>
            <w:pPr>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60" w:type="dxa"/>
            <w:vAlign w:val="center"/>
          </w:tcPr>
          <w:p>
            <w:pPr>
              <w:jc w:val="center"/>
              <w:rPr>
                <w:rFonts w:ascii="宋体" w:eastAsia="宋体"/>
                <w:b w:val="0"/>
                <w:color w:val="auto"/>
                <w:sz w:val="22"/>
                <w:szCs w:val="22"/>
              </w:rPr>
            </w:pPr>
          </w:p>
        </w:tc>
        <w:tc>
          <w:tcPr>
            <w:tcW w:w="1916" w:type="dxa"/>
            <w:vAlign w:val="center"/>
          </w:tcPr>
          <w:p>
            <w:pPr>
              <w:jc w:val="center"/>
              <w:rPr>
                <w:rFonts w:ascii="宋体" w:eastAsia="宋体"/>
                <w:b w:val="0"/>
                <w:color w:val="auto"/>
                <w:sz w:val="22"/>
                <w:szCs w:val="22"/>
              </w:rPr>
            </w:pPr>
          </w:p>
        </w:tc>
        <w:tc>
          <w:tcPr>
            <w:tcW w:w="3449" w:type="dxa"/>
            <w:vAlign w:val="center"/>
          </w:tcPr>
          <w:p>
            <w:pPr>
              <w:jc w:val="center"/>
              <w:rPr>
                <w:rFonts w:ascii="宋体" w:eastAsia="宋体"/>
                <w:b w:val="0"/>
                <w:color w:val="auto"/>
                <w:sz w:val="22"/>
                <w:szCs w:val="22"/>
              </w:rPr>
            </w:pPr>
          </w:p>
        </w:tc>
        <w:tc>
          <w:tcPr>
            <w:tcW w:w="1102" w:type="dxa"/>
            <w:vAlign w:val="center"/>
          </w:tcPr>
          <w:p>
            <w:pPr>
              <w:snapToGrid w:val="0"/>
              <w:spacing w:line="400" w:lineRule="atLeast"/>
              <w:jc w:val="center"/>
              <w:rPr>
                <w:rFonts w:ascii="宋体" w:eastAsia="宋体"/>
                <w:b w:val="0"/>
                <w:color w:val="auto"/>
                <w:sz w:val="22"/>
                <w:szCs w:val="22"/>
              </w:rPr>
            </w:pPr>
          </w:p>
        </w:tc>
        <w:tc>
          <w:tcPr>
            <w:tcW w:w="1102" w:type="dxa"/>
            <w:vAlign w:val="center"/>
          </w:tcPr>
          <w:p>
            <w:pPr>
              <w:jc w:val="center"/>
              <w:rPr>
                <w:rFonts w:ascii="宋体" w:eastAsia="宋体"/>
                <w:b w:val="0"/>
                <w:color w:val="auto"/>
                <w:sz w:val="22"/>
                <w:szCs w:val="22"/>
              </w:rPr>
            </w:pPr>
          </w:p>
        </w:tc>
        <w:tc>
          <w:tcPr>
            <w:tcW w:w="1088" w:type="dxa"/>
            <w:vAlign w:val="center"/>
          </w:tcPr>
          <w:p>
            <w:pPr>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60" w:type="dxa"/>
            <w:vAlign w:val="center"/>
          </w:tcPr>
          <w:p>
            <w:pPr>
              <w:jc w:val="center"/>
              <w:rPr>
                <w:rFonts w:ascii="宋体" w:eastAsia="宋体"/>
                <w:b w:val="0"/>
                <w:color w:val="auto"/>
                <w:sz w:val="22"/>
                <w:szCs w:val="22"/>
              </w:rPr>
            </w:pPr>
          </w:p>
        </w:tc>
        <w:tc>
          <w:tcPr>
            <w:tcW w:w="1916" w:type="dxa"/>
            <w:vAlign w:val="center"/>
          </w:tcPr>
          <w:p>
            <w:pPr>
              <w:jc w:val="center"/>
              <w:rPr>
                <w:rFonts w:ascii="宋体" w:eastAsia="宋体"/>
                <w:b w:val="0"/>
                <w:color w:val="auto"/>
                <w:sz w:val="22"/>
                <w:szCs w:val="22"/>
              </w:rPr>
            </w:pPr>
          </w:p>
        </w:tc>
        <w:tc>
          <w:tcPr>
            <w:tcW w:w="3449" w:type="dxa"/>
            <w:vAlign w:val="center"/>
          </w:tcPr>
          <w:p>
            <w:pPr>
              <w:jc w:val="center"/>
              <w:rPr>
                <w:rFonts w:ascii="宋体" w:eastAsia="宋体"/>
                <w:b w:val="0"/>
                <w:color w:val="auto"/>
                <w:sz w:val="22"/>
                <w:szCs w:val="22"/>
              </w:rPr>
            </w:pPr>
          </w:p>
        </w:tc>
        <w:tc>
          <w:tcPr>
            <w:tcW w:w="1102" w:type="dxa"/>
            <w:vAlign w:val="center"/>
          </w:tcPr>
          <w:p>
            <w:pPr>
              <w:snapToGrid w:val="0"/>
              <w:spacing w:line="400" w:lineRule="atLeast"/>
              <w:jc w:val="center"/>
              <w:rPr>
                <w:rFonts w:ascii="宋体" w:eastAsia="宋体"/>
                <w:b w:val="0"/>
                <w:color w:val="auto"/>
                <w:sz w:val="22"/>
                <w:szCs w:val="22"/>
              </w:rPr>
            </w:pPr>
          </w:p>
        </w:tc>
        <w:tc>
          <w:tcPr>
            <w:tcW w:w="1102" w:type="dxa"/>
            <w:vAlign w:val="center"/>
          </w:tcPr>
          <w:p>
            <w:pPr>
              <w:jc w:val="center"/>
              <w:rPr>
                <w:rFonts w:ascii="宋体" w:eastAsia="宋体"/>
                <w:b w:val="0"/>
                <w:color w:val="auto"/>
                <w:sz w:val="22"/>
                <w:szCs w:val="22"/>
              </w:rPr>
            </w:pPr>
          </w:p>
        </w:tc>
        <w:tc>
          <w:tcPr>
            <w:tcW w:w="1088" w:type="dxa"/>
            <w:vAlign w:val="center"/>
          </w:tcPr>
          <w:p>
            <w:pPr>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25" w:type="dxa"/>
            <w:gridSpan w:val="3"/>
            <w:vAlign w:val="center"/>
          </w:tcPr>
          <w:p>
            <w:pPr>
              <w:jc w:val="center"/>
              <w:rPr>
                <w:rFonts w:ascii="宋体" w:eastAsia="宋体"/>
                <w:b w:val="0"/>
                <w:color w:val="auto"/>
                <w:sz w:val="22"/>
                <w:szCs w:val="22"/>
              </w:rPr>
            </w:pPr>
            <w:r>
              <w:rPr>
                <w:rFonts w:hint="eastAsia" w:ascii="宋体" w:eastAsia="宋体"/>
                <w:b w:val="0"/>
                <w:color w:val="auto"/>
                <w:sz w:val="22"/>
                <w:szCs w:val="22"/>
              </w:rPr>
              <w:t>合计总价</w:t>
            </w:r>
          </w:p>
        </w:tc>
        <w:tc>
          <w:tcPr>
            <w:tcW w:w="3292" w:type="dxa"/>
            <w:gridSpan w:val="3"/>
            <w:vAlign w:val="center"/>
          </w:tcPr>
          <w:p>
            <w:pPr>
              <w:jc w:val="center"/>
              <w:rPr>
                <w:rFonts w:ascii="宋体" w:eastAsia="宋体"/>
                <w:b w:val="0"/>
                <w:color w:val="auto"/>
                <w:sz w:val="22"/>
                <w:szCs w:val="22"/>
              </w:rPr>
            </w:pPr>
          </w:p>
        </w:tc>
      </w:tr>
    </w:tbl>
    <w:p>
      <w:pPr>
        <w:pStyle w:val="28"/>
        <w:spacing w:line="460" w:lineRule="atLeast"/>
        <w:rPr>
          <w:rFonts w:hAnsi="宋体" w:eastAsia="宋体"/>
          <w:b w:val="0"/>
          <w:color w:val="auto"/>
          <w:sz w:val="22"/>
          <w:szCs w:val="22"/>
        </w:rPr>
      </w:pPr>
      <w:r>
        <w:rPr>
          <w:rFonts w:hint="eastAsia" w:hAnsi="宋体" w:eastAsia="宋体"/>
          <w:b w:val="0"/>
          <w:color w:val="auto"/>
          <w:sz w:val="22"/>
          <w:szCs w:val="22"/>
        </w:rPr>
        <w:t>说明：1、表格可延续或自行编制；</w:t>
      </w:r>
    </w:p>
    <w:p>
      <w:pPr>
        <w:pStyle w:val="28"/>
        <w:spacing w:line="460" w:lineRule="atLeast"/>
        <w:rPr>
          <w:rFonts w:hAnsi="宋体" w:eastAsia="宋体"/>
          <w:b w:val="0"/>
          <w:color w:val="auto"/>
          <w:sz w:val="22"/>
          <w:szCs w:val="22"/>
        </w:rPr>
      </w:pPr>
      <w:r>
        <w:rPr>
          <w:rFonts w:hint="eastAsia" w:hAnsi="宋体" w:eastAsia="宋体"/>
          <w:b w:val="0"/>
          <w:color w:val="auto"/>
          <w:sz w:val="22"/>
          <w:szCs w:val="22"/>
          <w:highlight w:val="none"/>
        </w:rPr>
        <w:t>★</w:t>
      </w:r>
      <w:r>
        <w:rPr>
          <w:rFonts w:hint="eastAsia" w:hAnsi="宋体" w:eastAsia="宋体"/>
          <w:b w:val="0"/>
          <w:color w:val="auto"/>
          <w:sz w:val="22"/>
          <w:szCs w:val="22"/>
        </w:rPr>
        <w:t>开标一览表中投标价为符合招标文件要求的设备总价（含税、运保、安装、随机工具、随机附件等费用），同时包括设备技术服务费（含设备调试直至能够正常使用的费用）、材料费、税金、人工费、技术培训费、验收费、招标代理服务费等。</w:t>
      </w:r>
    </w:p>
    <w:p>
      <w:pPr>
        <w:pStyle w:val="28"/>
        <w:spacing w:before="120" w:after="120" w:line="460" w:lineRule="atLeast"/>
        <w:rPr>
          <w:rFonts w:hAnsi="宋体" w:eastAsia="宋体"/>
          <w:b w:val="0"/>
          <w:color w:val="auto"/>
          <w:sz w:val="22"/>
          <w:szCs w:val="22"/>
        </w:rPr>
      </w:pPr>
      <w:r>
        <w:rPr>
          <w:rFonts w:hint="eastAsia" w:hAnsi="宋体" w:eastAsia="宋体"/>
          <w:b w:val="0"/>
          <w:color w:val="auto"/>
          <w:sz w:val="22"/>
          <w:szCs w:val="22"/>
          <w:highlight w:val="none"/>
        </w:rPr>
        <w:t>★</w:t>
      </w:r>
      <w:r>
        <w:rPr>
          <w:rFonts w:hint="eastAsia" w:hAnsi="宋体" w:eastAsia="宋体"/>
          <w:b w:val="0"/>
          <w:color w:val="auto"/>
          <w:sz w:val="22"/>
          <w:szCs w:val="22"/>
        </w:rPr>
        <w:t>不提供此表格的将视为没有实质性响应招标文件。</w:t>
      </w:r>
    </w:p>
    <w:p>
      <w:pPr>
        <w:pStyle w:val="28"/>
        <w:spacing w:line="460" w:lineRule="atLeast"/>
        <w:rPr>
          <w:rFonts w:hAnsi="宋体" w:eastAsia="宋体"/>
          <w:b w:val="0"/>
          <w:color w:val="auto"/>
          <w:sz w:val="22"/>
          <w:szCs w:val="22"/>
        </w:rPr>
      </w:pPr>
    </w:p>
    <w:p>
      <w:pPr>
        <w:pStyle w:val="28"/>
        <w:spacing w:line="460" w:lineRule="atLeast"/>
        <w:rPr>
          <w:rFonts w:hAnsi="宋体" w:eastAsia="宋体"/>
          <w:b w:val="0"/>
          <w:color w:val="auto"/>
          <w:sz w:val="22"/>
          <w:szCs w:val="22"/>
        </w:rPr>
      </w:pPr>
      <w:r>
        <w:rPr>
          <w:rFonts w:hint="eastAsia" w:hAnsi="宋体" w:eastAsia="宋体"/>
          <w:b w:val="0"/>
          <w:color w:val="auto"/>
          <w:sz w:val="22"/>
          <w:szCs w:val="22"/>
        </w:rPr>
        <w:t xml:space="preserve">投标单位（盖章）： </w:t>
      </w:r>
    </w:p>
    <w:p>
      <w:pPr>
        <w:pStyle w:val="28"/>
        <w:spacing w:line="460" w:lineRule="atLeast"/>
        <w:rPr>
          <w:rFonts w:hAnsi="宋体" w:eastAsia="宋体"/>
          <w:b w:val="0"/>
          <w:color w:val="auto"/>
          <w:sz w:val="22"/>
          <w:szCs w:val="22"/>
        </w:rPr>
      </w:pPr>
      <w:r>
        <w:rPr>
          <w:rFonts w:hint="eastAsia" w:hAnsi="宋体" w:eastAsia="宋体"/>
          <w:b w:val="0"/>
          <w:color w:val="auto"/>
          <w:sz w:val="22"/>
          <w:szCs w:val="22"/>
        </w:rPr>
        <w:t>日期：</w:t>
      </w:r>
    </w:p>
    <w:p>
      <w:pPr>
        <w:pStyle w:val="28"/>
        <w:spacing w:line="400" w:lineRule="atLeast"/>
        <w:rPr>
          <w:rFonts w:hAnsi="宋体" w:eastAsia="宋体"/>
          <w:b w:val="0"/>
          <w:color w:val="auto"/>
          <w:sz w:val="30"/>
        </w:rPr>
        <w:sectPr>
          <w:headerReference r:id="rId9" w:type="first"/>
          <w:headerReference r:id="rId8" w:type="default"/>
          <w:footerReference r:id="rId10" w:type="default"/>
          <w:pgSz w:w="11906" w:h="16838"/>
          <w:pgMar w:top="1440" w:right="1440" w:bottom="1440" w:left="1287" w:header="851" w:footer="992" w:gutter="0"/>
          <w:pgBorders>
            <w:top w:val="none" w:sz="0" w:space="0"/>
            <w:left w:val="none" w:sz="0" w:space="0"/>
            <w:bottom w:val="none" w:sz="0" w:space="0"/>
            <w:right w:val="none" w:sz="0" w:space="0"/>
          </w:pgBorders>
          <w:cols w:space="720" w:num="1"/>
          <w:docGrid w:linePitch="312" w:charSpace="0"/>
        </w:sectPr>
      </w:pPr>
    </w:p>
    <w:p>
      <w:pPr>
        <w:pStyle w:val="47"/>
        <w:rPr>
          <w:rFonts w:ascii="宋体" w:hAnsi="宋体"/>
          <w:color w:val="auto"/>
        </w:rPr>
      </w:pPr>
      <w:bookmarkStart w:id="215" w:name="_Toc13847"/>
      <w:r>
        <w:rPr>
          <w:rFonts w:hint="eastAsia" w:ascii="宋体" w:hAnsi="宋体"/>
          <w:color w:val="auto"/>
        </w:rPr>
        <w:t>三、商务技术文件格式</w:t>
      </w:r>
      <w:bookmarkEnd w:id="215"/>
    </w:p>
    <w:p>
      <w:pPr>
        <w:pStyle w:val="47"/>
        <w:rPr>
          <w:rFonts w:ascii="宋体" w:hAnsi="宋体"/>
          <w:color w:val="auto"/>
        </w:rPr>
      </w:pPr>
      <w:bookmarkStart w:id="216" w:name="_Toc28453"/>
      <w:r>
        <w:rPr>
          <w:rFonts w:hint="eastAsia" w:ascii="宋体" w:hAnsi="宋体"/>
          <w:color w:val="auto"/>
        </w:rPr>
        <w:t>附件八 投标函</w:t>
      </w:r>
      <w:bookmarkEnd w:id="216"/>
    </w:p>
    <w:p>
      <w:pPr>
        <w:autoSpaceDE w:val="0"/>
        <w:autoSpaceDN w:val="0"/>
        <w:adjustRightInd w:val="0"/>
        <w:spacing w:line="440" w:lineRule="atLeast"/>
        <w:rPr>
          <w:rFonts w:ascii="宋体" w:eastAsia="宋体"/>
          <w:color w:val="auto"/>
          <w:sz w:val="22"/>
          <w:szCs w:val="22"/>
          <w:u w:val="single"/>
        </w:rPr>
      </w:pPr>
      <w:r>
        <w:rPr>
          <w:rFonts w:hint="eastAsia" w:ascii="宋体" w:eastAsia="宋体" w:cs="仿宋_GB2312"/>
          <w:color w:val="auto"/>
          <w:sz w:val="22"/>
          <w:szCs w:val="22"/>
          <w:u w:val="single"/>
          <w:lang w:val="zh-CN"/>
        </w:rPr>
        <w:t xml:space="preserve">           ：</w:t>
      </w:r>
    </w:p>
    <w:p>
      <w:pPr>
        <w:autoSpaceDE w:val="0"/>
        <w:autoSpaceDN w:val="0"/>
        <w:adjustRightInd w:val="0"/>
        <w:spacing w:line="440" w:lineRule="atLeast"/>
        <w:rPr>
          <w:rFonts w:ascii="宋体" w:eastAsia="宋体" w:cs="仿宋_GB2312"/>
          <w:b w:val="0"/>
          <w:color w:val="auto"/>
          <w:sz w:val="22"/>
          <w:szCs w:val="22"/>
          <w:lang w:val="zh-CN"/>
        </w:rPr>
      </w:pPr>
      <w:r>
        <w:rPr>
          <w:rFonts w:ascii="宋体" w:eastAsia="宋体" w:cs="仿宋_GB2312"/>
          <w:b w:val="0"/>
          <w:color w:val="auto"/>
          <w:sz w:val="22"/>
          <w:szCs w:val="22"/>
          <w:lang w:val="zh-CN"/>
        </w:rPr>
        <w:t xml:space="preserve">    </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（供应商全称）授权</w:t>
      </w:r>
      <w:r>
        <w:rPr>
          <w:rFonts w:ascii="宋体" w:eastAsia="宋体" w:cs="仿宋_GB2312"/>
          <w:b w:val="0"/>
          <w:color w:val="auto"/>
          <w:sz w:val="22"/>
          <w:szCs w:val="22"/>
          <w:u w:val="single"/>
          <w:lang w:val="zh-CN"/>
        </w:rPr>
        <w:t xml:space="preserve">              </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（授权代表名称）</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（职务、职称）为授权代表，参加贵方组织的</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（招标项目名称）（括号内填投标编号）招标的有关活动，并对该项目进行投标。为此：</w:t>
      </w:r>
      <w:r>
        <w:rPr>
          <w:rFonts w:ascii="宋体" w:eastAsia="宋体" w:cs="仿宋_GB2312"/>
          <w:b w:val="0"/>
          <w:color w:val="auto"/>
          <w:sz w:val="22"/>
          <w:szCs w:val="22"/>
          <w:lang w:val="zh-CN"/>
        </w:rPr>
        <w:t xml:space="preserve">    </w:t>
      </w:r>
    </w:p>
    <w:p>
      <w:pPr>
        <w:tabs>
          <w:tab w:val="left" w:pos="803"/>
        </w:tabs>
        <w:autoSpaceDE w:val="0"/>
        <w:autoSpaceDN w:val="0"/>
        <w:adjustRightInd w:val="0"/>
        <w:spacing w:line="440" w:lineRule="atLeast"/>
        <w:ind w:left="443"/>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1、提供投标须知规定的全部投标文件：</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2、保证遵守招标文件中的有关规定和收费标准。</w:t>
      </w:r>
    </w:p>
    <w:p>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3、保证忠实地执行采购人、中标供应商双方所签的合同，</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并承担合同规定的责任义务。</w:t>
      </w:r>
    </w:p>
    <w:p>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5、愿意向贵方提供任何与该项投标有关的数据、情况和技术资料，完全理解贵方不一定接受最低价的投标或收到的任何投标。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6、利益冲突：近三年内直至目前，我公司与本项目的采购人、采购代理机构没有任何的隶属关系。</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7、我公司</w:t>
      </w:r>
      <w:r>
        <w:rPr>
          <w:rFonts w:ascii="宋体" w:eastAsia="宋体" w:cs="仿宋_GB2312"/>
          <w:b w:val="0"/>
          <w:color w:val="auto"/>
          <w:sz w:val="22"/>
          <w:szCs w:val="22"/>
          <w:lang w:val="zh-CN"/>
        </w:rPr>
        <w:t>没有被</w:t>
      </w:r>
      <w:r>
        <w:rPr>
          <w:rFonts w:hint="eastAsia" w:ascii="宋体" w:eastAsia="宋体" w:cs="仿宋_GB2312"/>
          <w:b w:val="0"/>
          <w:color w:val="auto"/>
          <w:sz w:val="22"/>
          <w:szCs w:val="22"/>
          <w:lang w:val="zh-CN"/>
        </w:rPr>
        <w:t>浙江省财政厅、温州市财政局及永嘉县财政局</w:t>
      </w:r>
      <w:r>
        <w:rPr>
          <w:rFonts w:ascii="宋体" w:eastAsia="宋体" w:cs="仿宋_GB2312"/>
          <w:b w:val="0"/>
          <w:color w:val="auto"/>
          <w:sz w:val="22"/>
          <w:szCs w:val="22"/>
          <w:lang w:val="zh-CN"/>
        </w:rPr>
        <w:t>限制参加</w:t>
      </w:r>
      <w:r>
        <w:rPr>
          <w:rFonts w:hint="eastAsia" w:ascii="宋体" w:eastAsia="宋体" w:cs="仿宋_GB2312"/>
          <w:b w:val="0"/>
          <w:color w:val="auto"/>
          <w:sz w:val="22"/>
          <w:szCs w:val="22"/>
          <w:lang w:val="zh-CN"/>
        </w:rPr>
        <w:t>政府采购活动。</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8、本投标自开标之日起</w:t>
      </w:r>
      <w:r>
        <w:rPr>
          <w:rFonts w:ascii="宋体" w:eastAsia="宋体" w:cs="仿宋_GB2312"/>
          <w:b w:val="0"/>
          <w:color w:val="auto"/>
          <w:sz w:val="22"/>
          <w:szCs w:val="22"/>
          <w:lang w:val="zh-CN"/>
        </w:rPr>
        <w:t>90</w:t>
      </w:r>
      <w:r>
        <w:rPr>
          <w:rFonts w:hint="eastAsia" w:ascii="宋体" w:eastAsia="宋体" w:cs="仿宋_GB2312"/>
          <w:b w:val="0"/>
          <w:color w:val="auto"/>
          <w:sz w:val="22"/>
          <w:szCs w:val="22"/>
          <w:lang w:val="zh-CN"/>
        </w:rPr>
        <w:t>天内有效。</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9、与本投标有关的一切往来通讯请寄：</w:t>
      </w: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地址：</w:t>
      </w:r>
      <w:r>
        <w:rPr>
          <w:rFonts w:ascii="宋体" w:eastAsia="宋体" w:cs="仿宋_GB2312"/>
          <w:b w:val="0"/>
          <w:color w:val="auto"/>
          <w:sz w:val="22"/>
          <w:szCs w:val="22"/>
          <w:u w:val="single"/>
          <w:lang w:val="zh-CN"/>
        </w:rPr>
        <w:t xml:space="preserve">                                 </w:t>
      </w: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邮编：</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电话：</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传真：</w:t>
      </w:r>
      <w:r>
        <w:rPr>
          <w:rFonts w:ascii="宋体" w:eastAsia="宋体" w:cs="仿宋_GB2312"/>
          <w:b w:val="0"/>
          <w:color w:val="auto"/>
          <w:sz w:val="22"/>
          <w:szCs w:val="22"/>
          <w:u w:val="single"/>
          <w:lang w:val="zh-CN"/>
        </w:rPr>
        <w:t xml:space="preserve">                 </w:t>
      </w:r>
    </w:p>
    <w:p>
      <w:pPr>
        <w:autoSpaceDE w:val="0"/>
        <w:autoSpaceDN w:val="0"/>
        <w:adjustRightInd w:val="0"/>
        <w:spacing w:line="440" w:lineRule="atLeast"/>
        <w:ind w:firstLine="1980" w:firstLineChars="900"/>
        <w:rPr>
          <w:rFonts w:ascii="宋体" w:eastAsia="宋体" w:cs="仿宋_GB2312"/>
          <w:b w:val="0"/>
          <w:color w:val="auto"/>
          <w:sz w:val="22"/>
          <w:szCs w:val="22"/>
          <w:lang w:val="zh-CN"/>
        </w:rPr>
      </w:pPr>
    </w:p>
    <w:p>
      <w:pPr>
        <w:autoSpaceDE w:val="0"/>
        <w:autoSpaceDN w:val="0"/>
        <w:adjustRightInd w:val="0"/>
        <w:spacing w:line="440" w:lineRule="atLeast"/>
        <w:jc w:val="lef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供应商全称（盖章）：</w:t>
      </w:r>
      <w:r>
        <w:rPr>
          <w:rFonts w:ascii="宋体" w:eastAsia="宋体" w:cs="仿宋_GB2312"/>
          <w:b w:val="0"/>
          <w:color w:val="auto"/>
          <w:sz w:val="22"/>
          <w:szCs w:val="22"/>
          <w:lang w:val="zh-CN"/>
        </w:rPr>
        <w:t xml:space="preserve"> </w:t>
      </w:r>
    </w:p>
    <w:p>
      <w:pPr>
        <w:autoSpaceDE w:val="0"/>
        <w:autoSpaceDN w:val="0"/>
        <w:adjustRightInd w:val="0"/>
        <w:spacing w:line="440" w:lineRule="atLeast"/>
        <w:jc w:val="lef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日期：</w:t>
      </w:r>
    </w:p>
    <w:p>
      <w:pPr>
        <w:autoSpaceDE w:val="0"/>
        <w:autoSpaceDN w:val="0"/>
        <w:adjustRightInd w:val="0"/>
        <w:jc w:val="left"/>
        <w:rPr>
          <w:rFonts w:ascii="宋体" w:eastAsia="宋体" w:cs="仿宋_GB2312"/>
          <w:b w:val="0"/>
          <w:color w:val="auto"/>
          <w:sz w:val="30"/>
          <w:szCs w:val="30"/>
          <w:lang w:val="zh-CN"/>
        </w:rPr>
      </w:pPr>
    </w:p>
    <w:p>
      <w:pPr>
        <w:autoSpaceDE w:val="0"/>
        <w:autoSpaceDN w:val="0"/>
        <w:adjustRightInd w:val="0"/>
        <w:jc w:val="left"/>
        <w:rPr>
          <w:rFonts w:ascii="宋体" w:eastAsia="宋体" w:cs="仿宋_GB2312"/>
          <w:b w:val="0"/>
          <w:color w:val="auto"/>
          <w:sz w:val="30"/>
          <w:szCs w:val="30"/>
          <w:lang w:val="zh-CN"/>
        </w:rPr>
      </w:pPr>
    </w:p>
    <w:p>
      <w:pPr>
        <w:autoSpaceDE w:val="0"/>
        <w:autoSpaceDN w:val="0"/>
        <w:adjustRightInd w:val="0"/>
        <w:jc w:val="left"/>
        <w:rPr>
          <w:rFonts w:ascii="宋体" w:eastAsia="宋体" w:cs="仿宋_GB2312"/>
          <w:b w:val="0"/>
          <w:color w:val="auto"/>
          <w:sz w:val="30"/>
          <w:szCs w:val="30"/>
          <w:lang w:val="zh-CN"/>
        </w:rPr>
      </w:pPr>
    </w:p>
    <w:p>
      <w:pPr>
        <w:autoSpaceDE w:val="0"/>
        <w:autoSpaceDN w:val="0"/>
        <w:adjustRightInd w:val="0"/>
        <w:jc w:val="left"/>
        <w:rPr>
          <w:rFonts w:ascii="宋体" w:eastAsia="宋体" w:cs="仿宋_GB2312"/>
          <w:b w:val="0"/>
          <w:color w:val="auto"/>
          <w:sz w:val="30"/>
          <w:szCs w:val="30"/>
          <w:lang w:val="zh-CN"/>
        </w:rPr>
      </w:pPr>
    </w:p>
    <w:p>
      <w:pPr>
        <w:pStyle w:val="47"/>
        <w:rPr>
          <w:rFonts w:ascii="宋体" w:hAnsi="宋体"/>
          <w:color w:val="auto"/>
        </w:rPr>
      </w:pPr>
    </w:p>
    <w:p>
      <w:pPr>
        <w:pStyle w:val="47"/>
        <w:rPr>
          <w:rFonts w:ascii="宋体" w:hAnsi="宋体"/>
          <w:color w:val="auto"/>
        </w:rPr>
      </w:pPr>
    </w:p>
    <w:p>
      <w:pPr>
        <w:pStyle w:val="47"/>
        <w:rPr>
          <w:rFonts w:ascii="宋体" w:hAnsi="宋体"/>
          <w:color w:val="auto"/>
        </w:rPr>
      </w:pPr>
      <w:bookmarkStart w:id="217" w:name="_Toc13655"/>
      <w:r>
        <w:rPr>
          <w:rFonts w:hint="eastAsia" w:ascii="宋体" w:hAnsi="宋体"/>
          <w:color w:val="auto"/>
        </w:rPr>
        <w:t>附件九 法定代表人诚信投标承诺书</w:t>
      </w:r>
      <w:bookmarkEnd w:id="217"/>
    </w:p>
    <w:p>
      <w:pPr>
        <w:spacing w:line="360" w:lineRule="auto"/>
        <w:jc w:val="left"/>
        <w:rPr>
          <w:rFonts w:ascii="宋体" w:eastAsia="宋体"/>
          <w:b w:val="0"/>
          <w:color w:val="auto"/>
          <w:sz w:val="24"/>
          <w:szCs w:val="24"/>
        </w:rPr>
      </w:pPr>
    </w:p>
    <w:p>
      <w:pPr>
        <w:spacing w:line="460" w:lineRule="atLeast"/>
        <w:jc w:val="left"/>
        <w:rPr>
          <w:rFonts w:ascii="宋体" w:eastAsia="宋体"/>
          <w:color w:val="auto"/>
          <w:sz w:val="22"/>
          <w:szCs w:val="22"/>
        </w:rPr>
      </w:pPr>
      <w:r>
        <w:rPr>
          <w:rFonts w:hint="eastAsia" w:ascii="宋体" w:eastAsia="宋体"/>
          <w:color w:val="auto"/>
          <w:sz w:val="22"/>
          <w:szCs w:val="22"/>
        </w:rPr>
        <w:t>本人以企业法定代表人的身份郑重承诺：</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将遵循公开、公平、公正和诚信信用的原则参加</w:t>
      </w:r>
      <w:r>
        <w:rPr>
          <w:rFonts w:hint="eastAsia" w:ascii="宋体" w:eastAsia="宋体" w:cs="楷体_GB2312"/>
          <w:b w:val="0"/>
          <w:color w:val="auto"/>
          <w:sz w:val="22"/>
          <w:szCs w:val="22"/>
          <w:u w:val="single"/>
        </w:rPr>
        <w:t xml:space="preserve">              项目（招标编号：   ）</w:t>
      </w:r>
      <w:r>
        <w:rPr>
          <w:rFonts w:hint="eastAsia" w:ascii="宋体" w:eastAsia="宋体"/>
          <w:b w:val="0"/>
          <w:color w:val="auto"/>
          <w:sz w:val="22"/>
          <w:szCs w:val="22"/>
        </w:rPr>
        <w:t>的投标；</w:t>
      </w:r>
    </w:p>
    <w:p>
      <w:pPr>
        <w:spacing w:line="460" w:lineRule="atLeast"/>
        <w:ind w:firstLine="440" w:firstLineChars="200"/>
        <w:jc w:val="left"/>
        <w:rPr>
          <w:rFonts w:ascii="宋体" w:eastAsia="宋体"/>
          <w:b w:val="0"/>
          <w:color w:val="auto"/>
          <w:sz w:val="22"/>
          <w:szCs w:val="22"/>
          <w:u w:val="single"/>
        </w:rPr>
      </w:pPr>
      <w:r>
        <w:rPr>
          <w:rFonts w:hint="eastAsia" w:ascii="宋体" w:eastAsia="宋体"/>
          <w:b w:val="0"/>
          <w:color w:val="auto"/>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二、投标文件所提供的一切材料都是真实、有效、合法的。</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四、不与采购人或采购代理机构串通投标，不损害国家利益，社会公共利益或其他人的合法权益。</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五、不向采购人或者评标委员会成员行贿以牟取中标。</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六、不以其他人名义投标或者以其他方式弄虚作假，骗取中标。</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七、不在开标后进行虚假恶意投诉。</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八、我单位没有被政府机关</w:t>
      </w:r>
      <w:r>
        <w:rPr>
          <w:rFonts w:ascii="宋体" w:eastAsia="宋体"/>
          <w:b w:val="0"/>
          <w:color w:val="auto"/>
          <w:sz w:val="22"/>
          <w:szCs w:val="22"/>
        </w:rPr>
        <w:t>列入失信被执行人</w:t>
      </w:r>
      <w:r>
        <w:rPr>
          <w:rFonts w:hint="eastAsia" w:ascii="宋体" w:eastAsia="宋体"/>
          <w:b w:val="0"/>
          <w:color w:val="auto"/>
          <w:sz w:val="22"/>
          <w:szCs w:val="22"/>
        </w:rPr>
        <w:t>名单</w:t>
      </w:r>
      <w:r>
        <w:rPr>
          <w:rFonts w:ascii="宋体" w:eastAsia="宋体"/>
          <w:b w:val="0"/>
          <w:color w:val="auto"/>
          <w:sz w:val="22"/>
          <w:szCs w:val="22"/>
        </w:rPr>
        <w:t>、重大税收违法案件当事人名单、政府采购严重违法失信行为记录名单及其他不符合《中华人民共和国政府采购法》第二十二条规定条件</w:t>
      </w:r>
      <w:r>
        <w:rPr>
          <w:rFonts w:hint="eastAsia" w:ascii="宋体" w:eastAsia="宋体"/>
          <w:b w:val="0"/>
          <w:color w:val="auto"/>
          <w:sz w:val="22"/>
          <w:szCs w:val="22"/>
        </w:rPr>
        <w:t>的情形：</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九、没有</w:t>
      </w:r>
      <w:r>
        <w:rPr>
          <w:rFonts w:ascii="宋体" w:eastAsia="宋体"/>
          <w:b w:val="0"/>
          <w:color w:val="auto"/>
          <w:sz w:val="22"/>
          <w:szCs w:val="22"/>
        </w:rPr>
        <w:t>被</w:t>
      </w:r>
      <w:r>
        <w:rPr>
          <w:rFonts w:hint="eastAsia" w:ascii="宋体" w:eastAsia="宋体"/>
          <w:b w:val="0"/>
          <w:color w:val="auto"/>
          <w:sz w:val="22"/>
          <w:szCs w:val="22"/>
        </w:rPr>
        <w:t>各地、</w:t>
      </w:r>
      <w:r>
        <w:rPr>
          <w:rFonts w:ascii="宋体" w:eastAsia="宋体"/>
          <w:b w:val="0"/>
          <w:color w:val="auto"/>
          <w:sz w:val="22"/>
          <w:szCs w:val="22"/>
        </w:rPr>
        <w:t>各级财政部门禁止参加政府采购</w:t>
      </w:r>
      <w:r>
        <w:rPr>
          <w:rFonts w:hint="eastAsia" w:ascii="宋体" w:eastAsia="宋体"/>
          <w:b w:val="0"/>
          <w:color w:val="auto"/>
          <w:sz w:val="22"/>
          <w:szCs w:val="22"/>
        </w:rPr>
        <w:t xml:space="preserve">活动，且在限制期限内：    </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十、参与本项目政府采购活动3年内没有重大违法记录情况。</w:t>
      </w:r>
    </w:p>
    <w:p>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法定代表人（签字或签章）：</w:t>
      </w:r>
    </w:p>
    <w:p>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投标供应商（盖章）</w:t>
      </w:r>
    </w:p>
    <w:p>
      <w:pPr>
        <w:spacing w:line="460" w:lineRule="atLeast"/>
        <w:ind w:right="1120" w:firstLine="2970" w:firstLineChars="1350"/>
        <w:rPr>
          <w:rFonts w:ascii="宋体"/>
          <w:color w:val="auto"/>
        </w:rPr>
      </w:pPr>
      <w:r>
        <w:rPr>
          <w:rFonts w:hint="eastAsia" w:ascii="宋体" w:eastAsia="宋体"/>
          <w:b w:val="0"/>
          <w:color w:val="auto"/>
          <w:sz w:val="22"/>
          <w:szCs w:val="22"/>
        </w:rPr>
        <w:t>承诺书签署日期：          年   月   日</w:t>
      </w:r>
    </w:p>
    <w:p>
      <w:pPr>
        <w:spacing w:line="360" w:lineRule="exact"/>
        <w:jc w:val="left"/>
        <w:rPr>
          <w:rFonts w:ascii="宋体"/>
          <w:bCs w:val="0"/>
          <w:color w:val="auto"/>
          <w:sz w:val="22"/>
          <w:szCs w:val="22"/>
          <w:u w:val="single"/>
        </w:rPr>
      </w:pPr>
    </w:p>
    <w:p>
      <w:pPr>
        <w:spacing w:line="360" w:lineRule="exact"/>
        <w:jc w:val="left"/>
        <w:rPr>
          <w:rFonts w:ascii="宋体" w:eastAsia="宋体"/>
          <w:b w:val="0"/>
          <w:color w:val="auto"/>
          <w:sz w:val="30"/>
        </w:rPr>
      </w:pPr>
      <w:r>
        <w:rPr>
          <w:rFonts w:hint="eastAsia" w:ascii="宋体" w:eastAsia="宋体"/>
          <w:bCs w:val="0"/>
          <w:color w:val="auto"/>
          <w:sz w:val="22"/>
          <w:szCs w:val="22"/>
          <w:u w:val="single"/>
        </w:rPr>
        <w:t>备注：</w:t>
      </w:r>
      <w:r>
        <w:rPr>
          <w:rFonts w:hint="eastAsia" w:ascii="宋体" w:eastAsia="宋体" w:cs="Arial"/>
          <w:b w:val="0"/>
          <w:color w:val="auto"/>
          <w:sz w:val="22"/>
          <w:szCs w:val="22"/>
          <w:u w:val="single"/>
        </w:rPr>
        <w:t>▲</w:t>
      </w:r>
      <w:r>
        <w:rPr>
          <w:rFonts w:hint="eastAsia" w:ascii="宋体" w:eastAsia="宋体"/>
          <w:bCs w:val="0"/>
          <w:color w:val="auto"/>
          <w:sz w:val="22"/>
          <w:szCs w:val="22"/>
          <w:u w:val="single"/>
        </w:rPr>
        <w:t>投标供应商必须提供本承诺书，不提供按无效投标处理。</w:t>
      </w:r>
    </w:p>
    <w:p>
      <w:pPr>
        <w:pStyle w:val="28"/>
        <w:spacing w:line="360" w:lineRule="exact"/>
        <w:jc w:val="center"/>
        <w:rPr>
          <w:rFonts w:hAnsi="宋体" w:eastAsia="宋体"/>
          <w:b w:val="0"/>
          <w:color w:val="auto"/>
          <w:sz w:val="32"/>
        </w:rPr>
      </w:pPr>
    </w:p>
    <w:p>
      <w:pPr>
        <w:spacing w:line="360" w:lineRule="exact"/>
        <w:jc w:val="left"/>
        <w:rPr>
          <w:rFonts w:eastAsia="宋体"/>
          <w:b w:val="0"/>
          <w:color w:val="auto"/>
          <w:sz w:val="30"/>
        </w:rPr>
      </w:pPr>
    </w:p>
    <w:p>
      <w:pPr>
        <w:pStyle w:val="47"/>
        <w:rPr>
          <w:rFonts w:ascii="宋体" w:hAnsi="宋体"/>
          <w:color w:val="auto"/>
        </w:rPr>
      </w:pPr>
      <w:bookmarkStart w:id="218" w:name="_Toc6363"/>
      <w:r>
        <w:rPr>
          <w:rFonts w:hint="eastAsia" w:ascii="宋体" w:hAnsi="宋体"/>
          <w:color w:val="auto"/>
        </w:rPr>
        <w:t xml:space="preserve">附件十 </w:t>
      </w:r>
      <w:r>
        <w:rPr>
          <w:rFonts w:hint="eastAsia" w:ascii="宋体" w:hAnsi="宋体"/>
          <w:color w:val="auto"/>
          <w:lang w:val="en-US" w:eastAsia="zh-CN"/>
        </w:rPr>
        <w:t>2021</w:t>
      </w:r>
      <w:r>
        <w:rPr>
          <w:rFonts w:hint="eastAsia" w:ascii="宋体" w:hAnsi="宋体"/>
          <w:color w:val="auto"/>
        </w:rPr>
        <w:t>年1月1日以来同类项目业绩清单</w:t>
      </w:r>
      <w:bookmarkEnd w:id="218"/>
    </w:p>
    <w:p>
      <w:pPr>
        <w:pStyle w:val="28"/>
        <w:spacing w:line="360" w:lineRule="exact"/>
        <w:jc w:val="center"/>
        <w:rPr>
          <w:rFonts w:hAnsi="宋体" w:eastAsia="宋体"/>
          <w:b w:val="0"/>
          <w:color w:val="auto"/>
          <w:sz w:val="22"/>
          <w:szCs w:val="22"/>
        </w:rPr>
      </w:pPr>
    </w:p>
    <w:tbl>
      <w:tblPr>
        <w:tblStyle w:val="50"/>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Pr>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序号</w:t>
            </w:r>
          </w:p>
        </w:tc>
        <w:tc>
          <w:tcPr>
            <w:tcW w:w="1153" w:type="dxa"/>
          </w:tcPr>
          <w:p>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采购</w:t>
            </w:r>
          </w:p>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olor w:val="auto"/>
                <w:spacing w:val="20"/>
                <w:sz w:val="22"/>
                <w:szCs w:val="22"/>
              </w:rPr>
              <w:t>单位</w:t>
            </w:r>
          </w:p>
        </w:tc>
        <w:tc>
          <w:tcPr>
            <w:tcW w:w="1154" w:type="dxa"/>
          </w:tcPr>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项目</w:t>
            </w:r>
          </w:p>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名称</w:t>
            </w:r>
          </w:p>
        </w:tc>
        <w:tc>
          <w:tcPr>
            <w:tcW w:w="1154" w:type="dxa"/>
          </w:tcPr>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数量</w:t>
            </w:r>
          </w:p>
        </w:tc>
        <w:tc>
          <w:tcPr>
            <w:tcW w:w="1154" w:type="dxa"/>
          </w:tcPr>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合同</w:t>
            </w:r>
          </w:p>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金额</w:t>
            </w:r>
          </w:p>
        </w:tc>
        <w:tc>
          <w:tcPr>
            <w:tcW w:w="1154" w:type="dxa"/>
          </w:tcPr>
          <w:p>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签约</w:t>
            </w:r>
          </w:p>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olor w:val="auto"/>
                <w:spacing w:val="20"/>
                <w:sz w:val="22"/>
                <w:szCs w:val="22"/>
              </w:rPr>
              <w:t>日期</w:t>
            </w:r>
          </w:p>
        </w:tc>
        <w:tc>
          <w:tcPr>
            <w:tcW w:w="1154" w:type="dxa"/>
          </w:tcPr>
          <w:p>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联系人</w:t>
            </w:r>
          </w:p>
        </w:tc>
        <w:tc>
          <w:tcPr>
            <w:tcW w:w="1154" w:type="dxa"/>
          </w:tcPr>
          <w:p>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联系</w:t>
            </w:r>
          </w:p>
          <w:p>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电话</w:t>
            </w:r>
          </w:p>
        </w:tc>
        <w:tc>
          <w:tcPr>
            <w:tcW w:w="770" w:type="dxa"/>
          </w:tcPr>
          <w:p>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eastAsia="宋体"/>
                <w:b w:val="0"/>
                <w:color w:val="auto"/>
                <w:spacing w:val="20"/>
                <w:sz w:val="22"/>
                <w:szCs w:val="22"/>
              </w:rPr>
            </w:pPr>
          </w:p>
        </w:tc>
        <w:tc>
          <w:tcPr>
            <w:tcW w:w="1153"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1154" w:type="dxa"/>
          </w:tcPr>
          <w:p>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pPr>
              <w:tabs>
                <w:tab w:val="left" w:pos="4140"/>
              </w:tabs>
              <w:adjustRightInd w:val="0"/>
              <w:snapToGrid w:val="0"/>
              <w:spacing w:line="320" w:lineRule="atLeast"/>
              <w:rPr>
                <w:rFonts w:ascii="宋体" w:eastAsia="宋体"/>
                <w:b w:val="0"/>
                <w:color w:val="auto"/>
                <w:spacing w:val="20"/>
                <w:sz w:val="22"/>
                <w:szCs w:val="22"/>
              </w:rPr>
            </w:pPr>
          </w:p>
        </w:tc>
      </w:tr>
    </w:tbl>
    <w:p>
      <w:pPr>
        <w:pStyle w:val="28"/>
        <w:spacing w:line="360" w:lineRule="exact"/>
        <w:rPr>
          <w:rFonts w:hAnsi="宋体" w:eastAsia="宋体"/>
          <w:b w:val="0"/>
          <w:color w:val="auto"/>
          <w:sz w:val="32"/>
        </w:rPr>
      </w:pPr>
      <w:r>
        <w:rPr>
          <w:rFonts w:hint="eastAsia" w:hAnsi="宋体" w:eastAsia="宋体"/>
          <w:b w:val="0"/>
          <w:color w:val="auto"/>
          <w:sz w:val="22"/>
          <w:szCs w:val="22"/>
        </w:rPr>
        <w:t>本表后附加盖有效公章的合同复印件及其他证明材料。</w:t>
      </w:r>
    </w:p>
    <w:p>
      <w:pPr>
        <w:rPr>
          <w:rFonts w:ascii="宋体" w:eastAsia="宋体"/>
          <w:b w:val="0"/>
          <w:color w:val="auto"/>
          <w:spacing w:val="20"/>
          <w:sz w:val="22"/>
          <w:szCs w:val="22"/>
        </w:rPr>
      </w:pPr>
    </w:p>
    <w:p>
      <w:pPr>
        <w:rPr>
          <w:rFonts w:eastAsia="宋体"/>
          <w:b w:val="0"/>
          <w:color w:val="auto"/>
          <w:sz w:val="36"/>
          <w:szCs w:val="36"/>
        </w:rPr>
      </w:pPr>
      <w:r>
        <w:rPr>
          <w:rFonts w:hint="eastAsia" w:ascii="宋体" w:eastAsia="宋体"/>
          <w:b w:val="0"/>
          <w:color w:val="auto"/>
          <w:spacing w:val="20"/>
          <w:sz w:val="22"/>
          <w:szCs w:val="22"/>
        </w:rPr>
        <w:t>供应商盖章：</w:t>
      </w:r>
      <w:r>
        <w:rPr>
          <w:rFonts w:hint="eastAsia" w:ascii="宋体" w:eastAsia="宋体"/>
          <w:b w:val="0"/>
          <w:color w:val="auto"/>
          <w:spacing w:val="20"/>
          <w:sz w:val="22"/>
          <w:szCs w:val="22"/>
          <w:u w:val="single"/>
        </w:rPr>
        <w:t xml:space="preserve">           </w:t>
      </w:r>
    </w:p>
    <w:p>
      <w:pPr>
        <w:widowControl/>
        <w:autoSpaceDE w:val="0"/>
        <w:autoSpaceDN w:val="0"/>
        <w:adjustRightInd w:val="0"/>
        <w:spacing w:line="460" w:lineRule="atLeast"/>
        <w:textAlignment w:val="bottom"/>
        <w:rPr>
          <w:rFonts w:ascii="宋体" w:eastAsia="宋体"/>
          <w:bCs w:val="0"/>
          <w:color w:val="auto"/>
          <w:sz w:val="22"/>
          <w:szCs w:val="22"/>
        </w:rPr>
      </w:pPr>
    </w:p>
    <w:p>
      <w:pPr>
        <w:widowControl/>
        <w:autoSpaceDE w:val="0"/>
        <w:autoSpaceDN w:val="0"/>
        <w:adjustRightInd w:val="0"/>
        <w:spacing w:line="460" w:lineRule="atLeast"/>
        <w:textAlignment w:val="bottom"/>
        <w:rPr>
          <w:rFonts w:ascii="宋体" w:eastAsia="宋体"/>
          <w:bCs w:val="0"/>
          <w:color w:val="auto"/>
          <w:sz w:val="22"/>
          <w:szCs w:val="22"/>
        </w:rPr>
      </w:pPr>
    </w:p>
    <w:p>
      <w:pPr>
        <w:widowControl/>
        <w:autoSpaceDE w:val="0"/>
        <w:autoSpaceDN w:val="0"/>
        <w:adjustRightInd w:val="0"/>
        <w:spacing w:line="460" w:lineRule="atLeast"/>
        <w:textAlignment w:val="bottom"/>
        <w:rPr>
          <w:rFonts w:ascii="宋体" w:eastAsia="宋体"/>
          <w:bCs w:val="0"/>
          <w:color w:val="auto"/>
          <w:sz w:val="22"/>
          <w:szCs w:val="22"/>
        </w:rPr>
      </w:pPr>
    </w:p>
    <w:p>
      <w:pPr>
        <w:widowControl/>
        <w:autoSpaceDE w:val="0"/>
        <w:autoSpaceDN w:val="0"/>
        <w:adjustRightInd w:val="0"/>
        <w:spacing w:line="460" w:lineRule="atLeast"/>
        <w:textAlignment w:val="bottom"/>
        <w:rPr>
          <w:rFonts w:ascii="宋体" w:eastAsia="宋体"/>
          <w:bCs w:val="0"/>
          <w:color w:val="auto"/>
          <w:sz w:val="22"/>
          <w:szCs w:val="22"/>
        </w:rPr>
      </w:pPr>
    </w:p>
    <w:p>
      <w:pPr>
        <w:widowControl/>
        <w:autoSpaceDE w:val="0"/>
        <w:autoSpaceDN w:val="0"/>
        <w:adjustRightInd w:val="0"/>
        <w:spacing w:line="460" w:lineRule="atLeast"/>
        <w:textAlignment w:val="bottom"/>
        <w:rPr>
          <w:rFonts w:ascii="宋体" w:eastAsia="宋体"/>
          <w:bCs w:val="0"/>
          <w:color w:val="auto"/>
          <w:sz w:val="22"/>
          <w:szCs w:val="22"/>
        </w:rPr>
      </w:pPr>
    </w:p>
    <w:p>
      <w:pPr>
        <w:pStyle w:val="47"/>
        <w:rPr>
          <w:rFonts w:ascii="宋体" w:hAnsi="宋体"/>
          <w:color w:val="auto"/>
        </w:rPr>
      </w:pPr>
      <w:bookmarkStart w:id="219" w:name="_Toc28020"/>
      <w:r>
        <w:rPr>
          <w:rFonts w:hint="eastAsia" w:ascii="宋体" w:hAnsi="宋体"/>
          <w:color w:val="auto"/>
        </w:rPr>
        <w:t>附件十一（一）  商务偏离表</w:t>
      </w:r>
      <w:bookmarkEnd w:id="219"/>
    </w:p>
    <w:tbl>
      <w:tblPr>
        <w:tblStyle w:val="50"/>
        <w:tblW w:w="9620" w:type="dxa"/>
        <w:tblInd w:w="0" w:type="dxa"/>
        <w:tblLayout w:type="fixed"/>
        <w:tblCellMar>
          <w:top w:w="0" w:type="dxa"/>
          <w:left w:w="108" w:type="dxa"/>
          <w:bottom w:w="0" w:type="dxa"/>
          <w:right w:w="108" w:type="dxa"/>
        </w:tblCellMar>
      </w:tblPr>
      <w:tblGrid>
        <w:gridCol w:w="902"/>
        <w:gridCol w:w="1803"/>
        <w:gridCol w:w="2669"/>
        <w:gridCol w:w="2115"/>
        <w:gridCol w:w="2131"/>
      </w:tblGrid>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号</w:t>
            </w:r>
          </w:p>
        </w:tc>
        <w:tc>
          <w:tcPr>
            <w:tcW w:w="18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6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招标文件要求</w:t>
            </w: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投标文件</w:t>
            </w:r>
          </w:p>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对应</w:t>
            </w:r>
          </w:p>
        </w:tc>
        <w:tc>
          <w:tcPr>
            <w:tcW w:w="21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注</w:t>
            </w: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r>
    </w:tbl>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供应商盖章：</w:t>
      </w:r>
    </w:p>
    <w:p>
      <w:pPr>
        <w:pStyle w:val="47"/>
        <w:rPr>
          <w:rFonts w:ascii="宋体" w:hAnsi="宋体"/>
          <w:color w:val="auto"/>
        </w:rPr>
      </w:pPr>
    </w:p>
    <w:p>
      <w:pPr>
        <w:pStyle w:val="47"/>
        <w:rPr>
          <w:rFonts w:ascii="宋体" w:hAnsi="宋体"/>
          <w:color w:val="auto"/>
        </w:rPr>
      </w:pPr>
      <w:bookmarkStart w:id="220" w:name="_Toc19950"/>
      <w:r>
        <w:rPr>
          <w:rFonts w:hint="eastAsia" w:ascii="宋体" w:hAnsi="宋体"/>
          <w:color w:val="auto"/>
        </w:rPr>
        <w:t>附件十一（二） 技术偏离表</w:t>
      </w:r>
      <w:bookmarkEnd w:id="220"/>
    </w:p>
    <w:tbl>
      <w:tblPr>
        <w:tblStyle w:val="50"/>
        <w:tblW w:w="9811" w:type="dxa"/>
        <w:tblInd w:w="-192" w:type="dxa"/>
        <w:tblLayout w:type="fixed"/>
        <w:tblCellMar>
          <w:top w:w="0" w:type="dxa"/>
          <w:left w:w="108" w:type="dxa"/>
          <w:bottom w:w="0" w:type="dxa"/>
          <w:right w:w="108" w:type="dxa"/>
        </w:tblCellMar>
      </w:tblPr>
      <w:tblGrid>
        <w:gridCol w:w="901"/>
        <w:gridCol w:w="1802"/>
        <w:gridCol w:w="2303"/>
        <w:gridCol w:w="2002"/>
        <w:gridCol w:w="2803"/>
      </w:tblGrid>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号</w:t>
            </w:r>
          </w:p>
        </w:tc>
        <w:tc>
          <w:tcPr>
            <w:tcW w:w="18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3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招标文件要求</w:t>
            </w:r>
          </w:p>
        </w:tc>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投标文件</w:t>
            </w:r>
          </w:p>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对应</w:t>
            </w:r>
          </w:p>
        </w:tc>
        <w:tc>
          <w:tcPr>
            <w:tcW w:w="28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注</w:t>
            </w: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r>
    </w:tbl>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供应商盖章：</w:t>
      </w:r>
      <w:r>
        <w:rPr>
          <w:rFonts w:ascii="宋体" w:eastAsia="宋体" w:cs="仿宋_GB2312"/>
          <w:b w:val="0"/>
          <w:color w:val="auto"/>
          <w:sz w:val="22"/>
          <w:szCs w:val="22"/>
          <w:u w:val="single"/>
          <w:lang w:val="zh-CN"/>
        </w:rPr>
        <w:t xml:space="preserve">               </w:t>
      </w:r>
    </w:p>
    <w:p>
      <w:pPr>
        <w:widowControl/>
        <w:autoSpaceDE w:val="0"/>
        <w:autoSpaceDN w:val="0"/>
        <w:adjustRightInd w:val="0"/>
        <w:spacing w:line="460" w:lineRule="atLeast"/>
        <w:textAlignment w:val="bottom"/>
        <w:rPr>
          <w:rFonts w:ascii="宋体" w:eastAsia="宋体"/>
          <w:bCs w:val="0"/>
          <w:color w:val="auto"/>
          <w:sz w:val="22"/>
          <w:szCs w:val="22"/>
        </w:rPr>
        <w:sectPr>
          <w:pgSz w:w="11906" w:h="16838"/>
          <w:pgMar w:top="1342" w:right="1440" w:bottom="1440" w:left="1287" w:header="720" w:footer="720" w:gutter="0"/>
          <w:pgBorders>
            <w:top w:val="none" w:sz="0" w:space="0"/>
            <w:left w:val="none" w:sz="0" w:space="0"/>
            <w:bottom w:val="none" w:sz="0" w:space="0"/>
            <w:right w:val="none" w:sz="0" w:space="0"/>
          </w:pgBorders>
          <w:cols w:space="720" w:num="1"/>
          <w:docGrid w:linePitch="272" w:charSpace="-3831"/>
        </w:sectPr>
      </w:pPr>
    </w:p>
    <w:p>
      <w:pPr>
        <w:pStyle w:val="47"/>
        <w:rPr>
          <w:rFonts w:ascii="宋体" w:hAnsi="宋体"/>
          <w:color w:val="auto"/>
        </w:rPr>
      </w:pPr>
      <w:bookmarkStart w:id="221" w:name="_Toc16029"/>
      <w:r>
        <w:rPr>
          <w:rFonts w:hint="eastAsia" w:ascii="宋体" w:hAnsi="宋体"/>
          <w:color w:val="auto"/>
        </w:rPr>
        <w:t>附件十二 产品配置及主要技术参数</w:t>
      </w:r>
      <w:bookmarkEnd w:id="221"/>
    </w:p>
    <w:p>
      <w:pPr>
        <w:rPr>
          <w:rFonts w:ascii="宋体" w:eastAsia="宋体"/>
          <w:b w:val="0"/>
          <w:color w:val="auto"/>
          <w:spacing w:val="20"/>
          <w:sz w:val="22"/>
          <w:szCs w:val="22"/>
        </w:rPr>
      </w:pPr>
      <w:r>
        <w:rPr>
          <w:rFonts w:hint="eastAsia" w:ascii="宋体" w:eastAsia="宋体"/>
          <w:b w:val="0"/>
          <w:color w:val="auto"/>
          <w:spacing w:val="20"/>
          <w:sz w:val="22"/>
          <w:szCs w:val="22"/>
        </w:rPr>
        <w:t>供应商名称：</w:t>
      </w:r>
      <w:r>
        <w:rPr>
          <w:rFonts w:hint="eastAsia" w:ascii="宋体" w:eastAsia="宋体"/>
          <w:b w:val="0"/>
          <w:color w:val="auto"/>
          <w:spacing w:val="20"/>
          <w:sz w:val="22"/>
          <w:szCs w:val="22"/>
          <w:u w:val="single"/>
        </w:rPr>
        <w:t xml:space="preserve">          </w:t>
      </w:r>
      <w:r>
        <w:rPr>
          <w:rFonts w:hint="eastAsia" w:ascii="宋体" w:eastAsia="宋体"/>
          <w:b w:val="0"/>
          <w:color w:val="auto"/>
          <w:spacing w:val="20"/>
          <w:sz w:val="22"/>
          <w:szCs w:val="22"/>
        </w:rPr>
        <w:t xml:space="preserve">  招标编号：</w:t>
      </w:r>
      <w:r>
        <w:rPr>
          <w:rFonts w:hint="eastAsia" w:ascii="宋体" w:eastAsia="宋体"/>
          <w:b w:val="0"/>
          <w:color w:val="auto"/>
          <w:spacing w:val="20"/>
          <w:sz w:val="22"/>
          <w:szCs w:val="22"/>
          <w:u w:val="single"/>
        </w:rPr>
        <w:t xml:space="preserve">        </w:t>
      </w:r>
      <w:r>
        <w:rPr>
          <w:rFonts w:hint="eastAsia" w:ascii="宋体" w:eastAsia="宋体"/>
          <w:b w:val="0"/>
          <w:color w:val="auto"/>
          <w:spacing w:val="20"/>
          <w:sz w:val="22"/>
          <w:szCs w:val="22"/>
        </w:rPr>
        <w:t xml:space="preserve">   项目名称：</w:t>
      </w:r>
      <w:r>
        <w:rPr>
          <w:rFonts w:hint="eastAsia" w:ascii="宋体" w:eastAsia="宋体"/>
          <w:b w:val="0"/>
          <w:color w:val="auto"/>
          <w:spacing w:val="20"/>
          <w:sz w:val="22"/>
          <w:szCs w:val="22"/>
          <w:u w:val="single"/>
        </w:rPr>
        <w:t xml:space="preserve">         </w:t>
      </w:r>
    </w:p>
    <w:tbl>
      <w:tblPr>
        <w:tblStyle w:val="50"/>
        <w:tblW w:w="1403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2520"/>
        <w:gridCol w:w="1995"/>
        <w:gridCol w:w="3045"/>
        <w:gridCol w:w="1260"/>
        <w:gridCol w:w="37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序号</w:t>
            </w:r>
          </w:p>
        </w:tc>
        <w:tc>
          <w:tcPr>
            <w:tcW w:w="2520" w:type="dxa"/>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货物名称</w:t>
            </w:r>
          </w:p>
        </w:tc>
        <w:tc>
          <w:tcPr>
            <w:tcW w:w="1995" w:type="dxa"/>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品牌及型号</w:t>
            </w:r>
          </w:p>
        </w:tc>
        <w:tc>
          <w:tcPr>
            <w:tcW w:w="3045" w:type="dxa"/>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主要规格</w:t>
            </w:r>
          </w:p>
        </w:tc>
        <w:tc>
          <w:tcPr>
            <w:tcW w:w="1260" w:type="dxa"/>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数量</w:t>
            </w:r>
          </w:p>
        </w:tc>
        <w:tc>
          <w:tcPr>
            <w:tcW w:w="3741" w:type="dxa"/>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bl>
    <w:p>
      <w:pPr>
        <w:spacing w:line="360" w:lineRule="auto"/>
        <w:rPr>
          <w:rFonts w:ascii="宋体" w:eastAsia="宋体"/>
          <w:color w:val="auto"/>
          <w:spacing w:val="20"/>
          <w:sz w:val="24"/>
        </w:rPr>
      </w:pPr>
      <w:r>
        <w:rPr>
          <w:rFonts w:hint="eastAsia" w:ascii="宋体" w:eastAsia="宋体"/>
          <w:b w:val="0"/>
          <w:color w:val="auto"/>
          <w:spacing w:val="20"/>
          <w:sz w:val="22"/>
          <w:szCs w:val="22"/>
        </w:rPr>
        <w:t>供应商盖章</w:t>
      </w:r>
      <w:r>
        <w:rPr>
          <w:rFonts w:hint="eastAsia" w:ascii="宋体" w:eastAsia="宋体"/>
          <w:color w:val="auto"/>
          <w:spacing w:val="20"/>
          <w:sz w:val="22"/>
          <w:szCs w:val="22"/>
        </w:rPr>
        <w:t>：</w:t>
      </w:r>
      <w:r>
        <w:rPr>
          <w:rFonts w:hint="eastAsia" w:ascii="宋体" w:eastAsia="宋体"/>
          <w:color w:val="auto"/>
          <w:spacing w:val="20"/>
          <w:sz w:val="22"/>
          <w:szCs w:val="22"/>
          <w:u w:val="single"/>
        </w:rPr>
        <w:t xml:space="preserve">               </w:t>
      </w:r>
      <w:r>
        <w:rPr>
          <w:rFonts w:hint="eastAsia" w:ascii="宋体" w:eastAsia="宋体"/>
          <w:color w:val="auto"/>
          <w:spacing w:val="20"/>
          <w:sz w:val="22"/>
          <w:szCs w:val="22"/>
        </w:rPr>
        <w:t xml:space="preserve">   </w:t>
      </w:r>
    </w:p>
    <w:p>
      <w:pPr>
        <w:spacing w:line="360" w:lineRule="auto"/>
        <w:rPr>
          <w:rFonts w:ascii="宋体" w:eastAsia="宋体"/>
          <w:bCs w:val="0"/>
          <w:iCs/>
          <w:color w:val="auto"/>
          <w:spacing w:val="20"/>
          <w:sz w:val="22"/>
          <w:szCs w:val="22"/>
          <w:u w:val="single"/>
        </w:rPr>
      </w:pPr>
      <w:r>
        <w:rPr>
          <w:rFonts w:hint="eastAsia" w:ascii="宋体" w:eastAsia="宋体"/>
          <w:bCs w:val="0"/>
          <w:iCs/>
          <w:color w:val="auto"/>
          <w:spacing w:val="20"/>
          <w:sz w:val="22"/>
          <w:szCs w:val="22"/>
          <w:u w:val="single"/>
        </w:rPr>
        <w:t>注：货物详细配置、技术应另页描述。</w:t>
      </w:r>
    </w:p>
    <w:p>
      <w:pPr>
        <w:autoSpaceDE w:val="0"/>
        <w:autoSpaceDN w:val="0"/>
        <w:adjustRightInd w:val="0"/>
        <w:spacing w:line="440" w:lineRule="atLeast"/>
        <w:jc w:val="center"/>
        <w:rPr>
          <w:rFonts w:ascii="宋体" w:eastAsia="宋体" w:cs="仿宋_GB2312"/>
          <w:color w:val="auto"/>
          <w:sz w:val="32"/>
          <w:szCs w:val="32"/>
          <w:lang w:val="zh-CN"/>
        </w:rPr>
      </w:pPr>
    </w:p>
    <w:p>
      <w:pPr>
        <w:autoSpaceDE w:val="0"/>
        <w:autoSpaceDN w:val="0"/>
        <w:adjustRightInd w:val="0"/>
        <w:spacing w:line="440" w:lineRule="atLeast"/>
        <w:jc w:val="center"/>
        <w:rPr>
          <w:rFonts w:ascii="宋体" w:eastAsia="宋体" w:cs="仿宋_GB2312"/>
          <w:color w:val="auto"/>
          <w:sz w:val="32"/>
          <w:szCs w:val="32"/>
          <w:lang w:val="zh-CN"/>
        </w:rPr>
      </w:pPr>
    </w:p>
    <w:p>
      <w:pPr>
        <w:autoSpaceDE w:val="0"/>
        <w:autoSpaceDN w:val="0"/>
        <w:adjustRightInd w:val="0"/>
        <w:spacing w:line="440" w:lineRule="atLeast"/>
        <w:jc w:val="center"/>
        <w:rPr>
          <w:rFonts w:ascii="宋体" w:eastAsia="宋体" w:cs="仿宋_GB2312"/>
          <w:color w:val="auto"/>
          <w:sz w:val="32"/>
          <w:szCs w:val="32"/>
          <w:lang w:val="zh-CN"/>
        </w:rPr>
      </w:pPr>
    </w:p>
    <w:p>
      <w:pPr>
        <w:autoSpaceDE w:val="0"/>
        <w:autoSpaceDN w:val="0"/>
        <w:adjustRightInd w:val="0"/>
        <w:spacing w:line="440" w:lineRule="atLeast"/>
        <w:jc w:val="center"/>
        <w:rPr>
          <w:rFonts w:ascii="宋体" w:eastAsia="宋体" w:cs="仿宋_GB2312"/>
          <w:color w:val="auto"/>
          <w:sz w:val="32"/>
          <w:szCs w:val="32"/>
          <w:lang w:val="zh-CN"/>
        </w:rPr>
        <w:sectPr>
          <w:pgSz w:w="16838" w:h="11906" w:orient="landscape"/>
          <w:pgMar w:top="1342" w:right="1440" w:bottom="1287" w:left="1355" w:header="720" w:footer="720" w:gutter="0"/>
          <w:pgBorders>
            <w:top w:val="none" w:sz="0" w:space="0"/>
            <w:left w:val="none" w:sz="0" w:space="0"/>
            <w:bottom w:val="none" w:sz="0" w:space="0"/>
            <w:right w:val="none" w:sz="0" w:space="0"/>
          </w:pgBorders>
          <w:cols w:space="720" w:num="1"/>
          <w:docGrid w:linePitch="272" w:charSpace="-3831"/>
        </w:sectPr>
      </w:pPr>
    </w:p>
    <w:p>
      <w:pPr>
        <w:pStyle w:val="47"/>
        <w:rPr>
          <w:rFonts w:ascii="宋体" w:hAnsi="宋体"/>
          <w:color w:val="auto"/>
        </w:rPr>
      </w:pPr>
      <w:bookmarkStart w:id="222" w:name="_Toc28523"/>
      <w:r>
        <w:rPr>
          <w:rFonts w:hint="eastAsia" w:ascii="宋体" w:hAnsi="宋体"/>
          <w:color w:val="auto"/>
        </w:rPr>
        <w:t>附件十三 供应商项目服务人员汇总表</w:t>
      </w:r>
      <w:bookmarkEnd w:id="222"/>
    </w:p>
    <w:p>
      <w:pPr>
        <w:spacing w:line="360" w:lineRule="auto"/>
        <w:rPr>
          <w:rFonts w:ascii="宋体" w:eastAsia="宋体"/>
          <w:b w:val="0"/>
          <w:bCs w:val="0"/>
          <w:color w:val="auto"/>
          <w:sz w:val="22"/>
          <w:szCs w:val="22"/>
        </w:rPr>
      </w:pPr>
      <w:r>
        <w:rPr>
          <w:rFonts w:hint="eastAsia" w:ascii="宋体" w:eastAsia="宋体"/>
          <w:b w:val="0"/>
          <w:color w:val="auto"/>
          <w:sz w:val="22"/>
          <w:szCs w:val="22"/>
        </w:rPr>
        <w:t>招标项目名称：                                 招标编号：</w:t>
      </w:r>
      <w:r>
        <w:rPr>
          <w:rFonts w:ascii="宋体" w:eastAsia="宋体"/>
          <w:b w:val="0"/>
          <w:color w:val="auto"/>
          <w:sz w:val="22"/>
          <w:szCs w:val="22"/>
        </w:rPr>
        <w:t xml:space="preserve">                                                 </w:t>
      </w:r>
    </w:p>
    <w:tbl>
      <w:tblPr>
        <w:tblStyle w:val="5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姓名</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本项目主要工作</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年龄</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性别</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专业</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专业</w:t>
            </w:r>
          </w:p>
          <w:p>
            <w:pPr>
              <w:jc w:val="center"/>
              <w:rPr>
                <w:rFonts w:ascii="宋体" w:eastAsia="宋体"/>
                <w:b w:val="0"/>
                <w:bCs w:val="0"/>
                <w:color w:val="auto"/>
                <w:sz w:val="22"/>
                <w:szCs w:val="22"/>
              </w:rPr>
            </w:pPr>
            <w:r>
              <w:rPr>
                <w:rFonts w:hint="eastAsia" w:ascii="宋体" w:eastAsia="宋体"/>
                <w:b w:val="0"/>
                <w:bCs w:val="0"/>
                <w:color w:val="auto"/>
                <w:sz w:val="22"/>
                <w:szCs w:val="22"/>
              </w:rPr>
              <w:t>年限</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职务</w:t>
            </w:r>
          </w:p>
          <w:p>
            <w:pPr>
              <w:jc w:val="center"/>
              <w:rPr>
                <w:rFonts w:ascii="宋体" w:eastAsia="宋体"/>
                <w:b w:val="0"/>
                <w:bCs w:val="0"/>
                <w:color w:val="auto"/>
                <w:sz w:val="22"/>
                <w:szCs w:val="22"/>
              </w:rPr>
            </w:pPr>
            <w:r>
              <w:rPr>
                <w:rFonts w:hint="eastAsia" w:ascii="宋体" w:eastAsia="宋体"/>
                <w:b w:val="0"/>
                <w:bCs w:val="0"/>
                <w:color w:val="auto"/>
                <w:sz w:val="22"/>
                <w:szCs w:val="22"/>
              </w:rPr>
              <w:t>和职称</w:t>
            </w:r>
            <w:r>
              <w:rPr>
                <w:rFonts w:ascii="宋体" w:eastAsia="宋体"/>
                <w:b w:val="0"/>
                <w:bCs w:val="0"/>
                <w:color w:val="auto"/>
                <w:sz w:val="22"/>
                <w:szCs w:val="22"/>
              </w:rPr>
              <w:t>/</w:t>
            </w:r>
            <w:r>
              <w:rPr>
                <w:rFonts w:hint="eastAsia" w:ascii="宋体" w:eastAsia="宋体"/>
                <w:b w:val="0"/>
                <w:bCs w:val="0"/>
                <w:color w:val="auto"/>
                <w:sz w:val="22"/>
                <w:szCs w:val="22"/>
              </w:rPr>
              <w:t>认证</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到现场服务</w:t>
            </w:r>
          </w:p>
          <w:p>
            <w:pPr>
              <w:jc w:val="center"/>
              <w:rPr>
                <w:rFonts w:ascii="宋体" w:eastAsia="宋体"/>
                <w:b w:val="0"/>
                <w:bCs w:val="0"/>
                <w:color w:val="auto"/>
                <w:sz w:val="22"/>
                <w:szCs w:val="22"/>
              </w:rPr>
            </w:pPr>
            <w:r>
              <w:rPr>
                <w:rFonts w:hint="eastAsia" w:ascii="宋体" w:eastAsia="宋体"/>
                <w:b w:val="0"/>
                <w:bCs w:val="0"/>
                <w:color w:val="auto"/>
                <w:sz w:val="22"/>
                <w:szCs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eastAsia="宋体"/>
                <w:b w:val="0"/>
                <w:color w:val="auto"/>
                <w:spacing w:val="12"/>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eastAsia="宋体"/>
                <w:b w:val="0"/>
                <w:color w:val="auto"/>
                <w:spacing w:val="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b w:val="0"/>
                <w:color w:val="auto"/>
                <w:sz w:val="22"/>
                <w:szCs w:val="22"/>
              </w:rPr>
            </w:pPr>
          </w:p>
        </w:tc>
      </w:tr>
    </w:tbl>
    <w:p>
      <w:pPr>
        <w:spacing w:line="360" w:lineRule="exact"/>
        <w:ind w:left="968" w:hanging="968" w:hangingChars="440"/>
        <w:rPr>
          <w:rFonts w:ascii="宋体" w:eastAsia="宋体" w:cs="Arial"/>
          <w:b w:val="0"/>
          <w:color w:val="auto"/>
          <w:sz w:val="22"/>
          <w:szCs w:val="22"/>
        </w:rPr>
      </w:pPr>
      <w:r>
        <w:rPr>
          <w:rFonts w:hint="eastAsia" w:ascii="宋体" w:eastAsia="宋体" w:cs="Arial"/>
          <w:b w:val="0"/>
          <w:color w:val="auto"/>
          <w:sz w:val="22"/>
          <w:szCs w:val="22"/>
        </w:rPr>
        <w:t>附注：1. 项目负责人、技术负责、设备材料、以及各主要专业工种负责人均应列入；</w:t>
      </w:r>
    </w:p>
    <w:p>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2</w:t>
      </w:r>
      <w:r>
        <w:rPr>
          <w:rFonts w:ascii="宋体" w:eastAsia="宋体" w:cs="Arial"/>
          <w:b w:val="0"/>
          <w:color w:val="auto"/>
          <w:sz w:val="22"/>
          <w:szCs w:val="22"/>
        </w:rPr>
        <w:t xml:space="preserve">. </w:t>
      </w:r>
      <w:r>
        <w:rPr>
          <w:rFonts w:hint="eastAsia" w:ascii="宋体" w:eastAsia="宋体" w:cs="Arial"/>
          <w:b w:val="0"/>
          <w:color w:val="auto"/>
          <w:sz w:val="22"/>
          <w:szCs w:val="22"/>
        </w:rPr>
        <w:t>以上人员社保缴纳证明在技术资信标中提供。</w:t>
      </w:r>
    </w:p>
    <w:p>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3、表格可以延续。</w:t>
      </w:r>
    </w:p>
    <w:p>
      <w:pPr>
        <w:spacing w:line="360" w:lineRule="exact"/>
        <w:ind w:left="718" w:leftChars="321" w:hanging="44" w:hangingChars="20"/>
        <w:rPr>
          <w:rFonts w:ascii="宋体" w:eastAsia="宋体" w:cs="Arial"/>
          <w:b w:val="0"/>
          <w:color w:val="auto"/>
          <w:sz w:val="22"/>
          <w:szCs w:val="22"/>
        </w:rPr>
      </w:pPr>
    </w:p>
    <w:p>
      <w:pPr>
        <w:spacing w:line="360" w:lineRule="exact"/>
        <w:ind w:left="718" w:leftChars="321" w:hanging="44" w:hangingChars="20"/>
        <w:rPr>
          <w:rFonts w:ascii="宋体" w:eastAsia="宋体" w:cs="Arial"/>
          <w:b w:val="0"/>
          <w:color w:val="auto"/>
          <w:sz w:val="22"/>
          <w:szCs w:val="22"/>
        </w:rPr>
      </w:pPr>
    </w:p>
    <w:p>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投标供应商全称（公章）：</w:t>
      </w:r>
    </w:p>
    <w:p>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pPr>
        <w:pStyle w:val="47"/>
        <w:rPr>
          <w:rFonts w:ascii="宋体" w:hAnsi="宋体"/>
          <w:color w:val="auto"/>
        </w:rPr>
      </w:pPr>
      <w:r>
        <w:rPr>
          <w:rFonts w:ascii="宋体" w:cs="Arial"/>
          <w:b w:val="0"/>
          <w:color w:val="auto"/>
          <w:sz w:val="22"/>
          <w:szCs w:val="22"/>
        </w:rPr>
        <w:br w:type="page"/>
      </w:r>
      <w:bookmarkStart w:id="223" w:name="_Toc7773"/>
      <w:bookmarkStart w:id="224" w:name="_Toc161563051"/>
      <w:r>
        <w:rPr>
          <w:rFonts w:hint="eastAsia" w:ascii="宋体" w:hAnsi="宋体"/>
          <w:color w:val="auto"/>
        </w:rPr>
        <w:t>第七部分 评标定标办法</w:t>
      </w:r>
      <w:bookmarkEnd w:id="223"/>
      <w:bookmarkEnd w:id="224"/>
    </w:p>
    <w:p>
      <w:pPr>
        <w:tabs>
          <w:tab w:val="left" w:pos="8820"/>
        </w:tabs>
        <w:adjustRightInd w:val="0"/>
        <w:snapToGrid w:val="0"/>
        <w:spacing w:before="100" w:after="50"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根据《中华人民共和国政府采购法》等有关政府采购法规，结合本次所要采购货物的实际，按照公平、公正、科学、择优的原则选择中标供应商，特制定本评标办法。</w:t>
      </w:r>
    </w:p>
    <w:p>
      <w:pPr>
        <w:numPr>
          <w:ilvl w:val="0"/>
          <w:numId w:val="9"/>
        </w:numPr>
        <w:adjustRightInd w:val="0"/>
        <w:snapToGrid w:val="0"/>
        <w:spacing w:before="120" w:beforeLines="50" w:after="50" w:line="460" w:lineRule="atLeast"/>
        <w:jc w:val="center"/>
        <w:rPr>
          <w:rFonts w:ascii="宋体" w:eastAsia="宋体"/>
          <w:b w:val="0"/>
          <w:bCs w:val="0"/>
          <w:color w:val="auto"/>
          <w:sz w:val="22"/>
          <w:szCs w:val="22"/>
        </w:rPr>
      </w:pPr>
      <w:r>
        <w:rPr>
          <w:rFonts w:hint="eastAsia" w:ascii="宋体" w:eastAsia="宋体"/>
          <w:b w:val="0"/>
          <w:bCs w:val="0"/>
          <w:color w:val="auto"/>
          <w:sz w:val="22"/>
          <w:szCs w:val="22"/>
        </w:rPr>
        <w:t>总则</w:t>
      </w:r>
    </w:p>
    <w:p>
      <w:pPr>
        <w:pStyle w:val="32"/>
        <w:adjustRightInd w:val="0"/>
        <w:snapToGrid w:val="0"/>
        <w:spacing w:before="100" w:after="50" w:line="460" w:lineRule="atLeast"/>
        <w:rPr>
          <w:rFonts w:eastAsia="宋体"/>
          <w:b w:val="0"/>
          <w:color w:val="auto"/>
          <w:sz w:val="22"/>
          <w:szCs w:val="22"/>
        </w:rPr>
      </w:pPr>
      <w:r>
        <w:rPr>
          <w:rFonts w:hint="eastAsia" w:eastAsia="宋体"/>
          <w:b w:val="0"/>
          <w:color w:val="auto"/>
          <w:sz w:val="22"/>
          <w:szCs w:val="22"/>
        </w:rPr>
        <w:t>评标工作遵循公平、公正、民主、科学的原则和诚实、信誉、效率的服务原则。本着科学、严谨的态度，认真进行评标。择优选定设备的供货单位，确保货物质量、完工期，节约投资，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120" w:beforeLines="50" w:after="50" w:line="460" w:lineRule="atLeast"/>
        <w:jc w:val="center"/>
        <w:rPr>
          <w:rFonts w:ascii="宋体" w:eastAsia="宋体"/>
          <w:b w:val="0"/>
          <w:bCs w:val="0"/>
          <w:color w:val="auto"/>
          <w:sz w:val="22"/>
          <w:szCs w:val="22"/>
        </w:rPr>
      </w:pPr>
      <w:r>
        <w:rPr>
          <w:rFonts w:hint="eastAsia" w:ascii="宋体" w:eastAsia="宋体"/>
          <w:b w:val="0"/>
          <w:bCs w:val="0"/>
          <w:color w:val="auto"/>
          <w:sz w:val="22"/>
          <w:szCs w:val="22"/>
        </w:rPr>
        <w:t>二、评标组织</w:t>
      </w:r>
    </w:p>
    <w:p>
      <w:pPr>
        <w:pStyle w:val="32"/>
        <w:adjustRightInd w:val="0"/>
        <w:snapToGrid w:val="0"/>
        <w:spacing w:before="100" w:after="50" w:line="460" w:lineRule="atLeast"/>
        <w:rPr>
          <w:rFonts w:eastAsia="宋体"/>
          <w:b w:val="0"/>
          <w:color w:val="auto"/>
          <w:sz w:val="22"/>
          <w:szCs w:val="22"/>
        </w:rPr>
      </w:pPr>
      <w:r>
        <w:rPr>
          <w:rFonts w:hint="eastAsia" w:eastAsia="宋体"/>
          <w:b w:val="0"/>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351"/>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60" w:lineRule="atLeast"/>
        <w:textAlignment w:val="auto"/>
        <w:rPr>
          <w:rFonts w:ascii="宋体" w:hAnsi="宋体"/>
          <w:b w:val="0"/>
          <w:kern w:val="2"/>
          <w:sz w:val="22"/>
          <w:szCs w:val="22"/>
        </w:rPr>
      </w:pPr>
      <w:r>
        <w:rPr>
          <w:rFonts w:hint="eastAsia" w:ascii="宋体" w:hAnsi="宋体"/>
          <w:b w:val="0"/>
          <w:kern w:val="2"/>
          <w:sz w:val="22"/>
          <w:szCs w:val="22"/>
        </w:rPr>
        <w:t>三、评标程序及评审办法</w:t>
      </w:r>
    </w:p>
    <w:p>
      <w:pPr>
        <w:adjustRightInd w:val="0"/>
        <w:snapToGrid w:val="0"/>
        <w:spacing w:before="100" w:after="50" w:line="460" w:lineRule="atLeast"/>
        <w:ind w:firstLine="420"/>
        <w:rPr>
          <w:rFonts w:ascii="宋体" w:eastAsia="宋体"/>
          <w:b w:val="0"/>
          <w:color w:val="auto"/>
          <w:sz w:val="22"/>
          <w:szCs w:val="22"/>
        </w:rPr>
      </w:pPr>
      <w:r>
        <w:rPr>
          <w:rFonts w:hint="eastAsia" w:ascii="宋体" w:eastAsia="宋体"/>
          <w:b w:val="0"/>
          <w:color w:val="auto"/>
          <w:sz w:val="22"/>
          <w:szCs w:val="22"/>
        </w:rPr>
        <w:t>具体流程见本招标文件第三部分相关内容描述。</w:t>
      </w:r>
    </w:p>
    <w:p>
      <w:pPr>
        <w:adjustRightInd w:val="0"/>
        <w:spacing w:before="100" w:after="50" w:line="460" w:lineRule="atLeast"/>
        <w:jc w:val="center"/>
        <w:rPr>
          <w:rFonts w:ascii="宋体" w:eastAsia="宋体"/>
          <w:b w:val="0"/>
          <w:bCs w:val="0"/>
          <w:color w:val="auto"/>
          <w:sz w:val="22"/>
          <w:szCs w:val="22"/>
        </w:rPr>
      </w:pPr>
      <w:r>
        <w:rPr>
          <w:rFonts w:hint="eastAsia" w:ascii="宋体" w:eastAsia="宋体"/>
          <w:b w:val="0"/>
          <w:bCs w:val="0"/>
          <w:color w:val="auto"/>
          <w:sz w:val="22"/>
          <w:szCs w:val="22"/>
        </w:rPr>
        <w:t>四、评分细则</w:t>
      </w:r>
    </w:p>
    <w:p>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（一）商务报价评分30分</w:t>
      </w:r>
    </w:p>
    <w:p>
      <w:pPr>
        <w:widowControl/>
        <w:autoSpaceDE w:val="0"/>
        <w:autoSpaceDN w:val="0"/>
        <w:adjustRightInd w:val="0"/>
        <w:spacing w:line="460" w:lineRule="atLeast"/>
        <w:ind w:firstLine="442" w:firstLineChars="200"/>
        <w:textAlignment w:val="bottom"/>
        <w:rPr>
          <w:rFonts w:ascii="宋体" w:eastAsia="宋体"/>
          <w:color w:val="auto"/>
          <w:sz w:val="22"/>
          <w:u w:val="single"/>
        </w:rPr>
      </w:pPr>
      <w:r>
        <w:rPr>
          <w:rFonts w:hint="eastAsia" w:ascii="宋体" w:eastAsia="宋体"/>
          <w:color w:val="auto"/>
          <w:sz w:val="22"/>
          <w:u w:val="single"/>
        </w:rPr>
        <w:t>1、以供应商有效投标价中的最低价为评标基准价，得满分30分。商务报价评分结算公式为:投标报价得分=(评标基准价／投标报价)×30%×100。</w:t>
      </w:r>
    </w:p>
    <w:p>
      <w:pPr>
        <w:spacing w:line="460" w:lineRule="atLeast"/>
        <w:ind w:firstLine="440" w:firstLineChars="200"/>
        <w:rPr>
          <w:rFonts w:ascii="宋体" w:eastAsia="宋体"/>
          <w:b w:val="0"/>
          <w:bCs w:val="0"/>
          <w:color w:val="auto"/>
          <w:sz w:val="22"/>
          <w:szCs w:val="22"/>
        </w:rPr>
      </w:pPr>
      <w:r>
        <w:rPr>
          <w:rFonts w:hint="eastAsia" w:ascii="宋体" w:eastAsia="宋体"/>
          <w:b w:val="0"/>
          <w:color w:val="auto"/>
          <w:sz w:val="22"/>
        </w:rPr>
        <w:t>2、</w:t>
      </w:r>
      <w:r>
        <w:rPr>
          <w:rFonts w:hint="eastAsia" w:ascii="宋体" w:eastAsia="宋体"/>
          <w:color w:val="auto"/>
          <w:sz w:val="22"/>
          <w:szCs w:val="22"/>
        </w:rPr>
        <w:t>本项目对符合招标文件规定条件的小、微企业（或监狱企业或残疾人福利性单位）所投</w:t>
      </w:r>
      <w:r>
        <w:rPr>
          <w:rFonts w:hint="eastAsia" w:ascii="宋体" w:eastAsia="宋体"/>
          <w:b w:val="0"/>
          <w:bCs w:val="0"/>
          <w:color w:val="auto"/>
          <w:sz w:val="22"/>
          <w:szCs w:val="22"/>
        </w:rPr>
        <w:t>的价格给予</w:t>
      </w:r>
      <w:r>
        <w:rPr>
          <w:rFonts w:hint="eastAsia" w:ascii="宋体" w:eastAsia="宋体"/>
          <w:b/>
          <w:bCs/>
          <w:color w:val="auto"/>
          <w:sz w:val="22"/>
          <w:szCs w:val="22"/>
        </w:rPr>
        <w:t>10%</w:t>
      </w:r>
      <w:r>
        <w:rPr>
          <w:rFonts w:hint="eastAsia" w:ascii="宋体" w:eastAsia="宋体"/>
          <w:b w:val="0"/>
          <w:bCs w:val="0"/>
          <w:color w:val="auto"/>
          <w:sz w:val="22"/>
          <w:szCs w:val="22"/>
        </w:rPr>
        <w:t>的扣除，用扣除后的价格参与评审，如中标签订合同时以其投标价作为签订合同价。在货物采购项目中，供应商提供的货物既有中小企业制造货物，也有大型企业制造货物的，不享受本办法规定的中小企业扶持政策。因落实政府采购政策进行价格调整的，以调整后的价格计算评标基准价和投标报价。</w:t>
      </w:r>
    </w:p>
    <w:p>
      <w:pPr>
        <w:spacing w:line="460" w:lineRule="atLeast"/>
        <w:ind w:firstLine="442" w:firstLineChars="200"/>
        <w:rPr>
          <w:rFonts w:hint="eastAsia" w:ascii="宋体" w:eastAsia="宋体"/>
          <w:color w:val="auto"/>
          <w:sz w:val="22"/>
          <w:szCs w:val="22"/>
        </w:rPr>
      </w:pPr>
      <w:r>
        <w:rPr>
          <w:rFonts w:hint="eastAsia" w:ascii="宋体" w:eastAsia="宋体"/>
          <w:color w:val="auto"/>
          <w:sz w:val="22"/>
          <w:szCs w:val="22"/>
        </w:rPr>
        <w:t>（二）技术、服务、资信业绩综合评分70分</w:t>
      </w:r>
    </w:p>
    <w:tbl>
      <w:tblPr>
        <w:tblStyle w:val="50"/>
        <w:tblpPr w:leftFromText="180" w:rightFromText="180" w:vertAnchor="text" w:horzAnchor="page" w:tblpX="1792" w:tblpY="608"/>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172"/>
        <w:gridCol w:w="656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369" w:type="pct"/>
            <w:vAlign w:val="center"/>
          </w:tcPr>
          <w:p>
            <w:pPr>
              <w:spacing w:line="360" w:lineRule="auto"/>
              <w:jc w:val="center"/>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序号</w:t>
            </w:r>
          </w:p>
        </w:tc>
        <w:tc>
          <w:tcPr>
            <w:tcW w:w="62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评分内容</w:t>
            </w:r>
          </w:p>
        </w:tc>
        <w:tc>
          <w:tcPr>
            <w:tcW w:w="349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评分标准</w:t>
            </w:r>
          </w:p>
        </w:tc>
        <w:tc>
          <w:tcPr>
            <w:tcW w:w="511"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69" w:type="pct"/>
            <w:vMerge w:val="restart"/>
            <w:vAlign w:val="center"/>
          </w:tcPr>
          <w:p>
            <w:pPr>
              <w:spacing w:line="360" w:lineRule="auto"/>
              <w:jc w:val="center"/>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1</w:t>
            </w:r>
          </w:p>
        </w:tc>
        <w:tc>
          <w:tcPr>
            <w:tcW w:w="624" w:type="pct"/>
            <w:vMerge w:val="restar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综合实力</w:t>
            </w:r>
          </w:p>
        </w:tc>
        <w:tc>
          <w:tcPr>
            <w:tcW w:w="349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color w:val="000000"/>
                <w:sz w:val="22"/>
                <w:szCs w:val="22"/>
                <w:lang w:val="en-US" w:eastAsia="zh-CN" w:bidi="ar-SA"/>
              </w:rPr>
            </w:pPr>
            <w:r>
              <w:rPr>
                <w:rFonts w:hint="eastAsia" w:cs="新宋体" w:asciiTheme="majorEastAsia" w:hAnsiTheme="majorEastAsia" w:eastAsiaTheme="majorEastAsia"/>
                <w:b w:val="0"/>
                <w:bCs w:val="0"/>
                <w:sz w:val="22"/>
                <w:szCs w:val="22"/>
                <w:lang w:val="en-US" w:eastAsia="zh-CN"/>
              </w:rPr>
              <w:t>具有</w:t>
            </w:r>
            <w:r>
              <w:rPr>
                <w:rFonts w:hint="eastAsia" w:cs="新宋体" w:asciiTheme="majorEastAsia" w:hAnsiTheme="majorEastAsia" w:eastAsiaTheme="majorEastAsia"/>
                <w:b w:val="0"/>
                <w:bCs w:val="0"/>
                <w:sz w:val="22"/>
                <w:szCs w:val="22"/>
              </w:rPr>
              <w:t>电子与智能化工程专业二级</w:t>
            </w:r>
            <w:r>
              <w:rPr>
                <w:rFonts w:hint="eastAsia" w:cs="新宋体" w:asciiTheme="majorEastAsia" w:hAnsiTheme="majorEastAsia" w:eastAsiaTheme="majorEastAsia"/>
                <w:b w:val="0"/>
                <w:bCs w:val="0"/>
                <w:sz w:val="22"/>
                <w:szCs w:val="22"/>
                <w:lang w:val="en-US" w:eastAsia="zh-CN"/>
              </w:rPr>
              <w:t>及以上</w:t>
            </w:r>
            <w:r>
              <w:rPr>
                <w:rFonts w:hint="eastAsia" w:cs="新宋体" w:asciiTheme="majorEastAsia" w:hAnsiTheme="majorEastAsia" w:eastAsiaTheme="majorEastAsia"/>
                <w:b w:val="0"/>
                <w:bCs w:val="0"/>
                <w:sz w:val="22"/>
                <w:szCs w:val="22"/>
              </w:rPr>
              <w:t>承包资质</w:t>
            </w:r>
            <w:r>
              <w:rPr>
                <w:rFonts w:hint="eastAsia" w:cs="新宋体" w:asciiTheme="majorEastAsia" w:hAnsiTheme="majorEastAsia" w:eastAsiaTheme="majorEastAsia"/>
                <w:b w:val="0"/>
                <w:bCs w:val="0"/>
                <w:sz w:val="22"/>
                <w:szCs w:val="22"/>
                <w:lang w:eastAsia="zh-CN"/>
              </w:rPr>
              <w:t>、</w:t>
            </w:r>
            <w:r>
              <w:rPr>
                <w:rFonts w:hint="eastAsia" w:cs="新宋体" w:asciiTheme="majorEastAsia" w:hAnsiTheme="majorEastAsia" w:eastAsiaTheme="majorEastAsia"/>
                <w:b w:val="0"/>
                <w:bCs w:val="0"/>
                <w:sz w:val="22"/>
                <w:szCs w:val="22"/>
              </w:rPr>
              <w:t>安全</w:t>
            </w:r>
            <w:r>
              <w:rPr>
                <w:rFonts w:hint="eastAsia" w:cs="新宋体" w:asciiTheme="majorEastAsia" w:hAnsiTheme="majorEastAsia" w:eastAsiaTheme="majorEastAsia"/>
                <w:b w:val="0"/>
                <w:bCs w:val="0"/>
                <w:sz w:val="22"/>
                <w:szCs w:val="22"/>
                <w:lang w:val="en-US" w:eastAsia="zh-CN"/>
              </w:rPr>
              <w:t>生产</w:t>
            </w:r>
            <w:r>
              <w:rPr>
                <w:rFonts w:hint="eastAsia" w:cs="新宋体" w:asciiTheme="majorEastAsia" w:hAnsiTheme="majorEastAsia" w:eastAsiaTheme="majorEastAsia"/>
                <w:b w:val="0"/>
                <w:bCs w:val="0"/>
                <w:sz w:val="22"/>
                <w:szCs w:val="22"/>
              </w:rPr>
              <w:t>许可证（建筑施工）</w:t>
            </w:r>
            <w:r>
              <w:rPr>
                <w:rFonts w:hint="eastAsia" w:cs="新宋体" w:asciiTheme="majorEastAsia" w:hAnsiTheme="majorEastAsia" w:eastAsiaTheme="majorEastAsia"/>
                <w:b w:val="0"/>
                <w:bCs w:val="0"/>
                <w:sz w:val="22"/>
                <w:szCs w:val="22"/>
                <w:lang w:eastAsia="zh-CN"/>
              </w:rPr>
              <w:t>，</w:t>
            </w:r>
            <w:r>
              <w:rPr>
                <w:rFonts w:hint="eastAsia" w:cs="新宋体" w:asciiTheme="majorEastAsia" w:hAnsiTheme="majorEastAsia" w:eastAsiaTheme="majorEastAsia"/>
                <w:b w:val="0"/>
                <w:bCs w:val="0"/>
                <w:sz w:val="22"/>
                <w:szCs w:val="22"/>
              </w:rPr>
              <w:t>提供有效证书每个得2分，最高4分，无效证书</w:t>
            </w:r>
            <w:r>
              <w:rPr>
                <w:rFonts w:hint="eastAsia" w:cs="新宋体" w:asciiTheme="majorEastAsia" w:hAnsiTheme="majorEastAsia" w:eastAsiaTheme="majorEastAsia"/>
                <w:b w:val="0"/>
                <w:bCs w:val="0"/>
                <w:sz w:val="22"/>
                <w:szCs w:val="22"/>
                <w:lang w:val="en-US" w:eastAsia="zh-CN"/>
              </w:rPr>
              <w:t>或未提供</w:t>
            </w:r>
            <w:r>
              <w:rPr>
                <w:rFonts w:hint="eastAsia" w:cs="新宋体" w:asciiTheme="majorEastAsia" w:hAnsiTheme="majorEastAsia" w:eastAsiaTheme="majorEastAsia"/>
                <w:b w:val="0"/>
                <w:bCs w:val="0"/>
                <w:sz w:val="22"/>
                <w:szCs w:val="22"/>
              </w:rPr>
              <w:t>不得分。</w:t>
            </w:r>
          </w:p>
        </w:tc>
        <w:tc>
          <w:tcPr>
            <w:tcW w:w="511"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color w:val="000000"/>
                <w:sz w:val="22"/>
                <w:szCs w:val="22"/>
                <w:lang w:val="en-US" w:eastAsia="zh-CN" w:bidi="ar-SA"/>
              </w:rPr>
            </w:pPr>
            <w:r>
              <w:rPr>
                <w:rFonts w:hint="eastAsia" w:cs="新宋体" w:asciiTheme="majorEastAsia" w:hAnsiTheme="majorEastAsia" w:eastAsiaTheme="majorEastAsia"/>
                <w:b w:val="0"/>
                <w:bCs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369" w:type="pct"/>
            <w:vAlign w:val="center"/>
          </w:tcPr>
          <w:p>
            <w:pPr>
              <w:spacing w:line="360" w:lineRule="auto"/>
              <w:jc w:val="center"/>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2</w:t>
            </w:r>
          </w:p>
        </w:tc>
        <w:tc>
          <w:tcPr>
            <w:tcW w:w="62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投标产品技术参数响应程度</w:t>
            </w:r>
          </w:p>
        </w:tc>
        <w:tc>
          <w:tcPr>
            <w:tcW w:w="349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根据投标产品响应的技术要求是否符合招标文件的要求及符合程度进行评价，所有技术要求响应招标需求的得</w:t>
            </w:r>
            <w:r>
              <w:rPr>
                <w:rFonts w:hint="eastAsia" w:cs="新宋体" w:asciiTheme="majorEastAsia" w:hAnsiTheme="majorEastAsia" w:eastAsiaTheme="majorEastAsia"/>
                <w:b w:val="0"/>
                <w:bCs w:val="0"/>
                <w:sz w:val="22"/>
                <w:szCs w:val="22"/>
                <w:lang w:val="en-US" w:eastAsia="zh-CN"/>
              </w:rPr>
              <w:t>16</w:t>
            </w:r>
            <w:r>
              <w:rPr>
                <w:rFonts w:hint="eastAsia" w:cs="新宋体" w:asciiTheme="majorEastAsia" w:hAnsiTheme="majorEastAsia" w:eastAsiaTheme="majorEastAsia"/>
                <w:b w:val="0"/>
                <w:bCs w:val="0"/>
                <w:sz w:val="22"/>
                <w:szCs w:val="22"/>
              </w:rPr>
              <w:t>分，带“★”指标为重点审查指标，要求投标供应商逐条提供佐证材料，有负偏离或仅在技术规格偏离表中作出简单响应而没有提供相关佐证材料或佐证材料存在缺陷、瑕疵的每项扣1分，其他一般要求有负偏离的每项扣0.5分，扣完为止；</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评审依据：凭投标文件中提供的技术规格偏离表以及佐证材料的合理性与真实有效性客观评审。</w:t>
            </w:r>
          </w:p>
        </w:tc>
        <w:tc>
          <w:tcPr>
            <w:tcW w:w="511"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default" w:cs="新宋体" w:asciiTheme="majorEastAsia" w:hAnsiTheme="majorEastAsia" w:eastAsiaTheme="majorEastAsia"/>
                <w:b w:val="0"/>
                <w:bCs w:val="0"/>
                <w:sz w:val="22"/>
                <w:szCs w:val="22"/>
                <w:lang w:val="en-US" w:eastAsia="zh-CN"/>
              </w:rPr>
            </w:pPr>
            <w:r>
              <w:rPr>
                <w:rFonts w:hint="eastAsia" w:cs="新宋体" w:asciiTheme="majorEastAsia" w:hAnsiTheme="majorEastAsia" w:eastAsiaTheme="majorEastAsia"/>
                <w:b w:val="0"/>
                <w:bCs w:val="0"/>
                <w:sz w:val="22"/>
                <w:szCs w:val="22"/>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69" w:type="pct"/>
            <w:vAlign w:val="center"/>
          </w:tcPr>
          <w:p>
            <w:pPr>
              <w:spacing w:line="360" w:lineRule="auto"/>
              <w:jc w:val="center"/>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3</w:t>
            </w:r>
          </w:p>
        </w:tc>
        <w:tc>
          <w:tcPr>
            <w:tcW w:w="62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技术方案</w:t>
            </w:r>
          </w:p>
        </w:tc>
        <w:tc>
          <w:tcPr>
            <w:tcW w:w="349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根据投标供应商技术方案的合理性，叙述的准确性，结构图、流程图、系统图等的完整性、准确性（0-3分）；方案设计的功能实现以及项目对应需求的满足程度等（0-3分）。</w:t>
            </w:r>
          </w:p>
        </w:tc>
        <w:tc>
          <w:tcPr>
            <w:tcW w:w="511"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lang w:eastAsia="zh-CN"/>
              </w:rPr>
            </w:pPr>
            <w:r>
              <w:rPr>
                <w:rFonts w:hint="eastAsia" w:cs="新宋体" w:asciiTheme="majorEastAsia" w:hAnsiTheme="majorEastAsia" w:eastAsiaTheme="majorEastAsia"/>
                <w:b w:val="0"/>
                <w:bCs w:val="0"/>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69" w:type="pct"/>
            <w:vAlign w:val="center"/>
          </w:tcPr>
          <w:p>
            <w:pPr>
              <w:spacing w:line="360" w:lineRule="auto"/>
              <w:jc w:val="center"/>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4</w:t>
            </w:r>
          </w:p>
        </w:tc>
        <w:tc>
          <w:tcPr>
            <w:tcW w:w="62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资源</w:t>
            </w:r>
          </w:p>
        </w:tc>
        <w:tc>
          <w:tcPr>
            <w:tcW w:w="349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投标供应商投标时具备支撑项目整体运行的自有光纤链路资源，得5分；采购第三方光纤链路资源，并提供授权证明的，得3分；承诺中标后5日内取得光纤链路资源的，得1分。</w:t>
            </w:r>
          </w:p>
        </w:tc>
        <w:tc>
          <w:tcPr>
            <w:tcW w:w="511"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lang w:eastAsia="zh-CN"/>
              </w:rPr>
            </w:pPr>
            <w:r>
              <w:rPr>
                <w:rFonts w:hint="eastAsia" w:cs="新宋体" w:asciiTheme="majorEastAsia" w:hAnsiTheme="majorEastAsia" w:eastAsiaTheme="majorEastAsia"/>
                <w:b w:val="0"/>
                <w:bCs w:val="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69" w:type="pct"/>
            <w:vAlign w:val="center"/>
          </w:tcPr>
          <w:p>
            <w:pPr>
              <w:spacing w:line="360" w:lineRule="auto"/>
              <w:jc w:val="center"/>
              <w:rPr>
                <w:rFonts w:hint="eastAsia" w:cs="新宋体" w:asciiTheme="majorEastAsia" w:hAnsiTheme="majorEastAsia" w:eastAsiaTheme="majorEastAsia"/>
                <w:b w:val="0"/>
                <w:bCs w:val="0"/>
                <w:sz w:val="22"/>
                <w:szCs w:val="22"/>
                <w:lang w:val="en-US" w:eastAsia="zh-CN"/>
              </w:rPr>
            </w:pPr>
            <w:r>
              <w:rPr>
                <w:rFonts w:hint="eastAsia" w:cs="新宋体" w:asciiTheme="majorEastAsia" w:hAnsiTheme="majorEastAsia" w:eastAsiaTheme="majorEastAsia"/>
                <w:b w:val="0"/>
                <w:bCs w:val="0"/>
                <w:sz w:val="22"/>
                <w:szCs w:val="22"/>
                <w:lang w:val="en-US" w:eastAsia="zh-CN"/>
              </w:rPr>
              <w:t>5</w:t>
            </w:r>
          </w:p>
        </w:tc>
        <w:tc>
          <w:tcPr>
            <w:tcW w:w="62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阐述本项目情况和合理化建议</w:t>
            </w:r>
          </w:p>
        </w:tc>
        <w:tc>
          <w:tcPr>
            <w:tcW w:w="349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根据供应商对阐述本项目情况和合理化建议等内容，由评委进行打分</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1、阐述总体方案的合理性，0-</w:t>
            </w:r>
            <w:r>
              <w:rPr>
                <w:rFonts w:hint="eastAsia" w:cs="新宋体" w:asciiTheme="majorEastAsia" w:hAnsiTheme="majorEastAsia" w:eastAsiaTheme="majorEastAsia"/>
                <w:b w:val="0"/>
                <w:bCs w:val="0"/>
                <w:sz w:val="22"/>
                <w:szCs w:val="22"/>
                <w:lang w:val="en-US" w:eastAsia="zh-CN"/>
              </w:rPr>
              <w:t>4</w:t>
            </w:r>
            <w:r>
              <w:rPr>
                <w:rFonts w:hint="eastAsia" w:cs="新宋体" w:asciiTheme="majorEastAsia" w:hAnsiTheme="majorEastAsia" w:eastAsiaTheme="majorEastAsia"/>
                <w:b w:val="0"/>
                <w:bCs w:val="0"/>
                <w:sz w:val="22"/>
                <w:szCs w:val="22"/>
              </w:rPr>
              <w:t>分；</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2、阐述总体方案的科学性，0-</w:t>
            </w:r>
            <w:r>
              <w:rPr>
                <w:rFonts w:hint="eastAsia" w:cs="新宋体" w:asciiTheme="majorEastAsia" w:hAnsiTheme="majorEastAsia" w:eastAsiaTheme="majorEastAsia"/>
                <w:b w:val="0"/>
                <w:bCs w:val="0"/>
                <w:sz w:val="22"/>
                <w:szCs w:val="22"/>
                <w:lang w:val="en-US" w:eastAsia="zh-CN"/>
              </w:rPr>
              <w:t>4</w:t>
            </w:r>
            <w:r>
              <w:rPr>
                <w:rFonts w:hint="eastAsia" w:cs="新宋体" w:asciiTheme="majorEastAsia" w:hAnsiTheme="majorEastAsia" w:eastAsiaTheme="majorEastAsia"/>
                <w:b w:val="0"/>
                <w:bCs w:val="0"/>
                <w:sz w:val="22"/>
                <w:szCs w:val="22"/>
              </w:rPr>
              <w:t>分；</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3、阐述总体方案的完整性，0-</w:t>
            </w:r>
            <w:r>
              <w:rPr>
                <w:rFonts w:hint="eastAsia" w:cs="新宋体" w:asciiTheme="majorEastAsia" w:hAnsiTheme="majorEastAsia" w:eastAsiaTheme="majorEastAsia"/>
                <w:b w:val="0"/>
                <w:bCs w:val="0"/>
                <w:sz w:val="22"/>
                <w:szCs w:val="22"/>
                <w:lang w:val="en-US" w:eastAsia="zh-CN"/>
              </w:rPr>
              <w:t>4</w:t>
            </w:r>
            <w:r>
              <w:rPr>
                <w:rFonts w:hint="eastAsia" w:cs="新宋体" w:asciiTheme="majorEastAsia" w:hAnsiTheme="majorEastAsia" w:eastAsiaTheme="majorEastAsia"/>
                <w:b w:val="0"/>
                <w:bCs w:val="0"/>
                <w:sz w:val="22"/>
                <w:szCs w:val="22"/>
              </w:rPr>
              <w:t>分；</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lang w:eastAsia="zh-CN"/>
              </w:rPr>
            </w:pPr>
            <w:r>
              <w:rPr>
                <w:rFonts w:hint="eastAsia" w:cs="新宋体" w:asciiTheme="majorEastAsia" w:hAnsiTheme="majorEastAsia" w:eastAsiaTheme="majorEastAsia"/>
                <w:b w:val="0"/>
                <w:bCs w:val="0"/>
                <w:sz w:val="22"/>
                <w:szCs w:val="22"/>
              </w:rPr>
              <w:t>4、阐述总体方案的可操作性性，0-</w:t>
            </w:r>
            <w:r>
              <w:rPr>
                <w:rFonts w:hint="eastAsia" w:cs="新宋体" w:asciiTheme="majorEastAsia" w:hAnsiTheme="majorEastAsia" w:eastAsiaTheme="majorEastAsia"/>
                <w:b w:val="0"/>
                <w:bCs w:val="0"/>
                <w:sz w:val="22"/>
                <w:szCs w:val="22"/>
                <w:lang w:val="en-US" w:eastAsia="zh-CN"/>
              </w:rPr>
              <w:t>4</w:t>
            </w:r>
            <w:r>
              <w:rPr>
                <w:rFonts w:hint="eastAsia" w:cs="新宋体" w:asciiTheme="majorEastAsia" w:hAnsiTheme="majorEastAsia" w:eastAsiaTheme="majorEastAsia"/>
                <w:b w:val="0"/>
                <w:bCs w:val="0"/>
                <w:sz w:val="22"/>
                <w:szCs w:val="22"/>
              </w:rPr>
              <w:t>分</w:t>
            </w:r>
            <w:r>
              <w:rPr>
                <w:rFonts w:hint="eastAsia" w:cs="新宋体" w:asciiTheme="majorEastAsia" w:hAnsiTheme="majorEastAsia" w:eastAsiaTheme="majorEastAsia"/>
                <w:b w:val="0"/>
                <w:bCs w:val="0"/>
                <w:sz w:val="22"/>
                <w:szCs w:val="22"/>
                <w:lang w:eastAsia="zh-CN"/>
              </w:rPr>
              <w:t>；</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lang w:eastAsia="zh-CN"/>
              </w:rPr>
            </w:pPr>
            <w:r>
              <w:rPr>
                <w:rFonts w:hint="eastAsia" w:cs="新宋体" w:asciiTheme="majorEastAsia" w:hAnsiTheme="majorEastAsia" w:eastAsiaTheme="majorEastAsia"/>
                <w:b w:val="0"/>
                <w:bCs w:val="0"/>
                <w:sz w:val="22"/>
                <w:szCs w:val="22"/>
                <w:lang w:val="en-US" w:eastAsia="zh-CN"/>
              </w:rPr>
              <w:t>5、根据</w:t>
            </w:r>
            <w:r>
              <w:rPr>
                <w:rFonts w:hint="eastAsia" w:cs="新宋体" w:asciiTheme="majorEastAsia" w:hAnsiTheme="majorEastAsia" w:eastAsiaTheme="majorEastAsia"/>
                <w:b w:val="0"/>
                <w:bCs w:val="0"/>
                <w:sz w:val="22"/>
                <w:szCs w:val="22"/>
              </w:rPr>
              <w:t>合理化建议</w:t>
            </w:r>
            <w:r>
              <w:rPr>
                <w:rFonts w:hint="eastAsia" w:cs="新宋体" w:asciiTheme="majorEastAsia" w:hAnsiTheme="majorEastAsia" w:eastAsiaTheme="majorEastAsia"/>
                <w:b w:val="0"/>
                <w:bCs w:val="0"/>
                <w:sz w:val="22"/>
                <w:szCs w:val="22"/>
                <w:lang w:val="en-US" w:eastAsia="zh-CN"/>
              </w:rPr>
              <w:t>的完整性</w:t>
            </w:r>
            <w:r>
              <w:rPr>
                <w:rFonts w:hint="eastAsia" w:cs="新宋体" w:asciiTheme="majorEastAsia" w:hAnsiTheme="majorEastAsia" w:eastAsiaTheme="majorEastAsia"/>
                <w:b w:val="0"/>
                <w:bCs w:val="0"/>
                <w:sz w:val="22"/>
                <w:szCs w:val="22"/>
              </w:rPr>
              <w:t>，0-</w:t>
            </w:r>
            <w:r>
              <w:rPr>
                <w:rFonts w:hint="eastAsia" w:cs="新宋体" w:asciiTheme="majorEastAsia" w:hAnsiTheme="majorEastAsia" w:eastAsiaTheme="majorEastAsia"/>
                <w:b w:val="0"/>
                <w:bCs w:val="0"/>
                <w:sz w:val="22"/>
                <w:szCs w:val="22"/>
                <w:lang w:val="en-US" w:eastAsia="zh-CN"/>
              </w:rPr>
              <w:t>4</w:t>
            </w:r>
            <w:r>
              <w:rPr>
                <w:rFonts w:hint="eastAsia" w:cs="新宋体" w:asciiTheme="majorEastAsia" w:hAnsiTheme="majorEastAsia" w:eastAsiaTheme="majorEastAsia"/>
                <w:b w:val="0"/>
                <w:bCs w:val="0"/>
                <w:sz w:val="22"/>
                <w:szCs w:val="22"/>
              </w:rPr>
              <w:t>分。</w:t>
            </w:r>
          </w:p>
        </w:tc>
        <w:tc>
          <w:tcPr>
            <w:tcW w:w="511"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default" w:cs="新宋体" w:asciiTheme="majorEastAsia" w:hAnsiTheme="majorEastAsia" w:eastAsiaTheme="majorEastAsia"/>
                <w:b w:val="0"/>
                <w:bCs w:val="0"/>
                <w:sz w:val="22"/>
                <w:szCs w:val="22"/>
                <w:lang w:val="en-US" w:eastAsia="zh-CN"/>
              </w:rPr>
            </w:pPr>
            <w:r>
              <w:rPr>
                <w:rFonts w:hint="eastAsia" w:cs="新宋体" w:asciiTheme="majorEastAsia" w:hAnsiTheme="majorEastAsia" w:eastAsiaTheme="majorEastAsia"/>
                <w:b w:val="0"/>
                <w:bCs w:val="0"/>
                <w:sz w:val="22"/>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69" w:type="pct"/>
            <w:vAlign w:val="center"/>
          </w:tcPr>
          <w:p>
            <w:pPr>
              <w:spacing w:line="360" w:lineRule="auto"/>
              <w:jc w:val="center"/>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6</w:t>
            </w:r>
          </w:p>
        </w:tc>
        <w:tc>
          <w:tcPr>
            <w:tcW w:w="62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业绩</w:t>
            </w:r>
          </w:p>
        </w:tc>
        <w:tc>
          <w:tcPr>
            <w:tcW w:w="349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2021年1月1日至今同类项目业绩（以合同签订时间为准）</w:t>
            </w:r>
            <w:r>
              <w:rPr>
                <w:rFonts w:hint="eastAsia" w:cs="新宋体" w:asciiTheme="majorEastAsia" w:hAnsiTheme="majorEastAsia" w:eastAsiaTheme="majorEastAsia"/>
                <w:b w:val="0"/>
                <w:bCs w:val="0"/>
                <w:sz w:val="22"/>
                <w:szCs w:val="22"/>
                <w:lang w:eastAsia="zh-CN"/>
              </w:rPr>
              <w:t>，</w:t>
            </w:r>
            <w:r>
              <w:rPr>
                <w:rFonts w:hint="eastAsia" w:cs="新宋体" w:asciiTheme="majorEastAsia" w:hAnsiTheme="majorEastAsia" w:eastAsiaTheme="majorEastAsia"/>
                <w:b w:val="0"/>
                <w:bCs w:val="0"/>
                <w:sz w:val="22"/>
                <w:szCs w:val="22"/>
              </w:rPr>
              <w:t>每个得</w:t>
            </w:r>
            <w:r>
              <w:rPr>
                <w:rFonts w:hint="eastAsia" w:cs="新宋体" w:asciiTheme="majorEastAsia" w:hAnsiTheme="majorEastAsia" w:eastAsiaTheme="majorEastAsia"/>
                <w:b w:val="0"/>
                <w:bCs w:val="0"/>
                <w:sz w:val="22"/>
                <w:szCs w:val="22"/>
                <w:lang w:val="en-US" w:eastAsia="zh-CN"/>
              </w:rPr>
              <w:t>1</w:t>
            </w:r>
            <w:r>
              <w:rPr>
                <w:rFonts w:hint="eastAsia" w:cs="新宋体" w:asciiTheme="majorEastAsia" w:hAnsiTheme="majorEastAsia" w:eastAsiaTheme="majorEastAsia"/>
                <w:b w:val="0"/>
                <w:bCs w:val="0"/>
                <w:sz w:val="22"/>
                <w:szCs w:val="22"/>
              </w:rPr>
              <w:t>分，最高得</w:t>
            </w:r>
            <w:r>
              <w:rPr>
                <w:rFonts w:hint="eastAsia" w:cs="新宋体" w:asciiTheme="majorEastAsia" w:hAnsiTheme="majorEastAsia" w:eastAsiaTheme="majorEastAsia"/>
                <w:b w:val="0"/>
                <w:bCs w:val="0"/>
                <w:sz w:val="22"/>
                <w:szCs w:val="22"/>
                <w:lang w:val="en-US" w:eastAsia="zh-CN"/>
              </w:rPr>
              <w:t>3</w:t>
            </w:r>
            <w:r>
              <w:rPr>
                <w:rFonts w:hint="eastAsia" w:cs="新宋体" w:asciiTheme="majorEastAsia" w:hAnsiTheme="majorEastAsia" w:eastAsiaTheme="majorEastAsia"/>
                <w:b w:val="0"/>
                <w:bCs w:val="0"/>
                <w:sz w:val="22"/>
                <w:szCs w:val="22"/>
              </w:rPr>
              <w:t>分。</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备注:提供类似业绩合同或中标(成交)通知书(扫描件并加盖电子章，否则不得分)。</w:t>
            </w:r>
          </w:p>
        </w:tc>
        <w:tc>
          <w:tcPr>
            <w:tcW w:w="511"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lang w:eastAsia="zh-CN"/>
              </w:rPr>
            </w:pPr>
            <w:r>
              <w:rPr>
                <w:rFonts w:hint="eastAsia" w:cs="新宋体" w:asciiTheme="majorEastAsia" w:hAnsiTheme="majorEastAsia" w:eastAsiaTheme="majorEastAsia"/>
                <w:b w:val="0"/>
                <w:bCs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69" w:type="pct"/>
            <w:vAlign w:val="center"/>
          </w:tcPr>
          <w:p>
            <w:pPr>
              <w:spacing w:line="360" w:lineRule="auto"/>
              <w:jc w:val="center"/>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7</w:t>
            </w:r>
          </w:p>
        </w:tc>
        <w:tc>
          <w:tcPr>
            <w:tcW w:w="62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实施方案</w:t>
            </w:r>
          </w:p>
        </w:tc>
        <w:tc>
          <w:tcPr>
            <w:tcW w:w="349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根据投标供应商针对本项目实施阶段的保障计划：</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1、项目管理，0-2分；</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2、进度控制，0-2分；</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3、质量控制，0-2分。</w:t>
            </w:r>
          </w:p>
        </w:tc>
        <w:tc>
          <w:tcPr>
            <w:tcW w:w="511"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lang w:eastAsia="zh-CN"/>
              </w:rPr>
            </w:pPr>
            <w:r>
              <w:rPr>
                <w:rFonts w:hint="eastAsia" w:cs="新宋体" w:asciiTheme="majorEastAsia" w:hAnsiTheme="majorEastAsia" w:eastAsiaTheme="majorEastAsia"/>
                <w:b w:val="0"/>
                <w:bCs w:val="0"/>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69" w:type="pct"/>
            <w:vAlign w:val="center"/>
          </w:tcPr>
          <w:p>
            <w:pPr>
              <w:spacing w:line="360" w:lineRule="auto"/>
              <w:jc w:val="center"/>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8</w:t>
            </w:r>
          </w:p>
        </w:tc>
        <w:tc>
          <w:tcPr>
            <w:tcW w:w="62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项目组成员技术能力</w:t>
            </w:r>
          </w:p>
        </w:tc>
        <w:tc>
          <w:tcPr>
            <w:tcW w:w="349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left"/>
              <w:textAlignment w:val="auto"/>
              <w:rPr>
                <w:rFonts w:hint="default" w:cs="新宋体" w:asciiTheme="majorEastAsia" w:hAnsiTheme="majorEastAsia" w:eastAsiaTheme="majorEastAsia"/>
                <w:b w:val="0"/>
                <w:bCs w:val="0"/>
                <w:sz w:val="22"/>
                <w:szCs w:val="22"/>
                <w:lang w:val="en-US" w:eastAsia="zh-CN"/>
              </w:rPr>
            </w:pPr>
            <w:r>
              <w:rPr>
                <w:rFonts w:hint="default" w:cs="新宋体" w:asciiTheme="majorEastAsia" w:hAnsiTheme="majorEastAsia" w:eastAsiaTheme="majorEastAsia"/>
                <w:b w:val="0"/>
                <w:bCs w:val="0"/>
                <w:sz w:val="22"/>
                <w:szCs w:val="22"/>
                <w:lang w:val="en-US" w:eastAsia="zh-CN"/>
              </w:rPr>
              <w:t>根据服务于该项目维护的主要工程技术人员及维护队伍人员情况进行综合打分。（0-3分）</w:t>
            </w:r>
          </w:p>
          <w:p>
            <w:pPr>
              <w:keepNext w:val="0"/>
              <w:keepLines w:val="0"/>
              <w:pageBreakBefore w:val="0"/>
              <w:widowControl w:val="0"/>
              <w:kinsoku/>
              <w:wordWrap/>
              <w:overflowPunct/>
              <w:topLinePunct w:val="0"/>
              <w:autoSpaceDE/>
              <w:autoSpaceDN/>
              <w:bidi w:val="0"/>
              <w:adjustRightInd/>
              <w:snapToGrid/>
              <w:spacing w:before="95" w:beforeLines="30" w:line="360" w:lineRule="auto"/>
              <w:jc w:val="left"/>
              <w:textAlignment w:val="auto"/>
              <w:rPr>
                <w:rFonts w:hint="default" w:eastAsia="仿宋_GB2312"/>
                <w:lang w:val="en-US" w:eastAsia="zh-CN"/>
              </w:rPr>
            </w:pPr>
            <w:r>
              <w:rPr>
                <w:rFonts w:hint="default" w:cs="新宋体" w:asciiTheme="majorEastAsia" w:hAnsiTheme="majorEastAsia" w:eastAsiaTheme="majorEastAsia"/>
                <w:b w:val="0"/>
                <w:bCs w:val="0"/>
                <w:sz w:val="22"/>
                <w:szCs w:val="22"/>
                <w:lang w:val="en-US" w:eastAsia="zh-CN"/>
              </w:rPr>
              <w:t>备注：须提供在本单位2024年3月1日至今任意一月的社保缴纳情况（个人参保证明以到账为准、单位参保证明以养老保险参保为准）的社会险参保证明，否则不得分。</w:t>
            </w:r>
          </w:p>
        </w:tc>
        <w:tc>
          <w:tcPr>
            <w:tcW w:w="511"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lang w:eastAsia="zh-CN"/>
              </w:rPr>
            </w:pPr>
            <w:r>
              <w:rPr>
                <w:rFonts w:hint="eastAsia" w:cs="新宋体" w:asciiTheme="majorEastAsia" w:hAnsiTheme="majorEastAsia" w:eastAsiaTheme="majorEastAsia"/>
                <w:b w:val="0"/>
                <w:bCs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trPr>
        <w:tc>
          <w:tcPr>
            <w:tcW w:w="369" w:type="pct"/>
            <w:vAlign w:val="center"/>
          </w:tcPr>
          <w:p>
            <w:pPr>
              <w:spacing w:line="360" w:lineRule="auto"/>
              <w:jc w:val="center"/>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9</w:t>
            </w:r>
          </w:p>
        </w:tc>
        <w:tc>
          <w:tcPr>
            <w:tcW w:w="62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售后服务能力</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330" w:firstLineChars="150"/>
              <w:jc w:val="center"/>
              <w:textAlignment w:val="auto"/>
              <w:rPr>
                <w:rFonts w:hint="eastAsia" w:cs="新宋体" w:asciiTheme="majorEastAsia" w:hAnsiTheme="majorEastAsia" w:eastAsiaTheme="majorEastAsia"/>
                <w:b w:val="0"/>
                <w:bCs w:val="0"/>
                <w:sz w:val="22"/>
                <w:szCs w:val="22"/>
              </w:rPr>
            </w:pPr>
          </w:p>
        </w:tc>
        <w:tc>
          <w:tcPr>
            <w:tcW w:w="349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lang w:val="en-US" w:eastAsia="zh-CN"/>
              </w:rPr>
              <w:t>1、</w:t>
            </w:r>
            <w:r>
              <w:rPr>
                <w:rFonts w:hint="eastAsia" w:cs="新宋体" w:asciiTheme="majorEastAsia" w:hAnsiTheme="majorEastAsia" w:eastAsiaTheme="majorEastAsia"/>
                <w:b w:val="0"/>
                <w:bCs w:val="0"/>
                <w:sz w:val="22"/>
                <w:szCs w:val="22"/>
              </w:rPr>
              <w:t>根据投标供应商提供的售后服务方案、售后服务承诺的可行性、完整性和故障响应、服务保障措施等综合比较打分，0-4分。</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lang w:val="en-US" w:eastAsia="zh-CN"/>
              </w:rPr>
              <w:t>2、</w:t>
            </w:r>
            <w:r>
              <w:rPr>
                <w:rFonts w:hint="eastAsia" w:cs="新宋体" w:asciiTheme="majorEastAsia" w:hAnsiTheme="majorEastAsia" w:eastAsiaTheme="majorEastAsia"/>
                <w:b w:val="0"/>
                <w:bCs w:val="0"/>
                <w:sz w:val="22"/>
                <w:szCs w:val="22"/>
              </w:rPr>
              <w:t>根据投标供应商本地运维车辆情况进行评分：</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sz w:val="22"/>
                <w:szCs w:val="22"/>
              </w:rPr>
              <w:t>每有1辆运维用车得0.5分，最高得2分（提供车辆行驶证复印件，否则不得分）</w:t>
            </w:r>
          </w:p>
        </w:tc>
        <w:tc>
          <w:tcPr>
            <w:tcW w:w="511"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cs="新宋体" w:asciiTheme="majorEastAsia" w:hAnsiTheme="majorEastAsia" w:eastAsiaTheme="majorEastAsia"/>
                <w:b w:val="0"/>
                <w:bCs w:val="0"/>
                <w:sz w:val="22"/>
                <w:szCs w:val="22"/>
                <w:lang w:eastAsia="zh-CN"/>
              </w:rPr>
            </w:pPr>
            <w:r>
              <w:rPr>
                <w:rFonts w:hint="eastAsia" w:cs="新宋体" w:asciiTheme="majorEastAsia" w:hAnsiTheme="majorEastAsia" w:eastAsiaTheme="majorEastAsia"/>
                <w:b w:val="0"/>
                <w:bCs w:val="0"/>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69" w:type="pct"/>
            <w:vAlign w:val="center"/>
          </w:tcPr>
          <w:p>
            <w:pPr>
              <w:spacing w:line="360" w:lineRule="auto"/>
              <w:jc w:val="center"/>
              <w:rPr>
                <w:rFonts w:hint="default" w:cs="新宋体" w:asciiTheme="majorEastAsia" w:hAnsiTheme="majorEastAsia" w:eastAsiaTheme="majorEastAsia"/>
                <w:b w:val="0"/>
                <w:bCs w:val="0"/>
                <w:sz w:val="22"/>
                <w:szCs w:val="22"/>
                <w:lang w:val="en-US" w:eastAsia="zh-CN"/>
              </w:rPr>
            </w:pPr>
            <w:r>
              <w:rPr>
                <w:rFonts w:hint="eastAsia" w:cs="新宋体" w:asciiTheme="majorEastAsia" w:hAnsiTheme="majorEastAsia" w:eastAsiaTheme="majorEastAsia"/>
                <w:b w:val="0"/>
                <w:bCs w:val="0"/>
                <w:sz w:val="22"/>
                <w:szCs w:val="22"/>
                <w:lang w:val="en-US" w:eastAsia="zh-CN"/>
              </w:rPr>
              <w:t>10</w:t>
            </w:r>
          </w:p>
        </w:tc>
        <w:tc>
          <w:tcPr>
            <w:tcW w:w="624"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both"/>
              <w:textAlignment w:val="auto"/>
              <w:rPr>
                <w:rFonts w:hint="eastAsia" w:cs="新宋体" w:asciiTheme="majorEastAsia" w:hAnsiTheme="majorEastAsia" w:eastAsiaTheme="majorEastAsia"/>
                <w:b w:val="0"/>
                <w:bCs w:val="0"/>
                <w:sz w:val="22"/>
                <w:szCs w:val="22"/>
              </w:rPr>
            </w:pPr>
            <w:r>
              <w:rPr>
                <w:rFonts w:ascii="宋体" w:eastAsia="宋体"/>
                <w:b w:val="0"/>
                <w:color w:val="auto"/>
                <w:sz w:val="22"/>
              </w:rPr>
              <w:t>节能环保</w:t>
            </w:r>
          </w:p>
        </w:tc>
        <w:tc>
          <w:tcPr>
            <w:tcW w:w="3494" w:type="pct"/>
            <w:vAlign w:val="center"/>
          </w:tcPr>
          <w:p>
            <w:pPr>
              <w:adjustRightInd/>
              <w:snapToGrid/>
              <w:spacing w:before="95" w:beforeLines="30" w:line="360" w:lineRule="auto"/>
              <w:rPr>
                <w:rFonts w:hint="eastAsia" w:cs="新宋体" w:asciiTheme="majorEastAsia" w:hAnsiTheme="majorEastAsia" w:eastAsiaTheme="majorEastAsia"/>
                <w:b w:val="0"/>
                <w:bCs w:val="0"/>
                <w:color w:val="000000"/>
                <w:sz w:val="22"/>
                <w:szCs w:val="22"/>
              </w:rPr>
            </w:pPr>
            <w:r>
              <w:rPr>
                <w:rFonts w:hint="eastAsia" w:cs="新宋体" w:asciiTheme="majorEastAsia" w:hAnsiTheme="majorEastAsia" w:eastAsiaTheme="majorEastAsia"/>
                <w:b w:val="0"/>
                <w:bCs w:val="0"/>
                <w:color w:val="000000"/>
                <w:sz w:val="22"/>
                <w:szCs w:val="22"/>
              </w:rPr>
              <w:t>1、投标产品中除政府强制采购节能产品外有列入《节能产品政府采购品目清单》并具有相应认证证书的，可得</w:t>
            </w:r>
            <w:r>
              <w:rPr>
                <w:rFonts w:hint="eastAsia" w:cs="新宋体" w:asciiTheme="majorEastAsia" w:hAnsiTheme="majorEastAsia" w:eastAsiaTheme="majorEastAsia"/>
                <w:b w:val="0"/>
                <w:bCs w:val="0"/>
                <w:color w:val="000000"/>
                <w:sz w:val="22"/>
                <w:szCs w:val="22"/>
                <w:lang w:val="en-US" w:eastAsia="zh-CN"/>
              </w:rPr>
              <w:t>0.5</w:t>
            </w:r>
            <w:r>
              <w:rPr>
                <w:rFonts w:hint="eastAsia" w:cs="新宋体" w:asciiTheme="majorEastAsia" w:hAnsiTheme="majorEastAsia" w:eastAsiaTheme="majorEastAsia"/>
                <w:b w:val="0"/>
                <w:bCs w:val="0"/>
                <w:color w:val="000000"/>
                <w:sz w:val="22"/>
                <w:szCs w:val="22"/>
              </w:rPr>
              <w:t>分；</w:t>
            </w:r>
          </w:p>
          <w:p>
            <w:pPr>
              <w:adjustRightInd/>
              <w:snapToGrid/>
              <w:spacing w:before="95" w:beforeLines="30" w:line="360" w:lineRule="auto"/>
              <w:rPr>
                <w:rFonts w:hint="eastAsia" w:cs="新宋体" w:asciiTheme="majorEastAsia" w:hAnsiTheme="majorEastAsia" w:eastAsiaTheme="majorEastAsia"/>
                <w:b w:val="0"/>
                <w:bCs w:val="0"/>
                <w:color w:val="000000"/>
                <w:sz w:val="22"/>
                <w:szCs w:val="22"/>
              </w:rPr>
            </w:pPr>
            <w:r>
              <w:rPr>
                <w:rFonts w:hint="eastAsia" w:cs="新宋体" w:asciiTheme="majorEastAsia" w:hAnsiTheme="majorEastAsia" w:eastAsiaTheme="majorEastAsia"/>
                <w:b w:val="0"/>
                <w:bCs w:val="0"/>
                <w:color w:val="000000"/>
                <w:sz w:val="22"/>
                <w:szCs w:val="22"/>
              </w:rPr>
              <w:t>2、投标产品中有列入《环境标志产品政府采购品目清单》并具有相应认证证书的，可得</w:t>
            </w:r>
            <w:r>
              <w:rPr>
                <w:rFonts w:hint="eastAsia" w:cs="新宋体" w:asciiTheme="majorEastAsia" w:hAnsiTheme="majorEastAsia" w:eastAsiaTheme="majorEastAsia"/>
                <w:b w:val="0"/>
                <w:bCs w:val="0"/>
                <w:color w:val="000000"/>
                <w:sz w:val="22"/>
                <w:szCs w:val="22"/>
                <w:lang w:val="en-US" w:eastAsia="zh-CN"/>
              </w:rPr>
              <w:t>0.5</w:t>
            </w:r>
            <w:r>
              <w:rPr>
                <w:rFonts w:hint="eastAsia" w:cs="新宋体" w:asciiTheme="majorEastAsia" w:hAnsiTheme="majorEastAsia" w:eastAsiaTheme="majorEastAsia"/>
                <w:b w:val="0"/>
                <w:bCs w:val="0"/>
                <w:color w:val="000000"/>
                <w:sz w:val="22"/>
                <w:szCs w:val="22"/>
              </w:rPr>
              <w:t>分。</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cs="新宋体" w:asciiTheme="majorEastAsia" w:hAnsiTheme="majorEastAsia" w:eastAsiaTheme="majorEastAsia"/>
                <w:b w:val="0"/>
                <w:bCs w:val="0"/>
                <w:sz w:val="22"/>
                <w:szCs w:val="22"/>
              </w:rPr>
            </w:pPr>
            <w:r>
              <w:rPr>
                <w:rFonts w:hint="eastAsia" w:cs="新宋体" w:asciiTheme="majorEastAsia" w:hAnsiTheme="majorEastAsia" w:eastAsiaTheme="majorEastAsia"/>
                <w:b w:val="0"/>
                <w:bCs w:val="0"/>
                <w:color w:val="000000"/>
                <w:sz w:val="22"/>
                <w:szCs w:val="22"/>
              </w:rPr>
              <w:t>说明：投标文件中必须提供附件《节能环保产品声明函》、附件《节能（环保）产品清单》及所投相关产品对应的认证证书扫描件或电子证书，否则不予给分。</w:t>
            </w:r>
          </w:p>
        </w:tc>
        <w:tc>
          <w:tcPr>
            <w:tcW w:w="511" w:type="pct"/>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default" w:cs="新宋体" w:asciiTheme="majorEastAsia" w:hAnsiTheme="majorEastAsia" w:eastAsiaTheme="majorEastAsia"/>
                <w:b w:val="0"/>
                <w:bCs w:val="0"/>
                <w:sz w:val="22"/>
                <w:szCs w:val="22"/>
                <w:lang w:val="en-US" w:eastAsia="zh-CN"/>
              </w:rPr>
            </w:pPr>
            <w:r>
              <w:rPr>
                <w:rFonts w:hint="eastAsia" w:cs="新宋体" w:asciiTheme="majorEastAsia" w:hAnsiTheme="majorEastAsia" w:eastAsiaTheme="majorEastAsia"/>
                <w:b w:val="0"/>
                <w:bCs w:val="0"/>
                <w:sz w:val="22"/>
                <w:szCs w:val="22"/>
                <w:lang w:val="en-US" w:eastAsia="zh-CN"/>
              </w:rPr>
              <w:t>1</w:t>
            </w:r>
          </w:p>
        </w:tc>
      </w:tr>
    </w:tbl>
    <w:p>
      <w:pPr>
        <w:pStyle w:val="8"/>
      </w:pPr>
    </w:p>
    <w:p>
      <w:pPr>
        <w:spacing w:line="460" w:lineRule="atLeast"/>
        <w:rPr>
          <w:rFonts w:ascii="宋体" w:eastAsia="宋体"/>
          <w:b w:val="0"/>
          <w:color w:val="auto"/>
          <w:sz w:val="22"/>
        </w:rPr>
      </w:pPr>
      <w:r>
        <w:rPr>
          <w:rFonts w:hint="eastAsia" w:ascii="宋体" w:eastAsia="宋体"/>
          <w:b w:val="0"/>
          <w:color w:val="auto"/>
          <w:sz w:val="22"/>
        </w:rPr>
        <w:t>（三）说明</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1、每个供应商最终得分=技术资信部分分值（所有评标委员会成员打分的算术平均值）＋商务报价部分分值。</w:t>
      </w:r>
    </w:p>
    <w:p>
      <w:pPr>
        <w:widowControl/>
        <w:autoSpaceDE w:val="0"/>
        <w:autoSpaceDN w:val="0"/>
        <w:adjustRightInd w:val="0"/>
        <w:spacing w:line="460" w:lineRule="atLeast"/>
        <w:ind w:firstLine="442" w:firstLineChars="200"/>
        <w:textAlignment w:val="bottom"/>
        <w:rPr>
          <w:rFonts w:hint="eastAsia" w:ascii="宋体" w:hAnsi="宋体" w:eastAsia="宋体" w:cs="宋体"/>
          <w:b/>
          <w:bCs w:val="0"/>
          <w:color w:val="auto"/>
          <w:sz w:val="22"/>
        </w:rPr>
      </w:pPr>
      <w:r>
        <w:rPr>
          <w:rFonts w:hint="eastAsia" w:ascii="宋体" w:hAnsi="宋体" w:eastAsia="宋体" w:cs="宋体"/>
          <w:b/>
          <w:bCs w:val="0"/>
          <w:color w:val="auto"/>
          <w:sz w:val="22"/>
        </w:rPr>
        <w:t>2、业绩评分项：对省级以上主管部门认定的首台套产品，自纳入《省推广应用指导目录》起三年内参加政府采购活动，视同已具备相应销售业绩，业绩分为满分。</w:t>
      </w:r>
    </w:p>
    <w:p>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lang w:val="en-US" w:eastAsia="zh-CN"/>
        </w:rPr>
        <w:t>3、</w:t>
      </w:r>
      <w:r>
        <w:rPr>
          <w:rFonts w:hint="eastAsia" w:ascii="宋体" w:hAnsi="宋体" w:eastAsia="宋体" w:cs="宋体"/>
          <w:b w:val="0"/>
          <w:color w:val="auto"/>
          <w:sz w:val="22"/>
        </w:rPr>
        <w:t>评标委员会推荐得分最高的供应商为预中标供应商（如果得分相同则按报价从低到高顺序依次推荐为预中标单位）；如果得分相同，报价也相同，以抽签决定，并编写评标报告。</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hAnsi="宋体" w:eastAsia="宋体" w:cs="宋体"/>
          <w:b w:val="0"/>
          <w:color w:val="auto"/>
          <w:sz w:val="22"/>
          <w:lang w:val="en-US" w:eastAsia="zh-CN"/>
        </w:rPr>
        <w:t>4</w:t>
      </w:r>
      <w:r>
        <w:rPr>
          <w:rFonts w:hint="eastAsia" w:ascii="宋体" w:hAnsi="宋体" w:eastAsia="宋体" w:cs="宋体"/>
          <w:b w:val="0"/>
          <w:color w:val="auto"/>
          <w:sz w:val="22"/>
        </w:rPr>
        <w:t>、所有</w:t>
      </w:r>
      <w:r>
        <w:rPr>
          <w:rFonts w:hint="eastAsia" w:ascii="宋体" w:eastAsia="宋体"/>
          <w:b w:val="0"/>
          <w:color w:val="auto"/>
          <w:sz w:val="22"/>
        </w:rPr>
        <w:t>分值计算保留小数点后二位，小数点后三位四舍五入。</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参见本招标文件第三部分：“供应商须知” 中的相关内容，未尽事宜按有关法律规定处理。</w:t>
      </w:r>
    </w:p>
    <w:p>
      <w:pPr>
        <w:pStyle w:val="47"/>
        <w:rPr>
          <w:rFonts w:ascii="宋体"/>
          <w:b w:val="0"/>
          <w:color w:val="auto"/>
          <w:sz w:val="22"/>
        </w:rPr>
      </w:pPr>
    </w:p>
    <w:sectPr>
      <w:pgSz w:w="11906" w:h="16838"/>
      <w:pgMar w:top="1355" w:right="1440" w:bottom="1440" w:left="128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CS?o｡ﾀ?">
    <w:altName w:val="Yu Gothic"/>
    <w:panose1 w:val="00000000000000000000"/>
    <w:charset w:val="80"/>
    <w:family w:val="moder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Baskerville">
    <w:altName w:val="Georgia"/>
    <w:panose1 w:val="00000000000000000000"/>
    <w:charset w:val="00"/>
    <w:family w:val="roman"/>
    <w:pitch w:val="default"/>
    <w:sig w:usb0="00000000" w:usb1="00000000" w:usb2="00000000" w:usb3="00000000" w:csb0="0000019F" w:csb1="00000000"/>
  </w:font>
  <w:font w:name="MS Gothic">
    <w:panose1 w:val="020B0609070205080204"/>
    <w:charset w:val="80"/>
    <w:family w:val="modern"/>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2000009F" w:csb1="DFD70000"/>
  </w:font>
  <w:font w:name="方正仿宋_GBK">
    <w:altName w:val="微软雅黑"/>
    <w:panose1 w:val="02000000000000000000"/>
    <w:charset w:val="86"/>
    <w:family w:val="script"/>
    <w:pitch w:val="default"/>
    <w:sig w:usb0="00000000" w:usb1="00000000" w:usb2="00082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auto"/>
    <w:pitch w:val="default"/>
    <w:sig w:usb0="00000000" w:usb1="00000000" w:usb2="00000012" w:usb3="00000000" w:csb0="4002009F" w:csb1="DFD70000"/>
  </w:font>
  <w:font w:name="TT-JTCウインS4P">
    <w:altName w:val="Yu Gothic"/>
    <w:panose1 w:val="00000000000000000000"/>
    <w:charset w:val="80"/>
    <w:family w:val="auto"/>
    <w:pitch w:val="default"/>
    <w:sig w:usb0="00000000" w:usb1="00000000" w:usb2="00000010" w:usb3="00000000" w:csb0="00020000" w:csb1="00000000"/>
  </w:font>
  <w:font w:name="Century Gothic">
    <w:altName w:val="Yu Gothic UI"/>
    <w:panose1 w:val="020B0502020202020204"/>
    <w:charset w:val="00"/>
    <w:family w:val="swiss"/>
    <w:pitch w:val="default"/>
    <w:sig w:usb0="00000000" w:usb1="00000000" w:usb2="00000000" w:usb3="00000000" w:csb0="2000009F" w:csb1="DFD70000"/>
  </w:font>
  <w:font w:name="High Tower Text">
    <w:altName w:val="Palatino Linotype"/>
    <w:panose1 w:val="02040502050506030303"/>
    <w:charset w:val="00"/>
    <w:family w:val="roman"/>
    <w:pitch w:val="default"/>
    <w:sig w:usb0="00000000" w:usb1="00000000" w:usb2="00000000" w:usb3="00000000" w:csb0="20000001" w:csb1="00000000"/>
  </w:font>
  <w:font w:name="MS PMincho">
    <w:altName w:val="Yu Gothic UI"/>
    <w:panose1 w:val="02020600040205080304"/>
    <w:charset w:val="80"/>
    <w:family w:val="roman"/>
    <w:pitch w:val="default"/>
    <w:sig w:usb0="00000000" w:usb1="00000000" w:usb2="00000012" w:usb3="00000000" w:csb0="4002009F" w:csb1="DFD70000"/>
  </w:font>
  <w:font w:name="新宋体">
    <w:panose1 w:val="02010609030101010101"/>
    <w:charset w:val="86"/>
    <w:family w:val="modern"/>
    <w:pitch w:val="default"/>
    <w:sig w:usb0="0000020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Arial (W1)">
    <w:altName w:val="Arial"/>
    <w:panose1 w:val="00000000000000000000"/>
    <w:charset w:val="00"/>
    <w:family w:val="auto"/>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4"/>
        <w:rFonts w:ascii="宋体" w:eastAsia="宋体"/>
      </w:rPr>
    </w:pPr>
    <w:r>
      <w:rPr>
        <w:rFonts w:ascii="宋体" w:eastAsia="宋体"/>
      </w:rPr>
      <w:fldChar w:fldCharType="begin"/>
    </w:r>
    <w:r>
      <w:rPr>
        <w:rStyle w:val="54"/>
        <w:rFonts w:ascii="宋体" w:eastAsia="宋体"/>
      </w:rPr>
      <w:instrText xml:space="preserve">PAGE  </w:instrText>
    </w:r>
    <w:r>
      <w:rPr>
        <w:rFonts w:ascii="宋体" w:eastAsia="宋体"/>
      </w:rPr>
      <w:fldChar w:fldCharType="separate"/>
    </w:r>
    <w:r>
      <w:rPr>
        <w:rStyle w:val="54"/>
        <w:rFonts w:ascii="宋体" w:eastAsia="宋体"/>
      </w:rPr>
      <w:t>2</w:t>
    </w:r>
    <w:r>
      <w:rPr>
        <w:rFonts w:ascii="宋体" w:eastAsia="宋体"/>
      </w:rPr>
      <w:fldChar w:fldCharType="end"/>
    </w:r>
  </w:p>
  <w:p>
    <w:pPr>
      <w:pStyle w:val="34"/>
      <w:ind w:right="720"/>
      <w:jc w:val="right"/>
    </w:pPr>
    <w:r>
      <w:rPr>
        <w:rStyle w:val="54"/>
        <w:rFonts w:hint="eastAsia"/>
      </w:rPr>
      <w:t xml:space="preserve">                                                </w:t>
    </w:r>
    <w:r>
      <w:tab/>
    </w:r>
    <w:r>
      <w:rPr>
        <w:rStyle w:val="54"/>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4"/>
        <w:rFonts w:ascii="宋体" w:eastAsia="宋体"/>
      </w:rPr>
    </w:pPr>
    <w:r>
      <w:rPr>
        <w:rFonts w:ascii="宋体" w:eastAsia="宋体"/>
      </w:rPr>
      <w:fldChar w:fldCharType="begin"/>
    </w:r>
    <w:r>
      <w:rPr>
        <w:rStyle w:val="54"/>
        <w:rFonts w:ascii="宋体" w:eastAsia="宋体"/>
      </w:rPr>
      <w:instrText xml:space="preserve">PAGE  </w:instrText>
    </w:r>
    <w:r>
      <w:rPr>
        <w:rFonts w:ascii="宋体" w:eastAsia="宋体"/>
      </w:rPr>
      <w:fldChar w:fldCharType="separate"/>
    </w:r>
    <w:r>
      <w:rPr>
        <w:rStyle w:val="54"/>
        <w:rFonts w:ascii="宋体" w:eastAsia="宋体"/>
      </w:rPr>
      <w:t>32</w:t>
    </w:r>
    <w:r>
      <w:rPr>
        <w:rFonts w:ascii="宋体" w:eastAsia="宋体"/>
      </w:rPr>
      <w:fldChar w:fldCharType="end"/>
    </w:r>
  </w:p>
  <w:p>
    <w:pPr>
      <w:pStyle w:val="34"/>
      <w:ind w:right="360"/>
      <w:jc w:val="right"/>
      <w:rPr>
        <w:rFonts w:ascii="宋体" w:eastAsia="宋体"/>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ascii="宋体"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jc w:val="center"/>
      <w:rPr>
        <w:rStyle w:val="54"/>
        <w:rFonts w:ascii="宋体" w:eastAsia="宋体"/>
      </w:rPr>
    </w:pPr>
    <w:r>
      <w:rPr>
        <w:rFonts w:ascii="宋体" w:eastAsia="宋体"/>
      </w:rPr>
      <w:fldChar w:fldCharType="begin"/>
    </w:r>
    <w:r>
      <w:rPr>
        <w:rStyle w:val="54"/>
        <w:rFonts w:ascii="宋体" w:eastAsia="宋体"/>
      </w:rPr>
      <w:instrText xml:space="preserve">PAGE  </w:instrText>
    </w:r>
    <w:r>
      <w:rPr>
        <w:rFonts w:ascii="宋体" w:eastAsia="宋体"/>
      </w:rPr>
      <w:fldChar w:fldCharType="separate"/>
    </w:r>
    <w:r>
      <w:rPr>
        <w:rStyle w:val="54"/>
        <w:rFonts w:ascii="宋体" w:eastAsia="宋体"/>
      </w:rPr>
      <w:t>125</w:t>
    </w:r>
    <w:r>
      <w:rPr>
        <w:rFonts w:ascii="宋体" w:eastAsia="宋体"/>
      </w:rPr>
      <w:fldChar w:fldCharType="end"/>
    </w:r>
  </w:p>
  <w:p>
    <w:pPr>
      <w:pStyle w:val="34"/>
      <w:jc w:val="right"/>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rPr>
        <w:rFonts w:ascii="宋体" w:eastAsia="宋体"/>
        <w:b w:val="0"/>
      </w:rPr>
    </w:pPr>
    <w:r>
      <w:rPr>
        <w:rFonts w:hint="eastAsia" w:ascii="宋体" w:eastAsia="宋体"/>
        <w:b w:val="0"/>
      </w:rPr>
      <w:t>永嘉县政府采购招标文件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rPr>
        <w:rFonts w:ascii="宋体" w:eastAsia="宋体"/>
        <w:b w:val="0"/>
      </w:rPr>
    </w:pPr>
    <w:r>
      <w:rPr>
        <w:rFonts w:hint="eastAsia" w:ascii="宋体" w:eastAsia="宋体"/>
        <w:b w:val="0"/>
      </w:rPr>
      <w:t>永嘉县政府采购招标文件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rPr>
        <w:rFonts w:ascii="宋体" w:eastAsia="宋体"/>
        <w:b w:val="0"/>
      </w:rPr>
    </w:pPr>
    <w:r>
      <w:rPr>
        <w:rFonts w:hint="eastAsia" w:ascii="宋体" w:eastAsia="宋体"/>
        <w:b w:val="0"/>
      </w:rPr>
      <w:t>永嘉县政府采购招标文件</w:t>
    </w:r>
  </w:p>
  <w:p>
    <w:pPr>
      <w:rPr>
        <w:rFonts w:ascii="宋体" w:eastAsia="宋体"/>
        <w:b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rPr>
        <w:rFonts w:ascii="宋体" w:eastAsia="宋体"/>
        <w:b w:val="0"/>
      </w:rPr>
    </w:pPr>
    <w:r>
      <w:rPr>
        <w:rFonts w:hint="eastAsia" w:ascii="宋体" w:eastAsia="宋体"/>
        <w:b w:val="0"/>
      </w:rPr>
      <w:t>永嘉县政府采购招标文件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09C75138"/>
    <w:multiLevelType w:val="multilevel"/>
    <w:tmpl w:val="09C75138"/>
    <w:lvl w:ilvl="0" w:tentative="0">
      <w:start w:val="2"/>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880C7B"/>
    <w:multiLevelType w:val="multilevel"/>
    <w:tmpl w:val="0F880C7B"/>
    <w:lvl w:ilvl="0" w:tentative="0">
      <w:start w:val="1"/>
      <w:numFmt w:val="decimal"/>
      <w:pStyle w:val="417"/>
      <w:lvlText w:val="%1."/>
      <w:lvlJc w:val="left"/>
      <w:pPr>
        <w:tabs>
          <w:tab w:val="left" w:pos="567"/>
        </w:tabs>
        <w:ind w:left="567" w:hanging="567"/>
      </w:pPr>
      <w:rPr>
        <w:rFonts w:hint="default" w:ascii="Arial" w:hAnsi="Arial" w:eastAsia="宋体"/>
        <w:b/>
        <w:i w:val="0"/>
        <w:sz w:val="21"/>
      </w:rPr>
    </w:lvl>
    <w:lvl w:ilvl="1" w:tentative="0">
      <w:start w:val="1"/>
      <w:numFmt w:val="decimal"/>
      <w:pStyle w:val="404"/>
      <w:lvlText w:val="%1.%2"/>
      <w:lvlJc w:val="left"/>
      <w:pPr>
        <w:tabs>
          <w:tab w:val="left" w:pos="567"/>
        </w:tabs>
        <w:ind w:left="567" w:hanging="567"/>
      </w:pPr>
      <w:rPr>
        <w:rFonts w:hint="default" w:ascii="Arial" w:hAnsi="Arial" w:eastAsia="宋体"/>
        <w:b w:val="0"/>
        <w:i w:val="0"/>
        <w:sz w:val="21"/>
      </w:rPr>
    </w:lvl>
    <w:lvl w:ilvl="2" w:tentative="0">
      <w:start w:val="1"/>
      <w:numFmt w:val="decimal"/>
      <w:pStyle w:val="284"/>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3">
    <w:nsid w:val="26007FCA"/>
    <w:multiLevelType w:val="multilevel"/>
    <w:tmpl w:val="26007FCA"/>
    <w:lvl w:ilvl="0" w:tentative="0">
      <w:start w:val="1"/>
      <w:numFmt w:val="decimal"/>
      <w:pStyle w:val="4"/>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pStyle w:val="7"/>
      <w:lvlText w:val="%1.%2.%3.%4"/>
      <w:lvlJc w:val="left"/>
      <w:pPr>
        <w:tabs>
          <w:tab w:val="left" w:pos="1440"/>
        </w:tabs>
        <w:ind w:left="1000" w:hanging="1000"/>
      </w:pPr>
      <w:rPr>
        <w:rFonts w:hint="eastAsia"/>
      </w:rPr>
    </w:lvl>
    <w:lvl w:ilvl="4" w:tentative="0">
      <w:start w:val="1"/>
      <w:numFmt w:val="decimal"/>
      <w:pStyle w:val="9"/>
      <w:lvlText w:val="%1.%2.%3.%4.%5"/>
      <w:lvlJc w:val="left"/>
      <w:pPr>
        <w:tabs>
          <w:tab w:val="left" w:pos="1008"/>
        </w:tabs>
        <w:ind w:left="1008" w:hanging="1008"/>
      </w:pPr>
      <w:rPr>
        <w:rFonts w:hint="eastAsia"/>
      </w:rPr>
    </w:lvl>
    <w:lvl w:ilvl="5" w:tentative="0">
      <w:start w:val="1"/>
      <w:numFmt w:val="decimal"/>
      <w:pStyle w:val="10"/>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4">
    <w:nsid w:val="30CC39FB"/>
    <w:multiLevelType w:val="multilevel"/>
    <w:tmpl w:val="30CC39FB"/>
    <w:lvl w:ilvl="0" w:tentative="0">
      <w:start w:val="1"/>
      <w:numFmt w:val="bullet"/>
      <w:pStyle w:val="470"/>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6">
    <w:nsid w:val="54086DE3"/>
    <w:multiLevelType w:val="multilevel"/>
    <w:tmpl w:val="54086DE3"/>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7">
    <w:nsid w:val="583C3748"/>
    <w:multiLevelType w:val="multilevel"/>
    <w:tmpl w:val="583C3748"/>
    <w:lvl w:ilvl="0" w:tentative="0">
      <w:start w:val="1"/>
      <w:numFmt w:val="decimal"/>
      <w:lvlText w:val="%1."/>
      <w:lvlJc w:val="left"/>
      <w:pPr>
        <w:tabs>
          <w:tab w:val="left" w:pos="720"/>
        </w:tabs>
        <w:ind w:left="0" w:firstLine="0"/>
      </w:pPr>
      <w:rPr>
        <w:rFonts w:hint="eastAsia"/>
      </w:rPr>
    </w:lvl>
    <w:lvl w:ilvl="1" w:tentative="0">
      <w:start w:val="1"/>
      <w:numFmt w:val="decimal"/>
      <w:pStyle w:val="380"/>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none"/>
      <w:lvlText w:val=""/>
      <w:lvlJc w:val="left"/>
      <w:pPr>
        <w:tabs>
          <w:tab w:val="left" w:pos="3826"/>
        </w:tabs>
        <w:ind w:left="3826" w:hanging="1700"/>
      </w:pPr>
      <w:rPr>
        <w:rFonts w:hint="eastAsia"/>
      </w:rPr>
    </w:lvl>
  </w:abstractNum>
  <w:abstractNum w:abstractNumId="8">
    <w:nsid w:val="7BF2C1A8"/>
    <w:multiLevelType w:val="singleLevel"/>
    <w:tmpl w:val="7BF2C1A8"/>
    <w:lvl w:ilvl="0" w:tentative="0">
      <w:start w:val="5"/>
      <w:numFmt w:val="decimal"/>
      <w:suff w:val="nothing"/>
      <w:lvlText w:val="%1、"/>
      <w:lvlJc w:val="left"/>
    </w:lvl>
  </w:abstractNum>
  <w:num w:numId="1">
    <w:abstractNumId w:val="3"/>
  </w:num>
  <w:num w:numId="2">
    <w:abstractNumId w:val="2"/>
  </w:num>
  <w:num w:numId="3">
    <w:abstractNumId w:val="7"/>
  </w:num>
  <w:num w:numId="4">
    <w:abstractNumId w:val="4"/>
  </w:num>
  <w:num w:numId="5">
    <w:abstractNumId w:val="0"/>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ZWExYWYwNjBlNjE3YjY0OWNkZTM0ZWUyNmZhYjcifQ=="/>
  </w:docVars>
  <w:rsids>
    <w:rsidRoot w:val="002722CC"/>
    <w:rsid w:val="00027FAA"/>
    <w:rsid w:val="00076384"/>
    <w:rsid w:val="00082B80"/>
    <w:rsid w:val="000B2240"/>
    <w:rsid w:val="000E7B1F"/>
    <w:rsid w:val="00120961"/>
    <w:rsid w:val="00133E89"/>
    <w:rsid w:val="00161C0B"/>
    <w:rsid w:val="00165AAA"/>
    <w:rsid w:val="00192E8D"/>
    <w:rsid w:val="001D7D3C"/>
    <w:rsid w:val="001E4A02"/>
    <w:rsid w:val="001F2F8E"/>
    <w:rsid w:val="002043D9"/>
    <w:rsid w:val="00233669"/>
    <w:rsid w:val="00251D74"/>
    <w:rsid w:val="002722CC"/>
    <w:rsid w:val="002C62F3"/>
    <w:rsid w:val="00393122"/>
    <w:rsid w:val="00397693"/>
    <w:rsid w:val="003A0B39"/>
    <w:rsid w:val="003E2493"/>
    <w:rsid w:val="00432CE4"/>
    <w:rsid w:val="0044278D"/>
    <w:rsid w:val="00474F06"/>
    <w:rsid w:val="004A42BE"/>
    <w:rsid w:val="004A6393"/>
    <w:rsid w:val="004B745A"/>
    <w:rsid w:val="004C39B7"/>
    <w:rsid w:val="004E5C60"/>
    <w:rsid w:val="004E6B30"/>
    <w:rsid w:val="005D2371"/>
    <w:rsid w:val="00641749"/>
    <w:rsid w:val="0065229C"/>
    <w:rsid w:val="006613BA"/>
    <w:rsid w:val="00671EAF"/>
    <w:rsid w:val="00696812"/>
    <w:rsid w:val="006D0669"/>
    <w:rsid w:val="006E7495"/>
    <w:rsid w:val="00733E26"/>
    <w:rsid w:val="00777433"/>
    <w:rsid w:val="007B7965"/>
    <w:rsid w:val="007E2EF7"/>
    <w:rsid w:val="007E4CA5"/>
    <w:rsid w:val="008A6CB2"/>
    <w:rsid w:val="008C3BAE"/>
    <w:rsid w:val="008D0945"/>
    <w:rsid w:val="008F69DA"/>
    <w:rsid w:val="00904CE1"/>
    <w:rsid w:val="00920DFD"/>
    <w:rsid w:val="00926801"/>
    <w:rsid w:val="00935D69"/>
    <w:rsid w:val="009545D0"/>
    <w:rsid w:val="009B52F2"/>
    <w:rsid w:val="009D0EA3"/>
    <w:rsid w:val="009D328B"/>
    <w:rsid w:val="009E4D10"/>
    <w:rsid w:val="00A33D31"/>
    <w:rsid w:val="00B4564D"/>
    <w:rsid w:val="00BC3A1F"/>
    <w:rsid w:val="00BD0380"/>
    <w:rsid w:val="00C2549B"/>
    <w:rsid w:val="00C30E4F"/>
    <w:rsid w:val="00C53ACC"/>
    <w:rsid w:val="00C80860"/>
    <w:rsid w:val="00C81A47"/>
    <w:rsid w:val="00C91450"/>
    <w:rsid w:val="00CA7336"/>
    <w:rsid w:val="00CD5497"/>
    <w:rsid w:val="00CE2099"/>
    <w:rsid w:val="00D24FF0"/>
    <w:rsid w:val="00D41A52"/>
    <w:rsid w:val="00D56667"/>
    <w:rsid w:val="00D72607"/>
    <w:rsid w:val="00D82081"/>
    <w:rsid w:val="00DF5E34"/>
    <w:rsid w:val="00E1208B"/>
    <w:rsid w:val="00E44FAB"/>
    <w:rsid w:val="00E559DC"/>
    <w:rsid w:val="00E564C7"/>
    <w:rsid w:val="00E62540"/>
    <w:rsid w:val="00E736D7"/>
    <w:rsid w:val="00E94363"/>
    <w:rsid w:val="00EA058C"/>
    <w:rsid w:val="00F11C82"/>
    <w:rsid w:val="00F35203"/>
    <w:rsid w:val="00F44AA6"/>
    <w:rsid w:val="00F673B7"/>
    <w:rsid w:val="00F91095"/>
    <w:rsid w:val="00FA5D01"/>
    <w:rsid w:val="01011862"/>
    <w:rsid w:val="0109621E"/>
    <w:rsid w:val="010B77A6"/>
    <w:rsid w:val="01146B37"/>
    <w:rsid w:val="012375FA"/>
    <w:rsid w:val="01255120"/>
    <w:rsid w:val="012A0152"/>
    <w:rsid w:val="012A6BDB"/>
    <w:rsid w:val="012B5BE5"/>
    <w:rsid w:val="012D2227"/>
    <w:rsid w:val="01330EE9"/>
    <w:rsid w:val="013435B5"/>
    <w:rsid w:val="015974C0"/>
    <w:rsid w:val="01597DA4"/>
    <w:rsid w:val="015F1161"/>
    <w:rsid w:val="01635C49"/>
    <w:rsid w:val="01655E65"/>
    <w:rsid w:val="01675739"/>
    <w:rsid w:val="017B11E4"/>
    <w:rsid w:val="01875DDB"/>
    <w:rsid w:val="018763B7"/>
    <w:rsid w:val="019E3FC4"/>
    <w:rsid w:val="019F3991"/>
    <w:rsid w:val="01B10C8F"/>
    <w:rsid w:val="01B25E8C"/>
    <w:rsid w:val="01B91D0C"/>
    <w:rsid w:val="01C34939"/>
    <w:rsid w:val="01C81F50"/>
    <w:rsid w:val="01C901A1"/>
    <w:rsid w:val="01C963F3"/>
    <w:rsid w:val="01D54D98"/>
    <w:rsid w:val="01D95F0B"/>
    <w:rsid w:val="01DD10F2"/>
    <w:rsid w:val="01EE19B6"/>
    <w:rsid w:val="01F114A6"/>
    <w:rsid w:val="02005B8D"/>
    <w:rsid w:val="020411DA"/>
    <w:rsid w:val="02056D00"/>
    <w:rsid w:val="021A09FD"/>
    <w:rsid w:val="021D693B"/>
    <w:rsid w:val="021F4265"/>
    <w:rsid w:val="021F6013"/>
    <w:rsid w:val="022655F4"/>
    <w:rsid w:val="02344772"/>
    <w:rsid w:val="02624152"/>
    <w:rsid w:val="026C01BE"/>
    <w:rsid w:val="026C4FEC"/>
    <w:rsid w:val="0273010D"/>
    <w:rsid w:val="027C3466"/>
    <w:rsid w:val="02830FB3"/>
    <w:rsid w:val="02922C89"/>
    <w:rsid w:val="0293255D"/>
    <w:rsid w:val="029D6434"/>
    <w:rsid w:val="02A209F3"/>
    <w:rsid w:val="02B924A5"/>
    <w:rsid w:val="02BB76B3"/>
    <w:rsid w:val="02C7509D"/>
    <w:rsid w:val="02D432A2"/>
    <w:rsid w:val="02DC1B8E"/>
    <w:rsid w:val="02E828A9"/>
    <w:rsid w:val="03031491"/>
    <w:rsid w:val="030516AD"/>
    <w:rsid w:val="0329123B"/>
    <w:rsid w:val="032B074D"/>
    <w:rsid w:val="0330745F"/>
    <w:rsid w:val="03355182"/>
    <w:rsid w:val="03391F86"/>
    <w:rsid w:val="033F4B91"/>
    <w:rsid w:val="035643C7"/>
    <w:rsid w:val="0361440A"/>
    <w:rsid w:val="03740A77"/>
    <w:rsid w:val="0378070D"/>
    <w:rsid w:val="03814EDA"/>
    <w:rsid w:val="038872EA"/>
    <w:rsid w:val="038C6403"/>
    <w:rsid w:val="03971012"/>
    <w:rsid w:val="039929F2"/>
    <w:rsid w:val="03992B05"/>
    <w:rsid w:val="03A543C5"/>
    <w:rsid w:val="03A75912"/>
    <w:rsid w:val="03B75764"/>
    <w:rsid w:val="03BC7892"/>
    <w:rsid w:val="03C03826"/>
    <w:rsid w:val="03C36E72"/>
    <w:rsid w:val="03C52BEB"/>
    <w:rsid w:val="03C926DB"/>
    <w:rsid w:val="03CC30D6"/>
    <w:rsid w:val="03D270B5"/>
    <w:rsid w:val="03E90D63"/>
    <w:rsid w:val="04003C23"/>
    <w:rsid w:val="040A4AA1"/>
    <w:rsid w:val="040C0819"/>
    <w:rsid w:val="0411618A"/>
    <w:rsid w:val="04180F6C"/>
    <w:rsid w:val="04221DEB"/>
    <w:rsid w:val="04352410"/>
    <w:rsid w:val="0442423B"/>
    <w:rsid w:val="044452A6"/>
    <w:rsid w:val="04550EC6"/>
    <w:rsid w:val="045651BC"/>
    <w:rsid w:val="04584026"/>
    <w:rsid w:val="045E3909"/>
    <w:rsid w:val="0475016D"/>
    <w:rsid w:val="047508F4"/>
    <w:rsid w:val="04795606"/>
    <w:rsid w:val="047F2D99"/>
    <w:rsid w:val="04802553"/>
    <w:rsid w:val="04AB1DE0"/>
    <w:rsid w:val="04C17856"/>
    <w:rsid w:val="04C2626F"/>
    <w:rsid w:val="04CF3804"/>
    <w:rsid w:val="04CF601E"/>
    <w:rsid w:val="04D035F5"/>
    <w:rsid w:val="04DC5FB6"/>
    <w:rsid w:val="04E56A89"/>
    <w:rsid w:val="04ED41A7"/>
    <w:rsid w:val="04EE0598"/>
    <w:rsid w:val="04EF58C7"/>
    <w:rsid w:val="0506194B"/>
    <w:rsid w:val="05065269"/>
    <w:rsid w:val="05096B07"/>
    <w:rsid w:val="050B2FCD"/>
    <w:rsid w:val="05122525"/>
    <w:rsid w:val="053C0C8A"/>
    <w:rsid w:val="053F077B"/>
    <w:rsid w:val="05421D99"/>
    <w:rsid w:val="05460337"/>
    <w:rsid w:val="0548762F"/>
    <w:rsid w:val="055860A1"/>
    <w:rsid w:val="055A4D20"/>
    <w:rsid w:val="056F3947"/>
    <w:rsid w:val="05793480"/>
    <w:rsid w:val="057B40F0"/>
    <w:rsid w:val="057D3F3D"/>
    <w:rsid w:val="057D647D"/>
    <w:rsid w:val="057E5747"/>
    <w:rsid w:val="05810D93"/>
    <w:rsid w:val="059565ED"/>
    <w:rsid w:val="059C797B"/>
    <w:rsid w:val="05A7587F"/>
    <w:rsid w:val="05AF5900"/>
    <w:rsid w:val="05B922DB"/>
    <w:rsid w:val="05BB24F7"/>
    <w:rsid w:val="05BD4939"/>
    <w:rsid w:val="05C76307"/>
    <w:rsid w:val="05CB7AF6"/>
    <w:rsid w:val="05EC044D"/>
    <w:rsid w:val="05F45A09"/>
    <w:rsid w:val="05FA66AE"/>
    <w:rsid w:val="060E6ACB"/>
    <w:rsid w:val="060F45F1"/>
    <w:rsid w:val="06110369"/>
    <w:rsid w:val="061439B5"/>
    <w:rsid w:val="061C410F"/>
    <w:rsid w:val="061F6062"/>
    <w:rsid w:val="06222DA9"/>
    <w:rsid w:val="06255BC2"/>
    <w:rsid w:val="0629490A"/>
    <w:rsid w:val="064222D0"/>
    <w:rsid w:val="06484DAE"/>
    <w:rsid w:val="065024D2"/>
    <w:rsid w:val="066466EB"/>
    <w:rsid w:val="066A7A79"/>
    <w:rsid w:val="066C559F"/>
    <w:rsid w:val="066E57BB"/>
    <w:rsid w:val="068C3E93"/>
    <w:rsid w:val="06916D28"/>
    <w:rsid w:val="06982838"/>
    <w:rsid w:val="069F3BC7"/>
    <w:rsid w:val="06A653C5"/>
    <w:rsid w:val="06AB60C8"/>
    <w:rsid w:val="06B64A6C"/>
    <w:rsid w:val="06C947A0"/>
    <w:rsid w:val="06CE1DB6"/>
    <w:rsid w:val="06DA69AD"/>
    <w:rsid w:val="06E10B4A"/>
    <w:rsid w:val="06E31D05"/>
    <w:rsid w:val="07013F3A"/>
    <w:rsid w:val="070D463A"/>
    <w:rsid w:val="07182B41"/>
    <w:rsid w:val="071A149F"/>
    <w:rsid w:val="07247C28"/>
    <w:rsid w:val="0726334E"/>
    <w:rsid w:val="07270092"/>
    <w:rsid w:val="073360BD"/>
    <w:rsid w:val="073A744C"/>
    <w:rsid w:val="075646F9"/>
    <w:rsid w:val="07593D76"/>
    <w:rsid w:val="07612C2A"/>
    <w:rsid w:val="076F297C"/>
    <w:rsid w:val="076F41ED"/>
    <w:rsid w:val="07724619"/>
    <w:rsid w:val="077A1523"/>
    <w:rsid w:val="078B414B"/>
    <w:rsid w:val="079B25E0"/>
    <w:rsid w:val="07B220F3"/>
    <w:rsid w:val="07B94814"/>
    <w:rsid w:val="07D72EEC"/>
    <w:rsid w:val="07DC4D3B"/>
    <w:rsid w:val="07DD32FC"/>
    <w:rsid w:val="07EE7768"/>
    <w:rsid w:val="07FB6BDB"/>
    <w:rsid w:val="080C703A"/>
    <w:rsid w:val="080F2686"/>
    <w:rsid w:val="08136025"/>
    <w:rsid w:val="08191757"/>
    <w:rsid w:val="08233BB6"/>
    <w:rsid w:val="082E7BC4"/>
    <w:rsid w:val="08452C11"/>
    <w:rsid w:val="084E1401"/>
    <w:rsid w:val="0861193F"/>
    <w:rsid w:val="08774989"/>
    <w:rsid w:val="0883579E"/>
    <w:rsid w:val="088C3CD7"/>
    <w:rsid w:val="089941D9"/>
    <w:rsid w:val="08B82D1E"/>
    <w:rsid w:val="08BD673D"/>
    <w:rsid w:val="08C4337D"/>
    <w:rsid w:val="08D37FD3"/>
    <w:rsid w:val="08E43B13"/>
    <w:rsid w:val="08E541A1"/>
    <w:rsid w:val="08F57ACE"/>
    <w:rsid w:val="08FB0775"/>
    <w:rsid w:val="08FC70AE"/>
    <w:rsid w:val="08FD0D1B"/>
    <w:rsid w:val="09170D1D"/>
    <w:rsid w:val="091A5787"/>
    <w:rsid w:val="092B7DA5"/>
    <w:rsid w:val="092E4D8E"/>
    <w:rsid w:val="09344CCE"/>
    <w:rsid w:val="093C56FD"/>
    <w:rsid w:val="094025CF"/>
    <w:rsid w:val="095C5D9F"/>
    <w:rsid w:val="096771BB"/>
    <w:rsid w:val="096D58B6"/>
    <w:rsid w:val="096E162E"/>
    <w:rsid w:val="09750C0F"/>
    <w:rsid w:val="097D074F"/>
    <w:rsid w:val="098415EF"/>
    <w:rsid w:val="09856746"/>
    <w:rsid w:val="098F1CD1"/>
    <w:rsid w:val="098F33DC"/>
    <w:rsid w:val="099769EC"/>
    <w:rsid w:val="09980B82"/>
    <w:rsid w:val="099866AB"/>
    <w:rsid w:val="099E1F14"/>
    <w:rsid w:val="09A1654A"/>
    <w:rsid w:val="09A81073"/>
    <w:rsid w:val="09B94BC9"/>
    <w:rsid w:val="09BA7D2A"/>
    <w:rsid w:val="09D84143"/>
    <w:rsid w:val="09DB5E57"/>
    <w:rsid w:val="09DE67B4"/>
    <w:rsid w:val="09E0077E"/>
    <w:rsid w:val="09E87633"/>
    <w:rsid w:val="09EB2C7F"/>
    <w:rsid w:val="09F71624"/>
    <w:rsid w:val="0A097E52"/>
    <w:rsid w:val="0A0F4BBF"/>
    <w:rsid w:val="0A23066B"/>
    <w:rsid w:val="0A342878"/>
    <w:rsid w:val="0A350DC2"/>
    <w:rsid w:val="0A382368"/>
    <w:rsid w:val="0A414341"/>
    <w:rsid w:val="0A434869"/>
    <w:rsid w:val="0A446D98"/>
    <w:rsid w:val="0A4800D1"/>
    <w:rsid w:val="0A486323"/>
    <w:rsid w:val="0A5371A2"/>
    <w:rsid w:val="0A586566"/>
    <w:rsid w:val="0A5F5B47"/>
    <w:rsid w:val="0A670558"/>
    <w:rsid w:val="0A6D65F6"/>
    <w:rsid w:val="0A805ABD"/>
    <w:rsid w:val="0A8247F9"/>
    <w:rsid w:val="0A83451A"/>
    <w:rsid w:val="0A856C30"/>
    <w:rsid w:val="0A8E01DA"/>
    <w:rsid w:val="0AB15C77"/>
    <w:rsid w:val="0ACF3FEC"/>
    <w:rsid w:val="0AD55E09"/>
    <w:rsid w:val="0AED4F51"/>
    <w:rsid w:val="0AF56588"/>
    <w:rsid w:val="0B020A35"/>
    <w:rsid w:val="0B05212B"/>
    <w:rsid w:val="0B095AB3"/>
    <w:rsid w:val="0B0A4D29"/>
    <w:rsid w:val="0B1511A2"/>
    <w:rsid w:val="0B1B1342"/>
    <w:rsid w:val="0B226B74"/>
    <w:rsid w:val="0B2D79F3"/>
    <w:rsid w:val="0B4B427A"/>
    <w:rsid w:val="0B606009"/>
    <w:rsid w:val="0B666A61"/>
    <w:rsid w:val="0B6D5FDE"/>
    <w:rsid w:val="0B7E024F"/>
    <w:rsid w:val="0B7E718C"/>
    <w:rsid w:val="0B941820"/>
    <w:rsid w:val="0B984950"/>
    <w:rsid w:val="0BAA1044"/>
    <w:rsid w:val="0BB515DA"/>
    <w:rsid w:val="0BB67477"/>
    <w:rsid w:val="0BC32105"/>
    <w:rsid w:val="0BC84F85"/>
    <w:rsid w:val="0BCB2D68"/>
    <w:rsid w:val="0BDB744F"/>
    <w:rsid w:val="0BE5207C"/>
    <w:rsid w:val="0BE56552"/>
    <w:rsid w:val="0BE91440"/>
    <w:rsid w:val="0BEC054D"/>
    <w:rsid w:val="0BF42F39"/>
    <w:rsid w:val="0C076851"/>
    <w:rsid w:val="0C087B18"/>
    <w:rsid w:val="0C215F98"/>
    <w:rsid w:val="0C252478"/>
    <w:rsid w:val="0C2B1A59"/>
    <w:rsid w:val="0C2D757F"/>
    <w:rsid w:val="0C317E2D"/>
    <w:rsid w:val="0C367343"/>
    <w:rsid w:val="0C4D5E73"/>
    <w:rsid w:val="0C605BA6"/>
    <w:rsid w:val="0C670CE3"/>
    <w:rsid w:val="0C6C00A7"/>
    <w:rsid w:val="0C6D2071"/>
    <w:rsid w:val="0C6F5DE9"/>
    <w:rsid w:val="0C6F6E83"/>
    <w:rsid w:val="0C75623D"/>
    <w:rsid w:val="0C8C24F7"/>
    <w:rsid w:val="0C8F476B"/>
    <w:rsid w:val="0C994C14"/>
    <w:rsid w:val="0C9B6BDE"/>
    <w:rsid w:val="0CBD4DA7"/>
    <w:rsid w:val="0CCB4ED4"/>
    <w:rsid w:val="0CE92E27"/>
    <w:rsid w:val="0CF02874"/>
    <w:rsid w:val="0CF06F2A"/>
    <w:rsid w:val="0CF10972"/>
    <w:rsid w:val="0CF62067"/>
    <w:rsid w:val="0D132EA7"/>
    <w:rsid w:val="0D197B03"/>
    <w:rsid w:val="0D1D5845"/>
    <w:rsid w:val="0D212B76"/>
    <w:rsid w:val="0D2171DE"/>
    <w:rsid w:val="0D240982"/>
    <w:rsid w:val="0D330BC5"/>
    <w:rsid w:val="0D3E3AC5"/>
    <w:rsid w:val="0D423D7B"/>
    <w:rsid w:val="0D447276"/>
    <w:rsid w:val="0D527628"/>
    <w:rsid w:val="0D5F19BA"/>
    <w:rsid w:val="0D6B035F"/>
    <w:rsid w:val="0D6C40D7"/>
    <w:rsid w:val="0D705130"/>
    <w:rsid w:val="0D7D7D32"/>
    <w:rsid w:val="0D7F3E0A"/>
    <w:rsid w:val="0D890019"/>
    <w:rsid w:val="0DAB50AF"/>
    <w:rsid w:val="0DAF0526"/>
    <w:rsid w:val="0DBF4554"/>
    <w:rsid w:val="0DC259A4"/>
    <w:rsid w:val="0DD2616E"/>
    <w:rsid w:val="0DD31A38"/>
    <w:rsid w:val="0DDF0D4D"/>
    <w:rsid w:val="0DEE2D3E"/>
    <w:rsid w:val="0DF04D08"/>
    <w:rsid w:val="0E0367E9"/>
    <w:rsid w:val="0E0F33E0"/>
    <w:rsid w:val="0E1C51DE"/>
    <w:rsid w:val="0E1C5AFD"/>
    <w:rsid w:val="0E1C7FA0"/>
    <w:rsid w:val="0E2B5D40"/>
    <w:rsid w:val="0E2F75DE"/>
    <w:rsid w:val="0E352D1F"/>
    <w:rsid w:val="0E4B1576"/>
    <w:rsid w:val="0E574D87"/>
    <w:rsid w:val="0E5E6115"/>
    <w:rsid w:val="0E615553"/>
    <w:rsid w:val="0E617350"/>
    <w:rsid w:val="0E67295A"/>
    <w:rsid w:val="0E6B65A7"/>
    <w:rsid w:val="0E903DF5"/>
    <w:rsid w:val="0E947D89"/>
    <w:rsid w:val="0EA172FD"/>
    <w:rsid w:val="0EA7675F"/>
    <w:rsid w:val="0EB16245"/>
    <w:rsid w:val="0EB67D00"/>
    <w:rsid w:val="0EB70F20"/>
    <w:rsid w:val="0EBD444E"/>
    <w:rsid w:val="0EBE609A"/>
    <w:rsid w:val="0EBF1B1A"/>
    <w:rsid w:val="0EC43BEF"/>
    <w:rsid w:val="0ECC12D1"/>
    <w:rsid w:val="0EDB28B1"/>
    <w:rsid w:val="0EEE7499"/>
    <w:rsid w:val="0F072309"/>
    <w:rsid w:val="0F0D5446"/>
    <w:rsid w:val="0F114F36"/>
    <w:rsid w:val="0F130CAE"/>
    <w:rsid w:val="0F1A028E"/>
    <w:rsid w:val="0F2864A1"/>
    <w:rsid w:val="0F506F7B"/>
    <w:rsid w:val="0F525316"/>
    <w:rsid w:val="0F5B2655"/>
    <w:rsid w:val="0F5E4B5A"/>
    <w:rsid w:val="0F6F0ECB"/>
    <w:rsid w:val="0F811A2F"/>
    <w:rsid w:val="0F86704A"/>
    <w:rsid w:val="0F891C63"/>
    <w:rsid w:val="0F89632E"/>
    <w:rsid w:val="0F8B4CE8"/>
    <w:rsid w:val="0F931BE3"/>
    <w:rsid w:val="0F956327"/>
    <w:rsid w:val="0F9A6432"/>
    <w:rsid w:val="0F9F19FE"/>
    <w:rsid w:val="0FAE09D7"/>
    <w:rsid w:val="0FB12275"/>
    <w:rsid w:val="0FC15AC7"/>
    <w:rsid w:val="0FCE72CB"/>
    <w:rsid w:val="0FD37D00"/>
    <w:rsid w:val="0FD52407"/>
    <w:rsid w:val="0FD77F2D"/>
    <w:rsid w:val="0FE95EB3"/>
    <w:rsid w:val="0FEE7FF8"/>
    <w:rsid w:val="0FF21D8D"/>
    <w:rsid w:val="0FF50940"/>
    <w:rsid w:val="0FF96BD2"/>
    <w:rsid w:val="0FFF1232"/>
    <w:rsid w:val="10040540"/>
    <w:rsid w:val="100B2FCC"/>
    <w:rsid w:val="101A2AA1"/>
    <w:rsid w:val="1025513D"/>
    <w:rsid w:val="10264A11"/>
    <w:rsid w:val="103A04BC"/>
    <w:rsid w:val="1045758D"/>
    <w:rsid w:val="104F6A24"/>
    <w:rsid w:val="10576C46"/>
    <w:rsid w:val="106169ED"/>
    <w:rsid w:val="10741C20"/>
    <w:rsid w:val="107F6DB2"/>
    <w:rsid w:val="10861954"/>
    <w:rsid w:val="1090632E"/>
    <w:rsid w:val="1096176D"/>
    <w:rsid w:val="10C01266"/>
    <w:rsid w:val="10C20BDE"/>
    <w:rsid w:val="10CA7A92"/>
    <w:rsid w:val="10CF32FA"/>
    <w:rsid w:val="10D56B10"/>
    <w:rsid w:val="10DD77C5"/>
    <w:rsid w:val="10E2302E"/>
    <w:rsid w:val="10EF574B"/>
    <w:rsid w:val="10F3513F"/>
    <w:rsid w:val="10FD7E68"/>
    <w:rsid w:val="10FE0BC8"/>
    <w:rsid w:val="1102722C"/>
    <w:rsid w:val="110A60E1"/>
    <w:rsid w:val="11140D0D"/>
    <w:rsid w:val="111B3E3E"/>
    <w:rsid w:val="111B6540"/>
    <w:rsid w:val="111F2774"/>
    <w:rsid w:val="11230F50"/>
    <w:rsid w:val="11274EE5"/>
    <w:rsid w:val="11282DBC"/>
    <w:rsid w:val="112F3D99"/>
    <w:rsid w:val="113D447D"/>
    <w:rsid w:val="11423ACC"/>
    <w:rsid w:val="114E421F"/>
    <w:rsid w:val="116E2B13"/>
    <w:rsid w:val="11847C41"/>
    <w:rsid w:val="118D7ABA"/>
    <w:rsid w:val="1199172E"/>
    <w:rsid w:val="11AB54A4"/>
    <w:rsid w:val="11AC7198"/>
    <w:rsid w:val="11B00A36"/>
    <w:rsid w:val="11B60016"/>
    <w:rsid w:val="11BB73DB"/>
    <w:rsid w:val="11CF4277"/>
    <w:rsid w:val="11D01B93"/>
    <w:rsid w:val="11D30BC8"/>
    <w:rsid w:val="11FD6908"/>
    <w:rsid w:val="121126C3"/>
    <w:rsid w:val="12130FC5"/>
    <w:rsid w:val="121C60CC"/>
    <w:rsid w:val="121D56FE"/>
    <w:rsid w:val="12212579"/>
    <w:rsid w:val="122B27B2"/>
    <w:rsid w:val="124701A2"/>
    <w:rsid w:val="124A57A9"/>
    <w:rsid w:val="1256352D"/>
    <w:rsid w:val="125A39C0"/>
    <w:rsid w:val="125A4A36"/>
    <w:rsid w:val="12631F4C"/>
    <w:rsid w:val="12640F15"/>
    <w:rsid w:val="12744159"/>
    <w:rsid w:val="12751C80"/>
    <w:rsid w:val="127B449C"/>
    <w:rsid w:val="1283614B"/>
    <w:rsid w:val="1288550F"/>
    <w:rsid w:val="128F377D"/>
    <w:rsid w:val="12981050"/>
    <w:rsid w:val="129C0FBA"/>
    <w:rsid w:val="12A4511E"/>
    <w:rsid w:val="12AD766B"/>
    <w:rsid w:val="12B53903"/>
    <w:rsid w:val="12B63DEF"/>
    <w:rsid w:val="12B65A3D"/>
    <w:rsid w:val="12BA02E0"/>
    <w:rsid w:val="12BC194A"/>
    <w:rsid w:val="12D40754"/>
    <w:rsid w:val="12EC1F42"/>
    <w:rsid w:val="12EF558E"/>
    <w:rsid w:val="12F40DF6"/>
    <w:rsid w:val="12F45FAF"/>
    <w:rsid w:val="13010D20"/>
    <w:rsid w:val="130848BE"/>
    <w:rsid w:val="130C4747"/>
    <w:rsid w:val="130D609E"/>
    <w:rsid w:val="13143247"/>
    <w:rsid w:val="131E3D02"/>
    <w:rsid w:val="132552F2"/>
    <w:rsid w:val="132A5091"/>
    <w:rsid w:val="132F0E9E"/>
    <w:rsid w:val="13361389"/>
    <w:rsid w:val="133B1DF8"/>
    <w:rsid w:val="133B22D4"/>
    <w:rsid w:val="13424D06"/>
    <w:rsid w:val="135718FD"/>
    <w:rsid w:val="135D4BEE"/>
    <w:rsid w:val="137114ED"/>
    <w:rsid w:val="13795B28"/>
    <w:rsid w:val="137D703E"/>
    <w:rsid w:val="13882C8B"/>
    <w:rsid w:val="13904FC3"/>
    <w:rsid w:val="1393060F"/>
    <w:rsid w:val="13932DC5"/>
    <w:rsid w:val="13954387"/>
    <w:rsid w:val="139B5716"/>
    <w:rsid w:val="139C49F3"/>
    <w:rsid w:val="13A22600"/>
    <w:rsid w:val="13BC5DB8"/>
    <w:rsid w:val="13BD38DE"/>
    <w:rsid w:val="13BD743A"/>
    <w:rsid w:val="13BF7656"/>
    <w:rsid w:val="13CA0148"/>
    <w:rsid w:val="13DD188A"/>
    <w:rsid w:val="13E26013"/>
    <w:rsid w:val="13EE5846"/>
    <w:rsid w:val="14074B59"/>
    <w:rsid w:val="140C48AA"/>
    <w:rsid w:val="14180B15"/>
    <w:rsid w:val="143C0CA7"/>
    <w:rsid w:val="144731A8"/>
    <w:rsid w:val="14474193"/>
    <w:rsid w:val="144F0ACC"/>
    <w:rsid w:val="14590A26"/>
    <w:rsid w:val="145C30F7"/>
    <w:rsid w:val="1461426A"/>
    <w:rsid w:val="146E4BD8"/>
    <w:rsid w:val="146E6986"/>
    <w:rsid w:val="14726477"/>
    <w:rsid w:val="14860174"/>
    <w:rsid w:val="148663D5"/>
    <w:rsid w:val="148B12E6"/>
    <w:rsid w:val="149363ED"/>
    <w:rsid w:val="149B5A9C"/>
    <w:rsid w:val="149F4D92"/>
    <w:rsid w:val="14B170DC"/>
    <w:rsid w:val="14B468BF"/>
    <w:rsid w:val="14B7657F"/>
    <w:rsid w:val="14B90C4A"/>
    <w:rsid w:val="14CD7B51"/>
    <w:rsid w:val="14D61D5E"/>
    <w:rsid w:val="14E153AA"/>
    <w:rsid w:val="14E626BC"/>
    <w:rsid w:val="14FD4CC7"/>
    <w:rsid w:val="150238D2"/>
    <w:rsid w:val="150366EE"/>
    <w:rsid w:val="15086DDB"/>
    <w:rsid w:val="150E639E"/>
    <w:rsid w:val="152321DE"/>
    <w:rsid w:val="15280A08"/>
    <w:rsid w:val="1534372C"/>
    <w:rsid w:val="153656F6"/>
    <w:rsid w:val="1546345F"/>
    <w:rsid w:val="154E5766"/>
    <w:rsid w:val="15505BF1"/>
    <w:rsid w:val="15556A07"/>
    <w:rsid w:val="15673B02"/>
    <w:rsid w:val="156E5D26"/>
    <w:rsid w:val="15793835"/>
    <w:rsid w:val="157C26D8"/>
    <w:rsid w:val="1585667E"/>
    <w:rsid w:val="159468C1"/>
    <w:rsid w:val="159638F2"/>
    <w:rsid w:val="15A07014"/>
    <w:rsid w:val="15B4516A"/>
    <w:rsid w:val="15BD469A"/>
    <w:rsid w:val="15C13D79"/>
    <w:rsid w:val="15CA001E"/>
    <w:rsid w:val="15CC1BB7"/>
    <w:rsid w:val="15CD7302"/>
    <w:rsid w:val="15DA4F00"/>
    <w:rsid w:val="15F35395"/>
    <w:rsid w:val="15FA6724"/>
    <w:rsid w:val="15FD4466"/>
    <w:rsid w:val="160C28FB"/>
    <w:rsid w:val="16104199"/>
    <w:rsid w:val="161440C8"/>
    <w:rsid w:val="16216458"/>
    <w:rsid w:val="162639BD"/>
    <w:rsid w:val="162B3F6B"/>
    <w:rsid w:val="162E2871"/>
    <w:rsid w:val="16303B49"/>
    <w:rsid w:val="163E5074"/>
    <w:rsid w:val="163F0D1C"/>
    <w:rsid w:val="16427728"/>
    <w:rsid w:val="16440336"/>
    <w:rsid w:val="164912A9"/>
    <w:rsid w:val="16504596"/>
    <w:rsid w:val="1651030E"/>
    <w:rsid w:val="165C118C"/>
    <w:rsid w:val="16655F19"/>
    <w:rsid w:val="167377FF"/>
    <w:rsid w:val="167A5AB7"/>
    <w:rsid w:val="167D14CF"/>
    <w:rsid w:val="167E5CBD"/>
    <w:rsid w:val="167F30CD"/>
    <w:rsid w:val="16866209"/>
    <w:rsid w:val="16895CFA"/>
    <w:rsid w:val="168C371D"/>
    <w:rsid w:val="168D220D"/>
    <w:rsid w:val="16937FE0"/>
    <w:rsid w:val="169A1CB5"/>
    <w:rsid w:val="169C3C7F"/>
    <w:rsid w:val="16AB2114"/>
    <w:rsid w:val="16AB3EC2"/>
    <w:rsid w:val="16C07CB7"/>
    <w:rsid w:val="16C136E5"/>
    <w:rsid w:val="16C44F84"/>
    <w:rsid w:val="16C6456E"/>
    <w:rsid w:val="16C94348"/>
    <w:rsid w:val="16CB6312"/>
    <w:rsid w:val="16E66CA8"/>
    <w:rsid w:val="16F07B27"/>
    <w:rsid w:val="16F2389F"/>
    <w:rsid w:val="16F46EE5"/>
    <w:rsid w:val="16F72F62"/>
    <w:rsid w:val="16FF598D"/>
    <w:rsid w:val="170535D2"/>
    <w:rsid w:val="170665BD"/>
    <w:rsid w:val="170A6E3A"/>
    <w:rsid w:val="17126196"/>
    <w:rsid w:val="17304DE9"/>
    <w:rsid w:val="17365E81"/>
    <w:rsid w:val="173B3498"/>
    <w:rsid w:val="173C53C2"/>
    <w:rsid w:val="17463220"/>
    <w:rsid w:val="174D31CB"/>
    <w:rsid w:val="174E016A"/>
    <w:rsid w:val="17795D6E"/>
    <w:rsid w:val="17815779"/>
    <w:rsid w:val="1783642F"/>
    <w:rsid w:val="17882A2E"/>
    <w:rsid w:val="17884203"/>
    <w:rsid w:val="17967BF3"/>
    <w:rsid w:val="17A74689"/>
    <w:rsid w:val="17A821AF"/>
    <w:rsid w:val="17B40B54"/>
    <w:rsid w:val="17C978F8"/>
    <w:rsid w:val="17D411F6"/>
    <w:rsid w:val="17D66D1D"/>
    <w:rsid w:val="17DB2585"/>
    <w:rsid w:val="17DB4333"/>
    <w:rsid w:val="17DD454F"/>
    <w:rsid w:val="17E4768B"/>
    <w:rsid w:val="17E82470"/>
    <w:rsid w:val="17EA0A1A"/>
    <w:rsid w:val="17EF2BC9"/>
    <w:rsid w:val="17F57588"/>
    <w:rsid w:val="17FF6273"/>
    <w:rsid w:val="180D2B4D"/>
    <w:rsid w:val="180F222F"/>
    <w:rsid w:val="180F402E"/>
    <w:rsid w:val="1811508E"/>
    <w:rsid w:val="18192D93"/>
    <w:rsid w:val="181D0DEF"/>
    <w:rsid w:val="18335F1D"/>
    <w:rsid w:val="18365A0D"/>
    <w:rsid w:val="18381785"/>
    <w:rsid w:val="183D0B4A"/>
    <w:rsid w:val="184958B6"/>
    <w:rsid w:val="187E4AAB"/>
    <w:rsid w:val="187F1162"/>
    <w:rsid w:val="18A82B9E"/>
    <w:rsid w:val="18AF74F9"/>
    <w:rsid w:val="18BC33A1"/>
    <w:rsid w:val="18D94D16"/>
    <w:rsid w:val="18D9791A"/>
    <w:rsid w:val="18DA45EA"/>
    <w:rsid w:val="18E92A80"/>
    <w:rsid w:val="18EE62E8"/>
    <w:rsid w:val="18F25DD8"/>
    <w:rsid w:val="18F27B86"/>
    <w:rsid w:val="18FE652B"/>
    <w:rsid w:val="19017DC9"/>
    <w:rsid w:val="190569DB"/>
    <w:rsid w:val="1906166C"/>
    <w:rsid w:val="19064F9F"/>
    <w:rsid w:val="19162632"/>
    <w:rsid w:val="19257F5C"/>
    <w:rsid w:val="192937FE"/>
    <w:rsid w:val="192A5572"/>
    <w:rsid w:val="192D6E10"/>
    <w:rsid w:val="19322678"/>
    <w:rsid w:val="19324427"/>
    <w:rsid w:val="19362169"/>
    <w:rsid w:val="194128BC"/>
    <w:rsid w:val="1945415A"/>
    <w:rsid w:val="195C35AA"/>
    <w:rsid w:val="19622BC3"/>
    <w:rsid w:val="196258C4"/>
    <w:rsid w:val="19632832"/>
    <w:rsid w:val="196E3E64"/>
    <w:rsid w:val="197372D2"/>
    <w:rsid w:val="197467ED"/>
    <w:rsid w:val="1986465F"/>
    <w:rsid w:val="198A4786"/>
    <w:rsid w:val="198A6011"/>
    <w:rsid w:val="199926F8"/>
    <w:rsid w:val="199E5F64"/>
    <w:rsid w:val="19AA66B3"/>
    <w:rsid w:val="19C71013"/>
    <w:rsid w:val="19CA465F"/>
    <w:rsid w:val="19CF28CF"/>
    <w:rsid w:val="19D130F8"/>
    <w:rsid w:val="19E82D37"/>
    <w:rsid w:val="19EC0A79"/>
    <w:rsid w:val="19F3005A"/>
    <w:rsid w:val="19FB6F0E"/>
    <w:rsid w:val="1A085187"/>
    <w:rsid w:val="1A176336"/>
    <w:rsid w:val="1A19311C"/>
    <w:rsid w:val="1A1D0C33"/>
    <w:rsid w:val="1A29698F"/>
    <w:rsid w:val="1A2A23EA"/>
    <w:rsid w:val="1A3B730B"/>
    <w:rsid w:val="1A400DC5"/>
    <w:rsid w:val="1A4A39F2"/>
    <w:rsid w:val="1A4B7DD0"/>
    <w:rsid w:val="1A4C71B5"/>
    <w:rsid w:val="1A4E5A90"/>
    <w:rsid w:val="1A59112B"/>
    <w:rsid w:val="1A5F2B2D"/>
    <w:rsid w:val="1A6E1403"/>
    <w:rsid w:val="1A6F273A"/>
    <w:rsid w:val="1A8268CC"/>
    <w:rsid w:val="1A846DA9"/>
    <w:rsid w:val="1A860F2F"/>
    <w:rsid w:val="1A8731A8"/>
    <w:rsid w:val="1A9A2283"/>
    <w:rsid w:val="1AAE4602"/>
    <w:rsid w:val="1ABA37EA"/>
    <w:rsid w:val="1ACC1784"/>
    <w:rsid w:val="1AD6137E"/>
    <w:rsid w:val="1AD618FF"/>
    <w:rsid w:val="1AD627BD"/>
    <w:rsid w:val="1AD87250"/>
    <w:rsid w:val="1ADC0AEE"/>
    <w:rsid w:val="1ADD03C2"/>
    <w:rsid w:val="1ADE09C8"/>
    <w:rsid w:val="1AE003CC"/>
    <w:rsid w:val="1AE96D67"/>
    <w:rsid w:val="1AEB2ADF"/>
    <w:rsid w:val="1AF27AD9"/>
    <w:rsid w:val="1AF547CB"/>
    <w:rsid w:val="1AF907A1"/>
    <w:rsid w:val="1B17311B"/>
    <w:rsid w:val="1B2861FE"/>
    <w:rsid w:val="1B351FAC"/>
    <w:rsid w:val="1B375D24"/>
    <w:rsid w:val="1B434623"/>
    <w:rsid w:val="1B466AA1"/>
    <w:rsid w:val="1B493958"/>
    <w:rsid w:val="1B494D39"/>
    <w:rsid w:val="1B524148"/>
    <w:rsid w:val="1B5E7755"/>
    <w:rsid w:val="1B607696"/>
    <w:rsid w:val="1B6139B0"/>
    <w:rsid w:val="1B723200"/>
    <w:rsid w:val="1B8B42C7"/>
    <w:rsid w:val="1BA64C58"/>
    <w:rsid w:val="1BB235FD"/>
    <w:rsid w:val="1BB80C1C"/>
    <w:rsid w:val="1BC03F6C"/>
    <w:rsid w:val="1BC811E2"/>
    <w:rsid w:val="1BC849BD"/>
    <w:rsid w:val="1BC9428B"/>
    <w:rsid w:val="1BD54FAA"/>
    <w:rsid w:val="1BE50197"/>
    <w:rsid w:val="1BEC0186"/>
    <w:rsid w:val="1C033E58"/>
    <w:rsid w:val="1C055F1B"/>
    <w:rsid w:val="1C073948"/>
    <w:rsid w:val="1C0D1098"/>
    <w:rsid w:val="1C156E1E"/>
    <w:rsid w:val="1C197B20"/>
    <w:rsid w:val="1C204A0A"/>
    <w:rsid w:val="1C35495A"/>
    <w:rsid w:val="1C3E47B6"/>
    <w:rsid w:val="1C427EC4"/>
    <w:rsid w:val="1C5D17BA"/>
    <w:rsid w:val="1C646FED"/>
    <w:rsid w:val="1C6A4D58"/>
    <w:rsid w:val="1C715266"/>
    <w:rsid w:val="1C7865F4"/>
    <w:rsid w:val="1C792C28"/>
    <w:rsid w:val="1C79387F"/>
    <w:rsid w:val="1C793B0F"/>
    <w:rsid w:val="1C8036FB"/>
    <w:rsid w:val="1C844F99"/>
    <w:rsid w:val="1C8E5E18"/>
    <w:rsid w:val="1C911A0B"/>
    <w:rsid w:val="1C913B5A"/>
    <w:rsid w:val="1C967BEB"/>
    <w:rsid w:val="1C9A5369"/>
    <w:rsid w:val="1CA65683"/>
    <w:rsid w:val="1CB3574C"/>
    <w:rsid w:val="1CB81744"/>
    <w:rsid w:val="1CBF4223"/>
    <w:rsid w:val="1CC23D13"/>
    <w:rsid w:val="1CC81271"/>
    <w:rsid w:val="1CCE26B8"/>
    <w:rsid w:val="1CD852E5"/>
    <w:rsid w:val="1CD87093"/>
    <w:rsid w:val="1CE27F12"/>
    <w:rsid w:val="1CE974F2"/>
    <w:rsid w:val="1CFF0DBA"/>
    <w:rsid w:val="1D102CD1"/>
    <w:rsid w:val="1D1914D6"/>
    <w:rsid w:val="1D19384D"/>
    <w:rsid w:val="1D2D73DF"/>
    <w:rsid w:val="1D39040A"/>
    <w:rsid w:val="1D3E783E"/>
    <w:rsid w:val="1D4B1F5B"/>
    <w:rsid w:val="1D4D182F"/>
    <w:rsid w:val="1D5464FF"/>
    <w:rsid w:val="1D5801D4"/>
    <w:rsid w:val="1D7C0366"/>
    <w:rsid w:val="1D880AB9"/>
    <w:rsid w:val="1D890CAA"/>
    <w:rsid w:val="1D8B215F"/>
    <w:rsid w:val="1D927B8A"/>
    <w:rsid w:val="1DA33B45"/>
    <w:rsid w:val="1DA836E9"/>
    <w:rsid w:val="1DAC0C4B"/>
    <w:rsid w:val="1DC01001"/>
    <w:rsid w:val="1DC37D43"/>
    <w:rsid w:val="1DCC31AF"/>
    <w:rsid w:val="1DD3484A"/>
    <w:rsid w:val="1DD51824"/>
    <w:rsid w:val="1DE122C4"/>
    <w:rsid w:val="1DE61A0D"/>
    <w:rsid w:val="1DEF28E6"/>
    <w:rsid w:val="1DF406EF"/>
    <w:rsid w:val="1DFF6F12"/>
    <w:rsid w:val="1E114EBB"/>
    <w:rsid w:val="1E1359D3"/>
    <w:rsid w:val="1E193E07"/>
    <w:rsid w:val="1E1B192D"/>
    <w:rsid w:val="1E1B36DB"/>
    <w:rsid w:val="1E1E6D55"/>
    <w:rsid w:val="1E2307E2"/>
    <w:rsid w:val="1E2874A6"/>
    <w:rsid w:val="1E2A1B70"/>
    <w:rsid w:val="1E2D4181"/>
    <w:rsid w:val="1E3753C9"/>
    <w:rsid w:val="1E4C1AE7"/>
    <w:rsid w:val="1E4C5F8A"/>
    <w:rsid w:val="1E501881"/>
    <w:rsid w:val="1E5170FD"/>
    <w:rsid w:val="1E524672"/>
    <w:rsid w:val="1E537319"/>
    <w:rsid w:val="1E592455"/>
    <w:rsid w:val="1E661761"/>
    <w:rsid w:val="1E6C3F37"/>
    <w:rsid w:val="1E6D0558"/>
    <w:rsid w:val="1E780B2E"/>
    <w:rsid w:val="1E7A1067"/>
    <w:rsid w:val="1E817D33"/>
    <w:rsid w:val="1E8E20FF"/>
    <w:rsid w:val="1EA47B74"/>
    <w:rsid w:val="1EAA2CB1"/>
    <w:rsid w:val="1EB56DC2"/>
    <w:rsid w:val="1EB806B4"/>
    <w:rsid w:val="1EBD7CB7"/>
    <w:rsid w:val="1EBF050A"/>
    <w:rsid w:val="1EC21319"/>
    <w:rsid w:val="1EC274AD"/>
    <w:rsid w:val="1EC71AB5"/>
    <w:rsid w:val="1ECC2C27"/>
    <w:rsid w:val="1ED65854"/>
    <w:rsid w:val="1EDF0BAD"/>
    <w:rsid w:val="1EE241F9"/>
    <w:rsid w:val="1EE461C3"/>
    <w:rsid w:val="1EE6018D"/>
    <w:rsid w:val="1EEB1A70"/>
    <w:rsid w:val="1EEB57A3"/>
    <w:rsid w:val="1EEC5A67"/>
    <w:rsid w:val="1EF300B5"/>
    <w:rsid w:val="1EF70760"/>
    <w:rsid w:val="1EFD1773"/>
    <w:rsid w:val="1EFF490D"/>
    <w:rsid w:val="1F0423C1"/>
    <w:rsid w:val="1F1535AC"/>
    <w:rsid w:val="1F1D7927"/>
    <w:rsid w:val="1F1F544D"/>
    <w:rsid w:val="1F205066"/>
    <w:rsid w:val="1F330EF8"/>
    <w:rsid w:val="1F4D3D68"/>
    <w:rsid w:val="1F4E368A"/>
    <w:rsid w:val="1F5350F7"/>
    <w:rsid w:val="1F5A092F"/>
    <w:rsid w:val="1F6C0CC5"/>
    <w:rsid w:val="1F705CA9"/>
    <w:rsid w:val="1F7C1A84"/>
    <w:rsid w:val="1F842747"/>
    <w:rsid w:val="1F86727A"/>
    <w:rsid w:val="1F876BFC"/>
    <w:rsid w:val="1F9574BD"/>
    <w:rsid w:val="1F9C3559"/>
    <w:rsid w:val="1FAB64E0"/>
    <w:rsid w:val="1FB33769"/>
    <w:rsid w:val="1FB52C01"/>
    <w:rsid w:val="1FB82EF8"/>
    <w:rsid w:val="1FC87ED5"/>
    <w:rsid w:val="1FE12900"/>
    <w:rsid w:val="1FE50445"/>
    <w:rsid w:val="1FE7674F"/>
    <w:rsid w:val="1FFB37C4"/>
    <w:rsid w:val="200010E4"/>
    <w:rsid w:val="20012DA5"/>
    <w:rsid w:val="20144886"/>
    <w:rsid w:val="20181E6A"/>
    <w:rsid w:val="202C5E53"/>
    <w:rsid w:val="204213F3"/>
    <w:rsid w:val="205A075B"/>
    <w:rsid w:val="205B5596"/>
    <w:rsid w:val="20630961"/>
    <w:rsid w:val="206912F6"/>
    <w:rsid w:val="206F35E9"/>
    <w:rsid w:val="207B66B3"/>
    <w:rsid w:val="207F5200"/>
    <w:rsid w:val="2089596A"/>
    <w:rsid w:val="208A0FEC"/>
    <w:rsid w:val="209239FD"/>
    <w:rsid w:val="20971013"/>
    <w:rsid w:val="20A7394C"/>
    <w:rsid w:val="20A756FA"/>
    <w:rsid w:val="20A83220"/>
    <w:rsid w:val="20AD4522"/>
    <w:rsid w:val="20AE6A88"/>
    <w:rsid w:val="20AF45AF"/>
    <w:rsid w:val="20B72146"/>
    <w:rsid w:val="20BB73F7"/>
    <w:rsid w:val="20BC409C"/>
    <w:rsid w:val="20C718F8"/>
    <w:rsid w:val="20DD2ECA"/>
    <w:rsid w:val="20DE581D"/>
    <w:rsid w:val="20FA1B12"/>
    <w:rsid w:val="21042B4C"/>
    <w:rsid w:val="210E5DA6"/>
    <w:rsid w:val="21174678"/>
    <w:rsid w:val="211B1575"/>
    <w:rsid w:val="212154AC"/>
    <w:rsid w:val="21247AE2"/>
    <w:rsid w:val="212705E9"/>
    <w:rsid w:val="212C0AF9"/>
    <w:rsid w:val="21314B85"/>
    <w:rsid w:val="213C22E6"/>
    <w:rsid w:val="214504BE"/>
    <w:rsid w:val="21464F13"/>
    <w:rsid w:val="21475C7A"/>
    <w:rsid w:val="214815A0"/>
    <w:rsid w:val="2155737C"/>
    <w:rsid w:val="21573469"/>
    <w:rsid w:val="215A46F5"/>
    <w:rsid w:val="215D225D"/>
    <w:rsid w:val="21690C01"/>
    <w:rsid w:val="21696E53"/>
    <w:rsid w:val="216C735A"/>
    <w:rsid w:val="218A16FE"/>
    <w:rsid w:val="218C669E"/>
    <w:rsid w:val="218F74A0"/>
    <w:rsid w:val="21935C7E"/>
    <w:rsid w:val="219519F6"/>
    <w:rsid w:val="21AD4F92"/>
    <w:rsid w:val="21B7196D"/>
    <w:rsid w:val="21B82770"/>
    <w:rsid w:val="21B856E5"/>
    <w:rsid w:val="21B906F1"/>
    <w:rsid w:val="21CB28FF"/>
    <w:rsid w:val="21D529A8"/>
    <w:rsid w:val="21D70896"/>
    <w:rsid w:val="21D7200F"/>
    <w:rsid w:val="21DD6EFA"/>
    <w:rsid w:val="21E0051C"/>
    <w:rsid w:val="21FA1FFB"/>
    <w:rsid w:val="21FE57EE"/>
    <w:rsid w:val="2200396C"/>
    <w:rsid w:val="22056B7C"/>
    <w:rsid w:val="220B1CB9"/>
    <w:rsid w:val="22140059"/>
    <w:rsid w:val="22164234"/>
    <w:rsid w:val="22166FB9"/>
    <w:rsid w:val="2221328A"/>
    <w:rsid w:val="22347461"/>
    <w:rsid w:val="22361845"/>
    <w:rsid w:val="223B43B7"/>
    <w:rsid w:val="22453B5A"/>
    <w:rsid w:val="22562560"/>
    <w:rsid w:val="225F07C0"/>
    <w:rsid w:val="22645EEA"/>
    <w:rsid w:val="22754E7E"/>
    <w:rsid w:val="22766CA1"/>
    <w:rsid w:val="227E248B"/>
    <w:rsid w:val="227F15D8"/>
    <w:rsid w:val="227F363C"/>
    <w:rsid w:val="228A52D3"/>
    <w:rsid w:val="22995C0A"/>
    <w:rsid w:val="22B52F7A"/>
    <w:rsid w:val="22B96BD0"/>
    <w:rsid w:val="22BD1205"/>
    <w:rsid w:val="22C2681B"/>
    <w:rsid w:val="22C5234C"/>
    <w:rsid w:val="22CB7C08"/>
    <w:rsid w:val="22D80B06"/>
    <w:rsid w:val="22D8603F"/>
    <w:rsid w:val="22E26EBD"/>
    <w:rsid w:val="22F247A9"/>
    <w:rsid w:val="22FA4207"/>
    <w:rsid w:val="23002ADB"/>
    <w:rsid w:val="23007343"/>
    <w:rsid w:val="2305495A"/>
    <w:rsid w:val="230B54E9"/>
    <w:rsid w:val="231219D8"/>
    <w:rsid w:val="231921B3"/>
    <w:rsid w:val="231F33A3"/>
    <w:rsid w:val="23203051"/>
    <w:rsid w:val="232E5B44"/>
    <w:rsid w:val="23356FED"/>
    <w:rsid w:val="2339396A"/>
    <w:rsid w:val="234022A6"/>
    <w:rsid w:val="2346744C"/>
    <w:rsid w:val="235436F1"/>
    <w:rsid w:val="23582CDC"/>
    <w:rsid w:val="23623B5A"/>
    <w:rsid w:val="23711FEF"/>
    <w:rsid w:val="23713D9D"/>
    <w:rsid w:val="2378512C"/>
    <w:rsid w:val="2379775D"/>
    <w:rsid w:val="237E2D5C"/>
    <w:rsid w:val="23867849"/>
    <w:rsid w:val="239C706C"/>
    <w:rsid w:val="23B03C20"/>
    <w:rsid w:val="23B16E09"/>
    <w:rsid w:val="23B32608"/>
    <w:rsid w:val="23B674B1"/>
    <w:rsid w:val="23BC041C"/>
    <w:rsid w:val="23C2284B"/>
    <w:rsid w:val="23C6233B"/>
    <w:rsid w:val="23D762F6"/>
    <w:rsid w:val="23DD1433"/>
    <w:rsid w:val="23DE58D7"/>
    <w:rsid w:val="23E10F23"/>
    <w:rsid w:val="23E12CD1"/>
    <w:rsid w:val="23E46C65"/>
    <w:rsid w:val="23E92174"/>
    <w:rsid w:val="23EB7FF4"/>
    <w:rsid w:val="23EE56EA"/>
    <w:rsid w:val="23FC7B0B"/>
    <w:rsid w:val="24067128"/>
    <w:rsid w:val="241035B6"/>
    <w:rsid w:val="241606BF"/>
    <w:rsid w:val="24174945"/>
    <w:rsid w:val="2417578B"/>
    <w:rsid w:val="24211EE7"/>
    <w:rsid w:val="24257BFD"/>
    <w:rsid w:val="24295AFE"/>
    <w:rsid w:val="242A2C5D"/>
    <w:rsid w:val="242C14D9"/>
    <w:rsid w:val="24305A06"/>
    <w:rsid w:val="243674C1"/>
    <w:rsid w:val="24431BDE"/>
    <w:rsid w:val="24480FA2"/>
    <w:rsid w:val="244A4D1A"/>
    <w:rsid w:val="244B0A92"/>
    <w:rsid w:val="245D3B5D"/>
    <w:rsid w:val="245E0655"/>
    <w:rsid w:val="246920BE"/>
    <w:rsid w:val="247104F9"/>
    <w:rsid w:val="247753E3"/>
    <w:rsid w:val="247B3126"/>
    <w:rsid w:val="247E2C16"/>
    <w:rsid w:val="24857B00"/>
    <w:rsid w:val="248673AE"/>
    <w:rsid w:val="24A47E99"/>
    <w:rsid w:val="24A81A41"/>
    <w:rsid w:val="24AB327E"/>
    <w:rsid w:val="24AB32DF"/>
    <w:rsid w:val="24AC7783"/>
    <w:rsid w:val="24B108F5"/>
    <w:rsid w:val="24B91EA0"/>
    <w:rsid w:val="24BF5C4F"/>
    <w:rsid w:val="24C66CBD"/>
    <w:rsid w:val="24CA78F5"/>
    <w:rsid w:val="24E011DB"/>
    <w:rsid w:val="24E30D43"/>
    <w:rsid w:val="24EB1962"/>
    <w:rsid w:val="24F1010E"/>
    <w:rsid w:val="24F20967"/>
    <w:rsid w:val="24F4504B"/>
    <w:rsid w:val="24FE5B05"/>
    <w:rsid w:val="25034EC9"/>
    <w:rsid w:val="25037389"/>
    <w:rsid w:val="25056E93"/>
    <w:rsid w:val="25057444"/>
    <w:rsid w:val="25076767"/>
    <w:rsid w:val="251470D6"/>
    <w:rsid w:val="252A06A8"/>
    <w:rsid w:val="252D5B7E"/>
    <w:rsid w:val="253516B7"/>
    <w:rsid w:val="254477B4"/>
    <w:rsid w:val="254A2793"/>
    <w:rsid w:val="254C061E"/>
    <w:rsid w:val="254D21B1"/>
    <w:rsid w:val="254D2895"/>
    <w:rsid w:val="254F010E"/>
    <w:rsid w:val="255120D8"/>
    <w:rsid w:val="25545725"/>
    <w:rsid w:val="256E4A38"/>
    <w:rsid w:val="257764D4"/>
    <w:rsid w:val="257B0F03"/>
    <w:rsid w:val="258B78A0"/>
    <w:rsid w:val="259C15A5"/>
    <w:rsid w:val="25AC730F"/>
    <w:rsid w:val="25C00E79"/>
    <w:rsid w:val="25C603D0"/>
    <w:rsid w:val="25C66622"/>
    <w:rsid w:val="25D7082F"/>
    <w:rsid w:val="25DC4098"/>
    <w:rsid w:val="25DD2313"/>
    <w:rsid w:val="25E66CC5"/>
    <w:rsid w:val="25F3318F"/>
    <w:rsid w:val="2600383B"/>
    <w:rsid w:val="26060ABB"/>
    <w:rsid w:val="2609650F"/>
    <w:rsid w:val="2618118E"/>
    <w:rsid w:val="261D7C7A"/>
    <w:rsid w:val="262E41C8"/>
    <w:rsid w:val="26381B56"/>
    <w:rsid w:val="263E265D"/>
    <w:rsid w:val="263F0183"/>
    <w:rsid w:val="26402777"/>
    <w:rsid w:val="264B4D7A"/>
    <w:rsid w:val="264B6B28"/>
    <w:rsid w:val="26872AD6"/>
    <w:rsid w:val="26906C30"/>
    <w:rsid w:val="26967562"/>
    <w:rsid w:val="26AA1AA0"/>
    <w:rsid w:val="26AA373A"/>
    <w:rsid w:val="26BD1BF0"/>
    <w:rsid w:val="26C97D32"/>
    <w:rsid w:val="26CC5EBA"/>
    <w:rsid w:val="26D11723"/>
    <w:rsid w:val="26D42FC1"/>
    <w:rsid w:val="26DE174A"/>
    <w:rsid w:val="26E31456"/>
    <w:rsid w:val="26EA4592"/>
    <w:rsid w:val="26F31699"/>
    <w:rsid w:val="26F5611F"/>
    <w:rsid w:val="26FE003E"/>
    <w:rsid w:val="27075A68"/>
    <w:rsid w:val="270B6D25"/>
    <w:rsid w:val="270C6891"/>
    <w:rsid w:val="271635D9"/>
    <w:rsid w:val="27167136"/>
    <w:rsid w:val="271859F4"/>
    <w:rsid w:val="271E5FEA"/>
    <w:rsid w:val="27243AE3"/>
    <w:rsid w:val="272A1C1C"/>
    <w:rsid w:val="27317DB1"/>
    <w:rsid w:val="27323A02"/>
    <w:rsid w:val="27387BDB"/>
    <w:rsid w:val="27427F2B"/>
    <w:rsid w:val="27483067"/>
    <w:rsid w:val="2752347D"/>
    <w:rsid w:val="27556697"/>
    <w:rsid w:val="275639D6"/>
    <w:rsid w:val="275A7625"/>
    <w:rsid w:val="275D5147"/>
    <w:rsid w:val="276205CD"/>
    <w:rsid w:val="27677991"/>
    <w:rsid w:val="276959E0"/>
    <w:rsid w:val="27727F44"/>
    <w:rsid w:val="278422F1"/>
    <w:rsid w:val="27886E19"/>
    <w:rsid w:val="278910E9"/>
    <w:rsid w:val="278B7B24"/>
    <w:rsid w:val="27941BA3"/>
    <w:rsid w:val="279E5478"/>
    <w:rsid w:val="27B8643F"/>
    <w:rsid w:val="27BD54F3"/>
    <w:rsid w:val="27C66AB9"/>
    <w:rsid w:val="27C750DF"/>
    <w:rsid w:val="27D72D69"/>
    <w:rsid w:val="27DA0163"/>
    <w:rsid w:val="28083ADC"/>
    <w:rsid w:val="280A162D"/>
    <w:rsid w:val="280D512F"/>
    <w:rsid w:val="28125B4F"/>
    <w:rsid w:val="28170CF2"/>
    <w:rsid w:val="28247630"/>
    <w:rsid w:val="282B09BF"/>
    <w:rsid w:val="28355CE1"/>
    <w:rsid w:val="283C3FC7"/>
    <w:rsid w:val="283D41AC"/>
    <w:rsid w:val="283E2A52"/>
    <w:rsid w:val="283F3EE2"/>
    <w:rsid w:val="28400D51"/>
    <w:rsid w:val="28416434"/>
    <w:rsid w:val="28485A15"/>
    <w:rsid w:val="285E28F2"/>
    <w:rsid w:val="28786926"/>
    <w:rsid w:val="287C56BE"/>
    <w:rsid w:val="288528F2"/>
    <w:rsid w:val="28887BBF"/>
    <w:rsid w:val="28964AAF"/>
    <w:rsid w:val="289A40B4"/>
    <w:rsid w:val="289C366A"/>
    <w:rsid w:val="28A15125"/>
    <w:rsid w:val="28A477FB"/>
    <w:rsid w:val="28A93C23"/>
    <w:rsid w:val="28A95D87"/>
    <w:rsid w:val="28B046FE"/>
    <w:rsid w:val="28CC0E31"/>
    <w:rsid w:val="28D66E5D"/>
    <w:rsid w:val="28D9231E"/>
    <w:rsid w:val="28E26CE2"/>
    <w:rsid w:val="28E53432"/>
    <w:rsid w:val="28F31BD5"/>
    <w:rsid w:val="28F72F97"/>
    <w:rsid w:val="28FB65E3"/>
    <w:rsid w:val="28FC77C5"/>
    <w:rsid w:val="28FE60D3"/>
    <w:rsid w:val="29060925"/>
    <w:rsid w:val="290822C1"/>
    <w:rsid w:val="290F208E"/>
    <w:rsid w:val="29115E06"/>
    <w:rsid w:val="291C47AB"/>
    <w:rsid w:val="291C4F02"/>
    <w:rsid w:val="292F2731"/>
    <w:rsid w:val="292F44DF"/>
    <w:rsid w:val="294D2BB7"/>
    <w:rsid w:val="2959155B"/>
    <w:rsid w:val="29622B06"/>
    <w:rsid w:val="296A3CB8"/>
    <w:rsid w:val="296F6274"/>
    <w:rsid w:val="297C602B"/>
    <w:rsid w:val="299910E7"/>
    <w:rsid w:val="29A22F02"/>
    <w:rsid w:val="29A5073B"/>
    <w:rsid w:val="29A924E3"/>
    <w:rsid w:val="29B50E88"/>
    <w:rsid w:val="29BA46F0"/>
    <w:rsid w:val="29BB2216"/>
    <w:rsid w:val="29BB5D72"/>
    <w:rsid w:val="29BC5DD9"/>
    <w:rsid w:val="29D216CE"/>
    <w:rsid w:val="29DA548F"/>
    <w:rsid w:val="29E53804"/>
    <w:rsid w:val="29E7300B"/>
    <w:rsid w:val="2A093DDB"/>
    <w:rsid w:val="2A247DBB"/>
    <w:rsid w:val="2A2B429D"/>
    <w:rsid w:val="2A337D90"/>
    <w:rsid w:val="2A385615"/>
    <w:rsid w:val="2A3E50B7"/>
    <w:rsid w:val="2A5F29FA"/>
    <w:rsid w:val="2A614B6C"/>
    <w:rsid w:val="2AA607D0"/>
    <w:rsid w:val="2AAE58D7"/>
    <w:rsid w:val="2AAF00EF"/>
    <w:rsid w:val="2ABE3D6C"/>
    <w:rsid w:val="2ABE5B1A"/>
    <w:rsid w:val="2AC336FF"/>
    <w:rsid w:val="2AD606D3"/>
    <w:rsid w:val="2AD639E6"/>
    <w:rsid w:val="2AEF2177"/>
    <w:rsid w:val="2AF84EE9"/>
    <w:rsid w:val="2B013C59"/>
    <w:rsid w:val="2B060854"/>
    <w:rsid w:val="2B116592"/>
    <w:rsid w:val="2B17347C"/>
    <w:rsid w:val="2B19338B"/>
    <w:rsid w:val="2B1E480B"/>
    <w:rsid w:val="2B591CE7"/>
    <w:rsid w:val="2B5C5333"/>
    <w:rsid w:val="2B5D5D42"/>
    <w:rsid w:val="2B6429CD"/>
    <w:rsid w:val="2B697E21"/>
    <w:rsid w:val="2B7037B2"/>
    <w:rsid w:val="2B797C93"/>
    <w:rsid w:val="2B7E174D"/>
    <w:rsid w:val="2B83635B"/>
    <w:rsid w:val="2BA32F62"/>
    <w:rsid w:val="2BA9517D"/>
    <w:rsid w:val="2BB93A38"/>
    <w:rsid w:val="2BC730F4"/>
    <w:rsid w:val="2BCF1FA9"/>
    <w:rsid w:val="2BD4136D"/>
    <w:rsid w:val="2BDE3F9A"/>
    <w:rsid w:val="2BE50810"/>
    <w:rsid w:val="2BF404B7"/>
    <w:rsid w:val="2BFC063C"/>
    <w:rsid w:val="2C104384"/>
    <w:rsid w:val="2C2220D9"/>
    <w:rsid w:val="2C260B35"/>
    <w:rsid w:val="2C286E71"/>
    <w:rsid w:val="2C31056E"/>
    <w:rsid w:val="2C365B84"/>
    <w:rsid w:val="2C3758DA"/>
    <w:rsid w:val="2C4604BD"/>
    <w:rsid w:val="2C4B7881"/>
    <w:rsid w:val="2C6170A5"/>
    <w:rsid w:val="2C6D3F38"/>
    <w:rsid w:val="2C6D56BB"/>
    <w:rsid w:val="2C7F577D"/>
    <w:rsid w:val="2C882F1B"/>
    <w:rsid w:val="2C8903AA"/>
    <w:rsid w:val="2C8A1B77"/>
    <w:rsid w:val="2C8B2F42"/>
    <w:rsid w:val="2C8F1FCA"/>
    <w:rsid w:val="2C8F66B8"/>
    <w:rsid w:val="2C9A25B7"/>
    <w:rsid w:val="2CA10883"/>
    <w:rsid w:val="2CA174A1"/>
    <w:rsid w:val="2CA42C4E"/>
    <w:rsid w:val="2CAE6886"/>
    <w:rsid w:val="2CB13677"/>
    <w:rsid w:val="2CB2631E"/>
    <w:rsid w:val="2CB43679"/>
    <w:rsid w:val="2CB73169"/>
    <w:rsid w:val="2CBC7C58"/>
    <w:rsid w:val="2CD17022"/>
    <w:rsid w:val="2CD21D51"/>
    <w:rsid w:val="2CE41C10"/>
    <w:rsid w:val="2CE90E48"/>
    <w:rsid w:val="2CF61DF4"/>
    <w:rsid w:val="2CFA4E04"/>
    <w:rsid w:val="2D144117"/>
    <w:rsid w:val="2D346567"/>
    <w:rsid w:val="2D357A32"/>
    <w:rsid w:val="2D361B55"/>
    <w:rsid w:val="2D3C3247"/>
    <w:rsid w:val="2D44256B"/>
    <w:rsid w:val="2D5E1836"/>
    <w:rsid w:val="2D60110A"/>
    <w:rsid w:val="2D631AE8"/>
    <w:rsid w:val="2D7B7CF2"/>
    <w:rsid w:val="2D7C3A6A"/>
    <w:rsid w:val="2D7E3C87"/>
    <w:rsid w:val="2D8A7365"/>
    <w:rsid w:val="2D8B44FE"/>
    <w:rsid w:val="2D986AF6"/>
    <w:rsid w:val="2DA21723"/>
    <w:rsid w:val="2DB72CF5"/>
    <w:rsid w:val="2DC25921"/>
    <w:rsid w:val="2DD20626"/>
    <w:rsid w:val="2DD6477F"/>
    <w:rsid w:val="2DD96042"/>
    <w:rsid w:val="2DE83FEB"/>
    <w:rsid w:val="2DF90C10"/>
    <w:rsid w:val="2DFB5697"/>
    <w:rsid w:val="2E04418C"/>
    <w:rsid w:val="2E1729F2"/>
    <w:rsid w:val="2E1A76C0"/>
    <w:rsid w:val="2E213F4D"/>
    <w:rsid w:val="2E232052"/>
    <w:rsid w:val="2E257AC1"/>
    <w:rsid w:val="2E271C28"/>
    <w:rsid w:val="2E2B796A"/>
    <w:rsid w:val="2E2E026D"/>
    <w:rsid w:val="2E323487"/>
    <w:rsid w:val="2E3518B7"/>
    <w:rsid w:val="2E422F06"/>
    <w:rsid w:val="2E6701DD"/>
    <w:rsid w:val="2E671D49"/>
    <w:rsid w:val="2E6D7F83"/>
    <w:rsid w:val="2E6E3CFB"/>
    <w:rsid w:val="2E70537D"/>
    <w:rsid w:val="2E870919"/>
    <w:rsid w:val="2E89643F"/>
    <w:rsid w:val="2E8D23D3"/>
    <w:rsid w:val="2E953036"/>
    <w:rsid w:val="2EA63495"/>
    <w:rsid w:val="2EBA484A"/>
    <w:rsid w:val="2EBD433B"/>
    <w:rsid w:val="2EC13E2B"/>
    <w:rsid w:val="2ECD27D0"/>
    <w:rsid w:val="2ED173BC"/>
    <w:rsid w:val="2EDB1BAF"/>
    <w:rsid w:val="2EDE1E17"/>
    <w:rsid w:val="2EDE2C2F"/>
    <w:rsid w:val="2EE814E3"/>
    <w:rsid w:val="2EEA688C"/>
    <w:rsid w:val="2EF73CF0"/>
    <w:rsid w:val="2EFE0BDB"/>
    <w:rsid w:val="2F0F103A"/>
    <w:rsid w:val="2F155F25"/>
    <w:rsid w:val="2F1907E3"/>
    <w:rsid w:val="2F1B4707"/>
    <w:rsid w:val="2F1E6340"/>
    <w:rsid w:val="2F283EAA"/>
    <w:rsid w:val="2F2F5238"/>
    <w:rsid w:val="2F3E3DEA"/>
    <w:rsid w:val="2F464330"/>
    <w:rsid w:val="2F510270"/>
    <w:rsid w:val="2F522CD5"/>
    <w:rsid w:val="2F595D3D"/>
    <w:rsid w:val="2F633134"/>
    <w:rsid w:val="2F6A6270"/>
    <w:rsid w:val="2F6C0F4E"/>
    <w:rsid w:val="2F757B10"/>
    <w:rsid w:val="2F7728D2"/>
    <w:rsid w:val="2F7E133E"/>
    <w:rsid w:val="2F81180C"/>
    <w:rsid w:val="2F86748D"/>
    <w:rsid w:val="2F8C4439"/>
    <w:rsid w:val="2F931039"/>
    <w:rsid w:val="2F947791"/>
    <w:rsid w:val="2F98155C"/>
    <w:rsid w:val="2F9A2833"/>
    <w:rsid w:val="2F9E5F1A"/>
    <w:rsid w:val="2FA03D40"/>
    <w:rsid w:val="2FA72E44"/>
    <w:rsid w:val="2FB57091"/>
    <w:rsid w:val="2FB83480"/>
    <w:rsid w:val="2FC14F62"/>
    <w:rsid w:val="2FC511AE"/>
    <w:rsid w:val="2FC87551"/>
    <w:rsid w:val="2FCE1DB4"/>
    <w:rsid w:val="2FD54C66"/>
    <w:rsid w:val="2FE50A22"/>
    <w:rsid w:val="2FE778C1"/>
    <w:rsid w:val="2FED60DA"/>
    <w:rsid w:val="2FF7387C"/>
    <w:rsid w:val="2FF92411"/>
    <w:rsid w:val="30134B5A"/>
    <w:rsid w:val="301B3E65"/>
    <w:rsid w:val="3025663B"/>
    <w:rsid w:val="30260444"/>
    <w:rsid w:val="302C1778"/>
    <w:rsid w:val="3034552F"/>
    <w:rsid w:val="303F4FE3"/>
    <w:rsid w:val="30406FD1"/>
    <w:rsid w:val="30436EA2"/>
    <w:rsid w:val="30517430"/>
    <w:rsid w:val="3056424C"/>
    <w:rsid w:val="30590093"/>
    <w:rsid w:val="30841058"/>
    <w:rsid w:val="3087301F"/>
    <w:rsid w:val="309B06AC"/>
    <w:rsid w:val="30A47041"/>
    <w:rsid w:val="30A75156"/>
    <w:rsid w:val="30AE0C4A"/>
    <w:rsid w:val="30AE6631"/>
    <w:rsid w:val="30B04157"/>
    <w:rsid w:val="30B672B8"/>
    <w:rsid w:val="30BC6FA0"/>
    <w:rsid w:val="30BF439A"/>
    <w:rsid w:val="30C220DC"/>
    <w:rsid w:val="30C35F0F"/>
    <w:rsid w:val="30C9346B"/>
    <w:rsid w:val="30CC6AB7"/>
    <w:rsid w:val="30D61DA1"/>
    <w:rsid w:val="30D81165"/>
    <w:rsid w:val="30DC319E"/>
    <w:rsid w:val="30DD0CC4"/>
    <w:rsid w:val="30E40E3A"/>
    <w:rsid w:val="30F67AE2"/>
    <w:rsid w:val="30FA1CCB"/>
    <w:rsid w:val="310D3AFB"/>
    <w:rsid w:val="310F5EA8"/>
    <w:rsid w:val="311368EB"/>
    <w:rsid w:val="31187A65"/>
    <w:rsid w:val="311B5C57"/>
    <w:rsid w:val="311D4FB4"/>
    <w:rsid w:val="312406A1"/>
    <w:rsid w:val="31250A52"/>
    <w:rsid w:val="312B7C81"/>
    <w:rsid w:val="313D2E18"/>
    <w:rsid w:val="3142121C"/>
    <w:rsid w:val="31460E0D"/>
    <w:rsid w:val="31484995"/>
    <w:rsid w:val="315F792B"/>
    <w:rsid w:val="316224F5"/>
    <w:rsid w:val="31660CB9"/>
    <w:rsid w:val="31750EFD"/>
    <w:rsid w:val="318178A1"/>
    <w:rsid w:val="318D6B5E"/>
    <w:rsid w:val="319D53A7"/>
    <w:rsid w:val="31AB2B70"/>
    <w:rsid w:val="31B25CAD"/>
    <w:rsid w:val="31C33082"/>
    <w:rsid w:val="31D34CFE"/>
    <w:rsid w:val="31D86878"/>
    <w:rsid w:val="31E00A6C"/>
    <w:rsid w:val="31E15622"/>
    <w:rsid w:val="31EA3699"/>
    <w:rsid w:val="31ED2C4F"/>
    <w:rsid w:val="31F12C79"/>
    <w:rsid w:val="31FD7870"/>
    <w:rsid w:val="31FF68C3"/>
    <w:rsid w:val="3202600F"/>
    <w:rsid w:val="320C1861"/>
    <w:rsid w:val="320D5BBB"/>
    <w:rsid w:val="32186FF1"/>
    <w:rsid w:val="32187966"/>
    <w:rsid w:val="322D3237"/>
    <w:rsid w:val="323112C7"/>
    <w:rsid w:val="323765BD"/>
    <w:rsid w:val="32472899"/>
    <w:rsid w:val="324F71DD"/>
    <w:rsid w:val="325A081E"/>
    <w:rsid w:val="325D1CA1"/>
    <w:rsid w:val="326351F9"/>
    <w:rsid w:val="3273346D"/>
    <w:rsid w:val="3278153B"/>
    <w:rsid w:val="327A1C7F"/>
    <w:rsid w:val="328162CD"/>
    <w:rsid w:val="3282257A"/>
    <w:rsid w:val="328238D1"/>
    <w:rsid w:val="32894C60"/>
    <w:rsid w:val="328B4E7C"/>
    <w:rsid w:val="32C4213C"/>
    <w:rsid w:val="32CD53F2"/>
    <w:rsid w:val="32CD55D7"/>
    <w:rsid w:val="32D00AE0"/>
    <w:rsid w:val="32D560F7"/>
    <w:rsid w:val="32DE7359"/>
    <w:rsid w:val="33010C9A"/>
    <w:rsid w:val="330469DC"/>
    <w:rsid w:val="33081445"/>
    <w:rsid w:val="33095DA0"/>
    <w:rsid w:val="33096ED6"/>
    <w:rsid w:val="33134E71"/>
    <w:rsid w:val="33274478"/>
    <w:rsid w:val="333A0650"/>
    <w:rsid w:val="3350577D"/>
    <w:rsid w:val="3351308C"/>
    <w:rsid w:val="33552D94"/>
    <w:rsid w:val="33587A3D"/>
    <w:rsid w:val="33633703"/>
    <w:rsid w:val="33680D19"/>
    <w:rsid w:val="336D4581"/>
    <w:rsid w:val="336E3E55"/>
    <w:rsid w:val="33723F6B"/>
    <w:rsid w:val="33775586"/>
    <w:rsid w:val="337C6572"/>
    <w:rsid w:val="337F42B4"/>
    <w:rsid w:val="33807C66"/>
    <w:rsid w:val="338F44F8"/>
    <w:rsid w:val="338F52EF"/>
    <w:rsid w:val="33965CAC"/>
    <w:rsid w:val="339715FE"/>
    <w:rsid w:val="339C09C3"/>
    <w:rsid w:val="33AD7074"/>
    <w:rsid w:val="33B616BD"/>
    <w:rsid w:val="33BB11C9"/>
    <w:rsid w:val="33C57F19"/>
    <w:rsid w:val="33CF13DE"/>
    <w:rsid w:val="33D62126"/>
    <w:rsid w:val="33D75369"/>
    <w:rsid w:val="33E02FA5"/>
    <w:rsid w:val="33EC708B"/>
    <w:rsid w:val="33F22CD8"/>
    <w:rsid w:val="340F0BAB"/>
    <w:rsid w:val="341964B7"/>
    <w:rsid w:val="34285A1D"/>
    <w:rsid w:val="34362BC5"/>
    <w:rsid w:val="34384B8F"/>
    <w:rsid w:val="344A61E6"/>
    <w:rsid w:val="34515C51"/>
    <w:rsid w:val="3454129D"/>
    <w:rsid w:val="345D50D4"/>
    <w:rsid w:val="34607011"/>
    <w:rsid w:val="3464452F"/>
    <w:rsid w:val="34793108"/>
    <w:rsid w:val="347E456C"/>
    <w:rsid w:val="348A6D5F"/>
    <w:rsid w:val="348F5A13"/>
    <w:rsid w:val="34976E5A"/>
    <w:rsid w:val="34992843"/>
    <w:rsid w:val="349D49F2"/>
    <w:rsid w:val="34A9783B"/>
    <w:rsid w:val="34AE0A57"/>
    <w:rsid w:val="34AE30A3"/>
    <w:rsid w:val="34B41B74"/>
    <w:rsid w:val="34B545B7"/>
    <w:rsid w:val="34B87A7E"/>
    <w:rsid w:val="34C226AB"/>
    <w:rsid w:val="34C53F49"/>
    <w:rsid w:val="34C62452"/>
    <w:rsid w:val="34D32247"/>
    <w:rsid w:val="34DF325D"/>
    <w:rsid w:val="34E56399"/>
    <w:rsid w:val="34E70363"/>
    <w:rsid w:val="34E911B0"/>
    <w:rsid w:val="34EA4397"/>
    <w:rsid w:val="34F860CC"/>
    <w:rsid w:val="350031D3"/>
    <w:rsid w:val="35052118"/>
    <w:rsid w:val="350935D3"/>
    <w:rsid w:val="350D7760"/>
    <w:rsid w:val="351078BA"/>
    <w:rsid w:val="35123F22"/>
    <w:rsid w:val="351F3659"/>
    <w:rsid w:val="352073D1"/>
    <w:rsid w:val="35305866"/>
    <w:rsid w:val="353954F1"/>
    <w:rsid w:val="353D7F83"/>
    <w:rsid w:val="354D466A"/>
    <w:rsid w:val="35550BB6"/>
    <w:rsid w:val="355D23D3"/>
    <w:rsid w:val="355F439E"/>
    <w:rsid w:val="356419B4"/>
    <w:rsid w:val="356B689E"/>
    <w:rsid w:val="357065AB"/>
    <w:rsid w:val="3580088A"/>
    <w:rsid w:val="358160C2"/>
    <w:rsid w:val="35877816"/>
    <w:rsid w:val="358F6EE8"/>
    <w:rsid w:val="359A7184"/>
    <w:rsid w:val="35A818A1"/>
    <w:rsid w:val="35AB3592"/>
    <w:rsid w:val="35B5220F"/>
    <w:rsid w:val="35B73417"/>
    <w:rsid w:val="35B906DE"/>
    <w:rsid w:val="35C10BB4"/>
    <w:rsid w:val="35CA7EB6"/>
    <w:rsid w:val="35CB170A"/>
    <w:rsid w:val="35E46651"/>
    <w:rsid w:val="35E87EEF"/>
    <w:rsid w:val="35EF6615"/>
    <w:rsid w:val="35F05F5B"/>
    <w:rsid w:val="35F4534C"/>
    <w:rsid w:val="35F9034E"/>
    <w:rsid w:val="361604D5"/>
    <w:rsid w:val="3619454C"/>
    <w:rsid w:val="361D65F5"/>
    <w:rsid w:val="361E6007"/>
    <w:rsid w:val="36217072"/>
    <w:rsid w:val="36270733"/>
    <w:rsid w:val="363071CE"/>
    <w:rsid w:val="366F210B"/>
    <w:rsid w:val="367446E2"/>
    <w:rsid w:val="3684230E"/>
    <w:rsid w:val="36907031"/>
    <w:rsid w:val="36941E25"/>
    <w:rsid w:val="3699568D"/>
    <w:rsid w:val="36A122ED"/>
    <w:rsid w:val="36AC53C0"/>
    <w:rsid w:val="36AE2339"/>
    <w:rsid w:val="36B500CB"/>
    <w:rsid w:val="36C46BAE"/>
    <w:rsid w:val="36C76511"/>
    <w:rsid w:val="36D43871"/>
    <w:rsid w:val="36E52680"/>
    <w:rsid w:val="36EE26E1"/>
    <w:rsid w:val="371652A9"/>
    <w:rsid w:val="372413FB"/>
    <w:rsid w:val="37493898"/>
    <w:rsid w:val="37511204"/>
    <w:rsid w:val="37533A8E"/>
    <w:rsid w:val="375663D8"/>
    <w:rsid w:val="3774736A"/>
    <w:rsid w:val="378001CD"/>
    <w:rsid w:val="37811E60"/>
    <w:rsid w:val="37884339"/>
    <w:rsid w:val="379C58C0"/>
    <w:rsid w:val="37A4078E"/>
    <w:rsid w:val="37AE534F"/>
    <w:rsid w:val="37B037B8"/>
    <w:rsid w:val="37B7401D"/>
    <w:rsid w:val="37B82F91"/>
    <w:rsid w:val="37BC5AD7"/>
    <w:rsid w:val="37C4673A"/>
    <w:rsid w:val="37C91FA2"/>
    <w:rsid w:val="37D6731A"/>
    <w:rsid w:val="37DA4501"/>
    <w:rsid w:val="37EB1F18"/>
    <w:rsid w:val="37F4701F"/>
    <w:rsid w:val="37FF7772"/>
    <w:rsid w:val="380D708B"/>
    <w:rsid w:val="380F5C07"/>
    <w:rsid w:val="38147EF7"/>
    <w:rsid w:val="38243CD2"/>
    <w:rsid w:val="3825542A"/>
    <w:rsid w:val="382D2531"/>
    <w:rsid w:val="38377B04"/>
    <w:rsid w:val="383C49C1"/>
    <w:rsid w:val="384B29B7"/>
    <w:rsid w:val="38507F7D"/>
    <w:rsid w:val="38507FCD"/>
    <w:rsid w:val="385862C7"/>
    <w:rsid w:val="385B0CFE"/>
    <w:rsid w:val="386006B1"/>
    <w:rsid w:val="386717C0"/>
    <w:rsid w:val="3871785A"/>
    <w:rsid w:val="38736369"/>
    <w:rsid w:val="387A58E0"/>
    <w:rsid w:val="388F0AF6"/>
    <w:rsid w:val="389600D6"/>
    <w:rsid w:val="389B7103"/>
    <w:rsid w:val="38C162FE"/>
    <w:rsid w:val="38C20AD2"/>
    <w:rsid w:val="38C52157"/>
    <w:rsid w:val="38D26C34"/>
    <w:rsid w:val="38EF66C8"/>
    <w:rsid w:val="38F24572"/>
    <w:rsid w:val="38F2569F"/>
    <w:rsid w:val="3902751A"/>
    <w:rsid w:val="39074B30"/>
    <w:rsid w:val="390C65EA"/>
    <w:rsid w:val="390D6F7F"/>
    <w:rsid w:val="391021FE"/>
    <w:rsid w:val="39186D3D"/>
    <w:rsid w:val="3922196A"/>
    <w:rsid w:val="39290F4A"/>
    <w:rsid w:val="393E3E02"/>
    <w:rsid w:val="39414217"/>
    <w:rsid w:val="394E7829"/>
    <w:rsid w:val="39562097"/>
    <w:rsid w:val="39562BD0"/>
    <w:rsid w:val="395E0D7F"/>
    <w:rsid w:val="396217DE"/>
    <w:rsid w:val="39671A73"/>
    <w:rsid w:val="39775109"/>
    <w:rsid w:val="397877DC"/>
    <w:rsid w:val="397A79F8"/>
    <w:rsid w:val="39824A10"/>
    <w:rsid w:val="39902D77"/>
    <w:rsid w:val="39922270"/>
    <w:rsid w:val="399565E0"/>
    <w:rsid w:val="399D355A"/>
    <w:rsid w:val="39A31FAE"/>
    <w:rsid w:val="39A813DF"/>
    <w:rsid w:val="39C11183"/>
    <w:rsid w:val="39D709A6"/>
    <w:rsid w:val="39D92970"/>
    <w:rsid w:val="39E76710"/>
    <w:rsid w:val="3A015A23"/>
    <w:rsid w:val="3A06128C"/>
    <w:rsid w:val="3A0719A4"/>
    <w:rsid w:val="3A1065DC"/>
    <w:rsid w:val="3A1C285D"/>
    <w:rsid w:val="3A410516"/>
    <w:rsid w:val="3A4F49E1"/>
    <w:rsid w:val="3A500759"/>
    <w:rsid w:val="3A587F56"/>
    <w:rsid w:val="3A5D6144"/>
    <w:rsid w:val="3A5E2E76"/>
    <w:rsid w:val="3A612966"/>
    <w:rsid w:val="3A616498"/>
    <w:rsid w:val="3A663AD8"/>
    <w:rsid w:val="3A7B4F30"/>
    <w:rsid w:val="3A8326D1"/>
    <w:rsid w:val="3A887EF3"/>
    <w:rsid w:val="3A8C6D79"/>
    <w:rsid w:val="3A8F2E8A"/>
    <w:rsid w:val="3A916DA7"/>
    <w:rsid w:val="3A9A190D"/>
    <w:rsid w:val="3A9C574C"/>
    <w:rsid w:val="3A9D609B"/>
    <w:rsid w:val="3A9E14C4"/>
    <w:rsid w:val="3AA11EE8"/>
    <w:rsid w:val="3AA30888"/>
    <w:rsid w:val="3AB25955"/>
    <w:rsid w:val="3AB6768E"/>
    <w:rsid w:val="3AB807D8"/>
    <w:rsid w:val="3AC32CD9"/>
    <w:rsid w:val="3ACF5B21"/>
    <w:rsid w:val="3AD704C5"/>
    <w:rsid w:val="3ADB5933"/>
    <w:rsid w:val="3ADC08F6"/>
    <w:rsid w:val="3AE211C1"/>
    <w:rsid w:val="3AE65DAD"/>
    <w:rsid w:val="3AEF3ACE"/>
    <w:rsid w:val="3AF30623"/>
    <w:rsid w:val="3AFB2473"/>
    <w:rsid w:val="3AFF762B"/>
    <w:rsid w:val="3B0A0908"/>
    <w:rsid w:val="3B194FEF"/>
    <w:rsid w:val="3B251BE5"/>
    <w:rsid w:val="3B2B0793"/>
    <w:rsid w:val="3B2E0A9A"/>
    <w:rsid w:val="3B3360B0"/>
    <w:rsid w:val="3B4445CD"/>
    <w:rsid w:val="3B456FD4"/>
    <w:rsid w:val="3B47390A"/>
    <w:rsid w:val="3B4F27BE"/>
    <w:rsid w:val="3B5322AF"/>
    <w:rsid w:val="3B5538DF"/>
    <w:rsid w:val="3B585B17"/>
    <w:rsid w:val="3B594E99"/>
    <w:rsid w:val="3B5953EB"/>
    <w:rsid w:val="3B5F0C53"/>
    <w:rsid w:val="3B716BD9"/>
    <w:rsid w:val="3B821B85"/>
    <w:rsid w:val="3B873BB3"/>
    <w:rsid w:val="3B912DD7"/>
    <w:rsid w:val="3B9F54F4"/>
    <w:rsid w:val="3BBC60A6"/>
    <w:rsid w:val="3BBF5B96"/>
    <w:rsid w:val="3BD57ACD"/>
    <w:rsid w:val="3BF5349D"/>
    <w:rsid w:val="3C096E11"/>
    <w:rsid w:val="3C117FE1"/>
    <w:rsid w:val="3C1B481F"/>
    <w:rsid w:val="3C2B12F4"/>
    <w:rsid w:val="3C2B2403"/>
    <w:rsid w:val="3C344C22"/>
    <w:rsid w:val="3C37397E"/>
    <w:rsid w:val="3C447E49"/>
    <w:rsid w:val="3C484261"/>
    <w:rsid w:val="3C4E2A76"/>
    <w:rsid w:val="3C595D02"/>
    <w:rsid w:val="3C5C66F4"/>
    <w:rsid w:val="3C666012"/>
    <w:rsid w:val="3C695ADF"/>
    <w:rsid w:val="3C78254F"/>
    <w:rsid w:val="3C7A386B"/>
    <w:rsid w:val="3C8841DA"/>
    <w:rsid w:val="3C8C4D5A"/>
    <w:rsid w:val="3C953A63"/>
    <w:rsid w:val="3C97441D"/>
    <w:rsid w:val="3CA31014"/>
    <w:rsid w:val="3CB1741D"/>
    <w:rsid w:val="3CB274A9"/>
    <w:rsid w:val="3CB402E4"/>
    <w:rsid w:val="3CB52AF5"/>
    <w:rsid w:val="3CB96D57"/>
    <w:rsid w:val="3CBC3E83"/>
    <w:rsid w:val="3CBE19AA"/>
    <w:rsid w:val="3CC02123"/>
    <w:rsid w:val="3CC50F8A"/>
    <w:rsid w:val="3CCB633E"/>
    <w:rsid w:val="3CCF2156"/>
    <w:rsid w:val="3CD411CD"/>
    <w:rsid w:val="3CDA7149"/>
    <w:rsid w:val="3CDC4526"/>
    <w:rsid w:val="3CE33B06"/>
    <w:rsid w:val="3CE61407"/>
    <w:rsid w:val="3CEB33F8"/>
    <w:rsid w:val="3CF05116"/>
    <w:rsid w:val="3CF33D49"/>
    <w:rsid w:val="3CFC45B1"/>
    <w:rsid w:val="3CFD11BE"/>
    <w:rsid w:val="3D0F66A9"/>
    <w:rsid w:val="3D163594"/>
    <w:rsid w:val="3D22018A"/>
    <w:rsid w:val="3D2C1C27"/>
    <w:rsid w:val="3D372142"/>
    <w:rsid w:val="3D3B749E"/>
    <w:rsid w:val="3D427463"/>
    <w:rsid w:val="3D483969"/>
    <w:rsid w:val="3D583BAC"/>
    <w:rsid w:val="3D597924"/>
    <w:rsid w:val="3D5A2EFB"/>
    <w:rsid w:val="3D5D05FE"/>
    <w:rsid w:val="3D5D5AA8"/>
    <w:rsid w:val="3D7503CA"/>
    <w:rsid w:val="3D7824A0"/>
    <w:rsid w:val="3D7E2AD7"/>
    <w:rsid w:val="3D907C7F"/>
    <w:rsid w:val="3D995F73"/>
    <w:rsid w:val="3D9C3613"/>
    <w:rsid w:val="3D9D5A63"/>
    <w:rsid w:val="3DA74B34"/>
    <w:rsid w:val="3DAA0180"/>
    <w:rsid w:val="3DB334D8"/>
    <w:rsid w:val="3DBA6615"/>
    <w:rsid w:val="3DC6320C"/>
    <w:rsid w:val="3DD76A43"/>
    <w:rsid w:val="3DDD0555"/>
    <w:rsid w:val="3DDE1C29"/>
    <w:rsid w:val="3DE8206A"/>
    <w:rsid w:val="3DEC2546"/>
    <w:rsid w:val="3DEE62BF"/>
    <w:rsid w:val="3DF80EEB"/>
    <w:rsid w:val="3DFD4754"/>
    <w:rsid w:val="3E0F69B5"/>
    <w:rsid w:val="3E1035EE"/>
    <w:rsid w:val="3E1C2E2C"/>
    <w:rsid w:val="3E1C699B"/>
    <w:rsid w:val="3E1C72D0"/>
    <w:rsid w:val="3E211FED"/>
    <w:rsid w:val="3E322F04"/>
    <w:rsid w:val="3E335D7C"/>
    <w:rsid w:val="3E3667E7"/>
    <w:rsid w:val="3E3839DE"/>
    <w:rsid w:val="3E412D03"/>
    <w:rsid w:val="3E4800C5"/>
    <w:rsid w:val="3E5313A7"/>
    <w:rsid w:val="3E5325C6"/>
    <w:rsid w:val="3E5C76CC"/>
    <w:rsid w:val="3E637E7A"/>
    <w:rsid w:val="3E66054B"/>
    <w:rsid w:val="3E6A5CCC"/>
    <w:rsid w:val="3E78202C"/>
    <w:rsid w:val="3E7A32A9"/>
    <w:rsid w:val="3E86299B"/>
    <w:rsid w:val="3E864749"/>
    <w:rsid w:val="3E8B1D5F"/>
    <w:rsid w:val="3E8D5E3B"/>
    <w:rsid w:val="3E911D81"/>
    <w:rsid w:val="3E9842DF"/>
    <w:rsid w:val="3EA735C8"/>
    <w:rsid w:val="3EAC41A2"/>
    <w:rsid w:val="3EC3774B"/>
    <w:rsid w:val="3EC6723B"/>
    <w:rsid w:val="3ECA2888"/>
    <w:rsid w:val="3ECB2DF7"/>
    <w:rsid w:val="3ECD4126"/>
    <w:rsid w:val="3ED229EF"/>
    <w:rsid w:val="3ED92ACB"/>
    <w:rsid w:val="3EDF3E59"/>
    <w:rsid w:val="3EF27E2C"/>
    <w:rsid w:val="3EF773F5"/>
    <w:rsid w:val="3F0C0054"/>
    <w:rsid w:val="3F19736B"/>
    <w:rsid w:val="3F1A0767"/>
    <w:rsid w:val="3F32042D"/>
    <w:rsid w:val="3F43263A"/>
    <w:rsid w:val="3F47212A"/>
    <w:rsid w:val="3F5860E5"/>
    <w:rsid w:val="3F5E3CB9"/>
    <w:rsid w:val="3F5E7474"/>
    <w:rsid w:val="3F650802"/>
    <w:rsid w:val="3F696545"/>
    <w:rsid w:val="3F7C6E50"/>
    <w:rsid w:val="3F871AF2"/>
    <w:rsid w:val="3F8B05E5"/>
    <w:rsid w:val="3F93711E"/>
    <w:rsid w:val="3F966C0E"/>
    <w:rsid w:val="3F9716BE"/>
    <w:rsid w:val="3FA010F8"/>
    <w:rsid w:val="3FA15507"/>
    <w:rsid w:val="3FA87D07"/>
    <w:rsid w:val="3FB67990"/>
    <w:rsid w:val="3FBA368F"/>
    <w:rsid w:val="3FC97C9B"/>
    <w:rsid w:val="3FF57D7F"/>
    <w:rsid w:val="3FF73B50"/>
    <w:rsid w:val="40027592"/>
    <w:rsid w:val="400A488F"/>
    <w:rsid w:val="400B66DF"/>
    <w:rsid w:val="401C03A7"/>
    <w:rsid w:val="40231166"/>
    <w:rsid w:val="40253114"/>
    <w:rsid w:val="40330901"/>
    <w:rsid w:val="403501D5"/>
    <w:rsid w:val="403B1563"/>
    <w:rsid w:val="404448BC"/>
    <w:rsid w:val="4050500F"/>
    <w:rsid w:val="40714F85"/>
    <w:rsid w:val="40721429"/>
    <w:rsid w:val="408C1194"/>
    <w:rsid w:val="40941C91"/>
    <w:rsid w:val="40A869EE"/>
    <w:rsid w:val="40AA0BC3"/>
    <w:rsid w:val="40B452CD"/>
    <w:rsid w:val="40C357E1"/>
    <w:rsid w:val="40CE7D7C"/>
    <w:rsid w:val="40E045E4"/>
    <w:rsid w:val="40E90D2E"/>
    <w:rsid w:val="40F571BE"/>
    <w:rsid w:val="410006A6"/>
    <w:rsid w:val="4100208E"/>
    <w:rsid w:val="41160006"/>
    <w:rsid w:val="41166258"/>
    <w:rsid w:val="41171039"/>
    <w:rsid w:val="41187806"/>
    <w:rsid w:val="41200E85"/>
    <w:rsid w:val="412227D2"/>
    <w:rsid w:val="412344D1"/>
    <w:rsid w:val="414C1C7A"/>
    <w:rsid w:val="41546D80"/>
    <w:rsid w:val="415534CA"/>
    <w:rsid w:val="41564061"/>
    <w:rsid w:val="41576FE1"/>
    <w:rsid w:val="41597EF3"/>
    <w:rsid w:val="41691DD9"/>
    <w:rsid w:val="416B7C26"/>
    <w:rsid w:val="416C5E78"/>
    <w:rsid w:val="416F52F5"/>
    <w:rsid w:val="41792C41"/>
    <w:rsid w:val="4181723B"/>
    <w:rsid w:val="41872EF7"/>
    <w:rsid w:val="419E1DAA"/>
    <w:rsid w:val="41A01FC6"/>
    <w:rsid w:val="41A27AEC"/>
    <w:rsid w:val="41A82D4E"/>
    <w:rsid w:val="41A970CC"/>
    <w:rsid w:val="41AA4BF2"/>
    <w:rsid w:val="41C80EBD"/>
    <w:rsid w:val="41EF0FC2"/>
    <w:rsid w:val="41FD2F74"/>
    <w:rsid w:val="41FD4D22"/>
    <w:rsid w:val="42010CB6"/>
    <w:rsid w:val="42044303"/>
    <w:rsid w:val="42097B6B"/>
    <w:rsid w:val="42114C71"/>
    <w:rsid w:val="42224789"/>
    <w:rsid w:val="422574D0"/>
    <w:rsid w:val="423A5D78"/>
    <w:rsid w:val="423D6737"/>
    <w:rsid w:val="42427B68"/>
    <w:rsid w:val="42456225"/>
    <w:rsid w:val="42470693"/>
    <w:rsid w:val="4253691F"/>
    <w:rsid w:val="425433A7"/>
    <w:rsid w:val="42554B5E"/>
    <w:rsid w:val="426E500B"/>
    <w:rsid w:val="42733236"/>
    <w:rsid w:val="42737997"/>
    <w:rsid w:val="428050E6"/>
    <w:rsid w:val="4285031E"/>
    <w:rsid w:val="4285703D"/>
    <w:rsid w:val="42864D18"/>
    <w:rsid w:val="42976F25"/>
    <w:rsid w:val="429B2728"/>
    <w:rsid w:val="42A218F2"/>
    <w:rsid w:val="42A67168"/>
    <w:rsid w:val="42B41860"/>
    <w:rsid w:val="42B75FF6"/>
    <w:rsid w:val="42B92361"/>
    <w:rsid w:val="42BE0955"/>
    <w:rsid w:val="42BE4335"/>
    <w:rsid w:val="42DE4B54"/>
    <w:rsid w:val="42ED123B"/>
    <w:rsid w:val="42F54A08"/>
    <w:rsid w:val="42F75C15"/>
    <w:rsid w:val="42FE52B7"/>
    <w:rsid w:val="43024285"/>
    <w:rsid w:val="431515CC"/>
    <w:rsid w:val="431D0562"/>
    <w:rsid w:val="433429C6"/>
    <w:rsid w:val="434A3F97"/>
    <w:rsid w:val="434D7F2B"/>
    <w:rsid w:val="43503744"/>
    <w:rsid w:val="4383394D"/>
    <w:rsid w:val="43841693"/>
    <w:rsid w:val="438C1210"/>
    <w:rsid w:val="439873F8"/>
    <w:rsid w:val="439D67BD"/>
    <w:rsid w:val="43AA45E6"/>
    <w:rsid w:val="43AE2905"/>
    <w:rsid w:val="43B43B06"/>
    <w:rsid w:val="43C04259"/>
    <w:rsid w:val="43CD4BC8"/>
    <w:rsid w:val="43E75D09"/>
    <w:rsid w:val="43E92416"/>
    <w:rsid w:val="43F14D5A"/>
    <w:rsid w:val="43F81C45"/>
    <w:rsid w:val="440049C3"/>
    <w:rsid w:val="44066714"/>
    <w:rsid w:val="440B717D"/>
    <w:rsid w:val="44134CD1"/>
    <w:rsid w:val="44183734"/>
    <w:rsid w:val="441B0012"/>
    <w:rsid w:val="441D5B50"/>
    <w:rsid w:val="441E71D2"/>
    <w:rsid w:val="442D78F0"/>
    <w:rsid w:val="442F13DF"/>
    <w:rsid w:val="443609BF"/>
    <w:rsid w:val="44366C11"/>
    <w:rsid w:val="4438040D"/>
    <w:rsid w:val="443D3AFC"/>
    <w:rsid w:val="444900A9"/>
    <w:rsid w:val="444E5D09"/>
    <w:rsid w:val="445E67C2"/>
    <w:rsid w:val="445F7972"/>
    <w:rsid w:val="446537FA"/>
    <w:rsid w:val="44692B43"/>
    <w:rsid w:val="447D1054"/>
    <w:rsid w:val="44861074"/>
    <w:rsid w:val="448654A3"/>
    <w:rsid w:val="44890AEF"/>
    <w:rsid w:val="449851D6"/>
    <w:rsid w:val="449A788A"/>
    <w:rsid w:val="449C3F64"/>
    <w:rsid w:val="449E2B67"/>
    <w:rsid w:val="44AF30A3"/>
    <w:rsid w:val="44AF4D48"/>
    <w:rsid w:val="44B042CE"/>
    <w:rsid w:val="44B10046"/>
    <w:rsid w:val="44BA514C"/>
    <w:rsid w:val="44C24001"/>
    <w:rsid w:val="44C24EDF"/>
    <w:rsid w:val="44C3715A"/>
    <w:rsid w:val="44C47D79"/>
    <w:rsid w:val="44EB2AFF"/>
    <w:rsid w:val="44EF1F96"/>
    <w:rsid w:val="450C7D49"/>
    <w:rsid w:val="450D1720"/>
    <w:rsid w:val="45137ED3"/>
    <w:rsid w:val="45154A79"/>
    <w:rsid w:val="45322F35"/>
    <w:rsid w:val="453273D9"/>
    <w:rsid w:val="453C3DB3"/>
    <w:rsid w:val="453E46AE"/>
    <w:rsid w:val="45482758"/>
    <w:rsid w:val="454F1D39"/>
    <w:rsid w:val="455054DE"/>
    <w:rsid w:val="455410FD"/>
    <w:rsid w:val="455455A1"/>
    <w:rsid w:val="45576E3F"/>
    <w:rsid w:val="456A0921"/>
    <w:rsid w:val="457002F0"/>
    <w:rsid w:val="45701052"/>
    <w:rsid w:val="45724F86"/>
    <w:rsid w:val="45733442"/>
    <w:rsid w:val="45813EBC"/>
    <w:rsid w:val="458B6AE9"/>
    <w:rsid w:val="45912351"/>
    <w:rsid w:val="459B6D2C"/>
    <w:rsid w:val="459E36D3"/>
    <w:rsid w:val="45B1654F"/>
    <w:rsid w:val="45BE6EBE"/>
    <w:rsid w:val="45C83899"/>
    <w:rsid w:val="45CA13BF"/>
    <w:rsid w:val="45CA7611"/>
    <w:rsid w:val="45CD0EAF"/>
    <w:rsid w:val="45D7530B"/>
    <w:rsid w:val="45DF3BAE"/>
    <w:rsid w:val="45EA0818"/>
    <w:rsid w:val="45F94EA0"/>
    <w:rsid w:val="4605689B"/>
    <w:rsid w:val="460A5C60"/>
    <w:rsid w:val="462D194E"/>
    <w:rsid w:val="463F7FFF"/>
    <w:rsid w:val="464E0242"/>
    <w:rsid w:val="465F5FAB"/>
    <w:rsid w:val="46612EB2"/>
    <w:rsid w:val="466730B2"/>
    <w:rsid w:val="466C06C8"/>
    <w:rsid w:val="46765E24"/>
    <w:rsid w:val="467A2DE5"/>
    <w:rsid w:val="468123C6"/>
    <w:rsid w:val="4682613E"/>
    <w:rsid w:val="46836E40"/>
    <w:rsid w:val="468A0B4E"/>
    <w:rsid w:val="469D3194"/>
    <w:rsid w:val="469E759C"/>
    <w:rsid w:val="46A9252D"/>
    <w:rsid w:val="46BD7176"/>
    <w:rsid w:val="46CE2769"/>
    <w:rsid w:val="46D71487"/>
    <w:rsid w:val="46EF0E93"/>
    <w:rsid w:val="46FA61CA"/>
    <w:rsid w:val="4703102D"/>
    <w:rsid w:val="472D42FC"/>
    <w:rsid w:val="47316504"/>
    <w:rsid w:val="473311E6"/>
    <w:rsid w:val="473F7B8B"/>
    <w:rsid w:val="474433F3"/>
    <w:rsid w:val="47503B46"/>
    <w:rsid w:val="475573AE"/>
    <w:rsid w:val="475A5232"/>
    <w:rsid w:val="475F2C88"/>
    <w:rsid w:val="47602F38"/>
    <w:rsid w:val="476148D3"/>
    <w:rsid w:val="477737C9"/>
    <w:rsid w:val="477C0DDF"/>
    <w:rsid w:val="477C365B"/>
    <w:rsid w:val="478354DF"/>
    <w:rsid w:val="478832E0"/>
    <w:rsid w:val="478F56D1"/>
    <w:rsid w:val="479D73AE"/>
    <w:rsid w:val="47A30774"/>
    <w:rsid w:val="47BD3F46"/>
    <w:rsid w:val="47CA56A6"/>
    <w:rsid w:val="47CB141F"/>
    <w:rsid w:val="47CE55B8"/>
    <w:rsid w:val="47D66741"/>
    <w:rsid w:val="47DB39C9"/>
    <w:rsid w:val="47E9041D"/>
    <w:rsid w:val="47F46BC7"/>
    <w:rsid w:val="480303E8"/>
    <w:rsid w:val="481132D5"/>
    <w:rsid w:val="48166977"/>
    <w:rsid w:val="481B05F8"/>
    <w:rsid w:val="481B4C7F"/>
    <w:rsid w:val="48236132"/>
    <w:rsid w:val="4826705A"/>
    <w:rsid w:val="48286293"/>
    <w:rsid w:val="482E410A"/>
    <w:rsid w:val="483C102B"/>
    <w:rsid w:val="484216E1"/>
    <w:rsid w:val="484D0086"/>
    <w:rsid w:val="48537D92"/>
    <w:rsid w:val="48617EF0"/>
    <w:rsid w:val="48645AFB"/>
    <w:rsid w:val="4867383D"/>
    <w:rsid w:val="487D6BBD"/>
    <w:rsid w:val="488717E9"/>
    <w:rsid w:val="489200F3"/>
    <w:rsid w:val="489C05D3"/>
    <w:rsid w:val="48A64365"/>
    <w:rsid w:val="48AC1250"/>
    <w:rsid w:val="48D10CB7"/>
    <w:rsid w:val="48D569F9"/>
    <w:rsid w:val="48E16BD8"/>
    <w:rsid w:val="48EA7FFD"/>
    <w:rsid w:val="48EE4D6E"/>
    <w:rsid w:val="48F14EB5"/>
    <w:rsid w:val="48F84495"/>
    <w:rsid w:val="490B55D4"/>
    <w:rsid w:val="49127351"/>
    <w:rsid w:val="491312CF"/>
    <w:rsid w:val="4916491B"/>
    <w:rsid w:val="491C0184"/>
    <w:rsid w:val="492973BD"/>
    <w:rsid w:val="492B6619"/>
    <w:rsid w:val="492F6C51"/>
    <w:rsid w:val="494D2A33"/>
    <w:rsid w:val="494E3718"/>
    <w:rsid w:val="4961203A"/>
    <w:rsid w:val="496F7D94"/>
    <w:rsid w:val="49865F45"/>
    <w:rsid w:val="49883A6B"/>
    <w:rsid w:val="499E2B88"/>
    <w:rsid w:val="49AB1508"/>
    <w:rsid w:val="49AB59AC"/>
    <w:rsid w:val="49B531F5"/>
    <w:rsid w:val="49B85B97"/>
    <w:rsid w:val="49BE748D"/>
    <w:rsid w:val="49D85A29"/>
    <w:rsid w:val="49D942C7"/>
    <w:rsid w:val="49DA7BDB"/>
    <w:rsid w:val="49E62540"/>
    <w:rsid w:val="49F25388"/>
    <w:rsid w:val="49F64E79"/>
    <w:rsid w:val="49FE5ADB"/>
    <w:rsid w:val="4A0250DD"/>
    <w:rsid w:val="4A07135F"/>
    <w:rsid w:val="4A0F1A96"/>
    <w:rsid w:val="4A1B33EA"/>
    <w:rsid w:val="4A1F5986"/>
    <w:rsid w:val="4A2A4B22"/>
    <w:rsid w:val="4A2A68D0"/>
    <w:rsid w:val="4A2C089A"/>
    <w:rsid w:val="4A3B0014"/>
    <w:rsid w:val="4A4C0DB4"/>
    <w:rsid w:val="4A4D5385"/>
    <w:rsid w:val="4A6C0C97"/>
    <w:rsid w:val="4A6F158D"/>
    <w:rsid w:val="4A9F106C"/>
    <w:rsid w:val="4AA77F21"/>
    <w:rsid w:val="4AA86871"/>
    <w:rsid w:val="4AAF5028"/>
    <w:rsid w:val="4AC24E95"/>
    <w:rsid w:val="4AC46D25"/>
    <w:rsid w:val="4AD30D16"/>
    <w:rsid w:val="4AE13CD9"/>
    <w:rsid w:val="4AF84C20"/>
    <w:rsid w:val="4AF94D53"/>
    <w:rsid w:val="4B052E99"/>
    <w:rsid w:val="4B0D4632"/>
    <w:rsid w:val="4B2C0426"/>
    <w:rsid w:val="4B2D6177"/>
    <w:rsid w:val="4B321EE0"/>
    <w:rsid w:val="4B346231"/>
    <w:rsid w:val="4B3C18A4"/>
    <w:rsid w:val="4B5C6F5D"/>
    <w:rsid w:val="4B625664"/>
    <w:rsid w:val="4B652C46"/>
    <w:rsid w:val="4B680E98"/>
    <w:rsid w:val="4B6A5CD6"/>
    <w:rsid w:val="4B6C4CC7"/>
    <w:rsid w:val="4B6C7B3B"/>
    <w:rsid w:val="4B756271"/>
    <w:rsid w:val="4B7818BD"/>
    <w:rsid w:val="4B7915A4"/>
    <w:rsid w:val="4B7D1B3F"/>
    <w:rsid w:val="4B8509C1"/>
    <w:rsid w:val="4B9858E5"/>
    <w:rsid w:val="4B991F60"/>
    <w:rsid w:val="4B9959CA"/>
    <w:rsid w:val="4B9A5CD8"/>
    <w:rsid w:val="4BAB3E5A"/>
    <w:rsid w:val="4BB2670B"/>
    <w:rsid w:val="4BDB6D23"/>
    <w:rsid w:val="4BEB08DE"/>
    <w:rsid w:val="4BF44698"/>
    <w:rsid w:val="4BFA2159"/>
    <w:rsid w:val="4C0A0767"/>
    <w:rsid w:val="4C0B44E0"/>
    <w:rsid w:val="4C121D12"/>
    <w:rsid w:val="4C24243F"/>
    <w:rsid w:val="4C277A8D"/>
    <w:rsid w:val="4C30781D"/>
    <w:rsid w:val="4C312198"/>
    <w:rsid w:val="4C327CBE"/>
    <w:rsid w:val="4C416153"/>
    <w:rsid w:val="4C681932"/>
    <w:rsid w:val="4C68258E"/>
    <w:rsid w:val="4C6836E0"/>
    <w:rsid w:val="4C6D63AD"/>
    <w:rsid w:val="4C814D50"/>
    <w:rsid w:val="4C824E23"/>
    <w:rsid w:val="4C883D82"/>
    <w:rsid w:val="4C8F5111"/>
    <w:rsid w:val="4C997D3D"/>
    <w:rsid w:val="4CB8045D"/>
    <w:rsid w:val="4CBE77A4"/>
    <w:rsid w:val="4CC052CA"/>
    <w:rsid w:val="4CC4300C"/>
    <w:rsid w:val="4CCF375F"/>
    <w:rsid w:val="4CD6508D"/>
    <w:rsid w:val="4CDD40CE"/>
    <w:rsid w:val="4CEA5FEB"/>
    <w:rsid w:val="4CEC2563"/>
    <w:rsid w:val="4CED1064"/>
    <w:rsid w:val="4CEE3778"/>
    <w:rsid w:val="4CF51418"/>
    <w:rsid w:val="4CFB09F8"/>
    <w:rsid w:val="4D0B63F6"/>
    <w:rsid w:val="4D0C6F21"/>
    <w:rsid w:val="4D16138E"/>
    <w:rsid w:val="4D221AE1"/>
    <w:rsid w:val="4D2559DD"/>
    <w:rsid w:val="4D2717ED"/>
    <w:rsid w:val="4D2C6166"/>
    <w:rsid w:val="4D423F31"/>
    <w:rsid w:val="4D4373FC"/>
    <w:rsid w:val="4D44673F"/>
    <w:rsid w:val="4D455BE9"/>
    <w:rsid w:val="4D4952BF"/>
    <w:rsid w:val="4D4B7289"/>
    <w:rsid w:val="4D4C4DB0"/>
    <w:rsid w:val="4D516A56"/>
    <w:rsid w:val="4D5F5187"/>
    <w:rsid w:val="4D671582"/>
    <w:rsid w:val="4D717F53"/>
    <w:rsid w:val="4D7A5D81"/>
    <w:rsid w:val="4D7B1372"/>
    <w:rsid w:val="4D7B7443"/>
    <w:rsid w:val="4D901140"/>
    <w:rsid w:val="4D94232F"/>
    <w:rsid w:val="4D9724CF"/>
    <w:rsid w:val="4DA013C7"/>
    <w:rsid w:val="4DC64B62"/>
    <w:rsid w:val="4DC856ED"/>
    <w:rsid w:val="4DC96400"/>
    <w:rsid w:val="4DD9523A"/>
    <w:rsid w:val="4DDA685F"/>
    <w:rsid w:val="4DDE7A3E"/>
    <w:rsid w:val="4DF27705"/>
    <w:rsid w:val="4E067FE9"/>
    <w:rsid w:val="4E086F29"/>
    <w:rsid w:val="4E197388"/>
    <w:rsid w:val="4E1B2B23"/>
    <w:rsid w:val="4E1C6B6F"/>
    <w:rsid w:val="4E243AFB"/>
    <w:rsid w:val="4E304EF7"/>
    <w:rsid w:val="4E3221F7"/>
    <w:rsid w:val="4E4168DE"/>
    <w:rsid w:val="4E4D5283"/>
    <w:rsid w:val="4E524648"/>
    <w:rsid w:val="4E5263F6"/>
    <w:rsid w:val="4E624AAC"/>
    <w:rsid w:val="4E6D1482"/>
    <w:rsid w:val="4E6D76D3"/>
    <w:rsid w:val="4E6F6FA8"/>
    <w:rsid w:val="4E712D20"/>
    <w:rsid w:val="4E73745F"/>
    <w:rsid w:val="4E872E83"/>
    <w:rsid w:val="4E880A7B"/>
    <w:rsid w:val="4E9610AE"/>
    <w:rsid w:val="4E974B70"/>
    <w:rsid w:val="4E9E163B"/>
    <w:rsid w:val="4EAC3D58"/>
    <w:rsid w:val="4EB45A8C"/>
    <w:rsid w:val="4EB6772A"/>
    <w:rsid w:val="4EB8094F"/>
    <w:rsid w:val="4EC72940"/>
    <w:rsid w:val="4ECF1098"/>
    <w:rsid w:val="4EDE6FE5"/>
    <w:rsid w:val="4EE74D90"/>
    <w:rsid w:val="4EE9403D"/>
    <w:rsid w:val="4EF72DCF"/>
    <w:rsid w:val="4EFB0C4C"/>
    <w:rsid w:val="4F0C738F"/>
    <w:rsid w:val="4F1A7F6D"/>
    <w:rsid w:val="4F247D92"/>
    <w:rsid w:val="4F336227"/>
    <w:rsid w:val="4F3A5808"/>
    <w:rsid w:val="4F46118A"/>
    <w:rsid w:val="4F4F2935"/>
    <w:rsid w:val="4F5014CB"/>
    <w:rsid w:val="4F5F6B09"/>
    <w:rsid w:val="4F697E9B"/>
    <w:rsid w:val="4F756840"/>
    <w:rsid w:val="4F841C3F"/>
    <w:rsid w:val="4F8A1F03"/>
    <w:rsid w:val="4FAB400F"/>
    <w:rsid w:val="4FAC7D88"/>
    <w:rsid w:val="4FB235F0"/>
    <w:rsid w:val="4FB8497E"/>
    <w:rsid w:val="4FBF0FE4"/>
    <w:rsid w:val="4FC43323"/>
    <w:rsid w:val="4FC7696F"/>
    <w:rsid w:val="4FD256F1"/>
    <w:rsid w:val="4FD35314"/>
    <w:rsid w:val="4FE15C83"/>
    <w:rsid w:val="4FFE6835"/>
    <w:rsid w:val="501201C0"/>
    <w:rsid w:val="501716A5"/>
    <w:rsid w:val="50222277"/>
    <w:rsid w:val="502236E3"/>
    <w:rsid w:val="502427B5"/>
    <w:rsid w:val="5030460E"/>
    <w:rsid w:val="503C14CC"/>
    <w:rsid w:val="503C735D"/>
    <w:rsid w:val="50520866"/>
    <w:rsid w:val="505A6F42"/>
    <w:rsid w:val="506E47C6"/>
    <w:rsid w:val="50747BB7"/>
    <w:rsid w:val="507609A5"/>
    <w:rsid w:val="507E1724"/>
    <w:rsid w:val="508605D9"/>
    <w:rsid w:val="508F1B83"/>
    <w:rsid w:val="50BD049E"/>
    <w:rsid w:val="50CA22E6"/>
    <w:rsid w:val="50CF3D2E"/>
    <w:rsid w:val="50E5137A"/>
    <w:rsid w:val="50EE08A0"/>
    <w:rsid w:val="50FC717D"/>
    <w:rsid w:val="50FD2F9C"/>
    <w:rsid w:val="51031C29"/>
    <w:rsid w:val="5107796B"/>
    <w:rsid w:val="510C6D30"/>
    <w:rsid w:val="510F4689"/>
    <w:rsid w:val="511A4003"/>
    <w:rsid w:val="511E5408"/>
    <w:rsid w:val="5124051D"/>
    <w:rsid w:val="513E0EB3"/>
    <w:rsid w:val="514C35D0"/>
    <w:rsid w:val="515802E8"/>
    <w:rsid w:val="515B1A65"/>
    <w:rsid w:val="5160707C"/>
    <w:rsid w:val="5161270B"/>
    <w:rsid w:val="516D7E41"/>
    <w:rsid w:val="51750D79"/>
    <w:rsid w:val="51776B62"/>
    <w:rsid w:val="517C33D6"/>
    <w:rsid w:val="51826FF2"/>
    <w:rsid w:val="51844B18"/>
    <w:rsid w:val="518700E9"/>
    <w:rsid w:val="51894824"/>
    <w:rsid w:val="518D2C01"/>
    <w:rsid w:val="518E5997"/>
    <w:rsid w:val="519136D9"/>
    <w:rsid w:val="51972897"/>
    <w:rsid w:val="51976F41"/>
    <w:rsid w:val="519805C3"/>
    <w:rsid w:val="519B00B4"/>
    <w:rsid w:val="51A176C2"/>
    <w:rsid w:val="51A27694"/>
    <w:rsid w:val="51B7313F"/>
    <w:rsid w:val="51BB024A"/>
    <w:rsid w:val="51C61318"/>
    <w:rsid w:val="51D35A9F"/>
    <w:rsid w:val="51E1640E"/>
    <w:rsid w:val="51E4124A"/>
    <w:rsid w:val="51E41A5B"/>
    <w:rsid w:val="51E55126"/>
    <w:rsid w:val="51ED0809"/>
    <w:rsid w:val="520914C1"/>
    <w:rsid w:val="520D7203"/>
    <w:rsid w:val="52163D25"/>
    <w:rsid w:val="521E31BF"/>
    <w:rsid w:val="52262AC1"/>
    <w:rsid w:val="522E4030"/>
    <w:rsid w:val="522E6829"/>
    <w:rsid w:val="52345C40"/>
    <w:rsid w:val="52411337"/>
    <w:rsid w:val="52592A10"/>
    <w:rsid w:val="525C7843"/>
    <w:rsid w:val="526037D7"/>
    <w:rsid w:val="526E48F5"/>
    <w:rsid w:val="527A691F"/>
    <w:rsid w:val="529E60AD"/>
    <w:rsid w:val="52BF281F"/>
    <w:rsid w:val="52C52FBD"/>
    <w:rsid w:val="52D829EC"/>
    <w:rsid w:val="52E15F9A"/>
    <w:rsid w:val="52E57838"/>
    <w:rsid w:val="52EB2A8C"/>
    <w:rsid w:val="52F60BC6"/>
    <w:rsid w:val="52F63A51"/>
    <w:rsid w:val="52F91536"/>
    <w:rsid w:val="52FB60C8"/>
    <w:rsid w:val="53046279"/>
    <w:rsid w:val="5305612D"/>
    <w:rsid w:val="53114AD1"/>
    <w:rsid w:val="53195734"/>
    <w:rsid w:val="531D5224"/>
    <w:rsid w:val="53241565"/>
    <w:rsid w:val="5327236A"/>
    <w:rsid w:val="532F4F57"/>
    <w:rsid w:val="53301E1E"/>
    <w:rsid w:val="53434855"/>
    <w:rsid w:val="534A6EC5"/>
    <w:rsid w:val="53511372"/>
    <w:rsid w:val="53560736"/>
    <w:rsid w:val="535B7AFB"/>
    <w:rsid w:val="535D3873"/>
    <w:rsid w:val="53656A60"/>
    <w:rsid w:val="537A08C9"/>
    <w:rsid w:val="537A2677"/>
    <w:rsid w:val="538452A3"/>
    <w:rsid w:val="538C23AA"/>
    <w:rsid w:val="53931E10"/>
    <w:rsid w:val="53990623"/>
    <w:rsid w:val="53A2397B"/>
    <w:rsid w:val="53A7180F"/>
    <w:rsid w:val="53A92F5C"/>
    <w:rsid w:val="53B536AF"/>
    <w:rsid w:val="53CD3DC9"/>
    <w:rsid w:val="53E53868"/>
    <w:rsid w:val="53E72F59"/>
    <w:rsid w:val="53F266B1"/>
    <w:rsid w:val="53F71F19"/>
    <w:rsid w:val="53FA37B7"/>
    <w:rsid w:val="54123014"/>
    <w:rsid w:val="541E6C2F"/>
    <w:rsid w:val="54210B62"/>
    <w:rsid w:val="54212AF2"/>
    <w:rsid w:val="542425E2"/>
    <w:rsid w:val="54243487"/>
    <w:rsid w:val="5426635A"/>
    <w:rsid w:val="542D593B"/>
    <w:rsid w:val="542E3166"/>
    <w:rsid w:val="5438608E"/>
    <w:rsid w:val="544762D1"/>
    <w:rsid w:val="545A6B19"/>
    <w:rsid w:val="54617393"/>
    <w:rsid w:val="54662BFB"/>
    <w:rsid w:val="546649A9"/>
    <w:rsid w:val="54686973"/>
    <w:rsid w:val="546D2A5F"/>
    <w:rsid w:val="5472334E"/>
    <w:rsid w:val="54754BEC"/>
    <w:rsid w:val="547C41CC"/>
    <w:rsid w:val="54817684"/>
    <w:rsid w:val="54847DD1"/>
    <w:rsid w:val="548D63DA"/>
    <w:rsid w:val="549464F4"/>
    <w:rsid w:val="54A36FF6"/>
    <w:rsid w:val="54AA6F8B"/>
    <w:rsid w:val="54AB2D04"/>
    <w:rsid w:val="54B036EC"/>
    <w:rsid w:val="54B856C9"/>
    <w:rsid w:val="54C86EBA"/>
    <w:rsid w:val="54D23DEC"/>
    <w:rsid w:val="54DD70B9"/>
    <w:rsid w:val="54F55D2D"/>
    <w:rsid w:val="54F93A6F"/>
    <w:rsid w:val="55022FBC"/>
    <w:rsid w:val="551408A9"/>
    <w:rsid w:val="553E3D8D"/>
    <w:rsid w:val="554747DA"/>
    <w:rsid w:val="554A09E5"/>
    <w:rsid w:val="55541288"/>
    <w:rsid w:val="555C3E5B"/>
    <w:rsid w:val="55661F99"/>
    <w:rsid w:val="5566599F"/>
    <w:rsid w:val="557E3F74"/>
    <w:rsid w:val="557E5716"/>
    <w:rsid w:val="558966AB"/>
    <w:rsid w:val="559B4B26"/>
    <w:rsid w:val="55B1489A"/>
    <w:rsid w:val="55BC7092"/>
    <w:rsid w:val="55C22F9E"/>
    <w:rsid w:val="55C4407D"/>
    <w:rsid w:val="55C951EF"/>
    <w:rsid w:val="55D75536"/>
    <w:rsid w:val="55D911AB"/>
    <w:rsid w:val="55DA38A0"/>
    <w:rsid w:val="55DC6A61"/>
    <w:rsid w:val="55FC2A88"/>
    <w:rsid w:val="560222CE"/>
    <w:rsid w:val="56077881"/>
    <w:rsid w:val="561604B4"/>
    <w:rsid w:val="561623FF"/>
    <w:rsid w:val="56163AA3"/>
    <w:rsid w:val="5624421E"/>
    <w:rsid w:val="562635DE"/>
    <w:rsid w:val="562A4D7C"/>
    <w:rsid w:val="562E4979"/>
    <w:rsid w:val="56332FB1"/>
    <w:rsid w:val="563A0121"/>
    <w:rsid w:val="563D1091"/>
    <w:rsid w:val="563E1C72"/>
    <w:rsid w:val="564822B6"/>
    <w:rsid w:val="56503E27"/>
    <w:rsid w:val="565D3B8A"/>
    <w:rsid w:val="566A76A2"/>
    <w:rsid w:val="56705094"/>
    <w:rsid w:val="56705C7C"/>
    <w:rsid w:val="56772E9D"/>
    <w:rsid w:val="567D5FDA"/>
    <w:rsid w:val="568455BA"/>
    <w:rsid w:val="56877D58"/>
    <w:rsid w:val="568A01B2"/>
    <w:rsid w:val="568B6949"/>
    <w:rsid w:val="56A95021"/>
    <w:rsid w:val="56AC4FD8"/>
    <w:rsid w:val="56AF17FC"/>
    <w:rsid w:val="56B21D1B"/>
    <w:rsid w:val="56B8619A"/>
    <w:rsid w:val="56B90627"/>
    <w:rsid w:val="56BC2F8D"/>
    <w:rsid w:val="56C55FB7"/>
    <w:rsid w:val="56C80D01"/>
    <w:rsid w:val="56D54068"/>
    <w:rsid w:val="56D8582C"/>
    <w:rsid w:val="56E3112B"/>
    <w:rsid w:val="56F05FC6"/>
    <w:rsid w:val="571050A0"/>
    <w:rsid w:val="571A7AAB"/>
    <w:rsid w:val="572648C3"/>
    <w:rsid w:val="57322E61"/>
    <w:rsid w:val="574D3BFE"/>
    <w:rsid w:val="575256B8"/>
    <w:rsid w:val="57572D54"/>
    <w:rsid w:val="57664E7B"/>
    <w:rsid w:val="576F1DC6"/>
    <w:rsid w:val="57771F39"/>
    <w:rsid w:val="578D1B23"/>
    <w:rsid w:val="578E5521"/>
    <w:rsid w:val="57A93DE7"/>
    <w:rsid w:val="57AD75FC"/>
    <w:rsid w:val="57B241D8"/>
    <w:rsid w:val="57B40121"/>
    <w:rsid w:val="57BC2B32"/>
    <w:rsid w:val="57BF2D4E"/>
    <w:rsid w:val="57C32112"/>
    <w:rsid w:val="57C32749"/>
    <w:rsid w:val="57E24C8E"/>
    <w:rsid w:val="57EE718F"/>
    <w:rsid w:val="57F4051E"/>
    <w:rsid w:val="57F43C02"/>
    <w:rsid w:val="58156E12"/>
    <w:rsid w:val="58247055"/>
    <w:rsid w:val="58257766"/>
    <w:rsid w:val="582901C7"/>
    <w:rsid w:val="58345EFC"/>
    <w:rsid w:val="58421289"/>
    <w:rsid w:val="58510572"/>
    <w:rsid w:val="586B07E0"/>
    <w:rsid w:val="5875165E"/>
    <w:rsid w:val="58782EFD"/>
    <w:rsid w:val="587A5A97"/>
    <w:rsid w:val="58950219"/>
    <w:rsid w:val="589870FB"/>
    <w:rsid w:val="589A4E75"/>
    <w:rsid w:val="58A021C5"/>
    <w:rsid w:val="58B227AE"/>
    <w:rsid w:val="58BC4C2B"/>
    <w:rsid w:val="58C352EB"/>
    <w:rsid w:val="58CA17B1"/>
    <w:rsid w:val="58CD5B5B"/>
    <w:rsid w:val="58CE0D6F"/>
    <w:rsid w:val="58D22AF6"/>
    <w:rsid w:val="58DE26A5"/>
    <w:rsid w:val="58E00C2E"/>
    <w:rsid w:val="58E331D0"/>
    <w:rsid w:val="58EB7B73"/>
    <w:rsid w:val="58EC19E9"/>
    <w:rsid w:val="58FC0B0D"/>
    <w:rsid w:val="59017396"/>
    <w:rsid w:val="590C1717"/>
    <w:rsid w:val="591155D6"/>
    <w:rsid w:val="593037D7"/>
    <w:rsid w:val="59367040"/>
    <w:rsid w:val="593D6EE9"/>
    <w:rsid w:val="59417793"/>
    <w:rsid w:val="594A107C"/>
    <w:rsid w:val="5957507E"/>
    <w:rsid w:val="59594ADC"/>
    <w:rsid w:val="59611ED8"/>
    <w:rsid w:val="59680249"/>
    <w:rsid w:val="596C2A61"/>
    <w:rsid w:val="596D4A2C"/>
    <w:rsid w:val="596D67DA"/>
    <w:rsid w:val="596F2552"/>
    <w:rsid w:val="59723DF0"/>
    <w:rsid w:val="598322B6"/>
    <w:rsid w:val="598510E4"/>
    <w:rsid w:val="598B101E"/>
    <w:rsid w:val="598D29D8"/>
    <w:rsid w:val="59AA5338"/>
    <w:rsid w:val="59AE437D"/>
    <w:rsid w:val="59B166C6"/>
    <w:rsid w:val="59BD32BD"/>
    <w:rsid w:val="59C02474"/>
    <w:rsid w:val="59C04B5B"/>
    <w:rsid w:val="59C22EF0"/>
    <w:rsid w:val="59CF4D9E"/>
    <w:rsid w:val="59D16D68"/>
    <w:rsid w:val="59DA2B2B"/>
    <w:rsid w:val="59DD2695"/>
    <w:rsid w:val="59E11AA4"/>
    <w:rsid w:val="59ED3476"/>
    <w:rsid w:val="59FE5684"/>
    <w:rsid w:val="59FF680D"/>
    <w:rsid w:val="5A06693A"/>
    <w:rsid w:val="5A0A04CC"/>
    <w:rsid w:val="5A2150F7"/>
    <w:rsid w:val="5A272E2C"/>
    <w:rsid w:val="5A2E41BB"/>
    <w:rsid w:val="5A307F33"/>
    <w:rsid w:val="5A3514A4"/>
    <w:rsid w:val="5A3A2B60"/>
    <w:rsid w:val="5A3E40DC"/>
    <w:rsid w:val="5A4E2167"/>
    <w:rsid w:val="5A544BED"/>
    <w:rsid w:val="5A5E14A4"/>
    <w:rsid w:val="5A7476F4"/>
    <w:rsid w:val="5A757696"/>
    <w:rsid w:val="5A781A4A"/>
    <w:rsid w:val="5A7B23C9"/>
    <w:rsid w:val="5A820063"/>
    <w:rsid w:val="5AA73CCE"/>
    <w:rsid w:val="5AAA3098"/>
    <w:rsid w:val="5AB84A47"/>
    <w:rsid w:val="5ABA2B80"/>
    <w:rsid w:val="5ABF3B81"/>
    <w:rsid w:val="5AC16DDD"/>
    <w:rsid w:val="5AC70954"/>
    <w:rsid w:val="5AC95C92"/>
    <w:rsid w:val="5ACD5782"/>
    <w:rsid w:val="5AD7215D"/>
    <w:rsid w:val="5AD9315B"/>
    <w:rsid w:val="5AE36442"/>
    <w:rsid w:val="5AF727FF"/>
    <w:rsid w:val="5AF94155"/>
    <w:rsid w:val="5B0B62AA"/>
    <w:rsid w:val="5B0E18F6"/>
    <w:rsid w:val="5B1D0714"/>
    <w:rsid w:val="5B2335F4"/>
    <w:rsid w:val="5B296730"/>
    <w:rsid w:val="5B2B06FA"/>
    <w:rsid w:val="5B303F4D"/>
    <w:rsid w:val="5B3752F1"/>
    <w:rsid w:val="5B3C102F"/>
    <w:rsid w:val="5B3D7C9E"/>
    <w:rsid w:val="5B435A44"/>
    <w:rsid w:val="5B5350B9"/>
    <w:rsid w:val="5B557525"/>
    <w:rsid w:val="5B57304C"/>
    <w:rsid w:val="5B584121"/>
    <w:rsid w:val="5B604949"/>
    <w:rsid w:val="5B667984"/>
    <w:rsid w:val="5B694FA5"/>
    <w:rsid w:val="5B7756EE"/>
    <w:rsid w:val="5B8322E4"/>
    <w:rsid w:val="5BA72CE5"/>
    <w:rsid w:val="5BAD110F"/>
    <w:rsid w:val="5BB02452"/>
    <w:rsid w:val="5BB10780"/>
    <w:rsid w:val="5BB66216"/>
    <w:rsid w:val="5BC91182"/>
    <w:rsid w:val="5BD1048C"/>
    <w:rsid w:val="5BD1744E"/>
    <w:rsid w:val="5BD57899"/>
    <w:rsid w:val="5BE755A7"/>
    <w:rsid w:val="5BE82D5C"/>
    <w:rsid w:val="5BF136F2"/>
    <w:rsid w:val="5BF8682E"/>
    <w:rsid w:val="5C0009AC"/>
    <w:rsid w:val="5C0276AD"/>
    <w:rsid w:val="5C221737"/>
    <w:rsid w:val="5C22204E"/>
    <w:rsid w:val="5C2C0286"/>
    <w:rsid w:val="5C2C472A"/>
    <w:rsid w:val="5C2C7702"/>
    <w:rsid w:val="5C332CCE"/>
    <w:rsid w:val="5C433822"/>
    <w:rsid w:val="5C4C6B7A"/>
    <w:rsid w:val="5C593045"/>
    <w:rsid w:val="5C5A0590"/>
    <w:rsid w:val="5C625D69"/>
    <w:rsid w:val="5C645C72"/>
    <w:rsid w:val="5C6A5252"/>
    <w:rsid w:val="5C6D1366"/>
    <w:rsid w:val="5C7236C4"/>
    <w:rsid w:val="5C777EC9"/>
    <w:rsid w:val="5C7F5F98"/>
    <w:rsid w:val="5C8B1DF2"/>
    <w:rsid w:val="5C8C4989"/>
    <w:rsid w:val="5C981DBF"/>
    <w:rsid w:val="5CB71EAC"/>
    <w:rsid w:val="5CC22998"/>
    <w:rsid w:val="5CC35DCC"/>
    <w:rsid w:val="5CC82B3B"/>
    <w:rsid w:val="5CCB1749"/>
    <w:rsid w:val="5CCC1228"/>
    <w:rsid w:val="5CCC1A69"/>
    <w:rsid w:val="5CE9261B"/>
    <w:rsid w:val="5CEB6393"/>
    <w:rsid w:val="5CF039A9"/>
    <w:rsid w:val="5CF54822"/>
    <w:rsid w:val="5CF66008"/>
    <w:rsid w:val="5D0C7543"/>
    <w:rsid w:val="5D131446"/>
    <w:rsid w:val="5D137698"/>
    <w:rsid w:val="5D141D44"/>
    <w:rsid w:val="5D2D075A"/>
    <w:rsid w:val="5D2E318E"/>
    <w:rsid w:val="5D3E704C"/>
    <w:rsid w:val="5D43621A"/>
    <w:rsid w:val="5D4D2C0B"/>
    <w:rsid w:val="5D4D4958"/>
    <w:rsid w:val="5D521F6E"/>
    <w:rsid w:val="5D55380D"/>
    <w:rsid w:val="5D6A0AD6"/>
    <w:rsid w:val="5D6D7849"/>
    <w:rsid w:val="5D6D79E0"/>
    <w:rsid w:val="5D704AEA"/>
    <w:rsid w:val="5D881314"/>
    <w:rsid w:val="5D8E2BDA"/>
    <w:rsid w:val="5D924A61"/>
    <w:rsid w:val="5D93480D"/>
    <w:rsid w:val="5DA70D54"/>
    <w:rsid w:val="5DAE75AB"/>
    <w:rsid w:val="5DBC7D30"/>
    <w:rsid w:val="5DC015CE"/>
    <w:rsid w:val="5DC170F4"/>
    <w:rsid w:val="5DC50992"/>
    <w:rsid w:val="5DC80482"/>
    <w:rsid w:val="5DCD5A99"/>
    <w:rsid w:val="5DD44846"/>
    <w:rsid w:val="5DD456B0"/>
    <w:rsid w:val="5DD72473"/>
    <w:rsid w:val="5DEF5630"/>
    <w:rsid w:val="5DF272AD"/>
    <w:rsid w:val="5DF861B9"/>
    <w:rsid w:val="5DFC7CC5"/>
    <w:rsid w:val="5E0B036F"/>
    <w:rsid w:val="5E14191A"/>
    <w:rsid w:val="5E176D14"/>
    <w:rsid w:val="5E211941"/>
    <w:rsid w:val="5E226E13"/>
    <w:rsid w:val="5E334ADA"/>
    <w:rsid w:val="5E3478C6"/>
    <w:rsid w:val="5E36452D"/>
    <w:rsid w:val="5E3E24F3"/>
    <w:rsid w:val="5E5341F0"/>
    <w:rsid w:val="5E744166"/>
    <w:rsid w:val="5E793590"/>
    <w:rsid w:val="5E7A066C"/>
    <w:rsid w:val="5E810EA4"/>
    <w:rsid w:val="5E8A0F0B"/>
    <w:rsid w:val="5E912F6A"/>
    <w:rsid w:val="5E9A7717"/>
    <w:rsid w:val="5EA3093F"/>
    <w:rsid w:val="5EAC3900"/>
    <w:rsid w:val="5EC522F6"/>
    <w:rsid w:val="5ECC5D50"/>
    <w:rsid w:val="5ECC7AFE"/>
    <w:rsid w:val="5ECE3876"/>
    <w:rsid w:val="5EDA221B"/>
    <w:rsid w:val="5EDD3B2D"/>
    <w:rsid w:val="5EE66E12"/>
    <w:rsid w:val="5EF157B7"/>
    <w:rsid w:val="5EF62DCD"/>
    <w:rsid w:val="5F1009AE"/>
    <w:rsid w:val="5F1119B5"/>
    <w:rsid w:val="5F157B18"/>
    <w:rsid w:val="5F2913F5"/>
    <w:rsid w:val="5F361AEB"/>
    <w:rsid w:val="5F36600F"/>
    <w:rsid w:val="5F385194"/>
    <w:rsid w:val="5F3F6522"/>
    <w:rsid w:val="5F435CCA"/>
    <w:rsid w:val="5F476BD9"/>
    <w:rsid w:val="5F5A3F43"/>
    <w:rsid w:val="5F6D7533"/>
    <w:rsid w:val="5F6E0BB6"/>
    <w:rsid w:val="5F8605F5"/>
    <w:rsid w:val="5F864151"/>
    <w:rsid w:val="5FAF00F9"/>
    <w:rsid w:val="5FAF72BB"/>
    <w:rsid w:val="5FB32A6C"/>
    <w:rsid w:val="5FB7255D"/>
    <w:rsid w:val="5FD0361E"/>
    <w:rsid w:val="5FE54453"/>
    <w:rsid w:val="5FF4555F"/>
    <w:rsid w:val="6000600D"/>
    <w:rsid w:val="600E1552"/>
    <w:rsid w:val="6017124D"/>
    <w:rsid w:val="60416652"/>
    <w:rsid w:val="604910AD"/>
    <w:rsid w:val="604F4E8B"/>
    <w:rsid w:val="60521C14"/>
    <w:rsid w:val="60554BA6"/>
    <w:rsid w:val="606A457E"/>
    <w:rsid w:val="6098238E"/>
    <w:rsid w:val="60A6074B"/>
    <w:rsid w:val="60AF3DAF"/>
    <w:rsid w:val="60BE307E"/>
    <w:rsid w:val="60C05441"/>
    <w:rsid w:val="60C07B37"/>
    <w:rsid w:val="60C64917"/>
    <w:rsid w:val="60C711CA"/>
    <w:rsid w:val="60CA4511"/>
    <w:rsid w:val="60D20FF1"/>
    <w:rsid w:val="60D4713E"/>
    <w:rsid w:val="60D809DC"/>
    <w:rsid w:val="60E03D35"/>
    <w:rsid w:val="60E20430"/>
    <w:rsid w:val="60E750C3"/>
    <w:rsid w:val="61023AAC"/>
    <w:rsid w:val="610250CB"/>
    <w:rsid w:val="61074E35"/>
    <w:rsid w:val="6112631F"/>
    <w:rsid w:val="611807AB"/>
    <w:rsid w:val="611F21D3"/>
    <w:rsid w:val="61202383"/>
    <w:rsid w:val="613100ED"/>
    <w:rsid w:val="61363955"/>
    <w:rsid w:val="6151078F"/>
    <w:rsid w:val="615C785F"/>
    <w:rsid w:val="61646714"/>
    <w:rsid w:val="61717E34"/>
    <w:rsid w:val="6172388B"/>
    <w:rsid w:val="617D1584"/>
    <w:rsid w:val="618E3791"/>
    <w:rsid w:val="618F1931"/>
    <w:rsid w:val="619A2136"/>
    <w:rsid w:val="619C7C5C"/>
    <w:rsid w:val="61A82AA5"/>
    <w:rsid w:val="61A92915"/>
    <w:rsid w:val="61B054B5"/>
    <w:rsid w:val="61B825BC"/>
    <w:rsid w:val="61CA2A1B"/>
    <w:rsid w:val="61CB25AB"/>
    <w:rsid w:val="61CD250B"/>
    <w:rsid w:val="61D5580D"/>
    <w:rsid w:val="61DE2022"/>
    <w:rsid w:val="61E20CBA"/>
    <w:rsid w:val="61E909C7"/>
    <w:rsid w:val="61EA79DC"/>
    <w:rsid w:val="61EB2991"/>
    <w:rsid w:val="6207356F"/>
    <w:rsid w:val="620B6E9C"/>
    <w:rsid w:val="620D118E"/>
    <w:rsid w:val="620F6680"/>
    <w:rsid w:val="62330EBD"/>
    <w:rsid w:val="623662CB"/>
    <w:rsid w:val="6243457B"/>
    <w:rsid w:val="626A5FAC"/>
    <w:rsid w:val="626F2D4C"/>
    <w:rsid w:val="627110E9"/>
    <w:rsid w:val="627C72D6"/>
    <w:rsid w:val="628A21AA"/>
    <w:rsid w:val="628C5F22"/>
    <w:rsid w:val="62910955"/>
    <w:rsid w:val="62960B4F"/>
    <w:rsid w:val="629D12C3"/>
    <w:rsid w:val="629D1B83"/>
    <w:rsid w:val="62B17737"/>
    <w:rsid w:val="62B965EC"/>
    <w:rsid w:val="62BB2364"/>
    <w:rsid w:val="62C0797A"/>
    <w:rsid w:val="62C54F90"/>
    <w:rsid w:val="62CB1975"/>
    <w:rsid w:val="62CE6903"/>
    <w:rsid w:val="62CF7BBD"/>
    <w:rsid w:val="62DB47B4"/>
    <w:rsid w:val="62DE6052"/>
    <w:rsid w:val="62E33669"/>
    <w:rsid w:val="62E719B6"/>
    <w:rsid w:val="62E77B02"/>
    <w:rsid w:val="62EC33E8"/>
    <w:rsid w:val="62EF4C09"/>
    <w:rsid w:val="62F66CD2"/>
    <w:rsid w:val="62FB4E56"/>
    <w:rsid w:val="63003607"/>
    <w:rsid w:val="630469EE"/>
    <w:rsid w:val="63116760"/>
    <w:rsid w:val="631321A0"/>
    <w:rsid w:val="631A2E0E"/>
    <w:rsid w:val="631B079D"/>
    <w:rsid w:val="631F6D97"/>
    <w:rsid w:val="633073A1"/>
    <w:rsid w:val="633640E0"/>
    <w:rsid w:val="63375FCC"/>
    <w:rsid w:val="634E7E04"/>
    <w:rsid w:val="635F45AA"/>
    <w:rsid w:val="636649C5"/>
    <w:rsid w:val="63686989"/>
    <w:rsid w:val="636F48E5"/>
    <w:rsid w:val="63894210"/>
    <w:rsid w:val="63911317"/>
    <w:rsid w:val="639C3F44"/>
    <w:rsid w:val="63A55FDB"/>
    <w:rsid w:val="63B07EEF"/>
    <w:rsid w:val="63B62065"/>
    <w:rsid w:val="63B70D7D"/>
    <w:rsid w:val="63C43BCD"/>
    <w:rsid w:val="63CD05A1"/>
    <w:rsid w:val="63D23E09"/>
    <w:rsid w:val="63D72EAC"/>
    <w:rsid w:val="63F024E1"/>
    <w:rsid w:val="63F66CDF"/>
    <w:rsid w:val="640A20BA"/>
    <w:rsid w:val="640A35A3"/>
    <w:rsid w:val="64116A06"/>
    <w:rsid w:val="64153CF6"/>
    <w:rsid w:val="641A130C"/>
    <w:rsid w:val="64273C24"/>
    <w:rsid w:val="64290ACE"/>
    <w:rsid w:val="642C061F"/>
    <w:rsid w:val="642C501B"/>
    <w:rsid w:val="64370110"/>
    <w:rsid w:val="64430863"/>
    <w:rsid w:val="644B5969"/>
    <w:rsid w:val="64504D2E"/>
    <w:rsid w:val="64552344"/>
    <w:rsid w:val="645D436A"/>
    <w:rsid w:val="646122F9"/>
    <w:rsid w:val="64852C29"/>
    <w:rsid w:val="648F776D"/>
    <w:rsid w:val="64904827"/>
    <w:rsid w:val="64954033"/>
    <w:rsid w:val="64986E00"/>
    <w:rsid w:val="649958E7"/>
    <w:rsid w:val="64AA6B34"/>
    <w:rsid w:val="64B11C70"/>
    <w:rsid w:val="64C319A4"/>
    <w:rsid w:val="64C33752"/>
    <w:rsid w:val="64C5571C"/>
    <w:rsid w:val="64D12312"/>
    <w:rsid w:val="64D17D76"/>
    <w:rsid w:val="64D616D7"/>
    <w:rsid w:val="64E10103"/>
    <w:rsid w:val="64E221CB"/>
    <w:rsid w:val="64E2785C"/>
    <w:rsid w:val="64ED4F78"/>
    <w:rsid w:val="64F32289"/>
    <w:rsid w:val="64F63B27"/>
    <w:rsid w:val="64FB738F"/>
    <w:rsid w:val="64FC354F"/>
    <w:rsid w:val="650A47C7"/>
    <w:rsid w:val="650C3F03"/>
    <w:rsid w:val="650E652A"/>
    <w:rsid w:val="651520C3"/>
    <w:rsid w:val="651B5564"/>
    <w:rsid w:val="652135B9"/>
    <w:rsid w:val="65222B6E"/>
    <w:rsid w:val="65293C08"/>
    <w:rsid w:val="65426D6C"/>
    <w:rsid w:val="65442AE4"/>
    <w:rsid w:val="654A07BF"/>
    <w:rsid w:val="65521F0A"/>
    <w:rsid w:val="656E190F"/>
    <w:rsid w:val="656F7DA6"/>
    <w:rsid w:val="657B77D2"/>
    <w:rsid w:val="657F1D6E"/>
    <w:rsid w:val="65801643"/>
    <w:rsid w:val="65841878"/>
    <w:rsid w:val="659155FE"/>
    <w:rsid w:val="65932E07"/>
    <w:rsid w:val="6598698C"/>
    <w:rsid w:val="65BF220D"/>
    <w:rsid w:val="65C6799D"/>
    <w:rsid w:val="65CB435F"/>
    <w:rsid w:val="65E120E1"/>
    <w:rsid w:val="65EB2F60"/>
    <w:rsid w:val="65EF5924"/>
    <w:rsid w:val="65F04FB0"/>
    <w:rsid w:val="660260D4"/>
    <w:rsid w:val="66195D1F"/>
    <w:rsid w:val="66320B8F"/>
    <w:rsid w:val="663905B0"/>
    <w:rsid w:val="663F505A"/>
    <w:rsid w:val="664542D5"/>
    <w:rsid w:val="66456B14"/>
    <w:rsid w:val="664B4921"/>
    <w:rsid w:val="665C5C0C"/>
    <w:rsid w:val="665E36AE"/>
    <w:rsid w:val="665E4573"/>
    <w:rsid w:val="66652862"/>
    <w:rsid w:val="66756CCD"/>
    <w:rsid w:val="667747F4"/>
    <w:rsid w:val="667C43DE"/>
    <w:rsid w:val="667D11B5"/>
    <w:rsid w:val="66862C89"/>
    <w:rsid w:val="668B64F1"/>
    <w:rsid w:val="66945BBB"/>
    <w:rsid w:val="66AA4BC9"/>
    <w:rsid w:val="66B15F22"/>
    <w:rsid w:val="66B912B0"/>
    <w:rsid w:val="66C37A39"/>
    <w:rsid w:val="66CD2666"/>
    <w:rsid w:val="66DD6BE3"/>
    <w:rsid w:val="66E14363"/>
    <w:rsid w:val="66E300DB"/>
    <w:rsid w:val="66EB166F"/>
    <w:rsid w:val="66F62E75"/>
    <w:rsid w:val="66F66060"/>
    <w:rsid w:val="66FA7FE7"/>
    <w:rsid w:val="66FE3167"/>
    <w:rsid w:val="67060E0F"/>
    <w:rsid w:val="670B2B00"/>
    <w:rsid w:val="670C13E0"/>
    <w:rsid w:val="6723497B"/>
    <w:rsid w:val="67250B29"/>
    <w:rsid w:val="67274666"/>
    <w:rsid w:val="672747E3"/>
    <w:rsid w:val="672F23D3"/>
    <w:rsid w:val="672F59CA"/>
    <w:rsid w:val="67346B89"/>
    <w:rsid w:val="673B7F17"/>
    <w:rsid w:val="673D77EB"/>
    <w:rsid w:val="6753700F"/>
    <w:rsid w:val="676236F6"/>
    <w:rsid w:val="676338A9"/>
    <w:rsid w:val="67644734"/>
    <w:rsid w:val="676E209B"/>
    <w:rsid w:val="677C4BA2"/>
    <w:rsid w:val="6785497E"/>
    <w:rsid w:val="6796339F"/>
    <w:rsid w:val="67966EFB"/>
    <w:rsid w:val="679A2E90"/>
    <w:rsid w:val="679A69EC"/>
    <w:rsid w:val="679B6CE2"/>
    <w:rsid w:val="67A8750E"/>
    <w:rsid w:val="67AC671F"/>
    <w:rsid w:val="67AE06E9"/>
    <w:rsid w:val="67B37E14"/>
    <w:rsid w:val="67BD26DA"/>
    <w:rsid w:val="67C25F42"/>
    <w:rsid w:val="68262975"/>
    <w:rsid w:val="682664D1"/>
    <w:rsid w:val="68282249"/>
    <w:rsid w:val="68307555"/>
    <w:rsid w:val="6832451F"/>
    <w:rsid w:val="68354966"/>
    <w:rsid w:val="68466FA9"/>
    <w:rsid w:val="684A42AB"/>
    <w:rsid w:val="685748DD"/>
    <w:rsid w:val="685C1EF3"/>
    <w:rsid w:val="685F7C35"/>
    <w:rsid w:val="68646FFA"/>
    <w:rsid w:val="686C41B1"/>
    <w:rsid w:val="68774F7F"/>
    <w:rsid w:val="688651C2"/>
    <w:rsid w:val="688C1C27"/>
    <w:rsid w:val="689424BE"/>
    <w:rsid w:val="68951E88"/>
    <w:rsid w:val="689A31C8"/>
    <w:rsid w:val="689B5AA7"/>
    <w:rsid w:val="68A67C91"/>
    <w:rsid w:val="68B03FED"/>
    <w:rsid w:val="68C36416"/>
    <w:rsid w:val="68C74DCD"/>
    <w:rsid w:val="68C857DA"/>
    <w:rsid w:val="68D93544"/>
    <w:rsid w:val="68DD5471"/>
    <w:rsid w:val="68E343C2"/>
    <w:rsid w:val="68F22857"/>
    <w:rsid w:val="68F62348"/>
    <w:rsid w:val="690A194F"/>
    <w:rsid w:val="691E53FA"/>
    <w:rsid w:val="692B65F8"/>
    <w:rsid w:val="692E7D33"/>
    <w:rsid w:val="6930766A"/>
    <w:rsid w:val="69362744"/>
    <w:rsid w:val="693D350F"/>
    <w:rsid w:val="694035C3"/>
    <w:rsid w:val="69474951"/>
    <w:rsid w:val="694766FF"/>
    <w:rsid w:val="694A5498"/>
    <w:rsid w:val="69531548"/>
    <w:rsid w:val="695F7F15"/>
    <w:rsid w:val="69603C65"/>
    <w:rsid w:val="69672ABC"/>
    <w:rsid w:val="696848C8"/>
    <w:rsid w:val="696B34DB"/>
    <w:rsid w:val="69790883"/>
    <w:rsid w:val="69847953"/>
    <w:rsid w:val="69855479"/>
    <w:rsid w:val="69886D18"/>
    <w:rsid w:val="698E2580"/>
    <w:rsid w:val="69951B60"/>
    <w:rsid w:val="699851AD"/>
    <w:rsid w:val="699D07F8"/>
    <w:rsid w:val="69A578CA"/>
    <w:rsid w:val="69B057B2"/>
    <w:rsid w:val="69B45449"/>
    <w:rsid w:val="69BF098B"/>
    <w:rsid w:val="69CC10EA"/>
    <w:rsid w:val="69D04204"/>
    <w:rsid w:val="69D62568"/>
    <w:rsid w:val="69DB0917"/>
    <w:rsid w:val="69EE6505"/>
    <w:rsid w:val="6A1D56B2"/>
    <w:rsid w:val="6A211646"/>
    <w:rsid w:val="6A2B7F51"/>
    <w:rsid w:val="6A2D7FEB"/>
    <w:rsid w:val="6A324A95"/>
    <w:rsid w:val="6A55309E"/>
    <w:rsid w:val="6A7531B0"/>
    <w:rsid w:val="6A7D6B2B"/>
    <w:rsid w:val="6AAD2EDA"/>
    <w:rsid w:val="6AB2229E"/>
    <w:rsid w:val="6ABC7EDD"/>
    <w:rsid w:val="6AC16985"/>
    <w:rsid w:val="6AC20AE3"/>
    <w:rsid w:val="6AD46F87"/>
    <w:rsid w:val="6AF503DD"/>
    <w:rsid w:val="6AF64881"/>
    <w:rsid w:val="6AF6662F"/>
    <w:rsid w:val="6AFA05FA"/>
    <w:rsid w:val="6AFE1987"/>
    <w:rsid w:val="6AFE5387"/>
    <w:rsid w:val="6B007BCD"/>
    <w:rsid w:val="6B026BC8"/>
    <w:rsid w:val="6B076FEB"/>
    <w:rsid w:val="6B0A3AD2"/>
    <w:rsid w:val="6B0B1578"/>
    <w:rsid w:val="6B0D5727"/>
    <w:rsid w:val="6B111E73"/>
    <w:rsid w:val="6B234F4A"/>
    <w:rsid w:val="6B236DC6"/>
    <w:rsid w:val="6B27658A"/>
    <w:rsid w:val="6B2D401B"/>
    <w:rsid w:val="6B317667"/>
    <w:rsid w:val="6B403D4E"/>
    <w:rsid w:val="6B431097"/>
    <w:rsid w:val="6B49636A"/>
    <w:rsid w:val="6B52276F"/>
    <w:rsid w:val="6B5D36FB"/>
    <w:rsid w:val="6B655563"/>
    <w:rsid w:val="6B6E3BC7"/>
    <w:rsid w:val="6B79100E"/>
    <w:rsid w:val="6B8A4FC9"/>
    <w:rsid w:val="6B9320D0"/>
    <w:rsid w:val="6B9D7A18"/>
    <w:rsid w:val="6BA45D4B"/>
    <w:rsid w:val="6BA50055"/>
    <w:rsid w:val="6BAA7419"/>
    <w:rsid w:val="6BBB5183"/>
    <w:rsid w:val="6BCB7ABB"/>
    <w:rsid w:val="6BD05953"/>
    <w:rsid w:val="6BD6020E"/>
    <w:rsid w:val="6BFB5EC7"/>
    <w:rsid w:val="6C022DB1"/>
    <w:rsid w:val="6C0A5D50"/>
    <w:rsid w:val="6C0B3453"/>
    <w:rsid w:val="6C0F54CE"/>
    <w:rsid w:val="6C117498"/>
    <w:rsid w:val="6C136D6D"/>
    <w:rsid w:val="6C156F89"/>
    <w:rsid w:val="6C164AAF"/>
    <w:rsid w:val="6C1825D5"/>
    <w:rsid w:val="6C1C540E"/>
    <w:rsid w:val="6C2871F7"/>
    <w:rsid w:val="6C33740F"/>
    <w:rsid w:val="6C3547CE"/>
    <w:rsid w:val="6C425EEE"/>
    <w:rsid w:val="6C4D6279"/>
    <w:rsid w:val="6C525009"/>
    <w:rsid w:val="6C6B0957"/>
    <w:rsid w:val="6C7439A8"/>
    <w:rsid w:val="6C8B0FF9"/>
    <w:rsid w:val="6C8D2FC3"/>
    <w:rsid w:val="6CA144CE"/>
    <w:rsid w:val="6CA54C07"/>
    <w:rsid w:val="6CA9147F"/>
    <w:rsid w:val="6CB05400"/>
    <w:rsid w:val="6CBA731E"/>
    <w:rsid w:val="6CBC7404"/>
    <w:rsid w:val="6CC83FFB"/>
    <w:rsid w:val="6CCA451B"/>
    <w:rsid w:val="6CE1330F"/>
    <w:rsid w:val="6CE32BE3"/>
    <w:rsid w:val="6D0B1525"/>
    <w:rsid w:val="6D176D30"/>
    <w:rsid w:val="6D1A412B"/>
    <w:rsid w:val="6D1F07AD"/>
    <w:rsid w:val="6D21370B"/>
    <w:rsid w:val="6D4A71F3"/>
    <w:rsid w:val="6D521B17"/>
    <w:rsid w:val="6D567859"/>
    <w:rsid w:val="6D5B09CB"/>
    <w:rsid w:val="6D6000F2"/>
    <w:rsid w:val="6D605FE2"/>
    <w:rsid w:val="6D61370E"/>
    <w:rsid w:val="6D6830E8"/>
    <w:rsid w:val="6D723F67"/>
    <w:rsid w:val="6D98467C"/>
    <w:rsid w:val="6DA560EA"/>
    <w:rsid w:val="6DA63A65"/>
    <w:rsid w:val="6DB17B92"/>
    <w:rsid w:val="6DB620A5"/>
    <w:rsid w:val="6DC5678C"/>
    <w:rsid w:val="6DDD3AD6"/>
    <w:rsid w:val="6DE30385"/>
    <w:rsid w:val="6DEA29BD"/>
    <w:rsid w:val="6DEC1F6B"/>
    <w:rsid w:val="6DF11519"/>
    <w:rsid w:val="6DF32E42"/>
    <w:rsid w:val="6DFB0400"/>
    <w:rsid w:val="6E160D96"/>
    <w:rsid w:val="6E1B1568"/>
    <w:rsid w:val="6E1F58A5"/>
    <w:rsid w:val="6E241705"/>
    <w:rsid w:val="6E250FD9"/>
    <w:rsid w:val="6E34121C"/>
    <w:rsid w:val="6E3556C0"/>
    <w:rsid w:val="6E45154B"/>
    <w:rsid w:val="6E4A5713"/>
    <w:rsid w:val="6E531FEA"/>
    <w:rsid w:val="6E5A0C83"/>
    <w:rsid w:val="6E5D69C5"/>
    <w:rsid w:val="6E625D89"/>
    <w:rsid w:val="6E641584"/>
    <w:rsid w:val="6E663ACB"/>
    <w:rsid w:val="6E753D0F"/>
    <w:rsid w:val="6E767FC1"/>
    <w:rsid w:val="6E9028F6"/>
    <w:rsid w:val="6E92075D"/>
    <w:rsid w:val="6EA463A2"/>
    <w:rsid w:val="6EA47F31"/>
    <w:rsid w:val="6EA63EC8"/>
    <w:rsid w:val="6EB36C3D"/>
    <w:rsid w:val="6EB40A98"/>
    <w:rsid w:val="6EB56AD4"/>
    <w:rsid w:val="6F011A46"/>
    <w:rsid w:val="6F03131A"/>
    <w:rsid w:val="6F036B27"/>
    <w:rsid w:val="6F107F60"/>
    <w:rsid w:val="6F174DC6"/>
    <w:rsid w:val="6F1F0225"/>
    <w:rsid w:val="6F2266D5"/>
    <w:rsid w:val="6F265936"/>
    <w:rsid w:val="6F370FC4"/>
    <w:rsid w:val="6F413BF1"/>
    <w:rsid w:val="6F437969"/>
    <w:rsid w:val="6F451933"/>
    <w:rsid w:val="6F5621B2"/>
    <w:rsid w:val="6F620828"/>
    <w:rsid w:val="6F682198"/>
    <w:rsid w:val="6F6F5203"/>
    <w:rsid w:val="6F71097A"/>
    <w:rsid w:val="6F8C4CB1"/>
    <w:rsid w:val="6F906926"/>
    <w:rsid w:val="6F914B78"/>
    <w:rsid w:val="6F977CB5"/>
    <w:rsid w:val="6FA33E81"/>
    <w:rsid w:val="6FBA01EB"/>
    <w:rsid w:val="6FBD7AEF"/>
    <w:rsid w:val="6FBF710B"/>
    <w:rsid w:val="6FC0545D"/>
    <w:rsid w:val="6FE25C14"/>
    <w:rsid w:val="6FE50A20"/>
    <w:rsid w:val="6FEB4920"/>
    <w:rsid w:val="6FFB46E7"/>
    <w:rsid w:val="70074E3A"/>
    <w:rsid w:val="700C4ACE"/>
    <w:rsid w:val="701A3538"/>
    <w:rsid w:val="70363A55"/>
    <w:rsid w:val="7037082E"/>
    <w:rsid w:val="70461908"/>
    <w:rsid w:val="704716DB"/>
    <w:rsid w:val="705D2CAC"/>
    <w:rsid w:val="7060148B"/>
    <w:rsid w:val="70651B61"/>
    <w:rsid w:val="706A6335"/>
    <w:rsid w:val="70962094"/>
    <w:rsid w:val="70972202"/>
    <w:rsid w:val="709F32C5"/>
    <w:rsid w:val="70A66401"/>
    <w:rsid w:val="70BC000A"/>
    <w:rsid w:val="70C16E68"/>
    <w:rsid w:val="70C42D2B"/>
    <w:rsid w:val="70D11B7C"/>
    <w:rsid w:val="70D8379F"/>
    <w:rsid w:val="70DE18CF"/>
    <w:rsid w:val="70DF1913"/>
    <w:rsid w:val="70E707C8"/>
    <w:rsid w:val="70EC5DDE"/>
    <w:rsid w:val="70F330A2"/>
    <w:rsid w:val="70F73101"/>
    <w:rsid w:val="70FD0459"/>
    <w:rsid w:val="70FF2CA6"/>
    <w:rsid w:val="7104137A"/>
    <w:rsid w:val="71072C18"/>
    <w:rsid w:val="710C2973"/>
    <w:rsid w:val="71196A7A"/>
    <w:rsid w:val="711A294B"/>
    <w:rsid w:val="712431E6"/>
    <w:rsid w:val="712D3381"/>
    <w:rsid w:val="713532FD"/>
    <w:rsid w:val="71371283"/>
    <w:rsid w:val="713816B0"/>
    <w:rsid w:val="713A4D9B"/>
    <w:rsid w:val="7141612A"/>
    <w:rsid w:val="71436346"/>
    <w:rsid w:val="7148395C"/>
    <w:rsid w:val="714D2D21"/>
    <w:rsid w:val="714D4B0E"/>
    <w:rsid w:val="715A2BB6"/>
    <w:rsid w:val="715A71EC"/>
    <w:rsid w:val="71622F3C"/>
    <w:rsid w:val="716F0EE9"/>
    <w:rsid w:val="71755DD4"/>
    <w:rsid w:val="717C53B4"/>
    <w:rsid w:val="71812F78"/>
    <w:rsid w:val="71926986"/>
    <w:rsid w:val="71950224"/>
    <w:rsid w:val="71C70D25"/>
    <w:rsid w:val="71CA25C3"/>
    <w:rsid w:val="71CF4CD7"/>
    <w:rsid w:val="71D451F0"/>
    <w:rsid w:val="71DB5212"/>
    <w:rsid w:val="71DE606F"/>
    <w:rsid w:val="71E05943"/>
    <w:rsid w:val="71E16179"/>
    <w:rsid w:val="71F907B3"/>
    <w:rsid w:val="720D24B0"/>
    <w:rsid w:val="7218625D"/>
    <w:rsid w:val="721D0945"/>
    <w:rsid w:val="72346FDB"/>
    <w:rsid w:val="723D0FE7"/>
    <w:rsid w:val="723F17A8"/>
    <w:rsid w:val="72404633"/>
    <w:rsid w:val="724203AC"/>
    <w:rsid w:val="724A54B2"/>
    <w:rsid w:val="72516841"/>
    <w:rsid w:val="72620508"/>
    <w:rsid w:val="726A345E"/>
    <w:rsid w:val="727201AE"/>
    <w:rsid w:val="72730565"/>
    <w:rsid w:val="727A3434"/>
    <w:rsid w:val="727B566C"/>
    <w:rsid w:val="729055BB"/>
    <w:rsid w:val="729A0448"/>
    <w:rsid w:val="72A526E9"/>
    <w:rsid w:val="72BB015E"/>
    <w:rsid w:val="72BD08DB"/>
    <w:rsid w:val="72BD6254"/>
    <w:rsid w:val="72C47013"/>
    <w:rsid w:val="72CD17D3"/>
    <w:rsid w:val="72CE7E91"/>
    <w:rsid w:val="72D52FCE"/>
    <w:rsid w:val="72DB610A"/>
    <w:rsid w:val="72E5035E"/>
    <w:rsid w:val="72EA6144"/>
    <w:rsid w:val="73000E97"/>
    <w:rsid w:val="73004733"/>
    <w:rsid w:val="730168F4"/>
    <w:rsid w:val="73022361"/>
    <w:rsid w:val="7306258A"/>
    <w:rsid w:val="73071035"/>
    <w:rsid w:val="73090EC9"/>
    <w:rsid w:val="731163B7"/>
    <w:rsid w:val="73131856"/>
    <w:rsid w:val="73214465"/>
    <w:rsid w:val="732319A3"/>
    <w:rsid w:val="73397A01"/>
    <w:rsid w:val="733D0B73"/>
    <w:rsid w:val="734343DB"/>
    <w:rsid w:val="735E7467"/>
    <w:rsid w:val="73657DA7"/>
    <w:rsid w:val="737A5923"/>
    <w:rsid w:val="737F118B"/>
    <w:rsid w:val="73813156"/>
    <w:rsid w:val="738272C7"/>
    <w:rsid w:val="738D3E75"/>
    <w:rsid w:val="738D5656"/>
    <w:rsid w:val="7392667F"/>
    <w:rsid w:val="73944C37"/>
    <w:rsid w:val="739A5FC5"/>
    <w:rsid w:val="739B2380"/>
    <w:rsid w:val="739C0C02"/>
    <w:rsid w:val="739F1000"/>
    <w:rsid w:val="73A330CC"/>
    <w:rsid w:val="73A43633"/>
    <w:rsid w:val="73AA2EA7"/>
    <w:rsid w:val="73AC0F35"/>
    <w:rsid w:val="73BF77DA"/>
    <w:rsid w:val="73D378CE"/>
    <w:rsid w:val="73DC65DE"/>
    <w:rsid w:val="73E32D93"/>
    <w:rsid w:val="73E62FB9"/>
    <w:rsid w:val="73ED2599"/>
    <w:rsid w:val="74015E5C"/>
    <w:rsid w:val="74113038"/>
    <w:rsid w:val="74251EA1"/>
    <w:rsid w:val="7426655C"/>
    <w:rsid w:val="7436773A"/>
    <w:rsid w:val="743B3304"/>
    <w:rsid w:val="7443040B"/>
    <w:rsid w:val="74432492"/>
    <w:rsid w:val="74477EFB"/>
    <w:rsid w:val="74496902"/>
    <w:rsid w:val="744D3038"/>
    <w:rsid w:val="74517F83"/>
    <w:rsid w:val="74575C64"/>
    <w:rsid w:val="745B7503"/>
    <w:rsid w:val="74600FBD"/>
    <w:rsid w:val="746042C4"/>
    <w:rsid w:val="746E5488"/>
    <w:rsid w:val="746F2FAE"/>
    <w:rsid w:val="74711105"/>
    <w:rsid w:val="747336D4"/>
    <w:rsid w:val="747800B5"/>
    <w:rsid w:val="747B1953"/>
    <w:rsid w:val="747D07B9"/>
    <w:rsid w:val="748C0004"/>
    <w:rsid w:val="74911176"/>
    <w:rsid w:val="74A013B9"/>
    <w:rsid w:val="74A3446D"/>
    <w:rsid w:val="74B16B5B"/>
    <w:rsid w:val="74B23D8F"/>
    <w:rsid w:val="74B51309"/>
    <w:rsid w:val="74B76D20"/>
    <w:rsid w:val="74BF1721"/>
    <w:rsid w:val="74CD4DEE"/>
    <w:rsid w:val="74E4574A"/>
    <w:rsid w:val="74E56A90"/>
    <w:rsid w:val="74E9166E"/>
    <w:rsid w:val="74EE0377"/>
    <w:rsid w:val="74F207B1"/>
    <w:rsid w:val="74F811F5"/>
    <w:rsid w:val="75023E22"/>
    <w:rsid w:val="750B648D"/>
    <w:rsid w:val="750D2EF3"/>
    <w:rsid w:val="75104526"/>
    <w:rsid w:val="75363ACC"/>
    <w:rsid w:val="756B2841"/>
    <w:rsid w:val="756E3266"/>
    <w:rsid w:val="756F77D0"/>
    <w:rsid w:val="75700E22"/>
    <w:rsid w:val="7574330C"/>
    <w:rsid w:val="757545F4"/>
    <w:rsid w:val="75954ACF"/>
    <w:rsid w:val="75A20320"/>
    <w:rsid w:val="75B72A1E"/>
    <w:rsid w:val="75C027C2"/>
    <w:rsid w:val="75CD4430"/>
    <w:rsid w:val="75CF3995"/>
    <w:rsid w:val="75DA1EAA"/>
    <w:rsid w:val="75E92DE3"/>
    <w:rsid w:val="75EC3D51"/>
    <w:rsid w:val="75F06661"/>
    <w:rsid w:val="760130C3"/>
    <w:rsid w:val="760F67EF"/>
    <w:rsid w:val="761107C1"/>
    <w:rsid w:val="762229CE"/>
    <w:rsid w:val="76317141"/>
    <w:rsid w:val="76354DD7"/>
    <w:rsid w:val="76355E12"/>
    <w:rsid w:val="76363336"/>
    <w:rsid w:val="763E532E"/>
    <w:rsid w:val="7649092B"/>
    <w:rsid w:val="76522717"/>
    <w:rsid w:val="76522B87"/>
    <w:rsid w:val="765A1BAF"/>
    <w:rsid w:val="76674F2A"/>
    <w:rsid w:val="766C3C49"/>
    <w:rsid w:val="766E3D9E"/>
    <w:rsid w:val="76782AAF"/>
    <w:rsid w:val="767B0330"/>
    <w:rsid w:val="768725EE"/>
    <w:rsid w:val="768A2272"/>
    <w:rsid w:val="768E0063"/>
    <w:rsid w:val="769E38AF"/>
    <w:rsid w:val="769E466E"/>
    <w:rsid w:val="769E7B7B"/>
    <w:rsid w:val="76B178AE"/>
    <w:rsid w:val="76C21ABB"/>
    <w:rsid w:val="76C2367F"/>
    <w:rsid w:val="76C633F7"/>
    <w:rsid w:val="76D812DE"/>
    <w:rsid w:val="76DD54BE"/>
    <w:rsid w:val="76E25CB9"/>
    <w:rsid w:val="76E6040B"/>
    <w:rsid w:val="76E80582"/>
    <w:rsid w:val="76E97048"/>
    <w:rsid w:val="770076DC"/>
    <w:rsid w:val="770166E7"/>
    <w:rsid w:val="772D7FED"/>
    <w:rsid w:val="7735228D"/>
    <w:rsid w:val="77456248"/>
    <w:rsid w:val="774A4976"/>
    <w:rsid w:val="774B7D02"/>
    <w:rsid w:val="774D3579"/>
    <w:rsid w:val="77640DC4"/>
    <w:rsid w:val="77644920"/>
    <w:rsid w:val="77702943"/>
    <w:rsid w:val="77707769"/>
    <w:rsid w:val="77761E15"/>
    <w:rsid w:val="778154D2"/>
    <w:rsid w:val="77884AB3"/>
    <w:rsid w:val="77992303"/>
    <w:rsid w:val="779A73D7"/>
    <w:rsid w:val="779F3BAA"/>
    <w:rsid w:val="77A17922"/>
    <w:rsid w:val="77A6318B"/>
    <w:rsid w:val="77B75398"/>
    <w:rsid w:val="77C27899"/>
    <w:rsid w:val="77D23F80"/>
    <w:rsid w:val="77D51254"/>
    <w:rsid w:val="77D91329"/>
    <w:rsid w:val="77DA4BE2"/>
    <w:rsid w:val="77E51F05"/>
    <w:rsid w:val="77E66B14"/>
    <w:rsid w:val="77F019DE"/>
    <w:rsid w:val="77F04406"/>
    <w:rsid w:val="77FA7033"/>
    <w:rsid w:val="78143D6B"/>
    <w:rsid w:val="78236589"/>
    <w:rsid w:val="782A5B6A"/>
    <w:rsid w:val="783C764B"/>
    <w:rsid w:val="78471C68"/>
    <w:rsid w:val="78482494"/>
    <w:rsid w:val="785D684A"/>
    <w:rsid w:val="786344AC"/>
    <w:rsid w:val="78657B72"/>
    <w:rsid w:val="78695E8F"/>
    <w:rsid w:val="78746DE5"/>
    <w:rsid w:val="78760DAF"/>
    <w:rsid w:val="787C3EEC"/>
    <w:rsid w:val="78811502"/>
    <w:rsid w:val="788F3C1F"/>
    <w:rsid w:val="789E0306"/>
    <w:rsid w:val="789F3989"/>
    <w:rsid w:val="78A70F68"/>
    <w:rsid w:val="78C44F32"/>
    <w:rsid w:val="78CF4963"/>
    <w:rsid w:val="78D40AE8"/>
    <w:rsid w:val="78D60896"/>
    <w:rsid w:val="78DC2414"/>
    <w:rsid w:val="78E47CFE"/>
    <w:rsid w:val="78E51A91"/>
    <w:rsid w:val="78EA3B70"/>
    <w:rsid w:val="78EE0631"/>
    <w:rsid w:val="78F47F26"/>
    <w:rsid w:val="790E548B"/>
    <w:rsid w:val="79142376"/>
    <w:rsid w:val="79144124"/>
    <w:rsid w:val="793E3D2A"/>
    <w:rsid w:val="793F3E94"/>
    <w:rsid w:val="794C7D62"/>
    <w:rsid w:val="79514F6B"/>
    <w:rsid w:val="795A5446"/>
    <w:rsid w:val="79697019"/>
    <w:rsid w:val="797A26E1"/>
    <w:rsid w:val="798412AA"/>
    <w:rsid w:val="79847FD7"/>
    <w:rsid w:val="79872B48"/>
    <w:rsid w:val="799011AF"/>
    <w:rsid w:val="7993500E"/>
    <w:rsid w:val="79986B03"/>
    <w:rsid w:val="79A951B4"/>
    <w:rsid w:val="79AC0850"/>
    <w:rsid w:val="79AD2D99"/>
    <w:rsid w:val="79B002F1"/>
    <w:rsid w:val="79BD2A0E"/>
    <w:rsid w:val="79C93160"/>
    <w:rsid w:val="79D12472"/>
    <w:rsid w:val="79D42231"/>
    <w:rsid w:val="79E32474"/>
    <w:rsid w:val="79E41D48"/>
    <w:rsid w:val="7A011B31"/>
    <w:rsid w:val="7A01256F"/>
    <w:rsid w:val="7A036672"/>
    <w:rsid w:val="7A0F14BB"/>
    <w:rsid w:val="7A1613D7"/>
    <w:rsid w:val="7A1E06CC"/>
    <w:rsid w:val="7A3E76AA"/>
    <w:rsid w:val="7A440A39"/>
    <w:rsid w:val="7A514DE8"/>
    <w:rsid w:val="7A5549F4"/>
    <w:rsid w:val="7A5E7D4D"/>
    <w:rsid w:val="7A623B13"/>
    <w:rsid w:val="7A6730A5"/>
    <w:rsid w:val="7A687671"/>
    <w:rsid w:val="7A735A72"/>
    <w:rsid w:val="7A7A2F6D"/>
    <w:rsid w:val="7A831561"/>
    <w:rsid w:val="7A8552D9"/>
    <w:rsid w:val="7A8C6FB0"/>
    <w:rsid w:val="7A8F7F06"/>
    <w:rsid w:val="7A910122"/>
    <w:rsid w:val="7A935ECE"/>
    <w:rsid w:val="7A94551C"/>
    <w:rsid w:val="7AA5772A"/>
    <w:rsid w:val="7AB54AF4"/>
    <w:rsid w:val="7ABB0CFB"/>
    <w:rsid w:val="7AC16F7F"/>
    <w:rsid w:val="7AC2231D"/>
    <w:rsid w:val="7AC53928"/>
    <w:rsid w:val="7ACF29F8"/>
    <w:rsid w:val="7AD41DBD"/>
    <w:rsid w:val="7AD527D2"/>
    <w:rsid w:val="7AD75E97"/>
    <w:rsid w:val="7ADD6400"/>
    <w:rsid w:val="7AEA15E0"/>
    <w:rsid w:val="7AEA5717"/>
    <w:rsid w:val="7B077414"/>
    <w:rsid w:val="7B1537C1"/>
    <w:rsid w:val="7B18614D"/>
    <w:rsid w:val="7B1F2504"/>
    <w:rsid w:val="7B30793B"/>
    <w:rsid w:val="7B350F48"/>
    <w:rsid w:val="7B3A0653"/>
    <w:rsid w:val="7B3F64A4"/>
    <w:rsid w:val="7B454A69"/>
    <w:rsid w:val="7B4F1751"/>
    <w:rsid w:val="7B566C76"/>
    <w:rsid w:val="7B590514"/>
    <w:rsid w:val="7B62386D"/>
    <w:rsid w:val="7B6C0247"/>
    <w:rsid w:val="7B7B320A"/>
    <w:rsid w:val="7B917CAE"/>
    <w:rsid w:val="7B98728E"/>
    <w:rsid w:val="7BA834F2"/>
    <w:rsid w:val="7BAE6AB2"/>
    <w:rsid w:val="7BBA2C89"/>
    <w:rsid w:val="7BC9569A"/>
    <w:rsid w:val="7BD857E3"/>
    <w:rsid w:val="7BDA3403"/>
    <w:rsid w:val="7BDB35A2"/>
    <w:rsid w:val="7BE44282"/>
    <w:rsid w:val="7BE61088"/>
    <w:rsid w:val="7BF22E42"/>
    <w:rsid w:val="7C080F50"/>
    <w:rsid w:val="7C1B5CC1"/>
    <w:rsid w:val="7C25567E"/>
    <w:rsid w:val="7C2574F8"/>
    <w:rsid w:val="7C296138"/>
    <w:rsid w:val="7C2D40D4"/>
    <w:rsid w:val="7C511C94"/>
    <w:rsid w:val="7C5D5EC9"/>
    <w:rsid w:val="7C611D76"/>
    <w:rsid w:val="7C66550F"/>
    <w:rsid w:val="7C6E44C7"/>
    <w:rsid w:val="7C6E4779"/>
    <w:rsid w:val="7C703D67"/>
    <w:rsid w:val="7C835849"/>
    <w:rsid w:val="7C845E75"/>
    <w:rsid w:val="7C8641E0"/>
    <w:rsid w:val="7C8B294F"/>
    <w:rsid w:val="7C907F65"/>
    <w:rsid w:val="7C921748"/>
    <w:rsid w:val="7C94034D"/>
    <w:rsid w:val="7C9537CE"/>
    <w:rsid w:val="7C95557C"/>
    <w:rsid w:val="7C983AE0"/>
    <w:rsid w:val="7CA53A11"/>
    <w:rsid w:val="7CA70840"/>
    <w:rsid w:val="7CB71996"/>
    <w:rsid w:val="7CB974BC"/>
    <w:rsid w:val="7CBE07F8"/>
    <w:rsid w:val="7CC0084B"/>
    <w:rsid w:val="7CC777CC"/>
    <w:rsid w:val="7CD6006E"/>
    <w:rsid w:val="7CD73DE6"/>
    <w:rsid w:val="7CDE33C7"/>
    <w:rsid w:val="7CE16A13"/>
    <w:rsid w:val="7CE7227B"/>
    <w:rsid w:val="7CEE0B73"/>
    <w:rsid w:val="7CF229CE"/>
    <w:rsid w:val="7CF90B7B"/>
    <w:rsid w:val="7D056BA5"/>
    <w:rsid w:val="7D0F17D2"/>
    <w:rsid w:val="7D0F532E"/>
    <w:rsid w:val="7D1032D5"/>
    <w:rsid w:val="7D140B97"/>
    <w:rsid w:val="7D14491F"/>
    <w:rsid w:val="7D337460"/>
    <w:rsid w:val="7D3B6123"/>
    <w:rsid w:val="7D52346D"/>
    <w:rsid w:val="7D5B67C5"/>
    <w:rsid w:val="7D603DDC"/>
    <w:rsid w:val="7D75194E"/>
    <w:rsid w:val="7D816B08"/>
    <w:rsid w:val="7D8950E1"/>
    <w:rsid w:val="7D902913"/>
    <w:rsid w:val="7D935F5F"/>
    <w:rsid w:val="7D955719"/>
    <w:rsid w:val="7D9F4260"/>
    <w:rsid w:val="7DBA7990"/>
    <w:rsid w:val="7DBF2109"/>
    <w:rsid w:val="7DBF6967"/>
    <w:rsid w:val="7DC97BD3"/>
    <w:rsid w:val="7DCA74A7"/>
    <w:rsid w:val="7DD80F49"/>
    <w:rsid w:val="7DDF1669"/>
    <w:rsid w:val="7DEE13E8"/>
    <w:rsid w:val="7DEF2670"/>
    <w:rsid w:val="7DF516A8"/>
    <w:rsid w:val="7E0230E5"/>
    <w:rsid w:val="7E123328"/>
    <w:rsid w:val="7E1626EC"/>
    <w:rsid w:val="7E16376E"/>
    <w:rsid w:val="7E2412AD"/>
    <w:rsid w:val="7E282B4B"/>
    <w:rsid w:val="7E2E7A36"/>
    <w:rsid w:val="7E301A00"/>
    <w:rsid w:val="7E304914"/>
    <w:rsid w:val="7E507FA2"/>
    <w:rsid w:val="7E5F2964"/>
    <w:rsid w:val="7E6C17AC"/>
    <w:rsid w:val="7E7062A0"/>
    <w:rsid w:val="7E7318ED"/>
    <w:rsid w:val="7E861620"/>
    <w:rsid w:val="7E933D3D"/>
    <w:rsid w:val="7E9F10B2"/>
    <w:rsid w:val="7E9F26E2"/>
    <w:rsid w:val="7EAD4634"/>
    <w:rsid w:val="7EB33D39"/>
    <w:rsid w:val="7EB51F05"/>
    <w:rsid w:val="7EB919F5"/>
    <w:rsid w:val="7EBA0392"/>
    <w:rsid w:val="7EBA3CB9"/>
    <w:rsid w:val="7EBB39C0"/>
    <w:rsid w:val="7ED334F6"/>
    <w:rsid w:val="7EDA196C"/>
    <w:rsid w:val="7EDC13A3"/>
    <w:rsid w:val="7F0A4C56"/>
    <w:rsid w:val="7F0E7BA4"/>
    <w:rsid w:val="7F1046F2"/>
    <w:rsid w:val="7F283FB5"/>
    <w:rsid w:val="7F2A46A1"/>
    <w:rsid w:val="7F4514DB"/>
    <w:rsid w:val="7F464EC2"/>
    <w:rsid w:val="7F5434CC"/>
    <w:rsid w:val="7F5E1EEF"/>
    <w:rsid w:val="7F614E0A"/>
    <w:rsid w:val="7F645357"/>
    <w:rsid w:val="7F666C76"/>
    <w:rsid w:val="7F671AD6"/>
    <w:rsid w:val="7F6D458E"/>
    <w:rsid w:val="7F736048"/>
    <w:rsid w:val="7F7D704A"/>
    <w:rsid w:val="7F803D10"/>
    <w:rsid w:val="7F8D1710"/>
    <w:rsid w:val="7FB3309C"/>
    <w:rsid w:val="7FBE06EC"/>
    <w:rsid w:val="7FC30A89"/>
    <w:rsid w:val="7FD60385"/>
    <w:rsid w:val="7FD665D7"/>
    <w:rsid w:val="7FE44850"/>
    <w:rsid w:val="7FF96D99"/>
    <w:rsid w:val="F7BD32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4">
    <w:name w:val="heading 1"/>
    <w:basedOn w:val="1"/>
    <w:next w:val="1"/>
    <w:link w:val="62"/>
    <w:qFormat/>
    <w:uiPriority w:val="0"/>
    <w:pPr>
      <w:keepNext/>
      <w:keepLines/>
      <w:numPr>
        <w:ilvl w:val="0"/>
        <w:numId w:val="1"/>
      </w:numPr>
      <w:spacing w:before="340" w:afterLines="50" w:line="578" w:lineRule="auto"/>
      <w:outlineLvl w:val="0"/>
    </w:pPr>
    <w:rPr>
      <w:rFonts w:ascii="Arial" w:hAnsi="Arial" w:eastAsia="黑体" w:cs="Times New Roman"/>
      <w:b w:val="0"/>
      <w:bCs w:val="0"/>
      <w:spacing w:val="20"/>
      <w:kern w:val="44"/>
      <w:sz w:val="36"/>
      <w:szCs w:val="44"/>
    </w:rPr>
  </w:style>
  <w:style w:type="paragraph" w:styleId="5">
    <w:name w:val="heading 2"/>
    <w:basedOn w:val="1"/>
    <w:next w:val="1"/>
    <w:link w:val="63"/>
    <w:qFormat/>
    <w:uiPriority w:val="0"/>
    <w:pPr>
      <w:keepNext/>
      <w:keepLines/>
      <w:numPr>
        <w:ilvl w:val="1"/>
        <w:numId w:val="1"/>
      </w:numPr>
      <w:spacing w:before="260" w:afterLines="50" w:line="416" w:lineRule="auto"/>
      <w:outlineLvl w:val="1"/>
    </w:pPr>
    <w:rPr>
      <w:rFonts w:ascii="Arial" w:hAnsi="Arial" w:eastAsia="黑体" w:cs="Times New Roman"/>
      <w:b w:val="0"/>
      <w:bCs w:val="0"/>
      <w:spacing w:val="20"/>
      <w:sz w:val="32"/>
      <w:szCs w:val="32"/>
    </w:rPr>
  </w:style>
  <w:style w:type="paragraph" w:styleId="6">
    <w:name w:val="heading 3"/>
    <w:basedOn w:val="1"/>
    <w:next w:val="1"/>
    <w:link w:val="64"/>
    <w:qFormat/>
    <w:uiPriority w:val="0"/>
    <w:pPr>
      <w:keepNext/>
      <w:keepLines/>
      <w:numPr>
        <w:ilvl w:val="2"/>
        <w:numId w:val="1"/>
      </w:numPr>
      <w:spacing w:before="260" w:afterLines="50" w:line="416" w:lineRule="auto"/>
      <w:outlineLvl w:val="2"/>
    </w:pPr>
    <w:rPr>
      <w:rFonts w:ascii="Arial" w:hAnsi="Arial" w:eastAsia="黑体" w:cs="Times New Roman"/>
      <w:b w:val="0"/>
      <w:bCs w:val="0"/>
      <w:spacing w:val="20"/>
      <w:sz w:val="30"/>
      <w:szCs w:val="32"/>
    </w:rPr>
  </w:style>
  <w:style w:type="paragraph" w:styleId="7">
    <w:name w:val="heading 4"/>
    <w:basedOn w:val="1"/>
    <w:next w:val="8"/>
    <w:link w:val="65"/>
    <w:qFormat/>
    <w:uiPriority w:val="0"/>
    <w:pPr>
      <w:keepNext/>
      <w:keepLines/>
      <w:numPr>
        <w:ilvl w:val="3"/>
        <w:numId w:val="1"/>
      </w:numPr>
      <w:tabs>
        <w:tab w:val="left" w:pos="1079"/>
        <w:tab w:val="clear" w:pos="1440"/>
      </w:tabs>
      <w:spacing w:before="280" w:afterLines="50" w:line="377" w:lineRule="auto"/>
      <w:ind w:left="1077" w:hanging="1077"/>
      <w:outlineLvl w:val="3"/>
    </w:pPr>
    <w:rPr>
      <w:rFonts w:ascii="Arial" w:hAnsi="Arial" w:eastAsia="黑体" w:cs="Times New Roman"/>
      <w:b w:val="0"/>
      <w:bCs w:val="0"/>
      <w:spacing w:val="10"/>
      <w:sz w:val="28"/>
      <w:szCs w:val="28"/>
    </w:rPr>
  </w:style>
  <w:style w:type="paragraph" w:styleId="9">
    <w:name w:val="heading 5"/>
    <w:basedOn w:val="1"/>
    <w:next w:val="8"/>
    <w:link w:val="67"/>
    <w:qFormat/>
    <w:uiPriority w:val="0"/>
    <w:pPr>
      <w:keepNext/>
      <w:keepLines/>
      <w:numPr>
        <w:ilvl w:val="4"/>
        <w:numId w:val="1"/>
      </w:numPr>
      <w:tabs>
        <w:tab w:val="left" w:pos="1260"/>
        <w:tab w:val="clear" w:pos="1008"/>
      </w:tabs>
      <w:spacing w:before="280" w:afterLines="50" w:line="377" w:lineRule="auto"/>
      <w:ind w:left="1259" w:hanging="1259"/>
      <w:outlineLvl w:val="4"/>
    </w:pPr>
    <w:rPr>
      <w:rFonts w:ascii="Arial" w:hAnsi="Arial" w:eastAsia="黑体" w:cs="Times New Roman"/>
      <w:b w:val="0"/>
      <w:bCs w:val="0"/>
      <w:spacing w:val="10"/>
      <w:sz w:val="28"/>
      <w:szCs w:val="28"/>
    </w:rPr>
  </w:style>
  <w:style w:type="paragraph" w:styleId="10">
    <w:name w:val="heading 6"/>
    <w:basedOn w:val="1"/>
    <w:next w:val="8"/>
    <w:link w:val="68"/>
    <w:qFormat/>
    <w:uiPriority w:val="0"/>
    <w:pPr>
      <w:keepNext/>
      <w:keepLines/>
      <w:numPr>
        <w:ilvl w:val="5"/>
        <w:numId w:val="1"/>
      </w:numPr>
      <w:tabs>
        <w:tab w:val="left" w:pos="1428"/>
        <w:tab w:val="clear" w:pos="1152"/>
      </w:tabs>
      <w:spacing w:before="240" w:afterLines="50" w:line="319" w:lineRule="auto"/>
      <w:ind w:left="550" w:hanging="550" w:hangingChars="550"/>
      <w:outlineLvl w:val="5"/>
    </w:pPr>
    <w:rPr>
      <w:rFonts w:ascii="Arial" w:hAnsi="Arial" w:eastAsia="黑体" w:cs="Times New Roman"/>
      <w:b w:val="0"/>
      <w:bCs w:val="0"/>
      <w:spacing w:val="10"/>
      <w:sz w:val="24"/>
    </w:rPr>
  </w:style>
  <w:style w:type="paragraph" w:styleId="11">
    <w:name w:val="heading 7"/>
    <w:basedOn w:val="1"/>
    <w:next w:val="8"/>
    <w:link w:val="69"/>
    <w:qFormat/>
    <w:uiPriority w:val="0"/>
    <w:pPr>
      <w:keepNext/>
      <w:keepLines/>
      <w:numPr>
        <w:ilvl w:val="6"/>
        <w:numId w:val="1"/>
      </w:numPr>
      <w:tabs>
        <w:tab w:val="left" w:pos="1638"/>
        <w:tab w:val="clear" w:pos="1296"/>
      </w:tabs>
      <w:spacing w:before="240" w:afterLines="50" w:line="319" w:lineRule="auto"/>
      <w:ind w:left="1633" w:hanging="1633"/>
      <w:outlineLvl w:val="6"/>
    </w:pPr>
    <w:rPr>
      <w:rFonts w:ascii="Arial" w:hAnsi="Arial" w:eastAsia="黑体" w:cs="Times New Roman"/>
      <w:b w:val="0"/>
      <w:bCs w:val="0"/>
      <w:sz w:val="24"/>
    </w:rPr>
  </w:style>
  <w:style w:type="paragraph" w:styleId="12">
    <w:name w:val="heading 8"/>
    <w:basedOn w:val="1"/>
    <w:next w:val="8"/>
    <w:link w:val="70"/>
    <w:qFormat/>
    <w:uiPriority w:val="0"/>
    <w:pPr>
      <w:keepNext/>
      <w:keepLines/>
      <w:numPr>
        <w:ilvl w:val="7"/>
        <w:numId w:val="1"/>
      </w:numPr>
      <w:tabs>
        <w:tab w:val="left" w:pos="1800"/>
        <w:tab w:val="clear" w:pos="1440"/>
      </w:tabs>
      <w:spacing w:before="240" w:afterLines="50" w:line="319" w:lineRule="auto"/>
      <w:ind w:left="1797" w:hanging="1797"/>
      <w:outlineLvl w:val="7"/>
    </w:pPr>
    <w:rPr>
      <w:rFonts w:ascii="Arial" w:hAnsi="Arial" w:eastAsia="黑体" w:cs="Times New Roman"/>
      <w:sz w:val="24"/>
    </w:rPr>
  </w:style>
  <w:style w:type="paragraph" w:styleId="13">
    <w:name w:val="heading 9"/>
    <w:basedOn w:val="1"/>
    <w:next w:val="8"/>
    <w:link w:val="71"/>
    <w:qFormat/>
    <w:uiPriority w:val="0"/>
    <w:pPr>
      <w:keepNext/>
      <w:keepLines/>
      <w:numPr>
        <w:ilvl w:val="8"/>
        <w:numId w:val="1"/>
      </w:numPr>
      <w:tabs>
        <w:tab w:val="left" w:pos="1980"/>
        <w:tab w:val="clear" w:pos="1584"/>
      </w:tabs>
      <w:spacing w:before="240" w:afterLines="50" w:line="319" w:lineRule="auto"/>
      <w:ind w:left="1979" w:hanging="1979"/>
      <w:outlineLvl w:val="8"/>
    </w:pPr>
    <w:rPr>
      <w:rFonts w:ascii="Arial" w:hAnsi="Arial" w:eastAsia="黑体" w:cs="Times New Roman"/>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qFormat/>
    <w:uiPriority w:val="0"/>
    <w:pPr>
      <w:ind w:firstLine="420" w:firstLineChars="100"/>
    </w:pPr>
    <w:rPr>
      <w:rFonts w:ascii="仿宋_GB2312" w:hAnsi="宋体" w:eastAsia="仿宋_GB2312"/>
      <w:b/>
      <w:bCs/>
      <w:color w:val="000000"/>
      <w:szCs w:val="21"/>
    </w:rPr>
  </w:style>
  <w:style w:type="paragraph" w:styleId="3">
    <w:name w:val="Body Text"/>
    <w:basedOn w:val="1"/>
    <w:next w:val="2"/>
    <w:link w:val="60"/>
    <w:qFormat/>
    <w:uiPriority w:val="0"/>
    <w:pPr>
      <w:spacing w:after="120"/>
    </w:pPr>
    <w:rPr>
      <w:rFonts w:ascii="Times New Roman" w:hAnsi="Times New Roman" w:eastAsia="宋体" w:cs="Times New Roman"/>
      <w:b w:val="0"/>
      <w:bCs w:val="0"/>
      <w:color w:val="auto"/>
      <w:kern w:val="2"/>
      <w:szCs w:val="24"/>
    </w:rPr>
  </w:style>
  <w:style w:type="paragraph" w:styleId="8">
    <w:name w:val="Normal Indent"/>
    <w:basedOn w:val="1"/>
    <w:next w:val="1"/>
    <w:link w:val="66"/>
    <w:qFormat/>
    <w:uiPriority w:val="0"/>
    <w:pPr>
      <w:ind w:firstLine="420" w:firstLineChars="200"/>
    </w:pPr>
  </w:style>
  <w:style w:type="paragraph" w:styleId="14">
    <w:name w:val="toc 7"/>
    <w:basedOn w:val="1"/>
    <w:next w:val="1"/>
    <w:unhideWhenUsed/>
    <w:qFormat/>
    <w:uiPriority w:val="39"/>
    <w:pPr>
      <w:ind w:left="1050"/>
      <w:jc w:val="left"/>
    </w:pPr>
    <w:rPr>
      <w:rFonts w:ascii="Calibri" w:hAnsi="Calibri" w:eastAsia="宋体" w:cs="Calibri"/>
      <w:b w:val="0"/>
      <w:bCs w:val="0"/>
      <w:color w:val="auto"/>
      <w:kern w:val="2"/>
      <w:sz w:val="20"/>
      <w:szCs w:val="20"/>
    </w:rPr>
  </w:style>
  <w:style w:type="paragraph" w:styleId="15">
    <w:name w:val="caption"/>
    <w:basedOn w:val="1"/>
    <w:next w:val="1"/>
    <w:qFormat/>
    <w:uiPriority w:val="0"/>
    <w:rPr>
      <w:rFonts w:ascii="Arial" w:hAnsi="Arial" w:eastAsia="黑体" w:cs="Arial"/>
      <w:b w:val="0"/>
      <w:bCs w:val="0"/>
      <w:color w:val="auto"/>
      <w:kern w:val="2"/>
      <w:sz w:val="20"/>
      <w:szCs w:val="20"/>
    </w:rPr>
  </w:style>
  <w:style w:type="paragraph" w:styleId="16">
    <w:name w:val="List Bullet"/>
    <w:basedOn w:val="1"/>
    <w:qFormat/>
    <w:uiPriority w:val="0"/>
    <w:pPr>
      <w:spacing w:line="360" w:lineRule="auto"/>
    </w:pPr>
    <w:rPr>
      <w:rFonts w:ascii="宋体" w:eastAsia="宋体" w:cs="Times New Roman"/>
      <w:b w:val="0"/>
      <w:bCs w:val="0"/>
      <w:color w:val="auto"/>
      <w:kern w:val="2"/>
      <w:sz w:val="20"/>
      <w:szCs w:val="20"/>
    </w:rPr>
  </w:style>
  <w:style w:type="paragraph" w:styleId="17">
    <w:name w:val="Document Map"/>
    <w:basedOn w:val="1"/>
    <w:link w:val="72"/>
    <w:qFormat/>
    <w:uiPriority w:val="99"/>
    <w:pPr>
      <w:shd w:val="clear" w:color="auto" w:fill="000080"/>
    </w:pPr>
    <w:rPr>
      <w:rFonts w:ascii="Times New Roman" w:hAnsi="Times New Roman" w:eastAsia="宋体" w:cs="Times New Roman"/>
      <w:b w:val="0"/>
      <w:bCs w:val="0"/>
      <w:color w:val="auto"/>
      <w:kern w:val="2"/>
      <w:szCs w:val="24"/>
    </w:r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73"/>
    <w:unhideWhenUsed/>
    <w:qFormat/>
    <w:uiPriority w:val="0"/>
    <w:pPr>
      <w:widowControl/>
      <w:autoSpaceDE w:val="0"/>
      <w:autoSpaceDN w:val="0"/>
      <w:adjustRightInd w:val="0"/>
      <w:spacing w:line="240" w:lineRule="atLeast"/>
      <w:jc w:val="left"/>
    </w:pPr>
    <w:rPr>
      <w:rFonts w:ascii="Arial" w:hAnsi="Arial" w:eastAsia="宋体" w:cs="Times New Roman"/>
      <w:b w:val="0"/>
      <w:bCs w:val="0"/>
      <w:color w:val="auto"/>
      <w:sz w:val="20"/>
    </w:rPr>
  </w:style>
  <w:style w:type="paragraph" w:styleId="20">
    <w:name w:val="Salutation"/>
    <w:basedOn w:val="1"/>
    <w:next w:val="1"/>
    <w:link w:val="74"/>
    <w:qFormat/>
    <w:uiPriority w:val="0"/>
    <w:rPr>
      <w:rFonts w:ascii="长城仿宋" w:hAnsi="长城仿宋" w:eastAsia="等线" w:cs="Times New Roman"/>
      <w:b w:val="0"/>
      <w:bCs w:val="0"/>
      <w:color w:val="auto"/>
      <w:kern w:val="2"/>
      <w:sz w:val="24"/>
      <w:szCs w:val="24"/>
    </w:rPr>
  </w:style>
  <w:style w:type="paragraph" w:styleId="21">
    <w:name w:val="Body Text 3"/>
    <w:basedOn w:val="1"/>
    <w:link w:val="75"/>
    <w:qFormat/>
    <w:uiPriority w:val="0"/>
    <w:pPr>
      <w:spacing w:after="120"/>
    </w:pPr>
    <w:rPr>
      <w:rFonts w:ascii="Times New Roman" w:hAnsi="Times New Roman" w:eastAsia="宋体" w:cs="Times New Roman"/>
      <w:b w:val="0"/>
      <w:bCs w:val="0"/>
      <w:color w:val="auto"/>
      <w:kern w:val="2"/>
      <w:sz w:val="16"/>
      <w:szCs w:val="16"/>
    </w:rPr>
  </w:style>
  <w:style w:type="paragraph" w:styleId="22">
    <w:name w:val="Body Text Indent"/>
    <w:basedOn w:val="1"/>
    <w:next w:val="1"/>
    <w:link w:val="76"/>
    <w:qFormat/>
    <w:uiPriority w:val="0"/>
    <w:pPr>
      <w:spacing w:after="120"/>
      <w:ind w:left="420" w:leftChars="200"/>
    </w:pPr>
    <w:rPr>
      <w:rFonts w:ascii="Times New Roman" w:hAnsi="Times New Roman" w:eastAsia="宋体" w:cs="Times New Roman"/>
      <w:b w:val="0"/>
      <w:bCs w:val="0"/>
      <w:color w:val="auto"/>
      <w:kern w:val="2"/>
      <w:szCs w:val="24"/>
    </w:rPr>
  </w:style>
  <w:style w:type="paragraph" w:styleId="23">
    <w:name w:val="List Number 3"/>
    <w:basedOn w:val="1"/>
    <w:qFormat/>
    <w:uiPriority w:val="0"/>
    <w:pPr>
      <w:widowControl/>
      <w:tabs>
        <w:tab w:val="left" w:pos="2260"/>
      </w:tabs>
      <w:spacing w:afterLines="50"/>
      <w:ind w:left="2260" w:hanging="340"/>
      <w:jc w:val="left"/>
    </w:pPr>
    <w:rPr>
      <w:rFonts w:ascii="Times New Roman" w:hAnsi="Times New Roman" w:eastAsia="宋体" w:cs="Times New Roman"/>
      <w:b w:val="0"/>
      <w:bCs w:val="0"/>
      <w:color w:val="auto"/>
      <w:sz w:val="24"/>
      <w:szCs w:val="20"/>
    </w:rPr>
  </w:style>
  <w:style w:type="paragraph" w:styleId="24">
    <w:name w:val="List 2"/>
    <w:basedOn w:val="1"/>
    <w:qFormat/>
    <w:uiPriority w:val="0"/>
    <w:pPr>
      <w:ind w:left="840" w:hanging="420"/>
    </w:pPr>
    <w:rPr>
      <w:rFonts w:ascii="Times New Roman" w:hAnsi="Times New Roman" w:eastAsia="宋体" w:cs="Times New Roman"/>
      <w:b w:val="0"/>
      <w:bCs w:val="0"/>
      <w:color w:val="auto"/>
      <w:kern w:val="2"/>
      <w:szCs w:val="20"/>
    </w:rPr>
  </w:style>
  <w:style w:type="paragraph" w:styleId="25">
    <w:name w:val="Block Text"/>
    <w:basedOn w:val="1"/>
    <w:qFormat/>
    <w:uiPriority w:val="0"/>
    <w:pPr>
      <w:ind w:left="902" w:right="386"/>
    </w:pPr>
    <w:rPr>
      <w:rFonts w:ascii="长城仿宋" w:hAnsi="长城仿宋" w:eastAsia="Arial Unicode MS"/>
      <w:b w:val="0"/>
      <w:bCs w:val="0"/>
      <w:color w:val="auto"/>
      <w:kern w:val="2"/>
      <w:sz w:val="20"/>
      <w:szCs w:val="20"/>
    </w:rPr>
  </w:style>
  <w:style w:type="paragraph" w:styleId="26">
    <w:name w:val="toc 5"/>
    <w:basedOn w:val="1"/>
    <w:next w:val="1"/>
    <w:unhideWhenUsed/>
    <w:qFormat/>
    <w:uiPriority w:val="39"/>
    <w:pPr>
      <w:ind w:left="630"/>
      <w:jc w:val="left"/>
    </w:pPr>
    <w:rPr>
      <w:rFonts w:ascii="Calibri" w:hAnsi="Calibri" w:eastAsia="宋体" w:cs="Calibri"/>
      <w:b w:val="0"/>
      <w:bCs w:val="0"/>
      <w:color w:val="auto"/>
      <w:kern w:val="2"/>
      <w:sz w:val="20"/>
      <w:szCs w:val="20"/>
    </w:rPr>
  </w:style>
  <w:style w:type="paragraph" w:styleId="27">
    <w:name w:val="toc 3"/>
    <w:basedOn w:val="1"/>
    <w:next w:val="1"/>
    <w:qFormat/>
    <w:uiPriority w:val="39"/>
    <w:pPr>
      <w:tabs>
        <w:tab w:val="right" w:leader="dot" w:pos="8987"/>
      </w:tabs>
      <w:adjustRightInd w:val="0"/>
      <w:snapToGrid w:val="0"/>
      <w:spacing w:beforeLines="50" w:afterLines="50" w:line="400" w:lineRule="atLeast"/>
      <w:textAlignment w:val="baseline"/>
    </w:pPr>
    <w:rPr>
      <w:rFonts w:ascii="Times New Roman" w:hAnsi="Times New Roman" w:cs="Times New Roman"/>
      <w:bCs w:val="0"/>
      <w:sz w:val="28"/>
      <w:szCs w:val="28"/>
    </w:rPr>
  </w:style>
  <w:style w:type="paragraph" w:styleId="28">
    <w:name w:val="Plain Text"/>
    <w:basedOn w:val="1"/>
    <w:link w:val="77"/>
    <w:qFormat/>
    <w:uiPriority w:val="0"/>
    <w:rPr>
      <w:rFonts w:ascii="宋体" w:hAnsi="Courier New"/>
      <w:szCs w:val="20"/>
    </w:rPr>
  </w:style>
  <w:style w:type="paragraph" w:styleId="29">
    <w:name w:val="List Number 4"/>
    <w:basedOn w:val="1"/>
    <w:qFormat/>
    <w:uiPriority w:val="0"/>
    <w:pPr>
      <w:tabs>
        <w:tab w:val="left" w:pos="432"/>
      </w:tabs>
      <w:ind w:left="432" w:hanging="432"/>
    </w:pPr>
    <w:rPr>
      <w:rFonts w:ascii="长城仿宋" w:hAnsi="长城仿宋" w:eastAsia="Arial Unicode MS"/>
      <w:b w:val="0"/>
      <w:bCs w:val="0"/>
      <w:color w:val="auto"/>
      <w:kern w:val="2"/>
      <w:sz w:val="20"/>
      <w:szCs w:val="24"/>
    </w:rPr>
  </w:style>
  <w:style w:type="paragraph" w:styleId="30">
    <w:name w:val="toc 8"/>
    <w:basedOn w:val="1"/>
    <w:next w:val="1"/>
    <w:unhideWhenUsed/>
    <w:qFormat/>
    <w:uiPriority w:val="39"/>
    <w:pPr>
      <w:ind w:left="1260"/>
      <w:jc w:val="left"/>
    </w:pPr>
    <w:rPr>
      <w:rFonts w:ascii="Calibri" w:hAnsi="Calibri" w:eastAsia="宋体" w:cs="Calibri"/>
      <w:b w:val="0"/>
      <w:bCs w:val="0"/>
      <w:color w:val="auto"/>
      <w:kern w:val="2"/>
      <w:sz w:val="20"/>
      <w:szCs w:val="20"/>
    </w:rPr>
  </w:style>
  <w:style w:type="paragraph" w:styleId="31">
    <w:name w:val="Date"/>
    <w:basedOn w:val="1"/>
    <w:next w:val="1"/>
    <w:link w:val="78"/>
    <w:qFormat/>
    <w:uiPriority w:val="0"/>
    <w:pPr>
      <w:ind w:left="100" w:leftChars="2500"/>
    </w:pPr>
    <w:rPr>
      <w:rFonts w:cs="Times New Roman"/>
      <w:sz w:val="24"/>
    </w:rPr>
  </w:style>
  <w:style w:type="paragraph" w:styleId="32">
    <w:name w:val="Body Text Indent 2"/>
    <w:basedOn w:val="1"/>
    <w:link w:val="79"/>
    <w:qFormat/>
    <w:uiPriority w:val="0"/>
    <w:pPr>
      <w:widowControl/>
      <w:spacing w:line="480" w:lineRule="atLeast"/>
      <w:ind w:firstLine="480"/>
    </w:pPr>
    <w:rPr>
      <w:rFonts w:ascii="宋体" w:cs="Times New Roman"/>
      <w:sz w:val="24"/>
      <w:szCs w:val="20"/>
    </w:rPr>
  </w:style>
  <w:style w:type="paragraph" w:styleId="33">
    <w:name w:val="Balloon Text"/>
    <w:basedOn w:val="1"/>
    <w:link w:val="80"/>
    <w:qFormat/>
    <w:uiPriority w:val="0"/>
    <w:rPr>
      <w:rFonts w:cs="Times New Roman"/>
      <w:sz w:val="18"/>
      <w:szCs w:val="18"/>
    </w:rPr>
  </w:style>
  <w:style w:type="paragraph" w:styleId="34">
    <w:name w:val="footer"/>
    <w:basedOn w:val="1"/>
    <w:link w:val="81"/>
    <w:qFormat/>
    <w:uiPriority w:val="0"/>
    <w:pPr>
      <w:tabs>
        <w:tab w:val="center" w:pos="4153"/>
        <w:tab w:val="right" w:pos="8306"/>
      </w:tabs>
      <w:snapToGrid w:val="0"/>
      <w:jc w:val="left"/>
    </w:pPr>
    <w:rPr>
      <w:rFonts w:cs="Times New Roman"/>
      <w:sz w:val="18"/>
      <w:szCs w:val="18"/>
    </w:rPr>
  </w:style>
  <w:style w:type="paragraph" w:styleId="35">
    <w:name w:val="header"/>
    <w:basedOn w:val="1"/>
    <w:link w:val="82"/>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36">
    <w:name w:val="toc 1"/>
    <w:basedOn w:val="1"/>
    <w:next w:val="1"/>
    <w:qFormat/>
    <w:uiPriority w:val="39"/>
    <w:pPr>
      <w:spacing w:line="360" w:lineRule="atLeast"/>
    </w:pPr>
    <w:rPr>
      <w:rFonts w:ascii="宋体" w:eastAsia="宋体" w:cs="Times New Roman"/>
      <w:bCs w:val="0"/>
      <w:color w:val="auto"/>
      <w:kern w:val="2"/>
      <w:sz w:val="22"/>
      <w:szCs w:val="22"/>
    </w:rPr>
  </w:style>
  <w:style w:type="paragraph" w:styleId="37">
    <w:name w:val="toc 4"/>
    <w:basedOn w:val="1"/>
    <w:next w:val="1"/>
    <w:unhideWhenUsed/>
    <w:qFormat/>
    <w:uiPriority w:val="39"/>
    <w:pPr>
      <w:ind w:left="420"/>
      <w:jc w:val="left"/>
    </w:pPr>
    <w:rPr>
      <w:rFonts w:ascii="Calibri" w:hAnsi="Calibri" w:eastAsia="宋体" w:cs="Calibri"/>
      <w:b w:val="0"/>
      <w:bCs w:val="0"/>
      <w:color w:val="auto"/>
      <w:kern w:val="2"/>
      <w:sz w:val="20"/>
      <w:szCs w:val="20"/>
    </w:rPr>
  </w:style>
  <w:style w:type="paragraph" w:styleId="38">
    <w:name w:val="List"/>
    <w:basedOn w:val="1"/>
    <w:qFormat/>
    <w:uiPriority w:val="0"/>
    <w:pPr>
      <w:ind w:left="420" w:hanging="420"/>
    </w:pPr>
    <w:rPr>
      <w:rFonts w:ascii="Times New Roman" w:hAnsi="Times New Roman" w:eastAsia="宋体" w:cs="Times New Roman"/>
      <w:b w:val="0"/>
      <w:bCs w:val="0"/>
      <w:color w:val="auto"/>
      <w:kern w:val="2"/>
      <w:szCs w:val="20"/>
    </w:rPr>
  </w:style>
  <w:style w:type="paragraph" w:styleId="39">
    <w:name w:val="toc 6"/>
    <w:basedOn w:val="1"/>
    <w:next w:val="1"/>
    <w:unhideWhenUsed/>
    <w:qFormat/>
    <w:uiPriority w:val="39"/>
    <w:pPr>
      <w:ind w:left="840"/>
      <w:jc w:val="left"/>
    </w:pPr>
    <w:rPr>
      <w:rFonts w:ascii="Calibri" w:hAnsi="Calibri" w:eastAsia="宋体" w:cs="Calibri"/>
      <w:b w:val="0"/>
      <w:bCs w:val="0"/>
      <w:color w:val="auto"/>
      <w:kern w:val="2"/>
      <w:sz w:val="20"/>
      <w:szCs w:val="20"/>
    </w:rPr>
  </w:style>
  <w:style w:type="paragraph" w:styleId="40">
    <w:name w:val="Body Text Indent 3"/>
    <w:basedOn w:val="1"/>
    <w:link w:val="83"/>
    <w:qFormat/>
    <w:uiPriority w:val="0"/>
    <w:pPr>
      <w:spacing w:after="120"/>
      <w:ind w:left="420" w:leftChars="200"/>
    </w:pPr>
    <w:rPr>
      <w:rFonts w:cs="Times New Roman"/>
      <w:sz w:val="16"/>
      <w:szCs w:val="16"/>
    </w:rPr>
  </w:style>
  <w:style w:type="paragraph" w:styleId="41">
    <w:name w:val="toc 2"/>
    <w:basedOn w:val="1"/>
    <w:next w:val="1"/>
    <w:qFormat/>
    <w:uiPriority w:val="39"/>
    <w:pPr>
      <w:tabs>
        <w:tab w:val="left" w:pos="630"/>
        <w:tab w:val="right" w:leader="dot" w:pos="8302"/>
      </w:tabs>
      <w:spacing w:line="520" w:lineRule="exact"/>
      <w:jc w:val="left"/>
    </w:pPr>
    <w:rPr>
      <w:rFonts w:ascii="Calibri" w:hAnsi="Calibri" w:eastAsia="宋体" w:cs="Calibri"/>
      <w:color w:val="auto"/>
      <w:kern w:val="2"/>
      <w:sz w:val="20"/>
      <w:szCs w:val="20"/>
    </w:rPr>
  </w:style>
  <w:style w:type="paragraph" w:styleId="42">
    <w:name w:val="toc 9"/>
    <w:basedOn w:val="1"/>
    <w:next w:val="1"/>
    <w:unhideWhenUsed/>
    <w:qFormat/>
    <w:uiPriority w:val="39"/>
    <w:pPr>
      <w:ind w:left="1470"/>
      <w:jc w:val="left"/>
    </w:pPr>
    <w:rPr>
      <w:rFonts w:ascii="Calibri" w:hAnsi="Calibri" w:eastAsia="宋体" w:cs="Calibri"/>
      <w:b w:val="0"/>
      <w:bCs w:val="0"/>
      <w:color w:val="auto"/>
      <w:kern w:val="2"/>
      <w:sz w:val="20"/>
      <w:szCs w:val="20"/>
    </w:rPr>
  </w:style>
  <w:style w:type="paragraph" w:styleId="43">
    <w:name w:val="Body Text 2"/>
    <w:basedOn w:val="1"/>
    <w:link w:val="84"/>
    <w:qFormat/>
    <w:uiPriority w:val="0"/>
    <w:pPr>
      <w:spacing w:after="120" w:line="480" w:lineRule="auto"/>
    </w:pPr>
    <w:rPr>
      <w:rFonts w:ascii="Times New Roman" w:hAnsi="Times New Roman" w:eastAsia="宋体" w:cs="Times New Roman"/>
      <w:b w:val="0"/>
      <w:bCs w:val="0"/>
      <w:color w:val="auto"/>
      <w:kern w:val="2"/>
      <w:szCs w:val="24"/>
    </w:rPr>
  </w:style>
  <w:style w:type="paragraph" w:styleId="44">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b w:val="0"/>
      <w:bCs w:val="0"/>
      <w:color w:val="auto"/>
      <w:sz w:val="24"/>
      <w:szCs w:val="24"/>
    </w:rPr>
  </w:style>
  <w:style w:type="paragraph" w:styleId="45">
    <w:name w:val="Normal (Web)"/>
    <w:basedOn w:val="46"/>
    <w:qFormat/>
    <w:uiPriority w:val="0"/>
    <w:pPr>
      <w:widowControl/>
      <w:spacing w:afterLines="50"/>
    </w:pPr>
    <w:rPr>
      <w:rFonts w:ascii="Times New Roman"/>
      <w:color w:val="auto"/>
      <w:szCs w:val="24"/>
    </w:rPr>
  </w:style>
  <w:style w:type="paragraph" w:customStyle="1" w:styleId="46">
    <w:name w:val="正文1"/>
    <w:basedOn w:val="1"/>
    <w:qFormat/>
    <w:uiPriority w:val="0"/>
    <w:pPr>
      <w:adjustRightInd w:val="0"/>
      <w:spacing w:line="360" w:lineRule="atLeast"/>
      <w:jc w:val="left"/>
      <w:textAlignment w:val="baseline"/>
    </w:pPr>
    <w:rPr>
      <w:rFonts w:ascii="宋体" w:hAnsi="Times New Roman" w:eastAsia="宋体" w:cs="Times New Roman"/>
      <w:b w:val="0"/>
      <w:bCs w:val="0"/>
      <w:sz w:val="24"/>
      <w:szCs w:val="20"/>
    </w:rPr>
  </w:style>
  <w:style w:type="paragraph" w:styleId="47">
    <w:name w:val="Title"/>
    <w:basedOn w:val="1"/>
    <w:next w:val="1"/>
    <w:link w:val="86"/>
    <w:qFormat/>
    <w:uiPriority w:val="0"/>
    <w:pPr>
      <w:spacing w:before="240" w:after="60"/>
      <w:jc w:val="center"/>
      <w:outlineLvl w:val="0"/>
    </w:pPr>
    <w:rPr>
      <w:rFonts w:ascii="Arial" w:hAnsi="Arial" w:eastAsia="宋体" w:cs="Times New Roman"/>
      <w:sz w:val="32"/>
      <w:szCs w:val="32"/>
    </w:rPr>
  </w:style>
  <w:style w:type="paragraph" w:styleId="48">
    <w:name w:val="annotation subject"/>
    <w:basedOn w:val="19"/>
    <w:next w:val="19"/>
    <w:link w:val="87"/>
    <w:qFormat/>
    <w:uiPriority w:val="0"/>
    <w:pPr>
      <w:widowControl w:val="0"/>
      <w:autoSpaceDE/>
      <w:autoSpaceDN/>
      <w:adjustRightInd/>
      <w:spacing w:line="240" w:lineRule="auto"/>
    </w:pPr>
    <w:rPr>
      <w:rFonts w:ascii="仿宋_GB2312" w:hAnsi="宋体" w:eastAsia="仿宋_GB2312"/>
      <w:b/>
      <w:bCs/>
      <w:color w:val="000000"/>
      <w:sz w:val="21"/>
    </w:rPr>
  </w:style>
  <w:style w:type="paragraph" w:styleId="49">
    <w:name w:val="Body Text First Indent 2"/>
    <w:basedOn w:val="22"/>
    <w:link w:val="88"/>
    <w:unhideWhenUsed/>
    <w:qFormat/>
    <w:uiPriority w:val="99"/>
    <w:pPr>
      <w:ind w:firstLine="420" w:firstLineChars="200"/>
    </w:pPr>
    <w:rPr>
      <w:szCs w:val="20"/>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qFormat/>
    <w:uiPriority w:val="0"/>
  </w:style>
  <w:style w:type="character" w:styleId="55">
    <w:name w:val="FollowedHyperlink"/>
    <w:unhideWhenUsed/>
    <w:qFormat/>
    <w:uiPriority w:val="99"/>
    <w:rPr>
      <w:color w:val="333333"/>
      <w:u w:val="none"/>
    </w:rPr>
  </w:style>
  <w:style w:type="character" w:styleId="56">
    <w:name w:val="Emphasis"/>
    <w:qFormat/>
    <w:uiPriority w:val="0"/>
    <w:rPr>
      <w:i/>
      <w:iCs/>
    </w:rPr>
  </w:style>
  <w:style w:type="character" w:styleId="57">
    <w:name w:val="Hyperlink"/>
    <w:basedOn w:val="52"/>
    <w:qFormat/>
    <w:uiPriority w:val="99"/>
    <w:rPr>
      <w:color w:val="333333"/>
      <w:u w:val="none"/>
    </w:rPr>
  </w:style>
  <w:style w:type="character" w:styleId="58">
    <w:name w:val="annotation reference"/>
    <w:unhideWhenUsed/>
    <w:qFormat/>
    <w:uiPriority w:val="0"/>
    <w:rPr>
      <w:sz w:val="21"/>
      <w:szCs w:val="21"/>
    </w:rPr>
  </w:style>
  <w:style w:type="character" w:styleId="59">
    <w:name w:val="HTML Sample"/>
    <w:basedOn w:val="52"/>
    <w:qFormat/>
    <w:uiPriority w:val="0"/>
    <w:rPr>
      <w:rFonts w:ascii="Courier New" w:hAnsi="Courier New"/>
    </w:rPr>
  </w:style>
  <w:style w:type="character" w:customStyle="1" w:styleId="60">
    <w:name w:val="正文文本 字符"/>
    <w:link w:val="3"/>
    <w:qFormat/>
    <w:uiPriority w:val="0"/>
    <w:rPr>
      <w:kern w:val="2"/>
      <w:sz w:val="21"/>
      <w:szCs w:val="24"/>
    </w:rPr>
  </w:style>
  <w:style w:type="character" w:customStyle="1" w:styleId="61">
    <w:name w:val="正文文本首行缩进 字符"/>
    <w:link w:val="2"/>
    <w:qFormat/>
    <w:uiPriority w:val="99"/>
    <w:rPr>
      <w:rFonts w:ascii="仿宋_GB2312" w:hAnsi="宋体" w:eastAsia="仿宋_GB2312" w:cs="宋体"/>
      <w:b/>
      <w:bCs/>
      <w:color w:val="000000"/>
      <w:kern w:val="2"/>
      <w:sz w:val="21"/>
      <w:szCs w:val="21"/>
    </w:rPr>
  </w:style>
  <w:style w:type="character" w:customStyle="1" w:styleId="62">
    <w:name w:val="标题 1 字符"/>
    <w:link w:val="4"/>
    <w:qFormat/>
    <w:uiPriority w:val="0"/>
    <w:rPr>
      <w:rFonts w:ascii="Arial" w:hAnsi="Arial" w:eastAsia="黑体"/>
      <w:color w:val="000000"/>
      <w:spacing w:val="20"/>
      <w:kern w:val="44"/>
      <w:sz w:val="36"/>
      <w:szCs w:val="44"/>
    </w:rPr>
  </w:style>
  <w:style w:type="character" w:customStyle="1" w:styleId="63">
    <w:name w:val="标题 2 字符"/>
    <w:link w:val="5"/>
    <w:qFormat/>
    <w:uiPriority w:val="0"/>
    <w:rPr>
      <w:rFonts w:ascii="Arial" w:hAnsi="Arial" w:eastAsia="黑体"/>
      <w:color w:val="000000"/>
      <w:spacing w:val="20"/>
      <w:sz w:val="32"/>
      <w:szCs w:val="32"/>
    </w:rPr>
  </w:style>
  <w:style w:type="character" w:customStyle="1" w:styleId="64">
    <w:name w:val="标题 3 字符"/>
    <w:link w:val="6"/>
    <w:qFormat/>
    <w:uiPriority w:val="99"/>
    <w:rPr>
      <w:rFonts w:ascii="Arial" w:hAnsi="Arial" w:eastAsia="黑体"/>
      <w:color w:val="000000"/>
      <w:spacing w:val="20"/>
      <w:sz w:val="30"/>
      <w:szCs w:val="32"/>
    </w:rPr>
  </w:style>
  <w:style w:type="character" w:customStyle="1" w:styleId="65">
    <w:name w:val="标题 4 字符"/>
    <w:link w:val="7"/>
    <w:qFormat/>
    <w:uiPriority w:val="0"/>
    <w:rPr>
      <w:rFonts w:ascii="Arial" w:hAnsi="Arial" w:eastAsia="黑体"/>
      <w:color w:val="000000"/>
      <w:spacing w:val="10"/>
      <w:sz w:val="28"/>
      <w:szCs w:val="28"/>
    </w:rPr>
  </w:style>
  <w:style w:type="character" w:customStyle="1" w:styleId="66">
    <w:name w:val="正文缩进 字符"/>
    <w:link w:val="8"/>
    <w:qFormat/>
    <w:uiPriority w:val="0"/>
    <w:rPr>
      <w:rFonts w:ascii="仿宋_GB2312" w:hAnsi="宋体" w:eastAsia="仿宋_GB2312" w:cs="宋体"/>
      <w:b/>
      <w:bCs/>
      <w:color w:val="000000"/>
      <w:sz w:val="21"/>
      <w:szCs w:val="21"/>
      <w:lang w:val="en-US" w:eastAsia="zh-CN" w:bidi="ar-SA"/>
    </w:rPr>
  </w:style>
  <w:style w:type="character" w:customStyle="1" w:styleId="67">
    <w:name w:val="标题 5 字符"/>
    <w:link w:val="9"/>
    <w:qFormat/>
    <w:uiPriority w:val="0"/>
    <w:rPr>
      <w:rFonts w:ascii="Arial" w:hAnsi="Arial" w:eastAsia="黑体"/>
      <w:color w:val="000000"/>
      <w:spacing w:val="10"/>
      <w:sz w:val="28"/>
      <w:szCs w:val="28"/>
    </w:rPr>
  </w:style>
  <w:style w:type="character" w:customStyle="1" w:styleId="68">
    <w:name w:val="标题 6 字符"/>
    <w:link w:val="10"/>
    <w:qFormat/>
    <w:uiPriority w:val="0"/>
    <w:rPr>
      <w:rFonts w:ascii="Arial" w:hAnsi="Arial" w:eastAsia="黑体"/>
      <w:color w:val="000000"/>
      <w:spacing w:val="10"/>
      <w:sz w:val="24"/>
      <w:szCs w:val="21"/>
    </w:rPr>
  </w:style>
  <w:style w:type="character" w:customStyle="1" w:styleId="69">
    <w:name w:val="标题 7 字符"/>
    <w:link w:val="11"/>
    <w:qFormat/>
    <w:uiPriority w:val="9"/>
    <w:rPr>
      <w:rFonts w:ascii="Arial" w:hAnsi="Arial" w:eastAsia="黑体"/>
      <w:color w:val="000000"/>
      <w:sz w:val="24"/>
      <w:szCs w:val="21"/>
    </w:rPr>
  </w:style>
  <w:style w:type="character" w:customStyle="1" w:styleId="70">
    <w:name w:val="标题 8 字符"/>
    <w:link w:val="12"/>
    <w:qFormat/>
    <w:uiPriority w:val="0"/>
    <w:rPr>
      <w:rFonts w:ascii="Arial" w:hAnsi="Arial" w:eastAsia="黑体"/>
      <w:b/>
      <w:bCs/>
      <w:color w:val="000000"/>
      <w:sz w:val="24"/>
      <w:szCs w:val="21"/>
    </w:rPr>
  </w:style>
  <w:style w:type="character" w:customStyle="1" w:styleId="71">
    <w:name w:val="标题 9 字符"/>
    <w:link w:val="13"/>
    <w:qFormat/>
    <w:uiPriority w:val="0"/>
    <w:rPr>
      <w:rFonts w:ascii="Arial" w:hAnsi="Arial" w:eastAsia="黑体"/>
      <w:b/>
      <w:bCs/>
      <w:color w:val="000000"/>
      <w:sz w:val="21"/>
      <w:szCs w:val="21"/>
    </w:rPr>
  </w:style>
  <w:style w:type="character" w:customStyle="1" w:styleId="72">
    <w:name w:val="文档结构图 字符"/>
    <w:link w:val="17"/>
    <w:qFormat/>
    <w:uiPriority w:val="99"/>
    <w:rPr>
      <w:kern w:val="2"/>
      <w:sz w:val="21"/>
      <w:szCs w:val="24"/>
      <w:shd w:val="clear" w:color="auto" w:fill="000080"/>
    </w:rPr>
  </w:style>
  <w:style w:type="character" w:customStyle="1" w:styleId="73">
    <w:name w:val="批注文字 字符"/>
    <w:link w:val="19"/>
    <w:qFormat/>
    <w:uiPriority w:val="0"/>
    <w:rPr>
      <w:rFonts w:ascii="Arial" w:hAnsi="Arial"/>
      <w:szCs w:val="21"/>
    </w:rPr>
  </w:style>
  <w:style w:type="character" w:customStyle="1" w:styleId="74">
    <w:name w:val="称呼 字符"/>
    <w:link w:val="20"/>
    <w:qFormat/>
    <w:uiPriority w:val="0"/>
    <w:rPr>
      <w:rFonts w:ascii="长城仿宋" w:hAnsi="长城仿宋"/>
      <w:kern w:val="2"/>
      <w:sz w:val="24"/>
      <w:szCs w:val="24"/>
    </w:rPr>
  </w:style>
  <w:style w:type="character" w:customStyle="1" w:styleId="75">
    <w:name w:val="正文文本 3 字符"/>
    <w:link w:val="21"/>
    <w:qFormat/>
    <w:uiPriority w:val="0"/>
    <w:rPr>
      <w:kern w:val="2"/>
      <w:sz w:val="16"/>
      <w:szCs w:val="16"/>
    </w:rPr>
  </w:style>
  <w:style w:type="character" w:customStyle="1" w:styleId="76">
    <w:name w:val="正文文本缩进 字符"/>
    <w:link w:val="22"/>
    <w:qFormat/>
    <w:uiPriority w:val="0"/>
    <w:rPr>
      <w:rFonts w:eastAsia="宋体"/>
      <w:kern w:val="2"/>
      <w:sz w:val="21"/>
      <w:szCs w:val="24"/>
      <w:lang w:val="en-US" w:eastAsia="zh-CN" w:bidi="ar-SA"/>
    </w:rPr>
  </w:style>
  <w:style w:type="character" w:customStyle="1" w:styleId="77">
    <w:name w:val="纯文本 字符1"/>
    <w:link w:val="28"/>
    <w:qFormat/>
    <w:uiPriority w:val="0"/>
    <w:rPr>
      <w:rFonts w:ascii="宋体" w:hAnsi="Courier New" w:eastAsia="仿宋_GB2312" w:cs="宋体"/>
      <w:b/>
      <w:bCs/>
      <w:color w:val="000000"/>
      <w:sz w:val="21"/>
      <w:lang w:val="en-US" w:eastAsia="zh-CN" w:bidi="ar-SA"/>
    </w:rPr>
  </w:style>
  <w:style w:type="character" w:customStyle="1" w:styleId="78">
    <w:name w:val="日期 字符"/>
    <w:link w:val="31"/>
    <w:qFormat/>
    <w:uiPriority w:val="0"/>
    <w:rPr>
      <w:rFonts w:ascii="仿宋_GB2312" w:hAnsi="宋体" w:eastAsia="仿宋_GB2312" w:cs="宋体"/>
      <w:b/>
      <w:bCs/>
      <w:color w:val="000000"/>
      <w:sz w:val="24"/>
      <w:szCs w:val="21"/>
    </w:rPr>
  </w:style>
  <w:style w:type="character" w:customStyle="1" w:styleId="79">
    <w:name w:val="正文文本缩进 2 字符"/>
    <w:link w:val="32"/>
    <w:qFormat/>
    <w:uiPriority w:val="0"/>
    <w:rPr>
      <w:rFonts w:ascii="宋体" w:hAnsi="宋体" w:eastAsia="仿宋_GB2312" w:cs="宋体"/>
      <w:b/>
      <w:bCs/>
      <w:color w:val="000000"/>
      <w:sz w:val="24"/>
    </w:rPr>
  </w:style>
  <w:style w:type="character" w:customStyle="1" w:styleId="80">
    <w:name w:val="批注框文本 字符"/>
    <w:link w:val="33"/>
    <w:qFormat/>
    <w:uiPriority w:val="0"/>
    <w:rPr>
      <w:rFonts w:ascii="仿宋_GB2312" w:hAnsi="宋体" w:eastAsia="仿宋_GB2312" w:cs="宋体"/>
      <w:b/>
      <w:bCs/>
      <w:color w:val="000000"/>
      <w:sz w:val="18"/>
      <w:szCs w:val="18"/>
    </w:rPr>
  </w:style>
  <w:style w:type="character" w:customStyle="1" w:styleId="81">
    <w:name w:val="页脚 字符"/>
    <w:link w:val="34"/>
    <w:qFormat/>
    <w:uiPriority w:val="99"/>
    <w:rPr>
      <w:rFonts w:ascii="仿宋_GB2312" w:hAnsi="宋体" w:eastAsia="仿宋_GB2312" w:cs="宋体"/>
      <w:b/>
      <w:bCs/>
      <w:color w:val="000000"/>
      <w:sz w:val="18"/>
      <w:szCs w:val="18"/>
    </w:rPr>
  </w:style>
  <w:style w:type="character" w:customStyle="1" w:styleId="82">
    <w:name w:val="页眉 字符"/>
    <w:link w:val="35"/>
    <w:qFormat/>
    <w:uiPriority w:val="99"/>
    <w:rPr>
      <w:rFonts w:ascii="仿宋_GB2312" w:hAnsi="宋体" w:eastAsia="仿宋_GB2312" w:cs="宋体"/>
      <w:b/>
      <w:bCs/>
      <w:color w:val="000000"/>
      <w:sz w:val="18"/>
      <w:szCs w:val="18"/>
    </w:rPr>
  </w:style>
  <w:style w:type="character" w:customStyle="1" w:styleId="83">
    <w:name w:val="正文文本缩进 3 字符"/>
    <w:link w:val="40"/>
    <w:qFormat/>
    <w:uiPriority w:val="0"/>
    <w:rPr>
      <w:rFonts w:ascii="仿宋_GB2312" w:hAnsi="宋体" w:eastAsia="仿宋_GB2312" w:cs="宋体"/>
      <w:b/>
      <w:bCs/>
      <w:color w:val="000000"/>
      <w:sz w:val="16"/>
      <w:szCs w:val="16"/>
    </w:rPr>
  </w:style>
  <w:style w:type="character" w:customStyle="1" w:styleId="84">
    <w:name w:val="正文文本 2 字符"/>
    <w:link w:val="43"/>
    <w:qFormat/>
    <w:uiPriority w:val="0"/>
    <w:rPr>
      <w:kern w:val="2"/>
      <w:sz w:val="21"/>
      <w:szCs w:val="24"/>
    </w:rPr>
  </w:style>
  <w:style w:type="character" w:customStyle="1" w:styleId="85">
    <w:name w:val="HTML 预设格式 字符"/>
    <w:link w:val="44"/>
    <w:qFormat/>
    <w:uiPriority w:val="0"/>
    <w:rPr>
      <w:rFonts w:ascii="Arial" w:hAnsi="Arial" w:cs="Arial"/>
      <w:sz w:val="24"/>
      <w:szCs w:val="24"/>
    </w:rPr>
  </w:style>
  <w:style w:type="character" w:customStyle="1" w:styleId="86">
    <w:name w:val="标题 字符"/>
    <w:link w:val="47"/>
    <w:qFormat/>
    <w:uiPriority w:val="0"/>
    <w:rPr>
      <w:rFonts w:ascii="Arial" w:hAnsi="Arial" w:cs="Arial"/>
      <w:b/>
      <w:bCs/>
      <w:color w:val="000000"/>
      <w:sz w:val="32"/>
      <w:szCs w:val="32"/>
    </w:rPr>
  </w:style>
  <w:style w:type="character" w:customStyle="1" w:styleId="87">
    <w:name w:val="批注主题 字符"/>
    <w:link w:val="48"/>
    <w:qFormat/>
    <w:uiPriority w:val="0"/>
    <w:rPr>
      <w:rFonts w:ascii="仿宋_GB2312" w:hAnsi="宋体" w:eastAsia="仿宋_GB2312" w:cs="宋体"/>
      <w:b/>
      <w:bCs/>
      <w:color w:val="000000"/>
      <w:sz w:val="21"/>
      <w:szCs w:val="21"/>
    </w:rPr>
  </w:style>
  <w:style w:type="character" w:customStyle="1" w:styleId="88">
    <w:name w:val="正文文本首行缩进 2 字符"/>
    <w:link w:val="49"/>
    <w:qFormat/>
    <w:uiPriority w:val="99"/>
    <w:rPr>
      <w:lang w:val="en-US" w:eastAsia="zh-CN" w:bidi="ar-SA"/>
    </w:rPr>
  </w:style>
  <w:style w:type="paragraph" w:customStyle="1" w:styleId="89">
    <w:name w:val="Default"/>
    <w:next w:val="9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1">
    <w:name w:val="标题 1 字符1"/>
    <w:qFormat/>
    <w:uiPriority w:val="0"/>
    <w:rPr>
      <w:rFonts w:ascii="???|CS?o｡ﾀ?" w:hAnsi="???|CS?o｡ﾀ?" w:eastAsia="Tahoma"/>
      <w:color w:val="000000"/>
      <w:spacing w:val="20"/>
      <w:kern w:val="44"/>
      <w:sz w:val="36"/>
    </w:rPr>
  </w:style>
  <w:style w:type="character" w:customStyle="1" w:styleId="92">
    <w:name w:val="font191"/>
    <w:qFormat/>
    <w:uiPriority w:val="0"/>
    <w:rPr>
      <w:rFonts w:hint="eastAsia" w:ascii="宋体" w:hAnsi="宋体" w:eastAsia="宋体" w:cs="Times New Roman"/>
      <w:b/>
      <w:bCs/>
      <w:color w:val="000000"/>
      <w:sz w:val="21"/>
      <w:szCs w:val="21"/>
      <w:u w:val="none"/>
      <w:lang w:eastAsia="en-US"/>
    </w:rPr>
  </w:style>
  <w:style w:type="character" w:customStyle="1" w:styleId="93">
    <w:name w:val="Footer Char"/>
    <w:qFormat/>
    <w:locked/>
    <w:uiPriority w:val="0"/>
    <w:rPr>
      <w:rFonts w:ascii="等线" w:hAnsi="等线" w:eastAsia="等线"/>
      <w:kern w:val="2"/>
      <w:sz w:val="18"/>
      <w:szCs w:val="18"/>
      <w:lang w:val="en-US" w:eastAsia="zh-CN" w:bidi="ar-SA"/>
    </w:rPr>
  </w:style>
  <w:style w:type="character" w:customStyle="1" w:styleId="94">
    <w:name w:val="样式 标题 1 + Arial Char"/>
    <w:link w:val="95"/>
    <w:qFormat/>
    <w:uiPriority w:val="0"/>
    <w:rPr>
      <w:rFonts w:ascii="Arial" w:hAnsi="Arial"/>
      <w:b/>
      <w:bCs/>
      <w:kern w:val="2"/>
      <w:sz w:val="32"/>
      <w:szCs w:val="44"/>
    </w:rPr>
  </w:style>
  <w:style w:type="paragraph" w:customStyle="1" w:styleId="95">
    <w:name w:val="样式 标题 1 + Arial"/>
    <w:basedOn w:val="4"/>
    <w:link w:val="94"/>
    <w:qFormat/>
    <w:uiPriority w:val="0"/>
    <w:pPr>
      <w:numPr>
        <w:numId w:val="0"/>
      </w:numPr>
      <w:snapToGrid w:val="0"/>
      <w:spacing w:before="0" w:afterLines="0" w:line="360" w:lineRule="auto"/>
      <w:jc w:val="center"/>
    </w:pPr>
    <w:rPr>
      <w:rFonts w:eastAsia="宋体"/>
      <w:b/>
      <w:bCs/>
      <w:color w:val="auto"/>
      <w:spacing w:val="0"/>
      <w:kern w:val="2"/>
      <w:sz w:val="32"/>
    </w:rPr>
  </w:style>
  <w:style w:type="character" w:customStyle="1" w:styleId="96">
    <w:name w:val="HTML 预设格式 字符1"/>
    <w:semiHidden/>
    <w:qFormat/>
    <w:uiPriority w:val="99"/>
    <w:rPr>
      <w:rFonts w:ascii="Courier New" w:hAnsi="Courier New" w:eastAsia="仿宋_GB2312" w:cs="Courier New"/>
      <w:b/>
      <w:bCs/>
      <w:color w:val="000000"/>
      <w:kern w:val="0"/>
      <w:sz w:val="20"/>
      <w:szCs w:val="20"/>
    </w:rPr>
  </w:style>
  <w:style w:type="character" w:customStyle="1" w:styleId="97">
    <w:name w:val="纯文本 Char1"/>
    <w:qFormat/>
    <w:uiPriority w:val="0"/>
    <w:rPr>
      <w:rFonts w:ascii="宋体" w:hAnsi="Courier New" w:eastAsia="仿宋_GB2312" w:cs="宋体"/>
      <w:b/>
      <w:bCs/>
      <w:color w:val="000000"/>
      <w:sz w:val="21"/>
      <w:lang w:val="en-US" w:eastAsia="zh-CN" w:bidi="ar-SA"/>
    </w:rPr>
  </w:style>
  <w:style w:type="character" w:customStyle="1" w:styleId="98">
    <w:name w:val="ca-6"/>
    <w:qFormat/>
    <w:uiPriority w:val="0"/>
    <w:rPr>
      <w:rFonts w:cs="长城仿宋"/>
    </w:rPr>
  </w:style>
  <w:style w:type="character" w:customStyle="1" w:styleId="99">
    <w:name w:val="文档结构图 字符1"/>
    <w:semiHidden/>
    <w:qFormat/>
    <w:uiPriority w:val="99"/>
    <w:rPr>
      <w:rFonts w:ascii="Microsoft YaHei UI" w:hAnsi="宋体" w:eastAsia="Microsoft YaHei UI" w:cs="宋体"/>
      <w:b/>
      <w:bCs/>
      <w:color w:val="000000"/>
      <w:kern w:val="0"/>
      <w:sz w:val="18"/>
      <w:szCs w:val="18"/>
    </w:rPr>
  </w:style>
  <w:style w:type="character" w:customStyle="1" w:styleId="100">
    <w:name w:val="f16b1"/>
    <w:qFormat/>
    <w:uiPriority w:val="0"/>
    <w:rPr>
      <w:b/>
      <w:bCs/>
      <w:color w:val="333333"/>
      <w:sz w:val="22"/>
      <w:szCs w:val="22"/>
    </w:rPr>
  </w:style>
  <w:style w:type="character" w:customStyle="1" w:styleId="101">
    <w:name w:val="正文文本 字符1"/>
    <w:semiHidden/>
    <w:qFormat/>
    <w:uiPriority w:val="99"/>
    <w:rPr>
      <w:rFonts w:ascii="仿宋_GB2312" w:hAnsi="宋体" w:eastAsia="仿宋_GB2312" w:cs="宋体"/>
      <w:b/>
      <w:bCs/>
      <w:color w:val="000000"/>
      <w:kern w:val="0"/>
      <w:szCs w:val="21"/>
    </w:rPr>
  </w:style>
  <w:style w:type="character" w:customStyle="1" w:styleId="102">
    <w:name w:val="节 Char"/>
    <w:qFormat/>
    <w:uiPriority w:val="0"/>
    <w:rPr>
      <w:rFonts w:ascii="Arial" w:hAnsi="Arial" w:eastAsia="黑体"/>
      <w:b/>
      <w:bCs/>
      <w:kern w:val="2"/>
      <w:sz w:val="32"/>
      <w:szCs w:val="32"/>
      <w:lang w:val="en-US" w:eastAsia="zh-CN" w:bidi="ar-SA"/>
    </w:rPr>
  </w:style>
  <w:style w:type="character" w:customStyle="1" w:styleId="103">
    <w:name w:val="bsharetext"/>
    <w:qFormat/>
    <w:uiPriority w:val="0"/>
  </w:style>
  <w:style w:type="character" w:customStyle="1" w:styleId="104">
    <w:name w:val="正文文本 3 字符1"/>
    <w:semiHidden/>
    <w:qFormat/>
    <w:uiPriority w:val="99"/>
    <w:rPr>
      <w:rFonts w:ascii="仿宋_GB2312" w:hAnsi="宋体" w:eastAsia="仿宋_GB2312" w:cs="宋体"/>
      <w:b/>
      <w:bCs/>
      <w:color w:val="000000"/>
      <w:kern w:val="0"/>
      <w:sz w:val="16"/>
      <w:szCs w:val="16"/>
    </w:rPr>
  </w:style>
  <w:style w:type="character" w:customStyle="1" w:styleId="105">
    <w:name w:val="bigtitle1"/>
    <w:qFormat/>
    <w:uiPriority w:val="0"/>
    <w:rPr>
      <w:sz w:val="28"/>
      <w:szCs w:val="28"/>
    </w:rPr>
  </w:style>
  <w:style w:type="character" w:customStyle="1" w:styleId="106">
    <w:name w:val="页眉 Char1"/>
    <w:semiHidden/>
    <w:qFormat/>
    <w:uiPriority w:val="99"/>
    <w:rPr>
      <w:sz w:val="18"/>
      <w:szCs w:val="18"/>
    </w:rPr>
  </w:style>
  <w:style w:type="character" w:customStyle="1" w:styleId="107">
    <w:name w:val="font11"/>
    <w:qFormat/>
    <w:uiPriority w:val="0"/>
    <w:rPr>
      <w:rFonts w:hint="default" w:ascii="Arial" w:hAnsi="Arial" w:cs="Arial"/>
      <w:color w:val="000000"/>
      <w:sz w:val="22"/>
      <w:szCs w:val="22"/>
      <w:u w:val="none"/>
    </w:rPr>
  </w:style>
  <w:style w:type="character" w:customStyle="1" w:styleId="108">
    <w:name w:val="17"/>
    <w:qFormat/>
    <w:uiPriority w:val="0"/>
    <w:rPr>
      <w:rFonts w:hint="default" w:ascii="Times New Roman" w:hAnsi="Times New Roman" w:cs="Times New Roman"/>
      <w:color w:val="222222"/>
      <w:sz w:val="21"/>
      <w:szCs w:val="21"/>
    </w:rPr>
  </w:style>
  <w:style w:type="character" w:customStyle="1" w:styleId="109">
    <w:name w:val="styles11"/>
    <w:qFormat/>
    <w:uiPriority w:val="0"/>
    <w:rPr>
      <w:rFonts w:hint="default"/>
      <w:sz w:val="21"/>
      <w:szCs w:val="21"/>
    </w:rPr>
  </w:style>
  <w:style w:type="character" w:customStyle="1" w:styleId="110">
    <w:name w:val="_Style 108"/>
    <w:unhideWhenUsed/>
    <w:qFormat/>
    <w:uiPriority w:val="99"/>
    <w:rPr>
      <w:color w:val="605E5C"/>
      <w:shd w:val="clear" w:color="auto" w:fill="E1DFDD"/>
    </w:rPr>
  </w:style>
  <w:style w:type="character" w:customStyle="1" w:styleId="111">
    <w:name w:val="正文（绿盟科技） Char Char"/>
    <w:link w:val="112"/>
    <w:qFormat/>
    <w:uiPriority w:val="0"/>
    <w:rPr>
      <w:rFonts w:ascii="Arial" w:hAnsi="Arial"/>
      <w:sz w:val="21"/>
      <w:szCs w:val="21"/>
      <w:lang w:val="en-US" w:eastAsia="zh-CN" w:bidi="ar-SA"/>
    </w:rPr>
  </w:style>
  <w:style w:type="paragraph" w:customStyle="1" w:styleId="112">
    <w:name w:val="正文（绿盟科技）"/>
    <w:link w:val="111"/>
    <w:qFormat/>
    <w:uiPriority w:val="0"/>
    <w:pPr>
      <w:spacing w:line="300" w:lineRule="auto"/>
    </w:pPr>
    <w:rPr>
      <w:rFonts w:ascii="Arial" w:hAnsi="Arial" w:eastAsia="宋体" w:cs="Times New Roman"/>
      <w:sz w:val="21"/>
      <w:szCs w:val="21"/>
      <w:lang w:val="en-US" w:eastAsia="zh-CN" w:bidi="ar-SA"/>
    </w:rPr>
  </w:style>
  <w:style w:type="character" w:customStyle="1" w:styleId="113">
    <w:name w:val="title1"/>
    <w:qFormat/>
    <w:uiPriority w:val="0"/>
    <w:rPr>
      <w:rFonts w:hint="eastAsia" w:ascii="Arial Unicode MS" w:hAnsi="Arial Unicode MS" w:eastAsia="Arial Unicode MS"/>
      <w:b/>
      <w:bCs/>
      <w:sz w:val="22"/>
      <w:szCs w:val="22"/>
    </w:rPr>
  </w:style>
  <w:style w:type="character" w:customStyle="1" w:styleId="114">
    <w:name w:val="15"/>
    <w:qFormat/>
    <w:uiPriority w:val="0"/>
    <w:rPr>
      <w:rFonts w:hint="default" w:ascii="TimesNewRomanPSMT" w:hAnsi="TimesNewRomanPSMT"/>
      <w:color w:val="000000"/>
      <w:sz w:val="24"/>
      <w:szCs w:val="24"/>
    </w:rPr>
  </w:style>
  <w:style w:type="character" w:customStyle="1" w:styleId="115">
    <w:name w:val="无间隔 Char"/>
    <w:link w:val="116"/>
    <w:qFormat/>
    <w:uiPriority w:val="1"/>
    <w:rPr>
      <w:rFonts w:ascii="Calibri" w:hAnsi="Calibri"/>
      <w:kern w:val="2"/>
      <w:sz w:val="21"/>
      <w:szCs w:val="22"/>
    </w:rPr>
  </w:style>
  <w:style w:type="paragraph" w:customStyle="1" w:styleId="116">
    <w:name w:val="无间隔1"/>
    <w:basedOn w:val="1"/>
    <w:link w:val="115"/>
    <w:qFormat/>
    <w:uiPriority w:val="1"/>
    <w:rPr>
      <w:rFonts w:ascii="Calibri" w:hAnsi="Calibri" w:eastAsia="宋体" w:cs="Times New Roman"/>
      <w:b w:val="0"/>
      <w:bCs w:val="0"/>
      <w:color w:val="auto"/>
      <w:kern w:val="2"/>
      <w:szCs w:val="22"/>
    </w:rPr>
  </w:style>
  <w:style w:type="character" w:customStyle="1" w:styleId="117">
    <w:name w:val="font71"/>
    <w:qFormat/>
    <w:uiPriority w:val="0"/>
    <w:rPr>
      <w:rFonts w:hint="eastAsia" w:ascii="宋体" w:hAnsi="宋体" w:eastAsia="宋体" w:cs="宋体"/>
      <w:color w:val="000000"/>
      <w:sz w:val="20"/>
      <w:szCs w:val="20"/>
      <w:u w:val="none"/>
    </w:rPr>
  </w:style>
  <w:style w:type="character" w:customStyle="1" w:styleId="118">
    <w:name w:val="1.1.1类表 Char Char"/>
    <w:link w:val="119"/>
    <w:qFormat/>
    <w:uiPriority w:val="0"/>
    <w:rPr>
      <w:rFonts w:ascii="宋体" w:hAnsi="宋体"/>
      <w:b/>
      <w:bCs/>
      <w:sz w:val="28"/>
      <w:szCs w:val="28"/>
    </w:rPr>
  </w:style>
  <w:style w:type="paragraph" w:customStyle="1" w:styleId="119">
    <w:name w:val="1.1.1类表"/>
    <w:basedOn w:val="1"/>
    <w:link w:val="118"/>
    <w:qFormat/>
    <w:uiPriority w:val="0"/>
    <w:pPr>
      <w:keepNext/>
      <w:keepLines/>
      <w:tabs>
        <w:tab w:val="left" w:pos="1430"/>
      </w:tabs>
      <w:snapToGrid w:val="0"/>
      <w:spacing w:before="120" w:after="120" w:line="360" w:lineRule="auto"/>
      <w:ind w:left="1430" w:hanging="720" w:firstLineChars="200"/>
      <w:outlineLvl w:val="2"/>
    </w:pPr>
    <w:rPr>
      <w:rFonts w:ascii="宋体" w:eastAsia="宋体" w:cs="Times New Roman"/>
      <w:color w:val="auto"/>
      <w:sz w:val="28"/>
      <w:szCs w:val="28"/>
    </w:rPr>
  </w:style>
  <w:style w:type="character" w:customStyle="1" w:styleId="120">
    <w:name w:val="Texte Char Char"/>
    <w:qFormat/>
    <w:uiPriority w:val="0"/>
    <w:rPr>
      <w:rFonts w:ascii="宋体" w:hAnsi="Courier New" w:eastAsia="仿宋_GB2312" w:cs="宋体"/>
      <w:b/>
      <w:bCs/>
      <w:color w:val="000000"/>
      <w:sz w:val="21"/>
      <w:lang w:val="en-US" w:eastAsia="zh-CN" w:bidi="ar-SA"/>
    </w:rPr>
  </w:style>
  <w:style w:type="character" w:customStyle="1" w:styleId="121">
    <w:name w:val="text1"/>
    <w:qFormat/>
    <w:uiPriority w:val="0"/>
    <w:rPr>
      <w:rFonts w:hint="default"/>
      <w:color w:val="666666"/>
      <w:sz w:val="18"/>
      <w:szCs w:val="18"/>
      <w:u w:val="none"/>
    </w:rPr>
  </w:style>
  <w:style w:type="character" w:customStyle="1" w:styleId="122">
    <w:name w:val="apple-style-span"/>
    <w:qFormat/>
    <w:uiPriority w:val="0"/>
  </w:style>
  <w:style w:type="character" w:customStyle="1" w:styleId="123">
    <w:name w:val="font01"/>
    <w:qFormat/>
    <w:uiPriority w:val="0"/>
    <w:rPr>
      <w:rFonts w:hint="eastAsia" w:ascii="宋体" w:hAnsi="宋体" w:eastAsia="宋体" w:cs="宋体"/>
      <w:color w:val="000000"/>
      <w:sz w:val="22"/>
      <w:szCs w:val="22"/>
      <w:u w:val="none"/>
    </w:rPr>
  </w:style>
  <w:style w:type="character" w:customStyle="1" w:styleId="124">
    <w:name w:val="Header Char"/>
    <w:qFormat/>
    <w:locked/>
    <w:uiPriority w:val="0"/>
    <w:rPr>
      <w:rFonts w:ascii="等线" w:hAnsi="等线" w:eastAsia="等线"/>
      <w:kern w:val="2"/>
      <w:sz w:val="18"/>
      <w:szCs w:val="18"/>
      <w:lang w:val="en-US" w:eastAsia="zh-CN" w:bidi="ar-SA"/>
    </w:rPr>
  </w:style>
  <w:style w:type="character" w:customStyle="1" w:styleId="125">
    <w:name w:val="称呼 字符1"/>
    <w:qFormat/>
    <w:uiPriority w:val="0"/>
    <w:rPr>
      <w:rFonts w:ascii="仿宋_GB2312" w:hAnsi="宋体" w:eastAsia="仿宋_GB2312" w:cs="宋体"/>
      <w:b/>
      <w:bCs/>
      <w:color w:val="000000"/>
      <w:sz w:val="21"/>
      <w:szCs w:val="21"/>
    </w:rPr>
  </w:style>
  <w:style w:type="character" w:customStyle="1" w:styleId="126">
    <w:name w:val="标题 Char1"/>
    <w:qFormat/>
    <w:uiPriority w:val="0"/>
    <w:rPr>
      <w:rFonts w:ascii="Cambria" w:hAnsi="Cambria" w:eastAsia="宋体" w:cs="Times New Roman"/>
      <w:b/>
      <w:bCs/>
      <w:sz w:val="32"/>
      <w:szCs w:val="32"/>
    </w:rPr>
  </w:style>
  <w:style w:type="character" w:customStyle="1" w:styleId="127">
    <w:name w:val="标题 字符1"/>
    <w:qFormat/>
    <w:uiPriority w:val="10"/>
    <w:rPr>
      <w:rFonts w:ascii="等线 Light" w:hAnsi="等线 Light" w:eastAsia="等线 Light" w:cs="Times New Roman"/>
      <w:b/>
      <w:bCs/>
      <w:color w:val="000000"/>
      <w:kern w:val="0"/>
      <w:sz w:val="32"/>
      <w:szCs w:val="32"/>
    </w:rPr>
  </w:style>
  <w:style w:type="character" w:customStyle="1" w:styleId="128">
    <w:name w:val="font21"/>
    <w:qFormat/>
    <w:uiPriority w:val="0"/>
    <w:rPr>
      <w:rFonts w:hint="eastAsia" w:ascii="宋体" w:hAnsi="宋体" w:eastAsia="宋体"/>
      <w:color w:val="000000"/>
      <w:sz w:val="22"/>
      <w:szCs w:val="22"/>
      <w:u w:val="none"/>
    </w:rPr>
  </w:style>
  <w:style w:type="character" w:customStyle="1" w:styleId="129">
    <w:name w:val="10"/>
    <w:qFormat/>
    <w:uiPriority w:val="0"/>
    <w:rPr>
      <w:rFonts w:hint="default" w:ascii="Calibri" w:hAnsi="Calibri" w:cs="Calibri"/>
    </w:rPr>
  </w:style>
  <w:style w:type="character" w:customStyle="1" w:styleId="130">
    <w:name w:val="正文首行缩进 字符"/>
    <w:qFormat/>
    <w:uiPriority w:val="0"/>
    <w:rPr>
      <w:rFonts w:ascii="宋体" w:hAnsi="宋体"/>
      <w:kern w:val="2"/>
      <w:sz w:val="21"/>
      <w:szCs w:val="24"/>
      <w:lang w:eastAsia="en-US"/>
    </w:rPr>
  </w:style>
  <w:style w:type="character" w:customStyle="1" w:styleId="131">
    <w:name w:val="ca-11"/>
    <w:qFormat/>
    <w:uiPriority w:val="0"/>
    <w:rPr>
      <w:rFonts w:hint="eastAsia" w:ascii="宋体" w:hAnsi="宋体" w:eastAsia="宋体"/>
      <w:sz w:val="18"/>
      <w:szCs w:val="18"/>
    </w:rPr>
  </w:style>
  <w:style w:type="character" w:customStyle="1" w:styleId="132">
    <w:name w:val="font81"/>
    <w:qFormat/>
    <w:uiPriority w:val="0"/>
    <w:rPr>
      <w:rFonts w:hint="default" w:ascii="Helvetica" w:hAnsi="Helvetica" w:cs="Helvetica"/>
      <w:color w:val="FF0000"/>
      <w:sz w:val="24"/>
      <w:szCs w:val="24"/>
      <w:u w:val="none"/>
    </w:rPr>
  </w:style>
  <w:style w:type="character" w:customStyle="1" w:styleId="133">
    <w:name w:val="正文文本 2 字符1"/>
    <w:semiHidden/>
    <w:qFormat/>
    <w:uiPriority w:val="99"/>
    <w:rPr>
      <w:rFonts w:ascii="仿宋_GB2312" w:hAnsi="宋体" w:eastAsia="仿宋_GB2312" w:cs="宋体"/>
      <w:b/>
      <w:bCs/>
      <w:color w:val="000000"/>
      <w:kern w:val="0"/>
      <w:szCs w:val="21"/>
    </w:rPr>
  </w:style>
  <w:style w:type="character" w:customStyle="1" w:styleId="134">
    <w:name w:val="文字 Char"/>
    <w:link w:val="135"/>
    <w:qFormat/>
    <w:locked/>
    <w:uiPriority w:val="0"/>
    <w:rPr>
      <w:rFonts w:ascii="宋体" w:hAnsi="宋体"/>
      <w:sz w:val="28"/>
    </w:rPr>
  </w:style>
  <w:style w:type="paragraph" w:customStyle="1" w:styleId="135">
    <w:name w:val="文字"/>
    <w:basedOn w:val="1"/>
    <w:link w:val="134"/>
    <w:qFormat/>
    <w:uiPriority w:val="0"/>
    <w:pPr>
      <w:tabs>
        <w:tab w:val="left" w:pos="8520"/>
      </w:tabs>
      <w:spacing w:line="312" w:lineRule="auto"/>
      <w:ind w:right="-210" w:firstLine="556"/>
    </w:pPr>
    <w:rPr>
      <w:rFonts w:ascii="宋体" w:eastAsia="宋体" w:cs="Times New Roman"/>
      <w:b w:val="0"/>
      <w:bCs w:val="0"/>
      <w:color w:val="auto"/>
      <w:sz w:val="28"/>
      <w:szCs w:val="20"/>
    </w:rPr>
  </w:style>
  <w:style w:type="character" w:customStyle="1" w:styleId="136">
    <w:name w:val="正文1 Char Char"/>
    <w:link w:val="137"/>
    <w:qFormat/>
    <w:uiPriority w:val="0"/>
    <w:rPr>
      <w:rFonts w:ascii="Calibri" w:hAnsi="Calibri"/>
      <w:kern w:val="2"/>
      <w:sz w:val="21"/>
      <w:szCs w:val="22"/>
    </w:rPr>
  </w:style>
  <w:style w:type="paragraph" w:customStyle="1" w:styleId="137">
    <w:name w:val="正文1 Char"/>
    <w:basedOn w:val="1"/>
    <w:link w:val="136"/>
    <w:qFormat/>
    <w:uiPriority w:val="0"/>
    <w:pPr>
      <w:spacing w:line="360" w:lineRule="auto"/>
      <w:ind w:firstLine="480"/>
    </w:pPr>
    <w:rPr>
      <w:rFonts w:ascii="Calibri" w:hAnsi="Calibri" w:eastAsia="宋体" w:cs="Times New Roman"/>
      <w:b w:val="0"/>
      <w:bCs w:val="0"/>
      <w:color w:val="auto"/>
      <w:kern w:val="2"/>
      <w:szCs w:val="22"/>
    </w:rPr>
  </w:style>
  <w:style w:type="character" w:customStyle="1" w:styleId="138">
    <w:name w:val="+正文 Char4"/>
    <w:link w:val="139"/>
    <w:qFormat/>
    <w:uiPriority w:val="0"/>
    <w:rPr>
      <w:sz w:val="24"/>
      <w:szCs w:val="28"/>
    </w:rPr>
  </w:style>
  <w:style w:type="paragraph" w:customStyle="1" w:styleId="139">
    <w:name w:val="+正文"/>
    <w:basedOn w:val="1"/>
    <w:link w:val="138"/>
    <w:qFormat/>
    <w:uiPriority w:val="0"/>
    <w:pPr>
      <w:adjustRightInd w:val="0"/>
      <w:spacing w:line="360" w:lineRule="auto"/>
      <w:ind w:firstLine="200" w:firstLineChars="200"/>
      <w:textAlignment w:val="baseline"/>
    </w:pPr>
    <w:rPr>
      <w:rFonts w:ascii="Times New Roman" w:hAnsi="Times New Roman" w:eastAsia="宋体" w:cs="Times New Roman"/>
      <w:b w:val="0"/>
      <w:bCs w:val="0"/>
      <w:color w:val="auto"/>
      <w:sz w:val="24"/>
      <w:szCs w:val="28"/>
    </w:rPr>
  </w:style>
  <w:style w:type="character" w:customStyle="1" w:styleId="140">
    <w:name w:val="正文文本缩进 字符1"/>
    <w:semiHidden/>
    <w:qFormat/>
    <w:uiPriority w:val="99"/>
    <w:rPr>
      <w:rFonts w:ascii="仿宋_GB2312" w:hAnsi="宋体" w:eastAsia="仿宋_GB2312" w:cs="宋体"/>
      <w:b/>
      <w:bCs/>
      <w:color w:val="000000"/>
      <w:kern w:val="0"/>
      <w:szCs w:val="21"/>
    </w:rPr>
  </w:style>
  <w:style w:type="character" w:customStyle="1" w:styleId="141">
    <w:name w:val="纯文本 字符2"/>
    <w:qFormat/>
    <w:uiPriority w:val="0"/>
    <w:rPr>
      <w:rFonts w:ascii="等线" w:hAnsi="Courier New" w:cs="Courier New"/>
      <w:b/>
      <w:bCs/>
      <w:color w:val="000000"/>
      <w:kern w:val="0"/>
      <w:szCs w:val="21"/>
    </w:rPr>
  </w:style>
  <w:style w:type="character" w:customStyle="1" w:styleId="142">
    <w:name w:val="批注主题 Char1"/>
    <w:qFormat/>
    <w:uiPriority w:val="0"/>
    <w:rPr>
      <w:rFonts w:ascii="Times New Roman" w:hAnsi="Times New Roman" w:eastAsia="宋体" w:cs="Times New Roman"/>
      <w:b/>
      <w:bCs/>
      <w:szCs w:val="24"/>
    </w:rPr>
  </w:style>
  <w:style w:type="character" w:customStyle="1" w:styleId="143">
    <w:name w:val="Char Char1"/>
    <w:qFormat/>
    <w:uiPriority w:val="0"/>
    <w:rPr>
      <w:rFonts w:ascii="宋体" w:hAnsi="Courier New" w:eastAsia="仿宋_GB2312" w:cs="宋体"/>
      <w:b/>
      <w:bCs/>
      <w:color w:val="000000"/>
      <w:sz w:val="21"/>
      <w:lang w:val="en-US" w:eastAsia="zh-CN" w:bidi="ar-SA"/>
    </w:rPr>
  </w:style>
  <w:style w:type="character" w:customStyle="1" w:styleId="144">
    <w:name w:val="apple-converted-space"/>
    <w:qFormat/>
    <w:uiPriority w:val="0"/>
  </w:style>
  <w:style w:type="character" w:customStyle="1" w:styleId="145">
    <w:name w:val="font91"/>
    <w:qFormat/>
    <w:uiPriority w:val="0"/>
    <w:rPr>
      <w:rFonts w:hint="eastAsia" w:ascii="Arial Unicode MS" w:hAnsi="Arial Unicode MS" w:eastAsia="Arial Unicode MS" w:cs="Arial Unicode MS"/>
      <w:color w:val="000000"/>
      <w:sz w:val="22"/>
      <w:szCs w:val="22"/>
      <w:u w:val="none"/>
    </w:rPr>
  </w:style>
  <w:style w:type="character" w:customStyle="1" w:styleId="146">
    <w:name w:val="yellow12"/>
    <w:qFormat/>
    <w:uiPriority w:val="0"/>
  </w:style>
  <w:style w:type="character" w:customStyle="1" w:styleId="147">
    <w:name w:val="font61"/>
    <w:qFormat/>
    <w:uiPriority w:val="0"/>
    <w:rPr>
      <w:rFonts w:hint="default" w:ascii="Arial" w:hAnsi="Arial" w:cs="Arial"/>
      <w:color w:val="000000"/>
      <w:kern w:val="0"/>
      <w:sz w:val="18"/>
      <w:szCs w:val="18"/>
      <w:u w:val="none"/>
      <w:lang w:eastAsia="en-US"/>
    </w:rPr>
  </w:style>
  <w:style w:type="character" w:customStyle="1" w:styleId="148">
    <w:name w:val="Plain Text Char"/>
    <w:qFormat/>
    <w:locked/>
    <w:uiPriority w:val="0"/>
    <w:rPr>
      <w:rFonts w:ascii="宋体" w:hAnsi="Courier New" w:eastAsia="仿宋_GB2312"/>
      <w:b/>
      <w:color w:val="000000"/>
      <w:lang w:bidi="ar-SA"/>
    </w:rPr>
  </w:style>
  <w:style w:type="character" w:customStyle="1" w:styleId="149">
    <w:name w:val="金保标题2 Char"/>
    <w:link w:val="150"/>
    <w:qFormat/>
    <w:uiPriority w:val="0"/>
    <w:rPr>
      <w:rFonts w:ascii="Tahoma" w:eastAsia="Tahoma"/>
      <w:bCs/>
      <w:kern w:val="2"/>
      <w:sz w:val="32"/>
      <w:szCs w:val="32"/>
    </w:rPr>
  </w:style>
  <w:style w:type="paragraph" w:customStyle="1" w:styleId="150">
    <w:name w:val="金保标题2"/>
    <w:basedOn w:val="5"/>
    <w:next w:val="1"/>
    <w:link w:val="149"/>
    <w:qFormat/>
    <w:uiPriority w:val="0"/>
    <w:pPr>
      <w:numPr>
        <w:ilvl w:val="0"/>
        <w:numId w:val="0"/>
      </w:numPr>
      <w:tabs>
        <w:tab w:val="left" w:pos="1050"/>
        <w:tab w:val="left" w:pos="1163"/>
        <w:tab w:val="left" w:pos="1260"/>
        <w:tab w:val="clear" w:pos="576"/>
      </w:tabs>
      <w:spacing w:afterLines="0" w:line="360" w:lineRule="auto"/>
      <w:ind w:left="1163" w:hanging="420"/>
    </w:pPr>
    <w:rPr>
      <w:rFonts w:ascii="Tahoma" w:hAnsi="Times New Roman" w:eastAsia="Tahoma"/>
      <w:bCs/>
      <w:color w:val="auto"/>
      <w:spacing w:val="0"/>
      <w:kern w:val="2"/>
    </w:rPr>
  </w:style>
  <w:style w:type="character" w:customStyle="1" w:styleId="151">
    <w:name w:val="++标题2 Char"/>
    <w:qFormat/>
    <w:uiPriority w:val="0"/>
    <w:rPr>
      <w:rFonts w:eastAsia="宋体" w:cs="Arial"/>
      <w:b/>
      <w:bCs/>
      <w:sz w:val="28"/>
      <w:szCs w:val="28"/>
      <w:lang w:val="en-US" w:eastAsia="zh-CN" w:bidi="ar-SA"/>
    </w:rPr>
  </w:style>
  <w:style w:type="character" w:customStyle="1" w:styleId="152">
    <w:name w:val="headst"/>
    <w:qFormat/>
    <w:uiPriority w:val="0"/>
  </w:style>
  <w:style w:type="character" w:customStyle="1" w:styleId="153">
    <w:name w:val="Char Char11"/>
    <w:qFormat/>
    <w:uiPriority w:val="0"/>
    <w:rPr>
      <w:rFonts w:ascii="宋体" w:hAnsi="Courier New" w:eastAsia="仿宋_GB2312" w:cs="宋体"/>
      <w:b/>
      <w:bCs/>
      <w:color w:val="000000"/>
      <w:sz w:val="21"/>
      <w:lang w:val="en-US" w:eastAsia="zh-CN" w:bidi="ar-SA"/>
    </w:rPr>
  </w:style>
  <w:style w:type="character" w:customStyle="1" w:styleId="154">
    <w:name w:val="纯文本 字符"/>
    <w:qFormat/>
    <w:uiPriority w:val="0"/>
    <w:rPr>
      <w:rFonts w:ascii="宋体" w:hAnsi="Courier New" w:eastAsia="仿宋_GB2312"/>
      <w:b/>
      <w:color w:val="000000"/>
      <w:sz w:val="21"/>
      <w:lang w:val="en-US" w:eastAsia="zh-CN" w:bidi="ar-SA"/>
    </w:rPr>
  </w:style>
  <w:style w:type="character" w:customStyle="1" w:styleId="155">
    <w:name w:val="列出段落 Char1"/>
    <w:link w:val="156"/>
    <w:qFormat/>
    <w:uiPriority w:val="34"/>
    <w:rPr>
      <w:rFonts w:ascii="Calibri" w:hAnsi="Calibri"/>
      <w:kern w:val="2"/>
      <w:sz w:val="21"/>
      <w:szCs w:val="22"/>
    </w:rPr>
  </w:style>
  <w:style w:type="paragraph" w:customStyle="1" w:styleId="156">
    <w:name w:val="列出段落1"/>
    <w:basedOn w:val="1"/>
    <w:link w:val="155"/>
    <w:qFormat/>
    <w:uiPriority w:val="0"/>
    <w:pPr>
      <w:ind w:firstLine="420" w:firstLineChars="200"/>
    </w:pPr>
    <w:rPr>
      <w:rFonts w:ascii="Calibri" w:hAnsi="Calibri" w:eastAsia="宋体" w:cs="Times New Roman"/>
      <w:b w:val="0"/>
      <w:bCs w:val="0"/>
      <w:color w:val="auto"/>
      <w:kern w:val="2"/>
      <w:szCs w:val="22"/>
    </w:rPr>
  </w:style>
  <w:style w:type="character" w:customStyle="1" w:styleId="157">
    <w:name w:val="普通文字 Char Char2"/>
    <w:qFormat/>
    <w:uiPriority w:val="0"/>
    <w:rPr>
      <w:rFonts w:ascii="宋体" w:hAnsi="Courier New" w:eastAsia="仿宋_GB2312"/>
      <w:kern w:val="2"/>
      <w:sz w:val="30"/>
      <w:lang w:val="en-US" w:eastAsia="zh-CN"/>
    </w:rPr>
  </w:style>
  <w:style w:type="character" w:customStyle="1" w:styleId="158">
    <w:name w:val="正文首行缩进 Char1"/>
    <w:qFormat/>
    <w:uiPriority w:val="0"/>
  </w:style>
  <w:style w:type="character" w:customStyle="1" w:styleId="159">
    <w:name w:val="Char Char Char"/>
    <w:qFormat/>
    <w:uiPriority w:val="0"/>
    <w:rPr>
      <w:rFonts w:ascii="宋体" w:hAnsi="Courier New" w:eastAsia="仿宋_GB2312"/>
      <w:b/>
      <w:color w:val="000000"/>
      <w:sz w:val="21"/>
      <w:lang w:val="en-US" w:eastAsia="zh-CN"/>
    </w:rPr>
  </w:style>
  <w:style w:type="character" w:customStyle="1" w:styleId="160">
    <w:name w:val="列表段落 字符"/>
    <w:link w:val="161"/>
    <w:qFormat/>
    <w:locked/>
    <w:uiPriority w:val="0"/>
    <w:rPr>
      <w:rFonts w:ascii="仿宋_GB2312" w:hAnsi="宋体" w:eastAsia="仿宋_GB2312" w:cs="宋体"/>
      <w:b/>
      <w:bCs/>
      <w:color w:val="000000"/>
      <w:sz w:val="21"/>
      <w:szCs w:val="21"/>
    </w:rPr>
  </w:style>
  <w:style w:type="paragraph" w:styleId="161">
    <w:name w:val="List Paragraph"/>
    <w:basedOn w:val="1"/>
    <w:link w:val="160"/>
    <w:qFormat/>
    <w:uiPriority w:val="34"/>
    <w:pPr>
      <w:ind w:firstLine="420" w:firstLineChars="200"/>
    </w:pPr>
  </w:style>
  <w:style w:type="character" w:customStyle="1" w:styleId="162">
    <w:name w:val="16"/>
    <w:qFormat/>
    <w:uiPriority w:val="0"/>
    <w:rPr>
      <w:rFonts w:hint="eastAsia" w:ascii="仿宋" w:hAnsi="仿宋" w:eastAsia="仿宋"/>
      <w:color w:val="000000"/>
      <w:sz w:val="24"/>
      <w:szCs w:val="24"/>
    </w:rPr>
  </w:style>
  <w:style w:type="character" w:customStyle="1" w:styleId="163">
    <w:name w:val="unnamed11"/>
    <w:qFormat/>
    <w:uiPriority w:val="0"/>
    <w:rPr>
      <w:color w:val="000000"/>
      <w:u w:val="none"/>
    </w:rPr>
  </w:style>
  <w:style w:type="character" w:customStyle="1" w:styleId="164">
    <w:name w:val="正文文本 Char"/>
    <w:qFormat/>
    <w:uiPriority w:val="0"/>
    <w:rPr>
      <w:kern w:val="2"/>
      <w:sz w:val="21"/>
      <w:szCs w:val="24"/>
    </w:rPr>
  </w:style>
  <w:style w:type="character" w:customStyle="1" w:styleId="165">
    <w:name w:val="正文文本缩进 3 字符1"/>
    <w:semiHidden/>
    <w:qFormat/>
    <w:uiPriority w:val="99"/>
    <w:rPr>
      <w:rFonts w:ascii="仿宋_GB2312" w:hAnsi="宋体" w:eastAsia="仿宋_GB2312" w:cs="宋体"/>
      <w:b/>
      <w:bCs/>
      <w:color w:val="000000"/>
      <w:kern w:val="0"/>
      <w:sz w:val="16"/>
      <w:szCs w:val="16"/>
    </w:rPr>
  </w:style>
  <w:style w:type="character" w:customStyle="1" w:styleId="166">
    <w:name w:val="contentheaderrev1"/>
    <w:qFormat/>
    <w:uiPriority w:val="0"/>
    <w:rPr>
      <w:rFonts w:hint="default" w:ascii="???|CS?o｡ﾀ?" w:hAnsi="???|CS?o｡ﾀ?" w:cs="???|CS?o｡ﾀ?"/>
      <w:b/>
      <w:bCs/>
      <w:color w:val="FFFFFF"/>
      <w:sz w:val="24"/>
      <w:szCs w:val="24"/>
      <w:u w:val="none"/>
    </w:rPr>
  </w:style>
  <w:style w:type="character" w:customStyle="1" w:styleId="167">
    <w:name w:val="font51"/>
    <w:qFormat/>
    <w:uiPriority w:val="0"/>
    <w:rPr>
      <w:rFonts w:hint="default" w:ascii="???|CS?o｡ﾀ?" w:hAnsi="???|CS?o｡ﾀ?" w:cs="???|CS?o｡ﾀ?"/>
      <w:color w:val="000000"/>
      <w:sz w:val="22"/>
      <w:szCs w:val="22"/>
      <w:u w:val="none"/>
    </w:rPr>
  </w:style>
  <w:style w:type="character" w:customStyle="1" w:styleId="168">
    <w:name w:val="日期 字符1"/>
    <w:semiHidden/>
    <w:qFormat/>
    <w:uiPriority w:val="99"/>
    <w:rPr>
      <w:rFonts w:ascii="仿宋_GB2312" w:hAnsi="宋体" w:eastAsia="仿宋_GB2312" w:cs="宋体"/>
      <w:b/>
      <w:bCs/>
      <w:color w:val="000000"/>
      <w:kern w:val="0"/>
      <w:szCs w:val="21"/>
    </w:rPr>
  </w:style>
  <w:style w:type="character" w:customStyle="1" w:styleId="169">
    <w:name w:val="style21"/>
    <w:qFormat/>
    <w:uiPriority w:val="0"/>
    <w:rPr>
      <w:sz w:val="15"/>
      <w:szCs w:val="15"/>
    </w:rPr>
  </w:style>
  <w:style w:type="character" w:customStyle="1" w:styleId="170">
    <w:name w:val="正文文本首行缩进 字符1"/>
    <w:semiHidden/>
    <w:qFormat/>
    <w:uiPriority w:val="99"/>
  </w:style>
  <w:style w:type="character" w:customStyle="1" w:styleId="171">
    <w:name w:val="样式 金保文档标准正文 Char + 宋体1 Char"/>
    <w:link w:val="172"/>
    <w:qFormat/>
    <w:uiPriority w:val="0"/>
    <w:rPr>
      <w:rFonts w:ascii="Arial Unicode MS" w:hAnsi="Arial Unicode MS"/>
      <w:kern w:val="2"/>
      <w:sz w:val="24"/>
      <w:szCs w:val="24"/>
    </w:rPr>
  </w:style>
  <w:style w:type="paragraph" w:customStyle="1" w:styleId="172">
    <w:name w:val="样式 金保文档标准正文 Char + 宋体1"/>
    <w:basedOn w:val="1"/>
    <w:link w:val="171"/>
    <w:qFormat/>
    <w:uiPriority w:val="0"/>
    <w:pPr>
      <w:spacing w:line="360" w:lineRule="auto"/>
      <w:ind w:firstLine="480" w:firstLineChars="200"/>
      <w:jc w:val="left"/>
    </w:pPr>
    <w:rPr>
      <w:rFonts w:ascii="Arial Unicode MS" w:hAnsi="Arial Unicode MS" w:eastAsia="等线" w:cs="Times New Roman"/>
      <w:b w:val="0"/>
      <w:bCs w:val="0"/>
      <w:color w:val="auto"/>
      <w:kern w:val="2"/>
      <w:sz w:val="24"/>
      <w:szCs w:val="24"/>
    </w:rPr>
  </w:style>
  <w:style w:type="character" w:customStyle="1" w:styleId="173">
    <w:name w:val="GW-正文 Char"/>
    <w:link w:val="174"/>
    <w:qFormat/>
    <w:uiPriority w:val="0"/>
    <w:rPr>
      <w:rFonts w:eastAsia="仿宋_GB2312"/>
      <w:kern w:val="2"/>
      <w:sz w:val="24"/>
      <w:szCs w:val="24"/>
    </w:rPr>
  </w:style>
  <w:style w:type="paragraph" w:customStyle="1" w:styleId="174">
    <w:name w:val="GW-正文"/>
    <w:basedOn w:val="1"/>
    <w:link w:val="173"/>
    <w:qFormat/>
    <w:uiPriority w:val="0"/>
    <w:pPr>
      <w:spacing w:line="360" w:lineRule="auto"/>
      <w:ind w:firstLine="200" w:firstLineChars="200"/>
      <w:contextualSpacing/>
    </w:pPr>
    <w:rPr>
      <w:rFonts w:ascii="Times New Roman" w:hAnsi="Times New Roman" w:cs="Times New Roman"/>
      <w:b w:val="0"/>
      <w:bCs w:val="0"/>
      <w:color w:val="auto"/>
      <w:kern w:val="2"/>
      <w:sz w:val="24"/>
      <w:szCs w:val="24"/>
    </w:rPr>
  </w:style>
  <w:style w:type="character" w:customStyle="1" w:styleId="175">
    <w:name w:val="font31"/>
    <w:qFormat/>
    <w:uiPriority w:val="0"/>
    <w:rPr>
      <w:rFonts w:ascii="宋体" w:hAnsi="宋体" w:eastAsia="宋体" w:cs="宋体"/>
      <w:color w:val="000000"/>
      <w:sz w:val="20"/>
      <w:szCs w:val="20"/>
      <w:u w:val="none"/>
    </w:rPr>
  </w:style>
  <w:style w:type="character" w:customStyle="1" w:styleId="176">
    <w:name w:val="列出段落 Char"/>
    <w:link w:val="177"/>
    <w:qFormat/>
    <w:uiPriority w:val="34"/>
    <w:rPr>
      <w:rFonts w:ascii="Calibri" w:hAnsi="Calibri" w:eastAsia="宋体"/>
      <w:kern w:val="2"/>
      <w:sz w:val="21"/>
      <w:szCs w:val="22"/>
      <w:lang w:val="en-US" w:eastAsia="zh-CN" w:bidi="ar-SA"/>
    </w:rPr>
  </w:style>
  <w:style w:type="paragraph" w:customStyle="1" w:styleId="177">
    <w:name w:val="List Paragraph11"/>
    <w:basedOn w:val="1"/>
    <w:link w:val="176"/>
    <w:qFormat/>
    <w:uiPriority w:val="0"/>
    <w:pPr>
      <w:ind w:firstLine="420" w:firstLineChars="200"/>
    </w:pPr>
    <w:rPr>
      <w:rFonts w:ascii="Calibri" w:hAnsi="Calibri" w:eastAsia="宋体" w:cs="Times New Roman"/>
      <w:b w:val="0"/>
      <w:bCs w:val="0"/>
      <w:color w:val="auto"/>
      <w:kern w:val="2"/>
      <w:szCs w:val="22"/>
    </w:rPr>
  </w:style>
  <w:style w:type="character" w:customStyle="1" w:styleId="178">
    <w:name w:val="Char Char13"/>
    <w:qFormat/>
    <w:uiPriority w:val="0"/>
    <w:rPr>
      <w:rFonts w:eastAsia="宋体"/>
      <w:kern w:val="2"/>
      <w:sz w:val="18"/>
      <w:szCs w:val="18"/>
      <w:lang w:val="en-US" w:eastAsia="zh-CN" w:bidi="ar-SA"/>
    </w:rPr>
  </w:style>
  <w:style w:type="character" w:customStyle="1" w:styleId="179">
    <w:name w:val="批注主题 字符1"/>
    <w:semiHidden/>
    <w:qFormat/>
    <w:uiPriority w:val="99"/>
  </w:style>
  <w:style w:type="character" w:customStyle="1" w:styleId="180">
    <w:name w:val="++标题3 Char"/>
    <w:qFormat/>
    <w:uiPriority w:val="0"/>
    <w:rPr>
      <w:rFonts w:ascii="宋体" w:hAnsi="宋体" w:eastAsia="宋体" w:cs="Arial"/>
      <w:bCs/>
      <w:color w:val="000000"/>
      <w:sz w:val="24"/>
      <w:szCs w:val="24"/>
      <w:lang w:val="en-US" w:eastAsia="zh-CN" w:bidi="ar-SA"/>
    </w:rPr>
  </w:style>
  <w:style w:type="character" w:customStyle="1" w:styleId="181">
    <w:name w:val="style1"/>
    <w:qFormat/>
    <w:uiPriority w:val="0"/>
    <w:rPr>
      <w:rFonts w:ascii="Verdana" w:hAnsi="Verdana" w:eastAsia="宋体" w:cs="Times New Roman"/>
      <w:b/>
      <w:bCs/>
      <w:color w:val="auto"/>
      <w:sz w:val="20"/>
      <w:szCs w:val="20"/>
      <w:lang w:eastAsia="en-US"/>
    </w:rPr>
  </w:style>
  <w:style w:type="character" w:customStyle="1" w:styleId="182">
    <w:name w:val="font41"/>
    <w:qFormat/>
    <w:uiPriority w:val="0"/>
    <w:rPr>
      <w:rFonts w:hint="eastAsia" w:ascii="宋体" w:hAnsi="宋体" w:eastAsia="宋体" w:cs="宋体"/>
      <w:color w:val="000000"/>
      <w:sz w:val="20"/>
      <w:szCs w:val="20"/>
      <w:u w:val="none"/>
    </w:rPr>
  </w:style>
  <w:style w:type="character" w:customStyle="1" w:styleId="183">
    <w:name w:val="普通文字 Char Char1"/>
    <w:qFormat/>
    <w:uiPriority w:val="0"/>
    <w:rPr>
      <w:rFonts w:ascii="宋体" w:hAnsi="Courier New" w:eastAsia="仿宋_GB2312" w:cs="宋体"/>
      <w:b/>
      <w:bCs/>
      <w:color w:val="000000"/>
      <w:sz w:val="21"/>
      <w:lang w:val="en-US" w:eastAsia="zh-CN" w:bidi="ar-SA"/>
    </w:rPr>
  </w:style>
  <w:style w:type="character" w:customStyle="1" w:styleId="184">
    <w:name w:val="正文文本缩进 2 字符1"/>
    <w:semiHidden/>
    <w:qFormat/>
    <w:uiPriority w:val="99"/>
    <w:rPr>
      <w:rFonts w:ascii="仿宋_GB2312" w:hAnsi="宋体" w:eastAsia="仿宋_GB2312" w:cs="宋体"/>
      <w:b/>
      <w:bCs/>
      <w:color w:val="000000"/>
      <w:kern w:val="0"/>
      <w:szCs w:val="21"/>
    </w:rPr>
  </w:style>
  <w:style w:type="character" w:customStyle="1" w:styleId="185">
    <w:name w:val="unnamed51"/>
    <w:qFormat/>
    <w:uiPriority w:val="0"/>
    <w:rPr>
      <w:sz w:val="22"/>
      <w:szCs w:val="22"/>
    </w:rPr>
  </w:style>
  <w:style w:type="character" w:customStyle="1" w:styleId="186">
    <w:name w:val="正文01 Char"/>
    <w:link w:val="187"/>
    <w:qFormat/>
    <w:uiPriority w:val="0"/>
    <w:rPr>
      <w:rFonts w:ascii="Arial" w:hAnsi="Arial"/>
      <w:color w:val="000000"/>
      <w:kern w:val="2"/>
      <w:sz w:val="24"/>
      <w:szCs w:val="24"/>
    </w:rPr>
  </w:style>
  <w:style w:type="paragraph" w:customStyle="1" w:styleId="187">
    <w:name w:val="正文01"/>
    <w:basedOn w:val="1"/>
    <w:link w:val="186"/>
    <w:qFormat/>
    <w:uiPriority w:val="0"/>
    <w:pPr>
      <w:spacing w:before="60" w:line="460" w:lineRule="exact"/>
      <w:ind w:firstLine="200" w:firstLineChars="200"/>
    </w:pPr>
    <w:rPr>
      <w:rFonts w:ascii="Arial" w:hAnsi="Arial" w:eastAsia="宋体" w:cs="Times New Roman"/>
      <w:b w:val="0"/>
      <w:bCs w:val="0"/>
      <w:kern w:val="2"/>
      <w:sz w:val="24"/>
      <w:szCs w:val="24"/>
    </w:rPr>
  </w:style>
  <w:style w:type="character" w:customStyle="1" w:styleId="188">
    <w:name w:val="unnamed31"/>
    <w:qFormat/>
    <w:uiPriority w:val="0"/>
    <w:rPr>
      <w:rFonts w:hint="eastAsia" w:ascii="Arial Unicode MS" w:hAnsi="Arial Unicode MS" w:eastAsia="Arial Unicode MS"/>
      <w:color w:val="6666CC"/>
      <w:sz w:val="18"/>
      <w:szCs w:val="18"/>
    </w:rPr>
  </w:style>
  <w:style w:type="character" w:customStyle="1" w:styleId="189">
    <w:name w:val="批注文字 字符1"/>
    <w:semiHidden/>
    <w:qFormat/>
    <w:uiPriority w:val="99"/>
    <w:rPr>
      <w:rFonts w:ascii="仿宋_GB2312" w:hAnsi="宋体" w:eastAsia="仿宋_GB2312" w:cs="宋体"/>
      <w:b/>
      <w:bCs/>
      <w:color w:val="000000"/>
      <w:kern w:val="0"/>
      <w:szCs w:val="21"/>
    </w:rPr>
  </w:style>
  <w:style w:type="character" w:customStyle="1" w:styleId="190">
    <w:name w:val="批注文字 Char1"/>
    <w:qFormat/>
    <w:uiPriority w:val="0"/>
    <w:rPr>
      <w:kern w:val="2"/>
      <w:sz w:val="21"/>
      <w:szCs w:val="24"/>
    </w:rPr>
  </w:style>
  <w:style w:type="character" w:customStyle="1" w:styleId="191">
    <w:name w:val="b2"/>
    <w:qFormat/>
    <w:uiPriority w:val="0"/>
  </w:style>
  <w:style w:type="character" w:customStyle="1" w:styleId="192">
    <w:name w:val="批注框文本 字符1"/>
    <w:semiHidden/>
    <w:qFormat/>
    <w:uiPriority w:val="99"/>
    <w:rPr>
      <w:rFonts w:ascii="仿宋_GB2312" w:hAnsi="宋体" w:eastAsia="仿宋_GB2312" w:cs="宋体"/>
      <w:b/>
      <w:bCs/>
      <w:color w:val="000000"/>
      <w:kern w:val="0"/>
      <w:sz w:val="18"/>
      <w:szCs w:val="18"/>
    </w:rPr>
  </w:style>
  <w:style w:type="character" w:customStyle="1" w:styleId="193">
    <w:name w:val="px141"/>
    <w:qFormat/>
    <w:uiPriority w:val="0"/>
    <w:rPr>
      <w:sz w:val="21"/>
      <w:szCs w:val="21"/>
    </w:rPr>
  </w:style>
  <w:style w:type="character" w:customStyle="1" w:styleId="194">
    <w:name w:val="font111"/>
    <w:qFormat/>
    <w:uiPriority w:val="0"/>
    <w:rPr>
      <w:rFonts w:hint="eastAsia" w:ascii="宋体" w:hAnsi="宋体" w:eastAsia="宋体" w:cs="宋体"/>
      <w:color w:val="000000"/>
      <w:kern w:val="0"/>
      <w:sz w:val="20"/>
      <w:szCs w:val="20"/>
      <w:u w:val="none"/>
      <w:lang w:eastAsia="en-US"/>
    </w:rPr>
  </w:style>
  <w:style w:type="character" w:customStyle="1" w:styleId="195">
    <w:name w:val="font101"/>
    <w:qFormat/>
    <w:uiPriority w:val="0"/>
    <w:rPr>
      <w:rFonts w:hint="eastAsia" w:ascii="Arial Unicode MS" w:hAnsi="Arial Unicode MS" w:eastAsia="Arial Unicode MS" w:cs="Arial Unicode MS"/>
      <w:color w:val="000000"/>
      <w:sz w:val="22"/>
      <w:szCs w:val="22"/>
      <w:u w:val="none"/>
    </w:rPr>
  </w:style>
  <w:style w:type="character" w:customStyle="1" w:styleId="196">
    <w:name w:val="style44"/>
    <w:qFormat/>
    <w:uiPriority w:val="0"/>
  </w:style>
  <w:style w:type="character" w:customStyle="1" w:styleId="197">
    <w:name w:val="style13"/>
    <w:qFormat/>
    <w:uiPriority w:val="0"/>
  </w:style>
  <w:style w:type="character" w:customStyle="1" w:styleId="198">
    <w:name w:val="纯文本 Char2"/>
    <w:qFormat/>
    <w:uiPriority w:val="99"/>
    <w:rPr>
      <w:rFonts w:ascii="Arial Unicode MS" w:hAnsi="微软雅黑" w:eastAsia="Arial Unicode MS" w:cs="微软雅黑"/>
      <w:szCs w:val="21"/>
    </w:rPr>
  </w:style>
  <w:style w:type="character" w:customStyle="1" w:styleId="199">
    <w:name w:val="标题 Char"/>
    <w:qFormat/>
    <w:uiPriority w:val="99"/>
    <w:rPr>
      <w:rFonts w:ascii="Arial" w:hAnsi="Arial" w:cs="Arial"/>
      <w:b/>
      <w:bCs/>
      <w:color w:val="000000"/>
      <w:sz w:val="32"/>
      <w:szCs w:val="32"/>
    </w:rPr>
  </w:style>
  <w:style w:type="character" w:customStyle="1" w:styleId="200">
    <w:name w:val="纯文本 Char"/>
    <w:qFormat/>
    <w:uiPriority w:val="0"/>
    <w:rPr>
      <w:rFonts w:ascii="宋体" w:hAnsi="Courier New" w:eastAsia="仿宋_GB2312" w:cs="宋体"/>
      <w:b/>
      <w:bCs/>
      <w:color w:val="000000"/>
      <w:sz w:val="21"/>
      <w:lang w:val="en-US" w:eastAsia="zh-CN" w:bidi="ar-SA"/>
    </w:rPr>
  </w:style>
  <w:style w:type="paragraph" w:customStyle="1" w:styleId="201">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202">
    <w:name w:val="Char Char Char Char Char Char Char Char Char1 Char"/>
    <w:basedOn w:val="1"/>
    <w:qFormat/>
    <w:uiPriority w:val="0"/>
    <w:rPr>
      <w:rFonts w:ascii="长城仿宋" w:hAnsi="长城仿宋" w:eastAsia="Arial Unicode MS"/>
      <w:b w:val="0"/>
      <w:bCs w:val="0"/>
      <w:color w:val="auto"/>
      <w:kern w:val="2"/>
      <w:sz w:val="20"/>
      <w:szCs w:val="20"/>
    </w:rPr>
  </w:style>
  <w:style w:type="paragraph" w:customStyle="1" w:styleId="20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bCs w:val="0"/>
      <w:color w:val="auto"/>
      <w:sz w:val="20"/>
      <w:szCs w:val="20"/>
    </w:rPr>
  </w:style>
  <w:style w:type="paragraph" w:customStyle="1" w:styleId="204">
    <w:name w:val="xl97"/>
    <w:basedOn w:val="1"/>
    <w:qFormat/>
    <w:uiPriority w:val="0"/>
    <w:pPr>
      <w:widowControl/>
      <w:spacing w:before="100" w:beforeAutospacing="1" w:after="100" w:afterAutospacing="1"/>
      <w:jc w:val="left"/>
    </w:pPr>
    <w:rPr>
      <w:rFonts w:ascii="Baskerville" w:hAnsi="Baskerville" w:eastAsia="Baskerville" w:cs="Baskerville"/>
      <w:b w:val="0"/>
      <w:bCs w:val="0"/>
      <w:color w:val="auto"/>
      <w:sz w:val="24"/>
      <w:szCs w:val="24"/>
      <w:u w:val="single"/>
    </w:rPr>
  </w:style>
  <w:style w:type="paragraph" w:customStyle="1" w:styleId="20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val="0"/>
      <w:bCs w:val="0"/>
      <w:color w:val="auto"/>
      <w:sz w:val="18"/>
      <w:szCs w:val="18"/>
    </w:rPr>
  </w:style>
  <w:style w:type="paragraph" w:customStyle="1" w:styleId="206">
    <w:name w:val="xl1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207">
    <w:name w:val="小点说明"/>
    <w:basedOn w:val="1"/>
    <w:qFormat/>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208">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209">
    <w:name w:val="タイトル-L2-節"/>
    <w:basedOn w:val="1"/>
    <w:next w:val="3"/>
    <w:qFormat/>
    <w:uiPriority w:val="0"/>
    <w:pPr>
      <w:keepNext/>
      <w:keepLines/>
      <w:widowControl/>
      <w:tabs>
        <w:tab w:val="left" w:pos="720"/>
      </w:tabs>
      <w:spacing w:before="480" w:after="10" w:line="360" w:lineRule="atLeast"/>
      <w:ind w:right="1276"/>
      <w:jc w:val="left"/>
      <w:outlineLvl w:val="1"/>
    </w:pPr>
    <w:rPr>
      <w:rFonts w:ascii="Arial" w:hAnsi="Arial" w:eastAsia="MS Gothic" w:cs="Times New Roman"/>
      <w:b w:val="0"/>
      <w:bCs w:val="0"/>
      <w:kern w:val="2"/>
      <w:sz w:val="32"/>
      <w:szCs w:val="24"/>
    </w:rPr>
  </w:style>
  <w:style w:type="paragraph" w:customStyle="1" w:styleId="21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color w:val="auto"/>
      <w:sz w:val="24"/>
      <w:szCs w:val="24"/>
    </w:rPr>
  </w:style>
  <w:style w:type="paragraph" w:customStyle="1" w:styleId="211">
    <w:name w:val="Char Char1 Char Char Char Char Char Char"/>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21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长城仿宋" w:hAnsi="长城仿宋" w:eastAsia="Baskerville"/>
      <w:b w:val="0"/>
      <w:bCs w:val="0"/>
      <w:color w:val="auto"/>
      <w:sz w:val="24"/>
      <w:szCs w:val="24"/>
    </w:rPr>
  </w:style>
  <w:style w:type="paragraph" w:customStyle="1" w:styleId="213">
    <w:name w:val="Char1 Char Char Char1"/>
    <w:basedOn w:val="1"/>
    <w:qFormat/>
    <w:uiPriority w:val="0"/>
    <w:rPr>
      <w:rFonts w:ascii="Cambria" w:hAnsi="Cambria" w:eastAsia="Arial Unicode MS"/>
      <w:b w:val="0"/>
      <w:bCs w:val="0"/>
      <w:color w:val="auto"/>
      <w:kern w:val="2"/>
      <w:sz w:val="24"/>
      <w:szCs w:val="20"/>
    </w:rPr>
  </w:style>
  <w:style w:type="paragraph" w:customStyle="1" w:styleId="214">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215">
    <w:name w:val="indent 5"/>
    <w:basedOn w:val="89"/>
    <w:next w:val="89"/>
    <w:qFormat/>
    <w:uiPriority w:val="0"/>
    <w:pPr>
      <w:spacing w:before="60" w:after="60"/>
    </w:pPr>
    <w:rPr>
      <w:rFonts w:ascii="Times New Roman" w:cs="Times New Roman"/>
      <w:color w:val="auto"/>
    </w:rPr>
  </w:style>
  <w:style w:type="paragraph" w:customStyle="1" w:styleId="216">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bCs w:val="0"/>
      <w:color w:val="auto"/>
      <w:sz w:val="24"/>
      <w:szCs w:val="24"/>
    </w:rPr>
  </w:style>
  <w:style w:type="paragraph" w:customStyle="1" w:styleId="217">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218">
    <w:name w:val="操作ステップ"/>
    <w:basedOn w:val="1"/>
    <w:next w:val="219"/>
    <w:qFormat/>
    <w:uiPriority w:val="0"/>
    <w:pPr>
      <w:tabs>
        <w:tab w:val="left" w:pos="1984"/>
      </w:tabs>
      <w:spacing w:line="340" w:lineRule="exact"/>
      <w:ind w:left="1984" w:right="-62" w:hanging="283"/>
      <w:jc w:val="left"/>
      <w:outlineLvl w:val="7"/>
    </w:pPr>
    <w:rPr>
      <w:rFonts w:ascii="Century" w:hAnsi="Century" w:eastAsia="宋体" w:cs="Times New Roman"/>
      <w:b w:val="0"/>
      <w:bCs w:val="0"/>
      <w:kern w:val="2"/>
      <w:sz w:val="20"/>
      <w:szCs w:val="24"/>
    </w:rPr>
  </w:style>
  <w:style w:type="paragraph" w:customStyle="1" w:styleId="219">
    <w:name w:val="操作ステップ説明"/>
    <w:basedOn w:val="1"/>
    <w:qFormat/>
    <w:uiPriority w:val="0"/>
    <w:pPr>
      <w:widowControl/>
      <w:spacing w:line="340" w:lineRule="exact"/>
      <w:ind w:left="1559" w:right="-57"/>
      <w:jc w:val="left"/>
    </w:pPr>
    <w:rPr>
      <w:rFonts w:ascii="Century" w:hAnsi="Century" w:eastAsia="宋体" w:cs="Times New Roman"/>
      <w:b w:val="0"/>
      <w:bCs w:val="0"/>
      <w:color w:val="auto"/>
      <w:kern w:val="2"/>
      <w:sz w:val="20"/>
      <w:szCs w:val="24"/>
    </w:rPr>
  </w:style>
  <w:style w:type="paragraph" w:customStyle="1" w:styleId="220">
    <w:name w:val="xl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bCs w:val="0"/>
      <w:color w:val="auto"/>
      <w:sz w:val="20"/>
      <w:szCs w:val="20"/>
    </w:rPr>
  </w:style>
  <w:style w:type="paragraph" w:customStyle="1" w:styleId="221">
    <w:name w:val="table"/>
    <w:basedOn w:val="1"/>
    <w:qFormat/>
    <w:uiPriority w:val="0"/>
    <w:pPr>
      <w:widowControl/>
      <w:pBdr>
        <w:left w:val="single" w:color="000000" w:sz="8" w:space="0"/>
        <w:right w:val="single" w:color="000000" w:sz="8" w:space="0"/>
      </w:pBdr>
      <w:shd w:val="clear" w:color="auto" w:fill="FFFFFF"/>
      <w:spacing w:before="100" w:beforeAutospacing="1" w:after="100" w:afterAutospacing="1"/>
      <w:jc w:val="left"/>
    </w:pPr>
    <w:rPr>
      <w:rFonts w:ascii="Baskerville" w:hAnsi="Baskerville" w:eastAsia="Baskerville"/>
      <w:b w:val="0"/>
      <w:bCs w:val="0"/>
      <w:color w:val="auto"/>
      <w:sz w:val="24"/>
      <w:szCs w:val="24"/>
    </w:rPr>
  </w:style>
  <w:style w:type="paragraph" w:customStyle="1" w:styleId="222">
    <w:name w:val="font"/>
    <w:basedOn w:val="1"/>
    <w:qFormat/>
    <w:uiPriority w:val="0"/>
    <w:pPr>
      <w:widowControl/>
      <w:spacing w:before="100" w:beforeAutospacing="1" w:after="100" w:afterAutospacing="1"/>
      <w:jc w:val="left"/>
    </w:pPr>
    <w:rPr>
      <w:rFonts w:ascii="Baskerville" w:hAnsi="Baskerville" w:eastAsia="Baskerville"/>
      <w:b w:val="0"/>
      <w:bCs w:val="0"/>
      <w:color w:val="auto"/>
      <w:sz w:val="24"/>
      <w:szCs w:val="24"/>
    </w:rPr>
  </w:style>
  <w:style w:type="paragraph" w:customStyle="1" w:styleId="223">
    <w:name w:val="样式5"/>
    <w:basedOn w:val="36"/>
    <w:qFormat/>
    <w:uiPriority w:val="0"/>
    <w:pPr>
      <w:adjustRightInd w:val="0"/>
      <w:snapToGrid w:val="0"/>
      <w:spacing w:line="500" w:lineRule="atLeast"/>
    </w:pPr>
    <w:rPr>
      <w:rFonts w:ascii="Tahoma" w:hAnsi="Arial Unicode MS" w:eastAsia="Tahoma" w:cs="???|CS?o｡ﾀ?"/>
      <w:b w:val="0"/>
      <w:bCs/>
      <w:sz w:val="30"/>
      <w:szCs w:val="30"/>
    </w:rPr>
  </w:style>
  <w:style w:type="paragraph" w:customStyle="1" w:styleId="224">
    <w:name w:val="Body Text(ch)"/>
    <w:basedOn w:val="1"/>
    <w:next w:val="3"/>
    <w:qFormat/>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225">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226">
    <w:name w:val="Char Char Char Char Char Char Char"/>
    <w:basedOn w:val="1"/>
    <w:qFormat/>
    <w:uiPriority w:val="0"/>
    <w:rPr>
      <w:rFonts w:ascii="长城仿宋" w:hAnsi="长城仿宋" w:eastAsia="Arial Unicode MS"/>
      <w:b w:val="0"/>
      <w:bCs w:val="0"/>
      <w:color w:val="auto"/>
      <w:kern w:val="2"/>
      <w:sz w:val="20"/>
      <w:szCs w:val="20"/>
    </w:rPr>
  </w:style>
  <w:style w:type="paragraph" w:customStyle="1" w:styleId="227">
    <w:name w:val="font14"/>
    <w:basedOn w:val="1"/>
    <w:qFormat/>
    <w:uiPriority w:val="0"/>
    <w:pPr>
      <w:widowControl/>
      <w:spacing w:before="100" w:beforeAutospacing="1" w:after="100" w:afterAutospacing="1"/>
      <w:jc w:val="left"/>
    </w:pPr>
    <w:rPr>
      <w:rFonts w:ascii="宋体" w:eastAsia="宋体"/>
      <w:b w:val="0"/>
      <w:bCs w:val="0"/>
      <w:color w:val="auto"/>
      <w:sz w:val="20"/>
      <w:szCs w:val="20"/>
    </w:rPr>
  </w:style>
  <w:style w:type="paragraph" w:customStyle="1" w:styleId="228">
    <w:name w:val="xl5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Baskerville" w:hAnsi="Baskerville" w:eastAsia="Baskerville" w:cs="Baskerville"/>
      <w:b w:val="0"/>
      <w:bCs w:val="0"/>
      <w:color w:val="auto"/>
      <w:sz w:val="20"/>
      <w:szCs w:val="20"/>
    </w:rPr>
  </w:style>
  <w:style w:type="paragraph" w:customStyle="1" w:styleId="229">
    <w:name w:val="南通方案正文"/>
    <w:basedOn w:val="1"/>
    <w:qFormat/>
    <w:uiPriority w:val="0"/>
    <w:pPr>
      <w:spacing w:line="360" w:lineRule="auto"/>
      <w:ind w:firstLine="480" w:firstLineChars="200"/>
    </w:pPr>
    <w:rPr>
      <w:rFonts w:ascii="Times New Roman" w:hAnsi="Times New Roman" w:eastAsia="宋体" w:cs="Times New Roman"/>
      <w:b w:val="0"/>
      <w:bCs w:val="0"/>
      <w:color w:val="auto"/>
      <w:kern w:val="2"/>
      <w:sz w:val="24"/>
      <w:szCs w:val="20"/>
    </w:rPr>
  </w:style>
  <w:style w:type="paragraph" w:customStyle="1" w:styleId="230">
    <w:name w:val="金保标题1"/>
    <w:basedOn w:val="4"/>
    <w:next w:val="1"/>
    <w:qFormat/>
    <w:uiPriority w:val="0"/>
    <w:pPr>
      <w:pageBreakBefore/>
      <w:numPr>
        <w:numId w:val="0"/>
      </w:numPr>
      <w:tabs>
        <w:tab w:val="left" w:pos="743"/>
        <w:tab w:val="left" w:pos="900"/>
        <w:tab w:val="clear" w:pos="432"/>
      </w:tabs>
      <w:adjustRightInd w:val="0"/>
      <w:snapToGrid w:val="0"/>
      <w:spacing w:beforeLines="200" w:afterLines="200" w:line="240" w:lineRule="auto"/>
      <w:ind w:left="743" w:hanging="420"/>
      <w:jc w:val="center"/>
    </w:pPr>
    <w:rPr>
      <w:rFonts w:ascii="Tahoma" w:hAnsi="Cambria" w:eastAsia="Tahoma" w:cs="宋体"/>
      <w:b/>
      <w:bCs/>
      <w:color w:val="auto"/>
      <w:spacing w:val="0"/>
      <w:sz w:val="44"/>
      <w:lang w:val="zh-CN"/>
    </w:rPr>
  </w:style>
  <w:style w:type="paragraph" w:customStyle="1" w:styleId="231">
    <w:name w:val="xl104"/>
    <w:basedOn w:val="1"/>
    <w:qFormat/>
    <w:uiPriority w:val="0"/>
    <w:pPr>
      <w:widowControl/>
      <w:spacing w:before="100" w:beforeAutospacing="1" w:after="100" w:afterAutospacing="1"/>
      <w:jc w:val="center"/>
    </w:pPr>
    <w:rPr>
      <w:rFonts w:ascii="Baskerville" w:hAnsi="Baskerville" w:eastAsia="Baskerville" w:cs="Baskerville"/>
      <w:b w:val="0"/>
      <w:bCs w:val="0"/>
      <w:color w:val="auto"/>
      <w:sz w:val="24"/>
      <w:szCs w:val="24"/>
    </w:rPr>
  </w:style>
  <w:style w:type="paragraph" w:customStyle="1" w:styleId="232">
    <w:name w:val="样式 标题 1 + 居中"/>
    <w:basedOn w:val="4"/>
    <w:qFormat/>
    <w:uiPriority w:val="0"/>
    <w:pPr>
      <w:keepLines w:val="0"/>
      <w:widowControl/>
      <w:numPr>
        <w:numId w:val="0"/>
      </w:numPr>
      <w:spacing w:beforeLines="50" w:after="120" w:line="400" w:lineRule="atLeast"/>
      <w:jc w:val="center"/>
    </w:pPr>
    <w:rPr>
      <w:rFonts w:ascii="Courier New" w:hAnsi="长城仿宋" w:eastAsia="Tahoma" w:cs="Arial Unicode MS"/>
      <w:b/>
      <w:color w:val="auto"/>
      <w:spacing w:val="0"/>
      <w:kern w:val="0"/>
      <w:sz w:val="32"/>
      <w:szCs w:val="20"/>
    </w:rPr>
  </w:style>
  <w:style w:type="paragraph" w:customStyle="1" w:styleId="233">
    <w:name w:val="xl30"/>
    <w:basedOn w:val="1"/>
    <w:qFormat/>
    <w:uiPriority w:val="0"/>
    <w:pPr>
      <w:widowControl/>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23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Baskerville" w:hAnsi="Baskerville" w:eastAsia="Baskerville" w:cs="Baskerville"/>
      <w:b w:val="0"/>
      <w:bCs w:val="0"/>
      <w:color w:val="auto"/>
      <w:sz w:val="24"/>
      <w:szCs w:val="24"/>
    </w:rPr>
  </w:style>
  <w:style w:type="paragraph" w:customStyle="1" w:styleId="235">
    <w:name w:val="2"/>
    <w:basedOn w:val="1"/>
    <w:next w:val="1"/>
    <w:qFormat/>
    <w:uiPriority w:val="0"/>
    <w:rPr>
      <w:rFonts w:ascii="宋体" w:eastAsia="宋体"/>
      <w:b w:val="0"/>
      <w:bCs w:val="0"/>
      <w:sz w:val="20"/>
      <w:szCs w:val="20"/>
    </w:rPr>
  </w:style>
  <w:style w:type="paragraph" w:customStyle="1" w:styleId="236">
    <w:name w:val="列表段落11"/>
    <w:basedOn w:val="46"/>
    <w:qFormat/>
    <w:uiPriority w:val="0"/>
  </w:style>
  <w:style w:type="paragraph" w:customStyle="1" w:styleId="23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238">
    <w:name w:val="xl62"/>
    <w:basedOn w:val="1"/>
    <w:qFormat/>
    <w:uiPriority w:val="0"/>
    <w:pPr>
      <w:widowControl/>
      <w:spacing w:before="100" w:beforeAutospacing="1" w:after="100" w:afterAutospacing="1"/>
      <w:jc w:val="left"/>
      <w:textAlignment w:val="center"/>
    </w:pPr>
    <w:rPr>
      <w:rFonts w:ascii="Baskerville" w:hAnsi="Baskerville" w:eastAsia="Baskerville" w:cs="Baskerville"/>
      <w:b w:val="0"/>
      <w:bCs w:val="0"/>
      <w:color w:val="auto"/>
      <w:sz w:val="20"/>
      <w:szCs w:val="20"/>
    </w:rPr>
  </w:style>
  <w:style w:type="paragraph" w:customStyle="1" w:styleId="239">
    <w:name w:val="_Style 239"/>
    <w:basedOn w:val="1"/>
    <w:next w:val="161"/>
    <w:qFormat/>
    <w:uiPriority w:val="0"/>
    <w:pPr>
      <w:ind w:firstLine="420" w:firstLineChars="200"/>
    </w:pPr>
    <w:rPr>
      <w:rFonts w:ascii="Calibri" w:hAnsi="Calibri" w:eastAsia="宋体" w:cs="Times New Roman"/>
      <w:b w:val="0"/>
      <w:bCs w:val="0"/>
      <w:color w:val="auto"/>
      <w:kern w:val="2"/>
    </w:rPr>
  </w:style>
  <w:style w:type="paragraph" w:customStyle="1" w:styleId="2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241">
    <w:name w:val="xl29"/>
    <w:basedOn w:val="1"/>
    <w:qFormat/>
    <w:uiPriority w:val="0"/>
    <w:pPr>
      <w:widowControl/>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242">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243">
    <w:name w:val="Char Char Char Char Char Char Char Char Char Char Char Char Char Char Char Char"/>
    <w:basedOn w:val="1"/>
    <w:qFormat/>
    <w:uiPriority w:val="0"/>
    <w:pPr>
      <w:snapToGrid w:val="0"/>
      <w:spacing w:line="360" w:lineRule="auto"/>
      <w:ind w:firstLine="200" w:firstLineChars="200"/>
    </w:pPr>
    <w:rPr>
      <w:rFonts w:ascii="长城仿宋" w:hAnsi="长城仿宋" w:eastAsia="宋体"/>
      <w:b w:val="0"/>
      <w:bCs w:val="0"/>
      <w:color w:val="auto"/>
      <w:kern w:val="2"/>
      <w:sz w:val="24"/>
      <w:szCs w:val="24"/>
    </w:rPr>
  </w:style>
  <w:style w:type="paragraph" w:customStyle="1" w:styleId="24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bCs w:val="0"/>
      <w:color w:val="auto"/>
      <w:sz w:val="24"/>
      <w:szCs w:val="24"/>
    </w:rPr>
  </w:style>
  <w:style w:type="paragraph" w:customStyle="1" w:styleId="245">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4"/>
      <w:szCs w:val="24"/>
    </w:rPr>
  </w:style>
  <w:style w:type="paragraph" w:customStyle="1" w:styleId="246">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247">
    <w:name w:val="样式1"/>
    <w:basedOn w:val="36"/>
    <w:qFormat/>
    <w:uiPriority w:val="0"/>
    <w:pPr>
      <w:adjustRightInd w:val="0"/>
      <w:snapToGrid w:val="0"/>
      <w:spacing w:line="500" w:lineRule="atLeast"/>
    </w:pPr>
    <w:rPr>
      <w:rFonts w:ascii="Tahoma" w:hAnsi="Arial Unicode MS" w:eastAsia="Tahoma" w:cs="???|CS?o｡ﾀ?"/>
      <w:b w:val="0"/>
      <w:bCs/>
      <w:sz w:val="30"/>
      <w:szCs w:val="30"/>
    </w:rPr>
  </w:style>
  <w:style w:type="paragraph" w:customStyle="1" w:styleId="248">
    <w:name w:val="xl5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Tahoma" w:hAnsi="Baskerville" w:eastAsia="Tahoma" w:cs="Baskerville"/>
      <w:b w:val="0"/>
      <w:color w:val="auto"/>
      <w:sz w:val="40"/>
      <w:szCs w:val="40"/>
    </w:rPr>
  </w:style>
  <w:style w:type="paragraph" w:customStyle="1" w:styleId="24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Baskerville" w:hAnsi="Baskerville" w:eastAsia="Baskerville" w:cs="Baskerville"/>
      <w:b w:val="0"/>
      <w:bCs w:val="0"/>
      <w:color w:val="auto"/>
      <w:sz w:val="24"/>
      <w:szCs w:val="24"/>
    </w:rPr>
  </w:style>
  <w:style w:type="paragraph" w:customStyle="1" w:styleId="250">
    <w:name w:val="表文1"/>
    <w:basedOn w:val="1"/>
    <w:qFormat/>
    <w:uiPriority w:val="0"/>
    <w:pPr>
      <w:widowControl/>
      <w:spacing w:line="360" w:lineRule="auto"/>
      <w:ind w:firstLine="780" w:firstLineChars="300"/>
    </w:pPr>
    <w:rPr>
      <w:rFonts w:ascii="Arial Unicode MS" w:eastAsia="Arial Unicode MS"/>
      <w:b w:val="0"/>
      <w:spacing w:val="10"/>
      <w:sz w:val="24"/>
      <w:szCs w:val="24"/>
    </w:rPr>
  </w:style>
  <w:style w:type="paragraph" w:customStyle="1" w:styleId="251">
    <w:name w:val="Char1 Char Char Char"/>
    <w:basedOn w:val="1"/>
    <w:qFormat/>
    <w:uiPriority w:val="0"/>
    <w:rPr>
      <w:rFonts w:hAnsi="Times New Roman" w:cs="Times New Roman"/>
      <w:bCs w:val="0"/>
      <w:color w:val="auto"/>
      <w:kern w:val="2"/>
      <w:sz w:val="32"/>
      <w:szCs w:val="32"/>
    </w:rPr>
  </w:style>
  <w:style w:type="paragraph" w:customStyle="1" w:styleId="2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sz w:val="20"/>
      <w:szCs w:val="20"/>
    </w:rPr>
  </w:style>
  <w:style w:type="paragraph" w:customStyle="1" w:styleId="253">
    <w:name w:val="xl116"/>
    <w:basedOn w:val="1"/>
    <w:qFormat/>
    <w:uiPriority w:val="0"/>
    <w:pPr>
      <w:widowControl/>
      <w:spacing w:before="100" w:beforeAutospacing="1" w:after="100" w:afterAutospacing="1"/>
      <w:jc w:val="center"/>
    </w:pPr>
    <w:rPr>
      <w:rFonts w:ascii="长城仿宋" w:hAnsi="长城仿宋" w:eastAsia="Baskerville"/>
      <w:b w:val="0"/>
      <w:bCs w:val="0"/>
      <w:color w:val="auto"/>
      <w:sz w:val="24"/>
      <w:szCs w:val="24"/>
    </w:rPr>
  </w:style>
  <w:style w:type="paragraph" w:customStyle="1" w:styleId="254">
    <w:name w:val="-正文 Char"/>
    <w:basedOn w:val="1"/>
    <w:qFormat/>
    <w:uiPriority w:val="0"/>
    <w:pPr>
      <w:widowControl/>
      <w:overflowPunct w:val="0"/>
      <w:autoSpaceDE w:val="0"/>
      <w:autoSpaceDN w:val="0"/>
      <w:adjustRightInd w:val="0"/>
      <w:spacing w:line="360" w:lineRule="auto"/>
      <w:ind w:firstLine="200" w:firstLineChars="200"/>
      <w:jc w:val="left"/>
    </w:pPr>
    <w:rPr>
      <w:rFonts w:ascii="Arial" w:hAnsi="Arial" w:eastAsia="宋体" w:cs="Times New Roman"/>
      <w:b w:val="0"/>
      <w:bCs w:val="0"/>
      <w:color w:val="auto"/>
      <w:sz w:val="24"/>
      <w:szCs w:val="24"/>
    </w:rPr>
  </w:style>
  <w:style w:type="paragraph" w:customStyle="1" w:styleId="2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0"/>
      <w:szCs w:val="20"/>
    </w:rPr>
  </w:style>
  <w:style w:type="paragraph" w:customStyle="1" w:styleId="256">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257">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bCs w:val="0"/>
      <w:color w:val="auto"/>
      <w:sz w:val="20"/>
      <w:szCs w:val="20"/>
    </w:rPr>
  </w:style>
  <w:style w:type="paragraph" w:customStyle="1" w:styleId="25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长城仿宋" w:hAnsi="长城仿宋" w:eastAsia="Baskerville"/>
      <w:b w:val="0"/>
      <w:bCs w:val="0"/>
      <w:color w:val="auto"/>
      <w:sz w:val="24"/>
      <w:szCs w:val="24"/>
    </w:rPr>
  </w:style>
  <w:style w:type="paragraph" w:customStyle="1" w:styleId="259">
    <w:name w:val="Char Char7 Char1"/>
    <w:basedOn w:val="1"/>
    <w:qFormat/>
    <w:uiPriority w:val="0"/>
    <w:pPr>
      <w:tabs>
        <w:tab w:val="left" w:pos="425"/>
      </w:tabs>
      <w:ind w:left="420" w:leftChars="200" w:firstLine="270" w:firstLineChars="150"/>
    </w:pPr>
    <w:rPr>
      <w:rFonts w:ascii="Arial Unicode MS" w:eastAsia="Arial Unicode MS" w:cs="???|CS?o｡ﾀ?"/>
      <w:b w:val="0"/>
      <w:bCs w:val="0"/>
      <w:color w:val="5E5E5E"/>
      <w:sz w:val="20"/>
    </w:rPr>
  </w:style>
  <w:style w:type="paragraph" w:customStyle="1" w:styleId="260">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261">
    <w:name w:val="样式 表内正文 + 五号 行距: 单倍行距"/>
    <w:basedOn w:val="1"/>
    <w:qFormat/>
    <w:uiPriority w:val="0"/>
    <w:pPr>
      <w:adjustRightInd w:val="0"/>
      <w:snapToGrid w:val="0"/>
    </w:pPr>
    <w:rPr>
      <w:rFonts w:ascii="???|CS?o｡ﾀ?" w:hAnsi="???|CS?o｡ﾀ?" w:eastAsia="Arial Unicode MS" w:cs="Arial Unicode MS"/>
      <w:b w:val="0"/>
      <w:bCs w:val="0"/>
      <w:color w:val="auto"/>
      <w:kern w:val="2"/>
      <w:sz w:val="20"/>
      <w:szCs w:val="20"/>
    </w:rPr>
  </w:style>
  <w:style w:type="paragraph" w:customStyle="1" w:styleId="262">
    <w:name w:val="xl66"/>
    <w:basedOn w:val="1"/>
    <w:qFormat/>
    <w:uiPriority w:val="0"/>
    <w:pPr>
      <w:widowControl/>
      <w:spacing w:before="100" w:beforeAutospacing="1" w:after="100" w:afterAutospacing="1"/>
      <w:jc w:val="center"/>
      <w:textAlignment w:val="center"/>
    </w:pPr>
    <w:rPr>
      <w:rFonts w:ascii="仿宋" w:hAnsi="仿宋" w:eastAsia="仿宋"/>
      <w:b w:val="0"/>
      <w:bCs w:val="0"/>
      <w:color w:val="auto"/>
      <w:sz w:val="24"/>
      <w:szCs w:val="24"/>
    </w:rPr>
  </w:style>
  <w:style w:type="paragraph" w:customStyle="1" w:styleId="263">
    <w:name w:val="xl27"/>
    <w:basedOn w:val="1"/>
    <w:qFormat/>
    <w:uiPriority w:val="0"/>
    <w:pPr>
      <w:widowControl/>
      <w:spacing w:before="100" w:beforeAutospacing="1" w:after="100" w:afterAutospacing="1"/>
      <w:jc w:val="center"/>
      <w:textAlignment w:val="center"/>
    </w:pPr>
    <w:rPr>
      <w:rFonts w:hint="eastAsia" w:ascii="黑体" w:hAnsi="Arial Unicode MS" w:eastAsia="黑体" w:cs="Times New Roman"/>
      <w:b w:val="0"/>
      <w:bCs w:val="0"/>
      <w:color w:val="auto"/>
      <w:sz w:val="36"/>
      <w:szCs w:val="36"/>
    </w:rPr>
  </w:style>
  <w:style w:type="paragraph" w:customStyle="1" w:styleId="264">
    <w:name w:val="Char Char"/>
    <w:basedOn w:val="1"/>
    <w:qFormat/>
    <w:uiPriority w:val="0"/>
    <w:rPr>
      <w:rFonts w:ascii="Tahoma" w:hAnsi="Tahoma" w:eastAsia="宋体" w:cs="Times New Roman"/>
      <w:b w:val="0"/>
      <w:bCs w:val="0"/>
      <w:color w:val="auto"/>
      <w:kern w:val="2"/>
      <w:sz w:val="24"/>
      <w:szCs w:val="20"/>
    </w:rPr>
  </w:style>
  <w:style w:type="paragraph" w:customStyle="1" w:styleId="265">
    <w:name w:val="paragraph"/>
    <w:basedOn w:val="1"/>
    <w:qFormat/>
    <w:uiPriority w:val="0"/>
    <w:pPr>
      <w:widowControl/>
      <w:spacing w:before="60" w:after="60"/>
      <w:jc w:val="left"/>
    </w:pPr>
    <w:rPr>
      <w:rFonts w:ascii="Times New Roman" w:hAnsi="Times New Roman" w:eastAsia="宋体" w:cs="Times New Roman"/>
      <w:b w:val="0"/>
      <w:bCs w:val="0"/>
      <w:color w:val="auto"/>
      <w:sz w:val="24"/>
      <w:szCs w:val="20"/>
      <w:lang w:eastAsia="en-US"/>
    </w:rPr>
  </w:style>
  <w:style w:type="paragraph" w:customStyle="1" w:styleId="266">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267">
    <w:name w:val="xl4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Baskerville" w:hAnsi="Baskerville" w:eastAsia="Baskerville" w:cs="Baskerville"/>
      <w:b w:val="0"/>
      <w:bCs w:val="0"/>
      <w:color w:val="auto"/>
      <w:sz w:val="20"/>
      <w:szCs w:val="20"/>
    </w:rPr>
  </w:style>
  <w:style w:type="paragraph" w:customStyle="1" w:styleId="268">
    <w:name w:val="文档正文"/>
    <w:basedOn w:val="1"/>
    <w:qFormat/>
    <w:uiPriority w:val="0"/>
    <w:pPr>
      <w:adjustRightInd w:val="0"/>
      <w:spacing w:line="312" w:lineRule="atLeast"/>
      <w:ind w:firstLine="567"/>
      <w:textAlignment w:val="baseline"/>
    </w:pPr>
    <w:rPr>
      <w:rFonts w:ascii="黑体" w:hAnsi="长城仿宋" w:eastAsia="黑体"/>
      <w:b w:val="0"/>
      <w:bCs w:val="0"/>
      <w:color w:val="auto"/>
      <w:sz w:val="28"/>
      <w:szCs w:val="24"/>
    </w:rPr>
  </w:style>
  <w:style w:type="paragraph" w:customStyle="1" w:styleId="269">
    <w:name w:val="pa-2"/>
    <w:basedOn w:val="1"/>
    <w:qFormat/>
    <w:uiPriority w:val="0"/>
    <w:pPr>
      <w:widowControl/>
      <w:spacing w:line="240" w:lineRule="atLeast"/>
      <w:ind w:firstLine="440"/>
    </w:pPr>
    <w:rPr>
      <w:rFonts w:ascii="宋体" w:eastAsia="宋体"/>
      <w:b w:val="0"/>
      <w:bCs w:val="0"/>
      <w:color w:val="auto"/>
      <w:sz w:val="24"/>
      <w:szCs w:val="24"/>
    </w:rPr>
  </w:style>
  <w:style w:type="paragraph" w:customStyle="1" w:styleId="270">
    <w:name w:val="++标题1"/>
    <w:basedOn w:val="4"/>
    <w:qFormat/>
    <w:uiPriority w:val="0"/>
    <w:pPr>
      <w:numPr>
        <w:numId w:val="0"/>
      </w:numPr>
      <w:spacing w:beforeLines="100" w:afterLines="100" w:line="360" w:lineRule="auto"/>
      <w:jc w:val="center"/>
      <w:outlineLvl w:val="1"/>
    </w:pPr>
    <w:rPr>
      <w:rFonts w:ascii="Times New Roman" w:hAnsi="Times New Roman"/>
      <w:b/>
      <w:bCs/>
      <w:color w:val="auto"/>
      <w:spacing w:val="0"/>
      <w:sz w:val="32"/>
      <w:szCs w:val="32"/>
    </w:rPr>
  </w:style>
  <w:style w:type="paragraph" w:customStyle="1" w:styleId="271">
    <w:name w:val="默认段落字体 Para Char Char Char Char Char Char Char"/>
    <w:basedOn w:val="1"/>
    <w:qFormat/>
    <w:uiPriority w:val="0"/>
    <w:pPr>
      <w:adjustRightInd w:val="0"/>
      <w:spacing w:line="360" w:lineRule="auto"/>
    </w:pPr>
    <w:rPr>
      <w:rFonts w:ascii="Tahoma" w:hAnsi="Tahoma" w:eastAsia="宋体" w:cs="Times New Roman"/>
      <w:b w:val="0"/>
      <w:bCs w:val="0"/>
      <w:color w:val="auto"/>
      <w:sz w:val="24"/>
      <w:szCs w:val="20"/>
    </w:rPr>
  </w:style>
  <w:style w:type="paragraph" w:customStyle="1" w:styleId="272">
    <w:name w:val="table_1stline"/>
    <w:basedOn w:val="1"/>
    <w:qFormat/>
    <w:uiPriority w:val="0"/>
    <w:pPr>
      <w:widowControl/>
      <w:spacing w:before="120"/>
      <w:jc w:val="left"/>
    </w:pPr>
    <w:rPr>
      <w:rFonts w:ascii="长城仿宋" w:hAnsi="长城仿宋" w:eastAsia="Arial Unicode MS"/>
      <w:b w:val="0"/>
      <w:color w:val="auto"/>
      <w:sz w:val="20"/>
      <w:szCs w:val="20"/>
      <w:lang w:val="de-DE" w:eastAsia="de-DE"/>
    </w:rPr>
  </w:style>
  <w:style w:type="paragraph" w:customStyle="1" w:styleId="273">
    <w:name w:val="xl138"/>
    <w:basedOn w:val="1"/>
    <w:qFormat/>
    <w:uiPriority w:val="0"/>
    <w:pPr>
      <w:widowControl/>
      <w:pBdr>
        <w:top w:val="single" w:color="auto" w:sz="4" w:space="0"/>
        <w:bottom w:val="single" w:color="auto" w:sz="4" w:space="0"/>
      </w:pBdr>
      <w:spacing w:before="100" w:beforeAutospacing="1" w:after="100" w:afterAutospacing="1"/>
      <w:jc w:val="left"/>
    </w:pPr>
    <w:rPr>
      <w:rFonts w:ascii="Baskerville" w:hAnsi="Baskerville" w:eastAsia="Baskerville" w:cs="Baskerville"/>
      <w:b w:val="0"/>
      <w:color w:val="auto"/>
      <w:sz w:val="24"/>
      <w:szCs w:val="24"/>
    </w:rPr>
  </w:style>
  <w:style w:type="paragraph" w:customStyle="1" w:styleId="274">
    <w:name w:val="Char Char Char Char1"/>
    <w:basedOn w:val="17"/>
    <w:qFormat/>
    <w:uiPriority w:val="0"/>
    <w:rPr>
      <w:rFonts w:ascii="长城仿宋" w:hAnsi="长城仿宋" w:eastAsia="Arial Unicode MS" w:cs="宋体"/>
      <w:b/>
      <w:sz w:val="20"/>
      <w:szCs w:val="20"/>
    </w:rPr>
  </w:style>
  <w:style w:type="paragraph" w:customStyle="1" w:styleId="275">
    <w:name w:val="表格文本"/>
    <w:qFormat/>
    <w:uiPriority w:val="0"/>
    <w:pPr>
      <w:tabs>
        <w:tab w:val="decimal" w:pos="0"/>
      </w:tabs>
    </w:pPr>
    <w:rPr>
      <w:rFonts w:ascii="???|CS?o｡ﾀ?" w:hAnsi="???|CS?o｡ﾀ?" w:eastAsia="宋体" w:cs="Times New Roman"/>
      <w:sz w:val="21"/>
      <w:szCs w:val="21"/>
      <w:lang w:val="en-US" w:eastAsia="zh-CN" w:bidi="ar-SA"/>
    </w:rPr>
  </w:style>
  <w:style w:type="paragraph" w:customStyle="1" w:styleId="276">
    <w:name w:val="xl5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Baskerville" w:hAnsi="Baskerville" w:eastAsia="Baskerville" w:cs="Baskerville"/>
      <w:b w:val="0"/>
      <w:bCs w:val="0"/>
      <w:color w:val="auto"/>
      <w:sz w:val="18"/>
      <w:szCs w:val="18"/>
    </w:rPr>
  </w:style>
  <w:style w:type="paragraph" w:customStyle="1" w:styleId="277">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278">
    <w:name w:val="列表内容"/>
    <w:next w:val="1"/>
    <w:qFormat/>
    <w:uiPriority w:val="0"/>
    <w:pPr>
      <w:tabs>
        <w:tab w:val="left" w:pos="360"/>
      </w:tabs>
    </w:pPr>
    <w:rPr>
      <w:rFonts w:ascii="Times New Roman" w:hAnsi="Times New Roman" w:eastAsia="Baskerville" w:cs="Baskerville"/>
      <w:color w:val="000000"/>
      <w:sz w:val="18"/>
      <w:szCs w:val="18"/>
      <w:u w:color="000000"/>
      <w:lang w:val="en-US" w:eastAsia="zh-CN" w:bidi="ar-SA"/>
    </w:rPr>
  </w:style>
  <w:style w:type="paragraph" w:customStyle="1" w:styleId="279">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80">
    <w:name w:val="font9"/>
    <w:basedOn w:val="1"/>
    <w:qFormat/>
    <w:uiPriority w:val="0"/>
    <w:pPr>
      <w:widowControl/>
      <w:spacing w:before="100" w:beforeAutospacing="1" w:after="100" w:afterAutospacing="1"/>
      <w:jc w:val="left"/>
    </w:pPr>
    <w:rPr>
      <w:rFonts w:ascii="Arial" w:hAnsi="Arial" w:eastAsia="宋体" w:cs="Arial"/>
      <w:b w:val="0"/>
      <w:bCs w:val="0"/>
      <w:sz w:val="20"/>
      <w:szCs w:val="20"/>
    </w:rPr>
  </w:style>
  <w:style w:type="paragraph" w:customStyle="1" w:styleId="281">
    <w:name w:val="01正文"/>
    <w:basedOn w:val="1"/>
    <w:qFormat/>
    <w:uiPriority w:val="0"/>
    <w:pPr>
      <w:adjustRightInd w:val="0"/>
      <w:snapToGrid w:val="0"/>
      <w:spacing w:line="360" w:lineRule="auto"/>
      <w:ind w:firstLine="200" w:firstLineChars="200"/>
      <w:jc w:val="left"/>
    </w:pPr>
    <w:rPr>
      <w:rFonts w:ascii="方正仿宋_GBK" w:hAnsi="Calibri" w:eastAsia="宋体" w:cs="黑体"/>
      <w:b w:val="0"/>
      <w:bCs w:val="0"/>
      <w:color w:val="auto"/>
      <w:kern w:val="2"/>
      <w:sz w:val="24"/>
      <w:szCs w:val="24"/>
    </w:rPr>
  </w:style>
  <w:style w:type="paragraph" w:customStyle="1" w:styleId="282">
    <w:name w:val="网新正文文本"/>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283">
    <w:name w:val="列出段落11"/>
    <w:basedOn w:val="1"/>
    <w:qFormat/>
    <w:uiPriority w:val="0"/>
    <w:pPr>
      <w:ind w:firstLine="420" w:firstLineChars="200"/>
    </w:pPr>
    <w:rPr>
      <w:rFonts w:ascii="Calibri" w:hAnsi="Calibri" w:eastAsia="宋体" w:cs="Times New Roman"/>
      <w:b w:val="0"/>
      <w:bCs w:val="0"/>
      <w:color w:val="auto"/>
      <w:kern w:val="2"/>
    </w:rPr>
  </w:style>
  <w:style w:type="paragraph" w:customStyle="1" w:styleId="284">
    <w:name w:val="GP标题3"/>
    <w:basedOn w:val="1"/>
    <w:next w:val="285"/>
    <w:qFormat/>
    <w:uiPriority w:val="0"/>
    <w:pPr>
      <w:numPr>
        <w:ilvl w:val="2"/>
        <w:numId w:val="2"/>
      </w:numPr>
      <w:tabs>
        <w:tab w:val="left" w:pos="1260"/>
        <w:tab w:val="clear" w:pos="720"/>
      </w:tabs>
      <w:spacing w:beforeLines="50" w:afterLines="50" w:line="360" w:lineRule="auto"/>
      <w:jc w:val="left"/>
      <w:outlineLvl w:val="2"/>
    </w:pPr>
    <w:rPr>
      <w:rFonts w:ascii="华文细黑" w:hAnsi="华文细黑" w:eastAsia="华文细黑" w:cs="Times New Roman"/>
      <w:bCs w:val="0"/>
      <w:color w:val="auto"/>
      <w:sz w:val="30"/>
      <w:szCs w:val="20"/>
    </w:rPr>
  </w:style>
  <w:style w:type="paragraph" w:customStyle="1" w:styleId="285">
    <w:name w:val="GP正文(首行缩进)"/>
    <w:basedOn w:val="1"/>
    <w:qFormat/>
    <w:uiPriority w:val="0"/>
    <w:pPr>
      <w:spacing w:line="360" w:lineRule="auto"/>
      <w:ind w:firstLine="200" w:firstLineChars="200"/>
      <w:jc w:val="left"/>
    </w:pPr>
    <w:rPr>
      <w:rFonts w:ascii="Times New Roman" w:hAnsi="Times New Roman" w:eastAsia="宋体" w:cs="Times New Roman"/>
      <w:b w:val="0"/>
      <w:bCs w:val="0"/>
      <w:color w:val="auto"/>
      <w:sz w:val="24"/>
      <w:szCs w:val="20"/>
    </w:rPr>
  </w:style>
  <w:style w:type="paragraph" w:customStyle="1" w:styleId="286">
    <w:name w:val="font10"/>
    <w:basedOn w:val="1"/>
    <w:qFormat/>
    <w:uiPriority w:val="0"/>
    <w:pPr>
      <w:widowControl/>
      <w:spacing w:before="100" w:beforeAutospacing="1" w:after="100" w:afterAutospacing="1"/>
      <w:jc w:val="left"/>
    </w:pPr>
    <w:rPr>
      <w:rFonts w:ascii="Arial" w:hAnsi="Arial" w:eastAsia="宋体" w:cs="Arial"/>
      <w:b w:val="0"/>
      <w:bCs w:val="0"/>
      <w:sz w:val="20"/>
      <w:szCs w:val="20"/>
    </w:rPr>
  </w:style>
  <w:style w:type="paragraph" w:customStyle="1" w:styleId="287">
    <w:name w:val="样式4"/>
    <w:basedOn w:val="4"/>
    <w:qFormat/>
    <w:uiPriority w:val="0"/>
    <w:pPr>
      <w:keepLines w:val="0"/>
      <w:numPr>
        <w:numId w:val="0"/>
      </w:numPr>
      <w:adjustRightInd w:val="0"/>
      <w:snapToGrid w:val="0"/>
      <w:spacing w:before="0" w:afterLines="0" w:line="500" w:lineRule="atLeast"/>
      <w:jc w:val="center"/>
    </w:pPr>
    <w:rPr>
      <w:rFonts w:ascii="Tahoma" w:hAnsi="Arial Unicode MS" w:eastAsia="Tahoma" w:cs="???|CS?o｡ﾀ?"/>
      <w:b/>
      <w:color w:val="auto"/>
      <w:spacing w:val="0"/>
      <w:kern w:val="2"/>
      <w:sz w:val="30"/>
      <w:szCs w:val="30"/>
    </w:rPr>
  </w:style>
  <w:style w:type="paragraph" w:customStyle="1" w:styleId="28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289">
    <w:name w:val="contentlabel"/>
    <w:basedOn w:val="1"/>
    <w:qFormat/>
    <w:uiPriority w:val="0"/>
    <w:pPr>
      <w:widowControl/>
      <w:spacing w:before="40" w:after="100" w:afterAutospacing="1"/>
      <w:ind w:left="120"/>
      <w:jc w:val="left"/>
    </w:pPr>
    <w:rPr>
      <w:rFonts w:ascii="???|CS?o｡ﾀ?" w:hAnsi="???|CS?o｡ﾀ?" w:eastAsia="Arial Unicode MS" w:cs="???|CS?o｡ﾀ?"/>
      <w:b w:val="0"/>
      <w:bCs w:val="0"/>
      <w:color w:val="336666"/>
      <w:sz w:val="24"/>
      <w:szCs w:val="24"/>
    </w:rPr>
  </w:style>
  <w:style w:type="paragraph" w:customStyle="1" w:styleId="290">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291">
    <w:name w:val="2册标题4"/>
    <w:basedOn w:val="1"/>
    <w:next w:val="1"/>
    <w:qFormat/>
    <w:uiPriority w:val="0"/>
    <w:pPr>
      <w:spacing w:before="120" w:after="120" w:line="300" w:lineRule="auto"/>
      <w:ind w:left="120"/>
      <w:outlineLvl w:val="3"/>
    </w:pPr>
    <w:rPr>
      <w:rFonts w:ascii="???|CS?o｡ﾀ?" w:hAnsi="???|CS?o｡ﾀ?" w:eastAsia="Arial Unicode MS" w:cs="???|CS?o｡ﾀ?"/>
      <w:b w:val="0"/>
      <w:bCs w:val="0"/>
      <w:color w:val="auto"/>
      <w:kern w:val="2"/>
      <w:sz w:val="20"/>
      <w:szCs w:val="24"/>
    </w:rPr>
  </w:style>
  <w:style w:type="paragraph" w:customStyle="1" w:styleId="292">
    <w:name w:val="列出段落3"/>
    <w:basedOn w:val="1"/>
    <w:qFormat/>
    <w:uiPriority w:val="0"/>
    <w:pPr>
      <w:ind w:firstLine="420" w:firstLineChars="200"/>
    </w:pPr>
    <w:rPr>
      <w:rFonts w:ascii="Times New Roman" w:hAnsi="Times New Roman" w:eastAsia="宋体" w:cs="Times New Roman"/>
      <w:b w:val="0"/>
      <w:bCs w:val="0"/>
      <w:color w:val="auto"/>
      <w:kern w:val="2"/>
    </w:rPr>
  </w:style>
  <w:style w:type="paragraph" w:customStyle="1" w:styleId="293">
    <w:name w:val="无间隔11"/>
    <w:basedOn w:val="1"/>
    <w:qFormat/>
    <w:uiPriority w:val="1"/>
    <w:rPr>
      <w:rFonts w:ascii="Calibri" w:hAnsi="Calibri" w:eastAsia="等线" w:cs="Times New Roman"/>
      <w:b w:val="0"/>
      <w:bCs w:val="0"/>
      <w:color w:val="auto"/>
      <w:kern w:val="2"/>
      <w:szCs w:val="22"/>
    </w:rPr>
  </w:style>
  <w:style w:type="paragraph" w:customStyle="1" w:styleId="29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b w:val="0"/>
      <w:bCs w:val="0"/>
      <w:color w:val="auto"/>
      <w:sz w:val="24"/>
      <w:szCs w:val="24"/>
    </w:rPr>
  </w:style>
  <w:style w:type="paragraph" w:customStyle="1" w:styleId="295">
    <w:name w:val="Char14 Char Char Char"/>
    <w:basedOn w:val="1"/>
    <w:qFormat/>
    <w:uiPriority w:val="0"/>
    <w:rPr>
      <w:rFonts w:ascii="Times New Roman" w:hAnsi="Times New Roman" w:eastAsia="宋体" w:cs="Times New Roman"/>
      <w:b w:val="0"/>
      <w:bCs w:val="0"/>
      <w:color w:val="auto"/>
      <w:kern w:val="2"/>
      <w:szCs w:val="20"/>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297">
    <w:name w:val="WPS Plain"/>
    <w:qFormat/>
    <w:uiPriority w:val="0"/>
    <w:rPr>
      <w:rFonts w:ascii="Times New Roman" w:hAnsi="Times New Roman" w:eastAsia="宋体" w:cs="Times New Roman"/>
      <w:kern w:val="2"/>
      <w:sz w:val="21"/>
      <w:szCs w:val="22"/>
      <w:lang w:val="en-US" w:eastAsia="zh-CN" w:bidi="ar-SA"/>
    </w:rPr>
  </w:style>
  <w:style w:type="paragraph" w:customStyle="1" w:styleId="298">
    <w:name w:val="xl1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Baskerville" w:hAnsi="Baskerville" w:eastAsia="Baskerville" w:cs="Baskerville"/>
      <w:b w:val="0"/>
      <w:bCs w:val="0"/>
      <w:color w:val="auto"/>
      <w:sz w:val="24"/>
      <w:szCs w:val="24"/>
    </w:rPr>
  </w:style>
  <w:style w:type="paragraph" w:customStyle="1" w:styleId="299">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300">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01">
    <w:name w:val="++标题2"/>
    <w:basedOn w:val="5"/>
    <w:qFormat/>
    <w:uiPriority w:val="0"/>
    <w:pPr>
      <w:keepLines w:val="0"/>
      <w:numPr>
        <w:ilvl w:val="0"/>
        <w:numId w:val="0"/>
      </w:numPr>
      <w:tabs>
        <w:tab w:val="clear" w:pos="576"/>
      </w:tabs>
      <w:spacing w:beforeLines="50" w:afterLines="0" w:line="240" w:lineRule="auto"/>
    </w:pPr>
    <w:rPr>
      <w:rFonts w:ascii="宋体" w:hAnsi="宋体" w:eastAsia="宋体" w:cs="Arial"/>
      <w:bCs/>
      <w:color w:val="auto"/>
      <w:spacing w:val="0"/>
      <w:sz w:val="24"/>
      <w:szCs w:val="24"/>
    </w:rPr>
  </w:style>
  <w:style w:type="paragraph" w:customStyle="1" w:styleId="30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olor w:val="auto"/>
      <w:sz w:val="24"/>
      <w:szCs w:val="24"/>
      <w:u w:val="single"/>
    </w:rPr>
  </w:style>
  <w:style w:type="paragraph" w:customStyle="1" w:styleId="303">
    <w:name w:val="缺省文本"/>
    <w:basedOn w:val="1"/>
    <w:qFormat/>
    <w:uiPriority w:val="0"/>
    <w:pPr>
      <w:autoSpaceDE w:val="0"/>
      <w:autoSpaceDN w:val="0"/>
      <w:adjustRightInd w:val="0"/>
      <w:jc w:val="left"/>
    </w:pPr>
    <w:rPr>
      <w:rFonts w:ascii="Times New Roman" w:hAnsi="Times New Roman" w:eastAsia="宋体" w:cs="Times New Roman"/>
      <w:b w:val="0"/>
      <w:bCs w:val="0"/>
      <w:color w:val="auto"/>
      <w:sz w:val="24"/>
      <w:szCs w:val="20"/>
    </w:rPr>
  </w:style>
  <w:style w:type="paragraph" w:customStyle="1" w:styleId="304">
    <w:name w:val="dkk表組"/>
    <w:basedOn w:val="1"/>
    <w:qFormat/>
    <w:uiPriority w:val="0"/>
    <w:pPr>
      <w:spacing w:after="40" w:line="320" w:lineRule="exact"/>
      <w:textAlignment w:val="baseline"/>
    </w:pPr>
    <w:rPr>
      <w:rFonts w:ascii="Times New Roman" w:hAnsi="Century" w:eastAsia="宋体" w:cs="Times New Roman"/>
      <w:b w:val="0"/>
      <w:bCs w:val="0"/>
      <w:color w:val="auto"/>
      <w:kern w:val="2"/>
      <w:sz w:val="18"/>
      <w:szCs w:val="24"/>
    </w:rPr>
  </w:style>
  <w:style w:type="paragraph" w:customStyle="1" w:styleId="305">
    <w:name w:val="PM_Tabelle Text Ende"/>
    <w:basedOn w:val="1"/>
    <w:next w:val="1"/>
    <w:qFormat/>
    <w:uiPriority w:val="0"/>
    <w:pPr>
      <w:autoSpaceDE w:val="0"/>
      <w:autoSpaceDN w:val="0"/>
      <w:adjustRightInd w:val="0"/>
      <w:jc w:val="left"/>
    </w:pPr>
    <w:rPr>
      <w:rFonts w:ascii="Arial" w:hAnsi="Arial" w:eastAsia="宋体" w:cs="Times New Roman"/>
      <w:b w:val="0"/>
      <w:bCs w:val="0"/>
      <w:color w:val="auto"/>
      <w:sz w:val="24"/>
      <w:szCs w:val="24"/>
    </w:rPr>
  </w:style>
  <w:style w:type="paragraph" w:customStyle="1" w:styleId="306">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b w:val="0"/>
      <w:bCs w:val="0"/>
      <w:color w:val="auto"/>
      <w:sz w:val="20"/>
      <w:szCs w:val="20"/>
    </w:rPr>
  </w:style>
  <w:style w:type="paragraph" w:customStyle="1" w:styleId="307">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30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olor w:val="FF0000"/>
      <w:sz w:val="20"/>
      <w:szCs w:val="20"/>
    </w:rPr>
  </w:style>
  <w:style w:type="paragraph" w:customStyle="1" w:styleId="309">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310">
    <w:name w:val="xl1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color w:val="auto"/>
      <w:sz w:val="24"/>
      <w:szCs w:val="24"/>
    </w:rPr>
  </w:style>
  <w:style w:type="paragraph" w:customStyle="1" w:styleId="311">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12">
    <w:name w:val="Char Char1 Char Char Char Char Char Char Char Char Char Char"/>
    <w:basedOn w:val="1"/>
    <w:qFormat/>
    <w:uiPriority w:val="0"/>
    <w:rPr>
      <w:rFonts w:ascii="Tahoma" w:hAnsi="Tahoma"/>
      <w:sz w:val="24"/>
      <w:szCs w:val="20"/>
    </w:rPr>
  </w:style>
  <w:style w:type="paragraph" w:customStyle="1" w:styleId="313">
    <w:name w:val="页脚右端（绿盟科技）"/>
    <w:basedOn w:val="34"/>
    <w:qFormat/>
    <w:uiPriority w:val="0"/>
    <w:pPr>
      <w:pBdr>
        <w:top w:val="single" w:color="auto" w:sz="4" w:space="4"/>
      </w:pBdr>
      <w:autoSpaceDE w:val="0"/>
      <w:autoSpaceDN w:val="0"/>
      <w:adjustRightInd w:val="0"/>
      <w:spacing w:before="100" w:beforeAutospacing="1"/>
    </w:pPr>
    <w:rPr>
      <w:rFonts w:ascii="Times New Roman" w:hAnsi="Times New Roman" w:eastAsia="宋体"/>
      <w:bCs w:val="0"/>
      <w:szCs w:val="20"/>
    </w:rPr>
  </w:style>
  <w:style w:type="paragraph" w:customStyle="1" w:styleId="314">
    <w:name w:val="xl55"/>
    <w:basedOn w:val="1"/>
    <w:qFormat/>
    <w:uiPriority w:val="0"/>
    <w:pPr>
      <w:widowControl/>
      <w:spacing w:before="100" w:beforeAutospacing="1" w:after="100" w:afterAutospacing="1"/>
      <w:jc w:val="center"/>
      <w:textAlignment w:val="center"/>
    </w:pPr>
    <w:rPr>
      <w:rFonts w:ascii="Baskerville" w:hAnsi="Baskerville" w:eastAsia="Arial Unicode MS"/>
      <w:b w:val="0"/>
      <w:bCs w:val="0"/>
      <w:color w:val="auto"/>
      <w:sz w:val="24"/>
      <w:szCs w:val="24"/>
    </w:rPr>
  </w:style>
  <w:style w:type="paragraph" w:customStyle="1" w:styleId="315">
    <w:name w:val="shadow1"/>
    <w:basedOn w:val="1"/>
    <w:qFormat/>
    <w:uiPriority w:val="0"/>
    <w:pPr>
      <w:widowControl/>
      <w:spacing w:before="100" w:beforeAutospacing="1" w:after="100" w:afterAutospacing="1"/>
      <w:jc w:val="left"/>
    </w:pPr>
    <w:rPr>
      <w:rFonts w:ascii="Baskerville" w:hAnsi="Baskerville" w:eastAsia="Baskerville"/>
      <w:b w:val="0"/>
      <w:bCs w:val="0"/>
      <w:sz w:val="24"/>
      <w:szCs w:val="24"/>
    </w:rPr>
  </w:style>
  <w:style w:type="paragraph" w:customStyle="1" w:styleId="316">
    <w:name w:val="加点"/>
    <w:basedOn w:val="1"/>
    <w:qFormat/>
    <w:uiPriority w:val="0"/>
    <w:pPr>
      <w:spacing w:line="360" w:lineRule="auto"/>
    </w:pPr>
    <w:rPr>
      <w:rFonts w:ascii="长城仿宋" w:hAnsi="长城仿宋" w:eastAsia="Courier New"/>
      <w:b w:val="0"/>
      <w:bCs w:val="0"/>
      <w:color w:val="auto"/>
      <w:kern w:val="2"/>
      <w:sz w:val="24"/>
      <w:szCs w:val="20"/>
    </w:rPr>
  </w:style>
  <w:style w:type="paragraph" w:customStyle="1" w:styleId="3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FF0000"/>
      <w:sz w:val="20"/>
      <w:szCs w:val="20"/>
    </w:rPr>
  </w:style>
  <w:style w:type="paragraph" w:customStyle="1" w:styleId="318">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319">
    <w:name w:val="Char4"/>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320">
    <w:name w:val="l正文"/>
    <w:basedOn w:val="1"/>
    <w:qFormat/>
    <w:uiPriority w:val="0"/>
    <w:pPr>
      <w:spacing w:line="300" w:lineRule="auto"/>
      <w:ind w:firstLine="200" w:firstLineChars="200"/>
      <w:jc w:val="left"/>
    </w:pPr>
    <w:rPr>
      <w:rFonts w:ascii="楷体_GB2312" w:hAnsi="Times" w:eastAsia="楷体_GB2312" w:cs="等线"/>
      <w:b w:val="0"/>
      <w:bCs w:val="0"/>
      <w:sz w:val="24"/>
      <w:szCs w:val="20"/>
    </w:rPr>
  </w:style>
  <w:style w:type="paragraph" w:customStyle="1" w:styleId="321">
    <w:name w:val="xl13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Baskerville" w:hAnsi="Baskerville" w:eastAsia="Baskerville" w:cs="Baskerville"/>
      <w:b w:val="0"/>
      <w:color w:val="auto"/>
      <w:sz w:val="24"/>
      <w:szCs w:val="24"/>
    </w:rPr>
  </w:style>
  <w:style w:type="paragraph" w:customStyle="1" w:styleId="322">
    <w:name w:val="列出段落2"/>
    <w:basedOn w:val="1"/>
    <w:semiHidden/>
    <w:qFormat/>
    <w:uiPriority w:val="0"/>
    <w:pPr>
      <w:ind w:firstLine="420" w:firstLineChars="200"/>
    </w:pPr>
    <w:rPr>
      <w:rFonts w:ascii="Calibri" w:hAnsi="Calibri" w:eastAsia="宋体" w:cs="Times New Roman"/>
      <w:b w:val="0"/>
      <w:bCs w:val="0"/>
      <w:color w:val="auto"/>
      <w:kern w:val="2"/>
    </w:rPr>
  </w:style>
  <w:style w:type="paragraph" w:customStyle="1" w:styleId="323">
    <w:name w:val="WPSOffice手动目录 1"/>
    <w:qFormat/>
    <w:uiPriority w:val="0"/>
    <w:rPr>
      <w:rFonts w:ascii="Calibri" w:hAnsi="Calibri" w:eastAsia="宋体" w:cs="Times New Roman"/>
      <w:lang w:val="en-US" w:eastAsia="zh-CN" w:bidi="ar-SA"/>
    </w:rPr>
  </w:style>
  <w:style w:type="paragraph" w:customStyle="1" w:styleId="324">
    <w:name w:val="xl85"/>
    <w:basedOn w:val="1"/>
    <w:qFormat/>
    <w:uiPriority w:val="0"/>
    <w:pPr>
      <w:widowControl/>
      <w:spacing w:before="100" w:beforeAutospacing="1" w:after="100" w:afterAutospacing="1"/>
      <w:jc w:val="center"/>
      <w:textAlignment w:val="center"/>
    </w:pPr>
    <w:rPr>
      <w:rFonts w:ascii="仿宋" w:hAnsi="仿宋" w:eastAsia="仿宋"/>
      <w:color w:val="auto"/>
      <w:sz w:val="20"/>
      <w:szCs w:val="20"/>
    </w:rPr>
  </w:style>
  <w:style w:type="paragraph" w:customStyle="1" w:styleId="32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326">
    <w:name w:val="条文レベル2"/>
    <w:basedOn w:val="327"/>
    <w:qFormat/>
    <w:uiPriority w:val="0"/>
    <w:pPr>
      <w:tabs>
        <w:tab w:val="left" w:pos="2187"/>
      </w:tabs>
      <w:outlineLvl w:val="5"/>
    </w:pPr>
  </w:style>
  <w:style w:type="paragraph" w:customStyle="1" w:styleId="327">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328">
    <w:name w:val="styles1"/>
    <w:basedOn w:val="1"/>
    <w:qFormat/>
    <w:uiPriority w:val="0"/>
    <w:pPr>
      <w:widowControl/>
      <w:spacing w:before="100" w:beforeAutospacing="1" w:after="100" w:afterAutospacing="1" w:line="312" w:lineRule="auto"/>
      <w:jc w:val="left"/>
    </w:pPr>
    <w:rPr>
      <w:rFonts w:ascii="宋体" w:eastAsia="Arial Unicode MS" w:cs="???|CS?o｡ﾀ?"/>
      <w:b w:val="0"/>
      <w:bCs w:val="0"/>
      <w:sz w:val="20"/>
    </w:rPr>
  </w:style>
  <w:style w:type="paragraph" w:customStyle="1" w:styleId="32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330">
    <w:name w:val="正文 1.5 倍行距"/>
    <w:basedOn w:val="1"/>
    <w:qFormat/>
    <w:uiPriority w:val="0"/>
    <w:pPr>
      <w:autoSpaceDE w:val="0"/>
      <w:autoSpaceDN w:val="0"/>
      <w:adjustRightInd w:val="0"/>
      <w:spacing w:line="360" w:lineRule="auto"/>
      <w:ind w:firstLine="480" w:firstLineChars="200"/>
      <w:textAlignment w:val="baseline"/>
    </w:pPr>
    <w:rPr>
      <w:rFonts w:ascii="Times New Roman" w:hAnsi="Times New Roman" w:eastAsia="宋体"/>
      <w:b w:val="0"/>
      <w:bCs w:val="0"/>
      <w:color w:val="auto"/>
      <w:sz w:val="24"/>
      <w:szCs w:val="20"/>
    </w:rPr>
  </w:style>
  <w:style w:type="paragraph" w:customStyle="1" w:styleId="33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33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长城仿宋" w:hAnsi="长城仿宋" w:eastAsia="Baskerville"/>
      <w:b w:val="0"/>
      <w:bCs w:val="0"/>
      <w:color w:val="auto"/>
      <w:sz w:val="24"/>
      <w:szCs w:val="24"/>
    </w:rPr>
  </w:style>
  <w:style w:type="paragraph" w:customStyle="1" w:styleId="333">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b w:val="0"/>
      <w:bCs w:val="0"/>
      <w:color w:val="auto"/>
      <w:sz w:val="20"/>
      <w:szCs w:val="20"/>
    </w:rPr>
  </w:style>
  <w:style w:type="paragraph" w:customStyle="1" w:styleId="334">
    <w:name w:val="Char Char3 Char Char"/>
    <w:basedOn w:val="1"/>
    <w:qFormat/>
    <w:uiPriority w:val="0"/>
    <w:rPr>
      <w:rFonts w:ascii="Times New Roman" w:hAnsi="Times New Roman" w:eastAsia="宋体" w:cs="Times New Roman"/>
      <w:b w:val="0"/>
      <w:bCs w:val="0"/>
      <w:color w:val="auto"/>
      <w:kern w:val="2"/>
      <w:szCs w:val="24"/>
    </w:rPr>
  </w:style>
  <w:style w:type="paragraph" w:customStyle="1" w:styleId="335">
    <w:name w:val="样式3"/>
    <w:basedOn w:val="6"/>
    <w:qFormat/>
    <w:uiPriority w:val="0"/>
    <w:pPr>
      <w:numPr>
        <w:ilvl w:val="0"/>
        <w:numId w:val="0"/>
      </w:numPr>
      <w:adjustRightInd w:val="0"/>
      <w:snapToGrid w:val="0"/>
      <w:spacing w:before="100" w:beforeAutospacing="1" w:afterLines="0" w:afterAutospacing="1" w:line="500" w:lineRule="atLeast"/>
      <w:ind w:left="454" w:hanging="284"/>
      <w:jc w:val="left"/>
      <w:textAlignment w:val="baseline"/>
    </w:pPr>
    <w:rPr>
      <w:rFonts w:ascii="Arial Unicode MS" w:hAnsi="???|CS?o｡ﾀ?" w:eastAsia="Courier New" w:cs="宋体"/>
      <w:b/>
      <w:bCs/>
      <w:snapToGrid w:val="0"/>
      <w:color w:val="auto"/>
      <w:spacing w:val="0"/>
      <w:sz w:val="24"/>
      <w:szCs w:val="20"/>
    </w:rPr>
  </w:style>
  <w:style w:type="paragraph" w:customStyle="1" w:styleId="336">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337">
    <w:name w:val="彩色列表 - 强调文字颜色 11"/>
    <w:basedOn w:val="1"/>
    <w:qFormat/>
    <w:uiPriority w:val="34"/>
    <w:pPr>
      <w:spacing w:line="480" w:lineRule="auto"/>
      <w:ind w:firstLine="420" w:firstLineChars="200"/>
      <w:jc w:val="left"/>
    </w:pPr>
    <w:rPr>
      <w:rFonts w:ascii="Calibri" w:hAnsi="Calibri" w:eastAsia="宋体" w:cs="Times New Roman"/>
      <w:b w:val="0"/>
      <w:bCs w:val="0"/>
      <w:color w:val="auto"/>
      <w:kern w:val="2"/>
      <w:sz w:val="24"/>
      <w:szCs w:val="24"/>
      <w:lang w:eastAsia="zh-TW"/>
    </w:rPr>
  </w:style>
  <w:style w:type="paragraph" w:customStyle="1" w:styleId="338">
    <w:name w:val="tableheading"/>
    <w:basedOn w:val="1"/>
    <w:qFormat/>
    <w:uiPriority w:val="0"/>
    <w:pPr>
      <w:widowControl/>
      <w:spacing w:before="100" w:beforeAutospacing="1" w:after="100" w:afterAutospacing="1"/>
      <w:jc w:val="left"/>
    </w:pPr>
    <w:rPr>
      <w:rFonts w:ascii="Arial Unicode MS" w:eastAsia="Arial Unicode MS" w:cs="Arial Unicode MS"/>
      <w:b w:val="0"/>
      <w:bCs w:val="0"/>
      <w:color w:val="auto"/>
      <w:sz w:val="24"/>
      <w:szCs w:val="24"/>
    </w:rPr>
  </w:style>
  <w:style w:type="paragraph" w:customStyle="1" w:styleId="339">
    <w:name w:val="border"/>
    <w:basedOn w:val="1"/>
    <w:qFormat/>
    <w:uiPriority w:val="0"/>
    <w:pPr>
      <w:widowControl/>
      <w:pBdr>
        <w:top w:val="dotted" w:color="111111" w:sz="8" w:space="0"/>
        <w:left w:val="dotted" w:color="111111" w:sz="8" w:space="0"/>
        <w:bottom w:val="dotted" w:color="111111" w:sz="8" w:space="0"/>
        <w:right w:val="dotted" w:color="111111" w:sz="8" w:space="0"/>
      </w:pBdr>
      <w:shd w:val="clear" w:color="auto" w:fill="EFEFEF"/>
      <w:spacing w:before="100" w:beforeAutospacing="1" w:after="100" w:afterAutospacing="1"/>
      <w:jc w:val="left"/>
    </w:pPr>
    <w:rPr>
      <w:rFonts w:ascii="Baskerville" w:hAnsi="Baskerville" w:eastAsia="Baskerville"/>
      <w:b w:val="0"/>
      <w:bCs w:val="0"/>
      <w:sz w:val="24"/>
      <w:szCs w:val="24"/>
    </w:rPr>
  </w:style>
  <w:style w:type="paragraph" w:customStyle="1" w:styleId="340">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34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olor w:val="auto"/>
      <w:sz w:val="20"/>
      <w:szCs w:val="20"/>
    </w:rPr>
  </w:style>
  <w:style w:type="paragraph" w:customStyle="1" w:styleId="342">
    <w:name w:val="Char1"/>
    <w:basedOn w:val="1"/>
    <w:qFormat/>
    <w:uiPriority w:val="0"/>
    <w:rPr>
      <w:rFonts w:ascii="Tahoma" w:hAnsi="Tahoma" w:eastAsia="宋体" w:cs="Times New Roman"/>
      <w:b w:val="0"/>
      <w:bCs w:val="0"/>
      <w:color w:val="auto"/>
      <w:kern w:val="2"/>
      <w:sz w:val="24"/>
      <w:szCs w:val="20"/>
    </w:rPr>
  </w:style>
  <w:style w:type="paragraph" w:customStyle="1" w:styleId="343">
    <w:name w:val="xl4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Baskerville" w:hAnsi="Baskerville" w:eastAsia="Baskerville" w:cs="Baskerville"/>
      <w:b w:val="0"/>
      <w:bCs w:val="0"/>
      <w:color w:val="auto"/>
      <w:sz w:val="20"/>
      <w:szCs w:val="20"/>
    </w:rPr>
  </w:style>
  <w:style w:type="paragraph" w:customStyle="1" w:styleId="34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b w:val="0"/>
      <w:bCs w:val="0"/>
      <w:color w:val="auto"/>
      <w:sz w:val="24"/>
      <w:szCs w:val="24"/>
    </w:rPr>
  </w:style>
  <w:style w:type="paragraph" w:customStyle="1" w:styleId="34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bCs w:val="0"/>
      <w:color w:val="auto"/>
      <w:sz w:val="24"/>
      <w:szCs w:val="24"/>
    </w:rPr>
  </w:style>
  <w:style w:type="paragraph" w:customStyle="1" w:styleId="346">
    <w:name w:val="Default Paragraph Font Para Char"/>
    <w:basedOn w:val="1"/>
    <w:qFormat/>
    <w:uiPriority w:val="0"/>
    <w:pPr>
      <w:widowControl/>
      <w:spacing w:after="160" w:line="240" w:lineRule="exact"/>
      <w:jc w:val="left"/>
    </w:pPr>
    <w:rPr>
      <w:rFonts w:ascii="宋体" w:eastAsia="宋体"/>
      <w:b w:val="0"/>
      <w:bCs w:val="0"/>
      <w:sz w:val="20"/>
      <w:szCs w:val="20"/>
      <w:lang w:eastAsia="en-US"/>
    </w:rPr>
  </w:style>
  <w:style w:type="paragraph" w:customStyle="1" w:styleId="347">
    <w:name w:val="font0"/>
    <w:basedOn w:val="1"/>
    <w:qFormat/>
    <w:uiPriority w:val="0"/>
    <w:pPr>
      <w:widowControl/>
      <w:spacing w:before="100" w:beforeAutospacing="1" w:after="100" w:afterAutospacing="1"/>
      <w:jc w:val="left"/>
    </w:pPr>
    <w:rPr>
      <w:rFonts w:ascii="Arial" w:hAnsi="Arial" w:eastAsia="Arial Unicode MS" w:cs="Arial"/>
      <w:b w:val="0"/>
      <w:bCs w:val="0"/>
      <w:color w:val="auto"/>
      <w:sz w:val="20"/>
      <w:szCs w:val="20"/>
    </w:rPr>
  </w:style>
  <w:style w:type="paragraph" w:customStyle="1" w:styleId="348">
    <w:name w:val="xl5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长城仿宋" w:hAnsi="长城仿宋" w:eastAsia="Baskerville"/>
      <w:b w:val="0"/>
      <w:color w:val="auto"/>
      <w:sz w:val="40"/>
      <w:szCs w:val="40"/>
    </w:rPr>
  </w:style>
  <w:style w:type="paragraph" w:customStyle="1" w:styleId="349">
    <w:name w:val="xl31"/>
    <w:basedOn w:val="1"/>
    <w:qFormat/>
    <w:uiPriority w:val="0"/>
    <w:pPr>
      <w:widowControl/>
      <w:spacing w:before="100" w:beforeAutospacing="1" w:after="100" w:afterAutospacing="1"/>
      <w:jc w:val="left"/>
      <w:textAlignment w:val="center"/>
    </w:pPr>
    <w:rPr>
      <w:rFonts w:ascii="Arial Unicode MS" w:hAnsi="Arial Unicode MS" w:eastAsia="宋体" w:cs="Times New Roman"/>
      <w:b w:val="0"/>
      <w:bCs w:val="0"/>
      <w:color w:val="auto"/>
      <w:sz w:val="24"/>
      <w:szCs w:val="24"/>
    </w:rPr>
  </w:style>
  <w:style w:type="paragraph" w:customStyle="1" w:styleId="350">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val="0"/>
      <w:bCs w:val="0"/>
      <w:sz w:val="20"/>
      <w:szCs w:val="20"/>
    </w:rPr>
  </w:style>
  <w:style w:type="paragraph" w:customStyle="1" w:styleId="35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customStyle="1" w:styleId="352">
    <w:name w:val="l18"/>
    <w:basedOn w:val="1"/>
    <w:qFormat/>
    <w:uiPriority w:val="0"/>
    <w:pPr>
      <w:widowControl/>
      <w:spacing w:before="40" w:after="100" w:afterAutospacing="1" w:line="360" w:lineRule="atLeast"/>
      <w:ind w:left="120"/>
      <w:jc w:val="left"/>
    </w:pPr>
    <w:rPr>
      <w:rFonts w:ascii="???|CS?o｡ﾀ?" w:hAnsi="???|CS?o｡ﾀ?" w:eastAsia="Arial Unicode MS" w:cs="???|CS?o｡ﾀ?"/>
      <w:b w:val="0"/>
      <w:bCs w:val="0"/>
      <w:sz w:val="24"/>
      <w:szCs w:val="24"/>
    </w:rPr>
  </w:style>
  <w:style w:type="paragraph" w:customStyle="1" w:styleId="35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354">
    <w:name w:val="xl63"/>
    <w:basedOn w:val="1"/>
    <w:qFormat/>
    <w:uiPriority w:val="0"/>
    <w:pPr>
      <w:widowControl/>
      <w:spacing w:before="100" w:beforeAutospacing="1" w:after="100" w:afterAutospacing="1"/>
      <w:jc w:val="center"/>
      <w:textAlignment w:val="center"/>
    </w:pPr>
    <w:rPr>
      <w:rFonts w:ascii="Baskerville" w:hAnsi="Baskerville" w:eastAsia="Baskerville" w:cs="Baskerville"/>
      <w:b w:val="0"/>
      <w:bCs w:val="0"/>
      <w:color w:val="auto"/>
      <w:sz w:val="20"/>
      <w:szCs w:val="20"/>
    </w:rPr>
  </w:style>
  <w:style w:type="paragraph" w:customStyle="1" w:styleId="355">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356">
    <w:name w:val="xl68"/>
    <w:basedOn w:val="1"/>
    <w:qFormat/>
    <w:uiPriority w:val="0"/>
    <w:pPr>
      <w:widowControl/>
      <w:spacing w:before="100" w:beforeAutospacing="1" w:after="100" w:afterAutospacing="1"/>
      <w:jc w:val="left"/>
      <w:textAlignment w:val="center"/>
    </w:pPr>
    <w:rPr>
      <w:rFonts w:ascii="仿宋" w:hAnsi="仿宋" w:eastAsia="仿宋"/>
      <w:b w:val="0"/>
      <w:bCs w:val="0"/>
      <w:color w:val="auto"/>
      <w:sz w:val="24"/>
      <w:szCs w:val="24"/>
    </w:rPr>
  </w:style>
  <w:style w:type="paragraph" w:customStyle="1" w:styleId="357">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58">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59">
    <w:name w:val="列表段落1"/>
    <w:basedOn w:val="1"/>
    <w:qFormat/>
    <w:uiPriority w:val="34"/>
    <w:pPr>
      <w:ind w:firstLine="420" w:firstLineChars="200"/>
    </w:pPr>
    <w:rPr>
      <w:rFonts w:ascii="Calibri" w:hAnsi="Calibri" w:eastAsia="宋体" w:cs="Times New Roman"/>
      <w:b w:val="0"/>
      <w:bCs w:val="0"/>
      <w:color w:val="auto"/>
      <w:kern w:val="2"/>
      <w:szCs w:val="22"/>
    </w:rPr>
  </w:style>
  <w:style w:type="paragraph" w:customStyle="1" w:styleId="36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auto"/>
      <w:sz w:val="24"/>
      <w:szCs w:val="24"/>
      <w:u w:val="single"/>
    </w:rPr>
  </w:style>
  <w:style w:type="paragraph" w:customStyle="1" w:styleId="361">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Baskerville" w:hAnsi="Baskerville" w:eastAsia="Baskerville" w:cs="Baskerville"/>
      <w:b w:val="0"/>
      <w:bCs w:val="0"/>
      <w:color w:val="auto"/>
      <w:sz w:val="18"/>
      <w:szCs w:val="18"/>
    </w:rPr>
  </w:style>
  <w:style w:type="paragraph" w:customStyle="1" w:styleId="362">
    <w:name w:val="Char Char Char11"/>
    <w:basedOn w:val="1"/>
    <w:qFormat/>
    <w:uiPriority w:val="0"/>
    <w:rPr>
      <w:rFonts w:ascii="Times New Roman" w:hAnsi="Times New Roman" w:eastAsia="宋体" w:cs="Times New Roman"/>
      <w:b w:val="0"/>
      <w:bCs w:val="0"/>
      <w:color w:val="auto"/>
      <w:kern w:val="2"/>
      <w:szCs w:val="24"/>
    </w:rPr>
  </w:style>
  <w:style w:type="paragraph" w:customStyle="1" w:styleId="363">
    <w:name w:val="Char Char Char Char"/>
    <w:basedOn w:val="1"/>
    <w:qFormat/>
    <w:uiPriority w:val="0"/>
    <w:pPr>
      <w:widowControl/>
      <w:spacing w:after="160" w:line="240" w:lineRule="exact"/>
      <w:jc w:val="left"/>
    </w:pPr>
    <w:rPr>
      <w:rFonts w:ascii="Verdana" w:hAnsi="Verdana" w:eastAsia="宋体" w:cs="Times New Roman"/>
      <w:b w:val="0"/>
      <w:bCs w:val="0"/>
      <w:color w:val="auto"/>
      <w:sz w:val="20"/>
      <w:szCs w:val="20"/>
      <w:lang w:eastAsia="en-US"/>
    </w:rPr>
  </w:style>
  <w:style w:type="paragraph" w:customStyle="1" w:styleId="364">
    <w:name w:val="font5"/>
    <w:basedOn w:val="1"/>
    <w:qFormat/>
    <w:uiPriority w:val="0"/>
    <w:pPr>
      <w:widowControl/>
      <w:spacing w:before="100" w:beforeAutospacing="1" w:after="100" w:afterAutospacing="1"/>
      <w:jc w:val="left"/>
    </w:pPr>
    <w:rPr>
      <w:rFonts w:ascii="Times New Roman" w:hAnsi="Times New Roman" w:eastAsia="宋体" w:cs="Times New Roman"/>
      <w:b w:val="0"/>
      <w:bCs w:val="0"/>
      <w:sz w:val="20"/>
      <w:szCs w:val="20"/>
    </w:rPr>
  </w:style>
  <w:style w:type="paragraph" w:customStyle="1" w:styleId="365">
    <w:name w:val="表格文字"/>
    <w:basedOn w:val="1"/>
    <w:next w:val="3"/>
    <w:qFormat/>
    <w:uiPriority w:val="0"/>
    <w:pPr>
      <w:adjustRightInd w:val="0"/>
      <w:spacing w:line="420" w:lineRule="atLeast"/>
      <w:jc w:val="left"/>
      <w:textAlignment w:val="baseline"/>
    </w:pPr>
    <w:rPr>
      <w:rFonts w:ascii="Times New Roman" w:hAnsi="Times New Roman" w:eastAsia="宋体" w:cs="Times New Roman"/>
      <w:b w:val="0"/>
      <w:bCs w:val="0"/>
      <w:color w:val="auto"/>
      <w:szCs w:val="24"/>
    </w:rPr>
  </w:style>
  <w:style w:type="paragraph" w:customStyle="1" w:styleId="366">
    <w:name w:val="5"/>
    <w:basedOn w:val="1"/>
    <w:next w:val="28"/>
    <w:qFormat/>
    <w:uiPriority w:val="0"/>
    <w:pPr>
      <w:snapToGrid w:val="0"/>
    </w:pPr>
    <w:rPr>
      <w:rFonts w:ascii="宋体" w:hAnsi="Courier New" w:eastAsia="宋体" w:cs="Times New Roman"/>
      <w:b w:val="0"/>
      <w:bCs w:val="0"/>
      <w:color w:val="auto"/>
      <w:kern w:val="2"/>
      <w:szCs w:val="20"/>
    </w:rPr>
  </w:style>
  <w:style w:type="paragraph" w:customStyle="1" w:styleId="36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bCs w:val="0"/>
      <w:color w:val="auto"/>
      <w:sz w:val="24"/>
      <w:szCs w:val="24"/>
    </w:rPr>
  </w:style>
  <w:style w:type="paragraph" w:customStyle="1" w:styleId="36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369">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370">
    <w:name w:val="Char Char8 Char Char Char Char"/>
    <w:basedOn w:val="1"/>
    <w:qFormat/>
    <w:uiPriority w:val="0"/>
  </w:style>
  <w:style w:type="paragraph" w:customStyle="1" w:styleId="3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372">
    <w:name w:val="Char Char Char Char2"/>
    <w:basedOn w:val="1"/>
    <w:qFormat/>
    <w:uiPriority w:val="0"/>
    <w:pPr>
      <w:widowControl/>
      <w:spacing w:after="160" w:line="240" w:lineRule="exact"/>
      <w:jc w:val="left"/>
    </w:pPr>
    <w:rPr>
      <w:rFonts w:ascii="Verdana" w:hAnsi="Verdana" w:eastAsia="宋体" w:cs="Times New Roman"/>
      <w:b w:val="0"/>
      <w:bCs w:val="0"/>
      <w:color w:val="auto"/>
      <w:sz w:val="20"/>
      <w:szCs w:val="20"/>
      <w:lang w:eastAsia="en-US"/>
    </w:rPr>
  </w:style>
  <w:style w:type="paragraph" w:customStyle="1" w:styleId="373">
    <w:name w:val="xl2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b w:val="0"/>
      <w:bCs w:val="0"/>
      <w:sz w:val="20"/>
      <w:szCs w:val="20"/>
    </w:rPr>
  </w:style>
  <w:style w:type="paragraph" w:customStyle="1" w:styleId="374">
    <w:name w:val="p0"/>
    <w:basedOn w:val="1"/>
    <w:qFormat/>
    <w:uiPriority w:val="0"/>
    <w:pPr>
      <w:widowControl/>
    </w:pPr>
  </w:style>
  <w:style w:type="paragraph" w:customStyle="1" w:styleId="375">
    <w:name w:val="font7"/>
    <w:basedOn w:val="1"/>
    <w:qFormat/>
    <w:uiPriority w:val="0"/>
    <w:pPr>
      <w:widowControl/>
      <w:spacing w:before="100" w:beforeAutospacing="1" w:after="100" w:afterAutospacing="1"/>
      <w:jc w:val="left"/>
    </w:pPr>
    <w:rPr>
      <w:rFonts w:ascii="宋体" w:eastAsia="宋体"/>
      <w:b w:val="0"/>
      <w:bCs w:val="0"/>
      <w:sz w:val="22"/>
      <w:szCs w:val="22"/>
    </w:rPr>
  </w:style>
  <w:style w:type="paragraph" w:customStyle="1" w:styleId="376">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377">
    <w:name w:val="Char Char8 Char Char Char Char1"/>
    <w:basedOn w:val="1"/>
    <w:qFormat/>
    <w:uiPriority w:val="0"/>
  </w:style>
  <w:style w:type="paragraph" w:customStyle="1" w:styleId="378">
    <w:name w:val="タイトル-L3-項"/>
    <w:basedOn w:val="1"/>
    <w:next w:val="3"/>
    <w:qFormat/>
    <w:uiPriority w:val="0"/>
    <w:pPr>
      <w:keepNext/>
      <w:keepLines/>
      <w:widowControl/>
      <w:tabs>
        <w:tab w:val="left" w:pos="948"/>
      </w:tabs>
      <w:spacing w:before="120" w:after="10"/>
      <w:ind w:left="948" w:right="85" w:hanging="720"/>
      <w:jc w:val="left"/>
      <w:outlineLvl w:val="2"/>
    </w:pPr>
    <w:rPr>
      <w:rFonts w:ascii="Arial" w:hAnsi="Arial" w:eastAsia="MS Gothic" w:cs="Times New Roman"/>
      <w:b w:val="0"/>
      <w:bCs w:val="0"/>
      <w:color w:val="auto"/>
      <w:kern w:val="2"/>
      <w:sz w:val="28"/>
      <w:szCs w:val="24"/>
    </w:rPr>
  </w:style>
  <w:style w:type="paragraph" w:customStyle="1" w:styleId="379">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b w:val="0"/>
      <w:bCs w:val="0"/>
      <w:color w:val="auto"/>
      <w:sz w:val="24"/>
      <w:szCs w:val="20"/>
    </w:rPr>
  </w:style>
  <w:style w:type="paragraph" w:customStyle="1" w:styleId="380">
    <w:name w:val="タイトル-L1‐章"/>
    <w:basedOn w:val="1"/>
    <w:next w:val="209"/>
    <w:qFormat/>
    <w:uiPriority w:val="0"/>
    <w:pPr>
      <w:keepNext/>
      <w:pageBreakBefore/>
      <w:widowControl/>
      <w:numPr>
        <w:ilvl w:val="1"/>
        <w:numId w:val="3"/>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Cs w:val="0"/>
      <w:color w:val="auto"/>
      <w:kern w:val="2"/>
      <w:sz w:val="40"/>
      <w:szCs w:val="24"/>
    </w:rPr>
  </w:style>
  <w:style w:type="paragraph" w:customStyle="1" w:styleId="38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b w:val="0"/>
      <w:bCs w:val="0"/>
      <w:color w:val="auto"/>
      <w:sz w:val="24"/>
      <w:szCs w:val="24"/>
    </w:rPr>
  </w:style>
  <w:style w:type="paragraph" w:customStyle="1" w:styleId="382">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383">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b w:val="0"/>
      <w:bCs w:val="0"/>
      <w:color w:val="auto"/>
      <w:sz w:val="20"/>
      <w:szCs w:val="20"/>
    </w:rPr>
  </w:style>
  <w:style w:type="paragraph" w:customStyle="1" w:styleId="384">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385">
    <w:name w:val="font12"/>
    <w:basedOn w:val="1"/>
    <w:qFormat/>
    <w:uiPriority w:val="0"/>
    <w:pPr>
      <w:widowControl/>
      <w:spacing w:before="100" w:beforeAutospacing="1" w:after="100" w:afterAutospacing="1"/>
      <w:jc w:val="left"/>
    </w:pPr>
    <w:rPr>
      <w:rFonts w:ascii="宋体" w:eastAsia="宋体"/>
      <w:b w:val="0"/>
      <w:bCs w:val="0"/>
      <w:color w:val="auto"/>
      <w:sz w:val="18"/>
      <w:szCs w:val="18"/>
    </w:rPr>
  </w:style>
  <w:style w:type="paragraph" w:customStyle="1" w:styleId="386">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87">
    <w:name w:val="正文－恩普"/>
    <w:basedOn w:val="8"/>
    <w:qFormat/>
    <w:uiPriority w:val="0"/>
    <w:pPr>
      <w:widowControl/>
      <w:spacing w:before="100" w:beforeAutospacing="1" w:afterLines="50" w:afterAutospacing="1" w:line="360" w:lineRule="auto"/>
      <w:ind w:firstLine="480"/>
      <w:jc w:val="left"/>
    </w:pPr>
    <w:rPr>
      <w:sz w:val="24"/>
      <w:szCs w:val="20"/>
    </w:rPr>
  </w:style>
  <w:style w:type="paragraph" w:customStyle="1" w:styleId="388">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sz w:val="24"/>
      <w:szCs w:val="24"/>
    </w:rPr>
  </w:style>
  <w:style w:type="paragraph" w:customStyle="1" w:styleId="389">
    <w:name w:val="Char Char5 Char1"/>
    <w:basedOn w:val="1"/>
    <w:qFormat/>
    <w:uiPriority w:val="0"/>
    <w:rPr>
      <w:rFonts w:ascii="Times New Roman" w:hAnsi="Times New Roman" w:eastAsia="宋体" w:cs="Times New Roman"/>
      <w:b w:val="0"/>
      <w:bCs w:val="0"/>
      <w:color w:val="auto"/>
      <w:kern w:val="2"/>
      <w:szCs w:val="20"/>
    </w:rPr>
  </w:style>
  <w:style w:type="paragraph" w:customStyle="1" w:styleId="390">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391">
    <w:name w:val="样式35"/>
    <w:qFormat/>
    <w:uiPriority w:val="0"/>
    <w:pPr>
      <w:keepNext/>
      <w:keepLines/>
      <w:pageBreakBefore/>
      <w:widowControl w:val="0"/>
      <w:spacing w:before="340" w:after="330" w:line="360" w:lineRule="auto"/>
      <w:ind w:left="431" w:hanging="431"/>
      <w:jc w:val="both"/>
      <w:outlineLvl w:val="0"/>
    </w:pPr>
    <w:rPr>
      <w:rFonts w:ascii="Times New Roman" w:hAnsi="Times New Roman" w:eastAsia="Calibri" w:cs="Calibri"/>
      <w:color w:val="000000"/>
      <w:kern w:val="44"/>
      <w:sz w:val="30"/>
      <w:szCs w:val="30"/>
      <w:u w:color="000000"/>
      <w:lang w:val="en-US" w:eastAsia="zh-CN" w:bidi="ar-SA"/>
    </w:rPr>
  </w:style>
  <w:style w:type="paragraph" w:customStyle="1" w:styleId="392">
    <w:name w:val="Bullets"/>
    <w:basedOn w:val="1"/>
    <w:qFormat/>
    <w:uiPriority w:val="0"/>
    <w:pPr>
      <w:widowControl/>
      <w:tabs>
        <w:tab w:val="left" w:pos="360"/>
        <w:tab w:val="left" w:pos="720"/>
      </w:tabs>
      <w:spacing w:after="160" w:line="320" w:lineRule="atLeast"/>
      <w:ind w:left="720" w:hanging="360"/>
      <w:jc w:val="left"/>
    </w:pPr>
    <w:rPr>
      <w:rFonts w:ascii="High Tower Text" w:hAnsi="High Tower Text" w:eastAsia="Times New Roman" w:cs="Times New Roman"/>
      <w:b w:val="0"/>
      <w:bCs w:val="0"/>
      <w:color w:val="auto"/>
      <w:sz w:val="24"/>
      <w:szCs w:val="20"/>
      <w:lang w:eastAsia="en-US"/>
    </w:rPr>
  </w:style>
  <w:style w:type="paragraph" w:customStyle="1" w:styleId="39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394">
    <w:name w:val="正文一"/>
    <w:basedOn w:val="1"/>
    <w:qFormat/>
    <w:uiPriority w:val="0"/>
    <w:pPr>
      <w:widowControl/>
      <w:spacing w:line="360" w:lineRule="auto"/>
      <w:ind w:firstLine="480" w:firstLineChars="200"/>
      <w:jc w:val="left"/>
    </w:pPr>
    <w:rPr>
      <w:rFonts w:ascii="长城仿宋" w:hAnsi="长城仿宋" w:eastAsia="Arial Unicode MS"/>
      <w:b w:val="0"/>
      <w:bCs w:val="0"/>
      <w:color w:val="auto"/>
      <w:sz w:val="24"/>
      <w:szCs w:val="24"/>
      <w:lang w:bidi="he-IL"/>
    </w:rPr>
  </w:style>
  <w:style w:type="paragraph" w:customStyle="1" w:styleId="395">
    <w:name w:val="wy"/>
    <w:basedOn w:val="7"/>
    <w:qFormat/>
    <w:uiPriority w:val="0"/>
    <w:pPr>
      <w:keepNext w:val="0"/>
      <w:keepLines w:val="0"/>
      <w:widowControl/>
      <w:numPr>
        <w:ilvl w:val="0"/>
        <w:numId w:val="0"/>
      </w:numPr>
      <w:tabs>
        <w:tab w:val="left" w:pos="2003"/>
        <w:tab w:val="clear" w:pos="1079"/>
      </w:tabs>
      <w:spacing w:before="240" w:afterLines="0" w:line="240" w:lineRule="auto"/>
      <w:ind w:left="2003" w:hanging="420"/>
      <w:jc w:val="left"/>
    </w:pPr>
    <w:rPr>
      <w:rFonts w:ascii="楷体_GB2312" w:hAnsi="长城仿宋" w:eastAsia="楷体_GB2312" w:cs="宋体"/>
      <w:b/>
      <w:bCs/>
      <w:iCs/>
      <w:snapToGrid w:val="0"/>
      <w:color w:val="auto"/>
      <w:spacing w:val="0"/>
      <w:sz w:val="24"/>
      <w:szCs w:val="20"/>
    </w:rPr>
  </w:style>
  <w:style w:type="paragraph" w:customStyle="1" w:styleId="396">
    <w:name w:val="1"/>
    <w:basedOn w:val="1"/>
    <w:next w:val="22"/>
    <w:qFormat/>
    <w:uiPriority w:val="0"/>
    <w:pPr>
      <w:spacing w:line="480" w:lineRule="exact"/>
      <w:ind w:firstLine="480"/>
    </w:pPr>
    <w:rPr>
      <w:rFonts w:ascii="Arial Unicode MS" w:eastAsia="宋体"/>
      <w:b w:val="0"/>
      <w:bCs w:val="0"/>
      <w:sz w:val="24"/>
      <w:szCs w:val="20"/>
    </w:rPr>
  </w:style>
  <w:style w:type="paragraph" w:customStyle="1" w:styleId="397">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9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Baskerville" w:hAnsi="Baskerville" w:eastAsia="Baskerville" w:cs="Baskerville"/>
      <w:b w:val="0"/>
      <w:bCs w:val="0"/>
      <w:color w:val="auto"/>
      <w:sz w:val="24"/>
      <w:szCs w:val="24"/>
    </w:rPr>
  </w:style>
  <w:style w:type="paragraph" w:customStyle="1" w:styleId="39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Baskerville" w:hAnsi="Baskerville" w:eastAsia="Baskerville" w:cs="Baskerville"/>
      <w:b w:val="0"/>
      <w:bCs w:val="0"/>
      <w:color w:val="auto"/>
      <w:sz w:val="24"/>
      <w:szCs w:val="24"/>
    </w:rPr>
  </w:style>
  <w:style w:type="paragraph" w:customStyle="1" w:styleId="40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0"/>
      <w:szCs w:val="20"/>
    </w:rPr>
  </w:style>
  <w:style w:type="paragraph" w:customStyle="1" w:styleId="4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FF0000"/>
      <w:sz w:val="20"/>
      <w:szCs w:val="20"/>
    </w:rPr>
  </w:style>
  <w:style w:type="paragraph" w:customStyle="1" w:styleId="402">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Times New Roman" w:hAnsi="Times New Roman" w:eastAsia="Arial Unicode MS" w:cs="Times New Roman"/>
      <w:b w:val="0"/>
      <w:bCs w:val="0"/>
      <w:color w:val="auto"/>
      <w:sz w:val="24"/>
      <w:szCs w:val="24"/>
    </w:rPr>
  </w:style>
  <w:style w:type="paragraph" w:customStyle="1" w:styleId="403">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404">
    <w:name w:val="GP标题2"/>
    <w:basedOn w:val="1"/>
    <w:next w:val="285"/>
    <w:qFormat/>
    <w:uiPriority w:val="0"/>
    <w:pPr>
      <w:numPr>
        <w:ilvl w:val="1"/>
        <w:numId w:val="2"/>
      </w:numPr>
      <w:tabs>
        <w:tab w:val="left" w:pos="840"/>
        <w:tab w:val="clear" w:pos="567"/>
      </w:tabs>
      <w:spacing w:beforeLines="50" w:afterLines="50" w:line="360" w:lineRule="auto"/>
      <w:jc w:val="left"/>
      <w:outlineLvl w:val="1"/>
    </w:pPr>
    <w:rPr>
      <w:rFonts w:ascii="华文细黑" w:hAnsi="华文细黑" w:eastAsia="华文细黑" w:cs="Times New Roman"/>
      <w:bCs w:val="0"/>
      <w:color w:val="auto"/>
      <w:sz w:val="32"/>
      <w:szCs w:val="20"/>
    </w:rPr>
  </w:style>
  <w:style w:type="paragraph" w:customStyle="1" w:styleId="405">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4"/>
      <w:szCs w:val="24"/>
    </w:rPr>
  </w:style>
  <w:style w:type="paragraph" w:customStyle="1" w:styleId="406">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407">
    <w:name w:val="正文段"/>
    <w:basedOn w:val="1"/>
    <w:qFormat/>
    <w:uiPriority w:val="0"/>
    <w:pPr>
      <w:widowControl/>
      <w:snapToGrid w:val="0"/>
      <w:spacing w:afterLines="50"/>
      <w:ind w:firstLine="200" w:firstLineChars="200"/>
    </w:pPr>
    <w:rPr>
      <w:rFonts w:ascii="Times New Roman" w:hAnsi="Times New Roman" w:eastAsia="宋体" w:cs="Times New Roman"/>
      <w:b w:val="0"/>
      <w:bCs w:val="0"/>
      <w:color w:val="auto"/>
      <w:sz w:val="24"/>
      <w:szCs w:val="20"/>
    </w:rPr>
  </w:style>
  <w:style w:type="paragraph" w:customStyle="1" w:styleId="408">
    <w:name w:val="投标书标题4"/>
    <w:next w:val="1"/>
    <w:qFormat/>
    <w:uiPriority w:val="0"/>
    <w:pPr>
      <w:spacing w:line="360" w:lineRule="auto"/>
      <w:outlineLvl w:val="3"/>
    </w:pPr>
    <w:rPr>
      <w:rFonts w:ascii="Times New Roman" w:hAnsi="Times New Roman" w:eastAsia="Tahoma" w:cs="Times New Roman"/>
      <w:b/>
      <w:kern w:val="2"/>
      <w:sz w:val="30"/>
      <w:szCs w:val="24"/>
      <w:lang w:val="en-US" w:eastAsia="zh-CN" w:bidi="ar-SA"/>
    </w:rPr>
  </w:style>
  <w:style w:type="paragraph" w:customStyle="1" w:styleId="409">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410">
    <w:name w:val="TOC 标题1"/>
    <w:basedOn w:val="4"/>
    <w:next w:val="1"/>
    <w:qFormat/>
    <w:uiPriority w:val="39"/>
    <w:pPr>
      <w:widowControl/>
      <w:numPr>
        <w:numId w:val="0"/>
      </w:numPr>
      <w:spacing w:before="480" w:afterLines="0" w:line="276" w:lineRule="auto"/>
      <w:jc w:val="left"/>
      <w:outlineLvl w:val="9"/>
    </w:pPr>
    <w:rPr>
      <w:rFonts w:ascii="Cambria" w:hAnsi="Cambria" w:eastAsia="宋体"/>
      <w:b/>
      <w:bCs/>
      <w:color w:val="365F91"/>
      <w:spacing w:val="0"/>
      <w:kern w:val="0"/>
      <w:sz w:val="28"/>
      <w:szCs w:val="28"/>
    </w:rPr>
  </w:style>
  <w:style w:type="paragraph" w:customStyle="1" w:styleId="411">
    <w:name w:val="xl207"/>
    <w:basedOn w:val="1"/>
    <w:qFormat/>
    <w:uiPriority w:val="0"/>
    <w:pPr>
      <w:widowControl/>
      <w:spacing w:before="100" w:beforeAutospacing="1" w:after="100" w:afterAutospacing="1"/>
      <w:jc w:val="center"/>
    </w:pPr>
    <w:rPr>
      <w:rFonts w:ascii="宋体" w:eastAsia="宋体"/>
      <w:b w:val="0"/>
      <w:bCs w:val="0"/>
      <w:color w:val="auto"/>
      <w:sz w:val="24"/>
      <w:szCs w:val="24"/>
    </w:rPr>
  </w:style>
  <w:style w:type="paragraph" w:customStyle="1" w:styleId="412">
    <w:name w:val="作表９ポ"/>
    <w:basedOn w:val="1"/>
    <w:qFormat/>
    <w:uiPriority w:val="0"/>
    <w:pPr>
      <w:adjustRightInd w:val="0"/>
      <w:spacing w:line="260" w:lineRule="exact"/>
      <w:textAlignment w:val="center"/>
    </w:pPr>
    <w:rPr>
      <w:rFonts w:ascii="MS PMincho" w:hAnsi="Century" w:eastAsia="MS Mincho" w:cs="Times New Roman"/>
      <w:b w:val="0"/>
      <w:bCs w:val="0"/>
      <w:color w:val="auto"/>
      <w:sz w:val="18"/>
      <w:szCs w:val="20"/>
      <w:lang w:eastAsia="ja-JP"/>
    </w:rPr>
  </w:style>
  <w:style w:type="paragraph" w:customStyle="1" w:styleId="413">
    <w:name w:val="font13"/>
    <w:basedOn w:val="1"/>
    <w:qFormat/>
    <w:uiPriority w:val="0"/>
    <w:pPr>
      <w:widowControl/>
      <w:spacing w:before="100" w:beforeAutospacing="1" w:after="100" w:afterAutospacing="1"/>
      <w:jc w:val="left"/>
    </w:pPr>
    <w:rPr>
      <w:rFonts w:ascii="宋体" w:eastAsia="宋体"/>
      <w:sz w:val="24"/>
      <w:szCs w:val="24"/>
    </w:rPr>
  </w:style>
  <w:style w:type="paragraph" w:customStyle="1" w:styleId="414">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415">
    <w:name w:val="font8"/>
    <w:basedOn w:val="1"/>
    <w:qFormat/>
    <w:uiPriority w:val="0"/>
    <w:pPr>
      <w:widowControl/>
      <w:spacing w:before="100" w:beforeAutospacing="1" w:after="100" w:afterAutospacing="1"/>
      <w:jc w:val="left"/>
    </w:pPr>
    <w:rPr>
      <w:rFonts w:ascii="Arial" w:hAnsi="Arial" w:eastAsia="宋体" w:cs="Arial"/>
      <w:b w:val="0"/>
      <w:bCs w:val="0"/>
      <w:color w:val="auto"/>
      <w:sz w:val="20"/>
      <w:szCs w:val="20"/>
    </w:rPr>
  </w:style>
  <w:style w:type="paragraph" w:customStyle="1" w:styleId="416">
    <w:name w:val="titletext"/>
    <w:basedOn w:val="1"/>
    <w:qFormat/>
    <w:uiPriority w:val="0"/>
    <w:pPr>
      <w:widowControl/>
      <w:spacing w:before="100" w:beforeAutospacing="1" w:after="100" w:afterAutospacing="1" w:line="800" w:lineRule="atLeast"/>
      <w:jc w:val="left"/>
    </w:pPr>
    <w:rPr>
      <w:rFonts w:ascii="Arial Unicode MS" w:hAnsi="Arial Unicode MS" w:eastAsia="Baskerville"/>
      <w:b w:val="0"/>
      <w:bCs w:val="0"/>
      <w:color w:val="666666"/>
      <w:sz w:val="36"/>
      <w:szCs w:val="36"/>
    </w:rPr>
  </w:style>
  <w:style w:type="paragraph" w:customStyle="1" w:styleId="417">
    <w:name w:val="GP标题1"/>
    <w:basedOn w:val="1"/>
    <w:next w:val="285"/>
    <w:qFormat/>
    <w:uiPriority w:val="0"/>
    <w:pPr>
      <w:numPr>
        <w:ilvl w:val="0"/>
        <w:numId w:val="2"/>
      </w:numPr>
      <w:tabs>
        <w:tab w:val="left" w:pos="397"/>
        <w:tab w:val="clear" w:pos="567"/>
      </w:tabs>
      <w:spacing w:beforeLines="100" w:afterLines="100" w:line="360" w:lineRule="auto"/>
      <w:jc w:val="center"/>
      <w:outlineLvl w:val="0"/>
    </w:pPr>
    <w:rPr>
      <w:rFonts w:ascii="黑体" w:hAnsi="黑体" w:eastAsia="黑体" w:cs="Times New Roman"/>
      <w:bCs w:val="0"/>
      <w:color w:val="auto"/>
      <w:sz w:val="36"/>
      <w:szCs w:val="20"/>
    </w:rPr>
  </w:style>
  <w:style w:type="paragraph" w:customStyle="1" w:styleId="418">
    <w:name w:val="Char Char1 Char Char Char Char Char Char Char Char Char Char1"/>
    <w:basedOn w:val="1"/>
    <w:qFormat/>
    <w:uiPriority w:val="0"/>
    <w:rPr>
      <w:rFonts w:ascii="Tahoma" w:hAnsi="Tahoma"/>
      <w:sz w:val="24"/>
      <w:szCs w:val="20"/>
    </w:rPr>
  </w:style>
  <w:style w:type="paragraph" w:customStyle="1" w:styleId="419">
    <w:name w:val="++标题3"/>
    <w:basedOn w:val="6"/>
    <w:qFormat/>
    <w:uiPriority w:val="0"/>
    <w:pPr>
      <w:keepLines w:val="0"/>
      <w:numPr>
        <w:ilvl w:val="0"/>
        <w:numId w:val="0"/>
      </w:numPr>
      <w:tabs>
        <w:tab w:val="clear" w:pos="720"/>
      </w:tabs>
      <w:spacing w:before="0" w:afterLines="0" w:line="360" w:lineRule="auto"/>
    </w:pPr>
    <w:rPr>
      <w:rFonts w:ascii="宋体" w:hAnsi="宋体" w:eastAsia="宋体" w:cs="Arial"/>
      <w:bCs/>
      <w:spacing w:val="0"/>
      <w:sz w:val="24"/>
      <w:szCs w:val="24"/>
    </w:rPr>
  </w:style>
  <w:style w:type="paragraph" w:customStyle="1" w:styleId="420">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421">
    <w:name w:val="Char Char5 Char"/>
    <w:basedOn w:val="1"/>
    <w:qFormat/>
    <w:uiPriority w:val="0"/>
    <w:rPr>
      <w:rFonts w:ascii="Times New Roman" w:hAnsi="Times New Roman" w:eastAsia="宋体" w:cs="Times New Roman"/>
      <w:b w:val="0"/>
      <w:bCs w:val="0"/>
      <w:color w:val="auto"/>
      <w:kern w:val="2"/>
      <w:szCs w:val="20"/>
    </w:rPr>
  </w:style>
  <w:style w:type="paragraph" w:customStyle="1" w:styleId="422">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423">
    <w:name w:val="Char Char3"/>
    <w:basedOn w:val="1"/>
    <w:qFormat/>
    <w:uiPriority w:val="0"/>
    <w:rPr>
      <w:rFonts w:ascii="Times New Roman" w:hAnsi="Times New Roman" w:eastAsia="宋体" w:cs="Times New Roman"/>
      <w:b w:val="0"/>
      <w:bCs w:val="0"/>
      <w:color w:val="auto"/>
      <w:kern w:val="2"/>
      <w:szCs w:val="24"/>
    </w:rPr>
  </w:style>
  <w:style w:type="paragraph" w:customStyle="1" w:styleId="42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eastAsia="宋体"/>
      <w:b w:val="0"/>
      <w:bCs w:val="0"/>
      <w:color w:val="auto"/>
      <w:sz w:val="20"/>
      <w:szCs w:val="20"/>
    </w:rPr>
  </w:style>
  <w:style w:type="paragraph" w:customStyle="1" w:styleId="425">
    <w:name w:val="页脚页码（绿盟科技）"/>
    <w:basedOn w:val="34"/>
    <w:qFormat/>
    <w:uiPriority w:val="0"/>
    <w:pPr>
      <w:autoSpaceDE w:val="0"/>
      <w:autoSpaceDN w:val="0"/>
      <w:adjustRightInd w:val="0"/>
      <w:jc w:val="center"/>
    </w:pPr>
    <w:rPr>
      <w:rFonts w:ascii="Times New Roman" w:hAnsi="Times New Roman" w:eastAsia="宋体"/>
      <w:b w:val="0"/>
      <w:bCs w:val="0"/>
      <w:color w:val="auto"/>
      <w:szCs w:val="20"/>
    </w:rPr>
  </w:style>
  <w:style w:type="paragraph" w:customStyle="1" w:styleId="426">
    <w:name w:val="正文缩进2"/>
    <w:basedOn w:val="1"/>
    <w:qFormat/>
    <w:uiPriority w:val="0"/>
    <w:pPr>
      <w:spacing w:before="60"/>
      <w:ind w:firstLine="476"/>
    </w:pPr>
    <w:rPr>
      <w:rFonts w:ascii="Times New Roman" w:hAnsi="Times New Roman" w:eastAsia="宋体" w:cs="Times New Roman"/>
      <w:b w:val="0"/>
      <w:bCs w:val="0"/>
      <w:color w:val="auto"/>
      <w:kern w:val="2"/>
      <w:sz w:val="24"/>
      <w:szCs w:val="20"/>
    </w:rPr>
  </w:style>
  <w:style w:type="paragraph" w:customStyle="1" w:styleId="427">
    <w:name w:val="TOC 标题11"/>
    <w:basedOn w:val="4"/>
    <w:next w:val="1"/>
    <w:qFormat/>
    <w:uiPriority w:val="39"/>
    <w:pPr>
      <w:widowControl/>
      <w:numPr>
        <w:numId w:val="0"/>
      </w:numPr>
      <w:spacing w:before="480" w:afterLines="0" w:line="276" w:lineRule="auto"/>
      <w:jc w:val="left"/>
      <w:outlineLvl w:val="9"/>
    </w:pPr>
    <w:rPr>
      <w:rFonts w:ascii="Cambria" w:hAnsi="Cambria" w:eastAsia="宋体"/>
      <w:b/>
      <w:bCs/>
      <w:color w:val="365F91"/>
      <w:spacing w:val="0"/>
      <w:kern w:val="0"/>
      <w:sz w:val="28"/>
      <w:szCs w:val="28"/>
    </w:rPr>
  </w:style>
  <w:style w:type="paragraph" w:customStyle="1" w:styleId="428">
    <w:name w:val="样式 标题 3h3H3sect1.2.3HeadCHeading 3 - oldMapH31Level 3 To..."/>
    <w:basedOn w:val="6"/>
    <w:next w:val="429"/>
    <w:qFormat/>
    <w:uiPriority w:val="0"/>
    <w:pPr>
      <w:widowControl/>
      <w:numPr>
        <w:ilvl w:val="0"/>
        <w:numId w:val="0"/>
      </w:numPr>
      <w:tabs>
        <w:tab w:val="left" w:pos="851"/>
        <w:tab w:val="clear" w:pos="720"/>
      </w:tabs>
      <w:spacing w:before="120" w:afterLines="0" w:line="360" w:lineRule="auto"/>
      <w:jc w:val="left"/>
    </w:pPr>
    <w:rPr>
      <w:rFonts w:ascii="Tahoma" w:hAnsi="Tahoma"/>
      <w:b/>
      <w:bCs/>
      <w:color w:val="auto"/>
      <w:spacing w:val="0"/>
      <w:sz w:val="24"/>
      <w:szCs w:val="24"/>
    </w:rPr>
  </w:style>
  <w:style w:type="paragraph" w:customStyle="1" w:styleId="429">
    <w:name w:val="样式 正文缩进特点表正文正文非缩进正文（首行缩进两字） + Tahoma 两端对齐"/>
    <w:basedOn w:val="8"/>
    <w:qFormat/>
    <w:uiPriority w:val="0"/>
    <w:pPr>
      <w:spacing w:line="360" w:lineRule="auto"/>
      <w:ind w:firstLine="510" w:firstLineChars="0"/>
    </w:pPr>
    <w:rPr>
      <w:rFonts w:ascii="Tahoma" w:hAnsi="Tahoma" w:eastAsia="宋体"/>
      <w:b w:val="0"/>
      <w:bCs w:val="0"/>
      <w:color w:val="auto"/>
      <w:kern w:val="2"/>
      <w:sz w:val="24"/>
      <w:szCs w:val="24"/>
    </w:rPr>
  </w:style>
  <w:style w:type="paragraph" w:customStyle="1" w:styleId="430">
    <w:name w:val="Char Char7 Char"/>
    <w:basedOn w:val="1"/>
    <w:qFormat/>
    <w:uiPriority w:val="0"/>
    <w:pPr>
      <w:tabs>
        <w:tab w:val="left" w:pos="425"/>
      </w:tabs>
      <w:ind w:left="420" w:leftChars="200" w:firstLine="270" w:firstLineChars="150"/>
    </w:pPr>
    <w:rPr>
      <w:rFonts w:ascii="宋体" w:eastAsia="宋体" w:cs="Arial"/>
      <w:b w:val="0"/>
      <w:bCs w:val="0"/>
      <w:color w:val="5E5E5E"/>
    </w:rPr>
  </w:style>
  <w:style w:type="paragraph" w:customStyle="1" w:styleId="43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432">
    <w:name w:val="+标题2"/>
    <w:basedOn w:val="5"/>
    <w:qFormat/>
    <w:uiPriority w:val="0"/>
    <w:pPr>
      <w:numPr>
        <w:ilvl w:val="0"/>
        <w:numId w:val="0"/>
      </w:numPr>
      <w:tabs>
        <w:tab w:val="clear" w:pos="576"/>
      </w:tabs>
      <w:spacing w:before="120" w:afterLines="0" w:line="360" w:lineRule="auto"/>
    </w:pPr>
    <w:rPr>
      <w:rFonts w:ascii="Times New Roman" w:hAnsi="Times New Roman" w:eastAsia="宋体"/>
      <w:b/>
      <w:bCs/>
      <w:color w:val="auto"/>
      <w:spacing w:val="0"/>
      <w:kern w:val="2"/>
      <w:sz w:val="24"/>
      <w:szCs w:val="28"/>
    </w:rPr>
  </w:style>
  <w:style w:type="paragraph" w:customStyle="1" w:styleId="433">
    <w:name w:val="xl105"/>
    <w:basedOn w:val="1"/>
    <w:qFormat/>
    <w:uiPriority w:val="0"/>
    <w:pPr>
      <w:widowControl/>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435">
    <w:name w:val="タイトル-L4-目"/>
    <w:basedOn w:val="1"/>
    <w:qFormat/>
    <w:uiPriority w:val="0"/>
    <w:pPr>
      <w:keepNext/>
      <w:keepLines/>
      <w:widowControl/>
      <w:spacing w:before="480" w:after="10"/>
      <w:ind w:left="720" w:right="1276" w:hanging="663"/>
      <w:jc w:val="left"/>
      <w:outlineLvl w:val="3"/>
    </w:pPr>
    <w:rPr>
      <w:rFonts w:ascii="Arial" w:hAnsi="Arial" w:eastAsia="MS Gothic" w:cs="Times New Roman"/>
      <w:b w:val="0"/>
      <w:color w:val="auto"/>
      <w:kern w:val="2"/>
      <w:sz w:val="24"/>
      <w:szCs w:val="24"/>
    </w:rPr>
  </w:style>
  <w:style w:type="paragraph" w:customStyle="1" w:styleId="43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auto"/>
      <w:sz w:val="20"/>
      <w:szCs w:val="20"/>
    </w:rPr>
  </w:style>
  <w:style w:type="paragraph" w:customStyle="1" w:styleId="437">
    <w:name w:val="标题3级"/>
    <w:basedOn w:val="6"/>
    <w:qFormat/>
    <w:uiPriority w:val="99"/>
    <w:pPr>
      <w:keepNext w:val="0"/>
      <w:keepLines w:val="0"/>
      <w:numPr>
        <w:ilvl w:val="0"/>
        <w:numId w:val="0"/>
      </w:numPr>
      <w:tabs>
        <w:tab w:val="clear" w:pos="720"/>
      </w:tabs>
      <w:spacing w:before="100" w:beforeAutospacing="1" w:afterLines="0" w:afterAutospacing="1" w:line="360" w:lineRule="auto"/>
      <w:jc w:val="left"/>
      <w:outlineLvl w:val="9"/>
    </w:pPr>
    <w:rPr>
      <w:rFonts w:hint="eastAsia" w:ascii="宋体" w:hAnsi="宋体" w:eastAsia="宋体"/>
      <w:b/>
      <w:color w:val="auto"/>
      <w:spacing w:val="0"/>
      <w:sz w:val="28"/>
      <w:szCs w:val="28"/>
    </w:rPr>
  </w:style>
  <w:style w:type="paragraph" w:customStyle="1" w:styleId="438">
    <w:name w:val="Char Char2 Char"/>
    <w:basedOn w:val="1"/>
    <w:qFormat/>
    <w:uiPriority w:val="0"/>
    <w:pPr>
      <w:keepNext/>
      <w:keepLines/>
      <w:pageBreakBefore/>
      <w:tabs>
        <w:tab w:val="left" w:pos="845"/>
      </w:tabs>
      <w:ind w:left="845" w:hanging="420"/>
    </w:pPr>
    <w:rPr>
      <w:rFonts w:ascii="Tahoma" w:hAnsi="Tahoma" w:eastAsia="宋体" w:cs="Times New Roman"/>
      <w:b w:val="0"/>
      <w:bCs w:val="0"/>
      <w:color w:val="auto"/>
      <w:kern w:val="2"/>
      <w:sz w:val="24"/>
      <w:szCs w:val="20"/>
    </w:rPr>
  </w:style>
  <w:style w:type="paragraph" w:customStyle="1" w:styleId="439">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b w:val="0"/>
      <w:bCs w:val="0"/>
      <w:sz w:val="20"/>
      <w:szCs w:val="20"/>
    </w:rPr>
  </w:style>
  <w:style w:type="paragraph" w:customStyle="1" w:styleId="440">
    <w:name w:val="Char2"/>
    <w:basedOn w:val="1"/>
    <w:qFormat/>
    <w:uiPriority w:val="0"/>
    <w:rPr>
      <w:b w:val="0"/>
      <w:sz w:val="32"/>
      <w:szCs w:val="32"/>
    </w:rPr>
  </w:style>
  <w:style w:type="paragraph" w:customStyle="1" w:styleId="441">
    <w:name w:val="条文レベル3-個条書き"/>
    <w:basedOn w:val="326"/>
    <w:qFormat/>
    <w:uiPriority w:val="0"/>
    <w:pPr>
      <w:tabs>
        <w:tab w:val="left" w:pos="5954"/>
      </w:tabs>
      <w:outlineLvl w:val="6"/>
    </w:pPr>
  </w:style>
  <w:style w:type="paragraph" w:customStyle="1" w:styleId="442">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443">
    <w:name w:val="Char3"/>
    <w:basedOn w:val="1"/>
    <w:qFormat/>
    <w:uiPriority w:val="0"/>
    <w:rPr>
      <w:rFonts w:ascii="Times New Roman" w:hAnsi="Times New Roman" w:eastAsia="宋体" w:cs="Times New Roman"/>
      <w:b w:val="0"/>
      <w:bCs w:val="0"/>
      <w:color w:val="auto"/>
      <w:kern w:val="2"/>
      <w:szCs w:val="24"/>
    </w:rPr>
  </w:style>
  <w:style w:type="paragraph" w:customStyle="1" w:styleId="444">
    <w:name w:val="页脚左端（绿盟科技）"/>
    <w:basedOn w:val="313"/>
    <w:qFormat/>
    <w:uiPriority w:val="0"/>
    <w:pPr>
      <w:tabs>
        <w:tab w:val="clear" w:pos="4153"/>
        <w:tab w:val="clear" w:pos="8306"/>
      </w:tabs>
    </w:pPr>
  </w:style>
  <w:style w:type="paragraph" w:customStyle="1" w:styleId="4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446">
    <w:name w:val="默认段落字体 Para Char Char Char Char"/>
    <w:basedOn w:val="1"/>
    <w:qFormat/>
    <w:uiPriority w:val="0"/>
  </w:style>
  <w:style w:type="paragraph" w:customStyle="1" w:styleId="447">
    <w:name w:val="xl28"/>
    <w:basedOn w:val="1"/>
    <w:qFormat/>
    <w:uiPriority w:val="0"/>
    <w:pPr>
      <w:widowControl/>
      <w:spacing w:before="100" w:beforeAutospacing="1" w:after="100" w:afterAutospacing="1"/>
      <w:jc w:val="center"/>
      <w:textAlignment w:val="center"/>
    </w:pPr>
    <w:rPr>
      <w:rFonts w:hint="eastAsia" w:ascii="黑体" w:hAnsi="Arial Unicode MS" w:eastAsia="黑体" w:cs="Times New Roman"/>
      <w:b w:val="0"/>
      <w:bCs w:val="0"/>
      <w:color w:val="auto"/>
      <w:sz w:val="32"/>
      <w:szCs w:val="32"/>
    </w:rPr>
  </w:style>
  <w:style w:type="paragraph" w:customStyle="1" w:styleId="448">
    <w:name w:val="List Paragraph2"/>
    <w:basedOn w:val="1"/>
    <w:qFormat/>
    <w:uiPriority w:val="0"/>
    <w:pPr>
      <w:ind w:firstLine="420" w:firstLineChars="200"/>
    </w:pPr>
    <w:rPr>
      <w:rFonts w:cs="仿宋_GB2312"/>
    </w:rPr>
  </w:style>
  <w:style w:type="paragraph" w:customStyle="1" w:styleId="449">
    <w:name w:val="_Style 561"/>
    <w:basedOn w:val="17"/>
    <w:qFormat/>
    <w:uiPriority w:val="0"/>
  </w:style>
  <w:style w:type="paragraph" w:customStyle="1" w:styleId="450">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sz w:val="24"/>
      <w:szCs w:val="24"/>
    </w:rPr>
  </w:style>
  <w:style w:type="paragraph" w:customStyle="1" w:styleId="451">
    <w:name w:val="Char21"/>
    <w:basedOn w:val="1"/>
    <w:qFormat/>
    <w:uiPriority w:val="0"/>
    <w:rPr>
      <w:rFonts w:hAnsi="Times New Roman" w:cs="Times New Roman"/>
      <w:bCs w:val="0"/>
      <w:color w:val="auto"/>
      <w:kern w:val="2"/>
      <w:sz w:val="32"/>
      <w:szCs w:val="32"/>
    </w:rPr>
  </w:style>
  <w:style w:type="paragraph" w:customStyle="1" w:styleId="452">
    <w:name w:val="Char1 Char Char Char Char Char"/>
    <w:basedOn w:val="1"/>
    <w:qFormat/>
    <w:uiPriority w:val="0"/>
    <w:rPr>
      <w:rFonts w:ascii="Times New Roman" w:hAnsi="Times New Roman" w:eastAsia="宋体" w:cs="Times New Roman"/>
      <w:b w:val="0"/>
      <w:bCs w:val="0"/>
      <w:color w:val="auto"/>
      <w:szCs w:val="20"/>
    </w:rPr>
  </w:style>
  <w:style w:type="paragraph" w:customStyle="1" w:styleId="453">
    <w:name w:val="Item List in Table"/>
    <w:basedOn w:val="1"/>
    <w:qFormat/>
    <w:uiPriority w:val="0"/>
    <w:pPr>
      <w:widowControl/>
      <w:topLinePunct/>
      <w:adjustRightInd w:val="0"/>
      <w:snapToGrid w:val="0"/>
      <w:spacing w:before="80" w:after="80" w:line="240" w:lineRule="atLeast"/>
      <w:ind w:left="284" w:hanging="284"/>
      <w:jc w:val="left"/>
    </w:pPr>
    <w:rPr>
      <w:rFonts w:ascii="Times New Roman" w:hAnsi="Times New Roman" w:eastAsia="宋体" w:cs="Arial"/>
      <w:b w:val="0"/>
      <w:bCs w:val="0"/>
      <w:color w:val="auto"/>
    </w:rPr>
  </w:style>
  <w:style w:type="paragraph" w:customStyle="1" w:styleId="454">
    <w:name w:val="xl5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Baskerville" w:hAnsi="Baskerville" w:eastAsia="Baskerville" w:cs="Baskerville"/>
      <w:b w:val="0"/>
      <w:bCs w:val="0"/>
      <w:color w:val="auto"/>
      <w:sz w:val="18"/>
      <w:szCs w:val="18"/>
    </w:rPr>
  </w:style>
  <w:style w:type="paragraph" w:customStyle="1" w:styleId="455">
    <w:name w:val="Char"/>
    <w:basedOn w:val="1"/>
    <w:qFormat/>
    <w:uiPriority w:val="0"/>
    <w:rPr>
      <w:rFonts w:hAnsi="Times New Roman" w:cs="Times New Roman"/>
      <w:bCs w:val="0"/>
      <w:color w:val="auto"/>
      <w:kern w:val="2"/>
      <w:sz w:val="32"/>
      <w:szCs w:val="32"/>
    </w:rPr>
  </w:style>
  <w:style w:type="paragraph" w:customStyle="1" w:styleId="456">
    <w:name w:val="目录 61"/>
    <w:basedOn w:val="46"/>
    <w:qFormat/>
    <w:uiPriority w:val="0"/>
  </w:style>
  <w:style w:type="paragraph" w:customStyle="1" w:styleId="457">
    <w:name w:val="Char5"/>
    <w:basedOn w:val="1"/>
    <w:qFormat/>
    <w:uiPriority w:val="0"/>
    <w:rPr>
      <w:rFonts w:ascii="Times New Roman" w:hAnsi="Times New Roman" w:eastAsia="宋体" w:cs="Times New Roman"/>
      <w:b w:val="0"/>
      <w:bCs w:val="0"/>
      <w:color w:val="auto"/>
      <w:kern w:val="2"/>
      <w:szCs w:val="20"/>
    </w:rPr>
  </w:style>
  <w:style w:type="paragraph" w:customStyle="1" w:styleId="458">
    <w:name w:val="xl2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val="0"/>
      <w:bCs w:val="0"/>
      <w:color w:val="auto"/>
      <w:sz w:val="20"/>
      <w:szCs w:val="20"/>
    </w:rPr>
  </w:style>
  <w:style w:type="paragraph" w:customStyle="1" w:styleId="45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4"/>
      <w:szCs w:val="24"/>
    </w:rPr>
  </w:style>
  <w:style w:type="paragraph" w:customStyle="1" w:styleId="460">
    <w:name w:val="Char Char Char Char Char Char Char Char Char Char Char Char Char"/>
    <w:basedOn w:val="1"/>
    <w:qFormat/>
    <w:uiPriority w:val="0"/>
    <w:rPr>
      <w:rFonts w:ascii="Cambria" w:hAnsi="Cambria" w:eastAsia="Arial Unicode MS"/>
      <w:b w:val="0"/>
      <w:bCs w:val="0"/>
      <w:color w:val="auto"/>
      <w:kern w:val="2"/>
      <w:sz w:val="24"/>
      <w:szCs w:val="20"/>
    </w:rPr>
  </w:style>
  <w:style w:type="paragraph" w:customStyle="1" w:styleId="46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2">
    <w:name w:val="Char1 Char Char Char2"/>
    <w:basedOn w:val="1"/>
    <w:qFormat/>
    <w:uiPriority w:val="0"/>
    <w:rPr>
      <w:rFonts w:ascii="Times New Roman" w:hAnsi="Times New Roman" w:eastAsia="宋体" w:cs="Times New Roman"/>
      <w:b w:val="0"/>
      <w:bCs w:val="0"/>
      <w:color w:val="auto"/>
      <w:kern w:val="2"/>
      <w:szCs w:val="24"/>
    </w:rPr>
  </w:style>
  <w:style w:type="paragraph" w:customStyle="1" w:styleId="463">
    <w:name w:val="reader-word-layer"/>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4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auto"/>
      <w:sz w:val="24"/>
      <w:szCs w:val="24"/>
    </w:rPr>
  </w:style>
  <w:style w:type="paragraph" w:customStyle="1" w:styleId="465">
    <w:name w:val="样式 首行缩进:  2 字符"/>
    <w:basedOn w:val="1"/>
    <w:qFormat/>
    <w:uiPriority w:val="0"/>
    <w:pPr>
      <w:spacing w:line="360" w:lineRule="auto"/>
      <w:ind w:firstLine="480" w:firstLineChars="200"/>
    </w:pPr>
    <w:rPr>
      <w:rFonts w:ascii="???|CS?o｡ﾀ?" w:hAnsi="???|CS?o｡ﾀ?" w:eastAsia="Arial Unicode MS" w:cs="Arial Unicode MS"/>
      <w:b w:val="0"/>
      <w:bCs w:val="0"/>
      <w:color w:val="auto"/>
      <w:kern w:val="2"/>
      <w:sz w:val="24"/>
      <w:szCs w:val="20"/>
    </w:rPr>
  </w:style>
  <w:style w:type="paragraph" w:customStyle="1" w:styleId="466">
    <w:name w:val="WPSOffice手动目录 3"/>
    <w:qFormat/>
    <w:uiPriority w:val="0"/>
    <w:pPr>
      <w:ind w:left="400" w:leftChars="400"/>
    </w:pPr>
    <w:rPr>
      <w:rFonts w:ascii="Calibri" w:hAnsi="Calibri" w:eastAsia="宋体" w:cs="Times New Roman"/>
      <w:lang w:val="en-US" w:eastAsia="zh-CN" w:bidi="ar-SA"/>
    </w:rPr>
  </w:style>
  <w:style w:type="paragraph" w:customStyle="1" w:styleId="467">
    <w:name w:val="Char Char1 Char Char Char Char Char Char1"/>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468">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469">
    <w:name w:val="PM_Tabelle Text"/>
    <w:basedOn w:val="1"/>
    <w:next w:val="1"/>
    <w:qFormat/>
    <w:uiPriority w:val="0"/>
    <w:pPr>
      <w:autoSpaceDE w:val="0"/>
      <w:autoSpaceDN w:val="0"/>
      <w:adjustRightInd w:val="0"/>
      <w:jc w:val="left"/>
    </w:pPr>
    <w:rPr>
      <w:rFonts w:ascii="Arial" w:hAnsi="Arial" w:eastAsia="宋体" w:cs="Times New Roman"/>
      <w:b w:val="0"/>
      <w:bCs w:val="0"/>
      <w:color w:val="auto"/>
      <w:sz w:val="24"/>
      <w:szCs w:val="24"/>
    </w:rPr>
  </w:style>
  <w:style w:type="paragraph" w:customStyle="1" w:styleId="470">
    <w:name w:val="Style Heading 1H1Heading 0R1H11h1Level 1 Topic HeadingSectio..."/>
    <w:basedOn w:val="4"/>
    <w:next w:val="429"/>
    <w:qFormat/>
    <w:uiPriority w:val="0"/>
    <w:pPr>
      <w:pageBreakBefore/>
      <w:widowControl/>
      <w:numPr>
        <w:numId w:val="4"/>
      </w:numPr>
      <w:tabs>
        <w:tab w:val="left" w:pos="900"/>
      </w:tabs>
      <w:spacing w:before="120" w:afterLines="0" w:line="360" w:lineRule="auto"/>
      <w:jc w:val="left"/>
    </w:pPr>
    <w:rPr>
      <w:rFonts w:ascii="宋体" w:hAnsi="宋体"/>
      <w:b/>
      <w:color w:val="auto"/>
      <w:spacing w:val="0"/>
      <w:kern w:val="2"/>
      <w:sz w:val="32"/>
      <w:szCs w:val="32"/>
    </w:rPr>
  </w:style>
  <w:style w:type="paragraph" w:customStyle="1" w:styleId="47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472">
    <w:name w:val="正文文本 21"/>
    <w:basedOn w:val="1"/>
    <w:qFormat/>
    <w:uiPriority w:val="0"/>
    <w:pPr>
      <w:adjustRightInd w:val="0"/>
      <w:spacing w:line="360" w:lineRule="atLeast"/>
      <w:ind w:firstLine="525"/>
      <w:textAlignment w:val="baseline"/>
    </w:pPr>
    <w:rPr>
      <w:rFonts w:ascii="宋体" w:hAnsi="Times New Roman" w:eastAsia="宋体" w:cs="Times New Roman"/>
      <w:b w:val="0"/>
      <w:bCs w:val="0"/>
      <w:color w:val="auto"/>
      <w:sz w:val="28"/>
      <w:szCs w:val="20"/>
    </w:rPr>
  </w:style>
  <w:style w:type="paragraph" w:customStyle="1" w:styleId="473">
    <w:name w:val="Char Char Char1"/>
    <w:basedOn w:val="1"/>
    <w:qFormat/>
    <w:uiPriority w:val="0"/>
    <w:rPr>
      <w:rFonts w:ascii="Times New Roman" w:hAnsi="Times New Roman" w:eastAsia="宋体" w:cs="Times New Roman"/>
      <w:b w:val="0"/>
      <w:bCs w:val="0"/>
      <w:color w:val="auto"/>
      <w:kern w:val="2"/>
      <w:szCs w:val="20"/>
    </w:rPr>
  </w:style>
  <w:style w:type="paragraph" w:customStyle="1" w:styleId="474">
    <w:name w:val="xl38"/>
    <w:basedOn w:val="1"/>
    <w:qFormat/>
    <w:uiPriority w:val="0"/>
    <w:pPr>
      <w:widowControl/>
      <w:spacing w:before="100" w:beforeAutospacing="1" w:after="100" w:afterAutospacing="1"/>
      <w:jc w:val="center"/>
    </w:pPr>
    <w:rPr>
      <w:rFonts w:ascii="Arial Unicode MS" w:hAnsi="Arial Unicode MS" w:eastAsia="Arial Unicode MS" w:cs="Arial Unicode MS"/>
      <w:b w:val="0"/>
      <w:bCs w:val="0"/>
      <w:color w:val="auto"/>
      <w:sz w:val="24"/>
      <w:szCs w:val="24"/>
    </w:rPr>
  </w:style>
  <w:style w:type="paragraph" w:customStyle="1" w:styleId="475">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bCs w:val="0"/>
      <w:color w:val="auto"/>
      <w:sz w:val="24"/>
      <w:szCs w:val="24"/>
    </w:rPr>
  </w:style>
  <w:style w:type="paragraph" w:customStyle="1" w:styleId="476">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47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8">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479">
    <w:name w:val="font6"/>
    <w:basedOn w:val="1"/>
    <w:qFormat/>
    <w:uiPriority w:val="0"/>
    <w:pPr>
      <w:widowControl/>
      <w:spacing w:before="100" w:beforeAutospacing="1" w:after="100" w:afterAutospacing="1"/>
      <w:jc w:val="left"/>
    </w:pPr>
    <w:rPr>
      <w:rFonts w:ascii="宋体" w:eastAsia="宋体"/>
      <w:b w:val="0"/>
      <w:bCs w:val="0"/>
      <w:color w:val="auto"/>
      <w:sz w:val="20"/>
      <w:szCs w:val="20"/>
    </w:rPr>
  </w:style>
  <w:style w:type="paragraph" w:customStyle="1" w:styleId="480">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48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482">
    <w:name w:val="正文缩进1"/>
    <w:qFormat/>
    <w:uiPriority w:val="0"/>
    <w:pPr>
      <w:spacing w:after="120"/>
      <w:ind w:firstLine="420"/>
    </w:pPr>
    <w:rPr>
      <w:rFonts w:ascii="Calibri" w:hAnsi="Calibri" w:eastAsia="新宋体" w:cs="Times New Roman"/>
      <w:kern w:val="2"/>
      <w:sz w:val="21"/>
      <w:szCs w:val="24"/>
      <w:lang w:val="en-US" w:eastAsia="zh-CN" w:bidi="hi-IN"/>
    </w:rPr>
  </w:style>
  <w:style w:type="paragraph" w:customStyle="1" w:styleId="483">
    <w:name w:val="样式 样式 标题 4 + 非加粗 + (中文) 黑体 段前: 0 磅 段后: 0 磅 行距: 固定值 22 磅"/>
    <w:basedOn w:val="1"/>
    <w:qFormat/>
    <w:uiPriority w:val="2"/>
    <w:pPr>
      <w:keepNext/>
      <w:keepLines/>
      <w:widowControl/>
      <w:spacing w:beforeLines="50" w:afterLines="50" w:line="500" w:lineRule="exact"/>
      <w:jc w:val="left"/>
      <w:outlineLvl w:val="3"/>
    </w:pPr>
    <w:rPr>
      <w:rFonts w:ascii="???|CS?o｡ﾀ?" w:hAnsi="???|CS?o｡ﾀ?" w:eastAsia="Tahoma" w:cs="Arial Unicode MS"/>
      <w:b w:val="0"/>
      <w:color w:val="auto"/>
      <w:sz w:val="28"/>
      <w:szCs w:val="24"/>
    </w:rPr>
  </w:style>
  <w:style w:type="paragraph" w:customStyle="1" w:styleId="484">
    <w:name w:val="Char Char7 Char2"/>
    <w:basedOn w:val="1"/>
    <w:qFormat/>
    <w:uiPriority w:val="0"/>
    <w:pPr>
      <w:tabs>
        <w:tab w:val="left" w:pos="425"/>
      </w:tabs>
      <w:ind w:left="420" w:leftChars="200" w:firstLine="270" w:firstLineChars="150"/>
    </w:pPr>
    <w:rPr>
      <w:rFonts w:ascii="宋体" w:eastAsia="宋体" w:cs="Arial"/>
      <w:b w:val="0"/>
      <w:bCs w:val="0"/>
      <w:color w:val="5E5E5E"/>
    </w:rPr>
  </w:style>
  <w:style w:type="paragraph" w:customStyle="1" w:styleId="485">
    <w:name w:val="表格正文"/>
    <w:basedOn w:val="1"/>
    <w:qFormat/>
    <w:uiPriority w:val="0"/>
    <w:pPr>
      <w:adjustRightInd w:val="0"/>
      <w:snapToGrid w:val="0"/>
      <w:spacing w:before="60" w:after="60"/>
      <w:jc w:val="center"/>
      <w:textAlignment w:val="baseline"/>
    </w:pPr>
    <w:rPr>
      <w:rFonts w:ascii="Times New Roman" w:hAnsi="Times New Roman" w:eastAsia="宋体" w:cs="Times New Roman"/>
      <w:b w:val="0"/>
      <w:bCs w:val="0"/>
      <w:color w:val="auto"/>
      <w:sz w:val="24"/>
      <w:szCs w:val="20"/>
    </w:rPr>
  </w:style>
  <w:style w:type="paragraph" w:customStyle="1" w:styleId="486">
    <w:name w:val="正文 A A"/>
    <w:qFormat/>
    <w:uiPriority w:val="0"/>
    <w:pPr>
      <w:widowControl w:val="0"/>
      <w:jc w:val="both"/>
    </w:pPr>
    <w:rPr>
      <w:rFonts w:ascii="Times New Roman" w:hAnsi="Times New Roman" w:eastAsia="Baskerville" w:cs="Baskerville"/>
      <w:color w:val="000000"/>
      <w:kern w:val="2"/>
      <w:sz w:val="21"/>
      <w:szCs w:val="21"/>
      <w:u w:color="000000"/>
      <w:lang w:val="en-US" w:eastAsia="zh-CN" w:bidi="ar-SA"/>
    </w:rPr>
  </w:style>
  <w:style w:type="paragraph" w:customStyle="1" w:styleId="487">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48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48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auto"/>
      <w:sz w:val="20"/>
      <w:szCs w:val="20"/>
    </w:rPr>
  </w:style>
  <w:style w:type="paragraph" w:customStyle="1" w:styleId="490">
    <w:name w:val="*正文"/>
    <w:basedOn w:val="1"/>
    <w:qFormat/>
    <w:uiPriority w:val="0"/>
    <w:pPr>
      <w:spacing w:line="360" w:lineRule="auto"/>
      <w:ind w:firstLine="200" w:firstLineChars="200"/>
    </w:pPr>
    <w:rPr>
      <w:rFonts w:ascii="宋体" w:eastAsia="宋体" w:cs="仿宋_GB2312"/>
      <w:b w:val="0"/>
      <w:bCs w:val="0"/>
      <w:color w:val="auto"/>
      <w:kern w:val="2"/>
      <w:sz w:val="24"/>
      <w:szCs w:val="24"/>
    </w:rPr>
  </w:style>
  <w:style w:type="paragraph" w:customStyle="1" w:styleId="491">
    <w:name w:val="内文正文"/>
    <w:qFormat/>
    <w:uiPriority w:val="0"/>
    <w:pPr>
      <w:autoSpaceDE w:val="0"/>
      <w:autoSpaceDN w:val="0"/>
      <w:spacing w:line="400" w:lineRule="exact"/>
      <w:ind w:firstLine="200" w:firstLineChars="200"/>
      <w:jc w:val="both"/>
      <w:textAlignment w:val="bottom"/>
    </w:pPr>
    <w:rPr>
      <w:rFonts w:ascii="Arial Unicode MS" w:hAnsi="仿宋_GB2312" w:eastAsia="宋体" w:cs="Times New Roman"/>
      <w:sz w:val="21"/>
      <w:szCs w:val="28"/>
      <w:lang w:val="en-US" w:eastAsia="zh-CN" w:bidi="ar-SA"/>
    </w:rPr>
  </w:style>
  <w:style w:type="paragraph" w:customStyle="1" w:styleId="492">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0"/>
      <w:szCs w:val="20"/>
    </w:rPr>
  </w:style>
  <w:style w:type="paragraph" w:customStyle="1" w:styleId="493">
    <w:name w:val="xl13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eastAsia="Arial Unicode MS"/>
      <w:b w:val="0"/>
      <w:bCs w:val="0"/>
      <w:color w:val="auto"/>
      <w:sz w:val="24"/>
      <w:szCs w:val="24"/>
    </w:rPr>
  </w:style>
  <w:style w:type="paragraph" w:customStyle="1" w:styleId="494">
    <w:name w:val="简单回函地址"/>
    <w:basedOn w:val="1"/>
    <w:qFormat/>
    <w:uiPriority w:val="0"/>
    <w:rPr>
      <w:rFonts w:ascii="长城仿宋" w:hAnsi="长城仿宋" w:eastAsia="Arial Unicode MS"/>
      <w:b w:val="0"/>
      <w:bCs w:val="0"/>
      <w:color w:val="auto"/>
      <w:kern w:val="2"/>
      <w:sz w:val="20"/>
      <w:szCs w:val="24"/>
    </w:rPr>
  </w:style>
  <w:style w:type="paragraph" w:customStyle="1" w:styleId="495">
    <w:name w:val="xl12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 w:val="0"/>
      <w:color w:val="auto"/>
      <w:sz w:val="24"/>
      <w:szCs w:val="24"/>
    </w:rPr>
  </w:style>
  <w:style w:type="paragraph" w:customStyle="1" w:styleId="496">
    <w:name w:val="Char Char4"/>
    <w:basedOn w:val="1"/>
    <w:qFormat/>
    <w:uiPriority w:val="0"/>
    <w:rPr>
      <w:rFonts w:ascii="长城仿宋" w:hAnsi="长城仿宋" w:eastAsia="Arial Unicode MS"/>
      <w:b w:val="0"/>
      <w:bCs w:val="0"/>
      <w:color w:val="auto"/>
      <w:kern w:val="2"/>
      <w:sz w:val="20"/>
      <w:szCs w:val="20"/>
    </w:rPr>
  </w:style>
  <w:style w:type="paragraph" w:customStyle="1" w:styleId="49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长城仿宋" w:hAnsi="长城仿宋" w:eastAsia="Baskerville"/>
      <w:b w:val="0"/>
      <w:bCs w:val="0"/>
      <w:color w:val="auto"/>
      <w:sz w:val="24"/>
      <w:szCs w:val="24"/>
    </w:rPr>
  </w:style>
  <w:style w:type="paragraph" w:customStyle="1" w:styleId="498">
    <w:name w:val="List Paragraph1"/>
    <w:basedOn w:val="1"/>
    <w:qFormat/>
    <w:uiPriority w:val="0"/>
    <w:pPr>
      <w:widowControl/>
      <w:spacing w:line="300" w:lineRule="auto"/>
      <w:ind w:firstLine="420" w:firstLineChars="200"/>
    </w:pPr>
    <w:rPr>
      <w:rFonts w:ascii="Arial" w:hAnsi="Arial" w:eastAsia="宋体" w:cs="Times New Roman"/>
      <w:b w:val="0"/>
      <w:bCs w:val="0"/>
      <w:color w:val="auto"/>
      <w:sz w:val="18"/>
      <w:szCs w:val="20"/>
    </w:rPr>
  </w:style>
  <w:style w:type="paragraph" w:customStyle="1" w:styleId="499">
    <w:name w:val="表头1"/>
    <w:basedOn w:val="250"/>
    <w:qFormat/>
    <w:uiPriority w:val="0"/>
    <w:pPr>
      <w:jc w:val="center"/>
    </w:pPr>
    <w:rPr>
      <w:rFonts w:ascii="Tahoma" w:eastAsia="Tahoma"/>
      <w:b/>
    </w:rPr>
  </w:style>
  <w:style w:type="paragraph" w:customStyle="1" w:styleId="500">
    <w:name w:val="shadow2"/>
    <w:basedOn w:val="1"/>
    <w:qFormat/>
    <w:uiPriority w:val="0"/>
    <w:pPr>
      <w:widowControl/>
      <w:spacing w:before="100" w:beforeAutospacing="1" w:after="100" w:afterAutospacing="1"/>
      <w:jc w:val="left"/>
    </w:pPr>
    <w:rPr>
      <w:rFonts w:ascii="Baskerville" w:hAnsi="Baskerville" w:eastAsia="Baskerville"/>
      <w:b w:val="0"/>
      <w:bCs w:val="0"/>
      <w:color w:val="FFFFFF"/>
      <w:sz w:val="24"/>
      <w:szCs w:val="24"/>
    </w:rPr>
  </w:style>
  <w:style w:type="paragraph" w:customStyle="1" w:styleId="50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FF0000"/>
      <w:sz w:val="20"/>
      <w:szCs w:val="20"/>
    </w:rPr>
  </w:style>
  <w:style w:type="paragraph" w:customStyle="1" w:styleId="502">
    <w:name w:val="投标书标题5"/>
    <w:next w:val="1"/>
    <w:qFormat/>
    <w:uiPriority w:val="0"/>
    <w:pPr>
      <w:spacing w:line="360" w:lineRule="auto"/>
      <w:outlineLvl w:val="4"/>
    </w:pPr>
    <w:rPr>
      <w:rFonts w:ascii="Times New Roman" w:hAnsi="Times New Roman" w:eastAsia="Tahoma" w:cs="Times New Roman"/>
      <w:b/>
      <w:kern w:val="2"/>
      <w:sz w:val="28"/>
      <w:szCs w:val="24"/>
      <w:lang w:val="en-US" w:eastAsia="zh-CN" w:bidi="ar-SA"/>
    </w:rPr>
  </w:style>
  <w:style w:type="paragraph" w:customStyle="1" w:styleId="503">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504">
    <w:name w:val="列出段落111"/>
    <w:basedOn w:val="1"/>
    <w:qFormat/>
    <w:uiPriority w:val="0"/>
    <w:pPr>
      <w:ind w:firstLine="420" w:firstLineChars="200"/>
    </w:pPr>
    <w:rPr>
      <w:rFonts w:ascii="Calibri" w:hAnsi="Calibri" w:eastAsia="宋体" w:cs="Times New Roman"/>
      <w:b w:val="0"/>
      <w:bCs w:val="0"/>
      <w:color w:val="auto"/>
      <w:kern w:val="2"/>
    </w:rPr>
  </w:style>
  <w:style w:type="paragraph" w:customStyle="1" w:styleId="505">
    <w:name w:val="表内文字"/>
    <w:basedOn w:val="1"/>
    <w:qFormat/>
    <w:uiPriority w:val="0"/>
    <w:pPr>
      <w:spacing w:line="500" w:lineRule="atLeast"/>
      <w:jc w:val="center"/>
    </w:pPr>
    <w:rPr>
      <w:rFonts w:ascii="Arial" w:hAnsi="Arial" w:eastAsia="楷体_GB2312" w:cs="Arial"/>
      <w:b w:val="0"/>
      <w:bCs w:val="0"/>
      <w:color w:val="auto"/>
      <w:kern w:val="2"/>
      <w:sz w:val="28"/>
      <w:szCs w:val="24"/>
    </w:rPr>
  </w:style>
  <w:style w:type="paragraph" w:customStyle="1" w:styleId="506">
    <w:name w:val="Char Char Char Char Char Char Char Char Char Char"/>
    <w:basedOn w:val="17"/>
    <w:qFormat/>
    <w:uiPriority w:val="0"/>
    <w:rPr>
      <w:rFonts w:ascii="长城仿宋" w:hAnsi="长城仿宋" w:eastAsia="Arial Unicode MS" w:cs="宋体"/>
      <w:b/>
      <w:sz w:val="20"/>
    </w:rPr>
  </w:style>
  <w:style w:type="paragraph" w:customStyle="1" w:styleId="507">
    <w:name w:val="yj正文首行缩进"/>
    <w:basedOn w:val="1"/>
    <w:qFormat/>
    <w:uiPriority w:val="0"/>
    <w:pPr>
      <w:spacing w:line="360" w:lineRule="auto"/>
      <w:ind w:firstLine="420" w:firstLineChars="200"/>
    </w:pPr>
    <w:rPr>
      <w:rFonts w:ascii="???|CS?o｡ﾀ?" w:hAnsi="???|CS?o｡ﾀ?" w:eastAsia="Arial Unicode MS"/>
      <w:b w:val="0"/>
      <w:bCs w:val="0"/>
      <w:kern w:val="2"/>
      <w:sz w:val="20"/>
      <w:szCs w:val="20"/>
    </w:rPr>
  </w:style>
  <w:style w:type="paragraph" w:customStyle="1" w:styleId="508">
    <w:name w:val="xl49"/>
    <w:basedOn w:val="1"/>
    <w:qFormat/>
    <w:uiPriority w:val="0"/>
    <w:pPr>
      <w:widowControl/>
      <w:pBdr>
        <w:left w:val="single" w:color="auto" w:sz="8" w:space="0"/>
        <w:bottom w:val="single" w:color="auto" w:sz="4" w:space="0"/>
      </w:pBdr>
      <w:tabs>
        <w:tab w:val="left" w:pos="743"/>
      </w:tabs>
      <w:spacing w:before="100" w:beforeAutospacing="1" w:after="100" w:afterAutospacing="1"/>
    </w:pPr>
    <w:rPr>
      <w:rFonts w:ascii="Baskerville" w:hAnsi="Baskerville" w:eastAsia="Baskerville"/>
      <w:b w:val="0"/>
      <w:bCs w:val="0"/>
      <w:color w:val="auto"/>
      <w:sz w:val="24"/>
      <w:szCs w:val="24"/>
    </w:rPr>
  </w:style>
  <w:style w:type="paragraph" w:customStyle="1" w:styleId="509">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51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auto"/>
      <w:sz w:val="20"/>
      <w:szCs w:val="20"/>
    </w:rPr>
  </w:style>
  <w:style w:type="paragraph" w:customStyle="1" w:styleId="51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512">
    <w:name w:val="表格内容"/>
    <w:basedOn w:val="46"/>
    <w:qFormat/>
    <w:uiPriority w:val="0"/>
    <w:pPr>
      <w:suppressLineNumbers/>
    </w:pPr>
  </w:style>
  <w:style w:type="paragraph" w:customStyle="1" w:styleId="513">
    <w:name w:val="_Style 511"/>
    <w:unhideWhenUsed/>
    <w:qFormat/>
    <w:uiPriority w:val="99"/>
    <w:rPr>
      <w:rFonts w:ascii="楷体_GB2312" w:hAnsi="Arial Unicode MS" w:eastAsia="楷体_GB2312" w:cs="Times New Roman"/>
      <w:b/>
      <w:color w:val="000000"/>
      <w:sz w:val="21"/>
      <w:lang w:val="en-US" w:eastAsia="zh-CN" w:bidi="ar-SA"/>
    </w:rPr>
  </w:style>
  <w:style w:type="paragraph" w:customStyle="1" w:styleId="514">
    <w:name w:val="xl64"/>
    <w:basedOn w:val="1"/>
    <w:qFormat/>
    <w:uiPriority w:val="0"/>
    <w:pPr>
      <w:widowControl/>
      <w:spacing w:before="100" w:beforeAutospacing="1" w:after="100" w:afterAutospacing="1"/>
      <w:jc w:val="left"/>
      <w:textAlignment w:val="center"/>
    </w:pPr>
    <w:rPr>
      <w:rFonts w:ascii="Baskerville" w:hAnsi="Baskerville" w:eastAsia="Baskerville" w:cs="Baskerville"/>
      <w:b w:val="0"/>
      <w:bCs w:val="0"/>
      <w:color w:val="auto"/>
      <w:sz w:val="20"/>
      <w:szCs w:val="20"/>
    </w:rPr>
  </w:style>
  <w:style w:type="paragraph" w:customStyle="1" w:styleId="515">
    <w:name w:val="time"/>
    <w:basedOn w:val="1"/>
    <w:qFormat/>
    <w:uiPriority w:val="0"/>
    <w:pPr>
      <w:widowControl/>
      <w:spacing w:before="100" w:beforeAutospacing="1" w:after="100" w:afterAutospacing="1"/>
      <w:jc w:val="left"/>
    </w:pPr>
    <w:rPr>
      <w:rFonts w:ascii="???|CS?o｡ﾀ?" w:hAnsi="???|CS?o｡ﾀ?" w:eastAsia="Baskerville" w:cs="???|CS?o｡ﾀ?"/>
      <w:b w:val="0"/>
      <w:bCs w:val="0"/>
      <w:color w:val="auto"/>
      <w:sz w:val="22"/>
      <w:szCs w:val="22"/>
    </w:rPr>
  </w:style>
  <w:style w:type="paragraph" w:customStyle="1" w:styleId="516">
    <w:name w:val="xl10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bCs w:val="0"/>
      <w:color w:val="auto"/>
      <w:sz w:val="24"/>
      <w:szCs w:val="24"/>
    </w:rPr>
  </w:style>
  <w:style w:type="paragraph" w:customStyle="1" w:styleId="517">
    <w:name w:val="项目符号"/>
    <w:basedOn w:val="29"/>
    <w:qFormat/>
    <w:uiPriority w:val="0"/>
    <w:pPr>
      <w:tabs>
        <w:tab w:val="left" w:pos="1260"/>
        <w:tab w:val="left" w:pos="2260"/>
        <w:tab w:val="clear" w:pos="432"/>
      </w:tabs>
      <w:spacing w:line="360" w:lineRule="auto"/>
      <w:ind w:left="630" w:firstLine="0"/>
    </w:pPr>
    <w:rPr>
      <w:rFonts w:ascii="Arial Unicode MS" w:hAnsi="Arial Unicode MS"/>
      <w:sz w:val="24"/>
    </w:rPr>
  </w:style>
  <w:style w:type="paragraph" w:customStyle="1" w:styleId="518">
    <w:name w:val="正文 首行缩进:  2 字符 Char"/>
    <w:basedOn w:val="1"/>
    <w:qFormat/>
    <w:uiPriority w:val="0"/>
    <w:pPr>
      <w:spacing w:line="360" w:lineRule="auto"/>
      <w:ind w:firstLine="480" w:firstLineChars="200"/>
      <w:jc w:val="left"/>
    </w:pPr>
    <w:rPr>
      <w:rFonts w:ascii="Calibri" w:hAnsi="Calibri" w:eastAsia="宋体" w:cs="Times New Roman"/>
      <w:b w:val="0"/>
      <w:bCs w:val="0"/>
      <w:color w:val="auto"/>
      <w:kern w:val="2"/>
      <w:sz w:val="24"/>
      <w:szCs w:val="22"/>
      <w:lang w:val="zh-CN"/>
    </w:rPr>
  </w:style>
  <w:style w:type="paragraph" w:customStyle="1" w:styleId="519">
    <w:name w:val="WPSOffice手动目录 2"/>
    <w:qFormat/>
    <w:uiPriority w:val="0"/>
    <w:pPr>
      <w:ind w:left="200" w:leftChars="200"/>
    </w:pPr>
    <w:rPr>
      <w:rFonts w:ascii="Calibri" w:hAnsi="Calibri" w:eastAsia="宋体" w:cs="Times New Roman"/>
      <w:lang w:val="en-US" w:eastAsia="zh-CN" w:bidi="ar-SA"/>
    </w:rPr>
  </w:style>
  <w:style w:type="paragraph" w:customStyle="1" w:styleId="520">
    <w:name w:val="正文文字表格居中"/>
    <w:basedOn w:val="1"/>
    <w:next w:val="43"/>
    <w:qFormat/>
    <w:uiPriority w:val="0"/>
    <w:pPr>
      <w:spacing w:line="400" w:lineRule="exact"/>
      <w:jc w:val="center"/>
    </w:pPr>
    <w:rPr>
      <w:rFonts w:ascii="长城仿宋" w:hAnsi="长城仿宋" w:eastAsia="Arial Unicode MS"/>
      <w:b w:val="0"/>
      <w:color w:val="auto"/>
      <w:kern w:val="2"/>
      <w:sz w:val="24"/>
      <w:szCs w:val="24"/>
    </w:rPr>
  </w:style>
  <w:style w:type="paragraph" w:customStyle="1" w:styleId="521">
    <w:name w:val="标准小四"/>
    <w:basedOn w:val="1"/>
    <w:qFormat/>
    <w:uiPriority w:val="0"/>
    <w:pPr>
      <w:spacing w:line="360" w:lineRule="auto"/>
      <w:ind w:firstLine="480" w:firstLineChars="200"/>
    </w:pPr>
    <w:rPr>
      <w:rFonts w:ascii="???|CS?o｡ﾀ?" w:hAnsi="???|CS?o｡ﾀ?" w:eastAsia="Arial Unicode MS"/>
      <w:b w:val="0"/>
      <w:bCs w:val="0"/>
      <w:color w:val="auto"/>
      <w:kern w:val="2"/>
      <w:sz w:val="24"/>
    </w:rPr>
  </w:style>
  <w:style w:type="paragraph" w:customStyle="1" w:styleId="522">
    <w:name w:val="Table Paragraph"/>
    <w:basedOn w:val="1"/>
    <w:qFormat/>
    <w:uiPriority w:val="0"/>
    <w:rPr>
      <w:rFonts w:ascii="Arial" w:hAnsi="Arial" w:eastAsia="Arial" w:cs="Arial"/>
      <w:b w:val="0"/>
      <w:bCs w:val="0"/>
      <w:color w:val="auto"/>
      <w:kern w:val="2"/>
      <w:lang w:val="zh-CN" w:bidi="zh-CN"/>
    </w:rPr>
  </w:style>
  <w:style w:type="paragraph" w:customStyle="1" w:styleId="523">
    <w:name w:val="格式正文"/>
    <w:basedOn w:val="1"/>
    <w:qFormat/>
    <w:uiPriority w:val="0"/>
    <w:pPr>
      <w:spacing w:before="60" w:beforeLines="50" w:after="60" w:afterLines="50" w:line="360" w:lineRule="auto"/>
      <w:ind w:firstLine="482" w:firstLineChars="200"/>
    </w:pPr>
    <w:rPr>
      <w:rFonts w:ascii="Times New Roman" w:hAnsi="Times New Roman" w:eastAsia="宋体" w:cs="Times New Roman"/>
      <w:b w:val="0"/>
      <w:bCs w:val="0"/>
      <w:color w:val="auto"/>
      <w:kern w:val="2"/>
      <w:sz w:val="24"/>
      <w:szCs w:val="22"/>
    </w:rPr>
  </w:style>
  <w:style w:type="paragraph" w:customStyle="1" w:styleId="524">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525">
    <w:name w:val="样式2"/>
    <w:basedOn w:val="5"/>
    <w:qFormat/>
    <w:uiPriority w:val="0"/>
    <w:pPr>
      <w:numPr>
        <w:ilvl w:val="0"/>
        <w:numId w:val="0"/>
      </w:numPr>
      <w:tabs>
        <w:tab w:val="left" w:pos="840"/>
        <w:tab w:val="clear" w:pos="576"/>
      </w:tabs>
      <w:adjustRightInd w:val="0"/>
      <w:spacing w:before="100" w:beforeAutospacing="1" w:afterLines="0" w:afterAutospacing="1" w:line="240" w:lineRule="auto"/>
      <w:ind w:left="840" w:hanging="420"/>
      <w:jc w:val="left"/>
      <w:textAlignment w:val="baseline"/>
    </w:pPr>
    <w:rPr>
      <w:rFonts w:ascii="???|CS?o｡ﾀ?" w:hAnsi="???|CS?o｡ﾀ?" w:eastAsia="Tahoma" w:cs="宋体"/>
      <w:b/>
      <w:iCs/>
      <w:snapToGrid w:val="0"/>
      <w:color w:val="auto"/>
      <w:spacing w:val="0"/>
      <w:sz w:val="30"/>
      <w:szCs w:val="20"/>
    </w:rPr>
  </w:style>
  <w:style w:type="paragraph" w:customStyle="1" w:styleId="52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527">
    <w:name w:val="保留正文"/>
    <w:basedOn w:val="3"/>
    <w:qFormat/>
    <w:uiPriority w:val="0"/>
    <w:pPr>
      <w:keepNext/>
      <w:spacing w:after="160"/>
    </w:pPr>
    <w:rPr>
      <w:rFonts w:ascii="长城仿宋" w:hAnsi="长城仿宋" w:eastAsia="Arial Unicode MS" w:cs="宋体"/>
      <w:b/>
      <w:sz w:val="20"/>
      <w:szCs w:val="20"/>
    </w:rPr>
  </w:style>
  <w:style w:type="paragraph" w:customStyle="1" w:styleId="528">
    <w:name w:val="正文2"/>
    <w:basedOn w:val="1"/>
    <w:qFormat/>
    <w:uiPriority w:val="0"/>
    <w:pPr>
      <w:spacing w:before="156" w:line="360" w:lineRule="auto"/>
      <w:ind w:firstLine="510" w:firstLineChars="200"/>
    </w:pPr>
    <w:rPr>
      <w:sz w:val="24"/>
      <w:szCs w:val="20"/>
    </w:rPr>
  </w:style>
  <w:style w:type="paragraph" w:customStyle="1" w:styleId="529">
    <w:name w:val="表 靠左"/>
    <w:basedOn w:val="1"/>
    <w:qFormat/>
    <w:uiPriority w:val="0"/>
    <w:pPr>
      <w:jc w:val="left"/>
    </w:pPr>
    <w:rPr>
      <w:rFonts w:ascii="Times New Roman" w:hAnsi="Times New Roman"/>
    </w:rPr>
  </w:style>
  <w:style w:type="paragraph" w:customStyle="1" w:styleId="530">
    <w:name w:val="参数-一级标题"/>
    <w:basedOn w:val="4"/>
    <w:qFormat/>
    <w:uiPriority w:val="0"/>
    <w:pPr>
      <w:widowControl/>
      <w:spacing w:before="0" w:line="360" w:lineRule="auto"/>
      <w:jc w:val="left"/>
    </w:pPr>
    <w:rPr>
      <w:sz w:val="24"/>
    </w:rPr>
  </w:style>
  <w:style w:type="character" w:customStyle="1" w:styleId="531">
    <w:name w:val="Char Char2"/>
    <w:qFormat/>
    <w:locked/>
    <w:uiPriority w:val="0"/>
    <w:rPr>
      <w:rFonts w:ascii="Arial" w:hAnsi="Arial" w:eastAsia="黑体"/>
      <w:b/>
      <w:bCs/>
      <w:color w:val="000000"/>
      <w:sz w:val="32"/>
      <w:szCs w:val="32"/>
      <w:lang w:val="en-US" w:eastAsia="zh-CN" w:bidi="ar-SA"/>
    </w:rPr>
  </w:style>
  <w:style w:type="paragraph" w:customStyle="1" w:styleId="532">
    <w:name w:val="Body text|1"/>
    <w:basedOn w:val="1"/>
    <w:qFormat/>
    <w:uiPriority w:val="0"/>
    <w:pPr>
      <w:spacing w:line="422" w:lineRule="auto"/>
      <w:ind w:firstLine="400"/>
    </w:pPr>
    <w:rPr>
      <w:rFonts w:ascii="MingLiU" w:hAnsi="MingLiU" w:eastAsia="MingLiU" w:cs="Times New Roman"/>
      <w:bCs w:val="0"/>
      <w:color w:val="auto"/>
      <w:sz w:val="22"/>
      <w:szCs w:val="20"/>
      <w:lang w:val="zh-TW" w:eastAsia="zh-TW"/>
    </w:rPr>
  </w:style>
  <w:style w:type="paragraph" w:customStyle="1" w:styleId="533">
    <w:name w:val="普通(网站)1"/>
    <w:basedOn w:val="1"/>
    <w:qFormat/>
    <w:uiPriority w:val="0"/>
    <w:pPr>
      <w:spacing w:before="100" w:beforeAutospacing="1" w:after="100" w:afterAutospacing="1"/>
    </w:pPr>
    <w:rPr>
      <w:rFonts w:ascii="宋体" w:hAnsi="宋体" w:eastAsia="华文细黑"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52143</Words>
  <Characters>56249</Characters>
  <Lines>441</Lines>
  <Paragraphs>124</Paragraphs>
  <TotalTime>0</TotalTime>
  <ScaleCrop>false</ScaleCrop>
  <LinksUpToDate>false</LinksUpToDate>
  <CharactersWithSpaces>58341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2022-03-01T14:28:00Z</dcterms:created>
  <dc:creator>微软用户</dc:creator>
  <cp:lastModifiedBy>Administrator</cp:lastModifiedBy>
  <cp:lastPrinted>2020-06-05T14:45:00Z</cp:lastPrinted>
  <dcterms:modified xsi:type="dcterms:W3CDTF">2024-07-22T07:50:07Z</dcterms:modified>
  <dc:title>永嘉县政府采购中心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B8D58B47D00D457DB0591A1B59B944A1</vt:lpwstr>
  </property>
  <property fmtid="{D5CDD505-2E9C-101B-9397-08002B2CF9AE}" pid="4" name="commondata">
    <vt:lpwstr>eyJoZGlkIjoiZjEyNGRiNjNiMGY3N2Y3OWU2NDk1MTY3YmU3NzIxYzMifQ==</vt:lpwstr>
  </property>
</Properties>
</file>