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trPr>
        <w:tc>
          <w:tcPr>
            <w:tcW w:w="9030" w:type="dxa"/>
          </w:tcPr>
          <w:p>
            <w:pPr>
              <w:pStyle w:val="83"/>
              <w:rPr>
                <w:rFonts w:hint="eastAsia" w:ascii="宋体" w:hAnsi="宋体" w:eastAsia="宋体" w:cs="宋体"/>
                <w:color w:val="auto"/>
                <w:highlight w:val="none"/>
              </w:rPr>
            </w:pPr>
          </w:p>
          <w:p>
            <w:pPr>
              <w:autoSpaceDE w:val="0"/>
              <w:autoSpaceDN w:val="0"/>
              <w:adjustRightInd w:val="0"/>
              <w:snapToGrid w:val="0"/>
              <w:spacing w:line="500" w:lineRule="atLeast"/>
              <w:jc w:val="center"/>
              <w:rPr>
                <w:rFonts w:hint="eastAsia" w:ascii="宋体" w:hAnsi="宋体" w:eastAsia="宋体" w:cs="宋体"/>
                <w:color w:val="auto"/>
                <w:sz w:val="32"/>
                <w:szCs w:val="32"/>
                <w:highlight w:val="none"/>
                <w:lang w:val="zh-CN"/>
              </w:rPr>
            </w:pPr>
          </w:p>
          <w:p>
            <w:pPr>
              <w:spacing w:line="48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永 嘉 县 政 府 采 购</w:t>
            </w:r>
          </w:p>
          <w:p>
            <w:pPr>
              <w:spacing w:line="48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招 标 文 件</w:t>
            </w:r>
          </w:p>
          <w:p>
            <w:pPr>
              <w:spacing w:line="460" w:lineRule="atLeast"/>
              <w:ind w:left="2846" w:leftChars="710" w:hanging="1355" w:hangingChars="450"/>
              <w:rPr>
                <w:rFonts w:hint="eastAsia" w:ascii="宋体" w:hAnsi="宋体" w:eastAsia="宋体" w:cs="宋体"/>
                <w:b/>
                <w:color w:val="auto"/>
                <w:sz w:val="30"/>
                <w:szCs w:val="30"/>
                <w:highlight w:val="none"/>
              </w:rPr>
            </w:pP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spacing w:line="460" w:lineRule="atLeast"/>
              <w:ind w:left="3565" w:leftChars="726" w:hanging="2040" w:hangingChars="68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rPr>
              <w:t>ZGCG-20240520-3</w:t>
            </w:r>
          </w:p>
          <w:p>
            <w:pPr>
              <w:spacing w:line="460" w:lineRule="atLeast"/>
              <w:ind w:left="3565" w:leftChars="726" w:hanging="2040" w:hangingChars="68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项目名称：骨密度仪采购</w:t>
            </w:r>
          </w:p>
          <w:p>
            <w:pPr>
              <w:spacing w:line="500" w:lineRule="atLeast"/>
              <w:ind w:left="3565" w:leftChars="726" w:hanging="2040" w:hangingChars="68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采购方式：公开招标</w:t>
            </w: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spacing w:line="460" w:lineRule="atLeast"/>
              <w:ind w:left="2841" w:leftChars="710" w:hanging="1350" w:hangingChars="4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人：永嘉县人民医院（医共体）</w:t>
            </w:r>
          </w:p>
          <w:p>
            <w:pPr>
              <w:spacing w:line="460" w:lineRule="atLeast"/>
              <w:ind w:left="2841" w:leftChars="710" w:hanging="1350" w:hangingChars="4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代理机构：温州市中概工程管理咨询有限公司</w:t>
            </w:r>
          </w:p>
          <w:p>
            <w:pPr>
              <w:spacing w:line="500" w:lineRule="atLeast"/>
              <w:ind w:left="3565" w:leftChars="726" w:hanging="2040" w:hangingChars="680"/>
              <w:rPr>
                <w:rFonts w:hint="eastAsia" w:ascii="宋体" w:hAnsi="宋体" w:eastAsia="宋体" w:cs="宋体"/>
                <w:color w:val="auto"/>
                <w:sz w:val="30"/>
                <w:szCs w:val="30"/>
                <w:highlight w:val="none"/>
              </w:rPr>
            </w:pPr>
          </w:p>
          <w:p>
            <w:pPr>
              <w:autoSpaceDE w:val="0"/>
              <w:autoSpaceDN w:val="0"/>
              <w:adjustRightInd w:val="0"/>
              <w:snapToGrid w:val="0"/>
              <w:spacing w:line="500" w:lineRule="atLeast"/>
              <w:jc w:val="center"/>
              <w:rPr>
                <w:rFonts w:hint="eastAsia" w:ascii="宋体" w:hAnsi="宋体" w:eastAsia="宋体" w:cs="宋体"/>
                <w:color w:val="auto"/>
                <w:sz w:val="32"/>
                <w:szCs w:val="32"/>
                <w:highlight w:val="none"/>
              </w:rPr>
            </w:pPr>
            <w:r>
              <w:rPr>
                <w:rFonts w:hint="eastAsia" w:ascii="宋体" w:hAnsi="宋体" w:eastAsia="宋体" w:cs="宋体"/>
                <w:color w:val="auto"/>
                <w:sz w:val="30"/>
                <w:szCs w:val="30"/>
                <w:highlight w:val="none"/>
              </w:rPr>
              <w:t>二○二四年六月</w:t>
            </w:r>
          </w:p>
        </w:tc>
      </w:tr>
    </w:tbl>
    <w:p>
      <w:pPr>
        <w:spacing w:line="500" w:lineRule="atLeast"/>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850" w:gutter="0"/>
          <w:pgNumType w:start="1"/>
          <w:cols w:space="720" w:num="1"/>
          <w:titlePg/>
          <w:docGrid w:type="lines" w:linePitch="312" w:charSpace="0"/>
        </w:sectPr>
      </w:pPr>
    </w:p>
    <w:p>
      <w:pPr>
        <w:widowControl/>
        <w:spacing w:line="500" w:lineRule="atLeast"/>
        <w:jc w:val="center"/>
        <w:rPr>
          <w:rFonts w:hint="eastAsia" w:ascii="宋体" w:hAnsi="宋体" w:eastAsia="宋体" w:cs="宋体"/>
          <w:b/>
          <w:color w:val="auto"/>
          <w:sz w:val="32"/>
          <w:szCs w:val="32"/>
          <w:highlight w:val="none"/>
        </w:rPr>
      </w:pPr>
      <w:bookmarkStart w:id="0" w:name="_Toc496116237"/>
      <w:bookmarkStart w:id="1" w:name="_Toc293038713"/>
      <w:r>
        <w:rPr>
          <w:rFonts w:hint="eastAsia" w:ascii="宋体" w:hAnsi="宋体" w:eastAsia="宋体" w:cs="宋体"/>
          <w:b/>
          <w:color w:val="auto"/>
          <w:sz w:val="32"/>
          <w:szCs w:val="32"/>
          <w:highlight w:val="none"/>
        </w:rPr>
        <w:t>招标文件目录</w:t>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"1-2"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"_Toc11853"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温州市中概工程管理咨询有限公司关于骨密度仪采购的公开招标公告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"_Toc17480"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第一部分  投标通知(邀请)书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"_Toc13266"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第二部分 招标内容及要求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"_Toc15919"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_Toc15919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"_Toc3034"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一、说明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"_Toc13701"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二、供应商资格条件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"_Toc13744"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三、招标文件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"_Toc24086"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四、投标文件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"_Toc18653"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五、投标文件的密封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_Toc18653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六、开标和评标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6"/>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"_Toc17810"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七、授予合同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第四部分</w:t>
      </w:r>
      <w:r>
        <w:rPr>
          <w:rFonts w:hint="eastAsia" w:ascii="宋体" w:hAnsi="宋体" w:eastAsia="宋体" w:cs="宋体"/>
          <w:color w:val="auto"/>
          <w:szCs w:val="30"/>
          <w:highlight w:val="none"/>
        </w:rPr>
        <w:t xml:space="preserve">  政府采购政策功能相关说明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第五部分  合同主要条款（参考格式）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"_Toc21992"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一、资格文件部分格式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二、报价文件部分格式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三、商务技术文件部分格式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2"/>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"_Toc5132"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第七部分 评标定标办法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bookmarkStart w:id="2" w:name="_Toc498343162"/>
      <w:r>
        <w:rPr>
          <w:rFonts w:hint="eastAsia" w:ascii="宋体" w:hAnsi="宋体" w:eastAsia="宋体" w:cs="宋体"/>
          <w:b/>
          <w:bCs/>
          <w:color w:val="auto"/>
          <w:sz w:val="22"/>
          <w:szCs w:val="22"/>
          <w:highlight w:val="none"/>
        </w:rPr>
        <w:t>注：招标文件中部分加“▲”的条款，为招标的实质性要求和条件，着重提醒各投标供应商注意，并认真查看招标文件中的每一个条款及要求，因误读招标文件而造成的后果，招标人概不负责。</w:t>
      </w:r>
    </w:p>
    <w:p>
      <w:pPr>
        <w:spacing w:line="480" w:lineRule="auto"/>
        <w:rPr>
          <w:rFonts w:hint="eastAsia" w:ascii="宋体" w:hAnsi="宋体" w:eastAsia="宋体" w:cs="宋体"/>
          <w:color w:val="auto"/>
          <w:sz w:val="30"/>
          <w:szCs w:val="30"/>
          <w:highlight w:val="none"/>
        </w:rPr>
      </w:pPr>
    </w:p>
    <w:bookmarkEnd w:id="0"/>
    <w:bookmarkEnd w:id="2"/>
    <w:p>
      <w:pPr>
        <w:spacing w:line="360" w:lineRule="auto"/>
        <w:jc w:val="center"/>
        <w:rPr>
          <w:rFonts w:hint="eastAsia" w:ascii="宋体" w:hAnsi="宋体" w:eastAsia="宋体" w:cs="宋体"/>
          <w:b/>
          <w:color w:val="auto"/>
          <w:sz w:val="32"/>
          <w:szCs w:val="32"/>
          <w:highlight w:val="none"/>
        </w:rPr>
      </w:pPr>
      <w:bookmarkStart w:id="3" w:name="_Toc496116239"/>
      <w:bookmarkStart w:id="4" w:name="_Toc498343164"/>
      <w:r>
        <w:rPr>
          <w:rFonts w:hint="eastAsia" w:ascii="宋体" w:hAnsi="宋体" w:eastAsia="宋体" w:cs="宋体"/>
          <w:color w:val="auto"/>
          <w:sz w:val="30"/>
          <w:szCs w:val="30"/>
          <w:highlight w:val="none"/>
        </w:rPr>
        <w:br w:type="page"/>
      </w:r>
      <w:bookmarkStart w:id="5" w:name="_Toc11853"/>
      <w:r>
        <w:rPr>
          <w:rFonts w:hint="eastAsia" w:ascii="宋体" w:hAnsi="宋体" w:eastAsia="宋体" w:cs="宋体"/>
          <w:b/>
          <w:color w:val="auto"/>
          <w:sz w:val="32"/>
          <w:szCs w:val="32"/>
          <w:highlight w:val="none"/>
        </w:rPr>
        <w:t>温州市中概工程管理咨询有限公司关于骨密度仪采购的公开招标公告</w:t>
      </w:r>
      <w:bookmarkEnd w:id="5"/>
    </w:p>
    <w:p>
      <w:pPr>
        <w:pStyle w:val="3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  </w:t>
      </w:r>
    </w:p>
    <w:p>
      <w:pPr>
        <w:pStyle w:val="39"/>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骨密度仪采购招标项目的潜在投标人应在政采云平台线上获取获取（下载）招标文件，并于 2024年</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28</w:t>
      </w:r>
      <w:r>
        <w:rPr>
          <w:rFonts w:hint="eastAsia" w:ascii="宋体" w:hAnsi="宋体" w:eastAsia="宋体" w:cs="宋体"/>
          <w:color w:val="auto"/>
          <w:sz w:val="22"/>
          <w:szCs w:val="22"/>
          <w:highlight w:val="none"/>
        </w:rPr>
        <w:t>日 09:30（北京时间）前递交（上传）投标文件。</w:t>
      </w:r>
    </w:p>
    <w:p>
      <w:pPr>
        <w:widowControl/>
        <w:spacing w:before="225" w:after="225" w:line="360" w:lineRule="auto"/>
        <w:jc w:val="left"/>
        <w:rPr>
          <w:rFonts w:hint="eastAsia" w:ascii="宋体" w:hAnsi="宋体" w:eastAsia="宋体" w:cs="宋体"/>
          <w:color w:val="auto"/>
          <w:sz w:val="22"/>
          <w:szCs w:val="22"/>
          <w:highlight w:val="none"/>
        </w:rPr>
      </w:pPr>
      <w:r>
        <w:rPr>
          <w:rStyle w:val="46"/>
          <w:rFonts w:hint="eastAsia" w:ascii="宋体" w:hAnsi="宋体" w:eastAsia="宋体" w:cs="宋体"/>
          <w:color w:val="auto"/>
          <w:sz w:val="22"/>
          <w:szCs w:val="22"/>
          <w:highlight w:val="none"/>
        </w:rPr>
        <w:t>一、项目</w:t>
      </w:r>
      <w:r>
        <w:rPr>
          <w:rFonts w:hint="eastAsia" w:ascii="宋体" w:hAnsi="宋体" w:eastAsia="宋体" w:cs="宋体"/>
          <w:b/>
          <w:color w:val="auto"/>
          <w:kern w:val="0"/>
          <w:sz w:val="22"/>
          <w:szCs w:val="22"/>
          <w:highlight w:val="none"/>
        </w:rPr>
        <w:t>基本</w:t>
      </w:r>
      <w:r>
        <w:rPr>
          <w:rStyle w:val="46"/>
          <w:rFonts w:hint="eastAsia" w:ascii="宋体" w:hAnsi="宋体" w:eastAsia="宋体" w:cs="宋体"/>
          <w:color w:val="auto"/>
          <w:sz w:val="22"/>
          <w:szCs w:val="22"/>
          <w:highlight w:val="none"/>
        </w:rPr>
        <w:t>情况</w:t>
      </w:r>
      <w:r>
        <w:rPr>
          <w:rFonts w:hint="eastAsia" w:ascii="宋体" w:hAnsi="宋体" w:eastAsia="宋体" w:cs="宋体"/>
          <w:color w:val="auto"/>
          <w:sz w:val="22"/>
          <w:szCs w:val="22"/>
          <w:highlight w:val="none"/>
        </w:rPr>
        <w:t>                                            </w:t>
      </w:r>
    </w:p>
    <w:p>
      <w:pPr>
        <w:pStyle w:val="39"/>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rPr>
        <w:t>ZGCG-20240520-3</w:t>
      </w:r>
      <w:r>
        <w:rPr>
          <w:rFonts w:hint="eastAsia" w:ascii="宋体" w:hAnsi="宋体" w:eastAsia="宋体" w:cs="宋体"/>
          <w:color w:val="auto"/>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项目名称：</w:t>
      </w:r>
      <w:r>
        <w:rPr>
          <w:rFonts w:hint="eastAsia" w:ascii="宋体" w:hAnsi="宋体" w:eastAsia="宋体" w:cs="宋体"/>
          <w:color w:val="auto"/>
          <w:kern w:val="0"/>
          <w:sz w:val="22"/>
          <w:szCs w:val="22"/>
          <w:highlight w:val="none"/>
        </w:rPr>
        <w:t>骨密度仪采购</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预算金额（元）：1</w:t>
      </w: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00000  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最高限价（元）：/ </w:t>
      </w:r>
    </w:p>
    <w:p>
      <w:pPr>
        <w:widowControl/>
        <w:spacing w:before="75" w:after="75" w:line="30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采购需求：</w:t>
      </w:r>
    </w:p>
    <w:p>
      <w:pPr>
        <w:widowControl/>
        <w:shd w:val="clear" w:color="auto" w:fill="F7F7F7"/>
        <w:spacing w:before="75" w:after="75" w:line="36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标项名称: </w:t>
      </w:r>
      <w:r>
        <w:rPr>
          <w:rFonts w:hint="eastAsia" w:ascii="宋体" w:hAnsi="宋体" w:eastAsia="宋体" w:cs="宋体"/>
          <w:color w:val="auto"/>
          <w:kern w:val="0"/>
          <w:sz w:val="22"/>
          <w:szCs w:val="22"/>
          <w:highlight w:val="none"/>
        </w:rPr>
        <w:t>骨密度仪采购</w:t>
      </w:r>
      <w:r>
        <w:rPr>
          <w:rFonts w:hint="eastAsia" w:ascii="宋体" w:hAnsi="宋体" w:eastAsia="宋体" w:cs="宋体"/>
          <w:color w:val="auto"/>
          <w:kern w:val="0"/>
          <w:sz w:val="22"/>
          <w:szCs w:val="22"/>
          <w:highlight w:val="none"/>
        </w:rPr>
        <w:t> </w:t>
      </w:r>
    </w:p>
    <w:p>
      <w:pPr>
        <w:widowControl/>
        <w:shd w:val="clear" w:color="auto" w:fill="F7F7F7"/>
        <w:spacing w:before="75" w:after="75" w:line="36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数量: </w:t>
      </w: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  </w:t>
      </w:r>
    </w:p>
    <w:p>
      <w:pPr>
        <w:widowControl/>
        <w:shd w:val="clear" w:color="auto" w:fill="F7F7F7"/>
        <w:spacing w:before="75" w:after="75" w:line="36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预算金额（元）: 1</w:t>
      </w: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00000 </w:t>
      </w:r>
    </w:p>
    <w:p>
      <w:pPr>
        <w:widowControl/>
        <w:shd w:val="clear" w:color="auto" w:fill="F7F7F7"/>
        <w:spacing w:before="75" w:after="75" w:line="36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简要规格描述或项目基本概况介绍、用途：</w:t>
      </w:r>
      <w:r>
        <w:rPr>
          <w:rFonts w:hint="eastAsia" w:ascii="宋体" w:hAnsi="宋体" w:eastAsia="宋体" w:cs="宋体"/>
          <w:color w:val="auto"/>
          <w:kern w:val="0"/>
          <w:sz w:val="22"/>
          <w:szCs w:val="22"/>
          <w:highlight w:val="none"/>
        </w:rPr>
        <w:t>骨密度仪采购</w:t>
      </w:r>
      <w:r>
        <w:rPr>
          <w:rFonts w:hint="eastAsia" w:ascii="宋体" w:hAnsi="宋体" w:eastAsia="宋体" w:cs="宋体"/>
          <w:color w:val="auto"/>
          <w:kern w:val="0"/>
          <w:sz w:val="22"/>
          <w:szCs w:val="22"/>
          <w:highlight w:val="none"/>
        </w:rPr>
        <w:t>，详见招标文件 </w:t>
      </w:r>
    </w:p>
    <w:p>
      <w:pPr>
        <w:widowControl/>
        <w:shd w:val="clear" w:color="auto" w:fill="F7F7F7"/>
        <w:spacing w:before="75" w:after="75" w:line="36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备注：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合同履约期限：标项 1，详见招标文件</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本项目（否）接受联合体投标。</w:t>
      </w:r>
    </w:p>
    <w:p>
      <w:pPr>
        <w:widowControl/>
        <w:spacing w:before="225" w:after="22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二、申请人的资格要求：</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2.落实政府采购政策需满足的资格要求：标项1：无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3.本项目的特定资格要求：无 </w:t>
      </w:r>
    </w:p>
    <w:p>
      <w:pPr>
        <w:widowControl/>
        <w:spacing w:before="255" w:after="255" w:line="30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三、获取招标文件</w:t>
      </w:r>
      <w:r>
        <w:rPr>
          <w:rFonts w:hint="eastAsia" w:ascii="宋体" w:hAnsi="宋体" w:eastAsia="宋体" w:cs="宋体"/>
          <w:color w:val="auto"/>
          <w:kern w:val="0"/>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时间：/至2024年</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28</w:t>
      </w:r>
      <w:r>
        <w:rPr>
          <w:rFonts w:hint="eastAsia" w:ascii="宋体" w:hAnsi="宋体" w:eastAsia="宋体" w:cs="宋体"/>
          <w:color w:val="auto"/>
          <w:sz w:val="22"/>
          <w:szCs w:val="22"/>
          <w:highlight w:val="none"/>
        </w:rPr>
        <w:t>日</w:t>
      </w:r>
      <w:r>
        <w:rPr>
          <w:rFonts w:hint="eastAsia" w:ascii="宋体" w:hAnsi="宋体" w:eastAsia="宋体" w:cs="宋体"/>
          <w:color w:val="auto"/>
          <w:kern w:val="0"/>
          <w:sz w:val="22"/>
          <w:szCs w:val="22"/>
          <w:highlight w:val="none"/>
        </w:rPr>
        <w:t> ，每天上午00:00至12:00 ，下午12:00至23:59（北京时间，线上获取法定节假日均可，线下获取文件法定节假日除外）</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地点（网址）：政采云平台线上获取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方式：供应商登录政采云平台https://www.zcygov.cn/在线申请获取采购文件（进入“项目采购”应用，在获取采购文件菜单中选择项目，申请获取采购文件）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售价（元）：0 </w:t>
      </w:r>
    </w:p>
    <w:p>
      <w:pPr>
        <w:widowControl/>
        <w:spacing w:before="255" w:after="255" w:line="30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四、提交投标文件截止时间、开标时间和地点</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提交投标文件截止时间：2024年</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28</w:t>
      </w:r>
      <w:r>
        <w:rPr>
          <w:rFonts w:hint="eastAsia" w:ascii="宋体" w:hAnsi="宋体" w:eastAsia="宋体" w:cs="宋体"/>
          <w:color w:val="auto"/>
          <w:sz w:val="22"/>
          <w:szCs w:val="22"/>
          <w:highlight w:val="none"/>
        </w:rPr>
        <w:t>日</w:t>
      </w:r>
      <w:r>
        <w:rPr>
          <w:rFonts w:hint="eastAsia" w:ascii="宋体" w:hAnsi="宋体" w:eastAsia="宋体" w:cs="宋体"/>
          <w:color w:val="auto"/>
          <w:kern w:val="0"/>
          <w:sz w:val="22"/>
          <w:szCs w:val="22"/>
          <w:highlight w:val="none"/>
        </w:rPr>
        <w:t xml:space="preserve"> 09:30（北京时间）</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投标地点（网址）：请登录政采云投标客户端投标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开标时间：2024年</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28</w:t>
      </w:r>
      <w:r>
        <w:rPr>
          <w:rFonts w:hint="eastAsia" w:ascii="宋体" w:hAnsi="宋体" w:eastAsia="宋体" w:cs="宋体"/>
          <w:color w:val="auto"/>
          <w:sz w:val="22"/>
          <w:szCs w:val="22"/>
          <w:highlight w:val="none"/>
        </w:rPr>
        <w:t>日</w:t>
      </w:r>
      <w:r>
        <w:rPr>
          <w:rFonts w:hint="eastAsia" w:ascii="宋体" w:hAnsi="宋体" w:eastAsia="宋体" w:cs="宋体"/>
          <w:color w:val="auto"/>
          <w:kern w:val="0"/>
          <w:sz w:val="22"/>
          <w:szCs w:val="22"/>
          <w:highlight w:val="none"/>
        </w:rPr>
        <w:t xml:space="preserve"> 09:30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开标地点（网址）：温州市永嘉县南城街道环城北路云碓大厦503室  </w:t>
      </w:r>
    </w:p>
    <w:p>
      <w:pPr>
        <w:widowControl/>
        <w:spacing w:before="255" w:after="255" w:line="30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五、公告期限</w:t>
      </w:r>
      <w:r>
        <w:rPr>
          <w:rFonts w:hint="eastAsia" w:ascii="宋体" w:hAnsi="宋体" w:eastAsia="宋体" w:cs="宋体"/>
          <w:color w:val="auto"/>
          <w:kern w:val="0"/>
          <w:sz w:val="22"/>
          <w:szCs w:val="22"/>
          <w:highlight w:val="none"/>
        </w:rPr>
        <w:t> </w:t>
      </w:r>
    </w:p>
    <w:p>
      <w:pPr>
        <w:widowControl/>
        <w:spacing w:before="75" w:after="7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自本公告发布之日起5个工作日。</w:t>
      </w:r>
    </w:p>
    <w:p>
      <w:pPr>
        <w:widowControl/>
        <w:spacing w:before="255" w:after="255" w:line="30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六、其他补充事宜</w:t>
      </w:r>
    </w:p>
    <w:p>
      <w:pPr>
        <w:widowControl/>
        <w:spacing w:before="255" w:after="255" w:line="300" w:lineRule="atLeast"/>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before="255" w:after="255" w:line="300" w:lineRule="atLeast"/>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before="75" w:after="75" w:line="360" w:lineRule="atLeas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“政采云电子交易客户端”请自行前往“浙江政府采购网-下载专区-电子交易客户端”进行下载；通过“政府采购云平台”参与在线投标时如遇平台技术问题详询95763。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pPr>
        <w:widowControl/>
        <w:spacing w:before="255" w:after="255" w:line="48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七、对本次采购提出询问、质疑、投诉，请按以下方式联系</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1.采购人信息</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名    称：永嘉县人民医院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    址：上塘镇永中路37号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传    真：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项目联系人（询问）：金先生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项目联系方式（询问）：0577-57762567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质疑联系人：</w:t>
      </w:r>
      <w:r>
        <w:rPr>
          <w:rFonts w:hint="eastAsia" w:ascii="宋体" w:hAnsi="宋体" w:eastAsia="宋体" w:cs="宋体"/>
          <w:color w:val="auto"/>
          <w:kern w:val="0"/>
          <w:sz w:val="22"/>
          <w:szCs w:val="22"/>
          <w:highlight w:val="none"/>
        </w:rPr>
        <w:t>李</w:t>
      </w:r>
      <w:r>
        <w:rPr>
          <w:rFonts w:hint="eastAsia" w:ascii="宋体" w:hAnsi="宋体" w:eastAsia="宋体" w:cs="宋体"/>
          <w:color w:val="auto"/>
          <w:kern w:val="0"/>
          <w:sz w:val="22"/>
          <w:szCs w:val="22"/>
          <w:highlight w:val="none"/>
        </w:rPr>
        <w:t>先生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质疑联系方式：0577-57762567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pStyle w:val="2"/>
        <w:ind w:firstLine="422"/>
        <w:rPr>
          <w:rFonts w:hint="eastAsia" w:ascii="宋体" w:hAnsi="宋体" w:eastAsia="宋体" w:cs="宋体"/>
          <w:color w:val="auto"/>
          <w:highlight w:val="none"/>
        </w:rPr>
      </w:pP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2.采购代理机构信息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名    称：温州市中概工程管理咨询有限公司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    址：温州市永嘉县南城街道环城北路618号云碓大厦503室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传    真：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项目联系人（询问）：胡可可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项目联系方式（询问）：15258683545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质疑联系人：余茜茜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质疑联系方式：13567723502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pStyle w:val="2"/>
        <w:ind w:firstLine="422"/>
        <w:rPr>
          <w:rFonts w:hint="eastAsia" w:ascii="宋体" w:hAnsi="宋体" w:eastAsia="宋体" w:cs="宋体"/>
          <w:color w:val="auto"/>
          <w:highlight w:val="none"/>
        </w:rPr>
      </w:pP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3.</w:t>
      </w:r>
      <w:r>
        <w:rPr>
          <w:rFonts w:hint="eastAsia" w:ascii="宋体" w:hAnsi="宋体" w:eastAsia="宋体" w:cs="宋体"/>
          <w:color w:val="auto"/>
          <w:kern w:val="0"/>
          <w:sz w:val="22"/>
          <w:szCs w:val="22"/>
          <w:highlight w:val="none"/>
        </w:rPr>
        <w:t>同级政府采购监督管理部门</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名    称：永嘉县财政局</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    址：</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传    真：</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联 系 人：沈女士</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监督投诉电话：0577-67230257</w:t>
      </w:r>
    </w:p>
    <w:p>
      <w:pPr>
        <w:widowControl/>
        <w:spacing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widowControl/>
        <w:spacing w:before="75" w:after="75"/>
        <w:jc w:val="left"/>
        <w:rPr>
          <w:rFonts w:hint="eastAsia" w:ascii="宋体" w:hAnsi="宋体" w:eastAsia="宋体" w:cs="宋体"/>
          <w:color w:val="auto"/>
          <w:kern w:val="0"/>
          <w:sz w:val="22"/>
          <w:szCs w:val="22"/>
          <w:highlight w:val="none"/>
        </w:rPr>
      </w:pPr>
    </w:p>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CA问题联系电话（人工）：汇信CA 400-888-4636；天谷CA 400-087-8198。</w:t>
      </w:r>
    </w:p>
    <w:p>
      <w:pPr>
        <w:widowControl/>
        <w:spacing w:before="75" w:after="75" w:line="360" w:lineRule="auto"/>
        <w:jc w:val="left"/>
        <w:rPr>
          <w:rFonts w:hint="eastAsia" w:ascii="宋体" w:hAnsi="宋体" w:eastAsia="宋体" w:cs="宋体"/>
          <w:color w:val="auto"/>
          <w:kern w:val="0"/>
          <w:sz w:val="22"/>
          <w:szCs w:val="22"/>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pPr>
        <w:pStyle w:val="40"/>
        <w:rPr>
          <w:rFonts w:hint="eastAsia" w:ascii="宋体" w:hAnsi="宋体" w:eastAsia="宋体" w:cs="宋体"/>
          <w:color w:val="auto"/>
          <w:sz w:val="30"/>
          <w:szCs w:val="30"/>
          <w:highlight w:val="none"/>
        </w:rPr>
      </w:pPr>
      <w:bookmarkStart w:id="6" w:name="_Toc17480"/>
      <w:r>
        <w:rPr>
          <w:rFonts w:hint="eastAsia" w:ascii="宋体" w:hAnsi="宋体" w:eastAsia="宋体" w:cs="宋体"/>
          <w:color w:val="auto"/>
          <w:sz w:val="30"/>
          <w:szCs w:val="30"/>
          <w:highlight w:val="none"/>
        </w:rPr>
        <w:t>第一部分  投标通知(邀请)书</w:t>
      </w:r>
      <w:bookmarkEnd w:id="3"/>
      <w:bookmarkEnd w:id="4"/>
      <w:bookmarkEnd w:id="6"/>
    </w:p>
    <w:tbl>
      <w:tblPr>
        <w:tblStyle w:val="43"/>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715" w:type="dxa"/>
            <w:vAlign w:val="center"/>
          </w:tcPr>
          <w:p>
            <w:pPr>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7821" w:type="dxa"/>
            <w:vAlign w:val="center"/>
          </w:tcPr>
          <w:p>
            <w:pPr>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名称：永嘉县人民医院（医共体）</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人：金先生  </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rPr>
              <w:t>0577-57762567</w:t>
            </w:r>
            <w:r>
              <w:rPr>
                <w:rFonts w:hint="eastAsia" w:ascii="宋体" w:hAnsi="宋体" w:eastAsia="宋体" w:cs="宋体"/>
                <w:color w:val="auto"/>
                <w:sz w:val="22"/>
                <w:szCs w:val="22"/>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821" w:type="dxa"/>
            <w:vAlign w:val="center"/>
          </w:tcPr>
          <w:p>
            <w:pPr>
              <w:adjustRightInd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采购代理机构名称：温州市中概工程管理咨询有限公司</w:t>
            </w:r>
          </w:p>
          <w:p>
            <w:pPr>
              <w:adjustRightInd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地点：温州市永嘉县南城街道环城北路云碓大厦503室</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人：胡可可</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联系电话：15258683545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项目名称及项目编号</w:t>
            </w:r>
          </w:p>
        </w:tc>
        <w:tc>
          <w:tcPr>
            <w:tcW w:w="7821" w:type="dxa"/>
            <w:vAlign w:val="center"/>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r>
              <w:rPr>
                <w:rFonts w:hint="eastAsia" w:ascii="宋体" w:hAnsi="宋体" w:eastAsia="宋体" w:cs="宋体"/>
                <w:bCs/>
                <w:color w:val="auto"/>
                <w:sz w:val="22"/>
                <w:szCs w:val="22"/>
                <w:highlight w:val="none"/>
              </w:rPr>
              <w:t>骨密度仪采购</w:t>
            </w:r>
          </w:p>
          <w:p>
            <w:pP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sz w:val="22"/>
                <w:szCs w:val="22"/>
                <w:highlight w:val="none"/>
              </w:rPr>
              <w:t>ZGCG-20240520-3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rPr>
              <w:t>招标</w:t>
            </w:r>
            <w:r>
              <w:rPr>
                <w:rFonts w:hint="eastAsia" w:ascii="宋体" w:hAnsi="宋体" w:eastAsia="宋体" w:cs="宋体"/>
                <w:color w:val="auto"/>
                <w:sz w:val="22"/>
                <w:szCs w:val="22"/>
                <w:highlight w:val="none"/>
              </w:rPr>
              <w:t>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供应商资格要求</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不接受</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不允许</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允许</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报价货币</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报价语言</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715"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是否允许进口</w:t>
            </w:r>
          </w:p>
        </w:tc>
        <w:tc>
          <w:tcPr>
            <w:tcW w:w="7821" w:type="dxa"/>
            <w:vAlign w:val="center"/>
          </w:tcPr>
          <w:p>
            <w:pPr>
              <w:adjustRightInd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sym w:font="Wingdings" w:char="00A8"/>
            </w:r>
            <w:r>
              <w:rPr>
                <w:rFonts w:hint="eastAsia" w:ascii="宋体" w:hAnsi="宋体" w:eastAsia="宋体" w:cs="宋体"/>
                <w:bCs/>
                <w:color w:val="auto"/>
                <w:sz w:val="22"/>
                <w:szCs w:val="22"/>
                <w:highlight w:val="none"/>
              </w:rPr>
              <w:t>允许</w:t>
            </w:r>
          </w:p>
          <w:p>
            <w:pPr>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不需要</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不需要</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□需要 </w:t>
            </w:r>
            <w:r>
              <w:rPr>
                <w:rFonts w:hint="eastAsia" w:ascii="宋体" w:hAnsi="宋体" w:eastAsia="宋体" w:cs="宋体"/>
                <w:bCs/>
                <w:color w:val="auto"/>
                <w:sz w:val="22"/>
                <w:szCs w:val="22"/>
                <w:highlight w:val="none"/>
              </w:rPr>
              <w:t xml:space="preserve"> 合同签订后成交供应商应提供合同总金额1%的履约保证金至采购人指定账户，履约保证金可以以银行或保险公司出具的保函作为履约保函。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1715"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投标文件递交截止时间及开标时间</w:t>
            </w:r>
          </w:p>
        </w:tc>
        <w:tc>
          <w:tcPr>
            <w:tcW w:w="7821" w:type="dxa"/>
            <w:vAlign w:val="center"/>
          </w:tcPr>
          <w:p>
            <w:pPr>
              <w:rPr>
                <w:rFonts w:hint="eastAsia" w:ascii="宋体" w:hAnsi="宋体" w:eastAsia="宋体" w:cs="宋体"/>
                <w:b/>
                <w:color w:val="auto"/>
                <w:sz w:val="22"/>
                <w:szCs w:val="22"/>
                <w:highlight w:val="none"/>
              </w:rPr>
            </w:pPr>
            <w:r>
              <w:rPr>
                <w:rStyle w:val="93"/>
                <w:rFonts w:hint="eastAsia" w:ascii="宋体" w:hAnsi="宋体" w:eastAsia="宋体" w:cs="宋体"/>
                <w:b/>
                <w:color w:val="auto"/>
                <w:sz w:val="22"/>
                <w:szCs w:val="22"/>
                <w:highlight w:val="none"/>
              </w:rPr>
              <w:t>2024年6月28日</w:t>
            </w:r>
            <w:r>
              <w:rPr>
                <w:rFonts w:hint="eastAsia" w:ascii="宋体" w:hAnsi="宋体" w:eastAsia="宋体" w:cs="宋体"/>
                <w:b/>
                <w:i/>
                <w:color w:val="auto"/>
                <w:sz w:val="22"/>
                <w:szCs w:val="22"/>
                <w:highlight w:val="none"/>
              </w:rPr>
              <w:t>09:30 截</w:t>
            </w:r>
            <w:r>
              <w:rPr>
                <w:rFonts w:hint="eastAsia" w:ascii="宋体" w:hAnsi="宋体" w:eastAsia="宋体" w:cs="宋体"/>
                <w:b/>
                <w:color w:val="auto"/>
                <w:sz w:val="22"/>
                <w:szCs w:val="22"/>
                <w:highlight w:val="none"/>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715"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bidi="ar"/>
              </w:rPr>
              <w:t>评标地址</w:t>
            </w:r>
          </w:p>
        </w:tc>
        <w:tc>
          <w:tcPr>
            <w:tcW w:w="7821" w:type="dxa"/>
            <w:vAlign w:val="center"/>
          </w:tcPr>
          <w:p>
            <w:pPr>
              <w:rPr>
                <w:rStyle w:val="93"/>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温州市永嘉县南城街道环城北路云碓大厦503室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1715"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供应商应先安装“政采云电子交易客户端”，并按照本招标文件和“政采云平台”的要求，通过“政采云电子交易客户端”编制并加密投标文件。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报价有效期</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投标文件的相应位置应加盖：电子签章。</w:t>
            </w:r>
          </w:p>
          <w:p>
            <w:pPr>
              <w:pStyle w:val="18"/>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注：本项目电子招投标活动中的签字与电子签章具有同等法律效应。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1715"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投标文件的形式、制作及组成</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本项目实行在线投标响应（电子投标）。</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投标供应商准备电子投标文件（包括“电子加密投标文件”和“备份投标文件”两类，在投标文件编制完成后同时生成）。</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以上两类投标文件均由资格文件、报价文件、商务技术文件三部分组成。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821" w:type="dxa"/>
            <w:vAlign w:val="center"/>
          </w:tcPr>
          <w:p>
            <w:pPr>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（1）“电子加密投标文件”：在线上传递交、一份。</w:t>
            </w:r>
          </w:p>
          <w:p>
            <w:pPr>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以U盘存储，密封包装后（顺丰快递形式）在投标文件递交截止时间及开标时间前递交，送达时间以签收人签收时间为准，一份，邮寄地址：温州市永嘉县南城街道环城北路云碓大厦503室，胡先生收，联系电话：15258683545。</w:t>
            </w:r>
          </w:p>
          <w:p>
            <w:pPr>
              <w:pStyle w:val="18"/>
              <w:ind w:firstLine="22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注：“备份投标文件”</w:t>
            </w:r>
            <w:r>
              <w:rPr>
                <w:rFonts w:hint="eastAsia" w:ascii="宋体" w:hAnsi="宋体" w:eastAsia="宋体" w:cs="宋体"/>
                <w:b/>
                <w:color w:val="auto"/>
                <w:sz w:val="22"/>
                <w:szCs w:val="22"/>
                <w:highlight w:val="none"/>
              </w:rPr>
              <w:t>不强制要求提供，</w:t>
            </w:r>
            <w:r>
              <w:rPr>
                <w:rFonts w:hint="eastAsia" w:ascii="宋体" w:hAnsi="宋体" w:eastAsia="宋体" w:cs="宋体"/>
                <w:b/>
                <w:color w:val="auto"/>
                <w:sz w:val="22"/>
                <w:szCs w:val="22"/>
                <w:highlight w:val="none"/>
              </w:rPr>
              <w:t>由供应商自行选择是否提供。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1715" w:type="dxa"/>
            <w:vAlign w:val="center"/>
          </w:tcPr>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投标文件的上传和递交</w:t>
            </w:r>
          </w:p>
        </w:tc>
        <w:tc>
          <w:tcPr>
            <w:tcW w:w="7821" w:type="dxa"/>
            <w:vAlign w:val="center"/>
          </w:tcPr>
          <w:p>
            <w:pPr>
              <w:pStyle w:val="83"/>
              <w:autoSpaceDE w:val="0"/>
              <w:autoSpaceDN w:val="0"/>
              <w:adjustRightInd w:val="0"/>
              <w:spacing w:line="300" w:lineRule="atLeas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一、“电子加密投标文件”的上传、递交：</w:t>
            </w:r>
          </w:p>
          <w:p>
            <w:pPr>
              <w:pStyle w:val="83"/>
              <w:autoSpaceDE w:val="0"/>
              <w:autoSpaceDN w:val="0"/>
              <w:adjustRightInd w:val="0"/>
              <w:spacing w:line="300" w:lineRule="atLeas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a.投标供应商应在投标文件递交截止时间前将“电子加密投标文件”成功上传递交至“政采云平台”，否则投标无效。</w:t>
            </w:r>
          </w:p>
          <w:p>
            <w:pPr>
              <w:pStyle w:val="83"/>
              <w:autoSpaceDE w:val="0"/>
              <w:autoSpaceDN w:val="0"/>
              <w:adjustRightInd w:val="0"/>
              <w:spacing w:line="300" w:lineRule="atLeas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b.“电子加密投标文件”成功上传递交后，供应商可自行打印投标文件接收回执。</w:t>
            </w:r>
          </w:p>
          <w:p>
            <w:pPr>
              <w:pStyle w:val="83"/>
              <w:autoSpaceDE w:val="0"/>
              <w:autoSpaceDN w:val="0"/>
              <w:adjustRightInd w:val="0"/>
              <w:spacing w:line="300" w:lineRule="atLeas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二、“备份投标文件”的密封包装、递交：</w:t>
            </w:r>
          </w:p>
          <w:p>
            <w:pPr>
              <w:pStyle w:val="83"/>
              <w:autoSpaceDE w:val="0"/>
              <w:autoSpaceDN w:val="0"/>
              <w:adjustRightInd w:val="0"/>
              <w:spacing w:line="300" w:lineRule="atLeas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a.投标供应商在“政采云平台”完成“电子加密投标文件”的上传递交后，还可以（建议顺丰快递形式）递交以介质（U盘）存储的 “备份投标文件”（一份）；顺丰快递形式快递至采购代理机构地址（地址详见招标招标文件）；</w:t>
            </w:r>
            <w:r>
              <w:rPr>
                <w:rFonts w:hint="eastAsia" w:ascii="宋体" w:hAnsi="宋体" w:eastAsia="宋体" w:cs="宋体"/>
                <w:b/>
                <w:color w:val="auto"/>
                <w:sz w:val="22"/>
                <w:highlight w:val="none"/>
              </w:rPr>
              <w:t>解密CA必须是上传并制作电子投标文件CA锁</w:t>
            </w:r>
            <w:r>
              <w:rPr>
                <w:rFonts w:hint="eastAsia" w:ascii="宋体" w:hAnsi="宋体" w:eastAsia="宋体" w:cs="宋体"/>
                <w:color w:val="auto"/>
                <w:sz w:val="22"/>
                <w:highlight w:val="none"/>
              </w:rPr>
              <w:t>。</w:t>
            </w:r>
          </w:p>
          <w:p>
            <w:pPr>
              <w:autoSpaceDE w:val="0"/>
              <w:autoSpaceDN w:val="0"/>
              <w:adjustRightInd w:val="0"/>
              <w:spacing w:line="30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c.通过“政采云平台”成功上传递交的“电子加密投标文件”已按时解密的，“备份投标文件”自动失效。投标文件递交截止时间前，投标供应商仅递交了“备份投标文件”而未将“电子加密投标文件”成功上传至“政采云平台”的，投标无效。</w:t>
            </w:r>
          </w:p>
          <w:p>
            <w:pPr>
              <w:autoSpaceDE w:val="0"/>
              <w:autoSpaceDN w:val="0"/>
              <w:adjustRightInd w:val="0"/>
              <w:spacing w:line="300" w:lineRule="atLeast"/>
              <w:ind w:firstLine="440" w:firstLineChars="200"/>
              <w:rPr>
                <w:rFonts w:hint="eastAsia" w:ascii="宋体" w:hAnsi="宋体" w:eastAsia="宋体" w:cs="宋体"/>
                <w:color w:val="auto"/>
                <w:highlight w:val="none"/>
                <w:lang w:val="zh-CN"/>
              </w:rPr>
            </w:pPr>
            <w:r>
              <w:rPr>
                <w:rFonts w:hint="eastAsia" w:ascii="宋体" w:hAnsi="宋体" w:eastAsia="宋体" w:cs="宋体"/>
                <w:color w:val="auto"/>
                <w:sz w:val="22"/>
                <w:szCs w:val="22"/>
                <w:highlight w:val="none"/>
                <w:lang w:val="zh-CN"/>
              </w:rPr>
              <w:t>d.供应商应加强U盘的包装与保护，因包装不当而造成“备份投标文件”损坏或不能在开评标现场设备上正确读取的责任由供应商自负。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1715" w:type="dxa"/>
            <w:vAlign w:val="center"/>
          </w:tcPr>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电子加密投标文件的解密和异常情况处理</w:t>
            </w:r>
          </w:p>
        </w:tc>
        <w:tc>
          <w:tcPr>
            <w:tcW w:w="7821" w:type="dxa"/>
            <w:vAlign w:val="center"/>
          </w:tcPr>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（1）开标后，采购组织机构将向各投标供应商发出“电子加密投标文件”的解密通知，各投标供应商代表应当在接到解密通知后30分钟内自行完成“电子加密投标文件”的在线解密。</w:t>
            </w:r>
          </w:p>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（3）投标文件递交截止时间前，投标供应商仅递交了“备份投标文件”而未将电子加密投标文件上传至“政采云平台”的，投标无效。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评标委员会成员的组建</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w:t>
            </w:r>
          </w:p>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扶持政策</w:t>
            </w:r>
          </w:p>
        </w:tc>
        <w:tc>
          <w:tcPr>
            <w:tcW w:w="7821" w:type="dxa"/>
            <w:vAlign w:val="center"/>
          </w:tcPr>
          <w:p>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1.本项目对符合财政扶持政策的中小企业（小型、微型）、监狱企业、残疾人福利性单位给予价格优惠扶持，价格优惠扶持见《评分办法》。</w:t>
            </w:r>
          </w:p>
          <w:p>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2.满足财政部 工业和信息化部关于印发《政府采购促进中小企业发展管理办法》的通知（财库〔2020〕46号）的规定的中小企业可享受优惠扶持。</w:t>
            </w:r>
          </w:p>
          <w:p>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3.满足关于政府采购支持监狱企业发展有关问题的通知（财库[2014]68号）的规定的供应商可享受优惠扶持。</w:t>
            </w:r>
          </w:p>
          <w:p>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4.满足关于促进残疾人就业政府采购政策的通知（财库[2017]141号）的规定的供应商可享受优惠扶持。</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eastAsia="宋体" w:cs="宋体"/>
                <w:color w:val="auto"/>
                <w:highlight w:val="none"/>
              </w:rPr>
              <w:t xml:space="preserve"> </w:t>
            </w:r>
            <w:r>
              <w:rPr>
                <w:rFonts w:hint="eastAsia" w:ascii="宋体" w:hAnsi="宋体" w:eastAsia="宋体" w:cs="宋体"/>
                <w:bCs/>
                <w:color w:val="auto"/>
                <w:sz w:val="22"/>
                <w:szCs w:val="22"/>
                <w:highlight w:val="none"/>
              </w:rPr>
              <w:t>为支持和促进中小企业发展，进一步发挥政府采购政策功能，“政采云”平台目前提供政采贷、履约保函、预付款保函等金融服务，供应商若有融资意向，可登陆https://jinrong.zcygov.cn/finance-service/#/help查看详情。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p>
            <w:pP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6.对节能、环保产品优先采购。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查询</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w:t>
            </w:r>
            <w:r>
              <w:rPr>
                <w:rFonts w:hint="eastAsia" w:ascii="宋体" w:hAnsi="宋体" w:eastAsia="宋体" w:cs="宋体"/>
                <w:color w:val="auto"/>
                <w:sz w:val="22"/>
                <w:szCs w:val="22"/>
                <w:highlight w:val="none"/>
              </w:rPr>
              <w:t>www.ccgp.gov.cn/search/cr/</w:t>
            </w:r>
            <w:r>
              <w:rPr>
                <w:rFonts w:hint="eastAsia" w:ascii="宋体" w:hAnsi="宋体" w:eastAsia="宋体" w:cs="宋体"/>
                <w:color w:val="auto"/>
                <w:sz w:val="22"/>
                <w:szCs w:val="22"/>
                <w:highlight w:val="none"/>
              </w:rPr>
              <w:t>）；</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2、投标供应商信用信息查询截止时点：招标公告发布之日至投标截止时间前；</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3、投标供应商信用信息查询记录和证据留存的具体方式：网页截图或报告；</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1、中标供应商须在发出中标通知书之日起30日历天内与采购人签订合同。</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合同签订后，采购人依法加强对合同履约进行管理，并在成交供应商服务、项目验收等重要关节，如实填写《合同验收报告》，并及时向同级财政部门报告验收过程中遇到的问题。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免则声明</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6"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项目类型</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eq \o\ac(□,√)</w:instrText>
            </w:r>
            <w:r>
              <w:rPr>
                <w:rFonts w:hint="eastAsia" w:ascii="宋体" w:hAnsi="宋体" w:eastAsia="宋体" w:cs="宋体"/>
                <w:b/>
                <w:color w:val="auto"/>
                <w:sz w:val="22"/>
                <w:szCs w:val="22"/>
                <w:highlight w:val="none"/>
              </w:rPr>
              <w:fldChar w:fldCharType="end"/>
            </w:r>
            <w:r>
              <w:rPr>
                <w:rFonts w:hint="eastAsia" w:ascii="宋体" w:hAnsi="宋体" w:eastAsia="宋体" w:cs="宋体"/>
                <w:color w:val="auto"/>
                <w:sz w:val="22"/>
                <w:szCs w:val="22"/>
                <w:highlight w:val="none"/>
              </w:rPr>
              <w:t>A</w:t>
            </w:r>
            <w:r>
              <w:rPr>
                <w:rFonts w:hint="eastAsia" w:ascii="宋体" w:hAnsi="宋体" w:eastAsia="宋体" w:cs="宋体"/>
                <w:b/>
                <w:color w:val="auto"/>
                <w:sz w:val="22"/>
                <w:szCs w:val="22"/>
                <w:highlight w:val="none"/>
              </w:rPr>
              <w:t>货物类</w:t>
            </w:r>
            <w:r>
              <w:rPr>
                <w:rFonts w:hint="eastAsia" w:ascii="宋体" w:hAnsi="宋体" w:eastAsia="宋体" w:cs="宋体"/>
                <w:color w:val="auto"/>
                <w:sz w:val="22"/>
                <w:szCs w:val="22"/>
                <w:highlight w:val="none"/>
              </w:rPr>
              <w:t>，单一产品或核心产品为：</w:t>
            </w:r>
            <w:r>
              <w:rPr>
                <w:rFonts w:hint="eastAsia" w:ascii="宋体" w:hAnsi="宋体" w:eastAsia="宋体" w:cs="宋体"/>
                <w:color w:val="auto"/>
                <w:kern w:val="0"/>
                <w:sz w:val="22"/>
                <w:szCs w:val="22"/>
                <w:highlight w:val="none"/>
              </w:rPr>
              <w:t>骨密度仪</w:t>
            </w:r>
            <w:r>
              <w:rPr>
                <w:rFonts w:hint="eastAsia" w:ascii="宋体" w:hAnsi="宋体" w:eastAsia="宋体" w:cs="宋体"/>
                <w:color w:val="auto"/>
                <w:sz w:val="22"/>
                <w:highlight w:val="none"/>
              </w:rPr>
              <w:t>。</w:t>
            </w: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sym w:font="Wingdings 2" w:char="00A3"/>
            </w:r>
            <w:r>
              <w:rPr>
                <w:rFonts w:hint="eastAsia" w:ascii="宋体" w:hAnsi="宋体" w:eastAsia="宋体" w:cs="宋体"/>
                <w:b/>
                <w:color w:val="auto"/>
                <w:sz w:val="22"/>
                <w:szCs w:val="22"/>
                <w:highlight w:val="none"/>
              </w:rPr>
              <w:t>B服务类。</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采购标的对应的中小企业划分标准所属行业：</w:t>
            </w:r>
            <w:r>
              <w:rPr>
                <w:rFonts w:hint="eastAsia" w:ascii="宋体" w:hAnsi="宋体" w:eastAsia="宋体" w:cs="宋体"/>
                <w:b/>
                <w:color w:val="auto"/>
                <w:sz w:val="22"/>
                <w:szCs w:val="22"/>
                <w:highlight w:val="none"/>
              </w:rPr>
              <w:t>工业</w:t>
            </w:r>
          </w:p>
        </w:tc>
      </w:tr>
    </w:tbl>
    <w:p>
      <w:pPr>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pStyle w:val="18"/>
        <w:ind w:firstLine="210"/>
        <w:rPr>
          <w:rFonts w:hint="eastAsia" w:ascii="宋体" w:hAnsi="宋体" w:eastAsia="宋体" w:cs="宋体"/>
          <w:color w:val="auto"/>
          <w:highlight w:val="none"/>
        </w:rPr>
      </w:pPr>
    </w:p>
    <w:p>
      <w:pPr>
        <w:pStyle w:val="40"/>
        <w:rPr>
          <w:rFonts w:hint="eastAsia" w:ascii="宋体" w:hAnsi="宋体" w:eastAsia="宋体" w:cs="宋体"/>
          <w:color w:val="auto"/>
          <w:sz w:val="30"/>
          <w:szCs w:val="30"/>
          <w:highlight w:val="none"/>
        </w:rPr>
      </w:pPr>
      <w:bookmarkStart w:id="7" w:name="_Toc498343165"/>
      <w:bookmarkStart w:id="8" w:name="_Toc461563840"/>
      <w:r>
        <w:rPr>
          <w:rFonts w:hint="eastAsia" w:ascii="宋体" w:hAnsi="宋体" w:eastAsia="宋体" w:cs="宋体"/>
          <w:color w:val="auto"/>
          <w:sz w:val="30"/>
          <w:szCs w:val="30"/>
          <w:highlight w:val="none"/>
        </w:rPr>
        <w:br w:type="page"/>
      </w:r>
      <w:bookmarkStart w:id="9" w:name="_Toc13266"/>
      <w:r>
        <w:rPr>
          <w:rFonts w:hint="eastAsia" w:ascii="宋体" w:hAnsi="宋体" w:eastAsia="宋体" w:cs="宋体"/>
          <w:color w:val="auto"/>
          <w:sz w:val="30"/>
          <w:szCs w:val="30"/>
          <w:highlight w:val="none"/>
        </w:rPr>
        <w:t xml:space="preserve">第二部分 </w:t>
      </w:r>
      <w:bookmarkEnd w:id="7"/>
      <w:bookmarkEnd w:id="8"/>
      <w:r>
        <w:rPr>
          <w:rFonts w:hint="eastAsia" w:ascii="宋体" w:hAnsi="宋体" w:eastAsia="宋体" w:cs="宋体"/>
          <w:color w:val="auto"/>
          <w:sz w:val="30"/>
          <w:szCs w:val="30"/>
          <w:highlight w:val="none"/>
        </w:rPr>
        <w:t>招标内容及要求</w:t>
      </w:r>
      <w:bookmarkEnd w:id="9"/>
    </w:p>
    <w:p>
      <w:pPr>
        <w:pStyle w:val="40"/>
        <w:rPr>
          <w:rFonts w:hint="eastAsia" w:ascii="宋体" w:hAnsi="宋体" w:eastAsia="宋体" w:cs="宋体"/>
          <w:color w:val="auto"/>
          <w:highlight w:val="none"/>
        </w:rPr>
      </w:pPr>
      <w:bookmarkStart w:id="10" w:name="_Toc22906"/>
      <w:bookmarkStart w:id="11" w:name="_Toc484540405"/>
      <w:bookmarkStart w:id="12" w:name="_Toc501892974"/>
      <w:bookmarkStart w:id="13" w:name="_Toc405377115"/>
      <w:bookmarkStart w:id="14" w:name="_Toc66643429"/>
      <w:bookmarkStart w:id="15" w:name="_Toc498343168"/>
      <w:bookmarkStart w:id="16" w:name="_Toc461563851"/>
      <w:r>
        <w:rPr>
          <w:rFonts w:hint="eastAsia" w:ascii="宋体" w:hAnsi="宋体" w:eastAsia="宋体" w:cs="宋体"/>
          <w:color w:val="auto"/>
          <w:highlight w:val="none"/>
        </w:rPr>
        <w:t>一、采购总说明</w:t>
      </w:r>
      <w:bookmarkEnd w:id="10"/>
    </w:p>
    <w:p>
      <w:pPr>
        <w:spacing w:line="460" w:lineRule="atLeast"/>
        <w:ind w:firstLine="440" w:firstLineChars="200"/>
        <w:rPr>
          <w:rFonts w:hint="eastAsia" w:ascii="宋体" w:hAnsi="宋体" w:eastAsia="宋体" w:cs="宋体"/>
          <w:b/>
          <w:bCs/>
          <w:color w:val="auto"/>
          <w:sz w:val="22"/>
          <w:szCs w:val="22"/>
          <w:highlight w:val="none"/>
        </w:rPr>
      </w:pPr>
      <w:bookmarkStart w:id="17" w:name="_Toc25187"/>
      <w:r>
        <w:rPr>
          <w:rFonts w:hint="eastAsia" w:ascii="宋体" w:hAnsi="宋体" w:eastAsia="宋体" w:cs="宋体"/>
          <w:color w:val="auto"/>
          <w:sz w:val="22"/>
          <w:szCs w:val="22"/>
          <w:highlight w:val="none"/>
        </w:rPr>
        <w:t>1、本技术规范要求提出的是最低限度的基本技术要求，并未对所有技术细节作出规定，供应商应提供符合本技术要求和国家标准、行业标准的优质产品。</w:t>
      </w:r>
    </w:p>
    <w:p>
      <w:pPr>
        <w:spacing w:line="460" w:lineRule="atLeas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spacing w:line="460" w:lineRule="atLeas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3、技术要求及标准的执行</w:t>
      </w:r>
    </w:p>
    <w:p>
      <w:pPr>
        <w:spacing w:line="460" w:lineRule="atLeas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pPr>
        <w:spacing w:line="460" w:lineRule="atLeas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pPr>
        <w:spacing w:line="460" w:lineRule="atLeas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运杂费、保险费、增值税、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pPr>
        <w:pStyle w:val="40"/>
        <w:rPr>
          <w:rFonts w:hint="eastAsia" w:ascii="宋体" w:hAnsi="宋体" w:eastAsia="宋体" w:cs="宋体"/>
          <w:color w:val="auto"/>
          <w:highlight w:val="none"/>
        </w:rPr>
      </w:pPr>
      <w:r>
        <w:rPr>
          <w:rFonts w:hint="eastAsia" w:ascii="宋体" w:hAnsi="宋体" w:eastAsia="宋体" w:cs="宋体"/>
          <w:color w:val="auto"/>
          <w:highlight w:val="none"/>
        </w:rPr>
        <w:t>二、采购内容及技术要求</w:t>
      </w:r>
    </w:p>
    <w:p>
      <w:pPr>
        <w:spacing w:line="460" w:lineRule="atLeas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rPr>
        <w:t>采购内容一览表</w:t>
      </w:r>
      <w:bookmarkStart w:id="227" w:name="_GoBack"/>
      <w:bookmarkEnd w:id="227"/>
    </w:p>
    <w:tbl>
      <w:tblPr>
        <w:tblStyle w:val="43"/>
        <w:tblW w:w="9541" w:type="dxa"/>
        <w:jc w:val="center"/>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931"/>
        <w:gridCol w:w="4425"/>
        <w:gridCol w:w="1548"/>
        <w:gridCol w:w="1140"/>
        <w:gridCol w:w="1497"/>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31" w:type="dxa"/>
            <w:tcBorders>
              <w:tl2br w:val="nil"/>
              <w:tr2bl w:val="nil"/>
            </w:tcBorders>
            <w:vAlign w:val="center"/>
          </w:tcPr>
          <w:p>
            <w:pPr>
              <w:jc w:val="center"/>
              <w:rPr>
                <w:rFonts w:hint="eastAsia" w:ascii="宋体" w:hAnsi="宋体" w:eastAsia="宋体" w:cs="宋体"/>
                <w:b/>
                <w:bCs/>
                <w:caps/>
                <w:color w:val="auto"/>
                <w:sz w:val="22"/>
                <w:szCs w:val="22"/>
                <w:highlight w:val="none"/>
              </w:rPr>
            </w:pPr>
            <w:r>
              <w:rPr>
                <w:rFonts w:hint="eastAsia" w:ascii="宋体" w:hAnsi="宋体" w:eastAsia="宋体" w:cs="宋体"/>
                <w:caps/>
                <w:color w:val="auto"/>
                <w:sz w:val="22"/>
                <w:szCs w:val="22"/>
                <w:highlight w:val="none"/>
              </w:rPr>
              <w:t>序号</w:t>
            </w:r>
          </w:p>
        </w:tc>
        <w:tc>
          <w:tcPr>
            <w:tcW w:w="4425" w:type="dxa"/>
            <w:tcBorders>
              <w:tl2br w:val="nil"/>
              <w:tr2bl w:val="nil"/>
            </w:tcBorders>
            <w:vAlign w:val="center"/>
          </w:tcPr>
          <w:p>
            <w:pPr>
              <w:jc w:val="center"/>
              <w:rPr>
                <w:rFonts w:hint="eastAsia" w:ascii="宋体" w:hAnsi="宋体" w:eastAsia="宋体" w:cs="宋体"/>
                <w:b/>
                <w:bCs/>
                <w:caps/>
                <w:color w:val="auto"/>
                <w:sz w:val="22"/>
                <w:szCs w:val="22"/>
                <w:highlight w:val="none"/>
              </w:rPr>
            </w:pPr>
            <w:r>
              <w:rPr>
                <w:rFonts w:hint="eastAsia" w:ascii="宋体" w:hAnsi="宋体" w:eastAsia="宋体" w:cs="宋体"/>
                <w:caps/>
                <w:color w:val="auto"/>
                <w:sz w:val="22"/>
                <w:szCs w:val="22"/>
                <w:highlight w:val="none"/>
              </w:rPr>
              <w:t>货物名称</w:t>
            </w:r>
          </w:p>
        </w:tc>
        <w:tc>
          <w:tcPr>
            <w:tcW w:w="1548" w:type="dxa"/>
            <w:tcBorders>
              <w:tl2br w:val="nil"/>
              <w:tr2bl w:val="nil"/>
            </w:tcBorders>
            <w:vAlign w:val="center"/>
          </w:tcPr>
          <w:p>
            <w:pPr>
              <w:jc w:val="center"/>
              <w:rPr>
                <w:rFonts w:hint="eastAsia" w:ascii="宋体" w:hAnsi="宋体" w:eastAsia="宋体" w:cs="宋体"/>
                <w:b/>
                <w:bCs/>
                <w:caps/>
                <w:color w:val="auto"/>
                <w:sz w:val="22"/>
                <w:szCs w:val="22"/>
                <w:highlight w:val="none"/>
              </w:rPr>
            </w:pPr>
            <w:r>
              <w:rPr>
                <w:rFonts w:hint="eastAsia" w:ascii="宋体" w:hAnsi="宋体" w:eastAsia="宋体" w:cs="宋体"/>
                <w:caps/>
                <w:color w:val="auto"/>
                <w:sz w:val="22"/>
                <w:szCs w:val="22"/>
                <w:highlight w:val="none"/>
              </w:rPr>
              <w:t>数量</w:t>
            </w:r>
          </w:p>
        </w:tc>
        <w:tc>
          <w:tcPr>
            <w:tcW w:w="1140" w:type="dxa"/>
            <w:tcBorders>
              <w:tl2br w:val="nil"/>
              <w:tr2bl w:val="nil"/>
            </w:tcBorders>
            <w:vAlign w:val="center"/>
          </w:tcPr>
          <w:p>
            <w:pPr>
              <w:jc w:val="center"/>
              <w:rPr>
                <w:rFonts w:hint="eastAsia" w:ascii="宋体" w:hAnsi="宋体" w:eastAsia="宋体" w:cs="宋体"/>
                <w:b/>
                <w:bCs/>
                <w:caps/>
                <w:color w:val="auto"/>
                <w:sz w:val="22"/>
                <w:szCs w:val="22"/>
                <w:highlight w:val="none"/>
              </w:rPr>
            </w:pPr>
            <w:r>
              <w:rPr>
                <w:rFonts w:hint="eastAsia" w:ascii="宋体" w:hAnsi="宋体" w:eastAsia="宋体" w:cs="宋体"/>
                <w:color w:val="auto"/>
                <w:sz w:val="22"/>
                <w:szCs w:val="22"/>
                <w:highlight w:val="none"/>
              </w:rPr>
              <w:t>交货期</w:t>
            </w:r>
          </w:p>
        </w:tc>
        <w:tc>
          <w:tcPr>
            <w:tcW w:w="1497" w:type="dxa"/>
            <w:tcBorders>
              <w:tl2br w:val="nil"/>
              <w:tr2bl w:val="nil"/>
            </w:tcBorders>
            <w:vAlign w:val="center"/>
          </w:tcPr>
          <w:p>
            <w:pPr>
              <w:jc w:val="center"/>
              <w:rPr>
                <w:rFonts w:hint="eastAsia" w:ascii="宋体" w:hAnsi="宋体" w:eastAsia="宋体" w:cs="宋体"/>
                <w:b/>
                <w:bCs/>
                <w:caps/>
                <w:color w:val="auto"/>
                <w:sz w:val="22"/>
                <w:szCs w:val="22"/>
                <w:highlight w:val="none"/>
              </w:rPr>
            </w:pPr>
            <w:r>
              <w:rPr>
                <w:rFonts w:hint="eastAsia" w:ascii="宋体" w:hAnsi="宋体" w:eastAsia="宋体" w:cs="宋体"/>
                <w:caps/>
                <w:color w:val="auto"/>
                <w:sz w:val="22"/>
                <w:szCs w:val="22"/>
                <w:highlight w:val="none"/>
              </w:rPr>
              <w:t>目的地</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31" w:type="dxa"/>
            <w:tcBorders>
              <w:tl2br w:val="nil"/>
              <w:tr2bl w:val="nil"/>
            </w:tcBorders>
            <w:vAlign w:val="center"/>
          </w:tcPr>
          <w:p>
            <w:pPr>
              <w:jc w:val="center"/>
              <w:rPr>
                <w:rFonts w:hint="eastAsia" w:ascii="宋体" w:hAnsi="宋体" w:eastAsia="宋体" w:cs="宋体"/>
                <w:b/>
                <w:bCs/>
                <w:caps/>
                <w:color w:val="auto"/>
                <w:sz w:val="22"/>
                <w:szCs w:val="22"/>
                <w:highlight w:val="none"/>
              </w:rPr>
            </w:pPr>
            <w:r>
              <w:rPr>
                <w:rFonts w:hint="eastAsia" w:ascii="宋体" w:hAnsi="宋体" w:eastAsia="宋体" w:cs="宋体"/>
                <w:caps/>
                <w:color w:val="auto"/>
                <w:sz w:val="22"/>
                <w:szCs w:val="22"/>
                <w:highlight w:val="none"/>
              </w:rPr>
              <w:t>1</w:t>
            </w:r>
          </w:p>
        </w:tc>
        <w:tc>
          <w:tcPr>
            <w:tcW w:w="4425" w:type="dxa"/>
            <w:tcBorders>
              <w:tl2br w:val="nil"/>
              <w:tr2bl w:val="nil"/>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双能X射线骨密度仪</w:t>
            </w:r>
          </w:p>
        </w:tc>
        <w:tc>
          <w:tcPr>
            <w:tcW w:w="1548" w:type="dxa"/>
            <w:tcBorders>
              <w:tl2br w:val="nil"/>
              <w:tr2bl w:val="nil"/>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2台</w:t>
            </w:r>
          </w:p>
        </w:tc>
        <w:tc>
          <w:tcPr>
            <w:tcW w:w="1140" w:type="dxa"/>
            <w:tcBorders>
              <w:tl2br w:val="nil"/>
              <w:tr2bl w:val="nil"/>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合同签订后7天内</w:t>
            </w:r>
          </w:p>
        </w:tc>
        <w:tc>
          <w:tcPr>
            <w:tcW w:w="1497" w:type="dxa"/>
            <w:tcBorders>
              <w:tl2br w:val="nil"/>
              <w:tr2bl w:val="nil"/>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采购人指定地点</w:t>
            </w:r>
          </w:p>
        </w:tc>
      </w:tr>
    </w:tbl>
    <w:p>
      <w:pPr>
        <w:spacing w:line="460" w:lineRule="atLeas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2.技术要求</w:t>
      </w:r>
    </w:p>
    <w:p>
      <w:pPr>
        <w:spacing w:line="360" w:lineRule="auto"/>
        <w:ind w:firstLine="437" w:firstLineChars="198"/>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2.1、设备名称：</w:t>
      </w:r>
      <w:r>
        <w:rPr>
          <w:rFonts w:hint="eastAsia" w:ascii="宋体" w:hAnsi="宋体" w:eastAsia="宋体" w:cs="宋体"/>
          <w:color w:val="auto"/>
          <w:sz w:val="22"/>
          <w:szCs w:val="22"/>
          <w:highlight w:val="none"/>
        </w:rPr>
        <w:t xml:space="preserve">双能X射线骨密度仪 </w:t>
      </w:r>
    </w:p>
    <w:p>
      <w:pPr>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2.2、设备功能：</w:t>
      </w:r>
      <w:r>
        <w:rPr>
          <w:rFonts w:hint="eastAsia" w:ascii="宋体" w:hAnsi="宋体" w:eastAsia="宋体" w:cs="宋体"/>
          <w:color w:val="auto"/>
          <w:sz w:val="22"/>
          <w:szCs w:val="22"/>
          <w:highlight w:val="none"/>
        </w:rPr>
        <w:t>骨密度测量，检测部位腰椎、股骨、前臂，T值Z值分析。还可测量全身人体成分，提供精确的骨量评估以及预防及诊断。</w:t>
      </w:r>
    </w:p>
    <w:p>
      <w:pPr>
        <w:spacing w:line="360" w:lineRule="auto"/>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2.3、设备参数</w:t>
      </w:r>
    </w:p>
    <w:tbl>
      <w:tblPr>
        <w:tblStyle w:val="4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7"/>
        <w:gridCol w:w="3117"/>
        <w:gridCol w:w="5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X 射线系统</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583" w:type="pct"/>
            <w:vAlign w:val="center"/>
          </w:tcPr>
          <w:p>
            <w:pPr>
              <w:pStyle w:val="87"/>
              <w:jc w:val="center"/>
              <w:rPr>
                <w:rFonts w:hint="eastAsia" w:ascii="宋体" w:hAnsi="宋体" w:eastAsia="宋体" w:cs="宋体"/>
                <w:color w:val="auto"/>
                <w:highlight w:val="none"/>
              </w:rPr>
            </w:pPr>
            <w:r>
              <w:rPr>
                <w:rFonts w:hint="eastAsia" w:ascii="宋体" w:hAnsi="宋体" w:eastAsia="宋体" w:cs="宋体"/>
                <w:color w:val="auto"/>
                <w:highlight w:val="none"/>
              </w:rPr>
              <w:t>扫描方式</w:t>
            </w:r>
          </w:p>
        </w:tc>
        <w:tc>
          <w:tcPr>
            <w:tcW w:w="2860" w:type="pct"/>
            <w:vAlign w:val="center"/>
          </w:tcPr>
          <w:p>
            <w:pPr>
              <w:pStyle w:val="87"/>
              <w:jc w:val="center"/>
              <w:rPr>
                <w:rFonts w:hint="eastAsia" w:ascii="宋体" w:hAnsi="宋体" w:eastAsia="宋体" w:cs="宋体"/>
                <w:color w:val="auto"/>
                <w:highlight w:val="none"/>
              </w:rPr>
            </w:pPr>
            <w:r>
              <w:rPr>
                <w:rFonts w:hint="eastAsia" w:ascii="宋体" w:hAnsi="宋体" w:eastAsia="宋体" w:cs="宋体"/>
                <w:color w:val="auto"/>
                <w:highlight w:val="none"/>
              </w:rPr>
              <w:t>扇束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583" w:type="pct"/>
            <w:vAlign w:val="center"/>
          </w:tcPr>
          <w:p>
            <w:pPr>
              <w:pStyle w:val="87"/>
              <w:jc w:val="center"/>
              <w:rPr>
                <w:rFonts w:hint="eastAsia" w:ascii="宋体" w:hAnsi="宋体" w:eastAsia="宋体" w:cs="宋体"/>
                <w:color w:val="auto"/>
                <w:highlight w:val="none"/>
              </w:rPr>
            </w:pPr>
            <w:r>
              <w:rPr>
                <w:rFonts w:hint="eastAsia" w:ascii="宋体" w:hAnsi="宋体" w:eastAsia="宋体" w:cs="宋体"/>
                <w:color w:val="auto"/>
                <w:highlight w:val="none"/>
              </w:rPr>
              <w:t>测量部位</w:t>
            </w:r>
          </w:p>
        </w:tc>
        <w:tc>
          <w:tcPr>
            <w:tcW w:w="2860" w:type="pct"/>
            <w:vAlign w:val="center"/>
          </w:tcPr>
          <w:p>
            <w:pPr>
              <w:pStyle w:val="87"/>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腰椎、股骨、前臂、</w:t>
            </w:r>
            <w:r>
              <w:rPr>
                <w:rFonts w:hint="eastAsia" w:ascii="宋体" w:hAnsi="宋体" w:eastAsia="宋体" w:cs="宋体"/>
                <w:color w:val="auto"/>
                <w:highlight w:val="none"/>
                <w:lang w:val="en-US"/>
              </w:rPr>
              <w:t>全身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583" w:type="pct"/>
            <w:vAlign w:val="center"/>
          </w:tcPr>
          <w:p>
            <w:pPr>
              <w:pStyle w:val="87"/>
              <w:spacing w:before="4"/>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双能产生方式</w:t>
            </w:r>
          </w:p>
        </w:tc>
        <w:tc>
          <w:tcPr>
            <w:tcW w:w="2860" w:type="pct"/>
            <w:vAlign w:val="center"/>
          </w:tcPr>
          <w:p>
            <w:pPr>
              <w:pStyle w:val="87"/>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恒稳电压方式(K-缘过滤器)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583" w:type="pct"/>
            <w:vAlign w:val="center"/>
          </w:tcPr>
          <w:p>
            <w:pPr>
              <w:spacing w:before="12"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X</w:t>
            </w:r>
            <w:r>
              <w:rPr>
                <w:rFonts w:hint="eastAsia" w:ascii="宋体" w:hAnsi="宋体" w:eastAsia="宋体" w:cs="宋体"/>
                <w:color w:val="auto"/>
                <w:spacing w:val="-9"/>
                <w:sz w:val="22"/>
                <w:szCs w:val="22"/>
                <w:highlight w:val="none"/>
              </w:rPr>
              <w:t xml:space="preserve"> </w:t>
            </w:r>
            <w:r>
              <w:rPr>
                <w:rFonts w:hint="eastAsia" w:ascii="宋体" w:hAnsi="宋体" w:eastAsia="宋体" w:cs="宋体"/>
                <w:color w:val="auto"/>
                <w:spacing w:val="-7"/>
                <w:sz w:val="22"/>
                <w:szCs w:val="22"/>
                <w:highlight w:val="none"/>
              </w:rPr>
              <w:t>射线管电压恒定</w:t>
            </w:r>
          </w:p>
        </w:tc>
        <w:tc>
          <w:tcPr>
            <w:tcW w:w="2860" w:type="pct"/>
            <w:vAlign w:val="center"/>
          </w:tcPr>
          <w:p>
            <w:pPr>
              <w:spacing w:line="360" w:lineRule="auto"/>
              <w:ind w:firstLine="220" w:firstLineChars="1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pacing w:val="-17"/>
                <w:sz w:val="22"/>
                <w:szCs w:val="22"/>
                <w:highlight w:val="none"/>
              </w:rPr>
              <w:t>76 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583" w:type="pct"/>
            <w:vAlign w:val="center"/>
          </w:tcPr>
          <w:p>
            <w:pPr>
              <w:pStyle w:val="87"/>
              <w:spacing w:before="3"/>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最大输出功率</w:t>
            </w:r>
          </w:p>
        </w:tc>
        <w:tc>
          <w:tcPr>
            <w:tcW w:w="2860" w:type="pct"/>
            <w:vAlign w:val="center"/>
          </w:tcPr>
          <w:p>
            <w:pPr>
              <w:pStyle w:val="87"/>
              <w:spacing w:before="3"/>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≥76W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583"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rPr>
              <w:t>球管最大管电流</w:t>
            </w:r>
          </w:p>
        </w:tc>
        <w:tc>
          <w:tcPr>
            <w:tcW w:w="2860" w:type="pct"/>
            <w:vAlign w:val="center"/>
          </w:tcPr>
          <w:p>
            <w:pPr>
              <w:pStyle w:val="87"/>
              <w:spacing w:before="3"/>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1583" w:type="pct"/>
            <w:vAlign w:val="center"/>
          </w:tcPr>
          <w:p>
            <w:pPr>
              <w:pStyle w:val="87"/>
              <w:spacing w:before="3"/>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球管组件热容量</w:t>
            </w:r>
          </w:p>
        </w:tc>
        <w:tc>
          <w:tcPr>
            <w:tcW w:w="2860" w:type="pct"/>
            <w:vAlign w:val="center"/>
          </w:tcPr>
          <w:p>
            <w:pPr>
              <w:pStyle w:val="87"/>
              <w:spacing w:before="3"/>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≥35kJ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1583" w:type="pct"/>
            <w:vAlign w:val="center"/>
          </w:tcPr>
          <w:p>
            <w:pPr>
              <w:pStyle w:val="87"/>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球管冷却方式</w:t>
            </w:r>
          </w:p>
        </w:tc>
        <w:tc>
          <w:tcPr>
            <w:tcW w:w="2860" w:type="pct"/>
            <w:vAlign w:val="center"/>
          </w:tcPr>
          <w:p>
            <w:pPr>
              <w:pStyle w:val="87"/>
              <w:spacing w:before="3"/>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油冷</w:t>
            </w:r>
            <w:r>
              <w:rPr>
                <w:rFonts w:hint="eastAsia" w:ascii="宋体" w:hAnsi="宋体" w:eastAsia="宋体" w:cs="宋体"/>
                <w:color w:val="auto"/>
                <w:highlight w:val="none"/>
                <w:lang w:val="en-US"/>
              </w:rPr>
              <w:t>+风冷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583" w:type="pct"/>
            <w:vAlign w:val="center"/>
          </w:tcPr>
          <w:p>
            <w:pPr>
              <w:pStyle w:val="87"/>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焦点大小</w:t>
            </w:r>
          </w:p>
        </w:tc>
        <w:tc>
          <w:tcPr>
            <w:tcW w:w="2860" w:type="pct"/>
            <w:vAlign w:val="center"/>
          </w:tcPr>
          <w:p>
            <w:pPr>
              <w:pStyle w:val="87"/>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≥0.5mm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1.10</w:t>
            </w:r>
          </w:p>
        </w:tc>
        <w:tc>
          <w:tcPr>
            <w:tcW w:w="1583" w:type="pct"/>
            <w:vAlign w:val="center"/>
          </w:tcPr>
          <w:p>
            <w:pPr>
              <w:pStyle w:val="87"/>
              <w:spacing w:before="4"/>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X</w:t>
            </w:r>
            <w:r>
              <w:rPr>
                <w:rFonts w:hint="eastAsia" w:ascii="宋体" w:hAnsi="宋体" w:eastAsia="宋体" w:cs="宋体"/>
                <w:color w:val="auto"/>
                <w:highlight w:val="none"/>
              </w:rPr>
              <w:t>射线束</w:t>
            </w:r>
            <w:r>
              <w:rPr>
                <w:rFonts w:hint="eastAsia" w:ascii="宋体" w:hAnsi="宋体" w:eastAsia="宋体" w:cs="宋体"/>
                <w:color w:val="auto"/>
                <w:highlight w:val="none"/>
                <w:lang w:val="en-US"/>
              </w:rPr>
              <w:t>的</w:t>
            </w:r>
            <w:r>
              <w:rPr>
                <w:rFonts w:hint="eastAsia" w:ascii="宋体" w:hAnsi="宋体" w:eastAsia="宋体" w:cs="宋体"/>
                <w:color w:val="auto"/>
                <w:highlight w:val="none"/>
              </w:rPr>
              <w:t>开角</w:t>
            </w:r>
          </w:p>
        </w:tc>
        <w:tc>
          <w:tcPr>
            <w:tcW w:w="2860" w:type="pct"/>
            <w:vAlign w:val="center"/>
          </w:tcPr>
          <w:p>
            <w:pPr>
              <w:pStyle w:val="87"/>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1.11</w:t>
            </w:r>
          </w:p>
        </w:tc>
        <w:tc>
          <w:tcPr>
            <w:tcW w:w="1583" w:type="pct"/>
            <w:vAlign w:val="center"/>
          </w:tcPr>
          <w:p>
            <w:pPr>
              <w:pStyle w:val="87"/>
              <w:spacing w:before="4"/>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限束扫描开口大小</w:t>
            </w:r>
          </w:p>
        </w:tc>
        <w:tc>
          <w:tcPr>
            <w:tcW w:w="2860" w:type="pct"/>
            <w:vAlign w:val="center"/>
          </w:tcPr>
          <w:p>
            <w:pPr>
              <w:pStyle w:val="87"/>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≥2.5mm×15mm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1.12</w:t>
            </w:r>
          </w:p>
        </w:tc>
        <w:tc>
          <w:tcPr>
            <w:tcW w:w="1583"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lang w:val="en-US" w:bidi="ar"/>
              </w:rPr>
              <w:t>X射线管电流具备为2档：</w:t>
            </w:r>
          </w:p>
        </w:tc>
        <w:tc>
          <w:tcPr>
            <w:tcW w:w="2860" w:type="pct"/>
            <w:vAlign w:val="center"/>
          </w:tcPr>
          <w:p>
            <w:pPr>
              <w:pStyle w:val="87"/>
              <w:spacing w:before="4"/>
              <w:ind w:firstLine="1320" w:firstLineChars="600"/>
              <w:jc w:val="both"/>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1档：1mA</w:t>
            </w:r>
          </w:p>
          <w:p>
            <w:pPr>
              <w:pStyle w:val="87"/>
              <w:spacing w:before="4"/>
              <w:ind w:firstLine="22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lang w:val="en-US" w:bidi="ar"/>
              </w:rPr>
              <w:t>2档：0.15mA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1.13</w:t>
            </w:r>
          </w:p>
        </w:tc>
        <w:tc>
          <w:tcPr>
            <w:tcW w:w="1583" w:type="pct"/>
            <w:vAlign w:val="center"/>
          </w:tcPr>
          <w:p>
            <w:pPr>
              <w:pStyle w:val="87"/>
              <w:spacing w:before="3"/>
              <w:jc w:val="center"/>
              <w:rPr>
                <w:rFonts w:hint="eastAsia" w:ascii="宋体" w:hAnsi="宋体" w:eastAsia="宋体" w:cs="宋体"/>
                <w:color w:val="auto"/>
                <w:kern w:val="2"/>
                <w:highlight w:val="none"/>
                <w:lang w:val="en-US"/>
              </w:rPr>
            </w:pPr>
            <w:r>
              <w:rPr>
                <w:rFonts w:hint="eastAsia" w:ascii="宋体" w:hAnsi="宋体" w:eastAsia="宋体" w:cs="宋体"/>
                <w:color w:val="auto"/>
                <w:highlight w:val="none"/>
                <w:lang w:val="en-US"/>
              </w:rPr>
              <w:t>焦点与皮肤之间的距离</w:t>
            </w:r>
          </w:p>
        </w:tc>
        <w:tc>
          <w:tcPr>
            <w:tcW w:w="2860" w:type="pct"/>
            <w:vAlign w:val="center"/>
          </w:tcPr>
          <w:p>
            <w:pPr>
              <w:pStyle w:val="87"/>
              <w:spacing w:before="160"/>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83" w:type="pct"/>
            <w:vAlign w:val="center"/>
          </w:tcPr>
          <w:p>
            <w:pPr>
              <w:pStyle w:val="87"/>
              <w:jc w:val="center"/>
              <w:rPr>
                <w:rFonts w:hint="eastAsia" w:ascii="宋体" w:hAnsi="宋体" w:eastAsia="宋体" w:cs="宋体"/>
                <w:color w:val="auto"/>
                <w:highlight w:val="none"/>
                <w:lang w:val="en-US"/>
              </w:rPr>
            </w:pPr>
            <w:r>
              <w:rPr>
                <w:rFonts w:hint="eastAsia" w:ascii="宋体" w:hAnsi="宋体" w:eastAsia="宋体" w:cs="宋体"/>
                <w:b/>
                <w:color w:val="auto"/>
                <w:highlight w:val="none"/>
              </w:rPr>
              <w:t>探测器部分</w:t>
            </w:r>
          </w:p>
        </w:tc>
        <w:tc>
          <w:tcPr>
            <w:tcW w:w="2860" w:type="pct"/>
            <w:vAlign w:val="center"/>
          </w:tcPr>
          <w:p>
            <w:pPr>
              <w:pStyle w:val="87"/>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w:t>
            </w:r>
          </w:p>
        </w:tc>
        <w:tc>
          <w:tcPr>
            <w:tcW w:w="1583" w:type="pct"/>
            <w:vAlign w:val="center"/>
          </w:tcPr>
          <w:p>
            <w:pPr>
              <w:pStyle w:val="87"/>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探测器类型</w:t>
            </w:r>
          </w:p>
        </w:tc>
        <w:tc>
          <w:tcPr>
            <w:tcW w:w="2860" w:type="pct"/>
            <w:vAlign w:val="center"/>
          </w:tcPr>
          <w:p>
            <w:pPr>
              <w:pStyle w:val="87"/>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CZT探测器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583" w:type="pct"/>
            <w:vAlign w:val="center"/>
          </w:tcPr>
          <w:p>
            <w:pPr>
              <w:pStyle w:val="87"/>
              <w:spacing w:before="4"/>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探测器通道数</w:t>
            </w:r>
          </w:p>
        </w:tc>
        <w:tc>
          <w:tcPr>
            <w:tcW w:w="2860" w:type="pct"/>
            <w:vAlign w:val="center"/>
          </w:tcPr>
          <w:p>
            <w:pPr>
              <w:pStyle w:val="87"/>
              <w:spacing w:before="4"/>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32个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1583"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rPr>
              <w:t>焦点与</w:t>
            </w:r>
            <w:r>
              <w:rPr>
                <w:rFonts w:hint="eastAsia" w:ascii="宋体" w:hAnsi="宋体" w:eastAsia="宋体" w:cs="宋体"/>
                <w:color w:val="auto"/>
                <w:highlight w:val="none"/>
                <w:lang w:val="en-US"/>
              </w:rPr>
              <w:t>探测器</w:t>
            </w:r>
            <w:r>
              <w:rPr>
                <w:rFonts w:hint="eastAsia" w:ascii="宋体" w:hAnsi="宋体" w:eastAsia="宋体" w:cs="宋体"/>
                <w:color w:val="auto"/>
                <w:highlight w:val="none"/>
              </w:rPr>
              <w:t>之间的距离</w:t>
            </w:r>
          </w:p>
        </w:tc>
        <w:tc>
          <w:tcPr>
            <w:tcW w:w="2860" w:type="pct"/>
            <w:vAlign w:val="center"/>
          </w:tcPr>
          <w:p>
            <w:pPr>
              <w:pStyle w:val="87"/>
              <w:spacing w:before="160"/>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65cm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4</w:t>
            </w:r>
          </w:p>
        </w:tc>
        <w:tc>
          <w:tcPr>
            <w:tcW w:w="1583" w:type="pct"/>
            <w:vAlign w:val="center"/>
          </w:tcPr>
          <w:p>
            <w:pPr>
              <w:pStyle w:val="87"/>
              <w:spacing w:before="3"/>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有效视野</w:t>
            </w:r>
            <w:r>
              <w:rPr>
                <w:rFonts w:hint="eastAsia" w:ascii="宋体" w:hAnsi="宋体" w:eastAsia="宋体" w:cs="宋体"/>
                <w:color w:val="auto"/>
                <w:highlight w:val="none"/>
                <w:lang w:val="en-US"/>
              </w:rPr>
              <w:t>参考</w:t>
            </w:r>
            <w:r>
              <w:rPr>
                <w:rFonts w:hint="eastAsia" w:ascii="宋体" w:hAnsi="宋体" w:eastAsia="宋体" w:cs="宋体"/>
                <w:color w:val="auto"/>
                <w:highlight w:val="none"/>
              </w:rPr>
              <w:t>尺寸</w:t>
            </w:r>
          </w:p>
        </w:tc>
        <w:tc>
          <w:tcPr>
            <w:tcW w:w="2860" w:type="pct"/>
            <w:vAlign w:val="center"/>
          </w:tcPr>
          <w:p>
            <w:pPr>
              <w:pStyle w:val="87"/>
              <w:spacing w:before="160"/>
              <w:ind w:firstLine="22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lang w:val="en-US"/>
              </w:rPr>
              <w:t>≥64mm ×6mm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扫描</w:t>
            </w:r>
          </w:p>
        </w:tc>
        <w:tc>
          <w:tcPr>
            <w:tcW w:w="2860" w:type="pct"/>
            <w:vAlign w:val="center"/>
          </w:tcPr>
          <w:p>
            <w:pPr>
              <w:widowControl/>
              <w:spacing w:line="360" w:lineRule="auto"/>
              <w:jc w:val="center"/>
              <w:rPr>
                <w:rFonts w:hint="eastAsia" w:ascii="宋体" w:hAnsi="宋体" w:eastAsia="宋体" w:cs="宋体"/>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w:t>
            </w:r>
          </w:p>
        </w:tc>
        <w:tc>
          <w:tcPr>
            <w:tcW w:w="1583"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rPr>
              <w:t>扫描床尺寸</w:t>
            </w:r>
          </w:p>
        </w:tc>
        <w:tc>
          <w:tcPr>
            <w:tcW w:w="2860" w:type="pct"/>
            <w:vAlign w:val="center"/>
          </w:tcPr>
          <w:p>
            <w:pPr>
              <w:pStyle w:val="87"/>
              <w:spacing w:before="4"/>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长度：≥</w:t>
            </w:r>
            <w:r>
              <w:rPr>
                <w:rFonts w:hint="eastAsia" w:ascii="宋体" w:hAnsi="宋体" w:eastAsia="宋体" w:cs="宋体"/>
                <w:color w:val="auto"/>
                <w:highlight w:val="none"/>
                <w:lang w:val="en-US"/>
              </w:rPr>
              <w:t>2700mm</w:t>
            </w:r>
          </w:p>
          <w:p>
            <w:pPr>
              <w:pStyle w:val="87"/>
              <w:spacing w:before="4"/>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宽度≥：1000mm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w:t>
            </w:r>
          </w:p>
        </w:tc>
        <w:tc>
          <w:tcPr>
            <w:tcW w:w="1583"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rPr>
              <w:t>扫描台病人承重</w:t>
            </w:r>
          </w:p>
        </w:tc>
        <w:tc>
          <w:tcPr>
            <w:tcW w:w="2860" w:type="pct"/>
            <w:vAlign w:val="center"/>
          </w:tcPr>
          <w:p>
            <w:pPr>
              <w:pStyle w:val="87"/>
              <w:spacing w:before="3"/>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135kg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w:t>
            </w:r>
          </w:p>
        </w:tc>
        <w:tc>
          <w:tcPr>
            <w:tcW w:w="1583"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lang w:val="en-US"/>
              </w:rPr>
              <w:t>扫描臂</w:t>
            </w:r>
            <w:r>
              <w:rPr>
                <w:rFonts w:hint="eastAsia" w:ascii="宋体" w:hAnsi="宋体" w:eastAsia="宋体" w:cs="宋体"/>
                <w:color w:val="auto"/>
                <w:highlight w:val="none"/>
              </w:rPr>
              <w:t>横向运动范围</w:t>
            </w:r>
          </w:p>
        </w:tc>
        <w:tc>
          <w:tcPr>
            <w:tcW w:w="2860" w:type="pct"/>
            <w:vAlign w:val="center"/>
          </w:tcPr>
          <w:p>
            <w:pPr>
              <w:pStyle w:val="87"/>
              <w:spacing w:before="3"/>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1900mm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w:t>
            </w:r>
          </w:p>
        </w:tc>
        <w:tc>
          <w:tcPr>
            <w:tcW w:w="1583"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lang w:val="en-US"/>
              </w:rPr>
              <w:t>探测器</w:t>
            </w:r>
            <w:r>
              <w:rPr>
                <w:rFonts w:hint="eastAsia" w:ascii="宋体" w:hAnsi="宋体" w:eastAsia="宋体" w:cs="宋体"/>
                <w:color w:val="auto"/>
                <w:highlight w:val="none"/>
              </w:rPr>
              <w:t>纵向运动范围</w:t>
            </w:r>
          </w:p>
        </w:tc>
        <w:tc>
          <w:tcPr>
            <w:tcW w:w="2860" w:type="pct"/>
            <w:vAlign w:val="center"/>
          </w:tcPr>
          <w:p>
            <w:pPr>
              <w:pStyle w:val="87"/>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570mm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w:t>
            </w:r>
          </w:p>
        </w:tc>
        <w:tc>
          <w:tcPr>
            <w:tcW w:w="1583" w:type="pct"/>
            <w:vAlign w:val="center"/>
          </w:tcPr>
          <w:p>
            <w:pPr>
              <w:pStyle w:val="87"/>
              <w:spacing w:before="3"/>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最大测量区域</w:t>
            </w:r>
          </w:p>
        </w:tc>
        <w:tc>
          <w:tcPr>
            <w:tcW w:w="2860" w:type="pct"/>
            <w:vAlign w:val="center"/>
          </w:tcPr>
          <w:p>
            <w:pPr>
              <w:pStyle w:val="87"/>
              <w:spacing w:before="3"/>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1890mm× 565mm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3.6</w:t>
            </w:r>
          </w:p>
        </w:tc>
        <w:tc>
          <w:tcPr>
            <w:tcW w:w="1583"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rPr>
              <w:t>单部位扫描时间</w:t>
            </w:r>
          </w:p>
        </w:tc>
        <w:tc>
          <w:tcPr>
            <w:tcW w:w="2860" w:type="pct"/>
            <w:vAlign w:val="center"/>
          </w:tcPr>
          <w:p>
            <w:pPr>
              <w:pStyle w:val="87"/>
              <w:ind w:firstLine="22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腰椎≤4</w:t>
            </w:r>
            <w:r>
              <w:rPr>
                <w:rFonts w:hint="eastAsia" w:ascii="宋体" w:hAnsi="宋体" w:eastAsia="宋体" w:cs="宋体"/>
                <w:color w:val="auto"/>
                <w:highlight w:val="none"/>
                <w:lang w:val="en-US"/>
              </w:rPr>
              <w:t>3</w:t>
            </w:r>
            <w:r>
              <w:rPr>
                <w:rFonts w:hint="eastAsia" w:ascii="宋体" w:hAnsi="宋体" w:eastAsia="宋体" w:cs="宋体"/>
                <w:color w:val="auto"/>
                <w:highlight w:val="none"/>
              </w:rPr>
              <w:t>秒，</w:t>
            </w:r>
          </w:p>
          <w:p>
            <w:pPr>
              <w:pStyle w:val="87"/>
              <w:ind w:firstLine="22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股骨≤31秒，</w:t>
            </w:r>
          </w:p>
          <w:p>
            <w:pPr>
              <w:pStyle w:val="87"/>
              <w:ind w:firstLine="22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前臂≤30秒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3.7</w:t>
            </w:r>
          </w:p>
        </w:tc>
        <w:tc>
          <w:tcPr>
            <w:tcW w:w="1583"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rPr>
              <w:t>定位</w:t>
            </w:r>
          </w:p>
        </w:tc>
        <w:tc>
          <w:tcPr>
            <w:tcW w:w="2860" w:type="pct"/>
            <w:vAlign w:val="center"/>
          </w:tcPr>
          <w:p>
            <w:pPr>
              <w:pStyle w:val="87"/>
              <w:spacing w:before="4"/>
              <w:ind w:firstLine="22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激光定位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3.8</w:t>
            </w:r>
          </w:p>
        </w:tc>
        <w:tc>
          <w:tcPr>
            <w:tcW w:w="1583" w:type="pct"/>
            <w:vAlign w:val="center"/>
          </w:tcPr>
          <w:p>
            <w:pPr>
              <w:pStyle w:val="87"/>
              <w:spacing w:before="3"/>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床面距离地面高度</w:t>
            </w:r>
          </w:p>
        </w:tc>
        <w:tc>
          <w:tcPr>
            <w:tcW w:w="2860" w:type="pct"/>
            <w:vAlign w:val="center"/>
          </w:tcPr>
          <w:p>
            <w:pPr>
              <w:pStyle w:val="87"/>
              <w:spacing w:before="4"/>
              <w:ind w:firstLine="22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lang w:val="en-US"/>
              </w:rPr>
              <w:t>≥65cm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3.9</w:t>
            </w:r>
          </w:p>
        </w:tc>
        <w:tc>
          <w:tcPr>
            <w:tcW w:w="1583" w:type="pct"/>
            <w:vAlign w:val="center"/>
          </w:tcPr>
          <w:p>
            <w:pPr>
              <w:pStyle w:val="87"/>
              <w:spacing w:before="3"/>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正常工作状态运行时产生的噪声</w:t>
            </w:r>
          </w:p>
        </w:tc>
        <w:tc>
          <w:tcPr>
            <w:tcW w:w="2860" w:type="pct"/>
            <w:vAlign w:val="center"/>
          </w:tcPr>
          <w:p>
            <w:pPr>
              <w:pStyle w:val="87"/>
              <w:spacing w:before="3"/>
              <w:ind w:firstLine="220" w:firstLineChars="10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65dB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583" w:type="pct"/>
            <w:vAlign w:val="center"/>
          </w:tcPr>
          <w:p>
            <w:pPr>
              <w:pStyle w:val="87"/>
              <w:spacing w:before="119"/>
              <w:jc w:val="center"/>
              <w:rPr>
                <w:rFonts w:hint="eastAsia" w:ascii="宋体" w:hAnsi="宋体" w:eastAsia="宋体" w:cs="宋体"/>
                <w:color w:val="auto"/>
                <w:highlight w:val="none"/>
              </w:rPr>
            </w:pPr>
            <w:r>
              <w:rPr>
                <w:rFonts w:hint="eastAsia" w:ascii="宋体" w:hAnsi="宋体" w:eastAsia="宋体" w:cs="宋体"/>
                <w:b/>
                <w:color w:val="auto"/>
                <w:highlight w:val="none"/>
              </w:rPr>
              <w:t>校准系统</w:t>
            </w:r>
          </w:p>
        </w:tc>
        <w:tc>
          <w:tcPr>
            <w:tcW w:w="2860" w:type="pct"/>
            <w:vAlign w:val="center"/>
          </w:tcPr>
          <w:p>
            <w:pPr>
              <w:pStyle w:val="87"/>
              <w:spacing w:before="158"/>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每次校准时间</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质控软件</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具有质控测试程序，具有质控趋势分析功能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质控模块</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具有QA模块校准功能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重复性</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变异系数≤1%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4.5</w:t>
            </w:r>
          </w:p>
        </w:tc>
        <w:tc>
          <w:tcPr>
            <w:tcW w:w="1583" w:type="pct"/>
            <w:vAlign w:val="center"/>
          </w:tcPr>
          <w:p>
            <w:pPr>
              <w:pStyle w:val="87"/>
              <w:spacing w:before="3"/>
              <w:jc w:val="center"/>
              <w:rPr>
                <w:rFonts w:hint="eastAsia" w:ascii="宋体" w:hAnsi="宋体" w:eastAsia="宋体" w:cs="宋体"/>
                <w:color w:val="auto"/>
                <w:kern w:val="2"/>
                <w:highlight w:val="none"/>
                <w:lang w:val="en-US"/>
              </w:rPr>
            </w:pPr>
            <w:r>
              <w:rPr>
                <w:rFonts w:hint="eastAsia" w:ascii="宋体" w:hAnsi="宋体" w:eastAsia="宋体" w:cs="宋体"/>
                <w:color w:val="auto"/>
                <w:highlight w:val="none"/>
                <w:lang w:val="en-US"/>
              </w:rPr>
              <w:t>最大允许误差</w:t>
            </w:r>
          </w:p>
        </w:tc>
        <w:tc>
          <w:tcPr>
            <w:tcW w:w="2860" w:type="pct"/>
            <w:vAlign w:val="center"/>
          </w:tcPr>
          <w:p>
            <w:pPr>
              <w:pStyle w:val="87"/>
              <w:spacing w:before="3"/>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软件应用软件包</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5.1</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全中文操作软件</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全中文操作界面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多部位集成报告软件</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将多部位的检测结果打印在一张报告上进行联合评估</w:t>
            </w:r>
            <w:r>
              <w:rPr>
                <w:rFonts w:hint="eastAsia" w:ascii="宋体" w:hAnsi="宋体" w:eastAsia="宋体" w:cs="宋体"/>
                <w:color w:val="auto"/>
                <w:spacing w:val="-2"/>
                <w:sz w:val="22"/>
                <w:szCs w:val="22"/>
                <w:highlight w:val="none"/>
              </w:rPr>
              <w:t>（提供报告单证明）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5.3</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报告软件</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生成图像及数据报告，支持报告编辑书写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5.4</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人种数据库</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中国人 非洲人 欧洲人 中东人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自动确定骨边缘软件</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自动区分ROI（感兴趣区域）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5.6</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扫描部位实时调整功能</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通过软件，在屏幕上对扫描部位做精细调整，保证测量的精确性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5.7</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检测结果趋势分析功能</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具备检测结果趋势分析功能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5.8</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Dicom3.0传输</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支持Dicom3.0传输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5.9</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数据可发送至PACS系统</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bidi="ar"/>
              </w:rPr>
              <w:t>DICOM3.0 开放式接口；可与 PACS 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lang w:bidi="zh-CN"/>
              </w:rPr>
              <w:t>临床应用功能</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6.1</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具有全身评估&amp;人体成分分析</w:t>
            </w:r>
          </w:p>
          <w:p>
            <w:pPr>
              <w:widowControl/>
              <w:spacing w:line="360" w:lineRule="auto"/>
              <w:jc w:val="center"/>
              <w:rPr>
                <w:rFonts w:hint="eastAsia" w:ascii="宋体" w:hAnsi="宋体" w:eastAsia="宋体" w:cs="宋体"/>
                <w:color w:val="auto"/>
                <w:kern w:val="0"/>
                <w:sz w:val="22"/>
                <w:szCs w:val="22"/>
                <w:highlight w:val="none"/>
              </w:rPr>
            </w:pPr>
          </w:p>
        </w:tc>
        <w:tc>
          <w:tcPr>
            <w:tcW w:w="2860"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身体成分的颜色编码和绘图，脂肪含量、软组</w:t>
            </w:r>
          </w:p>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织、肌肉、脂肪百分比等，提供报告单证明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6.2</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腰椎评估</w:t>
            </w:r>
          </w:p>
        </w:tc>
        <w:tc>
          <w:tcPr>
            <w:tcW w:w="2860" w:type="pct"/>
            <w:vAlign w:val="center"/>
          </w:tcPr>
          <w:p>
            <w:pPr>
              <w:pStyle w:val="87"/>
              <w:spacing w:before="3"/>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正位</w:t>
            </w:r>
            <w:r>
              <w:rPr>
                <w:rFonts w:hint="eastAsia" w:ascii="宋体" w:hAnsi="宋体" w:eastAsia="宋体" w:cs="宋体"/>
                <w:color w:val="auto"/>
                <w:highlight w:val="none"/>
                <w:lang w:val="en-US"/>
              </w:rPr>
              <w:t>腰椎测量评估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6.3</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股骨评估</w:t>
            </w:r>
          </w:p>
        </w:tc>
        <w:tc>
          <w:tcPr>
            <w:tcW w:w="2860" w:type="pct"/>
            <w:vAlign w:val="center"/>
          </w:tcPr>
          <w:p>
            <w:pPr>
              <w:pStyle w:val="87"/>
              <w:spacing w:before="158"/>
              <w:jc w:val="center"/>
              <w:rPr>
                <w:rFonts w:hint="eastAsia" w:ascii="宋体" w:hAnsi="宋体" w:eastAsia="宋体" w:cs="宋体"/>
                <w:color w:val="auto"/>
                <w:highlight w:val="none"/>
              </w:rPr>
            </w:pPr>
            <w:r>
              <w:rPr>
                <w:rFonts w:hint="eastAsia" w:ascii="宋体" w:hAnsi="宋体" w:eastAsia="宋体" w:cs="宋体"/>
                <w:color w:val="auto"/>
                <w:highlight w:val="none"/>
              </w:rPr>
              <w:t>双侧股骨</w:t>
            </w:r>
            <w:r>
              <w:rPr>
                <w:rFonts w:hint="eastAsia" w:ascii="宋体" w:hAnsi="宋体" w:eastAsia="宋体" w:cs="宋体"/>
                <w:color w:val="auto"/>
                <w:highlight w:val="none"/>
                <w:lang w:val="en-US"/>
              </w:rPr>
              <w:t>测量评估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6.4</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前臂评估</w:t>
            </w:r>
          </w:p>
        </w:tc>
        <w:tc>
          <w:tcPr>
            <w:tcW w:w="2860" w:type="pct"/>
            <w:vAlign w:val="center"/>
          </w:tcPr>
          <w:p>
            <w:pPr>
              <w:pStyle w:val="87"/>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前臂</w:t>
            </w:r>
            <w:r>
              <w:rPr>
                <w:rFonts w:hint="eastAsia" w:ascii="宋体" w:hAnsi="宋体" w:eastAsia="宋体" w:cs="宋体"/>
                <w:color w:val="auto"/>
                <w:highlight w:val="none"/>
                <w:lang w:val="en-US"/>
              </w:rPr>
              <w:t>测量评估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6.5</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髋关节具有扩展Gruen区域分析</w:t>
            </w:r>
          </w:p>
        </w:tc>
        <w:tc>
          <w:tcPr>
            <w:tcW w:w="2860" w:type="pct"/>
            <w:vAlign w:val="center"/>
          </w:tcPr>
          <w:p>
            <w:pPr>
              <w:pStyle w:val="87"/>
              <w:spacing w:before="158"/>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bidi="ar-SA"/>
              </w:rPr>
              <w:t>髋关节具有扩展Gruen区域分析，区个数≥19个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智能优化模式</w:t>
            </w:r>
          </w:p>
        </w:tc>
        <w:tc>
          <w:tcPr>
            <w:tcW w:w="2860" w:type="pct"/>
            <w:vAlign w:val="center"/>
          </w:tcPr>
          <w:p>
            <w:pPr>
              <w:tabs>
                <w:tab w:val="left" w:pos="5965"/>
              </w:tabs>
              <w:spacing w:line="4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bidi="zh-CN"/>
              </w:rPr>
              <w:t>去除假体、金属紧固件和其他构件对人体骨密度测量影响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6.7</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多部位自动化连扫</w:t>
            </w:r>
          </w:p>
        </w:tc>
        <w:tc>
          <w:tcPr>
            <w:tcW w:w="2860"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rPr>
              <w:t>一次定位即可测定腰椎，双侧股骨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6.8</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FRAX骨折风险评估分析软件</w:t>
            </w:r>
          </w:p>
        </w:tc>
        <w:tc>
          <w:tcPr>
            <w:tcW w:w="2860" w:type="pct"/>
            <w:vAlign w:val="center"/>
          </w:tcPr>
          <w:p>
            <w:pPr>
              <w:pStyle w:val="87"/>
              <w:spacing w:before="3"/>
              <w:jc w:val="center"/>
              <w:rPr>
                <w:rFonts w:hint="eastAsia" w:ascii="宋体" w:hAnsi="宋体" w:eastAsia="宋体" w:cs="宋体"/>
                <w:color w:val="auto"/>
                <w:highlight w:val="none"/>
              </w:rPr>
            </w:pPr>
            <w:r>
              <w:rPr>
                <w:rFonts w:hint="eastAsia" w:ascii="宋体" w:hAnsi="宋体" w:eastAsia="宋体" w:cs="宋体"/>
                <w:color w:val="auto"/>
                <w:highlight w:val="none"/>
                <w:lang w:val="en-US"/>
              </w:rPr>
              <w:t>FRAX</w:t>
            </w:r>
            <w:r>
              <w:rPr>
                <w:rFonts w:hint="eastAsia" w:ascii="宋体" w:hAnsi="宋体" w:eastAsia="宋体" w:cs="宋体"/>
                <w:color w:val="auto"/>
                <w:highlight w:val="none"/>
              </w:rPr>
              <w:t>骨折风险评估分析</w:t>
            </w:r>
            <w:r>
              <w:rPr>
                <w:rFonts w:hint="eastAsia" w:ascii="宋体" w:hAnsi="宋体" w:eastAsia="宋体" w:cs="宋体"/>
                <w:color w:val="auto"/>
                <w:highlight w:val="none"/>
                <w:lang w:val="en-US"/>
              </w:rPr>
              <w:t>软件（提供软件界面证明）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583" w:type="pct"/>
            <w:vAlign w:val="center"/>
          </w:tcPr>
          <w:p>
            <w:pPr>
              <w:pStyle w:val="87"/>
              <w:spacing w:before="160"/>
              <w:jc w:val="center"/>
              <w:rPr>
                <w:rFonts w:hint="eastAsia" w:ascii="宋体" w:hAnsi="宋体" w:eastAsia="宋体" w:cs="宋体"/>
                <w:color w:val="auto"/>
                <w:highlight w:val="none"/>
                <w:lang w:val="en-US"/>
              </w:rPr>
            </w:pPr>
            <w:r>
              <w:rPr>
                <w:rFonts w:hint="eastAsia" w:ascii="宋体" w:hAnsi="宋体" w:eastAsia="宋体" w:cs="宋体"/>
                <w:b/>
                <w:color w:val="auto"/>
                <w:highlight w:val="none"/>
              </w:rPr>
              <w:t>辐射剂量</w:t>
            </w:r>
          </w:p>
        </w:tc>
        <w:tc>
          <w:tcPr>
            <w:tcW w:w="2860" w:type="pct"/>
            <w:vAlign w:val="center"/>
          </w:tcPr>
          <w:p>
            <w:pPr>
              <w:pStyle w:val="87"/>
              <w:spacing w:before="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★7.1</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腰椎扫描放射剂量</w:t>
            </w:r>
          </w:p>
        </w:tc>
        <w:tc>
          <w:tcPr>
            <w:tcW w:w="2860" w:type="pct"/>
            <w:vAlign w:val="center"/>
          </w:tcPr>
          <w:p>
            <w:pPr>
              <w:pStyle w:val="87"/>
              <w:spacing w:before="3"/>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11μGy/s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7.2</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散射剂量（</w:t>
            </w:r>
            <w:r>
              <w:rPr>
                <w:rFonts w:hint="eastAsia" w:ascii="宋体" w:hAnsi="宋体" w:eastAsia="宋体" w:cs="宋体"/>
                <w:color w:val="auto"/>
                <w:sz w:val="22"/>
                <w:szCs w:val="22"/>
                <w:highlight w:val="none"/>
              </w:rPr>
              <w:t>外溢剂量</w:t>
            </w:r>
            <w:r>
              <w:rPr>
                <w:rFonts w:hint="eastAsia" w:ascii="宋体" w:hAnsi="宋体" w:eastAsia="宋体" w:cs="宋体"/>
                <w:color w:val="auto"/>
                <w:kern w:val="0"/>
                <w:sz w:val="22"/>
                <w:szCs w:val="22"/>
                <w:highlight w:val="none"/>
              </w:rPr>
              <w:t>）</w:t>
            </w:r>
          </w:p>
        </w:tc>
        <w:tc>
          <w:tcPr>
            <w:tcW w:w="2860" w:type="pct"/>
            <w:vAlign w:val="center"/>
          </w:tcPr>
          <w:p>
            <w:pPr>
              <w:pStyle w:val="87"/>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距扫描床</w:t>
            </w:r>
            <w:r>
              <w:rPr>
                <w:rFonts w:hint="eastAsia" w:ascii="宋体" w:hAnsi="宋体" w:eastAsia="宋体" w:cs="宋体"/>
                <w:color w:val="auto"/>
                <w:highlight w:val="none"/>
                <w:lang w:val="en-US"/>
              </w:rPr>
              <w:t>1米处外溢剂量</w:t>
            </w:r>
            <w:r>
              <w:rPr>
                <w:rFonts w:hint="eastAsia" w:ascii="宋体" w:hAnsi="宋体" w:eastAsia="宋体" w:cs="宋体"/>
                <w:color w:val="auto"/>
                <w:highlight w:val="none"/>
              </w:rPr>
              <w:t>≤</w:t>
            </w:r>
            <w:r>
              <w:rPr>
                <w:rFonts w:hint="eastAsia" w:ascii="宋体" w:hAnsi="宋体" w:eastAsia="宋体" w:cs="宋体"/>
                <w:color w:val="auto"/>
                <w:highlight w:val="none"/>
                <w:lang w:val="en-US"/>
              </w:rPr>
              <w:t>0.4μSv/hr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583" w:type="pct"/>
            <w:vAlign w:val="center"/>
          </w:tcPr>
          <w:p>
            <w:pPr>
              <w:pStyle w:val="87"/>
              <w:jc w:val="center"/>
              <w:rPr>
                <w:rFonts w:hint="eastAsia" w:ascii="宋体" w:hAnsi="宋体" w:eastAsia="宋体" w:cs="宋体"/>
                <w:color w:val="auto"/>
                <w:highlight w:val="none"/>
              </w:rPr>
            </w:pPr>
            <w:r>
              <w:rPr>
                <w:rFonts w:hint="eastAsia" w:ascii="宋体" w:hAnsi="宋体" w:eastAsia="宋体" w:cs="宋体"/>
                <w:b/>
                <w:color w:val="auto"/>
                <w:highlight w:val="none"/>
                <w:lang w:val="en-US"/>
              </w:rPr>
              <w:t>工作条件</w:t>
            </w:r>
          </w:p>
        </w:tc>
        <w:tc>
          <w:tcPr>
            <w:tcW w:w="2860" w:type="pct"/>
            <w:vAlign w:val="center"/>
          </w:tcPr>
          <w:p>
            <w:pPr>
              <w:pStyle w:val="87"/>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8.1</w:t>
            </w:r>
          </w:p>
        </w:tc>
        <w:tc>
          <w:tcPr>
            <w:tcW w:w="1583" w:type="pct"/>
            <w:vAlign w:val="center"/>
          </w:tcPr>
          <w:p>
            <w:pPr>
              <w:pStyle w:val="87"/>
              <w:spacing w:before="4"/>
              <w:jc w:val="center"/>
              <w:rPr>
                <w:rFonts w:hint="eastAsia" w:ascii="宋体" w:hAnsi="宋体" w:eastAsia="宋体" w:cs="宋体"/>
                <w:color w:val="auto"/>
                <w:highlight w:val="none"/>
                <w:lang w:val="en-US" w:bidi="ar-SA"/>
              </w:rPr>
            </w:pPr>
            <w:r>
              <w:rPr>
                <w:rFonts w:hint="eastAsia" w:ascii="宋体" w:hAnsi="宋体" w:eastAsia="宋体" w:cs="宋体"/>
                <w:color w:val="auto"/>
                <w:highlight w:val="none"/>
                <w:lang w:val="en-US" w:bidi="ar-SA"/>
              </w:rPr>
              <w:t>环境温度、湿度</w:t>
            </w:r>
          </w:p>
        </w:tc>
        <w:tc>
          <w:tcPr>
            <w:tcW w:w="2860" w:type="pct"/>
            <w:vAlign w:val="center"/>
          </w:tcPr>
          <w:p>
            <w:pPr>
              <w:pStyle w:val="87"/>
              <w:spacing w:before="4"/>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10℃-40℃；30-75%；无冷凝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8.2</w:t>
            </w:r>
          </w:p>
        </w:tc>
        <w:tc>
          <w:tcPr>
            <w:tcW w:w="1583" w:type="pct"/>
            <w:vAlign w:val="center"/>
          </w:tcPr>
          <w:p>
            <w:pPr>
              <w:pStyle w:val="87"/>
              <w:spacing w:before="160"/>
              <w:jc w:val="center"/>
              <w:rPr>
                <w:rFonts w:hint="eastAsia" w:ascii="宋体" w:hAnsi="宋体" w:eastAsia="宋体" w:cs="宋体"/>
                <w:color w:val="auto"/>
                <w:highlight w:val="none"/>
                <w:lang w:val="en-US" w:bidi="ar-SA"/>
              </w:rPr>
            </w:pPr>
            <w:r>
              <w:rPr>
                <w:rFonts w:hint="eastAsia" w:ascii="宋体" w:hAnsi="宋体" w:eastAsia="宋体" w:cs="宋体"/>
                <w:color w:val="auto"/>
                <w:highlight w:val="none"/>
                <w:lang w:val="en-US" w:bidi="ar-SA"/>
              </w:rPr>
              <w:t>电源</w:t>
            </w:r>
          </w:p>
        </w:tc>
        <w:tc>
          <w:tcPr>
            <w:tcW w:w="2860" w:type="pct"/>
            <w:vAlign w:val="center"/>
          </w:tcPr>
          <w:p>
            <w:pPr>
              <w:pStyle w:val="87"/>
              <w:spacing w:before="16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220VAC±10%，50Hz±1Hz；输入功率300VA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57" w:type="pct"/>
            <w:vAlign w:val="center"/>
          </w:tcPr>
          <w:p>
            <w:pPr>
              <w:widowControl/>
              <w:spacing w:line="360" w:lineRule="auto"/>
              <w:jc w:val="center"/>
              <w:rPr>
                <w:rFonts w:hint="eastAsia" w:ascii="宋体" w:hAnsi="宋体" w:eastAsia="宋体" w:cs="宋体"/>
                <w:b/>
                <w:color w:val="auto"/>
                <w:sz w:val="22"/>
                <w:szCs w:val="22"/>
                <w:highlight w:val="none"/>
                <w:lang w:bidi="zh-CN"/>
              </w:rPr>
            </w:pPr>
            <w:r>
              <w:rPr>
                <w:rFonts w:hint="eastAsia" w:ascii="宋体" w:hAnsi="宋体" w:eastAsia="宋体" w:cs="宋体"/>
                <w:color w:val="auto"/>
                <w:kern w:val="0"/>
                <w:sz w:val="22"/>
                <w:szCs w:val="22"/>
                <w:highlight w:val="none"/>
              </w:rPr>
              <w:t>9</w:t>
            </w:r>
          </w:p>
        </w:tc>
        <w:tc>
          <w:tcPr>
            <w:tcW w:w="1583" w:type="pct"/>
            <w:vAlign w:val="center"/>
          </w:tcPr>
          <w:p>
            <w:pPr>
              <w:pStyle w:val="87"/>
              <w:spacing w:before="160"/>
              <w:jc w:val="center"/>
              <w:rPr>
                <w:rFonts w:hint="eastAsia" w:ascii="宋体" w:hAnsi="宋体" w:eastAsia="宋体" w:cs="宋体"/>
                <w:b/>
                <w:color w:val="auto"/>
                <w:highlight w:val="none"/>
                <w:lang w:val="en-US"/>
              </w:rPr>
            </w:pPr>
            <w:r>
              <w:rPr>
                <w:rFonts w:hint="eastAsia" w:ascii="宋体" w:hAnsi="宋体" w:eastAsia="宋体" w:cs="宋体"/>
                <w:b/>
                <w:color w:val="auto"/>
                <w:highlight w:val="none"/>
                <w:lang w:val="en-US"/>
              </w:rPr>
              <w:t>工作站</w:t>
            </w:r>
          </w:p>
        </w:tc>
        <w:tc>
          <w:tcPr>
            <w:tcW w:w="2860" w:type="pct"/>
            <w:vAlign w:val="center"/>
          </w:tcPr>
          <w:p>
            <w:pPr>
              <w:pStyle w:val="87"/>
              <w:spacing w:before="16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bidi="ar"/>
              </w:rPr>
              <w:t>电脑主机及全中文操作平台软件及全中文报告集成软件1套（含彩色打印机一套）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583" w:type="pct"/>
            <w:vAlign w:val="center"/>
          </w:tcPr>
          <w:p>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辅助定位器</w:t>
            </w:r>
          </w:p>
        </w:tc>
        <w:tc>
          <w:tcPr>
            <w:tcW w:w="2860" w:type="pct"/>
            <w:vAlign w:val="center"/>
          </w:tcPr>
          <w:p>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bidi="ar"/>
              </w:rPr>
              <w:t>辅助定位器1个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pct"/>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583" w:type="pct"/>
            <w:vAlign w:val="center"/>
          </w:tcPr>
          <w:p>
            <w:pPr>
              <w:widowControl/>
              <w:spacing w:line="360" w:lineRule="auto"/>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接口费</w:t>
            </w:r>
          </w:p>
        </w:tc>
        <w:tc>
          <w:tcPr>
            <w:tcW w:w="2860" w:type="pct"/>
            <w:vAlign w:val="center"/>
          </w:tcPr>
          <w:p>
            <w:pPr>
              <w:widowControl/>
              <w:spacing w:line="360" w:lineRule="auto"/>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中标商承担医院PACS接口费</w:t>
            </w:r>
          </w:p>
        </w:tc>
      </w:tr>
      <w:bookmarkEnd w:id="11"/>
      <w:bookmarkEnd w:id="12"/>
      <w:bookmarkEnd w:id="13"/>
      <w:bookmarkEnd w:id="14"/>
      <w:bookmarkEnd w:id="17"/>
    </w:tbl>
    <w:p>
      <w:pPr>
        <w:pStyle w:val="40"/>
        <w:rPr>
          <w:rFonts w:hint="eastAsia" w:ascii="宋体" w:hAnsi="宋体" w:eastAsia="宋体" w:cs="宋体"/>
          <w:color w:val="auto"/>
          <w:highlight w:val="none"/>
        </w:rPr>
      </w:pPr>
      <w:bookmarkStart w:id="18" w:name="_Toc12276"/>
      <w:bookmarkStart w:id="19" w:name="_Toc4444"/>
      <w:bookmarkStart w:id="20" w:name="_Toc533"/>
      <w:bookmarkStart w:id="21" w:name="_Toc67213288"/>
      <w:bookmarkStart w:id="22" w:name="_Toc422946256"/>
      <w:r>
        <w:rPr>
          <w:rFonts w:hint="eastAsia" w:ascii="宋体" w:hAnsi="宋体" w:eastAsia="宋体" w:cs="宋体"/>
          <w:color w:val="auto"/>
          <w:highlight w:val="none"/>
        </w:rPr>
        <w:t>三、</w:t>
      </w:r>
      <w:r>
        <w:rPr>
          <w:rFonts w:hint="eastAsia" w:ascii="宋体" w:hAnsi="宋体" w:eastAsia="宋体" w:cs="宋体"/>
          <w:color w:val="auto"/>
          <w:highlight w:val="none"/>
        </w:rPr>
        <w:t>商务要求</w:t>
      </w:r>
      <w:bookmarkEnd w:id="18"/>
      <w:bookmarkEnd w:id="19"/>
    </w:p>
    <w:bookmarkEnd w:id="20"/>
    <w:bookmarkEnd w:id="21"/>
    <w:bookmarkEnd w:id="22"/>
    <w:p>
      <w:pPr>
        <w:widowControl/>
        <w:autoSpaceDE w:val="0"/>
        <w:autoSpaceDN w:val="0"/>
        <w:adjustRightInd w:val="0"/>
        <w:spacing w:line="460" w:lineRule="atLeast"/>
        <w:ind w:firstLine="440"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1.质保期</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▲1.1保修期3年（提供原厂质保），终身维修。</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每年质保期内故障率不得超过14天，如开机率达不到要求，每超过一天质保期相应延长10天。质保期内因设备本身缺陷造成各种故障应由卖方免费技术服务和维修保，质保期满后维修只收配件费，免收其它一切费用。</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2小时电话响应，</w:t>
      </w:r>
      <w:r>
        <w:rPr>
          <w:rFonts w:hint="eastAsia" w:ascii="宋体" w:hAnsi="宋体" w:eastAsia="宋体" w:cs="宋体"/>
          <w:color w:val="auto"/>
          <w:sz w:val="22"/>
          <w:szCs w:val="22"/>
          <w:highlight w:val="none"/>
        </w:rPr>
        <w:t>24小时内</w:t>
      </w:r>
      <w:r>
        <w:rPr>
          <w:rFonts w:hint="eastAsia" w:ascii="宋体" w:hAnsi="宋体" w:eastAsia="宋体" w:cs="宋体"/>
          <w:color w:val="auto"/>
          <w:sz w:val="22"/>
          <w:szCs w:val="22"/>
          <w:highlight w:val="none"/>
        </w:rPr>
        <w:t>到现场。</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供应商在投标文件中说明在质保期内提供的服务计划。</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2.付款方式</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采购人根据《浙江省财政厅关于坚决打赢疫情防控狙击战进一步做好政府采购资金支持企业发展工作的通知》（浙财采监〔2020〕3号）、《永嘉县财政局关于做好政府采购相关工作应对新冠肺炎疫情支持中小企业共渡难关的通知》（永财采监〔2020〕47号）、《浙江省财政厅关于进一步发挥政府采购政策功能全力推动经济稳进提质的通知》（浙财采监〔2022〕3号）执行预付款制度（小微企业中标的不少于40%），具体预付款支付比例应当在合同中约定。</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验收合格后</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个月内</w:t>
      </w:r>
      <w:r>
        <w:rPr>
          <w:rFonts w:hint="eastAsia" w:ascii="宋体" w:hAnsi="宋体" w:eastAsia="宋体" w:cs="宋体"/>
          <w:color w:val="auto"/>
          <w:sz w:val="22"/>
          <w:szCs w:val="22"/>
          <w:highlight w:val="none"/>
        </w:rPr>
        <w:t>剩余款项</w:t>
      </w:r>
      <w:r>
        <w:rPr>
          <w:rFonts w:hint="eastAsia" w:ascii="宋体" w:hAnsi="宋体" w:eastAsia="宋体" w:cs="宋体"/>
          <w:color w:val="auto"/>
          <w:sz w:val="22"/>
          <w:szCs w:val="22"/>
          <w:highlight w:val="none"/>
          <w:lang w:val="zh-CN"/>
        </w:rPr>
        <w:t>付</w:t>
      </w:r>
      <w:r>
        <w:rPr>
          <w:rFonts w:hint="eastAsia" w:ascii="宋体" w:hAnsi="宋体" w:eastAsia="宋体" w:cs="宋体"/>
          <w:color w:val="auto"/>
          <w:sz w:val="22"/>
          <w:szCs w:val="22"/>
          <w:highlight w:val="none"/>
        </w:rPr>
        <w:t>清</w:t>
      </w:r>
      <w:r>
        <w:rPr>
          <w:rFonts w:hint="eastAsia" w:ascii="宋体" w:hAnsi="宋体" w:eastAsia="宋体" w:cs="宋体"/>
          <w:color w:val="auto"/>
          <w:sz w:val="22"/>
          <w:szCs w:val="22"/>
          <w:highlight w:val="none"/>
          <w:lang w:val="zh-CN"/>
        </w:rPr>
        <w:t>。</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如采购人无法按上述约定期限支付对应款项的，采购人与中标供应商根据实际情况另行协商确定付款时间，中标供应商确认不因采购人延期付款的情形要求采购人承担逾期付款利息等违约责任。</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3.售后服务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在设备整个使用期内，供应商应确保设备的正常使用。在接到用户维修要求后应立即作出回应，并在</w:t>
      </w:r>
      <w:r>
        <w:rPr>
          <w:rFonts w:hint="eastAsia" w:ascii="宋体" w:hAnsi="宋体" w:eastAsia="宋体" w:cs="宋体"/>
          <w:color w:val="auto"/>
          <w:sz w:val="22"/>
          <w:szCs w:val="22"/>
          <w:highlight w:val="none"/>
        </w:rPr>
        <w:t>24小时内</w:t>
      </w:r>
      <w:r>
        <w:rPr>
          <w:rFonts w:hint="eastAsia" w:ascii="宋体" w:hAnsi="宋体" w:eastAsia="宋体" w:cs="宋体"/>
          <w:color w:val="auto"/>
          <w:sz w:val="22"/>
          <w:szCs w:val="22"/>
          <w:highlight w:val="none"/>
        </w:rPr>
        <w:t>派员到达买方现场实施维修。零配件在该设备停产后仍需保证十年的供应。维修过程中所需零配件供应商在接到通知后最长不超过3天必须送达采购人。</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3.2供应商应在投标文件中提供消耗品或易耗品价格。</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供应商应在投标文件中应详细说明收费标准，包括保修价格、设备配件价格，维修服务费。提供维修点的分布情况。</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3.4供应商应在投标文件中提供售后服务方案，如售后服务机构备品备件储备，售后服务机构技术服务人员情况。</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4.技术支持</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中标商应提供免费软件升级。</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5.培训</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供应商应对用户的维修人员提供培训，使其能对设备进行日常的维护保养及能对一般故障进行维修，并向培训人员提供维修图纸及维修手册、维修密码及软件备份。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 供应商应对用户的操作人员进行操作培训，使其能对设备进行熟练的操作。</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 供应商应对临床与工程师进行相关培训，提供培训方案。</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 供应商应在投标文件的培训方案中详细说明。</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6.安装调试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安装地点：采购人指定地点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安装完成时间：接到采购人通知后1周内完成安装和调试，如在规定的时间内由于供应商的原因不能完成安装和调试，供应商应承担由此给采购人造成的损失</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安装标准：符合我国国家有关技术规范要求和技术标准。</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安装过程中发生的费用由供应商负责。</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6.5供应商</w:t>
      </w:r>
      <w:r>
        <w:rPr>
          <w:rFonts w:hint="eastAsia" w:ascii="宋体" w:hAnsi="宋体" w:eastAsia="宋体" w:cs="宋体"/>
          <w:color w:val="auto"/>
          <w:sz w:val="22"/>
          <w:szCs w:val="22"/>
          <w:highlight w:val="none"/>
        </w:rPr>
        <w:t>应在投标文件中提供</w:t>
      </w:r>
      <w:r>
        <w:rPr>
          <w:rFonts w:hint="eastAsia" w:ascii="宋体" w:hAnsi="宋体" w:eastAsia="宋体" w:cs="宋体"/>
          <w:color w:val="auto"/>
          <w:sz w:val="22"/>
          <w:szCs w:val="22"/>
          <w:highlight w:val="none"/>
        </w:rPr>
        <w:t>安装调试方案</w:t>
      </w:r>
      <w:r>
        <w:rPr>
          <w:rFonts w:hint="eastAsia" w:ascii="宋体" w:hAnsi="宋体" w:eastAsia="宋体" w:cs="宋体"/>
          <w:color w:val="auto"/>
          <w:sz w:val="22"/>
          <w:szCs w:val="22"/>
          <w:highlight w:val="none"/>
        </w:rPr>
        <w:t>和安装调试过程中采购人需配合的内容。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6.6</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随机资料：提供使用操作手册2份，维修手册1份。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6.7供应商承担设备机房防辐射装修费及预控评费用。</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7.验收</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7.2.验收费用由产品供应商负担。</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8.交货</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 交货期：合同签订后7天内</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交货地点：采购人指定地点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9.报价方式</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9.1所有投标价格为含税价（含货物到用户应交纳的一切税费和伴随服务费）并进行分项报价；质保期后的维保费单独报价（不包括在投标价中），选购件单独分项报价（不包括在投标价中）。</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10.使用年限≥5年。</w:t>
      </w:r>
    </w:p>
    <w:p>
      <w:pPr>
        <w:pStyle w:val="40"/>
        <w:rPr>
          <w:rFonts w:hint="eastAsia" w:ascii="宋体" w:hAnsi="宋体" w:eastAsia="宋体" w:cs="宋体"/>
          <w:color w:val="auto"/>
          <w:highlight w:val="none"/>
        </w:rPr>
      </w:pPr>
      <w:bookmarkStart w:id="23" w:name="_Toc6536"/>
      <w:bookmarkStart w:id="24" w:name="_Toc25631"/>
      <w:r>
        <w:rPr>
          <w:rFonts w:hint="eastAsia" w:ascii="宋体" w:hAnsi="宋体" w:eastAsia="宋体" w:cs="宋体"/>
          <w:color w:val="auto"/>
          <w:highlight w:val="none"/>
        </w:rPr>
        <w:t>四、其他说明</w:t>
      </w:r>
      <w:bookmarkEnd w:id="23"/>
      <w:bookmarkEnd w:id="24"/>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1、投标设备若纳入中华人民共和国医疗器械监督管理的，第一类医疗器械必须具备食品药品监督管理部门颁发的医疗器械备案凭证；第二、三类医疗器械必须具备食品药品监督管理部门颁发的医疗器械注册证。</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2、供应商投标文件中须提供检测报告、产品合格证、产品说明等相关证明资料给予佐证。</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3、投标供应商需保证投标资料的真实性，供货时，采购人将进行如实核对，如查实投标资料有弄虚作假行为，将上报采购主管部门，废除其中标人资格并保留追究责任的权利。</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本项目采购人将对到货设备进行严格验收，供应商投标文件偏离表中未注明偏离，但实际到货设备达不到招标文件技术要求的，做验收不通过处理；供应商到货及安装、退货等所造成的损失自行承担，供应商须慎重投标。</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本次招标的货物如涉及国家规定强制认证的，供应商未在投标文件偏离表中用明显字体予以声明的，均视为供应商投标产品符合了强制认证规定（如工业产品生产许可证，3C认证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zh-CN"/>
        </w:rPr>
        <w:t>本次招标的</w:t>
      </w:r>
      <w:r>
        <w:rPr>
          <w:rFonts w:hint="eastAsia" w:ascii="宋体" w:hAnsi="宋体" w:eastAsia="宋体" w:cs="宋体"/>
          <w:color w:val="auto"/>
          <w:sz w:val="22"/>
          <w:szCs w:val="22"/>
          <w:highlight w:val="none"/>
        </w:rPr>
        <w:t>设备选配件未注明的，一律视为包含在投标总价中，由投标单位免费提供。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7、投标报价文件中需对易耗品进行报价，未注明易耗品或未报价的，一律视为包含在投标总价中，质保期内由投标单位免费提供。</w:t>
      </w:r>
    </w:p>
    <w:p>
      <w:pPr>
        <w:autoSpaceDE w:val="0"/>
        <w:autoSpaceDN w:val="0"/>
        <w:adjustRightInd w:val="0"/>
        <w:spacing w:line="460" w:lineRule="atLeas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8、本项目如涉及接口费用，由投标单位承担，包含在投标总价中。</w:t>
      </w:r>
    </w:p>
    <w:p>
      <w:pPr>
        <w:pStyle w:val="40"/>
        <w:rPr>
          <w:rFonts w:hint="eastAsia" w:ascii="宋体" w:hAnsi="宋体" w:eastAsia="宋体" w:cs="宋体"/>
          <w:color w:val="auto"/>
          <w:highlight w:val="none"/>
        </w:rPr>
      </w:pPr>
      <w:bookmarkStart w:id="25" w:name="_Toc8269"/>
      <w:bookmarkStart w:id="26" w:name="_Toc4124"/>
      <w:r>
        <w:rPr>
          <w:rFonts w:hint="eastAsia" w:ascii="宋体" w:hAnsi="宋体" w:eastAsia="宋体" w:cs="宋体"/>
          <w:color w:val="auto"/>
          <w:highlight w:val="none"/>
        </w:rPr>
        <w:t>五、工作范围</w:t>
      </w:r>
      <w:bookmarkEnd w:id="25"/>
      <w:bookmarkEnd w:id="26"/>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根据采购文件，各供应商须按国家有关标准及规范完成下列工作：</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1.提供完整成套的货物；</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2.产品及相关附件的提供、运输、装卸、就位、安装、调试、检验、通过验收；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3.完成各项调试、检验、测试工作，并在采购人的配合下通过的验收；提供各种数据资料；直至通过验收；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4.对最终使用单位的操作人员及维修人员进行技术培训；</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5.质保期内的维保及维修；</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6.售后服务的措施及承诺。</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以上工作内容的费用均包含在报价总价中。</w:t>
      </w:r>
    </w:p>
    <w:p>
      <w:pPr>
        <w:pStyle w:val="40"/>
        <w:rPr>
          <w:rFonts w:hint="eastAsia" w:ascii="宋体" w:hAnsi="宋体" w:eastAsia="宋体" w:cs="宋体"/>
          <w:color w:val="auto"/>
          <w:sz w:val="30"/>
          <w:szCs w:val="30"/>
          <w:highlight w:val="none"/>
        </w:rPr>
      </w:pPr>
    </w:p>
    <w:p>
      <w:pPr>
        <w:pStyle w:val="20"/>
        <w:spacing w:line="360" w:lineRule="auto"/>
        <w:ind w:left="440" w:hanging="440"/>
        <w:rPr>
          <w:rFonts w:hint="eastAsia" w:ascii="宋体" w:hAnsi="宋体" w:eastAsia="宋体" w:cs="宋体"/>
          <w:color w:val="auto"/>
          <w:sz w:val="22"/>
          <w:szCs w:val="22"/>
          <w:highlight w:val="none"/>
        </w:rPr>
      </w:pPr>
    </w:p>
    <w:p>
      <w:pPr>
        <w:pStyle w:val="2"/>
        <w:ind w:firstLine="0" w:firstLineChars="0"/>
        <w:rPr>
          <w:rFonts w:hint="eastAsia" w:ascii="宋体" w:hAnsi="宋体" w:eastAsia="宋体" w:cs="宋体"/>
          <w:color w:val="auto"/>
          <w:highlight w:val="none"/>
        </w:rPr>
      </w:pPr>
    </w:p>
    <w:p>
      <w:pPr>
        <w:pStyle w:val="40"/>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pPr>
        <w:pStyle w:val="40"/>
        <w:rPr>
          <w:rFonts w:hint="eastAsia" w:ascii="宋体" w:hAnsi="宋体" w:eastAsia="宋体" w:cs="宋体"/>
          <w:color w:val="auto"/>
          <w:sz w:val="30"/>
          <w:szCs w:val="30"/>
          <w:highlight w:val="none"/>
        </w:rPr>
      </w:pPr>
      <w:bookmarkStart w:id="27" w:name="_Toc15919"/>
      <w:r>
        <w:rPr>
          <w:rFonts w:hint="eastAsia" w:ascii="宋体" w:hAnsi="宋体" w:eastAsia="宋体" w:cs="宋体"/>
          <w:color w:val="auto"/>
          <w:sz w:val="30"/>
          <w:szCs w:val="30"/>
          <w:highlight w:val="none"/>
        </w:rPr>
        <w:t>第三部分 供应商须知</w:t>
      </w:r>
      <w:bookmarkEnd w:id="15"/>
      <w:bookmarkEnd w:id="16"/>
      <w:bookmarkEnd w:id="27"/>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28" w:name="_Toc3034"/>
      <w:bookmarkStart w:id="29" w:name="_Toc461563852"/>
      <w:r>
        <w:rPr>
          <w:rFonts w:hint="eastAsia" w:ascii="宋体" w:hAnsi="宋体" w:eastAsia="宋体" w:cs="宋体"/>
          <w:b/>
          <w:bCs/>
          <w:color w:val="auto"/>
          <w:sz w:val="28"/>
          <w:szCs w:val="28"/>
          <w:highlight w:val="none"/>
        </w:rPr>
        <w:t>一、说明</w:t>
      </w:r>
      <w:bookmarkEnd w:id="28"/>
      <w:bookmarkEnd w:id="29"/>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1、本次采购工作是按照《中华人民共和国政府采购法》、</w:t>
      </w:r>
      <w:r>
        <w:rPr>
          <w:rFonts w:hint="eastAsia" w:ascii="宋体" w:hAnsi="宋体" w:eastAsia="宋体" w:cs="宋体"/>
          <w:color w:val="auto"/>
          <w:sz w:val="22"/>
          <w:szCs w:val="22"/>
          <w:highlight w:val="none"/>
        </w:rPr>
        <w:t>《中华人民共和国政府采购法实施条例》、</w:t>
      </w:r>
      <w:r>
        <w:rPr>
          <w:rFonts w:hint="eastAsia" w:ascii="宋体" w:hAnsi="宋体" w:eastAsia="宋体" w:cs="宋体"/>
          <w:color w:val="auto"/>
          <w:sz w:val="22"/>
          <w:szCs w:val="22"/>
          <w:highlight w:val="none"/>
        </w:rPr>
        <w:t>《政府采购货物和服务招标投标管理办法》及相关法律规章组织和实施。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2、供应商必须对全部内容进行投标报价，只对部分内容进行投标报价的供应商将按无效投标处理。</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3、无论投标过程中的作法和结果如何，供应商自行承担投标活动中所发生的全部费用。</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5、本项目采购预算见采购公告。</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6、</w:t>
      </w:r>
      <w:r>
        <w:rPr>
          <w:rFonts w:hint="eastAsia" w:ascii="宋体" w:hAnsi="宋体" w:eastAsia="宋体" w:cs="宋体"/>
          <w:color w:val="auto"/>
          <w:sz w:val="22"/>
          <w:szCs w:val="22"/>
          <w:highlight w:val="none"/>
        </w:rPr>
        <w:t>投标供应商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t>采用最低评标价法的采购项目，提供相同品牌产品的不同投标供应商参加同一合同项下投标的，以其中通过资格审查、符合性审查且报价最低的参加评标；报价相同的，采取随机抽取方式确定，其他投标无效。</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widowControl/>
        <w:autoSpaceDE w:val="0"/>
        <w:autoSpaceDN w:val="0"/>
        <w:adjustRightInd w:val="0"/>
        <w:spacing w:line="460" w:lineRule="atLeast"/>
        <w:ind w:firstLine="464" w:firstLineChars="200"/>
        <w:textAlignment w:val="bottom"/>
        <w:rPr>
          <w:rFonts w:hint="eastAsia" w:ascii="宋体" w:hAnsi="宋体" w:eastAsia="宋体" w:cs="宋体"/>
          <w:color w:val="auto"/>
          <w:sz w:val="22"/>
          <w:szCs w:val="22"/>
          <w:highlight w:val="none"/>
        </w:rPr>
      </w:pPr>
      <w:r>
        <w:rPr>
          <w:rFonts w:hint="eastAsia" w:ascii="宋体" w:hAnsi="宋体" w:eastAsia="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r>
        <w:rPr>
          <w:rFonts w:hint="eastAsia" w:ascii="宋体" w:hAnsi="宋体" w:eastAsia="宋体" w:cs="宋体"/>
          <w:color w:val="auto"/>
          <w:sz w:val="22"/>
          <w:szCs w:val="22"/>
          <w:highlight w:val="none"/>
        </w:rPr>
        <w:t>。</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9、“政采金融服务：政采云平台目前为供应商提供政采贷、履约保函、预付款保函等相关金融服务，相关操作帮助及情况介绍见以下链接：https://jinrong.zcygov.cn/finance-service/#/help”</w:t>
      </w:r>
      <w:r>
        <w:rPr>
          <w:rFonts w:hint="eastAsia" w:ascii="宋体" w:hAnsi="宋体" w:eastAsia="宋体" w:cs="宋体"/>
          <w:color w:val="auto"/>
          <w:sz w:val="22"/>
          <w:szCs w:val="22"/>
          <w:highlight w:val="none"/>
        </w:rPr>
        <w:t>。</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非浙江政府采购网注册的供应商或发生变更且未及时更新的供应商，应当在规定时间内按照《浙江省政府采购供应商注册及诚信管理暂行办法》（浙财采监字［2009］28号）的相关规定及时办理更新或供应商注册事项。一旦被确定为中标人的，在合同签订前按本办法的规定完成注册并成为正式注册供应商</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投标供应商代表指全权代表投标供应商参加投标活动并签署投标文件的人。如果投标供应商代表是法定代表人的，仅须提供身份证扫描件；如果投标供应商代表不是法定代表人，须持有《法定代表人授权书》。</w:t>
      </w:r>
    </w:p>
    <w:p>
      <w:pPr>
        <w:widowControl/>
        <w:autoSpaceDE w:val="0"/>
        <w:autoSpaceDN w:val="0"/>
        <w:adjustRightInd w:val="0"/>
        <w:spacing w:line="460" w:lineRule="atLeast"/>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sz w:val="22"/>
          <w:szCs w:val="22"/>
          <w:highlight w:val="none"/>
        </w:rPr>
        <w:t>《浙江省财政厅关于进一步加大政府采购支持中小企业力度助力扎实稳住经济的通知》（浙财采监（2022）8号）已于2022年7月1日开始实施，此前有关规定与上述文件内容不一致的，按上述文件要求执行。</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30" w:name="_Toc461563853"/>
      <w:bookmarkStart w:id="31" w:name="_Toc13701"/>
      <w:r>
        <w:rPr>
          <w:rFonts w:hint="eastAsia" w:ascii="宋体" w:hAnsi="宋体" w:eastAsia="宋体" w:cs="宋体"/>
          <w:b/>
          <w:bCs/>
          <w:color w:val="auto"/>
          <w:sz w:val="28"/>
          <w:szCs w:val="28"/>
          <w:highlight w:val="none"/>
        </w:rPr>
        <w:t>二、供应商资格条件</w:t>
      </w:r>
      <w:bookmarkEnd w:id="30"/>
      <w:bookmarkEnd w:id="31"/>
    </w:p>
    <w:p>
      <w:pPr>
        <w:autoSpaceDE w:val="0"/>
        <w:autoSpaceDN w:val="0"/>
        <w:adjustRightInd w:val="0"/>
        <w:spacing w:line="45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按招标公告要求。</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32" w:name="_Toc13744"/>
      <w:bookmarkStart w:id="33" w:name="_Toc461563854"/>
      <w:r>
        <w:rPr>
          <w:rFonts w:hint="eastAsia" w:ascii="宋体" w:hAnsi="宋体" w:eastAsia="宋体" w:cs="宋体"/>
          <w:b/>
          <w:bCs/>
          <w:color w:val="auto"/>
          <w:sz w:val="28"/>
          <w:szCs w:val="28"/>
          <w:highlight w:val="none"/>
        </w:rPr>
        <w:t>三、招标文件</w:t>
      </w:r>
      <w:bookmarkEnd w:id="32"/>
      <w:bookmarkEnd w:id="33"/>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1.1招标文件约束力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1.2招标文件的组成</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招标文件由招标文件总目录所列内容及补充资料等组成。</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2、质疑</w:t>
      </w:r>
    </w:p>
    <w:p>
      <w:pPr>
        <w:autoSpaceDE w:val="0"/>
        <w:autoSpaceDN w:val="0"/>
        <w:adjustRightInd w:val="0"/>
        <w:spacing w:line="460" w:lineRule="atLeas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2.1供应商认为采购文件、采购过程、中标或者成交结果使自己的权益受到损害的，可以在知道或者应知其权益受到损害之日起7个工作日内，以书面形式（包括信函、传真，下同）或政采云系统向采购人、采购代理机构提出质疑。逾期提出的，采购组织机构将不予受理、答复。</w:t>
      </w:r>
      <w:r>
        <w:rPr>
          <w:rFonts w:hint="eastAsia" w:ascii="宋体" w:hAnsi="宋体" w:eastAsia="宋体" w:cs="宋体"/>
          <w:b/>
          <w:color w:val="auto"/>
          <w:sz w:val="22"/>
          <w:szCs w:val="22"/>
          <w:highlight w:val="none"/>
        </w:rPr>
        <w:t>任何口头答复均不作为投标依据。</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2.2供应商提出质疑应当提交质疑函和必要的证明材料，质疑函范本请到“浙江政府采购网下载专区”下载，质疑函内容及签署等相关要求请参看《政府采购质疑和投诉办法》相关规定。</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2.3提出质疑的供应商应当是参与本项目招标活动的供应商。供应商在法定质疑期内一次性提出针对同一采购程序环节的质疑。</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2.4根据《政府采购质疑和投诉办法》第三十七条的规定，投诉人在全国范围12个月内三次以上投诉查无实据的，由财政部门列入不良行为记录名单。</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3、投诉</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4、招标文件</w:t>
      </w:r>
      <w:r>
        <w:rPr>
          <w:rFonts w:hint="eastAsia" w:ascii="宋体" w:hAnsi="宋体" w:eastAsia="宋体" w:cs="宋体"/>
          <w:color w:val="auto"/>
          <w:sz w:val="22"/>
          <w:szCs w:val="22"/>
          <w:highlight w:val="none"/>
        </w:rPr>
        <w:t>的澄清或修改</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rPr>
        <w:t>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w:t>
      </w:r>
      <w:r>
        <w:rPr>
          <w:rFonts w:hint="eastAsia" w:ascii="宋体" w:hAnsi="宋体" w:eastAsia="宋体" w:cs="宋体"/>
          <w:color w:val="auto"/>
          <w:sz w:val="22"/>
          <w:szCs w:val="22"/>
          <w:highlight w:val="none"/>
        </w:rPr>
        <w:t>查看</w:t>
      </w:r>
      <w:r>
        <w:rPr>
          <w:rFonts w:hint="eastAsia" w:ascii="宋体" w:hAnsi="宋体" w:eastAsia="宋体" w:cs="宋体"/>
          <w:color w:val="auto"/>
          <w:sz w:val="22"/>
          <w:szCs w:val="22"/>
          <w:highlight w:val="none"/>
        </w:rPr>
        <w:t>更正</w:t>
      </w:r>
      <w:r>
        <w:rPr>
          <w:rFonts w:hint="eastAsia" w:ascii="宋体" w:hAnsi="宋体" w:eastAsia="宋体" w:cs="宋体"/>
          <w:color w:val="auto"/>
          <w:sz w:val="22"/>
          <w:szCs w:val="22"/>
          <w:highlight w:val="none"/>
        </w:rPr>
        <w:t>（澄清或补充）公告</w:t>
      </w:r>
      <w:r>
        <w:rPr>
          <w:rFonts w:hint="eastAsia" w:ascii="宋体" w:hAnsi="宋体" w:eastAsia="宋体" w:cs="宋体"/>
          <w:color w:val="auto"/>
          <w:sz w:val="22"/>
          <w:szCs w:val="22"/>
          <w:highlight w:val="none"/>
        </w:rPr>
        <w:t>，潜在投标供应商在收到该公告后应于1日内，以书面或传真形式（签署意见并加盖公章）向采购代理机构回函给予确认。过期未回复的，视为默认接受。澄清或者修改的内容为采购文件的组成部分</w:t>
      </w:r>
      <w:r>
        <w:rPr>
          <w:rFonts w:hint="eastAsia" w:ascii="宋体" w:hAnsi="宋体" w:eastAsia="宋体" w:cs="宋体"/>
          <w:color w:val="auto"/>
          <w:sz w:val="22"/>
          <w:szCs w:val="22"/>
          <w:highlight w:val="none"/>
        </w:rPr>
        <w:t>，对所有投标供应商均有约束力。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4.3补充、更正文件在浙江政府采购网（http://www.zjzfcg.gov.cn/）予以公告公布。</w:t>
      </w:r>
      <w:bookmarkEnd w:id="1"/>
      <w:r>
        <w:rPr>
          <w:rFonts w:hint="eastAsia" w:ascii="宋体" w:hAnsi="宋体" w:eastAsia="宋体" w:cs="宋体"/>
          <w:b/>
          <w:bCs/>
          <w:color w:val="auto"/>
          <w:sz w:val="22"/>
          <w:szCs w:val="22"/>
          <w:highlight w:val="none"/>
        </w:rPr>
        <w:t>供应商须在开标前一日自行查看是否有补充更正文件，并按补充更正文件要求响应，否则责任自负。</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34" w:name="_Toc496116252"/>
      <w:bookmarkStart w:id="35" w:name="_Toc24086"/>
      <w:r>
        <w:rPr>
          <w:rFonts w:hint="eastAsia" w:ascii="宋体" w:hAnsi="宋体" w:eastAsia="宋体" w:cs="宋体"/>
          <w:b/>
          <w:bCs/>
          <w:color w:val="auto"/>
          <w:sz w:val="28"/>
          <w:szCs w:val="28"/>
          <w:highlight w:val="none"/>
        </w:rPr>
        <w:t>四、投标文件</w:t>
      </w:r>
      <w:bookmarkEnd w:id="34"/>
      <w:bookmarkEnd w:id="35"/>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2、投标文件的组成</w:t>
      </w:r>
    </w:p>
    <w:p>
      <w:pPr>
        <w:autoSpaceDE w:val="0"/>
        <w:autoSpaceDN w:val="0"/>
        <w:adjustRightInd w:val="0"/>
        <w:spacing w:line="460" w:lineRule="atLeas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2"/>
          <w:szCs w:val="22"/>
          <w:highlight w:val="none"/>
          <w:u w:val="single"/>
        </w:rPr>
        <w:t>投标文件由资格证明文件、报价文件部分和技术资信部分三部分组成。</w:t>
      </w:r>
    </w:p>
    <w:p>
      <w:pPr>
        <w:autoSpaceDE w:val="0"/>
        <w:autoSpaceDN w:val="0"/>
        <w:adjustRightInd w:val="0"/>
        <w:spacing w:line="450" w:lineRule="atLeast"/>
        <w:ind w:firstLine="442" w:firstLineChars="200"/>
        <w:rPr>
          <w:rFonts w:hint="eastAsia" w:ascii="宋体" w:hAnsi="宋体" w:eastAsia="宋体" w:cs="宋体"/>
          <w:b/>
          <w:color w:val="auto"/>
          <w:sz w:val="22"/>
          <w:szCs w:val="22"/>
          <w:highlight w:val="none"/>
          <w:u w:val="single"/>
          <w:lang w:val="zh-CN"/>
        </w:rPr>
      </w:pPr>
      <w:bookmarkStart w:id="36" w:name="_Toc132122115"/>
      <w:bookmarkStart w:id="37" w:name="_Toc132122412"/>
      <w:r>
        <w:rPr>
          <w:rFonts w:hint="eastAsia" w:ascii="宋体" w:hAnsi="宋体" w:eastAsia="宋体" w:cs="宋体"/>
          <w:b/>
          <w:color w:val="auto"/>
          <w:sz w:val="22"/>
          <w:szCs w:val="22"/>
          <w:highlight w:val="none"/>
          <w:u w:val="single"/>
          <w:lang w:val="zh-CN"/>
        </w:rPr>
        <w:t>2.1资格证明文件部分组成</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7956"/>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30" w:lineRule="atLeast"/>
              <w:jc w:val="center"/>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lang w:val="zh-CN"/>
              </w:rPr>
              <w:t>序号</w:t>
            </w:r>
          </w:p>
        </w:tc>
        <w:tc>
          <w:tcPr>
            <w:tcW w:w="403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u w:val="single"/>
                <w:lang w:val="zh-CN"/>
              </w:rPr>
              <w:t>内容（▲以下资格证明文件必须提供，否则不能通过资格审查的，责任自负</w:t>
            </w:r>
            <w:r>
              <w:rPr>
                <w:rFonts w:hint="eastAsia" w:ascii="宋体" w:hAnsi="宋体" w:eastAsia="宋体" w:cs="宋体"/>
                <w:color w:val="auto"/>
                <w:sz w:val="22"/>
                <w:szCs w:val="22"/>
                <w:highlight w:val="none"/>
                <w:lang w:val="zh-CN"/>
              </w:rPr>
              <w:t>）</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投标供应商的营业执照（或事业法人登记证书或其它工商等登记证明材料）、税务登记证（如为多证合一仅需提供营业执照（或事业法人登记证书或其它工商等登记证明材料），扫描件加盖公章）</w:t>
            </w:r>
          </w:p>
        </w:tc>
        <w:tc>
          <w:tcPr>
            <w:tcW w:w="558"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具有财务会计制度、设备和专业技术能力、</w:t>
            </w:r>
            <w:r>
              <w:rPr>
                <w:rFonts w:hint="eastAsia" w:ascii="宋体" w:hAnsi="宋体" w:eastAsia="宋体" w:cs="宋体"/>
                <w:color w:val="auto"/>
                <w:sz w:val="22"/>
                <w:szCs w:val="22"/>
                <w:highlight w:val="none"/>
              </w:rPr>
              <w:t>依法</w:t>
            </w:r>
            <w:r>
              <w:rPr>
                <w:rFonts w:hint="eastAsia" w:ascii="宋体" w:hAnsi="宋体" w:eastAsia="宋体" w:cs="宋体"/>
                <w:color w:val="auto"/>
                <w:sz w:val="22"/>
                <w:szCs w:val="22"/>
                <w:highlight w:val="none"/>
                <w:lang w:val="zh-CN"/>
              </w:rPr>
              <w:t>缴纳税收和社会保障资金</w:t>
            </w:r>
            <w:r>
              <w:rPr>
                <w:rFonts w:hint="eastAsia" w:ascii="宋体" w:hAnsi="宋体" w:eastAsia="宋体" w:cs="宋体"/>
                <w:color w:val="auto"/>
                <w:sz w:val="22"/>
                <w:szCs w:val="22"/>
                <w:highlight w:val="none"/>
              </w:rPr>
              <w:t>记录</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无</w:t>
            </w:r>
            <w:r>
              <w:rPr>
                <w:rFonts w:hint="eastAsia" w:ascii="宋体" w:hAnsi="宋体" w:eastAsia="宋体" w:cs="宋体"/>
                <w:color w:val="auto"/>
                <w:sz w:val="22"/>
                <w:szCs w:val="22"/>
                <w:highlight w:val="none"/>
                <w:lang w:val="zh-CN"/>
              </w:rPr>
              <w:t>重大违法记录的承诺函</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投标供应商</w:t>
            </w:r>
            <w:r>
              <w:rPr>
                <w:rFonts w:hint="eastAsia" w:ascii="宋体" w:hAnsi="宋体" w:eastAsia="宋体" w:cs="宋体"/>
                <w:b/>
                <w:color w:val="auto"/>
                <w:sz w:val="22"/>
                <w:szCs w:val="22"/>
                <w:highlight w:val="none"/>
              </w:rPr>
              <w:t>同时提供以下</w:t>
            </w:r>
            <w:r>
              <w:rPr>
                <w:rFonts w:hint="eastAsia" w:ascii="宋体" w:hAnsi="宋体" w:eastAsia="宋体" w:cs="宋体"/>
                <w:color w:val="auto"/>
                <w:sz w:val="22"/>
                <w:szCs w:val="22"/>
                <w:highlight w:val="none"/>
              </w:rPr>
              <w:t>信用记录查询网页截图或报告（采购公告发布之日至投标文件递交截止时间前关于投标供应商信用记录的查询网页）</w:t>
            </w:r>
            <w:r>
              <w:rPr>
                <w:rFonts w:hint="eastAsia" w:ascii="宋体" w:hAnsi="宋体" w:eastAsia="宋体" w:cs="宋体"/>
                <w:b/>
                <w:color w:val="auto"/>
                <w:sz w:val="22"/>
                <w:szCs w:val="22"/>
                <w:highlight w:val="none"/>
              </w:rPr>
              <w:t>：</w:t>
            </w:r>
          </w:p>
          <w:p>
            <w:pPr>
              <w:tabs>
                <w:tab w:val="left" w:pos="4140"/>
              </w:tabs>
              <w:adjustRightInd w:val="0"/>
              <w:snapToGrid w:val="0"/>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50"/>
                <w:rFonts w:hint="eastAsia" w:ascii="宋体" w:hAnsi="宋体" w:eastAsia="宋体" w:cs="宋体"/>
                <w:color w:val="auto"/>
                <w:sz w:val="22"/>
                <w:szCs w:val="22"/>
                <w:highlight w:val="none"/>
              </w:rPr>
              <w:t>www.creditchina.gov.cn</w:t>
            </w:r>
            <w:r>
              <w:rPr>
                <w:rStyle w:val="50"/>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)，在信用中国首页搜索栏中直接输入投标供应商全称搜索信用信息，再找到并点击进人投标供应商全称的查询页面。</w:t>
            </w:r>
          </w:p>
          <w:p>
            <w:pPr>
              <w:tabs>
                <w:tab w:val="left" w:pos="4140"/>
              </w:tabs>
              <w:adjustRightInd w:val="0"/>
              <w:snapToGrid w:val="0"/>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"http://www.ccgp.gov.cn/search/cr/" </w:instrText>
            </w:r>
            <w:r>
              <w:rPr>
                <w:rFonts w:hint="eastAsia" w:ascii="宋体" w:hAnsi="宋体" w:eastAsia="宋体" w:cs="宋体"/>
                <w:color w:val="auto"/>
                <w:highlight w:val="none"/>
              </w:rPr>
              <w:fldChar w:fldCharType="separate"/>
            </w:r>
            <w:r>
              <w:rPr>
                <w:rStyle w:val="50"/>
                <w:rFonts w:hint="eastAsia" w:ascii="宋体" w:hAnsi="宋体" w:eastAsia="宋体" w:cs="宋体"/>
                <w:color w:val="auto"/>
                <w:sz w:val="22"/>
                <w:szCs w:val="22"/>
                <w:highlight w:val="none"/>
              </w:rPr>
              <w:t>www.ccgp.gov.cn/search/cr/</w:t>
            </w:r>
            <w:r>
              <w:rPr>
                <w:rStyle w:val="50"/>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p>
          <w:p>
            <w:pPr>
              <w:rPr>
                <w:rFonts w:hint="eastAsia" w:ascii="宋体" w:hAnsi="宋体" w:eastAsia="宋体" w:cs="宋体"/>
                <w:color w:val="auto"/>
                <w:sz w:val="22"/>
                <w:szCs w:val="22"/>
                <w:highlight w:val="none"/>
              </w:rPr>
            </w:pPr>
            <w:r>
              <w:rPr>
                <w:rFonts w:hint="eastAsia" w:ascii="宋体" w:hAnsi="宋体" w:eastAsia="宋体" w:cs="宋体"/>
                <w:color w:val="auto"/>
                <w:highlight w:val="none"/>
              </w:rPr>
              <w:t>注：</w:t>
            </w:r>
            <w:r>
              <w:rPr>
                <w:rFonts w:hint="eastAsia" w:ascii="宋体" w:hAnsi="宋体" w:eastAsia="宋体" w:cs="宋体"/>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pStyle w:val="2"/>
              <w:ind w:firstLine="442"/>
              <w:rPr>
                <w:rFonts w:hint="eastAsia" w:ascii="宋体" w:hAnsi="宋体" w:eastAsia="宋体" w:cs="宋体"/>
                <w:color w:val="auto"/>
                <w:highlight w:val="none"/>
              </w:rPr>
            </w:pPr>
            <w:r>
              <w:rPr>
                <w:rFonts w:hint="eastAsia" w:ascii="宋体" w:hAnsi="宋体" w:eastAsia="宋体" w:cs="宋体"/>
                <w:color w:val="auto"/>
                <w:sz w:val="22"/>
                <w:szCs w:val="22"/>
                <w:highlight w:val="none"/>
              </w:rPr>
              <w:t>②若供应商在“信用中国”无数据，亦须将搜索结果页面打印，并附说明。</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与参加本次项目同一合同项下政府采购活动的其他供应商不存在单位负责人为同一人或者直接控股、管理关系的承诺函</w:t>
            </w:r>
          </w:p>
        </w:tc>
        <w:tc>
          <w:tcPr>
            <w:tcW w:w="55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供应商法定代表人授权书（</w:t>
            </w:r>
            <w:r>
              <w:rPr>
                <w:rFonts w:hint="eastAsia" w:ascii="宋体" w:hAnsi="宋体" w:eastAsia="宋体" w:cs="宋体"/>
                <w:color w:val="auto"/>
                <w:sz w:val="22"/>
                <w:szCs w:val="22"/>
                <w:highlight w:val="none"/>
              </w:rPr>
              <w:t>如果投标供应商代表是法定代表人的，仅须提供身份证扫描件；如果投标供应商代表不是法定代表人，须持有《法定代表人授权书》</w:t>
            </w:r>
            <w:r>
              <w:rPr>
                <w:rFonts w:hint="eastAsia" w:ascii="宋体" w:hAnsi="宋体" w:eastAsia="宋体" w:cs="宋体"/>
                <w:color w:val="auto"/>
                <w:sz w:val="22"/>
                <w:szCs w:val="22"/>
                <w:highlight w:val="none"/>
              </w:rPr>
              <w:t>）</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附件三</w:t>
            </w:r>
          </w:p>
        </w:tc>
      </w:tr>
    </w:tbl>
    <w:p>
      <w:pPr>
        <w:autoSpaceDE w:val="0"/>
        <w:autoSpaceDN w:val="0"/>
        <w:adjustRightInd w:val="0"/>
        <w:spacing w:line="450" w:lineRule="atLeast"/>
        <w:ind w:firstLine="442" w:firstLine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2.2报价文件部分组成</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rPr>
                <w:rFonts w:hint="eastAsia" w:ascii="宋体" w:hAnsi="宋体" w:eastAsia="宋体" w:cs="宋体"/>
                <w:b/>
                <w:bCs/>
                <w:color w:val="auto"/>
                <w:sz w:val="22"/>
                <w:highlight w:val="none"/>
                <w:lang w:val="zh-CN"/>
              </w:rPr>
            </w:pPr>
            <w:r>
              <w:rPr>
                <w:rFonts w:hint="eastAsia" w:ascii="宋体" w:hAnsi="宋体" w:eastAsia="宋体" w:cs="宋体"/>
                <w:color w:val="auto"/>
                <w:sz w:val="22"/>
                <w:szCs w:val="22"/>
                <w:highlight w:val="none"/>
                <w:lang w:val="zh-CN"/>
              </w:rPr>
              <w:t>序号</w:t>
            </w:r>
          </w:p>
        </w:tc>
        <w:tc>
          <w:tcPr>
            <w:tcW w:w="8080" w:type="dxa"/>
          </w:tcPr>
          <w:p>
            <w:pPr>
              <w:autoSpaceDE w:val="0"/>
              <w:autoSpaceDN w:val="0"/>
              <w:adjustRightInd w:val="0"/>
              <w:snapToGrid w:val="0"/>
              <w:spacing w:line="430" w:lineRule="atLeast"/>
              <w:rPr>
                <w:rFonts w:hint="eastAsia" w:ascii="宋体" w:hAnsi="宋体" w:eastAsia="宋体" w:cs="宋体"/>
                <w:b/>
                <w:bCs/>
                <w:color w:val="auto"/>
                <w:sz w:val="22"/>
                <w:highlight w:val="none"/>
                <w:lang w:val="zh-CN"/>
              </w:rPr>
            </w:pPr>
            <w:r>
              <w:rPr>
                <w:rFonts w:hint="eastAsia" w:ascii="宋体" w:hAnsi="宋体" w:eastAsia="宋体" w:cs="宋体"/>
                <w:color w:val="auto"/>
                <w:sz w:val="22"/>
                <w:szCs w:val="22"/>
                <w:highlight w:val="none"/>
                <w:lang w:val="zh-CN"/>
              </w:rPr>
              <w:t>内容（▲</w:t>
            </w:r>
            <w:r>
              <w:rPr>
                <w:rFonts w:hint="eastAsia" w:ascii="宋体" w:hAnsi="宋体" w:eastAsia="宋体" w:cs="宋体"/>
                <w:color w:val="auto"/>
                <w:sz w:val="22"/>
                <w:szCs w:val="22"/>
                <w:highlight w:val="none"/>
                <w:u w:val="single"/>
                <w:lang w:val="zh-CN"/>
              </w:rPr>
              <w:t>序号</w:t>
            </w:r>
            <w:r>
              <w:rPr>
                <w:rFonts w:hint="eastAsia" w:ascii="宋体" w:hAnsi="宋体" w:eastAsia="宋体" w:cs="宋体"/>
                <w:color w:val="auto"/>
                <w:sz w:val="22"/>
                <w:szCs w:val="22"/>
                <w:highlight w:val="none"/>
                <w:u w:val="single"/>
                <w:lang w:val="zh-CN"/>
              </w:rPr>
              <w:t>1</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u w:val="single"/>
                <w:lang w:val="zh-CN"/>
              </w:rPr>
              <w:t>项供应商必须提供，否则不能通过符合性审查的，责任自负</w:t>
            </w:r>
            <w:r>
              <w:rPr>
                <w:rFonts w:hint="eastAsia" w:ascii="宋体" w:hAnsi="宋体" w:eastAsia="宋体" w:cs="宋体"/>
                <w:color w:val="auto"/>
                <w:sz w:val="22"/>
                <w:szCs w:val="22"/>
                <w:highlight w:val="none"/>
                <w:lang w:val="zh-CN"/>
              </w:rPr>
              <w:t>）</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
                <w:bCs/>
                <w:color w:val="auto"/>
                <w:sz w:val="22"/>
                <w:highlight w:val="none"/>
                <w:lang w:val="zh-CN"/>
              </w:rPr>
            </w:pPr>
            <w:r>
              <w:rPr>
                <w:rFonts w:hint="eastAsia" w:ascii="宋体" w:hAnsi="宋体" w:eastAsia="宋体" w:cs="宋体"/>
                <w:color w:val="auto"/>
                <w:sz w:val="22"/>
                <w:szCs w:val="22"/>
                <w:highlight w:val="none"/>
                <w:lang w:val="zh-CN"/>
              </w:rPr>
              <w:t>1</w:t>
            </w:r>
          </w:p>
        </w:tc>
        <w:tc>
          <w:tcPr>
            <w:tcW w:w="8080" w:type="dxa"/>
          </w:tcPr>
          <w:p>
            <w:pPr>
              <w:autoSpaceDE w:val="0"/>
              <w:autoSpaceDN w:val="0"/>
              <w:adjustRightInd w:val="0"/>
              <w:spacing w:line="430" w:lineRule="atLeast"/>
              <w:textAlignment w:val="bottom"/>
              <w:rPr>
                <w:rFonts w:hint="eastAsia" w:ascii="宋体" w:hAnsi="宋体" w:eastAsia="宋体" w:cs="宋体"/>
                <w:b/>
                <w:bCs/>
                <w:color w:val="auto"/>
                <w:sz w:val="22"/>
                <w:highlight w:val="none"/>
              </w:rPr>
            </w:pPr>
            <w:r>
              <w:rPr>
                <w:rFonts w:hint="eastAsia" w:ascii="宋体" w:hAnsi="宋体" w:eastAsia="宋体" w:cs="宋体"/>
                <w:color w:val="auto"/>
                <w:sz w:val="22"/>
                <w:szCs w:val="22"/>
                <w:highlight w:val="none"/>
              </w:rPr>
              <w:t>报价一览表</w:t>
            </w:r>
          </w:p>
        </w:tc>
        <w:tc>
          <w:tcPr>
            <w:tcW w:w="1099" w:type="dxa"/>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8080" w:type="dxa"/>
          </w:tcPr>
          <w:p>
            <w:pPr>
              <w:autoSpaceDE w:val="0"/>
              <w:autoSpaceDN w:val="0"/>
              <w:adjustRightInd w:val="0"/>
              <w:spacing w:line="430" w:lineRule="atLeast"/>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分项报价表</w:t>
            </w:r>
          </w:p>
        </w:tc>
        <w:tc>
          <w:tcPr>
            <w:tcW w:w="1099" w:type="dxa"/>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szCs w:val="22"/>
                <w:highlight w:val="none"/>
              </w:rPr>
              <w:t>3</w:t>
            </w:r>
          </w:p>
        </w:tc>
        <w:tc>
          <w:tcPr>
            <w:tcW w:w="8080" w:type="dxa"/>
          </w:tcPr>
          <w:p>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享受小微企业（含监狱企业、残疾人福利性单位）价格折扣须按供应商单位性质提供以下相关的证明材料：</w:t>
            </w:r>
          </w:p>
          <w:p>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（1）《中小企业声明函》（原件，加盖供应商公章，格式见招标文件第四部分）</w:t>
            </w:r>
          </w:p>
          <w:p>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autoSpaceDE w:val="0"/>
              <w:autoSpaceDN w:val="0"/>
              <w:adjustRightInd w:val="0"/>
              <w:spacing w:line="500" w:lineRule="atLeas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（3）残疾人福利性单位声明函（原件，加盖供应商公章，格式见招标文件第四部分）在政府采购活动中，残疾人福利性单位视同小型、微型企业，享受评审中价格扣除政策。</w:t>
            </w:r>
          </w:p>
        </w:tc>
        <w:tc>
          <w:tcPr>
            <w:tcW w:w="1099" w:type="dxa"/>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rPr>
            </w:pPr>
          </w:p>
        </w:tc>
      </w:tr>
    </w:tbl>
    <w:p>
      <w:pPr>
        <w:autoSpaceDE w:val="0"/>
        <w:autoSpaceDN w:val="0"/>
        <w:adjustRightInd w:val="0"/>
        <w:spacing w:line="450" w:lineRule="atLeast"/>
        <w:ind w:firstLine="442" w:firstLineChars="200"/>
        <w:rPr>
          <w:rFonts w:hint="eastAsia" w:ascii="宋体" w:hAnsi="宋体" w:eastAsia="宋体" w:cs="宋体"/>
          <w:b/>
          <w:color w:val="auto"/>
          <w:sz w:val="22"/>
          <w:szCs w:val="22"/>
          <w:highlight w:val="none"/>
          <w:u w:val="single"/>
          <w:lang w:val="zh-CN"/>
        </w:rPr>
      </w:pPr>
      <w:bookmarkStart w:id="38" w:name="_Toc132122113"/>
      <w:bookmarkStart w:id="39" w:name="_Toc132122410"/>
      <w:r>
        <w:rPr>
          <w:rFonts w:hint="eastAsia" w:ascii="宋体" w:hAnsi="宋体" w:eastAsia="宋体" w:cs="宋体"/>
          <w:b/>
          <w:color w:val="auto"/>
          <w:sz w:val="22"/>
          <w:szCs w:val="22"/>
          <w:highlight w:val="none"/>
          <w:u w:val="single"/>
          <w:lang w:val="zh-CN"/>
        </w:rPr>
        <w:t>2.3商务技术文件部分组成</w:t>
      </w:r>
    </w:p>
    <w:bookmarkEnd w:id="38"/>
    <w:bookmarkEnd w:id="39"/>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8"/>
        <w:gridCol w:w="734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autoSpaceDE w:val="0"/>
              <w:autoSpaceDN w:val="0"/>
              <w:adjustRightInd w:val="0"/>
              <w:snapToGrid w:val="0"/>
              <w:spacing w:line="430" w:lineRule="atLeast"/>
              <w:jc w:val="center"/>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序号</w:t>
            </w:r>
          </w:p>
        </w:tc>
        <w:tc>
          <w:tcPr>
            <w:tcW w:w="7342"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内容</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pPr>
              <w:autoSpaceDE w:val="0"/>
              <w:autoSpaceDN w:val="0"/>
              <w:adjustRightInd w:val="0"/>
              <w:snapToGrid w:val="0"/>
              <w:spacing w:line="430" w:lineRule="atLeast"/>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资信部分（▲</w:t>
            </w:r>
            <w:r>
              <w:rPr>
                <w:rFonts w:hint="eastAsia" w:ascii="宋体" w:hAnsi="宋体" w:eastAsia="宋体" w:cs="宋体"/>
                <w:color w:val="auto"/>
                <w:sz w:val="22"/>
                <w:szCs w:val="22"/>
                <w:highlight w:val="none"/>
                <w:u w:val="single"/>
                <w:lang w:val="zh-CN"/>
              </w:rPr>
              <w:t>序号1-</w:t>
            </w:r>
            <w:r>
              <w:rPr>
                <w:rFonts w:hint="eastAsia" w:ascii="宋体" w:hAnsi="宋体" w:eastAsia="宋体" w:cs="宋体"/>
                <w:color w:val="auto"/>
                <w:sz w:val="22"/>
                <w:szCs w:val="22"/>
                <w:highlight w:val="none"/>
                <w:u w:val="single"/>
              </w:rPr>
              <w:t>2、6</w:t>
            </w:r>
            <w:r>
              <w:rPr>
                <w:rFonts w:hint="eastAsia" w:ascii="宋体" w:hAnsi="宋体" w:eastAsia="宋体" w:cs="宋体"/>
                <w:color w:val="auto"/>
                <w:sz w:val="22"/>
                <w:szCs w:val="22"/>
                <w:highlight w:val="none"/>
                <w:u w:val="single"/>
                <w:lang w:val="zh-CN"/>
              </w:rPr>
              <w:t>项供应商必须提供，否则不能通过符合性审查的，责任自负。</w:t>
            </w:r>
            <w:r>
              <w:rPr>
                <w:rFonts w:hint="eastAsia" w:ascii="宋体" w:hAnsi="宋体" w:eastAsia="宋体" w:cs="宋体"/>
                <w:color w:val="auto"/>
                <w:sz w:val="22"/>
                <w:szCs w:val="22"/>
                <w:highlight w:val="none"/>
                <w:lang w:val="zh-CN"/>
              </w:rPr>
              <w:t>）</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1</w:t>
            </w:r>
          </w:p>
        </w:tc>
        <w:tc>
          <w:tcPr>
            <w:tcW w:w="8080" w:type="dxa"/>
            <w:gridSpan w:val="2"/>
          </w:tcPr>
          <w:p>
            <w:pPr>
              <w:autoSpaceDE w:val="0"/>
              <w:autoSpaceDN w:val="0"/>
              <w:adjustRightInd w:val="0"/>
              <w:snapToGrid w:val="0"/>
              <w:spacing w:line="430" w:lineRule="atLeast"/>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rPr>
              <w:t>投标函</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2</w:t>
            </w:r>
          </w:p>
        </w:tc>
        <w:tc>
          <w:tcPr>
            <w:tcW w:w="8080" w:type="dxa"/>
            <w:gridSpan w:val="2"/>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法定代表人诚信投标承诺书</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3</w:t>
            </w:r>
          </w:p>
        </w:tc>
        <w:tc>
          <w:tcPr>
            <w:tcW w:w="8080" w:type="dxa"/>
            <w:gridSpan w:val="2"/>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供应商相关资质、资信或信用证书、获奖证书等（如有则提供，扫描件加盖有效公章）</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4</w:t>
            </w:r>
          </w:p>
        </w:tc>
        <w:tc>
          <w:tcPr>
            <w:tcW w:w="8080" w:type="dxa"/>
            <w:gridSpan w:val="2"/>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类似业绩（如有，</w:t>
            </w:r>
            <w:r>
              <w:rPr>
                <w:rFonts w:hint="eastAsia" w:ascii="宋体" w:hAnsi="宋体" w:eastAsia="宋体" w:cs="宋体"/>
                <w:color w:val="auto"/>
                <w:sz w:val="22"/>
                <w:szCs w:val="22"/>
                <w:highlight w:val="none"/>
              </w:rPr>
              <w:t>具体以评分细则中的要求为准</w:t>
            </w:r>
            <w:r>
              <w:rPr>
                <w:rFonts w:hint="eastAsia" w:ascii="宋体" w:hAnsi="宋体" w:eastAsia="宋体" w:cs="宋体"/>
                <w:color w:val="auto"/>
                <w:sz w:val="22"/>
                <w:szCs w:val="22"/>
                <w:highlight w:val="none"/>
              </w:rPr>
              <w:t>）</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5</w:t>
            </w:r>
          </w:p>
        </w:tc>
        <w:tc>
          <w:tcPr>
            <w:tcW w:w="8080" w:type="dxa"/>
            <w:gridSpan w:val="2"/>
            <w:vAlign w:val="center"/>
          </w:tcPr>
          <w:p>
            <w:pPr>
              <w:tabs>
                <w:tab w:val="left" w:pos="4140"/>
              </w:tabs>
              <w:adjustRightInd w:val="0"/>
              <w:snapToGrid w:val="0"/>
              <w:spacing w:line="32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其它须说明的资料（如有则提供）</w:t>
            </w:r>
          </w:p>
        </w:tc>
        <w:tc>
          <w:tcPr>
            <w:tcW w:w="1099" w:type="dxa"/>
            <w:vAlign w:val="center"/>
          </w:tcPr>
          <w:p>
            <w:pPr>
              <w:tabs>
                <w:tab w:val="left" w:pos="4140"/>
              </w:tabs>
              <w:adjustRightInd w:val="0"/>
              <w:snapToGrid w:val="0"/>
              <w:spacing w:line="320" w:lineRule="atLeast"/>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lang w:val="zh-CN"/>
              </w:rPr>
              <w:t>技术部分（如资料提供不齐全，将可能导致不利的评定）</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p>
        </w:tc>
        <w:tc>
          <w:tcPr>
            <w:tcW w:w="8080" w:type="dxa"/>
            <w:gridSpan w:val="2"/>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商务、技术偏离表</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7</w:t>
            </w:r>
          </w:p>
        </w:tc>
        <w:tc>
          <w:tcPr>
            <w:tcW w:w="8080" w:type="dxa"/>
            <w:gridSpan w:val="2"/>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投标产品</w:t>
            </w:r>
            <w:r>
              <w:rPr>
                <w:rFonts w:hint="eastAsia" w:ascii="宋体" w:hAnsi="宋体" w:eastAsia="宋体" w:cs="宋体"/>
                <w:b/>
                <w:color w:val="auto"/>
                <w:sz w:val="22"/>
                <w:szCs w:val="22"/>
                <w:highlight w:val="none"/>
              </w:rPr>
              <w:t>生产企业的</w:t>
            </w:r>
            <w:r>
              <w:rPr>
                <w:rFonts w:hint="eastAsia" w:ascii="宋体" w:hAnsi="宋体" w:eastAsia="宋体" w:cs="宋体"/>
                <w:b/>
                <w:color w:val="auto"/>
                <w:sz w:val="22"/>
                <w:szCs w:val="22"/>
                <w:highlight w:val="none"/>
              </w:rPr>
              <w:t>证明材料</w:t>
            </w:r>
            <w:r>
              <w:rPr>
                <w:rFonts w:hint="eastAsia" w:ascii="宋体" w:hAnsi="宋体" w:eastAsia="宋体" w:cs="宋体"/>
                <w:b/>
                <w:color w:val="auto"/>
                <w:sz w:val="22"/>
                <w:szCs w:val="22"/>
                <w:highlight w:val="none"/>
              </w:rPr>
              <w:t>：第二类、第三类医疗器械生产企业提供《医疗器械生产许可证》</w:t>
            </w:r>
            <w:r>
              <w:rPr>
                <w:rFonts w:hint="eastAsia" w:ascii="宋体" w:hAnsi="宋体" w:eastAsia="宋体" w:cs="宋体"/>
                <w:b/>
                <w:color w:val="auto"/>
                <w:sz w:val="22"/>
                <w:szCs w:val="22"/>
                <w:highlight w:val="none"/>
              </w:rPr>
              <w:t>（如适用）；</w:t>
            </w:r>
            <w:r>
              <w:rPr>
                <w:rFonts w:hint="eastAsia" w:ascii="宋体" w:hAnsi="宋体" w:eastAsia="宋体" w:cs="宋体"/>
                <w:b/>
                <w:color w:val="auto"/>
                <w:sz w:val="22"/>
                <w:szCs w:val="22"/>
                <w:highlight w:val="none"/>
              </w:rPr>
              <w:t>第一类医疗器械生产企业提供第一类医疗器械生产备案凭证</w:t>
            </w:r>
            <w:r>
              <w:rPr>
                <w:rFonts w:hint="eastAsia" w:ascii="宋体" w:hAnsi="宋体" w:eastAsia="宋体" w:cs="宋体"/>
                <w:b/>
                <w:color w:val="auto"/>
                <w:sz w:val="22"/>
                <w:szCs w:val="22"/>
                <w:highlight w:val="none"/>
              </w:rPr>
              <w:t>（如适用）</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8</w:t>
            </w:r>
          </w:p>
        </w:tc>
        <w:tc>
          <w:tcPr>
            <w:tcW w:w="8080" w:type="dxa"/>
            <w:gridSpan w:val="2"/>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医疗器械经营许可证（和/或二类医疗器械经营备案证）（如适用）；完整的投标产品医疗器械注册证（如适用）；</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9</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产品配置及主要技术参数、</w:t>
            </w:r>
            <w:r>
              <w:rPr>
                <w:rFonts w:hint="eastAsia" w:ascii="宋体" w:hAnsi="宋体" w:eastAsia="宋体" w:cs="宋体"/>
                <w:color w:val="auto"/>
                <w:sz w:val="22"/>
                <w:szCs w:val="22"/>
                <w:highlight w:val="none"/>
              </w:rPr>
              <w:t>原厂技术参数</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10</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投标机型的样本或彩页</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11</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供货、随机标准附件、备品备件、</w:t>
            </w:r>
            <w:r>
              <w:rPr>
                <w:rFonts w:hint="eastAsia" w:ascii="宋体" w:hAnsi="宋体" w:eastAsia="宋体" w:cs="宋体"/>
                <w:color w:val="auto"/>
                <w:sz w:val="22"/>
                <w:szCs w:val="22"/>
                <w:highlight w:val="none"/>
              </w:rPr>
              <w:t>零配件</w:t>
            </w:r>
            <w:r>
              <w:rPr>
                <w:rFonts w:hint="eastAsia" w:ascii="宋体" w:hAnsi="宋体" w:eastAsia="宋体" w:cs="宋体"/>
                <w:color w:val="auto"/>
                <w:sz w:val="22"/>
                <w:szCs w:val="22"/>
                <w:highlight w:val="none"/>
              </w:rPr>
              <w:t>、专用工具清单</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12</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消耗品、易耗品价格清单</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13</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保修价格，维修配件价格，维修服务费价格</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14</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产品性能说明</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15</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项目服务人员汇总表</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16</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节能环保产品证明材料</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17</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实施方案（含具备履行合同所必需的设备投入说明）</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18</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测试验收方案</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19</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详细的培训计划</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w:t>
            </w:r>
          </w:p>
        </w:tc>
        <w:tc>
          <w:tcPr>
            <w:tcW w:w="8080" w:type="dxa"/>
            <w:gridSpan w:val="2"/>
            <w:vAlign w:val="center"/>
          </w:tcPr>
          <w:p>
            <w:pPr>
              <w:autoSpaceDE w:val="0"/>
              <w:autoSpaceDN w:val="0"/>
              <w:adjustRightInd w:val="0"/>
              <w:snapToGrid w:val="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售后服务承诺：技术服务和售后服务的内容、措施、承诺，包括质保期、距采购人最近的服务网点的详细介绍，资质</w:t>
            </w:r>
            <w:r>
              <w:rPr>
                <w:rFonts w:hint="eastAsia" w:ascii="宋体" w:hAnsi="宋体" w:eastAsia="宋体" w:cs="宋体"/>
                <w:color w:val="auto"/>
                <w:sz w:val="22"/>
                <w:szCs w:val="22"/>
                <w:highlight w:val="none"/>
              </w:rPr>
              <w:t>资格</w:t>
            </w:r>
            <w:r>
              <w:rPr>
                <w:rFonts w:hint="eastAsia" w:ascii="宋体" w:hAnsi="宋体" w:eastAsia="宋体" w:cs="宋体"/>
                <w:color w:val="auto"/>
                <w:sz w:val="22"/>
                <w:szCs w:val="22"/>
                <w:highlight w:val="none"/>
              </w:rPr>
              <w:t xml:space="preserve">、技术力量、成立时间   </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p>
        </w:tc>
        <w:tc>
          <w:tcPr>
            <w:tcW w:w="8080" w:type="dxa"/>
            <w:gridSpan w:val="2"/>
          </w:tcPr>
          <w:p>
            <w:pPr>
              <w:autoSpaceDE w:val="0"/>
              <w:autoSpaceDN w:val="0"/>
              <w:adjustRightInd w:val="0"/>
              <w:snapToGrid w:val="0"/>
              <w:spacing w:line="430" w:lineRule="atLeast"/>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根据招标文件中的采购内容与技术要求、评标细则，需要提供的其它文件和资料</w:t>
            </w:r>
          </w:p>
        </w:tc>
        <w:tc>
          <w:tcPr>
            <w:tcW w:w="1099"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22</w:t>
            </w:r>
          </w:p>
        </w:tc>
        <w:tc>
          <w:tcPr>
            <w:tcW w:w="8080" w:type="dxa"/>
            <w:gridSpan w:val="2"/>
            <w:vAlign w:val="center"/>
          </w:tcPr>
          <w:p>
            <w:pPr>
              <w:autoSpaceDE w:val="0"/>
              <w:autoSpaceDN w:val="0"/>
              <w:adjustRightInd w:val="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其它供应商须说明的资料（如有则提供）</w:t>
            </w:r>
          </w:p>
        </w:tc>
        <w:tc>
          <w:tcPr>
            <w:tcW w:w="1099" w:type="dxa"/>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bl>
    <w:p>
      <w:pPr>
        <w:spacing w:line="43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p>
      <w:pPr>
        <w:numPr>
          <w:ilvl w:val="0"/>
          <w:numId w:val="1"/>
        </w:numPr>
        <w:spacing w:line="430" w:lineRule="exact"/>
        <w:rPr>
          <w:rFonts w:hint="eastAsia" w:ascii="宋体" w:hAnsi="宋体" w:eastAsia="宋体" w:cs="宋体"/>
          <w:color w:val="auto"/>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1"/>
        </w:num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pPr>
        <w:numPr>
          <w:ilvl w:val="0"/>
          <w:numId w:val="1"/>
        </w:num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以上所需的各种证书、证件、证明等若系复印件、扫描件，须加盖供应商有效的公章。</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3、投标文件编制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3.1本项目通过“政采云平台（www.zcygov.cn）”实行在线投标响应（电子投标）。供应商应通过“政采云电子交易客户端”，并按照本招标文件和“政采云平台”的要求编制并加密投标文件。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“投标文件组成”规定的内容及顺序在“政采云电子交易客户端”编制投标文件。其中 “技术资信文件”中不得出现本项目投标报价，如因投标供应商原因提前泄露投标报价，是投标供应商的责任。</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本招标文件“投标文件格式”中有提供格式的，投标供应商须参照格式进行编制（格式中要求提供相关证明材料的还需后附相关证明材料），并按格式要求在指定位置根据要求进行签章，否则视为未提供；本文件“投标文件格式”未提供格式的，请各投标单位自行拟定格式，并加盖单位公章并由法定代表人或其授权代表签署（签字或盖章），否则视为未提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3.4投标文件内容不完整、编排混乱导致投标文件被误读、漏读或者查找不到相关内容的，是投标供应商的责任。</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3.5投标文件因字迹潦草或表达不清所引起的后果由投标供应商负责。</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4、投标文件的签章</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4.1投标文件的签章要求：投标供应商须知前附表；</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4.2投标文件应由投标供应商法定代表人或其授权代表签章，并加盖投标供应商公章。</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4.3电子签章操作指南详见采购公告附件《供应商项目采购-电子招投标操作指南》。</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5、投标文件的形式</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5.1投标文件的形式：见投标供应商须知前附表；</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5.2“电子加密投标文件”：“电子加密投标文件”是指通过“政采云电子交易客户端”完成投标文件编制后生成并加密的数据电文形式的投标文件。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6、投标文件的份数</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6.1投标文件的份数：见投标供应商须知前附表。</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7、投标报价</w:t>
      </w:r>
      <w:bookmarkEnd w:id="36"/>
      <w:bookmarkEnd w:id="37"/>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bookmarkStart w:id="40" w:name="_Toc132122116"/>
      <w:bookmarkStart w:id="41" w:name="_Toc132122413"/>
      <w:r>
        <w:rPr>
          <w:rFonts w:hint="eastAsia" w:ascii="宋体" w:hAnsi="宋体" w:eastAsia="宋体" w:cs="宋体"/>
          <w:bCs/>
          <w:color w:val="auto"/>
          <w:sz w:val="22"/>
          <w:szCs w:val="22"/>
          <w:highlight w:val="none"/>
        </w:rPr>
        <w:t>7.1供应商应按招标文件中《开标一览表》及《投标分项报价表》（如有）填写投标总价及分项报价。</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7.3投标报价应按包含以下费用。</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投标报价</w:t>
      </w:r>
      <w:r>
        <w:rPr>
          <w:rFonts w:hint="eastAsia" w:ascii="宋体" w:hAnsi="宋体" w:eastAsia="宋体" w:cs="宋体"/>
          <w:color w:val="auto"/>
          <w:sz w:val="22"/>
          <w:szCs w:val="22"/>
          <w:highlight w:val="none"/>
        </w:rPr>
        <w:t>包括运杂费、保险费、增值税、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全部费用</w:t>
      </w:r>
      <w:r>
        <w:rPr>
          <w:rFonts w:hint="eastAsia" w:ascii="宋体" w:hAnsi="宋体" w:eastAsia="宋体" w:cs="宋体"/>
          <w:color w:val="auto"/>
          <w:sz w:val="22"/>
          <w:szCs w:val="22"/>
          <w:highlight w:val="none"/>
        </w:rPr>
        <w:t>。</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供应商在投标报价中应充分考虑所有可能发生的费用，否则采购人将视投标总价中已包括所有费用。</w:t>
      </w:r>
    </w:p>
    <w:p>
      <w:pPr>
        <w:autoSpaceDE w:val="0"/>
        <w:autoSpaceDN w:val="0"/>
        <w:adjustRightInd w:val="0"/>
        <w:spacing w:line="460" w:lineRule="atLeast"/>
        <w:ind w:firstLine="442" w:firstLineChars="200"/>
        <w:textAlignment w:val="bottom"/>
        <w:rPr>
          <w:rFonts w:hint="eastAsia" w:ascii="宋体" w:hAnsi="宋体" w:eastAsia="宋体" w:cs="宋体"/>
          <w:bCs/>
          <w:color w:val="auto"/>
          <w:sz w:val="22"/>
          <w:szCs w:val="22"/>
          <w:highlight w:val="none"/>
          <w:u w:val="single"/>
        </w:rPr>
      </w:pPr>
      <w:r>
        <w:rPr>
          <w:rFonts w:hint="eastAsia" w:ascii="宋体" w:hAnsi="宋体" w:eastAsia="宋体" w:cs="宋体"/>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填写报价表格时，各项费用应如实填写。</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8、采购人要求分类报价是为了方便评标，但在任何情况下不限制采购人以其认为最合适的条款签订合同的权利。</w:t>
      </w:r>
    </w:p>
    <w:bookmarkEnd w:id="40"/>
    <w:bookmarkEnd w:id="41"/>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bookmarkStart w:id="42" w:name="_Toc132122117"/>
      <w:bookmarkStart w:id="43" w:name="_Toc132122414"/>
      <w:bookmarkStart w:id="44" w:name="_Toc132125152"/>
      <w:bookmarkStart w:id="45" w:name="_Toc132125984"/>
      <w:bookmarkStart w:id="46" w:name="_Toc132123548"/>
      <w:bookmarkStart w:id="47" w:name="_Toc132125096"/>
      <w:bookmarkStart w:id="48" w:name="_Toc132122120"/>
      <w:bookmarkStart w:id="49" w:name="_Toc132655777"/>
      <w:bookmarkStart w:id="50" w:name="_Toc132125038"/>
      <w:bookmarkStart w:id="51" w:name="_Toc132124595"/>
      <w:bookmarkStart w:id="52" w:name="_Toc132122417"/>
      <w:bookmarkStart w:id="53" w:name="_Toc332809833"/>
      <w:bookmarkStart w:id="54" w:name="_Toc132123882"/>
      <w:bookmarkStart w:id="55" w:name="_Toc132125575"/>
      <w:bookmarkStart w:id="56" w:name="_Toc132123839"/>
      <w:bookmarkStart w:id="57" w:name="_Toc132123635"/>
      <w:bookmarkStart w:id="58" w:name="_Toc132126155"/>
      <w:bookmarkStart w:id="59" w:name="_Toc132123440"/>
      <w:r>
        <w:rPr>
          <w:rFonts w:hint="eastAsia" w:ascii="宋体" w:hAnsi="宋体" w:eastAsia="宋体" w:cs="宋体"/>
          <w:bCs/>
          <w:color w:val="auto"/>
          <w:sz w:val="22"/>
          <w:szCs w:val="22"/>
          <w:highlight w:val="none"/>
        </w:rPr>
        <w:t>9、投标文件的有效期</w:t>
      </w:r>
      <w:bookmarkEnd w:id="42"/>
      <w:bookmarkEnd w:id="43"/>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9.3 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10、投标供应商如发生下列情况之一，将上报同级政府采购监督管理部门，追究其责任：</w:t>
      </w:r>
    </w:p>
    <w:p>
      <w:pPr>
        <w:pStyle w:val="84"/>
        <w:numPr>
          <w:ilvl w:val="0"/>
          <w:numId w:val="2"/>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投标供应商在招标文件规定的投标有效期内撤回投标；</w:t>
      </w:r>
    </w:p>
    <w:p>
      <w:pPr>
        <w:pStyle w:val="84"/>
        <w:numPr>
          <w:ilvl w:val="0"/>
          <w:numId w:val="2"/>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中标人未按中标通知书中规定的时间与采购人签订合同；</w:t>
      </w:r>
    </w:p>
    <w:p>
      <w:pPr>
        <w:pStyle w:val="84"/>
        <w:numPr>
          <w:ilvl w:val="0"/>
          <w:numId w:val="2"/>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投标供应商在招标文件中提供虚假技术指标及参数，经评标委员会确认属实的。</w:t>
      </w:r>
    </w:p>
    <w:p>
      <w:pPr>
        <w:pStyle w:val="84"/>
        <w:numPr>
          <w:ilvl w:val="0"/>
          <w:numId w:val="2"/>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经同级政府采购监督管理部门审查认定投标供应商有违反《中华人民共和国政府采购法》等有关法律法规的行为。</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60" w:name="_Toc496116253"/>
      <w:bookmarkStart w:id="61" w:name="_Toc132125037"/>
      <w:bookmarkStart w:id="62" w:name="_Toc132122416"/>
      <w:bookmarkStart w:id="63" w:name="_Toc132123838"/>
      <w:bookmarkStart w:id="64" w:name="_Toc132655776"/>
      <w:bookmarkStart w:id="65" w:name="_Toc132126154"/>
      <w:bookmarkStart w:id="66" w:name="_Toc18653"/>
      <w:bookmarkStart w:id="67" w:name="_Toc132125983"/>
      <w:bookmarkStart w:id="68" w:name="_Toc132123439"/>
      <w:bookmarkStart w:id="69" w:name="_Toc132125095"/>
      <w:bookmarkStart w:id="70" w:name="_Toc132123881"/>
      <w:bookmarkStart w:id="71" w:name="_Toc132123634"/>
      <w:bookmarkStart w:id="72" w:name="_Toc132122119"/>
      <w:bookmarkStart w:id="73" w:name="_Toc132125151"/>
      <w:bookmarkStart w:id="74" w:name="_Toc132124594"/>
      <w:bookmarkStart w:id="75" w:name="_Toc132123547"/>
      <w:bookmarkStart w:id="76" w:name="_Toc132125574"/>
      <w:r>
        <w:rPr>
          <w:rFonts w:hint="eastAsia" w:ascii="宋体" w:hAnsi="宋体" w:eastAsia="宋体" w:cs="宋体"/>
          <w:b/>
          <w:bCs/>
          <w:color w:val="auto"/>
          <w:sz w:val="28"/>
          <w:szCs w:val="28"/>
          <w:highlight w:val="none"/>
        </w:rPr>
        <w:t>五、投标文件的</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hint="eastAsia" w:ascii="宋体" w:hAnsi="宋体" w:eastAsia="宋体" w:cs="宋体"/>
          <w:b/>
          <w:bCs/>
          <w:color w:val="auto"/>
          <w:sz w:val="28"/>
          <w:szCs w:val="28"/>
          <w:highlight w:val="none"/>
        </w:rPr>
        <w:t>递交</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1、投标文件的递交</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1.1投标文件的上传、递交：见投标供应商须知前附表。</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 “电子加密投标文件”解密和异常情况处理。</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2.1“电子加密投标文件”解密：见投标供应商须知前附表。</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 投标文件的补充、修改或撤回</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3.2投标文件递交截止时间后，投标供应商不得撤回、修改投标文件。</w:t>
      </w:r>
    </w:p>
    <w:p>
      <w:pPr>
        <w:autoSpaceDE w:val="0"/>
        <w:autoSpaceDN w:val="0"/>
        <w:adjustRightInd w:val="0"/>
        <w:spacing w:line="460" w:lineRule="atLeast"/>
        <w:ind w:firstLine="442"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
          <w:bCs/>
          <w:color w:val="auto"/>
          <w:kern w:val="0"/>
          <w:sz w:val="22"/>
          <w:szCs w:val="22"/>
          <w:highlight w:val="none"/>
        </w:rPr>
        <w:t>4、投标文件的备选方案</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4.1投标供应商不得递交任何的投标备选（替代）方案，否则其投标文件将作无效标处理。与“电子加密投标文件”同时生成的“备份投标文件”不是投标备选（替代）方案。</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2"/>
          <w:szCs w:val="22"/>
          <w:highlight w:val="none"/>
        </w:rPr>
      </w:pPr>
      <w:bookmarkStart w:id="77" w:name="_Toc144"/>
      <w:bookmarkStart w:id="78" w:name="_Toc496116254"/>
      <w:r>
        <w:rPr>
          <w:rFonts w:hint="eastAsia" w:ascii="宋体" w:hAnsi="宋体" w:eastAsia="宋体" w:cs="宋体"/>
          <w:b/>
          <w:bCs/>
          <w:color w:val="auto"/>
          <w:sz w:val="28"/>
          <w:szCs w:val="28"/>
          <w:highlight w:val="none"/>
        </w:rPr>
        <w:t>六、开标和评标</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77"/>
      <w:bookmarkEnd w:id="78"/>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1、开标形式</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1.1 采购组织机构将按照招标文件规定的时间通过“政采云平台”组织开标、开启投标文件，所有供应商均应当准时在线参加。</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 开标准备</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2.1开标的准备工作由采购组织机构负责落实。</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2.2采购组织机构将按照招标文件规定的时间通过“政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3、开标流程（两阶段）</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3.1开标第一阶段</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向各投标供应商发出电子加密投标文件【开始解密】通知，由供应商按招标文件规定的时间内自行进行投标文件解密。投标供应商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（2）开启投标文件，进入资格审查；</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（3）资格审查通过的投标供应商的技术资信文件进入符合性审查、技术评审；</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（4）第一阶段开标结束。</w:t>
      </w:r>
    </w:p>
    <w:p>
      <w:pPr>
        <w:tabs>
          <w:tab w:val="left" w:pos="540"/>
        </w:tabs>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备注：开标大会的第一阶段结束后，采购人或采购代理机构将对依法对投标供应商的资格进行审查，资格审查结束后进入符合性审查和技术资信文件的评审工作，具体见本章节“投标供应商资格审查”相关规定。</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3.2开标第二阶段</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公布经技术资信评审后有效投标供应商的名单，同时公布其技术资信部分得分情况。</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开启通过符合性审查、技术资信文件评审有效投标供应商的商务（报价）文件，在“政采云平台”系统平台上公布开标一览表有关内容，同时当场制作开标记录。开标结束后，由评标委员会对报价的合理性、准确性等进行审查核实。</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highlight w:val="none"/>
        </w:rPr>
        <w:t>投标文件报价出现前后不一致的，除采购文件另有规定外，按照下列规定修正</w:t>
      </w:r>
      <w:r>
        <w:rPr>
          <w:rFonts w:hint="eastAsia" w:ascii="宋体" w:hAnsi="宋体" w:eastAsia="宋体" w:cs="宋体"/>
          <w:color w:val="auto"/>
          <w:kern w:val="0"/>
          <w:sz w:val="22"/>
          <w:szCs w:val="22"/>
          <w:highlight w:val="none"/>
        </w:rPr>
        <w:t>：</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highlight w:val="none"/>
        </w:rPr>
        <w:t>投标文件中开标一览表（报价表）内容与投标文件中相应内容不一致的，以开标一览表（报价表）为准</w:t>
      </w:r>
      <w:r>
        <w:rPr>
          <w:rFonts w:hint="eastAsia" w:ascii="宋体" w:hAnsi="宋体" w:eastAsia="宋体" w:cs="宋体"/>
          <w:color w:val="auto"/>
          <w:kern w:val="0"/>
          <w:sz w:val="22"/>
          <w:szCs w:val="22"/>
          <w:highlight w:val="none"/>
        </w:rPr>
        <w:t>。</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sz w:val="22"/>
          <w:highlight w:val="none"/>
        </w:rPr>
        <w:t>大写金额和小写金额不一致的，以大写金额为准。</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3）单价金额小数点或者百分比有明显错位的，以开标一览表的总价为准，并修改单价。</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4）总价金额与按单价汇总金额不一致的，以单价金额计算结果为准。</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r>
        <w:rPr>
          <w:rFonts w:hint="eastAsia" w:ascii="宋体" w:hAnsi="宋体" w:eastAsia="宋体" w:cs="宋体"/>
          <w:color w:val="auto"/>
          <w:sz w:val="22"/>
          <w:szCs w:val="22"/>
          <w:highlight w:val="none"/>
        </w:rPr>
        <w:t>投标人在政采云</w:t>
      </w:r>
      <w:r>
        <w:rPr>
          <w:rFonts w:hint="eastAsia" w:ascii="宋体" w:hAnsi="宋体" w:eastAsia="宋体" w:cs="宋体"/>
          <w:color w:val="auto"/>
          <w:sz w:val="22"/>
          <w:szCs w:val="22"/>
          <w:highlight w:val="none"/>
        </w:rPr>
        <w:t>客户端填写的报价与以pdf格式上传文件中的报价不一致的，应以Pdf格式上传文件中的报价为准，修正客户端的报价。</w:t>
      </w:r>
    </w:p>
    <w:p>
      <w:pPr>
        <w:spacing w:line="460" w:lineRule="exact"/>
        <w:ind w:firstLine="420" w:firstLineChars="190"/>
        <w:rPr>
          <w:rFonts w:hint="eastAsia" w:ascii="宋体" w:hAnsi="宋体" w:eastAsia="宋体" w:cs="宋体"/>
          <w:b/>
          <w:bCs/>
          <w:color w:val="auto"/>
          <w:sz w:val="22"/>
          <w:szCs w:val="22"/>
          <w:highlight w:val="none"/>
        </w:rPr>
      </w:pPr>
      <w:r>
        <w:rPr>
          <w:rFonts w:hint="eastAsia" w:ascii="宋体" w:hAnsi="宋体" w:eastAsia="宋体" w:cs="宋体"/>
          <w:b/>
          <w:bCs/>
          <w:color w:val="auto"/>
          <w:sz w:val="22"/>
          <w:highlight w:val="none"/>
        </w:rPr>
        <w:t>同时出现两种以上不一致的，按照前款规定的顺序修正。修正后的报价按照本采购文件规定经供应商确认后产生约束力，供应商不确认的，其投标无效。</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（3）评审结束后，在“政采云平台”系统平台上公布中标（成交）候选供应商名单，及采购人最终确定中标或成交供应商名单的时间和公告方式等。</w:t>
      </w:r>
    </w:p>
    <w:p>
      <w:pPr>
        <w:tabs>
          <w:tab w:val="left" w:pos="540"/>
        </w:tabs>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特别说明：如遇“政采云平台”电子化开标或评审程序调整的，按调整后程序执行。</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bookmarkStart w:id="79" w:name="_Toc33194393"/>
      <w:bookmarkStart w:id="80" w:name="_Toc24550037"/>
      <w:r>
        <w:rPr>
          <w:rFonts w:hint="eastAsia" w:ascii="宋体" w:hAnsi="宋体" w:eastAsia="宋体" w:cs="宋体"/>
          <w:b/>
          <w:bCs/>
          <w:color w:val="auto"/>
          <w:kern w:val="0"/>
          <w:sz w:val="22"/>
          <w:szCs w:val="22"/>
          <w:highlight w:val="none"/>
        </w:rPr>
        <w:t>4、 投标供应商资格审查</w:t>
      </w:r>
      <w:bookmarkEnd w:id="79"/>
      <w:bookmarkEnd w:id="80"/>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审查材料仅负审核的责任。如发现投标供应商所提交的资格审查材料不合法或与事实不符，采购人可取消其中标资格并追究投标供应商的法律责任。</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4.2投标供应商提交的资格审查材料无法证明其符合招标文件规定的“投标供应商资格要求”的，采购人或采购代理机构将对其作资格审查不通过处理（无效投标），并不再将其投标提交评标委员会进行后续评审。</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4.3单位负责人为同一人或者存在直接控股、管理关系的不同供应商参加同一合同项下的政府采购活动的，相关投标供应商均作资格无效处理。</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5、评标</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5.1评标由采购人依法组建的评标委员会负责，并独立履行下列职责：</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1）审查投标文件是否符合招标文件要求，并做出评价；</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2）要求供应商对投标文件有关事项做出解释或者澄清；</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3）按照招标文件确定的评标办法确定中标人，并对其排序；综合得分最高的供应商推荐为中标人；</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4）向采购人或者有关部门报告非法干预评标工作的行为。</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5）根据采购人的授权确定中标人名单；</w:t>
      </w:r>
    </w:p>
    <w:p>
      <w:pPr>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5.2评标应当遵循下列工作程序：</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1）投标文件初审。初审为符合性检查。</w:t>
      </w:r>
    </w:p>
    <w:p>
      <w:pPr>
        <w:snapToGrid w:val="0"/>
        <w:spacing w:line="460" w:lineRule="atLeast"/>
        <w:ind w:firstLine="323" w:firstLineChars="1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（1)符合性检查。依据招标文件的规定，从投标文件的有效性、完整性和对招标文件的响应程度进行审查，以确定是否对招标文件的实质性要求做出响应。</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实质上没有响应招标文件要求的投标将被拒绝。供应商不得通过修正或撤消不合要求的偏离从而使其投标成为实质上响应的投标。</w:t>
      </w:r>
    </w:p>
    <w:p>
      <w:pPr>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评标委员会对投标文件的判定，只依据投标文件内容本身，不依靠开标后的任何外来证明。</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3）比较与评价。按招标文件中规定的评标方法和标准，对资格性检查和符合性检查合格的投标文件进行商务和技术评估，综合比较与评价。</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4）推荐中标人候选人名单，并根据采购人的授权确定中标人。</w:t>
      </w:r>
    </w:p>
    <w:p>
      <w:pPr>
        <w:pStyle w:val="25"/>
        <w:snapToGrid w:val="0"/>
        <w:spacing w:line="460" w:lineRule="atLeast"/>
        <w:ind w:firstLine="435" w:firstLineChars="197"/>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 xml:space="preserve">5.3 </w:t>
      </w:r>
      <w:r>
        <w:rPr>
          <w:rFonts w:hint="eastAsia" w:ascii="宋体" w:hAnsi="宋体" w:eastAsia="宋体" w:cs="宋体"/>
          <w:b/>
          <w:color w:val="auto"/>
          <w:sz w:val="22"/>
          <w:szCs w:val="22"/>
          <w:highlight w:val="none"/>
          <w:u w:val="single"/>
        </w:rPr>
        <w:t>▲投标供应商存在下列情况之一的，投标无效:</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1）投标文件未按招标文件要求签署、盖章的；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2）不具备招标文件中规定的资格要求的；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3）报价超过招标文件中规定的预算金额或者最高限价的；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4）投标文件含有采购人不能接受的附加条件的（包括招标文件中明确要求不得偏离的招标要求，存在负偏离的）;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5）仅提交“备份投标文件”的；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6）对关键条文的偏离、保留或反对，例如关于付款方式、完工期、免费质保期、适用法律法规、标准、税费等其他内容；</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7）存在串标、抬标或弄虚作假情况的；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8）法律、法规和招标文件规定的其他无效情形（或出现重大偏差）。</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5.4 ▲</w:t>
      </w:r>
      <w:r>
        <w:rPr>
          <w:rFonts w:hint="eastAsia" w:ascii="宋体" w:hAnsi="宋体" w:eastAsia="宋体" w:cs="宋体"/>
          <w:b/>
          <w:color w:val="auto"/>
          <w:sz w:val="22"/>
          <w:szCs w:val="22"/>
          <w:highlight w:val="none"/>
          <w:u w:val="single"/>
        </w:rPr>
        <w:t>评标委员会发现投标文件有下列情形之一的属于重大偏差(评标委员会按少数服从多数原则认定)，按照无效投标处理：</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1）未按招标文件要求编制或字迹模糊、辨认不清的投标文件；</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2）供应商技术资信投标文件中出现投标报价；</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3）除5.3条款以外，出现其它明显不符合技术规格、技术标准的要求或不满足招标文件技术规格书中的主要参数的投标文件；</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4）除5.3条款以外，出现投标服务内容与招标文件对比出现较大偏差；商务报价明细表计算错误，出现较大差错；</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5）除5.3条款以外，出现其它不符合招标文件中规定的实质性要求的投标文件，是否为偏离实质性要求由评标委员会认定。</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5.5 开启供应商商务报价文件后发现价格、数量有误，其投标价将按下述原则处理：</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任何有漏去一些小项货物或服务的投标将被视为其费用已包含在投标总价中，投标价格不予调整。如果供应商不接受上述处理方式，将作为无效投标。</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任何有多报一些小项工程或服务的投标其投标价不予调整，如果该供应商中标，则合同价格必须为核减掉多报的一些小项工程或服务后的价格。如果供应商不接受上述处理方式，将作为无效投标。</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60" w:lineRule="atLeast"/>
        <w:ind w:firstLine="433"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eastAsia="宋体" w:cs="宋体"/>
          <w:b/>
          <w:color w:val="auto"/>
          <w:sz w:val="22"/>
          <w:szCs w:val="22"/>
          <w:highlight w:val="none"/>
          <w:u w:val="single"/>
        </w:rPr>
        <w:t>如认定为重大偏差的，做无效投标处理。</w:t>
      </w:r>
    </w:p>
    <w:p>
      <w:pPr>
        <w:adjustRightInd w:val="0"/>
        <w:snapToGrid w:val="0"/>
        <w:spacing w:line="460" w:lineRule="atLeast"/>
        <w:ind w:firstLine="435" w:firstLineChars="197"/>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5.6▲评标委员会认为投标供应商的报价明显低于其他通过符合性审查投标供应商的报价，有可能影响产品质量或者不能诚信履约的，将要求其在合理时间内在“政采云平台”上作出在线澄清并提供书面说明，必要时提交相关证明材料；投标供应商不能证明其报价合理性的，评标委员会应当将其作为无效投标处理。</w:t>
      </w:r>
    </w:p>
    <w:p>
      <w:pPr>
        <w:adjustRightInd w:val="0"/>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5.7如果投标供应商代表拒绝按评标委员会要求在“政采云平台”作出在线回复且无其他有效回复方式的，评标委员会可以对其作出否决投标处理。</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5.8 经澄清后，若偏差仍存在，且不可接受，则投标文件将被认定为“没有实质性响应招标文件要求”，按无效投标处理，不再进入下一步评审。评标委员会在评标中，不得改变招标文件中规定的评标标准、方法和中标条件。</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5.9 评标时如遇到招标文件未规定的特殊情况，由评标委员会按少数服从多数原则集体决定处理。</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6、投标文件的澄清</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6.1 </w:t>
      </w:r>
      <w:r>
        <w:rPr>
          <w:rFonts w:hint="eastAsia" w:ascii="宋体" w:hAnsi="宋体" w:eastAsia="宋体" w:cs="宋体"/>
          <w:b/>
          <w:bCs/>
          <w:color w:val="auto"/>
          <w:sz w:val="22"/>
          <w:szCs w:val="22"/>
          <w:highlight w:val="none"/>
        </w:rPr>
        <w:t>为有助于投标文件的审查、评价和比较，评标小组可以在“政采云平台”在线询标或其他有效形式要求投标供应商对同一份投标文件含义不明确或同类问题表述不一致的内容（招标文件其它地方有规定处理方法的除外）作必要的澄清或说明，投标供应商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eastAsia="宋体" w:cs="宋体"/>
          <w:color w:val="auto"/>
          <w:sz w:val="22"/>
          <w:szCs w:val="22"/>
          <w:highlight w:val="none"/>
        </w:rPr>
        <w:t>。</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若投标文件中所提交的证书、证明等材料若出现已过有效期、时间或其他主要信息不明确，且投标供应商书面澄清（书面澄清仅限在投标文件递交截止时间前所提交投标文件及相关材料中未被评标委员会审查出的内容）亦不明确的，评审过程中将不予认可，不再寻求外部证据（外部证据包括投标供应商在澄清过程中申请补交的证明材料或网络查询结果等非投标文件本身内容）。</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6.3 供应商对投标文件的澄清不得寻求、提供或允许改变投标价格等实质性内容。 </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7、禁止供应商相互串通投标。</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7.1、有下列情形之一的，视为供应商相互串通投标：</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（一）不同供应商的投标文件由同一单位或者个人编制；</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（二）不同供应商委托同一单位或者个人办理投标事宜；</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（三）不同供应商的投标文件载明的项目管理成员为同一人；</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（四）不同供应商的投标文件异常一致或者投标报价呈规律性差异；</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（五）不同供应商的投标文件相互混装；</w:t>
      </w:r>
    </w:p>
    <w:p>
      <w:pPr>
        <w:adjustRightInd w:val="0"/>
        <w:snapToGrid w:val="0"/>
        <w:spacing w:line="460" w:lineRule="atLeast"/>
        <w:ind w:left="414" w:left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7.2、经评标委员会认定供应商进行串通投标的，评标委员会可以对相关供应商做出无效投标处理，并上报政府采购管理部门进行进一步处理。</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8、评标原则</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8.1 ▲</w:t>
      </w:r>
      <w:r>
        <w:rPr>
          <w:rFonts w:hint="eastAsia" w:ascii="宋体" w:hAnsi="宋体" w:eastAsia="宋体" w:cs="宋体"/>
          <w:b/>
          <w:color w:val="auto"/>
          <w:sz w:val="22"/>
          <w:szCs w:val="22"/>
          <w:highlight w:val="none"/>
          <w:u w:val="single"/>
        </w:rPr>
        <w:t>投标截止时或评审过程中有效投标供应商不足三家的，不予开标或评标。</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9、确定中标候选人</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9.1本次招标由评标委员会推荐中标候选人，采购人根据评标委员会的推荐结果进行最终确认。</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9.3若出现以下情形之一，采购人可视具体情况确定是否由下一候选人为中标人或重新组织招标：</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1）中标候选人放弃中标资格；</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2）中标候选人因不可抗力提出不能履行合同；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3）中标候选人未能在规定时间内与采购单位签订合同；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4）经质疑，采购人审查后，中标候选人确实在本次采购活动中存在违法违规行为或其他原因使质疑成立的。</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9.4采购人、采购代理机构及评标委员会对未中标的供应商不作解释。</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10、评标细则详见“评标原则及方法”。</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可中止电子交易活动的情形</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11.1采购过程中出现以下情形，导致电子交易平台无法正常运行，或者无法保证电子交易的公平、公正和安全时，采购组织机构可中止电子交易活动：</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电子交易平台发生故障而无法登录访问的；</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电子交易平台应用或数据库出现错误，不能进行正常操作的；</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电子交易平台发现严重安全漏洞，有潜在泄密危险的；</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病毒发作导致不能进行正常操作的；</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其他无法保证电子交易的公平、公正和安全的情况。</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11.2出现前款规定情形，不影响采购公平、公正性的，采购组织机构可以待上述情形消除后继续组织电子交易活动；影响或可能影响采购公平、公正性的，应当重新采购。</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81" w:name="_Toc17810"/>
      <w:bookmarkStart w:id="82" w:name="_Toc496116255"/>
      <w:r>
        <w:rPr>
          <w:rFonts w:hint="eastAsia" w:ascii="宋体" w:hAnsi="宋体" w:eastAsia="宋体" w:cs="宋体"/>
          <w:b/>
          <w:bCs/>
          <w:color w:val="auto"/>
          <w:sz w:val="28"/>
          <w:szCs w:val="28"/>
          <w:highlight w:val="none"/>
        </w:rPr>
        <w:t>七、授予合同</w:t>
      </w:r>
      <w:bookmarkEnd w:id="81"/>
      <w:bookmarkEnd w:id="82"/>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1.1、评标结束后，评标委员会按照招标文件确定的评标办法推荐中标供应商。</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pPr>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2.1、采购人依法确认中标供应商后，代理机构在浙江省政府采购网上公告中标结果，公告期限为1个工作日。同时向中标供应商发出中标通知书。</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2.2、中标通知书对采购人和中标人具有法律约束力。中标通知书发出后，采购人改变中标结果或者中标人放弃中标的，应当承担法律责任。</w:t>
      </w:r>
    </w:p>
    <w:p>
      <w:pPr>
        <w:adjustRightInd w:val="0"/>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2.3、中标无效</w:t>
      </w:r>
    </w:p>
    <w:p>
      <w:pPr>
        <w:adjustRightInd w:val="0"/>
        <w:snapToGrid w:val="0"/>
        <w:spacing w:line="460" w:lineRule="atLeast"/>
        <w:ind w:firstLine="433"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1）发现中标供应商资格无效或中标供应商放弃中标或拒绝与采购人签订合同的，采购人可以按照评审报告推荐的中标候选人名单排序，确定下一候选人为中标供应商，也可以重新开展政府采购活动。</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2）有《中华人民共和国政府采购法实施条例》第七十一条、第七十二条、第七十三条、第七十四条规定的违法行为之一，由政府采购监管部门依法处理。</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 招标文件、中标供应商的投标文件及投标修改文件、评标过程中有关澄清文件及经双方签字的询标纪要（承诺）和中标通知书均作为合同附件。</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中标供应商在规定时间内（30日历天）借故否认已经承诺的条件、拒签合同或拒交履约保证金者，以投标违约处理，赔偿采购人由此造成的直接经济损失；采购人重新组织招标的，所需费用由原中标供应商承担。</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 采购人在授予合同时有权对采购的服务予以增加或减少，但不得对单价或其他的条款和条件做任何改变。</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5、履约保证金</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履约保证金按招标文件规定，在中标人与采购人签订合同后递交。</w:t>
      </w:r>
    </w:p>
    <w:p>
      <w:pPr>
        <w:pStyle w:val="2"/>
        <w:ind w:firstLine="422"/>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sz w:val="22"/>
          <w:szCs w:val="22"/>
          <w:highlight w:val="none"/>
        </w:rPr>
        <w:t>招标代理服务费</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本次项目招标代理服务费按固定金额人民币12040元收取</w:t>
      </w:r>
      <w:r>
        <w:rPr>
          <w:rFonts w:hint="eastAsia" w:ascii="宋体" w:hAnsi="宋体" w:eastAsia="宋体" w:cs="宋体"/>
          <w:color w:val="auto"/>
          <w:sz w:val="22"/>
          <w:szCs w:val="22"/>
          <w:highlight w:val="none"/>
        </w:rPr>
        <w:t>（含前期介绍、洽谈、论证等费用）</w:t>
      </w:r>
      <w:r>
        <w:rPr>
          <w:rFonts w:hint="eastAsia" w:ascii="宋体" w:hAnsi="宋体" w:eastAsia="宋体" w:cs="宋体"/>
          <w:color w:val="auto"/>
          <w:sz w:val="22"/>
          <w:szCs w:val="22"/>
          <w:highlight w:val="none"/>
        </w:rPr>
        <w:t>。采购人不负责任何招标代理服务费用。招标代理服务费由中标人支付，请报价人在报价时予以考虑。招标代理服务费汇入以下帐户：</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开户银行：中国建设银行永嘉广场支行</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开户名称：温州市中概工程管理咨询有限公司</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开户帐号：33050162766300000011</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招标代理服务费须在领取《中标通知书》前付清。</w:t>
      </w:r>
    </w:p>
    <w:p>
      <w:pPr>
        <w:spacing w:line="360" w:lineRule="auto"/>
        <w:ind w:left="480" w:hanging="480" w:hangingChars="200"/>
        <w:rPr>
          <w:rFonts w:hint="eastAsia" w:ascii="宋体" w:hAnsi="宋体" w:eastAsia="宋体" w:cs="宋体"/>
          <w:color w:val="auto"/>
          <w:sz w:val="24"/>
          <w:highlight w:val="none"/>
        </w:rPr>
      </w:pPr>
      <w:bookmarkStart w:id="83" w:name="_Toc293038718"/>
    </w:p>
    <w:bookmarkEnd w:id="83"/>
    <w:p>
      <w:pPr>
        <w:spacing w:line="360" w:lineRule="auto"/>
        <w:ind w:left="480" w:hanging="480" w:hangingChars="200"/>
        <w:rPr>
          <w:rFonts w:hint="eastAsia" w:ascii="宋体" w:hAnsi="宋体" w:eastAsia="宋体" w:cs="宋体"/>
          <w:color w:val="auto"/>
          <w:sz w:val="24"/>
          <w:highlight w:val="none"/>
        </w:rPr>
        <w:sectPr>
          <w:footerReference r:id="rId9" w:type="first"/>
          <w:footerReference r:id="rId8" w:type="default"/>
          <w:pgSz w:w="11906" w:h="16838"/>
          <w:pgMar w:top="1134" w:right="1134" w:bottom="1134" w:left="1134" w:header="851" w:footer="850" w:gutter="0"/>
          <w:pgNumType w:start="1"/>
          <w:cols w:space="720" w:num="1"/>
          <w:titlePg/>
          <w:docGrid w:type="lines" w:linePitch="312" w:charSpace="0"/>
        </w:sectPr>
      </w:pPr>
    </w:p>
    <w:p>
      <w:pPr>
        <w:pStyle w:val="40"/>
        <w:rPr>
          <w:rFonts w:hint="eastAsia" w:ascii="宋体" w:hAnsi="宋体" w:eastAsia="宋体" w:cs="宋体"/>
          <w:color w:val="auto"/>
          <w:sz w:val="30"/>
          <w:szCs w:val="30"/>
          <w:highlight w:val="none"/>
        </w:rPr>
      </w:pPr>
      <w:bookmarkStart w:id="84" w:name="_Toc30125"/>
      <w:bookmarkStart w:id="85" w:name="_Toc293038719"/>
      <w:bookmarkStart w:id="86" w:name="_Toc498343170"/>
      <w:r>
        <w:rPr>
          <w:rFonts w:hint="eastAsia" w:ascii="宋体" w:hAnsi="宋体" w:eastAsia="宋体" w:cs="宋体"/>
          <w:color w:val="auto"/>
          <w:sz w:val="30"/>
          <w:szCs w:val="30"/>
          <w:highlight w:val="none"/>
        </w:rPr>
        <w:t>第四部分</w:t>
      </w:r>
      <w:r>
        <w:rPr>
          <w:rFonts w:hint="eastAsia" w:ascii="宋体" w:hAnsi="宋体" w:eastAsia="宋体" w:cs="宋体"/>
          <w:color w:val="auto"/>
          <w:sz w:val="30"/>
          <w:szCs w:val="30"/>
          <w:highlight w:val="none"/>
        </w:rPr>
        <w:t xml:space="preserve">  政府采购政策功能相关说明</w:t>
      </w:r>
      <w:bookmarkEnd w:id="84"/>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一、小、微企业（含监狱企业、残疾人福利性单位）扶持政策说明</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（1）关于印发《政府采购促进中小企业发展管理办法》的通知（财库〔2020〕46号）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（2）浙江省省财政厅《关于开展政府采购投标供应商网上注册登记和诚信管理工作的通知》（浙财采监〔2010〕8号)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（3）《工业和信息化部、国家统计局、国家发展和改革委员会、财政部关于印发中小企业划型标准规定的通知》（工信部联企业[2011]300号）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（4）财政部、司法部《关于政府采购支持监狱企业发展有关问题的通知》（财库〔2014〕68号）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（5）《财政部 民政部 中国残疾人联合会关于促进残疾人就业政府采购政策的通知》（财库〔2017〕 141号）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（6）《浙江省财政厅  浙江省经济和信息化委员会关于简化中小企业类别确认流程有关事项的通知》（浙财采监〔2018〕2号)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（7）《浙江省财政厅关于进一步发挥政府采购政策功能全力推动经济稳进提质的通知》（浙财采监〔2022〕3号）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（8）《浙江省财政厅关于进一步加大政府采购支持中小企业力度 助力扎实稳住经济的通知》（浙财采监〔2022〕8号）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（1）在货物采购项目中，货物由中小企业制造，即货物由中小企业生产且使用该中小企业商号或者注册商标；</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（2）在工程采购项目中，工程由中小企业承建，即工程施工单位为中小企业；</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在货物采购项目中，供应商提供的货物既有中小企业制造货物，也有大型企业制造货物的，不享受本办法规定的中小企业扶持政策。</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以联合体形式参加政府采购活动，联合体各方均为中小企业的，联合体视同中小企业。其中，联合体各方均为小微企业的，联合体视同小微企业。</w:t>
      </w:r>
    </w:p>
    <w:p>
      <w:pPr>
        <w:spacing w:line="440" w:lineRule="atLeast"/>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（4）本项目对小型和微型企业产品的价格给予10%的扣除，用扣除后的价格参与评审</w:t>
      </w:r>
      <w:r>
        <w:rPr>
          <w:rFonts w:hint="eastAsia" w:ascii="宋体" w:hAnsi="宋体" w:eastAsia="宋体" w:cs="宋体"/>
          <w:color w:val="auto"/>
          <w:sz w:val="22"/>
          <w:szCs w:val="22"/>
          <w:highlight w:val="none"/>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3、享受小微企业价格折扣投标文件中应提供以下证明材料</w:t>
      </w:r>
      <w:r>
        <w:rPr>
          <w:rFonts w:hint="eastAsia" w:ascii="宋体" w:hAnsi="宋体" w:eastAsia="宋体" w:cs="宋体"/>
          <w:color w:val="auto"/>
          <w:sz w:val="22"/>
          <w:szCs w:val="22"/>
          <w:highlight w:val="none"/>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（1）《中小企业声明函》（原件，加盖投标供应商公章，格式见附件1）</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享受监狱企业价格折扣应提供以下证明材料（投标文件中，不提供的不享受价格折扣或政策扶持）</w:t>
      </w:r>
      <w:r>
        <w:rPr>
          <w:rFonts w:hint="eastAsia" w:ascii="宋体" w:hAnsi="宋体" w:eastAsia="宋体" w:cs="宋体"/>
          <w:color w:val="auto"/>
          <w:sz w:val="22"/>
          <w:szCs w:val="22"/>
          <w:highlight w:val="none"/>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享受价格折扣或政策扶持。</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享受残疾人福利性单位格折扣应提供以下证明材料（投标文件中，不提供的不享受价格折扣或政策扶持）</w:t>
      </w:r>
      <w:r>
        <w:rPr>
          <w:rFonts w:hint="eastAsia" w:ascii="宋体" w:hAnsi="宋体" w:eastAsia="宋体" w:cs="宋体"/>
          <w:color w:val="auto"/>
          <w:sz w:val="22"/>
          <w:szCs w:val="22"/>
          <w:highlight w:val="none"/>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（1）残疾人福利性单位声明函（附件2）；</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或政策扶持。</w:t>
      </w: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w:t>
      </w:r>
    </w:p>
    <w:p>
      <w:pPr>
        <w:widowControl/>
        <w:jc w:val="left"/>
        <w:rPr>
          <w:rFonts w:hint="eastAsia" w:ascii="宋体" w:hAnsi="宋体" w:eastAsia="宋体" w:cs="宋体"/>
          <w:color w:val="auto"/>
          <w:sz w:val="22"/>
          <w:szCs w:val="22"/>
          <w:highlight w:val="none"/>
        </w:rPr>
      </w:pPr>
    </w:p>
    <w:p>
      <w:pPr>
        <w:widowControl/>
        <w:spacing w:before="100" w:beforeAutospacing="1" w:after="100" w:afterAutospacing="1" w:line="4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中小企业声明函（货物）</w:t>
      </w:r>
    </w:p>
    <w:p>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采购活动，提 供的货物全部由符合政策要求的中小企业制造。相关企业 （含联合体中的中小企业、签订分包意向协议的中小企业） 的具体情况如下：</w:t>
      </w:r>
    </w:p>
    <w:p>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u w:val="single"/>
        </w:rPr>
        <w:t xml:space="preserve">（标的名称）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 xml:space="preserve">（采购文件中明确的所属行业） </w:t>
      </w:r>
      <w:r>
        <w:rPr>
          <w:rFonts w:hint="eastAsia" w:ascii="宋体" w:hAnsi="宋体" w:eastAsia="宋体" w:cs="宋体"/>
          <w:color w:val="auto"/>
          <w:sz w:val="22"/>
          <w:szCs w:val="22"/>
          <w:highlight w:val="none"/>
        </w:rPr>
        <w:t>行业；制造商为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万元，属于（中型企业、小 型企业、微型企业）；</w:t>
      </w:r>
    </w:p>
    <w:p>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 ，属于</w:t>
      </w:r>
      <w:r>
        <w:rPr>
          <w:rFonts w:hint="eastAsia" w:ascii="宋体" w:hAnsi="宋体" w:eastAsia="宋体" w:cs="宋体"/>
          <w:color w:val="auto"/>
          <w:sz w:val="22"/>
          <w:szCs w:val="22"/>
          <w:highlight w:val="none"/>
          <w:u w:val="single"/>
        </w:rPr>
        <w:t xml:space="preserve">（采购文件中明确的所属行业） </w:t>
      </w:r>
      <w:r>
        <w:rPr>
          <w:rFonts w:hint="eastAsia" w:ascii="宋体" w:hAnsi="宋体" w:eastAsia="宋体" w:cs="宋体"/>
          <w:color w:val="auto"/>
          <w:sz w:val="22"/>
          <w:szCs w:val="22"/>
          <w:highlight w:val="none"/>
        </w:rPr>
        <w:t>行业；制造商为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万元，属于（中型企业、小型 企业、微型企业）； </w:t>
      </w:r>
    </w:p>
    <w:p>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p>
    <w:p>
      <w:pPr>
        <w:widowControl/>
        <w:spacing w:before="100" w:beforeAutospacing="1" w:after="100" w:afterAutospacing="1" w:line="440" w:lineRule="atLeast"/>
        <w:ind w:firstLine="44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2"/>
          <w:szCs w:val="22"/>
          <w:highlight w:val="none"/>
        </w:rPr>
        <w:t>日 期：            　　　　</w:t>
      </w:r>
      <w:r>
        <w:rPr>
          <w:rFonts w:hint="eastAsia" w:ascii="宋体" w:hAnsi="宋体" w:eastAsia="宋体" w:cs="宋体"/>
          <w:b/>
          <w:bCs/>
          <w:color w:val="auto"/>
          <w:sz w:val="24"/>
          <w:highlight w:val="none"/>
        </w:rPr>
        <w:t>　</w:t>
      </w:r>
    </w:p>
    <w:p>
      <w:pPr>
        <w:spacing w:line="440" w:lineRule="atLeast"/>
        <w:rPr>
          <w:rFonts w:hint="eastAsia" w:ascii="宋体" w:hAnsi="宋体" w:eastAsia="宋体" w:cs="宋体"/>
          <w:b/>
          <w:bCs/>
          <w:color w:val="auto"/>
          <w:sz w:val="24"/>
          <w:highlight w:val="none"/>
        </w:rPr>
      </w:pP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 从业人员、营业收入、资产总额填报上一年度数据，无上一年度数据的新成立企业可不填报。</w:t>
      </w:r>
      <w:r>
        <w:rPr>
          <w:rFonts w:hint="eastAsia" w:ascii="宋体" w:hAnsi="宋体" w:eastAsia="宋体" w:cs="宋体"/>
          <w:color w:val="auto"/>
          <w:sz w:val="22"/>
          <w:szCs w:val="22"/>
          <w:highlight w:val="none"/>
        </w:rPr>
        <w:t>                  　　　　</w:t>
      </w:r>
      <w:r>
        <w:rPr>
          <w:rFonts w:hint="eastAsia" w:ascii="宋体" w:hAnsi="宋体" w:eastAsia="宋体" w:cs="宋体"/>
          <w:b/>
          <w:bCs/>
          <w:color w:val="auto"/>
          <w:sz w:val="24"/>
          <w:highlight w:val="none"/>
        </w:rPr>
        <w:t>　</w:t>
      </w: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附件2</w:t>
      </w:r>
    </w:p>
    <w:p>
      <w:pPr>
        <w:widowControl/>
        <w:spacing w:before="100" w:beforeAutospacing="1" w:after="100" w:afterAutospacing="1" w:line="440" w:lineRule="atLeast"/>
        <w:jc w:val="center"/>
        <w:rPr>
          <w:rFonts w:hint="eastAsia" w:ascii="宋体" w:hAnsi="宋体" w:eastAsia="宋体" w:cs="宋体"/>
          <w:b/>
          <w:bCs/>
          <w:color w:val="auto"/>
          <w:sz w:val="24"/>
          <w:highlight w:val="none"/>
        </w:rPr>
      </w:pPr>
      <w:bookmarkStart w:id="87" w:name="OLE_LINK14"/>
      <w:bookmarkStart w:id="88" w:name="OLE_LINK13"/>
      <w:r>
        <w:rPr>
          <w:rFonts w:hint="eastAsia" w:ascii="宋体" w:hAnsi="宋体" w:eastAsia="宋体" w:cs="宋体"/>
          <w:b/>
          <w:bCs/>
          <w:color w:val="auto"/>
          <w:sz w:val="24"/>
          <w:highlight w:val="none"/>
        </w:rPr>
        <w:t>残疾人福利性单位声明函</w:t>
      </w:r>
    </w:p>
    <w:bookmarkEnd w:id="87"/>
    <w:bookmarkEnd w:id="88"/>
    <w:p>
      <w:pPr>
        <w:spacing w:line="588" w:lineRule="exact"/>
        <w:rPr>
          <w:rFonts w:hint="eastAsia" w:ascii="宋体" w:hAnsi="宋体" w:eastAsia="宋体" w:cs="宋体"/>
          <w:b/>
          <w:bCs/>
          <w:color w:val="auto"/>
          <w:spacing w:val="6"/>
          <w:sz w:val="30"/>
          <w:szCs w:val="30"/>
          <w:highlight w:val="none"/>
        </w:rPr>
      </w:pPr>
    </w:p>
    <w:p>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宋体" w:hAnsi="宋体" w:eastAsia="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投标供应商全称（盖章）：</w:t>
      </w:r>
    </w:p>
    <w:p>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日  期：</w:t>
      </w:r>
    </w:p>
    <w:p>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pPr>
        <w:tabs>
          <w:tab w:val="left" w:pos="4860"/>
        </w:tabs>
        <w:spacing w:line="588" w:lineRule="exact"/>
        <w:ind w:right="156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备注说明：</w:t>
      </w:r>
    </w:p>
    <w:p>
      <w:pPr>
        <w:tabs>
          <w:tab w:val="left" w:pos="4860"/>
        </w:tabs>
        <w:spacing w:line="588" w:lineRule="exact"/>
        <w:ind w:right="156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1、如中标，将在中标公示中将此声明函予以公示，接受社会监督；</w:t>
      </w:r>
    </w:p>
    <w:p>
      <w:pPr>
        <w:autoSpaceDE w:val="0"/>
        <w:autoSpaceDN w:val="0"/>
        <w:adjustRightInd w:val="0"/>
        <w:spacing w:line="460" w:lineRule="atLeast"/>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2、投标供应商提供的《残疾人福利性单位声明函》与事实不符的，依照《政府采购法》第七十七条第一款的规定追究法律责任。</w:t>
      </w:r>
    </w:p>
    <w:p>
      <w:pPr>
        <w:spacing w:line="360" w:lineRule="auto"/>
        <w:outlineLvl w:val="0"/>
        <w:rPr>
          <w:rFonts w:hint="eastAsia" w:ascii="宋体" w:hAnsi="宋体" w:eastAsia="宋体" w:cs="宋体"/>
          <w:b/>
          <w:bCs/>
          <w:color w:val="auto"/>
          <w:sz w:val="28"/>
          <w:szCs w:val="28"/>
          <w:highlight w:val="none"/>
        </w:rPr>
      </w:pPr>
    </w:p>
    <w:p>
      <w:pPr>
        <w:pStyle w:val="40"/>
        <w:rPr>
          <w:rFonts w:hint="eastAsia" w:ascii="宋体" w:hAnsi="宋体" w:eastAsia="宋体" w:cs="宋体"/>
          <w:color w:val="auto"/>
          <w:sz w:val="30"/>
          <w:szCs w:val="30"/>
          <w:highlight w:val="none"/>
        </w:rPr>
      </w:pPr>
    </w:p>
    <w:p>
      <w:pPr>
        <w:widowControl/>
        <w:jc w:val="left"/>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br w:type="page"/>
      </w:r>
    </w:p>
    <w:p>
      <w:pPr>
        <w:spacing w:line="360" w:lineRule="auto"/>
        <w:jc w:val="center"/>
        <w:outlineLvl w:val="0"/>
        <w:rPr>
          <w:rFonts w:hint="eastAsia" w:ascii="宋体" w:hAnsi="宋体" w:eastAsia="宋体" w:cs="宋体"/>
          <w:b/>
          <w:color w:val="auto"/>
          <w:sz w:val="36"/>
          <w:szCs w:val="36"/>
          <w:highlight w:val="none"/>
        </w:rPr>
      </w:pPr>
      <w:bookmarkStart w:id="89" w:name="_Toc23974"/>
      <w:r>
        <w:rPr>
          <w:rFonts w:hint="eastAsia" w:ascii="宋体" w:hAnsi="宋体" w:eastAsia="宋体" w:cs="宋体"/>
          <w:color w:val="auto"/>
          <w:sz w:val="30"/>
          <w:szCs w:val="30"/>
          <w:highlight w:val="none"/>
        </w:rPr>
        <w:t xml:space="preserve">第五部分  </w:t>
      </w:r>
      <w:bookmarkEnd w:id="85"/>
      <w:bookmarkEnd w:id="86"/>
      <w:r>
        <w:rPr>
          <w:rFonts w:hint="eastAsia" w:ascii="宋体" w:hAnsi="宋体" w:eastAsia="宋体" w:cs="宋体"/>
          <w:color w:val="auto"/>
          <w:sz w:val="30"/>
          <w:szCs w:val="30"/>
          <w:highlight w:val="none"/>
        </w:rPr>
        <w:t>合同格式（参考格式）</w:t>
      </w:r>
      <w:bookmarkEnd w:id="89"/>
      <w:r>
        <w:rPr>
          <w:rFonts w:hint="eastAsia" w:ascii="宋体" w:hAnsi="宋体" w:eastAsia="宋体" w:cs="宋体"/>
          <w:color w:val="auto"/>
          <w:sz w:val="30"/>
          <w:szCs w:val="30"/>
          <w:highlight w:val="none"/>
        </w:rPr>
        <w:t xml:space="preserve">  </w:t>
      </w:r>
    </w:p>
    <w:p>
      <w:pPr>
        <w:pStyle w:val="25"/>
        <w:spacing w:line="420" w:lineRule="atLeast"/>
        <w:jc w:val="center"/>
        <w:rPr>
          <w:rFonts w:hint="eastAsia" w:ascii="宋体" w:hAnsi="宋体" w:eastAsia="宋体" w:cs="宋体"/>
          <w:b/>
          <w:color w:val="auto"/>
          <w:sz w:val="22"/>
          <w:szCs w:val="22"/>
          <w:highlight w:val="none"/>
        </w:rPr>
      </w:pPr>
      <w:bookmarkStart w:id="90" w:name="_Toc498343172"/>
      <w:bookmarkStart w:id="91" w:name="_Toc496116263"/>
      <w:bookmarkStart w:id="92" w:name="_Toc293038721"/>
      <w:r>
        <w:rPr>
          <w:rFonts w:hint="eastAsia" w:ascii="宋体" w:hAnsi="宋体" w:eastAsia="宋体" w:cs="宋体"/>
          <w:color w:val="auto"/>
          <w:sz w:val="22"/>
          <w:szCs w:val="22"/>
          <w:highlight w:val="none"/>
        </w:rPr>
        <w:t>编号  ：</w:t>
      </w:r>
    </w:p>
    <w:p>
      <w:pPr>
        <w:pStyle w:val="25"/>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采购人：采购人</w:t>
      </w:r>
    </w:p>
    <w:p>
      <w:pPr>
        <w:pStyle w:val="25"/>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中标供应商：本次招标的中标供应商</w:t>
      </w:r>
    </w:p>
    <w:p>
      <w:pPr>
        <w:pStyle w:val="25"/>
        <w:spacing w:line="460" w:lineRule="atLeast"/>
        <w:ind w:firstLine="57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双方经协商，就中标供应商向采购人提供本公司产品以及相关产品的伴随服务事宜达成以下条款：</w:t>
      </w:r>
    </w:p>
    <w:p>
      <w:pPr>
        <w:pStyle w:val="25"/>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第一条：采购商品清单及合同价格</w:t>
      </w:r>
    </w:p>
    <w:p>
      <w:pPr>
        <w:spacing w:line="460" w:lineRule="atLeast"/>
        <w:ind w:firstLine="5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中标供应商保证提供如下内容的合格产品：        金额单位：人民币/元</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pPr>
              <w:spacing w:line="460" w:lineRule="atLeast"/>
              <w:ind w:firstLine="24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采购产品名称</w:t>
            </w:r>
          </w:p>
        </w:tc>
        <w:tc>
          <w:tcPr>
            <w:tcW w:w="2713" w:type="dxa"/>
            <w:vAlign w:val="center"/>
          </w:tcPr>
          <w:p>
            <w:pPr>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型号规格和主要配置</w:t>
            </w:r>
          </w:p>
        </w:tc>
        <w:tc>
          <w:tcPr>
            <w:tcW w:w="816" w:type="dxa"/>
            <w:vAlign w:val="center"/>
          </w:tcPr>
          <w:p>
            <w:pPr>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数量</w:t>
            </w:r>
          </w:p>
        </w:tc>
        <w:tc>
          <w:tcPr>
            <w:tcW w:w="1259" w:type="dxa"/>
            <w:vAlign w:val="center"/>
          </w:tcPr>
          <w:p>
            <w:pPr>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中标价</w:t>
            </w:r>
          </w:p>
        </w:tc>
        <w:tc>
          <w:tcPr>
            <w:tcW w:w="1079" w:type="dxa"/>
            <w:vAlign w:val="center"/>
          </w:tcPr>
          <w:p>
            <w:pPr>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完工期</w:t>
            </w:r>
          </w:p>
        </w:tc>
        <w:tc>
          <w:tcPr>
            <w:tcW w:w="1079" w:type="dxa"/>
            <w:vAlign w:val="center"/>
          </w:tcPr>
          <w:p>
            <w:pPr>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vAlign w:val="center"/>
          </w:tcPr>
          <w:p>
            <w:pPr>
              <w:spacing w:line="460" w:lineRule="atLeast"/>
              <w:jc w:val="center"/>
              <w:rPr>
                <w:rFonts w:hint="eastAsia" w:ascii="宋体" w:hAnsi="宋体" w:eastAsia="宋体" w:cs="宋体"/>
                <w:b/>
                <w:color w:val="auto"/>
                <w:sz w:val="22"/>
                <w:szCs w:val="22"/>
                <w:highlight w:val="none"/>
              </w:rPr>
            </w:pPr>
          </w:p>
        </w:tc>
        <w:tc>
          <w:tcPr>
            <w:tcW w:w="2713" w:type="dxa"/>
            <w:vAlign w:val="center"/>
          </w:tcPr>
          <w:p>
            <w:pPr>
              <w:spacing w:line="460" w:lineRule="atLeast"/>
              <w:jc w:val="center"/>
              <w:rPr>
                <w:rFonts w:hint="eastAsia" w:ascii="宋体" w:hAnsi="宋体" w:eastAsia="宋体" w:cs="宋体"/>
                <w:b/>
                <w:color w:val="auto"/>
                <w:sz w:val="22"/>
                <w:szCs w:val="22"/>
                <w:highlight w:val="none"/>
              </w:rPr>
            </w:pPr>
          </w:p>
        </w:tc>
        <w:tc>
          <w:tcPr>
            <w:tcW w:w="816" w:type="dxa"/>
            <w:vAlign w:val="center"/>
          </w:tcPr>
          <w:p>
            <w:pPr>
              <w:spacing w:line="460" w:lineRule="atLeast"/>
              <w:jc w:val="center"/>
              <w:rPr>
                <w:rFonts w:hint="eastAsia" w:ascii="宋体" w:hAnsi="宋体" w:eastAsia="宋体" w:cs="宋体"/>
                <w:b/>
                <w:color w:val="auto"/>
                <w:sz w:val="22"/>
                <w:szCs w:val="22"/>
                <w:highlight w:val="none"/>
              </w:rPr>
            </w:pPr>
          </w:p>
        </w:tc>
        <w:tc>
          <w:tcPr>
            <w:tcW w:w="1259" w:type="dxa"/>
            <w:vAlign w:val="center"/>
          </w:tcPr>
          <w:p>
            <w:pPr>
              <w:spacing w:line="460" w:lineRule="atLeast"/>
              <w:jc w:val="center"/>
              <w:rPr>
                <w:rFonts w:hint="eastAsia" w:ascii="宋体" w:hAnsi="宋体" w:eastAsia="宋体" w:cs="宋体"/>
                <w:b/>
                <w:color w:val="auto"/>
                <w:sz w:val="22"/>
                <w:szCs w:val="22"/>
                <w:highlight w:val="none"/>
              </w:rPr>
            </w:pPr>
          </w:p>
        </w:tc>
        <w:tc>
          <w:tcPr>
            <w:tcW w:w="1079" w:type="dxa"/>
            <w:vAlign w:val="center"/>
          </w:tcPr>
          <w:p>
            <w:pPr>
              <w:spacing w:line="460" w:lineRule="atLeast"/>
              <w:jc w:val="center"/>
              <w:rPr>
                <w:rFonts w:hint="eastAsia" w:ascii="宋体" w:hAnsi="宋体" w:eastAsia="宋体" w:cs="宋体"/>
                <w:b/>
                <w:color w:val="auto"/>
                <w:sz w:val="22"/>
                <w:szCs w:val="22"/>
                <w:highlight w:val="none"/>
              </w:rPr>
            </w:pPr>
          </w:p>
        </w:tc>
        <w:tc>
          <w:tcPr>
            <w:tcW w:w="1079" w:type="dxa"/>
            <w:vAlign w:val="center"/>
          </w:tcPr>
          <w:p>
            <w:pPr>
              <w:spacing w:line="460" w:lineRule="atLeast"/>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pacing w:line="460" w:lineRule="atLeast"/>
              <w:jc w:val="center"/>
              <w:rPr>
                <w:rFonts w:hint="eastAsia" w:ascii="宋体" w:hAnsi="宋体" w:eastAsia="宋体" w:cs="宋体"/>
                <w:b/>
                <w:color w:val="auto"/>
                <w:sz w:val="22"/>
                <w:szCs w:val="22"/>
                <w:highlight w:val="none"/>
              </w:rPr>
            </w:pPr>
          </w:p>
        </w:tc>
        <w:tc>
          <w:tcPr>
            <w:tcW w:w="2713" w:type="dxa"/>
            <w:vAlign w:val="center"/>
          </w:tcPr>
          <w:p>
            <w:pPr>
              <w:spacing w:line="460" w:lineRule="atLeast"/>
              <w:jc w:val="center"/>
              <w:rPr>
                <w:rFonts w:hint="eastAsia" w:ascii="宋体" w:hAnsi="宋体" w:eastAsia="宋体" w:cs="宋体"/>
                <w:b/>
                <w:color w:val="auto"/>
                <w:sz w:val="22"/>
                <w:szCs w:val="22"/>
                <w:highlight w:val="none"/>
              </w:rPr>
            </w:pPr>
          </w:p>
        </w:tc>
        <w:tc>
          <w:tcPr>
            <w:tcW w:w="816" w:type="dxa"/>
            <w:vAlign w:val="center"/>
          </w:tcPr>
          <w:p>
            <w:pPr>
              <w:spacing w:line="460" w:lineRule="atLeast"/>
              <w:jc w:val="center"/>
              <w:rPr>
                <w:rFonts w:hint="eastAsia" w:ascii="宋体" w:hAnsi="宋体" w:eastAsia="宋体" w:cs="宋体"/>
                <w:b/>
                <w:color w:val="auto"/>
                <w:sz w:val="22"/>
                <w:szCs w:val="22"/>
                <w:highlight w:val="none"/>
              </w:rPr>
            </w:pPr>
          </w:p>
        </w:tc>
        <w:tc>
          <w:tcPr>
            <w:tcW w:w="1259" w:type="dxa"/>
            <w:vAlign w:val="center"/>
          </w:tcPr>
          <w:p>
            <w:pPr>
              <w:spacing w:line="460" w:lineRule="atLeast"/>
              <w:jc w:val="center"/>
              <w:rPr>
                <w:rFonts w:hint="eastAsia" w:ascii="宋体" w:hAnsi="宋体" w:eastAsia="宋体" w:cs="宋体"/>
                <w:b/>
                <w:color w:val="auto"/>
                <w:sz w:val="22"/>
                <w:szCs w:val="22"/>
                <w:highlight w:val="none"/>
              </w:rPr>
            </w:pPr>
          </w:p>
        </w:tc>
        <w:tc>
          <w:tcPr>
            <w:tcW w:w="1079" w:type="dxa"/>
            <w:vAlign w:val="center"/>
          </w:tcPr>
          <w:p>
            <w:pPr>
              <w:spacing w:line="460" w:lineRule="atLeast"/>
              <w:jc w:val="center"/>
              <w:rPr>
                <w:rFonts w:hint="eastAsia" w:ascii="宋体" w:hAnsi="宋体" w:eastAsia="宋体" w:cs="宋体"/>
                <w:b/>
                <w:color w:val="auto"/>
                <w:sz w:val="22"/>
                <w:szCs w:val="22"/>
                <w:highlight w:val="none"/>
              </w:rPr>
            </w:pPr>
          </w:p>
        </w:tc>
        <w:tc>
          <w:tcPr>
            <w:tcW w:w="1079" w:type="dxa"/>
            <w:vAlign w:val="center"/>
          </w:tcPr>
          <w:p>
            <w:pPr>
              <w:spacing w:line="460" w:lineRule="atLeast"/>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pacing w:line="460" w:lineRule="atLeast"/>
              <w:jc w:val="center"/>
              <w:rPr>
                <w:rFonts w:hint="eastAsia" w:ascii="宋体" w:hAnsi="宋体" w:eastAsia="宋体" w:cs="宋体"/>
                <w:b/>
                <w:color w:val="auto"/>
                <w:sz w:val="22"/>
                <w:szCs w:val="22"/>
                <w:highlight w:val="none"/>
              </w:rPr>
            </w:pPr>
          </w:p>
        </w:tc>
        <w:tc>
          <w:tcPr>
            <w:tcW w:w="2713" w:type="dxa"/>
            <w:vAlign w:val="center"/>
          </w:tcPr>
          <w:p>
            <w:pPr>
              <w:spacing w:line="460" w:lineRule="atLeast"/>
              <w:jc w:val="center"/>
              <w:rPr>
                <w:rFonts w:hint="eastAsia" w:ascii="宋体" w:hAnsi="宋体" w:eastAsia="宋体" w:cs="宋体"/>
                <w:b/>
                <w:color w:val="auto"/>
                <w:sz w:val="22"/>
                <w:szCs w:val="22"/>
                <w:highlight w:val="none"/>
              </w:rPr>
            </w:pPr>
          </w:p>
        </w:tc>
        <w:tc>
          <w:tcPr>
            <w:tcW w:w="816" w:type="dxa"/>
            <w:vAlign w:val="center"/>
          </w:tcPr>
          <w:p>
            <w:pPr>
              <w:spacing w:line="460" w:lineRule="atLeast"/>
              <w:jc w:val="center"/>
              <w:rPr>
                <w:rFonts w:hint="eastAsia" w:ascii="宋体" w:hAnsi="宋体" w:eastAsia="宋体" w:cs="宋体"/>
                <w:b/>
                <w:color w:val="auto"/>
                <w:sz w:val="22"/>
                <w:szCs w:val="22"/>
                <w:highlight w:val="none"/>
              </w:rPr>
            </w:pPr>
          </w:p>
        </w:tc>
        <w:tc>
          <w:tcPr>
            <w:tcW w:w="1259" w:type="dxa"/>
            <w:vAlign w:val="center"/>
          </w:tcPr>
          <w:p>
            <w:pPr>
              <w:spacing w:line="460" w:lineRule="atLeast"/>
              <w:jc w:val="center"/>
              <w:rPr>
                <w:rFonts w:hint="eastAsia" w:ascii="宋体" w:hAnsi="宋体" w:eastAsia="宋体" w:cs="宋体"/>
                <w:b/>
                <w:color w:val="auto"/>
                <w:sz w:val="22"/>
                <w:szCs w:val="22"/>
                <w:highlight w:val="none"/>
              </w:rPr>
            </w:pPr>
          </w:p>
        </w:tc>
        <w:tc>
          <w:tcPr>
            <w:tcW w:w="1079" w:type="dxa"/>
            <w:vAlign w:val="center"/>
          </w:tcPr>
          <w:p>
            <w:pPr>
              <w:spacing w:line="460" w:lineRule="atLeast"/>
              <w:jc w:val="center"/>
              <w:rPr>
                <w:rFonts w:hint="eastAsia" w:ascii="宋体" w:hAnsi="宋体" w:eastAsia="宋体" w:cs="宋体"/>
                <w:b/>
                <w:color w:val="auto"/>
                <w:sz w:val="22"/>
                <w:szCs w:val="22"/>
                <w:highlight w:val="none"/>
              </w:rPr>
            </w:pPr>
          </w:p>
        </w:tc>
        <w:tc>
          <w:tcPr>
            <w:tcW w:w="1079" w:type="dxa"/>
            <w:vAlign w:val="center"/>
          </w:tcPr>
          <w:p>
            <w:pPr>
              <w:spacing w:line="460" w:lineRule="atLeast"/>
              <w:jc w:val="center"/>
              <w:rPr>
                <w:rFonts w:hint="eastAsia" w:ascii="宋体" w:hAnsi="宋体" w:eastAsia="宋体" w:cs="宋体"/>
                <w:b/>
                <w:color w:val="auto"/>
                <w:sz w:val="22"/>
                <w:szCs w:val="22"/>
                <w:highlight w:val="none"/>
              </w:rPr>
            </w:pPr>
          </w:p>
        </w:tc>
      </w:tr>
    </w:tbl>
    <w:p>
      <w:pPr>
        <w:pStyle w:val="25"/>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第二条：质量标准和要求</w:t>
      </w:r>
    </w:p>
    <w:p>
      <w:pPr>
        <w:spacing w:line="460" w:lineRule="atLeast"/>
        <w:ind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5"/>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 中标供应商所出售的货物还应符合国家和浙江省有关安全、环保、卫生之规定。</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第三条：权利瑕疵担保</w:t>
      </w:r>
    </w:p>
    <w:p>
      <w:pPr>
        <w:spacing w:line="460" w:lineRule="atLeast"/>
        <w:ind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1、中标供应商保证对其出售的货物享有合法的权利。</w:t>
      </w:r>
    </w:p>
    <w:p>
      <w:pPr>
        <w:spacing w:line="460" w:lineRule="atLeast"/>
        <w:ind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2、中标供应商保证在其出售的货物上不存在任何未曾向采购人透露的担保物权，如抵押权、质押权、留置权等。</w:t>
      </w:r>
    </w:p>
    <w:p>
      <w:pPr>
        <w:spacing w:line="460" w:lineRule="atLeast"/>
        <w:ind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3、中标供应商保证其所出售的货物没有侵犯任何第三人的知识产权和商业秘密等权利。</w:t>
      </w:r>
    </w:p>
    <w:p>
      <w:pPr>
        <w:pStyle w:val="25"/>
        <w:spacing w:line="460" w:lineRule="atLeast"/>
        <w:ind w:firstLine="36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4、如采购人使用该货物构成上述侵权的，则由中标供应商承担全部责任。</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第四条：包装要求</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1、中标供应商所出售的全部货物均应按标准保护措施进行包装，这类包装应适应于远距离运输、防潮、防震、防锈和防野蛮装卸等要求，以确保货物安全无损地运抵指定现场。</w:t>
      </w:r>
    </w:p>
    <w:p>
      <w:pPr>
        <w:pStyle w:val="25"/>
        <w:spacing w:line="460" w:lineRule="atLeast"/>
        <w:ind w:firstLine="36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2、每一个包装箱内应附一份详细装箱单、质量证书和保修保养证书。</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第五条：供货期限</w:t>
      </w:r>
    </w:p>
    <w:p>
      <w:pPr>
        <w:spacing w:line="460" w:lineRule="atLeas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中标供应商负责202</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日前完成交货，202</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日前调试验收合格。</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第六条：供货方式</w:t>
      </w:r>
    </w:p>
    <w:p>
      <w:pPr>
        <w:spacing w:line="460" w:lineRule="atLeast"/>
        <w:ind w:firstLine="55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在供货期限内，中标供应商在与采购人签署合同后，保证在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个日历天内派人送货至采购人指定地点。</w:t>
      </w:r>
    </w:p>
    <w:p>
      <w:pPr>
        <w:pStyle w:val="25"/>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第七条：验收</w:t>
      </w:r>
    </w:p>
    <w:p>
      <w:pPr>
        <w:spacing w:line="460" w:lineRule="atLeas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1、本项目验收程序参照温州市财政局关于印发《温州市政府采购履约验收办法》（温财采〔2020〕6号）文件执行。</w:t>
      </w:r>
    </w:p>
    <w:p>
      <w:pPr>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t>、中标供应商送货至指定地点后，由采购人根据货物的技术规格要求和质量标准，对货物进行检查验收。</w:t>
      </w:r>
    </w:p>
    <w:p>
      <w:pPr>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t>、货物的数量不足或表面瑕疵，采购人应在验收时当面提出；对质量问题有异议的应在安装调试后10个工作日内提出。</w:t>
      </w:r>
    </w:p>
    <w:p>
      <w:pPr>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rPr>
        <w:t>、在验收过程中发现数量不足或有质量、技术等问题，中标供应商应负责按照采购人的要求采取补足、更换或退货等处理措施，并承担由此发生的一切费用和损失。</w:t>
      </w:r>
    </w:p>
    <w:p>
      <w:pPr>
        <w:spacing w:line="460" w:lineRule="atLeas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t>、采购人在中标供应商按合同规定交货和安装、调试后，无正当理由而拖延接收、验收或拒绝接收、验收的，应承担由此而造成的中标供应商直接损失。</w:t>
      </w:r>
    </w:p>
    <w:p>
      <w:pPr>
        <w:pStyle w:val="2"/>
        <w:spacing w:line="360" w:lineRule="auto"/>
        <w:ind w:firstLine="44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6、本项目采购人将对到货设备进行严格验收，供应商投标文件偏离表中未注明偏离，但实际到货设备达不到招标文件技术要求的，做验收不通过处理，采购人有权单方面解除合同，由此造成的所有损失由中标供应商承担。</w:t>
      </w:r>
    </w:p>
    <w:p>
      <w:pPr>
        <w:pStyle w:val="25"/>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第八条：售后服务</w:t>
      </w:r>
    </w:p>
    <w:p>
      <w:pPr>
        <w:pStyle w:val="25"/>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中标供应商承诺售后服务按照投标承诺的服务计划实施，包括培训。</w:t>
      </w:r>
    </w:p>
    <w:p>
      <w:pPr>
        <w:pStyle w:val="25"/>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第九条：履约保证金</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按招标文件要求</w:t>
      </w:r>
    </w:p>
    <w:p>
      <w:pPr>
        <w:pStyle w:val="25"/>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第十条：货款的支付</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按招标文件要求</w:t>
      </w:r>
    </w:p>
    <w:p>
      <w:pPr>
        <w:pStyle w:val="25"/>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第十一条：辅助服务</w:t>
      </w:r>
    </w:p>
    <w:p>
      <w:pPr>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中标供应商还应提供下列服务：</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（1）货物的现场指导安装、调试、启动监督及技术支持；</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（2）在厂家和/或项目现场就货物的指导安装、启动、运营、维护对采购人操作人员进行培训。辅助服务的费用包含在合同价中，采购人不再另行支付。</w:t>
      </w:r>
    </w:p>
    <w:p>
      <w:pPr>
        <w:spacing w:line="460" w:lineRule="atLeast"/>
        <w:ind w:left="-360" w:firstLine="36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第十二条：质量保证</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年的质量保证期内，中标供应商应对由于设计、工艺或材料的缺陷而产生的故障负责。</w:t>
      </w:r>
    </w:p>
    <w:p>
      <w:pPr>
        <w:spacing w:line="460" w:lineRule="atLeast"/>
        <w:ind w:firstLine="385" w:firstLineChars="17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pPr>
        <w:spacing w:line="460" w:lineRule="atLeast"/>
        <w:ind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第十三条：补救措施和索赔</w:t>
      </w:r>
    </w:p>
    <w:p>
      <w:pPr>
        <w:spacing w:line="460" w:lineRule="atLeast"/>
        <w:ind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1、采购人有权根据权威质量检测部门出具的检验报告向中标供应商提出索赔。</w:t>
      </w:r>
    </w:p>
    <w:p>
      <w:pPr>
        <w:spacing w:line="460" w:lineRule="atLeast"/>
        <w:ind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pPr>
        <w:spacing w:line="460" w:lineRule="atLeas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 中标供应商退货并将货款退还给采购人，由此发生的一切费用和损失由中标供应商承担。</w:t>
      </w:r>
    </w:p>
    <w:p>
      <w:pPr>
        <w:spacing w:line="460" w:lineRule="atLeas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 根据货物的质量状况以及采购人所遭受的损失，经过采购人及中标供应商商定降低货物的价格。</w:t>
      </w:r>
    </w:p>
    <w:p>
      <w:pPr>
        <w:spacing w:line="460" w:lineRule="atLeas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pPr>
        <w:spacing w:line="460" w:lineRule="atLeas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第十四条：履约延误</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1、中标供应商应按照《合同》规定的时间、地点交货和提供服务。</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pPr>
        <w:spacing w:line="460" w:lineRule="atLeas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如不能按时交货，每延长7天交货期，将按合同总价的0.5%作为罚金，从付款中扣除</w:t>
      </w:r>
      <w:r>
        <w:rPr>
          <w:rFonts w:hint="eastAsia" w:ascii="宋体" w:hAnsi="宋体" w:eastAsia="宋体" w:cs="宋体"/>
          <w:color w:val="auto"/>
          <w:sz w:val="22"/>
          <w:szCs w:val="22"/>
          <w:highlight w:val="none"/>
        </w:rPr>
        <w:t>。</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第十五条：不可抗力</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1、如果合同各方因不可抗力而导致合同实施延误或不能履行合同义务的话，不应该承担误期赔偿或不能履行合同义务的责任。</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5"/>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第十六条：争议的解决</w:t>
      </w:r>
    </w:p>
    <w:p>
      <w:pPr>
        <w:pStyle w:val="25"/>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第十七条：违约处理</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1、在采购人对中标供应商违约而采取的任何补救措施不受影响的情况下，采购人可在下列情况下向中标供应商发出书面通知书，提出终止部分或全部合同。</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（1）中标供应商提供的产品质量、配置不符合国家规定和承诺的标准；</w:t>
      </w:r>
    </w:p>
    <w:p>
      <w:pPr>
        <w:spacing w:line="460" w:lineRule="atLeast"/>
        <w:ind w:firstLine="36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（2）中标供应商没有按承诺的时间供货、维修或提供其他服务；</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（3）中标供应商没有按承诺的价格或优惠率签订合同并供货；</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第十八条：合同转让和分包</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除采购人事先书面同意外，中标供应商不得转让和分包其应履行的合同义务。</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第十九条：合同生效</w:t>
      </w:r>
    </w:p>
    <w:p>
      <w:pPr>
        <w:pStyle w:val="25"/>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1、如上述文件与本合同有不符之处，以有利于采购人的为准。</w:t>
      </w:r>
    </w:p>
    <w:p>
      <w:pPr>
        <w:pStyle w:val="25"/>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本合同经双方法定代表人或授权代表签署，采购人及中标供应商加盖印章后生效。</w:t>
      </w:r>
    </w:p>
    <w:p>
      <w:pPr>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第二十条：合同修改</w:t>
      </w:r>
    </w:p>
    <w:p>
      <w:pPr>
        <w:spacing w:line="460" w:lineRule="atLeast"/>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除了双方签署书面修改合同，并成为本合同不可分割的一部分之外，本合同条件不得有任何变化或修改。</w:t>
      </w:r>
    </w:p>
    <w:p>
      <w:pPr>
        <w:pStyle w:val="25"/>
        <w:spacing w:line="460" w:lineRule="atLeas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第二十一条 合同附件</w:t>
      </w:r>
    </w:p>
    <w:p>
      <w:pPr>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下列文件与本合同具有同等法律效力：</w:t>
      </w:r>
    </w:p>
    <w:p>
      <w:pPr>
        <w:spacing w:line="460" w:lineRule="atLeast"/>
        <w:ind w:firstLine="431" w:firstLineChars="196"/>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1、采购人的招标文件与招标补充文件；</w:t>
      </w:r>
    </w:p>
    <w:p>
      <w:pPr>
        <w:spacing w:line="460" w:lineRule="atLeast"/>
        <w:ind w:firstLine="431" w:firstLineChars="196"/>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2、中标供应商投标文件；</w:t>
      </w:r>
    </w:p>
    <w:p>
      <w:pPr>
        <w:pStyle w:val="25"/>
        <w:spacing w:line="460" w:lineRule="atLeast"/>
        <w:ind w:firstLine="323" w:firstLineChars="147"/>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3、询标纪要和承诺书。</w:t>
      </w:r>
    </w:p>
    <w:p>
      <w:pPr>
        <w:spacing w:line="460" w:lineRule="atLeas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4、中标通知书</w:t>
      </w:r>
    </w:p>
    <w:p>
      <w:pPr>
        <w:pStyle w:val="25"/>
        <w:spacing w:line="460" w:lineRule="atLeast"/>
        <w:ind w:firstLine="325" w:firstLineChars="147"/>
        <w:rPr>
          <w:rFonts w:hint="eastAsia" w:ascii="宋体" w:hAnsi="宋体" w:eastAsia="宋体" w:cs="宋体"/>
          <w:b/>
          <w:color w:val="auto"/>
          <w:sz w:val="22"/>
          <w:szCs w:val="22"/>
          <w:highlight w:val="none"/>
        </w:rPr>
      </w:pP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采购人：（印章）                     供应商：（印章）</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法定代表人（签名或盖章）：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法定代表人：（签名或盖章）：</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委托代理人（签名或盖章）：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委托代理人（签名或盖章）：</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联系人：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联系人： </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电话：</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开户银行：</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银行账号：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银行账号：</w:t>
      </w:r>
    </w:p>
    <w:p>
      <w:pPr>
        <w:spacing w:line="360" w:lineRule="auto"/>
        <w:ind w:left="688" w:leftChars="275" w:hanging="110" w:hanging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_________年____月____日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_______年____月____日</w:t>
      </w:r>
    </w:p>
    <w:p>
      <w:pPr>
        <w:pStyle w:val="40"/>
        <w:jc w:val="both"/>
        <w:rPr>
          <w:rFonts w:hint="eastAsia" w:ascii="宋体" w:hAnsi="宋体" w:eastAsia="宋体" w:cs="宋体"/>
          <w:color w:val="auto"/>
          <w:sz w:val="30"/>
          <w:szCs w:val="30"/>
          <w:highlight w:val="none"/>
        </w:rPr>
        <w:sectPr>
          <w:headerReference r:id="rId10" w:type="default"/>
          <w:footerReference r:id="rId11" w:type="default"/>
          <w:pgSz w:w="11906" w:h="16838"/>
          <w:pgMar w:top="1440" w:right="1701" w:bottom="1440" w:left="1701" w:header="851" w:footer="992" w:gutter="0"/>
          <w:cols w:space="720" w:num="1"/>
          <w:docGrid w:linePitch="312" w:charSpace="0"/>
        </w:sectPr>
      </w:pPr>
    </w:p>
    <w:p>
      <w:pPr>
        <w:pStyle w:val="40"/>
        <w:rPr>
          <w:rFonts w:hint="eastAsia" w:ascii="宋体" w:hAnsi="宋体" w:eastAsia="宋体" w:cs="宋体"/>
          <w:color w:val="auto"/>
          <w:sz w:val="30"/>
          <w:szCs w:val="30"/>
          <w:highlight w:val="none"/>
        </w:rPr>
      </w:pPr>
      <w:bookmarkStart w:id="93" w:name="_Toc21992"/>
      <w:r>
        <w:rPr>
          <w:rFonts w:hint="eastAsia" w:ascii="宋体" w:hAnsi="宋体" w:eastAsia="宋体" w:cs="宋体"/>
          <w:color w:val="auto"/>
          <w:sz w:val="30"/>
          <w:szCs w:val="30"/>
          <w:highlight w:val="none"/>
        </w:rPr>
        <w:t>第六部分 投标文件格式</w:t>
      </w:r>
      <w:bookmarkEnd w:id="90"/>
      <w:bookmarkEnd w:id="91"/>
      <w:bookmarkEnd w:id="93"/>
    </w:p>
    <w:bookmarkEnd w:id="92"/>
    <w:p>
      <w:pPr>
        <w:widowControl/>
        <w:spacing w:line="460" w:lineRule="atLeast"/>
        <w:jc w:val="center"/>
        <w:rPr>
          <w:rFonts w:hint="eastAsia" w:ascii="宋体" w:hAnsi="宋体" w:eastAsia="宋体" w:cs="宋体"/>
          <w:b/>
          <w:bCs/>
          <w:color w:val="auto"/>
          <w:sz w:val="32"/>
          <w:szCs w:val="32"/>
          <w:highlight w:val="none"/>
        </w:rPr>
      </w:pPr>
      <w:bookmarkStart w:id="94" w:name="_Toc496116282"/>
      <w:bookmarkStart w:id="95" w:name="_Toc161563051"/>
      <w:bookmarkStart w:id="96" w:name="_Toc498343176"/>
      <w:bookmarkStart w:id="97" w:name="_Toc293038733"/>
    </w:p>
    <w:p>
      <w:pPr>
        <w:pStyle w:val="40"/>
        <w:rPr>
          <w:rFonts w:hint="eastAsia" w:ascii="宋体" w:hAnsi="宋体" w:eastAsia="宋体" w:cs="宋体"/>
          <w:color w:val="auto"/>
          <w:highlight w:val="none"/>
        </w:rPr>
      </w:pPr>
      <w:bookmarkStart w:id="98" w:name="_Toc65830018"/>
      <w:bookmarkStart w:id="99" w:name="_Toc3026"/>
      <w:bookmarkStart w:id="100" w:name="_Toc42678689"/>
      <w:bookmarkStart w:id="101" w:name="_Toc65590090"/>
      <w:bookmarkStart w:id="102" w:name="_Toc96970922"/>
      <w:r>
        <w:rPr>
          <w:rFonts w:hint="eastAsia" w:ascii="宋体" w:hAnsi="宋体" w:eastAsia="宋体" w:cs="宋体"/>
          <w:color w:val="auto"/>
          <w:highlight w:val="none"/>
        </w:rPr>
        <w:t>一、资格文件部分格式</w:t>
      </w:r>
      <w:bookmarkEnd w:id="98"/>
      <w:bookmarkEnd w:id="99"/>
      <w:bookmarkEnd w:id="100"/>
      <w:bookmarkEnd w:id="101"/>
      <w:bookmarkEnd w:id="102"/>
    </w:p>
    <w:p>
      <w:pPr>
        <w:widowControl/>
        <w:spacing w:line="460" w:lineRule="atLeast"/>
        <w:jc w:val="lef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附件一</w:t>
      </w:r>
    </w:p>
    <w:p>
      <w:pPr>
        <w:pStyle w:val="40"/>
        <w:rPr>
          <w:rFonts w:hint="eastAsia" w:ascii="宋体" w:hAnsi="宋体" w:eastAsia="宋体" w:cs="宋体"/>
          <w:color w:val="auto"/>
          <w:highlight w:val="none"/>
          <w:lang w:val="zh-CN"/>
        </w:rPr>
      </w:pPr>
      <w:bookmarkStart w:id="103" w:name="_Toc61444210"/>
      <w:bookmarkStart w:id="104" w:name="_Toc42678690"/>
      <w:bookmarkStart w:id="105" w:name="_Toc42678179"/>
      <w:bookmarkStart w:id="106" w:name="_Toc5942"/>
      <w:bookmarkStart w:id="107" w:name="_Toc42678024"/>
      <w:bookmarkStart w:id="108" w:name="_Toc65590091"/>
      <w:bookmarkStart w:id="109" w:name="_Toc42243282"/>
      <w:bookmarkStart w:id="110" w:name="_Toc12671"/>
      <w:bookmarkStart w:id="111" w:name="_Toc65830019"/>
      <w:bookmarkStart w:id="112" w:name="_Toc56004404"/>
      <w:bookmarkStart w:id="113" w:name="_Toc61444213"/>
      <w:r>
        <w:rPr>
          <w:rFonts w:hint="eastAsia" w:ascii="宋体" w:hAnsi="宋体" w:eastAsia="宋体" w:cs="宋体"/>
          <w:color w:val="auto"/>
          <w:highlight w:val="none"/>
          <w:lang w:val="zh-CN"/>
        </w:rPr>
        <w:t>具有财务会计制度、设备和专业技术能力、</w:t>
      </w:r>
      <w:r>
        <w:rPr>
          <w:rFonts w:hint="eastAsia" w:ascii="宋体" w:hAnsi="宋体" w:eastAsia="宋体" w:cs="宋体"/>
          <w:color w:val="auto"/>
          <w:highlight w:val="none"/>
        </w:rPr>
        <w:t>依法</w:t>
      </w:r>
      <w:r>
        <w:rPr>
          <w:rFonts w:hint="eastAsia" w:ascii="宋体" w:hAnsi="宋体" w:eastAsia="宋体" w:cs="宋体"/>
          <w:color w:val="auto"/>
          <w:highlight w:val="none"/>
          <w:lang w:val="zh-CN"/>
        </w:rPr>
        <w:t>缴纳税收和社会保障资金</w:t>
      </w:r>
      <w:r>
        <w:rPr>
          <w:rFonts w:hint="eastAsia" w:ascii="宋体" w:hAnsi="宋体" w:eastAsia="宋体" w:cs="宋体"/>
          <w:color w:val="auto"/>
          <w:highlight w:val="none"/>
        </w:rPr>
        <w:t>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无</w:t>
      </w:r>
      <w:r>
        <w:rPr>
          <w:rFonts w:hint="eastAsia" w:ascii="宋体" w:hAnsi="宋体" w:eastAsia="宋体" w:cs="宋体"/>
          <w:color w:val="auto"/>
          <w:highlight w:val="none"/>
          <w:lang w:val="zh-CN"/>
        </w:rPr>
        <w:t>重大违法记录的承诺函</w:t>
      </w:r>
      <w:bookmarkEnd w:id="103"/>
      <w:bookmarkEnd w:id="104"/>
      <w:bookmarkEnd w:id="105"/>
      <w:bookmarkEnd w:id="106"/>
      <w:bookmarkEnd w:id="107"/>
      <w:bookmarkEnd w:id="108"/>
      <w:bookmarkEnd w:id="109"/>
      <w:bookmarkEnd w:id="110"/>
      <w:bookmarkEnd w:id="111"/>
    </w:p>
    <w:p>
      <w:pPr>
        <w:spacing w:line="460" w:lineRule="exact"/>
        <w:rPr>
          <w:rFonts w:hint="eastAsia" w:ascii="宋体" w:hAnsi="宋体" w:eastAsia="宋体" w:cs="宋体"/>
          <w:b/>
          <w:color w:val="auto"/>
          <w:sz w:val="22"/>
          <w:szCs w:val="22"/>
          <w:highlight w:val="none"/>
          <w:u w:val="single"/>
        </w:rPr>
      </w:pPr>
    </w:p>
    <w:p>
      <w:pPr>
        <w:spacing w:line="46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永嘉县人民医院（医共体）：</w:t>
      </w:r>
    </w:p>
    <w:p>
      <w:pPr>
        <w:spacing w:line="46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温州市中概工程管理咨询有限公司：</w:t>
      </w:r>
    </w:p>
    <w:p>
      <w:pPr>
        <w:widowControl/>
        <w:snapToGrid w:val="0"/>
        <w:spacing w:line="460" w:lineRule="exact"/>
        <w:ind w:firstLine="442" w:firstLineChars="200"/>
        <w:jc w:val="left"/>
        <w:rPr>
          <w:rFonts w:hint="eastAsia" w:ascii="宋体" w:hAnsi="宋体" w:eastAsia="宋体" w:cs="宋体"/>
          <w:b/>
          <w:color w:val="auto"/>
          <w:sz w:val="22"/>
          <w:szCs w:val="22"/>
          <w:highlight w:val="none"/>
        </w:rPr>
      </w:pP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我公司郑重声明:</w:t>
      </w: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1、具有良好的商业信誉和健全的财务会计制度；</w:t>
      </w: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3、严格依法缴纳税收和社会保障资金，本文件中所提供的相关材料均真实有效，不存在虚假、造假行为。如有违反，愿承担一切责任。</w:t>
      </w:r>
    </w:p>
    <w:p>
      <w:pPr>
        <w:widowControl/>
        <w:snapToGrid w:val="0"/>
        <w:spacing w:line="460" w:lineRule="exact"/>
        <w:ind w:firstLine="440" w:firstLineChars="200"/>
        <w:jc w:val="left"/>
        <w:rPr>
          <w:rFonts w:hint="eastAsia" w:ascii="宋体" w:hAnsi="宋体" w:eastAsia="宋体" w:cs="宋体"/>
          <w:color w:val="auto"/>
          <w:highlight w:val="none"/>
        </w:rPr>
      </w:pPr>
      <w:r>
        <w:rPr>
          <w:rFonts w:hint="eastAsia" w:ascii="宋体" w:hAnsi="宋体" w:eastAsia="宋体" w:cs="宋体"/>
          <w:color w:val="auto"/>
          <w:sz w:val="22"/>
          <w:szCs w:val="22"/>
          <w:highlight w:val="none"/>
        </w:rPr>
        <w:t>4、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2" w:firstLineChars="200"/>
        <w:jc w:val="left"/>
        <w:rPr>
          <w:rFonts w:hint="eastAsia" w:ascii="宋体" w:hAnsi="宋体" w:eastAsia="宋体" w:cs="宋体"/>
          <w:b/>
          <w:color w:val="auto"/>
          <w:sz w:val="22"/>
          <w:szCs w:val="22"/>
          <w:highlight w:val="none"/>
        </w:rPr>
      </w:pP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特此承诺！</w:t>
      </w:r>
    </w:p>
    <w:p>
      <w:pPr>
        <w:widowControl/>
        <w:snapToGrid w:val="0"/>
        <w:spacing w:line="460" w:lineRule="exact"/>
        <w:ind w:firstLine="442" w:firstLineChars="200"/>
        <w:jc w:val="left"/>
        <w:rPr>
          <w:rFonts w:hint="eastAsia" w:ascii="宋体" w:hAnsi="宋体" w:eastAsia="宋体" w:cs="宋体"/>
          <w:b/>
          <w:color w:val="auto"/>
          <w:sz w:val="22"/>
          <w:szCs w:val="22"/>
          <w:highlight w:val="none"/>
        </w:rPr>
      </w:pP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投标供应商（盖章） ：</w:t>
      </w: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p>
    <w:p>
      <w:pPr>
        <w:widowControl/>
        <w:jc w:val="left"/>
        <w:rPr>
          <w:rFonts w:hint="eastAsia" w:ascii="宋体" w:hAnsi="宋体" w:eastAsia="宋体" w:cs="宋体"/>
          <w:b/>
          <w:bCs/>
          <w:color w:val="auto"/>
          <w:sz w:val="22"/>
          <w:szCs w:val="22"/>
          <w:highlight w:val="none"/>
        </w:rPr>
      </w:pPr>
      <w:r>
        <w:rPr>
          <w:rFonts w:hint="eastAsia" w:ascii="宋体" w:hAnsi="宋体" w:eastAsia="宋体" w:cs="宋体"/>
          <w:color w:val="auto"/>
          <w:sz w:val="36"/>
          <w:szCs w:val="32"/>
          <w:highlight w:val="none"/>
        </w:rPr>
        <w:br w:type="page"/>
      </w:r>
      <w:r>
        <w:rPr>
          <w:rFonts w:hint="eastAsia" w:ascii="宋体" w:hAnsi="宋体" w:eastAsia="宋体" w:cs="宋体"/>
          <w:b/>
          <w:color w:val="auto"/>
          <w:sz w:val="22"/>
          <w:szCs w:val="22"/>
          <w:highlight w:val="none"/>
        </w:rPr>
        <w:t>附件二</w:t>
      </w:r>
    </w:p>
    <w:p>
      <w:pPr>
        <w:pStyle w:val="12"/>
        <w:spacing w:before="240" w:after="60"/>
        <w:jc w:val="center"/>
        <w:outlineLvl w:val="0"/>
        <w:rPr>
          <w:rFonts w:hint="eastAsia" w:ascii="宋体" w:hAnsi="宋体" w:eastAsia="宋体" w:cs="宋体"/>
          <w:b/>
          <w:color w:val="auto"/>
          <w:kern w:val="0"/>
          <w:sz w:val="32"/>
          <w:szCs w:val="32"/>
          <w:highlight w:val="none"/>
          <w:lang w:val="zh-CN"/>
        </w:rPr>
      </w:pPr>
      <w:bookmarkStart w:id="114" w:name="_Toc96970926"/>
      <w:bookmarkStart w:id="115" w:name="_Toc65830022"/>
      <w:bookmarkStart w:id="116" w:name="_Toc68187553"/>
      <w:bookmarkStart w:id="117" w:name="_Toc87518591"/>
      <w:bookmarkStart w:id="118" w:name="_Toc14892"/>
      <w:bookmarkStart w:id="119" w:name="_Toc23799"/>
      <w:bookmarkStart w:id="120" w:name="_Toc68189103"/>
      <w:bookmarkStart w:id="121" w:name="_Toc6694"/>
      <w:bookmarkStart w:id="122" w:name="_Toc68188789"/>
      <w:bookmarkStart w:id="123" w:name="_Toc97033068"/>
      <w:bookmarkStart w:id="124" w:name="_Toc65590094"/>
      <w:bookmarkStart w:id="125" w:name="_Toc87518414"/>
      <w:bookmarkStart w:id="126" w:name="_Toc11018"/>
      <w:r>
        <w:rPr>
          <w:rFonts w:hint="eastAsia" w:ascii="宋体" w:hAnsi="宋体" w:eastAsia="宋体" w:cs="宋体"/>
          <w:b/>
          <w:color w:val="auto"/>
          <w:kern w:val="0"/>
          <w:sz w:val="32"/>
          <w:szCs w:val="32"/>
          <w:highlight w:val="none"/>
          <w:lang w:val="zh-CN"/>
        </w:rPr>
        <w:t>与参加本次项目同一合同项下政府采购活动的其他供应商不存在单位负责人为同一人或者直接控股、管理关系的承诺函</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460" w:lineRule="exact"/>
        <w:rPr>
          <w:rFonts w:hint="eastAsia" w:ascii="宋体" w:hAnsi="宋体" w:eastAsia="宋体" w:cs="宋体"/>
          <w:b/>
          <w:color w:val="auto"/>
          <w:sz w:val="22"/>
          <w:szCs w:val="22"/>
          <w:highlight w:val="none"/>
          <w:u w:val="single"/>
        </w:rPr>
      </w:pPr>
    </w:p>
    <w:p>
      <w:pPr>
        <w:spacing w:line="460" w:lineRule="exact"/>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永嘉县人民医院（医共体）：</w:t>
      </w:r>
    </w:p>
    <w:p>
      <w:pPr>
        <w:spacing w:line="460" w:lineRule="exact"/>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温州市中概工程管理咨询有限公司：</w:t>
      </w: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我方郑重承诺，我方此次参加</w:t>
      </w: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rPr>
        <w:t>项目的投标，与参加本次项目同一合同项下政府采购活动的其他供应商不存在单位负责人为同一人或者直接控股、管理关系。如有虚假或隐瞒，愿意承担一切后果。</w:t>
      </w:r>
    </w:p>
    <w:p>
      <w:pPr>
        <w:pStyle w:val="18"/>
        <w:ind w:firstLine="210"/>
        <w:rPr>
          <w:rFonts w:hint="eastAsia" w:ascii="宋体" w:hAnsi="宋体" w:eastAsia="宋体" w:cs="宋体"/>
          <w:color w:val="auto"/>
          <w:highlight w:val="none"/>
        </w:rPr>
      </w:pP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widowControl/>
        <w:spacing w:line="460" w:lineRule="exact"/>
        <w:ind w:firstLine="440"/>
        <w:jc w:val="left"/>
        <w:rPr>
          <w:rFonts w:hint="eastAsia" w:ascii="宋体" w:hAnsi="宋体" w:eastAsia="宋体" w:cs="宋体"/>
          <w:color w:val="auto"/>
          <w:sz w:val="22"/>
          <w:szCs w:val="22"/>
          <w:highlight w:val="none"/>
        </w:rPr>
      </w:pP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投标供应商（盖章） ：</w:t>
      </w:r>
    </w:p>
    <w:p>
      <w:pPr>
        <w:spacing w:line="460" w:lineRule="atLeast"/>
        <w:ind w:firstLine="440"/>
        <w:rPr>
          <w:rFonts w:hint="eastAsia" w:ascii="宋体" w:hAnsi="宋体" w:eastAsia="宋体" w:cs="宋体"/>
          <w:color w:val="auto"/>
          <w:sz w:val="36"/>
          <w:highlight w:val="none"/>
        </w:rPr>
      </w:pPr>
      <w:r>
        <w:rPr>
          <w:rFonts w:hint="eastAsia" w:ascii="宋体" w:hAnsi="宋体" w:eastAsia="宋体" w:cs="宋体"/>
          <w:color w:val="auto"/>
          <w:sz w:val="22"/>
          <w:szCs w:val="22"/>
          <w:highlight w:val="none"/>
        </w:rPr>
        <w:t>日期：</w:t>
      </w:r>
    </w:p>
    <w:p>
      <w:pPr>
        <w:widowControl/>
        <w:snapToGrid w:val="0"/>
        <w:spacing w:line="460" w:lineRule="exact"/>
        <w:ind w:firstLine="440" w:firstLineChars="200"/>
        <w:jc w:val="left"/>
        <w:rPr>
          <w:rFonts w:hint="eastAsia" w:ascii="宋体" w:hAnsi="宋体" w:eastAsia="宋体" w:cs="宋体"/>
          <w:color w:val="auto"/>
          <w:sz w:val="22"/>
          <w:szCs w:val="22"/>
          <w:highlight w:val="none"/>
        </w:rPr>
      </w:pPr>
    </w:p>
    <w:p>
      <w:pPr>
        <w:widowControl/>
        <w:spacing w:line="460" w:lineRule="atLeast"/>
        <w:jc w:val="left"/>
        <w:rPr>
          <w:rFonts w:hint="eastAsia" w:ascii="宋体" w:hAnsi="宋体" w:eastAsia="宋体" w:cs="宋体"/>
          <w:b/>
          <w:bCs/>
          <w:color w:val="auto"/>
          <w:sz w:val="22"/>
          <w:szCs w:val="22"/>
          <w:highlight w:val="none"/>
        </w:rPr>
      </w:pPr>
      <w:bookmarkStart w:id="127" w:name="_Toc509485354"/>
      <w:r>
        <w:rPr>
          <w:rFonts w:hint="eastAsia" w:ascii="宋体" w:hAnsi="宋体" w:eastAsia="宋体" w:cs="宋体"/>
          <w:color w:val="auto"/>
          <w:sz w:val="22"/>
          <w:szCs w:val="22"/>
          <w:highlight w:val="none"/>
        </w:rPr>
        <w:br w:type="page"/>
      </w:r>
      <w:r>
        <w:rPr>
          <w:rFonts w:hint="eastAsia" w:ascii="宋体" w:hAnsi="宋体" w:eastAsia="宋体" w:cs="宋体"/>
          <w:b/>
          <w:color w:val="auto"/>
          <w:sz w:val="22"/>
          <w:szCs w:val="22"/>
          <w:highlight w:val="none"/>
        </w:rPr>
        <w:t>附件</w:t>
      </w:r>
      <w:bookmarkEnd w:id="127"/>
      <w:r>
        <w:rPr>
          <w:rFonts w:hint="eastAsia" w:ascii="宋体" w:hAnsi="宋体" w:eastAsia="宋体" w:cs="宋体"/>
          <w:b/>
          <w:color w:val="auto"/>
          <w:sz w:val="22"/>
          <w:szCs w:val="22"/>
          <w:highlight w:val="none"/>
        </w:rPr>
        <w:t>三</w:t>
      </w:r>
    </w:p>
    <w:p>
      <w:pPr>
        <w:pStyle w:val="40"/>
        <w:rPr>
          <w:rFonts w:hint="eastAsia" w:ascii="宋体" w:hAnsi="宋体" w:eastAsia="宋体" w:cs="宋体"/>
          <w:color w:val="auto"/>
          <w:highlight w:val="none"/>
        </w:rPr>
      </w:pPr>
      <w:bookmarkStart w:id="128" w:name="_Toc96970928"/>
      <w:bookmarkStart w:id="129" w:name="_Toc459361857"/>
      <w:bookmarkStart w:id="130" w:name="_Toc522469121"/>
      <w:bookmarkStart w:id="131" w:name="_Toc42678697"/>
      <w:bookmarkStart w:id="132" w:name="_Toc438150553"/>
      <w:bookmarkStart w:id="133" w:name="_Toc42678618"/>
      <w:bookmarkStart w:id="134" w:name="_Toc97033070"/>
      <w:bookmarkStart w:id="135" w:name="_Toc511045483"/>
      <w:bookmarkStart w:id="136" w:name="_Toc65590099"/>
      <w:bookmarkStart w:id="137" w:name="_Toc42678186"/>
      <w:bookmarkStart w:id="138" w:name="_Toc68189108"/>
      <w:bookmarkStart w:id="139" w:name="_Toc410055446"/>
      <w:bookmarkStart w:id="140" w:name="_Toc9334951"/>
      <w:bookmarkStart w:id="141" w:name="_Toc42678031"/>
      <w:bookmarkStart w:id="142" w:name="_Toc15893"/>
      <w:bookmarkStart w:id="143" w:name="_Toc430717503"/>
      <w:bookmarkStart w:id="144" w:name="_Toc518512536"/>
      <w:bookmarkStart w:id="145" w:name="_Toc61444218"/>
      <w:bookmarkStart w:id="146" w:name="_Toc402360964"/>
      <w:bookmarkStart w:id="147" w:name="_Toc459450868"/>
      <w:bookmarkStart w:id="148" w:name="_Toc65830027"/>
      <w:bookmarkStart w:id="149" w:name="_Toc491606420"/>
      <w:bookmarkStart w:id="150" w:name="_Toc26971"/>
      <w:bookmarkStart w:id="151" w:name="_Toc68188794"/>
      <w:bookmarkStart w:id="152" w:name="_Toc42243289"/>
      <w:bookmarkStart w:id="153" w:name="_Toc68187558"/>
      <w:bookmarkStart w:id="154" w:name="_Toc19204522"/>
      <w:bookmarkStart w:id="155" w:name="_Toc496618934"/>
      <w:bookmarkStart w:id="156" w:name="_Toc87518592"/>
      <w:bookmarkStart w:id="157" w:name="_Toc87518415"/>
      <w:bookmarkStart w:id="158" w:name="_Toc404262445"/>
      <w:bookmarkStart w:id="159" w:name="_Toc427581337"/>
      <w:bookmarkStart w:id="160" w:name="_Toc402361081"/>
      <w:bookmarkStart w:id="161" w:name="_Toc855"/>
      <w:bookmarkStart w:id="162" w:name="_Toc7382"/>
      <w:bookmarkStart w:id="163" w:name="_Toc42678693"/>
      <w:bookmarkStart w:id="164" w:name="_Toc42243285"/>
      <w:bookmarkStart w:id="165" w:name="_Toc65590095"/>
      <w:bookmarkStart w:id="166" w:name="_Toc65830023"/>
      <w:r>
        <w:rPr>
          <w:rFonts w:hint="eastAsia" w:ascii="宋体" w:hAnsi="宋体" w:eastAsia="宋体" w:cs="宋体"/>
          <w:color w:val="auto"/>
          <w:highlight w:val="none"/>
        </w:rPr>
        <w:t>法定代表人授权书</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line="48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（采购人名称）</w:t>
      </w:r>
      <w:r>
        <w:rPr>
          <w:rFonts w:hint="eastAsia" w:ascii="宋体" w:hAnsi="宋体" w:eastAsia="宋体" w:cs="宋体"/>
          <w:b/>
          <w:color w:val="auto"/>
          <w:sz w:val="22"/>
          <w:szCs w:val="22"/>
          <w:highlight w:val="none"/>
          <w:lang w:val="zh-CN"/>
        </w:rPr>
        <w:t>：</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 应 商 名 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（招标项目名称，括号中填写项目编号）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pPr>
        <w:spacing w:line="360" w:lineRule="auto"/>
        <w:ind w:left="1260"/>
        <w:rPr>
          <w:rFonts w:hint="eastAsia" w:ascii="宋体" w:hAnsi="宋体" w:eastAsia="宋体" w:cs="宋体"/>
          <w:color w:val="auto"/>
          <w:sz w:val="22"/>
          <w:szCs w:val="22"/>
          <w:highlight w:val="none"/>
        </w:rPr>
      </w:pPr>
    </w:p>
    <w:p>
      <w:pPr>
        <w:spacing w:line="480" w:lineRule="auto"/>
        <w:ind w:left="2100" w:leftChars="10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 性别 ：</w:t>
      </w:r>
    </w:p>
    <w:p>
      <w:pPr>
        <w:spacing w:line="480" w:lineRule="auto"/>
        <w:ind w:left="2100" w:leftChars="10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职务：年龄：</w:t>
      </w:r>
    </w:p>
    <w:p>
      <w:pPr>
        <w:spacing w:line="480" w:lineRule="auto"/>
        <w:ind w:left="2100" w:leftChars="10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 邮政编码：</w:t>
      </w:r>
    </w:p>
    <w:p>
      <w:pPr>
        <w:spacing w:line="480" w:lineRule="auto"/>
        <w:ind w:left="1" w:firstLine="2510" w:firstLineChars="1141"/>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 传真：</w:t>
      </w:r>
    </w:p>
    <w:p>
      <w:pPr>
        <w:spacing w:line="480" w:lineRule="auto"/>
        <w:ind w:left="1" w:firstLine="422" w:firstLineChars="19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投标供应商：</w:t>
      </w:r>
      <w:r>
        <w:rPr>
          <w:rFonts w:hint="eastAsia" w:ascii="宋体" w:hAnsi="宋体" w:eastAsia="宋体" w:cs="宋体"/>
          <w:color w:val="auto"/>
          <w:sz w:val="22"/>
          <w:szCs w:val="22"/>
          <w:highlight w:val="none"/>
          <w:u w:val="single"/>
        </w:rPr>
        <w:t xml:space="preserve">                              （盖章）</w:t>
      </w:r>
    </w:p>
    <w:p>
      <w:pPr>
        <w:spacing w:line="480" w:lineRule="auto"/>
        <w:ind w:left="2100" w:right="44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法定代表人：</w:t>
      </w:r>
      <w:r>
        <w:rPr>
          <w:rFonts w:hint="eastAsia" w:ascii="宋体" w:hAnsi="宋体" w:eastAsia="宋体" w:cs="宋体"/>
          <w:color w:val="auto"/>
          <w:sz w:val="22"/>
          <w:szCs w:val="22"/>
          <w:highlight w:val="none"/>
          <w:u w:val="single"/>
        </w:rPr>
        <w:t xml:space="preserve">                        （签字或盖章）</w:t>
      </w:r>
    </w:p>
    <w:p>
      <w:pPr>
        <w:spacing w:line="480" w:lineRule="auto"/>
        <w:ind w:right="440" w:firstLine="3300" w:firstLineChars="15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授权委托日期：年 月日</w:t>
      </w:r>
    </w:p>
    <w:tbl>
      <w:tblPr>
        <w:tblStyle w:val="43"/>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pPr>
              <w:pStyle w:val="25"/>
              <w:spacing w:line="440" w:lineRule="atLeast"/>
              <w:rPr>
                <w:rFonts w:hint="eastAsia" w:ascii="宋体" w:hAnsi="宋体" w:eastAsia="宋体" w:cs="宋体"/>
                <w:b/>
                <w:color w:val="auto"/>
                <w:sz w:val="36"/>
                <w:highlight w:val="none"/>
              </w:rPr>
            </w:pPr>
          </w:p>
          <w:p>
            <w:pPr>
              <w:pStyle w:val="25"/>
              <w:spacing w:line="440" w:lineRule="atLeast"/>
              <w:jc w:val="center"/>
              <w:rPr>
                <w:rFonts w:hint="eastAsia" w:ascii="宋体" w:hAnsi="宋体" w:eastAsia="宋体" w:cs="宋体"/>
                <w:b/>
                <w:color w:val="auto"/>
                <w:sz w:val="36"/>
                <w:highlight w:val="none"/>
              </w:rPr>
            </w:pPr>
          </w:p>
          <w:p>
            <w:pPr>
              <w:pStyle w:val="25"/>
              <w:spacing w:line="440" w:lineRule="atLeast"/>
              <w:jc w:val="center"/>
              <w:rPr>
                <w:rFonts w:hint="eastAsia" w:ascii="宋体" w:hAnsi="宋体" w:eastAsia="宋体" w:cs="宋体"/>
                <w:b/>
                <w:color w:val="auto"/>
                <w:sz w:val="36"/>
                <w:highlight w:val="none"/>
              </w:rPr>
            </w:pPr>
          </w:p>
          <w:p>
            <w:pPr>
              <w:pStyle w:val="25"/>
              <w:spacing w:line="440" w:lineRule="atLeast"/>
              <w:jc w:val="center"/>
              <w:rPr>
                <w:rFonts w:hint="eastAsia" w:ascii="宋体" w:hAnsi="宋体" w:eastAsia="宋体" w:cs="宋体"/>
                <w:b/>
                <w:color w:val="auto"/>
                <w:sz w:val="36"/>
                <w:highlight w:val="none"/>
              </w:rPr>
            </w:pPr>
          </w:p>
          <w:p>
            <w:pPr>
              <w:pStyle w:val="25"/>
              <w:spacing w:line="440" w:lineRule="atLeast"/>
              <w:jc w:val="center"/>
              <w:rPr>
                <w:rFonts w:hint="eastAsia" w:ascii="宋体" w:hAnsi="宋体" w:eastAsia="宋体" w:cs="宋体"/>
                <w:b/>
                <w:color w:val="auto"/>
                <w:sz w:val="36"/>
                <w:highlight w:val="none"/>
              </w:rPr>
            </w:pPr>
            <w:r>
              <w:rPr>
                <w:rFonts w:hint="eastAsia" w:ascii="宋体" w:hAnsi="宋体" w:eastAsia="宋体" w:cs="宋体"/>
                <w:color w:val="auto"/>
                <w:sz w:val="36"/>
                <w:highlight w:val="none"/>
              </w:rPr>
              <w:t>（授权代表身份证扫描件或影印件）</w:t>
            </w:r>
          </w:p>
          <w:p>
            <w:pPr>
              <w:pStyle w:val="25"/>
              <w:spacing w:line="440" w:lineRule="atLeast"/>
              <w:ind w:left="5271" w:firstLine="1084" w:firstLineChars="300"/>
              <w:rPr>
                <w:rFonts w:hint="eastAsia" w:ascii="宋体" w:hAnsi="宋体" w:eastAsia="宋体" w:cs="宋体"/>
                <w:b/>
                <w:color w:val="auto"/>
                <w:sz w:val="36"/>
                <w:highlight w:val="none"/>
              </w:rPr>
            </w:pPr>
          </w:p>
        </w:tc>
      </w:tr>
    </w:tbl>
    <w:p>
      <w:pPr>
        <w:pStyle w:val="40"/>
        <w:rPr>
          <w:rFonts w:hint="eastAsia" w:ascii="宋体" w:hAnsi="宋体" w:eastAsia="宋体" w:cs="宋体"/>
          <w:color w:val="auto"/>
          <w:highlight w:val="none"/>
        </w:rPr>
      </w:pPr>
      <w:bookmarkStart w:id="167" w:name="_Toc3526"/>
      <w:r>
        <w:rPr>
          <w:rFonts w:hint="eastAsia" w:ascii="宋体" w:hAnsi="宋体" w:eastAsia="宋体" w:cs="宋体"/>
          <w:color w:val="auto"/>
          <w:highlight w:val="none"/>
        </w:rPr>
        <w:t>二、报价文件部分格式</w:t>
      </w:r>
      <w:bookmarkEnd w:id="163"/>
      <w:bookmarkEnd w:id="164"/>
      <w:bookmarkEnd w:id="165"/>
      <w:bookmarkEnd w:id="166"/>
      <w:bookmarkEnd w:id="167"/>
    </w:p>
    <w:p>
      <w:pPr>
        <w:widowControl/>
        <w:spacing w:line="460" w:lineRule="atLeast"/>
        <w:jc w:val="lef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附</w:t>
      </w:r>
      <w:bookmarkStart w:id="168" w:name="_Toc413747701"/>
      <w:r>
        <w:rPr>
          <w:rFonts w:hint="eastAsia" w:ascii="宋体" w:hAnsi="宋体" w:eastAsia="宋体" w:cs="宋体"/>
          <w:b/>
          <w:color w:val="auto"/>
          <w:sz w:val="22"/>
          <w:szCs w:val="22"/>
          <w:highlight w:val="none"/>
        </w:rPr>
        <w:t>件</w:t>
      </w:r>
      <w:bookmarkEnd w:id="168"/>
      <w:r>
        <w:rPr>
          <w:rFonts w:hint="eastAsia" w:ascii="宋体" w:hAnsi="宋体" w:eastAsia="宋体" w:cs="宋体"/>
          <w:b/>
          <w:color w:val="auto"/>
          <w:sz w:val="22"/>
          <w:szCs w:val="22"/>
          <w:highlight w:val="none"/>
        </w:rPr>
        <w:t>四</w:t>
      </w:r>
    </w:p>
    <w:p>
      <w:pPr>
        <w:pStyle w:val="40"/>
        <w:rPr>
          <w:rFonts w:hint="eastAsia" w:ascii="宋体" w:hAnsi="宋体" w:eastAsia="宋体" w:cs="宋体"/>
          <w:color w:val="auto"/>
          <w:sz w:val="22"/>
          <w:szCs w:val="22"/>
          <w:highlight w:val="none"/>
        </w:rPr>
      </w:pPr>
      <w:bookmarkStart w:id="169" w:name="_Toc42243286"/>
      <w:bookmarkStart w:id="170" w:name="_Toc9334945"/>
      <w:bookmarkStart w:id="171" w:name="_Toc87518417"/>
      <w:bookmarkStart w:id="172" w:name="_Toc10399"/>
      <w:bookmarkStart w:id="173" w:name="_Toc68188791"/>
      <w:bookmarkStart w:id="174" w:name="_Toc65830024"/>
      <w:bookmarkStart w:id="175" w:name="_Toc42678028"/>
      <w:bookmarkStart w:id="176" w:name="_Toc97033072"/>
      <w:bookmarkStart w:id="177" w:name="_Toc42678694"/>
      <w:bookmarkStart w:id="178" w:name="_Toc22422"/>
      <w:bookmarkStart w:id="179" w:name="_Toc68189105"/>
      <w:bookmarkStart w:id="180" w:name="_Toc7030"/>
      <w:bookmarkStart w:id="181" w:name="_Toc518512529"/>
      <w:bookmarkStart w:id="182" w:name="_Toc42678615"/>
      <w:bookmarkStart w:id="183" w:name="_Toc61444215"/>
      <w:bookmarkStart w:id="184" w:name="_Toc20005"/>
      <w:bookmarkStart w:id="185" w:name="_Toc87518594"/>
      <w:bookmarkStart w:id="186" w:name="_Toc511045476"/>
      <w:bookmarkStart w:id="187" w:name="_Toc65590096"/>
      <w:bookmarkStart w:id="188" w:name="_Toc68187555"/>
      <w:bookmarkStart w:id="189" w:name="_Toc96970930"/>
      <w:bookmarkStart w:id="190" w:name="_Toc522469114"/>
      <w:bookmarkStart w:id="191" w:name="_Toc42678183"/>
      <w:bookmarkStart w:id="192" w:name="_Toc496618930"/>
      <w:bookmarkStart w:id="193" w:name="_Toc19204519"/>
      <w:r>
        <w:rPr>
          <w:rFonts w:hint="eastAsia" w:ascii="宋体" w:hAnsi="宋体" w:eastAsia="宋体" w:cs="宋体"/>
          <w:color w:val="auto"/>
          <w:sz w:val="22"/>
          <w:szCs w:val="22"/>
          <w:highlight w:val="none"/>
        </w:rPr>
        <w:t>报价一览表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autoSpaceDE w:val="0"/>
        <w:autoSpaceDN w:val="0"/>
        <w:adjustRightInd w:val="0"/>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lang w:val="zh-CN"/>
        </w:rPr>
        <w:t>投标供应商名称：采购编号：  报价单位：</w:t>
      </w:r>
      <w:r>
        <w:rPr>
          <w:rFonts w:hint="eastAsia" w:ascii="宋体" w:hAnsi="宋体" w:eastAsia="宋体" w:cs="宋体"/>
          <w:color w:val="auto"/>
          <w:sz w:val="22"/>
          <w:szCs w:val="22"/>
          <w:highlight w:val="none"/>
          <w:u w:val="single"/>
          <w:lang w:val="zh-CN"/>
        </w:rPr>
        <w:t>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3422"/>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824" w:type="pct"/>
            <w:tcBorders>
              <w:right w:val="single" w:color="000000" w:sz="6" w:space="0"/>
            </w:tcBorders>
            <w:vAlign w:val="center"/>
          </w:tcPr>
          <w:p>
            <w:pPr>
              <w:pStyle w:val="25"/>
              <w:snapToGrid w:val="0"/>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项目名称</w:t>
            </w:r>
          </w:p>
        </w:tc>
        <w:tc>
          <w:tcPr>
            <w:tcW w:w="1962" w:type="pct"/>
            <w:tcBorders>
              <w:left w:val="single" w:color="auto" w:sz="4" w:space="0"/>
              <w:right w:val="single" w:color="000000" w:sz="4" w:space="0"/>
            </w:tcBorders>
            <w:vAlign w:val="center"/>
          </w:tcPr>
          <w:p>
            <w:pPr>
              <w:pStyle w:val="25"/>
              <w:snapToGrid w:val="0"/>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投标总价</w:t>
            </w:r>
          </w:p>
          <w:p>
            <w:pPr>
              <w:pStyle w:val="25"/>
              <w:snapToGrid w:val="0"/>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（元人民币）</w:t>
            </w:r>
          </w:p>
        </w:tc>
        <w:tc>
          <w:tcPr>
            <w:tcW w:w="1214" w:type="pct"/>
            <w:tcBorders>
              <w:left w:val="single" w:color="000000" w:sz="4" w:space="0"/>
              <w:right w:val="single" w:color="000000" w:sz="4" w:space="0"/>
            </w:tcBorders>
            <w:vAlign w:val="center"/>
          </w:tcPr>
          <w:p>
            <w:pPr>
              <w:pStyle w:val="25"/>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1824" w:type="pct"/>
            <w:tcBorders>
              <w:right w:val="single" w:color="000000" w:sz="6" w:space="0"/>
            </w:tcBorders>
            <w:vAlign w:val="center"/>
          </w:tcPr>
          <w:p>
            <w:pPr>
              <w:pStyle w:val="25"/>
              <w:snapToGrid w:val="0"/>
              <w:spacing w:line="460" w:lineRule="atLeast"/>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骨密度仪采购</w:t>
            </w:r>
          </w:p>
        </w:tc>
        <w:tc>
          <w:tcPr>
            <w:tcW w:w="1962" w:type="pct"/>
            <w:tcBorders>
              <w:left w:val="single" w:color="auto" w:sz="4" w:space="0"/>
              <w:right w:val="single" w:color="000000" w:sz="4" w:space="0"/>
            </w:tcBorders>
            <w:vAlign w:val="center"/>
          </w:tcPr>
          <w:p>
            <w:pPr>
              <w:pStyle w:val="25"/>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大写：</w:t>
            </w:r>
          </w:p>
          <w:p>
            <w:pPr>
              <w:pStyle w:val="25"/>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小写：</w:t>
            </w:r>
          </w:p>
        </w:tc>
        <w:tc>
          <w:tcPr>
            <w:tcW w:w="1214" w:type="pct"/>
            <w:tcBorders>
              <w:left w:val="single" w:color="000000" w:sz="4" w:space="0"/>
              <w:right w:val="single" w:color="000000" w:sz="4" w:space="0"/>
            </w:tcBorders>
            <w:vAlign w:val="center"/>
          </w:tcPr>
          <w:p>
            <w:pPr>
              <w:pStyle w:val="25"/>
              <w:jc w:val="center"/>
              <w:rPr>
                <w:rFonts w:hint="eastAsia" w:ascii="宋体" w:hAnsi="宋体" w:eastAsia="宋体" w:cs="宋体"/>
                <w:b/>
                <w:color w:val="auto"/>
                <w:sz w:val="22"/>
                <w:szCs w:val="22"/>
                <w:highlight w:val="none"/>
              </w:rPr>
            </w:pPr>
          </w:p>
        </w:tc>
      </w:tr>
    </w:tbl>
    <w:p>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autoSpaceDE w:val="0"/>
        <w:autoSpaceDN w:val="0"/>
        <w:adjustRightInd w:val="0"/>
        <w:spacing w:line="400" w:lineRule="atLeast"/>
        <w:ind w:left="400"/>
        <w:rPr>
          <w:rFonts w:hint="eastAsia" w:ascii="宋体" w:hAnsi="宋体" w:eastAsia="宋体" w:cs="宋体"/>
          <w:b/>
          <w:bCs/>
          <w:color w:val="auto"/>
          <w:kern w:val="0"/>
          <w:sz w:val="22"/>
          <w:szCs w:val="22"/>
          <w:highlight w:val="none"/>
          <w:lang w:val="zh-CN"/>
        </w:rPr>
      </w:pPr>
    </w:p>
    <w:p>
      <w:pPr>
        <w:numPr>
          <w:ilvl w:val="0"/>
          <w:numId w:val="4"/>
        </w:numPr>
        <w:autoSpaceDE w:val="0"/>
        <w:autoSpaceDN w:val="0"/>
        <w:adjustRightInd w:val="0"/>
        <w:spacing w:line="400" w:lineRule="atLeast"/>
        <w:rPr>
          <w:rFonts w:hint="eastAsia" w:ascii="宋体" w:hAnsi="宋体" w:eastAsia="宋体" w:cs="宋体"/>
          <w:b/>
          <w:bCs/>
          <w:color w:val="auto"/>
          <w:kern w:val="0"/>
          <w:sz w:val="22"/>
          <w:szCs w:val="22"/>
          <w:highlight w:val="none"/>
          <w:u w:val="wave"/>
          <w:lang w:val="zh-CN"/>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不提供此表格将被视为没有实质性响应招标文件。</w:t>
      </w:r>
    </w:p>
    <w:p>
      <w:pPr>
        <w:numPr>
          <w:ilvl w:val="0"/>
          <w:numId w:val="4"/>
        </w:numPr>
        <w:autoSpaceDE w:val="0"/>
        <w:autoSpaceDN w:val="0"/>
        <w:adjustRightInd w:val="0"/>
        <w:spacing w:line="400" w:lineRule="atLeast"/>
        <w:rPr>
          <w:rFonts w:hint="eastAsia" w:ascii="宋体" w:hAnsi="宋体" w:eastAsia="宋体" w:cs="宋体"/>
          <w:b/>
          <w:bCs/>
          <w:color w:val="auto"/>
          <w:kern w:val="0"/>
          <w:sz w:val="22"/>
          <w:szCs w:val="22"/>
          <w:highlight w:val="none"/>
          <w:u w:val="single"/>
          <w:lang w:val="zh-CN"/>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投标总价须与投标分项报价表中的总计价相一致。</w:t>
      </w:r>
    </w:p>
    <w:p>
      <w:pPr>
        <w:autoSpaceDE w:val="0"/>
        <w:autoSpaceDN w:val="0"/>
        <w:adjustRightInd w:val="0"/>
        <w:spacing w:line="500" w:lineRule="atLeast"/>
        <w:rPr>
          <w:rFonts w:hint="eastAsia" w:ascii="宋体" w:hAnsi="宋体" w:eastAsia="宋体" w:cs="宋体"/>
          <w:color w:val="auto"/>
          <w:sz w:val="30"/>
          <w:szCs w:val="30"/>
          <w:highlight w:val="none"/>
        </w:rPr>
      </w:pP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投标供应商（盖章） ：</w:t>
      </w:r>
    </w:p>
    <w:p>
      <w:pPr>
        <w:spacing w:line="460" w:lineRule="atLeast"/>
        <w:ind w:firstLine="440"/>
        <w:rPr>
          <w:rFonts w:hint="eastAsia" w:ascii="宋体" w:hAnsi="宋体" w:eastAsia="宋体" w:cs="宋体"/>
          <w:color w:val="auto"/>
          <w:sz w:val="36"/>
          <w:highlight w:val="none"/>
        </w:rPr>
      </w:pPr>
      <w:r>
        <w:rPr>
          <w:rFonts w:hint="eastAsia" w:ascii="宋体" w:hAnsi="宋体" w:eastAsia="宋体" w:cs="宋体"/>
          <w:color w:val="auto"/>
          <w:sz w:val="22"/>
          <w:szCs w:val="22"/>
          <w:highlight w:val="none"/>
        </w:rPr>
        <w:t>日期：</w:t>
      </w:r>
    </w:p>
    <w:p>
      <w:pPr>
        <w:pStyle w:val="18"/>
        <w:ind w:firstLine="210"/>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pacing w:line="460" w:lineRule="atLeast"/>
        <w:jc w:val="lef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附件五</w:t>
      </w:r>
    </w:p>
    <w:p>
      <w:pPr>
        <w:autoSpaceDE w:val="0"/>
        <w:autoSpaceDN w:val="0"/>
        <w:adjustRightInd w:val="0"/>
        <w:spacing w:line="360" w:lineRule="atLeast"/>
        <w:ind w:right="220"/>
        <w:jc w:val="center"/>
        <w:textAlignment w:val="baseline"/>
        <w:rPr>
          <w:rFonts w:hint="eastAsia" w:ascii="宋体" w:hAnsi="宋体" w:eastAsia="宋体" w:cs="宋体"/>
          <w:b/>
          <w:color w:val="auto"/>
          <w:sz w:val="22"/>
          <w:highlight w:val="none"/>
        </w:rPr>
      </w:pPr>
      <w:r>
        <w:rPr>
          <w:rFonts w:hint="eastAsia" w:ascii="宋体" w:hAnsi="宋体" w:eastAsia="宋体" w:cs="宋体"/>
          <w:b/>
          <w:bCs/>
          <w:color w:val="auto"/>
          <w:kern w:val="0"/>
          <w:sz w:val="28"/>
          <w:szCs w:val="28"/>
          <w:highlight w:val="none"/>
          <w:lang w:val="zh-CN"/>
        </w:rPr>
        <w:t>投标分项报价表</w:t>
      </w:r>
    </w:p>
    <w:p>
      <w:pPr>
        <w:spacing w:line="360" w:lineRule="exact"/>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（单位价格：元）</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834"/>
        <w:gridCol w:w="3301"/>
        <w:gridCol w:w="1055"/>
        <w:gridCol w:w="1055"/>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序号</w:t>
            </w:r>
          </w:p>
        </w:tc>
        <w:tc>
          <w:tcPr>
            <w:tcW w:w="1834"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名称</w:t>
            </w:r>
          </w:p>
        </w:tc>
        <w:tc>
          <w:tcPr>
            <w:tcW w:w="3301"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品牌型号规格</w:t>
            </w:r>
          </w:p>
        </w:tc>
        <w:tc>
          <w:tcPr>
            <w:tcW w:w="1055"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数量</w:t>
            </w:r>
          </w:p>
        </w:tc>
        <w:tc>
          <w:tcPr>
            <w:tcW w:w="1055"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单价</w:t>
            </w:r>
          </w:p>
        </w:tc>
        <w:tc>
          <w:tcPr>
            <w:tcW w:w="1042"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1834" w:type="dxa"/>
            <w:vAlign w:val="center"/>
          </w:tcPr>
          <w:p>
            <w:pPr>
              <w:ind w:right="496" w:rightChars="236"/>
              <w:jc w:val="center"/>
              <w:rPr>
                <w:rFonts w:hint="eastAsia" w:ascii="宋体" w:hAnsi="宋体" w:eastAsia="宋体" w:cs="宋体"/>
                <w:b/>
                <w:color w:val="auto"/>
                <w:sz w:val="22"/>
                <w:szCs w:val="22"/>
                <w:highlight w:val="none"/>
              </w:rPr>
            </w:pPr>
          </w:p>
        </w:tc>
        <w:tc>
          <w:tcPr>
            <w:tcW w:w="3301" w:type="dxa"/>
            <w:vAlign w:val="center"/>
          </w:tcPr>
          <w:p>
            <w:pPr>
              <w:jc w:val="center"/>
              <w:rPr>
                <w:rFonts w:hint="eastAsia" w:ascii="宋体" w:hAnsi="宋体" w:eastAsia="宋体" w:cs="宋体"/>
                <w:b/>
                <w:color w:val="auto"/>
                <w:sz w:val="22"/>
                <w:szCs w:val="22"/>
                <w:highlight w:val="none"/>
              </w:rPr>
            </w:pPr>
          </w:p>
        </w:tc>
        <w:tc>
          <w:tcPr>
            <w:tcW w:w="1055" w:type="dxa"/>
            <w:vAlign w:val="center"/>
          </w:tcPr>
          <w:p>
            <w:pPr>
              <w:snapToGrid w:val="0"/>
              <w:spacing w:line="400" w:lineRule="atLeast"/>
              <w:jc w:val="center"/>
              <w:rPr>
                <w:rFonts w:hint="eastAsia" w:ascii="宋体" w:hAnsi="宋体" w:eastAsia="宋体" w:cs="宋体"/>
                <w:b/>
                <w:color w:val="auto"/>
                <w:sz w:val="22"/>
                <w:szCs w:val="22"/>
                <w:highlight w:val="none"/>
              </w:rPr>
            </w:pPr>
          </w:p>
        </w:tc>
        <w:tc>
          <w:tcPr>
            <w:tcW w:w="1055" w:type="dxa"/>
            <w:vAlign w:val="center"/>
          </w:tcPr>
          <w:p>
            <w:pPr>
              <w:jc w:val="center"/>
              <w:rPr>
                <w:rFonts w:hint="eastAsia" w:ascii="宋体" w:hAnsi="宋体" w:eastAsia="宋体" w:cs="宋体"/>
                <w:b/>
                <w:color w:val="auto"/>
                <w:sz w:val="22"/>
                <w:szCs w:val="22"/>
                <w:highlight w:val="none"/>
              </w:rPr>
            </w:pPr>
          </w:p>
        </w:tc>
        <w:tc>
          <w:tcPr>
            <w:tcW w:w="1042" w:type="dxa"/>
            <w:vAlign w:val="center"/>
          </w:tcPr>
          <w:p>
            <w:pPr>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p>
        </w:tc>
        <w:tc>
          <w:tcPr>
            <w:tcW w:w="1834" w:type="dxa"/>
            <w:vAlign w:val="center"/>
          </w:tcPr>
          <w:p>
            <w:pPr>
              <w:jc w:val="center"/>
              <w:rPr>
                <w:rFonts w:hint="eastAsia" w:ascii="宋体" w:hAnsi="宋体" w:eastAsia="宋体" w:cs="宋体"/>
                <w:b/>
                <w:color w:val="auto"/>
                <w:sz w:val="22"/>
                <w:szCs w:val="22"/>
                <w:highlight w:val="none"/>
              </w:rPr>
            </w:pPr>
          </w:p>
        </w:tc>
        <w:tc>
          <w:tcPr>
            <w:tcW w:w="3301" w:type="dxa"/>
            <w:vAlign w:val="center"/>
          </w:tcPr>
          <w:p>
            <w:pPr>
              <w:jc w:val="center"/>
              <w:rPr>
                <w:rFonts w:hint="eastAsia" w:ascii="宋体" w:hAnsi="宋体" w:eastAsia="宋体" w:cs="宋体"/>
                <w:b/>
                <w:color w:val="auto"/>
                <w:sz w:val="22"/>
                <w:szCs w:val="22"/>
                <w:highlight w:val="none"/>
              </w:rPr>
            </w:pPr>
          </w:p>
        </w:tc>
        <w:tc>
          <w:tcPr>
            <w:tcW w:w="1055" w:type="dxa"/>
            <w:vAlign w:val="center"/>
          </w:tcPr>
          <w:p>
            <w:pPr>
              <w:snapToGrid w:val="0"/>
              <w:spacing w:line="400" w:lineRule="atLeast"/>
              <w:jc w:val="center"/>
              <w:rPr>
                <w:rFonts w:hint="eastAsia" w:ascii="宋体" w:hAnsi="宋体" w:eastAsia="宋体" w:cs="宋体"/>
                <w:b/>
                <w:color w:val="auto"/>
                <w:sz w:val="22"/>
                <w:szCs w:val="22"/>
                <w:highlight w:val="none"/>
              </w:rPr>
            </w:pPr>
          </w:p>
        </w:tc>
        <w:tc>
          <w:tcPr>
            <w:tcW w:w="1055" w:type="dxa"/>
            <w:vAlign w:val="center"/>
          </w:tcPr>
          <w:p>
            <w:pPr>
              <w:jc w:val="center"/>
              <w:rPr>
                <w:rFonts w:hint="eastAsia" w:ascii="宋体" w:hAnsi="宋体" w:eastAsia="宋体" w:cs="宋体"/>
                <w:b/>
                <w:color w:val="auto"/>
                <w:sz w:val="22"/>
                <w:szCs w:val="22"/>
                <w:highlight w:val="none"/>
              </w:rPr>
            </w:pPr>
          </w:p>
        </w:tc>
        <w:tc>
          <w:tcPr>
            <w:tcW w:w="1042" w:type="dxa"/>
            <w:vAlign w:val="center"/>
          </w:tcPr>
          <w:p>
            <w:pPr>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w:t>
            </w:r>
          </w:p>
        </w:tc>
        <w:tc>
          <w:tcPr>
            <w:tcW w:w="1834" w:type="dxa"/>
            <w:vAlign w:val="center"/>
          </w:tcPr>
          <w:p>
            <w:pPr>
              <w:jc w:val="center"/>
              <w:rPr>
                <w:rFonts w:hint="eastAsia" w:ascii="宋体" w:hAnsi="宋体" w:eastAsia="宋体" w:cs="宋体"/>
                <w:b/>
                <w:color w:val="auto"/>
                <w:sz w:val="22"/>
                <w:szCs w:val="22"/>
                <w:highlight w:val="none"/>
              </w:rPr>
            </w:pPr>
          </w:p>
        </w:tc>
        <w:tc>
          <w:tcPr>
            <w:tcW w:w="3301" w:type="dxa"/>
            <w:vAlign w:val="center"/>
          </w:tcPr>
          <w:p>
            <w:pPr>
              <w:jc w:val="center"/>
              <w:rPr>
                <w:rFonts w:hint="eastAsia" w:ascii="宋体" w:hAnsi="宋体" w:eastAsia="宋体" w:cs="宋体"/>
                <w:b/>
                <w:color w:val="auto"/>
                <w:sz w:val="22"/>
                <w:szCs w:val="22"/>
                <w:highlight w:val="none"/>
              </w:rPr>
            </w:pPr>
          </w:p>
        </w:tc>
        <w:tc>
          <w:tcPr>
            <w:tcW w:w="1055" w:type="dxa"/>
            <w:vAlign w:val="center"/>
          </w:tcPr>
          <w:p>
            <w:pPr>
              <w:snapToGrid w:val="0"/>
              <w:spacing w:line="400" w:lineRule="atLeast"/>
              <w:jc w:val="center"/>
              <w:rPr>
                <w:rFonts w:hint="eastAsia" w:ascii="宋体" w:hAnsi="宋体" w:eastAsia="宋体" w:cs="宋体"/>
                <w:b/>
                <w:color w:val="auto"/>
                <w:sz w:val="22"/>
                <w:szCs w:val="22"/>
                <w:highlight w:val="none"/>
              </w:rPr>
            </w:pPr>
          </w:p>
        </w:tc>
        <w:tc>
          <w:tcPr>
            <w:tcW w:w="1055" w:type="dxa"/>
            <w:vAlign w:val="center"/>
          </w:tcPr>
          <w:p>
            <w:pPr>
              <w:jc w:val="center"/>
              <w:rPr>
                <w:rFonts w:hint="eastAsia" w:ascii="宋体" w:hAnsi="宋体" w:eastAsia="宋体" w:cs="宋体"/>
                <w:b/>
                <w:color w:val="auto"/>
                <w:sz w:val="22"/>
                <w:szCs w:val="22"/>
                <w:highlight w:val="none"/>
              </w:rPr>
            </w:pPr>
          </w:p>
        </w:tc>
        <w:tc>
          <w:tcPr>
            <w:tcW w:w="1042" w:type="dxa"/>
            <w:vAlign w:val="center"/>
          </w:tcPr>
          <w:p>
            <w:pPr>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jc w:val="center"/>
              <w:rPr>
                <w:rFonts w:hint="eastAsia" w:ascii="宋体" w:hAnsi="宋体" w:eastAsia="宋体" w:cs="宋体"/>
                <w:b/>
                <w:color w:val="auto"/>
                <w:sz w:val="22"/>
                <w:szCs w:val="22"/>
                <w:highlight w:val="none"/>
              </w:rPr>
            </w:pPr>
          </w:p>
        </w:tc>
        <w:tc>
          <w:tcPr>
            <w:tcW w:w="1834" w:type="dxa"/>
            <w:vAlign w:val="center"/>
          </w:tcPr>
          <w:p>
            <w:pPr>
              <w:jc w:val="center"/>
              <w:rPr>
                <w:rFonts w:hint="eastAsia" w:ascii="宋体" w:hAnsi="宋体" w:eastAsia="宋体" w:cs="宋体"/>
                <w:b/>
                <w:color w:val="auto"/>
                <w:sz w:val="22"/>
                <w:szCs w:val="22"/>
                <w:highlight w:val="none"/>
              </w:rPr>
            </w:pPr>
          </w:p>
        </w:tc>
        <w:tc>
          <w:tcPr>
            <w:tcW w:w="3301" w:type="dxa"/>
            <w:vAlign w:val="center"/>
          </w:tcPr>
          <w:p>
            <w:pPr>
              <w:jc w:val="center"/>
              <w:rPr>
                <w:rFonts w:hint="eastAsia" w:ascii="宋体" w:hAnsi="宋体" w:eastAsia="宋体" w:cs="宋体"/>
                <w:b/>
                <w:color w:val="auto"/>
                <w:sz w:val="22"/>
                <w:szCs w:val="22"/>
                <w:highlight w:val="none"/>
              </w:rPr>
            </w:pPr>
          </w:p>
        </w:tc>
        <w:tc>
          <w:tcPr>
            <w:tcW w:w="1055" w:type="dxa"/>
            <w:vAlign w:val="center"/>
          </w:tcPr>
          <w:p>
            <w:pPr>
              <w:snapToGrid w:val="0"/>
              <w:spacing w:line="400" w:lineRule="atLeast"/>
              <w:jc w:val="center"/>
              <w:rPr>
                <w:rFonts w:hint="eastAsia" w:ascii="宋体" w:hAnsi="宋体" w:eastAsia="宋体" w:cs="宋体"/>
                <w:b/>
                <w:color w:val="auto"/>
                <w:sz w:val="22"/>
                <w:szCs w:val="22"/>
                <w:highlight w:val="none"/>
              </w:rPr>
            </w:pPr>
          </w:p>
        </w:tc>
        <w:tc>
          <w:tcPr>
            <w:tcW w:w="1055" w:type="dxa"/>
            <w:vAlign w:val="center"/>
          </w:tcPr>
          <w:p>
            <w:pPr>
              <w:jc w:val="center"/>
              <w:rPr>
                <w:rFonts w:hint="eastAsia" w:ascii="宋体" w:hAnsi="宋体" w:eastAsia="宋体" w:cs="宋体"/>
                <w:b/>
                <w:color w:val="auto"/>
                <w:sz w:val="22"/>
                <w:szCs w:val="22"/>
                <w:highlight w:val="none"/>
              </w:rPr>
            </w:pPr>
          </w:p>
        </w:tc>
        <w:tc>
          <w:tcPr>
            <w:tcW w:w="1042" w:type="dxa"/>
            <w:vAlign w:val="center"/>
          </w:tcPr>
          <w:p>
            <w:pPr>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jc w:val="center"/>
              <w:rPr>
                <w:rFonts w:hint="eastAsia" w:ascii="宋体" w:hAnsi="宋体" w:eastAsia="宋体" w:cs="宋体"/>
                <w:b/>
                <w:color w:val="auto"/>
                <w:sz w:val="22"/>
                <w:szCs w:val="22"/>
                <w:highlight w:val="none"/>
              </w:rPr>
            </w:pPr>
          </w:p>
        </w:tc>
        <w:tc>
          <w:tcPr>
            <w:tcW w:w="1834" w:type="dxa"/>
            <w:vAlign w:val="center"/>
          </w:tcPr>
          <w:p>
            <w:pPr>
              <w:jc w:val="center"/>
              <w:rPr>
                <w:rFonts w:hint="eastAsia" w:ascii="宋体" w:hAnsi="宋体" w:eastAsia="宋体" w:cs="宋体"/>
                <w:b/>
                <w:color w:val="auto"/>
                <w:sz w:val="22"/>
                <w:szCs w:val="22"/>
                <w:highlight w:val="none"/>
              </w:rPr>
            </w:pPr>
          </w:p>
        </w:tc>
        <w:tc>
          <w:tcPr>
            <w:tcW w:w="3301" w:type="dxa"/>
            <w:vAlign w:val="center"/>
          </w:tcPr>
          <w:p>
            <w:pPr>
              <w:jc w:val="center"/>
              <w:rPr>
                <w:rFonts w:hint="eastAsia" w:ascii="宋体" w:hAnsi="宋体" w:eastAsia="宋体" w:cs="宋体"/>
                <w:b/>
                <w:color w:val="auto"/>
                <w:sz w:val="22"/>
                <w:szCs w:val="22"/>
                <w:highlight w:val="none"/>
              </w:rPr>
            </w:pPr>
          </w:p>
        </w:tc>
        <w:tc>
          <w:tcPr>
            <w:tcW w:w="1055" w:type="dxa"/>
            <w:vAlign w:val="center"/>
          </w:tcPr>
          <w:p>
            <w:pPr>
              <w:snapToGrid w:val="0"/>
              <w:spacing w:line="400" w:lineRule="atLeast"/>
              <w:jc w:val="center"/>
              <w:rPr>
                <w:rFonts w:hint="eastAsia" w:ascii="宋体" w:hAnsi="宋体" w:eastAsia="宋体" w:cs="宋体"/>
                <w:b/>
                <w:color w:val="auto"/>
                <w:sz w:val="22"/>
                <w:szCs w:val="22"/>
                <w:highlight w:val="none"/>
              </w:rPr>
            </w:pPr>
          </w:p>
        </w:tc>
        <w:tc>
          <w:tcPr>
            <w:tcW w:w="1055" w:type="dxa"/>
            <w:vAlign w:val="center"/>
          </w:tcPr>
          <w:p>
            <w:pPr>
              <w:jc w:val="center"/>
              <w:rPr>
                <w:rFonts w:hint="eastAsia" w:ascii="宋体" w:hAnsi="宋体" w:eastAsia="宋体" w:cs="宋体"/>
                <w:b/>
                <w:color w:val="auto"/>
                <w:sz w:val="22"/>
                <w:szCs w:val="22"/>
                <w:highlight w:val="none"/>
              </w:rPr>
            </w:pPr>
          </w:p>
        </w:tc>
        <w:tc>
          <w:tcPr>
            <w:tcW w:w="1042" w:type="dxa"/>
            <w:vAlign w:val="center"/>
          </w:tcPr>
          <w:p>
            <w:pPr>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54" w:type="dxa"/>
            <w:gridSpan w:val="3"/>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合计总价</w:t>
            </w:r>
          </w:p>
        </w:tc>
        <w:tc>
          <w:tcPr>
            <w:tcW w:w="3152" w:type="dxa"/>
            <w:gridSpan w:val="3"/>
            <w:vAlign w:val="center"/>
          </w:tcPr>
          <w:p>
            <w:pPr>
              <w:jc w:val="center"/>
              <w:rPr>
                <w:rFonts w:hint="eastAsia" w:ascii="宋体" w:hAnsi="宋体" w:eastAsia="宋体" w:cs="宋体"/>
                <w:b/>
                <w:color w:val="auto"/>
                <w:sz w:val="22"/>
                <w:szCs w:val="22"/>
                <w:highlight w:val="none"/>
              </w:rPr>
            </w:pPr>
          </w:p>
        </w:tc>
      </w:tr>
    </w:tbl>
    <w:p>
      <w:pPr>
        <w:pStyle w:val="25"/>
        <w:spacing w:line="440" w:lineRule="atLeast"/>
        <w:rPr>
          <w:rFonts w:hint="eastAsia" w:ascii="宋体" w:hAnsi="宋体" w:eastAsia="宋体" w:cs="宋体"/>
          <w:color w:val="auto"/>
          <w:highlight w:val="none"/>
        </w:rPr>
      </w:pPr>
      <w:r>
        <w:rPr>
          <w:rFonts w:hint="eastAsia" w:ascii="宋体" w:hAnsi="宋体" w:eastAsia="宋体" w:cs="宋体"/>
          <w:b/>
          <w:color w:val="auto"/>
          <w:sz w:val="22"/>
          <w:szCs w:val="22"/>
          <w:highlight w:val="none"/>
        </w:rPr>
        <w:t>说明：</w:t>
      </w:r>
      <w:r>
        <w:rPr>
          <w:rFonts w:hint="eastAsia" w:ascii="宋体" w:hAnsi="宋体" w:eastAsia="宋体" w:cs="宋体"/>
          <w:color w:val="auto"/>
          <w:highlight w:val="none"/>
        </w:rPr>
        <w:t xml:space="preserve"> </w:t>
      </w:r>
    </w:p>
    <w:p>
      <w:pPr>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1、总计价应与“开标一览表”中投标总价对应相一致。</w:t>
      </w:r>
    </w:p>
    <w:p>
      <w:pPr>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2、各项费用如已包含在产品价格中请注明“含”，若免费请注明“免”，若没有请注明“无”。</w:t>
      </w:r>
    </w:p>
    <w:p>
      <w:pPr>
        <w:spacing w:line="400" w:lineRule="exact"/>
        <w:ind w:left="42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本表</w:t>
      </w:r>
      <w:r>
        <w:rPr>
          <w:rFonts w:hint="eastAsia" w:ascii="宋体" w:hAnsi="宋体" w:eastAsia="宋体" w:cs="宋体"/>
          <w:color w:val="auto"/>
          <w:highlight w:val="none"/>
        </w:rPr>
        <w:t>可在不改变格式的情况下根据具体需要自行增减。</w:t>
      </w:r>
    </w:p>
    <w:p>
      <w:pPr>
        <w:spacing w:line="400" w:lineRule="exact"/>
        <w:ind w:left="420" w:firstLine="221" w:firstLineChars="1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4、▲ </w:t>
      </w:r>
      <w:r>
        <w:rPr>
          <w:rFonts w:hint="eastAsia" w:ascii="宋体" w:hAnsi="宋体" w:eastAsia="宋体" w:cs="宋体"/>
          <w:b/>
          <w:color w:val="auto"/>
          <w:sz w:val="22"/>
          <w:szCs w:val="22"/>
          <w:highlight w:val="none"/>
          <w:u w:val="single"/>
        </w:rPr>
        <w:t>不提供此表格的将视为没有实质性响应招标文件。</w:t>
      </w: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投标供应商（盖章） ：</w:t>
      </w:r>
    </w:p>
    <w:p>
      <w:pPr>
        <w:spacing w:line="460" w:lineRule="atLeast"/>
        <w:ind w:firstLine="440"/>
        <w:rPr>
          <w:rFonts w:hint="eastAsia" w:ascii="宋体" w:hAnsi="宋体" w:eastAsia="宋体" w:cs="宋体"/>
          <w:color w:val="auto"/>
          <w:sz w:val="36"/>
          <w:highlight w:val="none"/>
        </w:rPr>
      </w:pPr>
      <w:r>
        <w:rPr>
          <w:rFonts w:hint="eastAsia" w:ascii="宋体" w:hAnsi="宋体" w:eastAsia="宋体" w:cs="宋体"/>
          <w:color w:val="auto"/>
          <w:sz w:val="22"/>
          <w:szCs w:val="22"/>
          <w:highlight w:val="none"/>
        </w:rPr>
        <w:t>日期：</w:t>
      </w:r>
    </w:p>
    <w:p>
      <w:pPr>
        <w:snapToGrid w:val="0"/>
        <w:spacing w:line="500" w:lineRule="atLeast"/>
        <w:ind w:firstLine="4367" w:firstLineChars="1450"/>
        <w:rPr>
          <w:rFonts w:hint="eastAsia" w:ascii="宋体" w:hAnsi="宋体" w:eastAsia="宋体" w:cs="宋体"/>
          <w:b/>
          <w:color w:val="auto"/>
          <w:sz w:val="30"/>
          <w:highlight w:val="none"/>
        </w:rPr>
        <w:sectPr>
          <w:pgSz w:w="11906" w:h="16838"/>
          <w:pgMar w:top="1440" w:right="1701" w:bottom="1440" w:left="1701" w:header="851" w:footer="992" w:gutter="0"/>
          <w:cols w:space="720" w:num="1"/>
          <w:docGrid w:linePitch="312" w:charSpace="0"/>
        </w:sectPr>
      </w:pPr>
    </w:p>
    <w:p>
      <w:pPr>
        <w:pStyle w:val="40"/>
        <w:rPr>
          <w:rFonts w:hint="eastAsia" w:ascii="宋体" w:hAnsi="宋体" w:eastAsia="宋体" w:cs="宋体"/>
          <w:color w:val="auto"/>
          <w:highlight w:val="none"/>
        </w:rPr>
      </w:pPr>
      <w:bookmarkStart w:id="194" w:name="_Toc6383"/>
      <w:bookmarkStart w:id="195" w:name="_Toc42243287"/>
      <w:bookmarkStart w:id="196" w:name="_Toc65590097"/>
      <w:bookmarkStart w:id="197" w:name="_Toc65830025"/>
      <w:bookmarkStart w:id="198" w:name="_Toc42678695"/>
      <w:r>
        <w:rPr>
          <w:rFonts w:hint="eastAsia" w:ascii="宋体" w:hAnsi="宋体" w:eastAsia="宋体" w:cs="宋体"/>
          <w:color w:val="auto"/>
          <w:highlight w:val="none"/>
        </w:rPr>
        <w:t>三、商务技术文件部分格式</w:t>
      </w:r>
      <w:bookmarkEnd w:id="194"/>
      <w:bookmarkEnd w:id="195"/>
      <w:bookmarkEnd w:id="196"/>
      <w:bookmarkEnd w:id="197"/>
      <w:bookmarkEnd w:id="198"/>
    </w:p>
    <w:p>
      <w:pPr>
        <w:widowControl/>
        <w:spacing w:line="460" w:lineRule="atLeast"/>
        <w:jc w:val="left"/>
        <w:rPr>
          <w:rFonts w:hint="eastAsia" w:ascii="宋体" w:hAnsi="宋体" w:eastAsia="宋体" w:cs="宋体"/>
          <w:b/>
          <w:bCs/>
          <w:color w:val="auto"/>
          <w:sz w:val="22"/>
          <w:szCs w:val="22"/>
          <w:highlight w:val="none"/>
        </w:rPr>
      </w:pPr>
      <w:bookmarkStart w:id="199" w:name="_Toc493530215"/>
      <w:r>
        <w:rPr>
          <w:rFonts w:hint="eastAsia" w:ascii="宋体" w:hAnsi="宋体" w:eastAsia="宋体" w:cs="宋体"/>
          <w:b/>
          <w:color w:val="auto"/>
          <w:sz w:val="22"/>
          <w:szCs w:val="22"/>
          <w:highlight w:val="none"/>
        </w:rPr>
        <w:t>附件</w:t>
      </w:r>
      <w:bookmarkEnd w:id="199"/>
      <w:r>
        <w:rPr>
          <w:rFonts w:hint="eastAsia" w:ascii="宋体" w:hAnsi="宋体" w:eastAsia="宋体" w:cs="宋体"/>
          <w:b/>
          <w:color w:val="auto"/>
          <w:sz w:val="22"/>
          <w:szCs w:val="22"/>
          <w:highlight w:val="none"/>
        </w:rPr>
        <w:t>六</w:t>
      </w:r>
    </w:p>
    <w:p>
      <w:pPr>
        <w:pStyle w:val="40"/>
        <w:rPr>
          <w:rFonts w:hint="eastAsia" w:ascii="宋体" w:hAnsi="宋体" w:eastAsia="宋体" w:cs="宋体"/>
          <w:color w:val="auto"/>
          <w:highlight w:val="none"/>
        </w:rPr>
      </w:pPr>
      <w:bookmarkStart w:id="200" w:name="_Toc42678696"/>
      <w:bookmarkStart w:id="201" w:name="_Toc68189107"/>
      <w:bookmarkStart w:id="202" w:name="_Toc68187557"/>
      <w:bookmarkStart w:id="203" w:name="_Toc19204521"/>
      <w:bookmarkStart w:id="204" w:name="_Toc9334949"/>
      <w:bookmarkStart w:id="205" w:name="_Toc96970932"/>
      <w:bookmarkStart w:id="206" w:name="_Toc42678185"/>
      <w:bookmarkStart w:id="207" w:name="_Toc61444217"/>
      <w:bookmarkStart w:id="208" w:name="_Toc87518596"/>
      <w:bookmarkStart w:id="209" w:name="_Toc42678030"/>
      <w:bookmarkStart w:id="210" w:name="_Toc42678617"/>
      <w:bookmarkStart w:id="211" w:name="_Toc65830026"/>
      <w:bookmarkStart w:id="212" w:name="_Toc518512534"/>
      <w:bookmarkStart w:id="213" w:name="_Toc18949"/>
      <w:bookmarkStart w:id="214" w:name="_Toc42243288"/>
      <w:bookmarkStart w:id="215" w:name="_Toc511045481"/>
      <w:bookmarkStart w:id="216" w:name="_Toc65590098"/>
      <w:bookmarkStart w:id="217" w:name="_Toc522469119"/>
      <w:bookmarkStart w:id="218" w:name="_Toc21520"/>
      <w:bookmarkStart w:id="219" w:name="_Toc29259"/>
      <w:bookmarkStart w:id="220" w:name="_Toc68188793"/>
      <w:bookmarkStart w:id="221" w:name="_Toc97033074"/>
      <w:bookmarkStart w:id="222" w:name="_Toc87518419"/>
      <w:r>
        <w:rPr>
          <w:rFonts w:hint="eastAsia" w:ascii="宋体" w:hAnsi="宋体" w:eastAsia="宋体" w:cs="宋体"/>
          <w:color w:val="auto"/>
          <w:highlight w:val="none"/>
        </w:rPr>
        <w:t>投 标 函</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480" w:lineRule="atLeas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lang w:val="zh-CN"/>
        </w:rPr>
        <w:t xml:space="preserve">  （采购人）   ：</w:t>
      </w:r>
    </w:p>
    <w:p>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（供应商名称）作为供应商正式授权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（授权代表全名，职务）代表我方处理有关本项目投标的一切事宜。</w:t>
      </w:r>
    </w:p>
    <w:p>
      <w:pPr>
        <w:autoSpaceDE w:val="0"/>
        <w:autoSpaceDN w:val="0"/>
        <w:adjustRightInd w:val="0"/>
        <w:spacing w:line="420" w:lineRule="atLeas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在此提交的投标文件中，包括如下内容，并已分别单独提交：</w:t>
      </w:r>
    </w:p>
    <w:p>
      <w:pPr>
        <w:numPr>
          <w:ilvl w:val="0"/>
          <w:numId w:val="5"/>
        </w:numPr>
        <w:spacing w:line="420" w:lineRule="exact"/>
        <w:rPr>
          <w:rFonts w:hint="eastAsia" w:ascii="宋体" w:hAnsi="宋体" w:eastAsia="宋体" w:cs="宋体"/>
          <w:color w:val="auto"/>
          <w:szCs w:val="21"/>
          <w:highlight w:val="none"/>
        </w:rPr>
      </w:pPr>
      <w:r>
        <w:rPr>
          <w:rFonts w:hint="eastAsia" w:ascii="宋体" w:hAnsi="宋体" w:eastAsia="宋体" w:cs="宋体"/>
          <w:color w:val="auto"/>
          <w:sz w:val="22"/>
          <w:highlight w:val="none"/>
        </w:rPr>
        <w:t>按“供应商须知”要求编制的投标文件资格审查资料 ；</w:t>
      </w:r>
    </w:p>
    <w:p>
      <w:pPr>
        <w:numPr>
          <w:ilvl w:val="0"/>
          <w:numId w:val="5"/>
        </w:numPr>
        <w:spacing w:line="420" w:lineRule="exact"/>
        <w:rPr>
          <w:rFonts w:hint="eastAsia" w:ascii="宋体" w:hAnsi="宋体" w:eastAsia="宋体" w:cs="宋体"/>
          <w:color w:val="auto"/>
          <w:szCs w:val="21"/>
          <w:highlight w:val="none"/>
        </w:rPr>
      </w:pPr>
      <w:r>
        <w:rPr>
          <w:rFonts w:hint="eastAsia" w:ascii="宋体" w:hAnsi="宋体" w:eastAsia="宋体" w:cs="宋体"/>
          <w:color w:val="auto"/>
          <w:sz w:val="22"/>
          <w:highlight w:val="none"/>
        </w:rPr>
        <w:t>按“供应商须知”要求编制的投标文件商务技术文件 ；</w:t>
      </w:r>
    </w:p>
    <w:p>
      <w:pPr>
        <w:numPr>
          <w:ilvl w:val="0"/>
          <w:numId w:val="5"/>
        </w:numPr>
        <w:spacing w:line="420" w:lineRule="exact"/>
        <w:rPr>
          <w:rFonts w:hint="eastAsia" w:ascii="宋体" w:hAnsi="宋体" w:eastAsia="宋体" w:cs="宋体"/>
          <w:color w:val="auto"/>
          <w:szCs w:val="21"/>
          <w:highlight w:val="none"/>
        </w:rPr>
      </w:pPr>
      <w:r>
        <w:rPr>
          <w:rFonts w:hint="eastAsia" w:ascii="宋体" w:hAnsi="宋体" w:eastAsia="宋体" w:cs="宋体"/>
          <w:color w:val="auto"/>
          <w:sz w:val="22"/>
          <w:highlight w:val="none"/>
        </w:rPr>
        <w:t>按“供应商须知”要求编制的投标文件报价文件 。</w:t>
      </w:r>
    </w:p>
    <w:p>
      <w:pPr>
        <w:autoSpaceDE w:val="0"/>
        <w:autoSpaceDN w:val="0"/>
        <w:adjustRightInd w:val="0"/>
        <w:spacing w:line="420" w:lineRule="atLeast"/>
        <w:ind w:firstLine="44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我方己完全明白采购文件的所有条款要求，并重申以下几点：</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同意提供按照贵方可能要求的与投标有关的一切数据或资料等。若贵方需要，我方愿意提供我方作出的一切承诺的证明材料。</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如中标，保证按照采购文件要求及投标文件的承诺与采购人签订合同，保证履行合同条款。</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同意在采购文件中供应商须知规定的开标日期起遵守本投标书中的承诺且在投标有效期满之前均具有约束力。</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如果在开标后规定的投标有效期内撤回投标，我方接受贵方处罚。</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完全理解贵方不一定要接受最低价的投标。</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在参加本项目前三年内（被通报或者处罚的违法行为有：</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）或（没有因违法经营受到刑事处罚或者责令停产停业、吊销许可证或者执照、较大数额罚款等行政处罚或处罚）或（在</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至</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期间禁止参加政府采购活动但是期限届满，须附相关证明文件）</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在投标截止前（未被“信用中国”网站(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highlight w:val="none"/>
        </w:rPr>
        <w:t>www.creditchina.gov.cn</w:t>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)列入失信被执行人、重大税收违法案件当事人名单；未被“中国政府采购网”(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highlight w:val="none"/>
        </w:rPr>
        <w:t>www.ccgp.gov.cn</w:t>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)列入政府采购严重违法失信行为记录名单。）或（被“信用中国”或“中国政府采购网”列入……名单。）</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(1)提供虚假材料（承诺）谋取中标、成交的；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(2)采取不正当手段诋毁、排挤其他供应商的；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(3)与采购人、其它供应商或者采购代理机构恶意串通的；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(4)向采购人、采购代理机构行贿或者提供其他不正当利益的；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(5)在招标采购过程中与采购人进行协商谈判的；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(6)拒绝有关部门监督检查或提供虚假情况的。</w:t>
      </w:r>
    </w:p>
    <w:p>
      <w:pPr>
        <w:numPr>
          <w:ilvl w:val="0"/>
          <w:numId w:val="6"/>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所有与本投标有关的函件请发往下列地址：</w:t>
      </w:r>
    </w:p>
    <w:p>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r>
        <w:rPr>
          <w:rFonts w:hint="eastAsia" w:ascii="宋体" w:hAnsi="宋体" w:eastAsia="宋体" w:cs="宋体"/>
          <w:color w:val="auto"/>
          <w:sz w:val="22"/>
          <w:szCs w:val="22"/>
          <w:highlight w:val="none"/>
          <w:u w:val="single"/>
        </w:rPr>
        <w:t xml:space="preserve">                           </w:t>
      </w:r>
    </w:p>
    <w:p>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pPr>
        <w:spacing w:line="42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pPr>
        <w:spacing w:line="42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pPr>
        <w:autoSpaceDE w:val="0"/>
        <w:autoSpaceDN w:val="0"/>
        <w:adjustRightInd w:val="0"/>
        <w:spacing w:line="440" w:lineRule="atLeast"/>
        <w:rPr>
          <w:rFonts w:hint="eastAsia" w:ascii="宋体" w:hAnsi="宋体" w:eastAsia="宋体" w:cs="宋体"/>
          <w:color w:val="auto"/>
          <w:sz w:val="22"/>
          <w:szCs w:val="22"/>
          <w:highlight w:val="none"/>
        </w:rPr>
      </w:pPr>
    </w:p>
    <w:p>
      <w:pPr>
        <w:autoSpaceDE w:val="0"/>
        <w:autoSpaceDN w:val="0"/>
        <w:adjustRightInd w:val="0"/>
        <w:spacing w:line="440" w:lineRule="atLeast"/>
        <w:ind w:firstLine="1980" w:firstLineChars="900"/>
        <w:rPr>
          <w:rFonts w:hint="eastAsia" w:ascii="宋体" w:hAnsi="宋体" w:eastAsia="宋体" w:cs="宋体"/>
          <w:color w:val="auto"/>
          <w:sz w:val="22"/>
          <w:szCs w:val="22"/>
          <w:highlight w:val="none"/>
          <w:lang w:val="zh-CN"/>
        </w:rPr>
      </w:pPr>
    </w:p>
    <w:p>
      <w:pPr>
        <w:autoSpaceDE w:val="0"/>
        <w:autoSpaceDN w:val="0"/>
        <w:adjustRightInd w:val="0"/>
        <w:spacing w:line="440" w:lineRule="atLeast"/>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pPr>
        <w:autoSpaceDE w:val="0"/>
        <w:autoSpaceDN w:val="0"/>
        <w:adjustRightInd w:val="0"/>
        <w:spacing w:line="440" w:lineRule="atLeast"/>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pPr>
        <w:autoSpaceDE w:val="0"/>
        <w:autoSpaceDN w:val="0"/>
        <w:adjustRightInd w:val="0"/>
        <w:snapToGrid w:val="0"/>
        <w:spacing w:line="480" w:lineRule="atLeast"/>
        <w:ind w:firstLine="440" w:firstLineChars="200"/>
        <w:jc w:val="left"/>
        <w:rPr>
          <w:rFonts w:hint="eastAsia" w:ascii="宋体" w:hAnsi="宋体" w:eastAsia="宋体" w:cs="宋体"/>
          <w:color w:val="auto"/>
          <w:sz w:val="22"/>
          <w:highlight w:val="none"/>
          <w:lang w:val="zh-CN"/>
        </w:rPr>
      </w:pPr>
    </w:p>
    <w:p>
      <w:pPr>
        <w:rPr>
          <w:rFonts w:hint="eastAsia" w:ascii="宋体" w:hAnsi="宋体" w:eastAsia="宋体" w:cs="宋体"/>
          <w:b/>
          <w:bCs/>
          <w:color w:val="auto"/>
          <w:sz w:val="22"/>
          <w:szCs w:val="22"/>
          <w:highlight w:val="none"/>
        </w:rPr>
      </w:pPr>
      <w:bookmarkStart w:id="223" w:name="_Toc493530219"/>
      <w:r>
        <w:rPr>
          <w:rFonts w:hint="eastAsia" w:ascii="宋体" w:hAnsi="宋体" w:eastAsia="宋体" w:cs="宋体"/>
          <w:b/>
          <w:bCs/>
          <w:color w:val="auto"/>
          <w:sz w:val="22"/>
          <w:szCs w:val="22"/>
          <w:highlight w:val="none"/>
        </w:rPr>
        <w:br w:type="page"/>
      </w:r>
    </w:p>
    <w:p>
      <w:pPr>
        <w:widowControl/>
        <w:spacing w:line="460" w:lineRule="atLeas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w:t>
      </w:r>
      <w:bookmarkEnd w:id="223"/>
      <w:r>
        <w:rPr>
          <w:rFonts w:hint="eastAsia" w:ascii="宋体" w:hAnsi="宋体" w:eastAsia="宋体" w:cs="宋体"/>
          <w:b/>
          <w:bCs/>
          <w:color w:val="auto"/>
          <w:sz w:val="22"/>
          <w:szCs w:val="22"/>
          <w:highlight w:val="none"/>
        </w:rPr>
        <w:t>七</w:t>
      </w:r>
    </w:p>
    <w:p>
      <w:pPr>
        <w:tabs>
          <w:tab w:val="left" w:pos="1080"/>
        </w:tabs>
        <w:autoSpaceDE w:val="0"/>
        <w:autoSpaceDN w:val="0"/>
        <w:adjustRightInd w:val="0"/>
        <w:spacing w:line="440" w:lineRule="atLeast"/>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法定代表人诚信投标承诺书</w:t>
      </w:r>
    </w:p>
    <w:p>
      <w:pPr>
        <w:spacing w:line="360" w:lineRule="auto"/>
        <w:jc w:val="left"/>
        <w:rPr>
          <w:rFonts w:hint="eastAsia" w:ascii="宋体" w:hAnsi="宋体" w:eastAsia="宋体" w:cs="宋体"/>
          <w:b/>
          <w:color w:val="auto"/>
          <w:sz w:val="24"/>
          <w:highlight w:val="none"/>
        </w:rPr>
      </w:pPr>
    </w:p>
    <w:p>
      <w:pPr>
        <w:spacing w:line="460" w:lineRule="atLeas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本人以企业法定代表人的身份郑重承诺：</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将遵循公开、公平、公正和诚信信用的原则参加</w:t>
      </w:r>
      <w:r>
        <w:rPr>
          <w:rFonts w:hint="eastAsia" w:ascii="宋体" w:hAnsi="宋体" w:eastAsia="宋体" w:cs="宋体"/>
          <w:color w:val="auto"/>
          <w:sz w:val="22"/>
          <w:szCs w:val="22"/>
          <w:highlight w:val="none"/>
          <w:u w:val="single"/>
        </w:rPr>
        <w:t xml:space="preserve">              项目（项目编号：   ）</w:t>
      </w:r>
      <w:r>
        <w:rPr>
          <w:rFonts w:hint="eastAsia" w:ascii="宋体" w:hAnsi="宋体" w:eastAsia="宋体" w:cs="宋体"/>
          <w:color w:val="auto"/>
          <w:sz w:val="22"/>
          <w:szCs w:val="22"/>
          <w:highlight w:val="none"/>
        </w:rPr>
        <w:t>的投标；</w:t>
      </w:r>
    </w:p>
    <w:p>
      <w:pPr>
        <w:spacing w:line="460" w:lineRule="atLeas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二、投标文件所提供的一切材料都是真实、有效、合法的。</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三、不与其他投标供应商相互串通投标报价，不排挤其他投标供应商的公平竞争，不损害招标人或其他投标供应商的合法权益。</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四、不与采购人或采购代理机构串通投标，不损害国家利益，社会公共利益或其他人的合法权益。</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五、不向采购人或者评标委员会成员行贿以牟取中标。</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六、不以其他人名义投标或者以其他方式弄虚作假，骗取中标。</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七、不在开标后进行虚假恶意投诉。</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九、没有被各地、各级财政部门禁止参加政府采购活动，且在限制期限内：    </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十、参与本项目政府采购活动3年内没有重大违法记录情况。</w:t>
      </w:r>
    </w:p>
    <w:p>
      <w:pPr>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p>
    <w:p>
      <w:pPr>
        <w:spacing w:line="460" w:lineRule="atLeast"/>
        <w:ind w:right="1120" w:firstLine="2970" w:firstLineChars="1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投标供应商（盖章）</w:t>
      </w:r>
    </w:p>
    <w:p>
      <w:pPr>
        <w:spacing w:line="460" w:lineRule="atLeast"/>
        <w:ind w:right="1120" w:firstLine="2970" w:firstLineChars="1350"/>
        <w:rPr>
          <w:rFonts w:hint="eastAsia" w:ascii="宋体" w:hAnsi="宋体" w:eastAsia="宋体" w:cs="宋体"/>
          <w:color w:val="auto"/>
          <w:highlight w:val="none"/>
        </w:rPr>
      </w:pPr>
      <w:r>
        <w:rPr>
          <w:rFonts w:hint="eastAsia" w:ascii="宋体" w:hAnsi="宋体" w:eastAsia="宋体" w:cs="宋体"/>
          <w:color w:val="auto"/>
          <w:sz w:val="22"/>
          <w:szCs w:val="22"/>
          <w:highlight w:val="none"/>
        </w:rPr>
        <w:t>承诺书签署日期：         年  月  日</w:t>
      </w:r>
    </w:p>
    <w:p>
      <w:pPr>
        <w:spacing w:line="360" w:lineRule="exact"/>
        <w:jc w:val="left"/>
        <w:rPr>
          <w:rFonts w:hint="eastAsia" w:ascii="宋体" w:hAnsi="宋体" w:eastAsia="宋体" w:cs="宋体"/>
          <w:b/>
          <w:bCs/>
          <w:color w:val="auto"/>
          <w:sz w:val="22"/>
          <w:szCs w:val="22"/>
          <w:highlight w:val="none"/>
          <w:u w:val="single"/>
        </w:rPr>
      </w:pPr>
    </w:p>
    <w:p>
      <w:pPr>
        <w:spacing w:line="360" w:lineRule="exact"/>
        <w:jc w:val="left"/>
        <w:rPr>
          <w:rFonts w:hint="eastAsia" w:ascii="宋体" w:hAnsi="宋体" w:eastAsia="宋体" w:cs="宋体"/>
          <w:b/>
          <w:color w:val="auto"/>
          <w:sz w:val="30"/>
          <w:highlight w:val="none"/>
        </w:rPr>
      </w:pPr>
      <w:r>
        <w:rPr>
          <w:rFonts w:hint="eastAsia" w:ascii="宋体" w:hAnsi="宋体" w:eastAsia="宋体" w:cs="宋体"/>
          <w:b/>
          <w:color w:val="auto"/>
          <w:sz w:val="22"/>
          <w:szCs w:val="22"/>
          <w:highlight w:val="none"/>
          <w:u w:val="single"/>
        </w:rPr>
        <w:t>备注：▲投标供应商必须提供本承诺书，不提供按无效投标处理。</w:t>
      </w:r>
    </w:p>
    <w:p>
      <w:pPr>
        <w:tabs>
          <w:tab w:val="left" w:pos="2520"/>
        </w:tabs>
        <w:spacing w:line="440" w:lineRule="exact"/>
        <w:outlineLvl w:val="0"/>
        <w:rPr>
          <w:rFonts w:hint="eastAsia" w:ascii="宋体" w:hAnsi="宋体" w:eastAsia="宋体" w:cs="宋体"/>
          <w:color w:val="auto"/>
          <w:highlight w:val="none"/>
        </w:rPr>
      </w:pPr>
    </w:p>
    <w:p>
      <w:pPr>
        <w:tabs>
          <w:tab w:val="left" w:pos="2520"/>
        </w:tabs>
        <w:spacing w:line="440" w:lineRule="exact"/>
        <w:outlineLvl w:val="0"/>
        <w:rPr>
          <w:rFonts w:hint="eastAsia" w:ascii="宋体" w:hAnsi="宋体" w:eastAsia="宋体" w:cs="宋体"/>
          <w:color w:val="auto"/>
          <w:highlight w:val="none"/>
        </w:rPr>
      </w:pPr>
    </w:p>
    <w:p>
      <w:pPr>
        <w:spacing w:line="3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22"/>
          <w:szCs w:val="22"/>
          <w:highlight w:val="none"/>
        </w:rPr>
        <w:t>附件八</w:t>
      </w:r>
    </w:p>
    <w:p>
      <w:pPr>
        <w:tabs>
          <w:tab w:val="left" w:pos="1080"/>
        </w:tabs>
        <w:autoSpaceDE w:val="0"/>
        <w:autoSpaceDN w:val="0"/>
        <w:adjustRightInd w:val="0"/>
        <w:spacing w:line="440" w:lineRule="atLeast"/>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类似业绩（时间以签订的时间为准）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43"/>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aps/>
                <w:color w:val="auto"/>
                <w:spacing w:val="20"/>
                <w:sz w:val="22"/>
                <w:highlight w:val="none"/>
              </w:rPr>
            </w:pPr>
            <w:r>
              <w:rPr>
                <w:rFonts w:hint="eastAsia" w:ascii="宋体" w:hAnsi="宋体" w:eastAsia="宋体" w:cs="宋体"/>
                <w:caps/>
                <w:color w:val="auto"/>
                <w:spacing w:val="20"/>
                <w:sz w:val="22"/>
                <w:szCs w:val="22"/>
                <w:highlight w:val="none"/>
              </w:rPr>
              <w:t>序号</w:t>
            </w: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采购单位</w:t>
            </w:r>
          </w:p>
        </w:tc>
        <w:tc>
          <w:tcPr>
            <w:tcW w:w="1299" w:type="dxa"/>
            <w:vAlign w:val="center"/>
          </w:tcPr>
          <w:p>
            <w:pPr>
              <w:tabs>
                <w:tab w:val="left" w:pos="4140"/>
              </w:tabs>
              <w:adjustRightInd w:val="0"/>
              <w:snapToGrid w:val="0"/>
              <w:spacing w:line="320" w:lineRule="atLeast"/>
              <w:jc w:val="center"/>
              <w:rPr>
                <w:rFonts w:hint="eastAsia" w:ascii="宋体" w:hAnsi="宋体" w:eastAsia="宋体" w:cs="宋体"/>
                <w:caps/>
                <w:color w:val="auto"/>
                <w:spacing w:val="20"/>
                <w:sz w:val="22"/>
                <w:highlight w:val="none"/>
              </w:rPr>
            </w:pPr>
            <w:r>
              <w:rPr>
                <w:rFonts w:hint="eastAsia" w:ascii="宋体" w:hAnsi="宋体" w:eastAsia="宋体" w:cs="宋体"/>
                <w:caps/>
                <w:color w:val="auto"/>
                <w:spacing w:val="20"/>
                <w:sz w:val="22"/>
                <w:szCs w:val="22"/>
                <w:highlight w:val="none"/>
              </w:rPr>
              <w:t>项目名称</w:t>
            </w:r>
          </w:p>
        </w:tc>
        <w:tc>
          <w:tcPr>
            <w:tcW w:w="1355" w:type="dxa"/>
            <w:vAlign w:val="center"/>
          </w:tcPr>
          <w:p>
            <w:pPr>
              <w:tabs>
                <w:tab w:val="left" w:pos="4140"/>
              </w:tabs>
              <w:adjustRightInd w:val="0"/>
              <w:snapToGrid w:val="0"/>
              <w:spacing w:line="320" w:lineRule="atLeast"/>
              <w:jc w:val="center"/>
              <w:rPr>
                <w:rFonts w:hint="eastAsia" w:ascii="宋体" w:hAnsi="宋体" w:eastAsia="宋体" w:cs="宋体"/>
                <w:caps/>
                <w:color w:val="auto"/>
                <w:spacing w:val="20"/>
                <w:sz w:val="22"/>
                <w:highlight w:val="none"/>
              </w:rPr>
            </w:pPr>
            <w:r>
              <w:rPr>
                <w:rFonts w:hint="eastAsia" w:ascii="宋体" w:hAnsi="宋体" w:eastAsia="宋体" w:cs="宋体"/>
                <w:caps/>
                <w:color w:val="auto"/>
                <w:spacing w:val="20"/>
                <w:sz w:val="22"/>
                <w:szCs w:val="22"/>
                <w:highlight w:val="none"/>
              </w:rPr>
              <w:t>合同金额</w:t>
            </w: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签约日期</w:t>
            </w: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联系人</w:t>
            </w: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联系电话</w:t>
            </w: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bl>
    <w:p>
      <w:pPr>
        <w:spacing w:line="460" w:lineRule="exact"/>
        <w:ind w:left="755" w:hanging="754" w:hangingChars="343"/>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注：投标供应商可按此表格式复制，需后附合同扫描件加盖公章。</w:t>
      </w:r>
    </w:p>
    <w:p>
      <w:pPr>
        <w:spacing w:line="460" w:lineRule="exact"/>
        <w:ind w:left="755" w:hanging="754" w:hangingChars="343"/>
        <w:rPr>
          <w:rFonts w:hint="eastAsia" w:ascii="宋体" w:hAnsi="宋体" w:eastAsia="宋体" w:cs="宋体"/>
          <w:bCs/>
          <w:color w:val="auto"/>
          <w:sz w:val="22"/>
          <w:szCs w:val="22"/>
          <w:highlight w:val="none"/>
        </w:rPr>
      </w:pPr>
    </w:p>
    <w:p>
      <w:pP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pPr>
        <w:autoSpaceDE w:val="0"/>
        <w:autoSpaceDN w:val="0"/>
        <w:adjustRightInd w:val="0"/>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autoSpaceDE w:val="0"/>
        <w:autoSpaceDN w:val="0"/>
        <w:adjustRightInd w:val="0"/>
        <w:spacing w:line="460" w:lineRule="atLeast"/>
        <w:rPr>
          <w:rFonts w:hint="eastAsia" w:ascii="宋体" w:hAnsi="宋体" w:eastAsia="宋体" w:cs="宋体"/>
          <w:color w:val="auto"/>
          <w:sz w:val="22"/>
          <w:highlight w:val="none"/>
        </w:rPr>
      </w:pPr>
    </w:p>
    <w:p>
      <w:pPr>
        <w:autoSpaceDE w:val="0"/>
        <w:autoSpaceDN w:val="0"/>
        <w:adjustRightInd w:val="0"/>
        <w:spacing w:line="460" w:lineRule="atLeast"/>
        <w:rPr>
          <w:rFonts w:hint="eastAsia" w:ascii="宋体" w:hAnsi="宋体" w:eastAsia="宋体" w:cs="宋体"/>
          <w:color w:val="auto"/>
          <w:sz w:val="22"/>
          <w:highlight w:val="none"/>
        </w:rPr>
      </w:pPr>
    </w:p>
    <w:p>
      <w:pPr>
        <w:pStyle w:val="40"/>
        <w:rPr>
          <w:rFonts w:hint="eastAsia" w:ascii="宋体" w:hAnsi="宋体" w:eastAsia="宋体" w:cs="宋体"/>
          <w:color w:val="auto"/>
          <w:highlight w:val="none"/>
        </w:rPr>
      </w:pPr>
      <w:bookmarkStart w:id="224" w:name="_Toc493530220"/>
    </w:p>
    <w:p>
      <w:pPr>
        <w:rPr>
          <w:rFonts w:hint="eastAsia" w:ascii="宋体" w:hAnsi="宋体" w:eastAsia="宋体" w:cs="宋体"/>
          <w:color w:val="auto"/>
          <w:highlight w:val="none"/>
        </w:rPr>
      </w:pPr>
    </w:p>
    <w:bookmarkEnd w:id="224"/>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widowControl/>
        <w:jc w:val="lef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附件九</w:t>
      </w:r>
    </w:p>
    <w:p>
      <w:pPr>
        <w:pStyle w:val="40"/>
        <w:rPr>
          <w:rFonts w:hint="eastAsia" w:ascii="宋体" w:hAnsi="宋体" w:eastAsia="宋体" w:cs="宋体"/>
          <w:color w:val="auto"/>
          <w:highlight w:val="none"/>
        </w:rPr>
      </w:pPr>
      <w:r>
        <w:rPr>
          <w:rFonts w:hint="eastAsia" w:ascii="宋体" w:hAnsi="宋体" w:eastAsia="宋体" w:cs="宋体"/>
          <w:color w:val="auto"/>
          <w:highlight w:val="none"/>
        </w:rPr>
        <w:t>商务、技术偏离表</w:t>
      </w:r>
    </w:p>
    <w:p>
      <w:pPr>
        <w:spacing w:line="560" w:lineRule="exact"/>
        <w:ind w:firstLine="431" w:firstLineChars="196"/>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43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2743"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规格要求</w:t>
            </w:r>
          </w:p>
        </w:tc>
        <w:tc>
          <w:tcPr>
            <w:tcW w:w="3023"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对应规格</w:t>
            </w:r>
          </w:p>
        </w:tc>
        <w:tc>
          <w:tcPr>
            <w:tcW w:w="1260"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技术偏离</w:t>
            </w: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w:t>
            </w: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bl>
    <w:p>
      <w:pPr>
        <w:pStyle w:val="25"/>
        <w:spacing w:line="34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rPr>
        <w:t>1、偏离表中进行如实填写详细对比说明并注明无偏离、正偏离和负偏离。</w:t>
      </w:r>
    </w:p>
    <w:p>
      <w:pPr>
        <w:pStyle w:val="25"/>
        <w:spacing w:line="3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2、不填写此表视作完全响应采购文件要求。</w:t>
      </w:r>
    </w:p>
    <w:p>
      <w:pPr>
        <w:pStyle w:val="25"/>
        <w:spacing w:line="34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3、▲</w:t>
      </w:r>
      <w:r>
        <w:rPr>
          <w:rFonts w:hint="eastAsia" w:ascii="宋体" w:hAnsi="宋体" w:eastAsia="宋体" w:cs="宋体"/>
          <w:b/>
          <w:bCs/>
          <w:color w:val="auto"/>
          <w:sz w:val="22"/>
          <w:szCs w:val="22"/>
          <w:highlight w:val="none"/>
          <w:u w:val="single"/>
          <w:lang w:val="zh-CN"/>
        </w:rPr>
        <w:t>不提供此表的视为没有实质性响应采购文件，其投标将被拒绝。</w:t>
      </w:r>
    </w:p>
    <w:p>
      <w:pPr>
        <w:pStyle w:val="25"/>
        <w:spacing w:line="340" w:lineRule="exact"/>
        <w:rPr>
          <w:rFonts w:hint="eastAsia" w:ascii="宋体" w:hAnsi="宋体" w:eastAsia="宋体" w:cs="宋体"/>
          <w:b/>
          <w:color w:val="auto"/>
          <w:sz w:val="22"/>
          <w:highlight w:val="none"/>
        </w:rPr>
      </w:pPr>
    </w:p>
    <w:p>
      <w:pPr>
        <w:pStyle w:val="25"/>
        <w:spacing w:line="340" w:lineRule="exact"/>
        <w:ind w:left="657" w:leftChars="313" w:firstLine="4196" w:firstLineChars="1900"/>
        <w:rPr>
          <w:rFonts w:hint="eastAsia" w:ascii="宋体" w:hAnsi="宋体" w:eastAsia="宋体" w:cs="宋体"/>
          <w:b/>
          <w:color w:val="auto"/>
          <w:sz w:val="22"/>
          <w:highlight w:val="none"/>
        </w:rPr>
      </w:pP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投标供应商全称（盖章）：</w:t>
      </w:r>
    </w:p>
    <w:p>
      <w:pPr>
        <w:pStyle w:val="25"/>
        <w:spacing w:line="360" w:lineRule="auto"/>
        <w:rPr>
          <w:rFonts w:hint="eastAsia" w:ascii="宋体" w:hAnsi="宋体" w:eastAsia="宋体" w:cs="宋体"/>
          <w:color w:val="auto"/>
          <w:sz w:val="22"/>
          <w:szCs w:val="22"/>
          <w:highlight w:val="none"/>
        </w:rPr>
        <w:sectPr>
          <w:pgSz w:w="11906" w:h="16838"/>
          <w:pgMar w:top="1134" w:right="1134" w:bottom="1134" w:left="1134" w:header="851" w:footer="850" w:gutter="0"/>
          <w:cols w:space="720" w:num="1"/>
          <w:titlePg/>
          <w:docGrid w:type="lines" w:linePitch="312" w:charSpace="0"/>
        </w:sectPr>
      </w:pPr>
      <w:r>
        <w:rPr>
          <w:rFonts w:hint="eastAsia" w:ascii="宋体" w:hAnsi="宋体" w:eastAsia="宋体" w:cs="宋体"/>
          <w:color w:val="auto"/>
          <w:sz w:val="22"/>
          <w:szCs w:val="22"/>
          <w:highlight w:val="none"/>
        </w:rPr>
        <w:t>日 期：       年      月      日</w:t>
      </w: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附件十</w:t>
      </w:r>
    </w:p>
    <w:p>
      <w:pPr>
        <w:pStyle w:val="40"/>
        <w:rPr>
          <w:rFonts w:hint="eastAsia" w:ascii="宋体" w:hAnsi="宋体" w:eastAsia="宋体" w:cs="宋体"/>
          <w:color w:val="auto"/>
          <w:highlight w:val="none"/>
        </w:rPr>
      </w:pPr>
      <w:r>
        <w:rPr>
          <w:rFonts w:hint="eastAsia" w:ascii="宋体" w:hAnsi="宋体" w:eastAsia="宋体" w:cs="宋体"/>
          <w:color w:val="auto"/>
          <w:highlight w:val="none"/>
        </w:rPr>
        <w:t>产品配置及主要技术参数</w:t>
      </w:r>
    </w:p>
    <w:p>
      <w:pP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供应商名称：</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 xml:space="preserve">  招标编号：</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 xml:space="preserve">   项目名称：</w:t>
      </w:r>
      <w:r>
        <w:rPr>
          <w:rFonts w:hint="eastAsia" w:ascii="宋体" w:hAnsi="宋体" w:eastAsia="宋体" w:cs="宋体"/>
          <w:color w:val="auto"/>
          <w:spacing w:val="20"/>
          <w:sz w:val="22"/>
          <w:szCs w:val="22"/>
          <w:highlight w:val="none"/>
          <w:u w:val="single"/>
        </w:rPr>
        <w:t xml:space="preserve">         </w:t>
      </w:r>
    </w:p>
    <w:tbl>
      <w:tblPr>
        <w:tblStyle w:val="4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3045"/>
        <w:gridCol w:w="1260"/>
        <w:gridCol w:w="37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序号</w:t>
            </w:r>
          </w:p>
        </w:tc>
        <w:tc>
          <w:tcPr>
            <w:tcW w:w="2520" w:type="dxa"/>
            <w:vAlign w:val="center"/>
          </w:tcPr>
          <w:p>
            <w:pPr>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货物名称</w:t>
            </w:r>
          </w:p>
        </w:tc>
        <w:tc>
          <w:tcPr>
            <w:tcW w:w="1995" w:type="dxa"/>
            <w:vAlign w:val="center"/>
          </w:tcPr>
          <w:p>
            <w:pPr>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品牌及型号</w:t>
            </w:r>
          </w:p>
        </w:tc>
        <w:tc>
          <w:tcPr>
            <w:tcW w:w="3045" w:type="dxa"/>
            <w:vAlign w:val="center"/>
          </w:tcPr>
          <w:p>
            <w:pPr>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主要规格</w:t>
            </w:r>
          </w:p>
        </w:tc>
        <w:tc>
          <w:tcPr>
            <w:tcW w:w="1260" w:type="dxa"/>
            <w:vAlign w:val="center"/>
          </w:tcPr>
          <w:p>
            <w:pPr>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数量</w:t>
            </w:r>
          </w:p>
        </w:tc>
        <w:tc>
          <w:tcPr>
            <w:tcW w:w="3741" w:type="dxa"/>
            <w:vAlign w:val="center"/>
          </w:tcPr>
          <w:p>
            <w:pPr>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hint="eastAsia" w:ascii="宋体" w:hAnsi="宋体" w:eastAsia="宋体" w:cs="宋体"/>
                <w:color w:val="auto"/>
                <w:spacing w:val="20"/>
                <w:sz w:val="22"/>
                <w:szCs w:val="22"/>
                <w:highlight w:val="none"/>
              </w:rPr>
            </w:pPr>
          </w:p>
        </w:tc>
        <w:tc>
          <w:tcPr>
            <w:tcW w:w="2520" w:type="dxa"/>
            <w:vAlign w:val="center"/>
          </w:tcPr>
          <w:p>
            <w:pPr>
              <w:jc w:val="center"/>
              <w:rPr>
                <w:rFonts w:hint="eastAsia" w:ascii="宋体" w:hAnsi="宋体" w:eastAsia="宋体" w:cs="宋体"/>
                <w:color w:val="auto"/>
                <w:spacing w:val="20"/>
                <w:sz w:val="22"/>
                <w:szCs w:val="22"/>
                <w:highlight w:val="none"/>
              </w:rPr>
            </w:pPr>
          </w:p>
        </w:tc>
        <w:tc>
          <w:tcPr>
            <w:tcW w:w="1995" w:type="dxa"/>
            <w:vAlign w:val="center"/>
          </w:tcPr>
          <w:p>
            <w:pPr>
              <w:jc w:val="center"/>
              <w:rPr>
                <w:rFonts w:hint="eastAsia" w:ascii="宋体" w:hAnsi="宋体" w:eastAsia="宋体" w:cs="宋体"/>
                <w:color w:val="auto"/>
                <w:spacing w:val="20"/>
                <w:sz w:val="22"/>
                <w:szCs w:val="22"/>
                <w:highlight w:val="none"/>
              </w:rPr>
            </w:pPr>
          </w:p>
        </w:tc>
        <w:tc>
          <w:tcPr>
            <w:tcW w:w="3045" w:type="dxa"/>
            <w:vAlign w:val="center"/>
          </w:tcPr>
          <w:p>
            <w:pPr>
              <w:jc w:val="center"/>
              <w:rPr>
                <w:rFonts w:hint="eastAsia" w:ascii="宋体" w:hAnsi="宋体" w:eastAsia="宋体" w:cs="宋体"/>
                <w:color w:val="auto"/>
                <w:spacing w:val="20"/>
                <w:sz w:val="22"/>
                <w:szCs w:val="22"/>
                <w:highlight w:val="none"/>
              </w:rPr>
            </w:pPr>
          </w:p>
        </w:tc>
        <w:tc>
          <w:tcPr>
            <w:tcW w:w="1260" w:type="dxa"/>
            <w:vAlign w:val="center"/>
          </w:tcPr>
          <w:p>
            <w:pPr>
              <w:jc w:val="center"/>
              <w:rPr>
                <w:rFonts w:hint="eastAsia" w:ascii="宋体" w:hAnsi="宋体" w:eastAsia="宋体" w:cs="宋体"/>
                <w:color w:val="auto"/>
                <w:spacing w:val="20"/>
                <w:sz w:val="22"/>
                <w:szCs w:val="22"/>
                <w:highlight w:val="none"/>
              </w:rPr>
            </w:pPr>
          </w:p>
        </w:tc>
        <w:tc>
          <w:tcPr>
            <w:tcW w:w="3741" w:type="dxa"/>
            <w:vAlign w:val="center"/>
          </w:tcPr>
          <w:p>
            <w:pPr>
              <w:jc w:val="center"/>
              <w:rPr>
                <w:rFonts w:hint="eastAsia" w:ascii="宋体" w:hAnsi="宋体" w:eastAsia="宋体" w:cs="宋体"/>
                <w:color w:val="auto"/>
                <w:spacing w:val="20"/>
                <w:sz w:val="22"/>
                <w:szCs w:val="22"/>
                <w:highlight w:val="none"/>
              </w:rPr>
            </w:pPr>
          </w:p>
        </w:tc>
      </w:tr>
    </w:tbl>
    <w:p>
      <w:pPr>
        <w:spacing w:line="360" w:lineRule="auto"/>
        <w:rPr>
          <w:rFonts w:hint="eastAsia" w:ascii="宋体" w:hAnsi="宋体" w:eastAsia="宋体" w:cs="宋体"/>
          <w:iCs/>
          <w:color w:val="auto"/>
          <w:spacing w:val="20"/>
          <w:sz w:val="22"/>
          <w:szCs w:val="22"/>
          <w:highlight w:val="none"/>
          <w:u w:val="single"/>
        </w:rPr>
      </w:pPr>
      <w:r>
        <w:rPr>
          <w:rFonts w:hint="eastAsia" w:ascii="宋体" w:hAnsi="宋体" w:eastAsia="宋体" w:cs="宋体"/>
          <w:iCs/>
          <w:color w:val="auto"/>
          <w:spacing w:val="20"/>
          <w:sz w:val="22"/>
          <w:szCs w:val="22"/>
          <w:highlight w:val="none"/>
          <w:u w:val="single"/>
        </w:rPr>
        <w:t>★注：货物详细配置、技术应另页描述。</w:t>
      </w:r>
    </w:p>
    <w:p>
      <w:pPr>
        <w:pStyle w:val="2"/>
        <w:ind w:firstLine="442"/>
        <w:rPr>
          <w:rFonts w:hint="eastAsia" w:ascii="宋体" w:hAnsi="宋体" w:eastAsia="宋体" w:cs="宋体"/>
          <w:color w:val="auto"/>
          <w:sz w:val="22"/>
          <w:szCs w:val="22"/>
          <w:highlight w:val="none"/>
        </w:rPr>
      </w:pPr>
    </w:p>
    <w:p>
      <w:pPr>
        <w:pStyle w:val="2"/>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投标供应商全称（盖章）：</w:t>
      </w:r>
    </w:p>
    <w:p>
      <w:pPr>
        <w:pStyle w:val="2"/>
        <w:ind w:firstLine="440"/>
        <w:rPr>
          <w:rFonts w:hint="eastAsia" w:ascii="宋体" w:hAnsi="宋体" w:eastAsia="宋体" w:cs="宋体"/>
          <w:b w:val="0"/>
          <w:color w:val="auto"/>
          <w:sz w:val="22"/>
          <w:szCs w:val="22"/>
          <w:highlight w:val="none"/>
        </w:rPr>
        <w:sectPr>
          <w:pgSz w:w="16838" w:h="11906" w:orient="landscape"/>
          <w:pgMar w:top="1134" w:right="1134" w:bottom="1134" w:left="1134" w:header="851" w:footer="850" w:gutter="0"/>
          <w:cols w:space="720" w:num="1"/>
          <w:titlePg/>
          <w:docGrid w:type="lines" w:linePitch="312" w:charSpace="0"/>
        </w:sectPr>
      </w:pPr>
      <w:r>
        <w:rPr>
          <w:rFonts w:hint="eastAsia" w:ascii="宋体" w:hAnsi="宋体" w:eastAsia="宋体" w:cs="宋体"/>
          <w:b w:val="0"/>
          <w:color w:val="auto"/>
          <w:sz w:val="22"/>
          <w:szCs w:val="22"/>
          <w:highlight w:val="none"/>
        </w:rPr>
        <w:t>日 期：       年      月      日</w:t>
      </w:r>
    </w:p>
    <w:p>
      <w:pPr>
        <w:pStyle w:val="40"/>
        <w:jc w:val="left"/>
        <w:rPr>
          <w:rFonts w:hint="eastAsia" w:ascii="宋体" w:hAnsi="宋体" w:eastAsia="宋体" w:cs="宋体"/>
          <w:b w:val="0"/>
          <w:bCs w:val="0"/>
          <w:color w:val="auto"/>
          <w:kern w:val="0"/>
          <w:sz w:val="22"/>
          <w:szCs w:val="22"/>
          <w:highlight w:val="none"/>
        </w:rPr>
      </w:pPr>
      <w:bookmarkStart w:id="225" w:name="_Toc5132"/>
      <w:r>
        <w:rPr>
          <w:rFonts w:hint="eastAsia" w:ascii="宋体" w:hAnsi="宋体" w:eastAsia="宋体" w:cs="宋体"/>
          <w:b w:val="0"/>
          <w:bCs w:val="0"/>
          <w:color w:val="auto"/>
          <w:kern w:val="0"/>
          <w:sz w:val="22"/>
          <w:szCs w:val="22"/>
          <w:highlight w:val="none"/>
        </w:rPr>
        <w:t>附件十一</w:t>
      </w:r>
    </w:p>
    <w:p>
      <w:pPr>
        <w:pStyle w:val="40"/>
        <w:rPr>
          <w:rFonts w:hint="eastAsia" w:ascii="宋体" w:hAnsi="宋体" w:eastAsia="宋体" w:cs="宋体"/>
          <w:color w:val="auto"/>
          <w:highlight w:val="none"/>
        </w:rPr>
      </w:pPr>
      <w:r>
        <w:rPr>
          <w:rFonts w:hint="eastAsia" w:ascii="宋体" w:hAnsi="宋体" w:eastAsia="宋体" w:cs="宋体"/>
          <w:color w:val="auto"/>
          <w:highlight w:val="none"/>
        </w:rPr>
        <w:t>供应商项目服务人员汇总表</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招标项目名称：                                 招标编号：</w:t>
      </w:r>
      <w:r>
        <w:rPr>
          <w:rFonts w:hint="eastAsia" w:ascii="宋体" w:hAnsi="宋体" w:eastAsia="宋体" w:cs="宋体"/>
          <w:color w:val="auto"/>
          <w:sz w:val="22"/>
          <w:szCs w:val="22"/>
          <w:highlight w:val="none"/>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姓名</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年龄</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性别</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专业</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专业</w:t>
            </w:r>
          </w:p>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年限</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和职称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认证</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到现场服务</w:t>
            </w:r>
          </w:p>
          <w:p>
            <w:pPr>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hint="eastAsia" w:ascii="宋体" w:hAnsi="宋体" w:eastAsia="宋体" w:cs="宋体"/>
                <w:b/>
                <w:color w:val="auto"/>
                <w:spacing w:val="12"/>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hint="eastAsia" w:ascii="宋体" w:hAnsi="宋体" w:eastAsia="宋体" w:cs="宋体"/>
                <w:b/>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2"/>
                <w:szCs w:val="22"/>
                <w:highlight w:val="none"/>
              </w:rPr>
            </w:pPr>
          </w:p>
        </w:tc>
      </w:tr>
    </w:tbl>
    <w:p>
      <w:pPr>
        <w:spacing w:line="360" w:lineRule="exact"/>
        <w:ind w:left="968" w:hanging="968" w:hangingChars="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附注：1. 项目负责人、技术负责、设备材料、以及各主要专业工种负责人均应列入；</w:t>
      </w:r>
    </w:p>
    <w:p>
      <w:pPr>
        <w:spacing w:line="360" w:lineRule="exact"/>
        <w:ind w:left="718" w:leftChars="321" w:hanging="44" w:hangingChars="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rPr>
        <w:t>以上人员社保缴纳证明在技术资信标中提供。</w:t>
      </w:r>
    </w:p>
    <w:p>
      <w:pPr>
        <w:spacing w:line="360" w:lineRule="exact"/>
        <w:ind w:left="718" w:leftChars="321" w:hanging="44" w:hangingChars="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3、表格可以延续。</w:t>
      </w:r>
    </w:p>
    <w:p>
      <w:pPr>
        <w:spacing w:line="360" w:lineRule="exact"/>
        <w:ind w:left="718" w:leftChars="321" w:hanging="44" w:hangingChars="20"/>
        <w:rPr>
          <w:rFonts w:hint="eastAsia" w:ascii="宋体" w:hAnsi="宋体" w:eastAsia="宋体" w:cs="宋体"/>
          <w:b/>
          <w:color w:val="auto"/>
          <w:sz w:val="22"/>
          <w:szCs w:val="22"/>
          <w:highlight w:val="none"/>
        </w:rPr>
      </w:pPr>
    </w:p>
    <w:p>
      <w:pPr>
        <w:spacing w:line="360" w:lineRule="exact"/>
        <w:ind w:left="718" w:leftChars="321" w:hanging="44" w:hangingChars="20"/>
        <w:rPr>
          <w:rFonts w:hint="eastAsia" w:ascii="宋体" w:hAnsi="宋体" w:eastAsia="宋体" w:cs="宋体"/>
          <w:b/>
          <w:color w:val="auto"/>
          <w:sz w:val="22"/>
          <w:szCs w:val="22"/>
          <w:highlight w:val="none"/>
        </w:rPr>
      </w:pPr>
    </w:p>
    <w:p>
      <w:pPr>
        <w:spacing w:line="360" w:lineRule="exact"/>
        <w:ind w:left="718" w:leftChars="321" w:hanging="44" w:hangingChars="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投标供应商全称（公章）：</w:t>
      </w:r>
    </w:p>
    <w:p>
      <w:pPr>
        <w:spacing w:line="360" w:lineRule="exact"/>
        <w:ind w:left="718" w:leftChars="321" w:hanging="44" w:hangingChars="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  年  月  日</w:t>
      </w:r>
    </w:p>
    <w:p>
      <w:pPr>
        <w:pStyle w:val="40"/>
        <w:rPr>
          <w:rFonts w:hint="eastAsia" w:ascii="宋体" w:hAnsi="宋体" w:eastAsia="宋体" w:cs="宋体"/>
          <w:color w:val="auto"/>
          <w:sz w:val="30"/>
          <w:szCs w:val="30"/>
          <w:highlight w:val="none"/>
        </w:rPr>
        <w:sectPr>
          <w:headerReference r:id="rId13" w:type="first"/>
          <w:headerReference r:id="rId12" w:type="default"/>
          <w:footerReference r:id="rId14" w:type="default"/>
          <w:pgSz w:w="11906" w:h="16838"/>
          <w:pgMar w:top="1134" w:right="1134" w:bottom="1134" w:left="1134" w:header="851" w:footer="850" w:gutter="0"/>
          <w:cols w:space="720" w:num="1"/>
          <w:titlePg/>
          <w:docGrid w:type="lines" w:linePitch="312" w:charSpace="0"/>
        </w:sectPr>
      </w:pPr>
    </w:p>
    <w:p>
      <w:pPr>
        <w:pStyle w:val="4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第七部分 评标定标办法</w:t>
      </w:r>
      <w:bookmarkEnd w:id="94"/>
      <w:bookmarkEnd w:id="95"/>
      <w:bookmarkEnd w:id="96"/>
      <w:bookmarkEnd w:id="225"/>
    </w:p>
    <w:p>
      <w:pPr>
        <w:tabs>
          <w:tab w:val="left" w:pos="8820"/>
        </w:tabs>
        <w:adjustRightInd w:val="0"/>
        <w:snapToGrid w:val="0"/>
        <w:spacing w:before="100" w:after="50"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根据《中华人民共和国政府采购法》等有关政府采购法规，结合本次所要采购服务的实际，按照公平、公正、科学、择优的原则选择中标供应商，特制定本评标办法。</w:t>
      </w:r>
    </w:p>
    <w:p>
      <w:pPr>
        <w:adjustRightInd w:val="0"/>
        <w:snapToGrid w:val="0"/>
        <w:spacing w:before="156" w:beforeLines="50" w:after="50" w:line="46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一、总则</w:t>
      </w:r>
    </w:p>
    <w:p>
      <w:pPr>
        <w:pStyle w:val="28"/>
        <w:adjustRightInd w:val="0"/>
        <w:snapToGrid w:val="0"/>
        <w:spacing w:before="100" w:after="50" w:line="460" w:lineRule="atLeas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after="50" w:line="46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二、评标组织</w:t>
      </w:r>
    </w:p>
    <w:p>
      <w:pPr>
        <w:pStyle w:val="28"/>
        <w:adjustRightInd w:val="0"/>
        <w:snapToGrid w:val="0"/>
        <w:spacing w:before="100" w:after="50" w:line="460" w:lineRule="atLeas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8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三、评标程序</w:t>
      </w:r>
    </w:p>
    <w:p>
      <w:pPr>
        <w:adjustRightInd w:val="0"/>
        <w:snapToGrid w:val="0"/>
        <w:spacing w:before="100" w:after="50"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人或采购代理机构对各投标供应商的资格进行审查；然后评标委员会对合格投标供应商的进行符合性审查，按照招标文件中规定的评标方法和标准，对符合性审查合格的投标文件进行商务和技术评估，综合比较与评价。</w:t>
      </w:r>
    </w:p>
    <w:p>
      <w:pPr>
        <w:pStyle w:val="2"/>
        <w:adjustRightInd w:val="0"/>
        <w:snapToGrid w:val="0"/>
        <w:spacing w:before="156"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由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pPr>
        <w:pStyle w:val="2"/>
        <w:adjustRightInd w:val="0"/>
        <w:snapToGrid w:val="0"/>
        <w:spacing w:before="156"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2"/>
        <w:adjustRightInd w:val="0"/>
        <w:snapToGrid w:val="0"/>
        <w:spacing w:before="156"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4、其它参见本招标文件第三部分：“供应商须知” 中的相关内容。</w:t>
      </w:r>
    </w:p>
    <w:bookmarkEnd w:id="97"/>
    <w:p>
      <w:pPr>
        <w:spacing w:line="400" w:lineRule="exact"/>
        <w:rPr>
          <w:rFonts w:hint="eastAsia" w:ascii="宋体" w:hAnsi="宋体" w:eastAsia="宋体" w:cs="宋体"/>
          <w:color w:val="auto"/>
          <w:szCs w:val="21"/>
          <w:highlight w:val="none"/>
        </w:rPr>
      </w:pPr>
    </w:p>
    <w:p>
      <w:pPr>
        <w:adjustRightInd w:val="0"/>
        <w:spacing w:before="100" w:after="50" w:line="46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四、评分细则</w:t>
      </w:r>
    </w:p>
    <w:p>
      <w:pPr>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一、商务报价评分30分</w:t>
      </w:r>
    </w:p>
    <w:p>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1、以供应商有效投标价中的最低报价为评标基准价，得满分30分。商务报价评分结算公式为:投标报价得分=</w:t>
      </w:r>
      <w:bookmarkStart w:id="226" w:name="OLE_LINK1"/>
      <w:r>
        <w:rPr>
          <w:rFonts w:hint="eastAsia" w:ascii="宋体" w:hAnsi="宋体" w:eastAsia="宋体" w:cs="宋体"/>
          <w:b/>
          <w:bCs/>
          <w:color w:val="auto"/>
          <w:sz w:val="22"/>
          <w:szCs w:val="22"/>
          <w:highlight w:val="none"/>
        </w:rPr>
        <w:t>(评标基准价／投标报价)×30%×100</w:t>
      </w:r>
      <w:bookmarkEnd w:id="226"/>
      <w:r>
        <w:rPr>
          <w:rFonts w:hint="eastAsia" w:ascii="宋体" w:hAnsi="宋体" w:eastAsia="宋体" w:cs="宋体"/>
          <w:b/>
          <w:bCs/>
          <w:color w:val="auto"/>
          <w:sz w:val="22"/>
          <w:szCs w:val="22"/>
          <w:highlight w:val="none"/>
        </w:rPr>
        <w:t>。</w:t>
      </w:r>
    </w:p>
    <w:p>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2、符合招标文件规定条件的小、微企业（或监狱企业、残疾人企业），给予评标价格折扣（10%）</w:t>
      </w:r>
      <w:r>
        <w:rPr>
          <w:rFonts w:hint="eastAsia" w:ascii="宋体" w:hAnsi="宋体" w:eastAsia="宋体" w:cs="宋体"/>
          <w:b/>
          <w:bCs/>
          <w:color w:val="auto"/>
          <w:sz w:val="22"/>
          <w:szCs w:val="22"/>
          <w:highlight w:val="none"/>
        </w:rPr>
        <w:t>。</w:t>
      </w:r>
    </w:p>
    <w:p>
      <w:pPr>
        <w:autoSpaceDE w:val="0"/>
        <w:autoSpaceDN w:val="0"/>
        <w:adjustRightInd w:val="0"/>
        <w:spacing w:line="460" w:lineRule="atLeas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3、</w:t>
      </w:r>
      <w:r>
        <w:rPr>
          <w:rFonts w:hint="eastAsia" w:ascii="宋体" w:hAnsi="宋体" w:eastAsia="宋体" w:cs="宋体"/>
          <w:b/>
          <w:color w:val="auto"/>
          <w:sz w:val="22"/>
          <w:highlight w:val="none"/>
          <w:u w:val="single"/>
        </w:rPr>
        <w:t>本项目</w:t>
      </w:r>
      <w:r>
        <w:rPr>
          <w:rFonts w:hint="eastAsia" w:ascii="宋体" w:hAnsi="宋体" w:eastAsia="宋体" w:cs="宋体"/>
          <w:b/>
          <w:color w:val="auto"/>
          <w:sz w:val="22"/>
          <w:szCs w:val="22"/>
          <w:highlight w:val="none"/>
          <w:u w:val="single"/>
        </w:rPr>
        <w:t>采购预算见采购公告。</w:t>
      </w:r>
      <w:r>
        <w:rPr>
          <w:rFonts w:hint="eastAsia" w:ascii="宋体" w:hAnsi="宋体" w:eastAsia="宋体" w:cs="宋体"/>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pPr>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二、技术、服务、资信业绩综合评分70分</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商务技术文件的最终得分（四舍五入，保留小数点后二位）。</w:t>
      </w:r>
    </w:p>
    <w:tbl>
      <w:tblPr>
        <w:tblStyle w:val="43"/>
        <w:tblW w:w="94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29"/>
        <w:gridCol w:w="7561"/>
        <w:gridCol w:w="1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7561" w:type="dxa"/>
            <w:vAlign w:val="center"/>
          </w:tcPr>
          <w:p>
            <w:pPr>
              <w:ind w:left="105" w:leftChars="50" w:right="10" w:rightChars="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评分细则</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56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于招标文件技术指标的偏离度：与招标文件第二部分招标内容及要求的设备技术规格及配置对比，实质性条款（技术参数中标注▲的为实质性条款，如不满足，按无效投标处理）除外，标注★的技术指标（或功能）偏离每项扣4分，一般技术指标偏离每项扣1.5分，一般功能偏离每项扣3分，商务要求偏离每项扣3分。扣完为止。</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6"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561" w:type="dxa"/>
            <w:vAlign w:val="center"/>
          </w:tcPr>
          <w:p>
            <w:pPr>
              <w:ind w:left="105" w:leftChars="50" w:right="164" w:rightChars="7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设备配套的合理性：评委对投标设备配套的合理性、功能实现程度进行评价：投标设备配套合理、功能实现程度高的，得3分；配套较合理、功能实现程度较高的，得2分；配套合理性一般、不能完全达到临床要求功能的，得1分。</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561" w:type="dxa"/>
            <w:vAlign w:val="center"/>
          </w:tcPr>
          <w:p>
            <w:pPr>
              <w:ind w:left="105" w:leftChars="50" w:right="164" w:rightChars="7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技术指标先进性：评委对投标设备技术指标的先进性进行评价：技术指标高于招标要求且具有较高临床使用价值的，每项得1分；最高得3分。提供证明材料。</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561" w:type="dxa"/>
            <w:vAlign w:val="center"/>
          </w:tcPr>
          <w:p>
            <w:pPr>
              <w:ind w:left="105" w:leftChars="50" w:right="10" w:rightChars="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投标机型的临床应用：投标机型在临床上使用效果好、成熟度高的，得3分；使用效果、成熟度一般的，得2分；使用效果不佳或成熟度不高的，得1分。提供证明材料。</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561" w:type="dxa"/>
            <w:vAlign w:val="center"/>
          </w:tcPr>
          <w:p>
            <w:pPr>
              <w:ind w:left="105" w:leftChars="50" w:right="10" w:rightChars="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运行成本：包括保修价格、售后服务方案、年运行费用和消耗品或易耗品价格等综合运行成本进行评价</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7561" w:type="dxa"/>
            <w:vAlign w:val="center"/>
          </w:tcPr>
          <w:p>
            <w:pPr>
              <w:ind w:left="105" w:leftChars="50" w:right="164" w:rightChars="7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保修服务：设备保修期超过招标文件要求的，每增加1年加1分，增加部分不足1年的不计分。</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829" w:type="dxa"/>
            <w:vMerge w:val="restart"/>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7561" w:type="dxa"/>
            <w:vAlign w:val="center"/>
          </w:tcPr>
          <w:p>
            <w:pPr>
              <w:ind w:left="105" w:leftChars="50" w:right="10" w:rightChars="5"/>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产品稳定性、故障率：投标产品在稳定性、故障率等总体质量性能综合评价，提供证明材料。投标产品稳定性好、故障率低的，得1分；投标产品稳定性较高、故障率较低的，得0.5分；投标产品稳定性不好、故障率较高的，得0分。</w:t>
            </w:r>
          </w:p>
        </w:tc>
        <w:tc>
          <w:tcPr>
            <w:tcW w:w="1049" w:type="dxa"/>
            <w:vAlign w:val="center"/>
          </w:tcPr>
          <w:p>
            <w:pPr>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3" w:hRule="atLeast"/>
          <w:jc w:val="center"/>
        </w:trPr>
        <w:tc>
          <w:tcPr>
            <w:tcW w:w="829" w:type="dxa"/>
            <w:vMerge w:val="continue"/>
            <w:vAlign w:val="center"/>
          </w:tcPr>
          <w:p>
            <w:pPr>
              <w:jc w:val="center"/>
              <w:rPr>
                <w:rFonts w:hint="eastAsia" w:ascii="宋体" w:hAnsi="宋体" w:eastAsia="宋体" w:cs="宋体"/>
                <w:color w:val="auto"/>
                <w:sz w:val="22"/>
                <w:szCs w:val="22"/>
                <w:highlight w:val="none"/>
              </w:rPr>
            </w:pPr>
          </w:p>
        </w:tc>
        <w:tc>
          <w:tcPr>
            <w:tcW w:w="7561" w:type="dxa"/>
            <w:vAlign w:val="center"/>
          </w:tcPr>
          <w:p>
            <w:pPr>
              <w:ind w:left="105" w:leftChars="50" w:right="10" w:rightChars="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使用年限：以5年为基础，使用年限每增加1年加0.4分，最多加2分。</w:t>
            </w:r>
          </w:p>
          <w:p>
            <w:pPr>
              <w:ind w:left="105" w:leftChars="50" w:right="10" w:rightChars="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需提供铭牌及说明书为证明材料，不提供不得分。</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7561" w:type="dxa"/>
            <w:vAlign w:val="center"/>
          </w:tcPr>
          <w:p>
            <w:pPr>
              <w:ind w:left="105" w:leftChars="50" w:right="164" w:rightChars="7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投标产品业绩：提供2020年1月1日起至今与最终用户签订的投标机型合同（必须含有主机）复印件，每份有效合同得1分，最多3分。</w:t>
            </w:r>
          </w:p>
          <w:p>
            <w:pPr>
              <w:ind w:left="105" w:leftChars="50" w:right="164" w:rightChars="7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对省级以上主管部门认定的首台套产品，自纳入《省推广应用指导目录》起三年内参加政府采购活动，视同已具备相应销售业绩，业绩分为满分。</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29"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7561" w:type="dxa"/>
            <w:vAlign w:val="center"/>
          </w:tcPr>
          <w:p>
            <w:pPr>
              <w:ind w:left="105" w:leftChars="50" w:right="10" w:rightChars="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制造商或代理商售后服务和维修能力：</w:t>
            </w:r>
          </w:p>
          <w:p>
            <w:pPr>
              <w:ind w:left="105" w:leftChars="50" w:right="10" w:rightChars="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制造商或代理商的售后服务和维修能力，服务响应速度、到达时间、备品备件配置等综合评价，最高得2分。</w:t>
            </w:r>
          </w:p>
          <w:p>
            <w:pPr>
              <w:ind w:left="105" w:leftChars="50" w:right="10" w:rightChars="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代理商配备有医疗器械相关专业工程师的得1分（提供职称证书或毕业证书，同时提供社保证明）</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07" w:hRule="atLeast"/>
          <w:jc w:val="center"/>
        </w:trPr>
        <w:tc>
          <w:tcPr>
            <w:tcW w:w="82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561" w:type="dxa"/>
            <w:vAlign w:val="center"/>
          </w:tcPr>
          <w:p>
            <w:pPr>
              <w:ind w:left="105" w:leftChars="50" w:right="164" w:rightChars="7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环境标志产品、节能产品评审：1）投标产品具有国家市场监督管理总局公布的《参与实施政府采购节能产品认证机构名录》内的认证机构出具的、处于有效期之内的节能标志产品认证证书的，得0.5分。</w:t>
            </w:r>
          </w:p>
          <w:p>
            <w:pPr>
              <w:ind w:left="105" w:leftChars="50" w:right="164" w:rightChars="7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2）投标产品具有国家市场监督管理总局公布的《参与实施政府采购环境标志产品认证机构名录》内的认证机构出具的、处于有效期之内的环境标志产品认证证书，得0.5分。</w:t>
            </w:r>
          </w:p>
        </w:tc>
        <w:tc>
          <w:tcPr>
            <w:tcW w:w="104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r>
    </w:tbl>
    <w:p>
      <w:pPr>
        <w:spacing w:line="46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numPr>
          <w:ilvl w:val="0"/>
          <w:numId w:val="7"/>
        </w:numPr>
        <w:spacing w:line="460" w:lineRule="exact"/>
        <w:ind w:firstLine="331" w:firstLineChars="150"/>
        <w:rPr>
          <w:rFonts w:hint="eastAsia" w:ascii="宋体" w:hAnsi="宋体" w:eastAsia="宋体" w:cs="宋体"/>
          <w:b/>
          <w:bCs/>
          <w:color w:val="auto"/>
          <w:kern w:val="0"/>
          <w:sz w:val="22"/>
          <w:szCs w:val="22"/>
          <w:highlight w:val="none"/>
        </w:rPr>
      </w:pPr>
      <w:r>
        <w:rPr>
          <w:rFonts w:hint="eastAsia" w:ascii="宋体" w:hAnsi="宋体" w:eastAsia="宋体" w:cs="宋体"/>
          <w:b/>
          <w:color w:val="auto"/>
          <w:kern w:val="0"/>
          <w:sz w:val="22"/>
          <w:szCs w:val="22"/>
          <w:highlight w:val="none"/>
        </w:rPr>
        <w:t>业绩评分项：</w:t>
      </w:r>
      <w:r>
        <w:rPr>
          <w:rFonts w:hint="eastAsia" w:ascii="宋体" w:hAnsi="宋体" w:eastAsia="宋体" w:cs="宋体"/>
          <w:b/>
          <w:bCs/>
          <w:color w:val="auto"/>
          <w:kern w:val="0"/>
          <w:sz w:val="22"/>
          <w:szCs w:val="22"/>
          <w:highlight w:val="none"/>
        </w:rPr>
        <w:t>对省级以上主管部门认定的首台套产品，自纳入《省推广应用指导目录》起三年内参加政府采购活动，视同已具备相应销售业绩，业绩分为满分。</w:t>
      </w:r>
    </w:p>
    <w:p>
      <w:pPr>
        <w:pStyle w:val="84"/>
        <w:numPr>
          <w:ilvl w:val="0"/>
          <w:numId w:val="7"/>
        </w:numPr>
        <w:ind w:firstLineChars="0"/>
        <w:rPr>
          <w:rFonts w:hint="eastAsia" w:ascii="宋体" w:hAnsi="宋体" w:eastAsia="宋体" w:cs="宋体"/>
          <w:b/>
          <w:color w:val="auto"/>
          <w:highlight w:val="none"/>
        </w:rPr>
      </w:pPr>
      <w:r>
        <w:rPr>
          <w:rFonts w:hint="eastAsia" w:ascii="宋体" w:hAnsi="宋体" w:eastAsia="宋体" w:cs="宋体"/>
          <w:b/>
          <w:color w:val="auto"/>
          <w:sz w:val="22"/>
          <w:szCs w:val="22"/>
          <w:highlight w:val="none"/>
          <w:lang w:bidi="ar"/>
        </w:rPr>
        <w:t>节能环保评分项：</w:t>
      </w:r>
      <w:r>
        <w:rPr>
          <w:rFonts w:hint="eastAsia" w:ascii="宋体" w:hAnsi="宋体" w:eastAsia="宋体" w:cs="宋体"/>
          <w:b/>
          <w:color w:val="auto"/>
          <w:kern w:val="0"/>
          <w:sz w:val="22"/>
          <w:szCs w:val="22"/>
          <w:highlight w:val="none"/>
          <w:lang w:bidi="ar"/>
        </w:rPr>
        <w:t>《节能（环境标志）产品政府采购品目清单</w:t>
      </w:r>
      <w:r>
        <w:rPr>
          <w:rFonts w:hint="eastAsia" w:ascii="宋体" w:hAnsi="宋体" w:eastAsia="宋体" w:cs="宋体"/>
          <w:color w:val="auto"/>
          <w:kern w:val="0"/>
          <w:sz w:val="22"/>
          <w:szCs w:val="22"/>
          <w:highlight w:val="none"/>
          <w:lang w:bidi="ar"/>
        </w:rPr>
        <w:t>》</w:t>
      </w:r>
      <w:r>
        <w:rPr>
          <w:rFonts w:hint="eastAsia" w:ascii="宋体" w:hAnsi="宋体" w:eastAsia="宋体" w:cs="宋体"/>
          <w:b/>
          <w:color w:val="auto"/>
          <w:kern w:val="0"/>
          <w:sz w:val="22"/>
          <w:szCs w:val="22"/>
          <w:highlight w:val="none"/>
          <w:lang w:bidi="ar"/>
        </w:rPr>
        <w:t>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"http://www.ccgp.gov.cn/jnhb/jnhbqd/" </w:instrText>
      </w:r>
      <w:r>
        <w:rPr>
          <w:rFonts w:hint="eastAsia" w:ascii="宋体" w:hAnsi="宋体" w:eastAsia="宋体" w:cs="宋体"/>
          <w:color w:val="auto"/>
          <w:highlight w:val="none"/>
        </w:rPr>
        <w:fldChar w:fldCharType="separate"/>
      </w:r>
      <w:r>
        <w:rPr>
          <w:rStyle w:val="50"/>
          <w:rFonts w:hint="eastAsia" w:ascii="宋体" w:hAnsi="宋体" w:eastAsia="宋体" w:cs="宋体"/>
          <w:b/>
          <w:color w:val="auto"/>
          <w:highlight w:val="none"/>
        </w:rPr>
        <w:t>http://www.ccgp.gov.cn/jnhb/jnhbqd/</w:t>
      </w:r>
      <w:r>
        <w:rPr>
          <w:rStyle w:val="50"/>
          <w:rFonts w:hint="eastAsia" w:ascii="宋体" w:hAnsi="宋体" w:eastAsia="宋体" w:cs="宋体"/>
          <w:b/>
          <w:color w:val="auto"/>
          <w:highlight w:val="none"/>
        </w:rPr>
        <w:fldChar w:fldCharType="end"/>
      </w:r>
      <w:r>
        <w:rPr>
          <w:rFonts w:hint="eastAsia" w:ascii="宋体" w:hAnsi="宋体" w:eastAsia="宋体" w:cs="宋体"/>
          <w:b/>
          <w:color w:val="auto"/>
          <w:highlight w:val="none"/>
        </w:rPr>
        <w:t>。</w:t>
      </w:r>
    </w:p>
    <w:p>
      <w:pPr>
        <w:pStyle w:val="84"/>
        <w:numPr>
          <w:ilvl w:val="0"/>
          <w:numId w:val="7"/>
        </w:numPr>
        <w:ind w:firstLineChars="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每个供应商最终得分=技术资信部分分值（所有评标委员会成员打分的算术平均值）＋商务报价部分分值。</w:t>
      </w:r>
    </w:p>
    <w:p>
      <w:pPr>
        <w:widowControl/>
        <w:autoSpaceDE w:val="0"/>
        <w:autoSpaceDN w:val="0"/>
        <w:adjustRightInd w:val="0"/>
        <w:spacing w:line="460" w:lineRule="atLeast"/>
        <w:ind w:firstLine="42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Cs w:val="21"/>
          <w:highlight w:val="none"/>
        </w:rPr>
        <w:t>三</w:t>
      </w:r>
      <w:r>
        <w:rPr>
          <w:rFonts w:hint="eastAsia" w:ascii="宋体" w:hAnsi="宋体" w:eastAsia="宋体" w:cs="宋体"/>
          <w:color w:val="auto"/>
          <w:sz w:val="22"/>
          <w:highlight w:val="none"/>
        </w:rPr>
        <w:t>、注意事项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为确保评标工作的顺利进行，防止因泄密或其它意外而造成不良后果及影响，凡参加评标工作的人员都必须认真执行下面规定：</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 在评标工作期间，所有分发的投标文件、资料等仅限于在评标场所中使用，不得带往其它地方。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 评标人员及工作人员不得在公共场合谈论有关评标内容。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 任何需要向投标供应商进行询标的问题必须经评标委员会成员签字并由主询标人提出。在询标期间，对于涉及本规定保密范畴的所有内容，主询标人不得向投标供应商透露。</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 w:val="22"/>
          <w:highlight w:val="none"/>
        </w:rPr>
        <w:t>5． 任何评标人员和工作人员不得对外公布评标的一切内容。</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7"/>
      </w:rPr>
    </w:pPr>
    <w:r>
      <w:fldChar w:fldCharType="begin"/>
    </w:r>
    <w:r>
      <w:rPr>
        <w:rStyle w:val="47"/>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96582"/>
      <w:showingPlcHdr/>
    </w:sdtPr>
    <w:sdtContent>
      <w:p>
        <w:pPr>
          <w:pStyle w:val="30"/>
          <w:jc w:val="center"/>
        </w:pPr>
      </w:p>
    </w:sdtContent>
  </w:sdt>
  <w:p>
    <w:pPr>
      <w:pStyle w:val="30"/>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7"/>
      </w:rPr>
    </w:pPr>
    <w:r>
      <w:fldChar w:fldCharType="begin"/>
    </w:r>
    <w:r>
      <w:rPr>
        <w:rStyle w:val="47"/>
      </w:rPr>
      <w:instrText xml:space="preserve">PAGE  </w:instrText>
    </w:r>
    <w:r>
      <w:fldChar w:fldCharType="separate"/>
    </w:r>
    <w:r>
      <w:rPr>
        <w:rStyle w:val="47"/>
      </w:rPr>
      <w:t>12</w:t>
    </w:r>
    <w:r>
      <w:fldChar w:fldCharType="end"/>
    </w:r>
  </w:p>
  <w:p>
    <w:pPr>
      <w:pStyle w:val="30"/>
      <w:tabs>
        <w:tab w:val="left" w:pos="5820"/>
        <w:tab w:val="clear" w:pos="4153"/>
        <w:tab w:val="clear" w:pos="8306"/>
      </w:tabs>
      <w:ind w:right="990"/>
      <w:jc w:val="right"/>
    </w:pPr>
    <w:r>
      <w:rPr>
        <w:rFonts w:hint="eastAsia"/>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400974"/>
    </w:sdtPr>
    <w:sdtContent>
      <w:p>
        <w:pPr>
          <w:pStyle w:val="3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0"/>
      <w:ind w:right="720"/>
      <w:jc w:val="right"/>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48</w:t>
    </w:r>
    <w:r>
      <w:rPr>
        <w:rFonts w:ascii="宋体"/>
      </w:rPr>
      <w:fldChar w:fldCharType="end"/>
    </w:r>
  </w:p>
  <w:p>
    <w:pPr>
      <w:pStyle w:val="30"/>
      <w:ind w:right="720"/>
      <w:rPr>
        <w:rFonts w:ascii="宋体"/>
      </w:rPr>
    </w:pPr>
    <w:r>
      <w:rPr>
        <w:rFonts w:ascii="宋体"/>
      </w:rPr>
      <w:t>温州市中概工程管理咨询有限公司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53</w:t>
    </w:r>
    <w:r>
      <w:rPr>
        <w:rFonts w:ascii="宋体"/>
      </w:rPr>
      <w:fldChar w:fldCharType="end"/>
    </w:r>
  </w:p>
  <w:p>
    <w:pPr>
      <w:pStyle w:val="30"/>
      <w:ind w:right="720"/>
      <w:jc w:val="right"/>
      <w:rPr>
        <w:rFonts w:ascii="宋体"/>
      </w:rPr>
    </w:pPr>
    <w:r>
      <w:rPr>
        <w:rFonts w:ascii="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rPr>
      <w:t>政府招标文件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rPr>
      <w:t>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ascii="宋体"/>
        <w:b/>
      </w:rPr>
    </w:pPr>
    <w:r>
      <w:rPr>
        <w:rFonts w:hint="eastAsia" w:ascii="宋体"/>
      </w:rPr>
      <w:t>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3">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6C07C839"/>
    <w:multiLevelType w:val="singleLevel"/>
    <w:tmpl w:val="6C07C839"/>
    <w:lvl w:ilvl="0" w:tentative="0">
      <w:start w:val="1"/>
      <w:numFmt w:val="decimal"/>
      <w:suff w:val="nothing"/>
      <w:lvlText w:val="（%1）"/>
      <w:lvlJc w:val="left"/>
    </w:lvl>
  </w:abstractNum>
  <w:abstractNum w:abstractNumId="6">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RhNGU0YTJiZGQzZDEyM2Q3ZGQ2YTc1YTRjNGEifQ=="/>
  </w:docVars>
  <w:rsids>
    <w:rsidRoot w:val="00AF6227"/>
    <w:rsid w:val="0000005C"/>
    <w:rsid w:val="00002061"/>
    <w:rsid w:val="000020A8"/>
    <w:rsid w:val="000025D0"/>
    <w:rsid w:val="0000311A"/>
    <w:rsid w:val="0000333D"/>
    <w:rsid w:val="0000391E"/>
    <w:rsid w:val="00005613"/>
    <w:rsid w:val="00005A48"/>
    <w:rsid w:val="00006A42"/>
    <w:rsid w:val="00007907"/>
    <w:rsid w:val="00007A30"/>
    <w:rsid w:val="0001039F"/>
    <w:rsid w:val="00011410"/>
    <w:rsid w:val="0001323D"/>
    <w:rsid w:val="00013DE8"/>
    <w:rsid w:val="0001559D"/>
    <w:rsid w:val="000163FB"/>
    <w:rsid w:val="00017269"/>
    <w:rsid w:val="00017C20"/>
    <w:rsid w:val="00021D1D"/>
    <w:rsid w:val="00024C7A"/>
    <w:rsid w:val="00024FDE"/>
    <w:rsid w:val="00025079"/>
    <w:rsid w:val="00026E94"/>
    <w:rsid w:val="00027072"/>
    <w:rsid w:val="00027A5C"/>
    <w:rsid w:val="00030140"/>
    <w:rsid w:val="00030435"/>
    <w:rsid w:val="00030615"/>
    <w:rsid w:val="00030C19"/>
    <w:rsid w:val="00030C61"/>
    <w:rsid w:val="0003197C"/>
    <w:rsid w:val="000335A6"/>
    <w:rsid w:val="000352D7"/>
    <w:rsid w:val="000356EA"/>
    <w:rsid w:val="00037F27"/>
    <w:rsid w:val="000410B8"/>
    <w:rsid w:val="00041F1F"/>
    <w:rsid w:val="00042A65"/>
    <w:rsid w:val="00042F61"/>
    <w:rsid w:val="000430D7"/>
    <w:rsid w:val="0004325C"/>
    <w:rsid w:val="00043D81"/>
    <w:rsid w:val="00044563"/>
    <w:rsid w:val="00044A09"/>
    <w:rsid w:val="0004559B"/>
    <w:rsid w:val="00046E9A"/>
    <w:rsid w:val="00050219"/>
    <w:rsid w:val="00051F29"/>
    <w:rsid w:val="0005220E"/>
    <w:rsid w:val="00053BE2"/>
    <w:rsid w:val="00053D63"/>
    <w:rsid w:val="00054613"/>
    <w:rsid w:val="00054A1A"/>
    <w:rsid w:val="00054CDE"/>
    <w:rsid w:val="0005556E"/>
    <w:rsid w:val="000605C8"/>
    <w:rsid w:val="00060FB3"/>
    <w:rsid w:val="00061B13"/>
    <w:rsid w:val="00062A47"/>
    <w:rsid w:val="0006310B"/>
    <w:rsid w:val="000634EC"/>
    <w:rsid w:val="0006355C"/>
    <w:rsid w:val="00064919"/>
    <w:rsid w:val="00064B20"/>
    <w:rsid w:val="00064C44"/>
    <w:rsid w:val="00064C6E"/>
    <w:rsid w:val="00065845"/>
    <w:rsid w:val="000676E6"/>
    <w:rsid w:val="0006788E"/>
    <w:rsid w:val="0007127B"/>
    <w:rsid w:val="00072943"/>
    <w:rsid w:val="00073DCC"/>
    <w:rsid w:val="00074EF5"/>
    <w:rsid w:val="00075082"/>
    <w:rsid w:val="000776B7"/>
    <w:rsid w:val="00077E2F"/>
    <w:rsid w:val="00080672"/>
    <w:rsid w:val="00080BE8"/>
    <w:rsid w:val="00081438"/>
    <w:rsid w:val="0008180F"/>
    <w:rsid w:val="00082ACA"/>
    <w:rsid w:val="0008321E"/>
    <w:rsid w:val="000836EA"/>
    <w:rsid w:val="000842D2"/>
    <w:rsid w:val="000843FA"/>
    <w:rsid w:val="00084586"/>
    <w:rsid w:val="00084844"/>
    <w:rsid w:val="00085C2F"/>
    <w:rsid w:val="00085E61"/>
    <w:rsid w:val="00086538"/>
    <w:rsid w:val="00086C22"/>
    <w:rsid w:val="00086C2A"/>
    <w:rsid w:val="00086C38"/>
    <w:rsid w:val="00087389"/>
    <w:rsid w:val="00087781"/>
    <w:rsid w:val="00091BE1"/>
    <w:rsid w:val="00092AB7"/>
    <w:rsid w:val="00093339"/>
    <w:rsid w:val="000938BC"/>
    <w:rsid w:val="00093AE4"/>
    <w:rsid w:val="00093C07"/>
    <w:rsid w:val="000941F0"/>
    <w:rsid w:val="0009444B"/>
    <w:rsid w:val="000944AD"/>
    <w:rsid w:val="000945AF"/>
    <w:rsid w:val="00094AAF"/>
    <w:rsid w:val="000953C4"/>
    <w:rsid w:val="00095548"/>
    <w:rsid w:val="00095570"/>
    <w:rsid w:val="000956DF"/>
    <w:rsid w:val="0009590D"/>
    <w:rsid w:val="00095E6A"/>
    <w:rsid w:val="0009608E"/>
    <w:rsid w:val="00096711"/>
    <w:rsid w:val="00097189"/>
    <w:rsid w:val="000A0293"/>
    <w:rsid w:val="000A1491"/>
    <w:rsid w:val="000A1E95"/>
    <w:rsid w:val="000A23C6"/>
    <w:rsid w:val="000A24D9"/>
    <w:rsid w:val="000A26E7"/>
    <w:rsid w:val="000A318D"/>
    <w:rsid w:val="000A3745"/>
    <w:rsid w:val="000A4FB6"/>
    <w:rsid w:val="000A533B"/>
    <w:rsid w:val="000A596D"/>
    <w:rsid w:val="000A5A41"/>
    <w:rsid w:val="000A5EBC"/>
    <w:rsid w:val="000A7AB5"/>
    <w:rsid w:val="000B02A3"/>
    <w:rsid w:val="000B0393"/>
    <w:rsid w:val="000B0648"/>
    <w:rsid w:val="000B096D"/>
    <w:rsid w:val="000B1353"/>
    <w:rsid w:val="000B3313"/>
    <w:rsid w:val="000B44B5"/>
    <w:rsid w:val="000B5045"/>
    <w:rsid w:val="000B52ED"/>
    <w:rsid w:val="000B6938"/>
    <w:rsid w:val="000B7114"/>
    <w:rsid w:val="000B7352"/>
    <w:rsid w:val="000B7A57"/>
    <w:rsid w:val="000C0973"/>
    <w:rsid w:val="000C0AF8"/>
    <w:rsid w:val="000C0E8E"/>
    <w:rsid w:val="000C139D"/>
    <w:rsid w:val="000C1A09"/>
    <w:rsid w:val="000C2BB1"/>
    <w:rsid w:val="000C2ED9"/>
    <w:rsid w:val="000C3605"/>
    <w:rsid w:val="000C3931"/>
    <w:rsid w:val="000C3F83"/>
    <w:rsid w:val="000C5181"/>
    <w:rsid w:val="000C568A"/>
    <w:rsid w:val="000C59AC"/>
    <w:rsid w:val="000C5C41"/>
    <w:rsid w:val="000C783C"/>
    <w:rsid w:val="000C7DFA"/>
    <w:rsid w:val="000D0CE1"/>
    <w:rsid w:val="000D1234"/>
    <w:rsid w:val="000D12CD"/>
    <w:rsid w:val="000D139B"/>
    <w:rsid w:val="000D1D8D"/>
    <w:rsid w:val="000D1E63"/>
    <w:rsid w:val="000D26C8"/>
    <w:rsid w:val="000D3854"/>
    <w:rsid w:val="000D3866"/>
    <w:rsid w:val="000D4569"/>
    <w:rsid w:val="000D4B9A"/>
    <w:rsid w:val="000D5398"/>
    <w:rsid w:val="000D5EB4"/>
    <w:rsid w:val="000D6053"/>
    <w:rsid w:val="000D64E5"/>
    <w:rsid w:val="000E024B"/>
    <w:rsid w:val="000E09BF"/>
    <w:rsid w:val="000E118B"/>
    <w:rsid w:val="000E1253"/>
    <w:rsid w:val="000E1A2A"/>
    <w:rsid w:val="000E21CE"/>
    <w:rsid w:val="000E24CD"/>
    <w:rsid w:val="000E3977"/>
    <w:rsid w:val="000E3B25"/>
    <w:rsid w:val="000E4034"/>
    <w:rsid w:val="000E4481"/>
    <w:rsid w:val="000E4776"/>
    <w:rsid w:val="000E4C02"/>
    <w:rsid w:val="000E4EF2"/>
    <w:rsid w:val="000E50E0"/>
    <w:rsid w:val="000E63BA"/>
    <w:rsid w:val="000E6A7B"/>
    <w:rsid w:val="000E6E6A"/>
    <w:rsid w:val="000F088D"/>
    <w:rsid w:val="000F115A"/>
    <w:rsid w:val="000F188F"/>
    <w:rsid w:val="000F2120"/>
    <w:rsid w:val="000F2200"/>
    <w:rsid w:val="000F35E2"/>
    <w:rsid w:val="000F39AA"/>
    <w:rsid w:val="000F3C69"/>
    <w:rsid w:val="000F4740"/>
    <w:rsid w:val="000F61EC"/>
    <w:rsid w:val="0010035B"/>
    <w:rsid w:val="0010063E"/>
    <w:rsid w:val="001007F1"/>
    <w:rsid w:val="001014AF"/>
    <w:rsid w:val="0010229C"/>
    <w:rsid w:val="0010279A"/>
    <w:rsid w:val="00104584"/>
    <w:rsid w:val="00107410"/>
    <w:rsid w:val="001103F5"/>
    <w:rsid w:val="001108DE"/>
    <w:rsid w:val="00110F7D"/>
    <w:rsid w:val="00111825"/>
    <w:rsid w:val="001124B3"/>
    <w:rsid w:val="00112BF0"/>
    <w:rsid w:val="00112E48"/>
    <w:rsid w:val="0011301B"/>
    <w:rsid w:val="0011326C"/>
    <w:rsid w:val="00113862"/>
    <w:rsid w:val="00113DEA"/>
    <w:rsid w:val="0011494F"/>
    <w:rsid w:val="00114D55"/>
    <w:rsid w:val="00115FCC"/>
    <w:rsid w:val="00116893"/>
    <w:rsid w:val="001178CF"/>
    <w:rsid w:val="00123CC4"/>
    <w:rsid w:val="00123D6A"/>
    <w:rsid w:val="00125555"/>
    <w:rsid w:val="00125B54"/>
    <w:rsid w:val="00126530"/>
    <w:rsid w:val="00127130"/>
    <w:rsid w:val="00127AB3"/>
    <w:rsid w:val="00130065"/>
    <w:rsid w:val="00133381"/>
    <w:rsid w:val="0013430F"/>
    <w:rsid w:val="00135824"/>
    <w:rsid w:val="001361BD"/>
    <w:rsid w:val="00140B8B"/>
    <w:rsid w:val="0014129F"/>
    <w:rsid w:val="00141F27"/>
    <w:rsid w:val="00143C54"/>
    <w:rsid w:val="00144918"/>
    <w:rsid w:val="001455C9"/>
    <w:rsid w:val="00145A19"/>
    <w:rsid w:val="00146232"/>
    <w:rsid w:val="001463A9"/>
    <w:rsid w:val="00146555"/>
    <w:rsid w:val="00146D9B"/>
    <w:rsid w:val="00146EE0"/>
    <w:rsid w:val="001502BC"/>
    <w:rsid w:val="00151F6C"/>
    <w:rsid w:val="001542FA"/>
    <w:rsid w:val="0015469B"/>
    <w:rsid w:val="001546D2"/>
    <w:rsid w:val="001550AC"/>
    <w:rsid w:val="0015553F"/>
    <w:rsid w:val="00155860"/>
    <w:rsid w:val="00155BCA"/>
    <w:rsid w:val="00155E47"/>
    <w:rsid w:val="00155F48"/>
    <w:rsid w:val="00156EEE"/>
    <w:rsid w:val="001575D4"/>
    <w:rsid w:val="001579B6"/>
    <w:rsid w:val="00161E2A"/>
    <w:rsid w:val="0016216C"/>
    <w:rsid w:val="00163794"/>
    <w:rsid w:val="00163B70"/>
    <w:rsid w:val="00163D03"/>
    <w:rsid w:val="001655BA"/>
    <w:rsid w:val="00165673"/>
    <w:rsid w:val="001660B2"/>
    <w:rsid w:val="00166F8C"/>
    <w:rsid w:val="001673E0"/>
    <w:rsid w:val="00167C28"/>
    <w:rsid w:val="001705F9"/>
    <w:rsid w:val="00171516"/>
    <w:rsid w:val="001721E5"/>
    <w:rsid w:val="001727E7"/>
    <w:rsid w:val="00173674"/>
    <w:rsid w:val="00173B7B"/>
    <w:rsid w:val="001748DC"/>
    <w:rsid w:val="001758C8"/>
    <w:rsid w:val="00175D42"/>
    <w:rsid w:val="00175D54"/>
    <w:rsid w:val="00175DAB"/>
    <w:rsid w:val="00176208"/>
    <w:rsid w:val="00176D09"/>
    <w:rsid w:val="00176E72"/>
    <w:rsid w:val="00177960"/>
    <w:rsid w:val="00177B64"/>
    <w:rsid w:val="00180A3A"/>
    <w:rsid w:val="00183061"/>
    <w:rsid w:val="001832A3"/>
    <w:rsid w:val="00184681"/>
    <w:rsid w:val="001848B8"/>
    <w:rsid w:val="001851AB"/>
    <w:rsid w:val="0018525E"/>
    <w:rsid w:val="00185510"/>
    <w:rsid w:val="00185DDD"/>
    <w:rsid w:val="00185E0D"/>
    <w:rsid w:val="0018678B"/>
    <w:rsid w:val="00190D79"/>
    <w:rsid w:val="001910E8"/>
    <w:rsid w:val="0019112F"/>
    <w:rsid w:val="00191735"/>
    <w:rsid w:val="00191910"/>
    <w:rsid w:val="0019298D"/>
    <w:rsid w:val="00192EA7"/>
    <w:rsid w:val="001931EF"/>
    <w:rsid w:val="0019325A"/>
    <w:rsid w:val="0019385C"/>
    <w:rsid w:val="00193BBC"/>
    <w:rsid w:val="00194588"/>
    <w:rsid w:val="0019461A"/>
    <w:rsid w:val="00194D56"/>
    <w:rsid w:val="00194DEA"/>
    <w:rsid w:val="00196A61"/>
    <w:rsid w:val="001970B6"/>
    <w:rsid w:val="00197329"/>
    <w:rsid w:val="001974F3"/>
    <w:rsid w:val="001976DD"/>
    <w:rsid w:val="001A0831"/>
    <w:rsid w:val="001A101C"/>
    <w:rsid w:val="001A25E3"/>
    <w:rsid w:val="001A3847"/>
    <w:rsid w:val="001A3AD5"/>
    <w:rsid w:val="001A3B9E"/>
    <w:rsid w:val="001A3DEA"/>
    <w:rsid w:val="001A458D"/>
    <w:rsid w:val="001A4DC0"/>
    <w:rsid w:val="001A66A6"/>
    <w:rsid w:val="001A6700"/>
    <w:rsid w:val="001A6E87"/>
    <w:rsid w:val="001A77A5"/>
    <w:rsid w:val="001B0428"/>
    <w:rsid w:val="001B0C6B"/>
    <w:rsid w:val="001B13D3"/>
    <w:rsid w:val="001B1E03"/>
    <w:rsid w:val="001B2DC1"/>
    <w:rsid w:val="001B3A4C"/>
    <w:rsid w:val="001B3DF5"/>
    <w:rsid w:val="001B3F00"/>
    <w:rsid w:val="001B41FD"/>
    <w:rsid w:val="001B4216"/>
    <w:rsid w:val="001B4971"/>
    <w:rsid w:val="001B4AC5"/>
    <w:rsid w:val="001B515D"/>
    <w:rsid w:val="001B66E0"/>
    <w:rsid w:val="001B7574"/>
    <w:rsid w:val="001B75D2"/>
    <w:rsid w:val="001B7FBF"/>
    <w:rsid w:val="001C04C5"/>
    <w:rsid w:val="001C0E2E"/>
    <w:rsid w:val="001C0E81"/>
    <w:rsid w:val="001C13F5"/>
    <w:rsid w:val="001C1D62"/>
    <w:rsid w:val="001C29CC"/>
    <w:rsid w:val="001C2B4B"/>
    <w:rsid w:val="001C2CC4"/>
    <w:rsid w:val="001C3F18"/>
    <w:rsid w:val="001C4B16"/>
    <w:rsid w:val="001C58B5"/>
    <w:rsid w:val="001C6427"/>
    <w:rsid w:val="001C6925"/>
    <w:rsid w:val="001C7031"/>
    <w:rsid w:val="001C7C9F"/>
    <w:rsid w:val="001D0546"/>
    <w:rsid w:val="001D1380"/>
    <w:rsid w:val="001D2104"/>
    <w:rsid w:val="001D2233"/>
    <w:rsid w:val="001D2488"/>
    <w:rsid w:val="001D3075"/>
    <w:rsid w:val="001D3321"/>
    <w:rsid w:val="001D3ADD"/>
    <w:rsid w:val="001D3D60"/>
    <w:rsid w:val="001D4502"/>
    <w:rsid w:val="001D50BA"/>
    <w:rsid w:val="001D53C4"/>
    <w:rsid w:val="001D563E"/>
    <w:rsid w:val="001D7588"/>
    <w:rsid w:val="001D75F5"/>
    <w:rsid w:val="001D7EF1"/>
    <w:rsid w:val="001E0B75"/>
    <w:rsid w:val="001E0EEA"/>
    <w:rsid w:val="001E131D"/>
    <w:rsid w:val="001E1A7A"/>
    <w:rsid w:val="001E1ECF"/>
    <w:rsid w:val="001E2150"/>
    <w:rsid w:val="001E26AE"/>
    <w:rsid w:val="001E2C3D"/>
    <w:rsid w:val="001E35B8"/>
    <w:rsid w:val="001E6581"/>
    <w:rsid w:val="001F064C"/>
    <w:rsid w:val="001F1178"/>
    <w:rsid w:val="001F1448"/>
    <w:rsid w:val="001F1850"/>
    <w:rsid w:val="001F27BC"/>
    <w:rsid w:val="001F2D5C"/>
    <w:rsid w:val="001F3285"/>
    <w:rsid w:val="001F3595"/>
    <w:rsid w:val="001F38AA"/>
    <w:rsid w:val="001F3CFB"/>
    <w:rsid w:val="001F40CC"/>
    <w:rsid w:val="001F5246"/>
    <w:rsid w:val="001F52BF"/>
    <w:rsid w:val="001F5456"/>
    <w:rsid w:val="001F6574"/>
    <w:rsid w:val="001F6BE3"/>
    <w:rsid w:val="001F6C53"/>
    <w:rsid w:val="001F795D"/>
    <w:rsid w:val="00200A92"/>
    <w:rsid w:val="00202344"/>
    <w:rsid w:val="002039DA"/>
    <w:rsid w:val="00203D45"/>
    <w:rsid w:val="002044FE"/>
    <w:rsid w:val="002048BB"/>
    <w:rsid w:val="00204F27"/>
    <w:rsid w:val="00205404"/>
    <w:rsid w:val="0020556E"/>
    <w:rsid w:val="002118CB"/>
    <w:rsid w:val="00211B42"/>
    <w:rsid w:val="00213484"/>
    <w:rsid w:val="0021379B"/>
    <w:rsid w:val="00214C24"/>
    <w:rsid w:val="00215318"/>
    <w:rsid w:val="00215A0E"/>
    <w:rsid w:val="0021694E"/>
    <w:rsid w:val="00216EDF"/>
    <w:rsid w:val="0022107C"/>
    <w:rsid w:val="00222052"/>
    <w:rsid w:val="0022246D"/>
    <w:rsid w:val="0022377D"/>
    <w:rsid w:val="00224C16"/>
    <w:rsid w:val="00224E41"/>
    <w:rsid w:val="0022580B"/>
    <w:rsid w:val="00226D48"/>
    <w:rsid w:val="00226D76"/>
    <w:rsid w:val="0022799E"/>
    <w:rsid w:val="00227F94"/>
    <w:rsid w:val="002343C2"/>
    <w:rsid w:val="00234FB0"/>
    <w:rsid w:val="0023544B"/>
    <w:rsid w:val="002357FE"/>
    <w:rsid w:val="00235F5D"/>
    <w:rsid w:val="00236429"/>
    <w:rsid w:val="00236A21"/>
    <w:rsid w:val="00236DD9"/>
    <w:rsid w:val="00237FDB"/>
    <w:rsid w:val="00240521"/>
    <w:rsid w:val="00241202"/>
    <w:rsid w:val="002418CB"/>
    <w:rsid w:val="002419B0"/>
    <w:rsid w:val="00241C9A"/>
    <w:rsid w:val="00241EBD"/>
    <w:rsid w:val="00242B92"/>
    <w:rsid w:val="00244B1A"/>
    <w:rsid w:val="00245A31"/>
    <w:rsid w:val="002462DE"/>
    <w:rsid w:val="0025070E"/>
    <w:rsid w:val="0025102F"/>
    <w:rsid w:val="002510AD"/>
    <w:rsid w:val="00252F1B"/>
    <w:rsid w:val="00254AFB"/>
    <w:rsid w:val="00254DCA"/>
    <w:rsid w:val="0025508A"/>
    <w:rsid w:val="002552B5"/>
    <w:rsid w:val="00255F2D"/>
    <w:rsid w:val="002567F1"/>
    <w:rsid w:val="0025792B"/>
    <w:rsid w:val="00261544"/>
    <w:rsid w:val="0026190B"/>
    <w:rsid w:val="0026209E"/>
    <w:rsid w:val="00262587"/>
    <w:rsid w:val="00262BFB"/>
    <w:rsid w:val="00263FCC"/>
    <w:rsid w:val="00264182"/>
    <w:rsid w:val="002649EE"/>
    <w:rsid w:val="002652A5"/>
    <w:rsid w:val="002654EC"/>
    <w:rsid w:val="002658CC"/>
    <w:rsid w:val="00265F89"/>
    <w:rsid w:val="00266F39"/>
    <w:rsid w:val="00267060"/>
    <w:rsid w:val="00270316"/>
    <w:rsid w:val="002715F0"/>
    <w:rsid w:val="00272A41"/>
    <w:rsid w:val="00272FFF"/>
    <w:rsid w:val="00273952"/>
    <w:rsid w:val="00274171"/>
    <w:rsid w:val="0027463A"/>
    <w:rsid w:val="002747E3"/>
    <w:rsid w:val="002749FC"/>
    <w:rsid w:val="00274C2E"/>
    <w:rsid w:val="002752AA"/>
    <w:rsid w:val="002757B8"/>
    <w:rsid w:val="00277D43"/>
    <w:rsid w:val="002803EA"/>
    <w:rsid w:val="00280C3F"/>
    <w:rsid w:val="00280F86"/>
    <w:rsid w:val="00281241"/>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163F"/>
    <w:rsid w:val="00292CD5"/>
    <w:rsid w:val="00292E14"/>
    <w:rsid w:val="00293572"/>
    <w:rsid w:val="00293E4F"/>
    <w:rsid w:val="00295FC9"/>
    <w:rsid w:val="00296A1F"/>
    <w:rsid w:val="00296F17"/>
    <w:rsid w:val="00297482"/>
    <w:rsid w:val="002A0150"/>
    <w:rsid w:val="002A08F7"/>
    <w:rsid w:val="002A0F48"/>
    <w:rsid w:val="002A1279"/>
    <w:rsid w:val="002A1FE0"/>
    <w:rsid w:val="002A2269"/>
    <w:rsid w:val="002A288B"/>
    <w:rsid w:val="002A2C24"/>
    <w:rsid w:val="002A3871"/>
    <w:rsid w:val="002A3E40"/>
    <w:rsid w:val="002B00E3"/>
    <w:rsid w:val="002B0164"/>
    <w:rsid w:val="002B0D95"/>
    <w:rsid w:val="002B0ECA"/>
    <w:rsid w:val="002B1E6E"/>
    <w:rsid w:val="002B27F7"/>
    <w:rsid w:val="002B2F4B"/>
    <w:rsid w:val="002B3A38"/>
    <w:rsid w:val="002B5E20"/>
    <w:rsid w:val="002B66AB"/>
    <w:rsid w:val="002B6B1C"/>
    <w:rsid w:val="002B6BF9"/>
    <w:rsid w:val="002C0551"/>
    <w:rsid w:val="002C10E0"/>
    <w:rsid w:val="002C2865"/>
    <w:rsid w:val="002C3114"/>
    <w:rsid w:val="002C3C04"/>
    <w:rsid w:val="002C4499"/>
    <w:rsid w:val="002C6660"/>
    <w:rsid w:val="002C6AEB"/>
    <w:rsid w:val="002C6CA3"/>
    <w:rsid w:val="002C7435"/>
    <w:rsid w:val="002D1361"/>
    <w:rsid w:val="002D1B96"/>
    <w:rsid w:val="002D2822"/>
    <w:rsid w:val="002D3325"/>
    <w:rsid w:val="002D3756"/>
    <w:rsid w:val="002D4143"/>
    <w:rsid w:val="002D422C"/>
    <w:rsid w:val="002D6BA2"/>
    <w:rsid w:val="002E1783"/>
    <w:rsid w:val="002E25CE"/>
    <w:rsid w:val="002E35CA"/>
    <w:rsid w:val="002E41C8"/>
    <w:rsid w:val="002E5C2C"/>
    <w:rsid w:val="002E5C70"/>
    <w:rsid w:val="002E6B46"/>
    <w:rsid w:val="002E7A62"/>
    <w:rsid w:val="002E7C35"/>
    <w:rsid w:val="002F02FF"/>
    <w:rsid w:val="002F1C1D"/>
    <w:rsid w:val="002F1F75"/>
    <w:rsid w:val="002F1FF4"/>
    <w:rsid w:val="002F2172"/>
    <w:rsid w:val="002F2DE3"/>
    <w:rsid w:val="002F3831"/>
    <w:rsid w:val="002F3A07"/>
    <w:rsid w:val="002F4334"/>
    <w:rsid w:val="002F45F4"/>
    <w:rsid w:val="002F5525"/>
    <w:rsid w:val="002F658E"/>
    <w:rsid w:val="002F7003"/>
    <w:rsid w:val="002F7173"/>
    <w:rsid w:val="00302B0A"/>
    <w:rsid w:val="00303B36"/>
    <w:rsid w:val="00303C5B"/>
    <w:rsid w:val="00304A9F"/>
    <w:rsid w:val="00304C12"/>
    <w:rsid w:val="00305BD3"/>
    <w:rsid w:val="00306B04"/>
    <w:rsid w:val="0030757E"/>
    <w:rsid w:val="003075D2"/>
    <w:rsid w:val="0031039B"/>
    <w:rsid w:val="00310FF5"/>
    <w:rsid w:val="0031105D"/>
    <w:rsid w:val="00311692"/>
    <w:rsid w:val="00311B27"/>
    <w:rsid w:val="00311FAA"/>
    <w:rsid w:val="003121BE"/>
    <w:rsid w:val="003130D6"/>
    <w:rsid w:val="00313ED0"/>
    <w:rsid w:val="003141E7"/>
    <w:rsid w:val="003156AC"/>
    <w:rsid w:val="003163F6"/>
    <w:rsid w:val="003167A9"/>
    <w:rsid w:val="003168A3"/>
    <w:rsid w:val="003169C0"/>
    <w:rsid w:val="00317845"/>
    <w:rsid w:val="00317A4E"/>
    <w:rsid w:val="003200B5"/>
    <w:rsid w:val="00321148"/>
    <w:rsid w:val="00322AC4"/>
    <w:rsid w:val="00323034"/>
    <w:rsid w:val="003233C6"/>
    <w:rsid w:val="00323ABA"/>
    <w:rsid w:val="00325FD8"/>
    <w:rsid w:val="003268B5"/>
    <w:rsid w:val="003268FA"/>
    <w:rsid w:val="00326E13"/>
    <w:rsid w:val="00334E12"/>
    <w:rsid w:val="00334FA2"/>
    <w:rsid w:val="0033578E"/>
    <w:rsid w:val="00335F8B"/>
    <w:rsid w:val="0033688B"/>
    <w:rsid w:val="003368AF"/>
    <w:rsid w:val="00340F8B"/>
    <w:rsid w:val="00343641"/>
    <w:rsid w:val="003436F0"/>
    <w:rsid w:val="003439E0"/>
    <w:rsid w:val="00343C36"/>
    <w:rsid w:val="00344703"/>
    <w:rsid w:val="003458DD"/>
    <w:rsid w:val="00346353"/>
    <w:rsid w:val="003467E9"/>
    <w:rsid w:val="00346859"/>
    <w:rsid w:val="003474A7"/>
    <w:rsid w:val="00350476"/>
    <w:rsid w:val="0035198D"/>
    <w:rsid w:val="00351CC3"/>
    <w:rsid w:val="00351F6A"/>
    <w:rsid w:val="00352953"/>
    <w:rsid w:val="0035342E"/>
    <w:rsid w:val="00354A41"/>
    <w:rsid w:val="0035533C"/>
    <w:rsid w:val="00355384"/>
    <w:rsid w:val="003558A4"/>
    <w:rsid w:val="00356F95"/>
    <w:rsid w:val="003575E6"/>
    <w:rsid w:val="003604A2"/>
    <w:rsid w:val="00360B48"/>
    <w:rsid w:val="00360D82"/>
    <w:rsid w:val="00361431"/>
    <w:rsid w:val="003623B6"/>
    <w:rsid w:val="003638C6"/>
    <w:rsid w:val="00363DE7"/>
    <w:rsid w:val="00364189"/>
    <w:rsid w:val="00364798"/>
    <w:rsid w:val="00364BED"/>
    <w:rsid w:val="00364C9D"/>
    <w:rsid w:val="00365E49"/>
    <w:rsid w:val="0036606D"/>
    <w:rsid w:val="003663CE"/>
    <w:rsid w:val="00366A4D"/>
    <w:rsid w:val="00366DBC"/>
    <w:rsid w:val="00367D64"/>
    <w:rsid w:val="0037085D"/>
    <w:rsid w:val="003710F6"/>
    <w:rsid w:val="003712C1"/>
    <w:rsid w:val="003720AC"/>
    <w:rsid w:val="0037282B"/>
    <w:rsid w:val="00375132"/>
    <w:rsid w:val="0037514E"/>
    <w:rsid w:val="00375D27"/>
    <w:rsid w:val="00375DCC"/>
    <w:rsid w:val="00376C1A"/>
    <w:rsid w:val="00377DD3"/>
    <w:rsid w:val="00380332"/>
    <w:rsid w:val="003809C8"/>
    <w:rsid w:val="00382AC2"/>
    <w:rsid w:val="003841DF"/>
    <w:rsid w:val="00384245"/>
    <w:rsid w:val="0038439F"/>
    <w:rsid w:val="0038453E"/>
    <w:rsid w:val="003851F7"/>
    <w:rsid w:val="003859D0"/>
    <w:rsid w:val="003862ED"/>
    <w:rsid w:val="00386C5E"/>
    <w:rsid w:val="003875EB"/>
    <w:rsid w:val="00387CAB"/>
    <w:rsid w:val="0039054A"/>
    <w:rsid w:val="00390E91"/>
    <w:rsid w:val="00390FB3"/>
    <w:rsid w:val="00390FD5"/>
    <w:rsid w:val="00392D36"/>
    <w:rsid w:val="00392FD4"/>
    <w:rsid w:val="00393019"/>
    <w:rsid w:val="00394173"/>
    <w:rsid w:val="0039451A"/>
    <w:rsid w:val="00394CFD"/>
    <w:rsid w:val="003954D8"/>
    <w:rsid w:val="00395916"/>
    <w:rsid w:val="00396E09"/>
    <w:rsid w:val="003970CC"/>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35A"/>
    <w:rsid w:val="003B064A"/>
    <w:rsid w:val="003B0D42"/>
    <w:rsid w:val="003B2124"/>
    <w:rsid w:val="003B5167"/>
    <w:rsid w:val="003B5953"/>
    <w:rsid w:val="003B5A30"/>
    <w:rsid w:val="003B5D5A"/>
    <w:rsid w:val="003B5F7E"/>
    <w:rsid w:val="003C00AD"/>
    <w:rsid w:val="003C0445"/>
    <w:rsid w:val="003C088F"/>
    <w:rsid w:val="003C0D38"/>
    <w:rsid w:val="003C114A"/>
    <w:rsid w:val="003C1736"/>
    <w:rsid w:val="003C198E"/>
    <w:rsid w:val="003C1D34"/>
    <w:rsid w:val="003C2743"/>
    <w:rsid w:val="003C3387"/>
    <w:rsid w:val="003C363F"/>
    <w:rsid w:val="003C5550"/>
    <w:rsid w:val="003C6925"/>
    <w:rsid w:val="003C7F75"/>
    <w:rsid w:val="003D114D"/>
    <w:rsid w:val="003D1BA8"/>
    <w:rsid w:val="003D2060"/>
    <w:rsid w:val="003D2A01"/>
    <w:rsid w:val="003D3420"/>
    <w:rsid w:val="003D35D8"/>
    <w:rsid w:val="003D400D"/>
    <w:rsid w:val="003D4995"/>
    <w:rsid w:val="003D4AA5"/>
    <w:rsid w:val="003D5A9F"/>
    <w:rsid w:val="003D5F9E"/>
    <w:rsid w:val="003D630C"/>
    <w:rsid w:val="003D6E96"/>
    <w:rsid w:val="003D6F6E"/>
    <w:rsid w:val="003D70D7"/>
    <w:rsid w:val="003D7DCB"/>
    <w:rsid w:val="003E07DA"/>
    <w:rsid w:val="003E1EC3"/>
    <w:rsid w:val="003E2505"/>
    <w:rsid w:val="003E3046"/>
    <w:rsid w:val="003E4957"/>
    <w:rsid w:val="003E4C4B"/>
    <w:rsid w:val="003E5300"/>
    <w:rsid w:val="003E58CA"/>
    <w:rsid w:val="003E6165"/>
    <w:rsid w:val="003E7070"/>
    <w:rsid w:val="003E7798"/>
    <w:rsid w:val="003E7A0A"/>
    <w:rsid w:val="003E7B27"/>
    <w:rsid w:val="003F084E"/>
    <w:rsid w:val="003F08CE"/>
    <w:rsid w:val="003F17E1"/>
    <w:rsid w:val="003F1C4E"/>
    <w:rsid w:val="003F25F9"/>
    <w:rsid w:val="003F3EFC"/>
    <w:rsid w:val="003F4043"/>
    <w:rsid w:val="003F724B"/>
    <w:rsid w:val="004007EE"/>
    <w:rsid w:val="0040239C"/>
    <w:rsid w:val="00402C80"/>
    <w:rsid w:val="00402D26"/>
    <w:rsid w:val="00402DBC"/>
    <w:rsid w:val="00403FC1"/>
    <w:rsid w:val="00404429"/>
    <w:rsid w:val="00404591"/>
    <w:rsid w:val="00404AB1"/>
    <w:rsid w:val="004052C7"/>
    <w:rsid w:val="00405CA0"/>
    <w:rsid w:val="004061DE"/>
    <w:rsid w:val="00407A3C"/>
    <w:rsid w:val="00407CB8"/>
    <w:rsid w:val="00407EF3"/>
    <w:rsid w:val="004101A6"/>
    <w:rsid w:val="004103A5"/>
    <w:rsid w:val="004109E6"/>
    <w:rsid w:val="00411175"/>
    <w:rsid w:val="00413181"/>
    <w:rsid w:val="004139E1"/>
    <w:rsid w:val="00413F04"/>
    <w:rsid w:val="004154AD"/>
    <w:rsid w:val="0041632D"/>
    <w:rsid w:val="00416E66"/>
    <w:rsid w:val="00421264"/>
    <w:rsid w:val="00421E01"/>
    <w:rsid w:val="004222DB"/>
    <w:rsid w:val="00422C7B"/>
    <w:rsid w:val="004234C0"/>
    <w:rsid w:val="00424125"/>
    <w:rsid w:val="00424E11"/>
    <w:rsid w:val="00424E85"/>
    <w:rsid w:val="0042736A"/>
    <w:rsid w:val="00427AA3"/>
    <w:rsid w:val="0043028B"/>
    <w:rsid w:val="00430841"/>
    <w:rsid w:val="004314CE"/>
    <w:rsid w:val="004318B4"/>
    <w:rsid w:val="00431C5E"/>
    <w:rsid w:val="00432ADD"/>
    <w:rsid w:val="004330F7"/>
    <w:rsid w:val="004341D5"/>
    <w:rsid w:val="0043437F"/>
    <w:rsid w:val="004348F1"/>
    <w:rsid w:val="00434A7E"/>
    <w:rsid w:val="0043629F"/>
    <w:rsid w:val="004367CC"/>
    <w:rsid w:val="00436F17"/>
    <w:rsid w:val="00437D2D"/>
    <w:rsid w:val="0044125C"/>
    <w:rsid w:val="004422A7"/>
    <w:rsid w:val="00442D1D"/>
    <w:rsid w:val="00443261"/>
    <w:rsid w:val="004449E6"/>
    <w:rsid w:val="004454D6"/>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7D5"/>
    <w:rsid w:val="004639D4"/>
    <w:rsid w:val="00463A7A"/>
    <w:rsid w:val="004642F9"/>
    <w:rsid w:val="00464D73"/>
    <w:rsid w:val="00465919"/>
    <w:rsid w:val="00465B99"/>
    <w:rsid w:val="00466BDD"/>
    <w:rsid w:val="00467203"/>
    <w:rsid w:val="004674D6"/>
    <w:rsid w:val="00467EA5"/>
    <w:rsid w:val="00467EC9"/>
    <w:rsid w:val="00467FC0"/>
    <w:rsid w:val="00470525"/>
    <w:rsid w:val="00471849"/>
    <w:rsid w:val="0047193E"/>
    <w:rsid w:val="004721A8"/>
    <w:rsid w:val="004725D1"/>
    <w:rsid w:val="00472FBD"/>
    <w:rsid w:val="004732A8"/>
    <w:rsid w:val="00473DAB"/>
    <w:rsid w:val="004746E4"/>
    <w:rsid w:val="00475035"/>
    <w:rsid w:val="00476152"/>
    <w:rsid w:val="00477296"/>
    <w:rsid w:val="004779BF"/>
    <w:rsid w:val="004802E9"/>
    <w:rsid w:val="0048033F"/>
    <w:rsid w:val="0048062E"/>
    <w:rsid w:val="0048139F"/>
    <w:rsid w:val="0048207C"/>
    <w:rsid w:val="004902D0"/>
    <w:rsid w:val="00490F10"/>
    <w:rsid w:val="004913B0"/>
    <w:rsid w:val="00491484"/>
    <w:rsid w:val="00492644"/>
    <w:rsid w:val="0049418F"/>
    <w:rsid w:val="0049467D"/>
    <w:rsid w:val="004969C5"/>
    <w:rsid w:val="004A14A8"/>
    <w:rsid w:val="004A1E94"/>
    <w:rsid w:val="004A21DB"/>
    <w:rsid w:val="004A6B85"/>
    <w:rsid w:val="004A7708"/>
    <w:rsid w:val="004A7A2B"/>
    <w:rsid w:val="004B18D5"/>
    <w:rsid w:val="004B1D36"/>
    <w:rsid w:val="004B40DA"/>
    <w:rsid w:val="004B43EC"/>
    <w:rsid w:val="004B4654"/>
    <w:rsid w:val="004B5676"/>
    <w:rsid w:val="004B5A55"/>
    <w:rsid w:val="004B5DE9"/>
    <w:rsid w:val="004B63EF"/>
    <w:rsid w:val="004B686D"/>
    <w:rsid w:val="004B6EA1"/>
    <w:rsid w:val="004B73D5"/>
    <w:rsid w:val="004C1EA0"/>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ED1"/>
    <w:rsid w:val="004D39DA"/>
    <w:rsid w:val="004D3C71"/>
    <w:rsid w:val="004D3CD2"/>
    <w:rsid w:val="004D4458"/>
    <w:rsid w:val="004D489A"/>
    <w:rsid w:val="004D4F35"/>
    <w:rsid w:val="004D601B"/>
    <w:rsid w:val="004D60A9"/>
    <w:rsid w:val="004D651B"/>
    <w:rsid w:val="004D69A0"/>
    <w:rsid w:val="004E0F73"/>
    <w:rsid w:val="004E13A8"/>
    <w:rsid w:val="004E2DC7"/>
    <w:rsid w:val="004E3AF3"/>
    <w:rsid w:val="004E3FA7"/>
    <w:rsid w:val="004E44D8"/>
    <w:rsid w:val="004E524B"/>
    <w:rsid w:val="004E6919"/>
    <w:rsid w:val="004E6EB1"/>
    <w:rsid w:val="004E6FA9"/>
    <w:rsid w:val="004F0318"/>
    <w:rsid w:val="004F044B"/>
    <w:rsid w:val="004F0D46"/>
    <w:rsid w:val="004F19E3"/>
    <w:rsid w:val="004F2445"/>
    <w:rsid w:val="004F2A83"/>
    <w:rsid w:val="004F44D5"/>
    <w:rsid w:val="004F480A"/>
    <w:rsid w:val="004F4A10"/>
    <w:rsid w:val="004F5236"/>
    <w:rsid w:val="004F5617"/>
    <w:rsid w:val="004F5ACD"/>
    <w:rsid w:val="004F666B"/>
    <w:rsid w:val="005003B5"/>
    <w:rsid w:val="00503096"/>
    <w:rsid w:val="00504588"/>
    <w:rsid w:val="00504FB2"/>
    <w:rsid w:val="005053F4"/>
    <w:rsid w:val="00505E13"/>
    <w:rsid w:val="00506436"/>
    <w:rsid w:val="00506E07"/>
    <w:rsid w:val="00506E80"/>
    <w:rsid w:val="005072EE"/>
    <w:rsid w:val="00507AF2"/>
    <w:rsid w:val="0051027B"/>
    <w:rsid w:val="00510EA8"/>
    <w:rsid w:val="00511360"/>
    <w:rsid w:val="0051180C"/>
    <w:rsid w:val="00511EE1"/>
    <w:rsid w:val="00512721"/>
    <w:rsid w:val="00513303"/>
    <w:rsid w:val="00514D42"/>
    <w:rsid w:val="00514E83"/>
    <w:rsid w:val="00516410"/>
    <w:rsid w:val="00516A40"/>
    <w:rsid w:val="00517267"/>
    <w:rsid w:val="005172F3"/>
    <w:rsid w:val="0051763A"/>
    <w:rsid w:val="005203DA"/>
    <w:rsid w:val="0052049C"/>
    <w:rsid w:val="0052112B"/>
    <w:rsid w:val="00521283"/>
    <w:rsid w:val="005217F0"/>
    <w:rsid w:val="005219BD"/>
    <w:rsid w:val="005231C2"/>
    <w:rsid w:val="0052346C"/>
    <w:rsid w:val="0052383A"/>
    <w:rsid w:val="005238FD"/>
    <w:rsid w:val="00523AB0"/>
    <w:rsid w:val="00523F0C"/>
    <w:rsid w:val="00525079"/>
    <w:rsid w:val="00526243"/>
    <w:rsid w:val="00526B3D"/>
    <w:rsid w:val="0052731C"/>
    <w:rsid w:val="00527770"/>
    <w:rsid w:val="00530FCA"/>
    <w:rsid w:val="00531F98"/>
    <w:rsid w:val="005328B2"/>
    <w:rsid w:val="005329C9"/>
    <w:rsid w:val="00533ECD"/>
    <w:rsid w:val="00533F42"/>
    <w:rsid w:val="005347F8"/>
    <w:rsid w:val="00534FAA"/>
    <w:rsid w:val="00535017"/>
    <w:rsid w:val="00535285"/>
    <w:rsid w:val="00535628"/>
    <w:rsid w:val="005358A0"/>
    <w:rsid w:val="00535DEE"/>
    <w:rsid w:val="00540690"/>
    <w:rsid w:val="00540DB0"/>
    <w:rsid w:val="00541BEB"/>
    <w:rsid w:val="005426DF"/>
    <w:rsid w:val="005430F4"/>
    <w:rsid w:val="005439BE"/>
    <w:rsid w:val="00543B1F"/>
    <w:rsid w:val="00543DEA"/>
    <w:rsid w:val="005443B9"/>
    <w:rsid w:val="005457A5"/>
    <w:rsid w:val="00546C38"/>
    <w:rsid w:val="00546D55"/>
    <w:rsid w:val="00546FAB"/>
    <w:rsid w:val="005504B6"/>
    <w:rsid w:val="005506FE"/>
    <w:rsid w:val="00550A00"/>
    <w:rsid w:val="005510B0"/>
    <w:rsid w:val="00551E0D"/>
    <w:rsid w:val="00554418"/>
    <w:rsid w:val="005547E9"/>
    <w:rsid w:val="005554B9"/>
    <w:rsid w:val="00555822"/>
    <w:rsid w:val="00556479"/>
    <w:rsid w:val="00556B66"/>
    <w:rsid w:val="00556E29"/>
    <w:rsid w:val="00557051"/>
    <w:rsid w:val="005577F1"/>
    <w:rsid w:val="00560D19"/>
    <w:rsid w:val="00561119"/>
    <w:rsid w:val="00561CD5"/>
    <w:rsid w:val="005622BB"/>
    <w:rsid w:val="0056304C"/>
    <w:rsid w:val="0057003B"/>
    <w:rsid w:val="0057059B"/>
    <w:rsid w:val="00571844"/>
    <w:rsid w:val="00571BF4"/>
    <w:rsid w:val="0057267E"/>
    <w:rsid w:val="00573536"/>
    <w:rsid w:val="00573CC5"/>
    <w:rsid w:val="00574B59"/>
    <w:rsid w:val="005752F4"/>
    <w:rsid w:val="00575808"/>
    <w:rsid w:val="00576444"/>
    <w:rsid w:val="00576BB8"/>
    <w:rsid w:val="00577587"/>
    <w:rsid w:val="005775C8"/>
    <w:rsid w:val="0058174A"/>
    <w:rsid w:val="00581DD5"/>
    <w:rsid w:val="0058356C"/>
    <w:rsid w:val="00583E5F"/>
    <w:rsid w:val="005862BF"/>
    <w:rsid w:val="00586672"/>
    <w:rsid w:val="005868AB"/>
    <w:rsid w:val="00586AE2"/>
    <w:rsid w:val="00587712"/>
    <w:rsid w:val="00587797"/>
    <w:rsid w:val="00587C4A"/>
    <w:rsid w:val="00590A35"/>
    <w:rsid w:val="005920D4"/>
    <w:rsid w:val="005930AA"/>
    <w:rsid w:val="00593577"/>
    <w:rsid w:val="00593E98"/>
    <w:rsid w:val="00594458"/>
    <w:rsid w:val="00594F7D"/>
    <w:rsid w:val="00595524"/>
    <w:rsid w:val="00595FA4"/>
    <w:rsid w:val="005A0A06"/>
    <w:rsid w:val="005A1A49"/>
    <w:rsid w:val="005A2236"/>
    <w:rsid w:val="005A34B7"/>
    <w:rsid w:val="005A3E3D"/>
    <w:rsid w:val="005A3E93"/>
    <w:rsid w:val="005A5899"/>
    <w:rsid w:val="005A67E6"/>
    <w:rsid w:val="005A6D9F"/>
    <w:rsid w:val="005A75ED"/>
    <w:rsid w:val="005B050D"/>
    <w:rsid w:val="005B05AA"/>
    <w:rsid w:val="005B1182"/>
    <w:rsid w:val="005B19DF"/>
    <w:rsid w:val="005B1E4A"/>
    <w:rsid w:val="005B2421"/>
    <w:rsid w:val="005B2A71"/>
    <w:rsid w:val="005B4B55"/>
    <w:rsid w:val="005B565E"/>
    <w:rsid w:val="005B7482"/>
    <w:rsid w:val="005B7C6F"/>
    <w:rsid w:val="005C0056"/>
    <w:rsid w:val="005C0777"/>
    <w:rsid w:val="005C0D41"/>
    <w:rsid w:val="005C1B1A"/>
    <w:rsid w:val="005C2775"/>
    <w:rsid w:val="005C3211"/>
    <w:rsid w:val="005C3977"/>
    <w:rsid w:val="005C3AB1"/>
    <w:rsid w:val="005C521C"/>
    <w:rsid w:val="005C5462"/>
    <w:rsid w:val="005C5A78"/>
    <w:rsid w:val="005C6106"/>
    <w:rsid w:val="005C73CC"/>
    <w:rsid w:val="005D0522"/>
    <w:rsid w:val="005D1524"/>
    <w:rsid w:val="005D31F1"/>
    <w:rsid w:val="005D36A0"/>
    <w:rsid w:val="005D37B6"/>
    <w:rsid w:val="005D3889"/>
    <w:rsid w:val="005D469F"/>
    <w:rsid w:val="005D475C"/>
    <w:rsid w:val="005D47F7"/>
    <w:rsid w:val="005D483E"/>
    <w:rsid w:val="005D4B41"/>
    <w:rsid w:val="005D70B2"/>
    <w:rsid w:val="005D7334"/>
    <w:rsid w:val="005D77E0"/>
    <w:rsid w:val="005D7CCF"/>
    <w:rsid w:val="005E0836"/>
    <w:rsid w:val="005E0B9F"/>
    <w:rsid w:val="005E0EF5"/>
    <w:rsid w:val="005E0F5D"/>
    <w:rsid w:val="005E1A33"/>
    <w:rsid w:val="005E2BD3"/>
    <w:rsid w:val="005E31A3"/>
    <w:rsid w:val="005E3D0B"/>
    <w:rsid w:val="005E3D62"/>
    <w:rsid w:val="005E59CD"/>
    <w:rsid w:val="005E5B1C"/>
    <w:rsid w:val="005E7F55"/>
    <w:rsid w:val="005F091B"/>
    <w:rsid w:val="005F1444"/>
    <w:rsid w:val="005F2161"/>
    <w:rsid w:val="005F229D"/>
    <w:rsid w:val="005F2724"/>
    <w:rsid w:val="005F293F"/>
    <w:rsid w:val="005F2E07"/>
    <w:rsid w:val="005F325B"/>
    <w:rsid w:val="005F35C2"/>
    <w:rsid w:val="005F3EE7"/>
    <w:rsid w:val="005F4EE2"/>
    <w:rsid w:val="005F54C9"/>
    <w:rsid w:val="005F56A2"/>
    <w:rsid w:val="005F65CB"/>
    <w:rsid w:val="005F6FB6"/>
    <w:rsid w:val="005F7408"/>
    <w:rsid w:val="005F774A"/>
    <w:rsid w:val="00600D7A"/>
    <w:rsid w:val="006013E3"/>
    <w:rsid w:val="006026AF"/>
    <w:rsid w:val="00602815"/>
    <w:rsid w:val="00602CE6"/>
    <w:rsid w:val="00603292"/>
    <w:rsid w:val="006039A7"/>
    <w:rsid w:val="0060440E"/>
    <w:rsid w:val="00604BB0"/>
    <w:rsid w:val="006050C3"/>
    <w:rsid w:val="00605D26"/>
    <w:rsid w:val="006064E3"/>
    <w:rsid w:val="00607AB9"/>
    <w:rsid w:val="00607E5B"/>
    <w:rsid w:val="00611267"/>
    <w:rsid w:val="00611F8B"/>
    <w:rsid w:val="0061224E"/>
    <w:rsid w:val="0061295E"/>
    <w:rsid w:val="00612C74"/>
    <w:rsid w:val="00612CE7"/>
    <w:rsid w:val="00612F99"/>
    <w:rsid w:val="0061320B"/>
    <w:rsid w:val="006135D5"/>
    <w:rsid w:val="00613729"/>
    <w:rsid w:val="006156E6"/>
    <w:rsid w:val="006162ED"/>
    <w:rsid w:val="006165BB"/>
    <w:rsid w:val="00616E90"/>
    <w:rsid w:val="00617C71"/>
    <w:rsid w:val="0062088B"/>
    <w:rsid w:val="006209E1"/>
    <w:rsid w:val="00620CF0"/>
    <w:rsid w:val="0062273F"/>
    <w:rsid w:val="0062286E"/>
    <w:rsid w:val="00622E40"/>
    <w:rsid w:val="00622FEE"/>
    <w:rsid w:val="00623172"/>
    <w:rsid w:val="006234AE"/>
    <w:rsid w:val="0062367B"/>
    <w:rsid w:val="0062367D"/>
    <w:rsid w:val="00624889"/>
    <w:rsid w:val="00626864"/>
    <w:rsid w:val="00630278"/>
    <w:rsid w:val="00630786"/>
    <w:rsid w:val="00631B80"/>
    <w:rsid w:val="006322F9"/>
    <w:rsid w:val="006327EB"/>
    <w:rsid w:val="0063323E"/>
    <w:rsid w:val="006338CB"/>
    <w:rsid w:val="00633C03"/>
    <w:rsid w:val="006346AD"/>
    <w:rsid w:val="00634B93"/>
    <w:rsid w:val="00634C5A"/>
    <w:rsid w:val="00636DF7"/>
    <w:rsid w:val="006400E7"/>
    <w:rsid w:val="00640883"/>
    <w:rsid w:val="00640A10"/>
    <w:rsid w:val="00640DF1"/>
    <w:rsid w:val="00641242"/>
    <w:rsid w:val="00641DB3"/>
    <w:rsid w:val="00643B1D"/>
    <w:rsid w:val="00645629"/>
    <w:rsid w:val="006458E1"/>
    <w:rsid w:val="00645EBF"/>
    <w:rsid w:val="0064611C"/>
    <w:rsid w:val="006461A0"/>
    <w:rsid w:val="006475D8"/>
    <w:rsid w:val="00647DC3"/>
    <w:rsid w:val="0065074F"/>
    <w:rsid w:val="0065112C"/>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31F0"/>
    <w:rsid w:val="00674409"/>
    <w:rsid w:val="00677617"/>
    <w:rsid w:val="00680BAF"/>
    <w:rsid w:val="00681466"/>
    <w:rsid w:val="006818D2"/>
    <w:rsid w:val="00682332"/>
    <w:rsid w:val="00682A44"/>
    <w:rsid w:val="0068320A"/>
    <w:rsid w:val="00684615"/>
    <w:rsid w:val="00684EA0"/>
    <w:rsid w:val="006853A5"/>
    <w:rsid w:val="00685992"/>
    <w:rsid w:val="00685AFF"/>
    <w:rsid w:val="00686237"/>
    <w:rsid w:val="00686994"/>
    <w:rsid w:val="0069237A"/>
    <w:rsid w:val="0069256A"/>
    <w:rsid w:val="006925BB"/>
    <w:rsid w:val="00692D45"/>
    <w:rsid w:val="00693623"/>
    <w:rsid w:val="00693C64"/>
    <w:rsid w:val="00693FA7"/>
    <w:rsid w:val="00694488"/>
    <w:rsid w:val="006960E0"/>
    <w:rsid w:val="0069659B"/>
    <w:rsid w:val="00696B03"/>
    <w:rsid w:val="006973AE"/>
    <w:rsid w:val="00697515"/>
    <w:rsid w:val="00697B29"/>
    <w:rsid w:val="00697F9F"/>
    <w:rsid w:val="006A094E"/>
    <w:rsid w:val="006A0D2E"/>
    <w:rsid w:val="006A1E72"/>
    <w:rsid w:val="006A2060"/>
    <w:rsid w:val="006A233F"/>
    <w:rsid w:val="006A2DF1"/>
    <w:rsid w:val="006A3151"/>
    <w:rsid w:val="006A3C61"/>
    <w:rsid w:val="006A3F9D"/>
    <w:rsid w:val="006A4DBB"/>
    <w:rsid w:val="006A56E8"/>
    <w:rsid w:val="006A688A"/>
    <w:rsid w:val="006A69CA"/>
    <w:rsid w:val="006A6FA0"/>
    <w:rsid w:val="006B1054"/>
    <w:rsid w:val="006B1368"/>
    <w:rsid w:val="006B3C23"/>
    <w:rsid w:val="006B3E6C"/>
    <w:rsid w:val="006B3E74"/>
    <w:rsid w:val="006B5A32"/>
    <w:rsid w:val="006B6371"/>
    <w:rsid w:val="006B6ADD"/>
    <w:rsid w:val="006B78EB"/>
    <w:rsid w:val="006C0553"/>
    <w:rsid w:val="006C0A48"/>
    <w:rsid w:val="006C141F"/>
    <w:rsid w:val="006C163C"/>
    <w:rsid w:val="006C1796"/>
    <w:rsid w:val="006C1CE3"/>
    <w:rsid w:val="006C3DFB"/>
    <w:rsid w:val="006C4655"/>
    <w:rsid w:val="006C5007"/>
    <w:rsid w:val="006C5253"/>
    <w:rsid w:val="006C673C"/>
    <w:rsid w:val="006C703E"/>
    <w:rsid w:val="006C793B"/>
    <w:rsid w:val="006D0C35"/>
    <w:rsid w:val="006D1CEF"/>
    <w:rsid w:val="006D252E"/>
    <w:rsid w:val="006D3B5D"/>
    <w:rsid w:val="006D4EA8"/>
    <w:rsid w:val="006D50B9"/>
    <w:rsid w:val="006D5334"/>
    <w:rsid w:val="006D69A8"/>
    <w:rsid w:val="006D6A05"/>
    <w:rsid w:val="006D7A89"/>
    <w:rsid w:val="006D7BB3"/>
    <w:rsid w:val="006E0F48"/>
    <w:rsid w:val="006E110F"/>
    <w:rsid w:val="006E1689"/>
    <w:rsid w:val="006E30B4"/>
    <w:rsid w:val="006E3F96"/>
    <w:rsid w:val="006E66CC"/>
    <w:rsid w:val="006E789E"/>
    <w:rsid w:val="006F0536"/>
    <w:rsid w:val="006F165C"/>
    <w:rsid w:val="006F216A"/>
    <w:rsid w:val="006F2FE2"/>
    <w:rsid w:val="006F32F5"/>
    <w:rsid w:val="006F3EB5"/>
    <w:rsid w:val="006F498F"/>
    <w:rsid w:val="006F49CA"/>
    <w:rsid w:val="006F4A6A"/>
    <w:rsid w:val="006F5185"/>
    <w:rsid w:val="006F5A65"/>
    <w:rsid w:val="006F6464"/>
    <w:rsid w:val="006F66B1"/>
    <w:rsid w:val="006F7816"/>
    <w:rsid w:val="00701088"/>
    <w:rsid w:val="0070188F"/>
    <w:rsid w:val="00701B4D"/>
    <w:rsid w:val="007029C1"/>
    <w:rsid w:val="00702CC6"/>
    <w:rsid w:val="00703D3E"/>
    <w:rsid w:val="00705B4D"/>
    <w:rsid w:val="00705B9C"/>
    <w:rsid w:val="00706276"/>
    <w:rsid w:val="007104CA"/>
    <w:rsid w:val="007106F9"/>
    <w:rsid w:val="0071185F"/>
    <w:rsid w:val="00711B5B"/>
    <w:rsid w:val="00711C7B"/>
    <w:rsid w:val="0071332E"/>
    <w:rsid w:val="00714F03"/>
    <w:rsid w:val="0071501F"/>
    <w:rsid w:val="007154E4"/>
    <w:rsid w:val="0071688F"/>
    <w:rsid w:val="007177BA"/>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1C"/>
    <w:rsid w:val="007267CA"/>
    <w:rsid w:val="00726F62"/>
    <w:rsid w:val="007278C4"/>
    <w:rsid w:val="00730B41"/>
    <w:rsid w:val="007314DB"/>
    <w:rsid w:val="00732BDD"/>
    <w:rsid w:val="007340FE"/>
    <w:rsid w:val="007348F8"/>
    <w:rsid w:val="00735238"/>
    <w:rsid w:val="0073578A"/>
    <w:rsid w:val="007363AF"/>
    <w:rsid w:val="007365B7"/>
    <w:rsid w:val="00737A25"/>
    <w:rsid w:val="007401A4"/>
    <w:rsid w:val="00741685"/>
    <w:rsid w:val="007419ED"/>
    <w:rsid w:val="00742A2F"/>
    <w:rsid w:val="00744978"/>
    <w:rsid w:val="00745021"/>
    <w:rsid w:val="007456E0"/>
    <w:rsid w:val="00746B41"/>
    <w:rsid w:val="007478C0"/>
    <w:rsid w:val="00747F08"/>
    <w:rsid w:val="00750080"/>
    <w:rsid w:val="00750DB0"/>
    <w:rsid w:val="00751970"/>
    <w:rsid w:val="00752FE3"/>
    <w:rsid w:val="00753212"/>
    <w:rsid w:val="00753B55"/>
    <w:rsid w:val="00753FAC"/>
    <w:rsid w:val="007553A2"/>
    <w:rsid w:val="0075549C"/>
    <w:rsid w:val="00755B5F"/>
    <w:rsid w:val="00755C54"/>
    <w:rsid w:val="00755CCF"/>
    <w:rsid w:val="00757B46"/>
    <w:rsid w:val="00757EED"/>
    <w:rsid w:val="00760322"/>
    <w:rsid w:val="00760D19"/>
    <w:rsid w:val="00761B12"/>
    <w:rsid w:val="00763BCF"/>
    <w:rsid w:val="00764168"/>
    <w:rsid w:val="00764D34"/>
    <w:rsid w:val="00765652"/>
    <w:rsid w:val="00765A19"/>
    <w:rsid w:val="00765D05"/>
    <w:rsid w:val="007661F3"/>
    <w:rsid w:val="007700DA"/>
    <w:rsid w:val="00770330"/>
    <w:rsid w:val="00770CB2"/>
    <w:rsid w:val="0077196D"/>
    <w:rsid w:val="0077252E"/>
    <w:rsid w:val="00774030"/>
    <w:rsid w:val="007749A2"/>
    <w:rsid w:val="00774C4F"/>
    <w:rsid w:val="00775050"/>
    <w:rsid w:val="00775167"/>
    <w:rsid w:val="00775CCD"/>
    <w:rsid w:val="00780161"/>
    <w:rsid w:val="00780939"/>
    <w:rsid w:val="007816A5"/>
    <w:rsid w:val="00781C33"/>
    <w:rsid w:val="00781E62"/>
    <w:rsid w:val="00782E75"/>
    <w:rsid w:val="00784E62"/>
    <w:rsid w:val="00784F0C"/>
    <w:rsid w:val="00786833"/>
    <w:rsid w:val="007872E3"/>
    <w:rsid w:val="00790B41"/>
    <w:rsid w:val="00790E39"/>
    <w:rsid w:val="00790F4E"/>
    <w:rsid w:val="00791483"/>
    <w:rsid w:val="00791954"/>
    <w:rsid w:val="007922DA"/>
    <w:rsid w:val="0079411F"/>
    <w:rsid w:val="00794181"/>
    <w:rsid w:val="007948C0"/>
    <w:rsid w:val="007948D9"/>
    <w:rsid w:val="00795E13"/>
    <w:rsid w:val="0079699C"/>
    <w:rsid w:val="007A22A2"/>
    <w:rsid w:val="007A2750"/>
    <w:rsid w:val="007A278E"/>
    <w:rsid w:val="007A2C42"/>
    <w:rsid w:val="007A3D24"/>
    <w:rsid w:val="007A4E10"/>
    <w:rsid w:val="007A58DC"/>
    <w:rsid w:val="007A5B63"/>
    <w:rsid w:val="007A638E"/>
    <w:rsid w:val="007B1681"/>
    <w:rsid w:val="007B19FC"/>
    <w:rsid w:val="007B3091"/>
    <w:rsid w:val="007B3116"/>
    <w:rsid w:val="007B32BF"/>
    <w:rsid w:val="007B499E"/>
    <w:rsid w:val="007B5A59"/>
    <w:rsid w:val="007B5D96"/>
    <w:rsid w:val="007B5F02"/>
    <w:rsid w:val="007B6C90"/>
    <w:rsid w:val="007B6CC4"/>
    <w:rsid w:val="007B76A1"/>
    <w:rsid w:val="007B791C"/>
    <w:rsid w:val="007C00B7"/>
    <w:rsid w:val="007C0A8E"/>
    <w:rsid w:val="007C0C17"/>
    <w:rsid w:val="007C0D41"/>
    <w:rsid w:val="007C0FE0"/>
    <w:rsid w:val="007C1B1F"/>
    <w:rsid w:val="007C2BF3"/>
    <w:rsid w:val="007C32B1"/>
    <w:rsid w:val="007C3631"/>
    <w:rsid w:val="007C38F2"/>
    <w:rsid w:val="007C418C"/>
    <w:rsid w:val="007C42BD"/>
    <w:rsid w:val="007C573F"/>
    <w:rsid w:val="007C586B"/>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59D"/>
    <w:rsid w:val="007D6CD7"/>
    <w:rsid w:val="007D6F0F"/>
    <w:rsid w:val="007D790F"/>
    <w:rsid w:val="007D7C8B"/>
    <w:rsid w:val="007E0630"/>
    <w:rsid w:val="007E0BCC"/>
    <w:rsid w:val="007E19FB"/>
    <w:rsid w:val="007E1FB8"/>
    <w:rsid w:val="007E2ED5"/>
    <w:rsid w:val="007E3658"/>
    <w:rsid w:val="007E45D3"/>
    <w:rsid w:val="007E4B62"/>
    <w:rsid w:val="007E4BE8"/>
    <w:rsid w:val="007E5431"/>
    <w:rsid w:val="007E5B06"/>
    <w:rsid w:val="007E657B"/>
    <w:rsid w:val="007E6C91"/>
    <w:rsid w:val="007F1D58"/>
    <w:rsid w:val="007F2D71"/>
    <w:rsid w:val="007F3B11"/>
    <w:rsid w:val="007F4274"/>
    <w:rsid w:val="007F4A5D"/>
    <w:rsid w:val="007F5651"/>
    <w:rsid w:val="007F7D14"/>
    <w:rsid w:val="00800183"/>
    <w:rsid w:val="00800BCF"/>
    <w:rsid w:val="0080160F"/>
    <w:rsid w:val="00801D88"/>
    <w:rsid w:val="00803F1D"/>
    <w:rsid w:val="0080409B"/>
    <w:rsid w:val="00804658"/>
    <w:rsid w:val="00804AD8"/>
    <w:rsid w:val="008050C1"/>
    <w:rsid w:val="00805EC4"/>
    <w:rsid w:val="00806402"/>
    <w:rsid w:val="00806841"/>
    <w:rsid w:val="00806B0D"/>
    <w:rsid w:val="00810321"/>
    <w:rsid w:val="00810821"/>
    <w:rsid w:val="008108EF"/>
    <w:rsid w:val="0081157E"/>
    <w:rsid w:val="008120C6"/>
    <w:rsid w:val="00813E27"/>
    <w:rsid w:val="0081426D"/>
    <w:rsid w:val="00814385"/>
    <w:rsid w:val="0081560A"/>
    <w:rsid w:val="00815927"/>
    <w:rsid w:val="00815AA4"/>
    <w:rsid w:val="00815E3A"/>
    <w:rsid w:val="0081647D"/>
    <w:rsid w:val="0081693A"/>
    <w:rsid w:val="00816BE7"/>
    <w:rsid w:val="00816F54"/>
    <w:rsid w:val="00817574"/>
    <w:rsid w:val="00821AE1"/>
    <w:rsid w:val="00821B7B"/>
    <w:rsid w:val="0082236A"/>
    <w:rsid w:val="008228AA"/>
    <w:rsid w:val="00822A64"/>
    <w:rsid w:val="00822CCA"/>
    <w:rsid w:val="008235A7"/>
    <w:rsid w:val="008236E5"/>
    <w:rsid w:val="008239F0"/>
    <w:rsid w:val="008252C2"/>
    <w:rsid w:val="00825510"/>
    <w:rsid w:val="0082578E"/>
    <w:rsid w:val="00826749"/>
    <w:rsid w:val="008275F3"/>
    <w:rsid w:val="00827B3E"/>
    <w:rsid w:val="00830B95"/>
    <w:rsid w:val="0083127C"/>
    <w:rsid w:val="008316A5"/>
    <w:rsid w:val="008317D1"/>
    <w:rsid w:val="00831DD5"/>
    <w:rsid w:val="0083262E"/>
    <w:rsid w:val="00833762"/>
    <w:rsid w:val="008337C3"/>
    <w:rsid w:val="0083454A"/>
    <w:rsid w:val="008346F6"/>
    <w:rsid w:val="00834A29"/>
    <w:rsid w:val="00834EB5"/>
    <w:rsid w:val="008350D3"/>
    <w:rsid w:val="00835327"/>
    <w:rsid w:val="00835723"/>
    <w:rsid w:val="00841213"/>
    <w:rsid w:val="00841F8B"/>
    <w:rsid w:val="00842CB6"/>
    <w:rsid w:val="0084336E"/>
    <w:rsid w:val="00844F26"/>
    <w:rsid w:val="00845656"/>
    <w:rsid w:val="008457B4"/>
    <w:rsid w:val="0084630D"/>
    <w:rsid w:val="0085007C"/>
    <w:rsid w:val="00850218"/>
    <w:rsid w:val="00850544"/>
    <w:rsid w:val="00850F79"/>
    <w:rsid w:val="008527A7"/>
    <w:rsid w:val="008530D9"/>
    <w:rsid w:val="008530DA"/>
    <w:rsid w:val="008533C7"/>
    <w:rsid w:val="0085366F"/>
    <w:rsid w:val="00853CE1"/>
    <w:rsid w:val="0085474F"/>
    <w:rsid w:val="008548C6"/>
    <w:rsid w:val="008565C0"/>
    <w:rsid w:val="00856798"/>
    <w:rsid w:val="00860FBA"/>
    <w:rsid w:val="00861D93"/>
    <w:rsid w:val="00863547"/>
    <w:rsid w:val="0086354E"/>
    <w:rsid w:val="00863596"/>
    <w:rsid w:val="008648A5"/>
    <w:rsid w:val="0086604D"/>
    <w:rsid w:val="00866487"/>
    <w:rsid w:val="008664F7"/>
    <w:rsid w:val="0086675B"/>
    <w:rsid w:val="00866FB2"/>
    <w:rsid w:val="008710D3"/>
    <w:rsid w:val="00871209"/>
    <w:rsid w:val="00872327"/>
    <w:rsid w:val="00874EC7"/>
    <w:rsid w:val="00876489"/>
    <w:rsid w:val="00876E3B"/>
    <w:rsid w:val="0087740C"/>
    <w:rsid w:val="00877EC2"/>
    <w:rsid w:val="00880669"/>
    <w:rsid w:val="00880C07"/>
    <w:rsid w:val="008818DD"/>
    <w:rsid w:val="00881C25"/>
    <w:rsid w:val="00881ECB"/>
    <w:rsid w:val="008820F9"/>
    <w:rsid w:val="008821F9"/>
    <w:rsid w:val="0088241E"/>
    <w:rsid w:val="008838D5"/>
    <w:rsid w:val="00883C52"/>
    <w:rsid w:val="00884583"/>
    <w:rsid w:val="00885A1C"/>
    <w:rsid w:val="0088685B"/>
    <w:rsid w:val="00886F39"/>
    <w:rsid w:val="00890ED3"/>
    <w:rsid w:val="0089204E"/>
    <w:rsid w:val="0089230F"/>
    <w:rsid w:val="0089248E"/>
    <w:rsid w:val="008925C6"/>
    <w:rsid w:val="00893398"/>
    <w:rsid w:val="00893B43"/>
    <w:rsid w:val="00893D30"/>
    <w:rsid w:val="00895B6A"/>
    <w:rsid w:val="0089610F"/>
    <w:rsid w:val="0089651B"/>
    <w:rsid w:val="00896A1B"/>
    <w:rsid w:val="00896FE9"/>
    <w:rsid w:val="008973DE"/>
    <w:rsid w:val="00897521"/>
    <w:rsid w:val="00897CAF"/>
    <w:rsid w:val="008A02E5"/>
    <w:rsid w:val="008A099F"/>
    <w:rsid w:val="008A119A"/>
    <w:rsid w:val="008A1E19"/>
    <w:rsid w:val="008A3DC3"/>
    <w:rsid w:val="008A4E24"/>
    <w:rsid w:val="008A4FEB"/>
    <w:rsid w:val="008A5EAE"/>
    <w:rsid w:val="008A684F"/>
    <w:rsid w:val="008A7675"/>
    <w:rsid w:val="008A7D2B"/>
    <w:rsid w:val="008B1A7F"/>
    <w:rsid w:val="008B21A9"/>
    <w:rsid w:val="008B256C"/>
    <w:rsid w:val="008B31CC"/>
    <w:rsid w:val="008B3E35"/>
    <w:rsid w:val="008B4159"/>
    <w:rsid w:val="008B4857"/>
    <w:rsid w:val="008B4AE6"/>
    <w:rsid w:val="008B4C8D"/>
    <w:rsid w:val="008B53BA"/>
    <w:rsid w:val="008B5485"/>
    <w:rsid w:val="008B663A"/>
    <w:rsid w:val="008B70AD"/>
    <w:rsid w:val="008C03DE"/>
    <w:rsid w:val="008C04D9"/>
    <w:rsid w:val="008C12C5"/>
    <w:rsid w:val="008C157C"/>
    <w:rsid w:val="008C16FD"/>
    <w:rsid w:val="008C19A5"/>
    <w:rsid w:val="008C1C4F"/>
    <w:rsid w:val="008C2580"/>
    <w:rsid w:val="008C3025"/>
    <w:rsid w:val="008C332B"/>
    <w:rsid w:val="008C3672"/>
    <w:rsid w:val="008C3A73"/>
    <w:rsid w:val="008C3AF8"/>
    <w:rsid w:val="008C5926"/>
    <w:rsid w:val="008C6394"/>
    <w:rsid w:val="008C66CD"/>
    <w:rsid w:val="008C70DA"/>
    <w:rsid w:val="008C797D"/>
    <w:rsid w:val="008D09DF"/>
    <w:rsid w:val="008D1FE9"/>
    <w:rsid w:val="008D2B77"/>
    <w:rsid w:val="008D33BE"/>
    <w:rsid w:val="008D42BD"/>
    <w:rsid w:val="008D441A"/>
    <w:rsid w:val="008D52B7"/>
    <w:rsid w:val="008D55ED"/>
    <w:rsid w:val="008D76B0"/>
    <w:rsid w:val="008E1555"/>
    <w:rsid w:val="008E1A32"/>
    <w:rsid w:val="008E1E5B"/>
    <w:rsid w:val="008E2057"/>
    <w:rsid w:val="008E20E9"/>
    <w:rsid w:val="008E2E44"/>
    <w:rsid w:val="008E3783"/>
    <w:rsid w:val="008E37E7"/>
    <w:rsid w:val="008E46F9"/>
    <w:rsid w:val="008E5FE3"/>
    <w:rsid w:val="008E70F6"/>
    <w:rsid w:val="008E7904"/>
    <w:rsid w:val="008E79C1"/>
    <w:rsid w:val="008F0381"/>
    <w:rsid w:val="008F0A3D"/>
    <w:rsid w:val="008F103F"/>
    <w:rsid w:val="008F1CFA"/>
    <w:rsid w:val="008F254B"/>
    <w:rsid w:val="008F30B8"/>
    <w:rsid w:val="008F3AAF"/>
    <w:rsid w:val="008F464C"/>
    <w:rsid w:val="008F5CE6"/>
    <w:rsid w:val="008F71A8"/>
    <w:rsid w:val="008F73EB"/>
    <w:rsid w:val="008F7B14"/>
    <w:rsid w:val="00901691"/>
    <w:rsid w:val="00901B8F"/>
    <w:rsid w:val="00901E73"/>
    <w:rsid w:val="00902E1E"/>
    <w:rsid w:val="00903400"/>
    <w:rsid w:val="009042EF"/>
    <w:rsid w:val="0090440D"/>
    <w:rsid w:val="0090496B"/>
    <w:rsid w:val="00904AD4"/>
    <w:rsid w:val="0090564E"/>
    <w:rsid w:val="00905C08"/>
    <w:rsid w:val="009061E8"/>
    <w:rsid w:val="00906448"/>
    <w:rsid w:val="00906EB3"/>
    <w:rsid w:val="00907243"/>
    <w:rsid w:val="009129AF"/>
    <w:rsid w:val="00912ACF"/>
    <w:rsid w:val="00912D61"/>
    <w:rsid w:val="00914486"/>
    <w:rsid w:val="009152E6"/>
    <w:rsid w:val="009152F8"/>
    <w:rsid w:val="00915D2A"/>
    <w:rsid w:val="009160D9"/>
    <w:rsid w:val="009164DA"/>
    <w:rsid w:val="00920141"/>
    <w:rsid w:val="009208FB"/>
    <w:rsid w:val="00920EBD"/>
    <w:rsid w:val="0092197F"/>
    <w:rsid w:val="00922206"/>
    <w:rsid w:val="0092253A"/>
    <w:rsid w:val="00922A08"/>
    <w:rsid w:val="00923A92"/>
    <w:rsid w:val="00923CF2"/>
    <w:rsid w:val="00924400"/>
    <w:rsid w:val="009251AF"/>
    <w:rsid w:val="00933606"/>
    <w:rsid w:val="009338B1"/>
    <w:rsid w:val="00934809"/>
    <w:rsid w:val="0093524E"/>
    <w:rsid w:val="00936664"/>
    <w:rsid w:val="00937A41"/>
    <w:rsid w:val="00940404"/>
    <w:rsid w:val="00942152"/>
    <w:rsid w:val="00942307"/>
    <w:rsid w:val="00942953"/>
    <w:rsid w:val="00943202"/>
    <w:rsid w:val="00943DCB"/>
    <w:rsid w:val="0094577A"/>
    <w:rsid w:val="00946087"/>
    <w:rsid w:val="00946122"/>
    <w:rsid w:val="00946D44"/>
    <w:rsid w:val="00947034"/>
    <w:rsid w:val="00947F3A"/>
    <w:rsid w:val="00951CB2"/>
    <w:rsid w:val="00952AB7"/>
    <w:rsid w:val="00952EF7"/>
    <w:rsid w:val="00952F2B"/>
    <w:rsid w:val="00953B2E"/>
    <w:rsid w:val="00953C54"/>
    <w:rsid w:val="00954FAE"/>
    <w:rsid w:val="009558D4"/>
    <w:rsid w:val="00955D64"/>
    <w:rsid w:val="00955FE6"/>
    <w:rsid w:val="009576F3"/>
    <w:rsid w:val="009608EF"/>
    <w:rsid w:val="00960C90"/>
    <w:rsid w:val="00960ECD"/>
    <w:rsid w:val="009612CB"/>
    <w:rsid w:val="0096281D"/>
    <w:rsid w:val="00963F09"/>
    <w:rsid w:val="00964272"/>
    <w:rsid w:val="0096517D"/>
    <w:rsid w:val="0096590B"/>
    <w:rsid w:val="00966B1B"/>
    <w:rsid w:val="009674E8"/>
    <w:rsid w:val="009676B8"/>
    <w:rsid w:val="00970414"/>
    <w:rsid w:val="00970D1F"/>
    <w:rsid w:val="00971386"/>
    <w:rsid w:val="00971513"/>
    <w:rsid w:val="0097170E"/>
    <w:rsid w:val="009735FC"/>
    <w:rsid w:val="0097421B"/>
    <w:rsid w:val="00974333"/>
    <w:rsid w:val="00975597"/>
    <w:rsid w:val="00981846"/>
    <w:rsid w:val="00981AD9"/>
    <w:rsid w:val="00982518"/>
    <w:rsid w:val="009830ED"/>
    <w:rsid w:val="009835F3"/>
    <w:rsid w:val="009836BB"/>
    <w:rsid w:val="0098578A"/>
    <w:rsid w:val="00985834"/>
    <w:rsid w:val="00985E27"/>
    <w:rsid w:val="0098680E"/>
    <w:rsid w:val="009903CD"/>
    <w:rsid w:val="009905C9"/>
    <w:rsid w:val="009909CE"/>
    <w:rsid w:val="00991A1B"/>
    <w:rsid w:val="00992193"/>
    <w:rsid w:val="00992431"/>
    <w:rsid w:val="00993D19"/>
    <w:rsid w:val="009948E2"/>
    <w:rsid w:val="0099494C"/>
    <w:rsid w:val="009949ED"/>
    <w:rsid w:val="00994AD9"/>
    <w:rsid w:val="00994D84"/>
    <w:rsid w:val="00995876"/>
    <w:rsid w:val="009959EB"/>
    <w:rsid w:val="009961EC"/>
    <w:rsid w:val="009964D6"/>
    <w:rsid w:val="009A163F"/>
    <w:rsid w:val="009A2324"/>
    <w:rsid w:val="009A245D"/>
    <w:rsid w:val="009A32B8"/>
    <w:rsid w:val="009A4176"/>
    <w:rsid w:val="009A4265"/>
    <w:rsid w:val="009A4295"/>
    <w:rsid w:val="009A42A3"/>
    <w:rsid w:val="009A66DC"/>
    <w:rsid w:val="009A6E23"/>
    <w:rsid w:val="009B1FD4"/>
    <w:rsid w:val="009B2177"/>
    <w:rsid w:val="009B38F7"/>
    <w:rsid w:val="009B4422"/>
    <w:rsid w:val="009B4694"/>
    <w:rsid w:val="009B4790"/>
    <w:rsid w:val="009B4838"/>
    <w:rsid w:val="009B4D03"/>
    <w:rsid w:val="009B550D"/>
    <w:rsid w:val="009B611B"/>
    <w:rsid w:val="009B633B"/>
    <w:rsid w:val="009B66B7"/>
    <w:rsid w:val="009B7587"/>
    <w:rsid w:val="009C0280"/>
    <w:rsid w:val="009C09FC"/>
    <w:rsid w:val="009C0D90"/>
    <w:rsid w:val="009C0FDF"/>
    <w:rsid w:val="009C2466"/>
    <w:rsid w:val="009C33CC"/>
    <w:rsid w:val="009C4D33"/>
    <w:rsid w:val="009C6B9F"/>
    <w:rsid w:val="009C6BAE"/>
    <w:rsid w:val="009C74DE"/>
    <w:rsid w:val="009C7790"/>
    <w:rsid w:val="009C7A40"/>
    <w:rsid w:val="009C7F13"/>
    <w:rsid w:val="009D0392"/>
    <w:rsid w:val="009D1886"/>
    <w:rsid w:val="009D1BA8"/>
    <w:rsid w:val="009D2489"/>
    <w:rsid w:val="009D29D7"/>
    <w:rsid w:val="009D3049"/>
    <w:rsid w:val="009D590B"/>
    <w:rsid w:val="009D5C0C"/>
    <w:rsid w:val="009D6A38"/>
    <w:rsid w:val="009D73EF"/>
    <w:rsid w:val="009E016A"/>
    <w:rsid w:val="009E266E"/>
    <w:rsid w:val="009E289D"/>
    <w:rsid w:val="009E3F9E"/>
    <w:rsid w:val="009E40F8"/>
    <w:rsid w:val="009E559C"/>
    <w:rsid w:val="009E69A9"/>
    <w:rsid w:val="009F19AF"/>
    <w:rsid w:val="009F2BA4"/>
    <w:rsid w:val="009F32F8"/>
    <w:rsid w:val="009F344D"/>
    <w:rsid w:val="009F5116"/>
    <w:rsid w:val="009F6C2B"/>
    <w:rsid w:val="009F6F03"/>
    <w:rsid w:val="00A002A5"/>
    <w:rsid w:val="00A00631"/>
    <w:rsid w:val="00A0148D"/>
    <w:rsid w:val="00A03578"/>
    <w:rsid w:val="00A03832"/>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08C5"/>
    <w:rsid w:val="00A214A0"/>
    <w:rsid w:val="00A247C6"/>
    <w:rsid w:val="00A24D9C"/>
    <w:rsid w:val="00A257CF"/>
    <w:rsid w:val="00A25C99"/>
    <w:rsid w:val="00A26293"/>
    <w:rsid w:val="00A26AEB"/>
    <w:rsid w:val="00A27BDC"/>
    <w:rsid w:val="00A307C7"/>
    <w:rsid w:val="00A31003"/>
    <w:rsid w:val="00A3146F"/>
    <w:rsid w:val="00A3180C"/>
    <w:rsid w:val="00A3291C"/>
    <w:rsid w:val="00A32C9D"/>
    <w:rsid w:val="00A37418"/>
    <w:rsid w:val="00A4005F"/>
    <w:rsid w:val="00A4017E"/>
    <w:rsid w:val="00A42526"/>
    <w:rsid w:val="00A435D3"/>
    <w:rsid w:val="00A44DC2"/>
    <w:rsid w:val="00A45C92"/>
    <w:rsid w:val="00A463AE"/>
    <w:rsid w:val="00A46AE8"/>
    <w:rsid w:val="00A471C1"/>
    <w:rsid w:val="00A47587"/>
    <w:rsid w:val="00A4766E"/>
    <w:rsid w:val="00A47A2A"/>
    <w:rsid w:val="00A47DA5"/>
    <w:rsid w:val="00A47DB2"/>
    <w:rsid w:val="00A528F0"/>
    <w:rsid w:val="00A52CA9"/>
    <w:rsid w:val="00A52D17"/>
    <w:rsid w:val="00A546E0"/>
    <w:rsid w:val="00A5559F"/>
    <w:rsid w:val="00A566F9"/>
    <w:rsid w:val="00A56AC8"/>
    <w:rsid w:val="00A56D1E"/>
    <w:rsid w:val="00A56E84"/>
    <w:rsid w:val="00A57101"/>
    <w:rsid w:val="00A57152"/>
    <w:rsid w:val="00A5789C"/>
    <w:rsid w:val="00A57AFC"/>
    <w:rsid w:val="00A60C73"/>
    <w:rsid w:val="00A61355"/>
    <w:rsid w:val="00A615F9"/>
    <w:rsid w:val="00A62E98"/>
    <w:rsid w:val="00A637F0"/>
    <w:rsid w:val="00A64FCF"/>
    <w:rsid w:val="00A65D59"/>
    <w:rsid w:val="00A65E4B"/>
    <w:rsid w:val="00A667FF"/>
    <w:rsid w:val="00A66B6F"/>
    <w:rsid w:val="00A66D69"/>
    <w:rsid w:val="00A704F4"/>
    <w:rsid w:val="00A70904"/>
    <w:rsid w:val="00A71601"/>
    <w:rsid w:val="00A71EFC"/>
    <w:rsid w:val="00A72EF1"/>
    <w:rsid w:val="00A732EC"/>
    <w:rsid w:val="00A7392A"/>
    <w:rsid w:val="00A74927"/>
    <w:rsid w:val="00A74963"/>
    <w:rsid w:val="00A7498D"/>
    <w:rsid w:val="00A7507D"/>
    <w:rsid w:val="00A757CD"/>
    <w:rsid w:val="00A76081"/>
    <w:rsid w:val="00A77189"/>
    <w:rsid w:val="00A777C1"/>
    <w:rsid w:val="00A77A04"/>
    <w:rsid w:val="00A822EC"/>
    <w:rsid w:val="00A82D74"/>
    <w:rsid w:val="00A82FFC"/>
    <w:rsid w:val="00A83F6D"/>
    <w:rsid w:val="00A83FDC"/>
    <w:rsid w:val="00A84339"/>
    <w:rsid w:val="00A84C69"/>
    <w:rsid w:val="00A85A26"/>
    <w:rsid w:val="00A86143"/>
    <w:rsid w:val="00A86154"/>
    <w:rsid w:val="00A8696A"/>
    <w:rsid w:val="00A86F4B"/>
    <w:rsid w:val="00A8790C"/>
    <w:rsid w:val="00A90F1A"/>
    <w:rsid w:val="00A91558"/>
    <w:rsid w:val="00A91764"/>
    <w:rsid w:val="00A92EB3"/>
    <w:rsid w:val="00A9338C"/>
    <w:rsid w:val="00A93C5F"/>
    <w:rsid w:val="00A93FE0"/>
    <w:rsid w:val="00A95744"/>
    <w:rsid w:val="00A95E1B"/>
    <w:rsid w:val="00A96127"/>
    <w:rsid w:val="00A96BB9"/>
    <w:rsid w:val="00AA1CD6"/>
    <w:rsid w:val="00AA1E0B"/>
    <w:rsid w:val="00AA2492"/>
    <w:rsid w:val="00AA3659"/>
    <w:rsid w:val="00AA37BA"/>
    <w:rsid w:val="00AA494E"/>
    <w:rsid w:val="00AA517D"/>
    <w:rsid w:val="00AA544C"/>
    <w:rsid w:val="00AA749D"/>
    <w:rsid w:val="00AA7988"/>
    <w:rsid w:val="00AA79FF"/>
    <w:rsid w:val="00AB0147"/>
    <w:rsid w:val="00AB21C4"/>
    <w:rsid w:val="00AB522E"/>
    <w:rsid w:val="00AB54EF"/>
    <w:rsid w:val="00AB54F7"/>
    <w:rsid w:val="00AB6291"/>
    <w:rsid w:val="00AB6520"/>
    <w:rsid w:val="00AB7663"/>
    <w:rsid w:val="00AB7E21"/>
    <w:rsid w:val="00AC0621"/>
    <w:rsid w:val="00AC0DC5"/>
    <w:rsid w:val="00AC22E3"/>
    <w:rsid w:val="00AC287B"/>
    <w:rsid w:val="00AC2EA8"/>
    <w:rsid w:val="00AC340C"/>
    <w:rsid w:val="00AC3B6D"/>
    <w:rsid w:val="00AC41B8"/>
    <w:rsid w:val="00AC470D"/>
    <w:rsid w:val="00AC4D06"/>
    <w:rsid w:val="00AC4D2F"/>
    <w:rsid w:val="00AC55B5"/>
    <w:rsid w:val="00AC5639"/>
    <w:rsid w:val="00AC67EE"/>
    <w:rsid w:val="00AC6966"/>
    <w:rsid w:val="00AC7887"/>
    <w:rsid w:val="00AD05D2"/>
    <w:rsid w:val="00AD0976"/>
    <w:rsid w:val="00AD0EF1"/>
    <w:rsid w:val="00AD10BA"/>
    <w:rsid w:val="00AD126E"/>
    <w:rsid w:val="00AD175A"/>
    <w:rsid w:val="00AD1F00"/>
    <w:rsid w:val="00AD2CF2"/>
    <w:rsid w:val="00AD2EF1"/>
    <w:rsid w:val="00AD5B85"/>
    <w:rsid w:val="00AD5D2E"/>
    <w:rsid w:val="00AD5ECB"/>
    <w:rsid w:val="00AD6027"/>
    <w:rsid w:val="00AD66DC"/>
    <w:rsid w:val="00AD693E"/>
    <w:rsid w:val="00AD7FEF"/>
    <w:rsid w:val="00AE0378"/>
    <w:rsid w:val="00AE0784"/>
    <w:rsid w:val="00AE10C3"/>
    <w:rsid w:val="00AE1810"/>
    <w:rsid w:val="00AE1DE8"/>
    <w:rsid w:val="00AE2193"/>
    <w:rsid w:val="00AE21C1"/>
    <w:rsid w:val="00AE39F6"/>
    <w:rsid w:val="00AE3C67"/>
    <w:rsid w:val="00AE4205"/>
    <w:rsid w:val="00AE4F93"/>
    <w:rsid w:val="00AE7561"/>
    <w:rsid w:val="00AE768F"/>
    <w:rsid w:val="00AE79B4"/>
    <w:rsid w:val="00AE7CE4"/>
    <w:rsid w:val="00AF047D"/>
    <w:rsid w:val="00AF0836"/>
    <w:rsid w:val="00AF0C81"/>
    <w:rsid w:val="00AF188B"/>
    <w:rsid w:val="00AF1E04"/>
    <w:rsid w:val="00AF1E22"/>
    <w:rsid w:val="00AF24DE"/>
    <w:rsid w:val="00AF2C49"/>
    <w:rsid w:val="00AF31EF"/>
    <w:rsid w:val="00AF3465"/>
    <w:rsid w:val="00AF3B18"/>
    <w:rsid w:val="00AF4516"/>
    <w:rsid w:val="00AF474C"/>
    <w:rsid w:val="00AF4B84"/>
    <w:rsid w:val="00AF4E85"/>
    <w:rsid w:val="00AF6227"/>
    <w:rsid w:val="00AF688A"/>
    <w:rsid w:val="00AF6A0E"/>
    <w:rsid w:val="00B00ED4"/>
    <w:rsid w:val="00B012AA"/>
    <w:rsid w:val="00B01524"/>
    <w:rsid w:val="00B01B3D"/>
    <w:rsid w:val="00B02398"/>
    <w:rsid w:val="00B0246C"/>
    <w:rsid w:val="00B02AFC"/>
    <w:rsid w:val="00B0402C"/>
    <w:rsid w:val="00B04F80"/>
    <w:rsid w:val="00B0596C"/>
    <w:rsid w:val="00B0653E"/>
    <w:rsid w:val="00B06F29"/>
    <w:rsid w:val="00B07391"/>
    <w:rsid w:val="00B07A9D"/>
    <w:rsid w:val="00B10CE1"/>
    <w:rsid w:val="00B114BB"/>
    <w:rsid w:val="00B135AA"/>
    <w:rsid w:val="00B13B22"/>
    <w:rsid w:val="00B14C61"/>
    <w:rsid w:val="00B14E9A"/>
    <w:rsid w:val="00B16707"/>
    <w:rsid w:val="00B17357"/>
    <w:rsid w:val="00B17B3E"/>
    <w:rsid w:val="00B17B4B"/>
    <w:rsid w:val="00B17BA1"/>
    <w:rsid w:val="00B20AC0"/>
    <w:rsid w:val="00B21C60"/>
    <w:rsid w:val="00B21DC0"/>
    <w:rsid w:val="00B22C97"/>
    <w:rsid w:val="00B23AE5"/>
    <w:rsid w:val="00B242D9"/>
    <w:rsid w:val="00B24F6F"/>
    <w:rsid w:val="00B252F5"/>
    <w:rsid w:val="00B25717"/>
    <w:rsid w:val="00B25BE0"/>
    <w:rsid w:val="00B25DC8"/>
    <w:rsid w:val="00B2603B"/>
    <w:rsid w:val="00B2641C"/>
    <w:rsid w:val="00B268A6"/>
    <w:rsid w:val="00B277ED"/>
    <w:rsid w:val="00B278E2"/>
    <w:rsid w:val="00B278FC"/>
    <w:rsid w:val="00B30D63"/>
    <w:rsid w:val="00B30FEA"/>
    <w:rsid w:val="00B31110"/>
    <w:rsid w:val="00B33919"/>
    <w:rsid w:val="00B33B31"/>
    <w:rsid w:val="00B3429D"/>
    <w:rsid w:val="00B35394"/>
    <w:rsid w:val="00B35563"/>
    <w:rsid w:val="00B35B92"/>
    <w:rsid w:val="00B36320"/>
    <w:rsid w:val="00B36934"/>
    <w:rsid w:val="00B36D69"/>
    <w:rsid w:val="00B400BD"/>
    <w:rsid w:val="00B40399"/>
    <w:rsid w:val="00B404D1"/>
    <w:rsid w:val="00B4079A"/>
    <w:rsid w:val="00B40833"/>
    <w:rsid w:val="00B40902"/>
    <w:rsid w:val="00B41EFC"/>
    <w:rsid w:val="00B42840"/>
    <w:rsid w:val="00B42979"/>
    <w:rsid w:val="00B431E9"/>
    <w:rsid w:val="00B439F8"/>
    <w:rsid w:val="00B44DE8"/>
    <w:rsid w:val="00B454A9"/>
    <w:rsid w:val="00B459C2"/>
    <w:rsid w:val="00B47CBA"/>
    <w:rsid w:val="00B51310"/>
    <w:rsid w:val="00B513BE"/>
    <w:rsid w:val="00B515AA"/>
    <w:rsid w:val="00B5199A"/>
    <w:rsid w:val="00B51EE1"/>
    <w:rsid w:val="00B52D05"/>
    <w:rsid w:val="00B540C1"/>
    <w:rsid w:val="00B540D4"/>
    <w:rsid w:val="00B54380"/>
    <w:rsid w:val="00B543FE"/>
    <w:rsid w:val="00B545DE"/>
    <w:rsid w:val="00B5660D"/>
    <w:rsid w:val="00B5684E"/>
    <w:rsid w:val="00B57981"/>
    <w:rsid w:val="00B60A34"/>
    <w:rsid w:val="00B61175"/>
    <w:rsid w:val="00B614FB"/>
    <w:rsid w:val="00B618C2"/>
    <w:rsid w:val="00B6194E"/>
    <w:rsid w:val="00B61950"/>
    <w:rsid w:val="00B6295A"/>
    <w:rsid w:val="00B634E3"/>
    <w:rsid w:val="00B6419B"/>
    <w:rsid w:val="00B644AE"/>
    <w:rsid w:val="00B646C0"/>
    <w:rsid w:val="00B65941"/>
    <w:rsid w:val="00B65CFD"/>
    <w:rsid w:val="00B660F5"/>
    <w:rsid w:val="00B66986"/>
    <w:rsid w:val="00B67E1D"/>
    <w:rsid w:val="00B708DC"/>
    <w:rsid w:val="00B71963"/>
    <w:rsid w:val="00B71F7F"/>
    <w:rsid w:val="00B72360"/>
    <w:rsid w:val="00B74426"/>
    <w:rsid w:val="00B7587A"/>
    <w:rsid w:val="00B76019"/>
    <w:rsid w:val="00B76445"/>
    <w:rsid w:val="00B765BA"/>
    <w:rsid w:val="00B76797"/>
    <w:rsid w:val="00B76D1B"/>
    <w:rsid w:val="00B80335"/>
    <w:rsid w:val="00B80B44"/>
    <w:rsid w:val="00B83E08"/>
    <w:rsid w:val="00B85885"/>
    <w:rsid w:val="00B85BB8"/>
    <w:rsid w:val="00B8646B"/>
    <w:rsid w:val="00B872D2"/>
    <w:rsid w:val="00B901A4"/>
    <w:rsid w:val="00B9092A"/>
    <w:rsid w:val="00B90FDF"/>
    <w:rsid w:val="00B91C8A"/>
    <w:rsid w:val="00B91DFB"/>
    <w:rsid w:val="00B920D1"/>
    <w:rsid w:val="00B925BE"/>
    <w:rsid w:val="00B93061"/>
    <w:rsid w:val="00B933CF"/>
    <w:rsid w:val="00B93A48"/>
    <w:rsid w:val="00B945F5"/>
    <w:rsid w:val="00B9529A"/>
    <w:rsid w:val="00B9681A"/>
    <w:rsid w:val="00B971E9"/>
    <w:rsid w:val="00B97F29"/>
    <w:rsid w:val="00BA0662"/>
    <w:rsid w:val="00BA0723"/>
    <w:rsid w:val="00BA0ED2"/>
    <w:rsid w:val="00BA11CB"/>
    <w:rsid w:val="00BA1AC3"/>
    <w:rsid w:val="00BA1C54"/>
    <w:rsid w:val="00BA2D33"/>
    <w:rsid w:val="00BA3E65"/>
    <w:rsid w:val="00BA3F82"/>
    <w:rsid w:val="00BA4468"/>
    <w:rsid w:val="00BA5B14"/>
    <w:rsid w:val="00BA6BE4"/>
    <w:rsid w:val="00BA7461"/>
    <w:rsid w:val="00BB01B5"/>
    <w:rsid w:val="00BB08B2"/>
    <w:rsid w:val="00BB29AA"/>
    <w:rsid w:val="00BB35DF"/>
    <w:rsid w:val="00BB3EC0"/>
    <w:rsid w:val="00BB4A0D"/>
    <w:rsid w:val="00BB4A5B"/>
    <w:rsid w:val="00BB5336"/>
    <w:rsid w:val="00BB5538"/>
    <w:rsid w:val="00BB554E"/>
    <w:rsid w:val="00BB5B81"/>
    <w:rsid w:val="00BB5E21"/>
    <w:rsid w:val="00BB611E"/>
    <w:rsid w:val="00BB62D4"/>
    <w:rsid w:val="00BB6BD5"/>
    <w:rsid w:val="00BB6D39"/>
    <w:rsid w:val="00BB7152"/>
    <w:rsid w:val="00BB71A8"/>
    <w:rsid w:val="00BB7792"/>
    <w:rsid w:val="00BB7A3C"/>
    <w:rsid w:val="00BB7C2D"/>
    <w:rsid w:val="00BC092A"/>
    <w:rsid w:val="00BC0BCA"/>
    <w:rsid w:val="00BC1C49"/>
    <w:rsid w:val="00BC22D7"/>
    <w:rsid w:val="00BC2AD6"/>
    <w:rsid w:val="00BC3756"/>
    <w:rsid w:val="00BC4D9A"/>
    <w:rsid w:val="00BC5602"/>
    <w:rsid w:val="00BC56FA"/>
    <w:rsid w:val="00BC719C"/>
    <w:rsid w:val="00BC7D17"/>
    <w:rsid w:val="00BD3603"/>
    <w:rsid w:val="00BD400A"/>
    <w:rsid w:val="00BD425A"/>
    <w:rsid w:val="00BD45B0"/>
    <w:rsid w:val="00BD4B3A"/>
    <w:rsid w:val="00BD4DBD"/>
    <w:rsid w:val="00BD7328"/>
    <w:rsid w:val="00BD7498"/>
    <w:rsid w:val="00BD7EE7"/>
    <w:rsid w:val="00BE039B"/>
    <w:rsid w:val="00BE0BA8"/>
    <w:rsid w:val="00BE189B"/>
    <w:rsid w:val="00BE4793"/>
    <w:rsid w:val="00BE59EF"/>
    <w:rsid w:val="00BE6BD1"/>
    <w:rsid w:val="00BE7BA2"/>
    <w:rsid w:val="00BF0966"/>
    <w:rsid w:val="00BF19CA"/>
    <w:rsid w:val="00BF1B16"/>
    <w:rsid w:val="00BF2FF1"/>
    <w:rsid w:val="00BF3302"/>
    <w:rsid w:val="00BF3697"/>
    <w:rsid w:val="00BF3DAB"/>
    <w:rsid w:val="00BF4ED4"/>
    <w:rsid w:val="00BF4FD6"/>
    <w:rsid w:val="00BF569C"/>
    <w:rsid w:val="00BF62FC"/>
    <w:rsid w:val="00BF6563"/>
    <w:rsid w:val="00BF6A65"/>
    <w:rsid w:val="00BF6ACE"/>
    <w:rsid w:val="00BF7356"/>
    <w:rsid w:val="00BF79ED"/>
    <w:rsid w:val="00BF7F1C"/>
    <w:rsid w:val="00C00D0F"/>
    <w:rsid w:val="00C0177B"/>
    <w:rsid w:val="00C01827"/>
    <w:rsid w:val="00C0250D"/>
    <w:rsid w:val="00C03F7B"/>
    <w:rsid w:val="00C0482C"/>
    <w:rsid w:val="00C04F0C"/>
    <w:rsid w:val="00C04FB6"/>
    <w:rsid w:val="00C0518A"/>
    <w:rsid w:val="00C05C58"/>
    <w:rsid w:val="00C0754D"/>
    <w:rsid w:val="00C07667"/>
    <w:rsid w:val="00C10295"/>
    <w:rsid w:val="00C10C4D"/>
    <w:rsid w:val="00C11961"/>
    <w:rsid w:val="00C13A51"/>
    <w:rsid w:val="00C1476B"/>
    <w:rsid w:val="00C16160"/>
    <w:rsid w:val="00C169C7"/>
    <w:rsid w:val="00C16FC8"/>
    <w:rsid w:val="00C1746A"/>
    <w:rsid w:val="00C20039"/>
    <w:rsid w:val="00C20CD5"/>
    <w:rsid w:val="00C2110E"/>
    <w:rsid w:val="00C2119A"/>
    <w:rsid w:val="00C2190E"/>
    <w:rsid w:val="00C226E6"/>
    <w:rsid w:val="00C22E85"/>
    <w:rsid w:val="00C236D1"/>
    <w:rsid w:val="00C24CAC"/>
    <w:rsid w:val="00C2517F"/>
    <w:rsid w:val="00C25815"/>
    <w:rsid w:val="00C26A45"/>
    <w:rsid w:val="00C26B29"/>
    <w:rsid w:val="00C273EB"/>
    <w:rsid w:val="00C31018"/>
    <w:rsid w:val="00C313BF"/>
    <w:rsid w:val="00C31432"/>
    <w:rsid w:val="00C31EAE"/>
    <w:rsid w:val="00C322CE"/>
    <w:rsid w:val="00C323A5"/>
    <w:rsid w:val="00C32750"/>
    <w:rsid w:val="00C32BBA"/>
    <w:rsid w:val="00C3342D"/>
    <w:rsid w:val="00C33450"/>
    <w:rsid w:val="00C3426B"/>
    <w:rsid w:val="00C35CFB"/>
    <w:rsid w:val="00C36B6B"/>
    <w:rsid w:val="00C37071"/>
    <w:rsid w:val="00C37D32"/>
    <w:rsid w:val="00C37F3E"/>
    <w:rsid w:val="00C40C4C"/>
    <w:rsid w:val="00C41586"/>
    <w:rsid w:val="00C42902"/>
    <w:rsid w:val="00C429CF"/>
    <w:rsid w:val="00C42C94"/>
    <w:rsid w:val="00C4353C"/>
    <w:rsid w:val="00C43C45"/>
    <w:rsid w:val="00C43FE2"/>
    <w:rsid w:val="00C44118"/>
    <w:rsid w:val="00C444CE"/>
    <w:rsid w:val="00C505E4"/>
    <w:rsid w:val="00C51DBB"/>
    <w:rsid w:val="00C52061"/>
    <w:rsid w:val="00C522E9"/>
    <w:rsid w:val="00C524A3"/>
    <w:rsid w:val="00C52681"/>
    <w:rsid w:val="00C53095"/>
    <w:rsid w:val="00C5317F"/>
    <w:rsid w:val="00C53680"/>
    <w:rsid w:val="00C55D51"/>
    <w:rsid w:val="00C57C43"/>
    <w:rsid w:val="00C611D9"/>
    <w:rsid w:val="00C617D4"/>
    <w:rsid w:val="00C61F61"/>
    <w:rsid w:val="00C620A7"/>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FBB"/>
    <w:rsid w:val="00C777A9"/>
    <w:rsid w:val="00C80455"/>
    <w:rsid w:val="00C8114F"/>
    <w:rsid w:val="00C84E62"/>
    <w:rsid w:val="00C86DAC"/>
    <w:rsid w:val="00C87C55"/>
    <w:rsid w:val="00C92596"/>
    <w:rsid w:val="00C92FD1"/>
    <w:rsid w:val="00C93576"/>
    <w:rsid w:val="00C937E1"/>
    <w:rsid w:val="00C93BB7"/>
    <w:rsid w:val="00C94281"/>
    <w:rsid w:val="00C954E6"/>
    <w:rsid w:val="00C955A6"/>
    <w:rsid w:val="00C96353"/>
    <w:rsid w:val="00C97369"/>
    <w:rsid w:val="00C97628"/>
    <w:rsid w:val="00C97CCB"/>
    <w:rsid w:val="00C97F5E"/>
    <w:rsid w:val="00CA020D"/>
    <w:rsid w:val="00CA0D6F"/>
    <w:rsid w:val="00CA0D7D"/>
    <w:rsid w:val="00CA1147"/>
    <w:rsid w:val="00CA2ACA"/>
    <w:rsid w:val="00CA3407"/>
    <w:rsid w:val="00CA41E9"/>
    <w:rsid w:val="00CA4A3C"/>
    <w:rsid w:val="00CA4FEC"/>
    <w:rsid w:val="00CA50E5"/>
    <w:rsid w:val="00CA6044"/>
    <w:rsid w:val="00CA645C"/>
    <w:rsid w:val="00CA650E"/>
    <w:rsid w:val="00CA6F45"/>
    <w:rsid w:val="00CA7473"/>
    <w:rsid w:val="00CB0D7D"/>
    <w:rsid w:val="00CB0F13"/>
    <w:rsid w:val="00CB151B"/>
    <w:rsid w:val="00CB30B8"/>
    <w:rsid w:val="00CB36C1"/>
    <w:rsid w:val="00CB4258"/>
    <w:rsid w:val="00CB42EF"/>
    <w:rsid w:val="00CB45BC"/>
    <w:rsid w:val="00CB4609"/>
    <w:rsid w:val="00CB4B74"/>
    <w:rsid w:val="00CB636A"/>
    <w:rsid w:val="00CC0D33"/>
    <w:rsid w:val="00CC16ED"/>
    <w:rsid w:val="00CC29FD"/>
    <w:rsid w:val="00CC311F"/>
    <w:rsid w:val="00CC3DCF"/>
    <w:rsid w:val="00CC50E3"/>
    <w:rsid w:val="00CC5511"/>
    <w:rsid w:val="00CC6048"/>
    <w:rsid w:val="00CC6147"/>
    <w:rsid w:val="00CC66AF"/>
    <w:rsid w:val="00CC69B2"/>
    <w:rsid w:val="00CC6A11"/>
    <w:rsid w:val="00CC7450"/>
    <w:rsid w:val="00CC7AC1"/>
    <w:rsid w:val="00CD139A"/>
    <w:rsid w:val="00CD209F"/>
    <w:rsid w:val="00CD31CD"/>
    <w:rsid w:val="00CD35CA"/>
    <w:rsid w:val="00CD368F"/>
    <w:rsid w:val="00CD3CB8"/>
    <w:rsid w:val="00CD4F11"/>
    <w:rsid w:val="00CD592C"/>
    <w:rsid w:val="00CD5AD0"/>
    <w:rsid w:val="00CD6665"/>
    <w:rsid w:val="00CD70F8"/>
    <w:rsid w:val="00CE02D2"/>
    <w:rsid w:val="00CE32D5"/>
    <w:rsid w:val="00CE4537"/>
    <w:rsid w:val="00CE588D"/>
    <w:rsid w:val="00CE6528"/>
    <w:rsid w:val="00CE75EF"/>
    <w:rsid w:val="00CF1638"/>
    <w:rsid w:val="00CF17FD"/>
    <w:rsid w:val="00CF1B4B"/>
    <w:rsid w:val="00CF1C7F"/>
    <w:rsid w:val="00CF288F"/>
    <w:rsid w:val="00CF2921"/>
    <w:rsid w:val="00CF4100"/>
    <w:rsid w:val="00CF50E5"/>
    <w:rsid w:val="00CF5EFF"/>
    <w:rsid w:val="00CF62D6"/>
    <w:rsid w:val="00CF721B"/>
    <w:rsid w:val="00CF75F9"/>
    <w:rsid w:val="00D0122B"/>
    <w:rsid w:val="00D01FEC"/>
    <w:rsid w:val="00D027D9"/>
    <w:rsid w:val="00D04130"/>
    <w:rsid w:val="00D054E8"/>
    <w:rsid w:val="00D06E18"/>
    <w:rsid w:val="00D0715E"/>
    <w:rsid w:val="00D0731C"/>
    <w:rsid w:val="00D074E2"/>
    <w:rsid w:val="00D07950"/>
    <w:rsid w:val="00D11C1F"/>
    <w:rsid w:val="00D12D81"/>
    <w:rsid w:val="00D12D97"/>
    <w:rsid w:val="00D136A0"/>
    <w:rsid w:val="00D13A8F"/>
    <w:rsid w:val="00D15073"/>
    <w:rsid w:val="00D15407"/>
    <w:rsid w:val="00D166CB"/>
    <w:rsid w:val="00D178CE"/>
    <w:rsid w:val="00D20490"/>
    <w:rsid w:val="00D205D3"/>
    <w:rsid w:val="00D213D1"/>
    <w:rsid w:val="00D214EF"/>
    <w:rsid w:val="00D22F72"/>
    <w:rsid w:val="00D2371B"/>
    <w:rsid w:val="00D23A8C"/>
    <w:rsid w:val="00D24F9D"/>
    <w:rsid w:val="00D254F0"/>
    <w:rsid w:val="00D25899"/>
    <w:rsid w:val="00D276A0"/>
    <w:rsid w:val="00D27B6B"/>
    <w:rsid w:val="00D31C8A"/>
    <w:rsid w:val="00D325B3"/>
    <w:rsid w:val="00D33370"/>
    <w:rsid w:val="00D33A16"/>
    <w:rsid w:val="00D33AAF"/>
    <w:rsid w:val="00D356F9"/>
    <w:rsid w:val="00D35B97"/>
    <w:rsid w:val="00D362C3"/>
    <w:rsid w:val="00D36426"/>
    <w:rsid w:val="00D36C4E"/>
    <w:rsid w:val="00D36D9A"/>
    <w:rsid w:val="00D402B0"/>
    <w:rsid w:val="00D402EB"/>
    <w:rsid w:val="00D4076E"/>
    <w:rsid w:val="00D41484"/>
    <w:rsid w:val="00D42135"/>
    <w:rsid w:val="00D445BA"/>
    <w:rsid w:val="00D45206"/>
    <w:rsid w:val="00D46A00"/>
    <w:rsid w:val="00D46F74"/>
    <w:rsid w:val="00D47132"/>
    <w:rsid w:val="00D47BC0"/>
    <w:rsid w:val="00D50391"/>
    <w:rsid w:val="00D50839"/>
    <w:rsid w:val="00D5124C"/>
    <w:rsid w:val="00D512D2"/>
    <w:rsid w:val="00D5165D"/>
    <w:rsid w:val="00D517D4"/>
    <w:rsid w:val="00D51C36"/>
    <w:rsid w:val="00D529B1"/>
    <w:rsid w:val="00D55330"/>
    <w:rsid w:val="00D55558"/>
    <w:rsid w:val="00D566E1"/>
    <w:rsid w:val="00D56989"/>
    <w:rsid w:val="00D5740A"/>
    <w:rsid w:val="00D57410"/>
    <w:rsid w:val="00D6095E"/>
    <w:rsid w:val="00D621E0"/>
    <w:rsid w:val="00D622DA"/>
    <w:rsid w:val="00D6316B"/>
    <w:rsid w:val="00D632B5"/>
    <w:rsid w:val="00D63E6D"/>
    <w:rsid w:val="00D64301"/>
    <w:rsid w:val="00D64E04"/>
    <w:rsid w:val="00D652F2"/>
    <w:rsid w:val="00D66AF8"/>
    <w:rsid w:val="00D66CD0"/>
    <w:rsid w:val="00D70D04"/>
    <w:rsid w:val="00D70FD0"/>
    <w:rsid w:val="00D7100F"/>
    <w:rsid w:val="00D72429"/>
    <w:rsid w:val="00D73260"/>
    <w:rsid w:val="00D73F2A"/>
    <w:rsid w:val="00D75048"/>
    <w:rsid w:val="00D7543F"/>
    <w:rsid w:val="00D75CC6"/>
    <w:rsid w:val="00D7644F"/>
    <w:rsid w:val="00D76C5B"/>
    <w:rsid w:val="00D7730C"/>
    <w:rsid w:val="00D8068A"/>
    <w:rsid w:val="00D818FC"/>
    <w:rsid w:val="00D81B34"/>
    <w:rsid w:val="00D81E5D"/>
    <w:rsid w:val="00D8268A"/>
    <w:rsid w:val="00D82BAE"/>
    <w:rsid w:val="00D83916"/>
    <w:rsid w:val="00D844CC"/>
    <w:rsid w:val="00D8479E"/>
    <w:rsid w:val="00D848D0"/>
    <w:rsid w:val="00D84EF5"/>
    <w:rsid w:val="00D84F0E"/>
    <w:rsid w:val="00D85A22"/>
    <w:rsid w:val="00D872E5"/>
    <w:rsid w:val="00D90081"/>
    <w:rsid w:val="00D901B4"/>
    <w:rsid w:val="00D91AA3"/>
    <w:rsid w:val="00D91DE7"/>
    <w:rsid w:val="00D91EE4"/>
    <w:rsid w:val="00D92005"/>
    <w:rsid w:val="00D92312"/>
    <w:rsid w:val="00D92C18"/>
    <w:rsid w:val="00D970D3"/>
    <w:rsid w:val="00D974D9"/>
    <w:rsid w:val="00D9784A"/>
    <w:rsid w:val="00D97F26"/>
    <w:rsid w:val="00DA1553"/>
    <w:rsid w:val="00DA2AE9"/>
    <w:rsid w:val="00DA3AFC"/>
    <w:rsid w:val="00DA3ED6"/>
    <w:rsid w:val="00DA4326"/>
    <w:rsid w:val="00DA562E"/>
    <w:rsid w:val="00DA6F73"/>
    <w:rsid w:val="00DB1531"/>
    <w:rsid w:val="00DB2067"/>
    <w:rsid w:val="00DB4212"/>
    <w:rsid w:val="00DB4C26"/>
    <w:rsid w:val="00DB4D1E"/>
    <w:rsid w:val="00DB516B"/>
    <w:rsid w:val="00DB5ED6"/>
    <w:rsid w:val="00DB6910"/>
    <w:rsid w:val="00DC0546"/>
    <w:rsid w:val="00DC0622"/>
    <w:rsid w:val="00DC24DE"/>
    <w:rsid w:val="00DC56C0"/>
    <w:rsid w:val="00DC5A39"/>
    <w:rsid w:val="00DC6707"/>
    <w:rsid w:val="00DC6F4B"/>
    <w:rsid w:val="00DC75FE"/>
    <w:rsid w:val="00DD0BF1"/>
    <w:rsid w:val="00DD364F"/>
    <w:rsid w:val="00DD3B77"/>
    <w:rsid w:val="00DD4069"/>
    <w:rsid w:val="00DD418A"/>
    <w:rsid w:val="00DD43CA"/>
    <w:rsid w:val="00DD494B"/>
    <w:rsid w:val="00DD514D"/>
    <w:rsid w:val="00DD59AB"/>
    <w:rsid w:val="00DD5AB8"/>
    <w:rsid w:val="00DD789E"/>
    <w:rsid w:val="00DE01D1"/>
    <w:rsid w:val="00DE0839"/>
    <w:rsid w:val="00DE14E5"/>
    <w:rsid w:val="00DE1BC4"/>
    <w:rsid w:val="00DE5C64"/>
    <w:rsid w:val="00DE6304"/>
    <w:rsid w:val="00DE6410"/>
    <w:rsid w:val="00DE77C9"/>
    <w:rsid w:val="00DF17AE"/>
    <w:rsid w:val="00DF1C40"/>
    <w:rsid w:val="00DF359C"/>
    <w:rsid w:val="00DF3A46"/>
    <w:rsid w:val="00DF4163"/>
    <w:rsid w:val="00DF56FC"/>
    <w:rsid w:val="00DF589D"/>
    <w:rsid w:val="00DF66B5"/>
    <w:rsid w:val="00DF6D21"/>
    <w:rsid w:val="00DF6E0F"/>
    <w:rsid w:val="00DF724E"/>
    <w:rsid w:val="00DF75AF"/>
    <w:rsid w:val="00E00704"/>
    <w:rsid w:val="00E00743"/>
    <w:rsid w:val="00E010F8"/>
    <w:rsid w:val="00E013F0"/>
    <w:rsid w:val="00E01EAB"/>
    <w:rsid w:val="00E020D0"/>
    <w:rsid w:val="00E025C3"/>
    <w:rsid w:val="00E02DF8"/>
    <w:rsid w:val="00E034E0"/>
    <w:rsid w:val="00E04CA7"/>
    <w:rsid w:val="00E05823"/>
    <w:rsid w:val="00E05C48"/>
    <w:rsid w:val="00E05C89"/>
    <w:rsid w:val="00E066F3"/>
    <w:rsid w:val="00E075A5"/>
    <w:rsid w:val="00E075EF"/>
    <w:rsid w:val="00E07D2A"/>
    <w:rsid w:val="00E10F9D"/>
    <w:rsid w:val="00E11270"/>
    <w:rsid w:val="00E115B4"/>
    <w:rsid w:val="00E11A15"/>
    <w:rsid w:val="00E12D5D"/>
    <w:rsid w:val="00E13A1E"/>
    <w:rsid w:val="00E14BC1"/>
    <w:rsid w:val="00E150D0"/>
    <w:rsid w:val="00E15F47"/>
    <w:rsid w:val="00E16563"/>
    <w:rsid w:val="00E167ED"/>
    <w:rsid w:val="00E171C2"/>
    <w:rsid w:val="00E20542"/>
    <w:rsid w:val="00E21914"/>
    <w:rsid w:val="00E234BE"/>
    <w:rsid w:val="00E24C40"/>
    <w:rsid w:val="00E2615F"/>
    <w:rsid w:val="00E26AE7"/>
    <w:rsid w:val="00E278F8"/>
    <w:rsid w:val="00E303F1"/>
    <w:rsid w:val="00E305AA"/>
    <w:rsid w:val="00E30C0D"/>
    <w:rsid w:val="00E311FE"/>
    <w:rsid w:val="00E31D2D"/>
    <w:rsid w:val="00E31DEB"/>
    <w:rsid w:val="00E323DF"/>
    <w:rsid w:val="00E32A0A"/>
    <w:rsid w:val="00E345F3"/>
    <w:rsid w:val="00E3480F"/>
    <w:rsid w:val="00E34A0B"/>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5955"/>
    <w:rsid w:val="00E46572"/>
    <w:rsid w:val="00E46635"/>
    <w:rsid w:val="00E4685E"/>
    <w:rsid w:val="00E47046"/>
    <w:rsid w:val="00E47580"/>
    <w:rsid w:val="00E47E99"/>
    <w:rsid w:val="00E508D0"/>
    <w:rsid w:val="00E50A06"/>
    <w:rsid w:val="00E511BD"/>
    <w:rsid w:val="00E5207C"/>
    <w:rsid w:val="00E523B3"/>
    <w:rsid w:val="00E54065"/>
    <w:rsid w:val="00E545CD"/>
    <w:rsid w:val="00E554AF"/>
    <w:rsid w:val="00E57340"/>
    <w:rsid w:val="00E6017F"/>
    <w:rsid w:val="00E60A7B"/>
    <w:rsid w:val="00E60D48"/>
    <w:rsid w:val="00E611CC"/>
    <w:rsid w:val="00E6227E"/>
    <w:rsid w:val="00E626B6"/>
    <w:rsid w:val="00E63E2D"/>
    <w:rsid w:val="00E6456B"/>
    <w:rsid w:val="00E64D54"/>
    <w:rsid w:val="00E64F29"/>
    <w:rsid w:val="00E663BA"/>
    <w:rsid w:val="00E66932"/>
    <w:rsid w:val="00E67881"/>
    <w:rsid w:val="00E70033"/>
    <w:rsid w:val="00E70135"/>
    <w:rsid w:val="00E70461"/>
    <w:rsid w:val="00E7069A"/>
    <w:rsid w:val="00E70A57"/>
    <w:rsid w:val="00E71351"/>
    <w:rsid w:val="00E714BE"/>
    <w:rsid w:val="00E71728"/>
    <w:rsid w:val="00E740A7"/>
    <w:rsid w:val="00E748F1"/>
    <w:rsid w:val="00E74A55"/>
    <w:rsid w:val="00E75202"/>
    <w:rsid w:val="00E75DF2"/>
    <w:rsid w:val="00E7616F"/>
    <w:rsid w:val="00E7702F"/>
    <w:rsid w:val="00E775D4"/>
    <w:rsid w:val="00E7769F"/>
    <w:rsid w:val="00E77756"/>
    <w:rsid w:val="00E77ACA"/>
    <w:rsid w:val="00E77B8F"/>
    <w:rsid w:val="00E8141A"/>
    <w:rsid w:val="00E81EC5"/>
    <w:rsid w:val="00E825ED"/>
    <w:rsid w:val="00E82F28"/>
    <w:rsid w:val="00E835AC"/>
    <w:rsid w:val="00E84027"/>
    <w:rsid w:val="00E850B8"/>
    <w:rsid w:val="00E850FE"/>
    <w:rsid w:val="00E85D1F"/>
    <w:rsid w:val="00E86059"/>
    <w:rsid w:val="00E86F0B"/>
    <w:rsid w:val="00E87877"/>
    <w:rsid w:val="00E879C9"/>
    <w:rsid w:val="00E87F29"/>
    <w:rsid w:val="00E90016"/>
    <w:rsid w:val="00E905A4"/>
    <w:rsid w:val="00E914ED"/>
    <w:rsid w:val="00E928C6"/>
    <w:rsid w:val="00E9341F"/>
    <w:rsid w:val="00E93D37"/>
    <w:rsid w:val="00E93DB4"/>
    <w:rsid w:val="00E93DD4"/>
    <w:rsid w:val="00E94CA8"/>
    <w:rsid w:val="00E94F0B"/>
    <w:rsid w:val="00E956D4"/>
    <w:rsid w:val="00E95CB2"/>
    <w:rsid w:val="00E968D7"/>
    <w:rsid w:val="00E96C9B"/>
    <w:rsid w:val="00EA08B1"/>
    <w:rsid w:val="00EA0AE5"/>
    <w:rsid w:val="00EA147D"/>
    <w:rsid w:val="00EA1875"/>
    <w:rsid w:val="00EA18AF"/>
    <w:rsid w:val="00EA192A"/>
    <w:rsid w:val="00EA289A"/>
    <w:rsid w:val="00EA30AA"/>
    <w:rsid w:val="00EA30F5"/>
    <w:rsid w:val="00EA44A9"/>
    <w:rsid w:val="00EA5016"/>
    <w:rsid w:val="00EA5310"/>
    <w:rsid w:val="00EA5E0C"/>
    <w:rsid w:val="00EA5F60"/>
    <w:rsid w:val="00EA69A1"/>
    <w:rsid w:val="00EA6E93"/>
    <w:rsid w:val="00EA71FA"/>
    <w:rsid w:val="00EA7A2A"/>
    <w:rsid w:val="00EB1807"/>
    <w:rsid w:val="00EB1995"/>
    <w:rsid w:val="00EB21BE"/>
    <w:rsid w:val="00EB27CC"/>
    <w:rsid w:val="00EB2EFD"/>
    <w:rsid w:val="00EB49DB"/>
    <w:rsid w:val="00EB6299"/>
    <w:rsid w:val="00EB632A"/>
    <w:rsid w:val="00EB6B8D"/>
    <w:rsid w:val="00EB6CF1"/>
    <w:rsid w:val="00EB6EFB"/>
    <w:rsid w:val="00EB78EA"/>
    <w:rsid w:val="00EB7BF1"/>
    <w:rsid w:val="00EC01D8"/>
    <w:rsid w:val="00EC06F0"/>
    <w:rsid w:val="00EC0912"/>
    <w:rsid w:val="00EC0DB5"/>
    <w:rsid w:val="00EC17BB"/>
    <w:rsid w:val="00EC1977"/>
    <w:rsid w:val="00EC2088"/>
    <w:rsid w:val="00EC2111"/>
    <w:rsid w:val="00EC274D"/>
    <w:rsid w:val="00EC38FD"/>
    <w:rsid w:val="00EC3D3E"/>
    <w:rsid w:val="00EC517B"/>
    <w:rsid w:val="00EC576A"/>
    <w:rsid w:val="00EC5816"/>
    <w:rsid w:val="00EC5838"/>
    <w:rsid w:val="00EC5BD1"/>
    <w:rsid w:val="00EC5BFC"/>
    <w:rsid w:val="00EC615B"/>
    <w:rsid w:val="00EC6798"/>
    <w:rsid w:val="00EC6A81"/>
    <w:rsid w:val="00EC6B30"/>
    <w:rsid w:val="00EC6E05"/>
    <w:rsid w:val="00EC7929"/>
    <w:rsid w:val="00ED1A6D"/>
    <w:rsid w:val="00ED1F06"/>
    <w:rsid w:val="00ED321E"/>
    <w:rsid w:val="00ED440A"/>
    <w:rsid w:val="00ED460F"/>
    <w:rsid w:val="00ED4E3A"/>
    <w:rsid w:val="00ED56D0"/>
    <w:rsid w:val="00ED5E8C"/>
    <w:rsid w:val="00ED63EB"/>
    <w:rsid w:val="00ED675F"/>
    <w:rsid w:val="00ED6831"/>
    <w:rsid w:val="00ED7330"/>
    <w:rsid w:val="00ED741D"/>
    <w:rsid w:val="00EE0AB4"/>
    <w:rsid w:val="00EE16D2"/>
    <w:rsid w:val="00EE2FB1"/>
    <w:rsid w:val="00EE3A42"/>
    <w:rsid w:val="00EE3BBD"/>
    <w:rsid w:val="00EE4499"/>
    <w:rsid w:val="00EE4D99"/>
    <w:rsid w:val="00EE5110"/>
    <w:rsid w:val="00EE62DF"/>
    <w:rsid w:val="00EE65BC"/>
    <w:rsid w:val="00EE686E"/>
    <w:rsid w:val="00EE70D3"/>
    <w:rsid w:val="00EE754D"/>
    <w:rsid w:val="00EF00B8"/>
    <w:rsid w:val="00EF0E19"/>
    <w:rsid w:val="00EF16A3"/>
    <w:rsid w:val="00EF254D"/>
    <w:rsid w:val="00EF44F7"/>
    <w:rsid w:val="00EF471A"/>
    <w:rsid w:val="00EF60A0"/>
    <w:rsid w:val="00EF663A"/>
    <w:rsid w:val="00EF6829"/>
    <w:rsid w:val="00EF692E"/>
    <w:rsid w:val="00EF6F41"/>
    <w:rsid w:val="00F005AC"/>
    <w:rsid w:val="00F008F6"/>
    <w:rsid w:val="00F00A4D"/>
    <w:rsid w:val="00F02DE5"/>
    <w:rsid w:val="00F02EE3"/>
    <w:rsid w:val="00F0418B"/>
    <w:rsid w:val="00F04CA3"/>
    <w:rsid w:val="00F052FF"/>
    <w:rsid w:val="00F0673C"/>
    <w:rsid w:val="00F06A67"/>
    <w:rsid w:val="00F06C34"/>
    <w:rsid w:val="00F0740E"/>
    <w:rsid w:val="00F106A3"/>
    <w:rsid w:val="00F10826"/>
    <w:rsid w:val="00F10D50"/>
    <w:rsid w:val="00F10DDE"/>
    <w:rsid w:val="00F10E4D"/>
    <w:rsid w:val="00F11688"/>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A7E"/>
    <w:rsid w:val="00F2491D"/>
    <w:rsid w:val="00F25301"/>
    <w:rsid w:val="00F25480"/>
    <w:rsid w:val="00F26691"/>
    <w:rsid w:val="00F27430"/>
    <w:rsid w:val="00F27BB8"/>
    <w:rsid w:val="00F30A19"/>
    <w:rsid w:val="00F30BB1"/>
    <w:rsid w:val="00F323A9"/>
    <w:rsid w:val="00F32453"/>
    <w:rsid w:val="00F34D23"/>
    <w:rsid w:val="00F34FD0"/>
    <w:rsid w:val="00F359B9"/>
    <w:rsid w:val="00F35CCB"/>
    <w:rsid w:val="00F35CD9"/>
    <w:rsid w:val="00F405B9"/>
    <w:rsid w:val="00F40605"/>
    <w:rsid w:val="00F40765"/>
    <w:rsid w:val="00F41169"/>
    <w:rsid w:val="00F419E3"/>
    <w:rsid w:val="00F41AD9"/>
    <w:rsid w:val="00F41B9E"/>
    <w:rsid w:val="00F426D5"/>
    <w:rsid w:val="00F430C7"/>
    <w:rsid w:val="00F440E1"/>
    <w:rsid w:val="00F44B4E"/>
    <w:rsid w:val="00F457B3"/>
    <w:rsid w:val="00F45B8B"/>
    <w:rsid w:val="00F45C66"/>
    <w:rsid w:val="00F4620C"/>
    <w:rsid w:val="00F51C4C"/>
    <w:rsid w:val="00F53E6C"/>
    <w:rsid w:val="00F5446A"/>
    <w:rsid w:val="00F54B69"/>
    <w:rsid w:val="00F54C45"/>
    <w:rsid w:val="00F55248"/>
    <w:rsid w:val="00F552C7"/>
    <w:rsid w:val="00F55396"/>
    <w:rsid w:val="00F55587"/>
    <w:rsid w:val="00F55B70"/>
    <w:rsid w:val="00F578DE"/>
    <w:rsid w:val="00F605F5"/>
    <w:rsid w:val="00F60D73"/>
    <w:rsid w:val="00F6138D"/>
    <w:rsid w:val="00F61ECE"/>
    <w:rsid w:val="00F62C41"/>
    <w:rsid w:val="00F64389"/>
    <w:rsid w:val="00F64891"/>
    <w:rsid w:val="00F64B64"/>
    <w:rsid w:val="00F64FDE"/>
    <w:rsid w:val="00F65221"/>
    <w:rsid w:val="00F654EA"/>
    <w:rsid w:val="00F654FA"/>
    <w:rsid w:val="00F65BB8"/>
    <w:rsid w:val="00F65E49"/>
    <w:rsid w:val="00F65FFA"/>
    <w:rsid w:val="00F66B02"/>
    <w:rsid w:val="00F66C21"/>
    <w:rsid w:val="00F67102"/>
    <w:rsid w:val="00F67EDB"/>
    <w:rsid w:val="00F70758"/>
    <w:rsid w:val="00F7152E"/>
    <w:rsid w:val="00F74B24"/>
    <w:rsid w:val="00F752B3"/>
    <w:rsid w:val="00F75E9C"/>
    <w:rsid w:val="00F7607D"/>
    <w:rsid w:val="00F76393"/>
    <w:rsid w:val="00F76DA4"/>
    <w:rsid w:val="00F76F8A"/>
    <w:rsid w:val="00F8019B"/>
    <w:rsid w:val="00F80488"/>
    <w:rsid w:val="00F80843"/>
    <w:rsid w:val="00F80AD3"/>
    <w:rsid w:val="00F8144C"/>
    <w:rsid w:val="00F81F51"/>
    <w:rsid w:val="00F8267D"/>
    <w:rsid w:val="00F84851"/>
    <w:rsid w:val="00F84D46"/>
    <w:rsid w:val="00F85A80"/>
    <w:rsid w:val="00F86697"/>
    <w:rsid w:val="00F86801"/>
    <w:rsid w:val="00F869F0"/>
    <w:rsid w:val="00F86AED"/>
    <w:rsid w:val="00F90224"/>
    <w:rsid w:val="00F9113D"/>
    <w:rsid w:val="00F912CC"/>
    <w:rsid w:val="00F91FA5"/>
    <w:rsid w:val="00F92AD7"/>
    <w:rsid w:val="00F92CF0"/>
    <w:rsid w:val="00F94D61"/>
    <w:rsid w:val="00F95556"/>
    <w:rsid w:val="00F95C26"/>
    <w:rsid w:val="00F96D2A"/>
    <w:rsid w:val="00F96F23"/>
    <w:rsid w:val="00F97198"/>
    <w:rsid w:val="00F977B9"/>
    <w:rsid w:val="00F97DEF"/>
    <w:rsid w:val="00FA0350"/>
    <w:rsid w:val="00FA3F4F"/>
    <w:rsid w:val="00FA40B1"/>
    <w:rsid w:val="00FA46F8"/>
    <w:rsid w:val="00FA693F"/>
    <w:rsid w:val="00FA69EB"/>
    <w:rsid w:val="00FA7600"/>
    <w:rsid w:val="00FA7745"/>
    <w:rsid w:val="00FA7DEA"/>
    <w:rsid w:val="00FB0862"/>
    <w:rsid w:val="00FB0896"/>
    <w:rsid w:val="00FB09F0"/>
    <w:rsid w:val="00FB0AC1"/>
    <w:rsid w:val="00FB17ED"/>
    <w:rsid w:val="00FB19BB"/>
    <w:rsid w:val="00FB41C7"/>
    <w:rsid w:val="00FB50BC"/>
    <w:rsid w:val="00FB5274"/>
    <w:rsid w:val="00FB587C"/>
    <w:rsid w:val="00FB58A9"/>
    <w:rsid w:val="00FB681C"/>
    <w:rsid w:val="00FB71D2"/>
    <w:rsid w:val="00FB72BB"/>
    <w:rsid w:val="00FB7C04"/>
    <w:rsid w:val="00FC11FC"/>
    <w:rsid w:val="00FC1E2D"/>
    <w:rsid w:val="00FC2B66"/>
    <w:rsid w:val="00FC352A"/>
    <w:rsid w:val="00FC359D"/>
    <w:rsid w:val="00FC40D8"/>
    <w:rsid w:val="00FC41BD"/>
    <w:rsid w:val="00FC487C"/>
    <w:rsid w:val="00FC4D2D"/>
    <w:rsid w:val="00FC4E69"/>
    <w:rsid w:val="00FC5412"/>
    <w:rsid w:val="00FC5C2A"/>
    <w:rsid w:val="00FC5F08"/>
    <w:rsid w:val="00FC5F5D"/>
    <w:rsid w:val="00FC61F9"/>
    <w:rsid w:val="00FC622E"/>
    <w:rsid w:val="00FC66E0"/>
    <w:rsid w:val="00FD0437"/>
    <w:rsid w:val="00FD051E"/>
    <w:rsid w:val="00FD0688"/>
    <w:rsid w:val="00FD0BD6"/>
    <w:rsid w:val="00FD12CD"/>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2F3C"/>
    <w:rsid w:val="00FE43BE"/>
    <w:rsid w:val="00FE4710"/>
    <w:rsid w:val="00FE4736"/>
    <w:rsid w:val="00FE4898"/>
    <w:rsid w:val="00FE5304"/>
    <w:rsid w:val="00FE592B"/>
    <w:rsid w:val="00FE740A"/>
    <w:rsid w:val="00FE7866"/>
    <w:rsid w:val="00FE7C19"/>
    <w:rsid w:val="00FF06D9"/>
    <w:rsid w:val="00FF0849"/>
    <w:rsid w:val="00FF0A08"/>
    <w:rsid w:val="00FF1647"/>
    <w:rsid w:val="00FF22B8"/>
    <w:rsid w:val="00FF2F76"/>
    <w:rsid w:val="00FF3F2D"/>
    <w:rsid w:val="00FF4025"/>
    <w:rsid w:val="00FF4A63"/>
    <w:rsid w:val="00FF4F57"/>
    <w:rsid w:val="00FF54B8"/>
    <w:rsid w:val="00FF7497"/>
    <w:rsid w:val="00FF7835"/>
    <w:rsid w:val="00FF784D"/>
    <w:rsid w:val="0104458B"/>
    <w:rsid w:val="0133758F"/>
    <w:rsid w:val="01640518"/>
    <w:rsid w:val="016D57FA"/>
    <w:rsid w:val="017A6055"/>
    <w:rsid w:val="01956F93"/>
    <w:rsid w:val="019B53E2"/>
    <w:rsid w:val="01C41113"/>
    <w:rsid w:val="01DF1D31"/>
    <w:rsid w:val="01F92D80"/>
    <w:rsid w:val="01F954D4"/>
    <w:rsid w:val="01FD4042"/>
    <w:rsid w:val="020458F6"/>
    <w:rsid w:val="026D0521"/>
    <w:rsid w:val="027D02FE"/>
    <w:rsid w:val="028326FA"/>
    <w:rsid w:val="02B83F1D"/>
    <w:rsid w:val="03026A0B"/>
    <w:rsid w:val="03186D24"/>
    <w:rsid w:val="032B3844"/>
    <w:rsid w:val="03395FEA"/>
    <w:rsid w:val="0388410D"/>
    <w:rsid w:val="03A43FBF"/>
    <w:rsid w:val="04006A2B"/>
    <w:rsid w:val="0409276C"/>
    <w:rsid w:val="045836F1"/>
    <w:rsid w:val="04F902ED"/>
    <w:rsid w:val="054B3988"/>
    <w:rsid w:val="057D4BD1"/>
    <w:rsid w:val="05886E77"/>
    <w:rsid w:val="058A3C4A"/>
    <w:rsid w:val="05C555C6"/>
    <w:rsid w:val="05CE6C7E"/>
    <w:rsid w:val="060F2843"/>
    <w:rsid w:val="0620408A"/>
    <w:rsid w:val="063D0ACC"/>
    <w:rsid w:val="06667525"/>
    <w:rsid w:val="067D1B0C"/>
    <w:rsid w:val="06B405F7"/>
    <w:rsid w:val="06B85605"/>
    <w:rsid w:val="06BA4742"/>
    <w:rsid w:val="06C5167C"/>
    <w:rsid w:val="073432EC"/>
    <w:rsid w:val="075637EA"/>
    <w:rsid w:val="075C60BF"/>
    <w:rsid w:val="076520D3"/>
    <w:rsid w:val="076E75D8"/>
    <w:rsid w:val="07C04B38"/>
    <w:rsid w:val="07D72EA9"/>
    <w:rsid w:val="07E472F9"/>
    <w:rsid w:val="07FA5809"/>
    <w:rsid w:val="080839BA"/>
    <w:rsid w:val="080D3087"/>
    <w:rsid w:val="08187E7F"/>
    <w:rsid w:val="08721009"/>
    <w:rsid w:val="089B4E12"/>
    <w:rsid w:val="089F7BB5"/>
    <w:rsid w:val="08D03634"/>
    <w:rsid w:val="08E77122"/>
    <w:rsid w:val="09220E03"/>
    <w:rsid w:val="09235FAE"/>
    <w:rsid w:val="09440A55"/>
    <w:rsid w:val="094E5E8B"/>
    <w:rsid w:val="09570B83"/>
    <w:rsid w:val="097D6385"/>
    <w:rsid w:val="0980144C"/>
    <w:rsid w:val="098B2F1A"/>
    <w:rsid w:val="099B2686"/>
    <w:rsid w:val="09C736B1"/>
    <w:rsid w:val="09D12691"/>
    <w:rsid w:val="09DA7976"/>
    <w:rsid w:val="09DE7D03"/>
    <w:rsid w:val="09E667D0"/>
    <w:rsid w:val="0A2A52A4"/>
    <w:rsid w:val="0A425AE5"/>
    <w:rsid w:val="0A7F444C"/>
    <w:rsid w:val="0A8B48B0"/>
    <w:rsid w:val="0AAF72EA"/>
    <w:rsid w:val="0AF41A11"/>
    <w:rsid w:val="0B0405DA"/>
    <w:rsid w:val="0B3138BD"/>
    <w:rsid w:val="0B4827D7"/>
    <w:rsid w:val="0B4C466E"/>
    <w:rsid w:val="0B54287F"/>
    <w:rsid w:val="0B5C10FD"/>
    <w:rsid w:val="0B8F4F60"/>
    <w:rsid w:val="0BC15C42"/>
    <w:rsid w:val="0BCE4DC7"/>
    <w:rsid w:val="0BF476EA"/>
    <w:rsid w:val="0C0C5967"/>
    <w:rsid w:val="0C2E67E4"/>
    <w:rsid w:val="0C442326"/>
    <w:rsid w:val="0C623C90"/>
    <w:rsid w:val="0C6939A6"/>
    <w:rsid w:val="0CAE6E4A"/>
    <w:rsid w:val="0CB40839"/>
    <w:rsid w:val="0CDF41BF"/>
    <w:rsid w:val="0CFA74C1"/>
    <w:rsid w:val="0D0316DE"/>
    <w:rsid w:val="0D0B0DAD"/>
    <w:rsid w:val="0D1A404E"/>
    <w:rsid w:val="0D1A7B4B"/>
    <w:rsid w:val="0D254B47"/>
    <w:rsid w:val="0D3910D6"/>
    <w:rsid w:val="0DAE15DF"/>
    <w:rsid w:val="0DE011D7"/>
    <w:rsid w:val="0DED6C3C"/>
    <w:rsid w:val="0DF77E44"/>
    <w:rsid w:val="0E461E6E"/>
    <w:rsid w:val="0E951E2D"/>
    <w:rsid w:val="0EB04C1D"/>
    <w:rsid w:val="0ED32755"/>
    <w:rsid w:val="0ED60439"/>
    <w:rsid w:val="0F0F7EFA"/>
    <w:rsid w:val="0F2036E7"/>
    <w:rsid w:val="0F4939F6"/>
    <w:rsid w:val="0F565086"/>
    <w:rsid w:val="0F572DAE"/>
    <w:rsid w:val="0F5825A4"/>
    <w:rsid w:val="0F840E19"/>
    <w:rsid w:val="0F890D17"/>
    <w:rsid w:val="0F9C6460"/>
    <w:rsid w:val="0FA27879"/>
    <w:rsid w:val="0FCC044D"/>
    <w:rsid w:val="0FED709C"/>
    <w:rsid w:val="0FFC53D4"/>
    <w:rsid w:val="100162AE"/>
    <w:rsid w:val="10216377"/>
    <w:rsid w:val="1030066E"/>
    <w:rsid w:val="104A131B"/>
    <w:rsid w:val="10DA157D"/>
    <w:rsid w:val="111223B7"/>
    <w:rsid w:val="114809B7"/>
    <w:rsid w:val="117B74D9"/>
    <w:rsid w:val="11AB4C56"/>
    <w:rsid w:val="11AD0C25"/>
    <w:rsid w:val="11CD49CA"/>
    <w:rsid w:val="11F373CA"/>
    <w:rsid w:val="12110C5C"/>
    <w:rsid w:val="12372F05"/>
    <w:rsid w:val="12772755"/>
    <w:rsid w:val="12BD132F"/>
    <w:rsid w:val="12CE0564"/>
    <w:rsid w:val="12E615C9"/>
    <w:rsid w:val="12F059D1"/>
    <w:rsid w:val="130A0F96"/>
    <w:rsid w:val="133348AD"/>
    <w:rsid w:val="13525B1D"/>
    <w:rsid w:val="13696028"/>
    <w:rsid w:val="138D6C9B"/>
    <w:rsid w:val="139934F3"/>
    <w:rsid w:val="140D2A59"/>
    <w:rsid w:val="141E3874"/>
    <w:rsid w:val="143E00CE"/>
    <w:rsid w:val="146A6E8E"/>
    <w:rsid w:val="147B791F"/>
    <w:rsid w:val="14AD3953"/>
    <w:rsid w:val="14BE1DE8"/>
    <w:rsid w:val="14D26371"/>
    <w:rsid w:val="14E279DF"/>
    <w:rsid w:val="150342CB"/>
    <w:rsid w:val="150F7544"/>
    <w:rsid w:val="15141771"/>
    <w:rsid w:val="151E6F20"/>
    <w:rsid w:val="15263142"/>
    <w:rsid w:val="153214E5"/>
    <w:rsid w:val="15341106"/>
    <w:rsid w:val="15477660"/>
    <w:rsid w:val="154D7DE4"/>
    <w:rsid w:val="15662480"/>
    <w:rsid w:val="15953F29"/>
    <w:rsid w:val="15F15AC1"/>
    <w:rsid w:val="1606497D"/>
    <w:rsid w:val="165F21A3"/>
    <w:rsid w:val="16621CA4"/>
    <w:rsid w:val="16647696"/>
    <w:rsid w:val="16A4068F"/>
    <w:rsid w:val="170D0C8A"/>
    <w:rsid w:val="171239AF"/>
    <w:rsid w:val="1726591C"/>
    <w:rsid w:val="178C5750"/>
    <w:rsid w:val="17EA65A4"/>
    <w:rsid w:val="17FD5C86"/>
    <w:rsid w:val="180247C3"/>
    <w:rsid w:val="18343FFF"/>
    <w:rsid w:val="183744C0"/>
    <w:rsid w:val="184B0F97"/>
    <w:rsid w:val="1876171F"/>
    <w:rsid w:val="18975489"/>
    <w:rsid w:val="18B53599"/>
    <w:rsid w:val="190F4E12"/>
    <w:rsid w:val="19230F50"/>
    <w:rsid w:val="19304014"/>
    <w:rsid w:val="19375EE1"/>
    <w:rsid w:val="193C7053"/>
    <w:rsid w:val="199D0935"/>
    <w:rsid w:val="1A2B1DC2"/>
    <w:rsid w:val="1A827FFE"/>
    <w:rsid w:val="1A892C6A"/>
    <w:rsid w:val="1A8C7994"/>
    <w:rsid w:val="1A8F413B"/>
    <w:rsid w:val="1A9A3794"/>
    <w:rsid w:val="1AB6217A"/>
    <w:rsid w:val="1ACA0F29"/>
    <w:rsid w:val="1AEF58C2"/>
    <w:rsid w:val="1B0F3D40"/>
    <w:rsid w:val="1B1C6848"/>
    <w:rsid w:val="1B2D23AB"/>
    <w:rsid w:val="1B434E49"/>
    <w:rsid w:val="1B466A2A"/>
    <w:rsid w:val="1B8265A5"/>
    <w:rsid w:val="1B8913EB"/>
    <w:rsid w:val="1BCE681B"/>
    <w:rsid w:val="1BD347AA"/>
    <w:rsid w:val="1BDA0C95"/>
    <w:rsid w:val="1BE258E0"/>
    <w:rsid w:val="1BF43FD9"/>
    <w:rsid w:val="1C12322B"/>
    <w:rsid w:val="1C124AEB"/>
    <w:rsid w:val="1C1450E3"/>
    <w:rsid w:val="1C2C4884"/>
    <w:rsid w:val="1C2E4DFD"/>
    <w:rsid w:val="1C480375"/>
    <w:rsid w:val="1C62492D"/>
    <w:rsid w:val="1C6C6C7A"/>
    <w:rsid w:val="1C8C6544"/>
    <w:rsid w:val="1CDB1FF0"/>
    <w:rsid w:val="1D047631"/>
    <w:rsid w:val="1D187D1E"/>
    <w:rsid w:val="1D1E5006"/>
    <w:rsid w:val="1DAA5AEB"/>
    <w:rsid w:val="1DAC4008"/>
    <w:rsid w:val="1DC3043A"/>
    <w:rsid w:val="1DE52654"/>
    <w:rsid w:val="1E157496"/>
    <w:rsid w:val="1E3A5066"/>
    <w:rsid w:val="1E3F7864"/>
    <w:rsid w:val="1E6E4862"/>
    <w:rsid w:val="1EB32B16"/>
    <w:rsid w:val="1ECD1BD7"/>
    <w:rsid w:val="1EDE362D"/>
    <w:rsid w:val="1EDE3910"/>
    <w:rsid w:val="1F390DB9"/>
    <w:rsid w:val="1F3A7674"/>
    <w:rsid w:val="1FEA3F52"/>
    <w:rsid w:val="200417AB"/>
    <w:rsid w:val="202C46B2"/>
    <w:rsid w:val="208179AB"/>
    <w:rsid w:val="20AB4C76"/>
    <w:rsid w:val="21285A05"/>
    <w:rsid w:val="216F7B6E"/>
    <w:rsid w:val="21864FA7"/>
    <w:rsid w:val="219016C0"/>
    <w:rsid w:val="21932BE4"/>
    <w:rsid w:val="21CF24C2"/>
    <w:rsid w:val="21D17CB7"/>
    <w:rsid w:val="21D94230"/>
    <w:rsid w:val="21E704CA"/>
    <w:rsid w:val="222C10C5"/>
    <w:rsid w:val="224105FB"/>
    <w:rsid w:val="22836B71"/>
    <w:rsid w:val="2294503F"/>
    <w:rsid w:val="22A76527"/>
    <w:rsid w:val="22DC2DB3"/>
    <w:rsid w:val="22FE2E0C"/>
    <w:rsid w:val="232D1C8D"/>
    <w:rsid w:val="23671921"/>
    <w:rsid w:val="23841BD9"/>
    <w:rsid w:val="239F04F3"/>
    <w:rsid w:val="23A010F0"/>
    <w:rsid w:val="23CE47E7"/>
    <w:rsid w:val="23F61D9C"/>
    <w:rsid w:val="23F738D7"/>
    <w:rsid w:val="2446410F"/>
    <w:rsid w:val="24963554"/>
    <w:rsid w:val="249656F3"/>
    <w:rsid w:val="24A80610"/>
    <w:rsid w:val="252C1A2E"/>
    <w:rsid w:val="253C026C"/>
    <w:rsid w:val="25886BE3"/>
    <w:rsid w:val="25B07A26"/>
    <w:rsid w:val="25C16051"/>
    <w:rsid w:val="25ED2172"/>
    <w:rsid w:val="25FF65CF"/>
    <w:rsid w:val="26034647"/>
    <w:rsid w:val="261E5379"/>
    <w:rsid w:val="26A96E8E"/>
    <w:rsid w:val="26D63D39"/>
    <w:rsid w:val="26D7660D"/>
    <w:rsid w:val="27012EBF"/>
    <w:rsid w:val="270E6D97"/>
    <w:rsid w:val="27105E71"/>
    <w:rsid w:val="271C092F"/>
    <w:rsid w:val="274B54E9"/>
    <w:rsid w:val="2768006F"/>
    <w:rsid w:val="277D1DB1"/>
    <w:rsid w:val="27AA4769"/>
    <w:rsid w:val="27ED64B9"/>
    <w:rsid w:val="27F31232"/>
    <w:rsid w:val="284D4DD9"/>
    <w:rsid w:val="285E50E5"/>
    <w:rsid w:val="287A5D4B"/>
    <w:rsid w:val="2891170D"/>
    <w:rsid w:val="28AA6DA0"/>
    <w:rsid w:val="28CB5BE0"/>
    <w:rsid w:val="28EA0C9D"/>
    <w:rsid w:val="28F03F58"/>
    <w:rsid w:val="28FF2BF1"/>
    <w:rsid w:val="29135029"/>
    <w:rsid w:val="291746DE"/>
    <w:rsid w:val="291E64FD"/>
    <w:rsid w:val="29677EAC"/>
    <w:rsid w:val="296E1BA6"/>
    <w:rsid w:val="2972448D"/>
    <w:rsid w:val="29777B12"/>
    <w:rsid w:val="29A42A73"/>
    <w:rsid w:val="29B41ABF"/>
    <w:rsid w:val="29CA2C4E"/>
    <w:rsid w:val="2A1B7E77"/>
    <w:rsid w:val="2A4027BC"/>
    <w:rsid w:val="2AB0092A"/>
    <w:rsid w:val="2AD06D94"/>
    <w:rsid w:val="2AE02C51"/>
    <w:rsid w:val="2AE64466"/>
    <w:rsid w:val="2B0E16D2"/>
    <w:rsid w:val="2B38542D"/>
    <w:rsid w:val="2B43781E"/>
    <w:rsid w:val="2B6C52CA"/>
    <w:rsid w:val="2B75215F"/>
    <w:rsid w:val="2B782CC2"/>
    <w:rsid w:val="2BA4331E"/>
    <w:rsid w:val="2BA72EB6"/>
    <w:rsid w:val="2BBD5701"/>
    <w:rsid w:val="2BC773D1"/>
    <w:rsid w:val="2BFD2DC5"/>
    <w:rsid w:val="2C19523E"/>
    <w:rsid w:val="2C77792C"/>
    <w:rsid w:val="2C7F3BA9"/>
    <w:rsid w:val="2C844B41"/>
    <w:rsid w:val="2CA85A95"/>
    <w:rsid w:val="2CB91342"/>
    <w:rsid w:val="2CFA5C0F"/>
    <w:rsid w:val="2D154990"/>
    <w:rsid w:val="2D3F3BA4"/>
    <w:rsid w:val="2D521FE4"/>
    <w:rsid w:val="2D886C00"/>
    <w:rsid w:val="2D8A3D5B"/>
    <w:rsid w:val="2DAF5059"/>
    <w:rsid w:val="2DBF2B4A"/>
    <w:rsid w:val="2E397741"/>
    <w:rsid w:val="2E3D2F06"/>
    <w:rsid w:val="2E53220A"/>
    <w:rsid w:val="2E695DB6"/>
    <w:rsid w:val="2E72456E"/>
    <w:rsid w:val="2EB43687"/>
    <w:rsid w:val="2ECC1D1F"/>
    <w:rsid w:val="2ED95C04"/>
    <w:rsid w:val="2F2627FA"/>
    <w:rsid w:val="2F9C0964"/>
    <w:rsid w:val="2F9E043D"/>
    <w:rsid w:val="2FB85027"/>
    <w:rsid w:val="2FEB0BD7"/>
    <w:rsid w:val="2FF03353"/>
    <w:rsid w:val="30263F63"/>
    <w:rsid w:val="30313B07"/>
    <w:rsid w:val="30645C10"/>
    <w:rsid w:val="30702C3E"/>
    <w:rsid w:val="308D1AEC"/>
    <w:rsid w:val="308E1D3F"/>
    <w:rsid w:val="30DA7865"/>
    <w:rsid w:val="30E166B5"/>
    <w:rsid w:val="30ED7376"/>
    <w:rsid w:val="311724AB"/>
    <w:rsid w:val="311F214E"/>
    <w:rsid w:val="31216F79"/>
    <w:rsid w:val="3152478A"/>
    <w:rsid w:val="319513A0"/>
    <w:rsid w:val="31AB45BC"/>
    <w:rsid w:val="31CC3BDF"/>
    <w:rsid w:val="31E56E8B"/>
    <w:rsid w:val="31FE2D9B"/>
    <w:rsid w:val="3200110E"/>
    <w:rsid w:val="32284277"/>
    <w:rsid w:val="3233692D"/>
    <w:rsid w:val="32516607"/>
    <w:rsid w:val="329267C1"/>
    <w:rsid w:val="32934090"/>
    <w:rsid w:val="329C2479"/>
    <w:rsid w:val="32B62DBE"/>
    <w:rsid w:val="32EB7DAF"/>
    <w:rsid w:val="32F16EDE"/>
    <w:rsid w:val="3368435D"/>
    <w:rsid w:val="33807805"/>
    <w:rsid w:val="339414D9"/>
    <w:rsid w:val="339E3C85"/>
    <w:rsid w:val="33B813EE"/>
    <w:rsid w:val="33D50207"/>
    <w:rsid w:val="33D765B5"/>
    <w:rsid w:val="33EC7DBB"/>
    <w:rsid w:val="34007F6D"/>
    <w:rsid w:val="34062ABA"/>
    <w:rsid w:val="341E39AA"/>
    <w:rsid w:val="34241386"/>
    <w:rsid w:val="342B30BF"/>
    <w:rsid w:val="343B04AE"/>
    <w:rsid w:val="345C4C50"/>
    <w:rsid w:val="34655258"/>
    <w:rsid w:val="3470421E"/>
    <w:rsid w:val="349A66C0"/>
    <w:rsid w:val="34AC65B3"/>
    <w:rsid w:val="34C8321F"/>
    <w:rsid w:val="34CE11CA"/>
    <w:rsid w:val="34E55D94"/>
    <w:rsid w:val="353448B6"/>
    <w:rsid w:val="353F287E"/>
    <w:rsid w:val="35B960E0"/>
    <w:rsid w:val="35EC7188"/>
    <w:rsid w:val="35F42522"/>
    <w:rsid w:val="3633380E"/>
    <w:rsid w:val="36546526"/>
    <w:rsid w:val="365550E2"/>
    <w:rsid w:val="365E7EE1"/>
    <w:rsid w:val="365F6999"/>
    <w:rsid w:val="366413ED"/>
    <w:rsid w:val="36980C13"/>
    <w:rsid w:val="36E14E00"/>
    <w:rsid w:val="36F5703C"/>
    <w:rsid w:val="36FC4E07"/>
    <w:rsid w:val="37170FFE"/>
    <w:rsid w:val="373C412D"/>
    <w:rsid w:val="37920A5A"/>
    <w:rsid w:val="37923071"/>
    <w:rsid w:val="37C02717"/>
    <w:rsid w:val="37E011F8"/>
    <w:rsid w:val="37EF6DC8"/>
    <w:rsid w:val="38094CF1"/>
    <w:rsid w:val="382830B0"/>
    <w:rsid w:val="3845395B"/>
    <w:rsid w:val="3865335C"/>
    <w:rsid w:val="38691B28"/>
    <w:rsid w:val="389C1A37"/>
    <w:rsid w:val="390D4393"/>
    <w:rsid w:val="390F050A"/>
    <w:rsid w:val="392512E2"/>
    <w:rsid w:val="39441387"/>
    <w:rsid w:val="39936F54"/>
    <w:rsid w:val="3A090F25"/>
    <w:rsid w:val="3A20601D"/>
    <w:rsid w:val="3A4373AE"/>
    <w:rsid w:val="3A523F1C"/>
    <w:rsid w:val="3A7C328C"/>
    <w:rsid w:val="3A954F9A"/>
    <w:rsid w:val="3AD0536F"/>
    <w:rsid w:val="3AD43EBF"/>
    <w:rsid w:val="3AE325E1"/>
    <w:rsid w:val="3AEA2D04"/>
    <w:rsid w:val="3B0B173D"/>
    <w:rsid w:val="3B0C4E1B"/>
    <w:rsid w:val="3B4445BF"/>
    <w:rsid w:val="3B4E75A1"/>
    <w:rsid w:val="3B8D09A8"/>
    <w:rsid w:val="3B943D76"/>
    <w:rsid w:val="3BAC0F6E"/>
    <w:rsid w:val="3BB755D2"/>
    <w:rsid w:val="3BC16DB3"/>
    <w:rsid w:val="3BC7787A"/>
    <w:rsid w:val="3BE50B73"/>
    <w:rsid w:val="3C0B2B4A"/>
    <w:rsid w:val="3CA62DA2"/>
    <w:rsid w:val="3CB672C1"/>
    <w:rsid w:val="3CBA041E"/>
    <w:rsid w:val="3CC4148B"/>
    <w:rsid w:val="3CD03E9B"/>
    <w:rsid w:val="3CEC6C0D"/>
    <w:rsid w:val="3CF74F4B"/>
    <w:rsid w:val="3CF80C64"/>
    <w:rsid w:val="3D0A244D"/>
    <w:rsid w:val="3D4715A7"/>
    <w:rsid w:val="3D4D5D93"/>
    <w:rsid w:val="3D5E2E2E"/>
    <w:rsid w:val="3D6913B0"/>
    <w:rsid w:val="3D727210"/>
    <w:rsid w:val="3D8C4073"/>
    <w:rsid w:val="3D8E705B"/>
    <w:rsid w:val="3DB72499"/>
    <w:rsid w:val="3DC90816"/>
    <w:rsid w:val="3DE3072F"/>
    <w:rsid w:val="3DED2C8D"/>
    <w:rsid w:val="3DF24F78"/>
    <w:rsid w:val="3DFD109C"/>
    <w:rsid w:val="3E12768D"/>
    <w:rsid w:val="3E55686A"/>
    <w:rsid w:val="3E5C3666"/>
    <w:rsid w:val="3E826293"/>
    <w:rsid w:val="3E9B5E9B"/>
    <w:rsid w:val="3EB94B24"/>
    <w:rsid w:val="3ED40779"/>
    <w:rsid w:val="3EF400E7"/>
    <w:rsid w:val="3EFA2362"/>
    <w:rsid w:val="3F0B211E"/>
    <w:rsid w:val="3F21410E"/>
    <w:rsid w:val="3F8247ED"/>
    <w:rsid w:val="3F8E13A9"/>
    <w:rsid w:val="3FA02BC6"/>
    <w:rsid w:val="3FA1306F"/>
    <w:rsid w:val="3FA656C4"/>
    <w:rsid w:val="3FC77876"/>
    <w:rsid w:val="3FFF76D2"/>
    <w:rsid w:val="40220EF1"/>
    <w:rsid w:val="409273D5"/>
    <w:rsid w:val="40A50367"/>
    <w:rsid w:val="40B12ADB"/>
    <w:rsid w:val="40C258A9"/>
    <w:rsid w:val="40D53E95"/>
    <w:rsid w:val="40ED2269"/>
    <w:rsid w:val="40F462E2"/>
    <w:rsid w:val="40F91A2C"/>
    <w:rsid w:val="4111695C"/>
    <w:rsid w:val="412F3401"/>
    <w:rsid w:val="41A5318D"/>
    <w:rsid w:val="41AB16C2"/>
    <w:rsid w:val="41BF3DDD"/>
    <w:rsid w:val="41C2147E"/>
    <w:rsid w:val="41D0160D"/>
    <w:rsid w:val="41F379CF"/>
    <w:rsid w:val="4223547E"/>
    <w:rsid w:val="42551D91"/>
    <w:rsid w:val="426F60F8"/>
    <w:rsid w:val="427C4B65"/>
    <w:rsid w:val="42AD12C9"/>
    <w:rsid w:val="42DB107E"/>
    <w:rsid w:val="42DE523E"/>
    <w:rsid w:val="42F223AD"/>
    <w:rsid w:val="43184F08"/>
    <w:rsid w:val="435A40A4"/>
    <w:rsid w:val="435D300A"/>
    <w:rsid w:val="43706CDA"/>
    <w:rsid w:val="438976E2"/>
    <w:rsid w:val="439A4563"/>
    <w:rsid w:val="43AD6999"/>
    <w:rsid w:val="43B23EDE"/>
    <w:rsid w:val="43BE3CB6"/>
    <w:rsid w:val="43F43652"/>
    <w:rsid w:val="44147B34"/>
    <w:rsid w:val="442B137D"/>
    <w:rsid w:val="444B5EFF"/>
    <w:rsid w:val="449B3345"/>
    <w:rsid w:val="44C24D59"/>
    <w:rsid w:val="44F3065E"/>
    <w:rsid w:val="45094B99"/>
    <w:rsid w:val="45097E04"/>
    <w:rsid w:val="45315DA4"/>
    <w:rsid w:val="453F4F0D"/>
    <w:rsid w:val="454D6A28"/>
    <w:rsid w:val="45961954"/>
    <w:rsid w:val="45A66A4B"/>
    <w:rsid w:val="45AE4F0C"/>
    <w:rsid w:val="45F9568D"/>
    <w:rsid w:val="46123BE6"/>
    <w:rsid w:val="46455223"/>
    <w:rsid w:val="46756481"/>
    <w:rsid w:val="469255FF"/>
    <w:rsid w:val="46E548C9"/>
    <w:rsid w:val="46FA3FF7"/>
    <w:rsid w:val="471D6E2E"/>
    <w:rsid w:val="47227E01"/>
    <w:rsid w:val="47234D7D"/>
    <w:rsid w:val="473505D7"/>
    <w:rsid w:val="47393594"/>
    <w:rsid w:val="473A029C"/>
    <w:rsid w:val="47BB49AE"/>
    <w:rsid w:val="47C52DB3"/>
    <w:rsid w:val="47D43FC2"/>
    <w:rsid w:val="47F21BE5"/>
    <w:rsid w:val="47FB124E"/>
    <w:rsid w:val="480677D8"/>
    <w:rsid w:val="48102173"/>
    <w:rsid w:val="481870DA"/>
    <w:rsid w:val="4838231B"/>
    <w:rsid w:val="485618D3"/>
    <w:rsid w:val="48621A3D"/>
    <w:rsid w:val="486779BC"/>
    <w:rsid w:val="487C58DA"/>
    <w:rsid w:val="48803767"/>
    <w:rsid w:val="488A31DA"/>
    <w:rsid w:val="48A10BBA"/>
    <w:rsid w:val="48AF1CF1"/>
    <w:rsid w:val="48AF3822"/>
    <w:rsid w:val="48B84099"/>
    <w:rsid w:val="48B87C04"/>
    <w:rsid w:val="48D72771"/>
    <w:rsid w:val="48E75D4F"/>
    <w:rsid w:val="48E76D9A"/>
    <w:rsid w:val="48EC3ED9"/>
    <w:rsid w:val="491958D5"/>
    <w:rsid w:val="49326680"/>
    <w:rsid w:val="493A3472"/>
    <w:rsid w:val="495D66C7"/>
    <w:rsid w:val="49862ABB"/>
    <w:rsid w:val="498F5A6D"/>
    <w:rsid w:val="49DA40B8"/>
    <w:rsid w:val="49F652BE"/>
    <w:rsid w:val="4A214220"/>
    <w:rsid w:val="4A31496B"/>
    <w:rsid w:val="4A424BAD"/>
    <w:rsid w:val="4A5D3C7D"/>
    <w:rsid w:val="4A952B26"/>
    <w:rsid w:val="4AAA1398"/>
    <w:rsid w:val="4AFC12FE"/>
    <w:rsid w:val="4B057E38"/>
    <w:rsid w:val="4B284B27"/>
    <w:rsid w:val="4B35462A"/>
    <w:rsid w:val="4B4025BF"/>
    <w:rsid w:val="4B433C2A"/>
    <w:rsid w:val="4B4A03C6"/>
    <w:rsid w:val="4B926799"/>
    <w:rsid w:val="4B93411F"/>
    <w:rsid w:val="4B9C1BF1"/>
    <w:rsid w:val="4BB07945"/>
    <w:rsid w:val="4C05738B"/>
    <w:rsid w:val="4C076AAD"/>
    <w:rsid w:val="4C1F37E3"/>
    <w:rsid w:val="4C511B02"/>
    <w:rsid w:val="4C5F3EA9"/>
    <w:rsid w:val="4C8D5F79"/>
    <w:rsid w:val="4CA126E0"/>
    <w:rsid w:val="4CAE078C"/>
    <w:rsid w:val="4CCE2910"/>
    <w:rsid w:val="4CD63FE8"/>
    <w:rsid w:val="4CE35F38"/>
    <w:rsid w:val="4CE52275"/>
    <w:rsid w:val="4D0E3CC7"/>
    <w:rsid w:val="4D4025AD"/>
    <w:rsid w:val="4D647C72"/>
    <w:rsid w:val="4D83633C"/>
    <w:rsid w:val="4DAD3A24"/>
    <w:rsid w:val="4DAE320A"/>
    <w:rsid w:val="4DCC14D7"/>
    <w:rsid w:val="4E1966D8"/>
    <w:rsid w:val="4E415D30"/>
    <w:rsid w:val="4E4D7F30"/>
    <w:rsid w:val="4E537272"/>
    <w:rsid w:val="4E5C13E7"/>
    <w:rsid w:val="4E807407"/>
    <w:rsid w:val="4E834801"/>
    <w:rsid w:val="4E976CD4"/>
    <w:rsid w:val="4F342BFF"/>
    <w:rsid w:val="4F7F321A"/>
    <w:rsid w:val="4FBF0074"/>
    <w:rsid w:val="4FD00F08"/>
    <w:rsid w:val="50320DEC"/>
    <w:rsid w:val="503329A9"/>
    <w:rsid w:val="50604A09"/>
    <w:rsid w:val="50612488"/>
    <w:rsid w:val="5065585D"/>
    <w:rsid w:val="506C625F"/>
    <w:rsid w:val="5077175A"/>
    <w:rsid w:val="507E1183"/>
    <w:rsid w:val="50AA4F92"/>
    <w:rsid w:val="50F53763"/>
    <w:rsid w:val="51165F8B"/>
    <w:rsid w:val="512E1C9C"/>
    <w:rsid w:val="51323452"/>
    <w:rsid w:val="513E2CF8"/>
    <w:rsid w:val="514C4A3C"/>
    <w:rsid w:val="51585B51"/>
    <w:rsid w:val="51622426"/>
    <w:rsid w:val="516A0329"/>
    <w:rsid w:val="516A0C92"/>
    <w:rsid w:val="519D7CD0"/>
    <w:rsid w:val="51E73BF5"/>
    <w:rsid w:val="51FE4265"/>
    <w:rsid w:val="520D7203"/>
    <w:rsid w:val="522312C4"/>
    <w:rsid w:val="52461A35"/>
    <w:rsid w:val="52563B54"/>
    <w:rsid w:val="528B7FD0"/>
    <w:rsid w:val="52B8621F"/>
    <w:rsid w:val="52BB3C0E"/>
    <w:rsid w:val="52E736B3"/>
    <w:rsid w:val="53241C21"/>
    <w:rsid w:val="532B6FE0"/>
    <w:rsid w:val="534E48C4"/>
    <w:rsid w:val="5352666A"/>
    <w:rsid w:val="535F632A"/>
    <w:rsid w:val="537529C3"/>
    <w:rsid w:val="537627F1"/>
    <w:rsid w:val="539D1AC3"/>
    <w:rsid w:val="53AE30FB"/>
    <w:rsid w:val="53B678B6"/>
    <w:rsid w:val="53DC3678"/>
    <w:rsid w:val="53E113BC"/>
    <w:rsid w:val="54163ED2"/>
    <w:rsid w:val="543D456B"/>
    <w:rsid w:val="54684B80"/>
    <w:rsid w:val="54702962"/>
    <w:rsid w:val="54784D46"/>
    <w:rsid w:val="54801B99"/>
    <w:rsid w:val="549238A7"/>
    <w:rsid w:val="54A82158"/>
    <w:rsid w:val="54BF1B49"/>
    <w:rsid w:val="550C3B72"/>
    <w:rsid w:val="551C543A"/>
    <w:rsid w:val="55417049"/>
    <w:rsid w:val="556348BE"/>
    <w:rsid w:val="55791CB7"/>
    <w:rsid w:val="55A0038E"/>
    <w:rsid w:val="55B654BC"/>
    <w:rsid w:val="55F5614A"/>
    <w:rsid w:val="55FF51A1"/>
    <w:rsid w:val="56257F68"/>
    <w:rsid w:val="56B978B9"/>
    <w:rsid w:val="56BF46DA"/>
    <w:rsid w:val="56E7290C"/>
    <w:rsid w:val="570E6F78"/>
    <w:rsid w:val="571037CE"/>
    <w:rsid w:val="57323E10"/>
    <w:rsid w:val="5753751A"/>
    <w:rsid w:val="575C3988"/>
    <w:rsid w:val="575C50AB"/>
    <w:rsid w:val="576E3B6D"/>
    <w:rsid w:val="5784103C"/>
    <w:rsid w:val="57855CC0"/>
    <w:rsid w:val="57E3171A"/>
    <w:rsid w:val="57E445EB"/>
    <w:rsid w:val="57F458FB"/>
    <w:rsid w:val="580D6A27"/>
    <w:rsid w:val="58160C42"/>
    <w:rsid w:val="5877457A"/>
    <w:rsid w:val="588640B5"/>
    <w:rsid w:val="58955049"/>
    <w:rsid w:val="58C846E4"/>
    <w:rsid w:val="58CE0955"/>
    <w:rsid w:val="58D66C1E"/>
    <w:rsid w:val="58EC1008"/>
    <w:rsid w:val="59410FB8"/>
    <w:rsid w:val="59582FD5"/>
    <w:rsid w:val="595876CA"/>
    <w:rsid w:val="597F00FA"/>
    <w:rsid w:val="59941F3D"/>
    <w:rsid w:val="59C236A3"/>
    <w:rsid w:val="59E52C79"/>
    <w:rsid w:val="5A0A1AD1"/>
    <w:rsid w:val="5A1D1000"/>
    <w:rsid w:val="5A3A2ED4"/>
    <w:rsid w:val="5A4A2677"/>
    <w:rsid w:val="5A7E01E4"/>
    <w:rsid w:val="5ABC2DC1"/>
    <w:rsid w:val="5ABD109B"/>
    <w:rsid w:val="5AF173B1"/>
    <w:rsid w:val="5AFE6AD9"/>
    <w:rsid w:val="5B0E68CE"/>
    <w:rsid w:val="5B335BF8"/>
    <w:rsid w:val="5B8E7FDE"/>
    <w:rsid w:val="5BEA572B"/>
    <w:rsid w:val="5C33727A"/>
    <w:rsid w:val="5C3E758A"/>
    <w:rsid w:val="5C4936E2"/>
    <w:rsid w:val="5C857A7E"/>
    <w:rsid w:val="5CA97FED"/>
    <w:rsid w:val="5CB93BD4"/>
    <w:rsid w:val="5CEB7286"/>
    <w:rsid w:val="5D1F42BD"/>
    <w:rsid w:val="5D315141"/>
    <w:rsid w:val="5D547D2E"/>
    <w:rsid w:val="5D923F2C"/>
    <w:rsid w:val="5DC84336"/>
    <w:rsid w:val="5DD54F2A"/>
    <w:rsid w:val="5DD7245D"/>
    <w:rsid w:val="5E14191A"/>
    <w:rsid w:val="5E2D3E9D"/>
    <w:rsid w:val="5E471E25"/>
    <w:rsid w:val="5E635121"/>
    <w:rsid w:val="5EC2139F"/>
    <w:rsid w:val="5EC90ECF"/>
    <w:rsid w:val="5EEB60C5"/>
    <w:rsid w:val="5EF23FAE"/>
    <w:rsid w:val="5F1E1789"/>
    <w:rsid w:val="5F203499"/>
    <w:rsid w:val="5F69359F"/>
    <w:rsid w:val="5F8C21A0"/>
    <w:rsid w:val="5F8F1CC4"/>
    <w:rsid w:val="5FA32F55"/>
    <w:rsid w:val="5FA46905"/>
    <w:rsid w:val="5FBE3344"/>
    <w:rsid w:val="5FCC560E"/>
    <w:rsid w:val="60202B79"/>
    <w:rsid w:val="60256AF3"/>
    <w:rsid w:val="60483C8B"/>
    <w:rsid w:val="605379AE"/>
    <w:rsid w:val="60791C44"/>
    <w:rsid w:val="608C62A2"/>
    <w:rsid w:val="609F3F51"/>
    <w:rsid w:val="60E514BE"/>
    <w:rsid w:val="60F4333C"/>
    <w:rsid w:val="60F63F7B"/>
    <w:rsid w:val="60FB12D6"/>
    <w:rsid w:val="612D17BE"/>
    <w:rsid w:val="61425571"/>
    <w:rsid w:val="619B1E3A"/>
    <w:rsid w:val="61F30701"/>
    <w:rsid w:val="621E5A12"/>
    <w:rsid w:val="62A12E77"/>
    <w:rsid w:val="62A55DAB"/>
    <w:rsid w:val="62A911E5"/>
    <w:rsid w:val="62DC255D"/>
    <w:rsid w:val="62E458D7"/>
    <w:rsid w:val="630713BC"/>
    <w:rsid w:val="63201103"/>
    <w:rsid w:val="63255DA8"/>
    <w:rsid w:val="635118DB"/>
    <w:rsid w:val="63842425"/>
    <w:rsid w:val="63D02A49"/>
    <w:rsid w:val="63DA7C6F"/>
    <w:rsid w:val="63F920C0"/>
    <w:rsid w:val="640577EE"/>
    <w:rsid w:val="643028DD"/>
    <w:rsid w:val="645B2C5D"/>
    <w:rsid w:val="645C7FB4"/>
    <w:rsid w:val="649225A4"/>
    <w:rsid w:val="64941A25"/>
    <w:rsid w:val="64B31F24"/>
    <w:rsid w:val="64BE458F"/>
    <w:rsid w:val="64DD3BD7"/>
    <w:rsid w:val="64EE1A20"/>
    <w:rsid w:val="65016B7F"/>
    <w:rsid w:val="651C30F1"/>
    <w:rsid w:val="65523170"/>
    <w:rsid w:val="657E4B86"/>
    <w:rsid w:val="659A6BA8"/>
    <w:rsid w:val="65C315DD"/>
    <w:rsid w:val="65C778A0"/>
    <w:rsid w:val="65D5738F"/>
    <w:rsid w:val="65EF17FA"/>
    <w:rsid w:val="65FC7799"/>
    <w:rsid w:val="66086618"/>
    <w:rsid w:val="660A20B4"/>
    <w:rsid w:val="660A43EF"/>
    <w:rsid w:val="66362933"/>
    <w:rsid w:val="66680A54"/>
    <w:rsid w:val="6695111E"/>
    <w:rsid w:val="66BF4DB0"/>
    <w:rsid w:val="66EA3294"/>
    <w:rsid w:val="66F057E5"/>
    <w:rsid w:val="67060CBC"/>
    <w:rsid w:val="674A0B72"/>
    <w:rsid w:val="67586998"/>
    <w:rsid w:val="676E12F3"/>
    <w:rsid w:val="679B2F67"/>
    <w:rsid w:val="67C00F56"/>
    <w:rsid w:val="67F17E02"/>
    <w:rsid w:val="68195C76"/>
    <w:rsid w:val="685C7C97"/>
    <w:rsid w:val="686D72B9"/>
    <w:rsid w:val="6879367D"/>
    <w:rsid w:val="68794EC1"/>
    <w:rsid w:val="68CC7889"/>
    <w:rsid w:val="68F81D58"/>
    <w:rsid w:val="69073A8D"/>
    <w:rsid w:val="69154FC4"/>
    <w:rsid w:val="693D525A"/>
    <w:rsid w:val="694B23CE"/>
    <w:rsid w:val="69545C1F"/>
    <w:rsid w:val="6967264B"/>
    <w:rsid w:val="698A09A5"/>
    <w:rsid w:val="69B47BD4"/>
    <w:rsid w:val="69BB1F5B"/>
    <w:rsid w:val="69D33024"/>
    <w:rsid w:val="69E25F8C"/>
    <w:rsid w:val="69F87D41"/>
    <w:rsid w:val="6A0E4E80"/>
    <w:rsid w:val="6A140B24"/>
    <w:rsid w:val="6A766A86"/>
    <w:rsid w:val="6A7872EA"/>
    <w:rsid w:val="6A9C6FE9"/>
    <w:rsid w:val="6AAB03F6"/>
    <w:rsid w:val="6AB73049"/>
    <w:rsid w:val="6ABF703F"/>
    <w:rsid w:val="6AD90201"/>
    <w:rsid w:val="6AE12B6B"/>
    <w:rsid w:val="6AF2613C"/>
    <w:rsid w:val="6B17420F"/>
    <w:rsid w:val="6B48686A"/>
    <w:rsid w:val="6BCF6F7E"/>
    <w:rsid w:val="6BFF1AC2"/>
    <w:rsid w:val="6C154B37"/>
    <w:rsid w:val="6C20148A"/>
    <w:rsid w:val="6C250EBE"/>
    <w:rsid w:val="6C2E3D59"/>
    <w:rsid w:val="6C337C4D"/>
    <w:rsid w:val="6C49456A"/>
    <w:rsid w:val="6C4F2F8E"/>
    <w:rsid w:val="6C87517B"/>
    <w:rsid w:val="6C9C1724"/>
    <w:rsid w:val="6CBC5B45"/>
    <w:rsid w:val="6CBF3BA0"/>
    <w:rsid w:val="6CBF4421"/>
    <w:rsid w:val="6CD938B8"/>
    <w:rsid w:val="6CEC305A"/>
    <w:rsid w:val="6CF14736"/>
    <w:rsid w:val="6D20348C"/>
    <w:rsid w:val="6D246EEC"/>
    <w:rsid w:val="6D2620AE"/>
    <w:rsid w:val="6D3A6B13"/>
    <w:rsid w:val="6D611392"/>
    <w:rsid w:val="6D846E13"/>
    <w:rsid w:val="6D9A1ED1"/>
    <w:rsid w:val="6DBF419D"/>
    <w:rsid w:val="6E05286F"/>
    <w:rsid w:val="6E18375C"/>
    <w:rsid w:val="6E53312C"/>
    <w:rsid w:val="6E57131F"/>
    <w:rsid w:val="6E676007"/>
    <w:rsid w:val="6E695932"/>
    <w:rsid w:val="6E7C0D21"/>
    <w:rsid w:val="6E994887"/>
    <w:rsid w:val="6E9E233E"/>
    <w:rsid w:val="6EA506C4"/>
    <w:rsid w:val="6ED578C8"/>
    <w:rsid w:val="6F3C27DD"/>
    <w:rsid w:val="6F753DC4"/>
    <w:rsid w:val="6F836956"/>
    <w:rsid w:val="6FCE14E4"/>
    <w:rsid w:val="6FD364B6"/>
    <w:rsid w:val="700E32C7"/>
    <w:rsid w:val="70405B5C"/>
    <w:rsid w:val="70407FC9"/>
    <w:rsid w:val="70532E88"/>
    <w:rsid w:val="712D4800"/>
    <w:rsid w:val="714670E7"/>
    <w:rsid w:val="715259A5"/>
    <w:rsid w:val="716F0649"/>
    <w:rsid w:val="71A10A4C"/>
    <w:rsid w:val="71A67EED"/>
    <w:rsid w:val="71AC0833"/>
    <w:rsid w:val="71B07F9A"/>
    <w:rsid w:val="71F94E9C"/>
    <w:rsid w:val="721B2713"/>
    <w:rsid w:val="72230E8C"/>
    <w:rsid w:val="72997E60"/>
    <w:rsid w:val="72B21613"/>
    <w:rsid w:val="72ED0140"/>
    <w:rsid w:val="730D6C0C"/>
    <w:rsid w:val="731D6723"/>
    <w:rsid w:val="733D3045"/>
    <w:rsid w:val="7372069C"/>
    <w:rsid w:val="73867C84"/>
    <w:rsid w:val="73C30F94"/>
    <w:rsid w:val="73E2194B"/>
    <w:rsid w:val="742171A7"/>
    <w:rsid w:val="74444DB1"/>
    <w:rsid w:val="747C43B9"/>
    <w:rsid w:val="74A85E8F"/>
    <w:rsid w:val="74CC78E6"/>
    <w:rsid w:val="74D973E1"/>
    <w:rsid w:val="752E3777"/>
    <w:rsid w:val="759C588F"/>
    <w:rsid w:val="75B643F3"/>
    <w:rsid w:val="75C331E2"/>
    <w:rsid w:val="75DB55A5"/>
    <w:rsid w:val="75E31DE4"/>
    <w:rsid w:val="75F748A2"/>
    <w:rsid w:val="761B45EA"/>
    <w:rsid w:val="7639110C"/>
    <w:rsid w:val="76484F6D"/>
    <w:rsid w:val="767A6C75"/>
    <w:rsid w:val="76CC0432"/>
    <w:rsid w:val="76FF646A"/>
    <w:rsid w:val="771C30BE"/>
    <w:rsid w:val="771D2658"/>
    <w:rsid w:val="774C3F3A"/>
    <w:rsid w:val="77703586"/>
    <w:rsid w:val="779251BE"/>
    <w:rsid w:val="77C90C27"/>
    <w:rsid w:val="77C93705"/>
    <w:rsid w:val="77E06906"/>
    <w:rsid w:val="78166745"/>
    <w:rsid w:val="78943932"/>
    <w:rsid w:val="78994327"/>
    <w:rsid w:val="789D3206"/>
    <w:rsid w:val="78C45314"/>
    <w:rsid w:val="78D41F79"/>
    <w:rsid w:val="7922503D"/>
    <w:rsid w:val="79256CAC"/>
    <w:rsid w:val="79257675"/>
    <w:rsid w:val="792F0363"/>
    <w:rsid w:val="79515F63"/>
    <w:rsid w:val="79743091"/>
    <w:rsid w:val="7982235E"/>
    <w:rsid w:val="79AA0299"/>
    <w:rsid w:val="79AB780C"/>
    <w:rsid w:val="79E753EB"/>
    <w:rsid w:val="7A1856FB"/>
    <w:rsid w:val="7A6D7D87"/>
    <w:rsid w:val="7A721A4A"/>
    <w:rsid w:val="7A7C03CF"/>
    <w:rsid w:val="7A910027"/>
    <w:rsid w:val="7A9C35F5"/>
    <w:rsid w:val="7ACA5B43"/>
    <w:rsid w:val="7ADB2D85"/>
    <w:rsid w:val="7B0A533F"/>
    <w:rsid w:val="7B203E54"/>
    <w:rsid w:val="7B3B6FC0"/>
    <w:rsid w:val="7B9361A0"/>
    <w:rsid w:val="7BA67BFD"/>
    <w:rsid w:val="7BB5352B"/>
    <w:rsid w:val="7BB77852"/>
    <w:rsid w:val="7BC41AE3"/>
    <w:rsid w:val="7BCA7E8D"/>
    <w:rsid w:val="7BE23358"/>
    <w:rsid w:val="7C4953F6"/>
    <w:rsid w:val="7C646D0F"/>
    <w:rsid w:val="7C941BC3"/>
    <w:rsid w:val="7CFC39CF"/>
    <w:rsid w:val="7D92777B"/>
    <w:rsid w:val="7DAC4A5D"/>
    <w:rsid w:val="7E092BAE"/>
    <w:rsid w:val="7E385DD8"/>
    <w:rsid w:val="7E523AE3"/>
    <w:rsid w:val="7E6A6551"/>
    <w:rsid w:val="7E9006F1"/>
    <w:rsid w:val="7E9A0244"/>
    <w:rsid w:val="7EAC0F2D"/>
    <w:rsid w:val="7EAF15B4"/>
    <w:rsid w:val="7EEF65DD"/>
    <w:rsid w:val="7F193382"/>
    <w:rsid w:val="7FAD6673"/>
    <w:rsid w:val="7FD75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99"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6">
    <w:name w:val="heading 4"/>
    <w:basedOn w:val="1"/>
    <w:next w:val="2"/>
    <w:link w:val="61"/>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7">
    <w:name w:val="heading 5"/>
    <w:basedOn w:val="1"/>
    <w:next w:val="2"/>
    <w:link w:val="62"/>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8">
    <w:name w:val="heading 6"/>
    <w:basedOn w:val="1"/>
    <w:next w:val="2"/>
    <w:link w:val="63"/>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9">
    <w:name w:val="heading 7"/>
    <w:basedOn w:val="1"/>
    <w:next w:val="2"/>
    <w:link w:val="64"/>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0">
    <w:name w:val="heading 8"/>
    <w:basedOn w:val="1"/>
    <w:next w:val="2"/>
    <w:link w:val="65"/>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1">
    <w:name w:val="heading 9"/>
    <w:basedOn w:val="1"/>
    <w:next w:val="2"/>
    <w:link w:val="66"/>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Normal Indent"/>
    <w:basedOn w:val="1"/>
    <w:link w:val="59"/>
    <w:qFormat/>
    <w:uiPriority w:val="0"/>
    <w:pPr>
      <w:ind w:firstLine="420" w:firstLineChars="200"/>
    </w:pPr>
    <w:rPr>
      <w:rFonts w:ascii="仿宋_GB2312" w:hAnsi="宋体" w:eastAsia="仿宋_GB2312" w:cs="宋体"/>
      <w:b/>
      <w:bCs/>
      <w:color w:val="000000"/>
      <w:kern w:val="0"/>
      <w:szCs w:val="21"/>
    </w:rPr>
  </w:style>
  <w:style w:type="paragraph" w:styleId="12">
    <w:name w:val="caption"/>
    <w:basedOn w:val="1"/>
    <w:next w:val="1"/>
    <w:qFormat/>
    <w:uiPriority w:val="0"/>
    <w:rPr>
      <w:rFonts w:ascii="Arial" w:hAnsi="Arial" w:eastAsia="黑体" w:cs="Arial"/>
      <w:color w:val="000000"/>
      <w:kern w:val="1"/>
      <w:sz w:val="20"/>
      <w:szCs w:val="20"/>
    </w:rPr>
  </w:style>
  <w:style w:type="paragraph" w:styleId="13">
    <w:name w:val="List Bullet"/>
    <w:basedOn w:val="1"/>
    <w:qFormat/>
    <w:uiPriority w:val="0"/>
    <w:pPr>
      <w:spacing w:line="360" w:lineRule="auto"/>
    </w:pPr>
    <w:rPr>
      <w:rFonts w:ascii="宋体" w:hAnsi="宋体"/>
      <w:sz w:val="20"/>
      <w:szCs w:val="20"/>
    </w:rPr>
  </w:style>
  <w:style w:type="paragraph" w:styleId="14">
    <w:name w:val="Document Map"/>
    <w:basedOn w:val="1"/>
    <w:link w:val="96"/>
    <w:semiHidden/>
    <w:qFormat/>
    <w:uiPriority w:val="0"/>
    <w:pPr>
      <w:shd w:val="clear" w:color="auto" w:fill="000080"/>
    </w:pPr>
  </w:style>
  <w:style w:type="paragraph" w:styleId="15">
    <w:name w:val="annotation text"/>
    <w:basedOn w:val="1"/>
    <w:link w:val="67"/>
    <w:unhideWhenUsed/>
    <w:qFormat/>
    <w:uiPriority w:val="0"/>
    <w:pPr>
      <w:jc w:val="left"/>
    </w:pPr>
  </w:style>
  <w:style w:type="paragraph" w:styleId="16">
    <w:name w:val="Body Text 3"/>
    <w:basedOn w:val="1"/>
    <w:link w:val="176"/>
    <w:unhideWhenUsed/>
    <w:qFormat/>
    <w:uiPriority w:val="0"/>
    <w:pPr>
      <w:spacing w:after="120"/>
    </w:pPr>
    <w:rPr>
      <w:sz w:val="16"/>
      <w:szCs w:val="16"/>
    </w:rPr>
  </w:style>
  <w:style w:type="paragraph" w:styleId="17">
    <w:name w:val="Body Text"/>
    <w:basedOn w:val="1"/>
    <w:next w:val="18"/>
    <w:qFormat/>
    <w:uiPriority w:val="0"/>
  </w:style>
  <w:style w:type="paragraph" w:styleId="18">
    <w:name w:val="Body Text First Indent"/>
    <w:basedOn w:val="17"/>
    <w:next w:val="19"/>
    <w:qFormat/>
    <w:uiPriority w:val="0"/>
    <w:pPr>
      <w:ind w:firstLine="420" w:firstLineChars="100"/>
    </w:pPr>
  </w:style>
  <w:style w:type="paragraph" w:styleId="19">
    <w:name w:val="toc 6"/>
    <w:basedOn w:val="1"/>
    <w:next w:val="1"/>
    <w:qFormat/>
    <w:uiPriority w:val="0"/>
    <w:pPr>
      <w:ind w:left="2100" w:leftChars="1000"/>
    </w:pPr>
    <w:rPr>
      <w:rFonts w:ascii="仿宋_GB2312" w:hAnsi="宋体" w:eastAsia="仿宋_GB2312" w:cs="宋体"/>
      <w:b/>
      <w:bCs/>
      <w:color w:val="000000"/>
      <w:kern w:val="0"/>
      <w:szCs w:val="21"/>
    </w:rPr>
  </w:style>
  <w:style w:type="paragraph" w:styleId="20">
    <w:name w:val="Body Text Indent"/>
    <w:basedOn w:val="1"/>
    <w:next w:val="1"/>
    <w:qFormat/>
    <w:uiPriority w:val="0"/>
    <w:pPr>
      <w:ind w:left="480" w:hanging="480" w:hangingChars="200"/>
    </w:pPr>
    <w:rPr>
      <w:sz w:val="24"/>
    </w:rPr>
  </w:style>
  <w:style w:type="paragraph" w:styleId="21">
    <w:name w:val="List Number 3"/>
    <w:basedOn w:val="1"/>
    <w:qFormat/>
    <w:uiPriority w:val="0"/>
    <w:pPr>
      <w:widowControl/>
      <w:tabs>
        <w:tab w:val="left" w:pos="2260"/>
      </w:tabs>
      <w:spacing w:afterLines="50"/>
      <w:ind w:left="2260" w:hanging="340"/>
      <w:jc w:val="left"/>
    </w:pPr>
    <w:rPr>
      <w:kern w:val="0"/>
      <w:sz w:val="24"/>
      <w:szCs w:val="20"/>
    </w:rPr>
  </w:style>
  <w:style w:type="paragraph" w:styleId="22">
    <w:name w:val="List Continue"/>
    <w:basedOn w:val="1"/>
    <w:qFormat/>
    <w:uiPriority w:val="0"/>
    <w:pPr>
      <w:spacing w:after="120"/>
      <w:ind w:left="420"/>
    </w:pPr>
    <w:rPr>
      <w:rFonts w:eastAsia="楷体_GB2312"/>
      <w:sz w:val="32"/>
      <w:szCs w:val="20"/>
    </w:rPr>
  </w:style>
  <w:style w:type="paragraph" w:styleId="23">
    <w:name w:val="Block Text"/>
    <w:basedOn w:val="1"/>
    <w:qFormat/>
    <w:uiPriority w:val="0"/>
    <w:pPr>
      <w:spacing w:after="120"/>
      <w:ind w:left="1440" w:leftChars="700" w:right="1440" w:rightChars="700"/>
    </w:pPr>
    <w:rPr>
      <w:szCs w:val="22"/>
    </w:rPr>
  </w:style>
  <w:style w:type="paragraph" w:styleId="24">
    <w:name w:val="toc 3"/>
    <w:basedOn w:val="1"/>
    <w:next w:val="1"/>
    <w:semiHidden/>
    <w:qFormat/>
    <w:uiPriority w:val="0"/>
    <w:pPr>
      <w:tabs>
        <w:tab w:val="right" w:leader="dot" w:pos="8777"/>
      </w:tabs>
      <w:spacing w:line="500" w:lineRule="atLeast"/>
      <w:ind w:left="540" w:leftChars="257"/>
    </w:pPr>
  </w:style>
  <w:style w:type="paragraph" w:styleId="25">
    <w:name w:val="Plain Text"/>
    <w:basedOn w:val="1"/>
    <w:next w:val="26"/>
    <w:link w:val="6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6">
    <w:name w:val="toc 2"/>
    <w:basedOn w:val="1"/>
    <w:next w:val="1"/>
    <w:qFormat/>
    <w:uiPriority w:val="39"/>
    <w:pPr>
      <w:tabs>
        <w:tab w:val="right" w:leader="dot" w:pos="8777"/>
      </w:tabs>
      <w:spacing w:line="500" w:lineRule="atLeast"/>
      <w:ind w:left="420" w:leftChars="200" w:firstLine="120" w:firstLineChars="50"/>
    </w:pPr>
  </w:style>
  <w:style w:type="paragraph" w:styleId="27">
    <w:name w:val="Date"/>
    <w:basedOn w:val="1"/>
    <w:next w:val="1"/>
    <w:link w:val="97"/>
    <w:qFormat/>
    <w:uiPriority w:val="0"/>
    <w:pPr>
      <w:ind w:left="100" w:leftChars="2500"/>
    </w:pPr>
    <w:rPr>
      <w:rFonts w:ascii="仿宋_GB2312" w:hAnsi="宋体" w:eastAsia="仿宋_GB2312" w:cs="宋体"/>
      <w:b/>
      <w:bCs/>
      <w:color w:val="000000"/>
      <w:kern w:val="0"/>
      <w:sz w:val="24"/>
      <w:szCs w:val="21"/>
    </w:rPr>
  </w:style>
  <w:style w:type="paragraph" w:styleId="28">
    <w:name w:val="Body Text Indent 2"/>
    <w:basedOn w:val="1"/>
    <w:link w:val="69"/>
    <w:qFormat/>
    <w:uiPriority w:val="0"/>
    <w:pPr>
      <w:widowControl/>
      <w:spacing w:line="480" w:lineRule="atLeast"/>
      <w:ind w:firstLine="480"/>
    </w:pPr>
    <w:rPr>
      <w:rFonts w:ascii="宋体" w:hAnsi="宋体" w:eastAsia="仿宋_GB2312"/>
      <w:b/>
      <w:bCs/>
      <w:color w:val="000000"/>
      <w:kern w:val="0"/>
      <w:sz w:val="24"/>
      <w:szCs w:val="20"/>
    </w:rPr>
  </w:style>
  <w:style w:type="paragraph" w:styleId="29">
    <w:name w:val="Balloon Text"/>
    <w:basedOn w:val="1"/>
    <w:semiHidden/>
    <w:qFormat/>
    <w:uiPriority w:val="0"/>
    <w:rPr>
      <w:sz w:val="18"/>
      <w:szCs w:val="18"/>
    </w:rPr>
  </w:style>
  <w:style w:type="paragraph" w:styleId="30">
    <w:name w:val="footer"/>
    <w:basedOn w:val="1"/>
    <w:link w:val="70"/>
    <w:qFormat/>
    <w:uiPriority w:val="0"/>
    <w:pPr>
      <w:tabs>
        <w:tab w:val="center" w:pos="4153"/>
        <w:tab w:val="right" w:pos="8306"/>
      </w:tabs>
      <w:snapToGrid w:val="0"/>
      <w:jc w:val="left"/>
    </w:pPr>
    <w:rPr>
      <w:sz w:val="18"/>
      <w:szCs w:val="18"/>
    </w:rPr>
  </w:style>
  <w:style w:type="paragraph" w:styleId="31">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777"/>
      </w:tabs>
      <w:spacing w:line="500" w:lineRule="exact"/>
      <w:jc w:val="left"/>
    </w:pPr>
  </w:style>
  <w:style w:type="paragraph" w:styleId="33">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420" w:hanging="420"/>
    </w:pPr>
    <w:rPr>
      <w:rFonts w:eastAsia="楷体_GB2312"/>
      <w:sz w:val="32"/>
      <w:szCs w:val="20"/>
    </w:rPr>
  </w:style>
  <w:style w:type="paragraph" w:styleId="35">
    <w:name w:val="footnote text"/>
    <w:basedOn w:val="1"/>
    <w:link w:val="98"/>
    <w:qFormat/>
    <w:uiPriority w:val="0"/>
    <w:pPr>
      <w:snapToGrid w:val="0"/>
      <w:jc w:val="left"/>
    </w:pPr>
    <w:rPr>
      <w:sz w:val="18"/>
    </w:rPr>
  </w:style>
  <w:style w:type="paragraph" w:styleId="36">
    <w:name w:val="Body Text Indent 3"/>
    <w:basedOn w:val="1"/>
    <w:link w:val="99"/>
    <w:qFormat/>
    <w:uiPriority w:val="0"/>
    <w:pPr>
      <w:spacing w:after="120"/>
      <w:ind w:left="420" w:leftChars="200"/>
    </w:pPr>
    <w:rPr>
      <w:rFonts w:ascii="仿宋_GB2312" w:hAnsi="宋体" w:eastAsia="仿宋_GB2312" w:cs="宋体"/>
      <w:b/>
      <w:bCs/>
      <w:color w:val="000000"/>
      <w:kern w:val="0"/>
      <w:sz w:val="16"/>
      <w:szCs w:val="16"/>
    </w:rPr>
  </w:style>
  <w:style w:type="paragraph" w:styleId="37">
    <w:name w:val="Body Text 2"/>
    <w:basedOn w:val="1"/>
    <w:link w:val="100"/>
    <w:qFormat/>
    <w:uiPriority w:val="0"/>
    <w:pPr>
      <w:spacing w:after="120" w:line="480" w:lineRule="auto"/>
    </w:pPr>
  </w:style>
  <w:style w:type="paragraph" w:styleId="38">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link w:val="73"/>
    <w:unhideWhenUsed/>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74"/>
    <w:qFormat/>
    <w:uiPriority w:val="0"/>
    <w:pPr>
      <w:spacing w:before="240" w:after="60"/>
      <w:jc w:val="center"/>
      <w:outlineLvl w:val="0"/>
    </w:pPr>
    <w:rPr>
      <w:rFonts w:ascii="Cambria" w:hAnsi="Cambria"/>
      <w:b/>
      <w:bCs/>
      <w:sz w:val="32"/>
      <w:szCs w:val="32"/>
    </w:rPr>
  </w:style>
  <w:style w:type="paragraph" w:styleId="41">
    <w:name w:val="annotation subject"/>
    <w:basedOn w:val="15"/>
    <w:next w:val="15"/>
    <w:link w:val="75"/>
    <w:semiHidden/>
    <w:unhideWhenUsed/>
    <w:qFormat/>
    <w:uiPriority w:val="0"/>
    <w:rPr>
      <w:b/>
      <w:bCs/>
    </w:rPr>
  </w:style>
  <w:style w:type="paragraph" w:styleId="42">
    <w:name w:val="Body Text First Indent 2"/>
    <w:basedOn w:val="20"/>
    <w:next w:val="1"/>
    <w:qFormat/>
    <w:uiPriority w:val="0"/>
    <w:pPr>
      <w:spacing w:after="120"/>
      <w:ind w:firstLine="420" w:firstLineChars="2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i/>
      <w:iCs/>
    </w:rPr>
  </w:style>
  <w:style w:type="character" w:styleId="50">
    <w:name w:val="Hyperlink"/>
    <w:basedOn w:val="45"/>
    <w:qFormat/>
    <w:uiPriority w:val="99"/>
    <w:rPr>
      <w:color w:val="0000FF"/>
      <w:u w:val="single"/>
    </w:rPr>
  </w:style>
  <w:style w:type="character" w:styleId="51">
    <w:name w:val="annotation reference"/>
    <w:basedOn w:val="45"/>
    <w:semiHidden/>
    <w:unhideWhenUsed/>
    <w:qFormat/>
    <w:uiPriority w:val="0"/>
    <w:rPr>
      <w:sz w:val="21"/>
      <w:szCs w:val="21"/>
    </w:rPr>
  </w:style>
  <w:style w:type="character" w:styleId="52">
    <w:name w:val="HTML Keyboard"/>
    <w:qFormat/>
    <w:uiPriority w:val="0"/>
    <w:rPr>
      <w:rFonts w:ascii="monospace" w:hAnsi="monospace" w:eastAsia="monospace" w:cs="monospace"/>
      <w:sz w:val="21"/>
      <w:szCs w:val="21"/>
    </w:rPr>
  </w:style>
  <w:style w:type="character" w:styleId="53">
    <w:name w:val="HTML Sample"/>
    <w:basedOn w:val="45"/>
    <w:semiHidden/>
    <w:unhideWhenUsed/>
    <w:qFormat/>
    <w:uiPriority w:val="99"/>
    <w:rPr>
      <w:rFonts w:ascii="宋体" w:hAnsi="宋体" w:eastAsia="宋体" w:cs="宋体"/>
    </w:rPr>
  </w:style>
  <w:style w:type="paragraph" w:customStyle="1" w:styleId="54">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5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文档正文"/>
    <w:basedOn w:val="1"/>
    <w:qFormat/>
    <w:uiPriority w:val="0"/>
    <w:pPr>
      <w:adjustRightInd w:val="0"/>
      <w:spacing w:line="300" w:lineRule="auto"/>
      <w:ind w:firstLine="567"/>
      <w:textAlignment w:val="baseline"/>
    </w:pPr>
    <w:rPr>
      <w:kern w:val="0"/>
      <w:sz w:val="24"/>
      <w:szCs w:val="20"/>
    </w:rPr>
  </w:style>
  <w:style w:type="character" w:customStyle="1" w:styleId="57">
    <w:name w:val="标题 1 字符"/>
    <w:link w:val="3"/>
    <w:qFormat/>
    <w:uiPriority w:val="0"/>
    <w:rPr>
      <w:b/>
      <w:bCs/>
      <w:kern w:val="44"/>
      <w:sz w:val="44"/>
      <w:szCs w:val="44"/>
    </w:rPr>
  </w:style>
  <w:style w:type="character" w:customStyle="1" w:styleId="58">
    <w:name w:val="标题 2 字符"/>
    <w:basedOn w:val="45"/>
    <w:link w:val="4"/>
    <w:qFormat/>
    <w:uiPriority w:val="0"/>
    <w:rPr>
      <w:rFonts w:ascii="Arial" w:hAnsi="Arial" w:eastAsia="黑体"/>
      <w:b/>
      <w:bCs/>
      <w:kern w:val="2"/>
      <w:sz w:val="32"/>
      <w:szCs w:val="32"/>
    </w:rPr>
  </w:style>
  <w:style w:type="character" w:customStyle="1" w:styleId="59">
    <w:name w:val="正文缩进 字符"/>
    <w:link w:val="2"/>
    <w:qFormat/>
    <w:uiPriority w:val="0"/>
    <w:rPr>
      <w:rFonts w:ascii="仿宋_GB2312" w:hAnsi="宋体" w:eastAsia="仿宋_GB2312" w:cs="宋体"/>
      <w:b/>
      <w:bCs/>
      <w:color w:val="000000"/>
      <w:sz w:val="21"/>
      <w:szCs w:val="21"/>
      <w:lang w:val="en-US" w:eastAsia="zh-CN" w:bidi="ar-SA"/>
    </w:rPr>
  </w:style>
  <w:style w:type="character" w:customStyle="1" w:styleId="60">
    <w:name w:val="标题 3 字符"/>
    <w:basedOn w:val="45"/>
    <w:link w:val="5"/>
    <w:qFormat/>
    <w:uiPriority w:val="0"/>
    <w:rPr>
      <w:rFonts w:ascii="Arial" w:hAnsi="Arial" w:eastAsia="黑体" w:cs="宋体"/>
      <w:color w:val="000000"/>
      <w:spacing w:val="20"/>
      <w:sz w:val="30"/>
      <w:szCs w:val="32"/>
    </w:rPr>
  </w:style>
  <w:style w:type="character" w:customStyle="1" w:styleId="61">
    <w:name w:val="标题 4 字符"/>
    <w:basedOn w:val="45"/>
    <w:link w:val="6"/>
    <w:qFormat/>
    <w:uiPriority w:val="0"/>
    <w:rPr>
      <w:rFonts w:ascii="Arial" w:hAnsi="Arial" w:eastAsia="黑体" w:cs="宋体"/>
      <w:color w:val="000000"/>
      <w:spacing w:val="10"/>
      <w:sz w:val="28"/>
      <w:szCs w:val="28"/>
    </w:rPr>
  </w:style>
  <w:style w:type="character" w:customStyle="1" w:styleId="62">
    <w:name w:val="标题 5 字符"/>
    <w:basedOn w:val="45"/>
    <w:link w:val="7"/>
    <w:qFormat/>
    <w:uiPriority w:val="0"/>
    <w:rPr>
      <w:rFonts w:ascii="Arial" w:hAnsi="Arial" w:eastAsia="黑体" w:cs="宋体"/>
      <w:color w:val="000000"/>
      <w:spacing w:val="10"/>
      <w:sz w:val="28"/>
      <w:szCs w:val="28"/>
    </w:rPr>
  </w:style>
  <w:style w:type="character" w:customStyle="1" w:styleId="63">
    <w:name w:val="标题 6 字符"/>
    <w:basedOn w:val="45"/>
    <w:link w:val="8"/>
    <w:qFormat/>
    <w:uiPriority w:val="0"/>
    <w:rPr>
      <w:rFonts w:ascii="Arial" w:hAnsi="Arial" w:eastAsia="黑体" w:cs="宋体"/>
      <w:color w:val="000000"/>
      <w:spacing w:val="10"/>
      <w:sz w:val="24"/>
      <w:szCs w:val="21"/>
    </w:rPr>
  </w:style>
  <w:style w:type="character" w:customStyle="1" w:styleId="64">
    <w:name w:val="标题 7 字符"/>
    <w:basedOn w:val="45"/>
    <w:link w:val="9"/>
    <w:qFormat/>
    <w:uiPriority w:val="0"/>
    <w:rPr>
      <w:rFonts w:ascii="Arial" w:hAnsi="Arial" w:eastAsia="黑体" w:cs="宋体"/>
      <w:color w:val="000000"/>
      <w:sz w:val="24"/>
      <w:szCs w:val="21"/>
    </w:rPr>
  </w:style>
  <w:style w:type="character" w:customStyle="1" w:styleId="65">
    <w:name w:val="标题 8 字符"/>
    <w:basedOn w:val="45"/>
    <w:link w:val="10"/>
    <w:qFormat/>
    <w:uiPriority w:val="0"/>
    <w:rPr>
      <w:rFonts w:ascii="Arial" w:hAnsi="Arial" w:eastAsia="黑体" w:cs="宋体"/>
      <w:b/>
      <w:bCs/>
      <w:color w:val="000000"/>
      <w:sz w:val="24"/>
      <w:szCs w:val="21"/>
    </w:rPr>
  </w:style>
  <w:style w:type="character" w:customStyle="1" w:styleId="66">
    <w:name w:val="标题 9 字符"/>
    <w:basedOn w:val="45"/>
    <w:link w:val="11"/>
    <w:qFormat/>
    <w:uiPriority w:val="0"/>
    <w:rPr>
      <w:rFonts w:ascii="Arial" w:hAnsi="Arial" w:eastAsia="黑体" w:cs="宋体"/>
      <w:b/>
      <w:bCs/>
      <w:color w:val="000000"/>
      <w:sz w:val="21"/>
      <w:szCs w:val="21"/>
    </w:rPr>
  </w:style>
  <w:style w:type="character" w:customStyle="1" w:styleId="67">
    <w:name w:val="批注文字 字符"/>
    <w:basedOn w:val="45"/>
    <w:link w:val="15"/>
    <w:qFormat/>
    <w:uiPriority w:val="0"/>
    <w:rPr>
      <w:kern w:val="2"/>
      <w:sz w:val="21"/>
      <w:szCs w:val="24"/>
    </w:rPr>
  </w:style>
  <w:style w:type="character" w:customStyle="1" w:styleId="68">
    <w:name w:val="纯文本 字符"/>
    <w:link w:val="25"/>
    <w:qFormat/>
    <w:uiPriority w:val="0"/>
    <w:rPr>
      <w:rFonts w:ascii="宋体" w:hAnsi="Courier New" w:eastAsia="宋体"/>
      <w:sz w:val="21"/>
      <w:szCs w:val="21"/>
      <w:lang w:val="en-US" w:eastAsia="zh-CN" w:bidi="ar-SA"/>
    </w:rPr>
  </w:style>
  <w:style w:type="character" w:customStyle="1" w:styleId="69">
    <w:name w:val="正文文本缩进 2 字符"/>
    <w:link w:val="28"/>
    <w:qFormat/>
    <w:uiPriority w:val="0"/>
    <w:rPr>
      <w:rFonts w:ascii="宋体" w:hAnsi="宋体" w:eastAsia="仿宋_GB2312"/>
      <w:b/>
      <w:bCs/>
      <w:color w:val="000000"/>
      <w:sz w:val="24"/>
      <w:lang w:bidi="ar-SA"/>
    </w:rPr>
  </w:style>
  <w:style w:type="character" w:customStyle="1" w:styleId="70">
    <w:name w:val="页脚 字符"/>
    <w:link w:val="30"/>
    <w:qFormat/>
    <w:uiPriority w:val="0"/>
    <w:rPr>
      <w:kern w:val="2"/>
      <w:sz w:val="18"/>
      <w:szCs w:val="18"/>
    </w:rPr>
  </w:style>
  <w:style w:type="character" w:customStyle="1" w:styleId="71">
    <w:name w:val="页眉 字符"/>
    <w:link w:val="31"/>
    <w:qFormat/>
    <w:uiPriority w:val="0"/>
    <w:rPr>
      <w:kern w:val="2"/>
      <w:sz w:val="18"/>
      <w:szCs w:val="18"/>
    </w:rPr>
  </w:style>
  <w:style w:type="character" w:customStyle="1" w:styleId="72">
    <w:name w:val="副标题 字符"/>
    <w:basedOn w:val="45"/>
    <w:link w:val="33"/>
    <w:qFormat/>
    <w:uiPriority w:val="0"/>
    <w:rPr>
      <w:rFonts w:ascii="Cambria" w:hAnsi="Cambria" w:cs="Times New Roman"/>
      <w:b/>
      <w:bCs/>
      <w:kern w:val="28"/>
      <w:sz w:val="32"/>
      <w:szCs w:val="32"/>
    </w:rPr>
  </w:style>
  <w:style w:type="character" w:customStyle="1" w:styleId="73">
    <w:name w:val="普通(网站) 字符"/>
    <w:link w:val="39"/>
    <w:qFormat/>
    <w:uiPriority w:val="0"/>
    <w:rPr>
      <w:rFonts w:ascii="宋体" w:hAnsi="宋体" w:cs="宋体"/>
      <w:sz w:val="24"/>
      <w:szCs w:val="24"/>
    </w:rPr>
  </w:style>
  <w:style w:type="character" w:customStyle="1" w:styleId="74">
    <w:name w:val="标题 字符"/>
    <w:basedOn w:val="45"/>
    <w:link w:val="40"/>
    <w:qFormat/>
    <w:uiPriority w:val="0"/>
    <w:rPr>
      <w:rFonts w:ascii="Cambria" w:hAnsi="Cambria" w:cs="Times New Roman"/>
      <w:b/>
      <w:bCs/>
      <w:kern w:val="2"/>
      <w:sz w:val="32"/>
      <w:szCs w:val="32"/>
    </w:rPr>
  </w:style>
  <w:style w:type="character" w:customStyle="1" w:styleId="75">
    <w:name w:val="批注主题 字符"/>
    <w:basedOn w:val="67"/>
    <w:link w:val="41"/>
    <w:semiHidden/>
    <w:qFormat/>
    <w:uiPriority w:val="0"/>
    <w:rPr>
      <w:b/>
      <w:bCs/>
      <w:kern w:val="2"/>
      <w:sz w:val="21"/>
      <w:szCs w:val="24"/>
    </w:rPr>
  </w:style>
  <w:style w:type="character" w:customStyle="1" w:styleId="76">
    <w:name w:val="Char Char5"/>
    <w:qFormat/>
    <w:uiPriority w:val="0"/>
    <w:rPr>
      <w:rFonts w:ascii="Arial" w:hAnsi="Arial" w:eastAsia="宋体" w:cs="Arial"/>
      <w:b/>
      <w:bCs/>
      <w:color w:val="000000"/>
      <w:sz w:val="32"/>
      <w:szCs w:val="32"/>
      <w:lang w:val="en-US" w:eastAsia="zh-CN" w:bidi="ar-SA"/>
    </w:rPr>
  </w:style>
  <w:style w:type="paragraph" w:customStyle="1" w:styleId="77">
    <w:name w:val="p16"/>
    <w:basedOn w:val="1"/>
    <w:qFormat/>
    <w:uiPriority w:val="0"/>
    <w:pPr>
      <w:widowControl/>
    </w:pPr>
    <w:rPr>
      <w:rFonts w:ascii="Calibri" w:hAnsi="Calibri" w:cs="宋体"/>
      <w:kern w:val="0"/>
      <w:szCs w:val="21"/>
    </w:rPr>
  </w:style>
  <w:style w:type="paragraph" w:styleId="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Char Char Char Char Char Char Char"/>
    <w:basedOn w:val="1"/>
    <w:qFormat/>
    <w:uiPriority w:val="0"/>
    <w:rPr>
      <w:rFonts w:ascii="仿宋_GB2312" w:eastAsia="仿宋_GB2312"/>
      <w:b/>
      <w:sz w:val="32"/>
      <w:szCs w:val="32"/>
    </w:rPr>
  </w:style>
  <w:style w:type="paragraph" w:customStyle="1" w:styleId="80">
    <w:name w:val="p15"/>
    <w:basedOn w:val="1"/>
    <w:qFormat/>
    <w:uiPriority w:val="0"/>
    <w:pPr>
      <w:widowControl/>
      <w:ind w:firstLine="420"/>
    </w:pPr>
    <w:rPr>
      <w:rFonts w:ascii="Calibri" w:hAnsi="Calibri" w:cs="宋体"/>
      <w:kern w:val="0"/>
      <w:szCs w:val="21"/>
    </w:rPr>
  </w:style>
  <w:style w:type="paragraph" w:customStyle="1" w:styleId="81">
    <w:name w:val="Char Char"/>
    <w:basedOn w:val="1"/>
    <w:qFormat/>
    <w:uiPriority w:val="0"/>
    <w:pPr>
      <w:spacing w:line="360" w:lineRule="auto"/>
    </w:pPr>
    <w:rPr>
      <w:rFonts w:ascii="Tahoma" w:hAnsi="Tahoma"/>
      <w:sz w:val="24"/>
      <w:szCs w:val="20"/>
    </w:rPr>
  </w:style>
  <w:style w:type="paragraph" w:customStyle="1" w:styleId="8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3">
    <w:name w:val="[Normal]"/>
    <w:qFormat/>
    <w:uiPriority w:val="0"/>
    <w:rPr>
      <w:rFonts w:ascii="宋体" w:hAnsi="宋体" w:eastAsia="宋体" w:cs="Times New Roman"/>
      <w:sz w:val="24"/>
      <w:szCs w:val="22"/>
      <w:lang w:val="zh-CN" w:eastAsia="zh-CN" w:bidi="ar-SA"/>
    </w:rPr>
  </w:style>
  <w:style w:type="paragraph" w:styleId="84">
    <w:name w:val="List Paragraph"/>
    <w:basedOn w:val="1"/>
    <w:qFormat/>
    <w:uiPriority w:val="34"/>
    <w:pPr>
      <w:ind w:firstLine="420" w:firstLineChars="200"/>
    </w:pPr>
  </w:style>
  <w:style w:type="paragraph" w:customStyle="1" w:styleId="85">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8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88">
    <w:name w:val="纯文本 Char2"/>
    <w:qFormat/>
    <w:uiPriority w:val="0"/>
    <w:rPr>
      <w:rFonts w:ascii="宋体" w:hAnsi="Courier New" w:eastAsia="仿宋_GB2312" w:cs="宋体"/>
      <w:b/>
      <w:bCs/>
      <w:color w:val="000000"/>
      <w:sz w:val="21"/>
      <w:lang w:val="en-US" w:eastAsia="zh-CN" w:bidi="ar-SA"/>
    </w:rPr>
  </w:style>
  <w:style w:type="character" w:customStyle="1" w:styleId="89">
    <w:name w:val="NormalCharacter"/>
    <w:qFormat/>
    <w:uiPriority w:val="0"/>
  </w:style>
  <w:style w:type="paragraph" w:customStyle="1" w:styleId="90">
    <w:name w:val="列出段落3"/>
    <w:basedOn w:val="1"/>
    <w:qFormat/>
    <w:uiPriority w:val="0"/>
    <w:pPr>
      <w:spacing w:line="360" w:lineRule="auto"/>
      <w:ind w:firstLine="420" w:firstLineChars="200"/>
    </w:pPr>
    <w:rPr>
      <w:rFonts w:ascii="Calibri" w:hAnsi="Calibri"/>
      <w:sz w:val="24"/>
      <w:szCs w:val="22"/>
    </w:rPr>
  </w:style>
  <w:style w:type="character" w:customStyle="1" w:styleId="91">
    <w:name w:val="纯文本 Char1"/>
    <w:qFormat/>
    <w:uiPriority w:val="0"/>
    <w:rPr>
      <w:rFonts w:ascii="宋体" w:hAnsi="Courier New" w:eastAsia="仿宋_GB2312" w:cs="宋体"/>
      <w:b/>
      <w:bCs/>
      <w:color w:val="000000"/>
    </w:rPr>
  </w:style>
  <w:style w:type="character" w:customStyle="1" w:styleId="92">
    <w:name w:val="skancount"/>
    <w:basedOn w:val="45"/>
    <w:qFormat/>
    <w:uiPriority w:val="0"/>
  </w:style>
  <w:style w:type="character" w:customStyle="1" w:styleId="93">
    <w:name w:val="bookmark-item"/>
    <w:basedOn w:val="45"/>
    <w:qFormat/>
    <w:uiPriority w:val="0"/>
  </w:style>
  <w:style w:type="paragraph" w:customStyle="1" w:styleId="94">
    <w:name w:val="正文文本首行缩进1"/>
    <w:basedOn w:val="17"/>
    <w:qFormat/>
    <w:uiPriority w:val="0"/>
    <w:pPr>
      <w:spacing w:line="360" w:lineRule="auto"/>
      <w:ind w:firstLine="200" w:firstLineChars="200"/>
    </w:pPr>
    <w:rPr>
      <w:rFonts w:ascii="宋体" w:hAnsi="宋体"/>
      <w:bCs/>
      <w:sz w:val="24"/>
      <w:szCs w:val="21"/>
    </w:rPr>
  </w:style>
  <w:style w:type="paragraph" w:customStyle="1" w:styleId="95">
    <w:name w:val="列表段落1"/>
    <w:basedOn w:val="1"/>
    <w:qFormat/>
    <w:uiPriority w:val="0"/>
    <w:pPr>
      <w:ind w:firstLine="420" w:firstLineChars="200"/>
    </w:pPr>
    <w:rPr>
      <w:rFonts w:asciiTheme="minorHAnsi" w:hAnsiTheme="minorHAnsi" w:eastAsiaTheme="minorEastAsia" w:cstheme="minorBidi"/>
      <w:sz w:val="24"/>
    </w:rPr>
  </w:style>
  <w:style w:type="character" w:customStyle="1" w:styleId="96">
    <w:name w:val="文档结构图 字符"/>
    <w:basedOn w:val="45"/>
    <w:link w:val="14"/>
    <w:semiHidden/>
    <w:qFormat/>
    <w:uiPriority w:val="0"/>
    <w:rPr>
      <w:kern w:val="2"/>
      <w:sz w:val="21"/>
      <w:szCs w:val="24"/>
      <w:shd w:val="clear" w:color="auto" w:fill="000080"/>
    </w:rPr>
  </w:style>
  <w:style w:type="character" w:customStyle="1" w:styleId="97">
    <w:name w:val="日期 字符"/>
    <w:basedOn w:val="45"/>
    <w:link w:val="27"/>
    <w:qFormat/>
    <w:uiPriority w:val="0"/>
    <w:rPr>
      <w:rFonts w:ascii="仿宋_GB2312" w:hAnsi="宋体" w:eastAsia="仿宋_GB2312" w:cs="宋体"/>
      <w:b/>
      <w:bCs/>
      <w:color w:val="000000"/>
      <w:sz w:val="24"/>
      <w:szCs w:val="21"/>
    </w:rPr>
  </w:style>
  <w:style w:type="character" w:customStyle="1" w:styleId="98">
    <w:name w:val="脚注文本 字符"/>
    <w:basedOn w:val="45"/>
    <w:link w:val="35"/>
    <w:qFormat/>
    <w:uiPriority w:val="0"/>
    <w:rPr>
      <w:kern w:val="2"/>
      <w:sz w:val="18"/>
      <w:szCs w:val="24"/>
    </w:rPr>
  </w:style>
  <w:style w:type="character" w:customStyle="1" w:styleId="99">
    <w:name w:val="正文文本缩进 3 字符"/>
    <w:basedOn w:val="45"/>
    <w:link w:val="36"/>
    <w:qFormat/>
    <w:uiPriority w:val="0"/>
    <w:rPr>
      <w:rFonts w:ascii="仿宋_GB2312" w:hAnsi="宋体" w:eastAsia="仿宋_GB2312" w:cs="宋体"/>
      <w:b/>
      <w:bCs/>
      <w:color w:val="000000"/>
      <w:sz w:val="16"/>
      <w:szCs w:val="16"/>
    </w:rPr>
  </w:style>
  <w:style w:type="character" w:customStyle="1" w:styleId="100">
    <w:name w:val="正文文本 2 字符"/>
    <w:basedOn w:val="45"/>
    <w:link w:val="37"/>
    <w:qFormat/>
    <w:uiPriority w:val="0"/>
    <w:rPr>
      <w:kern w:val="2"/>
      <w:sz w:val="21"/>
      <w:szCs w:val="24"/>
    </w:rPr>
  </w:style>
  <w:style w:type="character" w:customStyle="1" w:styleId="101">
    <w:name w:val="HTML 预设格式 字符"/>
    <w:basedOn w:val="45"/>
    <w:link w:val="38"/>
    <w:qFormat/>
    <w:uiPriority w:val="0"/>
    <w:rPr>
      <w:rFonts w:ascii="黑体" w:hAnsi="Courier New" w:eastAsia="黑体"/>
    </w:rPr>
  </w:style>
  <w:style w:type="character" w:customStyle="1" w:styleId="102">
    <w:name w:val="style11"/>
    <w:qFormat/>
    <w:uiPriority w:val="0"/>
    <w:rPr>
      <w:sz w:val="18"/>
      <w:szCs w:val="18"/>
    </w:rPr>
  </w:style>
  <w:style w:type="character" w:customStyle="1" w:styleId="103">
    <w:name w:val="Char Char2"/>
    <w:qFormat/>
    <w:uiPriority w:val="0"/>
    <w:rPr>
      <w:rFonts w:eastAsia="宋体"/>
      <w:kern w:val="2"/>
      <w:sz w:val="18"/>
      <w:szCs w:val="18"/>
      <w:lang w:val="en-US" w:eastAsia="zh-CN" w:bidi="ar-SA"/>
    </w:rPr>
  </w:style>
  <w:style w:type="character" w:customStyle="1" w:styleId="104">
    <w:name w:val="ca-6"/>
    <w:basedOn w:val="45"/>
    <w:qFormat/>
    <w:uiPriority w:val="0"/>
  </w:style>
  <w:style w:type="character" w:customStyle="1" w:styleId="105">
    <w:name w:val="unnamed11"/>
    <w:qFormat/>
    <w:uiPriority w:val="0"/>
    <w:rPr>
      <w:color w:val="000000"/>
      <w:sz w:val="20"/>
      <w:szCs w:val="20"/>
    </w:rPr>
  </w:style>
  <w:style w:type="character" w:customStyle="1" w:styleId="106">
    <w:name w:val="Texte Char Char"/>
    <w:qFormat/>
    <w:uiPriority w:val="0"/>
    <w:rPr>
      <w:rFonts w:ascii="宋体" w:hAnsi="Courier New" w:eastAsia="仿宋_GB2312" w:cs="宋体"/>
      <w:b/>
      <w:bCs/>
      <w:color w:val="000000"/>
      <w:sz w:val="21"/>
      <w:lang w:val="en-US" w:eastAsia="zh-CN" w:bidi="ar-SA"/>
    </w:rPr>
  </w:style>
  <w:style w:type="character" w:customStyle="1" w:styleId="107">
    <w:name w:val="f10"/>
    <w:basedOn w:val="45"/>
    <w:qFormat/>
    <w:uiPriority w:val="0"/>
  </w:style>
  <w:style w:type="character" w:customStyle="1" w:styleId="108">
    <w:name w:val="ca-2"/>
    <w:basedOn w:val="45"/>
    <w:qFormat/>
    <w:uiPriority w:val="0"/>
  </w:style>
  <w:style w:type="character" w:customStyle="1" w:styleId="109">
    <w:name w:val="缩进2字符 Char"/>
    <w:link w:val="110"/>
    <w:qFormat/>
    <w:locked/>
    <w:uiPriority w:val="0"/>
    <w:rPr>
      <w:rFonts w:ascii="仿宋_GB2312" w:hAnsi="仿宋_GB2312" w:eastAsia="仿宋_GB2312" w:cs="Arial"/>
      <w:snapToGrid w:val="0"/>
      <w:color w:val="000000"/>
      <w:sz w:val="28"/>
      <w:szCs w:val="28"/>
    </w:rPr>
  </w:style>
  <w:style w:type="paragraph" w:customStyle="1" w:styleId="110">
    <w:name w:val="缩进2字符"/>
    <w:basedOn w:val="1"/>
    <w:link w:val="109"/>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11">
    <w:name w:val="ca-11"/>
    <w:qFormat/>
    <w:uiPriority w:val="0"/>
    <w:rPr>
      <w:rFonts w:hint="eastAsia" w:ascii="宋体" w:hAnsi="宋体" w:eastAsia="宋体"/>
      <w:sz w:val="18"/>
      <w:szCs w:val="18"/>
    </w:rPr>
  </w:style>
  <w:style w:type="character" w:customStyle="1" w:styleId="112">
    <w:name w:val="标题 Char1"/>
    <w:qFormat/>
    <w:locked/>
    <w:uiPriority w:val="0"/>
    <w:rPr>
      <w:rFonts w:ascii="Arial" w:hAnsi="Arial" w:cs="Arial"/>
      <w:b/>
      <w:bCs/>
      <w:color w:val="000000"/>
      <w:sz w:val="32"/>
      <w:szCs w:val="32"/>
    </w:rPr>
  </w:style>
  <w:style w:type="character" w:customStyle="1" w:styleId="113">
    <w:name w:val="ca-3"/>
    <w:basedOn w:val="45"/>
    <w:qFormat/>
    <w:uiPriority w:val="0"/>
  </w:style>
  <w:style w:type="character" w:customStyle="1" w:styleId="114">
    <w:name w:val="para"/>
    <w:basedOn w:val="45"/>
    <w:qFormat/>
    <w:uiPriority w:val="0"/>
  </w:style>
  <w:style w:type="character" w:customStyle="1" w:styleId="115">
    <w:name w:val="表格文本 Char"/>
    <w:link w:val="116"/>
    <w:qFormat/>
    <w:locked/>
    <w:uiPriority w:val="0"/>
    <w:rPr>
      <w:rFonts w:ascii="宋体" w:hAnsi="宋体" w:cs="Arial"/>
      <w:snapToGrid w:val="0"/>
      <w:szCs w:val="21"/>
    </w:rPr>
  </w:style>
  <w:style w:type="paragraph" w:customStyle="1" w:styleId="116">
    <w:name w:val="表格文本"/>
    <w:basedOn w:val="1"/>
    <w:link w:val="115"/>
    <w:qFormat/>
    <w:uiPriority w:val="0"/>
    <w:pPr>
      <w:snapToGrid w:val="0"/>
      <w:jc w:val="left"/>
    </w:pPr>
    <w:rPr>
      <w:rFonts w:ascii="宋体" w:hAnsi="宋体" w:cs="Arial"/>
      <w:snapToGrid w:val="0"/>
      <w:kern w:val="0"/>
      <w:sz w:val="20"/>
      <w:szCs w:val="21"/>
    </w:rPr>
  </w:style>
  <w:style w:type="character" w:customStyle="1" w:styleId="117">
    <w:name w:val="ca-8"/>
    <w:basedOn w:val="45"/>
    <w:qFormat/>
    <w:uiPriority w:val="0"/>
  </w:style>
  <w:style w:type="character" w:customStyle="1" w:styleId="118">
    <w:name w:val="smalltxt1"/>
    <w:qFormat/>
    <w:uiPriority w:val="0"/>
    <w:rPr>
      <w:rFonts w:hint="default" w:ascii="ˎ̥" w:hAnsi="ˎ̥" w:eastAsia="仿宋_GB2312"/>
      <w:b/>
      <w:sz w:val="24"/>
      <w:szCs w:val="24"/>
    </w:rPr>
  </w:style>
  <w:style w:type="character" w:customStyle="1" w:styleId="119">
    <w:name w:val="Char Char1"/>
    <w:qFormat/>
    <w:uiPriority w:val="0"/>
    <w:rPr>
      <w:rFonts w:ascii="宋体" w:hAnsi="Courier New" w:eastAsia="仿宋_GB2312" w:cs="宋体"/>
      <w:b/>
      <w:bCs/>
      <w:color w:val="000000"/>
      <w:sz w:val="21"/>
      <w:lang w:val="en-US" w:eastAsia="zh-CN" w:bidi="ar-SA"/>
    </w:rPr>
  </w:style>
  <w:style w:type="character" w:customStyle="1" w:styleId="120">
    <w:name w:val="apple-converted-space"/>
    <w:basedOn w:val="45"/>
    <w:qFormat/>
    <w:uiPriority w:val="0"/>
  </w:style>
  <w:style w:type="character" w:customStyle="1" w:styleId="121">
    <w:name w:val="bigtitle1"/>
    <w:qFormat/>
    <w:uiPriority w:val="0"/>
    <w:rPr>
      <w:sz w:val="28"/>
      <w:szCs w:val="28"/>
    </w:rPr>
  </w:style>
  <w:style w:type="character" w:customStyle="1" w:styleId="122">
    <w:name w:val="Char Char4"/>
    <w:qFormat/>
    <w:uiPriority w:val="0"/>
    <w:rPr>
      <w:rFonts w:eastAsia="宋体"/>
      <w:sz w:val="18"/>
      <w:szCs w:val="18"/>
      <w:lang w:val="en-US" w:eastAsia="zh-CN" w:bidi="ar-SA"/>
    </w:rPr>
  </w:style>
  <w:style w:type="character" w:customStyle="1" w:styleId="123">
    <w:name w:val="样式3 Char"/>
    <w:link w:val="124"/>
    <w:qFormat/>
    <w:uiPriority w:val="0"/>
    <w:rPr>
      <w:rFonts w:eastAsia="黑体"/>
      <w:kern w:val="2"/>
      <w:sz w:val="28"/>
      <w:szCs w:val="21"/>
    </w:rPr>
  </w:style>
  <w:style w:type="paragraph" w:customStyle="1" w:styleId="124">
    <w:name w:val="样式3"/>
    <w:basedOn w:val="1"/>
    <w:link w:val="123"/>
    <w:qFormat/>
    <w:uiPriority w:val="0"/>
    <w:pPr>
      <w:snapToGrid w:val="0"/>
      <w:outlineLvl w:val="2"/>
    </w:pPr>
    <w:rPr>
      <w:rFonts w:eastAsia="黑体"/>
      <w:sz w:val="28"/>
      <w:szCs w:val="21"/>
    </w:rPr>
  </w:style>
  <w:style w:type="character" w:customStyle="1" w:styleId="125">
    <w:name w:val="unnamed51"/>
    <w:qFormat/>
    <w:uiPriority w:val="0"/>
    <w:rPr>
      <w:sz w:val="22"/>
      <w:szCs w:val="22"/>
    </w:rPr>
  </w:style>
  <w:style w:type="paragraph" w:customStyle="1" w:styleId="126">
    <w:name w:val="默认段落字体 Para Char"/>
    <w:basedOn w:val="1"/>
    <w:qFormat/>
    <w:uiPriority w:val="0"/>
    <w:pPr>
      <w:adjustRightInd w:val="0"/>
      <w:spacing w:line="360" w:lineRule="auto"/>
    </w:pPr>
    <w:rPr>
      <w:kern w:val="0"/>
      <w:sz w:val="24"/>
      <w:szCs w:val="20"/>
    </w:rPr>
  </w:style>
  <w:style w:type="paragraph" w:customStyle="1" w:styleId="127">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128">
    <w:name w:val="Char Char Char Char"/>
    <w:basedOn w:val="14"/>
    <w:qFormat/>
    <w:uiPriority w:val="0"/>
    <w:rPr>
      <w:rFonts w:ascii="Tahoma" w:hAnsi="Tahoma"/>
      <w:sz w:val="24"/>
    </w:rPr>
  </w:style>
  <w:style w:type="paragraph" w:customStyle="1" w:styleId="129">
    <w:name w:val="Char"/>
    <w:basedOn w:val="1"/>
    <w:qFormat/>
    <w:uiPriority w:val="0"/>
    <w:rPr>
      <w:rFonts w:ascii="仿宋_GB2312" w:eastAsia="仿宋_GB2312"/>
      <w:b/>
      <w:sz w:val="32"/>
      <w:szCs w:val="32"/>
    </w:rPr>
  </w:style>
  <w:style w:type="paragraph" w:customStyle="1" w:styleId="130">
    <w:name w:val="Char2"/>
    <w:basedOn w:val="1"/>
    <w:qFormat/>
    <w:uiPriority w:val="0"/>
    <w:rPr>
      <w:rFonts w:ascii="仿宋_GB2312" w:hAnsi="宋体" w:eastAsia="仿宋_GB2312" w:cs="宋体"/>
      <w:bCs/>
      <w:color w:val="000000"/>
      <w:kern w:val="0"/>
      <w:sz w:val="32"/>
      <w:szCs w:val="32"/>
    </w:rPr>
  </w:style>
  <w:style w:type="paragraph" w:customStyle="1" w:styleId="131">
    <w:name w:val="默认段落字体 Para Char Char Char Char"/>
    <w:basedOn w:val="1"/>
    <w:qFormat/>
    <w:uiPriority w:val="0"/>
  </w:style>
  <w:style w:type="paragraph" w:customStyle="1" w:styleId="132">
    <w:name w:val="样式1"/>
    <w:basedOn w:val="4"/>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33">
    <w:name w:val="pa-2"/>
    <w:basedOn w:val="1"/>
    <w:qFormat/>
    <w:uiPriority w:val="0"/>
    <w:pPr>
      <w:widowControl/>
      <w:spacing w:line="240" w:lineRule="atLeast"/>
      <w:ind w:firstLine="440"/>
    </w:pPr>
    <w:rPr>
      <w:rFonts w:ascii="宋体" w:hAnsi="宋体" w:cs="宋体"/>
      <w:kern w:val="0"/>
      <w:sz w:val="24"/>
    </w:rPr>
  </w:style>
  <w:style w:type="paragraph" w:customStyle="1" w:styleId="13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1 Char Char Char"/>
    <w:basedOn w:val="1"/>
    <w:qFormat/>
    <w:uiPriority w:val="0"/>
    <w:rPr>
      <w:rFonts w:ascii="仿宋_GB2312" w:eastAsia="仿宋_GB2312"/>
      <w:b/>
      <w:sz w:val="32"/>
      <w:szCs w:val="32"/>
    </w:rPr>
  </w:style>
  <w:style w:type="paragraph" w:customStyle="1" w:styleId="136">
    <w:name w:val="Body Text(ch)"/>
    <w:basedOn w:val="1"/>
    <w:next w:val="17"/>
    <w:qFormat/>
    <w:uiPriority w:val="0"/>
    <w:pPr>
      <w:spacing w:line="500" w:lineRule="exact"/>
      <w:jc w:val="center"/>
    </w:pPr>
  </w:style>
  <w:style w:type="paragraph" w:customStyle="1" w:styleId="13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38">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39">
    <w:name w:val="小点说明"/>
    <w:basedOn w:val="1"/>
    <w:qFormat/>
    <w:uiPriority w:val="0"/>
    <w:pPr>
      <w:tabs>
        <w:tab w:val="left" w:pos="0"/>
      </w:tabs>
      <w:adjustRightInd w:val="0"/>
      <w:snapToGrid w:val="0"/>
      <w:spacing w:line="340" w:lineRule="atLeast"/>
    </w:pPr>
    <w:rPr>
      <w:rFonts w:ascii="宋体" w:hAnsi="宋体"/>
      <w:bCs/>
      <w:kern w:val="0"/>
      <w:lang w:val="eu-ES"/>
    </w:rPr>
  </w:style>
  <w:style w:type="paragraph" w:customStyle="1" w:styleId="140">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41">
    <w:name w:val="Char Char Char"/>
    <w:basedOn w:val="1"/>
    <w:qFormat/>
    <w:uiPriority w:val="0"/>
    <w:rPr>
      <w:rFonts w:ascii="Tahoma" w:hAnsi="Tahoma"/>
      <w:sz w:val="24"/>
      <w:szCs w:val="20"/>
    </w:rPr>
  </w:style>
  <w:style w:type="paragraph" w:customStyle="1" w:styleId="142">
    <w:name w:val="List Paragraph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143">
    <w:name w:val="默认段落字体 Para Char Char Char Char Char Char Char Char Char1 Char Char Char Char Char Char Char"/>
    <w:basedOn w:val="14"/>
    <w:qFormat/>
    <w:uiPriority w:val="0"/>
    <w:rPr>
      <w:rFonts w:ascii="Tahoma" w:hAnsi="Tahoma"/>
      <w:sz w:val="24"/>
    </w:rPr>
  </w:style>
  <w:style w:type="paragraph" w:customStyle="1" w:styleId="144">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45">
    <w:name w:val="Numbered list 2.3"/>
    <w:basedOn w:val="5"/>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6">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47">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3"/>
    <w:basedOn w:val="1"/>
    <w:qFormat/>
    <w:uiPriority w:val="0"/>
    <w:rPr>
      <w:szCs w:val="20"/>
    </w:rPr>
  </w:style>
  <w:style w:type="paragraph" w:customStyle="1" w:styleId="15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正文段"/>
    <w:basedOn w:val="1"/>
    <w:qFormat/>
    <w:uiPriority w:val="0"/>
    <w:pPr>
      <w:widowControl/>
      <w:snapToGrid w:val="0"/>
      <w:spacing w:afterLines="50"/>
      <w:ind w:firstLine="200" w:firstLineChars="200"/>
    </w:pPr>
    <w:rPr>
      <w:kern w:val="0"/>
      <w:sz w:val="24"/>
      <w:szCs w:val="20"/>
    </w:rPr>
  </w:style>
  <w:style w:type="paragraph" w:customStyle="1" w:styleId="15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3">
    <w:name w:val="正文－恩普"/>
    <w:basedOn w:val="2"/>
    <w:qFormat/>
    <w:uiPriority w:val="0"/>
    <w:pPr>
      <w:widowControl/>
      <w:spacing w:before="100" w:beforeAutospacing="1" w:afterLines="50" w:afterAutospacing="1" w:line="360" w:lineRule="auto"/>
      <w:ind w:firstLine="480"/>
      <w:jc w:val="left"/>
    </w:pPr>
    <w:rPr>
      <w:sz w:val="24"/>
      <w:szCs w:val="20"/>
    </w:rPr>
  </w:style>
  <w:style w:type="paragraph" w:customStyle="1" w:styleId="154">
    <w:name w:val="Char1 Char Char Char Char Char"/>
    <w:basedOn w:val="1"/>
    <w:qFormat/>
    <w:uiPriority w:val="0"/>
  </w:style>
  <w:style w:type="paragraph" w:customStyle="1" w:styleId="155">
    <w:name w:val="Char Char Char1"/>
    <w:basedOn w:val="14"/>
    <w:qFormat/>
    <w:uiPriority w:val="0"/>
    <w:rPr>
      <w:rFonts w:ascii="Tahoma" w:hAnsi="Tahoma"/>
      <w:sz w:val="24"/>
    </w:rPr>
  </w:style>
  <w:style w:type="paragraph" w:customStyle="1" w:styleId="156">
    <w:name w:val="Char1 Char Char Char Char Char Char"/>
    <w:basedOn w:val="1"/>
    <w:qFormat/>
    <w:uiPriority w:val="0"/>
    <w:rPr>
      <w:rFonts w:ascii="Tahoma" w:hAnsi="Tahoma"/>
      <w:sz w:val="24"/>
      <w:szCs w:val="20"/>
    </w:rPr>
  </w:style>
  <w:style w:type="paragraph" w:customStyle="1" w:styleId="157">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58">
    <w:name w:val="表内文字"/>
    <w:basedOn w:val="1"/>
    <w:qFormat/>
    <w:uiPriority w:val="0"/>
    <w:pPr>
      <w:spacing w:line="500" w:lineRule="atLeast"/>
      <w:jc w:val="center"/>
    </w:pPr>
    <w:rPr>
      <w:rFonts w:ascii="Arial" w:hAnsi="Arial" w:eastAsia="楷体_GB2312" w:cs="Arial"/>
      <w:sz w:val="28"/>
    </w:rPr>
  </w:style>
  <w:style w:type="character" w:customStyle="1" w:styleId="159">
    <w:name w:val="标题 4 Char1"/>
    <w:qFormat/>
    <w:uiPriority w:val="0"/>
    <w:rPr>
      <w:rFonts w:ascii="Arial" w:hAnsi="Arial" w:eastAsia="黑体"/>
      <w:b/>
      <w:bCs/>
      <w:kern w:val="2"/>
      <w:sz w:val="28"/>
      <w:szCs w:val="28"/>
      <w:lang w:val="en-US" w:eastAsia="zh-CN" w:bidi="ar-SA"/>
    </w:rPr>
  </w:style>
  <w:style w:type="paragraph" w:customStyle="1" w:styleId="160">
    <w:name w:val="正文缩进1"/>
    <w:basedOn w:val="1"/>
    <w:qFormat/>
    <w:uiPriority w:val="0"/>
    <w:pPr>
      <w:spacing w:line="360" w:lineRule="auto"/>
      <w:ind w:firstLine="454"/>
      <w:jc w:val="left"/>
    </w:pPr>
    <w:rPr>
      <w:sz w:val="24"/>
    </w:rPr>
  </w:style>
  <w:style w:type="paragraph" w:customStyle="1" w:styleId="161">
    <w:name w:val="列出段落1"/>
    <w:basedOn w:val="1"/>
    <w:qFormat/>
    <w:uiPriority w:val="0"/>
    <w:pPr>
      <w:ind w:firstLine="420" w:firstLineChars="200"/>
    </w:pPr>
    <w:rPr>
      <w:sz w:val="36"/>
      <w:szCs w:val="20"/>
    </w:rPr>
  </w:style>
  <w:style w:type="character" w:customStyle="1" w:styleId="162">
    <w:name w:val="无"/>
    <w:qFormat/>
    <w:uiPriority w:val="0"/>
  </w:style>
  <w:style w:type="paragraph" w:customStyle="1" w:styleId="163">
    <w:name w:val="Other|1"/>
    <w:basedOn w:val="1"/>
    <w:qFormat/>
    <w:uiPriority w:val="0"/>
    <w:pPr>
      <w:spacing w:line="311" w:lineRule="exact"/>
    </w:pPr>
    <w:rPr>
      <w:rFonts w:ascii="宋体" w:hAnsi="宋体" w:cs="宋体"/>
      <w:sz w:val="20"/>
      <w:szCs w:val="20"/>
      <w:lang w:val="zh-TW" w:eastAsia="zh-TW" w:bidi="zh-TW"/>
    </w:rPr>
  </w:style>
  <w:style w:type="character" w:customStyle="1" w:styleId="164">
    <w:name w:val="font21"/>
    <w:basedOn w:val="45"/>
    <w:qFormat/>
    <w:uiPriority w:val="0"/>
    <w:rPr>
      <w:rFonts w:hint="eastAsia" w:ascii="宋体" w:hAnsi="宋体" w:eastAsia="宋体"/>
      <w:color w:val="000000"/>
      <w:sz w:val="21"/>
      <w:szCs w:val="21"/>
      <w:u w:val="none"/>
    </w:rPr>
  </w:style>
  <w:style w:type="paragraph" w:customStyle="1" w:styleId="165">
    <w:name w:val="章正文"/>
    <w:basedOn w:val="1"/>
    <w:qFormat/>
    <w:uiPriority w:val="99"/>
    <w:pPr>
      <w:spacing w:beforeLines="50" w:after="120" w:line="300" w:lineRule="auto"/>
      <w:ind w:firstLine="480"/>
    </w:pPr>
    <w:rPr>
      <w:rFonts w:ascii="Helvetica" w:hAnsi="Helvetica"/>
      <w:kern w:val="0"/>
      <w:sz w:val="24"/>
    </w:rPr>
  </w:style>
  <w:style w:type="paragraph" w:customStyle="1" w:styleId="166">
    <w:name w:val="表格文字"/>
    <w:basedOn w:val="1"/>
    <w:next w:val="17"/>
    <w:qFormat/>
    <w:uiPriority w:val="0"/>
    <w:pPr>
      <w:widowControl/>
      <w:adjustRightInd w:val="0"/>
      <w:spacing w:line="420" w:lineRule="atLeast"/>
      <w:jc w:val="left"/>
      <w:textAlignment w:val="baseline"/>
    </w:pPr>
  </w:style>
  <w:style w:type="paragraph" w:customStyle="1" w:styleId="167">
    <w:name w:val="引用1"/>
    <w:basedOn w:val="1"/>
    <w:next w:val="1"/>
    <w:qFormat/>
    <w:uiPriority w:val="29"/>
    <w:rPr>
      <w:i/>
      <w:iCs/>
      <w:color w:val="000000"/>
    </w:rPr>
  </w:style>
  <w:style w:type="paragraph" w:customStyle="1" w:styleId="168">
    <w:name w:val="正文首行缩进2字符"/>
    <w:basedOn w:val="1"/>
    <w:qFormat/>
    <w:uiPriority w:val="0"/>
    <w:pPr>
      <w:widowControl/>
    </w:pPr>
  </w:style>
  <w:style w:type="paragraph" w:customStyle="1" w:styleId="1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_Style 167"/>
    <w:basedOn w:val="17"/>
    <w:next w:val="19"/>
    <w:qFormat/>
    <w:uiPriority w:val="0"/>
    <w:pPr>
      <w:adjustRightInd w:val="0"/>
      <w:snapToGrid w:val="0"/>
      <w:spacing w:after="120" w:line="288" w:lineRule="auto"/>
      <w:ind w:firstLine="420" w:firstLineChars="100"/>
    </w:pPr>
    <w:rPr>
      <w:rFonts w:hAnsi="Calibri"/>
      <w:szCs w:val="20"/>
    </w:rPr>
  </w:style>
  <w:style w:type="paragraph" w:customStyle="1" w:styleId="1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74">
    <w:name w:val="标题 Char2"/>
    <w:qFormat/>
    <w:uiPriority w:val="0"/>
    <w:rPr>
      <w:rFonts w:ascii="Arial" w:hAnsi="Arial" w:cs="Arial"/>
      <w:b/>
      <w:bCs/>
      <w:color w:val="000000"/>
      <w:sz w:val="32"/>
      <w:szCs w:val="32"/>
    </w:rPr>
  </w:style>
  <w:style w:type="character" w:customStyle="1" w:styleId="175">
    <w:name w:val="纯文本 Char3"/>
    <w:qFormat/>
    <w:uiPriority w:val="0"/>
    <w:rPr>
      <w:rFonts w:ascii="宋体" w:hAnsi="Courier New" w:eastAsia="仿宋_GB2312" w:cs="宋体"/>
      <w:b/>
      <w:bCs/>
      <w:color w:val="000000"/>
      <w:sz w:val="21"/>
      <w:lang w:val="en-US" w:eastAsia="zh-CN" w:bidi="ar-SA"/>
    </w:rPr>
  </w:style>
  <w:style w:type="character" w:customStyle="1" w:styleId="176">
    <w:name w:val="正文文本 3 字符"/>
    <w:basedOn w:val="45"/>
    <w:link w:val="16"/>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A3DC-4D3B-4AFD-B7F4-248840902B3C}">
  <ds:schemaRefs/>
</ds:datastoreItem>
</file>

<file path=docProps/app.xml><?xml version="1.0" encoding="utf-8"?>
<Properties xmlns="http://schemas.openxmlformats.org/officeDocument/2006/extended-properties" xmlns:vt="http://schemas.openxmlformats.org/officeDocument/2006/docPropsVTypes">
  <Template>Normal.dotm</Template>
  <Company>tuxin</Company>
  <Pages>54</Pages>
  <Words>33091</Words>
  <Characters>34595</Characters>
  <Lines>280</Lines>
  <Paragraphs>78</Paragraphs>
  <TotalTime>0</TotalTime>
  <ScaleCrop>false</ScaleCrop>
  <LinksUpToDate>false</LinksUpToDate>
  <CharactersWithSpaces>36248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2023-12-13T03:58:00Z</dcterms:created>
  <dc:creator>雨林木风</dc:creator>
  <cp:lastModifiedBy>可可</cp:lastModifiedBy>
  <cp:lastPrinted>2023-10-20T01:48:00Z</cp:lastPrinted>
  <dcterms:modified xsi:type="dcterms:W3CDTF">2024-06-07T09:13:14Z</dcterms:modified>
  <dc:title>投标须知前附表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18F68E8FE1C14B68B856A9AD61BCBE5D</vt:lpwstr>
  </property>
</Properties>
</file>