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3"/>
        <w:tblW w:w="90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016" w:type="dxa"/>
          </w:tcPr>
          <w:p>
            <w:pPr>
              <w:autoSpaceDE w:val="0"/>
              <w:autoSpaceDN w:val="0"/>
              <w:adjustRightInd w:val="0"/>
              <w:snapToGrid w:val="0"/>
              <w:spacing w:line="500" w:lineRule="atLeast"/>
              <w:ind w:left="956"/>
              <w:rPr>
                <w:rFonts w:hint="eastAsia" w:ascii="宋体" w:eastAsia="宋体"/>
                <w:b w:val="0"/>
                <w:bCs w:val="0"/>
                <w:color w:val="auto"/>
                <w:sz w:val="32"/>
                <w:szCs w:val="32"/>
                <w:highlight w:val="none"/>
                <w:lang w:val="zh-CN"/>
              </w:rPr>
            </w:pPr>
          </w:p>
          <w:p>
            <w:pPr>
              <w:autoSpaceDE w:val="0"/>
              <w:autoSpaceDN w:val="0"/>
              <w:adjustRightInd w:val="0"/>
              <w:snapToGrid w:val="0"/>
              <w:spacing w:line="500" w:lineRule="atLeast"/>
              <w:jc w:val="center"/>
              <w:rPr>
                <w:rFonts w:ascii="宋体" w:eastAsia="宋体"/>
                <w:color w:val="auto"/>
                <w:sz w:val="32"/>
                <w:szCs w:val="32"/>
                <w:highlight w:val="none"/>
                <w:lang w:val="zh-CN"/>
              </w:rPr>
            </w:pPr>
          </w:p>
          <w:p>
            <w:pPr>
              <w:jc w:val="center"/>
              <w:rPr>
                <w:rFonts w:ascii="宋体" w:eastAsia="宋体"/>
                <w:color w:val="auto"/>
                <w:sz w:val="72"/>
                <w:szCs w:val="72"/>
                <w:highlight w:val="none"/>
              </w:rPr>
            </w:pPr>
            <w:r>
              <w:rPr>
                <w:rFonts w:hint="eastAsia" w:ascii="宋体" w:eastAsia="宋体"/>
                <w:color w:val="auto"/>
                <w:sz w:val="72"/>
                <w:szCs w:val="72"/>
                <w:highlight w:val="none"/>
              </w:rPr>
              <w:t>永嘉县政府采购</w:t>
            </w:r>
          </w:p>
          <w:p>
            <w:pPr>
              <w:jc w:val="center"/>
              <w:rPr>
                <w:rFonts w:ascii="宋体" w:eastAsia="宋体"/>
                <w:color w:val="auto"/>
                <w:sz w:val="72"/>
                <w:szCs w:val="72"/>
                <w:highlight w:val="none"/>
              </w:rPr>
            </w:pPr>
            <w:r>
              <w:rPr>
                <w:rFonts w:hint="eastAsia" w:ascii="宋体" w:eastAsia="宋体"/>
                <w:color w:val="auto"/>
                <w:sz w:val="72"/>
                <w:szCs w:val="72"/>
                <w:highlight w:val="none"/>
              </w:rPr>
              <w:t>竞争性磋商文件</w:t>
            </w:r>
          </w:p>
          <w:p>
            <w:pPr>
              <w:jc w:val="center"/>
              <w:rPr>
                <w:rFonts w:ascii="宋体" w:eastAsia="宋体"/>
                <w:color w:val="auto"/>
                <w:sz w:val="72"/>
                <w:szCs w:val="72"/>
                <w:highlight w:val="none"/>
              </w:rPr>
            </w:pPr>
            <w:r>
              <w:rPr>
                <w:rFonts w:hint="eastAsia" w:ascii="宋体" w:eastAsia="宋体"/>
                <w:color w:val="auto"/>
                <w:sz w:val="72"/>
                <w:szCs w:val="72"/>
                <w:highlight w:val="none"/>
              </w:rPr>
              <w:t>（分散委托）</w:t>
            </w:r>
          </w:p>
          <w:p>
            <w:pPr>
              <w:spacing w:line="440" w:lineRule="exact"/>
              <w:ind w:left="1260" w:leftChars="600" w:firstLine="2160" w:firstLineChars="300"/>
              <w:rPr>
                <w:rFonts w:ascii="宋体" w:eastAsia="宋体"/>
                <w:color w:val="auto"/>
                <w:sz w:val="72"/>
                <w:highlight w:val="none"/>
              </w:rPr>
            </w:pPr>
          </w:p>
          <w:p>
            <w:pPr>
              <w:snapToGrid w:val="0"/>
              <w:spacing w:line="480" w:lineRule="auto"/>
              <w:ind w:left="2682" w:leftChars="569" w:hanging="1488" w:hangingChars="496"/>
              <w:rPr>
                <w:rFonts w:ascii="宋体" w:eastAsia="宋体"/>
                <w:color w:val="auto"/>
                <w:sz w:val="30"/>
                <w:szCs w:val="30"/>
                <w:highlight w:val="none"/>
              </w:rPr>
            </w:pPr>
          </w:p>
          <w:p>
            <w:pPr>
              <w:snapToGrid w:val="0"/>
              <w:spacing w:line="480" w:lineRule="auto"/>
              <w:ind w:left="2572" w:leftChars="572" w:right="1841" w:rightChars="877" w:hanging="1371" w:hangingChars="457"/>
              <w:rPr>
                <w:rFonts w:hint="eastAsia" w:ascii="宋体" w:eastAsia="宋体"/>
                <w:color w:val="auto"/>
                <w:sz w:val="30"/>
                <w:szCs w:val="30"/>
                <w:highlight w:val="none"/>
                <w:lang w:eastAsia="zh-CN"/>
              </w:rPr>
            </w:pPr>
            <w:r>
              <w:rPr>
                <w:rFonts w:hint="eastAsia" w:ascii="宋体" w:eastAsia="宋体"/>
                <w:color w:val="auto"/>
                <w:sz w:val="30"/>
                <w:szCs w:val="30"/>
                <w:highlight w:val="none"/>
              </w:rPr>
              <w:t>项目名称：</w:t>
            </w:r>
            <w:r>
              <w:rPr>
                <w:rFonts w:hint="eastAsia" w:ascii="宋体" w:eastAsia="宋体"/>
                <w:color w:val="auto"/>
                <w:sz w:val="30"/>
                <w:szCs w:val="30"/>
                <w:highlight w:val="none"/>
                <w:lang w:eastAsia="zh-CN"/>
              </w:rPr>
              <w:t>2024年永嘉县送戏下乡公益演出</w:t>
            </w:r>
          </w:p>
          <w:p>
            <w:pPr>
              <w:snapToGrid w:val="0"/>
              <w:spacing w:line="480" w:lineRule="auto"/>
              <w:ind w:firstLine="1200" w:firstLineChars="400"/>
              <w:rPr>
                <w:rFonts w:hint="eastAsia" w:ascii="宋体" w:eastAsia="宋体"/>
                <w:color w:val="auto"/>
                <w:sz w:val="30"/>
                <w:szCs w:val="30"/>
                <w:highlight w:val="none"/>
                <w:lang w:eastAsia="zh-CN"/>
              </w:rPr>
            </w:pPr>
            <w:r>
              <w:rPr>
                <w:rFonts w:hint="eastAsia" w:ascii="宋体" w:eastAsia="宋体"/>
                <w:color w:val="auto"/>
                <w:sz w:val="30"/>
                <w:szCs w:val="30"/>
                <w:highlight w:val="none"/>
              </w:rPr>
              <w:t>采购编号：</w:t>
            </w:r>
            <w:r>
              <w:rPr>
                <w:rFonts w:hint="eastAsia" w:ascii="宋体" w:eastAsia="宋体"/>
                <w:color w:val="auto"/>
                <w:sz w:val="30"/>
                <w:szCs w:val="30"/>
                <w:highlight w:val="none"/>
                <w:lang w:eastAsia="zh-CN"/>
              </w:rPr>
              <w:t>ZGCG-20240616</w:t>
            </w:r>
          </w:p>
          <w:p>
            <w:pPr>
              <w:spacing w:line="480" w:lineRule="auto"/>
              <w:ind w:left="1260" w:leftChars="600" w:firstLine="900" w:firstLineChars="300"/>
              <w:rPr>
                <w:rFonts w:ascii="宋体" w:eastAsia="宋体"/>
                <w:b w:val="0"/>
                <w:bCs w:val="0"/>
                <w:color w:val="auto"/>
                <w:sz w:val="30"/>
                <w:szCs w:val="30"/>
                <w:highlight w:val="none"/>
              </w:rPr>
            </w:pPr>
          </w:p>
          <w:p>
            <w:pPr>
              <w:spacing w:line="480" w:lineRule="auto"/>
              <w:ind w:left="1260" w:leftChars="600" w:firstLine="900" w:firstLineChars="300"/>
              <w:rPr>
                <w:rFonts w:ascii="宋体" w:eastAsia="宋体"/>
                <w:b w:val="0"/>
                <w:bCs w:val="0"/>
                <w:color w:val="auto"/>
                <w:sz w:val="30"/>
                <w:szCs w:val="30"/>
                <w:highlight w:val="none"/>
              </w:rPr>
            </w:pPr>
          </w:p>
          <w:p>
            <w:pPr>
              <w:pStyle w:val="20"/>
              <w:rPr>
                <w:rFonts w:ascii="宋体" w:hAnsi="宋体" w:eastAsia="宋体" w:cs="宋体"/>
                <w:color w:val="auto"/>
                <w:highlight w:val="none"/>
              </w:rPr>
            </w:pPr>
          </w:p>
          <w:p>
            <w:pPr>
              <w:snapToGrid w:val="0"/>
              <w:spacing w:line="480" w:lineRule="auto"/>
              <w:ind w:firstLine="1200" w:firstLineChars="400"/>
              <w:rPr>
                <w:rFonts w:hint="eastAsia" w:ascii="宋体" w:eastAsia="宋体"/>
                <w:color w:val="auto"/>
                <w:sz w:val="30"/>
                <w:szCs w:val="30"/>
                <w:highlight w:val="none"/>
                <w:lang w:eastAsia="zh-CN"/>
              </w:rPr>
            </w:pPr>
            <w:r>
              <w:rPr>
                <w:rFonts w:hint="eastAsia" w:ascii="宋体" w:eastAsia="宋体"/>
                <w:color w:val="auto"/>
                <w:sz w:val="30"/>
                <w:szCs w:val="30"/>
                <w:highlight w:val="none"/>
              </w:rPr>
              <w:t>采 购 人：</w:t>
            </w:r>
            <w:r>
              <w:rPr>
                <w:rFonts w:hint="eastAsia" w:ascii="宋体" w:eastAsia="宋体"/>
                <w:color w:val="auto"/>
                <w:sz w:val="30"/>
                <w:szCs w:val="30"/>
                <w:highlight w:val="none"/>
                <w:lang w:eastAsia="zh-CN"/>
              </w:rPr>
              <w:t>永嘉县文化和广电旅游体育局</w:t>
            </w:r>
          </w:p>
          <w:p>
            <w:pPr>
              <w:snapToGrid w:val="0"/>
              <w:spacing w:line="48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代理机构：温州市中概工程管理咨询有限公司</w:t>
            </w:r>
          </w:p>
          <w:p>
            <w:pPr>
              <w:autoSpaceDE w:val="0"/>
              <w:autoSpaceDN w:val="0"/>
              <w:adjustRightInd w:val="0"/>
              <w:snapToGrid w:val="0"/>
              <w:spacing w:line="480" w:lineRule="auto"/>
              <w:jc w:val="center"/>
              <w:rPr>
                <w:rFonts w:hint="eastAsia" w:ascii="宋体" w:eastAsia="宋体"/>
                <w:color w:val="auto"/>
                <w:sz w:val="30"/>
                <w:szCs w:val="30"/>
                <w:highlight w:val="none"/>
              </w:rPr>
            </w:pPr>
          </w:p>
          <w:p>
            <w:pPr>
              <w:autoSpaceDE w:val="0"/>
              <w:autoSpaceDN w:val="0"/>
              <w:adjustRightInd w:val="0"/>
              <w:snapToGrid w:val="0"/>
              <w:spacing w:line="480" w:lineRule="auto"/>
              <w:jc w:val="center"/>
              <w:rPr>
                <w:rFonts w:ascii="宋体" w:eastAsia="宋体"/>
                <w:color w:val="auto"/>
                <w:sz w:val="32"/>
                <w:szCs w:val="32"/>
                <w:highlight w:val="none"/>
              </w:rPr>
            </w:pPr>
            <w:r>
              <w:rPr>
                <w:rFonts w:hint="eastAsia" w:ascii="宋体" w:eastAsia="宋体"/>
                <w:color w:val="auto"/>
                <w:sz w:val="30"/>
                <w:szCs w:val="30"/>
                <w:highlight w:val="none"/>
              </w:rPr>
              <w:t>二○二</w:t>
            </w:r>
            <w:r>
              <w:rPr>
                <w:rFonts w:hint="eastAsia" w:ascii="宋体" w:eastAsia="宋体"/>
                <w:color w:val="auto"/>
                <w:sz w:val="30"/>
                <w:szCs w:val="30"/>
                <w:highlight w:val="none"/>
                <w:lang w:val="en-US" w:eastAsia="zh-CN"/>
              </w:rPr>
              <w:t>四</w:t>
            </w:r>
            <w:r>
              <w:rPr>
                <w:rFonts w:hint="eastAsia" w:ascii="宋体" w:eastAsia="宋体"/>
                <w:color w:val="auto"/>
                <w:sz w:val="30"/>
                <w:szCs w:val="30"/>
                <w:highlight w:val="none"/>
              </w:rPr>
              <w:t>年</w:t>
            </w:r>
            <w:r>
              <w:rPr>
                <w:rFonts w:hint="eastAsia" w:ascii="宋体" w:eastAsia="宋体"/>
                <w:color w:val="auto"/>
                <w:sz w:val="30"/>
                <w:szCs w:val="30"/>
                <w:highlight w:val="none"/>
                <w:lang w:val="en-US" w:eastAsia="zh-CN"/>
              </w:rPr>
              <w:t>六</w:t>
            </w:r>
            <w:r>
              <w:rPr>
                <w:rFonts w:hint="eastAsia" w:ascii="宋体" w:eastAsia="宋体"/>
                <w:color w:val="auto"/>
                <w:sz w:val="30"/>
                <w:szCs w:val="30"/>
                <w:highlight w:val="none"/>
              </w:rPr>
              <w:t>月</w:t>
            </w:r>
          </w:p>
        </w:tc>
      </w:tr>
    </w:tbl>
    <w:p>
      <w:pPr>
        <w:spacing w:before="312" w:beforeLines="100" w:after="156" w:afterLines="50" w:line="340" w:lineRule="exact"/>
        <w:jc w:val="center"/>
        <w:rPr>
          <w:rFonts w:ascii="宋体" w:eastAsia="宋体"/>
          <w:b w:val="0"/>
          <w:bCs w:val="0"/>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pPr>
        <w:autoSpaceDE w:val="0"/>
        <w:autoSpaceDN w:val="0"/>
        <w:adjustRightInd w:val="0"/>
        <w:spacing w:line="460" w:lineRule="atLeast"/>
        <w:jc w:val="center"/>
        <w:rPr>
          <w:rFonts w:ascii="宋体" w:eastAsia="宋体"/>
          <w:color w:val="auto"/>
          <w:sz w:val="36"/>
          <w:szCs w:val="36"/>
          <w:highlight w:val="none"/>
          <w:lang w:val="zh-CN"/>
        </w:rPr>
      </w:pPr>
      <w:r>
        <w:rPr>
          <w:rFonts w:hint="eastAsia" w:ascii="宋体" w:eastAsia="宋体"/>
          <w:color w:val="auto"/>
          <w:sz w:val="36"/>
          <w:szCs w:val="36"/>
          <w:highlight w:val="none"/>
          <w:lang w:val="zh-CN"/>
        </w:rPr>
        <w:t>磋商文件目录</w:t>
      </w:r>
    </w:p>
    <w:p>
      <w:pPr>
        <w:pStyle w:val="34"/>
        <w:rPr>
          <w:rFonts w:cs="宋体"/>
          <w:color w:val="auto"/>
          <w:highlight w:val="none"/>
          <w:lang w:val="zh-CN"/>
        </w:rPr>
      </w:pPr>
    </w:p>
    <w:p>
      <w:pPr>
        <w:rPr>
          <w:rFonts w:ascii="宋体" w:eastAsia="宋体"/>
          <w:color w:val="auto"/>
          <w:highlight w:val="none"/>
          <w:lang w:val="zh-CN"/>
        </w:rPr>
      </w:pPr>
    </w:p>
    <w:p>
      <w:pPr>
        <w:pStyle w:val="34"/>
        <w:tabs>
          <w:tab w:val="right" w:leader="dot" w:pos="8400"/>
          <w:tab w:val="clear" w:pos="8987"/>
        </w:tabs>
        <w:spacing w:line="720" w:lineRule="auto"/>
        <w:rPr>
          <w:rFonts w:cs="宋体"/>
          <w:color w:val="auto"/>
          <w:sz w:val="24"/>
          <w:szCs w:val="24"/>
          <w:highlight w:val="none"/>
        </w:rPr>
      </w:pPr>
      <w:r>
        <w:rPr>
          <w:rFonts w:hint="eastAsia" w:cs="宋体"/>
          <w:color w:val="auto"/>
          <w:sz w:val="24"/>
          <w:szCs w:val="24"/>
          <w:highlight w:val="none"/>
          <w:lang w:val="zh-CN"/>
        </w:rPr>
        <w:fldChar w:fldCharType="begin"/>
      </w:r>
      <w:r>
        <w:rPr>
          <w:rFonts w:hint="eastAsia" w:cs="宋体"/>
          <w:color w:val="auto"/>
          <w:sz w:val="24"/>
          <w:szCs w:val="24"/>
          <w:highlight w:val="none"/>
          <w:lang w:val="zh-CN"/>
        </w:rPr>
        <w:instrText xml:space="preserve"> TOC \o "1-1" \h \z \u </w:instrText>
      </w:r>
      <w:r>
        <w:rPr>
          <w:rFonts w:hint="eastAsia"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"_Toc24144" </w:instrText>
      </w:r>
      <w:r>
        <w:rPr>
          <w:color w:val="auto"/>
          <w:highlight w:val="none"/>
        </w:rPr>
        <w:fldChar w:fldCharType="separate"/>
      </w:r>
      <w:r>
        <w:rPr>
          <w:rFonts w:hint="eastAsia" w:cs="宋体"/>
          <w:color w:val="auto"/>
          <w:sz w:val="24"/>
          <w:szCs w:val="24"/>
          <w:highlight w:val="none"/>
        </w:rPr>
        <w:t>第一部分 磋商通知(邀请)书</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_Toc24144 \h </w:instrText>
      </w:r>
      <w:r>
        <w:rPr>
          <w:rFonts w:hint="eastAsia" w:cs="宋体"/>
          <w:color w:val="auto"/>
          <w:sz w:val="24"/>
          <w:szCs w:val="24"/>
          <w:highlight w:val="none"/>
        </w:rPr>
        <w:fldChar w:fldCharType="separate"/>
      </w:r>
      <w:r>
        <w:rPr>
          <w:rFonts w:hint="eastAsia" w:cs="宋体"/>
          <w:color w:val="auto"/>
          <w:sz w:val="24"/>
          <w:szCs w:val="24"/>
          <w:highlight w:val="none"/>
        </w:rPr>
        <w:t>8</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34"/>
        <w:tabs>
          <w:tab w:val="right" w:leader="dot" w:pos="8400"/>
          <w:tab w:val="clear" w:pos="8987"/>
        </w:tabs>
        <w:spacing w:line="72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"_Toc23044" </w:instrText>
      </w:r>
      <w:r>
        <w:rPr>
          <w:color w:val="auto"/>
          <w:highlight w:val="none"/>
        </w:rPr>
        <w:fldChar w:fldCharType="separate"/>
      </w:r>
      <w:r>
        <w:rPr>
          <w:rFonts w:hint="eastAsia" w:cs="宋体"/>
          <w:color w:val="auto"/>
          <w:sz w:val="24"/>
          <w:szCs w:val="24"/>
          <w:highlight w:val="none"/>
        </w:rPr>
        <w:t>第二部分 采购内容及要求</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_Toc23044 \h </w:instrText>
      </w:r>
      <w:r>
        <w:rPr>
          <w:rFonts w:hint="eastAsia" w:cs="宋体"/>
          <w:color w:val="auto"/>
          <w:sz w:val="24"/>
          <w:szCs w:val="24"/>
          <w:highlight w:val="none"/>
        </w:rPr>
        <w:fldChar w:fldCharType="separate"/>
      </w:r>
      <w:r>
        <w:rPr>
          <w:rFonts w:hint="eastAsia" w:cs="宋体"/>
          <w:color w:val="auto"/>
          <w:sz w:val="24"/>
          <w:szCs w:val="24"/>
          <w:highlight w:val="none"/>
        </w:rPr>
        <w:t>12</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34"/>
        <w:tabs>
          <w:tab w:val="right" w:leader="dot" w:pos="8400"/>
          <w:tab w:val="clear" w:pos="8987"/>
        </w:tabs>
        <w:spacing w:line="72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"_Toc24611" </w:instrText>
      </w:r>
      <w:r>
        <w:rPr>
          <w:color w:val="auto"/>
          <w:highlight w:val="none"/>
        </w:rPr>
        <w:fldChar w:fldCharType="separate"/>
      </w:r>
      <w:r>
        <w:rPr>
          <w:rFonts w:hint="eastAsia" w:cs="宋体"/>
          <w:color w:val="auto"/>
          <w:sz w:val="24"/>
          <w:szCs w:val="24"/>
          <w:highlight w:val="none"/>
        </w:rPr>
        <w:t>第三部分 投标供应商须知</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_Toc24611 \h </w:instrText>
      </w:r>
      <w:r>
        <w:rPr>
          <w:rFonts w:hint="eastAsia" w:cs="宋体"/>
          <w:color w:val="auto"/>
          <w:sz w:val="24"/>
          <w:szCs w:val="24"/>
          <w:highlight w:val="none"/>
        </w:rPr>
        <w:fldChar w:fldCharType="separate"/>
      </w:r>
      <w:r>
        <w:rPr>
          <w:rFonts w:hint="eastAsia" w:cs="宋体"/>
          <w:color w:val="auto"/>
          <w:sz w:val="24"/>
          <w:szCs w:val="24"/>
          <w:highlight w:val="none"/>
        </w:rPr>
        <w:t>17</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34"/>
        <w:tabs>
          <w:tab w:val="right" w:leader="dot" w:pos="8400"/>
          <w:tab w:val="clear" w:pos="8987"/>
        </w:tabs>
        <w:spacing w:line="72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"_Toc1746" </w:instrText>
      </w:r>
      <w:r>
        <w:rPr>
          <w:color w:val="auto"/>
          <w:highlight w:val="none"/>
        </w:rPr>
        <w:fldChar w:fldCharType="separate"/>
      </w:r>
      <w:r>
        <w:rPr>
          <w:rFonts w:hint="eastAsia" w:cs="宋体"/>
          <w:color w:val="auto"/>
          <w:sz w:val="24"/>
          <w:szCs w:val="24"/>
          <w:highlight w:val="none"/>
        </w:rPr>
        <w:t>第四部分 政府采购政策功能相关说明</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_Toc1746 \h </w:instrText>
      </w:r>
      <w:r>
        <w:rPr>
          <w:rFonts w:hint="eastAsia" w:cs="宋体"/>
          <w:color w:val="auto"/>
          <w:sz w:val="24"/>
          <w:szCs w:val="24"/>
          <w:highlight w:val="none"/>
        </w:rPr>
        <w:fldChar w:fldCharType="separate"/>
      </w:r>
      <w:r>
        <w:rPr>
          <w:rFonts w:hint="eastAsia" w:cs="宋体"/>
          <w:color w:val="auto"/>
          <w:sz w:val="24"/>
          <w:szCs w:val="24"/>
          <w:highlight w:val="none"/>
        </w:rPr>
        <w:t>28</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34"/>
        <w:tabs>
          <w:tab w:val="right" w:leader="dot" w:pos="8400"/>
          <w:tab w:val="clear" w:pos="8987"/>
        </w:tabs>
        <w:spacing w:line="72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"_Toc31621" </w:instrText>
      </w:r>
      <w:r>
        <w:rPr>
          <w:color w:val="auto"/>
          <w:highlight w:val="none"/>
        </w:rPr>
        <w:fldChar w:fldCharType="separate"/>
      </w:r>
      <w:r>
        <w:rPr>
          <w:rFonts w:hint="eastAsia" w:cs="宋体"/>
          <w:color w:val="auto"/>
          <w:sz w:val="24"/>
          <w:szCs w:val="24"/>
          <w:highlight w:val="none"/>
        </w:rPr>
        <w:t>第五部分 合同格式（仅供参考）</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_Toc31621 \h </w:instrText>
      </w:r>
      <w:r>
        <w:rPr>
          <w:rFonts w:hint="eastAsia" w:cs="宋体"/>
          <w:color w:val="auto"/>
          <w:sz w:val="24"/>
          <w:szCs w:val="24"/>
          <w:highlight w:val="none"/>
        </w:rPr>
        <w:fldChar w:fldCharType="separate"/>
      </w:r>
      <w:r>
        <w:rPr>
          <w:rFonts w:hint="eastAsia" w:cs="宋体"/>
          <w:color w:val="auto"/>
          <w:sz w:val="24"/>
          <w:szCs w:val="24"/>
          <w:highlight w:val="none"/>
        </w:rPr>
        <w:t>30</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34"/>
        <w:tabs>
          <w:tab w:val="right" w:leader="dot" w:pos="8400"/>
          <w:tab w:val="clear" w:pos="8987"/>
        </w:tabs>
        <w:spacing w:line="72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"_Toc25305" </w:instrText>
      </w:r>
      <w:r>
        <w:rPr>
          <w:color w:val="auto"/>
          <w:highlight w:val="none"/>
        </w:rPr>
        <w:fldChar w:fldCharType="separate"/>
      </w:r>
      <w:r>
        <w:rPr>
          <w:rFonts w:hint="eastAsia" w:cs="宋体"/>
          <w:color w:val="auto"/>
          <w:sz w:val="24"/>
          <w:szCs w:val="24"/>
          <w:highlight w:val="none"/>
        </w:rPr>
        <w:t>第六部分 磋商响应文件格式</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_Toc25305 \h </w:instrText>
      </w:r>
      <w:r>
        <w:rPr>
          <w:rFonts w:hint="eastAsia" w:cs="宋体"/>
          <w:color w:val="auto"/>
          <w:sz w:val="24"/>
          <w:szCs w:val="24"/>
          <w:highlight w:val="none"/>
        </w:rPr>
        <w:fldChar w:fldCharType="separate"/>
      </w:r>
      <w:r>
        <w:rPr>
          <w:rFonts w:hint="eastAsia" w:cs="宋体"/>
          <w:color w:val="auto"/>
          <w:sz w:val="24"/>
          <w:szCs w:val="24"/>
          <w:highlight w:val="none"/>
        </w:rPr>
        <w:t>34</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34"/>
        <w:tabs>
          <w:tab w:val="right" w:leader="dot" w:pos="8400"/>
          <w:tab w:val="clear" w:pos="8987"/>
        </w:tabs>
        <w:spacing w:line="72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cs="宋体"/>
          <w:color w:val="auto"/>
          <w:sz w:val="24"/>
          <w:szCs w:val="24"/>
          <w:highlight w:val="none"/>
        </w:rPr>
        <w:t>一、资格文件部分格式</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_Toc259 \h </w:instrText>
      </w:r>
      <w:r>
        <w:rPr>
          <w:rFonts w:hint="eastAsia" w:cs="宋体"/>
          <w:color w:val="auto"/>
          <w:sz w:val="24"/>
          <w:szCs w:val="24"/>
          <w:highlight w:val="none"/>
        </w:rPr>
        <w:fldChar w:fldCharType="separate"/>
      </w:r>
      <w:r>
        <w:rPr>
          <w:rFonts w:hint="eastAsia" w:cs="宋体"/>
          <w:color w:val="auto"/>
          <w:sz w:val="24"/>
          <w:szCs w:val="24"/>
          <w:highlight w:val="none"/>
        </w:rPr>
        <w:t>34</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34"/>
        <w:tabs>
          <w:tab w:val="right" w:leader="dot" w:pos="8400"/>
          <w:tab w:val="clear" w:pos="8987"/>
        </w:tabs>
        <w:spacing w:line="72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"_Toc14649" </w:instrText>
      </w:r>
      <w:r>
        <w:rPr>
          <w:color w:val="auto"/>
          <w:highlight w:val="none"/>
        </w:rPr>
        <w:fldChar w:fldCharType="separate"/>
      </w:r>
      <w:r>
        <w:rPr>
          <w:rFonts w:hint="eastAsia" w:cs="宋体"/>
          <w:color w:val="auto"/>
          <w:sz w:val="24"/>
          <w:szCs w:val="24"/>
          <w:highlight w:val="none"/>
        </w:rPr>
        <w:t>二、报价文件部分格式</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_Toc14649 \h </w:instrText>
      </w:r>
      <w:r>
        <w:rPr>
          <w:rFonts w:hint="eastAsia" w:cs="宋体"/>
          <w:color w:val="auto"/>
          <w:sz w:val="24"/>
          <w:szCs w:val="24"/>
          <w:highlight w:val="none"/>
        </w:rPr>
        <w:fldChar w:fldCharType="separate"/>
      </w:r>
      <w:r>
        <w:rPr>
          <w:rFonts w:hint="eastAsia" w:cs="宋体"/>
          <w:color w:val="auto"/>
          <w:sz w:val="24"/>
          <w:szCs w:val="24"/>
          <w:highlight w:val="none"/>
        </w:rPr>
        <w:t>39</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34"/>
        <w:tabs>
          <w:tab w:val="right" w:leader="dot" w:pos="8400"/>
          <w:tab w:val="clear" w:pos="8987"/>
        </w:tabs>
        <w:spacing w:line="72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"_Toc28542" </w:instrText>
      </w:r>
      <w:r>
        <w:rPr>
          <w:color w:val="auto"/>
          <w:highlight w:val="none"/>
        </w:rPr>
        <w:fldChar w:fldCharType="separate"/>
      </w:r>
      <w:r>
        <w:rPr>
          <w:rFonts w:hint="eastAsia" w:cs="宋体"/>
          <w:color w:val="auto"/>
          <w:sz w:val="24"/>
          <w:szCs w:val="24"/>
          <w:highlight w:val="none"/>
        </w:rPr>
        <w:t>三、商务技术文件部分格式</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_Toc28542 \h </w:instrText>
      </w:r>
      <w:r>
        <w:rPr>
          <w:rFonts w:hint="eastAsia" w:cs="宋体"/>
          <w:color w:val="auto"/>
          <w:sz w:val="24"/>
          <w:szCs w:val="24"/>
          <w:highlight w:val="none"/>
        </w:rPr>
        <w:fldChar w:fldCharType="separate"/>
      </w:r>
      <w:r>
        <w:rPr>
          <w:rFonts w:hint="eastAsia" w:cs="宋体"/>
          <w:color w:val="auto"/>
          <w:sz w:val="24"/>
          <w:szCs w:val="24"/>
          <w:highlight w:val="none"/>
        </w:rPr>
        <w:t>43</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34"/>
        <w:tabs>
          <w:tab w:val="right" w:leader="dot" w:pos="8400"/>
          <w:tab w:val="clear" w:pos="8987"/>
        </w:tabs>
        <w:spacing w:line="72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"_Toc21361" </w:instrText>
      </w:r>
      <w:r>
        <w:rPr>
          <w:color w:val="auto"/>
          <w:highlight w:val="none"/>
        </w:rPr>
        <w:fldChar w:fldCharType="separate"/>
      </w:r>
      <w:r>
        <w:rPr>
          <w:rFonts w:hint="eastAsia" w:cs="宋体"/>
          <w:color w:val="auto"/>
          <w:sz w:val="24"/>
          <w:szCs w:val="24"/>
          <w:highlight w:val="none"/>
        </w:rPr>
        <w:t>第七部分 评标定标办法</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_Toc21361 \h </w:instrText>
      </w:r>
      <w:r>
        <w:rPr>
          <w:rFonts w:hint="eastAsia" w:cs="宋体"/>
          <w:color w:val="auto"/>
          <w:sz w:val="24"/>
          <w:szCs w:val="24"/>
          <w:highlight w:val="none"/>
        </w:rPr>
        <w:fldChar w:fldCharType="separate"/>
      </w:r>
      <w:r>
        <w:rPr>
          <w:rFonts w:hint="eastAsia" w:cs="宋体"/>
          <w:color w:val="auto"/>
          <w:sz w:val="24"/>
          <w:szCs w:val="24"/>
          <w:highlight w:val="none"/>
        </w:rPr>
        <w:t>61</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8"/>
        <w:spacing w:line="720" w:lineRule="auto"/>
        <w:rPr>
          <w:rFonts w:ascii="宋体" w:hAnsi="宋体" w:cs="宋体"/>
          <w:b w:val="0"/>
          <w:color w:val="auto"/>
          <w:sz w:val="22"/>
          <w:szCs w:val="22"/>
          <w:highlight w:val="none"/>
          <w:lang w:val="zh-CN"/>
        </w:rPr>
      </w:pPr>
      <w:r>
        <w:rPr>
          <w:rFonts w:hint="eastAsia" w:ascii="宋体" w:hAnsi="宋体" w:cs="宋体"/>
          <w:color w:val="auto"/>
          <w:sz w:val="24"/>
          <w:szCs w:val="24"/>
          <w:highlight w:val="none"/>
          <w:lang w:val="zh-CN"/>
        </w:rPr>
        <w:fldChar w:fldCharType="end"/>
      </w:r>
      <w:r>
        <w:rPr>
          <w:rFonts w:hint="eastAsia" w:ascii="宋体" w:hAnsi="宋体" w:cs="宋体"/>
          <w:b w:val="0"/>
          <w:color w:val="auto"/>
          <w:sz w:val="22"/>
          <w:szCs w:val="22"/>
          <w:highlight w:val="none"/>
          <w:lang w:val="zh-CN"/>
        </w:rPr>
        <w:t xml:space="preserve"> </w:t>
      </w:r>
    </w:p>
    <w:p>
      <w:pPr>
        <w:pStyle w:val="4"/>
        <w:numPr>
          <w:ilvl w:val="0"/>
          <w:numId w:val="0"/>
        </w:numPr>
        <w:spacing w:before="0" w:afterLines="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p>
    <w:p>
      <w:pPr>
        <w:rPr>
          <w:rFonts w:ascii="宋体" w:hAnsi="宋体" w:cs="宋体"/>
          <w:color w:val="auto"/>
          <w:sz w:val="21"/>
          <w:szCs w:val="21"/>
          <w:highlight w:val="none"/>
        </w:rPr>
      </w:pPr>
      <w:r>
        <w:rPr>
          <w:rFonts w:ascii="宋体" w:hAnsi="宋体" w:cs="宋体"/>
          <w:color w:val="auto"/>
          <w:sz w:val="21"/>
          <w:szCs w:val="21"/>
          <w:highlight w:val="none"/>
        </w:rPr>
        <w:br w:type="page"/>
      </w:r>
    </w:p>
    <w:p>
      <w:pPr>
        <w:pStyle w:val="8"/>
        <w:spacing w:line="480" w:lineRule="auto"/>
        <w:rPr>
          <w:rFonts w:hint="eastAsia" w:ascii="宋体" w:hAnsi="宋体" w:cs="宋体"/>
          <w:color w:val="auto"/>
          <w:highlight w:val="none"/>
        </w:rPr>
      </w:pPr>
      <w:r>
        <w:rPr>
          <w:rFonts w:hint="eastAsia" w:ascii="宋体" w:hAnsi="宋体" w:cs="宋体"/>
          <w:color w:val="auto"/>
          <w:highlight w:val="none"/>
        </w:rPr>
        <w:t>温州市中概工程管理咨询有限公司关于</w:t>
      </w:r>
      <w:r>
        <w:rPr>
          <w:rFonts w:hint="eastAsia" w:ascii="宋体" w:hAnsi="宋体" w:cs="宋体"/>
          <w:color w:val="auto"/>
          <w:highlight w:val="none"/>
          <w:lang w:eastAsia="zh-CN"/>
        </w:rPr>
        <w:t>2024年永嘉县送戏下乡公益演出</w:t>
      </w:r>
      <w:r>
        <w:rPr>
          <w:rFonts w:hint="eastAsia" w:ascii="宋体" w:hAnsi="宋体" w:cs="宋体"/>
          <w:color w:val="auto"/>
          <w:highlight w:val="none"/>
        </w:rPr>
        <w:t>的竞争性磋商公告</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360" w:lineRule="auto"/>
        <w:ind w:right="0"/>
        <w:textAlignment w:val="auto"/>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lang w:val="en-US" w:eastAsia="zh-CN"/>
        </w:rPr>
        <w:t>项目概况</w:t>
      </w:r>
      <w:r>
        <w:rPr>
          <w:rFonts w:hint="eastAsia" w:ascii="宋体" w:hAnsi="宋体" w:eastAsia="宋体" w:cs="宋体"/>
          <w:i w:val="0"/>
          <w:iCs w:val="0"/>
          <w:caps w:val="0"/>
          <w:color w:val="auto"/>
          <w:spacing w:val="0"/>
          <w:sz w:val="22"/>
          <w:szCs w:val="22"/>
          <w:highlight w:val="none"/>
        </w:rPr>
        <w:t>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lang w:eastAsia="zh-CN"/>
        </w:rPr>
        <w:t>2024年永嘉县送戏下乡公益演出</w:t>
      </w:r>
      <w:r>
        <w:rPr>
          <w:rFonts w:hint="eastAsia" w:ascii="宋体" w:hAnsi="宋体" w:eastAsia="宋体" w:cs="宋体"/>
          <w:i w:val="0"/>
          <w:iCs w:val="0"/>
          <w:caps w:val="0"/>
          <w:color w:val="auto"/>
          <w:spacing w:val="0"/>
          <w:sz w:val="22"/>
          <w:szCs w:val="22"/>
          <w:highlight w:val="none"/>
        </w:rPr>
        <w:t>采购项目的潜在供应商应在政采云平台线上获取获取（下载）采购文件，并于2024年</w:t>
      </w:r>
      <w:r>
        <w:rPr>
          <w:rFonts w:hint="eastAsia" w:ascii="宋体" w:hAnsi="宋体" w:cs="宋体"/>
          <w:i w:val="0"/>
          <w:iCs w:val="0"/>
          <w:caps w:val="0"/>
          <w:color w:val="auto"/>
          <w:spacing w:val="0"/>
          <w:sz w:val="22"/>
          <w:szCs w:val="22"/>
          <w:highlight w:val="none"/>
          <w:lang w:val="en-US" w:eastAsia="zh-CN"/>
        </w:rPr>
        <w:t>6</w:t>
      </w:r>
      <w:r>
        <w:rPr>
          <w:rFonts w:hint="eastAsia" w:ascii="宋体" w:hAnsi="宋体" w:eastAsia="宋体" w:cs="宋体"/>
          <w:i w:val="0"/>
          <w:iCs w:val="0"/>
          <w:caps w:val="0"/>
          <w:color w:val="auto"/>
          <w:spacing w:val="0"/>
          <w:sz w:val="22"/>
          <w:szCs w:val="22"/>
          <w:highlight w:val="none"/>
        </w:rPr>
        <w:t>月</w:t>
      </w:r>
      <w:r>
        <w:rPr>
          <w:rFonts w:hint="eastAsia" w:ascii="宋体" w:hAnsi="宋体" w:cs="宋体"/>
          <w:i w:val="0"/>
          <w:iCs w:val="0"/>
          <w:caps w:val="0"/>
          <w:color w:val="auto"/>
          <w:spacing w:val="0"/>
          <w:sz w:val="22"/>
          <w:szCs w:val="22"/>
          <w:highlight w:val="none"/>
          <w:lang w:val="en-US" w:eastAsia="zh-CN"/>
        </w:rPr>
        <w:t>27</w:t>
      </w:r>
      <w:r>
        <w:rPr>
          <w:rFonts w:hint="eastAsia" w:ascii="宋体" w:hAnsi="宋体" w:eastAsia="宋体" w:cs="宋体"/>
          <w:i w:val="0"/>
          <w:iCs w:val="0"/>
          <w:caps w:val="0"/>
          <w:color w:val="auto"/>
          <w:spacing w:val="0"/>
          <w:sz w:val="22"/>
          <w:szCs w:val="22"/>
          <w:highlight w:val="none"/>
        </w:rPr>
        <w:t>日 09:30（北京时间）前提交（上传）响应文件。                            </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2"/>
          <w:szCs w:val="22"/>
          <w:highlight w:val="none"/>
        </w:rPr>
      </w:pPr>
      <w:r>
        <w:rPr>
          <w:rStyle w:val="46"/>
          <w:rFonts w:hint="eastAsia" w:ascii="宋体" w:hAnsi="宋体" w:eastAsia="宋体" w:cs="宋体"/>
          <w:b/>
          <w:bCs/>
          <w:i w:val="0"/>
          <w:iCs w:val="0"/>
          <w:caps w:val="0"/>
          <w:color w:val="auto"/>
          <w:spacing w:val="0"/>
          <w:sz w:val="22"/>
          <w:szCs w:val="22"/>
          <w:highlight w:val="none"/>
        </w:rPr>
        <w:t>一、项目基本情况</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项目编号：</w:t>
      </w:r>
      <w:r>
        <w:rPr>
          <w:rFonts w:hint="eastAsia" w:ascii="宋体" w:hAnsi="宋体" w:cs="宋体"/>
          <w:i w:val="0"/>
          <w:iCs w:val="0"/>
          <w:caps w:val="0"/>
          <w:color w:val="auto"/>
          <w:spacing w:val="0"/>
          <w:sz w:val="22"/>
          <w:szCs w:val="22"/>
          <w:highlight w:val="none"/>
          <w:lang w:eastAsia="zh-CN"/>
        </w:rPr>
        <w:t>ZGCG-20240616</w:t>
      </w:r>
      <w:r>
        <w:rPr>
          <w:rFonts w:hint="eastAsia" w:ascii="宋体" w:hAnsi="宋体" w:eastAsia="宋体" w:cs="宋体"/>
          <w:i w:val="0"/>
          <w:iCs w:val="0"/>
          <w:caps w:val="0"/>
          <w:color w:val="auto"/>
          <w:spacing w:val="0"/>
          <w:sz w:val="22"/>
          <w:szCs w:val="22"/>
          <w:highlight w:val="none"/>
        </w:rPr>
        <w:t>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项目名称：</w:t>
      </w:r>
      <w:r>
        <w:rPr>
          <w:rFonts w:hint="eastAsia" w:ascii="宋体" w:hAnsi="宋体" w:eastAsia="宋体" w:cs="宋体"/>
          <w:i w:val="0"/>
          <w:iCs w:val="0"/>
          <w:caps w:val="0"/>
          <w:color w:val="auto"/>
          <w:spacing w:val="0"/>
          <w:sz w:val="22"/>
          <w:szCs w:val="22"/>
          <w:highlight w:val="none"/>
          <w:lang w:eastAsia="zh-CN"/>
        </w:rPr>
        <w:t>2024年永嘉县送戏下乡公益演出</w:t>
      </w:r>
      <w:r>
        <w:rPr>
          <w:rFonts w:hint="eastAsia" w:ascii="宋体" w:hAnsi="宋体" w:eastAsia="宋体" w:cs="宋体"/>
          <w:i w:val="0"/>
          <w:iCs w:val="0"/>
          <w:caps w:val="0"/>
          <w:color w:val="auto"/>
          <w:spacing w:val="0"/>
          <w:sz w:val="22"/>
          <w:szCs w:val="22"/>
          <w:highlight w:val="none"/>
        </w:rPr>
        <w:t>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采购方式：竞争性磋商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预算金额（元）：</w:t>
      </w:r>
      <w:r>
        <w:rPr>
          <w:rFonts w:hint="eastAsia" w:ascii="宋体" w:hAnsi="宋体" w:eastAsia="宋体" w:cs="宋体"/>
          <w:i w:val="0"/>
          <w:iCs w:val="0"/>
          <w:caps w:val="0"/>
          <w:color w:val="auto"/>
          <w:spacing w:val="0"/>
          <w:sz w:val="22"/>
          <w:szCs w:val="22"/>
          <w:highlight w:val="none"/>
          <w:lang w:val="en-US" w:eastAsia="zh-CN"/>
        </w:rPr>
        <w:t>65</w:t>
      </w:r>
      <w:r>
        <w:rPr>
          <w:rFonts w:hint="eastAsia" w:ascii="宋体" w:hAnsi="宋体" w:eastAsia="宋体" w:cs="宋体"/>
          <w:i w:val="0"/>
          <w:iCs w:val="0"/>
          <w:caps w:val="0"/>
          <w:color w:val="auto"/>
          <w:spacing w:val="0"/>
          <w:sz w:val="22"/>
          <w:szCs w:val="22"/>
          <w:highlight w:val="none"/>
        </w:rPr>
        <w:t>0000  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最高限价（元）：/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    采购需求：</w:t>
      </w:r>
      <w:r>
        <w:rPr>
          <w:rFonts w:hint="eastAsia" w:ascii="宋体" w:hAnsi="宋体" w:eastAsia="宋体" w:cs="宋体"/>
          <w:i w:val="0"/>
          <w:iCs w:val="0"/>
          <w:caps w:val="0"/>
          <w:color w:val="auto"/>
          <w:spacing w:val="0"/>
          <w:sz w:val="22"/>
          <w:szCs w:val="22"/>
          <w:highlight w:val="none"/>
          <w:lang w:val="en-US" w:eastAsia="zh-CN"/>
        </w:rPr>
        <w:t>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w:t>
      </w:r>
      <w:r>
        <w:rPr>
          <w:rFonts w:hint="eastAsia" w:ascii="宋体" w:hAnsi="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lang w:val="en-US" w:eastAsia="zh-CN"/>
        </w:rPr>
        <w:t>标项一</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标项名称: </w:t>
      </w:r>
      <w:r>
        <w:rPr>
          <w:rFonts w:hint="eastAsia" w:ascii="宋体" w:hAnsi="宋体" w:eastAsia="宋体" w:cs="宋体"/>
          <w:b w:val="0"/>
          <w:bCs w:val="0"/>
          <w:color w:val="auto"/>
          <w:sz w:val="22"/>
          <w:szCs w:val="22"/>
          <w:highlight w:val="none"/>
          <w:lang w:eastAsia="zh-CN"/>
        </w:rPr>
        <w:t>2024年永嘉县送戏下乡公益演出</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越剧</w:t>
      </w:r>
      <w:r>
        <w:rPr>
          <w:rFonts w:hint="eastAsia" w:ascii="宋体" w:hAnsi="宋体" w:cs="宋体"/>
          <w:b w:val="0"/>
          <w:bCs w:val="0"/>
          <w:color w:val="auto"/>
          <w:sz w:val="22"/>
          <w:szCs w:val="22"/>
          <w:highlight w:val="none"/>
          <w:lang w:val="en-US" w:eastAsia="zh-CN"/>
        </w:rPr>
        <w:t>（1）</w:t>
      </w:r>
      <w:r>
        <w:rPr>
          <w:rFonts w:hint="eastAsia" w:ascii="宋体" w:hAnsi="宋体" w:eastAsia="宋体" w:cs="宋体"/>
          <w:i w:val="0"/>
          <w:iCs w:val="0"/>
          <w:caps w:val="0"/>
          <w:color w:val="auto"/>
          <w:spacing w:val="0"/>
          <w:sz w:val="22"/>
          <w:szCs w:val="22"/>
          <w:highlight w:val="non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中小企业政策： 中小企业预留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数量: </w:t>
      </w:r>
      <w:r>
        <w:rPr>
          <w:rFonts w:hint="eastAsia" w:ascii="宋体" w:hAnsi="宋体" w:cs="宋体"/>
          <w:i w:val="0"/>
          <w:iCs w:val="0"/>
          <w:caps w:val="0"/>
          <w:color w:val="auto"/>
          <w:spacing w:val="0"/>
          <w:sz w:val="22"/>
          <w:szCs w:val="22"/>
          <w:highlight w:val="none"/>
          <w:lang w:val="en-US" w:eastAsia="zh-CN"/>
        </w:rPr>
        <w:t>40</w:t>
      </w:r>
      <w:r>
        <w:rPr>
          <w:rFonts w:hint="eastAsia" w:ascii="宋体" w:hAnsi="宋体" w:eastAsia="宋体" w:cs="宋体"/>
          <w:i w:val="0"/>
          <w:iCs w:val="0"/>
          <w:caps w:val="0"/>
          <w:color w:val="auto"/>
          <w:spacing w:val="0"/>
          <w:sz w:val="22"/>
          <w:szCs w:val="22"/>
          <w:highlight w:val="non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预算金额（元）: </w:t>
      </w:r>
      <w:r>
        <w:rPr>
          <w:rFonts w:hint="eastAsia" w:ascii="宋体" w:hAnsi="宋体" w:cs="宋体"/>
          <w:i w:val="0"/>
          <w:iCs w:val="0"/>
          <w:caps w:val="0"/>
          <w:color w:val="auto"/>
          <w:spacing w:val="0"/>
          <w:sz w:val="22"/>
          <w:szCs w:val="22"/>
          <w:highlight w:val="none"/>
          <w:lang w:val="en-US" w:eastAsia="zh-CN"/>
        </w:rPr>
        <w:t>260</w:t>
      </w:r>
      <w:r>
        <w:rPr>
          <w:rFonts w:hint="eastAsia" w:ascii="宋体" w:hAnsi="宋体" w:eastAsia="宋体" w:cs="宋体"/>
          <w:b w:val="0"/>
          <w:bCs w:val="0"/>
          <w:color w:val="auto"/>
          <w:sz w:val="22"/>
          <w:szCs w:val="22"/>
          <w:highlight w:val="none"/>
          <w:vertAlign w:val="baseline"/>
          <w:lang w:val="en-US" w:eastAsia="zh-CN"/>
        </w:rPr>
        <w:t>000</w:t>
      </w:r>
      <w:r>
        <w:rPr>
          <w:rFonts w:hint="eastAsia" w:ascii="宋体" w:hAnsi="宋体" w:eastAsia="宋体" w:cs="宋体"/>
          <w:i w:val="0"/>
          <w:iCs w:val="0"/>
          <w:caps w:val="0"/>
          <w:color w:val="auto"/>
          <w:spacing w:val="0"/>
          <w:sz w:val="22"/>
          <w:szCs w:val="22"/>
          <w:highlight w:val="non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简要规格描述或项目基本概况介绍、用途：详见磋商文件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备注：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标项二</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标项名称: </w:t>
      </w:r>
      <w:r>
        <w:rPr>
          <w:rFonts w:hint="eastAsia" w:ascii="宋体" w:hAnsi="宋体" w:eastAsia="宋体" w:cs="宋体"/>
          <w:b w:val="0"/>
          <w:bCs w:val="0"/>
          <w:color w:val="auto"/>
          <w:sz w:val="22"/>
          <w:szCs w:val="22"/>
          <w:highlight w:val="none"/>
          <w:lang w:eastAsia="zh-CN"/>
        </w:rPr>
        <w:t>2024年永嘉县送戏下乡公益演出</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越剧</w:t>
      </w:r>
      <w:r>
        <w:rPr>
          <w:rFonts w:hint="eastAsia" w:ascii="宋体" w:hAnsi="宋体" w:cs="宋体"/>
          <w:b w:val="0"/>
          <w:bCs w:val="0"/>
          <w:color w:val="auto"/>
          <w:sz w:val="22"/>
          <w:szCs w:val="22"/>
          <w:highlight w:val="none"/>
          <w:lang w:val="en-US" w:eastAsia="zh-CN"/>
        </w:rPr>
        <w:t>（2）</w:t>
      </w:r>
      <w:r>
        <w:rPr>
          <w:rFonts w:hint="eastAsia" w:ascii="宋体" w:hAnsi="宋体" w:eastAsia="宋体" w:cs="宋体"/>
          <w:i w:val="0"/>
          <w:iCs w:val="0"/>
          <w:caps w:val="0"/>
          <w:color w:val="auto"/>
          <w:spacing w:val="0"/>
          <w:sz w:val="22"/>
          <w:szCs w:val="22"/>
          <w:highlight w:val="non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中小企业政策： 中小企业预留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数量: </w:t>
      </w:r>
      <w:r>
        <w:rPr>
          <w:rFonts w:hint="eastAsia" w:ascii="宋体" w:hAnsi="宋体" w:cs="宋体"/>
          <w:i w:val="0"/>
          <w:iCs w:val="0"/>
          <w:caps w:val="0"/>
          <w:color w:val="auto"/>
          <w:spacing w:val="0"/>
          <w:sz w:val="22"/>
          <w:szCs w:val="22"/>
          <w:highlight w:val="none"/>
          <w:lang w:val="en-US" w:eastAsia="zh-CN"/>
        </w:rPr>
        <w:t>32</w:t>
      </w:r>
      <w:r>
        <w:rPr>
          <w:rFonts w:hint="eastAsia" w:ascii="宋体" w:hAnsi="宋体" w:eastAsia="宋体" w:cs="宋体"/>
          <w:i w:val="0"/>
          <w:iCs w:val="0"/>
          <w:caps w:val="0"/>
          <w:color w:val="auto"/>
          <w:spacing w:val="0"/>
          <w:sz w:val="22"/>
          <w:szCs w:val="22"/>
          <w:highlight w:val="non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预算金额（元）: </w:t>
      </w:r>
      <w:r>
        <w:rPr>
          <w:rFonts w:hint="eastAsia" w:ascii="宋体" w:hAnsi="宋体" w:cs="宋体"/>
          <w:b w:val="0"/>
          <w:bCs w:val="0"/>
          <w:color w:val="auto"/>
          <w:sz w:val="22"/>
          <w:szCs w:val="22"/>
          <w:highlight w:val="none"/>
          <w:vertAlign w:val="baseline"/>
          <w:lang w:val="en-US" w:eastAsia="zh-CN"/>
        </w:rPr>
        <w:t>208</w:t>
      </w:r>
      <w:r>
        <w:rPr>
          <w:rFonts w:hint="eastAsia" w:ascii="宋体" w:hAnsi="宋体" w:eastAsia="宋体" w:cs="宋体"/>
          <w:b w:val="0"/>
          <w:bCs w:val="0"/>
          <w:color w:val="auto"/>
          <w:sz w:val="22"/>
          <w:szCs w:val="22"/>
          <w:highlight w:val="none"/>
          <w:vertAlign w:val="baseline"/>
          <w:lang w:val="en-US" w:eastAsia="zh-CN"/>
        </w:rPr>
        <w:t>000</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简要规格描述或项目基本概况介绍、用途：详见磋商文件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备注：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标项三</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标项名称: </w:t>
      </w:r>
      <w:r>
        <w:rPr>
          <w:rFonts w:hint="eastAsia" w:ascii="宋体" w:hAnsi="宋体" w:eastAsia="宋体" w:cs="宋体"/>
          <w:b w:val="0"/>
          <w:bCs w:val="0"/>
          <w:color w:val="auto"/>
          <w:sz w:val="22"/>
          <w:szCs w:val="22"/>
          <w:highlight w:val="none"/>
          <w:lang w:eastAsia="zh-CN"/>
        </w:rPr>
        <w:t>2024年永嘉县送戏下乡公益演出</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瓯剧</w:t>
      </w:r>
      <w:r>
        <w:rPr>
          <w:rFonts w:hint="eastAsia" w:ascii="宋体" w:hAnsi="宋体" w:eastAsia="宋体" w:cs="宋体"/>
          <w:i w:val="0"/>
          <w:iCs w:val="0"/>
          <w:caps w:val="0"/>
          <w:color w:val="auto"/>
          <w:spacing w:val="0"/>
          <w:sz w:val="22"/>
          <w:szCs w:val="22"/>
          <w:highlight w:val="non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中小企业政策： 中小企业预留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数量: </w:t>
      </w:r>
      <w:r>
        <w:rPr>
          <w:rFonts w:hint="eastAsia" w:ascii="宋体" w:hAnsi="宋体" w:cs="宋体"/>
          <w:i w:val="0"/>
          <w:iCs w:val="0"/>
          <w:caps w:val="0"/>
          <w:color w:val="auto"/>
          <w:spacing w:val="0"/>
          <w:sz w:val="22"/>
          <w:szCs w:val="22"/>
          <w:highlight w:val="none"/>
          <w:lang w:val="en-US" w:eastAsia="zh-CN"/>
        </w:rPr>
        <w:t>28</w:t>
      </w:r>
      <w:r>
        <w:rPr>
          <w:rFonts w:hint="eastAsia" w:ascii="宋体" w:hAnsi="宋体" w:eastAsia="宋体" w:cs="宋体"/>
          <w:i w:val="0"/>
          <w:iCs w:val="0"/>
          <w:caps w:val="0"/>
          <w:color w:val="auto"/>
          <w:spacing w:val="0"/>
          <w:sz w:val="22"/>
          <w:szCs w:val="22"/>
          <w:highlight w:val="non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 xml:space="preserve">      预算金额（元）: </w:t>
      </w:r>
      <w:r>
        <w:rPr>
          <w:rFonts w:hint="eastAsia" w:ascii="宋体" w:hAnsi="宋体" w:cs="宋体"/>
          <w:i w:val="0"/>
          <w:iCs w:val="0"/>
          <w:caps w:val="0"/>
          <w:color w:val="auto"/>
          <w:spacing w:val="0"/>
          <w:sz w:val="22"/>
          <w:szCs w:val="22"/>
          <w:highlight w:val="none"/>
          <w:lang w:val="en-US" w:eastAsia="zh-CN"/>
        </w:rPr>
        <w:t>1</w:t>
      </w:r>
      <w:r>
        <w:rPr>
          <w:rFonts w:hint="eastAsia" w:ascii="宋体" w:hAnsi="宋体" w:cs="宋体"/>
          <w:b w:val="0"/>
          <w:bCs w:val="0"/>
          <w:color w:val="auto"/>
          <w:sz w:val="22"/>
          <w:szCs w:val="22"/>
          <w:highlight w:val="none"/>
          <w:vertAlign w:val="baseline"/>
          <w:lang w:val="en-US" w:eastAsia="zh-CN"/>
        </w:rPr>
        <w:t>82</w:t>
      </w:r>
      <w:r>
        <w:rPr>
          <w:rFonts w:hint="eastAsia" w:ascii="宋体" w:hAnsi="宋体" w:eastAsia="宋体" w:cs="宋体"/>
          <w:b w:val="0"/>
          <w:bCs w:val="0"/>
          <w:color w:val="auto"/>
          <w:sz w:val="22"/>
          <w:szCs w:val="22"/>
          <w:highlight w:val="none"/>
          <w:vertAlign w:val="baseline"/>
          <w:lang w:val="en-US" w:eastAsia="zh-CN"/>
        </w:rPr>
        <w:t>000</w:t>
      </w:r>
      <w:r>
        <w:rPr>
          <w:rFonts w:hint="eastAsia" w:ascii="宋体" w:hAnsi="宋体" w:eastAsia="宋体" w:cs="宋体"/>
          <w:i w:val="0"/>
          <w:iCs w:val="0"/>
          <w:caps w:val="0"/>
          <w:color w:val="auto"/>
          <w:spacing w:val="0"/>
          <w:sz w:val="22"/>
          <w:szCs w:val="22"/>
          <w:highlight w:val="non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val="en-US" w:eastAsia="zh-CN"/>
        </w:rPr>
        <w:t xml:space="preserve">      简要规格描述或项目基本概况介绍、用途：详见磋商文件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660" w:firstLineChars="30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合同履约期限：标项 1，具体详见磋商文件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本项目（否）接受联合体投标。  </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2"/>
          <w:szCs w:val="22"/>
          <w:highlight w:val="none"/>
        </w:rPr>
      </w:pPr>
      <w:r>
        <w:rPr>
          <w:rStyle w:val="46"/>
          <w:rFonts w:hint="eastAsia" w:ascii="宋体" w:hAnsi="宋体" w:eastAsia="宋体" w:cs="宋体"/>
          <w:b/>
          <w:bCs/>
          <w:i w:val="0"/>
          <w:iCs w:val="0"/>
          <w:caps w:val="0"/>
          <w:color w:val="auto"/>
          <w:spacing w:val="0"/>
          <w:sz w:val="22"/>
          <w:szCs w:val="22"/>
          <w:highlight w:val="none"/>
        </w:rPr>
        <w:t>二、申请人的资格要求：</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2.落实政府采购政策需满足的资格要求：标项</w:t>
      </w:r>
      <w:r>
        <w:rPr>
          <w:rFonts w:ascii="仿宋" w:hAnsi="仿宋" w:eastAsia="仿宋" w:cs="仿宋"/>
          <w:i w:val="0"/>
          <w:iCs w:val="0"/>
          <w:caps w:val="0"/>
          <w:color w:val="auto"/>
          <w:spacing w:val="0"/>
          <w:sz w:val="21"/>
          <w:szCs w:val="21"/>
          <w:highlight w:val="none"/>
        </w:rPr>
        <w:t>1、2、3</w:t>
      </w:r>
      <w:r>
        <w:rPr>
          <w:rFonts w:hint="eastAsia" w:ascii="宋体" w:hAnsi="宋体" w:eastAsia="宋体" w:cs="宋体"/>
          <w:i w:val="0"/>
          <w:iCs w:val="0"/>
          <w:caps w:val="0"/>
          <w:color w:val="auto"/>
          <w:spacing w:val="0"/>
          <w:sz w:val="22"/>
          <w:szCs w:val="22"/>
          <w:highlight w:val="none"/>
        </w:rPr>
        <w:t>：本项目整体专门面向中小企业采购。中小企业是指符合《政府采购促进中小企业发展管理办法》（财库〔2020〕46号）第二条规定的企业。监狱企业、残疾人福利性单位视同小型、微型企业。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    3.本项目的特定资格要求：</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【标项</w:t>
      </w:r>
      <w:r>
        <w:rPr>
          <w:rFonts w:hint="eastAsia" w:ascii="宋体" w:hAnsi="宋体" w:eastAsia="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rPr>
        <w:t>】【标项</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rPr>
        <w:t>】【标项</w:t>
      </w:r>
      <w:r>
        <w:rPr>
          <w:rFonts w:hint="eastAsia" w:ascii="宋体" w:hAnsi="宋体" w:eastAsia="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rPr>
        <w:t>】</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投标供应商必须是有文艺演出条件和能力的文化类企事业法人单位或民营演出团体或民办非企业单位。营业执照必须具有相应的商业演出经营范围（以营业执照为准）演出服务单位必须是县级以上（含县级）文化行政管理部门注册的民营艺术表演团体，具备营业性演出许可证等。</w:t>
      </w:r>
      <w:r>
        <w:rPr>
          <w:rFonts w:hint="eastAsia" w:ascii="宋体" w:hAnsi="宋体" w:eastAsia="宋体" w:cs="宋体"/>
          <w:i w:val="0"/>
          <w:iCs w:val="0"/>
          <w:caps w:val="0"/>
          <w:color w:val="auto"/>
          <w:spacing w:val="0"/>
          <w:sz w:val="22"/>
          <w:szCs w:val="22"/>
          <w:highlight w:val="none"/>
        </w:rPr>
        <w:t> </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2"/>
          <w:szCs w:val="22"/>
          <w:highlight w:val="none"/>
        </w:rPr>
      </w:pPr>
      <w:r>
        <w:rPr>
          <w:rStyle w:val="46"/>
          <w:rFonts w:hint="eastAsia" w:ascii="宋体" w:hAnsi="宋体" w:eastAsia="宋体" w:cs="宋体"/>
          <w:b/>
          <w:bCs/>
          <w:i w:val="0"/>
          <w:iCs w:val="0"/>
          <w:caps w:val="0"/>
          <w:color w:val="auto"/>
          <w:spacing w:val="0"/>
          <w:sz w:val="22"/>
          <w:szCs w:val="22"/>
          <w:highlight w:val="none"/>
        </w:rPr>
        <w:t>三、获取（下载）采购文件</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u w:val="none"/>
        </w:rPr>
        <w:t>时间：/至</w:t>
      </w:r>
      <w:r>
        <w:rPr>
          <w:rFonts w:hint="eastAsia" w:ascii="宋体" w:hAnsi="宋体" w:eastAsia="宋体" w:cs="宋体"/>
          <w:i w:val="0"/>
          <w:iCs w:val="0"/>
          <w:caps w:val="0"/>
          <w:color w:val="auto"/>
          <w:spacing w:val="0"/>
          <w:sz w:val="22"/>
          <w:szCs w:val="22"/>
          <w:highlight w:val="none"/>
        </w:rPr>
        <w:t>2024年</w:t>
      </w:r>
      <w:r>
        <w:rPr>
          <w:rFonts w:hint="eastAsia" w:ascii="宋体" w:hAnsi="宋体" w:cs="宋体"/>
          <w:i w:val="0"/>
          <w:iCs w:val="0"/>
          <w:caps w:val="0"/>
          <w:color w:val="auto"/>
          <w:spacing w:val="0"/>
          <w:sz w:val="22"/>
          <w:szCs w:val="22"/>
          <w:highlight w:val="none"/>
          <w:lang w:val="en-US" w:eastAsia="zh-CN"/>
        </w:rPr>
        <w:t>6</w:t>
      </w:r>
      <w:r>
        <w:rPr>
          <w:rFonts w:hint="eastAsia" w:ascii="宋体" w:hAnsi="宋体" w:eastAsia="宋体" w:cs="宋体"/>
          <w:i w:val="0"/>
          <w:iCs w:val="0"/>
          <w:caps w:val="0"/>
          <w:color w:val="auto"/>
          <w:spacing w:val="0"/>
          <w:sz w:val="22"/>
          <w:szCs w:val="22"/>
          <w:highlight w:val="none"/>
        </w:rPr>
        <w:t>月</w:t>
      </w:r>
      <w:r>
        <w:rPr>
          <w:rFonts w:hint="eastAsia" w:ascii="宋体" w:hAnsi="宋体" w:cs="宋体"/>
          <w:i w:val="0"/>
          <w:iCs w:val="0"/>
          <w:caps w:val="0"/>
          <w:color w:val="auto"/>
          <w:spacing w:val="0"/>
          <w:sz w:val="22"/>
          <w:szCs w:val="22"/>
          <w:highlight w:val="none"/>
          <w:lang w:val="en-US" w:eastAsia="zh-CN"/>
        </w:rPr>
        <w:t>27</w:t>
      </w:r>
      <w:r>
        <w:rPr>
          <w:rFonts w:hint="eastAsia" w:ascii="宋体" w:hAnsi="宋体" w:eastAsia="宋体" w:cs="宋体"/>
          <w:i w:val="0"/>
          <w:iCs w:val="0"/>
          <w:caps w:val="0"/>
          <w:color w:val="auto"/>
          <w:spacing w:val="0"/>
          <w:sz w:val="22"/>
          <w:szCs w:val="22"/>
          <w:highlight w:val="none"/>
        </w:rPr>
        <w:t>日</w:t>
      </w:r>
      <w:r>
        <w:rPr>
          <w:rFonts w:hint="eastAsia" w:ascii="宋体" w:hAnsi="宋体" w:eastAsia="宋体" w:cs="宋体"/>
          <w:i w:val="0"/>
          <w:iCs w:val="0"/>
          <w:caps w:val="0"/>
          <w:color w:val="auto"/>
          <w:spacing w:val="0"/>
          <w:sz w:val="22"/>
          <w:szCs w:val="22"/>
          <w:highlight w:val="none"/>
          <w:u w:val="none"/>
        </w:rPr>
        <w:t>，每天上午00:00至12:00，下午12:00至23:59（北京时间，线上获取法定节假日均可，线下获取文件法定节假日除外）</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地点（网址）：政采云平台线上获取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方式：供应商登录政采云平台https://www.zcygov.cn/在线申请获取采购文件（进入“项目采购”应用，在获取采购文件菜单中选择项目，申请获取采购文件）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售价（元）：0 </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2"/>
          <w:szCs w:val="22"/>
          <w:highlight w:val="none"/>
        </w:rPr>
      </w:pPr>
      <w:r>
        <w:rPr>
          <w:rStyle w:val="46"/>
          <w:rFonts w:hint="eastAsia" w:ascii="宋体" w:hAnsi="宋体" w:eastAsia="宋体" w:cs="宋体"/>
          <w:b/>
          <w:bCs/>
          <w:i w:val="0"/>
          <w:iCs w:val="0"/>
          <w:caps w:val="0"/>
          <w:color w:val="auto"/>
          <w:spacing w:val="0"/>
          <w:sz w:val="22"/>
          <w:szCs w:val="22"/>
          <w:highlight w:val="none"/>
        </w:rPr>
        <w:t>四、响应文件提交（上传）</w:t>
      </w:r>
      <w:r>
        <w:rPr>
          <w:rFonts w:hint="eastAsia" w:ascii="宋体" w:hAnsi="宋体" w:eastAsia="宋体" w:cs="宋体"/>
          <w:i w:val="0"/>
          <w:iCs w:val="0"/>
          <w:caps w:val="0"/>
          <w:color w:val="auto"/>
          <w:spacing w:val="0"/>
          <w:sz w:val="22"/>
          <w:szCs w:val="22"/>
          <w:highlight w:val="none"/>
        </w:rPr>
        <w:t>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截止时间：2024年</w:t>
      </w:r>
      <w:r>
        <w:rPr>
          <w:rFonts w:hint="eastAsia" w:ascii="宋体" w:hAnsi="宋体" w:cs="宋体"/>
          <w:i w:val="0"/>
          <w:iCs w:val="0"/>
          <w:caps w:val="0"/>
          <w:color w:val="auto"/>
          <w:spacing w:val="0"/>
          <w:sz w:val="22"/>
          <w:szCs w:val="22"/>
          <w:highlight w:val="none"/>
          <w:lang w:val="en-US" w:eastAsia="zh-CN"/>
        </w:rPr>
        <w:t>6</w:t>
      </w:r>
      <w:r>
        <w:rPr>
          <w:rFonts w:hint="eastAsia" w:ascii="宋体" w:hAnsi="宋体" w:eastAsia="宋体" w:cs="宋体"/>
          <w:i w:val="0"/>
          <w:iCs w:val="0"/>
          <w:caps w:val="0"/>
          <w:color w:val="auto"/>
          <w:spacing w:val="0"/>
          <w:sz w:val="22"/>
          <w:szCs w:val="22"/>
          <w:highlight w:val="none"/>
        </w:rPr>
        <w:t>月</w:t>
      </w:r>
      <w:r>
        <w:rPr>
          <w:rFonts w:hint="eastAsia" w:ascii="宋体" w:hAnsi="宋体" w:cs="宋体"/>
          <w:i w:val="0"/>
          <w:iCs w:val="0"/>
          <w:caps w:val="0"/>
          <w:color w:val="auto"/>
          <w:spacing w:val="0"/>
          <w:sz w:val="22"/>
          <w:szCs w:val="22"/>
          <w:highlight w:val="none"/>
          <w:lang w:val="en-US" w:eastAsia="zh-CN"/>
        </w:rPr>
        <w:t>27</w:t>
      </w:r>
      <w:r>
        <w:rPr>
          <w:rFonts w:hint="eastAsia" w:ascii="宋体" w:hAnsi="宋体" w:eastAsia="宋体" w:cs="宋体"/>
          <w:i w:val="0"/>
          <w:iCs w:val="0"/>
          <w:caps w:val="0"/>
          <w:color w:val="auto"/>
          <w:spacing w:val="0"/>
          <w:sz w:val="22"/>
          <w:szCs w:val="22"/>
          <w:highlight w:val="none"/>
        </w:rPr>
        <w:t>日 09:30（北京时间）</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地点（网址）：请登录政采云投标客户端投标 </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2"/>
          <w:szCs w:val="22"/>
          <w:highlight w:val="none"/>
        </w:rPr>
      </w:pPr>
      <w:r>
        <w:rPr>
          <w:rStyle w:val="46"/>
          <w:rFonts w:hint="eastAsia" w:ascii="宋体" w:hAnsi="宋体" w:eastAsia="宋体" w:cs="宋体"/>
          <w:b/>
          <w:bCs/>
          <w:i w:val="0"/>
          <w:iCs w:val="0"/>
          <w:caps w:val="0"/>
          <w:color w:val="auto"/>
          <w:spacing w:val="0"/>
          <w:sz w:val="22"/>
          <w:szCs w:val="22"/>
          <w:highlight w:val="none"/>
        </w:rPr>
        <w:t>五、响应文件开启</w:t>
      </w:r>
      <w:r>
        <w:rPr>
          <w:rFonts w:hint="eastAsia" w:ascii="宋体" w:hAnsi="宋体" w:eastAsia="宋体" w:cs="宋体"/>
          <w:i w:val="0"/>
          <w:iCs w:val="0"/>
          <w:caps w:val="0"/>
          <w:color w:val="auto"/>
          <w:spacing w:val="0"/>
          <w:sz w:val="22"/>
          <w:szCs w:val="22"/>
          <w:highlight w:val="none"/>
        </w:rPr>
        <w:t>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开启时间：2024年</w:t>
      </w:r>
      <w:r>
        <w:rPr>
          <w:rFonts w:hint="eastAsia" w:ascii="宋体" w:hAnsi="宋体" w:cs="宋体"/>
          <w:i w:val="0"/>
          <w:iCs w:val="0"/>
          <w:caps w:val="0"/>
          <w:color w:val="auto"/>
          <w:spacing w:val="0"/>
          <w:sz w:val="22"/>
          <w:szCs w:val="22"/>
          <w:highlight w:val="none"/>
          <w:lang w:val="en-US" w:eastAsia="zh-CN"/>
        </w:rPr>
        <w:t>6</w:t>
      </w:r>
      <w:r>
        <w:rPr>
          <w:rFonts w:hint="eastAsia" w:ascii="宋体" w:hAnsi="宋体" w:eastAsia="宋体" w:cs="宋体"/>
          <w:i w:val="0"/>
          <w:iCs w:val="0"/>
          <w:caps w:val="0"/>
          <w:color w:val="auto"/>
          <w:spacing w:val="0"/>
          <w:sz w:val="22"/>
          <w:szCs w:val="22"/>
          <w:highlight w:val="none"/>
        </w:rPr>
        <w:t>月</w:t>
      </w:r>
      <w:r>
        <w:rPr>
          <w:rFonts w:hint="eastAsia" w:ascii="宋体" w:hAnsi="宋体" w:cs="宋体"/>
          <w:i w:val="0"/>
          <w:iCs w:val="0"/>
          <w:caps w:val="0"/>
          <w:color w:val="auto"/>
          <w:spacing w:val="0"/>
          <w:sz w:val="22"/>
          <w:szCs w:val="22"/>
          <w:highlight w:val="none"/>
          <w:lang w:val="en-US" w:eastAsia="zh-CN"/>
        </w:rPr>
        <w:t>27</w:t>
      </w:r>
      <w:r>
        <w:rPr>
          <w:rFonts w:hint="eastAsia" w:ascii="宋体" w:hAnsi="宋体" w:eastAsia="宋体" w:cs="宋体"/>
          <w:i w:val="0"/>
          <w:iCs w:val="0"/>
          <w:caps w:val="0"/>
          <w:color w:val="auto"/>
          <w:spacing w:val="0"/>
          <w:sz w:val="22"/>
          <w:szCs w:val="22"/>
          <w:highlight w:val="none"/>
        </w:rPr>
        <w:t>日 09:30 （北京时间）</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地点（网址）：政采云平台（https://www.zcygov.cn/） </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2"/>
          <w:szCs w:val="22"/>
          <w:highlight w:val="none"/>
        </w:rPr>
      </w:pPr>
      <w:r>
        <w:rPr>
          <w:rStyle w:val="46"/>
          <w:rFonts w:hint="eastAsia" w:ascii="宋体" w:hAnsi="宋体" w:eastAsia="宋体" w:cs="宋体"/>
          <w:b/>
          <w:bCs/>
          <w:i w:val="0"/>
          <w:iCs w:val="0"/>
          <w:caps w:val="0"/>
          <w:color w:val="auto"/>
          <w:spacing w:val="0"/>
          <w:sz w:val="22"/>
          <w:szCs w:val="22"/>
          <w:highlight w:val="none"/>
        </w:rPr>
        <w:t>六、公告期限</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自本公告发布之日起3个工作日。</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2"/>
          <w:szCs w:val="22"/>
          <w:highlight w:val="none"/>
        </w:rPr>
      </w:pPr>
      <w:r>
        <w:rPr>
          <w:rStyle w:val="46"/>
          <w:rFonts w:hint="eastAsia" w:ascii="宋体" w:hAnsi="宋体" w:eastAsia="宋体" w:cs="宋体"/>
          <w:b/>
          <w:bCs/>
          <w:i w:val="0"/>
          <w:iCs w:val="0"/>
          <w:caps w:val="0"/>
          <w:color w:val="auto"/>
          <w:spacing w:val="0"/>
          <w:sz w:val="22"/>
          <w:szCs w:val="22"/>
          <w:highlight w:val="none"/>
        </w:rPr>
        <w:t>七、其他补充事宜</w:t>
      </w:r>
      <w:r>
        <w:rPr>
          <w:rFonts w:hint="eastAsia" w:ascii="宋体" w:hAnsi="宋体" w:eastAsia="宋体" w:cs="宋体"/>
          <w:i w:val="0"/>
          <w:iCs w:val="0"/>
          <w:caps w:val="0"/>
          <w:color w:val="auto"/>
          <w:spacing w:val="0"/>
          <w:sz w:val="22"/>
          <w:szCs w:val="22"/>
          <w:highlight w:val="none"/>
        </w:rPr>
        <w:t> </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3.其他事项：</w:t>
      </w:r>
      <w:r>
        <w:rPr>
          <w:rFonts w:cs="Arial" w:asciiTheme="majorEastAsia" w:hAnsiTheme="majorEastAsia" w:eastAsiaTheme="majorEastAsia"/>
          <w:color w:val="auto"/>
          <w:kern w:val="0"/>
          <w:sz w:val="22"/>
          <w:szCs w:val="22"/>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“政采云电子交易客户端”请自行前往“浙江政府采购网-下载专区-电子交易客户端”进行下载；通过“政府采购云平台”参与在线投标时如遇平台技术问题详询95763。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w:t>
      </w:r>
      <w:r>
        <w:rPr>
          <w:rFonts w:hint="eastAsia" w:ascii="宋体" w:hAnsi="宋体" w:eastAsia="宋体" w:cs="宋体"/>
          <w:i w:val="0"/>
          <w:iCs w:val="0"/>
          <w:caps w:val="0"/>
          <w:color w:val="auto"/>
          <w:spacing w:val="0"/>
          <w:sz w:val="22"/>
          <w:szCs w:val="22"/>
          <w:highlight w:val="none"/>
        </w:rPr>
        <w:t>。</w:t>
      </w:r>
    </w:p>
    <w:p>
      <w:pPr>
        <w:pStyle w:val="41"/>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2"/>
          <w:szCs w:val="22"/>
          <w:highlight w:val="none"/>
        </w:rPr>
      </w:pPr>
      <w:r>
        <w:rPr>
          <w:rStyle w:val="46"/>
          <w:rFonts w:hint="eastAsia" w:ascii="宋体" w:hAnsi="宋体" w:eastAsia="宋体" w:cs="宋体"/>
          <w:b/>
          <w:bCs/>
          <w:i w:val="0"/>
          <w:iCs w:val="0"/>
          <w:caps w:val="0"/>
          <w:color w:val="auto"/>
          <w:spacing w:val="0"/>
          <w:sz w:val="22"/>
          <w:szCs w:val="22"/>
          <w:highlight w:val="none"/>
        </w:rPr>
        <w:t>八、凡对本次招标提出询问、质疑、投诉，请按以下方式联系</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1.采购人信息</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名    称：</w:t>
      </w:r>
      <w:r>
        <w:rPr>
          <w:rFonts w:hint="eastAsia" w:ascii="宋体" w:hAnsi="宋体" w:eastAsia="宋体" w:cs="宋体"/>
          <w:i w:val="0"/>
          <w:iCs w:val="0"/>
          <w:caps w:val="0"/>
          <w:color w:val="auto"/>
          <w:spacing w:val="0"/>
          <w:sz w:val="22"/>
          <w:szCs w:val="22"/>
          <w:highlight w:val="none"/>
          <w:lang w:eastAsia="zh-CN"/>
        </w:rPr>
        <w:t>永嘉县文化和广电旅游体育局</w:t>
      </w:r>
      <w:r>
        <w:rPr>
          <w:rFonts w:hint="eastAsia" w:ascii="宋体" w:hAnsi="宋体" w:eastAsia="宋体" w:cs="宋体"/>
          <w:i w:val="0"/>
          <w:iCs w:val="0"/>
          <w:caps w:val="0"/>
          <w:color w:val="auto"/>
          <w:spacing w:val="0"/>
          <w:sz w:val="22"/>
          <w:szCs w:val="22"/>
          <w:highlight w:val="none"/>
        </w:rPr>
        <w:t>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地    址：永嘉县行政中心主楼413室（文化和广电旅游体育局文化艺术科）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传    真：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项目联系人（询问）：陈女士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项目联系方式（询问）：0577-67231226</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质疑联系人：陈女士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    质疑联系方式：0577-67231226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2.采购代理机构信息</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名    称：温州市中概工程管理咨询有限公司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地    址：温州市永嘉县南城街道环城北路618号云碓大厦503室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传    真：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项目联系人（询问）：胡可可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项目联系方式（询问）：13567723502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质疑联系人：黄曼曼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质疑联系方式：15858728890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3.</w:t>
      </w:r>
      <w:r>
        <w:rPr>
          <w:rStyle w:val="53"/>
          <w:rFonts w:hint="eastAsia" w:ascii="宋体" w:hAnsi="宋体" w:eastAsia="宋体" w:cs="宋体"/>
          <w:i w:val="0"/>
          <w:iCs w:val="0"/>
          <w:caps w:val="0"/>
          <w:color w:val="auto"/>
          <w:spacing w:val="0"/>
          <w:sz w:val="22"/>
          <w:szCs w:val="22"/>
          <w:highlight w:val="none"/>
        </w:rPr>
        <w:t>同级政府采购监督管理部门</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名    称：永嘉县财政局</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地    址：</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传    真：</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联 系 人：沈女士</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监督投诉电话：0577-67230257</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aps w:val="0"/>
          <w:color w:val="auto"/>
          <w:spacing w:val="0"/>
          <w:kern w:val="0"/>
          <w:sz w:val="22"/>
          <w:szCs w:val="2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aps w:val="0"/>
          <w:color w:val="auto"/>
          <w:spacing w:val="0"/>
          <w:kern w:val="0"/>
          <w:sz w:val="22"/>
          <w:szCs w:val="22"/>
          <w:highlight w:val="none"/>
          <w:lang w:val="en-US" w:eastAsia="zh-CN" w:bidi="ar"/>
        </w:rPr>
      </w:pPr>
      <w:r>
        <w:rPr>
          <w:rFonts w:hint="eastAsia" w:ascii="宋体" w:hAnsi="宋体" w:eastAsia="宋体" w:cs="宋体"/>
          <w:b/>
          <w:bCs/>
          <w:i w:val="0"/>
          <w:iCs w:val="0"/>
          <w:caps w:val="0"/>
          <w:color w:val="auto"/>
          <w:spacing w:val="0"/>
          <w:kern w:val="0"/>
          <w:sz w:val="22"/>
          <w:szCs w:val="22"/>
          <w:highlight w:val="non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若对项目采购电子交易系统操作有疑问，可登录政采云（https://www.zcygov.cn/），点击右侧咨询小采，获取采小蜜智能服务管家帮助，或拨打政采云服务热线95763获取热线服务帮助。        </w:t>
      </w:r>
    </w:p>
    <w:p>
      <w:pPr>
        <w:pStyle w:val="4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CA问题联系电话（人工）：汇信CA 400-888-4636；天谷CA 400-087-8198。</w:t>
      </w:r>
    </w:p>
    <w:p>
      <w:pPr>
        <w:pStyle w:val="41"/>
        <w:spacing w:afterLines="0" w:line="360" w:lineRule="auto"/>
        <w:rPr>
          <w:rFonts w:ascii="宋体" w:hAnsi="宋体" w:cs="宋体"/>
          <w:color w:val="auto"/>
          <w:sz w:val="21"/>
          <w:szCs w:val="21"/>
          <w:highlight w:val="none"/>
        </w:rPr>
      </w:pPr>
    </w:p>
    <w:p>
      <w:pPr>
        <w:widowControl/>
        <w:jc w:val="left"/>
        <w:rPr>
          <w:rFonts w:ascii="宋体" w:eastAsia="宋体"/>
          <w:color w:val="auto"/>
          <w:sz w:val="32"/>
          <w:szCs w:val="32"/>
          <w:highlight w:val="none"/>
        </w:rPr>
      </w:pPr>
      <w:r>
        <w:rPr>
          <w:rFonts w:hint="eastAsia" w:ascii="宋体" w:eastAsia="宋体"/>
          <w:color w:val="auto"/>
          <w:highlight w:val="none"/>
        </w:rPr>
        <w:br w:type="page"/>
      </w:r>
    </w:p>
    <w:p>
      <w:pPr>
        <w:pStyle w:val="8"/>
        <w:spacing w:line="480" w:lineRule="auto"/>
        <w:rPr>
          <w:rFonts w:ascii="宋体" w:hAnsi="宋体" w:cs="宋体"/>
          <w:color w:val="auto"/>
          <w:highlight w:val="none"/>
        </w:rPr>
      </w:pPr>
      <w:r>
        <w:rPr>
          <w:rFonts w:hint="eastAsia" w:ascii="宋体" w:hAnsi="宋体" w:cs="宋体"/>
          <w:color w:val="auto"/>
          <w:highlight w:val="none"/>
        </w:rPr>
        <w:t xml:space="preserve"> </w:t>
      </w:r>
      <w:bookmarkStart w:id="0" w:name="_Toc24144"/>
      <w:r>
        <w:rPr>
          <w:rFonts w:hint="eastAsia" w:ascii="宋体" w:hAnsi="宋体" w:cs="宋体"/>
          <w:color w:val="auto"/>
          <w:highlight w:val="none"/>
        </w:rPr>
        <w:t>第一部分 磋商通知(邀请)书</w:t>
      </w:r>
      <w:bookmarkEnd w:id="0"/>
    </w:p>
    <w:tbl>
      <w:tblPr>
        <w:tblStyle w:val="43"/>
        <w:tblW w:w="91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45"/>
        <w:gridCol w:w="1293"/>
        <w:gridCol w:w="66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序号</w:t>
            </w:r>
          </w:p>
        </w:tc>
        <w:tc>
          <w:tcPr>
            <w:tcW w:w="1293"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内容</w:t>
            </w:r>
          </w:p>
        </w:tc>
        <w:tc>
          <w:tcPr>
            <w:tcW w:w="6627"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1</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项目名称</w:t>
            </w:r>
          </w:p>
        </w:tc>
        <w:tc>
          <w:tcPr>
            <w:tcW w:w="6627" w:type="dxa"/>
            <w:vAlign w:val="center"/>
          </w:tcPr>
          <w:p>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2024年永嘉县送戏下乡公益演出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2</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项目编号</w:t>
            </w:r>
          </w:p>
        </w:tc>
        <w:tc>
          <w:tcPr>
            <w:tcW w:w="6627" w:type="dxa"/>
            <w:vAlign w:val="center"/>
          </w:tcPr>
          <w:p>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ZGCG-20240616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采购预算</w:t>
            </w:r>
          </w:p>
        </w:tc>
        <w:tc>
          <w:tcPr>
            <w:tcW w:w="6627" w:type="dxa"/>
            <w:vAlign w:val="center"/>
          </w:tcPr>
          <w:p>
            <w:pPr>
              <w:rPr>
                <w:rFonts w:ascii="宋体" w:eastAsiaTheme="minorEastAsia"/>
                <w:b w:val="0"/>
                <w:color w:val="auto"/>
                <w:sz w:val="22"/>
                <w:szCs w:val="22"/>
                <w:highlight w:val="none"/>
              </w:rPr>
            </w:pPr>
            <w:r>
              <w:rPr>
                <w:rFonts w:hint="eastAsia" w:ascii="宋体" w:eastAsia="宋体"/>
                <w:bCs w:val="0"/>
                <w:color w:val="auto"/>
                <w:sz w:val="22"/>
                <w:szCs w:val="22"/>
                <w:highlight w:val="none"/>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4</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采购方式</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5</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采购人</w:t>
            </w:r>
          </w:p>
        </w:tc>
        <w:tc>
          <w:tcPr>
            <w:tcW w:w="6627" w:type="dxa"/>
            <w:vAlign w:val="center"/>
          </w:tcPr>
          <w:p>
            <w:pPr>
              <w:adjustRightInd w:val="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采 购 人：</w:t>
            </w:r>
            <w:r>
              <w:rPr>
                <w:rFonts w:hint="eastAsia" w:ascii="宋体" w:eastAsia="宋体"/>
                <w:b w:val="0"/>
                <w:color w:val="auto"/>
                <w:sz w:val="22"/>
                <w:szCs w:val="22"/>
                <w:highlight w:val="none"/>
                <w:lang w:eastAsia="zh-CN"/>
              </w:rPr>
              <w:t>永嘉县文化和广电旅游体育局</w:t>
            </w:r>
          </w:p>
          <w:p>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项目联系人（询问）：陈女士</w:t>
            </w:r>
          </w:p>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项目联系方式（询问）：0577-67231226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6</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采购代理机构</w:t>
            </w:r>
          </w:p>
        </w:tc>
        <w:tc>
          <w:tcPr>
            <w:tcW w:w="6627" w:type="dxa"/>
            <w:vAlign w:val="center"/>
          </w:tcPr>
          <w:p>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采购代理机构名称：温州市中概工程管理咨询有限公司</w:t>
            </w:r>
          </w:p>
          <w:p>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地    点：温州市永嘉县南城街道环城北路618号云碓大厦503室</w:t>
            </w:r>
          </w:p>
          <w:p>
            <w:pPr>
              <w:adjustRightInd w:val="0"/>
              <w:rPr>
                <w:rFonts w:ascii="宋体" w:eastAsia="宋体"/>
                <w:b w:val="0"/>
                <w:color w:val="auto"/>
                <w:sz w:val="22"/>
                <w:highlight w:val="none"/>
              </w:rPr>
            </w:pPr>
            <w:r>
              <w:rPr>
                <w:rFonts w:hint="eastAsia" w:ascii="宋体" w:eastAsia="宋体"/>
                <w:b w:val="0"/>
                <w:color w:val="auto"/>
                <w:sz w:val="22"/>
                <w:highlight w:val="none"/>
              </w:rPr>
              <w:t xml:space="preserve">联 系 人：胡可可   </w:t>
            </w:r>
          </w:p>
          <w:p>
            <w:pPr>
              <w:adjustRightInd w:val="0"/>
              <w:rPr>
                <w:rFonts w:ascii="宋体" w:eastAsia="宋体"/>
                <w:b w:val="0"/>
                <w:color w:val="auto"/>
                <w:sz w:val="22"/>
                <w:highlight w:val="none"/>
              </w:rPr>
            </w:pPr>
            <w:r>
              <w:rPr>
                <w:rFonts w:hint="eastAsia" w:ascii="宋体" w:eastAsia="宋体"/>
                <w:b w:val="0"/>
                <w:color w:val="auto"/>
                <w:sz w:val="22"/>
                <w:highlight w:val="none"/>
              </w:rPr>
              <w:t>联系电话：15258683545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7</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评标办法</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8</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采购内容</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具体内容见磋商文件。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9</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供应商资格要求</w:t>
            </w:r>
          </w:p>
        </w:tc>
        <w:tc>
          <w:tcPr>
            <w:tcW w:w="6627" w:type="dxa"/>
            <w:vAlign w:val="center"/>
          </w:tcPr>
          <w:p>
            <w:pPr>
              <w:pStyle w:val="2"/>
              <w:ind w:firstLine="0" w:firstLineChars="0"/>
              <w:rPr>
                <w:rFonts w:hint="default" w:eastAsia="仿宋_GB2312"/>
                <w:color w:val="auto"/>
                <w:highlight w:val="none"/>
                <w:lang w:val="en-US" w:eastAsia="zh-CN"/>
              </w:rPr>
            </w:pPr>
            <w:r>
              <w:rPr>
                <w:rFonts w:hint="eastAsia" w:ascii="宋体" w:eastAsia="宋体"/>
                <w:b w:val="0"/>
                <w:color w:val="auto"/>
                <w:sz w:val="22"/>
                <w:szCs w:val="22"/>
                <w:highlight w:val="none"/>
                <w:lang w:val="en-US" w:eastAsia="zh-CN"/>
              </w:rPr>
              <w:t>详见磋商公告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10</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是否接受联合体投标</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不接受</w:t>
            </w:r>
          </w:p>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11</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踏勘现场</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不组织</w:t>
            </w:r>
          </w:p>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12</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是否允许递交备选投标方案</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不允许</w:t>
            </w:r>
          </w:p>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13</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分包</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sym w:font="Wingdings 2" w:char="0052"/>
            </w:r>
            <w:r>
              <w:rPr>
                <w:rFonts w:hint="eastAsia" w:ascii="宋体" w:eastAsia="宋体"/>
                <w:b w:val="0"/>
                <w:color w:val="auto"/>
                <w:sz w:val="22"/>
                <w:szCs w:val="22"/>
                <w:highlight w:val="none"/>
              </w:rPr>
              <w:t>不允许</w:t>
            </w:r>
          </w:p>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14</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报价货币</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15</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报价语言</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16</w:t>
            </w:r>
          </w:p>
        </w:tc>
        <w:tc>
          <w:tcPr>
            <w:tcW w:w="1293"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响应文件的编制</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供应商应先安装“政采云电子交易客户端”，并按照本采购文件和“政采云平台”的要求，通过“政采云电子交易客户端”编制并加密响应文件。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17</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报价有效期</w:t>
            </w:r>
          </w:p>
        </w:tc>
        <w:tc>
          <w:tcPr>
            <w:tcW w:w="6627" w:type="dxa"/>
            <w:vAlign w:val="center"/>
          </w:tcPr>
          <w:p>
            <w:pPr>
              <w:rPr>
                <w:rFonts w:ascii="宋体" w:eastAsia="宋体"/>
                <w:color w:val="auto"/>
                <w:highlight w:val="none"/>
              </w:rPr>
            </w:pPr>
            <w:r>
              <w:rPr>
                <w:rFonts w:hint="eastAsia" w:ascii="宋体" w:eastAsia="宋体"/>
                <w:b w:val="0"/>
                <w:color w:val="auto"/>
                <w:sz w:val="22"/>
                <w:szCs w:val="22"/>
                <w:highlight w:val="none"/>
              </w:rPr>
              <w:t>提交响应文件截止时间起</w:t>
            </w:r>
            <w:r>
              <w:rPr>
                <w:rFonts w:ascii="宋体" w:eastAsia="宋体"/>
                <w:b w:val="0"/>
                <w:color w:val="auto"/>
                <w:sz w:val="22"/>
                <w:szCs w:val="22"/>
                <w:highlight w:val="none"/>
              </w:rPr>
              <w:t>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18</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签字或盖章要求</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响应文件的相应位置应加盖：电子签章。</w:t>
            </w:r>
          </w:p>
          <w:p>
            <w:pPr>
              <w:rPr>
                <w:rFonts w:ascii="宋体" w:eastAsia="宋体"/>
                <w:color w:val="auto"/>
                <w:highlight w:val="none"/>
              </w:rPr>
            </w:pPr>
            <w:r>
              <w:rPr>
                <w:rFonts w:hint="eastAsia" w:ascii="宋体" w:eastAsia="宋体"/>
                <w:b w:val="0"/>
                <w:color w:val="auto"/>
                <w:sz w:val="22"/>
                <w:szCs w:val="22"/>
                <w:highlight w:val="none"/>
              </w:rPr>
              <w:t>注：本项目电子招投标活动中的签字与电子签章具有同等法律效应。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19</w:t>
            </w:r>
          </w:p>
        </w:tc>
        <w:tc>
          <w:tcPr>
            <w:tcW w:w="1293"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响应文件的形式、制作及组成</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本项目实行在线投标响应（电子投标）。</w:t>
            </w:r>
          </w:p>
          <w:p>
            <w:pPr>
              <w:rPr>
                <w:rFonts w:ascii="宋体" w:eastAsia="宋体"/>
                <w:b w:val="0"/>
                <w:color w:val="auto"/>
                <w:sz w:val="22"/>
                <w:szCs w:val="22"/>
                <w:highlight w:val="none"/>
              </w:rPr>
            </w:pPr>
            <w:r>
              <w:rPr>
                <w:rFonts w:hint="eastAsia" w:ascii="宋体" w:eastAsia="宋体"/>
                <w:b w:val="0"/>
                <w:color w:val="auto"/>
                <w:sz w:val="22"/>
                <w:szCs w:val="22"/>
                <w:highlight w:val="none"/>
              </w:rPr>
              <w:t>投标供应商须准备电子响应文件（包括“电子加密响应文件”和“备份响应文件”两类，在响应文件编制完成后同时生成）。</w:t>
            </w:r>
          </w:p>
          <w:p>
            <w:pPr>
              <w:rPr>
                <w:rFonts w:ascii="宋体" w:eastAsia="宋体"/>
                <w:b w:val="0"/>
                <w:color w:val="auto"/>
                <w:sz w:val="22"/>
                <w:szCs w:val="22"/>
                <w:highlight w:val="none"/>
              </w:rPr>
            </w:pPr>
            <w:r>
              <w:rPr>
                <w:rFonts w:hint="eastAsia" w:ascii="宋体" w:eastAsia="宋体"/>
                <w:b w:val="0"/>
                <w:color w:val="auto"/>
                <w:sz w:val="22"/>
                <w:szCs w:val="22"/>
                <w:highlight w:val="none"/>
              </w:rPr>
              <w:t>（1）“电子加密响应文件”是指通过“政采云电子交易客户端”完成响应文件编制后生成并加密的数据电文形式的响应文件。</w:t>
            </w:r>
          </w:p>
          <w:p>
            <w:pPr>
              <w:rPr>
                <w:rFonts w:ascii="宋体" w:eastAsia="宋体"/>
                <w:b w:val="0"/>
                <w:color w:val="auto"/>
                <w:sz w:val="22"/>
                <w:szCs w:val="22"/>
                <w:highlight w:val="none"/>
              </w:rPr>
            </w:pPr>
            <w:r>
              <w:rPr>
                <w:rFonts w:hint="eastAsia" w:ascii="宋体" w:eastAsia="宋体"/>
                <w:b w:val="0"/>
                <w:color w:val="auto"/>
                <w:sz w:val="22"/>
                <w:szCs w:val="22"/>
                <w:highlight w:val="none"/>
              </w:rPr>
              <w:t>（2）“备份响应文件”是指与“电子加密响应文件”同时生成的数据电文形式的电子文件（备份标书），其他方式编制的备份响应文件视为无效备份响应文件。</w:t>
            </w:r>
          </w:p>
          <w:p>
            <w:pPr>
              <w:rPr>
                <w:rFonts w:ascii="宋体" w:eastAsia="宋体"/>
                <w:b w:val="0"/>
                <w:color w:val="auto"/>
                <w:sz w:val="22"/>
                <w:szCs w:val="22"/>
                <w:highlight w:val="none"/>
              </w:rPr>
            </w:pPr>
            <w:r>
              <w:rPr>
                <w:rFonts w:hint="eastAsia" w:ascii="宋体" w:eastAsia="宋体"/>
                <w:b w:val="0"/>
                <w:color w:val="auto"/>
                <w:sz w:val="22"/>
                <w:szCs w:val="22"/>
                <w:highlight w:val="none"/>
              </w:rPr>
              <w:t>以上两类响应文件均由资格文件、报价文件、商务技术文件三部分组成。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20</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投标样品</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sym w:font="Wingdings 2" w:char="0052"/>
            </w:r>
            <w:r>
              <w:rPr>
                <w:rFonts w:hint="eastAsia" w:ascii="宋体" w:eastAsia="宋体"/>
                <w:b w:val="0"/>
                <w:color w:val="auto"/>
                <w:sz w:val="22"/>
                <w:szCs w:val="22"/>
                <w:highlight w:val="none"/>
              </w:rPr>
              <w:t>不需要</w:t>
            </w:r>
          </w:p>
          <w:p>
            <w:pPr>
              <w:rPr>
                <w:rFonts w:ascii="宋体" w:eastAsia="宋体"/>
                <w:color w:val="auto"/>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21</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投标保证金</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不需要</w:t>
            </w:r>
          </w:p>
          <w:p>
            <w:pPr>
              <w:rPr>
                <w:rFonts w:ascii="宋体" w:eastAsia="宋体"/>
                <w:b w:val="0"/>
                <w:color w:val="auto"/>
                <w:sz w:val="22"/>
                <w:szCs w:val="22"/>
                <w:highlight w:val="none"/>
              </w:rPr>
            </w:pPr>
            <w:r>
              <w:rPr>
                <w:rFonts w:hint="eastAsia" w:ascii="宋体" w:eastAsia="宋体"/>
                <w:b w:val="0"/>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22</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履约担保</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sym w:font="Wingdings 2" w:char="0052"/>
            </w:r>
            <w:r>
              <w:rPr>
                <w:rFonts w:hint="eastAsia" w:ascii="宋体" w:eastAsia="宋体"/>
                <w:b w:val="0"/>
                <w:color w:val="auto"/>
                <w:sz w:val="22"/>
                <w:szCs w:val="22"/>
                <w:highlight w:val="none"/>
              </w:rPr>
              <w:t>不需要</w:t>
            </w:r>
          </w:p>
          <w:p>
            <w:pPr>
              <w:adjustRightInd w:val="0"/>
              <w:rPr>
                <w:rFonts w:ascii="宋体" w:eastAsia="宋体"/>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w:t>
            </w:r>
            <w:r>
              <w:rPr>
                <w:rFonts w:hint="eastAsia" w:ascii="宋体" w:eastAsia="宋体"/>
                <w:color w:val="auto"/>
                <w:sz w:val="22"/>
                <w:szCs w:val="22"/>
                <w:highlight w:val="none"/>
              </w:rPr>
              <w:t xml:space="preserve">需要 </w:t>
            </w:r>
            <w:r>
              <w:rPr>
                <w:rFonts w:hint="eastAsia" w:ascii="宋体" w:eastAsia="宋体"/>
                <w:bCs w:val="0"/>
                <w:color w:val="auto"/>
                <w:sz w:val="22"/>
                <w:szCs w:val="22"/>
                <w:highlight w:val="none"/>
              </w:rPr>
              <w:t xml:space="preserve"> 合同签订后成交供应商应提供合同金额的1%履约保证金至采购人指定账户，履约保证金可以以银行或保险公司出具的保函作为履约保函。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23</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响应文件份数</w:t>
            </w:r>
          </w:p>
        </w:tc>
        <w:tc>
          <w:tcPr>
            <w:tcW w:w="6627" w:type="dxa"/>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（1）“电子加密响应文件”：在线上传递交、一份。</w:t>
            </w:r>
          </w:p>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2）“备份响应文件”：可以U盘存储，密封包装后（顺丰快递形式）在响应文件递交截止时间及开标时间前递交，送达时间以签收人签收时间为准，一份，邮寄地址：温州市永嘉县南城街道环城北路618号云碓大厦503室，胡可可 （收）联系电话：15258683545。</w:t>
            </w:r>
          </w:p>
          <w:p>
            <w:pPr>
              <w:adjustRightInd w:val="0"/>
              <w:rPr>
                <w:rFonts w:ascii="宋体" w:eastAsia="宋体"/>
                <w:color w:val="auto"/>
                <w:highlight w:val="none"/>
              </w:rPr>
            </w:pPr>
            <w:r>
              <w:rPr>
                <w:rFonts w:hint="eastAsia" w:ascii="宋体" w:eastAsia="宋体"/>
                <w:b w:val="0"/>
                <w:color w:val="auto"/>
                <w:sz w:val="22"/>
                <w:szCs w:val="22"/>
                <w:highlight w:val="none"/>
              </w:rPr>
              <w:t>注：“备份响应文件”由供应商自行是否提供。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24</w:t>
            </w:r>
          </w:p>
        </w:tc>
        <w:tc>
          <w:tcPr>
            <w:tcW w:w="1293" w:type="dxa"/>
            <w:vAlign w:val="center"/>
          </w:tcPr>
          <w:p>
            <w:pPr>
              <w:rPr>
                <w:rFonts w:ascii="宋体" w:eastAsia="宋体"/>
                <w:color w:val="auto"/>
                <w:sz w:val="22"/>
                <w:szCs w:val="22"/>
                <w:highlight w:val="none"/>
              </w:rPr>
            </w:pPr>
            <w:r>
              <w:rPr>
                <w:rFonts w:hint="eastAsia" w:ascii="宋体" w:eastAsia="宋体"/>
                <w:color w:val="auto"/>
                <w:sz w:val="22"/>
                <w:szCs w:val="22"/>
                <w:highlight w:val="none"/>
              </w:rPr>
              <w:t>响应文件递交截止时间及开标时间</w:t>
            </w:r>
          </w:p>
        </w:tc>
        <w:tc>
          <w:tcPr>
            <w:tcW w:w="6627" w:type="dxa"/>
            <w:vAlign w:val="center"/>
          </w:tcPr>
          <w:p>
            <w:pPr>
              <w:rPr>
                <w:rFonts w:ascii="宋体" w:eastAsia="宋体"/>
                <w:i/>
                <w:color w:val="auto"/>
                <w:sz w:val="22"/>
                <w:szCs w:val="22"/>
                <w:highlight w:val="none"/>
              </w:rPr>
            </w:pPr>
            <w:r>
              <w:rPr>
                <w:rFonts w:hint="eastAsia" w:ascii="宋体" w:eastAsia="宋体"/>
                <w:i/>
                <w:color w:val="auto"/>
                <w:sz w:val="22"/>
                <w:szCs w:val="22"/>
                <w:highlight w:val="none"/>
              </w:rPr>
              <w:t>2024年6月2</w:t>
            </w:r>
            <w:r>
              <w:rPr>
                <w:rFonts w:hint="eastAsia" w:ascii="宋体" w:eastAsia="宋体"/>
                <w:i/>
                <w:color w:val="auto"/>
                <w:sz w:val="22"/>
                <w:szCs w:val="22"/>
                <w:highlight w:val="none"/>
                <w:lang w:val="en-US" w:eastAsia="zh-CN"/>
              </w:rPr>
              <w:t>7</w:t>
            </w:r>
            <w:r>
              <w:rPr>
                <w:rFonts w:hint="eastAsia" w:ascii="宋体" w:eastAsia="宋体"/>
                <w:i/>
                <w:color w:val="auto"/>
                <w:sz w:val="22"/>
                <w:szCs w:val="22"/>
                <w:highlight w:val="none"/>
              </w:rPr>
              <w:t>日09:30 截止(北京时间)。</w:t>
            </w:r>
            <w:bookmarkStart w:id="178" w:name="_GoBack"/>
            <w:bookmarkEnd w:id="17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25</w:t>
            </w:r>
          </w:p>
        </w:tc>
        <w:tc>
          <w:tcPr>
            <w:tcW w:w="1293" w:type="dxa"/>
            <w:vAlign w:val="center"/>
          </w:tcPr>
          <w:p>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响应文件的上传和递交</w:t>
            </w:r>
          </w:p>
        </w:tc>
        <w:tc>
          <w:tcPr>
            <w:tcW w:w="6627" w:type="dxa"/>
            <w:vAlign w:val="center"/>
          </w:tcPr>
          <w:p>
            <w:pPr>
              <w:pStyle w:val="116"/>
              <w:autoSpaceDE w:val="0"/>
              <w:autoSpaceDN w:val="0"/>
              <w:adjustRightInd w:val="0"/>
              <w:spacing w:line="300" w:lineRule="atLeast"/>
              <w:jc w:val="both"/>
              <w:rPr>
                <w:rFonts w:cs="宋体"/>
                <w:color w:val="auto"/>
                <w:sz w:val="22"/>
                <w:highlight w:val="none"/>
              </w:rPr>
            </w:pPr>
            <w:r>
              <w:rPr>
                <w:rFonts w:hint="eastAsia" w:cs="宋体"/>
                <w:color w:val="auto"/>
                <w:sz w:val="22"/>
                <w:highlight w:val="none"/>
              </w:rPr>
              <w:t>一、“电子加密响应文件”的上传、递交：</w:t>
            </w:r>
          </w:p>
          <w:p>
            <w:pPr>
              <w:pStyle w:val="116"/>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a.投标供应商应在响应文件递交截止时间前将“电子加密响应文件”成功上传递交至“政采云平台”，否则投标无效。</w:t>
            </w:r>
          </w:p>
          <w:p>
            <w:pPr>
              <w:pStyle w:val="116"/>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b.“电子加密响应文件”成功上传递交后，供应商可自行打印响应文件接收回执。</w:t>
            </w:r>
          </w:p>
          <w:p>
            <w:pPr>
              <w:pStyle w:val="116"/>
              <w:autoSpaceDE w:val="0"/>
              <w:autoSpaceDN w:val="0"/>
              <w:adjustRightInd w:val="0"/>
              <w:spacing w:line="300" w:lineRule="atLeast"/>
              <w:jc w:val="both"/>
              <w:rPr>
                <w:rFonts w:cs="宋体"/>
                <w:color w:val="auto"/>
                <w:sz w:val="22"/>
                <w:highlight w:val="none"/>
              </w:rPr>
            </w:pPr>
            <w:r>
              <w:rPr>
                <w:rFonts w:hint="eastAsia" w:cs="宋体"/>
                <w:color w:val="auto"/>
                <w:sz w:val="22"/>
                <w:highlight w:val="none"/>
              </w:rPr>
              <w:t>二、“备份响应文件”的密封包装、递交：</w:t>
            </w:r>
          </w:p>
          <w:p>
            <w:pPr>
              <w:pStyle w:val="116"/>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a.投标供应商在“政采云平台”完成“电子加密响应文件”的上传递交后，还可以（建议顺丰快递形式）递交以介质（U盘）存储的 “备份响应文件”（一份）；顺丰快递形式快递至采购代理机构地址（地址详见招标采购文件）；解密CA必须是上传并制作电子响应文件CA锁。</w:t>
            </w:r>
          </w:p>
          <w:p>
            <w:pPr>
              <w:autoSpaceDE w:val="0"/>
              <w:autoSpaceDN w:val="0"/>
              <w:adjustRightInd w:val="0"/>
              <w:spacing w:line="300" w:lineRule="atLeast"/>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b.“备份响应文件”应当密封包装，并在包装上标注投标项目名称、投标单位名称并加盖公章。没有密封包装或者逾期邮寄送达至投标地点的“备份响应文件”将不予接收。</w:t>
            </w:r>
          </w:p>
          <w:p>
            <w:pPr>
              <w:autoSpaceDE w:val="0"/>
              <w:autoSpaceDN w:val="0"/>
              <w:adjustRightInd w:val="0"/>
              <w:spacing w:line="300" w:lineRule="atLeast"/>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c.通过“政采云平台”成功上传递交的“电子加密响应文件”已按时解密的，“备份响应文件”自动失效。响应文件递交截止时间前，投标供应商仅递交了“备份响应文件”而未将“电子加密响应文件”成功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26</w:t>
            </w:r>
          </w:p>
        </w:tc>
        <w:tc>
          <w:tcPr>
            <w:tcW w:w="1293" w:type="dxa"/>
            <w:vAlign w:val="center"/>
          </w:tcPr>
          <w:p>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电子加密响应文件的解密和异常情况处理</w:t>
            </w:r>
          </w:p>
        </w:tc>
        <w:tc>
          <w:tcPr>
            <w:tcW w:w="6627" w:type="dxa"/>
            <w:vAlign w:val="center"/>
          </w:tcPr>
          <w:p>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（1）开标后，采购组织机构将向各投标供应商发出“电子加密响应文件”的解密通知，各投标供应商代表应当在接到解密通知后30分钟内自行完成“电子加密响应文件”的在线解密。</w:t>
            </w:r>
          </w:p>
          <w:p>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通过“政采云平台”成功上传递交的“电子加密响应文件”无法按时解密，投标供应商如按规定递交了“备份响应文件”的，以“备份响应文件”为依据（由采购组织机构按“政采云平台”操作规范将“备份响应文件”上传至“政采云平台”，上传成功后，“电子加密响应文件”自动失效），否则视为响应文件撤回。</w:t>
            </w:r>
          </w:p>
          <w:p>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（3）响应文件递交截止时间前，投标供应商仅递交了“备份响应文件”而未将电子加密响应文件上传至“政采云平台”的，投标无效。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27</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竞争性磋商采购小组的组建</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竞争性磋商采购小组构成： 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28</w:t>
            </w:r>
          </w:p>
        </w:tc>
        <w:tc>
          <w:tcPr>
            <w:tcW w:w="1293"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政府采购</w:t>
            </w:r>
          </w:p>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扶持政策</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1.对节能、环保产品优先采购。</w:t>
            </w:r>
          </w:p>
          <w:p>
            <w:pPr>
              <w:rPr>
                <w:rFonts w:ascii="宋体" w:eastAsia="宋体"/>
                <w:color w:val="auto"/>
                <w:highlight w:val="none"/>
              </w:rPr>
            </w:pPr>
            <w:r>
              <w:rPr>
                <w:rFonts w:hint="eastAsia" w:ascii="宋体" w:eastAsia="宋体"/>
                <w:b w:val="0"/>
                <w:color w:val="auto"/>
                <w:sz w:val="22"/>
                <w:szCs w:val="22"/>
                <w:highlight w:val="none"/>
              </w:rPr>
              <w:t>2.对符合财政扶持政策的小微企业（或监狱企业、或残疾人福利性单位）给予评标价格折扣。供应商企业属于以上多种性质的，不重复享受扶持政策。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29</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供应商信用查询</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eastAsia="宋体"/>
                <w:b w:val="0"/>
                <w:color w:val="auto"/>
                <w:sz w:val="22"/>
                <w:szCs w:val="22"/>
                <w:highlight w:val="none"/>
              </w:rPr>
              <w:t>www.creditchina.gov.cn</w: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)；“中国政府采购网”（http://www.ccgp.gov.cn/）；</w:t>
            </w:r>
          </w:p>
          <w:p>
            <w:pPr>
              <w:rPr>
                <w:rFonts w:ascii="宋体" w:eastAsia="宋体"/>
                <w:b w:val="0"/>
                <w:color w:val="auto"/>
                <w:sz w:val="22"/>
                <w:szCs w:val="22"/>
                <w:highlight w:val="none"/>
              </w:rPr>
            </w:pPr>
            <w:r>
              <w:rPr>
                <w:rFonts w:hint="eastAsia" w:ascii="宋体" w:eastAsia="宋体"/>
                <w:b w:val="0"/>
                <w:color w:val="auto"/>
                <w:sz w:val="22"/>
                <w:szCs w:val="22"/>
                <w:highlight w:val="none"/>
              </w:rPr>
              <w:t>2、投标供应商信用信息查询截止时点：招标公告发布之日至投标截止时间前；</w:t>
            </w:r>
          </w:p>
          <w:p>
            <w:pPr>
              <w:rPr>
                <w:rFonts w:ascii="宋体" w:eastAsia="宋体"/>
                <w:b w:val="0"/>
                <w:color w:val="auto"/>
                <w:sz w:val="22"/>
                <w:szCs w:val="22"/>
                <w:highlight w:val="none"/>
              </w:rPr>
            </w:pPr>
            <w:r>
              <w:rPr>
                <w:rFonts w:hint="eastAsia" w:ascii="宋体" w:eastAsia="宋体"/>
                <w:b w:val="0"/>
                <w:color w:val="auto"/>
                <w:sz w:val="22"/>
                <w:szCs w:val="22"/>
                <w:highlight w:val="none"/>
              </w:rPr>
              <w:t>3、投标供应商信用信息查询记录和证据留存的具体方式：网页截图打印；</w:t>
            </w:r>
          </w:p>
          <w:p>
            <w:pPr>
              <w:rPr>
                <w:rFonts w:ascii="宋体" w:eastAsia="宋体"/>
                <w:b w:val="0"/>
                <w:color w:val="auto"/>
                <w:sz w:val="22"/>
                <w:szCs w:val="22"/>
                <w:highlight w:val="none"/>
              </w:rPr>
            </w:pPr>
            <w:r>
              <w:rPr>
                <w:rFonts w:hint="eastAsia" w:ascii="宋体" w:eastAsia="宋体"/>
                <w:b w:val="0"/>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rPr>
                <w:rFonts w:ascii="宋体" w:eastAsia="宋体"/>
                <w:color w:val="auto"/>
                <w:sz w:val="22"/>
                <w:szCs w:val="22"/>
                <w:highlight w:val="none"/>
                <w:u w:val="single"/>
              </w:rPr>
            </w:pPr>
            <w:r>
              <w:rPr>
                <w:rFonts w:hint="eastAsia" w:ascii="宋体" w:eastAsia="宋体"/>
                <w:b w:val="0"/>
                <w:color w:val="auto"/>
                <w:sz w:val="22"/>
                <w:szCs w:val="22"/>
                <w:highlight w:val="none"/>
              </w:rPr>
              <w:t>5、▲</w:t>
            </w:r>
            <w:r>
              <w:rPr>
                <w:rFonts w:hint="eastAsia" w:ascii="宋体" w:eastAsia="宋体"/>
                <w:color w:val="auto"/>
                <w:sz w:val="22"/>
                <w:szCs w:val="22"/>
                <w:highlight w:val="none"/>
                <w:u w:val="single"/>
              </w:rPr>
              <w:t>关于“信用中国”(www.creditchina.gov.cn) 信用记录网页截图相关说明：</w:t>
            </w:r>
          </w:p>
          <w:p>
            <w:pPr>
              <w:rPr>
                <w:rFonts w:ascii="宋体" w:eastAsia="宋体"/>
                <w:b w:val="0"/>
                <w:color w:val="auto"/>
                <w:sz w:val="22"/>
                <w:szCs w:val="22"/>
                <w:highlight w:val="none"/>
              </w:rPr>
            </w:pPr>
            <w:r>
              <w:rPr>
                <w:rFonts w:hint="eastAsia" w:ascii="宋体" w:eastAsia="宋体"/>
                <w:b w:val="0"/>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rPr>
                <w:rFonts w:ascii="宋体" w:eastAsia="宋体"/>
                <w:b w:val="0"/>
                <w:color w:val="auto"/>
                <w:sz w:val="22"/>
                <w:szCs w:val="22"/>
                <w:highlight w:val="none"/>
              </w:rPr>
            </w:pPr>
            <w:r>
              <w:rPr>
                <w:rFonts w:hint="eastAsia" w:ascii="宋体" w:eastAsia="宋体"/>
                <w:b w:val="0"/>
                <w:color w:val="auto"/>
                <w:sz w:val="22"/>
                <w:szCs w:val="22"/>
                <w:highlight w:val="none"/>
              </w:rPr>
              <w:t>②若供应商在“信用中国”无数据，亦须将搜索结果页面打印，并附说明。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30</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合同备案</w:t>
            </w:r>
          </w:p>
        </w:tc>
        <w:tc>
          <w:tcPr>
            <w:tcW w:w="6627" w:type="dxa"/>
            <w:vAlign w:val="center"/>
          </w:tcPr>
          <w:p>
            <w:pPr>
              <w:numPr>
                <w:ilvl w:val="0"/>
                <w:numId w:val="2"/>
              </w:numPr>
              <w:rPr>
                <w:color w:val="auto"/>
                <w:highlight w:val="none"/>
              </w:rPr>
            </w:pPr>
            <w:r>
              <w:rPr>
                <w:rFonts w:hint="eastAsia" w:ascii="宋体" w:eastAsia="宋体"/>
                <w:b w:val="0"/>
                <w:color w:val="auto"/>
                <w:sz w:val="22"/>
                <w:szCs w:val="22"/>
                <w:highlight w:val="none"/>
              </w:rPr>
              <w:t>中标供应商须在发出成交通知书之日起30日历天内与采购人签订合同。</w:t>
            </w:r>
          </w:p>
          <w:p>
            <w:pPr>
              <w:rPr>
                <w:rFonts w:ascii="宋体" w:eastAsia="宋体"/>
                <w:b w:val="0"/>
                <w:color w:val="auto"/>
                <w:sz w:val="22"/>
                <w:szCs w:val="22"/>
                <w:highlight w:val="none"/>
              </w:rPr>
            </w:pPr>
            <w:r>
              <w:rPr>
                <w:rFonts w:hint="eastAsia" w:ascii="宋体" w:eastAsia="宋体"/>
                <w:b w:val="0"/>
                <w:color w:val="auto"/>
                <w:sz w:val="22"/>
                <w:szCs w:val="22"/>
                <w:highlight w:val="none"/>
              </w:rPr>
              <w:t>2、本项目政府采购合同按规定在浙江政府采购网（http://www.zjzfcg.gov.cn）予以公告。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3"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31</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合同履约管理</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合同签订后，采购人依法加强对合同履约进行管理，并在成交供应商服务、项目验收等重要关节，如实填写《合同验收报告》，并及时向同级财政部门报告验收过程中遇到的问题。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32</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免则声明</w:t>
            </w:r>
          </w:p>
        </w:tc>
        <w:tc>
          <w:tcPr>
            <w:tcW w:w="6627" w:type="dxa"/>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pPr>
              <w:rPr>
                <w:rFonts w:ascii="宋体" w:eastAsia="宋体"/>
                <w:b w:val="0"/>
                <w:color w:val="auto"/>
                <w:sz w:val="22"/>
                <w:szCs w:val="22"/>
                <w:highlight w:val="none"/>
              </w:rPr>
            </w:pPr>
            <w:r>
              <w:rPr>
                <w:rFonts w:hint="eastAsia" w:ascii="宋体" w:eastAsia="宋体"/>
                <w:b w:val="0"/>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0" w:hRule="atLeast"/>
          <w:jc w:val="center"/>
        </w:trPr>
        <w:tc>
          <w:tcPr>
            <w:tcW w:w="1245"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33</w:t>
            </w:r>
          </w:p>
        </w:tc>
        <w:tc>
          <w:tcPr>
            <w:tcW w:w="1293"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解释权</w:t>
            </w:r>
          </w:p>
        </w:tc>
        <w:tc>
          <w:tcPr>
            <w:tcW w:w="6627" w:type="dxa"/>
            <w:vAlign w:val="center"/>
          </w:tcPr>
          <w:p>
            <w:pPr>
              <w:rPr>
                <w:rFonts w:ascii="宋体" w:eastAsia="宋体"/>
                <w:b w:val="0"/>
                <w:color w:val="auto"/>
                <w:sz w:val="22"/>
                <w:szCs w:val="22"/>
                <w:highlight w:val="none"/>
              </w:rPr>
            </w:pPr>
            <w:r>
              <w:rPr>
                <w:rFonts w:hint="eastAsia" w:ascii="宋体" w:eastAsia="宋体" w:cs="Courier New"/>
                <w:b w:val="0"/>
                <w:color w:val="auto"/>
                <w:sz w:val="22"/>
                <w:highlight w:val="none"/>
              </w:rPr>
              <w:t>本项目条款适用于所有标项，另行备注的除外。</w:t>
            </w:r>
            <w:r>
              <w:rPr>
                <w:rFonts w:hint="eastAsia" w:ascii="宋体" w:eastAsia="宋体"/>
                <w:b w:val="0"/>
                <w:color w:val="auto"/>
                <w:sz w:val="22"/>
                <w:szCs w:val="22"/>
                <w:highlight w:val="none"/>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8"/>
        <w:rPr>
          <w:rFonts w:ascii="宋体" w:hAnsi="宋体" w:cs="宋体"/>
          <w:color w:val="auto"/>
          <w:highlight w:val="none"/>
        </w:rPr>
        <w:sectPr>
          <w:footerReference r:id="rId8" w:type="default"/>
          <w:pgSz w:w="11906" w:h="16838"/>
          <w:pgMar w:top="1440" w:right="1800" w:bottom="1440" w:left="1800" w:header="851" w:footer="992" w:gutter="0"/>
          <w:cols w:space="425" w:num="1"/>
          <w:docGrid w:type="lines" w:linePitch="312" w:charSpace="0"/>
        </w:sectPr>
      </w:pPr>
      <w:r>
        <w:rPr>
          <w:rFonts w:hint="eastAsia" w:ascii="宋体" w:hAnsi="宋体" w:cs="宋体"/>
          <w:color w:val="auto"/>
          <w:highlight w:val="none"/>
        </w:rPr>
        <w:br w:type="page"/>
      </w:r>
      <w:bookmarkStart w:id="1" w:name="_Toc23044"/>
    </w:p>
    <w:p>
      <w:pPr>
        <w:pStyle w:val="8"/>
        <w:rPr>
          <w:rFonts w:ascii="宋体" w:hAnsi="宋体" w:cs="宋体"/>
          <w:color w:val="auto"/>
          <w:highlight w:val="none"/>
        </w:rPr>
      </w:pPr>
      <w:r>
        <w:rPr>
          <w:rFonts w:hint="eastAsia" w:ascii="宋体" w:hAnsi="宋体" w:cs="宋体"/>
          <w:color w:val="auto"/>
          <w:highlight w:val="none"/>
        </w:rPr>
        <w:t>第二部分 采购内容及要求</w:t>
      </w:r>
      <w:bookmarkEnd w:id="1"/>
    </w:p>
    <w:p>
      <w:pPr>
        <w:autoSpaceDE w:val="0"/>
        <w:autoSpaceDN w:val="0"/>
        <w:adjustRightInd w:val="0"/>
        <w:spacing w:line="440" w:lineRule="exact"/>
        <w:textAlignment w:val="bottom"/>
        <w:outlineLvl w:val="1"/>
        <w:rPr>
          <w:rFonts w:hint="eastAsia" w:ascii="宋体" w:hAnsi="宋体" w:eastAsia="宋体" w:cs="宋体"/>
          <w:color w:val="auto"/>
          <w:sz w:val="22"/>
          <w:szCs w:val="22"/>
          <w:highlight w:val="none"/>
        </w:rPr>
      </w:pPr>
      <w:bookmarkStart w:id="2" w:name="_Toc5158"/>
      <w:bookmarkStart w:id="3" w:name="_Toc157410883"/>
      <w:bookmarkStart w:id="4" w:name="_Toc1598439912"/>
      <w:r>
        <w:rPr>
          <w:rFonts w:hint="eastAsia" w:ascii="宋体" w:hAnsi="宋体" w:eastAsia="宋体" w:cs="宋体"/>
          <w:color w:val="auto"/>
          <w:sz w:val="22"/>
          <w:szCs w:val="22"/>
          <w:highlight w:val="none"/>
        </w:rPr>
        <w:t>一、采购总说明</w:t>
      </w:r>
      <w:bookmarkEnd w:id="2"/>
    </w:p>
    <w:bookmarkEnd w:id="3"/>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1、每个磋商供应商必须完成采购内容和合同规定义务，不允许只对部分内容进行报价。</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、磋商供应商需按采购文件的要求完成采购服务工作。按工作顺序提交所需的无论其是否被明细列在合同文件中的所有资料，提供的服务必须满足采购文件中提出的相关要求。</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、在报价之前，磋商供应商须仔细阅读采购文件，现场踏勘</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费用自理</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如发现有任何疑问、冲突或技术问题，磋商供应商须在答疑截止时间前以书面形式向采购代理机构提出。逾期采购人不再作答复，有关风险及责任由磋商供应商自行承担。</w:t>
      </w:r>
    </w:p>
    <w:p>
      <w:pPr>
        <w:keepNext/>
        <w:keepLines/>
        <w:widowControl w:val="0"/>
        <w:spacing w:before="120" w:after="120" w:line="420" w:lineRule="exact"/>
        <w:jc w:val="both"/>
        <w:outlineLvl w:val="1"/>
        <w:rPr>
          <w:rFonts w:hint="eastAsia" w:ascii="宋体" w:hAnsi="宋体" w:eastAsia="宋体" w:cs="宋体"/>
          <w:b/>
          <w:bCs/>
          <w:color w:val="auto"/>
          <w:kern w:val="2"/>
          <w:sz w:val="22"/>
          <w:szCs w:val="22"/>
          <w:highlight w:val="none"/>
          <w:lang w:val="en-US" w:eastAsia="zh-CN" w:bidi="ar-SA"/>
        </w:rPr>
      </w:pPr>
      <w:bookmarkStart w:id="5" w:name="_Toc12556"/>
      <w:r>
        <w:rPr>
          <w:rFonts w:hint="eastAsia" w:ascii="宋体" w:hAnsi="宋体" w:eastAsia="宋体" w:cs="宋体"/>
          <w:b/>
          <w:bCs/>
          <w:color w:val="auto"/>
          <w:kern w:val="2"/>
          <w:sz w:val="22"/>
          <w:szCs w:val="22"/>
          <w:highlight w:val="none"/>
          <w:lang w:val="en-US" w:eastAsia="zh-CN" w:bidi="ar-SA"/>
        </w:rPr>
        <w:t>二、采购内容要求</w:t>
      </w:r>
      <w:bookmarkEnd w:id="5"/>
    </w:p>
    <w:p>
      <w:pPr>
        <w:widowControl/>
        <w:autoSpaceDE w:val="0"/>
        <w:autoSpaceDN w:val="0"/>
        <w:adjustRightInd w:val="0"/>
        <w:spacing w:line="440" w:lineRule="exact"/>
        <w:ind w:firstLine="442" w:firstLineChars="200"/>
        <w:textAlignment w:val="bottom"/>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2.1采购清单</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3187"/>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666" w:type="pct"/>
            <w:vAlign w:val="center"/>
          </w:tcPr>
          <w:p>
            <w:pPr>
              <w:pStyle w:val="2"/>
              <w:ind w:left="0" w:leftChars="0" w:firstLine="0" w:firstLineChars="0"/>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标项</w:t>
            </w:r>
          </w:p>
        </w:tc>
        <w:tc>
          <w:tcPr>
            <w:tcW w:w="1666" w:type="pct"/>
            <w:vAlign w:val="center"/>
          </w:tcPr>
          <w:p>
            <w:pPr>
              <w:pStyle w:val="2"/>
              <w:ind w:left="0" w:leftChars="0" w:firstLine="0" w:firstLineChars="0"/>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场次</w:t>
            </w:r>
          </w:p>
        </w:tc>
        <w:tc>
          <w:tcPr>
            <w:tcW w:w="1667" w:type="pct"/>
            <w:vAlign w:val="center"/>
          </w:tcPr>
          <w:p>
            <w:pPr>
              <w:pStyle w:val="2"/>
              <w:ind w:left="0" w:leftChars="0" w:firstLine="0" w:firstLineChars="0"/>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2"/>
              <w:ind w:left="0" w:leftChars="0" w:firstLine="0" w:firstLineChars="0"/>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lang w:eastAsia="zh-CN"/>
              </w:rPr>
              <w:t>标项</w:t>
            </w: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2024年永嘉县送戏下乡公益演出</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越剧</w:t>
            </w:r>
            <w:r>
              <w:rPr>
                <w:rFonts w:hint="eastAsia" w:ascii="宋体" w:eastAsia="宋体" w:cs="宋体"/>
                <w:b w:val="0"/>
                <w:bCs w:val="0"/>
                <w:color w:val="auto"/>
                <w:sz w:val="22"/>
                <w:szCs w:val="22"/>
                <w:highlight w:val="none"/>
                <w:lang w:val="en-US" w:eastAsia="zh-CN"/>
              </w:rPr>
              <w:t>（1）</w:t>
            </w:r>
          </w:p>
        </w:tc>
        <w:tc>
          <w:tcPr>
            <w:tcW w:w="1666" w:type="pct"/>
            <w:vAlign w:val="center"/>
          </w:tcPr>
          <w:p>
            <w:pPr>
              <w:pStyle w:val="2"/>
              <w:ind w:left="0" w:leftChars="0" w:firstLine="0" w:firstLineChars="0"/>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eastAsia="宋体" w:cs="宋体"/>
                <w:b w:val="0"/>
                <w:bCs w:val="0"/>
                <w:color w:val="auto"/>
                <w:sz w:val="22"/>
                <w:szCs w:val="22"/>
                <w:highlight w:val="none"/>
                <w:lang w:val="en-US" w:eastAsia="zh-CN"/>
              </w:rPr>
              <w:t>40</w:t>
            </w:r>
            <w:r>
              <w:rPr>
                <w:rFonts w:hint="eastAsia" w:ascii="宋体" w:hAnsi="宋体" w:eastAsia="宋体" w:cs="宋体"/>
                <w:b w:val="0"/>
                <w:bCs w:val="0"/>
                <w:color w:val="auto"/>
                <w:sz w:val="22"/>
                <w:szCs w:val="22"/>
                <w:highlight w:val="none"/>
              </w:rPr>
              <w:t>场</w:t>
            </w:r>
          </w:p>
        </w:tc>
        <w:tc>
          <w:tcPr>
            <w:tcW w:w="1667" w:type="pct"/>
            <w:vAlign w:val="center"/>
          </w:tcPr>
          <w:p>
            <w:pPr>
              <w:pStyle w:val="2"/>
              <w:ind w:left="0" w:leftChars="0" w:firstLine="0" w:firstLineChars="0"/>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eastAsia="宋体" w:cs="宋体"/>
                <w:b w:val="0"/>
                <w:bCs w:val="0"/>
                <w:color w:val="auto"/>
                <w:sz w:val="22"/>
                <w:szCs w:val="22"/>
                <w:highlight w:val="none"/>
                <w:vertAlign w:val="baseline"/>
                <w:lang w:val="en-US" w:eastAsia="zh-CN"/>
              </w:rPr>
              <w:t>260</w:t>
            </w:r>
            <w:r>
              <w:rPr>
                <w:rFonts w:hint="eastAsia" w:ascii="宋体" w:hAnsi="宋体" w:eastAsia="宋体" w:cs="宋体"/>
                <w:b w:val="0"/>
                <w:bCs w:val="0"/>
                <w:color w:val="auto"/>
                <w:sz w:val="22"/>
                <w:szCs w:val="22"/>
                <w:highlight w:val="none"/>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2"/>
              <w:ind w:left="0" w:leftChars="0" w:firstLine="0" w:firstLineChars="0"/>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lang w:eastAsia="zh-CN"/>
              </w:rPr>
              <w:t>标项</w:t>
            </w:r>
            <w:r>
              <w:rPr>
                <w:rFonts w:hint="eastAsia" w:ascii="宋体" w:hAnsi="宋体" w:eastAsia="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2024年永嘉县送戏下乡公益演出</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越剧</w:t>
            </w:r>
            <w:r>
              <w:rPr>
                <w:rFonts w:hint="eastAsia" w:ascii="宋体" w:eastAsia="宋体" w:cs="宋体"/>
                <w:b w:val="0"/>
                <w:bCs w:val="0"/>
                <w:color w:val="auto"/>
                <w:sz w:val="22"/>
                <w:szCs w:val="22"/>
                <w:highlight w:val="none"/>
                <w:lang w:val="en-US" w:eastAsia="zh-CN"/>
              </w:rPr>
              <w:t>（2）</w:t>
            </w:r>
          </w:p>
        </w:tc>
        <w:tc>
          <w:tcPr>
            <w:tcW w:w="1666" w:type="pct"/>
            <w:vAlign w:val="center"/>
          </w:tcPr>
          <w:p>
            <w:pPr>
              <w:pStyle w:val="2"/>
              <w:ind w:left="0" w:leftChars="0" w:firstLine="0" w:firstLineChars="0"/>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eastAsia="宋体" w:cs="宋体"/>
                <w:b w:val="0"/>
                <w:bCs w:val="0"/>
                <w:color w:val="auto"/>
                <w:sz w:val="22"/>
                <w:szCs w:val="22"/>
                <w:highlight w:val="none"/>
                <w:lang w:val="en-US" w:eastAsia="zh-CN"/>
              </w:rPr>
              <w:t>32</w:t>
            </w:r>
            <w:r>
              <w:rPr>
                <w:rFonts w:hint="eastAsia" w:ascii="宋体" w:hAnsi="宋体" w:eastAsia="宋体" w:cs="宋体"/>
                <w:b w:val="0"/>
                <w:bCs w:val="0"/>
                <w:color w:val="auto"/>
                <w:sz w:val="22"/>
                <w:szCs w:val="22"/>
                <w:highlight w:val="none"/>
              </w:rPr>
              <w:t>场</w:t>
            </w:r>
          </w:p>
        </w:tc>
        <w:tc>
          <w:tcPr>
            <w:tcW w:w="1667" w:type="pct"/>
            <w:vAlign w:val="center"/>
          </w:tcPr>
          <w:p>
            <w:pPr>
              <w:pStyle w:val="2"/>
              <w:ind w:left="0" w:leftChars="0" w:firstLine="0" w:firstLineChars="0"/>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eastAsia="宋体" w:cs="宋体"/>
                <w:b w:val="0"/>
                <w:bCs w:val="0"/>
                <w:color w:val="auto"/>
                <w:sz w:val="22"/>
                <w:szCs w:val="22"/>
                <w:highlight w:val="none"/>
                <w:vertAlign w:val="baseline"/>
                <w:lang w:val="en-US" w:eastAsia="zh-CN"/>
              </w:rPr>
              <w:t>208</w:t>
            </w:r>
            <w:r>
              <w:rPr>
                <w:rFonts w:hint="eastAsia" w:ascii="宋体" w:hAnsi="宋体" w:eastAsia="宋体" w:cs="宋体"/>
                <w:b w:val="0"/>
                <w:bCs w:val="0"/>
                <w:color w:val="auto"/>
                <w:sz w:val="22"/>
                <w:szCs w:val="22"/>
                <w:highlight w:val="none"/>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2"/>
              <w:ind w:left="0" w:leftChars="0" w:firstLine="0" w:firstLineChars="0"/>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lang w:eastAsia="zh-CN"/>
              </w:rPr>
              <w:t>标项</w:t>
            </w:r>
            <w:r>
              <w:rPr>
                <w:rFonts w:hint="eastAsia" w:ascii="宋体" w:hAnsi="宋体" w:eastAsia="宋体" w:cs="宋体"/>
                <w:b w:val="0"/>
                <w:bCs w:val="0"/>
                <w:color w:val="auto"/>
                <w:sz w:val="22"/>
                <w:szCs w:val="22"/>
                <w:highlight w:val="none"/>
                <w:lang w:val="en-US" w:eastAsia="zh-CN"/>
              </w:rPr>
              <w:t>三</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2024年永嘉县送戏下乡公益演出</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瓯剧</w:t>
            </w:r>
          </w:p>
        </w:tc>
        <w:tc>
          <w:tcPr>
            <w:tcW w:w="1666" w:type="pct"/>
            <w:vAlign w:val="center"/>
          </w:tcPr>
          <w:p>
            <w:pPr>
              <w:pStyle w:val="2"/>
              <w:ind w:left="0" w:leftChars="0" w:firstLine="0" w:firstLineChars="0"/>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eastAsia="宋体" w:cs="宋体"/>
                <w:b w:val="0"/>
                <w:bCs w:val="0"/>
                <w:color w:val="auto"/>
                <w:sz w:val="22"/>
                <w:szCs w:val="22"/>
                <w:highlight w:val="none"/>
                <w:lang w:val="en-US" w:eastAsia="zh-CN"/>
              </w:rPr>
              <w:t>28</w:t>
            </w:r>
            <w:r>
              <w:rPr>
                <w:rFonts w:hint="eastAsia" w:ascii="宋体" w:hAnsi="宋体" w:eastAsia="宋体" w:cs="宋体"/>
                <w:b w:val="0"/>
                <w:bCs w:val="0"/>
                <w:color w:val="auto"/>
                <w:sz w:val="22"/>
                <w:szCs w:val="22"/>
                <w:highlight w:val="none"/>
              </w:rPr>
              <w:t>场</w:t>
            </w:r>
          </w:p>
        </w:tc>
        <w:tc>
          <w:tcPr>
            <w:tcW w:w="1667" w:type="pct"/>
            <w:vAlign w:val="center"/>
          </w:tcPr>
          <w:p>
            <w:pPr>
              <w:pStyle w:val="2"/>
              <w:ind w:left="0" w:leftChars="0" w:firstLine="0" w:firstLineChars="0"/>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eastAsia="宋体" w:cs="宋体"/>
                <w:b w:val="0"/>
                <w:bCs w:val="0"/>
                <w:color w:val="auto"/>
                <w:sz w:val="22"/>
                <w:szCs w:val="22"/>
                <w:highlight w:val="none"/>
                <w:vertAlign w:val="baseline"/>
                <w:lang w:val="en-US" w:eastAsia="zh-CN"/>
              </w:rPr>
              <w:t>182</w:t>
            </w:r>
            <w:r>
              <w:rPr>
                <w:rFonts w:hint="eastAsia" w:ascii="宋体" w:hAnsi="宋体" w:eastAsia="宋体" w:cs="宋体"/>
                <w:b w:val="0"/>
                <w:bCs w:val="0"/>
                <w:color w:val="auto"/>
                <w:sz w:val="22"/>
                <w:szCs w:val="22"/>
                <w:highlight w:val="none"/>
                <w:vertAlign w:val="baseline"/>
                <w:lang w:val="en-US" w:eastAsia="zh-CN"/>
              </w:rPr>
              <w:t>000</w:t>
            </w:r>
          </w:p>
        </w:tc>
      </w:tr>
    </w:tbl>
    <w:p>
      <w:pPr>
        <w:pStyle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2.2采购要求</w:t>
      </w:r>
    </w:p>
    <w:p>
      <w:pPr>
        <w:widowControl/>
        <w:autoSpaceDE w:val="0"/>
        <w:autoSpaceDN w:val="0"/>
        <w:adjustRightInd w:val="0"/>
        <w:spacing w:line="440" w:lineRule="exact"/>
        <w:ind w:firstLine="442"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eastAsia="zh-CN"/>
        </w:rPr>
        <w:t>标项</w:t>
      </w: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2024年永嘉县送戏下乡公益演出</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越剧</w:t>
      </w:r>
      <w:r>
        <w:rPr>
          <w:rFonts w:hint="eastAsia" w:ascii="宋体" w:eastAsia="宋体" w:cs="宋体"/>
          <w:b/>
          <w:bCs/>
          <w:color w:val="auto"/>
          <w:sz w:val="22"/>
          <w:szCs w:val="22"/>
          <w:highlight w:val="none"/>
          <w:lang w:val="en-US" w:eastAsia="zh-CN"/>
        </w:rPr>
        <w:t>（1）</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采购内容</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2024年永嘉县送戏下乡公益演出，</w:t>
      </w:r>
      <w:r>
        <w:rPr>
          <w:rFonts w:hint="eastAsia" w:ascii="宋体" w:eastAsia="宋体" w:cs="宋体"/>
          <w:b w:val="0"/>
          <w:bCs w:val="0"/>
          <w:color w:val="auto"/>
          <w:sz w:val="22"/>
          <w:szCs w:val="22"/>
          <w:highlight w:val="none"/>
          <w:lang w:val="en-US" w:eastAsia="zh-CN"/>
        </w:rPr>
        <w:t>40</w:t>
      </w:r>
      <w:r>
        <w:rPr>
          <w:rFonts w:hint="eastAsia" w:ascii="宋体" w:hAnsi="宋体" w:eastAsia="宋体" w:cs="宋体"/>
          <w:b w:val="0"/>
          <w:bCs w:val="0"/>
          <w:color w:val="auto"/>
          <w:sz w:val="22"/>
          <w:szCs w:val="22"/>
          <w:highlight w:val="none"/>
        </w:rPr>
        <w:t>场</w:t>
      </w:r>
      <w:r>
        <w:rPr>
          <w:rFonts w:hint="eastAsia" w:ascii="宋体" w:hAnsi="宋体" w:eastAsia="宋体" w:cs="宋体"/>
          <w:b w:val="0"/>
          <w:bCs w:val="0"/>
          <w:color w:val="auto"/>
          <w:sz w:val="22"/>
          <w:szCs w:val="22"/>
          <w:highlight w:val="none"/>
          <w:lang w:eastAsia="zh-CN"/>
        </w:rPr>
        <w:t>。</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服务时间和地点</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演出时间为</w:t>
      </w:r>
      <w:r>
        <w:rPr>
          <w:rFonts w:hint="eastAsia" w:ascii="宋体" w:hAnsi="宋体" w:eastAsia="宋体" w:cs="宋体"/>
          <w:b w:val="0"/>
          <w:bCs w:val="0"/>
          <w:color w:val="auto"/>
          <w:sz w:val="22"/>
          <w:szCs w:val="22"/>
          <w:highlight w:val="none"/>
        </w:rPr>
        <w:t>合同签订之日起</w:t>
      </w:r>
      <w:r>
        <w:rPr>
          <w:rFonts w:hint="eastAsia" w:ascii="宋体" w:hAnsi="宋体" w:eastAsia="宋体" w:cs="宋体"/>
          <w:b w:val="0"/>
          <w:bCs w:val="0"/>
          <w:color w:val="auto"/>
          <w:sz w:val="22"/>
          <w:szCs w:val="22"/>
          <w:highlight w:val="none"/>
          <w:lang w:eastAsia="zh-CN"/>
        </w:rPr>
        <w:t>至全部场次完成</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演出地点为</w:t>
      </w:r>
      <w:r>
        <w:rPr>
          <w:rFonts w:hint="eastAsia" w:ascii="宋体" w:hAns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rPr>
        <w:t>县境域内</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南城街道2、东城街道1、桥头镇1、瓯北街道1、黄田街道1、桥下镇1、金溪镇1、大若岩2</w:t>
      </w:r>
      <w:r>
        <w:rPr>
          <w:rFonts w:hint="eastAsia" w:ascii="宋体" w:hAnsi="宋体" w:eastAsia="宋体" w:cs="宋体"/>
          <w:b w:val="0"/>
          <w:bCs w:val="0"/>
          <w:color w:val="auto"/>
          <w:sz w:val="22"/>
          <w:szCs w:val="22"/>
          <w:highlight w:val="none"/>
        </w:rPr>
        <w:t>。采购人在</w:t>
      </w:r>
      <w:r>
        <w:rPr>
          <w:rFonts w:hint="eastAsia" w:ascii="宋体" w:hAnsi="宋体" w:eastAsia="宋体" w:cs="宋体"/>
          <w:b w:val="0"/>
          <w:bCs w:val="0"/>
          <w:color w:val="auto"/>
          <w:sz w:val="22"/>
          <w:szCs w:val="22"/>
          <w:highlight w:val="none"/>
          <w:lang w:val="en-US" w:eastAsia="zh-CN"/>
        </w:rPr>
        <w:t>30天</w:t>
      </w:r>
      <w:r>
        <w:rPr>
          <w:rFonts w:hint="eastAsia" w:ascii="宋体" w:hAnsi="宋体" w:eastAsia="宋体" w:cs="宋体"/>
          <w:b w:val="0"/>
          <w:bCs w:val="0"/>
          <w:color w:val="auto"/>
          <w:sz w:val="22"/>
          <w:szCs w:val="22"/>
          <w:highlight w:val="none"/>
        </w:rPr>
        <w:t>前将</w:t>
      </w:r>
      <w:r>
        <w:rPr>
          <w:rFonts w:hint="eastAsia" w:ascii="宋体" w:hAnsi="宋体" w:eastAsia="宋体" w:cs="宋体"/>
          <w:b w:val="0"/>
          <w:bCs w:val="0"/>
          <w:color w:val="auto"/>
          <w:sz w:val="22"/>
          <w:szCs w:val="22"/>
          <w:highlight w:val="none"/>
          <w:lang w:eastAsia="zh-CN"/>
        </w:rPr>
        <w:t>需要</w:t>
      </w:r>
      <w:r>
        <w:rPr>
          <w:rFonts w:hint="eastAsia" w:ascii="宋体" w:hAnsi="宋体" w:eastAsia="宋体" w:cs="宋体"/>
          <w:b w:val="0"/>
          <w:bCs w:val="0"/>
          <w:color w:val="auto"/>
          <w:sz w:val="22"/>
          <w:szCs w:val="22"/>
          <w:highlight w:val="none"/>
        </w:rPr>
        <w:t>演出</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rPr>
        <w:t>时间和地点告知供应商，供应商必须在指定时间和地点进行演出，不得拒绝</w:t>
      </w:r>
      <w:r>
        <w:rPr>
          <w:rFonts w:hint="eastAsia" w:ascii="宋体" w:hAnsi="宋体" w:eastAsia="宋体" w:cs="宋体"/>
          <w:b w:val="0"/>
          <w:bCs w:val="0"/>
          <w:color w:val="auto"/>
          <w:sz w:val="22"/>
          <w:szCs w:val="22"/>
          <w:highlight w:val="none"/>
          <w:lang w:eastAsia="zh-CN"/>
        </w:rPr>
        <w:t>（农历</w:t>
      </w:r>
      <w:r>
        <w:rPr>
          <w:rFonts w:hint="eastAsia" w:ascii="宋体" w:hAnsi="宋体" w:eastAsia="宋体" w:cs="宋体"/>
          <w:b w:val="0"/>
          <w:bCs w:val="0"/>
          <w:color w:val="auto"/>
          <w:sz w:val="22"/>
          <w:szCs w:val="22"/>
          <w:highlight w:val="none"/>
          <w:lang w:val="en-US" w:eastAsia="zh-CN"/>
        </w:rPr>
        <w:t>2025年正月初二至2025年正月初十期间，供应商必须接受采购方演出安排，采购方未安排的 ，供应商才可以承接其他演出</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。具体演出场次地点以采购人发出通知为准，采购人保留提前终止合同的权利。</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演出内容和要求</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1、202</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rPr>
        <w:t>县送戏下乡</w:t>
      </w:r>
      <w:r>
        <w:rPr>
          <w:rFonts w:hint="eastAsia" w:ascii="宋体" w:hAnsi="宋体" w:eastAsia="宋体" w:cs="宋体"/>
          <w:b w:val="0"/>
          <w:bCs w:val="0"/>
          <w:color w:val="auto"/>
          <w:sz w:val="22"/>
          <w:szCs w:val="22"/>
          <w:highlight w:val="none"/>
          <w:lang w:val="en-US" w:eastAsia="zh-CN"/>
        </w:rPr>
        <w:t>越剧</w:t>
      </w:r>
      <w:r>
        <w:rPr>
          <w:rFonts w:hint="eastAsia" w:ascii="宋体" w:hAnsi="宋体" w:eastAsia="宋体" w:cs="宋体"/>
          <w:b w:val="0"/>
          <w:bCs w:val="0"/>
          <w:color w:val="auto"/>
          <w:sz w:val="22"/>
          <w:szCs w:val="22"/>
          <w:highlight w:val="none"/>
        </w:rPr>
        <w:t>公益演出是政府买单、群众观赏的公益演出活动，</w:t>
      </w:r>
      <w:r>
        <w:rPr>
          <w:rFonts w:hint="eastAsia" w:ascii="宋体" w:eastAsia="宋体" w:cs="宋体"/>
          <w:b w:val="0"/>
          <w:bCs w:val="0"/>
          <w:color w:val="auto"/>
          <w:sz w:val="22"/>
          <w:szCs w:val="22"/>
          <w:highlight w:val="none"/>
          <w:lang w:eastAsia="zh-CN"/>
        </w:rPr>
        <w:t>承办单位</w:t>
      </w:r>
      <w:r>
        <w:rPr>
          <w:rFonts w:hint="eastAsia" w:ascii="宋体" w:hAnsi="宋体" w:eastAsia="宋体" w:cs="宋体"/>
          <w:b w:val="0"/>
          <w:bCs w:val="0"/>
          <w:color w:val="auto"/>
          <w:sz w:val="22"/>
          <w:szCs w:val="22"/>
          <w:highlight w:val="none"/>
        </w:rPr>
        <w:t>在活动操作过程中，不得接受商业化资助，不得擅自增加协办单位，不得在演出过程中做商业化或变相的商业化宣传，严格执行采购人的要求做好宣传工作，统一布置演出背景和宣传横幅。</w:t>
      </w:r>
      <w:r>
        <w:rPr>
          <w:rFonts w:hint="eastAsia" w:ascii="宋体" w:hAnsi="宋体" w:eastAsia="宋体" w:cs="宋体"/>
          <w:b w:val="0"/>
          <w:bCs w:val="0"/>
          <w:color w:val="auto"/>
          <w:sz w:val="22"/>
          <w:szCs w:val="22"/>
          <w:highlight w:val="none"/>
          <w:lang w:eastAsia="zh-CN"/>
        </w:rPr>
        <w:t>演出内容不得</w:t>
      </w:r>
      <w:r>
        <w:rPr>
          <w:rFonts w:hint="eastAsia" w:ascii="宋体" w:hAnsi="宋体" w:eastAsia="宋体" w:cs="宋体"/>
          <w:i w:val="0"/>
          <w:caps w:val="0"/>
          <w:color w:val="auto"/>
          <w:spacing w:val="0"/>
          <w:sz w:val="22"/>
          <w:szCs w:val="22"/>
          <w:highlight w:val="none"/>
        </w:rPr>
        <w:t>违背社会主义核心价值观</w:t>
      </w:r>
      <w:r>
        <w:rPr>
          <w:rFonts w:hint="eastAsia" w:ascii="宋体" w:hAnsi="宋体" w:eastAsia="宋体" w:cs="宋体"/>
          <w:i w:val="0"/>
          <w:caps w:val="0"/>
          <w:color w:val="auto"/>
          <w:spacing w:val="0"/>
          <w:sz w:val="22"/>
          <w:szCs w:val="22"/>
          <w:highlight w:val="none"/>
          <w:lang w:eastAsia="zh-CN"/>
        </w:rPr>
        <w:t>和</w:t>
      </w:r>
      <w:r>
        <w:rPr>
          <w:rFonts w:hint="eastAsia" w:ascii="宋体" w:hAnsi="宋体" w:eastAsia="宋体" w:cs="宋体"/>
          <w:i w:val="0"/>
          <w:caps w:val="0"/>
          <w:color w:val="auto"/>
          <w:spacing w:val="0"/>
          <w:sz w:val="22"/>
          <w:szCs w:val="22"/>
          <w:highlight w:val="none"/>
        </w:rPr>
        <w:t>公序良俗</w:t>
      </w:r>
      <w:r>
        <w:rPr>
          <w:rFonts w:hint="eastAsia" w:ascii="宋体" w:hAnsi="宋体" w:eastAsia="宋体" w:cs="宋体"/>
          <w:i w:val="0"/>
          <w:caps w:val="0"/>
          <w:color w:val="auto"/>
          <w:spacing w:val="0"/>
          <w:sz w:val="22"/>
          <w:szCs w:val="22"/>
          <w:highlight w:val="none"/>
          <w:lang w:eastAsia="zh-CN"/>
        </w:rPr>
        <w:t>。</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rPr>
        <w:t>单场演出演职人员不少于</w:t>
      </w:r>
      <w:r>
        <w:rPr>
          <w:rFonts w:hint="eastAsia" w:ascii="宋体" w:eastAsia="宋体" w:cs="宋体"/>
          <w:b w:val="0"/>
          <w:bCs w:val="0"/>
          <w:color w:val="auto"/>
          <w:sz w:val="22"/>
          <w:szCs w:val="22"/>
          <w:highlight w:val="none"/>
          <w:lang w:val="en-US" w:eastAsia="zh-CN"/>
        </w:rPr>
        <w:t>25</w:t>
      </w:r>
      <w:r>
        <w:rPr>
          <w:rFonts w:hint="eastAsia" w:ascii="宋体" w:hAnsi="宋体" w:eastAsia="宋体" w:cs="宋体"/>
          <w:b w:val="0"/>
          <w:bCs w:val="0"/>
          <w:color w:val="auto"/>
          <w:sz w:val="22"/>
          <w:szCs w:val="22"/>
          <w:highlight w:val="none"/>
        </w:rPr>
        <w:t>人，其中前台演员不少于</w:t>
      </w:r>
      <w:r>
        <w:rPr>
          <w:rFonts w:hint="eastAsia" w:asci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人，</w:t>
      </w:r>
      <w:r>
        <w:rPr>
          <w:rFonts w:hint="eastAsia" w:ascii="宋体" w:hAnsi="宋体" w:eastAsia="宋体" w:cs="宋体"/>
          <w:b w:val="0"/>
          <w:bCs w:val="0"/>
          <w:color w:val="auto"/>
          <w:sz w:val="22"/>
          <w:szCs w:val="22"/>
          <w:highlight w:val="none"/>
          <w:lang w:eastAsia="zh-CN"/>
        </w:rPr>
        <w:t>乐队</w:t>
      </w:r>
      <w:r>
        <w:rPr>
          <w:rFonts w:hint="eastAsia" w:ascii="宋体" w:hAnsi="宋体" w:eastAsia="宋体" w:cs="宋体"/>
          <w:b w:val="0"/>
          <w:bCs w:val="0"/>
          <w:color w:val="auto"/>
          <w:sz w:val="22"/>
          <w:szCs w:val="22"/>
          <w:highlight w:val="none"/>
        </w:rPr>
        <w:t>人员不少于</w:t>
      </w:r>
      <w:r>
        <w:rPr>
          <w:rFonts w:hint="eastAsia" w:asci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人。</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3、可选戏曲剧目</w:t>
      </w:r>
      <w:r>
        <w:rPr>
          <w:rFonts w:hint="eastAsia" w:ascii="宋体" w:hAnsi="宋体" w:eastAsia="宋体" w:cs="宋体"/>
          <w:b w:val="0"/>
          <w:bCs w:val="0"/>
          <w:color w:val="auto"/>
          <w:sz w:val="22"/>
          <w:szCs w:val="22"/>
          <w:highlight w:val="none"/>
        </w:rPr>
        <w:t>越剧</w:t>
      </w:r>
      <w:r>
        <w:rPr>
          <w:rFonts w:hint="eastAsia" w:ascii="宋体" w:hAnsi="宋体" w:eastAsia="宋体" w:cs="宋体"/>
          <w:b w:val="0"/>
          <w:bCs w:val="0"/>
          <w:color w:val="auto"/>
          <w:sz w:val="22"/>
          <w:szCs w:val="22"/>
          <w:highlight w:val="none"/>
        </w:rPr>
        <w:t>不得少于15个，</w:t>
      </w:r>
      <w:r>
        <w:rPr>
          <w:rFonts w:hint="eastAsia" w:ascii="宋体" w:hAnsi="宋体" w:eastAsia="宋体" w:cs="宋体"/>
          <w:b w:val="0"/>
          <w:color w:val="auto"/>
          <w:sz w:val="22"/>
          <w:szCs w:val="22"/>
          <w:highlight w:val="none"/>
        </w:rPr>
        <w:t>演出时间不少于2小时</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bCs w:val="0"/>
          <w:color w:val="auto"/>
          <w:sz w:val="22"/>
          <w:szCs w:val="22"/>
          <w:highlight w:val="none"/>
        </w:rPr>
        <w:t>演出必须为整本大戏。</w:t>
      </w:r>
      <w:r>
        <w:rPr>
          <w:rFonts w:hint="eastAsia" w:ascii="宋体" w:hAnsi="宋体" w:eastAsia="宋体" w:cs="宋体"/>
          <w:b w:val="0"/>
          <w:bCs w:val="0"/>
          <w:color w:val="auto"/>
          <w:sz w:val="22"/>
          <w:szCs w:val="22"/>
          <w:highlight w:val="none"/>
          <w:lang w:eastAsia="zh-CN"/>
        </w:rPr>
        <w:t>具体演出剧目由采购方或演出村居点单选择。</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承担送戏下乡演出运作过程中的所有费用（包含演出所需的舞台搭建、灯光和音响设备</w:t>
      </w:r>
      <w:r>
        <w:rPr>
          <w:rFonts w:hint="eastAsia" w:ascii="宋体" w:hAnsi="宋体" w:eastAsia="宋体" w:cs="宋体"/>
          <w:b w:val="0"/>
          <w:bCs w:val="0"/>
          <w:color w:val="auto"/>
          <w:sz w:val="22"/>
          <w:szCs w:val="22"/>
          <w:highlight w:val="none"/>
          <w:lang w:eastAsia="zh-CN"/>
        </w:rPr>
        <w:t>租赁</w:t>
      </w:r>
      <w:r>
        <w:rPr>
          <w:rFonts w:hint="eastAsia" w:ascii="宋体" w:hAnsi="宋体" w:eastAsia="宋体" w:cs="宋体"/>
          <w:b w:val="0"/>
          <w:bCs w:val="0"/>
          <w:color w:val="auto"/>
          <w:sz w:val="22"/>
          <w:szCs w:val="22"/>
          <w:highlight w:val="none"/>
        </w:rPr>
        <w:t>、舞台背景喷绘制作、表演服装、演员劳务费、演出道具、字幕机、交通费、伙食费和住宿费、演出期间演职人员的意外保险、税金等所有费用），不得向演出地索要加付伙食费、住宿费等相关费用。</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5、成交供应商必须保证演出的质量，严格按照采购人对演出剧目、演出阵容、演出设备等要求规范演出，并严格按照要求完成送戏下乡演出任务场次，</w:t>
      </w:r>
      <w:r>
        <w:rPr>
          <w:rFonts w:hint="eastAsia" w:ascii="宋体" w:hAnsi="宋体" w:eastAsia="宋体" w:cs="宋体"/>
          <w:b w:val="0"/>
          <w:bCs w:val="0"/>
          <w:color w:val="auto"/>
          <w:sz w:val="22"/>
          <w:szCs w:val="22"/>
          <w:highlight w:val="none"/>
          <w:lang w:eastAsia="zh-CN"/>
        </w:rPr>
        <w:t>严禁</w:t>
      </w:r>
      <w:r>
        <w:rPr>
          <w:rFonts w:hint="eastAsia" w:ascii="宋体" w:hAnsi="宋体" w:eastAsia="宋体" w:cs="宋体"/>
          <w:b w:val="0"/>
          <w:bCs w:val="0"/>
          <w:color w:val="auto"/>
          <w:sz w:val="22"/>
          <w:szCs w:val="22"/>
          <w:highlight w:val="none"/>
        </w:rPr>
        <w:t>虚报场次。</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6、成交供应商在采购单位安排下实施演出任务，演出任务须在采购人规定的时间内完成。</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7、送戏下乡的演出安全责任和消防责任由成交供应商负责。</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8、成交供应商要按照采购人要求做好宣传工作，统一布置演出背景和宣传横幅，事先与演出地联系对接，张贴演出预告，完成资料采集，填写台账。</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9、成交供应商不得转包演出任务。</w:t>
      </w:r>
    </w:p>
    <w:p>
      <w:pPr>
        <w:widowControl/>
        <w:autoSpaceDE w:val="0"/>
        <w:autoSpaceDN w:val="0"/>
        <w:adjustRightInd w:val="0"/>
        <w:spacing w:line="440" w:lineRule="exact"/>
        <w:ind w:firstLine="442"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eastAsia="zh-CN"/>
        </w:rPr>
        <w:t>标项</w:t>
      </w: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2024年永嘉县送戏下乡公益演出</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越剧</w:t>
      </w:r>
      <w:r>
        <w:rPr>
          <w:rFonts w:hint="eastAsia" w:ascii="宋体" w:eastAsia="宋体" w:cs="宋体"/>
          <w:b/>
          <w:bCs/>
          <w:color w:val="auto"/>
          <w:sz w:val="22"/>
          <w:szCs w:val="22"/>
          <w:highlight w:val="none"/>
          <w:lang w:val="en-US" w:eastAsia="zh-CN"/>
        </w:rPr>
        <w:t>（2）</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采购内容</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202</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年</w:t>
      </w:r>
      <w:r>
        <w:rPr>
          <w:rFonts w:hint="eastAsia" w:ascii="宋体" w:hAns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lang w:eastAsia="zh-CN"/>
        </w:rPr>
        <w:t>县送戏下乡</w:t>
      </w:r>
      <w:r>
        <w:rPr>
          <w:rFonts w:hint="eastAsia" w:ascii="宋体" w:hAnsi="宋体" w:eastAsia="宋体" w:cs="宋体"/>
          <w:b w:val="0"/>
          <w:bCs w:val="0"/>
          <w:color w:val="auto"/>
          <w:sz w:val="22"/>
          <w:szCs w:val="22"/>
          <w:highlight w:val="none"/>
          <w:lang w:eastAsia="zh-CN"/>
        </w:rPr>
        <w:t>越剧</w:t>
      </w:r>
      <w:r>
        <w:rPr>
          <w:rFonts w:hint="eastAsia" w:ascii="宋体" w:hAnsi="宋体" w:eastAsia="宋体" w:cs="宋体"/>
          <w:b w:val="0"/>
          <w:bCs w:val="0"/>
          <w:color w:val="auto"/>
          <w:sz w:val="22"/>
          <w:szCs w:val="22"/>
          <w:highlight w:val="none"/>
          <w:lang w:eastAsia="zh-CN"/>
        </w:rPr>
        <w:t>公益演出采购项目（</w:t>
      </w:r>
      <w:r>
        <w:rPr>
          <w:rFonts w:hint="eastAsia" w:ascii="宋体" w:hAnsi="宋体" w:eastAsia="宋体" w:cs="宋体"/>
          <w:b w:val="0"/>
          <w:bCs w:val="0"/>
          <w:color w:val="auto"/>
          <w:sz w:val="22"/>
          <w:szCs w:val="22"/>
          <w:highlight w:val="none"/>
          <w:lang w:val="en-US" w:eastAsia="zh-CN"/>
        </w:rPr>
        <w:t>标项二</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w:t>
      </w:r>
      <w:r>
        <w:rPr>
          <w:rFonts w:hint="eastAsia" w:ascii="宋体" w:eastAsia="宋体" w:cs="宋体"/>
          <w:b w:val="0"/>
          <w:bCs w:val="0"/>
          <w:color w:val="auto"/>
          <w:sz w:val="22"/>
          <w:szCs w:val="22"/>
          <w:highlight w:val="none"/>
          <w:lang w:val="en-US" w:eastAsia="zh-CN"/>
        </w:rPr>
        <w:t>32</w:t>
      </w:r>
      <w:r>
        <w:rPr>
          <w:rFonts w:hint="eastAsia" w:ascii="宋体" w:hAnsi="宋体" w:eastAsia="宋体" w:cs="宋体"/>
          <w:b w:val="0"/>
          <w:bCs w:val="0"/>
          <w:color w:val="auto"/>
          <w:sz w:val="22"/>
          <w:szCs w:val="22"/>
          <w:highlight w:val="none"/>
        </w:rPr>
        <w:t>场</w:t>
      </w:r>
      <w:r>
        <w:rPr>
          <w:rFonts w:hint="eastAsia" w:ascii="宋体" w:hAnsi="宋体" w:eastAsia="宋体" w:cs="宋体"/>
          <w:b w:val="0"/>
          <w:bCs w:val="0"/>
          <w:color w:val="auto"/>
          <w:sz w:val="22"/>
          <w:szCs w:val="22"/>
          <w:highlight w:val="none"/>
          <w:lang w:eastAsia="zh-CN"/>
        </w:rPr>
        <w:t>。</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服务时间和地点</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演出时间为</w:t>
      </w:r>
      <w:r>
        <w:rPr>
          <w:rFonts w:hint="eastAsia" w:ascii="宋体" w:hAnsi="宋体" w:eastAsia="宋体" w:cs="宋体"/>
          <w:b w:val="0"/>
          <w:bCs w:val="0"/>
          <w:color w:val="auto"/>
          <w:sz w:val="22"/>
          <w:szCs w:val="22"/>
          <w:highlight w:val="none"/>
        </w:rPr>
        <w:t>合同签订之日起</w:t>
      </w:r>
      <w:r>
        <w:rPr>
          <w:rFonts w:hint="eastAsia" w:ascii="宋体" w:hAnsi="宋体" w:eastAsia="宋体" w:cs="宋体"/>
          <w:b w:val="0"/>
          <w:bCs w:val="0"/>
          <w:color w:val="auto"/>
          <w:sz w:val="22"/>
          <w:szCs w:val="22"/>
          <w:highlight w:val="none"/>
          <w:lang w:eastAsia="zh-CN"/>
        </w:rPr>
        <w:t>至全部场次完成</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演出地点为</w:t>
      </w:r>
      <w:r>
        <w:rPr>
          <w:rFonts w:hint="eastAsia" w:ascii="宋体" w:hAns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rPr>
        <w:t>县境域内</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茗岙乡2、溪下乡2、云岭乡1、界坑乡1、岩头镇2</w:t>
      </w:r>
      <w:r>
        <w:rPr>
          <w:rFonts w:hint="eastAsia" w:ascii="宋体" w:hAnsi="宋体" w:eastAsia="宋体" w:cs="宋体"/>
          <w:b w:val="0"/>
          <w:bCs w:val="0"/>
          <w:color w:val="auto"/>
          <w:sz w:val="22"/>
          <w:szCs w:val="22"/>
          <w:highlight w:val="none"/>
        </w:rPr>
        <w:t>。采购人在</w:t>
      </w:r>
      <w:r>
        <w:rPr>
          <w:rFonts w:hint="eastAsia" w:ascii="宋体" w:hAnsi="宋体" w:eastAsia="宋体" w:cs="宋体"/>
          <w:b w:val="0"/>
          <w:bCs w:val="0"/>
          <w:color w:val="auto"/>
          <w:sz w:val="22"/>
          <w:szCs w:val="22"/>
          <w:highlight w:val="none"/>
          <w:lang w:val="en-US" w:eastAsia="zh-CN"/>
        </w:rPr>
        <w:t>30天</w:t>
      </w:r>
      <w:r>
        <w:rPr>
          <w:rFonts w:hint="eastAsia" w:ascii="宋体" w:hAnsi="宋体" w:eastAsia="宋体" w:cs="宋体"/>
          <w:b w:val="0"/>
          <w:bCs w:val="0"/>
          <w:color w:val="auto"/>
          <w:sz w:val="22"/>
          <w:szCs w:val="22"/>
          <w:highlight w:val="none"/>
        </w:rPr>
        <w:t>前将</w:t>
      </w:r>
      <w:r>
        <w:rPr>
          <w:rFonts w:hint="eastAsia" w:ascii="宋体" w:hAnsi="宋体" w:eastAsia="宋体" w:cs="宋体"/>
          <w:b w:val="0"/>
          <w:bCs w:val="0"/>
          <w:color w:val="auto"/>
          <w:sz w:val="22"/>
          <w:szCs w:val="22"/>
          <w:highlight w:val="none"/>
          <w:lang w:eastAsia="zh-CN"/>
        </w:rPr>
        <w:t>需要</w:t>
      </w:r>
      <w:r>
        <w:rPr>
          <w:rFonts w:hint="eastAsia" w:ascii="宋体" w:hAnsi="宋体" w:eastAsia="宋体" w:cs="宋体"/>
          <w:b w:val="0"/>
          <w:bCs w:val="0"/>
          <w:color w:val="auto"/>
          <w:sz w:val="22"/>
          <w:szCs w:val="22"/>
          <w:highlight w:val="none"/>
        </w:rPr>
        <w:t>演出</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rPr>
        <w:t>时间和地点告知供应商，供应商必须在指定时间和地点进行演出，不得拒绝</w:t>
      </w:r>
      <w:r>
        <w:rPr>
          <w:rFonts w:hint="eastAsia" w:ascii="宋体" w:hAnsi="宋体" w:eastAsia="宋体" w:cs="宋体"/>
          <w:b w:val="0"/>
          <w:bCs w:val="0"/>
          <w:color w:val="auto"/>
          <w:sz w:val="22"/>
          <w:szCs w:val="22"/>
          <w:highlight w:val="none"/>
          <w:lang w:eastAsia="zh-CN"/>
        </w:rPr>
        <w:t>（农历</w:t>
      </w:r>
      <w:r>
        <w:rPr>
          <w:rFonts w:hint="eastAsia" w:ascii="宋体" w:hAnsi="宋体" w:eastAsia="宋体" w:cs="宋体"/>
          <w:b w:val="0"/>
          <w:bCs w:val="0"/>
          <w:color w:val="auto"/>
          <w:sz w:val="22"/>
          <w:szCs w:val="22"/>
          <w:highlight w:val="none"/>
          <w:lang w:val="en-US" w:eastAsia="zh-CN"/>
        </w:rPr>
        <w:t>2025年正月初二至2025年正月初十期间，供应商必须接受采购方演出安排，采购方未安排的 ，供应商才可以承接其他演出</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。具体演出场次地点以采购人发出通知为准，采购人保留提前终止合同的权利。</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演出内容和要求</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1、202</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rPr>
        <w:t>县送戏下乡</w:t>
      </w:r>
      <w:r>
        <w:rPr>
          <w:rFonts w:hint="eastAsia" w:ascii="宋体" w:hAnsi="宋体" w:eastAsia="宋体" w:cs="宋体"/>
          <w:b w:val="0"/>
          <w:bCs w:val="0"/>
          <w:color w:val="auto"/>
          <w:sz w:val="22"/>
          <w:szCs w:val="22"/>
          <w:highlight w:val="none"/>
          <w:lang w:val="en-US" w:eastAsia="zh-CN"/>
        </w:rPr>
        <w:t>越剧</w:t>
      </w:r>
      <w:r>
        <w:rPr>
          <w:rFonts w:hint="eastAsia" w:ascii="宋体" w:hAnsi="宋体" w:eastAsia="宋体" w:cs="宋体"/>
          <w:b w:val="0"/>
          <w:bCs w:val="0"/>
          <w:color w:val="auto"/>
          <w:sz w:val="22"/>
          <w:szCs w:val="22"/>
          <w:highlight w:val="none"/>
        </w:rPr>
        <w:t>公益演出是政府买单、群众观赏的公益演出活动，</w:t>
      </w:r>
      <w:r>
        <w:rPr>
          <w:rFonts w:hint="eastAsia" w:ascii="宋体" w:eastAsia="宋体" w:cs="宋体"/>
          <w:b w:val="0"/>
          <w:bCs w:val="0"/>
          <w:color w:val="auto"/>
          <w:sz w:val="22"/>
          <w:szCs w:val="22"/>
          <w:highlight w:val="none"/>
          <w:lang w:eastAsia="zh-CN"/>
        </w:rPr>
        <w:t>承办单位</w:t>
      </w:r>
      <w:r>
        <w:rPr>
          <w:rFonts w:hint="eastAsia" w:ascii="宋体" w:hAnsi="宋体" w:eastAsia="宋体" w:cs="宋体"/>
          <w:b w:val="0"/>
          <w:bCs w:val="0"/>
          <w:color w:val="auto"/>
          <w:sz w:val="22"/>
          <w:szCs w:val="22"/>
          <w:highlight w:val="none"/>
        </w:rPr>
        <w:t>在活动操作过程中，不得接受商业化资助，不得擅自增加协办单位，不得在演出过程中做商业化或变相的商业化宣传，严格执行采购人的要求做好宣传工作，统一布置演出背景和宣传横幅。</w:t>
      </w:r>
      <w:r>
        <w:rPr>
          <w:rFonts w:hint="eastAsia" w:ascii="宋体" w:hAnsi="宋体" w:eastAsia="宋体" w:cs="宋体"/>
          <w:b w:val="0"/>
          <w:bCs w:val="0"/>
          <w:color w:val="auto"/>
          <w:sz w:val="22"/>
          <w:szCs w:val="22"/>
          <w:highlight w:val="none"/>
          <w:lang w:eastAsia="zh-CN"/>
        </w:rPr>
        <w:t>演出内容不得</w:t>
      </w:r>
      <w:r>
        <w:rPr>
          <w:rFonts w:hint="eastAsia" w:ascii="宋体" w:hAnsi="宋体" w:eastAsia="宋体" w:cs="宋体"/>
          <w:i w:val="0"/>
          <w:caps w:val="0"/>
          <w:color w:val="auto"/>
          <w:spacing w:val="0"/>
          <w:sz w:val="22"/>
          <w:szCs w:val="22"/>
          <w:highlight w:val="none"/>
        </w:rPr>
        <w:t>违背社会主义核心价值观</w:t>
      </w:r>
      <w:r>
        <w:rPr>
          <w:rFonts w:hint="eastAsia" w:ascii="宋体" w:hAnsi="宋体" w:eastAsia="宋体" w:cs="宋体"/>
          <w:i w:val="0"/>
          <w:caps w:val="0"/>
          <w:color w:val="auto"/>
          <w:spacing w:val="0"/>
          <w:sz w:val="22"/>
          <w:szCs w:val="22"/>
          <w:highlight w:val="none"/>
          <w:lang w:eastAsia="zh-CN"/>
        </w:rPr>
        <w:t>和</w:t>
      </w:r>
      <w:r>
        <w:rPr>
          <w:rFonts w:hint="eastAsia" w:ascii="宋体" w:hAnsi="宋体" w:eastAsia="宋体" w:cs="宋体"/>
          <w:i w:val="0"/>
          <w:caps w:val="0"/>
          <w:color w:val="auto"/>
          <w:spacing w:val="0"/>
          <w:sz w:val="22"/>
          <w:szCs w:val="22"/>
          <w:highlight w:val="none"/>
        </w:rPr>
        <w:t>公序良俗</w:t>
      </w:r>
      <w:r>
        <w:rPr>
          <w:rFonts w:hint="eastAsia" w:ascii="宋体" w:hAnsi="宋体" w:eastAsia="宋体" w:cs="宋体"/>
          <w:i w:val="0"/>
          <w:caps w:val="0"/>
          <w:color w:val="auto"/>
          <w:spacing w:val="0"/>
          <w:sz w:val="22"/>
          <w:szCs w:val="22"/>
          <w:highlight w:val="none"/>
          <w:lang w:eastAsia="zh-CN"/>
        </w:rPr>
        <w:t>。</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2、单场演出演职人员不少于</w:t>
      </w:r>
      <w:r>
        <w:rPr>
          <w:rFonts w:hint="eastAsia" w:ascii="宋体" w:eastAsia="宋体" w:cs="宋体"/>
          <w:b w:val="0"/>
          <w:bCs w:val="0"/>
          <w:color w:val="auto"/>
          <w:sz w:val="22"/>
          <w:szCs w:val="22"/>
          <w:highlight w:val="none"/>
          <w:lang w:val="en-US" w:eastAsia="zh-CN"/>
        </w:rPr>
        <w:t>25</w:t>
      </w:r>
      <w:r>
        <w:rPr>
          <w:rFonts w:hint="eastAsia" w:ascii="宋体" w:hAnsi="宋体" w:eastAsia="宋体" w:cs="宋体"/>
          <w:b w:val="0"/>
          <w:bCs w:val="0"/>
          <w:color w:val="auto"/>
          <w:sz w:val="22"/>
          <w:szCs w:val="22"/>
          <w:highlight w:val="none"/>
        </w:rPr>
        <w:t>人，其中前台演员不少于15人，</w:t>
      </w:r>
      <w:r>
        <w:rPr>
          <w:rFonts w:hint="eastAsia" w:ascii="宋体" w:hAnsi="宋体" w:eastAsia="宋体" w:cs="宋体"/>
          <w:b w:val="0"/>
          <w:bCs w:val="0"/>
          <w:color w:val="auto"/>
          <w:sz w:val="22"/>
          <w:szCs w:val="22"/>
          <w:highlight w:val="none"/>
          <w:lang w:eastAsia="zh-CN"/>
        </w:rPr>
        <w:t>乐队</w:t>
      </w:r>
      <w:r>
        <w:rPr>
          <w:rFonts w:hint="eastAsia" w:ascii="宋体" w:hAnsi="宋体" w:eastAsia="宋体" w:cs="宋体"/>
          <w:b w:val="0"/>
          <w:bCs w:val="0"/>
          <w:color w:val="auto"/>
          <w:sz w:val="22"/>
          <w:szCs w:val="22"/>
          <w:highlight w:val="none"/>
        </w:rPr>
        <w:t>人员不少于</w:t>
      </w:r>
      <w:r>
        <w:rPr>
          <w:rFonts w:hint="eastAsia" w:asci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人。</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3、可选戏曲剧目</w:t>
      </w:r>
      <w:r>
        <w:rPr>
          <w:rFonts w:hint="eastAsia" w:ascii="宋体" w:hAnsi="宋体" w:eastAsia="宋体" w:cs="宋体"/>
          <w:b w:val="0"/>
          <w:bCs w:val="0"/>
          <w:color w:val="auto"/>
          <w:sz w:val="22"/>
          <w:szCs w:val="22"/>
          <w:highlight w:val="none"/>
        </w:rPr>
        <w:t>越剧</w:t>
      </w:r>
      <w:r>
        <w:rPr>
          <w:rFonts w:hint="eastAsia" w:ascii="宋体" w:hAnsi="宋体" w:eastAsia="宋体" w:cs="宋体"/>
          <w:b w:val="0"/>
          <w:bCs w:val="0"/>
          <w:color w:val="auto"/>
          <w:sz w:val="22"/>
          <w:szCs w:val="22"/>
          <w:highlight w:val="none"/>
        </w:rPr>
        <w:t>不得少于15个，</w:t>
      </w:r>
      <w:r>
        <w:rPr>
          <w:rFonts w:hint="eastAsia" w:ascii="宋体" w:hAnsi="宋体" w:eastAsia="宋体" w:cs="宋体"/>
          <w:b w:val="0"/>
          <w:color w:val="auto"/>
          <w:sz w:val="22"/>
          <w:szCs w:val="22"/>
          <w:highlight w:val="none"/>
        </w:rPr>
        <w:t>演出时间不少于2小时</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bCs w:val="0"/>
          <w:color w:val="auto"/>
          <w:sz w:val="22"/>
          <w:szCs w:val="22"/>
          <w:highlight w:val="none"/>
        </w:rPr>
        <w:t>演出必须为整本大戏。</w:t>
      </w:r>
      <w:r>
        <w:rPr>
          <w:rFonts w:hint="eastAsia" w:ascii="宋体" w:hAnsi="宋体" w:eastAsia="宋体" w:cs="宋体"/>
          <w:b w:val="0"/>
          <w:bCs w:val="0"/>
          <w:color w:val="auto"/>
          <w:sz w:val="22"/>
          <w:szCs w:val="22"/>
          <w:highlight w:val="none"/>
          <w:lang w:eastAsia="zh-CN"/>
        </w:rPr>
        <w:t>具体演出剧目由采购方或演出村居点单选择。</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承担送戏下乡演出运作过程中的所有费用（包含演出所需的舞台搭建、灯光和音响设备</w:t>
      </w:r>
      <w:r>
        <w:rPr>
          <w:rFonts w:hint="eastAsia" w:ascii="宋体" w:hAnsi="宋体" w:eastAsia="宋体" w:cs="宋体"/>
          <w:b w:val="0"/>
          <w:bCs w:val="0"/>
          <w:color w:val="auto"/>
          <w:sz w:val="22"/>
          <w:szCs w:val="22"/>
          <w:highlight w:val="none"/>
          <w:lang w:eastAsia="zh-CN"/>
        </w:rPr>
        <w:t>租赁</w:t>
      </w:r>
      <w:r>
        <w:rPr>
          <w:rFonts w:hint="eastAsia" w:ascii="宋体" w:hAnsi="宋体" w:eastAsia="宋体" w:cs="宋体"/>
          <w:b w:val="0"/>
          <w:bCs w:val="0"/>
          <w:color w:val="auto"/>
          <w:sz w:val="22"/>
          <w:szCs w:val="22"/>
          <w:highlight w:val="none"/>
        </w:rPr>
        <w:t>、舞台背景喷绘制作、表演服装、演员劳务费、演出道具、字幕机、交通费、伙食费和住宿费、演出期间演职人员的意外保险、税金等所有费用），不得向演出地索要加付伙食费、住宿费等相关费用。</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5、成交供应商必须保证演出的质量，严格按照采购人对演出剧目、演出阵容、演出设备等要求规范演出，并严格按照要求完成送戏下乡演出任务场次，</w:t>
      </w:r>
      <w:r>
        <w:rPr>
          <w:rFonts w:hint="eastAsia" w:ascii="宋体" w:hAnsi="宋体" w:eastAsia="宋体" w:cs="宋体"/>
          <w:b w:val="0"/>
          <w:bCs w:val="0"/>
          <w:color w:val="auto"/>
          <w:sz w:val="22"/>
          <w:szCs w:val="22"/>
          <w:highlight w:val="none"/>
          <w:lang w:eastAsia="zh-CN"/>
        </w:rPr>
        <w:t>严禁</w:t>
      </w:r>
      <w:r>
        <w:rPr>
          <w:rFonts w:hint="eastAsia" w:ascii="宋体" w:hAnsi="宋体" w:eastAsia="宋体" w:cs="宋体"/>
          <w:b w:val="0"/>
          <w:bCs w:val="0"/>
          <w:color w:val="auto"/>
          <w:sz w:val="22"/>
          <w:szCs w:val="22"/>
          <w:highlight w:val="none"/>
        </w:rPr>
        <w:t>虚报场次。</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6、成交供应商在采购单位安排下实施演出任务，演出任务须在采购人规定的时间内完成。</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7、送戏下乡的演出安全责任和消防责任由成交供应商负责。</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8、成交供应商要按照采购人要求做好宣传工作，统一布置演出背景和宣传横幅，事先与演出地联系对接，张贴演出预告，完成资料采集，填写台账。</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9、成交供应商不得转包演出任务。</w:t>
      </w:r>
    </w:p>
    <w:p>
      <w:pPr>
        <w:widowControl/>
        <w:autoSpaceDE w:val="0"/>
        <w:autoSpaceDN w:val="0"/>
        <w:adjustRightInd w:val="0"/>
        <w:spacing w:line="440" w:lineRule="exact"/>
        <w:ind w:firstLine="442"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eastAsia="zh-CN"/>
        </w:rPr>
        <w:t>标项</w:t>
      </w: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2024年永嘉县送戏下乡公益演出</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瓯剧</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采购内容</w:t>
      </w:r>
    </w:p>
    <w:p>
      <w:pPr>
        <w:widowControl/>
        <w:tabs>
          <w:tab w:val="left" w:pos="4620"/>
        </w:tabs>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202</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年</w:t>
      </w:r>
      <w:r>
        <w:rPr>
          <w:rFonts w:hint="eastAsia" w:ascii="宋体" w:hAns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lang w:eastAsia="zh-CN"/>
        </w:rPr>
        <w:t>县送戏下乡</w:t>
      </w:r>
      <w:r>
        <w:rPr>
          <w:rFonts w:hint="eastAsia" w:ascii="宋体" w:hAnsi="宋体" w:eastAsia="宋体" w:cs="宋体"/>
          <w:b w:val="0"/>
          <w:bCs w:val="0"/>
          <w:color w:val="auto"/>
          <w:sz w:val="22"/>
          <w:szCs w:val="22"/>
          <w:highlight w:val="none"/>
          <w:lang w:eastAsia="zh-CN"/>
        </w:rPr>
        <w:t>瓯剧</w:t>
      </w:r>
      <w:r>
        <w:rPr>
          <w:rFonts w:hint="eastAsia" w:ascii="宋体" w:hAnsi="宋体" w:eastAsia="宋体" w:cs="宋体"/>
          <w:b w:val="0"/>
          <w:bCs w:val="0"/>
          <w:color w:val="auto"/>
          <w:sz w:val="22"/>
          <w:szCs w:val="22"/>
          <w:highlight w:val="none"/>
          <w:lang w:eastAsia="zh-CN"/>
        </w:rPr>
        <w:t>公益演出采购项目（</w:t>
      </w:r>
      <w:r>
        <w:rPr>
          <w:rFonts w:hint="eastAsia" w:ascii="宋体" w:hAnsi="宋体" w:eastAsia="宋体" w:cs="宋体"/>
          <w:b w:val="0"/>
          <w:bCs w:val="0"/>
          <w:color w:val="auto"/>
          <w:sz w:val="22"/>
          <w:szCs w:val="22"/>
          <w:highlight w:val="none"/>
          <w:lang w:val="en-US" w:eastAsia="zh-CN"/>
        </w:rPr>
        <w:t>标项三</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w:t>
      </w:r>
      <w:r>
        <w:rPr>
          <w:rFonts w:hint="eastAsia" w:ascii="宋体" w:eastAsia="宋体" w:cs="宋体"/>
          <w:b w:val="0"/>
          <w:bCs w:val="0"/>
          <w:color w:val="auto"/>
          <w:sz w:val="22"/>
          <w:szCs w:val="22"/>
          <w:highlight w:val="none"/>
          <w:lang w:val="en-US" w:eastAsia="zh-CN"/>
        </w:rPr>
        <w:t>28</w:t>
      </w:r>
      <w:r>
        <w:rPr>
          <w:rFonts w:hint="eastAsia" w:ascii="宋体" w:hAnsi="宋体" w:eastAsia="宋体" w:cs="宋体"/>
          <w:b w:val="0"/>
          <w:bCs w:val="0"/>
          <w:color w:val="auto"/>
          <w:sz w:val="22"/>
          <w:szCs w:val="22"/>
          <w:highlight w:val="none"/>
        </w:rPr>
        <w:t>场</w:t>
      </w:r>
      <w:r>
        <w:rPr>
          <w:rFonts w:hint="eastAsia" w:ascii="宋体" w:hAnsi="宋体" w:eastAsia="宋体" w:cs="宋体"/>
          <w:b w:val="0"/>
          <w:bCs w:val="0"/>
          <w:color w:val="auto"/>
          <w:sz w:val="22"/>
          <w:szCs w:val="22"/>
          <w:highlight w:val="none"/>
          <w:lang w:eastAsia="zh-CN"/>
        </w:rPr>
        <w:t>。</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服务时间和地点</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演出时间为</w:t>
      </w:r>
      <w:r>
        <w:rPr>
          <w:rFonts w:hint="eastAsia" w:ascii="宋体" w:hAnsi="宋体" w:eastAsia="宋体" w:cs="宋体"/>
          <w:b w:val="0"/>
          <w:bCs w:val="0"/>
          <w:color w:val="auto"/>
          <w:sz w:val="22"/>
          <w:szCs w:val="22"/>
          <w:highlight w:val="none"/>
        </w:rPr>
        <w:t>合同签订之日起</w:t>
      </w:r>
      <w:r>
        <w:rPr>
          <w:rFonts w:hint="eastAsia" w:ascii="宋体" w:hAnsi="宋体" w:eastAsia="宋体" w:cs="宋体"/>
          <w:b w:val="0"/>
          <w:bCs w:val="0"/>
          <w:color w:val="auto"/>
          <w:sz w:val="22"/>
          <w:szCs w:val="22"/>
          <w:highlight w:val="none"/>
          <w:lang w:eastAsia="zh-CN"/>
        </w:rPr>
        <w:t>至全部场次完成</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演出地点为</w:t>
      </w:r>
      <w:r>
        <w:rPr>
          <w:rFonts w:hint="eastAsia" w:ascii="宋体" w:hAns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rPr>
        <w:t>县境域内</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沙头镇3、岩坦镇1、碧莲镇1、巽宅镇1、枫林镇1</w:t>
      </w:r>
      <w:r>
        <w:rPr>
          <w:rFonts w:hint="eastAsia" w:ascii="宋体" w:hAnsi="宋体" w:eastAsia="宋体" w:cs="宋体"/>
          <w:b w:val="0"/>
          <w:bCs w:val="0"/>
          <w:color w:val="auto"/>
          <w:sz w:val="22"/>
          <w:szCs w:val="22"/>
          <w:highlight w:val="none"/>
        </w:rPr>
        <w:t>。采购人在</w:t>
      </w:r>
      <w:r>
        <w:rPr>
          <w:rFonts w:hint="eastAsia" w:ascii="宋体" w:hAnsi="宋体" w:eastAsia="宋体" w:cs="宋体"/>
          <w:b w:val="0"/>
          <w:bCs w:val="0"/>
          <w:color w:val="auto"/>
          <w:sz w:val="22"/>
          <w:szCs w:val="22"/>
          <w:highlight w:val="none"/>
          <w:lang w:val="en-US" w:eastAsia="zh-CN"/>
        </w:rPr>
        <w:t>30天</w:t>
      </w:r>
      <w:r>
        <w:rPr>
          <w:rFonts w:hint="eastAsia" w:ascii="宋体" w:hAnsi="宋体" w:eastAsia="宋体" w:cs="宋体"/>
          <w:b w:val="0"/>
          <w:bCs w:val="0"/>
          <w:color w:val="auto"/>
          <w:sz w:val="22"/>
          <w:szCs w:val="22"/>
          <w:highlight w:val="none"/>
        </w:rPr>
        <w:t>前将</w:t>
      </w:r>
      <w:r>
        <w:rPr>
          <w:rFonts w:hint="eastAsia" w:ascii="宋体" w:hAnsi="宋体" w:eastAsia="宋体" w:cs="宋体"/>
          <w:b w:val="0"/>
          <w:bCs w:val="0"/>
          <w:color w:val="auto"/>
          <w:sz w:val="22"/>
          <w:szCs w:val="22"/>
          <w:highlight w:val="none"/>
          <w:lang w:eastAsia="zh-CN"/>
        </w:rPr>
        <w:t>需要</w:t>
      </w:r>
      <w:r>
        <w:rPr>
          <w:rFonts w:hint="eastAsia" w:ascii="宋体" w:hAnsi="宋体" w:eastAsia="宋体" w:cs="宋体"/>
          <w:b w:val="0"/>
          <w:bCs w:val="0"/>
          <w:color w:val="auto"/>
          <w:sz w:val="22"/>
          <w:szCs w:val="22"/>
          <w:highlight w:val="none"/>
        </w:rPr>
        <w:t>演出</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rPr>
        <w:t>时间和地点告知供应商，供应商必须在指定时间和地点进行演出，不得拒绝</w:t>
      </w:r>
      <w:r>
        <w:rPr>
          <w:rFonts w:hint="eastAsia" w:ascii="宋体" w:hAnsi="宋体" w:eastAsia="宋体" w:cs="宋体"/>
          <w:b w:val="0"/>
          <w:bCs w:val="0"/>
          <w:color w:val="auto"/>
          <w:sz w:val="22"/>
          <w:szCs w:val="22"/>
          <w:highlight w:val="none"/>
          <w:lang w:eastAsia="zh-CN"/>
        </w:rPr>
        <w:t>（农历</w:t>
      </w:r>
      <w:r>
        <w:rPr>
          <w:rFonts w:hint="eastAsia" w:ascii="宋体" w:hAnsi="宋体" w:eastAsia="宋体" w:cs="宋体"/>
          <w:b w:val="0"/>
          <w:bCs w:val="0"/>
          <w:color w:val="auto"/>
          <w:sz w:val="22"/>
          <w:szCs w:val="22"/>
          <w:highlight w:val="none"/>
          <w:lang w:val="en-US" w:eastAsia="zh-CN"/>
        </w:rPr>
        <w:t>2025年正月初二至2025年正月初十期间，供应商必须接受采购方演出安排，采购方未安排的 ，供应商才可以承接其他演出</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。具体演出场次地点以采购人发出通知为准，采购人保留提前终止合同的权利。</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演出内容和要求</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1、202</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rPr>
        <w:t>县送戏下乡</w:t>
      </w:r>
      <w:r>
        <w:rPr>
          <w:rFonts w:hint="eastAsia" w:ascii="宋体" w:hAnsi="宋体" w:eastAsia="宋体" w:cs="宋体"/>
          <w:b w:val="0"/>
          <w:bCs w:val="0"/>
          <w:color w:val="auto"/>
          <w:sz w:val="22"/>
          <w:szCs w:val="22"/>
          <w:highlight w:val="none"/>
        </w:rPr>
        <w:t>瓯剧</w:t>
      </w:r>
      <w:r>
        <w:rPr>
          <w:rFonts w:hint="eastAsia" w:ascii="宋体" w:hAnsi="宋体" w:eastAsia="宋体" w:cs="宋体"/>
          <w:b w:val="0"/>
          <w:bCs w:val="0"/>
          <w:color w:val="auto"/>
          <w:sz w:val="22"/>
          <w:szCs w:val="22"/>
          <w:highlight w:val="none"/>
        </w:rPr>
        <w:t>公益演出是政府买单、群众观赏的公益演出活动，</w:t>
      </w:r>
      <w:r>
        <w:rPr>
          <w:rFonts w:hint="eastAsia" w:ascii="宋体" w:eastAsia="宋体" w:cs="宋体"/>
          <w:b w:val="0"/>
          <w:bCs w:val="0"/>
          <w:color w:val="auto"/>
          <w:sz w:val="22"/>
          <w:szCs w:val="22"/>
          <w:highlight w:val="none"/>
          <w:lang w:eastAsia="zh-CN"/>
        </w:rPr>
        <w:t>承办单位</w:t>
      </w:r>
      <w:r>
        <w:rPr>
          <w:rFonts w:hint="eastAsia" w:ascii="宋体" w:hAnsi="宋体" w:eastAsia="宋体" w:cs="宋体"/>
          <w:b w:val="0"/>
          <w:bCs w:val="0"/>
          <w:color w:val="auto"/>
          <w:sz w:val="22"/>
          <w:szCs w:val="22"/>
          <w:highlight w:val="none"/>
        </w:rPr>
        <w:t>在活动操作过程中，不得接受商业化资助，不得擅自增加协办单位，不得在演出过程中做商业化或变相的商业化宣传，严格执行采购人的要求做好宣传工作，统一布置演出背景和宣传横幅。</w:t>
      </w:r>
      <w:r>
        <w:rPr>
          <w:rFonts w:hint="eastAsia" w:ascii="宋体" w:hAnsi="宋体" w:eastAsia="宋体" w:cs="宋体"/>
          <w:b w:val="0"/>
          <w:bCs w:val="0"/>
          <w:color w:val="auto"/>
          <w:sz w:val="22"/>
          <w:szCs w:val="22"/>
          <w:highlight w:val="none"/>
          <w:lang w:eastAsia="zh-CN"/>
        </w:rPr>
        <w:t>演出内容不得</w:t>
      </w:r>
      <w:r>
        <w:rPr>
          <w:rFonts w:hint="eastAsia" w:ascii="宋体" w:hAnsi="宋体" w:eastAsia="宋体" w:cs="宋体"/>
          <w:i w:val="0"/>
          <w:caps w:val="0"/>
          <w:color w:val="auto"/>
          <w:spacing w:val="0"/>
          <w:sz w:val="22"/>
          <w:szCs w:val="22"/>
          <w:highlight w:val="none"/>
        </w:rPr>
        <w:t>违背社会主义核心价值观</w:t>
      </w:r>
      <w:r>
        <w:rPr>
          <w:rFonts w:hint="eastAsia" w:ascii="宋体" w:hAnsi="宋体" w:eastAsia="宋体" w:cs="宋体"/>
          <w:i w:val="0"/>
          <w:caps w:val="0"/>
          <w:color w:val="auto"/>
          <w:spacing w:val="0"/>
          <w:sz w:val="22"/>
          <w:szCs w:val="22"/>
          <w:highlight w:val="none"/>
          <w:lang w:eastAsia="zh-CN"/>
        </w:rPr>
        <w:t>和</w:t>
      </w:r>
      <w:r>
        <w:rPr>
          <w:rFonts w:hint="eastAsia" w:ascii="宋体" w:hAnsi="宋体" w:eastAsia="宋体" w:cs="宋体"/>
          <w:i w:val="0"/>
          <w:caps w:val="0"/>
          <w:color w:val="auto"/>
          <w:spacing w:val="0"/>
          <w:sz w:val="22"/>
          <w:szCs w:val="22"/>
          <w:highlight w:val="none"/>
        </w:rPr>
        <w:t>公序良俗</w:t>
      </w:r>
      <w:r>
        <w:rPr>
          <w:rFonts w:hint="eastAsia" w:ascii="宋体" w:hAnsi="宋体" w:eastAsia="宋体" w:cs="宋体"/>
          <w:i w:val="0"/>
          <w:caps w:val="0"/>
          <w:color w:val="auto"/>
          <w:spacing w:val="0"/>
          <w:sz w:val="22"/>
          <w:szCs w:val="22"/>
          <w:highlight w:val="none"/>
          <w:lang w:eastAsia="zh-CN"/>
        </w:rPr>
        <w:t>。</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rPr>
        <w:t>、单场演出演职人员不少于</w:t>
      </w:r>
      <w:r>
        <w:rPr>
          <w:rFonts w:hint="eastAsia" w:ascii="宋体" w:eastAsia="宋体" w:cs="宋体"/>
          <w:b w:val="0"/>
          <w:bCs w:val="0"/>
          <w:color w:val="auto"/>
          <w:sz w:val="22"/>
          <w:szCs w:val="22"/>
          <w:highlight w:val="none"/>
          <w:lang w:val="en-US" w:eastAsia="zh-CN"/>
        </w:rPr>
        <w:t>25</w:t>
      </w:r>
      <w:r>
        <w:rPr>
          <w:rFonts w:hint="eastAsia" w:ascii="宋体" w:hAnsi="宋体" w:eastAsia="宋体" w:cs="宋体"/>
          <w:b w:val="0"/>
          <w:bCs w:val="0"/>
          <w:color w:val="auto"/>
          <w:sz w:val="22"/>
          <w:szCs w:val="22"/>
          <w:highlight w:val="none"/>
        </w:rPr>
        <w:t>人，其中前台演员不少于15人，</w:t>
      </w:r>
      <w:r>
        <w:rPr>
          <w:rFonts w:hint="eastAsia" w:ascii="宋体" w:hAnsi="宋体" w:eastAsia="宋体" w:cs="宋体"/>
          <w:b w:val="0"/>
          <w:bCs w:val="0"/>
          <w:color w:val="auto"/>
          <w:sz w:val="22"/>
          <w:szCs w:val="22"/>
          <w:highlight w:val="none"/>
          <w:lang w:eastAsia="zh-CN"/>
        </w:rPr>
        <w:t>乐队</w:t>
      </w:r>
      <w:r>
        <w:rPr>
          <w:rFonts w:hint="eastAsia" w:ascii="宋体" w:hAnsi="宋体" w:eastAsia="宋体" w:cs="宋体"/>
          <w:b w:val="0"/>
          <w:bCs w:val="0"/>
          <w:color w:val="auto"/>
          <w:sz w:val="22"/>
          <w:szCs w:val="22"/>
          <w:highlight w:val="none"/>
        </w:rPr>
        <w:t>人员不少于</w:t>
      </w:r>
      <w:r>
        <w:rPr>
          <w:rFonts w:hint="eastAsia" w:asci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人。</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3、可选戏曲剧目</w:t>
      </w:r>
      <w:r>
        <w:rPr>
          <w:rFonts w:hint="eastAsia" w:ascii="宋体" w:hAnsi="宋体" w:eastAsia="宋体" w:cs="宋体"/>
          <w:b w:val="0"/>
          <w:bCs w:val="0"/>
          <w:color w:val="auto"/>
          <w:sz w:val="22"/>
          <w:szCs w:val="22"/>
          <w:highlight w:val="none"/>
        </w:rPr>
        <w:t>瓯剧</w:t>
      </w:r>
      <w:r>
        <w:rPr>
          <w:rFonts w:hint="eastAsia" w:ascii="宋体" w:hAnsi="宋体" w:eastAsia="宋体" w:cs="宋体"/>
          <w:b w:val="0"/>
          <w:bCs w:val="0"/>
          <w:color w:val="auto"/>
          <w:sz w:val="22"/>
          <w:szCs w:val="22"/>
          <w:highlight w:val="none"/>
        </w:rPr>
        <w:t>不得少于15个，</w:t>
      </w:r>
      <w:r>
        <w:rPr>
          <w:rFonts w:hint="eastAsia" w:ascii="宋体" w:hAnsi="宋体" w:eastAsia="宋体" w:cs="宋体"/>
          <w:b w:val="0"/>
          <w:color w:val="auto"/>
          <w:sz w:val="22"/>
          <w:szCs w:val="22"/>
          <w:highlight w:val="none"/>
        </w:rPr>
        <w:t>演出时间不少于2小时</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bCs w:val="0"/>
          <w:color w:val="auto"/>
          <w:sz w:val="22"/>
          <w:szCs w:val="22"/>
          <w:highlight w:val="none"/>
        </w:rPr>
        <w:t>演出必须为整本大戏。</w:t>
      </w:r>
      <w:r>
        <w:rPr>
          <w:rFonts w:hint="eastAsia" w:ascii="宋体" w:hAnsi="宋体" w:eastAsia="宋体" w:cs="宋体"/>
          <w:b w:val="0"/>
          <w:bCs w:val="0"/>
          <w:color w:val="auto"/>
          <w:sz w:val="22"/>
          <w:szCs w:val="22"/>
          <w:highlight w:val="none"/>
          <w:lang w:eastAsia="zh-CN"/>
        </w:rPr>
        <w:t>具体演出剧目由采购方或演出村居点单选择。</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承担送戏下乡演出运作过程中的所有费用（包含演出所需的舞台搭建、灯光和音响设备</w:t>
      </w:r>
      <w:r>
        <w:rPr>
          <w:rFonts w:hint="eastAsia" w:ascii="宋体" w:hAnsi="宋体" w:eastAsia="宋体" w:cs="宋体"/>
          <w:b w:val="0"/>
          <w:bCs w:val="0"/>
          <w:color w:val="auto"/>
          <w:sz w:val="22"/>
          <w:szCs w:val="22"/>
          <w:highlight w:val="none"/>
          <w:lang w:eastAsia="zh-CN"/>
        </w:rPr>
        <w:t>租赁</w:t>
      </w:r>
      <w:r>
        <w:rPr>
          <w:rFonts w:hint="eastAsia" w:ascii="宋体" w:hAnsi="宋体" w:eastAsia="宋体" w:cs="宋体"/>
          <w:b w:val="0"/>
          <w:bCs w:val="0"/>
          <w:color w:val="auto"/>
          <w:sz w:val="22"/>
          <w:szCs w:val="22"/>
          <w:highlight w:val="none"/>
        </w:rPr>
        <w:t>、舞台背景喷绘制作、表演服装、演员劳务费、演出道具、字幕机、交通费、伙食费和住宿费、演出期间演职人员的意外保险、税金等所有费用），不得向演出地索要加付伙食费、住宿费等相关费用。</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5、成交供应商必须保证演出的质量，严格按照采购人对演出剧目、演出阵容、演出设备等要求规范演出，并严格按照要求完成送戏下乡演出任务场次，</w:t>
      </w:r>
      <w:r>
        <w:rPr>
          <w:rFonts w:hint="eastAsia" w:ascii="宋体" w:hAnsi="宋体" w:eastAsia="宋体" w:cs="宋体"/>
          <w:b w:val="0"/>
          <w:bCs w:val="0"/>
          <w:color w:val="auto"/>
          <w:sz w:val="22"/>
          <w:szCs w:val="22"/>
          <w:highlight w:val="none"/>
          <w:lang w:eastAsia="zh-CN"/>
        </w:rPr>
        <w:t>严禁</w:t>
      </w:r>
      <w:r>
        <w:rPr>
          <w:rFonts w:hint="eastAsia" w:ascii="宋体" w:hAnsi="宋体" w:eastAsia="宋体" w:cs="宋体"/>
          <w:b w:val="0"/>
          <w:bCs w:val="0"/>
          <w:color w:val="auto"/>
          <w:sz w:val="22"/>
          <w:szCs w:val="22"/>
          <w:highlight w:val="none"/>
        </w:rPr>
        <w:t>虚报场次。</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6、成交供应商在采购单位安排下实施演出任务，演出任务须在采购人规定的时间内完成。</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7、送戏下乡的演出安全责任和消防责任由成交供应商负责。</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8、成交供应商要按照采购人要求做好宣传工作，统一布置演出背景和宣传横幅，事先与演出地联系对接，张贴演出预告，完成资料采集，填写台账。</w:t>
      </w:r>
    </w:p>
    <w:p>
      <w:pPr>
        <w:pStyle w:val="2"/>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9、成交供应商不得转包演出任务。</w:t>
      </w:r>
    </w:p>
    <w:p>
      <w:pPr>
        <w:pStyle w:val="2"/>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keepNext/>
        <w:keepLines/>
        <w:widowControl w:val="0"/>
        <w:spacing w:before="120" w:after="120" w:line="420" w:lineRule="exact"/>
        <w:jc w:val="both"/>
        <w:outlineLvl w:val="1"/>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三、其他说明与要求</w:t>
      </w:r>
    </w:p>
    <w:p>
      <w:pPr>
        <w:widowControl/>
        <w:autoSpaceDE w:val="0"/>
        <w:autoSpaceDN w:val="0"/>
        <w:adjustRightInd w:val="0"/>
        <w:spacing w:line="440" w:lineRule="exact"/>
        <w:ind w:firstLine="440" w:firstLineChars="200"/>
        <w:textAlignment w:val="bottom"/>
        <w:rPr>
          <w:rFonts w:hint="eastAsia" w:ascii="宋体" w:eastAsia="宋体" w:cs="宋体"/>
          <w:b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供</w:t>
      </w:r>
      <w:r>
        <w:rPr>
          <w:rFonts w:hint="eastAsia" w:ascii="宋体" w:hAnsi="宋体" w:eastAsia="宋体" w:cs="宋体"/>
          <w:b w:val="0"/>
          <w:color w:val="auto"/>
          <w:sz w:val="22"/>
          <w:szCs w:val="22"/>
          <w:highlight w:val="none"/>
          <w:lang w:val="en-US" w:eastAsia="zh-CN"/>
        </w:rPr>
        <w:t>应商</w:t>
      </w:r>
      <w:r>
        <w:rPr>
          <w:rFonts w:hint="eastAsia" w:ascii="宋体" w:hAnsi="宋体" w:eastAsia="宋体" w:cs="宋体"/>
          <w:b w:val="0"/>
          <w:color w:val="auto"/>
          <w:sz w:val="22"/>
          <w:szCs w:val="22"/>
          <w:highlight w:val="none"/>
        </w:rPr>
        <w:t>需准备</w:t>
      </w:r>
      <w:r>
        <w:rPr>
          <w:rFonts w:hint="eastAsia" w:ascii="宋体" w:eastAsia="宋体" w:cs="宋体"/>
          <w:b w:val="0"/>
          <w:color w:val="auto"/>
          <w:sz w:val="22"/>
          <w:szCs w:val="22"/>
          <w:highlight w:val="none"/>
          <w:lang w:val="en-US" w:eastAsia="zh-CN"/>
        </w:rPr>
        <w:t>不超过10</w:t>
      </w:r>
      <w:r>
        <w:rPr>
          <w:rFonts w:hint="eastAsia" w:ascii="宋体" w:hAnsi="宋体" w:eastAsia="宋体" w:cs="宋体"/>
          <w:b w:val="0"/>
          <w:color w:val="auto"/>
          <w:sz w:val="22"/>
          <w:szCs w:val="22"/>
          <w:highlight w:val="none"/>
        </w:rPr>
        <w:t>分钟演出视频资料（</w:t>
      </w:r>
      <w:r>
        <w:rPr>
          <w:rFonts w:hint="eastAsia" w:ascii="宋体" w:hAnsi="宋体" w:eastAsia="宋体" w:cs="宋体"/>
          <w:b w:val="0"/>
          <w:color w:val="auto"/>
          <w:sz w:val="22"/>
          <w:szCs w:val="22"/>
          <w:highlight w:val="none"/>
        </w:rPr>
        <w:t>主要演员必须是</w:t>
      </w:r>
      <w:r>
        <w:rPr>
          <w:rFonts w:hint="eastAsia" w:ascii="宋体" w:hAnsi="宋体" w:eastAsia="宋体" w:cs="宋体"/>
          <w:b w:val="0"/>
          <w:color w:val="auto"/>
          <w:sz w:val="22"/>
          <w:szCs w:val="22"/>
          <w:highlight w:val="none"/>
          <w:lang w:val="en-US" w:eastAsia="zh-CN"/>
        </w:rPr>
        <w:t>供应商在职</w:t>
      </w:r>
      <w:r>
        <w:rPr>
          <w:rFonts w:hint="eastAsia" w:ascii="宋体" w:hAnsi="宋体" w:eastAsia="宋体" w:cs="宋体"/>
          <w:b w:val="0"/>
          <w:color w:val="auto"/>
          <w:sz w:val="22"/>
          <w:szCs w:val="22"/>
          <w:highlight w:val="none"/>
        </w:rPr>
        <w:t>演员），演出剧目和主要演员必须是今年参加送戏下乡的剧目和主要演员，</w:t>
      </w:r>
      <w:r>
        <w:rPr>
          <w:rFonts w:hint="eastAsia" w:ascii="宋体" w:hAnsi="宋体" w:eastAsia="宋体" w:cs="宋体"/>
          <w:b w:val="0"/>
          <w:bCs w:val="0"/>
          <w:color w:val="auto"/>
          <w:sz w:val="22"/>
          <w:szCs w:val="22"/>
          <w:highlight w:val="none"/>
        </w:rPr>
        <w:t>采用多媒体视频播放，</w:t>
      </w: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提供电子文档（采用U盘存储），格式为主流通用音视频媒体格式，演示播放时间</w:t>
      </w:r>
      <w:r>
        <w:rPr>
          <w:rFonts w:hint="eastAsia" w:asci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分钟内</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在投标截止前</w:t>
      </w:r>
      <w:r>
        <w:rPr>
          <w:rFonts w:hint="eastAsia" w:ascii="宋体" w:hAnsi="宋体" w:eastAsia="宋体" w:cs="宋体"/>
          <w:b w:val="0"/>
          <w:color w:val="auto"/>
          <w:sz w:val="22"/>
          <w:szCs w:val="22"/>
          <w:highlight w:val="none"/>
        </w:rPr>
        <w:t>提供</w:t>
      </w:r>
      <w:r>
        <w:rPr>
          <w:rFonts w:hint="eastAsia" w:ascii="宋体" w:hAnsi="宋体" w:eastAsia="宋体" w:cs="宋体"/>
          <w:b w:val="0"/>
          <w:bCs w:val="0"/>
          <w:color w:val="auto"/>
          <w:sz w:val="22"/>
          <w:szCs w:val="22"/>
          <w:highlight w:val="none"/>
        </w:rPr>
        <w:t>。因</w:t>
      </w: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自身原因导致无法演示或者演示效果不理想，责任自负</w:t>
      </w:r>
      <w:r>
        <w:rPr>
          <w:rFonts w:hint="eastAsia" w:ascii="宋体" w:eastAsia="宋体" w:cs="宋体"/>
          <w:b w:val="0"/>
          <w:color w:val="auto"/>
          <w:sz w:val="22"/>
          <w:szCs w:val="22"/>
          <w:highlight w:val="none"/>
          <w:lang w:eastAsia="zh-CN"/>
        </w:rPr>
        <w:t>。</w:t>
      </w:r>
    </w:p>
    <w:p>
      <w:pPr>
        <w:pStyle w:val="2"/>
        <w:rPr>
          <w:rFonts w:hint="default"/>
          <w:b/>
          <w:bCs w:val="0"/>
          <w:color w:val="auto"/>
          <w:highlight w:val="none"/>
          <w:lang w:val="en-US" w:eastAsia="zh-CN"/>
        </w:rPr>
      </w:pPr>
      <w:r>
        <w:rPr>
          <w:rFonts w:hint="eastAsia" w:ascii="宋体" w:eastAsia="宋体" w:cs="宋体"/>
          <w:b/>
          <w:bCs w:val="0"/>
          <w:color w:val="auto"/>
          <w:sz w:val="22"/>
          <w:szCs w:val="22"/>
          <w:highlight w:val="none"/>
          <w:lang w:val="en-US" w:eastAsia="zh-CN"/>
        </w:rPr>
        <w:t>注：同时参加标项一、标项二的仅需提供一个演出视频资料。</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color w:val="auto"/>
          <w:sz w:val="22"/>
          <w:szCs w:val="22"/>
          <w:highlight w:val="none"/>
        </w:rPr>
        <w:t>每场演出结束需填写演出反馈单（由文广旅体局提供），并由演出当地政府和村（社区）审核、盖章，</w:t>
      </w:r>
      <w:r>
        <w:rPr>
          <w:rFonts w:hint="eastAsia" w:ascii="宋体" w:hAnsi="宋体" w:eastAsia="宋体" w:cs="宋体"/>
          <w:b w:val="0"/>
          <w:bCs w:val="0"/>
          <w:i w:val="0"/>
          <w:iCs w:val="0"/>
          <w:caps w:val="0"/>
          <w:color w:val="auto"/>
          <w:spacing w:val="0"/>
          <w:sz w:val="22"/>
          <w:szCs w:val="22"/>
          <w:highlight w:val="none"/>
          <w:shd w:val="clear" w:fill="FFFFFF"/>
        </w:rPr>
        <w:t>每场演出提供3张</w:t>
      </w:r>
      <w:r>
        <w:rPr>
          <w:rFonts w:hint="eastAsia" w:ascii="宋体" w:hAnsi="宋体" w:eastAsia="宋体" w:cs="宋体"/>
          <w:b w:val="0"/>
          <w:bCs w:val="0"/>
          <w:i w:val="0"/>
          <w:iCs w:val="0"/>
          <w:caps w:val="0"/>
          <w:color w:val="auto"/>
          <w:spacing w:val="0"/>
          <w:sz w:val="22"/>
          <w:szCs w:val="22"/>
          <w:highlight w:val="none"/>
          <w:shd w:val="clear" w:fill="FFFFFF"/>
          <w:lang w:val="en-US" w:eastAsia="zh-CN"/>
        </w:rPr>
        <w:t>照片</w:t>
      </w:r>
      <w:r>
        <w:rPr>
          <w:rFonts w:hint="eastAsia" w:ascii="宋体" w:hAnsi="宋体" w:eastAsia="宋体" w:cs="宋体"/>
          <w:b w:val="0"/>
          <w:bCs w:val="0"/>
          <w:i w:val="0"/>
          <w:iCs w:val="0"/>
          <w:caps w:val="0"/>
          <w:color w:val="auto"/>
          <w:spacing w:val="0"/>
          <w:sz w:val="22"/>
          <w:szCs w:val="22"/>
          <w:highlight w:val="none"/>
          <w:shd w:val="clear" w:fill="FFFFFF"/>
        </w:rPr>
        <w:t>:主席台、观众席、整体照，照片需要地址、时间信息，可用水印相机进行拍摄，</w:t>
      </w:r>
      <w:r>
        <w:rPr>
          <w:rFonts w:hint="eastAsia" w:ascii="宋体" w:hAnsi="宋体" w:eastAsia="宋体" w:cs="宋体"/>
          <w:b w:val="0"/>
          <w:color w:val="auto"/>
          <w:sz w:val="22"/>
          <w:szCs w:val="22"/>
          <w:highlight w:val="none"/>
          <w:lang w:val="en-US" w:eastAsia="zh-CN"/>
        </w:rPr>
        <w:t>拍摄1分钟的现场演出视频</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照片和视频</w:t>
      </w:r>
      <w:r>
        <w:rPr>
          <w:rFonts w:hint="eastAsia" w:ascii="宋体" w:hAnsi="宋体" w:eastAsia="宋体" w:cs="宋体"/>
          <w:b w:val="0"/>
          <w:bCs w:val="0"/>
          <w:i w:val="0"/>
          <w:iCs w:val="0"/>
          <w:caps w:val="0"/>
          <w:color w:val="auto"/>
          <w:spacing w:val="0"/>
          <w:sz w:val="22"/>
          <w:szCs w:val="22"/>
          <w:highlight w:val="none"/>
          <w:shd w:val="clear" w:fill="FFFFFF"/>
        </w:rPr>
        <w:t>汇总成一个文件夹</w:t>
      </w:r>
      <w:r>
        <w:rPr>
          <w:rFonts w:hint="eastAsia" w:ascii="宋体" w:hAnsi="宋体" w:eastAsia="宋体" w:cs="宋体"/>
          <w:b w:val="0"/>
          <w:bCs w:val="0"/>
          <w:i w:val="0"/>
          <w:iCs w:val="0"/>
          <w:caps w:val="0"/>
          <w:color w:val="auto"/>
          <w:spacing w:val="0"/>
          <w:sz w:val="22"/>
          <w:szCs w:val="22"/>
          <w:highlight w:val="none"/>
          <w:shd w:val="clear" w:fill="FFFFFF"/>
          <w:lang w:val="en-US" w:eastAsia="zh-CN"/>
        </w:rPr>
        <w:t>存u盘待演出任务完成后交采购单位存档。</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绩效考评</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成交供应商要严格履行合同义务，按时完成服务项目任务，保证服务数量、质量和效果。</w:t>
      </w:r>
      <w:r>
        <w:rPr>
          <w:rFonts w:hint="eastAsia" w:ascii="宋体" w:eastAsia="宋体" w:cs="宋体"/>
          <w:b w:val="0"/>
          <w:bCs w:val="0"/>
          <w:color w:val="auto"/>
          <w:sz w:val="22"/>
          <w:szCs w:val="22"/>
          <w:highlight w:val="none"/>
          <w:lang w:eastAsia="zh-CN"/>
        </w:rPr>
        <w:t>采购人将不定期对项目落实情况进行绩效考评</w:t>
      </w:r>
      <w:r>
        <w:rPr>
          <w:rFonts w:hint="eastAsia" w:ascii="宋体" w:hAnsi="宋体" w:eastAsia="宋体" w:cs="宋体"/>
          <w:b w:val="0"/>
          <w:bCs w:val="0"/>
          <w:color w:val="auto"/>
          <w:sz w:val="22"/>
          <w:szCs w:val="22"/>
          <w:highlight w:val="none"/>
        </w:rPr>
        <w:t>，重点考评服务质量、受惠群众规模、群众满意度及活动影响力等。</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、项目运行评价</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对供应商承接项目运行情况进行综合评价指标如下：</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（1）供应商经营状况良好，诚实守信，无不良经营记录（</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（2）演出有安全预案</w:t>
      </w:r>
      <w:r>
        <w:rPr>
          <w:rFonts w:hint="eastAsia" w:ascii="宋体" w:hAnsi="宋体" w:eastAsia="宋体" w:cs="宋体"/>
          <w:b w:val="0"/>
          <w:bCs w:val="0"/>
          <w:color w:val="auto"/>
          <w:sz w:val="22"/>
          <w:szCs w:val="22"/>
          <w:highlight w:val="none"/>
          <w:lang w:eastAsia="zh-CN"/>
        </w:rPr>
        <w:t>和</w:t>
      </w:r>
      <w:r>
        <w:rPr>
          <w:rFonts w:hint="eastAsia" w:ascii="宋体" w:hAnsi="宋体" w:eastAsia="宋体" w:cs="宋体"/>
          <w:b w:val="0"/>
          <w:bCs w:val="0"/>
          <w:color w:val="auto"/>
          <w:sz w:val="22"/>
          <w:szCs w:val="22"/>
          <w:highlight w:val="none"/>
        </w:rPr>
        <w:t>活动操作流程（</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hAnsi="宋体" w:eastAsia="宋体" w:cs="宋体"/>
          <w:b w:val="0"/>
          <w:bCs w:val="0"/>
          <w:color w:val="auto"/>
          <w:sz w:val="22"/>
          <w:szCs w:val="22"/>
          <w:highlight w:val="none"/>
          <w:lang w:eastAsia="zh-CN"/>
        </w:rPr>
        <w:t>剧团及场地的安全与秩序管理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color w:val="auto"/>
          <w:sz w:val="22"/>
          <w:szCs w:val="22"/>
          <w:highlight w:val="none"/>
          <w:lang w:eastAsia="zh-CN"/>
        </w:rPr>
        <w:t>演出剧目是否为点单剧目</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r>
        <w:rPr>
          <w:rFonts w:hint="eastAsia" w:ascii="宋体" w:hAnsi="宋体" w:eastAsia="宋体" w:cs="宋体"/>
          <w:b w:val="0"/>
          <w:bCs w:val="0"/>
          <w:color w:val="auto"/>
          <w:sz w:val="22"/>
          <w:szCs w:val="22"/>
          <w:highlight w:val="none"/>
          <w:lang w:eastAsia="zh-CN"/>
        </w:rPr>
        <w:t>设施设备状况和演员人数</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）现场观众测评满意率（</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）当前项目运行零投诉（10分）。</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综合评价低于80分的场次，按照成交价格80%予以结算</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供应商必须在指定时间和地点进行演出，如果拒绝或者未按指定时间到</w:t>
      </w:r>
      <w:r>
        <w:rPr>
          <w:rFonts w:hint="eastAsia" w:ascii="宋体" w:eastAsia="宋体" w:cs="宋体"/>
          <w:b w:val="0"/>
          <w:bCs w:val="0"/>
          <w:color w:val="auto"/>
          <w:sz w:val="22"/>
          <w:szCs w:val="22"/>
          <w:highlight w:val="none"/>
          <w:lang w:val="en-US" w:eastAsia="zh-CN"/>
        </w:rPr>
        <w:t>达</w:t>
      </w:r>
      <w:r>
        <w:rPr>
          <w:rFonts w:hint="eastAsia" w:ascii="宋体" w:hAnsi="宋体" w:eastAsia="宋体" w:cs="宋体"/>
          <w:b w:val="0"/>
          <w:bCs w:val="0"/>
          <w:color w:val="auto"/>
          <w:sz w:val="22"/>
          <w:szCs w:val="22"/>
          <w:highlight w:val="none"/>
        </w:rPr>
        <w:t>指定地点演出的，发生一次罚款5000元。若供应商依然不进行整改，则采购人有权终止合同。</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付款方式</w:t>
      </w:r>
    </w:p>
    <w:p>
      <w:pPr>
        <w:widowControl/>
        <w:autoSpaceDE w:val="0"/>
        <w:autoSpaceDN w:val="0"/>
        <w:adjustRightInd w:val="0"/>
        <w:spacing w:line="44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每季度末前向采购方上报费用清单和提供台账，演出全部完成后进行结算</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如有</w:t>
      </w:r>
      <w:r>
        <w:rPr>
          <w:rFonts w:hint="eastAsia" w:ascii="宋体" w:hAnsi="宋体" w:eastAsia="宋体" w:cs="宋体"/>
          <w:b w:val="0"/>
          <w:bCs w:val="0"/>
          <w:color w:val="auto"/>
          <w:sz w:val="22"/>
          <w:szCs w:val="22"/>
          <w:highlight w:val="none"/>
        </w:rPr>
        <w:t>综合评价分低于80分</w:t>
      </w:r>
      <w:r>
        <w:rPr>
          <w:rFonts w:hint="eastAsia" w:ascii="宋体" w:hAnsi="宋体" w:eastAsia="宋体" w:cs="宋体"/>
          <w:b w:val="0"/>
          <w:bCs w:val="0"/>
          <w:color w:val="auto"/>
          <w:sz w:val="22"/>
          <w:szCs w:val="22"/>
          <w:highlight w:val="none"/>
          <w:lang w:eastAsia="zh-CN"/>
        </w:rPr>
        <w:t>的场次，</w:t>
      </w:r>
      <w:r>
        <w:rPr>
          <w:rFonts w:hint="eastAsia" w:ascii="宋体" w:hAnsi="宋体" w:eastAsia="宋体" w:cs="宋体"/>
          <w:b w:val="0"/>
          <w:bCs w:val="0"/>
          <w:color w:val="auto"/>
          <w:sz w:val="22"/>
          <w:szCs w:val="22"/>
          <w:highlight w:val="none"/>
        </w:rPr>
        <w:t>按照成交价格</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rPr>
        <w:t>80%予以结算。</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根据《浙江省财政厅关于进一步发挥政府采购政策功能全力推动经济稳进提质的通知》（浙财采监[2022]3号）的规定，双方协商决定付款比例，如采购人无法按上述约定期限支付对应款项的，采购人与中标供应商根据实际情况另行协商确定付款时间，中标供应商确认不因采购人延期付款的情形要求采购人承担逾期付款利息等违约责任。</w:t>
      </w:r>
      <w:r>
        <w:rPr>
          <w:rFonts w:hint="eastAsia" w:ascii="宋体" w:hAnsi="宋体" w:eastAsia="宋体" w:cs="宋体"/>
          <w:b w:val="0"/>
          <w:bCs w:val="0"/>
          <w:color w:val="auto"/>
          <w:sz w:val="22"/>
          <w:szCs w:val="22"/>
          <w:highlight w:val="none"/>
          <w:lang w:eastAsia="zh-CN"/>
        </w:rPr>
        <w:t>）</w:t>
      </w:r>
    </w:p>
    <w:p>
      <w:pPr>
        <w:widowControl/>
        <w:autoSpaceDE w:val="0"/>
        <w:autoSpaceDN w:val="0"/>
        <w:adjustRightInd w:val="0"/>
        <w:spacing w:line="440" w:lineRule="exact"/>
        <w:ind w:firstLine="442" w:firstLineChars="200"/>
        <w:textAlignment w:val="bottom"/>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6、本次2024年永嘉县送戏下乡公益演出总场次为100场，分3个标项。其中标项一、标项二中标候选单位根据</w:t>
      </w:r>
      <w:r>
        <w:rPr>
          <w:rFonts w:hint="eastAsia" w:ascii="宋体" w:eastAsia="宋体" w:cs="宋体"/>
          <w:b/>
          <w:bCs/>
          <w:color w:val="auto"/>
          <w:sz w:val="22"/>
          <w:szCs w:val="22"/>
          <w:highlight w:val="none"/>
          <w:lang w:val="en-US" w:eastAsia="zh-CN"/>
        </w:rPr>
        <w:t>越剧（</w:t>
      </w:r>
      <w:r>
        <w:rPr>
          <w:rFonts w:hint="eastAsia" w:ascii="宋体" w:hAnsi="宋体" w:eastAsia="宋体" w:cs="宋体"/>
          <w:b/>
          <w:bCs/>
          <w:color w:val="auto"/>
          <w:sz w:val="22"/>
          <w:szCs w:val="22"/>
          <w:highlight w:val="none"/>
          <w:lang w:val="en-US" w:eastAsia="zh-CN"/>
        </w:rPr>
        <w:t>标项一、标项二</w:t>
      </w:r>
      <w:r>
        <w:rPr>
          <w:rFonts w:hint="eastAsia" w:asci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综合得分排名先后顺序依次选择标项，排名第一的单位为标项一</w:t>
      </w:r>
      <w:r>
        <w:rPr>
          <w:rFonts w:hint="eastAsia" w:ascii="宋体" w:eastAsia="宋体" w:cs="宋体"/>
          <w:b/>
          <w:bCs/>
          <w:color w:val="auto"/>
          <w:sz w:val="22"/>
          <w:szCs w:val="22"/>
          <w:highlight w:val="none"/>
          <w:lang w:val="en-US" w:eastAsia="zh-CN"/>
        </w:rPr>
        <w:t>成交候选人</w:t>
      </w:r>
      <w:r>
        <w:rPr>
          <w:rFonts w:hint="eastAsia" w:ascii="宋体" w:hAnsi="宋体" w:eastAsia="宋体" w:cs="宋体"/>
          <w:b/>
          <w:bCs/>
          <w:color w:val="auto"/>
          <w:sz w:val="22"/>
          <w:szCs w:val="22"/>
          <w:highlight w:val="none"/>
          <w:lang w:val="en-US" w:eastAsia="zh-CN"/>
        </w:rPr>
        <w:t>，排名第二的单位为标项二</w:t>
      </w:r>
      <w:r>
        <w:rPr>
          <w:rFonts w:hint="eastAsia" w:ascii="宋体" w:eastAsia="宋体" w:cs="宋体"/>
          <w:b/>
          <w:bCs/>
          <w:color w:val="auto"/>
          <w:sz w:val="22"/>
          <w:szCs w:val="22"/>
          <w:highlight w:val="none"/>
          <w:lang w:val="en-US" w:eastAsia="zh-CN"/>
        </w:rPr>
        <w:t>成交候选人</w:t>
      </w:r>
      <w:r>
        <w:rPr>
          <w:rFonts w:hint="eastAsia" w:ascii="宋体" w:hAnsi="宋体" w:eastAsia="宋体" w:cs="宋体"/>
          <w:b/>
          <w:bCs/>
          <w:color w:val="auto"/>
          <w:sz w:val="22"/>
          <w:szCs w:val="22"/>
          <w:highlight w:val="none"/>
          <w:lang w:val="en-US" w:eastAsia="zh-CN"/>
        </w:rPr>
        <w:t>；标项三中标候选单位根据</w:t>
      </w:r>
      <w:r>
        <w:rPr>
          <w:rFonts w:hint="eastAsia" w:ascii="宋体" w:eastAsia="宋体" w:cs="宋体"/>
          <w:b/>
          <w:bCs/>
          <w:color w:val="auto"/>
          <w:sz w:val="22"/>
          <w:szCs w:val="22"/>
          <w:highlight w:val="none"/>
          <w:lang w:val="en-US" w:eastAsia="zh-CN"/>
        </w:rPr>
        <w:t>瓯剧（标项三）</w:t>
      </w:r>
      <w:r>
        <w:rPr>
          <w:rFonts w:hint="eastAsia" w:ascii="宋体" w:hAnsi="宋体" w:eastAsia="宋体" w:cs="宋体"/>
          <w:b/>
          <w:bCs/>
          <w:color w:val="auto"/>
          <w:sz w:val="22"/>
          <w:szCs w:val="22"/>
          <w:highlight w:val="none"/>
          <w:lang w:val="en-US" w:eastAsia="zh-CN"/>
        </w:rPr>
        <w:t>综合得分排名先后顺序依次确定，排名第一的单位为标项</w:t>
      </w:r>
      <w:r>
        <w:rPr>
          <w:rFonts w:hint="eastAsia" w:ascii="宋体" w:eastAsia="宋体" w:cs="宋体"/>
          <w:b/>
          <w:bCs/>
          <w:color w:val="auto"/>
          <w:sz w:val="22"/>
          <w:szCs w:val="22"/>
          <w:highlight w:val="none"/>
          <w:lang w:val="en-US" w:eastAsia="zh-CN"/>
        </w:rPr>
        <w:t>三成交候选人</w:t>
      </w:r>
      <w:r>
        <w:rPr>
          <w:rFonts w:hint="eastAsia" w:ascii="宋体" w:hAnsi="宋体" w:eastAsia="宋体" w:cs="宋体"/>
          <w:b/>
          <w:bCs/>
          <w:color w:val="auto"/>
          <w:sz w:val="22"/>
          <w:szCs w:val="22"/>
          <w:highlight w:val="none"/>
          <w:lang w:val="en-US" w:eastAsia="zh-CN"/>
        </w:rPr>
        <w:t>。</w:t>
      </w:r>
    </w:p>
    <w:p>
      <w:pPr>
        <w:spacing w:line="360" w:lineRule="auto"/>
        <w:ind w:firstLine="431" w:firstLineChars="196"/>
        <w:rPr>
          <w:rFonts w:hint="eastAsia" w:ascii="宋体" w:hAnsi="宋体" w:eastAsia="宋体" w:cs="宋体"/>
          <w:b w:val="0"/>
          <w:color w:val="auto"/>
          <w:sz w:val="22"/>
          <w:szCs w:val="22"/>
          <w:highlight w:val="none"/>
          <w:u w:val="single"/>
        </w:rPr>
      </w:pPr>
      <w:r>
        <w:rPr>
          <w:rFonts w:hint="eastAsia" w:ascii="宋体" w:hAnsi="宋体" w:eastAsia="宋体" w:cs="宋体"/>
          <w:b w:val="0"/>
          <w:color w:val="auto"/>
          <w:sz w:val="22"/>
          <w:szCs w:val="22"/>
          <w:highlight w:val="none"/>
          <w:u w:val="single"/>
        </w:rPr>
        <w:t>★注：1. 本磋商文件中带“▲”的条款内</w:t>
      </w:r>
      <w:r>
        <w:rPr>
          <w:rFonts w:hint="eastAsia" w:ascii="宋体" w:hAnsi="宋体" w:eastAsia="宋体" w:cs="宋体"/>
          <w:b w:val="0"/>
          <w:color w:val="auto"/>
          <w:sz w:val="22"/>
          <w:szCs w:val="22"/>
          <w:highlight w:val="none"/>
          <w:u w:val="single"/>
        </w:rPr>
        <w:t>容，为本次采购的实质性内容，供应商必须全部响应，否则将作无效标处理。“★”的条款内容为重要性条款，供应商对重要条款的响应程度将作为评审工作的主要依据之一。</w:t>
      </w:r>
    </w:p>
    <w:bookmarkEnd w:id="4"/>
    <w:p>
      <w:pPr>
        <w:rPr>
          <w:rFonts w:ascii="宋体" w:eastAsia="宋体"/>
          <w:color w:val="auto"/>
          <w:highlight w:val="none"/>
        </w:rPr>
      </w:pPr>
      <w:bookmarkStart w:id="6" w:name="_Toc24611"/>
      <w:r>
        <w:rPr>
          <w:rFonts w:hint="eastAsia" w:ascii="宋体" w:eastAsia="宋体"/>
          <w:color w:val="auto"/>
          <w:highlight w:val="none"/>
        </w:rPr>
        <w:br w:type="page"/>
      </w:r>
    </w:p>
    <w:p>
      <w:pPr>
        <w:pStyle w:val="8"/>
        <w:rPr>
          <w:rFonts w:ascii="宋体" w:hAnsi="宋体" w:cs="宋体"/>
          <w:color w:val="auto"/>
          <w:highlight w:val="none"/>
        </w:rPr>
      </w:pPr>
      <w:r>
        <w:rPr>
          <w:rFonts w:hint="eastAsia" w:ascii="宋体" w:hAnsi="宋体" w:cs="宋体"/>
          <w:color w:val="auto"/>
          <w:highlight w:val="none"/>
        </w:rPr>
        <w:t>第三部分 投标供应商须知</w:t>
      </w:r>
      <w:bookmarkEnd w:id="6"/>
    </w:p>
    <w:p>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一、说明</w:t>
      </w:r>
    </w:p>
    <w:p>
      <w:pPr>
        <w:widowControl/>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1、本次采购工作是按照《中华人民共和国政府采购法》、《政府采购竞争性磋商采购方式管理暂行办法》及相关法律规章组织和实施。</w:t>
      </w:r>
    </w:p>
    <w:p>
      <w:pPr>
        <w:widowControl/>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2、无论采购过程中的作法和结果如何，投标供应商自行承担采购活动中所发生的全部费用。</w:t>
      </w:r>
    </w:p>
    <w:p>
      <w:pPr>
        <w:adjustRightInd w:val="0"/>
        <w:spacing w:line="360" w:lineRule="auto"/>
        <w:ind w:firstLine="431" w:firstLineChars="196"/>
        <w:rPr>
          <w:rFonts w:ascii="宋体" w:eastAsia="宋体"/>
          <w:color w:val="auto"/>
          <w:sz w:val="22"/>
          <w:szCs w:val="22"/>
          <w:highlight w:val="none"/>
          <w:u w:val="single"/>
        </w:rPr>
      </w:pPr>
      <w:r>
        <w:rPr>
          <w:rFonts w:hint="eastAsia" w:ascii="宋体" w:eastAsia="宋体"/>
          <w:b w:val="0"/>
          <w:color w:val="auto"/>
          <w:sz w:val="22"/>
          <w:szCs w:val="22"/>
          <w:highlight w:val="none"/>
        </w:rPr>
        <w:t>3、</w:t>
      </w:r>
      <w:r>
        <w:rPr>
          <w:rFonts w:hint="eastAsia" w:ascii="宋体" w:eastAsia="宋体"/>
          <w:color w:val="auto"/>
          <w:sz w:val="22"/>
          <w:szCs w:val="22"/>
          <w:highlight w:val="none"/>
          <w:u w:val="single"/>
        </w:rPr>
        <w:t>投标供应商必须对全部服务内容进行投标。</w:t>
      </w:r>
    </w:p>
    <w:p>
      <w:pPr>
        <w:spacing w:line="360" w:lineRule="auto"/>
        <w:ind w:firstLine="442" w:firstLineChars="200"/>
        <w:rPr>
          <w:rFonts w:ascii="宋体" w:eastAsia="宋体"/>
          <w:color w:val="auto"/>
          <w:sz w:val="22"/>
          <w:szCs w:val="22"/>
          <w:highlight w:val="none"/>
        </w:rPr>
      </w:pPr>
      <w:r>
        <w:rPr>
          <w:rFonts w:hint="eastAsia" w:ascii="宋体" w:eastAsia="宋体"/>
          <w:color w:val="auto"/>
          <w:sz w:val="22"/>
          <w:szCs w:val="22"/>
          <w:highlight w:val="none"/>
        </w:rPr>
        <w:t>4、▲</w:t>
      </w:r>
      <w:r>
        <w:rPr>
          <w:rFonts w:hint="eastAsia" w:ascii="宋体" w:eastAsia="宋体"/>
          <w:color w:val="auto"/>
          <w:sz w:val="22"/>
          <w:szCs w:val="22"/>
          <w:highlight w:val="none"/>
          <w:u w:val="single"/>
        </w:rPr>
        <w:t>本项目采用竞争性磋商采购方式进行采购，在磋商过程中，磋商小组可以根据磋商文件和磋商情况实质性变动服务要求以及合同草案条款，但不得变动磋商文件中的其他内容。已提交磋商响应文件的投标供应商，在提交最后报价之前，可以根据磋商情况退出磋商。</w:t>
      </w:r>
    </w:p>
    <w:p>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5、投标供应商领取磋商文件后如不前来投标，需在开标前三日书面通知采购代理机构，以便于本项目后续工作开展。</w:t>
      </w:r>
    </w:p>
    <w:p>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w:t>
      </w:r>
      <w:r>
        <w:rPr>
          <w:rFonts w:hint="eastAsia" w:ascii="宋体" w:eastAsia="宋体"/>
          <w:b w:val="0"/>
          <w:bCs w:val="0"/>
          <w:color w:val="auto"/>
          <w:sz w:val="22"/>
          <w:szCs w:val="22"/>
          <w:highlight w:val="none"/>
          <w:lang w:eastAsia="zh-CN"/>
        </w:rPr>
        <w:t>成交候选人</w:t>
      </w:r>
      <w:r>
        <w:rPr>
          <w:rFonts w:hint="eastAsia" w:ascii="宋体" w:eastAsia="宋体"/>
          <w:b w:val="0"/>
          <w:bCs w:val="0"/>
          <w:color w:val="auto"/>
          <w:sz w:val="22"/>
          <w:szCs w:val="22"/>
          <w:highlight w:val="none"/>
        </w:rPr>
        <w:t>。</w:t>
      </w:r>
    </w:p>
    <w:p>
      <w:pPr>
        <w:spacing w:line="360" w:lineRule="auto"/>
        <w:ind w:firstLine="440" w:firstLineChars="200"/>
        <w:rPr>
          <w:rFonts w:ascii="宋体" w:eastAsia="宋体"/>
          <w:color w:val="auto"/>
          <w:sz w:val="22"/>
          <w:szCs w:val="22"/>
          <w:highlight w:val="none"/>
        </w:rPr>
      </w:pPr>
      <w:r>
        <w:rPr>
          <w:rFonts w:hint="eastAsia" w:ascii="宋体" w:eastAsia="宋体"/>
          <w:b w:val="0"/>
          <w:bCs w:val="0"/>
          <w:color w:val="auto"/>
          <w:sz w:val="22"/>
          <w:szCs w:val="22"/>
          <w:highlight w:val="none"/>
        </w:rPr>
        <w:t>7、</w:t>
      </w:r>
      <w:r>
        <w:rPr>
          <w:rFonts w:hint="eastAsia" w:ascii="宋体" w:eastAsia="宋体"/>
          <w:color w:val="auto"/>
          <w:sz w:val="22"/>
          <w:szCs w:val="22"/>
          <w:highlight w:val="none"/>
        </w:rPr>
        <w:t>本项目采用在线投标响应方式，执行《浙江省财政厅关于印发浙江省政府采购项目电子交易管理暂行办法的通知》（浙财采监〔2019〕10 号）等相关规定。</w:t>
      </w:r>
    </w:p>
    <w:p>
      <w:pPr>
        <w:widowControl/>
        <w:autoSpaceDE w:val="0"/>
        <w:autoSpaceDN w:val="0"/>
        <w:adjustRightInd w:val="0"/>
        <w:spacing w:line="360" w:lineRule="auto"/>
        <w:ind w:firstLine="442" w:firstLineChars="200"/>
        <w:textAlignment w:val="bottom"/>
        <w:rPr>
          <w:rFonts w:ascii="宋体" w:eastAsia="宋体"/>
          <w:color w:val="auto"/>
          <w:sz w:val="22"/>
          <w:szCs w:val="22"/>
          <w:highlight w:val="none"/>
        </w:rPr>
      </w:pPr>
      <w:r>
        <w:rPr>
          <w:rFonts w:hint="eastAsia" w:ascii="宋体" w:eastAsia="宋体"/>
          <w:color w:val="auto"/>
          <w:sz w:val="22"/>
          <w:szCs w:val="22"/>
          <w:highlight w:val="none"/>
        </w:rPr>
        <w:t>8、执行节能产品政府强制采购和优先采购政策，执行环境标志产品政府优先采购政策；</w:t>
      </w:r>
    </w:p>
    <w:p>
      <w:pPr>
        <w:spacing w:line="360" w:lineRule="auto"/>
        <w:ind w:firstLine="442" w:firstLineChars="200"/>
        <w:rPr>
          <w:rFonts w:ascii="宋体" w:eastAsia="宋体"/>
          <w:color w:val="auto"/>
          <w:sz w:val="22"/>
          <w:szCs w:val="22"/>
          <w:highlight w:val="none"/>
        </w:rPr>
      </w:pPr>
      <w:r>
        <w:rPr>
          <w:rFonts w:hint="eastAsia" w:ascii="宋体" w:eastAsia="宋体"/>
          <w:color w:val="auto"/>
          <w:sz w:val="22"/>
          <w:szCs w:val="22"/>
          <w:highlight w:val="none"/>
        </w:rPr>
        <w:t>9、根据浙江省财政厅《关于坚决打赢疫情防控狙击战进一步做好政府采购资金支持企业发展工作的通知》（浙财采监〔2020〕3号）和</w:t>
      </w:r>
      <w:r>
        <w:rPr>
          <w:rFonts w:hint="eastAsia" w:ascii="宋体" w:eastAsia="宋体"/>
          <w:color w:val="auto"/>
          <w:sz w:val="22"/>
          <w:szCs w:val="22"/>
          <w:highlight w:val="none"/>
          <w:lang w:eastAsia="zh-CN"/>
        </w:rPr>
        <w:t>永嘉县文化和广电旅游体育局</w:t>
      </w:r>
      <w:r>
        <w:rPr>
          <w:rFonts w:hint="eastAsia" w:ascii="宋体" w:eastAsia="宋体"/>
          <w:color w:val="auto"/>
          <w:sz w:val="22"/>
          <w:szCs w:val="22"/>
          <w:highlight w:val="none"/>
        </w:rPr>
        <w:t>《关于做好政府采购相关工作应对新冠肺炎疫情支持中小企业共渡难关的通知》（永财采监〔2020〕47号）文件精神，</w:t>
      </w:r>
      <w:r>
        <w:rPr>
          <w:rFonts w:hint="eastAsia" w:ascii="宋体" w:eastAsia="宋体"/>
          <w:color w:val="auto"/>
          <w:sz w:val="22"/>
          <w:szCs w:val="22"/>
          <w:highlight w:val="none"/>
          <w:lang w:eastAsia="zh-CN"/>
        </w:rPr>
        <w:t>永嘉县文化和广电旅游体育局</w:t>
      </w:r>
      <w:r>
        <w:rPr>
          <w:rFonts w:hint="eastAsia" w:ascii="宋体" w:eastAsia="宋体"/>
          <w:color w:val="auto"/>
          <w:sz w:val="22"/>
          <w:szCs w:val="22"/>
          <w:highlight w:val="none"/>
        </w:rPr>
        <w:t>积极协同永嘉县相关金融机构，加快推广政采贷、履约保函等政府采购金融服务。各中标供应商可直接在政采云上申请政采贷也可以通过线下申请政采贷活动，永嘉县域内金融机构政采贷服务业务介绍详见采购公告“政采贷融资”，如有需要可直接联系。</w:t>
      </w:r>
    </w:p>
    <w:p>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10、采用最低评标价法的采购项目，提供相同品牌产品的不同投标供应商参加同一合同项下投标的，以其中通过资格审查、符合性审查且报价最低的参加评标；报价相同的，采取随机抽取方式确定，其他投标无效。</w:t>
      </w:r>
    </w:p>
    <w:p>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w:t>
      </w:r>
      <w:r>
        <w:rPr>
          <w:rFonts w:hint="eastAsia" w:ascii="宋体" w:eastAsia="宋体"/>
          <w:b w:val="0"/>
          <w:bCs w:val="0"/>
          <w:color w:val="auto"/>
          <w:sz w:val="22"/>
          <w:szCs w:val="22"/>
          <w:highlight w:val="none"/>
          <w:lang w:eastAsia="zh-CN"/>
        </w:rPr>
        <w:t>成交候选人</w:t>
      </w:r>
      <w:r>
        <w:rPr>
          <w:rFonts w:hint="eastAsia" w:ascii="宋体" w:eastAsia="宋体"/>
          <w:b w:val="0"/>
          <w:bCs w:val="0"/>
          <w:color w:val="auto"/>
          <w:sz w:val="22"/>
          <w:szCs w:val="22"/>
          <w:highlight w:val="none"/>
        </w:rPr>
        <w:t>。</w:t>
      </w:r>
    </w:p>
    <w:p>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非单一产品采购项目， 单项产品投标价格比重占总投标价 50% 及以上的认定为核心产品 （有效投标供应商中一家供应商该产品投标价格占总投标价 50% 级以上即认定）， 多家投标供应商提供的核心产品品牌相同的，按前两款规定处理。</w:t>
      </w:r>
    </w:p>
    <w:p>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二、投标供应商资格条件</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按采购公告要求</w:t>
      </w:r>
    </w:p>
    <w:p>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三、竞争性磋商文件</w:t>
      </w:r>
    </w:p>
    <w:p>
      <w:pPr>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1、竞争性磋商文件</w:t>
      </w:r>
    </w:p>
    <w:p>
      <w:pPr>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1.1竞争性磋商文件发放</w:t>
      </w:r>
    </w:p>
    <w:p>
      <w:pPr>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采购文件实行“政采云平台”在线获取，不提供采购文件纸质版。</w:t>
      </w:r>
    </w:p>
    <w:p>
      <w:pPr>
        <w:spacing w:line="360" w:lineRule="auto"/>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1.2竞争性磋商文件约束力</w:t>
      </w:r>
    </w:p>
    <w:p>
      <w:pPr>
        <w:autoSpaceDE w:val="0"/>
        <w:autoSpaceDN w:val="0"/>
        <w:adjustRightInd w:val="0"/>
        <w:spacing w:line="360" w:lineRule="auto"/>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投标供应商一旦下载了本竞争性磋商文件并参加投标，即被认为接受了本竞争性磋商文件中所有条款和规定。</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2、质疑</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2.1投标供应商认为采购文件、采购过程、中标或者成交结果使自己的权益受到损害的，可以在知道或者应知其权益受到损害之日起7个工作日内，以书面形式或在政采云（在线询问和质疑系统）中向采购人、采购代理机构提出质疑。逾期提出的，采购组织机构将不予受理、答复。</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2.2投标供应商提出质疑应当提交质疑函和必要的证明材料，质疑函范本请到“浙江政府采购网下载专区”下载，质疑函内容及签署等相关要求请参看《政府采购质疑和投诉办法》相关规定。</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2.3提出质疑的投标供应商应当是参与本项目招标活动的投标供应商。投标供应商在法定质疑期内一次性提出针对同一采购程序环节的质疑。</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2.4根据《政府采购质疑和投诉办法》第三十七条的规定，投诉人在全国范围12个月内三次以上投诉查无实据的，由财政部门列入不良行为记录名单。</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3.投诉</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3.1质疑投标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4.采购文件的澄清或修改</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下载公告附件，潜在投标供应商在收到该公告附件后应于1日内，以书面或传真形式（签署意见并加盖公章）向采购代理机构回函给予确认。过期未回复的，视为默认接受。澄清或者修改的内容为采购文件的组成部分。</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4.2澄清或者修改的内容可能影响响应文件编制的，采购人或者采购代理机构应当在投标截止时间至少5日前，以书面形式（在浙江政府采购网上发布公告）通知所有获取采购文件的潜在投标供应商；不足5日的，采购人或者采购代理机构应当顺延提交响应文件的截止时间。</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4.3采购文件如有补充更正均见“政采云”（http://www.zjzfcg.gov.cn）。投标供应商须在开标前一日自行查看是否有补充更正文件，并按补充更正文件要求投标，否则责任自负。</w:t>
      </w:r>
    </w:p>
    <w:p>
      <w:pPr>
        <w:autoSpaceDE w:val="0"/>
        <w:autoSpaceDN w:val="0"/>
        <w:adjustRightInd w:val="0"/>
        <w:spacing w:line="360" w:lineRule="auto"/>
        <w:ind w:firstLine="442" w:firstLineChars="200"/>
        <w:rPr>
          <w:rFonts w:ascii="宋体" w:eastAsia="宋体"/>
          <w:bCs w:val="0"/>
          <w:color w:val="auto"/>
          <w:sz w:val="22"/>
          <w:szCs w:val="22"/>
          <w:highlight w:val="none"/>
        </w:rPr>
      </w:pPr>
      <w:r>
        <w:rPr>
          <w:rFonts w:hint="eastAsia" w:ascii="宋体" w:eastAsia="宋体"/>
          <w:bCs w:val="0"/>
          <w:color w:val="auto"/>
          <w:sz w:val="22"/>
          <w:szCs w:val="22"/>
          <w:highlight w:val="none"/>
        </w:rPr>
        <w:t>四、磋商响应文件</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1、磋商响应文件</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1.1投标供应商应仔细阅读竞争性磋商文件中的所有内容，按照竞争性磋商文件要求，详细编制磋商响应文件。并对竞争性磋商文件的要求做出实质上响应。实质上响应的报价应该是与竞争性磋商文件要求没有重大偏离的磋商响应文件。未实质上响应的磋商响应文件将被拒绝，但允许投标供应商在基本满足采购要求的前提下出现的微小差异。</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1.2投标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1.3投标供应商应仔细阅读竞争性磋商文件中的所有内容，按照竞争性磋商文件要求，详细编制磋商响应文件，所有文件资料必须是针对本次投标。不按竞争性磋商文件的要求提供的磋商响应文件可能导致被拒绝。</w:t>
      </w:r>
    </w:p>
    <w:p>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2、磋商响应文件的组成</w:t>
      </w:r>
    </w:p>
    <w:p>
      <w:pPr>
        <w:autoSpaceDE w:val="0"/>
        <w:autoSpaceDN w:val="0"/>
        <w:adjustRightInd w:val="0"/>
        <w:spacing w:line="360" w:lineRule="auto"/>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磋商响应文件由资格文件、报价文件、商务技术文件三部分组成。</w:t>
      </w:r>
    </w:p>
    <w:p>
      <w:pPr>
        <w:autoSpaceDE w:val="0"/>
        <w:autoSpaceDN w:val="0"/>
        <w:adjustRightInd w:val="0"/>
        <w:spacing w:line="450" w:lineRule="atLeast"/>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2.1、资格文件部分组成</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8061"/>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30" w:lineRule="atLeast"/>
              <w:jc w:val="center"/>
              <w:rPr>
                <w:rFonts w:ascii="宋体" w:eastAsia="宋体"/>
                <w:color w:val="auto"/>
                <w:sz w:val="22"/>
                <w:highlight w:val="none"/>
                <w:lang w:val="zh-CN"/>
              </w:rPr>
            </w:pPr>
            <w:r>
              <w:rPr>
                <w:rFonts w:hint="eastAsia" w:ascii="宋体" w:eastAsia="宋体"/>
                <w:color w:val="auto"/>
                <w:sz w:val="22"/>
                <w:szCs w:val="22"/>
                <w:highlight w:val="none"/>
                <w:lang w:val="zh-CN"/>
              </w:rPr>
              <w:t>序号</w:t>
            </w:r>
          </w:p>
        </w:tc>
        <w:tc>
          <w:tcPr>
            <w:tcW w:w="4213"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ascii="宋体" w:eastAsia="宋体"/>
                <w:color w:val="auto"/>
                <w:sz w:val="22"/>
                <w:highlight w:val="none"/>
                <w:lang w:val="zh-CN"/>
              </w:rPr>
            </w:pPr>
            <w:r>
              <w:rPr>
                <w:rFonts w:hint="eastAsia" w:ascii="宋体" w:eastAsia="宋体"/>
                <w:color w:val="auto"/>
                <w:sz w:val="22"/>
                <w:szCs w:val="22"/>
                <w:highlight w:val="none"/>
                <w:lang w:val="zh-CN"/>
              </w:rPr>
              <w:t>内容</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ascii="宋体" w:eastAsia="宋体"/>
                <w:color w:val="auto"/>
                <w:sz w:val="22"/>
                <w:szCs w:val="22"/>
                <w:highlight w:val="none"/>
                <w:lang w:val="zh-CN"/>
              </w:rPr>
            </w:pPr>
            <w:r>
              <w:rPr>
                <w:rFonts w:hint="eastAsia" w:ascii="宋体" w:eastAsia="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vMerge w:val="restart"/>
            <w:tcBorders>
              <w:top w:val="single" w:color="auto" w:sz="4" w:space="0"/>
              <w:left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highlight w:val="none"/>
                <w:lang w:val="zh-CN"/>
              </w:rPr>
            </w:pPr>
            <w:r>
              <w:rPr>
                <w:rFonts w:hint="eastAsia" w:ascii="宋体" w:eastAsia="宋体"/>
                <w:b w:val="0"/>
                <w:bCs w:val="0"/>
                <w:color w:val="auto"/>
                <w:sz w:val="22"/>
                <w:szCs w:val="22"/>
                <w:highlight w:val="none"/>
                <w:lang w:val="zh-CN"/>
              </w:rPr>
              <w:t>1</w:t>
            </w:r>
          </w:p>
        </w:tc>
        <w:tc>
          <w:tcPr>
            <w:tcW w:w="4213" w:type="pct"/>
            <w:tcBorders>
              <w:top w:val="single" w:color="auto" w:sz="4" w:space="0"/>
              <w:left w:val="single" w:color="auto" w:sz="4" w:space="0"/>
              <w:bottom w:val="single" w:color="auto" w:sz="4" w:space="0"/>
              <w:right w:val="single" w:color="auto" w:sz="4" w:space="0"/>
            </w:tcBorders>
          </w:tcPr>
          <w:p>
            <w:pPr>
              <w:numPr>
                <w:ilvl w:val="0"/>
                <w:numId w:val="0"/>
              </w:numPr>
              <w:tabs>
                <w:tab w:val="left" w:pos="4140"/>
              </w:tabs>
              <w:adjustRightInd w:val="0"/>
              <w:snapToGrid w:val="0"/>
              <w:spacing w:line="320" w:lineRule="atLeast"/>
              <w:rPr>
                <w:color w:val="auto"/>
                <w:highlight w:val="none"/>
                <w:lang w:val="zh-CN"/>
              </w:rPr>
            </w:pPr>
            <w:r>
              <w:rPr>
                <w:rFonts w:hint="eastAsia" w:ascii="宋体" w:eastAsia="宋体"/>
                <w:b w:val="0"/>
                <w:bCs w:val="0"/>
                <w:color w:val="auto"/>
                <w:sz w:val="22"/>
                <w:szCs w:val="22"/>
                <w:highlight w:val="none"/>
              </w:rPr>
              <w:t>投标供应商的营业执照（或事业法人登记证书或其它工商等登记证明材料）、税务登记证（如为多证合一仅需提供营业执照（或事业法人登记证书或其它工商等登记证明材料），扫描件加盖公章）</w:t>
            </w:r>
          </w:p>
        </w:tc>
        <w:tc>
          <w:tcPr>
            <w:tcW w:w="558" w:type="pct"/>
            <w:vMerge w:val="restart"/>
            <w:tcBorders>
              <w:top w:val="single" w:color="auto" w:sz="4" w:space="0"/>
              <w:left w:val="single" w:color="auto" w:sz="4" w:space="0"/>
              <w:right w:val="single" w:color="auto" w:sz="4" w:space="0"/>
            </w:tcBorders>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vMerge w:val="continue"/>
            <w:tcBorders>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eastAsia="宋体"/>
                <w:b w:val="0"/>
                <w:bCs w:val="0"/>
                <w:color w:val="auto"/>
                <w:sz w:val="22"/>
                <w:szCs w:val="22"/>
                <w:highlight w:val="none"/>
                <w:lang w:val="zh-CN"/>
              </w:rPr>
            </w:pPr>
          </w:p>
        </w:tc>
        <w:tc>
          <w:tcPr>
            <w:tcW w:w="4213" w:type="pct"/>
            <w:tcBorders>
              <w:top w:val="single" w:color="auto" w:sz="4" w:space="0"/>
              <w:left w:val="single" w:color="auto" w:sz="4" w:space="0"/>
              <w:bottom w:val="single" w:color="auto" w:sz="4" w:space="0"/>
              <w:right w:val="single" w:color="auto" w:sz="4" w:space="0"/>
            </w:tcBorders>
          </w:tcPr>
          <w:p>
            <w:pPr>
              <w:numPr>
                <w:ilvl w:val="0"/>
                <w:numId w:val="0"/>
              </w:numPr>
              <w:tabs>
                <w:tab w:val="left" w:pos="4140"/>
              </w:tabs>
              <w:adjustRightInd w:val="0"/>
              <w:snapToGrid w:val="0"/>
              <w:spacing w:line="32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供应商特定资格条件证明</w:t>
            </w:r>
            <w:r>
              <w:rPr>
                <w:rFonts w:hint="eastAsia" w:ascii="宋体" w:eastAsia="宋体" w:cs="宋体"/>
                <w:b w:val="0"/>
                <w:bCs w:val="0"/>
                <w:color w:val="auto"/>
                <w:sz w:val="22"/>
                <w:highlight w:val="none"/>
                <w:lang w:val="en-US" w:eastAsia="zh-CN"/>
              </w:rPr>
              <w:t>:</w:t>
            </w:r>
            <w:r>
              <w:rPr>
                <w:rFonts w:hint="eastAsia" w:ascii="宋体" w:eastAsia="宋体"/>
                <w:b w:val="0"/>
                <w:bCs w:val="0"/>
                <w:color w:val="auto"/>
                <w:sz w:val="22"/>
                <w:szCs w:val="22"/>
                <w:highlight w:val="none"/>
              </w:rPr>
              <w:t>投标供应商必须是有文艺演出条件和能力的文化类企事业法人单位或民营演出团体或民办非企业单位。营业执照必须具有相应的商业演出经营范围（以营业执照为准）演出服务单位必须是县级以上（含县级）文化行政管理部门注册的民营艺术表演团体，具备营业性演出许可证等</w:t>
            </w:r>
          </w:p>
        </w:tc>
        <w:tc>
          <w:tcPr>
            <w:tcW w:w="558" w:type="pct"/>
            <w:vMerge w:val="continue"/>
            <w:tcBorders>
              <w:left w:val="single" w:color="auto" w:sz="4" w:space="0"/>
              <w:bottom w:val="single" w:color="auto" w:sz="4" w:space="0"/>
              <w:right w:val="single" w:color="auto" w:sz="4" w:space="0"/>
            </w:tcBorders>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2</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eastAsia="宋体"/>
                <w:b w:val="0"/>
                <w:bCs w:val="0"/>
                <w:color w:val="auto"/>
                <w:sz w:val="22"/>
                <w:szCs w:val="22"/>
                <w:highlight w:val="none"/>
              </w:rPr>
            </w:pPr>
            <w:bookmarkStart w:id="7" w:name="_Toc27009"/>
            <w:bookmarkStart w:id="8" w:name="_Toc15000"/>
            <w:bookmarkStart w:id="9" w:name="_Toc18070"/>
            <w:bookmarkStart w:id="10" w:name="_Toc28986"/>
            <w:r>
              <w:rPr>
                <w:rFonts w:hint="eastAsia" w:ascii="宋体" w:eastAsia="宋体"/>
                <w:b w:val="0"/>
                <w:bCs w:val="0"/>
                <w:color w:val="auto"/>
                <w:sz w:val="22"/>
                <w:szCs w:val="22"/>
                <w:highlight w:val="none"/>
                <w:lang w:val="zh-CN"/>
              </w:rPr>
              <w:t>具有财务会计制度、设备和专业技术能力、</w:t>
            </w:r>
            <w:r>
              <w:rPr>
                <w:rFonts w:hint="eastAsia" w:ascii="宋体" w:eastAsia="宋体"/>
                <w:b w:val="0"/>
                <w:bCs w:val="0"/>
                <w:color w:val="auto"/>
                <w:sz w:val="22"/>
                <w:szCs w:val="22"/>
                <w:highlight w:val="none"/>
              </w:rPr>
              <w:t>依法</w:t>
            </w:r>
            <w:r>
              <w:rPr>
                <w:rFonts w:hint="eastAsia" w:ascii="宋体" w:eastAsia="宋体"/>
                <w:b w:val="0"/>
                <w:bCs w:val="0"/>
                <w:color w:val="auto"/>
                <w:sz w:val="22"/>
                <w:szCs w:val="22"/>
                <w:highlight w:val="none"/>
                <w:lang w:val="zh-CN"/>
              </w:rPr>
              <w:t>缴纳税收和社会保障资金</w:t>
            </w:r>
            <w:r>
              <w:rPr>
                <w:rFonts w:hint="eastAsia" w:ascii="宋体" w:eastAsia="宋体"/>
                <w:b w:val="0"/>
                <w:bCs w:val="0"/>
                <w:color w:val="auto"/>
                <w:sz w:val="22"/>
                <w:szCs w:val="22"/>
                <w:highlight w:val="none"/>
              </w:rPr>
              <w:t>记录</w:t>
            </w:r>
            <w:r>
              <w:rPr>
                <w:rFonts w:hint="eastAsia" w:ascii="宋体" w:eastAsia="宋体"/>
                <w:b w:val="0"/>
                <w:bCs w:val="0"/>
                <w:color w:val="auto"/>
                <w:sz w:val="22"/>
                <w:szCs w:val="22"/>
                <w:highlight w:val="none"/>
                <w:lang w:val="zh-CN"/>
              </w:rPr>
              <w:t>、</w:t>
            </w:r>
            <w:r>
              <w:rPr>
                <w:rFonts w:hint="eastAsia" w:ascii="宋体" w:eastAsia="宋体"/>
                <w:b w:val="0"/>
                <w:bCs w:val="0"/>
                <w:color w:val="auto"/>
                <w:sz w:val="22"/>
                <w:szCs w:val="22"/>
                <w:highlight w:val="none"/>
              </w:rPr>
              <w:t>无</w:t>
            </w:r>
            <w:r>
              <w:rPr>
                <w:rFonts w:hint="eastAsia" w:ascii="宋体" w:eastAsia="宋体"/>
                <w:b w:val="0"/>
                <w:bCs w:val="0"/>
                <w:color w:val="auto"/>
                <w:sz w:val="22"/>
                <w:szCs w:val="22"/>
                <w:highlight w:val="none"/>
                <w:lang w:val="zh-CN"/>
              </w:rPr>
              <w:t>重大违法记录的承诺函</w:t>
            </w:r>
            <w:bookmarkEnd w:id="7"/>
            <w:bookmarkEnd w:id="8"/>
            <w:bookmarkEnd w:id="9"/>
            <w:bookmarkEnd w:id="10"/>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highlight w:val="none"/>
              </w:rPr>
            </w:pPr>
            <w:r>
              <w:rPr>
                <w:rFonts w:hint="eastAsia" w:ascii="宋体" w:eastAsia="宋体"/>
                <w:b w:val="0"/>
                <w:bCs w:val="0"/>
                <w:color w:val="auto"/>
                <w:sz w:val="22"/>
                <w:szCs w:val="22"/>
                <w:highlight w:val="none"/>
              </w:rPr>
              <w:t>3</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投标供应商同时提供以下信用记录查询网页截图或报告（采购公告发布之日至投标文件递交截止时间前关于投标供应商信用记录的查询网页）：</w:t>
            </w:r>
          </w:p>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（1）“信用中国”(www.creditchina.gov.cn)，在信用中国首页搜索栏中直接输入投标供应商全称搜索信用信息，再找到并点击进人投标供应商全称的查询页面。</w:t>
            </w:r>
          </w:p>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（2）“中国政府采购网”（www.ccgp.gov.cn/search/cr/）</w:t>
            </w:r>
          </w:p>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注：①若供应商查询页面“行政处罚”栏显示有行政处罚事项，须将所有行政处罚事项在“信用中国”网页上列出的明细一并打印，并附说明，是否属于“经营活动中的重大违法记录”。</w:t>
            </w:r>
          </w:p>
          <w:p>
            <w:pPr>
              <w:tabs>
                <w:tab w:val="left" w:pos="4140"/>
              </w:tabs>
              <w:adjustRightInd w:val="0"/>
              <w:snapToGrid w:val="0"/>
              <w:spacing w:line="320" w:lineRule="atLeast"/>
              <w:rPr>
                <w:rFonts w:ascii="宋体" w:eastAsia="宋体"/>
                <w:b w:val="0"/>
                <w:bCs w:val="0"/>
                <w:color w:val="auto"/>
                <w:sz w:val="22"/>
                <w:highlight w:val="none"/>
              </w:rPr>
            </w:pPr>
            <w:r>
              <w:rPr>
                <w:rFonts w:hint="eastAsia" w:ascii="宋体" w:eastAsia="宋体"/>
                <w:b w:val="0"/>
                <w:bCs w:val="0"/>
                <w:color w:val="auto"/>
                <w:sz w:val="22"/>
                <w:highlight w:val="none"/>
              </w:rPr>
              <w:t>②若供应商在“信用中国”无数据，亦须将搜索结果页面打印，并附说明。</w:t>
            </w:r>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highlight w:val="none"/>
              </w:rPr>
            </w:pPr>
            <w:r>
              <w:rPr>
                <w:rFonts w:hint="eastAsia" w:ascii="宋体" w:eastAsia="宋体"/>
                <w:b w:val="0"/>
                <w:bCs w:val="0"/>
                <w:color w:val="auto"/>
                <w:sz w:val="22"/>
                <w:szCs w:val="22"/>
                <w:highlight w:val="none"/>
              </w:rPr>
              <w:t>4</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eastAsia="宋体"/>
                <w:b w:val="0"/>
                <w:bCs w:val="0"/>
                <w:color w:val="auto"/>
                <w:sz w:val="22"/>
                <w:highlight w:val="none"/>
              </w:rPr>
            </w:pPr>
            <w:r>
              <w:rPr>
                <w:rFonts w:hint="eastAsia" w:ascii="宋体" w:eastAsia="宋体"/>
                <w:b w:val="0"/>
                <w:bCs w:val="0"/>
                <w:color w:val="auto"/>
                <w:sz w:val="22"/>
                <w:szCs w:val="22"/>
                <w:highlight w:val="none"/>
              </w:rPr>
              <w:t>与参加本次项目同一合同项下政府采购活动的其他供应商不存在单位负责人为同一人或者直接控股、管理关系的承诺函</w:t>
            </w:r>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highlight w:val="none"/>
              </w:rPr>
            </w:pPr>
            <w:r>
              <w:rPr>
                <w:rFonts w:hint="eastAsia" w:ascii="宋体" w:eastAsia="宋体"/>
                <w:b w:val="0"/>
                <w:bCs w:val="0"/>
                <w:color w:val="auto"/>
                <w:sz w:val="22"/>
                <w:highlight w:val="none"/>
              </w:rPr>
              <w:t>5</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eastAsia="宋体"/>
                <w:b w:val="0"/>
                <w:bCs w:val="0"/>
                <w:color w:val="auto"/>
                <w:sz w:val="22"/>
                <w:highlight w:val="none"/>
              </w:rPr>
            </w:pPr>
            <w:r>
              <w:rPr>
                <w:rFonts w:hint="eastAsia" w:ascii="宋体" w:eastAsia="宋体"/>
                <w:b w:val="0"/>
                <w:bCs w:val="0"/>
                <w:color w:val="auto"/>
                <w:sz w:val="22"/>
                <w:szCs w:val="22"/>
                <w:highlight w:val="none"/>
              </w:rPr>
              <w:t>供应商法定代表人授权书，供应商代表指全权代表供应商参加投标活动并签署投标文件的人。如果供应商代表是法定代表人的，仅须提供身份证扫描件；如果供应商代表不是法定代表人，须持有《法定代表人授权书》</w:t>
            </w:r>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6</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《中小企业声明函》或省级以上监狱管理局、戒毒管理局(含新疆生产建设兵团)出具的属于监狱企业的证明文件或残疾人福利性单位声明函。</w:t>
            </w:r>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六</w:t>
            </w:r>
          </w:p>
        </w:tc>
      </w:tr>
    </w:tbl>
    <w:p>
      <w:pPr>
        <w:pStyle w:val="21"/>
        <w:ind w:left="2108"/>
        <w:rPr>
          <w:rFonts w:ascii="宋体" w:eastAsia="宋体"/>
          <w:color w:val="auto"/>
          <w:highlight w:val="none"/>
          <w:lang w:val="zh-CN"/>
        </w:rPr>
      </w:pPr>
    </w:p>
    <w:p>
      <w:pPr>
        <w:autoSpaceDE w:val="0"/>
        <w:autoSpaceDN w:val="0"/>
        <w:adjustRightInd w:val="0"/>
        <w:spacing w:line="450" w:lineRule="atLeast"/>
        <w:ind w:firstLine="442" w:firstLineChars="200"/>
        <w:rPr>
          <w:rFonts w:ascii="宋体" w:eastAsia="宋体"/>
          <w:b w:val="0"/>
          <w:color w:val="auto"/>
          <w:sz w:val="22"/>
          <w:szCs w:val="22"/>
          <w:highlight w:val="none"/>
          <w:u w:val="single"/>
          <w:lang w:val="zh-CN"/>
        </w:rPr>
      </w:pPr>
      <w:r>
        <w:rPr>
          <w:rFonts w:hint="eastAsia" w:ascii="宋体" w:eastAsia="宋体"/>
          <w:color w:val="auto"/>
          <w:sz w:val="22"/>
          <w:szCs w:val="22"/>
          <w:highlight w:val="none"/>
          <w:u w:val="single"/>
          <w:lang w:val="zh-CN"/>
        </w:rPr>
        <w:t>2.2、报价文件部分组成</w:t>
      </w:r>
    </w:p>
    <w:tbl>
      <w:tblPr>
        <w:tblStyle w:val="4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769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pPr>
              <w:autoSpaceDE w:val="0"/>
              <w:autoSpaceDN w:val="0"/>
              <w:adjustRightInd w:val="0"/>
              <w:snapToGrid w:val="0"/>
              <w:spacing w:line="430" w:lineRule="atLeast"/>
              <w:rPr>
                <w:rFonts w:ascii="宋体" w:eastAsia="宋体"/>
                <w:b w:val="0"/>
                <w:bCs w:val="0"/>
                <w:color w:val="auto"/>
                <w:sz w:val="22"/>
                <w:highlight w:val="none"/>
                <w:lang w:val="zh-CN"/>
              </w:rPr>
            </w:pPr>
            <w:r>
              <w:rPr>
                <w:rFonts w:hint="eastAsia" w:ascii="宋体" w:eastAsia="宋体"/>
                <w:color w:val="auto"/>
                <w:sz w:val="22"/>
                <w:szCs w:val="22"/>
                <w:highlight w:val="none"/>
                <w:lang w:val="zh-CN"/>
              </w:rPr>
              <w:t>序号</w:t>
            </w:r>
          </w:p>
        </w:tc>
        <w:tc>
          <w:tcPr>
            <w:tcW w:w="4026" w:type="pct"/>
            <w:vAlign w:val="center"/>
          </w:tcPr>
          <w:p>
            <w:pPr>
              <w:autoSpaceDE w:val="0"/>
              <w:autoSpaceDN w:val="0"/>
              <w:adjustRightInd w:val="0"/>
              <w:snapToGrid w:val="0"/>
              <w:spacing w:line="430" w:lineRule="atLeast"/>
              <w:rPr>
                <w:rFonts w:ascii="宋体" w:eastAsia="宋体"/>
                <w:b w:val="0"/>
                <w:bCs w:val="0"/>
                <w:color w:val="auto"/>
                <w:sz w:val="22"/>
                <w:highlight w:val="none"/>
                <w:lang w:val="zh-CN"/>
              </w:rPr>
            </w:pPr>
            <w:r>
              <w:rPr>
                <w:rFonts w:hint="eastAsia" w:ascii="宋体" w:eastAsia="宋体"/>
                <w:color w:val="auto"/>
                <w:sz w:val="22"/>
                <w:szCs w:val="22"/>
                <w:highlight w:val="none"/>
                <w:lang w:val="zh-CN"/>
              </w:rPr>
              <w:t>内容（▲</w:t>
            </w:r>
            <w:r>
              <w:rPr>
                <w:rFonts w:hint="eastAsia" w:ascii="宋体" w:eastAsia="宋体"/>
                <w:color w:val="auto"/>
                <w:sz w:val="22"/>
                <w:szCs w:val="22"/>
                <w:highlight w:val="none"/>
                <w:u w:val="single"/>
                <w:lang w:val="zh-CN"/>
              </w:rPr>
              <w:t>序号1-2项供应商必须提供，否则不能通过符合性审查的，责任自负</w:t>
            </w:r>
            <w:r>
              <w:rPr>
                <w:rFonts w:hint="eastAsia" w:ascii="宋体" w:eastAsia="宋体"/>
                <w:color w:val="auto"/>
                <w:sz w:val="22"/>
                <w:szCs w:val="22"/>
                <w:highlight w:val="none"/>
                <w:lang w:val="zh-CN"/>
              </w:rPr>
              <w:t>）</w:t>
            </w:r>
          </w:p>
        </w:tc>
        <w:tc>
          <w:tcPr>
            <w:tcW w:w="744" w:type="pct"/>
            <w:vAlign w:val="center"/>
          </w:tcPr>
          <w:p>
            <w:pPr>
              <w:autoSpaceDE w:val="0"/>
              <w:autoSpaceDN w:val="0"/>
              <w:adjustRightInd w:val="0"/>
              <w:snapToGrid w:val="0"/>
              <w:spacing w:line="430" w:lineRule="atLeast"/>
              <w:jc w:val="center"/>
              <w:rPr>
                <w:rFonts w:ascii="宋体" w:eastAsia="宋体"/>
                <w:color w:val="auto"/>
                <w:sz w:val="22"/>
                <w:szCs w:val="22"/>
                <w:highlight w:val="none"/>
              </w:rPr>
            </w:pPr>
            <w:r>
              <w:rPr>
                <w:rFonts w:hint="eastAsia" w:ascii="宋体" w:eastAsia="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pPr>
              <w:autoSpaceDE w:val="0"/>
              <w:autoSpaceDN w:val="0"/>
              <w:adjustRightInd w:val="0"/>
              <w:snapToGrid w:val="0"/>
              <w:spacing w:line="430" w:lineRule="atLeast"/>
              <w:jc w:val="center"/>
              <w:rPr>
                <w:rFonts w:ascii="宋体" w:eastAsia="宋体"/>
                <w:b w:val="0"/>
                <w:bCs w:val="0"/>
                <w:color w:val="auto"/>
                <w:sz w:val="22"/>
                <w:highlight w:val="none"/>
                <w:lang w:val="zh-CN"/>
              </w:rPr>
            </w:pPr>
            <w:r>
              <w:rPr>
                <w:rFonts w:hint="eastAsia" w:ascii="宋体" w:eastAsia="宋体"/>
                <w:b w:val="0"/>
                <w:color w:val="auto"/>
                <w:sz w:val="22"/>
                <w:szCs w:val="22"/>
                <w:highlight w:val="none"/>
                <w:lang w:val="zh-CN"/>
              </w:rPr>
              <w:t>1</w:t>
            </w:r>
          </w:p>
        </w:tc>
        <w:tc>
          <w:tcPr>
            <w:tcW w:w="4026" w:type="pct"/>
          </w:tcPr>
          <w:p>
            <w:pPr>
              <w:autoSpaceDE w:val="0"/>
              <w:autoSpaceDN w:val="0"/>
              <w:adjustRightInd w:val="0"/>
              <w:spacing w:line="430" w:lineRule="atLeast"/>
              <w:textAlignment w:val="bottom"/>
              <w:rPr>
                <w:rFonts w:ascii="宋体" w:eastAsia="宋体"/>
                <w:b w:val="0"/>
                <w:bCs w:val="0"/>
                <w:color w:val="auto"/>
                <w:sz w:val="22"/>
                <w:highlight w:val="none"/>
              </w:rPr>
            </w:pPr>
            <w:r>
              <w:rPr>
                <w:rFonts w:hint="eastAsia" w:ascii="宋体" w:eastAsia="宋体"/>
                <w:b w:val="0"/>
                <w:color w:val="auto"/>
                <w:sz w:val="22"/>
                <w:szCs w:val="22"/>
                <w:highlight w:val="none"/>
              </w:rPr>
              <w:t>报价一览表</w:t>
            </w:r>
          </w:p>
        </w:tc>
        <w:tc>
          <w:tcPr>
            <w:tcW w:w="744" w:type="pct"/>
          </w:tcPr>
          <w:p>
            <w:pPr>
              <w:tabs>
                <w:tab w:val="left" w:pos="4140"/>
              </w:tabs>
              <w:adjustRightInd w:val="0"/>
              <w:snapToGrid w:val="0"/>
              <w:spacing w:line="320" w:lineRule="atLeast"/>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附件</w:t>
            </w:r>
            <w:r>
              <w:rPr>
                <w:rFonts w:hint="eastAsia" w:ascii="宋体" w:eastAsia="宋体"/>
                <w:b w:val="0"/>
                <w:bCs w:val="0"/>
                <w:color w:val="auto"/>
                <w:sz w:val="22"/>
                <w:szCs w:val="22"/>
                <w:highlight w:val="none"/>
                <w:lang w:val="en-US" w:eastAsia="zh-CN"/>
              </w:rPr>
              <w:t>七</w:t>
            </w:r>
          </w:p>
        </w:tc>
      </w:tr>
    </w:tbl>
    <w:p>
      <w:pPr>
        <w:autoSpaceDE w:val="0"/>
        <w:autoSpaceDN w:val="0"/>
        <w:adjustRightInd w:val="0"/>
        <w:spacing w:line="450" w:lineRule="atLeast"/>
        <w:ind w:firstLine="442" w:firstLineChars="200"/>
        <w:rPr>
          <w:rFonts w:hint="eastAsia" w:ascii="宋体" w:eastAsia="宋体"/>
          <w:color w:val="auto"/>
          <w:sz w:val="22"/>
          <w:szCs w:val="22"/>
          <w:highlight w:val="none"/>
          <w:u w:val="single"/>
          <w:lang w:val="zh-CN"/>
        </w:rPr>
      </w:pPr>
      <w:bookmarkStart w:id="11" w:name="_Toc132122410"/>
      <w:bookmarkStart w:id="12" w:name="_Toc132122113"/>
      <w:r>
        <w:rPr>
          <w:rFonts w:hint="eastAsia" w:ascii="宋体" w:eastAsia="宋体"/>
          <w:color w:val="auto"/>
          <w:sz w:val="22"/>
          <w:szCs w:val="22"/>
          <w:highlight w:val="none"/>
          <w:u w:val="single"/>
          <w:lang w:val="zh-CN"/>
        </w:rPr>
        <w:t>2.3、商务技术文件部分组成</w:t>
      </w:r>
    </w:p>
    <w:tbl>
      <w:tblPr>
        <w:tblStyle w:val="4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628"/>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pPr>
              <w:autoSpaceDE w:val="0"/>
              <w:autoSpaceDN w:val="0"/>
              <w:adjustRightInd w:val="0"/>
              <w:snapToGrid w:val="0"/>
              <w:spacing w:line="430" w:lineRule="atLeast"/>
              <w:jc w:val="center"/>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序号</w:t>
            </w:r>
          </w:p>
        </w:tc>
        <w:tc>
          <w:tcPr>
            <w:tcW w:w="7628" w:type="dxa"/>
          </w:tcPr>
          <w:p>
            <w:pPr>
              <w:autoSpaceDE w:val="0"/>
              <w:autoSpaceDN w:val="0"/>
              <w:adjustRightInd w:val="0"/>
              <w:snapToGrid w:val="0"/>
              <w:spacing w:line="430" w:lineRule="atLeast"/>
              <w:jc w:val="center"/>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内容</w:t>
            </w:r>
          </w:p>
        </w:tc>
        <w:tc>
          <w:tcPr>
            <w:tcW w:w="1430"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0" w:type="dxa"/>
            <w:gridSpan w:val="2"/>
          </w:tcPr>
          <w:p>
            <w:pPr>
              <w:autoSpaceDE w:val="0"/>
              <w:autoSpaceDN w:val="0"/>
              <w:adjustRightInd w:val="0"/>
              <w:snapToGrid w:val="0"/>
              <w:spacing w:line="430" w:lineRule="atLeast"/>
              <w:rPr>
                <w:rFonts w:hint="eastAsia" w:ascii="宋体" w:hAnsi="宋体" w:eastAsia="宋体" w:cs="宋体"/>
                <w:b/>
                <w:color w:val="auto"/>
                <w:sz w:val="22"/>
                <w:szCs w:val="22"/>
                <w:highlight w:val="none"/>
                <w:lang w:val="zh-CN"/>
              </w:rPr>
            </w:pPr>
            <w:r>
              <w:rPr>
                <w:rFonts w:hint="eastAsia" w:asci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u w:val="single"/>
                <w:lang w:val="zh-CN"/>
              </w:rPr>
              <w:t>序号1-</w:t>
            </w:r>
            <w:r>
              <w:rPr>
                <w:rFonts w:hint="eastAsia" w:ascii="宋体" w:hAnsi="宋体" w:eastAsia="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lang w:val="zh-CN"/>
              </w:rPr>
              <w:t>项供应商必须提供，否则不能通过符合性审查的，责任自负。</w:t>
            </w:r>
            <w:r>
              <w:rPr>
                <w:rFonts w:hint="eastAsia" w:ascii="宋体" w:hAnsi="宋体" w:eastAsia="宋体" w:cs="宋体"/>
                <w:color w:val="auto"/>
                <w:sz w:val="22"/>
                <w:szCs w:val="22"/>
                <w:highlight w:val="none"/>
                <w:lang w:val="zh-CN"/>
              </w:rPr>
              <w:t>）</w:t>
            </w:r>
          </w:p>
        </w:tc>
        <w:tc>
          <w:tcPr>
            <w:tcW w:w="1430"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tcPr>
          <w:p>
            <w:pPr>
              <w:autoSpaceDE w:val="0"/>
              <w:autoSpaceDN w:val="0"/>
              <w:adjustRightInd w:val="0"/>
              <w:snapToGrid w:val="0"/>
              <w:spacing w:line="43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7628" w:type="dxa"/>
          </w:tcPr>
          <w:p>
            <w:pPr>
              <w:autoSpaceDE w:val="0"/>
              <w:autoSpaceDN w:val="0"/>
              <w:adjustRightInd w:val="0"/>
              <w:snapToGrid w:val="0"/>
              <w:spacing w:line="430" w:lineRule="atLeast"/>
              <w:rPr>
                <w:rFonts w:hint="eastAsia" w:ascii="宋体" w:hAnsi="宋体" w:eastAsia="宋体" w:cs="宋体"/>
                <w:b/>
                <w:color w:val="auto"/>
                <w:sz w:val="22"/>
                <w:szCs w:val="22"/>
                <w:highlight w:val="none"/>
                <w:lang w:val="zh-CN" w:eastAsia="zh-CN"/>
              </w:rPr>
            </w:pPr>
            <w:r>
              <w:rPr>
                <w:rFonts w:hint="eastAsia" w:ascii="宋体" w:eastAsia="宋体" w:cs="宋体"/>
                <w:color w:val="auto"/>
                <w:sz w:val="22"/>
                <w:szCs w:val="22"/>
                <w:highlight w:val="none"/>
                <w:lang w:eastAsia="zh-CN"/>
              </w:rPr>
              <w:t>磋商函</w:t>
            </w:r>
          </w:p>
        </w:tc>
        <w:tc>
          <w:tcPr>
            <w:tcW w:w="1430" w:type="dxa"/>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pPr>
              <w:autoSpaceDE w:val="0"/>
              <w:autoSpaceDN w:val="0"/>
              <w:adjustRightInd w:val="0"/>
              <w:snapToGrid w:val="0"/>
              <w:spacing w:line="43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p>
        </w:tc>
        <w:tc>
          <w:tcPr>
            <w:tcW w:w="7628" w:type="dxa"/>
          </w:tcPr>
          <w:p>
            <w:pPr>
              <w:autoSpaceDE w:val="0"/>
              <w:autoSpaceDN w:val="0"/>
              <w:adjustRightInd w:val="0"/>
              <w:snapToGrid w:val="0"/>
              <w:spacing w:line="43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法定代表人诚信投标承诺书</w:t>
            </w:r>
          </w:p>
        </w:tc>
        <w:tc>
          <w:tcPr>
            <w:tcW w:w="1430" w:type="dxa"/>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7628" w:type="dxa"/>
          </w:tcPr>
          <w:p>
            <w:pPr>
              <w:autoSpaceDE w:val="0"/>
              <w:autoSpaceDN w:val="0"/>
              <w:adjustRightInd w:val="0"/>
              <w:snapToGrid w:val="0"/>
              <w:spacing w:line="43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商务、技术偏离表</w:t>
            </w:r>
          </w:p>
        </w:tc>
        <w:tc>
          <w:tcPr>
            <w:tcW w:w="1430" w:type="dxa"/>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4</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供应商基本情况</w:t>
            </w:r>
          </w:p>
        </w:tc>
        <w:tc>
          <w:tcPr>
            <w:tcW w:w="1430" w:type="dxa"/>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5</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同类业绩</w:t>
            </w:r>
          </w:p>
        </w:tc>
        <w:tc>
          <w:tcPr>
            <w:tcW w:w="1430" w:type="dxa"/>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6</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证书一览表</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7</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投标剧目明细表</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8</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演出设施设备情况表</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9</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主要演职人员一览表</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10</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演出承诺</w:t>
            </w:r>
            <w:r>
              <w:rPr>
                <w:rFonts w:hint="eastAsia" w:ascii="宋体" w:hAnsi="宋体" w:eastAsia="宋体" w:cs="宋体"/>
                <w:b w:val="0"/>
                <w:bCs w:val="0"/>
                <w:color w:val="auto"/>
                <w:sz w:val="22"/>
                <w:szCs w:val="22"/>
                <w:highlight w:val="none"/>
                <w:lang w:val="en-US" w:eastAsia="zh-CN"/>
              </w:rPr>
              <w:t>函</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11</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演出方案</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12</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实施方案</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十九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13</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安全保障</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二十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14</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内部管理制度</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二十一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15</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应急预案</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二十二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16</w:t>
            </w:r>
          </w:p>
        </w:tc>
        <w:tc>
          <w:tcPr>
            <w:tcW w:w="7628" w:type="dxa"/>
          </w:tcPr>
          <w:p>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本地化服务</w:t>
            </w:r>
          </w:p>
        </w:tc>
        <w:tc>
          <w:tcPr>
            <w:tcW w:w="1430"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二十三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17</w:t>
            </w:r>
          </w:p>
        </w:tc>
        <w:tc>
          <w:tcPr>
            <w:tcW w:w="7628" w:type="dxa"/>
            <w:vAlign w:val="top"/>
          </w:tcPr>
          <w:p>
            <w:pPr>
              <w:autoSpaceDE w:val="0"/>
              <w:autoSpaceDN w:val="0"/>
              <w:adjustRightInd w:val="0"/>
              <w:snapToGrid w:val="0"/>
              <w:spacing w:line="430" w:lineRule="atLeas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val="en-US" w:eastAsia="zh-CN"/>
              </w:rPr>
              <w:t>磋商</w:t>
            </w:r>
            <w:r>
              <w:rPr>
                <w:rFonts w:hint="eastAsia" w:ascii="宋体" w:hAnsi="宋体" w:eastAsia="宋体" w:cs="宋体"/>
                <w:b w:val="0"/>
                <w:bCs w:val="0"/>
                <w:color w:val="auto"/>
                <w:sz w:val="22"/>
                <w:szCs w:val="22"/>
                <w:highlight w:val="none"/>
                <w:lang w:eastAsia="zh-CN"/>
              </w:rPr>
              <w:t>文件</w:t>
            </w:r>
            <w:r>
              <w:rPr>
                <w:rFonts w:hint="eastAsia" w:ascii="宋体" w:hAnsi="宋体" w:eastAsia="宋体" w:cs="宋体"/>
                <w:b w:val="0"/>
                <w:bCs w:val="0"/>
                <w:color w:val="auto"/>
                <w:sz w:val="22"/>
                <w:szCs w:val="22"/>
                <w:highlight w:val="none"/>
              </w:rPr>
              <w:t>中的采购内容与技术要求、评标细则，需要提供的其它文件和资料。</w:t>
            </w:r>
          </w:p>
        </w:tc>
        <w:tc>
          <w:tcPr>
            <w:tcW w:w="1430" w:type="dxa"/>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top"/>
          </w:tcPr>
          <w:p>
            <w:pPr>
              <w:autoSpaceDE w:val="0"/>
              <w:autoSpaceDN w:val="0"/>
              <w:adjustRightInd w:val="0"/>
              <w:snapToGrid w:val="0"/>
              <w:spacing w:line="430" w:lineRule="atLeas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18</w:t>
            </w:r>
          </w:p>
        </w:tc>
        <w:tc>
          <w:tcPr>
            <w:tcW w:w="7628" w:type="dxa"/>
            <w:vAlign w:val="top"/>
          </w:tcPr>
          <w:p>
            <w:pPr>
              <w:autoSpaceDE w:val="0"/>
              <w:autoSpaceDN w:val="0"/>
              <w:adjustRightInd w:val="0"/>
              <w:snapToGrid w:val="0"/>
              <w:spacing w:line="430" w:lineRule="atLeast"/>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其它供应商须说明的资料（如有则提供）</w:t>
            </w:r>
          </w:p>
        </w:tc>
        <w:tc>
          <w:tcPr>
            <w:tcW w:w="1430" w:type="dxa"/>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bl>
    <w:p>
      <w:pPr>
        <w:pStyle w:val="2"/>
        <w:rPr>
          <w:rFonts w:hint="eastAsia" w:ascii="宋体" w:eastAsia="宋体"/>
          <w:color w:val="auto"/>
          <w:sz w:val="22"/>
          <w:szCs w:val="22"/>
          <w:highlight w:val="none"/>
          <w:u w:val="single"/>
          <w:lang w:val="zh-CN"/>
        </w:rPr>
      </w:pPr>
    </w:p>
    <w:bookmarkEnd w:id="11"/>
    <w:bookmarkEnd w:id="12"/>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3、响应文件编制</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3.1本项目通过“政采云平台（www.zcygov.cn）”实行在线投标响应（电子投标）。供应商应通过“政采云电子交易客户端”，并按照本采购文件和“政采云平台”的要求编制并加密响应文件。</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3.2投标供应商应当按照本章节 “响应文件组成”规定的内容及顺序在“政采云电子交易客户端”编制响应文件。</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3.3本采购文件“响应文件格式”中有提供格式的，投标供应商须参照格式进行编制（格式中要求提供相关证明材料的还需后附相关证明材料），并按格式要求在指定位置根据要求进行签章，否则视为未提供；本文件“响应文件格式”未提供格式的，请各投标单位自行拟定格式，并加盖单位公章并由法定代表人或其授权代表签署（签字或盖章），否则视为未提供。</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3.4响应文件内容不完整、编排混乱导致响应文件被误读、漏读或者查找不到相关内容的，是投标供应商的责任。</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3.5响应文件因字迹潦草或表达不清所引起的后果由投标供应商负责。</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bCs w:val="0"/>
          <w:color w:val="auto"/>
          <w:sz w:val="22"/>
          <w:szCs w:val="22"/>
          <w:highlight w:val="none"/>
        </w:rPr>
        <w:t>3.6 投标供应商没有按照本章节 “响应文件组成”要求提供全部资料，或者没有仔细阅读采购文件，或者没有对采购文件在各方面的要求作出实质性响应是投标供应商的风险，由此造成的一切后果由投标供应商自行承担。</w:t>
      </w:r>
    </w:p>
    <w:p>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bookmarkStart w:id="13" w:name="_Toc132122413"/>
      <w:bookmarkStart w:id="14" w:name="_Toc132122116"/>
      <w:r>
        <w:rPr>
          <w:rFonts w:hint="eastAsia" w:ascii="宋体" w:eastAsia="宋体"/>
          <w:b w:val="0"/>
          <w:color w:val="auto"/>
          <w:sz w:val="22"/>
          <w:szCs w:val="22"/>
          <w:highlight w:val="none"/>
        </w:rPr>
        <w:t>4、投标报价</w:t>
      </w:r>
    </w:p>
    <w:p>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4.1、投标供应商应按磋商文件中《开标一览表》及《分项报价明细表》（如有）填写投标价。</w:t>
      </w:r>
    </w:p>
    <w:p>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4.2、本次招标最终报价只允许有一个报价，有选择的报价将不予接受。</w:t>
      </w:r>
    </w:p>
    <w:p>
      <w:pPr>
        <w:autoSpaceDE w:val="0"/>
        <w:autoSpaceDN w:val="0"/>
        <w:adjustRightInd w:val="0"/>
        <w:snapToGrid w:val="0"/>
        <w:spacing w:line="360" w:lineRule="auto"/>
        <w:ind w:firstLine="422"/>
        <w:textAlignment w:val="bottom"/>
        <w:rPr>
          <w:rFonts w:ascii="宋体" w:eastAsia="宋体"/>
          <w:bCs w:val="0"/>
          <w:color w:val="auto"/>
          <w:sz w:val="22"/>
          <w:szCs w:val="22"/>
          <w:highlight w:val="none"/>
        </w:rPr>
      </w:pPr>
      <w:r>
        <w:rPr>
          <w:rFonts w:hint="eastAsia" w:ascii="宋体" w:eastAsia="宋体"/>
          <w:bCs w:val="0"/>
          <w:color w:val="auto"/>
          <w:sz w:val="22"/>
          <w:szCs w:val="22"/>
          <w:highlight w:val="none"/>
        </w:rPr>
        <w:t>4.3、供应商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采购人的单价进行认价。</w:t>
      </w:r>
    </w:p>
    <w:p>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4.4、投标供应商应考虑自身实力、经验及项目实施过程中的各种因素，根据采购说明，详细说明所能提供的各项具体服务内容，自主确定报价。</w:t>
      </w:r>
    </w:p>
    <w:p>
      <w:pPr>
        <w:autoSpaceDE w:val="0"/>
        <w:autoSpaceDN w:val="0"/>
        <w:adjustRightInd w:val="0"/>
        <w:spacing w:line="360" w:lineRule="auto"/>
        <w:ind w:firstLine="442" w:firstLineChars="200"/>
        <w:textAlignment w:val="bottom"/>
        <w:rPr>
          <w:rFonts w:ascii="宋体" w:eastAsia="宋体"/>
          <w:b w:val="0"/>
          <w:bCs w:val="0"/>
          <w:color w:val="auto"/>
          <w:sz w:val="22"/>
          <w:szCs w:val="22"/>
          <w:highlight w:val="none"/>
        </w:rPr>
      </w:pPr>
      <w:r>
        <w:rPr>
          <w:rFonts w:hint="eastAsia" w:ascii="宋体" w:eastAsia="宋体"/>
          <w:color w:val="auto"/>
          <w:sz w:val="22"/>
          <w:szCs w:val="22"/>
          <w:highlight w:val="none"/>
        </w:rPr>
        <w:t>4.5、</w:t>
      </w:r>
      <w:r>
        <w:rPr>
          <w:rFonts w:hint="eastAsia" w:ascii="宋体" w:eastAsia="宋体"/>
          <w:b w:val="0"/>
          <w:bCs w:val="0"/>
          <w:color w:val="auto"/>
          <w:sz w:val="22"/>
          <w:szCs w:val="22"/>
          <w:highlight w:val="none"/>
        </w:rPr>
        <w:t>投标报价应按包含以下费用。</w:t>
      </w:r>
    </w:p>
    <w:p>
      <w:pPr>
        <w:numPr>
          <w:ilvl w:val="0"/>
          <w:numId w:val="3"/>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服务价格</w:t>
      </w:r>
    </w:p>
    <w:p>
      <w:pPr>
        <w:numPr>
          <w:ilvl w:val="0"/>
          <w:numId w:val="3"/>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关税、增值税等其它税，须将税费及税率单列</w:t>
      </w:r>
    </w:p>
    <w:p>
      <w:pPr>
        <w:numPr>
          <w:ilvl w:val="0"/>
          <w:numId w:val="3"/>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代理服务费</w:t>
      </w:r>
    </w:p>
    <w:p>
      <w:pPr>
        <w:numPr>
          <w:ilvl w:val="0"/>
          <w:numId w:val="3"/>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其他费用</w:t>
      </w:r>
    </w:p>
    <w:p>
      <w:pPr>
        <w:autoSpaceDE w:val="0"/>
        <w:autoSpaceDN w:val="0"/>
        <w:adjustRightInd w:val="0"/>
        <w:snapToGrid w:val="0"/>
        <w:spacing w:line="360" w:lineRule="auto"/>
        <w:ind w:firstLine="442" w:firstLineChars="200"/>
        <w:textAlignment w:val="bottom"/>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供应商在投标报价中应充分考虑所有可能发生的费用，否则采购人将视投标总价中已包括所有费用。</w:t>
      </w:r>
    </w:p>
    <w:p>
      <w:pPr>
        <w:autoSpaceDE w:val="0"/>
        <w:autoSpaceDN w:val="0"/>
        <w:adjustRightInd w:val="0"/>
        <w:spacing w:line="360" w:lineRule="auto"/>
        <w:ind w:firstLine="442" w:firstLineChars="200"/>
        <w:textAlignment w:val="bottom"/>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供应商对在合同执行中，除上述费用及竞争性磋商文件规定的由中标供应商负责的工作范围以外需要买方协调或提供便利的工作应当在响应文件中说明。</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5、在任何情况下不限制采购人以其认为最合适的条款签订合同的权利。</w:t>
      </w:r>
    </w:p>
    <w:bookmarkEnd w:id="13"/>
    <w:bookmarkEnd w:id="14"/>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bookmarkStart w:id="15" w:name="_Toc132122117"/>
      <w:bookmarkStart w:id="16" w:name="_Toc132122414"/>
      <w:r>
        <w:rPr>
          <w:rFonts w:hint="eastAsia" w:ascii="宋体" w:eastAsia="宋体"/>
          <w:b w:val="0"/>
          <w:bCs w:val="0"/>
          <w:color w:val="auto"/>
          <w:sz w:val="22"/>
          <w:szCs w:val="22"/>
          <w:highlight w:val="none"/>
        </w:rPr>
        <w:t>6、磋商响应文件的有效期</w:t>
      </w:r>
      <w:bookmarkEnd w:id="15"/>
      <w:bookmarkEnd w:id="16"/>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bookmarkStart w:id="17" w:name="_Toc132123881"/>
      <w:bookmarkStart w:id="18" w:name="_Toc132125037"/>
      <w:bookmarkStart w:id="19" w:name="_Toc132655776"/>
      <w:bookmarkStart w:id="20" w:name="_Toc132122416"/>
      <w:bookmarkStart w:id="21" w:name="_Toc132125983"/>
      <w:bookmarkStart w:id="22" w:name="_Toc132123838"/>
      <w:bookmarkStart w:id="23" w:name="_Toc132125151"/>
      <w:bookmarkStart w:id="24" w:name="_Toc132123439"/>
      <w:bookmarkStart w:id="25" w:name="_Toc132123547"/>
      <w:bookmarkStart w:id="26" w:name="_Toc132124594"/>
      <w:bookmarkStart w:id="27" w:name="_Toc132125574"/>
      <w:bookmarkStart w:id="28" w:name="_Toc132125095"/>
      <w:bookmarkStart w:id="29" w:name="_Toc132123634"/>
      <w:bookmarkStart w:id="30" w:name="_Toc132126154"/>
      <w:bookmarkStart w:id="31" w:name="_Toc132122119"/>
      <w:r>
        <w:rPr>
          <w:rFonts w:hint="eastAsia" w:ascii="宋体" w:eastAsia="宋体"/>
          <w:b w:val="0"/>
          <w:bCs w:val="0"/>
          <w:color w:val="auto"/>
          <w:sz w:val="22"/>
          <w:szCs w:val="22"/>
          <w:highlight w:val="none"/>
        </w:rPr>
        <w:t>6.1、自开标日起90日历天内，磋商响应文件应保持有效。有效期短于这个规定期限的投标将被拒绝。</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6.2、在特殊情况下，采购人可与投标供应商协商延长磋商响应文件的有效期，这种要求和答复均应以书面形式进行。</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7、响应文件的签章</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7.1响应文件的签章要求：投标供应商须知前附表；</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7.2响应文件应由投标供应商法定代表人或其授权代表签署，并时加盖投标供应商公章（电子签章）。</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8、响应文件的形式</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8.1响应文件的形式：见投标供应商须知前附表；</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8.2“电子加密响应文件”：“电子加密响应文件”是指通过“政采云电子交易客户端”完成响应文件编制后生成并加密的数据电文形式的响应文件。</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8.3“备份响应文件”：“备份响应文件”是指与“电子加密响应文件”同时生成的数据电文形式的电子文件（备份标书），其他方式编制的“备份响应文件”视为无效的“备份响应文件”。</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9、响应文件的份数</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9.1响应文件的份数：见投标供应商须知前附表。</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10、 投标供应商如发生下列情况之一，将上报同级政府采购监督管理部门，追究其责任：</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投标供应商在采购文件规定的投标有效期内撤回投标；</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中标人未按成交通知书中规定的时间与采购人签订合同；</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投标供应商在采购文件中提供虚假技术指标及参数，经评标委员会确认属实的。</w:t>
      </w:r>
    </w:p>
    <w:p>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经同级政府采购监督管理部门审查认定投标供应商有违反《中华人民共和国政府采购法》等有关法律法规的行为。</w:t>
      </w:r>
    </w:p>
    <w:p>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五、磋商响应文件的递交</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26"/>
        <w:adjustRightInd w:val="0"/>
        <w:spacing w:line="360" w:lineRule="auto"/>
        <w:ind w:firstLine="440" w:firstLineChars="200"/>
        <w:rPr>
          <w:rFonts w:hAnsi="宋体" w:eastAsia="宋体"/>
          <w:b w:val="0"/>
          <w:color w:val="auto"/>
          <w:sz w:val="22"/>
          <w:szCs w:val="22"/>
          <w:highlight w:val="none"/>
        </w:rPr>
      </w:pPr>
      <w:bookmarkStart w:id="32" w:name="_Toc132124595"/>
      <w:bookmarkStart w:id="33" w:name="_Toc132125038"/>
      <w:bookmarkStart w:id="34" w:name="_Toc132126155"/>
      <w:bookmarkStart w:id="35" w:name="_Toc132125152"/>
      <w:bookmarkStart w:id="36" w:name="_Toc132123635"/>
      <w:bookmarkStart w:id="37" w:name="_Toc132655777"/>
      <w:bookmarkStart w:id="38" w:name="_Toc132122417"/>
      <w:bookmarkStart w:id="39" w:name="_Toc132123548"/>
      <w:bookmarkStart w:id="40" w:name="_Toc132122120"/>
      <w:bookmarkStart w:id="41" w:name="_Toc132125984"/>
      <w:bookmarkStart w:id="42" w:name="_Toc132123440"/>
      <w:bookmarkStart w:id="43" w:name="_Toc132125575"/>
      <w:bookmarkStart w:id="44" w:name="_Toc132123839"/>
      <w:bookmarkStart w:id="45" w:name="_Toc132123882"/>
      <w:bookmarkStart w:id="46" w:name="_Toc132125096"/>
      <w:r>
        <w:rPr>
          <w:rFonts w:hint="eastAsia" w:hAnsi="宋体" w:eastAsia="宋体"/>
          <w:b w:val="0"/>
          <w:color w:val="auto"/>
          <w:sz w:val="22"/>
          <w:szCs w:val="22"/>
          <w:highlight w:val="none"/>
        </w:rPr>
        <w:t>1、 响应文件的递交</w:t>
      </w:r>
    </w:p>
    <w:p>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1.1响应文件的上传、递交：见投标供应商须知前附表。</w:t>
      </w:r>
    </w:p>
    <w:p>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2、 “电子加密响应文件”解密和异常情况处理。</w:t>
      </w:r>
    </w:p>
    <w:p>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2.1“电子加密响应文件”解密：见投标供应商须知前附表。</w:t>
      </w:r>
    </w:p>
    <w:p>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3、 响应文件的补充、修改或撤回</w:t>
      </w:r>
    </w:p>
    <w:p>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3.1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递交的响应文件，“政采云平台”将予以拒收。</w:t>
      </w:r>
    </w:p>
    <w:p>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3.2响应文件递交截止时间后，投标供应商不得撤回、修改响应文件。</w:t>
      </w:r>
    </w:p>
    <w:p>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4、 响应文件的备选方案</w:t>
      </w:r>
    </w:p>
    <w:p>
      <w:pPr>
        <w:pStyle w:val="26"/>
        <w:adjustRightInd w:val="0"/>
        <w:spacing w:line="360" w:lineRule="auto"/>
        <w:ind w:firstLine="440" w:firstLineChars="200"/>
        <w:rPr>
          <w:rFonts w:hAnsi="宋体" w:eastAsia="宋体"/>
          <w:color w:val="auto"/>
          <w:sz w:val="22"/>
          <w:szCs w:val="22"/>
          <w:highlight w:val="none"/>
        </w:rPr>
      </w:pPr>
      <w:r>
        <w:rPr>
          <w:rFonts w:hint="eastAsia" w:hAnsi="宋体" w:eastAsia="宋体"/>
          <w:b w:val="0"/>
          <w:color w:val="auto"/>
          <w:sz w:val="22"/>
          <w:szCs w:val="22"/>
          <w:highlight w:val="none"/>
        </w:rPr>
        <w:t>4.1投标供应商不得递交任何的投标备选（替代）方案，否则其响应文件将作无效标处理。与“电子加密响应文件”同时生成的“备份响应文件”不是投标备选（替代）方案。</w:t>
      </w:r>
    </w:p>
    <w:p>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六、</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ascii="宋体" w:eastAsia="宋体"/>
          <w:bCs w:val="0"/>
          <w:color w:val="auto"/>
          <w:sz w:val="22"/>
          <w:szCs w:val="22"/>
          <w:highlight w:val="none"/>
        </w:rPr>
        <w:t>磋商开始和评审</w:t>
      </w:r>
    </w:p>
    <w:p>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1、磋商开始</w:t>
      </w:r>
    </w:p>
    <w:p>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1.1、采购组织机构将按照采购文件规定的时间通过“政采云平台”组织开标、开启响应文件，所有供应商均应当准时在线参加。投标供应商如不参加开标大会的，视同认可开标结果，事后不得对采购相关人员、开标过程和开标结果提出异议，同时投标供应商因未在线参加开标而导致响应文件无法按时解密等一切后果由供应商自己承担。</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2、开标</w:t>
      </w:r>
    </w:p>
    <w:p>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color w:val="auto"/>
          <w:sz w:val="22"/>
          <w:szCs w:val="22"/>
          <w:highlight w:val="none"/>
        </w:rPr>
        <w:t>2</w:t>
      </w:r>
      <w:r>
        <w:rPr>
          <w:rFonts w:hint="eastAsia" w:hAnsi="宋体" w:eastAsia="宋体"/>
          <w:b w:val="0"/>
          <w:bCs w:val="0"/>
          <w:color w:val="auto"/>
          <w:sz w:val="22"/>
          <w:szCs w:val="22"/>
          <w:highlight w:val="none"/>
        </w:rPr>
        <w:t>.1开标第一阶段</w:t>
      </w:r>
    </w:p>
    <w:p>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（1）向各</w:t>
      </w:r>
      <w:r>
        <w:rPr>
          <w:rFonts w:hint="eastAsia" w:hAnsi="宋体" w:eastAsia="宋体"/>
          <w:b w:val="0"/>
          <w:color w:val="auto"/>
          <w:sz w:val="22"/>
          <w:szCs w:val="22"/>
          <w:highlight w:val="none"/>
        </w:rPr>
        <w:t>投标供应商</w:t>
      </w:r>
      <w:r>
        <w:rPr>
          <w:rFonts w:hint="eastAsia" w:hAnsi="宋体" w:eastAsia="宋体"/>
          <w:b w:val="0"/>
          <w:bCs w:val="0"/>
          <w:color w:val="auto"/>
          <w:sz w:val="22"/>
          <w:szCs w:val="22"/>
          <w:highlight w:val="none"/>
        </w:rPr>
        <w:t>发出电子加密响应文件【开始解密】通知，由供应商按采购文件规定的时间内自行进行响应文件解密。投标供应商在规定的时间内（开标时间起半个小时内）无法完成已递交的“电子加密响应文件”解密的，如已按规定递交了备份响应文件的，将由采购组织机构按“政采云平台”操作规范将备份响应文件上传至“政采云平台”，上传成功后，“电子加密响应文件”自动失效；</w:t>
      </w:r>
    </w:p>
    <w:p>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（2）开启响应文件，进入资格审查，资格审查通过的供应商进入开标大会第二阶段程序；</w:t>
      </w:r>
    </w:p>
    <w:p>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2.2开标第二阶段</w:t>
      </w:r>
    </w:p>
    <w:p>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（1）</w:t>
      </w:r>
      <w:r>
        <w:rPr>
          <w:rFonts w:hint="eastAsia" w:hAnsi="宋体" w:eastAsia="宋体"/>
          <w:b w:val="0"/>
          <w:color w:val="auto"/>
          <w:sz w:val="22"/>
          <w:szCs w:val="22"/>
          <w:highlight w:val="none"/>
        </w:rPr>
        <w:t>由</w:t>
      </w:r>
      <w:r>
        <w:rPr>
          <w:rFonts w:hint="eastAsia" w:hAnsi="宋体" w:eastAsia="宋体"/>
          <w:b w:val="0"/>
          <w:bCs w:val="0"/>
          <w:color w:val="auto"/>
          <w:sz w:val="22"/>
          <w:szCs w:val="22"/>
          <w:highlight w:val="none"/>
        </w:rPr>
        <w:t>竞争性</w:t>
      </w:r>
      <w:r>
        <w:rPr>
          <w:rFonts w:hint="eastAsia" w:hAnsi="宋体" w:eastAsia="宋体"/>
          <w:b w:val="0"/>
          <w:color w:val="auto"/>
          <w:sz w:val="22"/>
          <w:szCs w:val="22"/>
          <w:highlight w:val="none"/>
        </w:rPr>
        <w:t>磋商采购小组对供应商</w:t>
      </w:r>
      <w:r>
        <w:rPr>
          <w:rFonts w:hint="eastAsia" w:hAnsi="宋体" w:eastAsia="宋体"/>
          <w:b w:val="0"/>
          <w:bCs w:val="0"/>
          <w:color w:val="auto"/>
          <w:sz w:val="22"/>
          <w:szCs w:val="22"/>
          <w:highlight w:val="none"/>
        </w:rPr>
        <w:t>符合性审查、技术文件的评审，评审通过的供应商</w:t>
      </w:r>
      <w:r>
        <w:rPr>
          <w:rFonts w:hint="eastAsia" w:hAnsi="宋体" w:eastAsia="宋体"/>
          <w:b w:val="0"/>
          <w:color w:val="auto"/>
          <w:sz w:val="22"/>
          <w:szCs w:val="22"/>
          <w:highlight w:val="none"/>
        </w:rPr>
        <w:t>进入最终报价程序。</w:t>
      </w:r>
    </w:p>
    <w:p>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2.3举行开标第三阶</w:t>
      </w:r>
    </w:p>
    <w:p>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开标第二阶段会议结束后。首先在“政采云平台”系统平台上公布资格性审查、符合性审查、技术评审无效供应商名称及理由；在“政采云平台”系统平台上公布开标一览表有关内容，同时当场制作开标记录。开标结束后，由评标委员会对报价的合理性、准确性等进行审查核实。</w:t>
      </w:r>
    </w:p>
    <w:p>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评审结束后，在“政采云平台”系统平台上公布中标（成交）候选供应商名单，及采购人最终确定中标或成交供应商名单的时间和公告方式等。</w:t>
      </w:r>
    </w:p>
    <w:p>
      <w:pPr>
        <w:autoSpaceDE w:val="0"/>
        <w:autoSpaceDN w:val="0"/>
        <w:adjustRightInd w:val="0"/>
        <w:spacing w:line="360" w:lineRule="auto"/>
        <w:ind w:firstLine="442" w:firstLineChars="200"/>
        <w:textAlignment w:val="bottom"/>
        <w:rPr>
          <w:rFonts w:ascii="宋体" w:eastAsia="宋体"/>
          <w:bCs w:val="0"/>
          <w:color w:val="auto"/>
          <w:sz w:val="22"/>
          <w:szCs w:val="22"/>
          <w:highlight w:val="none"/>
        </w:rPr>
      </w:pPr>
      <w:r>
        <w:rPr>
          <w:rFonts w:hint="eastAsia" w:ascii="宋体" w:eastAsia="宋体"/>
          <w:bCs w:val="0"/>
          <w:color w:val="auto"/>
          <w:sz w:val="22"/>
          <w:szCs w:val="22"/>
          <w:highlight w:val="none"/>
        </w:rPr>
        <w:t>特别说明：</w:t>
      </w:r>
    </w:p>
    <w:p>
      <w:pPr>
        <w:autoSpaceDE w:val="0"/>
        <w:autoSpaceDN w:val="0"/>
        <w:adjustRightInd w:val="0"/>
        <w:spacing w:line="360" w:lineRule="auto"/>
        <w:ind w:firstLine="442" w:firstLineChars="200"/>
        <w:textAlignment w:val="bottom"/>
        <w:rPr>
          <w:rFonts w:ascii="宋体" w:eastAsia="宋体"/>
          <w:color w:val="auto"/>
          <w:sz w:val="22"/>
          <w:szCs w:val="22"/>
          <w:highlight w:val="none"/>
        </w:rPr>
      </w:pPr>
      <w:r>
        <w:rPr>
          <w:rFonts w:hint="eastAsia" w:ascii="宋体" w:eastAsia="宋体"/>
          <w:bCs w:val="0"/>
          <w:color w:val="auto"/>
          <w:sz w:val="22"/>
          <w:szCs w:val="22"/>
          <w:highlight w:val="none"/>
        </w:rPr>
        <w:t xml:space="preserve"> (1)如遇“政采云平台”电子化开标或评审程序调整的，按调整后程序执行</w:t>
      </w:r>
      <w:r>
        <w:rPr>
          <w:rFonts w:hint="eastAsia" w:ascii="宋体" w:eastAsia="宋体"/>
          <w:color w:val="auto"/>
          <w:sz w:val="22"/>
          <w:szCs w:val="22"/>
          <w:highlight w:val="none"/>
        </w:rPr>
        <w:t>。</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2、资格审查</w:t>
      </w:r>
    </w:p>
    <w:p>
      <w:pPr>
        <w:autoSpaceDE w:val="0"/>
        <w:autoSpaceDN w:val="0"/>
        <w:adjustRightInd w:val="0"/>
        <w:spacing w:line="360" w:lineRule="auto"/>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开标后，磋商小组应当依法对投标供应商的资格进行审查，审查内容如下：</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8061"/>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30" w:lineRule="atLeast"/>
              <w:jc w:val="center"/>
              <w:rPr>
                <w:rFonts w:ascii="宋体" w:eastAsia="宋体"/>
                <w:color w:val="auto"/>
                <w:sz w:val="22"/>
                <w:highlight w:val="none"/>
                <w:lang w:val="zh-CN"/>
              </w:rPr>
            </w:pPr>
            <w:r>
              <w:rPr>
                <w:rFonts w:hint="eastAsia" w:ascii="宋体" w:eastAsia="宋体"/>
                <w:color w:val="auto"/>
                <w:sz w:val="22"/>
                <w:szCs w:val="22"/>
                <w:highlight w:val="none"/>
                <w:lang w:val="zh-CN"/>
              </w:rPr>
              <w:t>序号</w:t>
            </w:r>
          </w:p>
        </w:tc>
        <w:tc>
          <w:tcPr>
            <w:tcW w:w="4213"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ascii="宋体" w:eastAsia="宋体"/>
                <w:color w:val="auto"/>
                <w:sz w:val="22"/>
                <w:highlight w:val="none"/>
                <w:lang w:val="zh-CN"/>
              </w:rPr>
            </w:pPr>
            <w:r>
              <w:rPr>
                <w:rFonts w:hint="eastAsia" w:ascii="宋体" w:eastAsia="宋体"/>
                <w:color w:val="auto"/>
                <w:sz w:val="22"/>
                <w:szCs w:val="22"/>
                <w:highlight w:val="none"/>
                <w:lang w:val="zh-CN"/>
              </w:rPr>
              <w:t>内容</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ascii="宋体" w:eastAsia="宋体"/>
                <w:color w:val="auto"/>
                <w:sz w:val="22"/>
                <w:szCs w:val="22"/>
                <w:highlight w:val="none"/>
                <w:lang w:val="zh-CN"/>
              </w:rPr>
            </w:pPr>
            <w:r>
              <w:rPr>
                <w:rFonts w:hint="eastAsia" w:ascii="宋体" w:eastAsia="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vMerge w:val="restart"/>
            <w:tcBorders>
              <w:top w:val="single" w:color="auto" w:sz="4" w:space="0"/>
              <w:left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highlight w:val="none"/>
                <w:lang w:val="zh-CN"/>
              </w:rPr>
            </w:pPr>
            <w:r>
              <w:rPr>
                <w:rFonts w:hint="eastAsia" w:ascii="宋体" w:eastAsia="宋体"/>
                <w:b w:val="0"/>
                <w:bCs w:val="0"/>
                <w:color w:val="auto"/>
                <w:sz w:val="22"/>
                <w:szCs w:val="22"/>
                <w:highlight w:val="none"/>
                <w:lang w:val="zh-CN"/>
              </w:rPr>
              <w:t>1</w:t>
            </w:r>
          </w:p>
        </w:tc>
        <w:tc>
          <w:tcPr>
            <w:tcW w:w="4213" w:type="pct"/>
            <w:tcBorders>
              <w:top w:val="single" w:color="auto" w:sz="4" w:space="0"/>
              <w:left w:val="single" w:color="auto" w:sz="4" w:space="0"/>
              <w:bottom w:val="single" w:color="auto" w:sz="4" w:space="0"/>
              <w:right w:val="single" w:color="auto" w:sz="4" w:space="0"/>
            </w:tcBorders>
          </w:tcPr>
          <w:p>
            <w:pPr>
              <w:numPr>
                <w:ilvl w:val="0"/>
                <w:numId w:val="0"/>
              </w:numPr>
              <w:tabs>
                <w:tab w:val="left" w:pos="4140"/>
              </w:tabs>
              <w:adjustRightInd w:val="0"/>
              <w:snapToGrid w:val="0"/>
              <w:spacing w:line="320" w:lineRule="atLeast"/>
              <w:rPr>
                <w:color w:val="auto"/>
                <w:highlight w:val="none"/>
                <w:lang w:val="zh-CN"/>
              </w:rPr>
            </w:pPr>
            <w:r>
              <w:rPr>
                <w:rFonts w:hint="eastAsia" w:ascii="宋体" w:eastAsia="宋体"/>
                <w:b w:val="0"/>
                <w:bCs w:val="0"/>
                <w:color w:val="auto"/>
                <w:sz w:val="22"/>
                <w:szCs w:val="22"/>
                <w:highlight w:val="none"/>
              </w:rPr>
              <w:t>投标供应商的营业执照（或事业法人登记证书或其它工商等登记证明材料）、税务登记证（如为多证合一仅需提供营业执照（或事业法人登记证书或其它工商等登记证明材料），扫描件加盖公章）</w:t>
            </w:r>
          </w:p>
        </w:tc>
        <w:tc>
          <w:tcPr>
            <w:tcW w:w="558" w:type="pct"/>
            <w:vMerge w:val="restart"/>
            <w:tcBorders>
              <w:top w:val="single" w:color="auto" w:sz="4" w:space="0"/>
              <w:left w:val="single" w:color="auto" w:sz="4" w:space="0"/>
              <w:right w:val="single" w:color="auto" w:sz="4" w:space="0"/>
            </w:tcBorders>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vMerge w:val="continue"/>
            <w:tcBorders>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eastAsia="宋体"/>
                <w:b w:val="0"/>
                <w:bCs w:val="0"/>
                <w:color w:val="auto"/>
                <w:sz w:val="22"/>
                <w:szCs w:val="22"/>
                <w:highlight w:val="none"/>
                <w:lang w:val="zh-CN"/>
              </w:rPr>
            </w:pPr>
          </w:p>
        </w:tc>
        <w:tc>
          <w:tcPr>
            <w:tcW w:w="4213" w:type="pct"/>
            <w:tcBorders>
              <w:top w:val="single" w:color="auto" w:sz="4" w:space="0"/>
              <w:left w:val="single" w:color="auto" w:sz="4" w:space="0"/>
              <w:bottom w:val="single" w:color="auto" w:sz="4" w:space="0"/>
              <w:right w:val="single" w:color="auto" w:sz="4" w:space="0"/>
            </w:tcBorders>
          </w:tcPr>
          <w:p>
            <w:pPr>
              <w:numPr>
                <w:ilvl w:val="0"/>
                <w:numId w:val="0"/>
              </w:numPr>
              <w:tabs>
                <w:tab w:val="left" w:pos="4140"/>
              </w:tabs>
              <w:adjustRightInd w:val="0"/>
              <w:snapToGrid w:val="0"/>
              <w:spacing w:line="32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供应商特定资格条件证明</w:t>
            </w:r>
            <w:r>
              <w:rPr>
                <w:rFonts w:hint="eastAsia" w:ascii="宋体" w:eastAsia="宋体" w:cs="宋体"/>
                <w:b w:val="0"/>
                <w:bCs w:val="0"/>
                <w:color w:val="auto"/>
                <w:sz w:val="22"/>
                <w:highlight w:val="none"/>
                <w:lang w:val="en-US" w:eastAsia="zh-CN"/>
              </w:rPr>
              <w:t>:</w:t>
            </w:r>
            <w:r>
              <w:rPr>
                <w:rFonts w:hint="eastAsia" w:ascii="宋体" w:eastAsia="宋体"/>
                <w:b w:val="0"/>
                <w:bCs w:val="0"/>
                <w:color w:val="auto"/>
                <w:sz w:val="22"/>
                <w:szCs w:val="22"/>
                <w:highlight w:val="none"/>
              </w:rPr>
              <w:t>投标供应商必须是有文艺演出条件和能力的文化类企事业法人单位或民营演出团体或民办非企业单位。营业执照必须具有相应的商业演出经营范围（以营业执照为准）演出服务单位必须是县级以上（含县级）文化行政管理部门注册的民营艺术表演团体，具备营业性演出许可证等</w:t>
            </w:r>
          </w:p>
        </w:tc>
        <w:tc>
          <w:tcPr>
            <w:tcW w:w="558" w:type="pct"/>
            <w:vMerge w:val="continue"/>
            <w:tcBorders>
              <w:left w:val="single" w:color="auto" w:sz="4" w:space="0"/>
              <w:bottom w:val="single" w:color="auto" w:sz="4" w:space="0"/>
              <w:right w:val="single" w:color="auto" w:sz="4" w:space="0"/>
            </w:tcBorders>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2</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具有财务会计制度、设备和专业技术能力、</w:t>
            </w:r>
            <w:r>
              <w:rPr>
                <w:rFonts w:hint="eastAsia" w:ascii="宋体" w:eastAsia="宋体"/>
                <w:b w:val="0"/>
                <w:bCs w:val="0"/>
                <w:color w:val="auto"/>
                <w:sz w:val="22"/>
                <w:szCs w:val="22"/>
                <w:highlight w:val="none"/>
              </w:rPr>
              <w:t>依法</w:t>
            </w:r>
            <w:r>
              <w:rPr>
                <w:rFonts w:hint="eastAsia" w:ascii="宋体" w:eastAsia="宋体"/>
                <w:b w:val="0"/>
                <w:bCs w:val="0"/>
                <w:color w:val="auto"/>
                <w:sz w:val="22"/>
                <w:szCs w:val="22"/>
                <w:highlight w:val="none"/>
                <w:lang w:val="zh-CN"/>
              </w:rPr>
              <w:t>缴纳税收和社会保障资金</w:t>
            </w:r>
            <w:r>
              <w:rPr>
                <w:rFonts w:hint="eastAsia" w:ascii="宋体" w:eastAsia="宋体"/>
                <w:b w:val="0"/>
                <w:bCs w:val="0"/>
                <w:color w:val="auto"/>
                <w:sz w:val="22"/>
                <w:szCs w:val="22"/>
                <w:highlight w:val="none"/>
              </w:rPr>
              <w:t>记录</w:t>
            </w:r>
            <w:r>
              <w:rPr>
                <w:rFonts w:hint="eastAsia" w:ascii="宋体" w:eastAsia="宋体"/>
                <w:b w:val="0"/>
                <w:bCs w:val="0"/>
                <w:color w:val="auto"/>
                <w:sz w:val="22"/>
                <w:szCs w:val="22"/>
                <w:highlight w:val="none"/>
                <w:lang w:val="zh-CN"/>
              </w:rPr>
              <w:t>、</w:t>
            </w:r>
            <w:r>
              <w:rPr>
                <w:rFonts w:hint="eastAsia" w:ascii="宋体" w:eastAsia="宋体"/>
                <w:b w:val="0"/>
                <w:bCs w:val="0"/>
                <w:color w:val="auto"/>
                <w:sz w:val="22"/>
                <w:szCs w:val="22"/>
                <w:highlight w:val="none"/>
              </w:rPr>
              <w:t>无</w:t>
            </w:r>
            <w:r>
              <w:rPr>
                <w:rFonts w:hint="eastAsia" w:ascii="宋体" w:eastAsia="宋体"/>
                <w:b w:val="0"/>
                <w:bCs w:val="0"/>
                <w:color w:val="auto"/>
                <w:sz w:val="22"/>
                <w:szCs w:val="22"/>
                <w:highlight w:val="none"/>
                <w:lang w:val="zh-CN"/>
              </w:rPr>
              <w:t>重大违法记录的承诺函</w:t>
            </w:r>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highlight w:val="none"/>
              </w:rPr>
            </w:pPr>
            <w:r>
              <w:rPr>
                <w:rFonts w:hint="eastAsia" w:ascii="宋体" w:eastAsia="宋体"/>
                <w:b w:val="0"/>
                <w:bCs w:val="0"/>
                <w:color w:val="auto"/>
                <w:sz w:val="22"/>
                <w:szCs w:val="22"/>
                <w:highlight w:val="none"/>
              </w:rPr>
              <w:t>3</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投标供应商同时提供以下信用记录查询网页截图或报告（采购公告发布之日至投标文件递交截止时间前关于投标供应商信用记录的查询网页）：</w:t>
            </w:r>
          </w:p>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（1）“信用中国”(www.creditchina.gov.cn)，在信用中国首页搜索栏中直接输入投标供应商全称搜索信用信息，再找到并点击进人投标供应商全称的查询页面。</w:t>
            </w:r>
          </w:p>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（2）“中国政府采购网”（www.ccgp.gov.cn/search/cr/）</w:t>
            </w:r>
          </w:p>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注：①若供应商查询页面“行政处罚”栏显示有行政处罚事项，须将所有行政处罚事项在“信用中国”网页上列出的明细一并打印，并附说明，是否属于“经营活动中的重大违法记录”。</w:t>
            </w:r>
          </w:p>
          <w:p>
            <w:pPr>
              <w:tabs>
                <w:tab w:val="left" w:pos="4140"/>
              </w:tabs>
              <w:adjustRightInd w:val="0"/>
              <w:snapToGrid w:val="0"/>
              <w:spacing w:line="320" w:lineRule="atLeast"/>
              <w:rPr>
                <w:rFonts w:ascii="宋体" w:eastAsia="宋体"/>
                <w:b w:val="0"/>
                <w:bCs w:val="0"/>
                <w:color w:val="auto"/>
                <w:sz w:val="22"/>
                <w:highlight w:val="none"/>
              </w:rPr>
            </w:pPr>
            <w:r>
              <w:rPr>
                <w:rFonts w:hint="eastAsia" w:ascii="宋体" w:eastAsia="宋体"/>
                <w:b w:val="0"/>
                <w:bCs w:val="0"/>
                <w:color w:val="auto"/>
                <w:sz w:val="22"/>
                <w:highlight w:val="none"/>
              </w:rPr>
              <w:t>②若供应商在“信用中国”无数据，亦须将搜索结果页面打印，并附说明。</w:t>
            </w:r>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highlight w:val="none"/>
              </w:rPr>
            </w:pPr>
            <w:r>
              <w:rPr>
                <w:rFonts w:hint="eastAsia" w:ascii="宋体" w:eastAsia="宋体"/>
                <w:b w:val="0"/>
                <w:bCs w:val="0"/>
                <w:color w:val="auto"/>
                <w:sz w:val="22"/>
                <w:szCs w:val="22"/>
                <w:highlight w:val="none"/>
              </w:rPr>
              <w:t>4</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eastAsia="宋体"/>
                <w:b w:val="0"/>
                <w:bCs w:val="0"/>
                <w:color w:val="auto"/>
                <w:sz w:val="22"/>
                <w:highlight w:val="none"/>
              </w:rPr>
            </w:pPr>
            <w:r>
              <w:rPr>
                <w:rFonts w:hint="eastAsia" w:ascii="宋体" w:eastAsia="宋体"/>
                <w:b w:val="0"/>
                <w:bCs w:val="0"/>
                <w:color w:val="auto"/>
                <w:sz w:val="22"/>
                <w:szCs w:val="22"/>
                <w:highlight w:val="none"/>
              </w:rPr>
              <w:t>与参加本次项目同一合同项下政府采购活动的其他供应商不存在单位负责人为同一人或者直接控股、管理关系的承诺函</w:t>
            </w:r>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eastAsia="宋体"/>
                <w:b w:val="0"/>
                <w:bCs w:val="0"/>
                <w:color w:val="auto"/>
                <w:sz w:val="22"/>
                <w:highlight w:val="none"/>
              </w:rPr>
            </w:pPr>
            <w:r>
              <w:rPr>
                <w:rFonts w:hint="eastAsia" w:ascii="宋体" w:eastAsia="宋体"/>
                <w:b w:val="0"/>
                <w:bCs w:val="0"/>
                <w:color w:val="auto"/>
                <w:sz w:val="22"/>
                <w:highlight w:val="none"/>
              </w:rPr>
              <w:t>5</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eastAsia="宋体"/>
                <w:b w:val="0"/>
                <w:bCs w:val="0"/>
                <w:color w:val="auto"/>
                <w:sz w:val="22"/>
                <w:highlight w:val="none"/>
              </w:rPr>
            </w:pPr>
            <w:r>
              <w:rPr>
                <w:rFonts w:hint="eastAsia" w:ascii="宋体" w:eastAsia="宋体"/>
                <w:b w:val="0"/>
                <w:bCs w:val="0"/>
                <w:color w:val="auto"/>
                <w:sz w:val="22"/>
                <w:szCs w:val="22"/>
                <w:highlight w:val="none"/>
              </w:rPr>
              <w:t>供应商法定代表人授权书，供应商代表指全权代表供应商参加投标活动并签署投标文件的人。如果供应商代表是法定代表人的，仅须提供身份证扫描件；如果供应商代表不是法定代表人，须持有《法定代表人授权书》</w:t>
            </w:r>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6</w:t>
            </w:r>
          </w:p>
        </w:tc>
        <w:tc>
          <w:tcPr>
            <w:tcW w:w="42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《中小企业声明函》或省级以上监狱管理局、戒毒管理局(含新疆生产建设兵团)出具的属于监狱企业的证明文件或残疾人福利性单位声明函。</w:t>
            </w:r>
          </w:p>
        </w:tc>
        <w:tc>
          <w:tcPr>
            <w:tcW w:w="55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六</w:t>
            </w:r>
          </w:p>
        </w:tc>
      </w:tr>
    </w:tbl>
    <w:p>
      <w:pPr>
        <w:pStyle w:val="26"/>
        <w:adjustRightInd w:val="0"/>
        <w:spacing w:line="360" w:lineRule="auto"/>
        <w:ind w:firstLine="440" w:firstLineChars="200"/>
        <w:rPr>
          <w:rFonts w:hAnsi="宋体" w:eastAsia="宋体"/>
          <w:b w:val="0"/>
          <w:color w:val="auto"/>
          <w:sz w:val="22"/>
          <w:highlight w:val="none"/>
        </w:rPr>
      </w:pPr>
      <w:r>
        <w:rPr>
          <w:rFonts w:hint="eastAsia" w:hAnsi="宋体" w:eastAsia="宋体"/>
          <w:b w:val="0"/>
          <w:color w:val="auto"/>
          <w:sz w:val="22"/>
          <w:highlight w:val="none"/>
        </w:rPr>
        <w:t>3、评标</w:t>
      </w:r>
    </w:p>
    <w:p>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3.1评标由采购人依法组建的竞争性磋商采购小组负责，并独立履行下列职责：</w:t>
      </w:r>
    </w:p>
    <w:p>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1）审查响应文件是否符合磋商文件要求，并作出评价；</w:t>
      </w:r>
    </w:p>
    <w:p>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2）要求供应商对响应文件有关事项作出解释或者澄清；</w:t>
      </w:r>
    </w:p>
    <w:p>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 xml:space="preserve">3）按照磋商文件确定的评标办法直接确定成交供应商； </w:t>
      </w:r>
    </w:p>
    <w:p>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4）向采购人或者有关部门报告非法干预评标工作的行为。</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3.2 评标应当遵循下列工作程序：</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1）响应文件符合性检查。依据磋商文件的规定，从响应文件的有效性、完整性和对磋商文件的响应程度进行审查，以确定是否对磋商文件的实质性</w:t>
      </w:r>
      <w:r>
        <w:rPr>
          <w:rFonts w:hint="eastAsia" w:ascii="宋体" w:eastAsia="宋体"/>
          <w:b w:val="0"/>
          <w:color w:val="auto"/>
          <w:sz w:val="22"/>
          <w:szCs w:val="22"/>
          <w:highlight w:val="none"/>
        </w:rPr>
        <w:t>要求作出响应。</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2）竞争性磋商采购小组可以根据供应商响应文件情况，经采购人确认，调整磋商文件及采购方案，在统一采购要求的基础上，要求所有有效供应商重新修正响应文件及进行多轮次报价。</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3）比较与评价。按磋商文件中规定的评标方法和标准，对资格检查和符合性检查合格的响应文件进行商务和技术评估，综合比较与评价。</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4）推荐成交供应商候选人名单，并根据采购人的授权确定成交供应商。</w:t>
      </w:r>
    </w:p>
    <w:p>
      <w:pPr>
        <w:autoSpaceDE w:val="0"/>
        <w:autoSpaceDN w:val="0"/>
        <w:adjustRightInd w:val="0"/>
        <w:spacing w:line="360" w:lineRule="auto"/>
        <w:ind w:firstLine="440" w:firstLineChars="200"/>
        <w:textAlignment w:val="bottom"/>
        <w:rPr>
          <w:rFonts w:ascii="宋体" w:eastAsia="宋体"/>
          <w:color w:val="auto"/>
          <w:sz w:val="22"/>
          <w:szCs w:val="22"/>
          <w:highlight w:val="none"/>
          <w:u w:val="single"/>
        </w:rPr>
      </w:pPr>
      <w:r>
        <w:rPr>
          <w:rFonts w:hint="eastAsia" w:ascii="宋体" w:eastAsia="宋体"/>
          <w:b w:val="0"/>
          <w:color w:val="auto"/>
          <w:sz w:val="22"/>
          <w:szCs w:val="22"/>
          <w:highlight w:val="none"/>
        </w:rPr>
        <w:t>3.3 ▲</w:t>
      </w:r>
      <w:r>
        <w:rPr>
          <w:rFonts w:hint="eastAsia" w:ascii="宋体" w:eastAsia="宋体"/>
          <w:color w:val="auto"/>
          <w:sz w:val="22"/>
          <w:szCs w:val="22"/>
          <w:highlight w:val="none"/>
          <w:u w:val="single"/>
        </w:rPr>
        <w:t>供应商存在下列情况之一的，报价无效:</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1）响应文件未按磋商文件要求签署、盖章的；</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2）不具备磋商文件中规定的资格要求的；</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3）最终报价超过磋商文件中规定的预算金额或者最高限价的；</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4）响应文件含有采购人不能接受的附加条件的（包括磋商文件中明确要求不得偏离的招标要求，存在负偏离的）;</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5）对关键条文的偏离、保留或反对，例如关于报价保证金、付款方式、完工期（服务期）、免费质保期、适用法律法规、标准、税费等其他内容；</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6）存在串标、抬标或弄虚作假情况的；</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7）法律、法规和磋商文件规定的其他无效情形（或出现重大偏差）。</w:t>
      </w:r>
    </w:p>
    <w:p>
      <w:pPr>
        <w:autoSpaceDE w:val="0"/>
        <w:autoSpaceDN w:val="0"/>
        <w:adjustRightInd w:val="0"/>
        <w:spacing w:line="360" w:lineRule="auto"/>
        <w:ind w:firstLine="440" w:firstLineChars="200"/>
        <w:textAlignment w:val="bottom"/>
        <w:rPr>
          <w:rFonts w:ascii="宋体" w:eastAsia="宋体"/>
          <w:color w:val="auto"/>
          <w:sz w:val="22"/>
          <w:szCs w:val="22"/>
          <w:highlight w:val="none"/>
          <w:u w:val="single"/>
        </w:rPr>
      </w:pPr>
      <w:r>
        <w:rPr>
          <w:rFonts w:hint="eastAsia" w:ascii="宋体" w:eastAsia="宋体"/>
          <w:b w:val="0"/>
          <w:color w:val="auto"/>
          <w:sz w:val="22"/>
          <w:szCs w:val="22"/>
          <w:highlight w:val="none"/>
        </w:rPr>
        <w:t>3.4 ▲</w:t>
      </w:r>
      <w:r>
        <w:rPr>
          <w:rFonts w:hint="eastAsia" w:ascii="宋体" w:eastAsia="宋体"/>
          <w:color w:val="auto"/>
          <w:sz w:val="22"/>
          <w:szCs w:val="22"/>
          <w:highlight w:val="none"/>
          <w:u w:val="single"/>
        </w:rPr>
        <w:t>竞争性磋商采购小组发现响应文件有下列情形之一的属于重大偏差(竞争性磋商采购小组按少数服从多数原则认定),按照无效投标处理：</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1）未按磋商文件要求编制或字迹模糊、辨认不清的响应文件；</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2）除3.3条款以外，出现其它明显不符合采购要求的响应文件；</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3）除3.3条款以外，出现其它不符合磋商文件中规定的实质性要求的响应文件，是否为偏离实质性要求由竞争性磋商采购小组认定。</w:t>
      </w:r>
    </w:p>
    <w:p>
      <w:pPr>
        <w:autoSpaceDE w:val="0"/>
        <w:autoSpaceDN w:val="0"/>
        <w:adjustRightInd w:val="0"/>
        <w:spacing w:line="360" w:lineRule="auto"/>
        <w:ind w:firstLine="440" w:firstLineChars="200"/>
        <w:textAlignment w:val="bottom"/>
        <w:rPr>
          <w:rFonts w:ascii="宋体" w:eastAsia="宋体"/>
          <w:color w:val="auto"/>
          <w:sz w:val="22"/>
          <w:szCs w:val="22"/>
          <w:highlight w:val="none"/>
          <w:u w:val="single"/>
        </w:rPr>
      </w:pPr>
      <w:r>
        <w:rPr>
          <w:rFonts w:hint="eastAsia" w:ascii="宋体" w:eastAsia="宋体"/>
          <w:b w:val="0"/>
          <w:color w:val="auto"/>
          <w:sz w:val="22"/>
          <w:szCs w:val="22"/>
          <w:highlight w:val="none"/>
        </w:rPr>
        <w:t>3.5 ▲</w:t>
      </w:r>
      <w:r>
        <w:rPr>
          <w:rFonts w:hint="eastAsia" w:ascii="宋体" w:eastAsia="宋体"/>
          <w:color w:val="auto"/>
          <w:sz w:val="22"/>
          <w:szCs w:val="22"/>
          <w:highlight w:val="none"/>
          <w:u w:val="single"/>
        </w:rPr>
        <w:t>竞争性磋商采购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采购小组应当将其作为无效投标处理。</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3.6 竞争性磋商采购小组在评标中，不得改变磋商文件中规定的评标标准、方法和中标条件。</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3.7 评标时如遇到磋商文件未规定的特殊情况，由竞争性磋商采购小组按少数服从多数原则集体决定处理。</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3.8竞争性磋商采购小组对未中标的供应商不作解释。同时根据政府采购法实施条例第四十条规定，本项目不对供应商公布详细的评审情况，不公布具体评标细则中小项得分。</w:t>
      </w:r>
    </w:p>
    <w:p>
      <w:pPr>
        <w:pStyle w:val="26"/>
        <w:adjustRightInd w:val="0"/>
        <w:snapToGrid w:val="0"/>
        <w:spacing w:line="360" w:lineRule="auto"/>
        <w:ind w:firstLine="433" w:firstLineChars="197"/>
        <w:rPr>
          <w:rFonts w:hAnsi="宋体" w:eastAsia="宋体"/>
          <w:b w:val="0"/>
          <w:color w:val="auto"/>
          <w:sz w:val="22"/>
          <w:highlight w:val="none"/>
        </w:rPr>
      </w:pPr>
      <w:r>
        <w:rPr>
          <w:rFonts w:hint="eastAsia" w:hAnsi="宋体" w:eastAsia="宋体"/>
          <w:b w:val="0"/>
          <w:color w:val="auto"/>
          <w:sz w:val="22"/>
          <w:highlight w:val="none"/>
        </w:rPr>
        <w:t>4、响应文件的澄清</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为有助于响应文件的审查、评价和比较，评标小组可以在“政采云平台”在线询标形式要求投标供应商对同一份响应文件含义不明确或同类问题表述不一致的内容（采购文件其它地方有规定处理方法的除外）作必要的澄清或说明，投标供应商应采用在线回复在询标规定时间内进行澄清或说明（需盖电子签章或实体公章），但不得超出响应文件的范围或改变响应文件的实质性内容。凡属于评标小组在评标中发现的计算错误并进行核实的修改不在此列。</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5、有下列情形之一的，视为供应商相互串通投标：</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5.1不同供应商的响应文件由同一单位或者个人编制；</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5.2不同供应商委托同一单位或者个人办理投标事宜；</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5.3不同供应商的响应文件载明的项目管理成员为同一人；</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5.4不同供应商的响应文件异常一致或者投标报价呈规律性差异；</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5.5不同供应商的响应文件相互混装；</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5.6经竞争性磋商采购小组认定供应商进行串通投标的，竞争性磋商采购小组可以对相关供应商做出无效报价处理，并上报政府采购管理部门进行进一步处理。</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6、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7、评标原则</w:t>
      </w:r>
    </w:p>
    <w:p>
      <w:pPr>
        <w:autoSpaceDE w:val="0"/>
        <w:autoSpaceDN w:val="0"/>
        <w:adjustRightInd w:val="0"/>
        <w:spacing w:line="360" w:lineRule="auto"/>
        <w:ind w:firstLine="440" w:firstLineChars="200"/>
        <w:textAlignment w:val="bottom"/>
        <w:rPr>
          <w:rFonts w:ascii="宋体" w:eastAsia="宋体"/>
          <w:b w:val="0"/>
          <w:color w:val="auto"/>
          <w:sz w:val="22"/>
          <w:highlight w:val="none"/>
        </w:rPr>
      </w:pPr>
      <w:r>
        <w:rPr>
          <w:rFonts w:hint="eastAsia" w:ascii="宋体" w:eastAsia="宋体"/>
          <w:b w:val="0"/>
          <w:color w:val="auto"/>
          <w:sz w:val="22"/>
          <w:szCs w:val="22"/>
          <w:highlight w:val="none"/>
        </w:rPr>
        <w:t xml:space="preserve">评标办法具体见本磋商文件第七部分。  </w:t>
      </w:r>
      <w:r>
        <w:rPr>
          <w:rFonts w:hint="eastAsia" w:ascii="宋体" w:eastAsia="宋体"/>
          <w:b w:val="0"/>
          <w:color w:val="auto"/>
          <w:sz w:val="22"/>
          <w:highlight w:val="none"/>
        </w:rPr>
        <w:t xml:space="preserve"> </w:t>
      </w:r>
    </w:p>
    <w:p>
      <w:pPr>
        <w:widowControl/>
        <w:spacing w:line="360" w:lineRule="auto"/>
        <w:jc w:val="left"/>
        <w:rPr>
          <w:rFonts w:ascii="宋体" w:eastAsia="宋体"/>
          <w:bCs w:val="0"/>
          <w:color w:val="auto"/>
          <w:sz w:val="22"/>
          <w:szCs w:val="22"/>
          <w:highlight w:val="none"/>
        </w:rPr>
      </w:pPr>
      <w:bookmarkStart w:id="47" w:name="_Toc132125097"/>
      <w:bookmarkStart w:id="48" w:name="_Toc132123840"/>
      <w:bookmarkStart w:id="49" w:name="_Toc132125576"/>
      <w:bookmarkStart w:id="50" w:name="_Toc132655778"/>
      <w:bookmarkStart w:id="51" w:name="_Toc132123883"/>
      <w:bookmarkStart w:id="52" w:name="_Toc132124596"/>
      <w:bookmarkStart w:id="53" w:name="_Toc132123441"/>
      <w:bookmarkStart w:id="54" w:name="_Toc132126156"/>
      <w:bookmarkStart w:id="55" w:name="_Toc493530208"/>
      <w:bookmarkStart w:id="56" w:name="_Toc132123636"/>
      <w:bookmarkStart w:id="57" w:name="_Toc132122418"/>
      <w:bookmarkStart w:id="58" w:name="_Toc132125153"/>
      <w:bookmarkStart w:id="59" w:name="_Toc132125985"/>
      <w:bookmarkStart w:id="60" w:name="_Toc132125039"/>
      <w:bookmarkStart w:id="61" w:name="_Toc132122121"/>
      <w:bookmarkStart w:id="62" w:name="_Toc132123549"/>
      <w:r>
        <w:rPr>
          <w:rFonts w:hint="eastAsia" w:ascii="宋体" w:eastAsia="宋体"/>
          <w:bCs w:val="0"/>
          <w:color w:val="auto"/>
          <w:sz w:val="22"/>
          <w:szCs w:val="22"/>
          <w:highlight w:val="none"/>
        </w:rPr>
        <w:t>七、授予合同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1、决标</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评标结束后，竞争性磋商采购小组按照磋商文件确定的评标办法推荐成交供应商。</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2、成交通知书</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2.1 采购人依法确认成交供应商后，代理机构在浙江省政府采购网上公告成交结果，同时向成交供应商发出成交通知书，成交公告期限为1个工作日。</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2.2 成交通知书对采购人和成交供应商具有法律约束力。成交通知书发出后，采购人改变中标结果或者成交供应商放弃中标的，应当承担法律责任。</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2.3 成交无效</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1）发现成交供应商资格无效或成交供应商放弃成交或拒绝与采购人签订合同的,采购人可以按照评审报告推荐的成交候选人名单排序，确定下一候选人为成交供应商，也可以重新开展政府采购活动。</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 xml:space="preserve">    2）有《中华人民共和国政府采购法实施条例》第七十一条、第七十二条、第七十三条、第七十四条规定的违法行为之一，由政府采购监管部门依法处理。</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3、签订合同</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3.1 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3.2 磋商文件、成交供应商的响应文件及投标修改文件、评标过程中有关澄清文件及经双方签字的询标纪要（承诺）和成交通知书均作为合同附件。</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3.3 拒签合同的责任</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成交供应商在规定时间内（30日历天）借故否认已经承诺的条件、拒签合同者，以违约处理，并赔偿采购人由此造成的直接经济损失；采购人重新组织采购的，所需费用由原成交供应商承担。</w:t>
      </w:r>
    </w:p>
    <w:p>
      <w:pPr>
        <w:pStyle w:val="26"/>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4、招标代理费用</w:t>
      </w:r>
    </w:p>
    <w:p>
      <w:pPr>
        <w:autoSpaceDE w:val="0"/>
        <w:autoSpaceDN w:val="0"/>
        <w:adjustRightInd w:val="0"/>
        <w:spacing w:line="360" w:lineRule="auto"/>
        <w:ind w:firstLine="440" w:firstLineChars="200"/>
        <w:textAlignment w:val="bottom"/>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4.1、本次项目招标代理服务费</w:t>
      </w:r>
      <w:r>
        <w:rPr>
          <w:rFonts w:hint="eastAsia" w:ascii="宋体" w:hAnsi="宋体" w:eastAsia="宋体" w:cs="宋体"/>
          <w:b w:val="0"/>
          <w:color w:val="auto"/>
          <w:sz w:val="22"/>
          <w:szCs w:val="22"/>
          <w:highlight w:val="none"/>
          <w:lang w:eastAsia="zh-CN"/>
        </w:rPr>
        <w:t>：</w:t>
      </w:r>
    </w:p>
    <w:p>
      <w:pPr>
        <w:autoSpaceDE w:val="0"/>
        <w:autoSpaceDN w:val="0"/>
        <w:adjustRightIn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标</w:t>
      </w:r>
      <w:r>
        <w:rPr>
          <w:rFonts w:hint="eastAsia" w:ascii="宋体" w:hAnsi="宋体" w:eastAsia="宋体" w:cs="宋体"/>
          <w:b w:val="0"/>
          <w:color w:val="auto"/>
          <w:sz w:val="22"/>
          <w:szCs w:val="22"/>
          <w:highlight w:val="none"/>
          <w:lang w:val="en-US" w:eastAsia="zh-CN"/>
        </w:rPr>
        <w:t>项</w:t>
      </w:r>
      <w:r>
        <w:rPr>
          <w:rFonts w:hint="eastAsia" w:ascii="宋体" w:hAnsi="宋体" w:eastAsia="宋体" w:cs="宋体"/>
          <w:b w:val="0"/>
          <w:color w:val="auto"/>
          <w:sz w:val="22"/>
          <w:szCs w:val="22"/>
          <w:highlight w:val="none"/>
        </w:rPr>
        <w:t>一：招标代理服务费为人民</w:t>
      </w:r>
      <w:r>
        <w:rPr>
          <w:rFonts w:hint="eastAsia" w:ascii="宋体" w:hAnsi="宋体" w:eastAsia="宋体" w:cs="宋体"/>
          <w:b w:val="0"/>
          <w:color w:val="auto"/>
          <w:sz w:val="22"/>
          <w:szCs w:val="22"/>
          <w:highlight w:val="none"/>
        </w:rPr>
        <w:t>币</w:t>
      </w:r>
      <w:r>
        <w:rPr>
          <w:rFonts w:hint="eastAsia" w:ascii="宋体" w:eastAsia="宋体" w:cs="宋体"/>
          <w:b w:val="0"/>
          <w:color w:val="auto"/>
          <w:sz w:val="22"/>
          <w:szCs w:val="22"/>
          <w:highlight w:val="none"/>
          <w:lang w:val="en-US" w:eastAsia="zh-CN"/>
        </w:rPr>
        <w:t>65</w:t>
      </w:r>
      <w:r>
        <w:rPr>
          <w:rFonts w:hint="eastAsia" w:ascii="宋体" w:hAnsi="宋体" w:eastAsia="宋体" w:cs="宋体"/>
          <w:b w:val="0"/>
          <w:color w:val="auto"/>
          <w:sz w:val="22"/>
          <w:szCs w:val="22"/>
          <w:highlight w:val="none"/>
        </w:rPr>
        <w:t>00元；</w:t>
      </w:r>
    </w:p>
    <w:p>
      <w:pPr>
        <w:autoSpaceDE w:val="0"/>
        <w:autoSpaceDN w:val="0"/>
        <w:adjustRightIn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标</w:t>
      </w:r>
      <w:r>
        <w:rPr>
          <w:rFonts w:hint="eastAsia" w:ascii="宋体" w:hAnsi="宋体" w:eastAsia="宋体" w:cs="宋体"/>
          <w:b w:val="0"/>
          <w:color w:val="auto"/>
          <w:sz w:val="22"/>
          <w:szCs w:val="22"/>
          <w:highlight w:val="none"/>
          <w:lang w:val="en-US" w:eastAsia="zh-CN"/>
        </w:rPr>
        <w:t>项二</w:t>
      </w:r>
      <w:r>
        <w:rPr>
          <w:rFonts w:hint="eastAsia" w:ascii="宋体" w:hAnsi="宋体" w:eastAsia="宋体" w:cs="宋体"/>
          <w:b w:val="0"/>
          <w:color w:val="auto"/>
          <w:sz w:val="22"/>
          <w:szCs w:val="22"/>
          <w:highlight w:val="none"/>
        </w:rPr>
        <w:t>：招标代理服务费为人民</w:t>
      </w:r>
      <w:r>
        <w:rPr>
          <w:rFonts w:hint="eastAsia" w:ascii="宋体" w:hAnsi="宋体" w:eastAsia="宋体" w:cs="宋体"/>
          <w:b w:val="0"/>
          <w:color w:val="auto"/>
          <w:sz w:val="22"/>
          <w:szCs w:val="22"/>
          <w:highlight w:val="none"/>
        </w:rPr>
        <w:t>币</w:t>
      </w:r>
      <w:r>
        <w:rPr>
          <w:rFonts w:hint="eastAsia" w:ascii="宋体" w:eastAsia="宋体" w:cs="宋体"/>
          <w:b w:val="0"/>
          <w:color w:val="auto"/>
          <w:sz w:val="22"/>
          <w:szCs w:val="22"/>
          <w:highlight w:val="none"/>
          <w:lang w:val="en-US" w:eastAsia="zh-CN"/>
        </w:rPr>
        <w:t>550</w:t>
      </w:r>
      <w:r>
        <w:rPr>
          <w:rFonts w:hint="eastAsia" w:ascii="宋体" w:hAnsi="宋体" w:eastAsia="宋体" w:cs="宋体"/>
          <w:b w:val="0"/>
          <w:color w:val="auto"/>
          <w:sz w:val="22"/>
          <w:szCs w:val="22"/>
          <w:highlight w:val="none"/>
        </w:rPr>
        <w:t>0元</w:t>
      </w:r>
      <w:r>
        <w:rPr>
          <w:rFonts w:hint="eastAsia" w:ascii="宋体" w:hAnsi="宋体" w:eastAsia="宋体" w:cs="宋体"/>
          <w:b w:val="0"/>
          <w:color w:val="auto"/>
          <w:sz w:val="22"/>
          <w:szCs w:val="22"/>
          <w:highlight w:val="none"/>
        </w:rPr>
        <w:t>；</w:t>
      </w:r>
    </w:p>
    <w:p>
      <w:pPr>
        <w:autoSpaceDE w:val="0"/>
        <w:autoSpaceDN w:val="0"/>
        <w:adjustRightInd w:val="0"/>
        <w:spacing w:line="360" w:lineRule="auto"/>
        <w:ind w:firstLine="440" w:firstLineChars="200"/>
        <w:textAlignment w:val="bottom"/>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标</w:t>
      </w:r>
      <w:r>
        <w:rPr>
          <w:rFonts w:hint="eastAsia" w:ascii="宋体" w:hAnsi="宋体" w:eastAsia="宋体" w:cs="宋体"/>
          <w:b w:val="0"/>
          <w:color w:val="auto"/>
          <w:sz w:val="22"/>
          <w:szCs w:val="22"/>
          <w:highlight w:val="none"/>
          <w:lang w:val="en-US" w:eastAsia="zh-CN"/>
        </w:rPr>
        <w:t>项</w:t>
      </w:r>
      <w:r>
        <w:rPr>
          <w:rFonts w:hint="eastAsia" w:ascii="宋体" w:hAnsi="宋体" w:eastAsia="宋体" w:cs="宋体"/>
          <w:b w:val="0"/>
          <w:color w:val="auto"/>
          <w:sz w:val="22"/>
          <w:szCs w:val="22"/>
          <w:highlight w:val="none"/>
          <w:lang w:eastAsia="zh-CN"/>
        </w:rPr>
        <w:t>三</w:t>
      </w:r>
      <w:r>
        <w:rPr>
          <w:rFonts w:hint="eastAsia" w:ascii="宋体" w:hAnsi="宋体" w:eastAsia="宋体" w:cs="宋体"/>
          <w:b w:val="0"/>
          <w:color w:val="auto"/>
          <w:sz w:val="22"/>
          <w:szCs w:val="22"/>
          <w:highlight w:val="none"/>
        </w:rPr>
        <w:t>：招标代理服务费为人民</w:t>
      </w:r>
      <w:r>
        <w:rPr>
          <w:rFonts w:hint="eastAsia" w:ascii="宋体" w:hAnsi="宋体" w:eastAsia="宋体" w:cs="宋体"/>
          <w:b w:val="0"/>
          <w:color w:val="auto"/>
          <w:sz w:val="22"/>
          <w:szCs w:val="22"/>
          <w:highlight w:val="none"/>
        </w:rPr>
        <w:t>币</w:t>
      </w:r>
      <w:r>
        <w:rPr>
          <w:rFonts w:hint="eastAsia" w:ascii="宋体" w:eastAsia="宋体" w:cs="宋体"/>
          <w:b w:val="0"/>
          <w:color w:val="auto"/>
          <w:sz w:val="22"/>
          <w:szCs w:val="22"/>
          <w:highlight w:val="none"/>
          <w:lang w:val="en-US" w:eastAsia="zh-CN"/>
        </w:rPr>
        <w:t>500</w:t>
      </w:r>
      <w:r>
        <w:rPr>
          <w:rFonts w:hint="eastAsia" w:ascii="宋体" w:hAnsi="宋体" w:eastAsia="宋体" w:cs="宋体"/>
          <w:b w:val="0"/>
          <w:color w:val="auto"/>
          <w:sz w:val="22"/>
          <w:szCs w:val="22"/>
          <w:highlight w:val="none"/>
        </w:rPr>
        <w:t>0元</w:t>
      </w:r>
      <w:r>
        <w:rPr>
          <w:rFonts w:hint="eastAsia" w:ascii="宋体" w:eastAsia="宋体" w:cs="宋体"/>
          <w:b w:val="0"/>
          <w:color w:val="auto"/>
          <w:sz w:val="22"/>
          <w:szCs w:val="22"/>
          <w:highlight w:val="none"/>
          <w:lang w:eastAsia="zh-CN"/>
        </w:rPr>
        <w:t>。</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hAnsi="宋体" w:eastAsia="宋体" w:cs="宋体"/>
          <w:b w:val="0"/>
          <w:color w:val="auto"/>
          <w:sz w:val="22"/>
          <w:szCs w:val="22"/>
          <w:highlight w:val="none"/>
        </w:rPr>
        <w:t>采购人不负责任何招标代理</w:t>
      </w:r>
      <w:r>
        <w:rPr>
          <w:rFonts w:hint="eastAsia" w:ascii="宋体" w:eastAsia="宋体"/>
          <w:b w:val="0"/>
          <w:color w:val="auto"/>
          <w:sz w:val="22"/>
          <w:szCs w:val="22"/>
          <w:highlight w:val="none"/>
        </w:rPr>
        <w:t>费</w:t>
      </w:r>
      <w:r>
        <w:rPr>
          <w:rFonts w:hint="eastAsia" w:eastAsia="宋体"/>
          <w:b w:val="0"/>
          <w:color w:val="auto"/>
          <w:sz w:val="22"/>
          <w:szCs w:val="22"/>
          <w:highlight w:val="none"/>
        </w:rPr>
        <w:t>用</w:t>
      </w:r>
      <w:r>
        <w:rPr>
          <w:rFonts w:hint="eastAsia" w:ascii="宋体" w:eastAsia="宋体"/>
          <w:b w:val="0"/>
          <w:color w:val="auto"/>
          <w:sz w:val="22"/>
          <w:szCs w:val="22"/>
          <w:highlight w:val="none"/>
        </w:rPr>
        <w:t>。招标代理费</w:t>
      </w:r>
      <w:r>
        <w:rPr>
          <w:rFonts w:hint="eastAsia" w:eastAsia="宋体"/>
          <w:b w:val="0"/>
          <w:color w:val="auto"/>
          <w:sz w:val="22"/>
          <w:szCs w:val="22"/>
          <w:highlight w:val="none"/>
        </w:rPr>
        <w:t>用</w:t>
      </w:r>
      <w:r>
        <w:rPr>
          <w:rFonts w:hint="eastAsia" w:ascii="宋体" w:eastAsia="宋体"/>
          <w:b w:val="0"/>
          <w:color w:val="auto"/>
          <w:sz w:val="22"/>
          <w:szCs w:val="22"/>
          <w:highlight w:val="none"/>
        </w:rPr>
        <w:t>由中标人支付，请报价人在报价时予以考虑。招标代理服务费汇入以下帐户：</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bookmarkStart w:id="63" w:name="_Toc496528623"/>
      <w:r>
        <w:rPr>
          <w:rFonts w:hint="eastAsia" w:ascii="宋体" w:eastAsia="宋体"/>
          <w:b w:val="0"/>
          <w:color w:val="auto"/>
          <w:sz w:val="22"/>
          <w:szCs w:val="22"/>
          <w:highlight w:val="none"/>
        </w:rPr>
        <w:t>开户银行：中国建设银行永嘉广场支行</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开户名称：温州市中概工程管理咨询有限公司</w:t>
      </w:r>
    </w:p>
    <w:p>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开户帐号：33050162766300000011</w:t>
      </w:r>
    </w:p>
    <w:bookmarkEnd w:id="63"/>
    <w:p>
      <w:pPr>
        <w:pStyle w:val="8"/>
        <w:rPr>
          <w:rFonts w:ascii="宋体" w:hAnsi="宋体" w:cs="宋体"/>
          <w:color w:val="auto"/>
          <w:highlight w:val="none"/>
        </w:rPr>
      </w:pPr>
      <w:r>
        <w:rPr>
          <w:rFonts w:hint="eastAsia" w:ascii="宋体" w:hAnsi="宋体" w:cs="宋体"/>
          <w:color w:val="auto"/>
          <w:highlight w:val="none"/>
        </w:rPr>
        <w:br w:type="page"/>
      </w:r>
      <w:bookmarkStart w:id="64" w:name="_Toc1746"/>
      <w:bookmarkStart w:id="65" w:name="_Toc61276418"/>
      <w:r>
        <w:rPr>
          <w:rFonts w:hint="eastAsia" w:ascii="宋体" w:hAnsi="宋体" w:cs="宋体"/>
          <w:color w:val="auto"/>
          <w:highlight w:val="none"/>
        </w:rPr>
        <w:t>第四部分 政府采购政策功能相关说明</w:t>
      </w:r>
      <w:bookmarkEnd w:id="64"/>
      <w:bookmarkEnd w:id="65"/>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一、小、微企业（含监狱企业、残疾人福利性单位）扶持政策说明</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1、文件依据</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（1）关于印发《政府采购促进中小企业发展管理办法》的通知（财库〔2020〕46号）</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（2）浙江省财政厅转发财政部 工业和信息化部关于印发《政府采购促进中小企业发展暂行办法》的通知（浙财采监[2012]11号）</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（3）浙江省省财政厅《关于开展政府采购投标供应商网上注册登记和诚信管理工作的通知》（浙财采监〔2010〕8号)</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（4）《工业和信息化部、国家统计局、国家发展和改革委员会、财政部关于印发中小企业划型标准规定的通知》（工信部联企业[2011]300号）</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（5）财政部、司法部《关于政府采购支持监狱企业发展有关问题的通知》（财库〔2014〕68号）</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（6）《财政部 民政部 中国残疾人联合会关于促进残疾人就业政府采购政策的通知》（财库〔2017〕 141号）</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（7）《浙江省财政厅  浙江省经济和信息化委员会关于简化中小企业类别确认流程有关事项的通知》（浙财采监〔2018〕2号)</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2、享受小微企业价格折扣应具备的条件与价格折扣比例</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（1）在货物采购项目中，货物由中小企业制造，即货物由中小企业生产且使用该中小企业商号或者注册商标；</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（2）在工程采购项目中，工程由中小企业承建，即工程施工单位为中小企业；</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（3）在服务采购项目中，服务由中小企业承接，即提供服务的人员为中小企业依照《中华人民共和国劳动合同法》订立劳动合同的从业人员。</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在货物采购项目中，供应商提供的货物既有中小企业制造货物，也有大型企业制造货物的，不享受本办法规定的中小企业扶持政策。</w:t>
      </w:r>
    </w:p>
    <w:p>
      <w:pPr>
        <w:spacing w:line="360" w:lineRule="auto"/>
        <w:jc w:val="left"/>
        <w:rPr>
          <w:rFonts w:ascii="宋体" w:eastAsia="宋体"/>
          <w:b w:val="0"/>
          <w:color w:val="auto"/>
          <w:sz w:val="22"/>
          <w:szCs w:val="22"/>
          <w:highlight w:val="none"/>
        </w:rPr>
      </w:pPr>
      <w:r>
        <w:rPr>
          <w:rFonts w:hint="eastAsia" w:ascii="宋体" w:eastAsia="宋体"/>
          <w:b w:val="0"/>
          <w:color w:val="auto"/>
          <w:sz w:val="22"/>
          <w:szCs w:val="22"/>
          <w:highlight w:val="none"/>
        </w:rPr>
        <w:t>以联合体形式参加政府采购活动，联合体各方均为中小企业的，联合体视同中小企业。其中，联合体各方均为小微企业的，联合体视同小微企业。</w:t>
      </w:r>
    </w:p>
    <w:p>
      <w:pPr>
        <w:spacing w:line="440" w:lineRule="atLeast"/>
        <w:jc w:val="lef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（4）</w:t>
      </w:r>
      <w:r>
        <w:rPr>
          <w:rFonts w:hint="eastAsia" w:ascii="宋体" w:eastAsia="宋体"/>
          <w:b w:val="0"/>
          <w:bCs w:val="0"/>
          <w:color w:val="auto"/>
          <w:sz w:val="22"/>
          <w:szCs w:val="22"/>
          <w:highlight w:val="none"/>
          <w:u w:val="single"/>
        </w:rPr>
        <w:t>本项目专门面向中小微企业（监狱企业、残疾人企业等同中小微企业），不再执行价格评审优惠政策。</w:t>
      </w:r>
    </w:p>
    <w:p>
      <w:pPr>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rPr>
        <w:t>3、小微企业应提供以下证明材料</w:t>
      </w:r>
      <w:r>
        <w:rPr>
          <w:rFonts w:hint="eastAsia" w:ascii="宋体" w:hAnsi="宋体" w:eastAsia="宋体" w:cs="宋体"/>
          <w:b w:val="0"/>
          <w:bCs w:val="0"/>
          <w:color w:val="auto"/>
          <w:sz w:val="22"/>
          <w:szCs w:val="22"/>
          <w:highlight w:val="none"/>
        </w:rPr>
        <w:t>：</w:t>
      </w:r>
    </w:p>
    <w:p>
      <w:pPr>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（1）《中小企业声明函》</w:t>
      </w:r>
    </w:p>
    <w:p>
      <w:pPr>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color w:val="auto"/>
          <w:sz w:val="22"/>
          <w:szCs w:val="22"/>
          <w:highlight w:val="none"/>
          <w:u w:val="single"/>
        </w:rPr>
        <w:t>监狱企业应提供以下证明材料</w:t>
      </w:r>
      <w:r>
        <w:rPr>
          <w:rFonts w:hint="eastAsia" w:ascii="宋体" w:hAnsi="宋体" w:eastAsia="宋体" w:cs="宋体"/>
          <w:b w:val="0"/>
          <w:bCs w:val="0"/>
          <w:color w:val="auto"/>
          <w:sz w:val="22"/>
          <w:szCs w:val="22"/>
          <w:highlight w:val="none"/>
        </w:rPr>
        <w:t>：</w:t>
      </w:r>
    </w:p>
    <w:p>
      <w:pPr>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w:t>
      </w:r>
    </w:p>
    <w:p>
      <w:pPr>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r>
        <w:rPr>
          <w:rFonts w:hint="eastAsia" w:ascii="宋体" w:hAnsi="宋体" w:eastAsia="宋体" w:cs="宋体"/>
          <w:b w:val="0"/>
          <w:bCs w:val="0"/>
          <w:color w:val="auto"/>
          <w:sz w:val="22"/>
          <w:szCs w:val="22"/>
          <w:highlight w:val="none"/>
          <w:u w:val="single"/>
        </w:rPr>
        <w:t>残疾人福利性单位应提供以下证明材料</w:t>
      </w:r>
      <w:r>
        <w:rPr>
          <w:rFonts w:hint="eastAsia" w:ascii="宋体" w:hAnsi="宋体" w:eastAsia="宋体" w:cs="宋体"/>
          <w:b w:val="0"/>
          <w:bCs w:val="0"/>
          <w:color w:val="auto"/>
          <w:sz w:val="22"/>
          <w:szCs w:val="22"/>
          <w:highlight w:val="none"/>
        </w:rPr>
        <w:t>：</w:t>
      </w:r>
    </w:p>
    <w:p>
      <w:pPr>
        <w:rPr>
          <w:rFonts w:ascii="宋体" w:eastAsia="宋体"/>
          <w:color w:val="auto"/>
          <w:highlight w:val="none"/>
        </w:rPr>
      </w:pPr>
      <w:r>
        <w:rPr>
          <w:rFonts w:hint="eastAsia" w:ascii="宋体" w:hAnsi="宋体" w:eastAsia="宋体" w:cs="宋体"/>
          <w:b w:val="0"/>
          <w:bCs w:val="0"/>
          <w:color w:val="auto"/>
          <w:sz w:val="22"/>
          <w:szCs w:val="22"/>
          <w:highlight w:val="none"/>
        </w:rPr>
        <w:t>（1）残疾人福利性单位声明函；</w:t>
      </w:r>
      <w:r>
        <w:rPr>
          <w:rFonts w:hint="eastAsia" w:ascii="宋体" w:eastAsia="宋体"/>
          <w:b w:val="0"/>
          <w:color w:val="auto"/>
          <w:sz w:val="22"/>
          <w:szCs w:val="22"/>
          <w:highlight w:val="none"/>
        </w:rPr>
        <w:br w:type="page"/>
      </w:r>
    </w:p>
    <w:p>
      <w:pPr>
        <w:pStyle w:val="8"/>
        <w:numPr>
          <w:ilvl w:val="0"/>
          <w:numId w:val="4"/>
        </w:numPr>
        <w:rPr>
          <w:rFonts w:ascii="宋体" w:hAnsi="宋体" w:cs="宋体"/>
          <w:color w:val="auto"/>
          <w:highlight w:val="none"/>
        </w:rPr>
      </w:pPr>
      <w:bookmarkStart w:id="66" w:name="_Toc31621"/>
      <w:r>
        <w:rPr>
          <w:rFonts w:hint="eastAsia" w:ascii="宋体" w:hAnsi="宋体" w:cs="宋体"/>
          <w:color w:val="auto"/>
          <w:highlight w:val="none"/>
        </w:rPr>
        <w:t>合同格式（仅供参考）</w:t>
      </w:r>
      <w:bookmarkEnd w:id="66"/>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甲方：（买方）</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乙方：（卖方）</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甲、乙双方根据关于</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单位</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项目</w:t>
      </w:r>
      <w:r>
        <w:rPr>
          <w:rFonts w:hint="eastAsia" w:ascii="宋体" w:eastAsia="宋体" w:cs="宋体"/>
          <w:b w:val="0"/>
          <w:bCs w:val="0"/>
          <w:color w:val="auto"/>
          <w:sz w:val="22"/>
          <w:szCs w:val="22"/>
          <w:highlight w:val="none"/>
          <w:lang w:val="en-US" w:eastAsia="zh-CN"/>
        </w:rPr>
        <w:t>标项</w:t>
      </w:r>
      <w:r>
        <w:rPr>
          <w:rFonts w:hint="eastAsia" w:asci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竞争性磋商的结果，签署本合同。</w:t>
      </w:r>
    </w:p>
    <w:p>
      <w:pPr>
        <w:spacing w:line="360" w:lineRule="auto"/>
        <w:ind w:firstLine="442" w:firstLineChars="200"/>
        <w:outlineLvl w:val="1"/>
        <w:rPr>
          <w:rFonts w:hint="eastAsia" w:ascii="宋体" w:hAnsi="宋体" w:eastAsia="宋体" w:cs="宋体"/>
          <w:b/>
          <w:bCs/>
          <w:color w:val="auto"/>
          <w:sz w:val="22"/>
          <w:szCs w:val="22"/>
          <w:highlight w:val="none"/>
          <w:lang w:eastAsia="zh-CN"/>
        </w:rPr>
      </w:pPr>
      <w:bookmarkStart w:id="67" w:name="_Toc7644"/>
      <w:bookmarkStart w:id="68" w:name="_Toc26658"/>
      <w:r>
        <w:rPr>
          <w:rFonts w:hint="eastAsia" w:ascii="宋体" w:hAnsi="宋体" w:eastAsia="宋体" w:cs="宋体"/>
          <w:b/>
          <w:bCs/>
          <w:color w:val="auto"/>
          <w:sz w:val="22"/>
          <w:szCs w:val="22"/>
          <w:highlight w:val="none"/>
        </w:rPr>
        <w:t>一、服务内容</w:t>
      </w:r>
      <w:bookmarkEnd w:id="67"/>
      <w:r>
        <w:rPr>
          <w:rFonts w:hint="eastAsia" w:ascii="宋体" w:hAnsi="宋体" w:eastAsia="宋体" w:cs="宋体"/>
          <w:b/>
          <w:bCs/>
          <w:color w:val="auto"/>
          <w:sz w:val="22"/>
          <w:szCs w:val="22"/>
          <w:highlight w:val="none"/>
          <w:lang w:eastAsia="zh-CN"/>
        </w:rPr>
        <w:t>和金额</w:t>
      </w:r>
      <w:bookmarkEnd w:id="68"/>
    </w:p>
    <w:tbl>
      <w:tblPr>
        <w:tblStyle w:val="43"/>
        <w:tblpPr w:leftFromText="180" w:rightFromText="180" w:vertAnchor="text" w:horzAnchor="page" w:tblpX="1737" w:tblpY="23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430"/>
        <w:gridCol w:w="1560"/>
        <w:gridCol w:w="1559"/>
        <w:gridCol w:w="16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243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单位及数量</w:t>
            </w: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单价</w:t>
            </w:r>
          </w:p>
        </w:tc>
        <w:tc>
          <w:tcPr>
            <w:tcW w:w="164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43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40" w:firstLineChars="200"/>
              <w:rPr>
                <w:rFonts w:hint="eastAsia" w:ascii="宋体" w:hAnsi="宋体" w:eastAsia="宋体" w:cs="宋体"/>
                <w:b w:val="0"/>
                <w:bCs w:val="0"/>
                <w:color w:val="auto"/>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40" w:firstLineChars="200"/>
              <w:jc w:val="center"/>
              <w:rPr>
                <w:rFonts w:hint="eastAsia" w:ascii="宋体" w:hAnsi="宋体" w:eastAsia="宋体" w:cs="宋体"/>
                <w:b w:val="0"/>
                <w:bCs w:val="0"/>
                <w:color w:val="auto"/>
                <w:sz w:val="22"/>
                <w:szCs w:val="22"/>
                <w:highlight w:val="none"/>
              </w:rPr>
            </w:pPr>
          </w:p>
        </w:tc>
        <w:tc>
          <w:tcPr>
            <w:tcW w:w="164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40" w:firstLineChars="200"/>
              <w:jc w:val="center"/>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243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40" w:firstLineChars="200"/>
              <w:rPr>
                <w:rFonts w:hint="eastAsia" w:ascii="宋体" w:hAnsi="宋体" w:eastAsia="宋体" w:cs="宋体"/>
                <w:b w:val="0"/>
                <w:bCs w:val="0"/>
                <w:color w:val="auto"/>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40" w:firstLineChars="200"/>
              <w:jc w:val="center"/>
              <w:rPr>
                <w:rFonts w:hint="eastAsia" w:ascii="宋体" w:hAnsi="宋体" w:eastAsia="宋体" w:cs="宋体"/>
                <w:b w:val="0"/>
                <w:bCs w:val="0"/>
                <w:color w:val="auto"/>
                <w:sz w:val="22"/>
                <w:szCs w:val="22"/>
                <w:highlight w:val="none"/>
              </w:rPr>
            </w:pPr>
          </w:p>
        </w:tc>
        <w:tc>
          <w:tcPr>
            <w:tcW w:w="164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40" w:firstLineChars="200"/>
              <w:jc w:val="center"/>
              <w:rPr>
                <w:rFonts w:hint="eastAsia" w:ascii="宋体" w:hAnsi="宋体" w:eastAsia="宋体" w:cs="宋体"/>
                <w:b w:val="0"/>
                <w:bCs w:val="0"/>
                <w:color w:val="auto"/>
                <w:sz w:val="22"/>
                <w:szCs w:val="22"/>
                <w:highlight w:val="none"/>
              </w:rPr>
            </w:pPr>
          </w:p>
        </w:tc>
      </w:tr>
    </w:tbl>
    <w:p>
      <w:pPr>
        <w:spacing w:line="360" w:lineRule="auto"/>
        <w:ind w:firstLine="440" w:firstLineChars="200"/>
        <w:outlineLvl w:val="9"/>
        <w:rPr>
          <w:rFonts w:hint="eastAsia" w:ascii="宋体" w:hAnsi="宋体" w:eastAsia="宋体" w:cs="宋体"/>
          <w:b w:val="0"/>
          <w:bCs w:val="0"/>
          <w:color w:val="auto"/>
          <w:sz w:val="22"/>
          <w:szCs w:val="22"/>
          <w:highlight w:val="none"/>
        </w:rPr>
      </w:pPr>
      <w:bookmarkStart w:id="69" w:name="_Toc1622"/>
    </w:p>
    <w:p>
      <w:pPr>
        <w:spacing w:line="360" w:lineRule="auto"/>
        <w:ind w:firstLine="440" w:firstLineChars="200"/>
        <w:outlineLvl w:val="9"/>
        <w:rPr>
          <w:rFonts w:hint="eastAsia" w:ascii="宋体" w:hAnsi="宋体" w:eastAsia="宋体" w:cs="宋体"/>
          <w:b w:val="0"/>
          <w:bCs w:val="0"/>
          <w:color w:val="auto"/>
          <w:sz w:val="22"/>
          <w:szCs w:val="22"/>
          <w:highlight w:val="none"/>
        </w:rPr>
      </w:pPr>
    </w:p>
    <w:p>
      <w:pPr>
        <w:spacing w:line="360" w:lineRule="auto"/>
        <w:ind w:firstLine="440" w:firstLineChars="200"/>
        <w:outlineLvl w:val="9"/>
        <w:rPr>
          <w:rFonts w:hint="eastAsia" w:ascii="宋体" w:hAnsi="宋体" w:eastAsia="宋体" w:cs="宋体"/>
          <w:b w:val="0"/>
          <w:bCs w:val="0"/>
          <w:color w:val="auto"/>
          <w:sz w:val="22"/>
          <w:szCs w:val="22"/>
          <w:highlight w:val="none"/>
        </w:rPr>
      </w:pPr>
    </w:p>
    <w:p>
      <w:pPr>
        <w:spacing w:line="360" w:lineRule="auto"/>
        <w:ind w:firstLine="440" w:firstLineChars="200"/>
        <w:outlineLvl w:val="9"/>
        <w:rPr>
          <w:rFonts w:hint="eastAsia" w:ascii="宋体" w:hAnsi="宋体" w:eastAsia="宋体" w:cs="宋体"/>
          <w:b w:val="0"/>
          <w:bCs w:val="0"/>
          <w:color w:val="auto"/>
          <w:sz w:val="22"/>
          <w:szCs w:val="22"/>
          <w:highlight w:val="none"/>
        </w:rPr>
      </w:pPr>
    </w:p>
    <w:bookmarkEnd w:id="69"/>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合同金额为（大写）：____________________________________元（￥_______________元）人民币。合同单价包含送戏下乡演出运作过程中的所有费用（包含演出所需的舞台搭建、灯光和音响设备租赁、舞台背景喷绘制作、表演服装、演员劳务费、演出道具、字幕机、交通费、伙食费和住宿费、演出期间演职人员的意外保险、税金等所有费用），不得向演出地索要加付伙食费、住宿费等相关费用。</w:t>
      </w:r>
    </w:p>
    <w:p>
      <w:pPr>
        <w:widowControl/>
        <w:autoSpaceDE w:val="0"/>
        <w:autoSpaceDN w:val="0"/>
        <w:adjustRightInd w:val="0"/>
        <w:spacing w:line="360" w:lineRule="auto"/>
        <w:ind w:firstLine="442" w:firstLineChars="200"/>
        <w:textAlignment w:val="bottom"/>
        <w:outlineLvl w:val="1"/>
        <w:rPr>
          <w:rFonts w:hint="eastAsia" w:ascii="宋体" w:hAnsi="宋体" w:eastAsia="宋体" w:cs="宋体"/>
          <w:b/>
          <w:bCs/>
          <w:i w:val="0"/>
          <w:iCs w:val="0"/>
          <w:color w:val="auto"/>
          <w:sz w:val="22"/>
          <w:szCs w:val="22"/>
          <w:highlight w:val="none"/>
        </w:rPr>
      </w:pPr>
      <w:bookmarkStart w:id="70" w:name="_Toc5739"/>
      <w:r>
        <w:rPr>
          <w:rFonts w:hint="eastAsia" w:ascii="宋体" w:hAnsi="宋体" w:eastAsia="宋体" w:cs="宋体"/>
          <w:b/>
          <w:bCs/>
          <w:i w:val="0"/>
          <w:iCs w:val="0"/>
          <w:color w:val="auto"/>
          <w:sz w:val="22"/>
          <w:szCs w:val="22"/>
          <w:highlight w:val="none"/>
          <w:lang w:eastAsia="zh-CN"/>
        </w:rPr>
        <w:t>二、</w:t>
      </w:r>
      <w:r>
        <w:rPr>
          <w:rFonts w:hint="eastAsia" w:ascii="宋体" w:hAnsi="宋体" w:eastAsia="宋体" w:cs="宋体"/>
          <w:b/>
          <w:bCs/>
          <w:i w:val="0"/>
          <w:iCs w:val="0"/>
          <w:color w:val="auto"/>
          <w:sz w:val="22"/>
          <w:szCs w:val="22"/>
          <w:highlight w:val="none"/>
        </w:rPr>
        <w:t>演出要求</w:t>
      </w:r>
      <w:bookmarkEnd w:id="70"/>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演出时间为</w:t>
      </w:r>
      <w:r>
        <w:rPr>
          <w:rFonts w:hint="eastAsia" w:ascii="宋体" w:hAnsi="宋体" w:eastAsia="宋体" w:cs="宋体"/>
          <w:b w:val="0"/>
          <w:bCs w:val="0"/>
          <w:color w:val="auto"/>
          <w:sz w:val="22"/>
          <w:szCs w:val="22"/>
          <w:highlight w:val="none"/>
        </w:rPr>
        <w:t>合同签订之日起至</w:t>
      </w:r>
      <w:r>
        <w:rPr>
          <w:rFonts w:hint="eastAsia" w:ascii="宋体" w:hAnsi="宋体" w:eastAsia="宋体" w:cs="宋体"/>
          <w:b w:val="0"/>
          <w:bCs w:val="0"/>
          <w:color w:val="auto"/>
          <w:sz w:val="22"/>
          <w:szCs w:val="22"/>
          <w:highlight w:val="none"/>
          <w:lang w:eastAsia="zh-CN"/>
        </w:rPr>
        <w:t>演出场次完成</w:t>
      </w:r>
      <w:r>
        <w:rPr>
          <w:rFonts w:hint="eastAsia" w:ascii="宋体" w:hAnsi="宋体" w:eastAsia="宋体" w:cs="宋体"/>
          <w:b w:val="0"/>
          <w:bCs w:val="0"/>
          <w:color w:val="auto"/>
          <w:sz w:val="22"/>
          <w:szCs w:val="22"/>
          <w:highlight w:val="none"/>
          <w:lang w:val="en-US" w:eastAsia="zh-CN"/>
        </w:rPr>
        <w:t>。</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演出地点为</w:t>
      </w:r>
      <w:r>
        <w:rPr>
          <w:rFonts w:hint="eastAsia" w:asci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rPr>
        <w:t>县境域内</w:t>
      </w:r>
      <w:r>
        <w:rPr>
          <w:rFonts w:hint="eastAsia" w:asci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采购人在</w:t>
      </w:r>
      <w:r>
        <w:rPr>
          <w:rFonts w:hint="eastAsia" w:ascii="宋体" w:hAnsi="宋体" w:eastAsia="宋体" w:cs="宋体"/>
          <w:b w:val="0"/>
          <w:bCs w:val="0"/>
          <w:color w:val="auto"/>
          <w:sz w:val="22"/>
          <w:szCs w:val="22"/>
          <w:highlight w:val="none"/>
          <w:lang w:val="en-US" w:eastAsia="zh-CN"/>
        </w:rPr>
        <w:t>30天</w:t>
      </w:r>
      <w:r>
        <w:rPr>
          <w:rFonts w:hint="eastAsia" w:ascii="宋体" w:hAnsi="宋体" w:eastAsia="宋体" w:cs="宋体"/>
          <w:b w:val="0"/>
          <w:bCs w:val="0"/>
          <w:color w:val="auto"/>
          <w:sz w:val="22"/>
          <w:szCs w:val="22"/>
          <w:highlight w:val="none"/>
        </w:rPr>
        <w:t>前将</w:t>
      </w:r>
      <w:r>
        <w:rPr>
          <w:rFonts w:hint="eastAsia" w:ascii="宋体" w:hAnsi="宋体" w:eastAsia="宋体" w:cs="宋体"/>
          <w:b w:val="0"/>
          <w:bCs w:val="0"/>
          <w:color w:val="auto"/>
          <w:sz w:val="22"/>
          <w:szCs w:val="22"/>
          <w:highlight w:val="none"/>
          <w:lang w:eastAsia="zh-CN"/>
        </w:rPr>
        <w:t>需要</w:t>
      </w:r>
      <w:r>
        <w:rPr>
          <w:rFonts w:hint="eastAsia" w:ascii="宋体" w:hAnsi="宋体" w:eastAsia="宋体" w:cs="宋体"/>
          <w:b w:val="0"/>
          <w:bCs w:val="0"/>
          <w:color w:val="auto"/>
          <w:sz w:val="22"/>
          <w:szCs w:val="22"/>
          <w:highlight w:val="none"/>
        </w:rPr>
        <w:t>演出</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rPr>
        <w:t>时间和地点告知供应商，供应商必须在指定时间和地点进行演出，不得拒绝</w:t>
      </w:r>
      <w:r>
        <w:rPr>
          <w:rFonts w:hint="eastAsia" w:ascii="宋体" w:hAnsi="宋体" w:eastAsia="宋体" w:cs="宋体"/>
          <w:b w:val="0"/>
          <w:bCs w:val="0"/>
          <w:color w:val="auto"/>
          <w:sz w:val="22"/>
          <w:szCs w:val="22"/>
          <w:highlight w:val="none"/>
          <w:lang w:eastAsia="zh-CN"/>
        </w:rPr>
        <w:t>（农历</w:t>
      </w:r>
      <w:r>
        <w:rPr>
          <w:rFonts w:hint="eastAsia" w:ascii="宋体" w:hAnsi="宋体" w:eastAsia="宋体" w:cs="宋体"/>
          <w:b w:val="0"/>
          <w:bCs w:val="0"/>
          <w:color w:val="auto"/>
          <w:sz w:val="22"/>
          <w:szCs w:val="22"/>
          <w:highlight w:val="none"/>
          <w:lang w:val="en-US" w:eastAsia="zh-CN"/>
        </w:rPr>
        <w:t>202</w:t>
      </w:r>
      <w:r>
        <w:rPr>
          <w:rFonts w:hint="eastAsia" w:asci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年正月初二至202</w:t>
      </w:r>
      <w:r>
        <w:rPr>
          <w:rFonts w:hint="eastAsia" w:asci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年正月初十期间，供应商必须接受采购方演出安排，采购方未安排的 ，供应商才可以承接其他演出</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。具体演出场次地点以采购人发出通知为准，采购人保留提前终止合同的权利。</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1、202</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年</w:t>
      </w:r>
      <w:r>
        <w:rPr>
          <w:rFonts w:hint="eastAsia" w:ascii="宋体" w:eastAsia="宋体" w:cs="宋体"/>
          <w:b w:val="0"/>
          <w:bCs w:val="0"/>
          <w:color w:val="auto"/>
          <w:sz w:val="22"/>
          <w:szCs w:val="22"/>
          <w:highlight w:val="none"/>
          <w:lang w:val="en-US" w:eastAsia="zh-CN"/>
        </w:rPr>
        <w:t>永嘉</w:t>
      </w:r>
      <w:r>
        <w:rPr>
          <w:rFonts w:hint="eastAsia" w:ascii="宋体" w:hAnsi="宋体" w:eastAsia="宋体" w:cs="宋体"/>
          <w:b w:val="0"/>
          <w:bCs w:val="0"/>
          <w:color w:val="auto"/>
          <w:sz w:val="22"/>
          <w:szCs w:val="22"/>
          <w:highlight w:val="none"/>
        </w:rPr>
        <w:t>县送戏下乡公益演出是政府买单、群众观赏的公益演出活动，</w:t>
      </w:r>
      <w:r>
        <w:rPr>
          <w:rFonts w:hint="eastAsia" w:ascii="宋体" w:eastAsia="宋体" w:cs="宋体"/>
          <w:b w:val="0"/>
          <w:bCs w:val="0"/>
          <w:color w:val="auto"/>
          <w:sz w:val="22"/>
          <w:szCs w:val="22"/>
          <w:highlight w:val="none"/>
          <w:lang w:eastAsia="zh-CN"/>
        </w:rPr>
        <w:t>承办单位</w:t>
      </w:r>
      <w:r>
        <w:rPr>
          <w:rFonts w:hint="eastAsia" w:ascii="宋体" w:hAnsi="宋体" w:eastAsia="宋体" w:cs="宋体"/>
          <w:b w:val="0"/>
          <w:bCs w:val="0"/>
          <w:color w:val="auto"/>
          <w:sz w:val="22"/>
          <w:szCs w:val="22"/>
          <w:highlight w:val="none"/>
        </w:rPr>
        <w:t>在活动操作过程中，不得接受商业化资助，不得擅自增加协办单位，不得在演出过程中做商业化或变相的商业化宣传，严格执行采购人的要求做好宣传工作，统一布置演出背景和宣传横幅。</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2、单场演出演职人员不少于</w:t>
      </w:r>
      <w:r>
        <w:rPr>
          <w:rFonts w:hint="eastAsia" w:ascii="宋体" w:eastAsia="宋体" w:cs="宋体"/>
          <w:b w:val="0"/>
          <w:bCs w:val="0"/>
          <w:color w:val="auto"/>
          <w:sz w:val="22"/>
          <w:szCs w:val="22"/>
          <w:highlight w:val="none"/>
          <w:lang w:val="en-US" w:eastAsia="zh-CN"/>
        </w:rPr>
        <w:t>25</w:t>
      </w:r>
      <w:r>
        <w:rPr>
          <w:rFonts w:hint="eastAsia" w:ascii="宋体" w:hAnsi="宋体" w:eastAsia="宋体" w:cs="宋体"/>
          <w:b w:val="0"/>
          <w:bCs w:val="0"/>
          <w:color w:val="auto"/>
          <w:sz w:val="22"/>
          <w:szCs w:val="22"/>
          <w:highlight w:val="none"/>
        </w:rPr>
        <w:t>人，其中前台演员不少于15人，</w:t>
      </w:r>
      <w:r>
        <w:rPr>
          <w:rFonts w:hint="eastAsia" w:ascii="宋体" w:hAnsi="宋体" w:eastAsia="宋体" w:cs="宋体"/>
          <w:b w:val="0"/>
          <w:bCs w:val="0"/>
          <w:color w:val="auto"/>
          <w:sz w:val="22"/>
          <w:szCs w:val="22"/>
          <w:highlight w:val="none"/>
          <w:lang w:eastAsia="zh-CN"/>
        </w:rPr>
        <w:t>乐队</w:t>
      </w:r>
      <w:r>
        <w:rPr>
          <w:rFonts w:hint="eastAsia" w:ascii="宋体" w:hAnsi="宋体" w:eastAsia="宋体" w:cs="宋体"/>
          <w:b w:val="0"/>
          <w:bCs w:val="0"/>
          <w:color w:val="auto"/>
          <w:sz w:val="22"/>
          <w:szCs w:val="22"/>
          <w:highlight w:val="none"/>
        </w:rPr>
        <w:t>人员不少于</w:t>
      </w:r>
      <w:r>
        <w:rPr>
          <w:rFonts w:hint="eastAsia" w:asci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人。</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3、可选戏曲剧目不得少于15个，</w:t>
      </w:r>
      <w:r>
        <w:rPr>
          <w:rFonts w:hint="eastAsia" w:ascii="宋体" w:hAnsi="宋体" w:eastAsia="宋体" w:cs="宋体"/>
          <w:b w:val="0"/>
          <w:color w:val="auto"/>
          <w:sz w:val="22"/>
          <w:szCs w:val="22"/>
          <w:highlight w:val="none"/>
        </w:rPr>
        <w:t>演出时间不少于2小时</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bCs w:val="0"/>
          <w:color w:val="auto"/>
          <w:sz w:val="22"/>
          <w:szCs w:val="22"/>
          <w:highlight w:val="none"/>
        </w:rPr>
        <w:t>演出必须为整本大戏。</w:t>
      </w:r>
      <w:r>
        <w:rPr>
          <w:rFonts w:hint="eastAsia" w:ascii="宋体" w:hAnsi="宋体" w:eastAsia="宋体" w:cs="宋体"/>
          <w:b w:val="0"/>
          <w:bCs w:val="0"/>
          <w:color w:val="auto"/>
          <w:sz w:val="22"/>
          <w:szCs w:val="22"/>
          <w:highlight w:val="none"/>
          <w:lang w:eastAsia="zh-CN"/>
        </w:rPr>
        <w:t>具体演出剧目由乙方或演出村居点单选择。</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color w:val="auto"/>
          <w:sz w:val="22"/>
          <w:szCs w:val="22"/>
          <w:highlight w:val="none"/>
          <w:lang w:eastAsia="zh-CN"/>
        </w:rPr>
        <w:t>演出内容不得</w:t>
      </w:r>
      <w:r>
        <w:rPr>
          <w:rFonts w:hint="eastAsia" w:ascii="宋体" w:hAnsi="宋体" w:eastAsia="宋体" w:cs="宋体"/>
          <w:i w:val="0"/>
          <w:caps w:val="0"/>
          <w:color w:val="auto"/>
          <w:spacing w:val="0"/>
          <w:sz w:val="22"/>
          <w:szCs w:val="22"/>
          <w:highlight w:val="none"/>
        </w:rPr>
        <w:t>违背社会主义核心价值观</w:t>
      </w:r>
      <w:r>
        <w:rPr>
          <w:rFonts w:hint="eastAsia" w:ascii="宋体" w:hAnsi="宋体" w:eastAsia="宋体" w:cs="宋体"/>
          <w:i w:val="0"/>
          <w:caps w:val="0"/>
          <w:color w:val="auto"/>
          <w:spacing w:val="0"/>
          <w:sz w:val="22"/>
          <w:szCs w:val="22"/>
          <w:highlight w:val="none"/>
          <w:lang w:eastAsia="zh-CN"/>
        </w:rPr>
        <w:t>和</w:t>
      </w:r>
      <w:r>
        <w:rPr>
          <w:rFonts w:hint="eastAsia" w:ascii="宋体" w:hAnsi="宋体" w:eastAsia="宋体" w:cs="宋体"/>
          <w:i w:val="0"/>
          <w:caps w:val="0"/>
          <w:color w:val="auto"/>
          <w:spacing w:val="0"/>
          <w:sz w:val="22"/>
          <w:szCs w:val="22"/>
          <w:highlight w:val="none"/>
        </w:rPr>
        <w:t>公序良俗</w:t>
      </w:r>
      <w:r>
        <w:rPr>
          <w:rFonts w:hint="eastAsia" w:ascii="宋体" w:hAnsi="宋体" w:eastAsia="宋体" w:cs="宋体"/>
          <w:i w:val="0"/>
          <w:caps w:val="0"/>
          <w:color w:val="auto"/>
          <w:spacing w:val="0"/>
          <w:sz w:val="22"/>
          <w:szCs w:val="22"/>
          <w:highlight w:val="none"/>
          <w:lang w:eastAsia="zh-CN"/>
        </w:rPr>
        <w:t>。</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5、成交供应商必须保证演出的质量，严格按照采购人对演出剧目、演出阵容、演出设备等要求规范演出，并严格按照要求完成送戏下乡演出任务场次，</w:t>
      </w:r>
      <w:r>
        <w:rPr>
          <w:rFonts w:hint="eastAsia" w:ascii="宋体" w:hAnsi="宋体" w:eastAsia="宋体" w:cs="宋体"/>
          <w:b w:val="0"/>
          <w:bCs w:val="0"/>
          <w:color w:val="auto"/>
          <w:sz w:val="22"/>
          <w:szCs w:val="22"/>
          <w:highlight w:val="none"/>
          <w:lang w:eastAsia="zh-CN"/>
        </w:rPr>
        <w:t>严禁</w:t>
      </w:r>
      <w:r>
        <w:rPr>
          <w:rFonts w:hint="eastAsia" w:ascii="宋体" w:hAnsi="宋体" w:eastAsia="宋体" w:cs="宋体"/>
          <w:b w:val="0"/>
          <w:bCs w:val="0"/>
          <w:color w:val="auto"/>
          <w:sz w:val="22"/>
          <w:szCs w:val="22"/>
          <w:highlight w:val="none"/>
        </w:rPr>
        <w:t>虚报场次。</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6、成交供应商在采购单位安排下实施演出任务，演出任务须在采购人规定的时间内完成。</w:t>
      </w:r>
    </w:p>
    <w:p>
      <w:pPr>
        <w:pStyle w:val="19"/>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7、送戏下乡的</w:t>
      </w:r>
      <w:r>
        <w:rPr>
          <w:rFonts w:hint="eastAsia" w:ascii="宋体" w:hAnsi="宋体" w:eastAsia="宋体" w:cs="宋体"/>
          <w:b w:val="0"/>
          <w:bCs w:val="0"/>
          <w:color w:val="auto"/>
          <w:sz w:val="22"/>
          <w:szCs w:val="22"/>
          <w:highlight w:val="none"/>
          <w:lang w:eastAsia="zh-CN"/>
        </w:rPr>
        <w:t>交通、演出设备搭建、剧团演员人身安全等</w:t>
      </w:r>
      <w:r>
        <w:rPr>
          <w:rFonts w:hint="eastAsia" w:ascii="宋体" w:hAnsi="宋体" w:eastAsia="宋体" w:cs="宋体"/>
          <w:b w:val="0"/>
          <w:bCs w:val="0"/>
          <w:color w:val="auto"/>
          <w:sz w:val="22"/>
          <w:szCs w:val="22"/>
          <w:highlight w:val="none"/>
        </w:rPr>
        <w:t>演出安全责任和消防责任</w:t>
      </w:r>
      <w:r>
        <w:rPr>
          <w:rFonts w:hint="eastAsia" w:ascii="宋体" w:hAnsi="宋体" w:eastAsia="宋体" w:cs="宋体"/>
          <w:b w:val="0"/>
          <w:bCs w:val="0"/>
          <w:color w:val="auto"/>
          <w:sz w:val="22"/>
          <w:szCs w:val="22"/>
          <w:highlight w:val="none"/>
          <w:lang w:eastAsia="zh-CN"/>
        </w:rPr>
        <w:t>，及剧团演员疫情防控工作由乙方负责</w:t>
      </w:r>
      <w:r>
        <w:rPr>
          <w:rFonts w:hint="eastAsia" w:ascii="宋体" w:hAnsi="宋体" w:eastAsia="宋体" w:cs="宋体"/>
          <w:b w:val="0"/>
          <w:bCs w:val="0"/>
          <w:color w:val="auto"/>
          <w:sz w:val="22"/>
          <w:szCs w:val="22"/>
          <w:highlight w:val="none"/>
        </w:rPr>
        <w:t>。</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8、成交供应商要按照采购人要求做好宣传工作，统一布置演出背景和宣传横幅，事先与演出地联系对接，张贴演出预告，完成资料采集，填写台账。</w:t>
      </w:r>
    </w:p>
    <w:p>
      <w:pPr>
        <w:pStyle w:val="20"/>
        <w:tabs>
          <w:tab w:val="left" w:pos="482"/>
          <w:tab w:val="left" w:pos="2183"/>
          <w:tab w:val="left" w:pos="3884"/>
          <w:tab w:val="left" w:pos="5585"/>
        </w:tabs>
        <w:spacing w:line="360" w:lineRule="auto"/>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9、成交供应商不得转包演出任务。</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71" w:name="_Toc12692"/>
      <w:bookmarkStart w:id="72" w:name="_Toc23159"/>
      <w:r>
        <w:rPr>
          <w:rFonts w:hint="eastAsia" w:ascii="宋体" w:hAnsi="宋体" w:eastAsia="宋体" w:cs="宋体"/>
          <w:b/>
          <w:bCs/>
          <w:color w:val="auto"/>
          <w:sz w:val="22"/>
          <w:szCs w:val="22"/>
          <w:highlight w:val="none"/>
        </w:rPr>
        <w:t>三、技术资料</w:t>
      </w:r>
      <w:bookmarkEnd w:id="71"/>
      <w:bookmarkEnd w:id="72"/>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1.乙方应按招标文件规定的时间向甲方提供有关技术资料。</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73" w:name="_Toc9946"/>
      <w:bookmarkStart w:id="74" w:name="_Toc20278"/>
      <w:r>
        <w:rPr>
          <w:rFonts w:hint="eastAsia" w:ascii="宋体" w:hAnsi="宋体" w:eastAsia="宋体" w:cs="宋体"/>
          <w:b/>
          <w:bCs/>
          <w:color w:val="auto"/>
          <w:sz w:val="22"/>
          <w:szCs w:val="22"/>
          <w:highlight w:val="none"/>
        </w:rPr>
        <w:t>四、知识产权</w:t>
      </w:r>
      <w:bookmarkEnd w:id="73"/>
      <w:bookmarkEnd w:id="74"/>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乙方应保证提供服务过程中不会侵犯任何第三方的知识产权。</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75" w:name="_Toc17773"/>
      <w:bookmarkStart w:id="76" w:name="_Toc21259"/>
      <w:r>
        <w:rPr>
          <w:rFonts w:hint="eastAsia" w:ascii="宋体" w:hAnsi="宋体" w:eastAsia="宋体" w:cs="宋体"/>
          <w:b/>
          <w:bCs/>
          <w:color w:val="auto"/>
          <w:sz w:val="22"/>
          <w:szCs w:val="22"/>
          <w:highlight w:val="none"/>
        </w:rPr>
        <w:t>五、履约保证金</w:t>
      </w:r>
      <w:bookmarkEnd w:id="75"/>
      <w:bookmarkEnd w:id="76"/>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按招标文件要求。</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77" w:name="_Toc24615"/>
      <w:bookmarkStart w:id="78" w:name="_Toc5977"/>
      <w:r>
        <w:rPr>
          <w:rFonts w:hint="eastAsia" w:ascii="宋体" w:hAnsi="宋体" w:eastAsia="宋体" w:cs="宋体"/>
          <w:b/>
          <w:bCs/>
          <w:color w:val="auto"/>
          <w:sz w:val="22"/>
          <w:szCs w:val="22"/>
          <w:highlight w:val="none"/>
        </w:rPr>
        <w:t>六、转包或分包</w:t>
      </w:r>
      <w:bookmarkEnd w:id="77"/>
      <w:bookmarkEnd w:id="78"/>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1.本合同范围的服务，应由乙方直接供应，不得转让他人供应；</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2.除非得到甲方的书面同意，乙方不得将本合同范围的服务全部或部分分包给他人供应；</w:t>
      </w:r>
    </w:p>
    <w:p>
      <w:pPr>
        <w:spacing w:line="36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3.如有转让和未经甲方同意的分包行为，取消</w:t>
      </w:r>
      <w:r>
        <w:rPr>
          <w:rFonts w:hint="eastAsia" w:ascii="宋体" w:hAns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送戏下乡资格，乙方应向甲方支付合同总值5%的违约金，履约保证金不退还</w:t>
      </w:r>
      <w:r>
        <w:rPr>
          <w:rFonts w:hint="eastAsia" w:ascii="宋体" w:hAnsi="宋体" w:eastAsia="宋体" w:cs="宋体"/>
          <w:b w:val="0"/>
          <w:bCs w:val="0"/>
          <w:color w:val="auto"/>
          <w:sz w:val="22"/>
          <w:szCs w:val="22"/>
          <w:highlight w:val="none"/>
          <w:lang w:eastAsia="zh-CN"/>
        </w:rPr>
        <w:t>。</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79" w:name="_Toc6090"/>
      <w:r>
        <w:rPr>
          <w:rFonts w:hint="eastAsia" w:ascii="宋体" w:hAnsi="宋体" w:eastAsia="宋体" w:cs="宋体"/>
          <w:b/>
          <w:bCs/>
          <w:color w:val="auto"/>
          <w:sz w:val="22"/>
          <w:szCs w:val="22"/>
          <w:highlight w:val="none"/>
        </w:rPr>
        <w:t>七、合同履行时间、履行方式及履行地点</w:t>
      </w:r>
      <w:bookmarkEnd w:id="79"/>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1.履行时间：</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2.履行方式：</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3.履行地点：</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80" w:name="_Toc27863"/>
      <w:bookmarkStart w:id="81" w:name="_Toc6554"/>
      <w:r>
        <w:rPr>
          <w:rFonts w:hint="eastAsia" w:ascii="宋体" w:hAnsi="宋体" w:eastAsia="宋体" w:cs="宋体"/>
          <w:b/>
          <w:bCs/>
          <w:color w:val="auto"/>
          <w:sz w:val="22"/>
          <w:szCs w:val="22"/>
          <w:highlight w:val="none"/>
        </w:rPr>
        <w:t>八、款项支付</w:t>
      </w:r>
      <w:bookmarkEnd w:id="80"/>
      <w:bookmarkEnd w:id="81"/>
    </w:p>
    <w:p>
      <w:pPr>
        <w:rPr>
          <w:rFonts w:hint="eastAsia" w:ascii="宋体" w:hAnsi="宋体" w:eastAsia="宋体" w:cs="宋体"/>
          <w:color w:val="auto"/>
          <w:spacing w:val="20"/>
          <w:sz w:val="22"/>
          <w:szCs w:val="22"/>
          <w:highlight w:val="none"/>
          <w:lang w:eastAsia="zh-CN"/>
        </w:rPr>
      </w:pPr>
      <w:r>
        <w:rPr>
          <w:rFonts w:hint="eastAsia" w:ascii="宋体" w:hAnsi="宋体" w:eastAsia="宋体" w:cs="宋体"/>
          <w:b w:val="0"/>
          <w:bCs w:val="0"/>
          <w:color w:val="auto"/>
          <w:sz w:val="22"/>
          <w:szCs w:val="22"/>
          <w:highlight w:val="none"/>
        </w:rPr>
        <w:t>付款方式：</w:t>
      </w:r>
      <w:r>
        <w:rPr>
          <w:rFonts w:hint="eastAsia" w:ascii="宋体" w:eastAsia="宋体" w:cs="宋体"/>
          <w:b w:val="0"/>
          <w:bCs w:val="0"/>
          <w:color w:val="auto"/>
          <w:sz w:val="22"/>
          <w:szCs w:val="22"/>
          <w:highlight w:val="none"/>
          <w:lang w:eastAsia="zh-CN"/>
        </w:rPr>
        <w:t>每季度末前向</w:t>
      </w:r>
      <w:r>
        <w:rPr>
          <w:rFonts w:hint="eastAsia" w:ascii="宋体" w:eastAsia="宋体" w:cs="宋体"/>
          <w:b w:val="0"/>
          <w:bCs w:val="0"/>
          <w:color w:val="auto"/>
          <w:sz w:val="22"/>
          <w:szCs w:val="22"/>
          <w:highlight w:val="none"/>
          <w:lang w:val="en-US" w:eastAsia="zh-CN"/>
        </w:rPr>
        <w:t>甲方</w:t>
      </w:r>
      <w:r>
        <w:rPr>
          <w:rFonts w:hint="eastAsia" w:ascii="宋体" w:eastAsia="宋体" w:cs="宋体"/>
          <w:b w:val="0"/>
          <w:bCs w:val="0"/>
          <w:color w:val="auto"/>
          <w:sz w:val="22"/>
          <w:szCs w:val="22"/>
          <w:highlight w:val="none"/>
          <w:lang w:eastAsia="zh-CN"/>
        </w:rPr>
        <w:t>上报费用清单和提供台账，演出全部完成后进行结算</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如有</w:t>
      </w:r>
      <w:r>
        <w:rPr>
          <w:rFonts w:hint="eastAsia" w:ascii="宋体" w:hAnsi="宋体" w:eastAsia="宋体" w:cs="宋体"/>
          <w:b w:val="0"/>
          <w:bCs w:val="0"/>
          <w:color w:val="auto"/>
          <w:sz w:val="22"/>
          <w:szCs w:val="22"/>
          <w:highlight w:val="none"/>
        </w:rPr>
        <w:t>综合评价分低于80分</w:t>
      </w:r>
      <w:r>
        <w:rPr>
          <w:rFonts w:hint="eastAsia" w:ascii="宋体" w:hAnsi="宋体" w:eastAsia="宋体" w:cs="宋体"/>
          <w:b w:val="0"/>
          <w:bCs w:val="0"/>
          <w:color w:val="auto"/>
          <w:sz w:val="22"/>
          <w:szCs w:val="22"/>
          <w:highlight w:val="none"/>
          <w:lang w:eastAsia="zh-CN"/>
        </w:rPr>
        <w:t>的场次，</w:t>
      </w:r>
      <w:r>
        <w:rPr>
          <w:rFonts w:hint="eastAsia" w:ascii="宋体" w:hAnsi="宋体" w:eastAsia="宋体" w:cs="宋体"/>
          <w:b w:val="0"/>
          <w:bCs w:val="0"/>
          <w:color w:val="auto"/>
          <w:sz w:val="22"/>
          <w:szCs w:val="22"/>
          <w:highlight w:val="none"/>
        </w:rPr>
        <w:t>按照成交价格</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rPr>
        <w:t>80%予以结算。</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kern w:val="2"/>
          <w:sz w:val="22"/>
          <w:szCs w:val="22"/>
          <w:highlight w:val="none"/>
        </w:rPr>
        <w:t>根据《浙江省财政厅关于进一步发挥政府采购政策功能全力推动经济稳进提质的通知》（浙财采监[2022]3号）的规定，双方协商决定付款比例，如采购人无法按上述约定期限支付对应款项的，采购人与中标供应商根据实际情况另行协商确定付款时间，中标供应商确认不因采购人延期付款的情形要求采购人承担逾期付款利息等违约责任。</w:t>
      </w:r>
      <w:r>
        <w:rPr>
          <w:rFonts w:hint="eastAsia" w:ascii="宋体" w:hAnsi="宋体" w:eastAsia="宋体" w:cs="宋体"/>
          <w:b w:val="0"/>
          <w:bCs w:val="0"/>
          <w:color w:val="auto"/>
          <w:sz w:val="22"/>
          <w:szCs w:val="22"/>
          <w:highlight w:val="none"/>
          <w:lang w:eastAsia="zh-CN"/>
        </w:rPr>
        <w:t>）</w:t>
      </w:r>
    </w:p>
    <w:p>
      <w:pPr>
        <w:spacing w:line="360" w:lineRule="auto"/>
        <w:ind w:firstLine="440" w:firstLineChars="200"/>
        <w:rPr>
          <w:rFonts w:hint="eastAsia" w:ascii="宋体" w:hAnsi="宋体" w:eastAsia="宋体" w:cs="宋体"/>
          <w:b w:val="0"/>
          <w:bCs w:val="0"/>
          <w:color w:val="auto"/>
          <w:sz w:val="22"/>
          <w:szCs w:val="22"/>
          <w:highlight w:val="none"/>
        </w:rPr>
      </w:pPr>
    </w:p>
    <w:p>
      <w:pPr>
        <w:spacing w:line="360" w:lineRule="auto"/>
        <w:ind w:firstLine="442" w:firstLineChars="200"/>
        <w:outlineLvl w:val="1"/>
        <w:rPr>
          <w:rFonts w:hint="eastAsia" w:ascii="宋体" w:hAnsi="宋体" w:eastAsia="宋体" w:cs="宋体"/>
          <w:b/>
          <w:bCs/>
          <w:color w:val="auto"/>
          <w:sz w:val="22"/>
          <w:szCs w:val="22"/>
          <w:highlight w:val="none"/>
        </w:rPr>
      </w:pPr>
      <w:bookmarkStart w:id="82" w:name="_Toc6571"/>
      <w:bookmarkStart w:id="83" w:name="_Toc6512"/>
      <w:r>
        <w:rPr>
          <w:rFonts w:hint="eastAsia" w:ascii="宋体" w:hAnsi="宋体" w:eastAsia="宋体" w:cs="宋体"/>
          <w:b/>
          <w:bCs/>
          <w:color w:val="auto"/>
          <w:sz w:val="22"/>
          <w:szCs w:val="22"/>
          <w:highlight w:val="none"/>
        </w:rPr>
        <w:t>九、税费</w:t>
      </w:r>
      <w:bookmarkEnd w:id="82"/>
      <w:bookmarkEnd w:id="83"/>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本合同执行中相关的一切税费均由乙方负担。</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84" w:name="_Toc16891"/>
      <w:bookmarkStart w:id="85" w:name="_Toc19406"/>
      <w:r>
        <w:rPr>
          <w:rFonts w:hint="eastAsia" w:ascii="宋体" w:hAnsi="宋体" w:eastAsia="宋体" w:cs="宋体"/>
          <w:b/>
          <w:bCs/>
          <w:color w:val="auto"/>
          <w:sz w:val="22"/>
          <w:szCs w:val="22"/>
          <w:highlight w:val="none"/>
        </w:rPr>
        <w:t>十、质量保证</w:t>
      </w:r>
      <w:bookmarkEnd w:id="84"/>
      <w:r>
        <w:rPr>
          <w:rFonts w:hint="eastAsia" w:ascii="宋体" w:hAnsi="宋体" w:eastAsia="宋体" w:cs="宋体"/>
          <w:b/>
          <w:bCs/>
          <w:color w:val="auto"/>
          <w:sz w:val="22"/>
          <w:szCs w:val="22"/>
          <w:highlight w:val="none"/>
          <w:lang w:eastAsia="zh-CN"/>
        </w:rPr>
        <w:t>与</w:t>
      </w:r>
      <w:r>
        <w:rPr>
          <w:rFonts w:hint="eastAsia" w:ascii="宋体" w:hAnsi="宋体" w:eastAsia="宋体" w:cs="宋体"/>
          <w:b/>
          <w:bCs/>
          <w:color w:val="auto"/>
          <w:sz w:val="22"/>
          <w:szCs w:val="22"/>
          <w:highlight w:val="none"/>
        </w:rPr>
        <w:t>绩效考评</w:t>
      </w:r>
      <w:bookmarkEnd w:id="85"/>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要严格履行合同义务，按时完成服务项目任务，保证服务数量、质量和效果。</w:t>
      </w:r>
      <w:r>
        <w:rPr>
          <w:rFonts w:hint="eastAsia" w:ascii="宋体" w:hAnsi="宋体" w:eastAsia="宋体" w:cs="宋体"/>
          <w:b w:val="0"/>
          <w:bCs w:val="0"/>
          <w:color w:val="auto"/>
          <w:sz w:val="22"/>
          <w:szCs w:val="22"/>
          <w:highlight w:val="none"/>
          <w:lang w:eastAsia="zh-CN"/>
        </w:rPr>
        <w:t>甲方将不定期对项目落实情况进行绩效考评</w:t>
      </w:r>
      <w:r>
        <w:rPr>
          <w:rFonts w:hint="eastAsia" w:ascii="宋体" w:hAnsi="宋体" w:eastAsia="宋体" w:cs="宋体"/>
          <w:b w:val="0"/>
          <w:bCs w:val="0"/>
          <w:color w:val="auto"/>
          <w:sz w:val="22"/>
          <w:szCs w:val="22"/>
          <w:highlight w:val="none"/>
        </w:rPr>
        <w:t>，重点考评服务质量、受惠群众规模、群众满意度及活动影响力等。</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2、项目运行评价</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对供应商承接项目运行情况进行综合评价指标如下：</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（1）供应商经营状况良好，诚实守信，无不良经营记录（</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（2）演出有安全预案</w:t>
      </w:r>
      <w:r>
        <w:rPr>
          <w:rFonts w:hint="eastAsia" w:ascii="宋体" w:hAnsi="宋体" w:eastAsia="宋体" w:cs="宋体"/>
          <w:b w:val="0"/>
          <w:bCs w:val="0"/>
          <w:color w:val="auto"/>
          <w:sz w:val="22"/>
          <w:szCs w:val="22"/>
          <w:highlight w:val="none"/>
          <w:lang w:eastAsia="zh-CN"/>
        </w:rPr>
        <w:t>和</w:t>
      </w:r>
      <w:r>
        <w:rPr>
          <w:rFonts w:hint="eastAsia" w:ascii="宋体" w:hAnsi="宋体" w:eastAsia="宋体" w:cs="宋体"/>
          <w:b w:val="0"/>
          <w:bCs w:val="0"/>
          <w:color w:val="auto"/>
          <w:sz w:val="22"/>
          <w:szCs w:val="22"/>
          <w:highlight w:val="none"/>
        </w:rPr>
        <w:t>活动操作流程（</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hAnsi="宋体" w:eastAsia="宋体" w:cs="宋体"/>
          <w:b w:val="0"/>
          <w:bCs w:val="0"/>
          <w:color w:val="auto"/>
          <w:sz w:val="22"/>
          <w:szCs w:val="22"/>
          <w:highlight w:val="none"/>
          <w:lang w:eastAsia="zh-CN"/>
        </w:rPr>
        <w:t>剧团及场地的安全与秩序管理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color w:val="auto"/>
          <w:sz w:val="22"/>
          <w:szCs w:val="22"/>
          <w:highlight w:val="none"/>
          <w:lang w:eastAsia="zh-CN"/>
        </w:rPr>
        <w:t>演出剧目是否为点单剧目</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r>
        <w:rPr>
          <w:rFonts w:hint="eastAsia" w:ascii="宋体" w:hAnsi="宋体" w:eastAsia="宋体" w:cs="宋体"/>
          <w:b w:val="0"/>
          <w:bCs w:val="0"/>
          <w:color w:val="auto"/>
          <w:sz w:val="22"/>
          <w:szCs w:val="22"/>
          <w:highlight w:val="none"/>
          <w:lang w:eastAsia="zh-CN"/>
        </w:rPr>
        <w:t>设施设备状况和演员人数</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）现场观众测评满意率（</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分）；</w:t>
      </w:r>
    </w:p>
    <w:p>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）当前项目运行零投诉（10分）。</w:t>
      </w:r>
    </w:p>
    <w:p>
      <w:pPr>
        <w:pStyle w:val="20"/>
        <w:tabs>
          <w:tab w:val="left" w:pos="482"/>
          <w:tab w:val="left" w:pos="2183"/>
          <w:tab w:val="left" w:pos="3884"/>
          <w:tab w:val="left" w:pos="5585"/>
        </w:tabs>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rPr>
        <w:t>综合评价低于80分的场次，按照成交价格80%予以结算</w:t>
      </w:r>
      <w:r>
        <w:rPr>
          <w:rFonts w:hint="eastAsia" w:ascii="宋体" w:hAnsi="宋体" w:eastAsia="宋体" w:cs="宋体"/>
          <w:b w:val="0"/>
          <w:bCs w:val="0"/>
          <w:color w:val="auto"/>
          <w:sz w:val="22"/>
          <w:szCs w:val="22"/>
          <w:highlight w:val="none"/>
          <w:lang w:eastAsia="zh-CN"/>
        </w:rPr>
        <w:t>。</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86" w:name="_Toc25812"/>
      <w:bookmarkStart w:id="87" w:name="_Toc6655"/>
      <w:r>
        <w:rPr>
          <w:rFonts w:hint="eastAsia" w:ascii="宋体" w:hAnsi="宋体" w:eastAsia="宋体" w:cs="宋体"/>
          <w:b/>
          <w:bCs/>
          <w:color w:val="auto"/>
          <w:sz w:val="22"/>
          <w:szCs w:val="22"/>
          <w:highlight w:val="none"/>
        </w:rPr>
        <w:t>十一、违约责任</w:t>
      </w:r>
      <w:bookmarkEnd w:id="86"/>
      <w:bookmarkEnd w:id="87"/>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1．甲方无正当理由拒收接受服务的，甲方向乙方偿付合同款项百分之五作为违约金。</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2．甲方无故逾期验收和办理款项支付手续的,甲方应按逾期付款总额每日万分之五向乙方支付违约金。</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履约保证金不退还，如造成甲方损失超过违约金的，超出部分由乙方继续承担赔偿责任。</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 乙方有下列情形之一的，取消送戏下乡资格，乙方应向甲方支付合同总值5%的违约金，履约保证金不退还，如造成甲方损失超过违约金的，超出部分由乙方继续承担赔偿责任。三年内不得申请承担送戏下乡任务：</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a、</w:t>
      </w:r>
      <w:r>
        <w:rPr>
          <w:rFonts w:hint="eastAsia" w:ascii="宋体" w:hAnsi="宋体" w:eastAsia="宋体" w:cs="宋体"/>
          <w:b w:val="0"/>
          <w:bCs w:val="0"/>
          <w:color w:val="auto"/>
          <w:sz w:val="22"/>
          <w:szCs w:val="22"/>
          <w:highlight w:val="none"/>
          <w:lang w:eastAsia="zh-CN"/>
        </w:rPr>
        <w:t>单场演出的</w:t>
      </w:r>
      <w:r>
        <w:rPr>
          <w:rFonts w:hint="eastAsia" w:ascii="宋体" w:hAnsi="宋体" w:eastAsia="宋体" w:cs="宋体"/>
          <w:b w:val="0"/>
          <w:bCs w:val="0"/>
          <w:color w:val="auto"/>
          <w:sz w:val="22"/>
          <w:szCs w:val="22"/>
          <w:highlight w:val="none"/>
        </w:rPr>
        <w:t>演员阵容与申报备案情况严重不符，</w:t>
      </w:r>
      <w:r>
        <w:rPr>
          <w:rFonts w:hint="eastAsia" w:ascii="宋体" w:hAnsi="宋体" w:eastAsia="宋体" w:cs="宋体"/>
          <w:b w:val="0"/>
          <w:bCs w:val="0"/>
          <w:color w:val="auto"/>
          <w:sz w:val="22"/>
          <w:szCs w:val="22"/>
          <w:highlight w:val="none"/>
          <w:lang w:eastAsia="zh-CN"/>
        </w:rPr>
        <w:t>前台</w:t>
      </w:r>
      <w:r>
        <w:rPr>
          <w:rFonts w:hint="eastAsia" w:ascii="宋体" w:hAnsi="宋体" w:eastAsia="宋体" w:cs="宋体"/>
          <w:color w:val="auto"/>
          <w:sz w:val="22"/>
          <w:szCs w:val="22"/>
          <w:highlight w:val="none"/>
          <w:lang w:val="en-US" w:eastAsia="zh-CN"/>
        </w:rPr>
        <w:t>演员变更数量在实际演出演员中占比不得超过25%，若超过25%视为乙方存在服务转包行为</w:t>
      </w:r>
      <w:r>
        <w:rPr>
          <w:rFonts w:hint="eastAsia" w:ascii="宋体" w:hAnsi="宋体" w:eastAsia="宋体" w:cs="宋体"/>
          <w:b w:val="0"/>
          <w:bCs w:val="0"/>
          <w:color w:val="auto"/>
          <w:sz w:val="22"/>
          <w:szCs w:val="22"/>
          <w:highlight w:val="none"/>
        </w:rPr>
        <w:t>。</w:t>
      </w:r>
    </w:p>
    <w:p>
      <w:pPr>
        <w:tabs>
          <w:tab w:val="left" w:pos="851"/>
        </w:tabs>
        <w:spacing w:line="360" w:lineRule="auto"/>
        <w:ind w:left="10" w:leftChars="5"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b、不按规定的时间路线、场次、内容安排进行演出。</w:t>
      </w:r>
      <w:r>
        <w:rPr>
          <w:rFonts w:hint="eastAsia" w:ascii="宋体" w:hAns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必须在指定时间和地点进行演出，如果拒绝或者未按指定时间到指定地点演出的，发生一次罚款5000元。若供应商依然不进行整改，则采购人有权终止合同。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c、强买强卖，向目的地村集体或个人提出支付演出费、报销车旅费、餐费、住宿费等无理要求，影响送戏下乡工作形象。</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d、服务生硬，与目的地村集体或个人发生矛盾和冲突，影响送戏下乡正常开展。</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e、管理混乱，由于制度不落实，安全教育不到位、人员管理不严格等原因，在送戏下乡期间发生安全责任事故。</w:t>
      </w:r>
    </w:p>
    <w:p>
      <w:pPr>
        <w:pStyle w:val="19"/>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    g、乙方弄虚作假，虚报服务场次的。</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88" w:name="_Toc20159"/>
      <w:bookmarkStart w:id="89" w:name="_Toc28761"/>
      <w:r>
        <w:rPr>
          <w:rFonts w:hint="eastAsia" w:ascii="宋体" w:hAnsi="宋体" w:eastAsia="宋体" w:cs="宋体"/>
          <w:b/>
          <w:bCs/>
          <w:color w:val="auto"/>
          <w:sz w:val="22"/>
          <w:szCs w:val="22"/>
          <w:highlight w:val="none"/>
        </w:rPr>
        <w:t>十二、不可抗力事件处理</w:t>
      </w:r>
      <w:bookmarkEnd w:id="88"/>
      <w:bookmarkEnd w:id="89"/>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1．在合同有效期内，任何一方因不可抗力事件导致不能履行合同，则合同履行期可延长，其延长期与不可抗力影响期相同。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2．不可抗力事件发生后，应立即通知对方，并寄送有关权威机构出具的证明。</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3．不可抗力事件延续120天以上，双方应通过友好协商，确定是否继续履行合同。</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90" w:name="_Toc9465"/>
      <w:bookmarkStart w:id="91" w:name="_Toc23373"/>
      <w:r>
        <w:rPr>
          <w:rFonts w:hint="eastAsia" w:ascii="宋体" w:hAnsi="宋体" w:eastAsia="宋体" w:cs="宋体"/>
          <w:b/>
          <w:bCs/>
          <w:color w:val="auto"/>
          <w:sz w:val="22"/>
          <w:szCs w:val="22"/>
          <w:highlight w:val="none"/>
        </w:rPr>
        <w:t>十三、诉讼</w:t>
      </w:r>
      <w:bookmarkEnd w:id="90"/>
      <w:bookmarkEnd w:id="91"/>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双方在执行合同中所发生的一切争议，应通过协商解决。如协商不成，可向甲方所在地法院起诉。</w:t>
      </w:r>
    </w:p>
    <w:p>
      <w:pPr>
        <w:spacing w:line="360" w:lineRule="auto"/>
        <w:ind w:firstLine="442" w:firstLineChars="200"/>
        <w:outlineLvl w:val="1"/>
        <w:rPr>
          <w:rFonts w:hint="eastAsia" w:ascii="宋体" w:hAnsi="宋体" w:eastAsia="宋体" w:cs="宋体"/>
          <w:b/>
          <w:bCs/>
          <w:color w:val="auto"/>
          <w:sz w:val="22"/>
          <w:szCs w:val="22"/>
          <w:highlight w:val="none"/>
        </w:rPr>
      </w:pPr>
      <w:bookmarkStart w:id="92" w:name="_Toc3468"/>
      <w:bookmarkStart w:id="93" w:name="_Toc29909"/>
      <w:r>
        <w:rPr>
          <w:rFonts w:hint="eastAsia" w:ascii="宋体" w:hAnsi="宋体" w:eastAsia="宋体" w:cs="宋体"/>
          <w:b/>
          <w:bCs/>
          <w:color w:val="auto"/>
          <w:sz w:val="22"/>
          <w:szCs w:val="22"/>
          <w:highlight w:val="none"/>
        </w:rPr>
        <w:t>十四、合同生效及其它</w:t>
      </w:r>
      <w:bookmarkEnd w:id="92"/>
      <w:bookmarkEnd w:id="93"/>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1．合同经双方法定代表人或授权代表签字并加盖单位公章后生效。</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2．合同执行中涉及采购资金和采购内容修改或补充的，须经财政部门审批，并签书面补充协议报政府采购监督管理部门备案，方可作为主合同不可分割的一部分。</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3．本合同未尽事宜，遵照《</w:t>
      </w:r>
      <w:r>
        <w:rPr>
          <w:rFonts w:hint="eastAsia" w:ascii="宋体" w:eastAsia="宋体" w:cs="宋体"/>
          <w:b w:val="0"/>
          <w:bCs w:val="0"/>
          <w:color w:val="auto"/>
          <w:sz w:val="22"/>
          <w:szCs w:val="22"/>
          <w:highlight w:val="none"/>
          <w:lang w:val="en-US" w:eastAsia="zh-CN"/>
        </w:rPr>
        <w:t>民法典</w:t>
      </w:r>
      <w:r>
        <w:rPr>
          <w:rFonts w:hint="eastAsia" w:ascii="宋体" w:hAnsi="宋体" w:eastAsia="宋体" w:cs="宋体"/>
          <w:b w:val="0"/>
          <w:bCs w:val="0"/>
          <w:color w:val="auto"/>
          <w:sz w:val="22"/>
          <w:szCs w:val="22"/>
          <w:highlight w:val="none"/>
        </w:rPr>
        <w:t>》有关条文执行。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4．本合同正本壹式   份，具有同等法律效力，甲乙双方各执    份。</w:t>
      </w:r>
    </w:p>
    <w:p>
      <w:pPr>
        <w:adjustRightInd w:val="0"/>
        <w:snapToGrid w:val="0"/>
        <w:spacing w:line="360" w:lineRule="auto"/>
        <w:ind w:left="440" w:hanging="442" w:hangingChars="200"/>
        <w:textAlignment w:val="baseline"/>
        <w:rPr>
          <w:rFonts w:asciiTheme="majorEastAsia" w:hAnsiTheme="majorEastAsia" w:eastAsiaTheme="majorEastAsia"/>
          <w:b w:val="0"/>
          <w:bCs w:val="0"/>
          <w:color w:val="auto"/>
          <w:sz w:val="22"/>
          <w:szCs w:val="22"/>
          <w:highlight w:val="none"/>
        </w:rPr>
      </w:pPr>
      <w:bookmarkStart w:id="94" w:name="_Toc30721"/>
      <w:bookmarkStart w:id="95" w:name="_Toc20547"/>
      <w:r>
        <w:rPr>
          <w:rFonts w:hint="eastAsia" w:ascii="宋体" w:hAnsi="宋体" w:eastAsia="宋体" w:cs="宋体"/>
          <w:b/>
          <w:bCs/>
          <w:color w:val="auto"/>
          <w:sz w:val="22"/>
          <w:szCs w:val="22"/>
          <w:highlight w:val="none"/>
        </w:rPr>
        <w:t>十五、补充条款</w:t>
      </w:r>
      <w:bookmarkEnd w:id="94"/>
      <w:bookmarkEnd w:id="95"/>
      <w:r>
        <w:rPr>
          <w:rFonts w:hint="eastAsia" w:ascii="宋体" w:hAnsi="宋体" w:eastAsia="宋体" w:cs="宋体"/>
          <w:b/>
          <w:bCs/>
          <w:color w:val="auto"/>
          <w:sz w:val="22"/>
          <w:szCs w:val="22"/>
          <w:highlight w:val="none"/>
        </w:rPr>
        <w:t xml:space="preserve"> </w:t>
      </w:r>
      <w:r>
        <w:rPr>
          <w:rFonts w:hint="eastAsia" w:asciiTheme="majorEastAsia" w:hAnsiTheme="majorEastAsia" w:eastAsiaTheme="majorEastAsia"/>
          <w:b w:val="0"/>
          <w:bCs w:val="0"/>
          <w:color w:val="auto"/>
          <w:sz w:val="22"/>
          <w:szCs w:val="22"/>
          <w:highlight w:val="none"/>
        </w:rPr>
        <w:t>。</w:t>
      </w:r>
    </w:p>
    <w:p>
      <w:pPr>
        <w:spacing w:line="440" w:lineRule="exact"/>
        <w:jc w:val="left"/>
        <w:rPr>
          <w:rFonts w:ascii="宋体" w:eastAsia="宋体"/>
          <w:b w:val="0"/>
          <w:bCs w:val="0"/>
          <w:color w:val="auto"/>
          <w:sz w:val="22"/>
          <w:szCs w:val="22"/>
          <w:highlight w:val="none"/>
        </w:rPr>
      </w:pPr>
    </w:p>
    <w:p>
      <w:pPr>
        <w:tabs>
          <w:tab w:val="left" w:pos="1985"/>
        </w:tabs>
        <w:spacing w:line="360" w:lineRule="auto"/>
        <w:ind w:left="420" w:leftChars="200"/>
        <w:rPr>
          <w:rFonts w:ascii="宋体" w:eastAsia="宋体"/>
          <w:b w:val="0"/>
          <w:color w:val="auto"/>
          <w:sz w:val="22"/>
          <w:szCs w:val="22"/>
          <w:highlight w:val="none"/>
        </w:rPr>
      </w:pPr>
      <w:r>
        <w:rPr>
          <w:rFonts w:hint="eastAsia" w:ascii="宋体" w:eastAsia="宋体"/>
          <w:b w:val="0"/>
          <w:color w:val="auto"/>
          <w:sz w:val="22"/>
          <w:szCs w:val="22"/>
          <w:highlight w:val="none"/>
        </w:rPr>
        <w:t>甲方：（印章）                        乙方：（印章）</w:t>
      </w:r>
    </w:p>
    <w:p>
      <w:pPr>
        <w:tabs>
          <w:tab w:val="left" w:pos="1985"/>
        </w:tabs>
        <w:spacing w:line="360" w:lineRule="auto"/>
        <w:ind w:left="420" w:leftChars="200"/>
        <w:rPr>
          <w:rFonts w:ascii="宋体" w:eastAsia="宋体"/>
          <w:b w:val="0"/>
          <w:color w:val="auto"/>
          <w:sz w:val="22"/>
          <w:szCs w:val="22"/>
          <w:highlight w:val="none"/>
        </w:rPr>
      </w:pPr>
      <w:r>
        <w:rPr>
          <w:rFonts w:hint="eastAsia" w:ascii="宋体" w:eastAsia="宋体"/>
          <w:b w:val="0"/>
          <w:color w:val="auto"/>
          <w:sz w:val="22"/>
          <w:szCs w:val="22"/>
          <w:highlight w:val="none"/>
        </w:rPr>
        <w:t>全权代表:（签字）                    全权代表:（签字）</w:t>
      </w:r>
    </w:p>
    <w:p>
      <w:pPr>
        <w:tabs>
          <w:tab w:val="left" w:pos="1985"/>
        </w:tabs>
        <w:spacing w:line="360" w:lineRule="auto"/>
        <w:ind w:left="420" w:leftChars="200"/>
        <w:rPr>
          <w:rFonts w:ascii="宋体" w:eastAsia="宋体"/>
          <w:b w:val="0"/>
          <w:color w:val="auto"/>
          <w:sz w:val="22"/>
          <w:szCs w:val="22"/>
          <w:highlight w:val="none"/>
        </w:rPr>
      </w:pPr>
      <w:r>
        <w:rPr>
          <w:rFonts w:hint="eastAsia" w:ascii="宋体" w:eastAsia="宋体"/>
          <w:b w:val="0"/>
          <w:color w:val="auto"/>
          <w:sz w:val="22"/>
          <w:szCs w:val="22"/>
          <w:highlight w:val="none"/>
        </w:rPr>
        <w:t>日期：                               日期：</w:t>
      </w:r>
    </w:p>
    <w:p>
      <w:pPr>
        <w:tabs>
          <w:tab w:val="left" w:pos="1985"/>
        </w:tabs>
        <w:spacing w:line="360" w:lineRule="auto"/>
        <w:ind w:left="420" w:leftChars="200"/>
        <w:rPr>
          <w:rFonts w:ascii="宋体" w:eastAsia="宋体"/>
          <w:b w:val="0"/>
          <w:color w:val="auto"/>
          <w:sz w:val="22"/>
          <w:szCs w:val="22"/>
          <w:highlight w:val="none"/>
        </w:rPr>
      </w:pPr>
      <w:r>
        <w:rPr>
          <w:rFonts w:hint="eastAsia" w:ascii="宋体" w:eastAsia="宋体"/>
          <w:b w:val="0"/>
          <w:color w:val="auto"/>
          <w:sz w:val="22"/>
          <w:szCs w:val="22"/>
          <w:highlight w:val="none"/>
        </w:rPr>
        <w:t>地址：                               地址：</w:t>
      </w:r>
    </w:p>
    <w:p>
      <w:pPr>
        <w:tabs>
          <w:tab w:val="left" w:pos="1985"/>
        </w:tabs>
        <w:spacing w:line="360" w:lineRule="auto"/>
        <w:ind w:left="420" w:leftChars="200"/>
        <w:rPr>
          <w:rFonts w:ascii="宋体" w:eastAsia="宋体"/>
          <w:b w:val="0"/>
          <w:color w:val="auto"/>
          <w:sz w:val="22"/>
          <w:szCs w:val="22"/>
          <w:highlight w:val="none"/>
        </w:rPr>
      </w:pPr>
      <w:r>
        <w:rPr>
          <w:rFonts w:hint="eastAsia" w:ascii="宋体" w:eastAsia="宋体"/>
          <w:b w:val="0"/>
          <w:color w:val="auto"/>
          <w:sz w:val="22"/>
          <w:szCs w:val="22"/>
          <w:highlight w:val="none"/>
        </w:rPr>
        <w:t>邮政编码：                           邮政编码：</w:t>
      </w:r>
    </w:p>
    <w:p>
      <w:pPr>
        <w:tabs>
          <w:tab w:val="left" w:pos="1985"/>
        </w:tabs>
        <w:spacing w:line="360" w:lineRule="auto"/>
        <w:ind w:left="420" w:leftChars="200"/>
        <w:rPr>
          <w:rFonts w:ascii="宋体" w:eastAsia="宋体"/>
          <w:b w:val="0"/>
          <w:color w:val="auto"/>
          <w:sz w:val="22"/>
          <w:szCs w:val="22"/>
          <w:highlight w:val="none"/>
        </w:rPr>
      </w:pPr>
      <w:r>
        <w:rPr>
          <w:rFonts w:hint="eastAsia" w:ascii="宋体" w:eastAsia="宋体"/>
          <w:b w:val="0"/>
          <w:color w:val="auto"/>
          <w:sz w:val="22"/>
          <w:szCs w:val="22"/>
          <w:highlight w:val="none"/>
        </w:rPr>
        <w:t>电话：                               电话：</w:t>
      </w:r>
    </w:p>
    <w:p>
      <w:pPr>
        <w:tabs>
          <w:tab w:val="left" w:pos="1985"/>
        </w:tabs>
        <w:spacing w:line="360" w:lineRule="auto"/>
        <w:ind w:left="420" w:leftChars="200"/>
        <w:rPr>
          <w:rFonts w:ascii="宋体" w:eastAsia="宋体"/>
          <w:b w:val="0"/>
          <w:color w:val="auto"/>
          <w:sz w:val="22"/>
          <w:szCs w:val="22"/>
          <w:highlight w:val="none"/>
        </w:rPr>
      </w:pPr>
      <w:r>
        <w:rPr>
          <w:rFonts w:hint="eastAsia" w:ascii="宋体" w:eastAsia="宋体"/>
          <w:b w:val="0"/>
          <w:color w:val="auto"/>
          <w:sz w:val="22"/>
          <w:szCs w:val="22"/>
          <w:highlight w:val="none"/>
        </w:rPr>
        <w:t>开户银行：                           开户银行：</w:t>
      </w:r>
    </w:p>
    <w:p>
      <w:pPr>
        <w:tabs>
          <w:tab w:val="left" w:pos="1985"/>
        </w:tabs>
        <w:spacing w:line="360" w:lineRule="auto"/>
        <w:ind w:left="420" w:leftChars="200"/>
        <w:rPr>
          <w:rFonts w:ascii="宋体" w:eastAsia="宋体"/>
          <w:b w:val="0"/>
          <w:color w:val="auto"/>
          <w:sz w:val="22"/>
          <w:szCs w:val="22"/>
          <w:highlight w:val="none"/>
        </w:rPr>
      </w:pPr>
      <w:r>
        <w:rPr>
          <w:rFonts w:hint="eastAsia" w:ascii="宋体" w:eastAsia="宋体"/>
          <w:b w:val="0"/>
          <w:color w:val="auto"/>
          <w:sz w:val="22"/>
          <w:szCs w:val="22"/>
          <w:highlight w:val="none"/>
        </w:rPr>
        <w:t>账号：                               账号：</w:t>
      </w:r>
    </w:p>
    <w:p>
      <w:pPr>
        <w:pStyle w:val="26"/>
        <w:spacing w:line="360" w:lineRule="auto"/>
        <w:ind w:firstLine="440" w:firstLineChars="200"/>
        <w:jc w:val="left"/>
        <w:rPr>
          <w:rFonts w:hAnsi="宋体" w:eastAsia="宋体"/>
          <w:b w:val="0"/>
          <w:color w:val="auto"/>
          <w:sz w:val="22"/>
          <w:szCs w:val="22"/>
          <w:highlight w:val="none"/>
        </w:rPr>
      </w:pPr>
      <w:r>
        <w:rPr>
          <w:rFonts w:hint="eastAsia" w:hAnsi="宋体" w:eastAsia="宋体"/>
          <w:b w:val="0"/>
          <w:color w:val="auto"/>
          <w:sz w:val="22"/>
          <w:szCs w:val="22"/>
          <w:highlight w:val="none"/>
        </w:rPr>
        <w:t>户名：                               户名：</w:t>
      </w:r>
    </w:p>
    <w:p>
      <w:pPr>
        <w:spacing w:line="360" w:lineRule="auto"/>
        <w:rPr>
          <w:rFonts w:ascii="宋体" w:eastAsia="宋体"/>
          <w:color w:val="auto"/>
          <w:sz w:val="22"/>
          <w:szCs w:val="22"/>
          <w:highlight w:val="none"/>
        </w:rPr>
        <w:sectPr>
          <w:footerReference r:id="rId12" w:type="first"/>
          <w:headerReference r:id="rId9" w:type="default"/>
          <w:footerReference r:id="rId10" w:type="default"/>
          <w:footerReference r:id="rId11" w:type="even"/>
          <w:pgSz w:w="11907" w:h="16840"/>
          <w:pgMar w:top="1440" w:right="1117" w:bottom="1440" w:left="1440" w:header="720" w:footer="720" w:gutter="0"/>
          <w:cols w:space="720" w:num="1"/>
          <w:titlePg/>
          <w:docGrid w:linePitch="286" w:charSpace="0"/>
        </w:sectPr>
      </w:pPr>
      <w:r>
        <w:rPr>
          <w:rFonts w:hint="eastAsia" w:ascii="宋体" w:eastAsia="宋体"/>
          <w:color w:val="auto"/>
          <w:sz w:val="22"/>
          <w:szCs w:val="22"/>
          <w:highlight w:val="none"/>
        </w:rPr>
        <w:t>注：本合同作为示范文本，具体以中标（成交）供应商与采购人所签订正式合同为准</w:t>
      </w:r>
    </w:p>
    <w:p>
      <w:pPr>
        <w:pStyle w:val="8"/>
        <w:rPr>
          <w:rFonts w:ascii="宋体" w:hAnsi="宋体" w:cs="宋体"/>
          <w:color w:val="auto"/>
          <w:highlight w:val="none"/>
        </w:rPr>
      </w:pPr>
      <w:bookmarkStart w:id="96" w:name="_Toc25305"/>
      <w:r>
        <w:rPr>
          <w:rFonts w:hint="eastAsia" w:ascii="宋体" w:hAnsi="宋体" w:cs="宋体"/>
          <w:color w:val="auto"/>
          <w:highlight w:val="none"/>
        </w:rPr>
        <w:t>第六部分 磋商响应文件格式</w:t>
      </w:r>
      <w:bookmarkEnd w:id="96"/>
    </w:p>
    <w:p>
      <w:pPr>
        <w:pStyle w:val="8"/>
        <w:rPr>
          <w:rFonts w:hint="eastAsia" w:ascii="宋体" w:hAnsi="宋体" w:cs="宋体"/>
          <w:color w:val="auto"/>
          <w:highlight w:val="none"/>
        </w:rPr>
      </w:pPr>
      <w:bookmarkStart w:id="97" w:name="_Toc42678689"/>
      <w:bookmarkStart w:id="98" w:name="_Toc259"/>
      <w:bookmarkStart w:id="99" w:name="_Toc65590090"/>
      <w:bookmarkStart w:id="100" w:name="_Toc161563051"/>
      <w:r>
        <w:rPr>
          <w:rFonts w:hint="eastAsia" w:ascii="宋体" w:hAnsi="宋体" w:cs="宋体"/>
          <w:color w:val="auto"/>
          <w:highlight w:val="none"/>
        </w:rPr>
        <w:t>一、资格文件部分格式</w:t>
      </w:r>
      <w:bookmarkEnd w:id="97"/>
      <w:bookmarkEnd w:id="98"/>
      <w:bookmarkEnd w:id="99"/>
    </w:p>
    <w:p>
      <w:pPr>
        <w:rPr>
          <w:rFonts w:hint="eastAsia" w:ascii="宋体" w:hAnsi="宋体" w:cs="宋体"/>
          <w:color w:val="auto"/>
          <w:highlight w:val="none"/>
        </w:rPr>
      </w:pPr>
    </w:p>
    <w:p>
      <w:pPr>
        <w:widowControl/>
        <w:spacing w:line="460" w:lineRule="atLeast"/>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附件一</w:t>
      </w:r>
    </w:p>
    <w:p>
      <w:pPr>
        <w:pStyle w:val="8"/>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）投标供应商的营业执照（或事业法人登记证书或其它工商等登记证明材料）、税务登记证（如为多证合一仅需提供营业执照（或事业法人登记证书或其它工商等登记证明材料），扫描件加盖公章）</w:t>
      </w:r>
    </w:p>
    <w:p>
      <w:pPr>
        <w:pStyle w:val="8"/>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特定资格要求：投标供应商必须是有文艺演出条件和能力的文化类企事业法人单位或民营演出团体或民办非企业单位。营业执照必须具有相应的商业演出经营范围（以营业执照为准）演出服务单位必须是县级以上（含县级）文化行政管理部门注册的民营艺术表演团体，具备营业性演出许可证等</w:t>
      </w:r>
    </w:p>
    <w:p>
      <w:pPr>
        <w:rPr>
          <w:rFonts w:hint="eastAsia" w:ascii="宋体" w:eastAsia="宋体"/>
          <w:color w:val="auto"/>
          <w:sz w:val="22"/>
          <w:szCs w:val="22"/>
          <w:highlight w:val="none"/>
        </w:rPr>
      </w:pPr>
      <w:r>
        <w:rPr>
          <w:rFonts w:hint="eastAsia" w:ascii="宋体" w:eastAsia="宋体"/>
          <w:color w:val="auto"/>
          <w:sz w:val="22"/>
          <w:szCs w:val="22"/>
          <w:highlight w:val="none"/>
        </w:rPr>
        <w:br w:type="page"/>
      </w:r>
    </w:p>
    <w:p>
      <w:pPr>
        <w:widowControl/>
        <w:spacing w:line="460" w:lineRule="atLeast"/>
        <w:jc w:val="left"/>
        <w:rPr>
          <w:rFonts w:hint="eastAsia" w:ascii="宋体" w:eastAsia="宋体"/>
          <w:color w:val="auto"/>
          <w:sz w:val="22"/>
          <w:szCs w:val="22"/>
          <w:highlight w:val="none"/>
          <w:lang w:eastAsia="zh-CN"/>
        </w:rPr>
      </w:pP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二</w:t>
      </w:r>
    </w:p>
    <w:p>
      <w:pPr>
        <w:pStyle w:val="8"/>
        <w:rPr>
          <w:rFonts w:ascii="宋体" w:hAnsi="宋体" w:cs="宋体"/>
          <w:color w:val="auto"/>
          <w:highlight w:val="none"/>
          <w:lang w:val="zh-CN"/>
        </w:rPr>
      </w:pPr>
      <w:bookmarkStart w:id="101" w:name="_Toc42678179"/>
      <w:bookmarkStart w:id="102" w:name="_Toc42243282"/>
      <w:bookmarkStart w:id="103" w:name="_Toc61444210"/>
      <w:bookmarkStart w:id="104" w:name="_Toc42678024"/>
      <w:bookmarkStart w:id="105" w:name="_Toc65590091"/>
      <w:bookmarkStart w:id="106" w:name="_Toc65830019"/>
      <w:bookmarkStart w:id="107" w:name="_Toc42678690"/>
      <w:r>
        <w:rPr>
          <w:rFonts w:hint="eastAsia" w:ascii="宋体" w:hAnsi="宋体" w:cs="宋体"/>
          <w:color w:val="auto"/>
          <w:highlight w:val="none"/>
          <w:lang w:val="zh-CN"/>
        </w:rPr>
        <w:t>具有财务会计制度、设备和专业技术能力、</w:t>
      </w:r>
      <w:r>
        <w:rPr>
          <w:rFonts w:hint="eastAsia" w:ascii="宋体" w:hAnsi="宋体" w:cs="宋体"/>
          <w:color w:val="auto"/>
          <w:highlight w:val="none"/>
        </w:rPr>
        <w:t>依法</w:t>
      </w:r>
      <w:r>
        <w:rPr>
          <w:rFonts w:hint="eastAsia" w:ascii="宋体" w:hAnsi="宋体" w:cs="宋体"/>
          <w:color w:val="auto"/>
          <w:highlight w:val="none"/>
          <w:lang w:val="zh-CN"/>
        </w:rPr>
        <w:t>缴纳税收和社会保障资金</w:t>
      </w:r>
      <w:r>
        <w:rPr>
          <w:rFonts w:hint="eastAsia" w:ascii="宋体" w:hAnsi="宋体" w:cs="宋体"/>
          <w:color w:val="auto"/>
          <w:highlight w:val="none"/>
        </w:rPr>
        <w:t>记录</w:t>
      </w:r>
      <w:r>
        <w:rPr>
          <w:rFonts w:hint="eastAsia" w:ascii="宋体" w:hAnsi="宋体" w:cs="宋体"/>
          <w:color w:val="auto"/>
          <w:highlight w:val="none"/>
          <w:lang w:val="zh-CN"/>
        </w:rPr>
        <w:t>、</w:t>
      </w:r>
      <w:r>
        <w:rPr>
          <w:rFonts w:hint="eastAsia" w:ascii="宋体" w:hAnsi="宋体" w:cs="宋体"/>
          <w:color w:val="auto"/>
          <w:highlight w:val="none"/>
        </w:rPr>
        <w:t>无</w:t>
      </w:r>
      <w:r>
        <w:rPr>
          <w:rFonts w:hint="eastAsia" w:ascii="宋体" w:hAnsi="宋体" w:cs="宋体"/>
          <w:color w:val="auto"/>
          <w:highlight w:val="none"/>
          <w:lang w:val="zh-CN"/>
        </w:rPr>
        <w:t>重大违法记录的承诺函</w:t>
      </w:r>
      <w:bookmarkEnd w:id="101"/>
      <w:bookmarkEnd w:id="102"/>
      <w:bookmarkEnd w:id="103"/>
      <w:bookmarkEnd w:id="104"/>
      <w:bookmarkEnd w:id="105"/>
      <w:bookmarkEnd w:id="106"/>
      <w:bookmarkEnd w:id="107"/>
    </w:p>
    <w:p>
      <w:pPr>
        <w:spacing w:line="460" w:lineRule="exact"/>
        <w:rPr>
          <w:rFonts w:ascii="宋体" w:eastAsia="宋体"/>
          <w:color w:val="auto"/>
          <w:sz w:val="22"/>
          <w:szCs w:val="22"/>
          <w:highlight w:val="none"/>
          <w:u w:val="single"/>
        </w:rPr>
      </w:pPr>
    </w:p>
    <w:p>
      <w:pPr>
        <w:spacing w:line="460" w:lineRule="exact"/>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lang w:eastAsia="zh-CN"/>
        </w:rPr>
        <w:t>永嘉县文化和广电旅游体育局</w:t>
      </w:r>
      <w:r>
        <w:rPr>
          <w:rFonts w:hint="eastAsia" w:ascii="宋体" w:eastAsia="宋体"/>
          <w:bCs w:val="0"/>
          <w:color w:val="auto"/>
          <w:sz w:val="22"/>
          <w:szCs w:val="22"/>
          <w:highlight w:val="none"/>
          <w:u w:val="single"/>
        </w:rPr>
        <w:t>：</w:t>
      </w:r>
    </w:p>
    <w:p>
      <w:pPr>
        <w:spacing w:line="460" w:lineRule="exact"/>
        <w:rPr>
          <w:rFonts w:ascii="宋体" w:eastAsia="宋体"/>
          <w:color w:val="auto"/>
          <w:sz w:val="22"/>
          <w:szCs w:val="22"/>
          <w:highlight w:val="none"/>
          <w:u w:val="single"/>
        </w:rPr>
      </w:pPr>
      <w:r>
        <w:rPr>
          <w:rFonts w:hint="eastAsia" w:ascii="宋体" w:eastAsia="宋体"/>
          <w:bCs w:val="0"/>
          <w:color w:val="auto"/>
          <w:sz w:val="22"/>
          <w:szCs w:val="22"/>
          <w:highlight w:val="none"/>
          <w:u w:val="single"/>
        </w:rPr>
        <w:t>温州市中概工程管</w:t>
      </w:r>
      <w:r>
        <w:rPr>
          <w:rFonts w:hint="eastAsia" w:ascii="宋体" w:eastAsia="宋体"/>
          <w:color w:val="auto"/>
          <w:sz w:val="22"/>
          <w:szCs w:val="22"/>
          <w:highlight w:val="none"/>
          <w:u w:val="single"/>
        </w:rPr>
        <w:t>理咨询有限公司：</w:t>
      </w:r>
    </w:p>
    <w:p>
      <w:pPr>
        <w:widowControl/>
        <w:snapToGrid w:val="0"/>
        <w:spacing w:line="460" w:lineRule="exact"/>
        <w:ind w:firstLine="442" w:firstLineChars="200"/>
        <w:jc w:val="left"/>
        <w:rPr>
          <w:rFonts w:ascii="宋体" w:eastAsia="宋体"/>
          <w:color w:val="auto"/>
          <w:sz w:val="22"/>
          <w:szCs w:val="22"/>
          <w:highlight w:val="none"/>
        </w:rPr>
      </w:pPr>
    </w:p>
    <w:p>
      <w:pPr>
        <w:widowControl/>
        <w:snapToGrid w:val="0"/>
        <w:spacing w:line="46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我公司郑重声明:</w:t>
      </w:r>
    </w:p>
    <w:p>
      <w:pPr>
        <w:widowControl/>
        <w:snapToGrid w:val="0"/>
        <w:spacing w:line="46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1、具有良好的商业信誉和健全的财务会计制度；</w:t>
      </w:r>
    </w:p>
    <w:p>
      <w:pPr>
        <w:widowControl/>
        <w:snapToGrid w:val="0"/>
        <w:spacing w:line="46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3、严格依法缴纳税收和社会保障资金，本文件中所提供的相关材料均真实有效，不存在虚假、造假行为。如有违反，愿承担一切责任。</w:t>
      </w:r>
    </w:p>
    <w:p>
      <w:pPr>
        <w:widowControl/>
        <w:snapToGrid w:val="0"/>
        <w:spacing w:line="460" w:lineRule="exact"/>
        <w:ind w:firstLine="440" w:firstLineChars="200"/>
        <w:jc w:val="left"/>
        <w:rPr>
          <w:rFonts w:ascii="宋体" w:eastAsia="宋体"/>
          <w:b w:val="0"/>
          <w:bCs w:val="0"/>
          <w:color w:val="auto"/>
          <w:highlight w:val="none"/>
        </w:rPr>
      </w:pPr>
      <w:r>
        <w:rPr>
          <w:rFonts w:hint="eastAsia" w:ascii="宋体" w:eastAsia="宋体"/>
          <w:b w:val="0"/>
          <w:bCs w:val="0"/>
          <w:color w:val="auto"/>
          <w:sz w:val="22"/>
          <w:szCs w:val="22"/>
          <w:highlight w:val="none"/>
        </w:rPr>
        <w:t>4、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eastAsia="宋体"/>
          <w:b w:val="0"/>
          <w:bCs w:val="0"/>
          <w:color w:val="auto"/>
          <w:sz w:val="22"/>
          <w:szCs w:val="22"/>
          <w:highlight w:val="none"/>
        </w:rPr>
      </w:pPr>
    </w:p>
    <w:p>
      <w:pPr>
        <w:widowControl/>
        <w:snapToGrid w:val="0"/>
        <w:spacing w:line="46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特此承诺！</w:t>
      </w:r>
    </w:p>
    <w:p>
      <w:pPr>
        <w:widowControl/>
        <w:snapToGrid w:val="0"/>
        <w:spacing w:line="460" w:lineRule="exact"/>
        <w:ind w:firstLine="440" w:firstLineChars="200"/>
        <w:jc w:val="left"/>
        <w:rPr>
          <w:rFonts w:ascii="宋体" w:eastAsia="宋体"/>
          <w:b w:val="0"/>
          <w:bCs w:val="0"/>
          <w:color w:val="auto"/>
          <w:sz w:val="22"/>
          <w:szCs w:val="22"/>
          <w:highlight w:val="none"/>
        </w:rPr>
      </w:pPr>
    </w:p>
    <w:p>
      <w:pPr>
        <w:widowControl/>
        <w:snapToGrid w:val="0"/>
        <w:spacing w:line="46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投标供应商（盖章） ：</w:t>
      </w:r>
    </w:p>
    <w:p>
      <w:pPr>
        <w:widowControl/>
        <w:snapToGrid w:val="0"/>
        <w:spacing w:line="46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日期：</w:t>
      </w:r>
    </w:p>
    <w:p>
      <w:pPr>
        <w:widowControl/>
        <w:jc w:val="left"/>
        <w:rPr>
          <w:rFonts w:hint="eastAsia" w:ascii="宋体" w:eastAsia="宋体"/>
          <w:color w:val="auto"/>
          <w:sz w:val="22"/>
          <w:szCs w:val="22"/>
          <w:highlight w:val="none"/>
          <w:lang w:val="en-US" w:eastAsia="zh-CN"/>
        </w:rPr>
      </w:pPr>
      <w:r>
        <w:rPr>
          <w:rFonts w:hint="eastAsia" w:ascii="宋体" w:eastAsia="宋体"/>
          <w:color w:val="auto"/>
          <w:sz w:val="36"/>
          <w:szCs w:val="32"/>
          <w:highlight w:val="none"/>
        </w:rPr>
        <w:br w:type="page"/>
      </w: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三</w:t>
      </w:r>
    </w:p>
    <w:p>
      <w:pPr>
        <w:pStyle w:val="8"/>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lang w:val="zh-CN"/>
        </w:rPr>
        <w:t>信用记录查询网页截图或报告（采购公告发布之日至投标文件递交截止时间前关于投标供应商信用记录的查询网页）：</w:t>
      </w:r>
    </w:p>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（1）“信用中国”(www.creditchina.gov.cn)，在信用中国首页搜索栏中直接输入投标供应商全称搜索信用信息，再找到并点击进人投标供应商全称的查询页面。</w:t>
      </w:r>
    </w:p>
    <w:p>
      <w:pPr>
        <w:rPr>
          <w:rFonts w:hint="eastAsia" w:ascii="宋体" w:eastAsia="宋体"/>
          <w:b w:val="0"/>
          <w:bCs w:val="0"/>
          <w:color w:val="auto"/>
          <w:sz w:val="22"/>
          <w:highlight w:val="none"/>
          <w:lang w:val="en-US" w:eastAsia="zh-CN"/>
        </w:rPr>
      </w:pPr>
    </w:p>
    <w:p>
      <w:pPr>
        <w:rPr>
          <w:rFonts w:hint="eastAsia" w:ascii="宋体" w:eastAsia="宋体"/>
          <w:b/>
          <w:bCs/>
          <w:color w:val="auto"/>
          <w:sz w:val="22"/>
          <w:highlight w:val="none"/>
          <w:lang w:val="en-US" w:eastAsia="zh-CN"/>
        </w:rPr>
      </w:pPr>
      <w:r>
        <w:rPr>
          <w:rFonts w:hint="eastAsia" w:ascii="宋体" w:eastAsia="宋体"/>
          <w:b/>
          <w:bCs/>
          <w:color w:val="auto"/>
          <w:sz w:val="22"/>
          <w:highlight w:val="none"/>
          <w:lang w:val="en-US" w:eastAsia="zh-CN"/>
        </w:rPr>
        <w:t>示例，以下为代理公司查询截图：</w:t>
      </w:r>
    </w:p>
    <w:p>
      <w:pPr>
        <w:rPr>
          <w:color w:val="auto"/>
          <w:highlight w:val="none"/>
        </w:rPr>
      </w:pPr>
      <w:r>
        <w:rPr>
          <w:color w:val="auto"/>
          <w:highlight w:val="none"/>
        </w:rPr>
        <w:drawing>
          <wp:inline distT="0" distB="0" distL="114300" distR="114300">
            <wp:extent cx="5394960" cy="3034665"/>
            <wp:effectExtent l="0" t="0" r="15240" b="133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0"/>
                    <a:stretch>
                      <a:fillRect/>
                    </a:stretch>
                  </pic:blipFill>
                  <pic:spPr>
                    <a:xfrm>
                      <a:off x="0" y="0"/>
                      <a:ext cx="5394960" cy="3034665"/>
                    </a:xfrm>
                    <a:prstGeom prst="rect">
                      <a:avLst/>
                    </a:prstGeom>
                    <a:noFill/>
                    <a:ln>
                      <a:noFill/>
                    </a:ln>
                  </pic:spPr>
                </pic:pic>
              </a:graphicData>
            </a:graphic>
          </wp:inline>
        </w:drawing>
      </w:r>
    </w:p>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注：①若供应商查询页面“行政处罚”栏显示有行政处罚事项，须将所有行政处罚事项在“信用中国”网页上列出的明细一并打印，并附说明，是否属于“经营活动中的重大违法记录”。</w:t>
      </w:r>
    </w:p>
    <w:p>
      <w:pPr>
        <w:rPr>
          <w:rFonts w:hint="eastAsia" w:ascii="宋体" w:eastAsia="宋体"/>
          <w:b w:val="0"/>
          <w:bCs w:val="0"/>
          <w:color w:val="auto"/>
          <w:sz w:val="22"/>
          <w:highlight w:val="none"/>
        </w:rPr>
      </w:pPr>
      <w:r>
        <w:rPr>
          <w:rFonts w:hint="eastAsia" w:ascii="宋体" w:eastAsia="宋体"/>
          <w:b w:val="0"/>
          <w:bCs w:val="0"/>
          <w:color w:val="auto"/>
          <w:sz w:val="22"/>
          <w:highlight w:val="none"/>
        </w:rPr>
        <w:t>②若供应商在“信用中国”无数据，亦须将搜索结果页面打印，并附说明。</w:t>
      </w:r>
      <w:r>
        <w:rPr>
          <w:rFonts w:hint="eastAsia" w:ascii="宋体" w:eastAsia="宋体"/>
          <w:b w:val="0"/>
          <w:bCs w:val="0"/>
          <w:color w:val="auto"/>
          <w:sz w:val="22"/>
          <w:highlight w:val="none"/>
        </w:rPr>
        <w:br w:type="page"/>
      </w:r>
    </w:p>
    <w:p>
      <w:pPr>
        <w:tabs>
          <w:tab w:val="left" w:pos="4140"/>
        </w:tabs>
        <w:adjustRightInd w:val="0"/>
        <w:snapToGrid w:val="0"/>
        <w:spacing w:line="320" w:lineRule="atLeast"/>
        <w:rPr>
          <w:rFonts w:hint="eastAsia" w:ascii="宋体" w:eastAsia="宋体"/>
          <w:b w:val="0"/>
          <w:bCs w:val="0"/>
          <w:color w:val="auto"/>
          <w:sz w:val="22"/>
          <w:highlight w:val="none"/>
        </w:rPr>
      </w:pPr>
      <w:r>
        <w:rPr>
          <w:rFonts w:hint="eastAsia" w:ascii="宋体" w:eastAsia="宋体"/>
          <w:b w:val="0"/>
          <w:bCs w:val="0"/>
          <w:color w:val="auto"/>
          <w:sz w:val="22"/>
          <w:highlight w:val="none"/>
        </w:rPr>
        <w:t>（2）“中国政府采购网”（www.ccgp.gov.cn/search/cr/）</w:t>
      </w:r>
    </w:p>
    <w:p>
      <w:pPr>
        <w:rPr>
          <w:rFonts w:hint="eastAsia" w:ascii="宋体" w:eastAsia="宋体"/>
          <w:b/>
          <w:bCs/>
          <w:color w:val="auto"/>
          <w:sz w:val="22"/>
          <w:szCs w:val="22"/>
          <w:highlight w:val="none"/>
          <w:lang w:val="en-US" w:eastAsia="zh-CN"/>
        </w:rPr>
      </w:pPr>
      <w:r>
        <w:rPr>
          <w:rFonts w:hint="eastAsia" w:ascii="宋体" w:eastAsia="宋体"/>
          <w:b/>
          <w:bCs/>
          <w:color w:val="auto"/>
          <w:sz w:val="22"/>
          <w:highlight w:val="none"/>
          <w:lang w:val="en-US" w:eastAsia="zh-CN"/>
        </w:rPr>
        <w:t>示例，以下为代理公司查询截图</w:t>
      </w:r>
      <w:r>
        <w:rPr>
          <w:rFonts w:hint="eastAsia" w:ascii="宋体" w:eastAsia="宋体"/>
          <w:b/>
          <w:bCs/>
          <w:color w:val="auto"/>
          <w:sz w:val="22"/>
          <w:szCs w:val="22"/>
          <w:highlight w:val="none"/>
          <w:lang w:val="en-US" w:eastAsia="zh-CN"/>
        </w:rPr>
        <w:t>：</w:t>
      </w:r>
    </w:p>
    <w:p>
      <w:pPr>
        <w:rPr>
          <w:color w:val="auto"/>
          <w:highlight w:val="none"/>
        </w:rPr>
      </w:pPr>
      <w:r>
        <w:rPr>
          <w:color w:val="auto"/>
          <w:highlight w:val="none"/>
        </w:rPr>
        <w:drawing>
          <wp:inline distT="0" distB="0" distL="114300" distR="114300">
            <wp:extent cx="5394960" cy="3034665"/>
            <wp:effectExtent l="0" t="0" r="15240" b="133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1"/>
                    <a:stretch>
                      <a:fillRect/>
                    </a:stretch>
                  </pic:blipFill>
                  <pic:spPr>
                    <a:xfrm>
                      <a:off x="0" y="0"/>
                      <a:ext cx="5394960" cy="3034665"/>
                    </a:xfrm>
                    <a:prstGeom prst="rect">
                      <a:avLst/>
                    </a:prstGeom>
                    <a:noFill/>
                    <a:ln>
                      <a:noFill/>
                    </a:ln>
                  </pic:spPr>
                </pic:pic>
              </a:graphicData>
            </a:graphic>
          </wp:inline>
        </w:drawing>
      </w:r>
    </w:p>
    <w:p>
      <w:pPr>
        <w:rPr>
          <w:rFonts w:hint="eastAsia"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br w:type="page"/>
      </w:r>
    </w:p>
    <w:p>
      <w:pPr>
        <w:rPr>
          <w:rFonts w:hint="eastAsia"/>
          <w:color w:val="auto"/>
          <w:highlight w:val="none"/>
          <w:lang w:val="en-US" w:eastAsia="zh-CN"/>
        </w:rPr>
      </w:pPr>
    </w:p>
    <w:p>
      <w:pPr>
        <w:rPr>
          <w:rFonts w:hint="eastAsia"/>
          <w:color w:val="auto"/>
          <w:highlight w:val="none"/>
          <w:lang w:val="en-US" w:eastAsia="zh-CN"/>
        </w:rPr>
      </w:pP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四</w:t>
      </w:r>
    </w:p>
    <w:p>
      <w:pPr>
        <w:pStyle w:val="14"/>
        <w:spacing w:before="240" w:after="60"/>
        <w:jc w:val="center"/>
        <w:outlineLvl w:val="0"/>
        <w:rPr>
          <w:rFonts w:ascii="宋体" w:hAnsi="宋体" w:eastAsia="宋体" w:cs="宋体"/>
          <w:b/>
          <w:color w:val="auto"/>
          <w:kern w:val="0"/>
          <w:sz w:val="32"/>
          <w:szCs w:val="32"/>
          <w:highlight w:val="none"/>
          <w:lang w:val="zh-CN"/>
        </w:rPr>
      </w:pPr>
      <w:bookmarkStart w:id="108" w:name="_Toc68188419"/>
      <w:bookmarkStart w:id="109" w:name="_Toc65830022"/>
      <w:bookmarkStart w:id="110" w:name="_Toc61444213"/>
      <w:bookmarkStart w:id="111" w:name="_Toc65590094"/>
      <w:bookmarkStart w:id="112" w:name="_Toc22353"/>
      <w:bookmarkStart w:id="113" w:name="_Toc56004404"/>
      <w:r>
        <w:rPr>
          <w:rFonts w:hint="eastAsia" w:ascii="宋体" w:hAnsi="宋体" w:eastAsia="宋体" w:cs="宋体"/>
          <w:b/>
          <w:color w:val="auto"/>
          <w:kern w:val="0"/>
          <w:sz w:val="32"/>
          <w:szCs w:val="32"/>
          <w:highlight w:val="none"/>
          <w:lang w:val="zh-CN"/>
        </w:rPr>
        <w:t>与参加本次项目同一合同项下政府采购活动的其他供应商不存在单位负责人为同一人或者直接控股、管理关系的承诺函</w:t>
      </w:r>
      <w:bookmarkEnd w:id="108"/>
      <w:bookmarkEnd w:id="109"/>
      <w:bookmarkEnd w:id="110"/>
      <w:bookmarkEnd w:id="111"/>
      <w:bookmarkEnd w:id="112"/>
      <w:bookmarkEnd w:id="113"/>
    </w:p>
    <w:p>
      <w:pPr>
        <w:spacing w:line="460" w:lineRule="exact"/>
        <w:rPr>
          <w:rFonts w:ascii="宋体" w:eastAsia="宋体"/>
          <w:b w:val="0"/>
          <w:color w:val="auto"/>
          <w:sz w:val="22"/>
          <w:szCs w:val="22"/>
          <w:highlight w:val="none"/>
          <w:u w:val="single"/>
        </w:rPr>
      </w:pPr>
    </w:p>
    <w:p>
      <w:pPr>
        <w:spacing w:line="460" w:lineRule="exact"/>
        <w:jc w:val="left"/>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lang w:eastAsia="zh-CN"/>
        </w:rPr>
        <w:t>永嘉县文化和广电旅游体育局</w:t>
      </w:r>
      <w:r>
        <w:rPr>
          <w:rFonts w:hint="eastAsia" w:ascii="宋体" w:eastAsia="宋体"/>
          <w:bCs w:val="0"/>
          <w:color w:val="auto"/>
          <w:sz w:val="22"/>
          <w:szCs w:val="22"/>
          <w:highlight w:val="none"/>
          <w:u w:val="single"/>
        </w:rPr>
        <w:t>：</w:t>
      </w:r>
    </w:p>
    <w:p>
      <w:pPr>
        <w:spacing w:line="460" w:lineRule="exact"/>
        <w:jc w:val="left"/>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温州市中概工程管理咨询有限公司：</w:t>
      </w:r>
    </w:p>
    <w:p>
      <w:pPr>
        <w:widowControl/>
        <w:spacing w:line="460" w:lineRule="exact"/>
        <w:ind w:firstLine="440"/>
        <w:jc w:val="left"/>
        <w:rPr>
          <w:rFonts w:ascii="宋体" w:eastAsia="宋体"/>
          <w:b w:val="0"/>
          <w:color w:val="auto"/>
          <w:sz w:val="22"/>
          <w:szCs w:val="22"/>
          <w:highlight w:val="none"/>
        </w:rPr>
      </w:pPr>
      <w:r>
        <w:rPr>
          <w:rFonts w:hint="eastAsia" w:ascii="宋体" w:eastAsia="宋体"/>
          <w:b w:val="0"/>
          <w:color w:val="auto"/>
          <w:sz w:val="22"/>
          <w:szCs w:val="22"/>
          <w:highlight w:val="none"/>
        </w:rPr>
        <w:t>我方郑重承诺，我方此次参加本项目的投标，与参加本次项目同一合同项下政府采购活动的其他供应商不存在单位负责人为同一人或者直接控股、管理关系。如有虚假或隐瞒，愿意承担一切后果。</w:t>
      </w:r>
    </w:p>
    <w:p>
      <w:pPr>
        <w:pStyle w:val="20"/>
        <w:ind w:firstLine="210"/>
        <w:rPr>
          <w:rFonts w:ascii="宋体" w:hAnsi="宋体" w:eastAsia="宋体" w:cs="宋体"/>
          <w:color w:val="auto"/>
          <w:highlight w:val="none"/>
        </w:rPr>
      </w:pPr>
    </w:p>
    <w:p>
      <w:pPr>
        <w:widowControl/>
        <w:spacing w:line="460" w:lineRule="exact"/>
        <w:ind w:firstLine="440"/>
        <w:jc w:val="left"/>
        <w:rPr>
          <w:rFonts w:ascii="宋体" w:eastAsia="宋体"/>
          <w:b w:val="0"/>
          <w:color w:val="auto"/>
          <w:sz w:val="22"/>
          <w:szCs w:val="22"/>
          <w:highlight w:val="none"/>
        </w:rPr>
      </w:pPr>
      <w:r>
        <w:rPr>
          <w:rFonts w:hint="eastAsia" w:ascii="宋体" w:eastAsia="宋体"/>
          <w:b w:val="0"/>
          <w:color w:val="auto"/>
          <w:sz w:val="22"/>
          <w:szCs w:val="22"/>
          <w:highlight w:val="none"/>
        </w:rPr>
        <w:t>特此承诺！</w:t>
      </w:r>
    </w:p>
    <w:p>
      <w:pPr>
        <w:widowControl/>
        <w:spacing w:line="460" w:lineRule="exact"/>
        <w:ind w:firstLine="440"/>
        <w:jc w:val="left"/>
        <w:rPr>
          <w:rFonts w:ascii="宋体" w:eastAsia="宋体"/>
          <w:b w:val="0"/>
          <w:color w:val="auto"/>
          <w:sz w:val="22"/>
          <w:szCs w:val="22"/>
          <w:highlight w:val="none"/>
        </w:rPr>
      </w:pPr>
    </w:p>
    <w:p>
      <w:pPr>
        <w:widowControl/>
        <w:spacing w:line="460" w:lineRule="exact"/>
        <w:ind w:firstLine="440"/>
        <w:jc w:val="left"/>
        <w:rPr>
          <w:rFonts w:ascii="宋体" w:eastAsia="宋体"/>
          <w:b w:val="0"/>
          <w:color w:val="auto"/>
          <w:sz w:val="22"/>
          <w:szCs w:val="22"/>
          <w:highlight w:val="none"/>
        </w:rPr>
      </w:pPr>
      <w:r>
        <w:rPr>
          <w:rFonts w:hint="eastAsia" w:ascii="宋体" w:eastAsia="宋体"/>
          <w:b w:val="0"/>
          <w:color w:val="auto"/>
          <w:sz w:val="22"/>
          <w:szCs w:val="22"/>
          <w:highlight w:val="none"/>
        </w:rPr>
        <w:t>投标供应商（盖章） ：</w:t>
      </w:r>
    </w:p>
    <w:p>
      <w:pPr>
        <w:spacing w:line="460" w:lineRule="atLeast"/>
        <w:ind w:firstLine="440"/>
        <w:rPr>
          <w:rFonts w:ascii="宋体" w:eastAsia="宋体"/>
          <w:b w:val="0"/>
          <w:color w:val="auto"/>
          <w:sz w:val="36"/>
          <w:highlight w:val="none"/>
        </w:rPr>
      </w:pPr>
      <w:r>
        <w:rPr>
          <w:rFonts w:hint="eastAsia" w:ascii="宋体" w:eastAsia="宋体"/>
          <w:b w:val="0"/>
          <w:color w:val="auto"/>
          <w:sz w:val="22"/>
          <w:szCs w:val="22"/>
          <w:highlight w:val="none"/>
        </w:rPr>
        <w:t>日期：</w:t>
      </w:r>
    </w:p>
    <w:p>
      <w:pPr>
        <w:widowControl/>
        <w:snapToGrid w:val="0"/>
        <w:spacing w:line="460" w:lineRule="exact"/>
        <w:ind w:firstLine="442" w:firstLineChars="200"/>
        <w:jc w:val="left"/>
        <w:rPr>
          <w:rFonts w:ascii="宋体" w:eastAsia="宋体"/>
          <w:color w:val="auto"/>
          <w:sz w:val="22"/>
          <w:szCs w:val="22"/>
          <w:highlight w:val="none"/>
        </w:rPr>
      </w:pPr>
    </w:p>
    <w:p>
      <w:pPr>
        <w:widowControl/>
        <w:spacing w:line="460" w:lineRule="atLeast"/>
        <w:jc w:val="left"/>
        <w:rPr>
          <w:rFonts w:hint="eastAsia" w:ascii="宋体" w:eastAsia="宋体"/>
          <w:b w:val="0"/>
          <w:bCs w:val="0"/>
          <w:color w:val="auto"/>
          <w:sz w:val="22"/>
          <w:szCs w:val="22"/>
          <w:highlight w:val="none"/>
          <w:lang w:eastAsia="zh-CN"/>
        </w:rPr>
      </w:pPr>
      <w:bookmarkStart w:id="114" w:name="_Toc509485354"/>
      <w:r>
        <w:rPr>
          <w:rFonts w:hint="eastAsia" w:ascii="宋体" w:eastAsia="宋体"/>
          <w:color w:val="auto"/>
          <w:sz w:val="22"/>
          <w:szCs w:val="22"/>
          <w:highlight w:val="none"/>
        </w:rPr>
        <w:br w:type="page"/>
      </w:r>
      <w:r>
        <w:rPr>
          <w:rFonts w:hint="eastAsia" w:ascii="宋体" w:eastAsia="宋体"/>
          <w:color w:val="auto"/>
          <w:sz w:val="22"/>
          <w:szCs w:val="22"/>
          <w:highlight w:val="none"/>
        </w:rPr>
        <w:t>附件</w:t>
      </w:r>
      <w:bookmarkEnd w:id="114"/>
      <w:r>
        <w:rPr>
          <w:rFonts w:hint="eastAsia" w:ascii="宋体" w:eastAsia="宋体"/>
          <w:color w:val="auto"/>
          <w:sz w:val="22"/>
          <w:szCs w:val="22"/>
          <w:highlight w:val="none"/>
          <w:lang w:val="en-US" w:eastAsia="zh-CN"/>
        </w:rPr>
        <w:t>五</w:t>
      </w:r>
    </w:p>
    <w:p>
      <w:pPr>
        <w:pStyle w:val="8"/>
        <w:rPr>
          <w:rFonts w:ascii="宋体" w:hAnsi="宋体" w:cs="宋体"/>
          <w:color w:val="auto"/>
          <w:highlight w:val="none"/>
        </w:rPr>
      </w:pPr>
      <w:bookmarkStart w:id="115" w:name="_Toc68187558"/>
      <w:bookmarkStart w:id="116" w:name="_Toc87518415"/>
      <w:bookmarkStart w:id="117" w:name="_Toc87518592"/>
      <w:bookmarkStart w:id="118" w:name="_Toc96970928"/>
      <w:bookmarkStart w:id="119" w:name="_Toc15893"/>
      <w:bookmarkStart w:id="120" w:name="_Toc26971"/>
      <w:bookmarkStart w:id="121" w:name="_Toc97033070"/>
      <w:bookmarkStart w:id="122" w:name="_Toc68189108"/>
      <w:bookmarkStart w:id="123" w:name="_Toc68188794"/>
      <w:bookmarkStart w:id="124" w:name="_Toc42678693"/>
      <w:bookmarkStart w:id="125" w:name="_Toc65590095"/>
      <w:bookmarkStart w:id="126" w:name="_Toc42243285"/>
      <w:bookmarkStart w:id="127" w:name="_Toc14649"/>
      <w:r>
        <w:rPr>
          <w:rFonts w:hint="eastAsia" w:ascii="宋体" w:hAnsi="宋体" w:cs="宋体"/>
          <w:color w:val="auto"/>
          <w:highlight w:val="none"/>
        </w:rPr>
        <w:t>法定代表人授权书</w:t>
      </w:r>
      <w:bookmarkEnd w:id="115"/>
      <w:bookmarkEnd w:id="116"/>
      <w:bookmarkEnd w:id="117"/>
      <w:bookmarkEnd w:id="118"/>
      <w:bookmarkEnd w:id="119"/>
      <w:bookmarkEnd w:id="120"/>
      <w:bookmarkEnd w:id="121"/>
      <w:bookmarkEnd w:id="122"/>
      <w:bookmarkEnd w:id="123"/>
    </w:p>
    <w:p>
      <w:pPr>
        <w:spacing w:line="480" w:lineRule="auto"/>
        <w:rPr>
          <w:rFonts w:ascii="宋体" w:eastAsia="宋体"/>
          <w:b w:val="0"/>
          <w:bCs w:val="0"/>
          <w:color w:val="auto"/>
          <w:sz w:val="22"/>
          <w:szCs w:val="22"/>
          <w:highlight w:val="none"/>
        </w:rPr>
      </w:pPr>
      <w:r>
        <w:rPr>
          <w:rFonts w:hint="eastAsia" w:ascii="宋体" w:eastAsia="宋体"/>
          <w:b w:val="0"/>
          <w:bCs w:val="0"/>
          <w:color w:val="auto"/>
          <w:sz w:val="22"/>
          <w:szCs w:val="22"/>
          <w:highlight w:val="none"/>
          <w:u w:val="single"/>
        </w:rPr>
        <w:t>（采购人名称）</w:t>
      </w:r>
      <w:r>
        <w:rPr>
          <w:rFonts w:hint="eastAsia" w:ascii="宋体" w:eastAsia="宋体"/>
          <w:b w:val="0"/>
          <w:bCs w:val="0"/>
          <w:color w:val="auto"/>
          <w:sz w:val="22"/>
          <w:szCs w:val="22"/>
          <w:highlight w:val="none"/>
          <w:lang w:val="zh-CN"/>
        </w:rPr>
        <w:t>：</w:t>
      </w:r>
    </w:p>
    <w:p>
      <w:pPr>
        <w:spacing w:line="48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本授权委托书声明：我</w:t>
      </w:r>
      <w:r>
        <w:rPr>
          <w:rFonts w:hint="eastAsia" w:ascii="宋体" w:eastAsia="宋体"/>
          <w:b w:val="0"/>
          <w:bCs w:val="0"/>
          <w:color w:val="auto"/>
          <w:sz w:val="22"/>
          <w:szCs w:val="22"/>
          <w:highlight w:val="none"/>
          <w:u w:val="single"/>
        </w:rPr>
        <w:t xml:space="preserve">   （法定代表人姓名）   </w:t>
      </w:r>
      <w:r>
        <w:rPr>
          <w:rFonts w:hint="eastAsia" w:ascii="宋体" w:eastAsia="宋体"/>
          <w:b w:val="0"/>
          <w:bCs w:val="0"/>
          <w:color w:val="auto"/>
          <w:sz w:val="22"/>
          <w:szCs w:val="22"/>
          <w:highlight w:val="none"/>
        </w:rPr>
        <w:t>系</w:t>
      </w:r>
      <w:r>
        <w:rPr>
          <w:rFonts w:hint="eastAsia" w:ascii="宋体" w:eastAsia="宋体"/>
          <w:b w:val="0"/>
          <w:bCs w:val="0"/>
          <w:color w:val="auto"/>
          <w:sz w:val="22"/>
          <w:szCs w:val="22"/>
          <w:highlight w:val="none"/>
          <w:u w:val="single"/>
        </w:rPr>
        <w:t xml:space="preserve">   （供 应 商 名 称）  </w:t>
      </w:r>
      <w:r>
        <w:rPr>
          <w:rFonts w:hint="eastAsia" w:ascii="宋体" w:eastAsia="宋体"/>
          <w:b w:val="0"/>
          <w:bCs w:val="0"/>
          <w:color w:val="auto"/>
          <w:sz w:val="22"/>
          <w:szCs w:val="22"/>
          <w:highlight w:val="none"/>
        </w:rPr>
        <w:t>的法定代表人，现授权委托</w:t>
      </w:r>
      <w:r>
        <w:rPr>
          <w:rFonts w:hint="eastAsia" w:ascii="宋体" w:eastAsia="宋体"/>
          <w:b w:val="0"/>
          <w:bCs w:val="0"/>
          <w:color w:val="auto"/>
          <w:sz w:val="22"/>
          <w:szCs w:val="22"/>
          <w:highlight w:val="none"/>
          <w:u w:val="single"/>
        </w:rPr>
        <w:t xml:space="preserve">  （单 位 名 称）   </w:t>
      </w:r>
      <w:r>
        <w:rPr>
          <w:rFonts w:hint="eastAsia" w:ascii="宋体" w:eastAsia="宋体"/>
          <w:b w:val="0"/>
          <w:bCs w:val="0"/>
          <w:color w:val="auto"/>
          <w:sz w:val="22"/>
          <w:szCs w:val="22"/>
          <w:highlight w:val="none"/>
        </w:rPr>
        <w:t>的</w:t>
      </w:r>
      <w:r>
        <w:rPr>
          <w:rFonts w:hint="eastAsia" w:ascii="宋体" w:eastAsia="宋体"/>
          <w:b w:val="0"/>
          <w:bCs w:val="0"/>
          <w:color w:val="auto"/>
          <w:sz w:val="22"/>
          <w:szCs w:val="22"/>
          <w:highlight w:val="none"/>
          <w:u w:val="single"/>
        </w:rPr>
        <w:t xml:space="preserve">  （授权代表姓名）  </w:t>
      </w:r>
      <w:r>
        <w:rPr>
          <w:rFonts w:hint="eastAsia" w:ascii="宋体" w:eastAsia="宋体"/>
          <w:b w:val="0"/>
          <w:bCs w:val="0"/>
          <w:color w:val="auto"/>
          <w:sz w:val="22"/>
          <w:szCs w:val="22"/>
          <w:highlight w:val="none"/>
        </w:rPr>
        <w:t>为我公司法定代表人授权代表，参加贵处组织的</w:t>
      </w:r>
      <w:r>
        <w:rPr>
          <w:rFonts w:hint="eastAsia" w:ascii="宋体" w:eastAsia="宋体"/>
          <w:b w:val="0"/>
          <w:bCs w:val="0"/>
          <w:color w:val="auto"/>
          <w:sz w:val="22"/>
          <w:szCs w:val="22"/>
          <w:highlight w:val="none"/>
          <w:u w:val="single"/>
        </w:rPr>
        <w:t xml:space="preserve">  （招标项目名称，括号中填写项目编号）  </w:t>
      </w:r>
      <w:r>
        <w:rPr>
          <w:rFonts w:hint="eastAsia" w:ascii="宋体" w:eastAsia="宋体"/>
          <w:b w:val="0"/>
          <w:bCs w:val="0"/>
          <w:color w:val="auto"/>
          <w:sz w:val="22"/>
          <w:szCs w:val="22"/>
          <w:highlight w:val="none"/>
        </w:rPr>
        <w:t>项目投标，全权处理本次招投标活动中的一切事宜，我承认授权代表全权代表我所签署的本项目的响应文件的内容。</w:t>
      </w:r>
    </w:p>
    <w:p>
      <w:pPr>
        <w:spacing w:line="48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授权代表无转授权，特此授权</w:t>
      </w:r>
    </w:p>
    <w:p>
      <w:pPr>
        <w:spacing w:line="360" w:lineRule="auto"/>
        <w:ind w:left="1260"/>
        <w:rPr>
          <w:rFonts w:ascii="宋体" w:eastAsia="宋体"/>
          <w:b w:val="0"/>
          <w:bCs w:val="0"/>
          <w:color w:val="auto"/>
          <w:sz w:val="22"/>
          <w:szCs w:val="22"/>
          <w:highlight w:val="none"/>
        </w:rPr>
      </w:pPr>
    </w:p>
    <w:p>
      <w:pPr>
        <w:spacing w:line="480" w:lineRule="auto"/>
        <w:ind w:left="2100" w:leftChars="1000" w:firstLine="440" w:firstLineChars="200"/>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授权代表： 性别 ：</w:t>
      </w:r>
    </w:p>
    <w:p>
      <w:pPr>
        <w:spacing w:line="480" w:lineRule="auto"/>
        <w:ind w:left="2100" w:leftChars="1000" w:firstLine="440" w:firstLineChars="200"/>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职务：年龄：</w:t>
      </w:r>
    </w:p>
    <w:p>
      <w:pPr>
        <w:spacing w:line="480" w:lineRule="auto"/>
        <w:ind w:left="2100" w:leftChars="1000" w:firstLine="440" w:firstLineChars="200"/>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详细通讯地址： 邮政编码：</w:t>
      </w:r>
    </w:p>
    <w:p>
      <w:pPr>
        <w:spacing w:line="480" w:lineRule="auto"/>
        <w:ind w:left="1" w:firstLine="2510" w:firstLineChars="1141"/>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电话： 传真：</w:t>
      </w:r>
    </w:p>
    <w:p>
      <w:pPr>
        <w:spacing w:line="480" w:lineRule="auto"/>
        <w:ind w:left="1" w:firstLine="422" w:firstLineChars="192"/>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投标供应商：</w:t>
      </w:r>
      <w:r>
        <w:rPr>
          <w:rFonts w:hint="eastAsia" w:ascii="宋体" w:eastAsia="宋体"/>
          <w:b w:val="0"/>
          <w:bCs w:val="0"/>
          <w:color w:val="auto"/>
          <w:sz w:val="22"/>
          <w:szCs w:val="22"/>
          <w:highlight w:val="none"/>
          <w:u w:val="single"/>
        </w:rPr>
        <w:t xml:space="preserve">                                     （盖章）</w:t>
      </w:r>
    </w:p>
    <w:p>
      <w:pPr>
        <w:spacing w:line="480" w:lineRule="auto"/>
        <w:ind w:left="2100" w:right="440"/>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法定代表人：</w:t>
      </w:r>
      <w:r>
        <w:rPr>
          <w:rFonts w:hint="eastAsia" w:ascii="宋体" w:eastAsia="宋体"/>
          <w:b w:val="0"/>
          <w:bCs w:val="0"/>
          <w:color w:val="auto"/>
          <w:sz w:val="22"/>
          <w:szCs w:val="22"/>
          <w:highlight w:val="none"/>
          <w:u w:val="single"/>
        </w:rPr>
        <w:t xml:space="preserve">                        （签字或盖章）</w:t>
      </w:r>
    </w:p>
    <w:p>
      <w:pPr>
        <w:spacing w:line="480" w:lineRule="auto"/>
        <w:ind w:right="440" w:firstLine="3300" w:firstLineChars="1500"/>
        <w:jc w:val="righ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授权委托日期：年 月日</w:t>
      </w:r>
    </w:p>
    <w:tbl>
      <w:tblPr>
        <w:tblStyle w:val="43"/>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pPr>
              <w:pStyle w:val="26"/>
              <w:spacing w:line="440" w:lineRule="atLeast"/>
              <w:rPr>
                <w:rFonts w:hAnsi="宋体" w:eastAsia="宋体"/>
                <w:color w:val="auto"/>
                <w:sz w:val="36"/>
                <w:highlight w:val="none"/>
              </w:rPr>
            </w:pPr>
          </w:p>
          <w:p>
            <w:pPr>
              <w:pStyle w:val="26"/>
              <w:spacing w:line="440" w:lineRule="atLeast"/>
              <w:jc w:val="center"/>
              <w:rPr>
                <w:rFonts w:hAnsi="宋体" w:eastAsia="宋体"/>
                <w:color w:val="auto"/>
                <w:sz w:val="36"/>
                <w:highlight w:val="none"/>
              </w:rPr>
            </w:pPr>
          </w:p>
          <w:p>
            <w:pPr>
              <w:pStyle w:val="26"/>
              <w:spacing w:line="440" w:lineRule="atLeast"/>
              <w:jc w:val="center"/>
              <w:rPr>
                <w:rFonts w:hAnsi="宋体" w:eastAsia="宋体"/>
                <w:color w:val="auto"/>
                <w:sz w:val="36"/>
                <w:highlight w:val="none"/>
              </w:rPr>
            </w:pPr>
          </w:p>
          <w:p>
            <w:pPr>
              <w:pStyle w:val="26"/>
              <w:spacing w:line="440" w:lineRule="atLeast"/>
              <w:jc w:val="center"/>
              <w:rPr>
                <w:rFonts w:hAnsi="宋体" w:eastAsia="宋体"/>
                <w:color w:val="auto"/>
                <w:sz w:val="36"/>
                <w:highlight w:val="none"/>
              </w:rPr>
            </w:pPr>
          </w:p>
          <w:p>
            <w:pPr>
              <w:pStyle w:val="26"/>
              <w:spacing w:line="440" w:lineRule="atLeast"/>
              <w:jc w:val="center"/>
              <w:rPr>
                <w:rFonts w:hAnsi="宋体" w:eastAsia="宋体"/>
                <w:color w:val="auto"/>
                <w:sz w:val="36"/>
                <w:highlight w:val="none"/>
              </w:rPr>
            </w:pPr>
            <w:r>
              <w:rPr>
                <w:rFonts w:hint="eastAsia" w:hAnsi="宋体" w:eastAsia="宋体"/>
                <w:color w:val="auto"/>
                <w:sz w:val="36"/>
                <w:highlight w:val="none"/>
              </w:rPr>
              <w:t>（授权代表身份证扫描件或影印件）</w:t>
            </w:r>
          </w:p>
          <w:p>
            <w:pPr>
              <w:pStyle w:val="26"/>
              <w:spacing w:line="440" w:lineRule="atLeast"/>
              <w:ind w:left="5271" w:firstLine="1084" w:firstLineChars="300"/>
              <w:rPr>
                <w:rFonts w:hAnsi="宋体" w:eastAsia="宋体"/>
                <w:color w:val="auto"/>
                <w:sz w:val="36"/>
                <w:highlight w:val="none"/>
              </w:rPr>
            </w:pPr>
          </w:p>
        </w:tc>
      </w:tr>
    </w:tbl>
    <w:p>
      <w:pPr>
        <w:rPr>
          <w:rFonts w:ascii="宋体" w:eastAsia="宋体"/>
          <w:color w:val="auto"/>
          <w:highlight w:val="none"/>
        </w:rPr>
      </w:pPr>
    </w:p>
    <w:p>
      <w:pPr>
        <w:widowControl/>
        <w:spacing w:line="46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附件六</w:t>
      </w:r>
    </w:p>
    <w:p>
      <w:pPr>
        <w:pStyle w:val="8"/>
        <w:rPr>
          <w:rFonts w:hint="default" w:ascii="宋体" w:hAnsi="宋体" w:cs="宋体"/>
          <w:color w:val="auto"/>
          <w:highlight w:val="none"/>
          <w:lang w:val="en-US" w:eastAsia="zh-CN"/>
        </w:rPr>
      </w:pPr>
      <w:bookmarkStart w:id="128" w:name="_Toc31622"/>
      <w:bookmarkStart w:id="129" w:name="_Toc61276420"/>
      <w:r>
        <w:rPr>
          <w:rFonts w:hint="eastAsia" w:ascii="宋体" w:hAnsi="宋体" w:cs="宋体"/>
          <w:color w:val="auto"/>
          <w:highlight w:val="none"/>
          <w:lang w:val="en-US" w:eastAsia="zh-CN"/>
        </w:rPr>
        <w:t>中小企业证明材料（二选一）</w:t>
      </w:r>
    </w:p>
    <w:p>
      <w:pPr>
        <w:pStyle w:val="8"/>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中小企业声明函（工程、服务）</w:t>
      </w:r>
      <w:bookmarkEnd w:id="128"/>
      <w:bookmarkEnd w:id="129"/>
    </w:p>
    <w:p>
      <w:pPr>
        <w:widowControl/>
        <w:spacing w:before="100" w:beforeAutospacing="1" w:after="100" w:afterAutospacing="1" w:line="44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本公司（联合体）郑重声明，根据《政府采购促进中小企业发展管理办法》（财库﹝2020﹞46 号）的规定，本公司（联合体）参加</w:t>
      </w:r>
      <w:r>
        <w:rPr>
          <w:rFonts w:hint="eastAsia" w:ascii="宋体" w:eastAsia="宋体"/>
          <w:b w:val="0"/>
          <w:color w:val="auto"/>
          <w:sz w:val="22"/>
          <w:szCs w:val="22"/>
          <w:highlight w:val="none"/>
          <w:u w:val="single"/>
        </w:rPr>
        <w:t xml:space="preserve"> （单位名称）</w:t>
      </w:r>
      <w:r>
        <w:rPr>
          <w:rFonts w:hint="eastAsia" w:ascii="宋体" w:eastAsia="宋体"/>
          <w:b w:val="0"/>
          <w:color w:val="auto"/>
          <w:sz w:val="22"/>
          <w:szCs w:val="22"/>
          <w:highlight w:val="none"/>
        </w:rPr>
        <w:t xml:space="preserve"> 的 </w:t>
      </w:r>
      <w:r>
        <w:rPr>
          <w:rFonts w:hint="eastAsia" w:ascii="宋体" w:eastAsia="宋体"/>
          <w:b w:val="0"/>
          <w:color w:val="auto"/>
          <w:sz w:val="22"/>
          <w:szCs w:val="22"/>
          <w:highlight w:val="none"/>
          <w:u w:val="single"/>
        </w:rPr>
        <w:t>（项目名称）</w:t>
      </w:r>
      <w:r>
        <w:rPr>
          <w:rFonts w:hint="eastAsia" w:ascii="宋体" w:eastAsia="宋体"/>
          <w:b w:val="0"/>
          <w:color w:val="auto"/>
          <w:sz w:val="22"/>
          <w:szCs w:val="22"/>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 xml:space="preserve">1. </w:t>
      </w:r>
      <w:r>
        <w:rPr>
          <w:rFonts w:hint="eastAsia" w:ascii="宋体" w:eastAsia="宋体"/>
          <w:b w:val="0"/>
          <w:color w:val="auto"/>
          <w:sz w:val="22"/>
          <w:szCs w:val="22"/>
          <w:highlight w:val="none"/>
          <w:u w:val="single"/>
        </w:rPr>
        <w:t xml:space="preserve">（标的名称） </w:t>
      </w:r>
      <w:r>
        <w:rPr>
          <w:rFonts w:hint="eastAsia" w:ascii="宋体" w:eastAsia="宋体"/>
          <w:b w:val="0"/>
          <w:color w:val="auto"/>
          <w:sz w:val="22"/>
          <w:szCs w:val="22"/>
          <w:highlight w:val="none"/>
        </w:rPr>
        <w:t>，属于</w:t>
      </w:r>
      <w:r>
        <w:rPr>
          <w:rFonts w:hint="eastAsia" w:ascii="宋体" w:eastAsia="宋体"/>
          <w:b w:val="0"/>
          <w:color w:val="auto"/>
          <w:sz w:val="22"/>
          <w:szCs w:val="22"/>
          <w:highlight w:val="none"/>
          <w:u w:val="single"/>
        </w:rPr>
        <w:t>其他未列明行业</w:t>
      </w:r>
      <w:r>
        <w:rPr>
          <w:rFonts w:hint="eastAsia" w:ascii="宋体" w:eastAsia="宋体"/>
          <w:b w:val="0"/>
          <w:color w:val="auto"/>
          <w:sz w:val="22"/>
          <w:szCs w:val="22"/>
          <w:highlight w:val="none"/>
        </w:rPr>
        <w:t xml:space="preserve"> ；承建（承接）企业为 </w:t>
      </w:r>
      <w:r>
        <w:rPr>
          <w:rFonts w:hint="eastAsia" w:ascii="宋体" w:eastAsia="宋体"/>
          <w:b w:val="0"/>
          <w:color w:val="auto"/>
          <w:sz w:val="22"/>
          <w:szCs w:val="22"/>
          <w:highlight w:val="none"/>
          <w:u w:val="single"/>
        </w:rPr>
        <w:t xml:space="preserve">（企业名称） </w:t>
      </w:r>
      <w:r>
        <w:rPr>
          <w:rFonts w:hint="eastAsia" w:ascii="宋体" w:eastAsia="宋体"/>
          <w:b w:val="0"/>
          <w:color w:val="auto"/>
          <w:sz w:val="22"/>
          <w:szCs w:val="22"/>
          <w:highlight w:val="none"/>
        </w:rPr>
        <w:t>，从业人员</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人，营业收入为</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万元，资产总额为</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万元 ，属于</w:t>
      </w:r>
      <w:r>
        <w:rPr>
          <w:rFonts w:hint="eastAsia" w:ascii="宋体" w:eastAsia="宋体"/>
          <w:b w:val="0"/>
          <w:color w:val="auto"/>
          <w:sz w:val="22"/>
          <w:szCs w:val="22"/>
          <w:highlight w:val="none"/>
          <w:u w:val="single"/>
        </w:rPr>
        <w:t xml:space="preserve"> （中型企业、小型企业、微型企业） </w:t>
      </w:r>
      <w:r>
        <w:rPr>
          <w:rFonts w:hint="eastAsia" w:ascii="宋体" w:eastAsia="宋体"/>
          <w:b w:val="0"/>
          <w:color w:val="auto"/>
          <w:sz w:val="22"/>
          <w:szCs w:val="22"/>
          <w:highlight w:val="none"/>
        </w:rPr>
        <w:t>；</w:t>
      </w:r>
    </w:p>
    <w:p>
      <w:pPr>
        <w:widowControl/>
        <w:spacing w:before="100" w:beforeAutospacing="1" w:after="100" w:afterAutospacing="1" w:line="44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 xml:space="preserve">2. </w:t>
      </w:r>
      <w:r>
        <w:rPr>
          <w:rFonts w:hint="eastAsia" w:ascii="宋体" w:eastAsia="宋体"/>
          <w:b w:val="0"/>
          <w:color w:val="auto"/>
          <w:sz w:val="22"/>
          <w:szCs w:val="22"/>
          <w:highlight w:val="none"/>
          <w:u w:val="single"/>
        </w:rPr>
        <w:t>（标的名称）</w:t>
      </w:r>
      <w:r>
        <w:rPr>
          <w:rFonts w:hint="eastAsia" w:ascii="宋体" w:eastAsia="宋体"/>
          <w:b w:val="0"/>
          <w:color w:val="auto"/>
          <w:sz w:val="22"/>
          <w:szCs w:val="22"/>
          <w:highlight w:val="none"/>
        </w:rPr>
        <w:t xml:space="preserve"> ，属于</w:t>
      </w:r>
      <w:r>
        <w:rPr>
          <w:rFonts w:hint="eastAsia" w:ascii="宋体" w:eastAsia="宋体"/>
          <w:b w:val="0"/>
          <w:color w:val="auto"/>
          <w:sz w:val="22"/>
          <w:szCs w:val="22"/>
          <w:highlight w:val="none"/>
          <w:u w:val="single"/>
        </w:rPr>
        <w:t xml:space="preserve">其他未列明行业 </w:t>
      </w:r>
      <w:r>
        <w:rPr>
          <w:rFonts w:hint="eastAsia" w:ascii="宋体" w:eastAsia="宋体"/>
          <w:b w:val="0"/>
          <w:color w:val="auto"/>
          <w:sz w:val="22"/>
          <w:szCs w:val="22"/>
          <w:highlight w:val="none"/>
        </w:rPr>
        <w:t>；承建（承接）企业为</w:t>
      </w:r>
      <w:r>
        <w:rPr>
          <w:rFonts w:hint="eastAsia" w:ascii="宋体" w:eastAsia="宋体"/>
          <w:b w:val="0"/>
          <w:color w:val="auto"/>
          <w:sz w:val="22"/>
          <w:szCs w:val="22"/>
          <w:highlight w:val="none"/>
          <w:u w:val="single"/>
        </w:rPr>
        <w:t xml:space="preserve"> （企业名称）</w:t>
      </w:r>
      <w:r>
        <w:rPr>
          <w:rFonts w:hint="eastAsia" w:ascii="宋体" w:eastAsia="宋体"/>
          <w:b w:val="0"/>
          <w:color w:val="auto"/>
          <w:sz w:val="22"/>
          <w:szCs w:val="22"/>
          <w:highlight w:val="none"/>
        </w:rPr>
        <w:t xml:space="preserve"> ，从业人员</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人，营业收入为</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万元，资产总额为</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 xml:space="preserve">万元，属于 </w:t>
      </w:r>
      <w:r>
        <w:rPr>
          <w:rFonts w:hint="eastAsia" w:ascii="宋体" w:eastAsia="宋体"/>
          <w:b w:val="0"/>
          <w:color w:val="auto"/>
          <w:sz w:val="22"/>
          <w:szCs w:val="22"/>
          <w:highlight w:val="none"/>
          <w:u w:val="single"/>
        </w:rPr>
        <w:t>（中型企业、小型企业、微型企业）</w:t>
      </w:r>
      <w:r>
        <w:rPr>
          <w:rFonts w:hint="eastAsia" w:ascii="宋体" w:eastAsia="宋体"/>
          <w:b w:val="0"/>
          <w:color w:val="auto"/>
          <w:sz w:val="22"/>
          <w:szCs w:val="22"/>
          <w:highlight w:val="none"/>
        </w:rPr>
        <w:t xml:space="preserve"> ；</w:t>
      </w:r>
    </w:p>
    <w:p>
      <w:pPr>
        <w:widowControl/>
        <w:spacing w:before="100" w:beforeAutospacing="1" w:after="100" w:afterAutospacing="1" w:line="44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w:t>
      </w:r>
    </w:p>
    <w:p>
      <w:pPr>
        <w:widowControl/>
        <w:spacing w:before="100" w:beforeAutospacing="1" w:after="100" w:afterAutospacing="1" w:line="44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企业名称（盖章）：</w:t>
      </w:r>
    </w:p>
    <w:p>
      <w:pPr>
        <w:widowControl/>
        <w:spacing w:before="100" w:beforeAutospacing="1" w:after="100" w:afterAutospacing="1" w:line="440" w:lineRule="atLeast"/>
        <w:ind w:firstLine="440" w:firstLineChars="200"/>
        <w:jc w:val="left"/>
        <w:rPr>
          <w:rFonts w:ascii="宋体" w:eastAsia="宋体"/>
          <w:b w:val="0"/>
          <w:bCs w:val="0"/>
          <w:color w:val="auto"/>
          <w:sz w:val="22"/>
          <w:szCs w:val="22"/>
          <w:highlight w:val="none"/>
        </w:rPr>
      </w:pPr>
      <w:r>
        <w:rPr>
          <w:rFonts w:hint="eastAsia" w:ascii="宋体" w:eastAsia="宋体"/>
          <w:b w:val="0"/>
          <w:color w:val="auto"/>
          <w:sz w:val="22"/>
          <w:szCs w:val="22"/>
          <w:highlight w:val="none"/>
        </w:rPr>
        <w:t>日 期：            　　　　　</w:t>
      </w:r>
    </w:p>
    <w:p>
      <w:pPr>
        <w:spacing w:line="440" w:lineRule="atLeast"/>
        <w:rPr>
          <w:rFonts w:ascii="宋体" w:eastAsia="宋体"/>
          <w:b w:val="0"/>
          <w:bCs w:val="0"/>
          <w:color w:val="auto"/>
          <w:sz w:val="22"/>
          <w:szCs w:val="22"/>
          <w:highlight w:val="none"/>
        </w:rPr>
      </w:pPr>
    </w:p>
    <w:p>
      <w:pPr>
        <w:widowControl/>
        <w:spacing w:before="100" w:beforeAutospacing="1" w:after="100" w:afterAutospacing="1" w:line="440" w:lineRule="atLeast"/>
        <w:jc w:val="left"/>
        <w:rPr>
          <w:rFonts w:ascii="宋体" w:eastAsia="宋体"/>
          <w:b w:val="0"/>
          <w:bCs w:val="0"/>
          <w:color w:val="auto"/>
          <w:sz w:val="22"/>
          <w:szCs w:val="22"/>
          <w:highlight w:val="none"/>
        </w:rPr>
      </w:pPr>
      <w:r>
        <w:rPr>
          <w:rFonts w:hint="eastAsia" w:ascii="宋体" w:eastAsia="宋体"/>
          <w:b w:val="0"/>
          <w:color w:val="auto"/>
          <w:sz w:val="22"/>
          <w:szCs w:val="22"/>
          <w:highlight w:val="none"/>
        </w:rPr>
        <w:t>注：1 从业人员、营业收入、资产总额填报上一年度数据，无上一年度数据的新成立企业可不填报。</w:t>
      </w:r>
    </w:p>
    <w:p>
      <w:pPr>
        <w:widowControl/>
        <w:jc w:val="left"/>
        <w:rPr>
          <w:rFonts w:ascii="宋体" w:eastAsia="宋体"/>
          <w:b w:val="0"/>
          <w:color w:val="auto"/>
          <w:sz w:val="24"/>
          <w:szCs w:val="24"/>
          <w:highlight w:val="none"/>
        </w:rPr>
      </w:pPr>
      <w:r>
        <w:rPr>
          <w:rFonts w:hint="eastAsia" w:ascii="宋体" w:eastAsia="宋体"/>
          <w:b w:val="0"/>
          <w:color w:val="auto"/>
          <w:sz w:val="24"/>
          <w:szCs w:val="24"/>
          <w:highlight w:val="none"/>
        </w:rPr>
        <w:br w:type="page"/>
      </w:r>
    </w:p>
    <w:p>
      <w:pPr>
        <w:pStyle w:val="8"/>
        <w:rPr>
          <w:rFonts w:ascii="宋体" w:hAnsi="宋体" w:cs="宋体"/>
          <w:color w:val="auto"/>
          <w:highlight w:val="none"/>
        </w:rPr>
      </w:pPr>
      <w:bookmarkStart w:id="130" w:name="_Toc518153320"/>
      <w:bookmarkStart w:id="131" w:name="_Toc27047"/>
      <w:bookmarkStart w:id="132" w:name="_Toc61276421"/>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残疾人福利性单位声明函</w:t>
      </w:r>
      <w:bookmarkEnd w:id="130"/>
      <w:bookmarkEnd w:id="131"/>
      <w:bookmarkEnd w:id="132"/>
    </w:p>
    <w:p>
      <w:pPr>
        <w:spacing w:line="500" w:lineRule="exact"/>
        <w:ind w:firstLine="440" w:firstLineChars="200"/>
        <w:rPr>
          <w:rFonts w:ascii="宋体" w:eastAsia="宋体"/>
          <w:color w:val="auto"/>
          <w:spacing w:val="6"/>
          <w:sz w:val="22"/>
          <w:szCs w:val="22"/>
          <w:highlight w:val="none"/>
        </w:rPr>
      </w:pPr>
      <w:r>
        <w:rPr>
          <w:rFonts w:hint="eastAsia" w:ascii="宋体" w:eastAsia="宋体"/>
          <w:b w:val="0"/>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highlight w:val="none"/>
        </w:rPr>
        <w:t>______单位的______</w:t>
      </w:r>
      <w:r>
        <w:rPr>
          <w:rFonts w:hint="eastAsia" w:ascii="宋体" w:eastAsia="宋体"/>
          <w:b w:val="0"/>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本单位对上述声明的真实性负责。如有虚假，将依法承担相应责任。</w:t>
      </w:r>
    </w:p>
    <w:p>
      <w:pPr>
        <w:spacing w:line="500" w:lineRule="exact"/>
        <w:ind w:firstLine="466" w:firstLineChars="200"/>
        <w:rPr>
          <w:rFonts w:ascii="宋体" w:eastAsia="宋体"/>
          <w:color w:val="auto"/>
          <w:spacing w:val="6"/>
          <w:sz w:val="22"/>
          <w:szCs w:val="22"/>
          <w:highlight w:val="none"/>
        </w:rPr>
      </w:pPr>
    </w:p>
    <w:p>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单位名称（盖章）：</w:t>
      </w:r>
    </w:p>
    <w:p>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日  期：</w:t>
      </w:r>
    </w:p>
    <w:p>
      <w:pPr>
        <w:spacing w:line="500" w:lineRule="exact"/>
        <w:rPr>
          <w:rFonts w:ascii="宋体" w:eastAsia="宋体"/>
          <w:b w:val="0"/>
          <w:color w:val="auto"/>
          <w:sz w:val="22"/>
          <w:szCs w:val="22"/>
          <w:highlight w:val="none"/>
        </w:rPr>
      </w:pPr>
      <w:r>
        <w:rPr>
          <w:rFonts w:hint="eastAsia" w:ascii="宋体" w:eastAsia="宋体"/>
          <w:b w:val="0"/>
          <w:color w:val="auto"/>
          <w:sz w:val="22"/>
          <w:szCs w:val="22"/>
          <w:highlight w:val="none"/>
        </w:rPr>
        <w:t>备注说明：</w:t>
      </w:r>
    </w:p>
    <w:p>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1、如中标，将在中标公示中将此残疾人福利性单位声明函予以公示，接受社会监督；</w:t>
      </w:r>
    </w:p>
    <w:p>
      <w:pPr>
        <w:spacing w:line="500" w:lineRule="exact"/>
        <w:ind w:firstLine="440" w:firstLineChars="200"/>
        <w:rPr>
          <w:rFonts w:hint="eastAsia" w:ascii="宋体" w:hAnsi="宋体" w:cs="宋体"/>
          <w:color w:val="auto"/>
          <w:highlight w:val="none"/>
        </w:rPr>
      </w:pPr>
      <w:r>
        <w:rPr>
          <w:rFonts w:hint="eastAsia" w:ascii="宋体" w:eastAsia="宋体"/>
          <w:b w:val="0"/>
          <w:color w:val="auto"/>
          <w:sz w:val="22"/>
          <w:szCs w:val="22"/>
          <w:highlight w:val="none"/>
        </w:rPr>
        <w:t>2、供应商提供的《残疾人福利性单位声明函》与事实不符的，依照《政府采购法》第七十七条第一款的规定追究法律责任。</w:t>
      </w:r>
      <w:r>
        <w:rPr>
          <w:rFonts w:hint="eastAsia" w:ascii="宋体" w:hAnsi="宋体" w:cs="宋体"/>
          <w:color w:val="auto"/>
          <w:highlight w:val="none"/>
        </w:rPr>
        <w:br w:type="page"/>
      </w:r>
    </w:p>
    <w:p>
      <w:pPr>
        <w:pStyle w:val="8"/>
        <w:rPr>
          <w:rFonts w:ascii="宋体" w:hAnsi="宋体" w:cs="宋体"/>
          <w:color w:val="auto"/>
          <w:highlight w:val="none"/>
        </w:rPr>
      </w:pPr>
      <w:r>
        <w:rPr>
          <w:rFonts w:hint="eastAsia" w:ascii="宋体" w:hAnsi="宋体" w:cs="宋体"/>
          <w:color w:val="auto"/>
          <w:highlight w:val="none"/>
        </w:rPr>
        <w:t>二、报价文件部分格式</w:t>
      </w:r>
      <w:bookmarkEnd w:id="124"/>
      <w:bookmarkEnd w:id="125"/>
      <w:bookmarkEnd w:id="126"/>
      <w:bookmarkEnd w:id="127"/>
    </w:p>
    <w:p>
      <w:pPr>
        <w:widowControl/>
        <w:spacing w:line="460" w:lineRule="atLeast"/>
        <w:jc w:val="left"/>
        <w:rPr>
          <w:rFonts w:hint="eastAsia" w:ascii="宋体" w:eastAsia="宋体"/>
          <w:b w:val="0"/>
          <w:bCs w:val="0"/>
          <w:color w:val="auto"/>
          <w:sz w:val="22"/>
          <w:szCs w:val="22"/>
          <w:highlight w:val="none"/>
          <w:lang w:eastAsia="zh-CN"/>
        </w:rPr>
      </w:pPr>
      <w:bookmarkStart w:id="133" w:name="_Toc413747701"/>
      <w:r>
        <w:rPr>
          <w:rFonts w:hint="eastAsia" w:ascii="宋体" w:eastAsia="宋体"/>
          <w:color w:val="auto"/>
          <w:sz w:val="22"/>
          <w:szCs w:val="22"/>
          <w:highlight w:val="none"/>
        </w:rPr>
        <w:t>附件</w:t>
      </w:r>
      <w:bookmarkEnd w:id="133"/>
      <w:r>
        <w:rPr>
          <w:rFonts w:hint="eastAsia" w:ascii="宋体" w:eastAsia="宋体"/>
          <w:color w:val="auto"/>
          <w:sz w:val="22"/>
          <w:szCs w:val="22"/>
          <w:highlight w:val="none"/>
          <w:lang w:val="en-US" w:eastAsia="zh-CN"/>
        </w:rPr>
        <w:t>七</w:t>
      </w:r>
    </w:p>
    <w:p>
      <w:pPr>
        <w:pStyle w:val="8"/>
        <w:rPr>
          <w:rFonts w:ascii="宋体" w:hAnsi="宋体" w:cs="宋体"/>
          <w:color w:val="auto"/>
          <w:highlight w:val="none"/>
        </w:rPr>
      </w:pPr>
      <w:bookmarkStart w:id="134" w:name="_Toc68188421"/>
      <w:bookmarkStart w:id="135" w:name="_Toc42678615"/>
      <w:bookmarkStart w:id="136" w:name="_Toc42678028"/>
      <w:bookmarkStart w:id="137" w:name="_Toc65590096"/>
      <w:bookmarkStart w:id="138" w:name="_Toc5242"/>
      <w:bookmarkStart w:id="139" w:name="_Toc9334945"/>
      <w:bookmarkStart w:id="140" w:name="_Toc522469114"/>
      <w:bookmarkStart w:id="141" w:name="_Toc496618930"/>
      <w:bookmarkStart w:id="142" w:name="_Toc61444215"/>
      <w:bookmarkStart w:id="143" w:name="_Toc42243286"/>
      <w:bookmarkStart w:id="144" w:name="_Toc518512529"/>
      <w:bookmarkStart w:id="145" w:name="_Toc42678183"/>
      <w:bookmarkStart w:id="146" w:name="_Toc42678694"/>
      <w:bookmarkStart w:id="147" w:name="_Toc511045476"/>
      <w:bookmarkStart w:id="148" w:name="_Toc65830024"/>
      <w:bookmarkStart w:id="149" w:name="_Toc19204519"/>
      <w:r>
        <w:rPr>
          <w:rFonts w:hint="eastAsia" w:ascii="宋体" w:hAnsi="宋体" w:cs="宋体"/>
          <w:color w:val="auto"/>
          <w:highlight w:val="none"/>
        </w:rPr>
        <w:t>报价一览表</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autoSpaceDE w:val="0"/>
        <w:autoSpaceDN w:val="0"/>
        <w:adjustRightInd w:val="0"/>
        <w:rPr>
          <w:rFonts w:ascii="宋体" w:eastAsia="宋体"/>
          <w:color w:val="auto"/>
          <w:sz w:val="22"/>
          <w:szCs w:val="22"/>
          <w:highlight w:val="none"/>
          <w:lang w:val="zh-CN"/>
        </w:rPr>
      </w:pPr>
      <w:r>
        <w:rPr>
          <w:rFonts w:hint="eastAsia" w:ascii="宋体" w:eastAsia="宋体"/>
          <w:color w:val="auto"/>
          <w:sz w:val="22"/>
          <w:szCs w:val="22"/>
          <w:highlight w:val="none"/>
          <w:lang w:val="zh-CN"/>
        </w:rPr>
        <w:t>投标供应商名称：</w:t>
      </w:r>
      <w:r>
        <w:rPr>
          <w:rFonts w:hint="eastAsia" w:ascii="宋体" w:eastAsia="宋体"/>
          <w:color w:val="auto"/>
          <w:sz w:val="22"/>
          <w:szCs w:val="22"/>
          <w:highlight w:val="none"/>
          <w:u w:val="single"/>
          <w:lang w:val="zh-CN"/>
        </w:rPr>
        <w:t xml:space="preserve">             </w:t>
      </w:r>
      <w:r>
        <w:rPr>
          <w:rFonts w:hint="eastAsia" w:ascii="宋体" w:eastAsia="宋体"/>
          <w:color w:val="auto"/>
          <w:sz w:val="22"/>
          <w:szCs w:val="22"/>
          <w:highlight w:val="none"/>
          <w:lang w:val="zh-CN"/>
        </w:rPr>
        <w:t xml:space="preserve">     采购编号：</w:t>
      </w:r>
      <w:r>
        <w:rPr>
          <w:rFonts w:hint="eastAsia" w:ascii="宋体" w:eastAsia="宋体"/>
          <w:color w:val="auto"/>
          <w:sz w:val="22"/>
          <w:szCs w:val="22"/>
          <w:highlight w:val="none"/>
          <w:u w:val="single"/>
          <w:lang w:val="zh-CN"/>
        </w:rPr>
        <w:t xml:space="preserve">         </w:t>
      </w:r>
      <w:r>
        <w:rPr>
          <w:rFonts w:hint="eastAsia" w:ascii="宋体" w:eastAsia="宋体"/>
          <w:color w:val="auto"/>
          <w:sz w:val="22"/>
          <w:szCs w:val="22"/>
          <w:highlight w:val="none"/>
          <w:lang w:val="zh-CN"/>
        </w:rPr>
        <w:t xml:space="preserve">    报价单位：</w:t>
      </w:r>
      <w:r>
        <w:rPr>
          <w:rFonts w:hint="eastAsia" w:ascii="宋体" w:eastAsia="宋体"/>
          <w:color w:val="auto"/>
          <w:sz w:val="22"/>
          <w:szCs w:val="22"/>
          <w:highlight w:val="none"/>
          <w:u w:val="single"/>
          <w:lang w:val="zh-CN"/>
        </w:rPr>
        <w:t>人民币元</w:t>
      </w:r>
    </w:p>
    <w:tbl>
      <w:tblPr>
        <w:tblStyle w:val="43"/>
        <w:tblW w:w="9303" w:type="dxa"/>
        <w:tblInd w:w="-32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10"/>
        <w:gridCol w:w="3903"/>
        <w:gridCol w:w="1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0" w:hRule="atLeast"/>
        </w:trPr>
        <w:tc>
          <w:tcPr>
            <w:tcW w:w="3510" w:type="dxa"/>
            <w:tcBorders>
              <w:right w:val="single" w:color="auto" w:sz="4" w:space="0"/>
            </w:tcBorders>
            <w:vAlign w:val="center"/>
          </w:tcPr>
          <w:p>
            <w:pPr>
              <w:pStyle w:val="26"/>
              <w:jc w:val="center"/>
              <w:rPr>
                <w:rFonts w:hAnsi="宋体" w:eastAsia="宋体"/>
                <w:color w:val="auto"/>
                <w:sz w:val="22"/>
                <w:highlight w:val="none"/>
              </w:rPr>
            </w:pPr>
            <w:r>
              <w:rPr>
                <w:rFonts w:hint="eastAsia" w:hAnsi="宋体" w:eastAsia="宋体"/>
                <w:color w:val="auto"/>
                <w:sz w:val="22"/>
                <w:szCs w:val="22"/>
                <w:highlight w:val="none"/>
              </w:rPr>
              <w:t>项目名称</w:t>
            </w:r>
          </w:p>
        </w:tc>
        <w:tc>
          <w:tcPr>
            <w:tcW w:w="3903" w:type="dxa"/>
            <w:tcBorders>
              <w:left w:val="single" w:color="auto" w:sz="4" w:space="0"/>
              <w:right w:val="single" w:color="auto" w:sz="4" w:space="0"/>
            </w:tcBorders>
            <w:vAlign w:val="center"/>
          </w:tcPr>
          <w:p>
            <w:pPr>
              <w:pStyle w:val="26"/>
              <w:jc w:val="center"/>
              <w:rPr>
                <w:rFonts w:hint="default" w:hAnsi="宋体" w:eastAsia="宋体"/>
                <w:color w:val="auto"/>
                <w:sz w:val="22"/>
                <w:highlight w:val="none"/>
                <w:lang w:val="en-US" w:eastAsia="zh-CN"/>
              </w:rPr>
            </w:pPr>
            <w:r>
              <w:rPr>
                <w:rFonts w:hint="eastAsia" w:hAnsi="宋体" w:eastAsia="宋体"/>
                <w:color w:val="auto"/>
                <w:sz w:val="22"/>
                <w:szCs w:val="22"/>
                <w:highlight w:val="none"/>
              </w:rPr>
              <w:t>投标</w:t>
            </w:r>
            <w:r>
              <w:rPr>
                <w:rFonts w:hint="eastAsia" w:hAnsi="宋体" w:eastAsia="宋体"/>
                <w:color w:val="auto"/>
                <w:sz w:val="22"/>
                <w:szCs w:val="22"/>
                <w:highlight w:val="none"/>
                <w:lang w:val="en-US" w:eastAsia="zh-CN"/>
              </w:rPr>
              <w:t>单价（元/场）</w:t>
            </w:r>
          </w:p>
        </w:tc>
        <w:tc>
          <w:tcPr>
            <w:tcW w:w="1890" w:type="dxa"/>
            <w:tcBorders>
              <w:left w:val="single" w:color="auto" w:sz="4" w:space="0"/>
            </w:tcBorders>
            <w:vAlign w:val="center"/>
          </w:tcPr>
          <w:p>
            <w:pPr>
              <w:pStyle w:val="26"/>
              <w:jc w:val="center"/>
              <w:rPr>
                <w:rFonts w:hAnsi="宋体" w:eastAsia="宋体"/>
                <w:color w:val="auto"/>
                <w:sz w:val="22"/>
                <w:highlight w:val="none"/>
              </w:rPr>
            </w:pPr>
            <w:r>
              <w:rPr>
                <w:rFonts w:hint="eastAsia" w:hAnsi="宋体" w:eastAsia="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91" w:hRule="atLeast"/>
        </w:trPr>
        <w:tc>
          <w:tcPr>
            <w:tcW w:w="3510" w:type="dxa"/>
            <w:tcBorders>
              <w:right w:val="single" w:color="auto" w:sz="4" w:space="0"/>
            </w:tcBorders>
            <w:vAlign w:val="center"/>
          </w:tcPr>
          <w:p>
            <w:pPr>
              <w:pStyle w:val="26"/>
              <w:jc w:val="center"/>
              <w:rPr>
                <w:rFonts w:hAnsi="宋体" w:eastAsia="宋体"/>
                <w:color w:val="auto"/>
                <w:sz w:val="22"/>
                <w:highlight w:val="none"/>
              </w:rPr>
            </w:pPr>
            <w:r>
              <w:rPr>
                <w:rFonts w:hint="eastAsia" w:hAnsi="宋体" w:eastAsia="宋体"/>
                <w:color w:val="auto"/>
                <w:sz w:val="22"/>
                <w:highlight w:val="none"/>
                <w:lang w:eastAsia="zh-CN"/>
              </w:rPr>
              <w:t>2024年永嘉县送戏下乡公益演出</w:t>
            </w:r>
            <w:r>
              <w:rPr>
                <w:rFonts w:hint="eastAsia" w:hAnsi="宋体" w:eastAsia="宋体"/>
                <w:color w:val="auto"/>
                <w:sz w:val="22"/>
                <w:highlight w:val="none"/>
              </w:rPr>
              <w:t>项目</w:t>
            </w:r>
          </w:p>
        </w:tc>
        <w:tc>
          <w:tcPr>
            <w:tcW w:w="3903" w:type="dxa"/>
            <w:tcBorders>
              <w:left w:val="single" w:color="auto" w:sz="4" w:space="0"/>
              <w:right w:val="single" w:color="auto" w:sz="4" w:space="0"/>
            </w:tcBorders>
            <w:vAlign w:val="center"/>
          </w:tcPr>
          <w:p>
            <w:pPr>
              <w:pStyle w:val="26"/>
              <w:spacing w:line="460" w:lineRule="atLeast"/>
              <w:rPr>
                <w:rFonts w:hAnsi="宋体" w:eastAsia="宋体"/>
                <w:b w:val="0"/>
                <w:color w:val="auto"/>
                <w:sz w:val="22"/>
                <w:highlight w:val="none"/>
              </w:rPr>
            </w:pPr>
          </w:p>
        </w:tc>
        <w:tc>
          <w:tcPr>
            <w:tcW w:w="1890" w:type="dxa"/>
            <w:tcBorders>
              <w:left w:val="single" w:color="auto" w:sz="4" w:space="0"/>
            </w:tcBorders>
            <w:vAlign w:val="center"/>
          </w:tcPr>
          <w:p>
            <w:pPr>
              <w:widowControl/>
              <w:jc w:val="center"/>
              <w:rPr>
                <w:rFonts w:ascii="宋体" w:eastAsia="宋体"/>
                <w:b w:val="0"/>
                <w:color w:val="auto"/>
                <w:sz w:val="22"/>
                <w:highlight w:val="none"/>
              </w:rPr>
            </w:pPr>
          </w:p>
        </w:tc>
      </w:tr>
    </w:tbl>
    <w:p>
      <w:pPr>
        <w:pStyle w:val="26"/>
        <w:spacing w:line="460" w:lineRule="atLeast"/>
        <w:rPr>
          <w:rFonts w:hAnsi="宋体" w:eastAsia="宋体"/>
          <w:color w:val="auto"/>
          <w:sz w:val="22"/>
          <w:szCs w:val="22"/>
          <w:highlight w:val="none"/>
        </w:rPr>
      </w:pPr>
      <w:r>
        <w:rPr>
          <w:rFonts w:hint="eastAsia" w:hAnsi="宋体" w:eastAsia="宋体"/>
          <w:color w:val="auto"/>
          <w:sz w:val="22"/>
          <w:szCs w:val="22"/>
          <w:highlight w:val="none"/>
        </w:rPr>
        <w:t>1、开标一览表中投标报价为符合竞争性磋商文件要求的</w:t>
      </w:r>
      <w:r>
        <w:rPr>
          <w:rFonts w:hint="eastAsia" w:hAnsi="宋体" w:eastAsia="宋体"/>
          <w:color w:val="auto"/>
          <w:sz w:val="22"/>
          <w:szCs w:val="22"/>
          <w:highlight w:val="none"/>
          <w:lang w:val="en-US" w:eastAsia="zh-CN"/>
        </w:rPr>
        <w:t>单场</w:t>
      </w:r>
      <w:r>
        <w:rPr>
          <w:rFonts w:hint="eastAsia" w:hAnsi="宋体" w:eastAsia="宋体"/>
          <w:color w:val="auto"/>
          <w:sz w:val="22"/>
          <w:szCs w:val="22"/>
          <w:highlight w:val="none"/>
        </w:rPr>
        <w:t>报价。</w:t>
      </w:r>
    </w:p>
    <w:p>
      <w:pPr>
        <w:pStyle w:val="26"/>
        <w:spacing w:line="460" w:lineRule="atLeast"/>
        <w:rPr>
          <w:rFonts w:hAnsi="宋体" w:eastAsia="宋体"/>
          <w:b w:val="0"/>
          <w:color w:val="auto"/>
          <w:sz w:val="22"/>
          <w:szCs w:val="22"/>
          <w:highlight w:val="none"/>
          <w:u w:val="single"/>
        </w:rPr>
      </w:pPr>
      <w:r>
        <w:rPr>
          <w:rFonts w:hint="eastAsia" w:hAnsi="宋体" w:eastAsia="宋体"/>
          <w:color w:val="auto"/>
          <w:sz w:val="22"/>
          <w:szCs w:val="22"/>
          <w:highlight w:val="none"/>
        </w:rPr>
        <w:t>2、▲</w:t>
      </w:r>
      <w:r>
        <w:rPr>
          <w:rFonts w:hint="eastAsia" w:hAnsi="宋体" w:eastAsia="宋体"/>
          <w:color w:val="auto"/>
          <w:sz w:val="22"/>
          <w:szCs w:val="22"/>
          <w:highlight w:val="none"/>
          <w:u w:val="single"/>
        </w:rPr>
        <w:t>不提供此表格的将视为没有实质性响应竞争性磋商文件。</w:t>
      </w:r>
    </w:p>
    <w:p>
      <w:pPr>
        <w:autoSpaceDE w:val="0"/>
        <w:autoSpaceDN w:val="0"/>
        <w:adjustRightInd w:val="0"/>
        <w:spacing w:line="500" w:lineRule="atLeast"/>
        <w:rPr>
          <w:rFonts w:ascii="宋体" w:eastAsia="宋体"/>
          <w:color w:val="auto"/>
          <w:sz w:val="30"/>
          <w:szCs w:val="30"/>
          <w:highlight w:val="none"/>
        </w:rPr>
      </w:pPr>
    </w:p>
    <w:p>
      <w:pPr>
        <w:spacing w:line="360" w:lineRule="auto"/>
        <w:ind w:left="359" w:leftChars="171"/>
        <w:rPr>
          <w:rFonts w:ascii="宋体" w:eastAsia="宋体"/>
          <w:b w:val="0"/>
          <w:color w:val="auto"/>
          <w:sz w:val="22"/>
          <w:szCs w:val="22"/>
          <w:highlight w:val="none"/>
        </w:rPr>
      </w:pPr>
      <w:r>
        <w:rPr>
          <w:rFonts w:hint="eastAsia" w:ascii="宋体" w:eastAsia="宋体"/>
          <w:b w:val="0"/>
          <w:color w:val="auto"/>
          <w:sz w:val="22"/>
          <w:szCs w:val="22"/>
          <w:highlight w:val="none"/>
        </w:rPr>
        <w:t>投标供应商全称（盖章）：</w:t>
      </w:r>
    </w:p>
    <w:p>
      <w:pPr>
        <w:spacing w:line="360" w:lineRule="auto"/>
        <w:ind w:firstLine="330" w:firstLineChars="150"/>
        <w:rPr>
          <w:rFonts w:ascii="宋体" w:eastAsia="宋体"/>
          <w:b w:val="0"/>
          <w:color w:val="auto"/>
          <w:sz w:val="22"/>
          <w:szCs w:val="22"/>
          <w:highlight w:val="none"/>
          <w:u w:val="single"/>
        </w:rPr>
      </w:pPr>
      <w:r>
        <w:rPr>
          <w:rFonts w:hint="eastAsia" w:ascii="宋体" w:eastAsia="宋体"/>
          <w:b w:val="0"/>
          <w:color w:val="auto"/>
          <w:sz w:val="22"/>
          <w:szCs w:val="22"/>
          <w:highlight w:val="none"/>
        </w:rPr>
        <w:t>日 期：       年      月     日</w:t>
      </w:r>
    </w:p>
    <w:p>
      <w:pPr>
        <w:autoSpaceDE w:val="0"/>
        <w:autoSpaceDN w:val="0"/>
        <w:adjustRightInd w:val="0"/>
        <w:spacing w:line="500" w:lineRule="atLeast"/>
        <w:rPr>
          <w:rFonts w:ascii="宋体" w:eastAsia="宋体"/>
          <w:color w:val="auto"/>
          <w:sz w:val="30"/>
          <w:szCs w:val="30"/>
          <w:highlight w:val="none"/>
          <w:lang w:val="zh-CN"/>
        </w:rPr>
      </w:pPr>
    </w:p>
    <w:p>
      <w:pPr>
        <w:autoSpaceDE w:val="0"/>
        <w:autoSpaceDN w:val="0"/>
        <w:adjustRightInd w:val="0"/>
        <w:spacing w:line="500" w:lineRule="atLeast"/>
        <w:rPr>
          <w:rFonts w:ascii="宋体" w:eastAsia="宋体"/>
          <w:b w:val="0"/>
          <w:color w:val="auto"/>
          <w:sz w:val="30"/>
          <w:szCs w:val="30"/>
          <w:highlight w:val="none"/>
          <w:lang w:val="zh-CN"/>
        </w:rPr>
      </w:pPr>
    </w:p>
    <w:p>
      <w:pPr>
        <w:snapToGrid w:val="0"/>
        <w:spacing w:line="500" w:lineRule="atLeast"/>
        <w:ind w:firstLine="4350" w:firstLineChars="1450"/>
        <w:rPr>
          <w:rFonts w:ascii="宋体" w:eastAsia="宋体"/>
          <w:b w:val="0"/>
          <w:color w:val="auto"/>
          <w:sz w:val="30"/>
          <w:highlight w:val="none"/>
        </w:rPr>
        <w:sectPr>
          <w:headerReference r:id="rId14" w:type="first"/>
          <w:headerReference r:id="rId13" w:type="default"/>
          <w:footerReference r:id="rId15" w:type="default"/>
          <w:pgSz w:w="11906" w:h="16838"/>
          <w:pgMar w:top="1440" w:right="1701" w:bottom="1440" w:left="1701" w:header="851" w:footer="992" w:gutter="0"/>
          <w:cols w:space="720" w:num="1"/>
          <w:docGrid w:linePitch="312" w:charSpace="0"/>
        </w:sectPr>
      </w:pPr>
    </w:p>
    <w:p>
      <w:pPr>
        <w:pStyle w:val="8"/>
        <w:rPr>
          <w:rFonts w:ascii="宋体" w:hAnsi="宋体" w:cs="宋体"/>
          <w:color w:val="auto"/>
          <w:highlight w:val="none"/>
        </w:rPr>
      </w:pPr>
      <w:bookmarkStart w:id="150" w:name="_Toc42678695"/>
      <w:bookmarkStart w:id="151" w:name="_Toc42243287"/>
      <w:bookmarkStart w:id="152" w:name="_Toc65590097"/>
      <w:bookmarkStart w:id="153" w:name="_Toc28542"/>
      <w:r>
        <w:rPr>
          <w:rFonts w:hint="eastAsia" w:ascii="宋体" w:hAnsi="宋体" w:cs="宋体"/>
          <w:color w:val="auto"/>
          <w:highlight w:val="none"/>
        </w:rPr>
        <w:t>三、商务技术文件部分格式</w:t>
      </w:r>
      <w:bookmarkEnd w:id="150"/>
      <w:bookmarkEnd w:id="151"/>
      <w:bookmarkEnd w:id="152"/>
      <w:bookmarkEnd w:id="153"/>
    </w:p>
    <w:p>
      <w:pPr>
        <w:widowControl/>
        <w:spacing w:line="460" w:lineRule="atLeast"/>
        <w:jc w:val="left"/>
        <w:rPr>
          <w:rFonts w:ascii="宋体" w:eastAsia="宋体"/>
          <w:b w:val="0"/>
          <w:bCs w:val="0"/>
          <w:color w:val="auto"/>
          <w:sz w:val="22"/>
          <w:szCs w:val="22"/>
          <w:highlight w:val="none"/>
        </w:rPr>
      </w:pPr>
      <w:bookmarkStart w:id="154" w:name="_Toc493530215"/>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八</w:t>
      </w:r>
      <w:r>
        <w:rPr>
          <w:rFonts w:hint="eastAsia" w:ascii="宋体" w:eastAsia="宋体"/>
          <w:color w:val="auto"/>
          <w:sz w:val="22"/>
          <w:szCs w:val="22"/>
          <w:highlight w:val="none"/>
        </w:rPr>
        <w:t xml:space="preserve"> </w:t>
      </w:r>
      <w:bookmarkEnd w:id="154"/>
    </w:p>
    <w:p>
      <w:pPr>
        <w:pStyle w:val="8"/>
        <w:rPr>
          <w:rFonts w:ascii="宋体" w:hAnsi="宋体" w:cs="宋体"/>
          <w:color w:val="auto"/>
          <w:highlight w:val="none"/>
        </w:rPr>
      </w:pPr>
      <w:bookmarkStart w:id="155" w:name="_Toc42678030"/>
      <w:bookmarkStart w:id="156" w:name="_Toc65590098"/>
      <w:bookmarkStart w:id="157" w:name="_Toc19204521"/>
      <w:bookmarkStart w:id="158" w:name="_Toc68188423"/>
      <w:bookmarkStart w:id="159" w:name="_Toc65830026"/>
      <w:bookmarkStart w:id="160" w:name="_Toc42678185"/>
      <w:bookmarkStart w:id="161" w:name="_Toc42243288"/>
      <w:bookmarkStart w:id="162" w:name="_Toc518512534"/>
      <w:bookmarkStart w:id="163" w:name="_Toc522469119"/>
      <w:bookmarkStart w:id="164" w:name="_Toc2316"/>
      <w:bookmarkStart w:id="165" w:name="_Toc61444217"/>
      <w:bookmarkStart w:id="166" w:name="_Toc42678617"/>
      <w:bookmarkStart w:id="167" w:name="_Toc511045481"/>
      <w:bookmarkStart w:id="168" w:name="_Toc42678696"/>
      <w:bookmarkStart w:id="169" w:name="_Toc9334949"/>
      <w:r>
        <w:rPr>
          <w:rFonts w:hint="eastAsia" w:ascii="宋体" w:hAnsi="宋体" w:cs="宋体"/>
          <w:color w:val="auto"/>
          <w:highlight w:val="none"/>
          <w:lang w:val="en-US" w:eastAsia="zh-CN"/>
        </w:rPr>
        <w:t>磋 商</w:t>
      </w:r>
      <w:r>
        <w:rPr>
          <w:rFonts w:hint="eastAsia" w:ascii="宋体" w:hAnsi="宋体" w:cs="宋体"/>
          <w:color w:val="auto"/>
          <w:highlight w:val="none"/>
        </w:rPr>
        <w:t xml:space="preserve"> 函</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autoSpaceDE w:val="0"/>
        <w:autoSpaceDN w:val="0"/>
        <w:adjustRightInd w:val="0"/>
        <w:snapToGrid w:val="0"/>
        <w:spacing w:line="480" w:lineRule="atLeast"/>
        <w:rPr>
          <w:rFonts w:ascii="宋体" w:eastAsia="宋体"/>
          <w:color w:val="auto"/>
          <w:sz w:val="22"/>
          <w:highlight w:val="none"/>
          <w:u w:val="single"/>
        </w:rPr>
      </w:pPr>
      <w:r>
        <w:rPr>
          <w:rFonts w:hint="eastAsia" w:ascii="宋体" w:eastAsia="宋体"/>
          <w:color w:val="auto"/>
          <w:sz w:val="22"/>
          <w:highlight w:val="none"/>
          <w:u w:val="single"/>
          <w:lang w:val="zh-CN"/>
        </w:rPr>
        <w:t xml:space="preserve">  （采购人）   ：</w:t>
      </w:r>
    </w:p>
    <w:p>
      <w:pPr>
        <w:autoSpaceDE w:val="0"/>
        <w:autoSpaceDN w:val="0"/>
        <w:adjustRightInd w:val="0"/>
        <w:snapToGrid w:val="0"/>
        <w:spacing w:line="480" w:lineRule="atLeast"/>
        <w:rPr>
          <w:rFonts w:ascii="宋体" w:eastAsia="宋体"/>
          <w:b w:val="0"/>
          <w:color w:val="auto"/>
          <w:sz w:val="22"/>
          <w:highlight w:val="none"/>
          <w:lang w:val="zh-CN"/>
        </w:rPr>
      </w:pPr>
      <w:r>
        <w:rPr>
          <w:rFonts w:hint="eastAsia" w:ascii="宋体" w:eastAsia="宋体"/>
          <w:color w:val="auto"/>
          <w:sz w:val="22"/>
          <w:highlight w:val="none"/>
          <w:lang w:val="zh-CN"/>
        </w:rPr>
        <w:t xml:space="preserve">   </w:t>
      </w:r>
      <w:r>
        <w:rPr>
          <w:rFonts w:hint="eastAsia" w:ascii="宋体" w:eastAsia="宋体"/>
          <w:b w:val="0"/>
          <w:color w:val="auto"/>
          <w:sz w:val="22"/>
          <w:highlight w:val="none"/>
          <w:lang w:val="zh-CN"/>
        </w:rPr>
        <w:t xml:space="preserve"> </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（供应商全称）授权</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 xml:space="preserve"> （授权代表名称）</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（职务、职称）为授权代表，参加贵方组织的</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 xml:space="preserve">（招标项目名称）（括号内填投标编号） </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 xml:space="preserve">招标的有关活动，并对该项目进行投标。为此：    </w:t>
      </w:r>
    </w:p>
    <w:p>
      <w:pPr>
        <w:tabs>
          <w:tab w:val="left" w:pos="803"/>
        </w:tabs>
        <w:autoSpaceDE w:val="0"/>
        <w:autoSpaceDN w:val="0"/>
        <w:adjustRightInd w:val="0"/>
        <w:snapToGrid w:val="0"/>
        <w:spacing w:line="480" w:lineRule="atLeast"/>
        <w:ind w:left="443"/>
        <w:rPr>
          <w:rFonts w:ascii="宋体" w:eastAsia="宋体"/>
          <w:b w:val="0"/>
          <w:color w:val="auto"/>
          <w:sz w:val="22"/>
          <w:highlight w:val="none"/>
        </w:rPr>
      </w:pPr>
      <w:r>
        <w:rPr>
          <w:rFonts w:hint="eastAsia" w:ascii="宋体" w:eastAsia="宋体"/>
          <w:b w:val="0"/>
          <w:color w:val="auto"/>
          <w:sz w:val="22"/>
          <w:highlight w:val="none"/>
          <w:lang w:val="zh-CN"/>
        </w:rPr>
        <w:t>1、提供投标须知规定的全部响应文件。</w:t>
      </w:r>
    </w:p>
    <w:p>
      <w:pPr>
        <w:autoSpaceDE w:val="0"/>
        <w:autoSpaceDN w:val="0"/>
        <w:adjustRightInd w:val="0"/>
        <w:snapToGrid w:val="0"/>
        <w:spacing w:line="480" w:lineRule="atLeast"/>
        <w:ind w:firstLine="450"/>
        <w:rPr>
          <w:rFonts w:ascii="宋体" w:eastAsia="宋体"/>
          <w:b w:val="0"/>
          <w:color w:val="auto"/>
          <w:sz w:val="22"/>
          <w:highlight w:val="none"/>
          <w:u w:val="single"/>
          <w:lang w:val="zh-CN"/>
        </w:rPr>
      </w:pPr>
      <w:bookmarkStart w:id="170" w:name="_Toc356545138"/>
      <w:r>
        <w:rPr>
          <w:rFonts w:hint="eastAsia" w:ascii="宋体" w:eastAsia="宋体"/>
          <w:b w:val="0"/>
          <w:color w:val="auto"/>
          <w:sz w:val="22"/>
          <w:highlight w:val="none"/>
          <w:lang w:val="zh-CN"/>
        </w:rPr>
        <w:t>2、我方对服务期承诺如下：</w:t>
      </w:r>
      <w:bookmarkEnd w:id="170"/>
      <w:r>
        <w:rPr>
          <w:rFonts w:hint="eastAsia" w:ascii="宋体" w:eastAsia="宋体"/>
          <w:b w:val="0"/>
          <w:color w:val="auto"/>
          <w:sz w:val="22"/>
          <w:highlight w:val="none"/>
          <w:u w:val="single"/>
        </w:rPr>
        <w:t>按竞争性磋商文件要求完成本项目</w:t>
      </w:r>
      <w:r>
        <w:rPr>
          <w:rFonts w:hint="eastAsia" w:ascii="宋体" w:eastAsia="宋体"/>
          <w:b w:val="0"/>
          <w:color w:val="auto"/>
          <w:sz w:val="22"/>
          <w:highlight w:val="none"/>
          <w:u w:val="single"/>
          <w:lang w:val="zh-CN"/>
        </w:rPr>
        <w:t>。</w:t>
      </w:r>
    </w:p>
    <w:p>
      <w:pPr>
        <w:autoSpaceDE w:val="0"/>
        <w:autoSpaceDN w:val="0"/>
        <w:adjustRightInd w:val="0"/>
        <w:snapToGrid w:val="0"/>
        <w:spacing w:line="480" w:lineRule="atLeast"/>
        <w:ind w:firstLine="450"/>
        <w:rPr>
          <w:rFonts w:ascii="宋体" w:eastAsia="宋体"/>
          <w:b w:val="0"/>
          <w:color w:val="auto"/>
          <w:sz w:val="22"/>
          <w:highlight w:val="none"/>
          <w:lang w:val="zh-CN"/>
        </w:rPr>
      </w:pPr>
      <w:r>
        <w:rPr>
          <w:rFonts w:hint="eastAsia" w:ascii="宋体" w:eastAsia="宋体"/>
          <w:b w:val="0"/>
          <w:color w:val="auto"/>
          <w:sz w:val="22"/>
          <w:highlight w:val="none"/>
          <w:lang w:val="zh-CN"/>
        </w:rPr>
        <w:t>3、保证遵守采购文件中的有关规定和收费标准。</w:t>
      </w:r>
    </w:p>
    <w:p>
      <w:pPr>
        <w:autoSpaceDE w:val="0"/>
        <w:autoSpaceDN w:val="0"/>
        <w:adjustRightInd w:val="0"/>
        <w:snapToGrid w:val="0"/>
        <w:spacing w:line="480" w:lineRule="atLeast"/>
        <w:ind w:firstLine="465"/>
        <w:rPr>
          <w:rFonts w:ascii="宋体" w:eastAsia="宋体"/>
          <w:b w:val="0"/>
          <w:color w:val="auto"/>
          <w:sz w:val="22"/>
          <w:highlight w:val="none"/>
          <w:lang w:val="zh-CN"/>
        </w:rPr>
      </w:pPr>
      <w:r>
        <w:rPr>
          <w:rFonts w:hint="eastAsia" w:ascii="宋体" w:eastAsia="宋体"/>
          <w:b w:val="0"/>
          <w:color w:val="auto"/>
          <w:sz w:val="22"/>
          <w:highlight w:val="none"/>
          <w:lang w:val="zh-CN"/>
        </w:rPr>
        <w:t>4、保证忠实地执行采购人、成交供应商双方所签的合同，并承担合同规定的责任义务。</w:t>
      </w:r>
    </w:p>
    <w:p>
      <w:pPr>
        <w:autoSpaceDE w:val="0"/>
        <w:autoSpaceDN w:val="0"/>
        <w:adjustRightInd w:val="0"/>
        <w:snapToGrid w:val="0"/>
        <w:spacing w:line="480" w:lineRule="atLeast"/>
        <w:ind w:firstLine="465"/>
        <w:rPr>
          <w:rFonts w:ascii="宋体" w:eastAsia="宋体"/>
          <w:b w:val="0"/>
          <w:color w:val="auto"/>
          <w:sz w:val="22"/>
          <w:highlight w:val="none"/>
          <w:lang w:val="zh-CN"/>
        </w:rPr>
      </w:pPr>
      <w:r>
        <w:rPr>
          <w:rFonts w:hint="eastAsia" w:ascii="宋体" w:eastAsia="宋体"/>
          <w:b w:val="0"/>
          <w:color w:val="auto"/>
          <w:sz w:val="22"/>
          <w:highlight w:val="none"/>
          <w:lang w:val="zh-CN"/>
        </w:rPr>
        <w:t>5、供应商已详细审查全部采购文件，包括采购文件补充文件（如有）。我方完全理解并同意放弃对这方面有不明及误解的权力。如果采购文件有相互矛盾之处，我方同意按采购人的理解处理。</w:t>
      </w:r>
    </w:p>
    <w:p>
      <w:pPr>
        <w:autoSpaceDE w:val="0"/>
        <w:autoSpaceDN w:val="0"/>
        <w:adjustRightInd w:val="0"/>
        <w:snapToGrid w:val="0"/>
        <w:spacing w:line="480" w:lineRule="atLeast"/>
        <w:ind w:firstLine="450"/>
        <w:rPr>
          <w:rFonts w:ascii="宋体" w:eastAsia="宋体"/>
          <w:b w:val="0"/>
          <w:color w:val="auto"/>
          <w:sz w:val="22"/>
          <w:highlight w:val="none"/>
          <w:lang w:val="zh-CN"/>
        </w:rPr>
      </w:pPr>
      <w:r>
        <w:rPr>
          <w:rFonts w:hint="eastAsia" w:ascii="宋体" w:eastAsia="宋体"/>
          <w:b w:val="0"/>
          <w:color w:val="auto"/>
          <w:sz w:val="22"/>
          <w:highlight w:val="none"/>
          <w:lang w:val="zh-CN"/>
        </w:rPr>
        <w:t>6、愿意向贵方提供任何与该项投标有关的数据、情况和技术资料，完全理解贵方不一定接受最低价的投标或收到的任何投标。</w:t>
      </w:r>
    </w:p>
    <w:p>
      <w:pPr>
        <w:autoSpaceDE w:val="0"/>
        <w:autoSpaceDN w:val="0"/>
        <w:adjustRightInd w:val="0"/>
        <w:snapToGrid w:val="0"/>
        <w:spacing w:line="480" w:lineRule="atLeast"/>
        <w:ind w:firstLine="450"/>
        <w:rPr>
          <w:rFonts w:ascii="宋体" w:eastAsia="宋体"/>
          <w:b w:val="0"/>
          <w:color w:val="auto"/>
          <w:sz w:val="22"/>
          <w:highlight w:val="none"/>
          <w:lang w:val="zh-CN"/>
        </w:rPr>
      </w:pPr>
      <w:r>
        <w:rPr>
          <w:rFonts w:hint="eastAsia" w:ascii="宋体" w:eastAsia="宋体"/>
          <w:b w:val="0"/>
          <w:color w:val="auto"/>
          <w:sz w:val="22"/>
          <w:highlight w:val="none"/>
          <w:lang w:val="zh-CN"/>
        </w:rPr>
        <w:t>7、利益冲突：近三年内直至目前，我公司与本项目的采购人、采购代理机构没有任何的隶属关系。</w:t>
      </w:r>
    </w:p>
    <w:p>
      <w:pPr>
        <w:autoSpaceDE w:val="0"/>
        <w:autoSpaceDN w:val="0"/>
        <w:adjustRightInd w:val="0"/>
        <w:snapToGrid w:val="0"/>
        <w:spacing w:line="480" w:lineRule="atLeast"/>
        <w:ind w:firstLine="450"/>
        <w:rPr>
          <w:rFonts w:ascii="宋体" w:eastAsia="宋体"/>
          <w:b w:val="0"/>
          <w:color w:val="auto"/>
          <w:sz w:val="22"/>
          <w:highlight w:val="none"/>
          <w:lang w:val="zh-CN"/>
        </w:rPr>
      </w:pPr>
      <w:r>
        <w:rPr>
          <w:rFonts w:hint="eastAsia" w:ascii="宋体" w:eastAsia="宋体"/>
          <w:b w:val="0"/>
          <w:color w:val="auto"/>
          <w:sz w:val="22"/>
          <w:highlight w:val="none"/>
          <w:lang w:val="zh-CN"/>
        </w:rPr>
        <w:t>8、</w:t>
      </w:r>
      <w:r>
        <w:rPr>
          <w:rFonts w:hint="eastAsia" w:ascii="宋体" w:eastAsia="宋体"/>
          <w:b w:val="0"/>
          <w:color w:val="auto"/>
          <w:sz w:val="22"/>
          <w:highlight w:val="none"/>
        </w:rPr>
        <w:t>我单位没有被各地、各级财政部门限制参加政府采购活动或曾被各地、各级财政部门限制参加政府采购活动但已不在限制期内。</w:t>
      </w:r>
    </w:p>
    <w:p>
      <w:pPr>
        <w:autoSpaceDE w:val="0"/>
        <w:autoSpaceDN w:val="0"/>
        <w:adjustRightInd w:val="0"/>
        <w:spacing w:line="440" w:lineRule="atLeast"/>
        <w:ind w:firstLine="450"/>
        <w:rPr>
          <w:rFonts w:ascii="宋体" w:eastAsia="宋体"/>
          <w:b w:val="0"/>
          <w:color w:val="auto"/>
          <w:sz w:val="22"/>
          <w:highlight w:val="none"/>
          <w:lang w:val="zh-CN"/>
        </w:rPr>
      </w:pPr>
      <w:r>
        <w:rPr>
          <w:rFonts w:hint="eastAsia" w:ascii="宋体" w:eastAsia="宋体"/>
          <w:b w:val="0"/>
          <w:color w:val="auto"/>
          <w:sz w:val="22"/>
          <w:szCs w:val="22"/>
          <w:highlight w:val="none"/>
          <w:lang w:val="zh-CN"/>
        </w:rPr>
        <w:t>9、</w:t>
      </w:r>
      <w:r>
        <w:rPr>
          <w:rFonts w:hint="eastAsia" w:ascii="宋体" w:eastAsia="宋体"/>
          <w:b w:val="0"/>
          <w:color w:val="auto"/>
          <w:sz w:val="22"/>
          <w:highlight w:val="none"/>
          <w:lang w:val="zh-CN"/>
        </w:rPr>
        <w:t>投标有效期内不撤销响应文件；强行撤销的，承诺按采购预算金额的2%赔偿对采购组织机构造成的损失。</w:t>
      </w:r>
    </w:p>
    <w:p>
      <w:pPr>
        <w:autoSpaceDE w:val="0"/>
        <w:autoSpaceDN w:val="0"/>
        <w:adjustRightInd w:val="0"/>
        <w:spacing w:line="440" w:lineRule="atLeast"/>
        <w:ind w:firstLine="45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10、中标或者成交后，按采购文件规定与采购人签订合同。拒绝签订合同的，承诺按采购预算金额的 2%对采购人进行赔偿；赔偿金额不足以弥补采购人损失的，承诺继续承担超过部分的损失。</w:t>
      </w:r>
    </w:p>
    <w:p>
      <w:pPr>
        <w:autoSpaceDE w:val="0"/>
        <w:autoSpaceDN w:val="0"/>
        <w:adjustRightInd w:val="0"/>
        <w:spacing w:line="440" w:lineRule="atLeast"/>
        <w:ind w:firstLine="45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11、中标或者成交后，按采购文件规定的采购代理服务费标准，承诺在签订合同前向采购代理机构支付采购代理服务费。</w:t>
      </w:r>
    </w:p>
    <w:p>
      <w:pPr>
        <w:autoSpaceDE w:val="0"/>
        <w:autoSpaceDN w:val="0"/>
        <w:adjustRightInd w:val="0"/>
        <w:spacing w:line="440" w:lineRule="atLeast"/>
        <w:ind w:firstLine="45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12、本投标自开标之日起90天内有效。</w:t>
      </w:r>
    </w:p>
    <w:p>
      <w:pPr>
        <w:spacing w:line="420" w:lineRule="exact"/>
        <w:ind w:firstLine="418" w:firstLineChars="190"/>
        <w:rPr>
          <w:rFonts w:ascii="宋体" w:eastAsia="宋体"/>
          <w:b w:val="0"/>
          <w:color w:val="auto"/>
          <w:sz w:val="22"/>
          <w:highlight w:val="none"/>
        </w:rPr>
      </w:pPr>
      <w:r>
        <w:rPr>
          <w:rFonts w:hint="eastAsia" w:ascii="宋体" w:eastAsia="宋体"/>
          <w:b w:val="0"/>
          <w:color w:val="auto"/>
          <w:sz w:val="22"/>
          <w:highlight w:val="none"/>
        </w:rPr>
        <w:t>13、如有列情形之一的，我方愿意被取消成交资格（如成交），同时继续承担其他一切法律后果，并不再寻求任何旨在减轻或免除法律责任的解释：</w:t>
      </w:r>
    </w:p>
    <w:p>
      <w:pPr>
        <w:spacing w:line="420" w:lineRule="exact"/>
        <w:ind w:firstLine="418" w:firstLineChars="190"/>
        <w:rPr>
          <w:rFonts w:ascii="宋体" w:eastAsia="宋体"/>
          <w:b w:val="0"/>
          <w:color w:val="auto"/>
          <w:sz w:val="22"/>
          <w:highlight w:val="none"/>
        </w:rPr>
      </w:pPr>
      <w:r>
        <w:rPr>
          <w:rFonts w:hint="eastAsia" w:ascii="宋体" w:eastAsia="宋体"/>
          <w:b w:val="0"/>
          <w:color w:val="auto"/>
          <w:sz w:val="22"/>
          <w:highlight w:val="none"/>
        </w:rPr>
        <w:t>(1)提供虚假材料（承诺）谋取成交、成交的；</w:t>
      </w:r>
    </w:p>
    <w:p>
      <w:pPr>
        <w:spacing w:line="420" w:lineRule="exact"/>
        <w:ind w:firstLine="418" w:firstLineChars="190"/>
        <w:rPr>
          <w:rFonts w:ascii="宋体" w:eastAsia="宋体"/>
          <w:b w:val="0"/>
          <w:color w:val="auto"/>
          <w:sz w:val="22"/>
          <w:highlight w:val="none"/>
        </w:rPr>
      </w:pPr>
      <w:r>
        <w:rPr>
          <w:rFonts w:hint="eastAsia" w:ascii="宋体" w:eastAsia="宋体"/>
          <w:b w:val="0"/>
          <w:color w:val="auto"/>
          <w:sz w:val="22"/>
          <w:highlight w:val="none"/>
        </w:rPr>
        <w:t>(2)采取不正当手段诋毁、排挤其他供应商的；</w:t>
      </w:r>
    </w:p>
    <w:p>
      <w:pPr>
        <w:spacing w:line="420" w:lineRule="exact"/>
        <w:ind w:firstLine="418" w:firstLineChars="190"/>
        <w:rPr>
          <w:rFonts w:ascii="宋体" w:eastAsia="宋体"/>
          <w:b w:val="0"/>
          <w:color w:val="auto"/>
          <w:sz w:val="22"/>
          <w:highlight w:val="none"/>
        </w:rPr>
      </w:pPr>
      <w:r>
        <w:rPr>
          <w:rFonts w:hint="eastAsia" w:ascii="宋体" w:eastAsia="宋体"/>
          <w:b w:val="0"/>
          <w:color w:val="auto"/>
          <w:sz w:val="22"/>
          <w:highlight w:val="none"/>
        </w:rPr>
        <w:t>(3)与采购人、其它供应商或者采购代理机构恶意串通的；</w:t>
      </w:r>
    </w:p>
    <w:p>
      <w:pPr>
        <w:spacing w:line="420" w:lineRule="exact"/>
        <w:ind w:firstLine="418" w:firstLineChars="190"/>
        <w:rPr>
          <w:rFonts w:ascii="宋体" w:eastAsia="宋体"/>
          <w:b w:val="0"/>
          <w:color w:val="auto"/>
          <w:sz w:val="22"/>
          <w:highlight w:val="none"/>
        </w:rPr>
      </w:pPr>
      <w:r>
        <w:rPr>
          <w:rFonts w:hint="eastAsia" w:ascii="宋体" w:eastAsia="宋体"/>
          <w:b w:val="0"/>
          <w:color w:val="auto"/>
          <w:sz w:val="22"/>
          <w:highlight w:val="none"/>
        </w:rPr>
        <w:t>(4)向采购人、采购代理机构行贿或者提供其他不正当利益的；</w:t>
      </w:r>
    </w:p>
    <w:p>
      <w:pPr>
        <w:spacing w:line="420" w:lineRule="exact"/>
        <w:ind w:firstLine="418" w:firstLineChars="190"/>
        <w:rPr>
          <w:rFonts w:ascii="宋体" w:eastAsia="宋体"/>
          <w:b w:val="0"/>
          <w:color w:val="auto"/>
          <w:sz w:val="22"/>
          <w:highlight w:val="none"/>
        </w:rPr>
      </w:pPr>
      <w:r>
        <w:rPr>
          <w:rFonts w:hint="eastAsia" w:ascii="宋体" w:eastAsia="宋体"/>
          <w:b w:val="0"/>
          <w:color w:val="auto"/>
          <w:sz w:val="22"/>
          <w:highlight w:val="none"/>
        </w:rPr>
        <w:t>(5)在招标采购过程中与采购人进行协商谈判的；</w:t>
      </w:r>
    </w:p>
    <w:p>
      <w:pPr>
        <w:spacing w:line="420" w:lineRule="exact"/>
        <w:ind w:firstLine="418" w:firstLineChars="190"/>
        <w:rPr>
          <w:rFonts w:ascii="宋体" w:eastAsia="宋体"/>
          <w:b w:val="0"/>
          <w:color w:val="auto"/>
          <w:sz w:val="22"/>
          <w:highlight w:val="none"/>
        </w:rPr>
      </w:pPr>
      <w:r>
        <w:rPr>
          <w:rFonts w:hint="eastAsia" w:ascii="宋体" w:eastAsia="宋体"/>
          <w:b w:val="0"/>
          <w:color w:val="auto"/>
          <w:sz w:val="22"/>
          <w:highlight w:val="none"/>
        </w:rPr>
        <w:t>(6)拒绝有关部门监督检查或提供虚假情况的。</w:t>
      </w:r>
    </w:p>
    <w:p>
      <w:pPr>
        <w:autoSpaceDE w:val="0"/>
        <w:autoSpaceDN w:val="0"/>
        <w:adjustRightInd w:val="0"/>
        <w:spacing w:line="440" w:lineRule="atLeast"/>
        <w:ind w:firstLine="45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14、与本投标有关的一切往来通讯请寄：</w:t>
      </w:r>
    </w:p>
    <w:p>
      <w:pPr>
        <w:autoSpaceDE w:val="0"/>
        <w:autoSpaceDN w:val="0"/>
        <w:adjustRightInd w:val="0"/>
        <w:spacing w:line="44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地址：</w:t>
      </w:r>
      <w:r>
        <w:rPr>
          <w:rFonts w:hint="eastAsia" w:ascii="宋体" w:eastAsia="宋体"/>
          <w:b w:val="0"/>
          <w:color w:val="auto"/>
          <w:sz w:val="22"/>
          <w:szCs w:val="22"/>
          <w:highlight w:val="none"/>
          <w:u w:val="single"/>
          <w:lang w:val="zh-CN"/>
        </w:rPr>
        <w:t xml:space="preserve">                                 </w:t>
      </w:r>
    </w:p>
    <w:p>
      <w:pPr>
        <w:autoSpaceDE w:val="0"/>
        <w:autoSpaceDN w:val="0"/>
        <w:adjustRightInd w:val="0"/>
        <w:spacing w:line="44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邮编：</w:t>
      </w:r>
      <w:r>
        <w:rPr>
          <w:rFonts w:hint="eastAsia" w:ascii="宋体" w:eastAsia="宋体"/>
          <w:b w:val="0"/>
          <w:color w:val="auto"/>
          <w:sz w:val="22"/>
          <w:szCs w:val="22"/>
          <w:highlight w:val="none"/>
          <w:u w:val="single"/>
          <w:lang w:val="zh-CN"/>
        </w:rPr>
        <w:t xml:space="preserve">               </w:t>
      </w:r>
      <w:r>
        <w:rPr>
          <w:rFonts w:hint="eastAsia" w:ascii="宋体" w:eastAsia="宋体"/>
          <w:b w:val="0"/>
          <w:color w:val="auto"/>
          <w:sz w:val="22"/>
          <w:szCs w:val="22"/>
          <w:highlight w:val="none"/>
          <w:lang w:val="zh-CN"/>
        </w:rPr>
        <w:t>电话：</w:t>
      </w:r>
      <w:r>
        <w:rPr>
          <w:rFonts w:hint="eastAsia" w:ascii="宋体" w:eastAsia="宋体"/>
          <w:b w:val="0"/>
          <w:color w:val="auto"/>
          <w:sz w:val="22"/>
          <w:szCs w:val="22"/>
          <w:highlight w:val="none"/>
          <w:u w:val="single"/>
          <w:lang w:val="zh-CN"/>
        </w:rPr>
        <w:t xml:space="preserve">                 </w:t>
      </w:r>
      <w:r>
        <w:rPr>
          <w:rFonts w:hint="eastAsia" w:ascii="宋体" w:eastAsia="宋体"/>
          <w:b w:val="0"/>
          <w:color w:val="auto"/>
          <w:sz w:val="22"/>
          <w:szCs w:val="22"/>
          <w:highlight w:val="none"/>
          <w:lang w:val="zh-CN"/>
        </w:rPr>
        <w:t>传真：</w:t>
      </w:r>
      <w:r>
        <w:rPr>
          <w:rFonts w:hint="eastAsia" w:ascii="宋体" w:eastAsia="宋体"/>
          <w:b w:val="0"/>
          <w:color w:val="auto"/>
          <w:sz w:val="22"/>
          <w:szCs w:val="22"/>
          <w:highlight w:val="none"/>
          <w:u w:val="single"/>
          <w:lang w:val="zh-CN"/>
        </w:rPr>
        <w:t xml:space="preserve">                 </w:t>
      </w:r>
    </w:p>
    <w:p>
      <w:pPr>
        <w:autoSpaceDE w:val="0"/>
        <w:autoSpaceDN w:val="0"/>
        <w:adjustRightInd w:val="0"/>
        <w:spacing w:line="440" w:lineRule="atLeast"/>
        <w:ind w:firstLine="1980" w:firstLineChars="900"/>
        <w:rPr>
          <w:rFonts w:ascii="宋体" w:eastAsia="宋体"/>
          <w:b w:val="0"/>
          <w:color w:val="auto"/>
          <w:sz w:val="22"/>
          <w:szCs w:val="22"/>
          <w:highlight w:val="none"/>
          <w:lang w:val="zh-CN"/>
        </w:rPr>
      </w:pPr>
    </w:p>
    <w:p>
      <w:pPr>
        <w:autoSpaceDE w:val="0"/>
        <w:autoSpaceDN w:val="0"/>
        <w:adjustRightInd w:val="0"/>
        <w:spacing w:line="440" w:lineRule="atLeast"/>
        <w:jc w:val="lef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供应商全称（盖章）：</w:t>
      </w:r>
    </w:p>
    <w:p>
      <w:pPr>
        <w:autoSpaceDE w:val="0"/>
        <w:autoSpaceDN w:val="0"/>
        <w:adjustRightInd w:val="0"/>
        <w:spacing w:line="440" w:lineRule="atLeast"/>
        <w:jc w:val="lef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日期：</w:t>
      </w:r>
    </w:p>
    <w:p>
      <w:pPr>
        <w:autoSpaceDE w:val="0"/>
        <w:autoSpaceDN w:val="0"/>
        <w:adjustRightInd w:val="0"/>
        <w:snapToGrid w:val="0"/>
        <w:spacing w:line="480" w:lineRule="atLeast"/>
        <w:ind w:firstLine="442" w:firstLineChars="200"/>
        <w:jc w:val="left"/>
        <w:rPr>
          <w:rFonts w:ascii="宋体" w:eastAsia="宋体"/>
          <w:color w:val="auto"/>
          <w:sz w:val="22"/>
          <w:highlight w:val="none"/>
          <w:lang w:val="zh-CN"/>
        </w:rPr>
      </w:pPr>
    </w:p>
    <w:p>
      <w:pPr>
        <w:pStyle w:val="20"/>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br w:type="page"/>
      </w:r>
      <w:bookmarkStart w:id="171" w:name="_Toc493530219"/>
      <w:r>
        <w:rPr>
          <w:rFonts w:hint="eastAsia" w:ascii="宋体" w:hAnsi="宋体" w:eastAsia="宋体" w:cs="宋体"/>
          <w:b/>
          <w:bCs/>
          <w:color w:val="auto"/>
          <w:sz w:val="22"/>
          <w:szCs w:val="22"/>
          <w:highlight w:val="none"/>
        </w:rPr>
        <w:t>附件</w:t>
      </w:r>
      <w:bookmarkEnd w:id="171"/>
      <w:r>
        <w:rPr>
          <w:rFonts w:hint="eastAsia" w:ascii="宋体" w:hAnsi="宋体" w:eastAsia="宋体" w:cs="宋体"/>
          <w:b/>
          <w:bCs/>
          <w:color w:val="auto"/>
          <w:sz w:val="22"/>
          <w:szCs w:val="22"/>
          <w:highlight w:val="none"/>
          <w:lang w:val="en-US" w:eastAsia="zh-CN"/>
        </w:rPr>
        <w:t>九</w:t>
      </w:r>
    </w:p>
    <w:p>
      <w:pPr>
        <w:tabs>
          <w:tab w:val="left" w:pos="1080"/>
        </w:tabs>
        <w:autoSpaceDE w:val="0"/>
        <w:autoSpaceDN w:val="0"/>
        <w:adjustRightInd w:val="0"/>
        <w:spacing w:line="440" w:lineRule="atLeast"/>
        <w:jc w:val="center"/>
        <w:rPr>
          <w:rFonts w:ascii="宋体" w:eastAsia="宋体"/>
          <w:b w:val="0"/>
          <w:color w:val="auto"/>
          <w:sz w:val="32"/>
          <w:szCs w:val="32"/>
          <w:highlight w:val="none"/>
          <w:lang w:val="zh-CN"/>
        </w:rPr>
      </w:pPr>
      <w:r>
        <w:rPr>
          <w:rFonts w:hint="eastAsia" w:ascii="宋体" w:eastAsia="宋体"/>
          <w:color w:val="auto"/>
          <w:sz w:val="32"/>
          <w:szCs w:val="32"/>
          <w:highlight w:val="none"/>
          <w:lang w:val="zh-CN"/>
        </w:rPr>
        <w:t>法定代表人诚信投标承诺书</w:t>
      </w:r>
    </w:p>
    <w:p>
      <w:pPr>
        <w:spacing w:line="360" w:lineRule="auto"/>
        <w:jc w:val="left"/>
        <w:rPr>
          <w:rFonts w:ascii="宋体" w:eastAsia="宋体"/>
          <w:color w:val="auto"/>
          <w:sz w:val="24"/>
          <w:highlight w:val="none"/>
        </w:rPr>
      </w:pPr>
    </w:p>
    <w:p>
      <w:pPr>
        <w:spacing w:line="460" w:lineRule="atLeast"/>
        <w:jc w:val="left"/>
        <w:rPr>
          <w:rFonts w:ascii="宋体" w:eastAsia="宋体"/>
          <w:color w:val="auto"/>
          <w:sz w:val="22"/>
          <w:szCs w:val="22"/>
          <w:highlight w:val="none"/>
        </w:rPr>
      </w:pPr>
      <w:r>
        <w:rPr>
          <w:rFonts w:hint="eastAsia" w:ascii="宋体" w:eastAsia="宋体"/>
          <w:color w:val="auto"/>
          <w:sz w:val="22"/>
          <w:szCs w:val="22"/>
          <w:highlight w:val="none"/>
        </w:rPr>
        <w:t>本人以企业法定代表人的身份郑重承诺：</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将遵循公开、公平、公正和诚信信用的原则参加</w:t>
      </w:r>
      <w:r>
        <w:rPr>
          <w:rFonts w:hint="eastAsia" w:ascii="宋体" w:eastAsia="宋体"/>
          <w:b w:val="0"/>
          <w:color w:val="auto"/>
          <w:sz w:val="22"/>
          <w:szCs w:val="22"/>
          <w:highlight w:val="none"/>
          <w:u w:val="single"/>
        </w:rPr>
        <w:t xml:space="preserve">              项目（项目编号：   ）</w:t>
      </w:r>
      <w:r>
        <w:rPr>
          <w:rFonts w:hint="eastAsia" w:ascii="宋体" w:eastAsia="宋体"/>
          <w:b w:val="0"/>
          <w:color w:val="auto"/>
          <w:sz w:val="22"/>
          <w:szCs w:val="22"/>
          <w:highlight w:val="none"/>
        </w:rPr>
        <w:t>的投标；</w:t>
      </w:r>
    </w:p>
    <w:p>
      <w:pPr>
        <w:spacing w:line="460" w:lineRule="atLeast"/>
        <w:ind w:firstLine="440" w:firstLineChars="200"/>
        <w:jc w:val="left"/>
        <w:rPr>
          <w:rFonts w:ascii="宋体" w:eastAsia="宋体"/>
          <w:b w:val="0"/>
          <w:color w:val="auto"/>
          <w:sz w:val="22"/>
          <w:szCs w:val="22"/>
          <w:highlight w:val="none"/>
          <w:u w:val="single"/>
        </w:rPr>
      </w:pPr>
      <w:r>
        <w:rPr>
          <w:rFonts w:hint="eastAsia" w:ascii="宋体" w:eastAsia="宋体"/>
          <w:b w:val="0"/>
          <w:color w:val="auto"/>
          <w:sz w:val="22"/>
          <w:szCs w:val="22"/>
          <w:highlight w:val="none"/>
        </w:rPr>
        <w:t>一、杜绝以收取管理费等形式的一切挂靠、违法转包、分包行为；并选派有丰富经验、无不良行为记录的在项目管理人员、技术人员，严格按竞争性磋商文件、响应文件及合同等要求保证拟派人员的到岗率。</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二、响应文件所提供的一切材料都是真实、有效、合法的。</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三、不与其他投标供应商相互串通投标报价，不排挤其他投标供应商的公平竞争，不损害招标人或其他投标供应商的合法权益。</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四、不与采购人或采购代理机构串通投标，不损害国家利益，社会公共利益或其他人的合法权益。</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五、不向采购人或者评标委员会成员行贿以牟取中标。</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六、不以其他人名义投标或者以其他方式弄虚作假，骗取中标。</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七、不在开标后进行虚假恶意投诉。</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 xml:space="preserve">九、没有被各地、各级财政部门禁止参加政府采购活动，且在限制期限内：    </w:t>
      </w:r>
    </w:p>
    <w:p>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十、参与本项目政府采购活动3年内没有重大违法记录情况。</w:t>
      </w:r>
    </w:p>
    <w:p>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法定代表人（签字或盖章）：</w:t>
      </w:r>
    </w:p>
    <w:p>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投标供应商（盖章）</w:t>
      </w:r>
    </w:p>
    <w:p>
      <w:pPr>
        <w:spacing w:line="460" w:lineRule="atLeast"/>
        <w:ind w:right="1120" w:firstLine="2970" w:firstLineChars="1350"/>
        <w:rPr>
          <w:rFonts w:ascii="宋体" w:eastAsia="宋体"/>
          <w:b w:val="0"/>
          <w:color w:val="auto"/>
          <w:highlight w:val="none"/>
        </w:rPr>
      </w:pPr>
      <w:r>
        <w:rPr>
          <w:rFonts w:hint="eastAsia" w:ascii="宋体" w:eastAsia="宋体"/>
          <w:b w:val="0"/>
          <w:color w:val="auto"/>
          <w:sz w:val="22"/>
          <w:szCs w:val="22"/>
          <w:highlight w:val="none"/>
        </w:rPr>
        <w:t>承诺书签署日期：         年  月  日</w:t>
      </w:r>
    </w:p>
    <w:p>
      <w:pPr>
        <w:spacing w:line="360" w:lineRule="exact"/>
        <w:jc w:val="left"/>
        <w:rPr>
          <w:rFonts w:ascii="宋体" w:eastAsia="宋体"/>
          <w:bCs w:val="0"/>
          <w:color w:val="auto"/>
          <w:sz w:val="22"/>
          <w:szCs w:val="22"/>
          <w:highlight w:val="none"/>
          <w:u w:val="single"/>
        </w:rPr>
      </w:pPr>
    </w:p>
    <w:p>
      <w:pPr>
        <w:spacing w:line="360" w:lineRule="exact"/>
        <w:jc w:val="left"/>
        <w:rPr>
          <w:rFonts w:ascii="宋体" w:eastAsia="宋体"/>
          <w:b w:val="0"/>
          <w:color w:val="auto"/>
          <w:sz w:val="30"/>
          <w:highlight w:val="none"/>
        </w:rPr>
      </w:pPr>
      <w:r>
        <w:rPr>
          <w:rFonts w:hint="eastAsia" w:ascii="宋体" w:eastAsia="宋体"/>
          <w:color w:val="auto"/>
          <w:sz w:val="22"/>
          <w:szCs w:val="22"/>
          <w:highlight w:val="none"/>
          <w:u w:val="single"/>
        </w:rPr>
        <w:t>备注：▲投标供应商必须提供本承诺书，不提供按无效投标处理。</w:t>
      </w:r>
    </w:p>
    <w:p>
      <w:pPr>
        <w:tabs>
          <w:tab w:val="left" w:pos="2520"/>
        </w:tabs>
        <w:spacing w:line="440" w:lineRule="exact"/>
        <w:outlineLvl w:val="0"/>
        <w:rPr>
          <w:rFonts w:ascii="宋体" w:eastAsia="宋体"/>
          <w:color w:val="auto"/>
          <w:highlight w:val="none"/>
        </w:rPr>
      </w:pPr>
    </w:p>
    <w:p>
      <w:pPr>
        <w:tabs>
          <w:tab w:val="left" w:pos="2520"/>
        </w:tabs>
        <w:spacing w:line="440" w:lineRule="exact"/>
        <w:outlineLvl w:val="0"/>
        <w:rPr>
          <w:rFonts w:ascii="宋体" w:eastAsia="宋体"/>
          <w:color w:val="auto"/>
          <w:highlight w:val="none"/>
        </w:rPr>
      </w:pPr>
    </w:p>
    <w:p>
      <w:pPr>
        <w:spacing w:line="360" w:lineRule="exact"/>
        <w:jc w:val="left"/>
        <w:rPr>
          <w:rFonts w:hint="eastAsia" w:ascii="宋体" w:hAnsi="宋体" w:eastAsia="宋体" w:cs="宋体"/>
          <w:b/>
          <w:bCs/>
          <w:color w:val="auto"/>
          <w:sz w:val="22"/>
          <w:szCs w:val="22"/>
          <w:highlight w:val="none"/>
          <w:lang w:eastAsia="zh-CN"/>
        </w:rPr>
      </w:pPr>
      <w:r>
        <w:rPr>
          <w:rFonts w:hint="eastAsia" w:ascii="宋体" w:eastAsia="宋体"/>
          <w:color w:val="auto"/>
          <w:sz w:val="22"/>
          <w:szCs w:val="22"/>
          <w:highlight w:val="none"/>
        </w:rPr>
        <w:br w:type="page"/>
      </w:r>
      <w:r>
        <w:rPr>
          <w:rFonts w:hint="eastAsia" w:ascii="宋体" w:hAnsi="宋体" w:eastAsia="宋体" w:cs="宋体"/>
          <w:b/>
          <w:color w:val="auto"/>
          <w:sz w:val="22"/>
          <w:szCs w:val="22"/>
          <w:highlight w:val="none"/>
        </w:rPr>
        <w:t>附件</w:t>
      </w:r>
      <w:r>
        <w:rPr>
          <w:rFonts w:hint="eastAsia" w:ascii="宋体" w:eastAsia="宋体" w:cs="宋体"/>
          <w:b/>
          <w:color w:val="auto"/>
          <w:sz w:val="22"/>
          <w:szCs w:val="22"/>
          <w:highlight w:val="none"/>
          <w:lang w:val="en-US" w:eastAsia="zh-CN"/>
        </w:rPr>
        <w:t>十</w:t>
      </w:r>
    </w:p>
    <w:p>
      <w:pPr>
        <w:tabs>
          <w:tab w:val="left" w:pos="1080"/>
        </w:tabs>
        <w:autoSpaceDE w:val="0"/>
        <w:autoSpaceDN w:val="0"/>
        <w:adjustRightInd w:val="0"/>
        <w:spacing w:line="440" w:lineRule="atLeast"/>
        <w:jc w:val="center"/>
        <w:rPr>
          <w:rFonts w:ascii="宋体" w:eastAsia="宋体"/>
          <w:color w:val="auto"/>
          <w:sz w:val="32"/>
          <w:szCs w:val="32"/>
          <w:highlight w:val="none"/>
          <w:lang w:val="zh-CN"/>
        </w:rPr>
      </w:pPr>
      <w:r>
        <w:rPr>
          <w:rFonts w:hint="eastAsia" w:ascii="宋体" w:eastAsia="宋体"/>
          <w:color w:val="auto"/>
          <w:sz w:val="32"/>
          <w:szCs w:val="32"/>
          <w:highlight w:val="none"/>
          <w:lang w:val="zh-CN"/>
        </w:rPr>
        <w:t>商务、技术偏离表</w:t>
      </w:r>
    </w:p>
    <w:p>
      <w:pPr>
        <w:spacing w:line="560" w:lineRule="exact"/>
        <w:ind w:firstLine="433" w:firstLineChars="196"/>
        <w:rPr>
          <w:rFonts w:ascii="宋体" w:eastAsia="宋体"/>
          <w:bCs w:val="0"/>
          <w:color w:val="auto"/>
          <w:sz w:val="22"/>
          <w:szCs w:val="22"/>
          <w:highlight w:val="none"/>
        </w:rPr>
      </w:pPr>
      <w:r>
        <w:rPr>
          <w:rFonts w:hint="eastAsia" w:ascii="宋体" w:eastAsia="宋体"/>
          <w:color w:val="auto"/>
          <w:sz w:val="22"/>
          <w:szCs w:val="22"/>
          <w:highlight w:val="none"/>
        </w:rPr>
        <w:t>项目名称：                                       项目编号：</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pPr>
              <w:jc w:val="center"/>
              <w:rPr>
                <w:rFonts w:ascii="宋体" w:eastAsia="宋体"/>
                <w:color w:val="auto"/>
                <w:sz w:val="22"/>
                <w:szCs w:val="22"/>
                <w:highlight w:val="none"/>
              </w:rPr>
            </w:pPr>
            <w:r>
              <w:rPr>
                <w:rFonts w:hint="eastAsia" w:ascii="宋体" w:eastAsia="宋体"/>
                <w:color w:val="auto"/>
                <w:sz w:val="22"/>
                <w:szCs w:val="22"/>
                <w:highlight w:val="none"/>
              </w:rPr>
              <w:t>内   容</w:t>
            </w:r>
          </w:p>
        </w:tc>
        <w:tc>
          <w:tcPr>
            <w:tcW w:w="1434" w:type="dxa"/>
            <w:vAlign w:val="center"/>
          </w:tcPr>
          <w:p>
            <w:pPr>
              <w:jc w:val="center"/>
              <w:rPr>
                <w:rFonts w:ascii="宋体" w:eastAsia="宋体"/>
                <w:color w:val="auto"/>
                <w:sz w:val="22"/>
                <w:szCs w:val="22"/>
                <w:highlight w:val="none"/>
              </w:rPr>
            </w:pPr>
            <w:r>
              <w:rPr>
                <w:rFonts w:hint="eastAsia" w:ascii="宋体" w:eastAsia="宋体"/>
                <w:color w:val="auto"/>
                <w:sz w:val="22"/>
                <w:szCs w:val="22"/>
                <w:highlight w:val="none"/>
              </w:rPr>
              <w:t>竞争性磋商文件条目</w:t>
            </w:r>
          </w:p>
        </w:tc>
        <w:tc>
          <w:tcPr>
            <w:tcW w:w="2743" w:type="dxa"/>
            <w:vAlign w:val="center"/>
          </w:tcPr>
          <w:p>
            <w:pPr>
              <w:jc w:val="center"/>
              <w:rPr>
                <w:rFonts w:ascii="宋体" w:eastAsia="宋体"/>
                <w:color w:val="auto"/>
                <w:sz w:val="22"/>
                <w:szCs w:val="22"/>
                <w:highlight w:val="none"/>
              </w:rPr>
            </w:pPr>
            <w:r>
              <w:rPr>
                <w:rFonts w:hint="eastAsia" w:ascii="宋体" w:eastAsia="宋体"/>
                <w:color w:val="auto"/>
                <w:sz w:val="22"/>
                <w:szCs w:val="22"/>
                <w:highlight w:val="none"/>
              </w:rPr>
              <w:t>竞争性磋商文件</w:t>
            </w:r>
          </w:p>
          <w:p>
            <w:pPr>
              <w:jc w:val="center"/>
              <w:rPr>
                <w:rFonts w:ascii="宋体" w:eastAsia="宋体"/>
                <w:color w:val="auto"/>
                <w:sz w:val="22"/>
                <w:szCs w:val="22"/>
                <w:highlight w:val="none"/>
              </w:rPr>
            </w:pPr>
            <w:r>
              <w:rPr>
                <w:rFonts w:hint="eastAsia" w:ascii="宋体" w:eastAsia="宋体"/>
                <w:color w:val="auto"/>
                <w:sz w:val="22"/>
                <w:szCs w:val="22"/>
                <w:highlight w:val="none"/>
              </w:rPr>
              <w:t>规格要求</w:t>
            </w:r>
          </w:p>
        </w:tc>
        <w:tc>
          <w:tcPr>
            <w:tcW w:w="3023" w:type="dxa"/>
            <w:vAlign w:val="center"/>
          </w:tcPr>
          <w:p>
            <w:pPr>
              <w:jc w:val="center"/>
              <w:rPr>
                <w:rFonts w:ascii="宋体" w:eastAsia="宋体"/>
                <w:color w:val="auto"/>
                <w:sz w:val="22"/>
                <w:szCs w:val="22"/>
                <w:highlight w:val="none"/>
              </w:rPr>
            </w:pPr>
            <w:r>
              <w:rPr>
                <w:rFonts w:hint="eastAsia" w:ascii="宋体" w:eastAsia="宋体"/>
                <w:color w:val="auto"/>
                <w:sz w:val="22"/>
                <w:szCs w:val="22"/>
                <w:highlight w:val="none"/>
              </w:rPr>
              <w:t>响应文件</w:t>
            </w:r>
          </w:p>
          <w:p>
            <w:pPr>
              <w:jc w:val="center"/>
              <w:rPr>
                <w:rFonts w:ascii="宋体" w:eastAsia="宋体"/>
                <w:color w:val="auto"/>
                <w:sz w:val="22"/>
                <w:szCs w:val="22"/>
                <w:highlight w:val="none"/>
              </w:rPr>
            </w:pPr>
            <w:r>
              <w:rPr>
                <w:rFonts w:hint="eastAsia" w:ascii="宋体" w:eastAsia="宋体"/>
                <w:color w:val="auto"/>
                <w:sz w:val="22"/>
                <w:szCs w:val="22"/>
                <w:highlight w:val="none"/>
              </w:rPr>
              <w:t>对应规格</w:t>
            </w:r>
          </w:p>
        </w:tc>
        <w:tc>
          <w:tcPr>
            <w:tcW w:w="1260" w:type="dxa"/>
            <w:vAlign w:val="center"/>
          </w:tcPr>
          <w:p>
            <w:pPr>
              <w:jc w:val="center"/>
              <w:rPr>
                <w:rFonts w:ascii="宋体" w:eastAsia="宋体"/>
                <w:color w:val="auto"/>
                <w:sz w:val="22"/>
                <w:szCs w:val="22"/>
                <w:highlight w:val="none"/>
              </w:rPr>
            </w:pPr>
            <w:r>
              <w:rPr>
                <w:rFonts w:hint="eastAsia" w:ascii="宋体" w:eastAsia="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ascii="宋体" w:eastAsia="宋体"/>
                <w:color w:val="auto"/>
                <w:sz w:val="22"/>
                <w:szCs w:val="22"/>
                <w:highlight w:val="none"/>
              </w:rPr>
            </w:pPr>
            <w:r>
              <w:rPr>
                <w:rFonts w:hint="eastAsia" w:ascii="宋体" w:eastAsia="宋体"/>
                <w:color w:val="auto"/>
                <w:sz w:val="22"/>
                <w:szCs w:val="22"/>
                <w:highlight w:val="none"/>
              </w:rPr>
              <w:t>技术偏离</w:t>
            </w: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eastAsia="宋体"/>
                <w:color w:val="auto"/>
                <w:sz w:val="22"/>
                <w:szCs w:val="22"/>
                <w:highlight w:val="none"/>
              </w:rPr>
            </w:pP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eastAsia="宋体"/>
                <w:color w:val="auto"/>
                <w:sz w:val="22"/>
                <w:szCs w:val="22"/>
                <w:highlight w:val="none"/>
              </w:rPr>
            </w:pP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eastAsia="宋体"/>
                <w:color w:val="auto"/>
                <w:sz w:val="22"/>
                <w:szCs w:val="22"/>
                <w:highlight w:val="none"/>
              </w:rPr>
            </w:pP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eastAsia="宋体"/>
                <w:color w:val="auto"/>
                <w:sz w:val="22"/>
                <w:szCs w:val="22"/>
                <w:highlight w:val="none"/>
              </w:rPr>
            </w:pP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ascii="宋体" w:eastAsia="宋体"/>
                <w:color w:val="auto"/>
                <w:sz w:val="22"/>
                <w:szCs w:val="22"/>
                <w:highlight w:val="none"/>
              </w:rPr>
            </w:pPr>
            <w:r>
              <w:rPr>
                <w:rFonts w:hint="eastAsia" w:ascii="宋体" w:eastAsia="宋体"/>
                <w:color w:val="auto"/>
                <w:sz w:val="22"/>
                <w:szCs w:val="22"/>
                <w:highlight w:val="none"/>
              </w:rPr>
              <w:t>商务偏离</w:t>
            </w: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eastAsia="宋体"/>
                <w:color w:val="auto"/>
                <w:sz w:val="22"/>
                <w:szCs w:val="22"/>
                <w:highlight w:val="none"/>
              </w:rPr>
            </w:pP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eastAsia="宋体"/>
                <w:color w:val="auto"/>
                <w:sz w:val="22"/>
                <w:szCs w:val="22"/>
                <w:highlight w:val="none"/>
              </w:rPr>
            </w:pP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eastAsia="宋体"/>
                <w:color w:val="auto"/>
                <w:sz w:val="22"/>
                <w:szCs w:val="22"/>
                <w:highlight w:val="none"/>
              </w:rPr>
            </w:pP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eastAsia="宋体"/>
                <w:color w:val="auto"/>
                <w:sz w:val="22"/>
                <w:szCs w:val="22"/>
                <w:highlight w:val="none"/>
              </w:rPr>
            </w:pPr>
          </w:p>
        </w:tc>
        <w:tc>
          <w:tcPr>
            <w:tcW w:w="1434" w:type="dxa"/>
            <w:vAlign w:val="center"/>
          </w:tcPr>
          <w:p>
            <w:pPr>
              <w:jc w:val="center"/>
              <w:rPr>
                <w:rFonts w:ascii="宋体" w:eastAsia="宋体"/>
                <w:color w:val="auto"/>
                <w:sz w:val="22"/>
                <w:szCs w:val="22"/>
                <w:highlight w:val="none"/>
              </w:rPr>
            </w:pPr>
          </w:p>
        </w:tc>
        <w:tc>
          <w:tcPr>
            <w:tcW w:w="2743" w:type="dxa"/>
            <w:vAlign w:val="center"/>
          </w:tcPr>
          <w:p>
            <w:pPr>
              <w:jc w:val="center"/>
              <w:rPr>
                <w:rFonts w:ascii="宋体" w:eastAsia="宋体"/>
                <w:color w:val="auto"/>
                <w:sz w:val="22"/>
                <w:szCs w:val="22"/>
                <w:highlight w:val="none"/>
              </w:rPr>
            </w:pPr>
          </w:p>
        </w:tc>
        <w:tc>
          <w:tcPr>
            <w:tcW w:w="3023" w:type="dxa"/>
            <w:vAlign w:val="center"/>
          </w:tcPr>
          <w:p>
            <w:pPr>
              <w:jc w:val="center"/>
              <w:rPr>
                <w:rFonts w:ascii="宋体" w:eastAsia="宋体"/>
                <w:color w:val="auto"/>
                <w:sz w:val="22"/>
                <w:szCs w:val="22"/>
                <w:highlight w:val="none"/>
              </w:rPr>
            </w:pPr>
          </w:p>
        </w:tc>
        <w:tc>
          <w:tcPr>
            <w:tcW w:w="1260" w:type="dxa"/>
            <w:vAlign w:val="center"/>
          </w:tcPr>
          <w:p>
            <w:pPr>
              <w:jc w:val="center"/>
              <w:rPr>
                <w:rFonts w:ascii="宋体" w:eastAsia="宋体"/>
                <w:color w:val="auto"/>
                <w:sz w:val="22"/>
                <w:szCs w:val="22"/>
                <w:highlight w:val="none"/>
              </w:rPr>
            </w:pPr>
          </w:p>
        </w:tc>
      </w:tr>
    </w:tbl>
    <w:p>
      <w:pPr>
        <w:pStyle w:val="26"/>
        <w:spacing w:line="340" w:lineRule="exact"/>
        <w:rPr>
          <w:rFonts w:hAnsi="宋体" w:eastAsia="宋体"/>
          <w:color w:val="auto"/>
          <w:sz w:val="22"/>
          <w:szCs w:val="22"/>
          <w:highlight w:val="none"/>
        </w:rPr>
      </w:pPr>
      <w:r>
        <w:rPr>
          <w:rFonts w:hint="eastAsia" w:hAnsi="宋体" w:eastAsia="宋体"/>
          <w:color w:val="auto"/>
          <w:sz w:val="22"/>
          <w:szCs w:val="22"/>
          <w:highlight w:val="none"/>
        </w:rPr>
        <w:t>注：1、偏离表中进行如实填写详细对比说明并注明无偏离、正偏离和负偏离。</w:t>
      </w:r>
    </w:p>
    <w:p>
      <w:pPr>
        <w:pStyle w:val="26"/>
        <w:spacing w:line="340" w:lineRule="exact"/>
        <w:ind w:firstLine="442" w:firstLineChars="200"/>
        <w:rPr>
          <w:rFonts w:hAnsi="宋体" w:eastAsia="宋体"/>
          <w:color w:val="auto"/>
          <w:sz w:val="22"/>
          <w:szCs w:val="22"/>
          <w:highlight w:val="none"/>
        </w:rPr>
      </w:pPr>
      <w:r>
        <w:rPr>
          <w:rFonts w:hint="eastAsia" w:hAnsi="宋体" w:eastAsia="宋体"/>
          <w:color w:val="auto"/>
          <w:sz w:val="22"/>
          <w:szCs w:val="22"/>
          <w:highlight w:val="none"/>
        </w:rPr>
        <w:t>2、不填写此表视作完全响应采购文件要求。</w:t>
      </w:r>
    </w:p>
    <w:p>
      <w:pPr>
        <w:pStyle w:val="26"/>
        <w:spacing w:line="340" w:lineRule="exact"/>
        <w:ind w:firstLine="442" w:firstLineChars="200"/>
        <w:rPr>
          <w:rFonts w:hAnsi="宋体" w:eastAsia="宋体"/>
          <w:color w:val="auto"/>
          <w:sz w:val="22"/>
          <w:szCs w:val="22"/>
          <w:highlight w:val="none"/>
          <w:u w:val="single"/>
        </w:rPr>
      </w:pPr>
      <w:r>
        <w:rPr>
          <w:rFonts w:hint="eastAsia" w:hAnsi="宋体" w:eastAsia="宋体"/>
          <w:color w:val="auto"/>
          <w:sz w:val="22"/>
          <w:szCs w:val="22"/>
          <w:highlight w:val="none"/>
        </w:rPr>
        <w:t>3、▲</w:t>
      </w:r>
      <w:r>
        <w:rPr>
          <w:rFonts w:hint="eastAsia" w:hAnsi="宋体" w:eastAsia="宋体"/>
          <w:color w:val="auto"/>
          <w:sz w:val="22"/>
          <w:szCs w:val="22"/>
          <w:highlight w:val="none"/>
          <w:u w:val="single"/>
          <w:lang w:val="zh-CN"/>
        </w:rPr>
        <w:t>不提供此表的视为没有实质性响应采购文件,其投标将被拒绝。</w:t>
      </w:r>
    </w:p>
    <w:p>
      <w:pPr>
        <w:rPr>
          <w:rFonts w:ascii="宋体" w:eastAsia="宋体"/>
          <w:color w:val="auto"/>
          <w:highlight w:val="none"/>
        </w:rPr>
      </w:pPr>
    </w:p>
    <w:p>
      <w:pPr>
        <w:pStyle w:val="26"/>
        <w:spacing w:line="340" w:lineRule="exact"/>
        <w:ind w:left="657" w:leftChars="313" w:firstLine="4196" w:firstLineChars="1900"/>
        <w:rPr>
          <w:rFonts w:hAnsi="宋体" w:eastAsia="宋体"/>
          <w:color w:val="auto"/>
          <w:sz w:val="22"/>
          <w:highlight w:val="none"/>
        </w:rPr>
      </w:pPr>
    </w:p>
    <w:p>
      <w:pPr>
        <w:pStyle w:val="26"/>
        <w:spacing w:line="340" w:lineRule="exact"/>
        <w:ind w:left="657" w:leftChars="313" w:firstLine="4196" w:firstLineChars="1900"/>
        <w:rPr>
          <w:rFonts w:hAnsi="宋体" w:eastAsia="宋体"/>
          <w:color w:val="auto"/>
          <w:sz w:val="22"/>
          <w:highlight w:val="none"/>
        </w:rPr>
      </w:pPr>
    </w:p>
    <w:p>
      <w:pPr>
        <w:pStyle w:val="26"/>
        <w:spacing w:line="360" w:lineRule="auto"/>
        <w:rPr>
          <w:rFonts w:hAnsi="宋体" w:eastAsia="宋体"/>
          <w:b w:val="0"/>
          <w:color w:val="auto"/>
          <w:sz w:val="22"/>
          <w:szCs w:val="22"/>
          <w:highlight w:val="none"/>
        </w:rPr>
      </w:pPr>
      <w:r>
        <w:rPr>
          <w:rFonts w:hint="eastAsia" w:hAnsi="宋体" w:eastAsia="宋体"/>
          <w:b w:val="0"/>
          <w:color w:val="auto"/>
          <w:sz w:val="22"/>
          <w:szCs w:val="22"/>
          <w:highlight w:val="none"/>
        </w:rPr>
        <w:t>投标供应商全称（盖章）：</w:t>
      </w:r>
    </w:p>
    <w:p>
      <w:pPr>
        <w:pStyle w:val="26"/>
        <w:spacing w:line="360" w:lineRule="auto"/>
        <w:rPr>
          <w:rFonts w:hAnsi="宋体" w:eastAsia="宋体"/>
          <w:b w:val="0"/>
          <w:color w:val="auto"/>
          <w:sz w:val="22"/>
          <w:szCs w:val="22"/>
          <w:highlight w:val="none"/>
        </w:rPr>
      </w:pPr>
      <w:r>
        <w:rPr>
          <w:rFonts w:hint="eastAsia" w:hAnsi="宋体" w:eastAsia="宋体"/>
          <w:b w:val="0"/>
          <w:color w:val="auto"/>
          <w:sz w:val="22"/>
          <w:szCs w:val="22"/>
          <w:highlight w:val="none"/>
        </w:rPr>
        <w:t>日 期：       年      月      日</w:t>
      </w:r>
    </w:p>
    <w:p>
      <w:pPr>
        <w:jc w:val="center"/>
        <w:rPr>
          <w:rFonts w:hint="eastAsia" w:ascii="宋体" w:hAnsi="宋体" w:eastAsia="宋体" w:cs="宋体"/>
          <w:b/>
          <w:color w:val="auto"/>
          <w:sz w:val="28"/>
          <w:highlight w:val="none"/>
        </w:rPr>
      </w:pPr>
    </w:p>
    <w:p>
      <w:pPr>
        <w:jc w:val="center"/>
        <w:rPr>
          <w:rFonts w:hint="eastAsia" w:ascii="宋体" w:hAnsi="宋体" w:eastAsia="宋体" w:cs="宋体"/>
          <w:b/>
          <w:color w:val="auto"/>
          <w:sz w:val="28"/>
          <w:highlight w:val="none"/>
        </w:rPr>
      </w:pPr>
    </w:p>
    <w:p>
      <w:pPr>
        <w:jc w:val="left"/>
        <w:rPr>
          <w:rFonts w:hint="default" w:ascii="宋体" w:hAnsi="宋体" w:eastAsia="宋体" w:cs="宋体"/>
          <w:b/>
          <w:color w:val="auto"/>
          <w:sz w:val="28"/>
          <w:highlight w:val="none"/>
          <w:lang w:val="en-US"/>
        </w:rPr>
      </w:pPr>
      <w:r>
        <w:rPr>
          <w:rFonts w:hint="eastAsia" w:ascii="宋体" w:hAnsi="宋体" w:eastAsia="宋体" w:cs="宋体"/>
          <w:b/>
          <w:color w:val="auto"/>
          <w:sz w:val="22"/>
          <w:szCs w:val="22"/>
          <w:highlight w:val="none"/>
        </w:rPr>
        <w:t>附件</w:t>
      </w:r>
      <w:r>
        <w:rPr>
          <w:rFonts w:hint="eastAsia" w:ascii="宋体" w:eastAsia="宋体" w:cs="宋体"/>
          <w:b/>
          <w:color w:val="auto"/>
          <w:sz w:val="22"/>
          <w:szCs w:val="22"/>
          <w:highlight w:val="none"/>
          <w:lang w:val="en-US" w:eastAsia="zh-CN"/>
        </w:rPr>
        <w:t>十一</w:t>
      </w:r>
    </w:p>
    <w:p>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供应商基本情况（后附企业介绍）</w:t>
      </w:r>
    </w:p>
    <w:p>
      <w:pPr>
        <w:jc w:val="center"/>
        <w:rPr>
          <w:rFonts w:hint="eastAsia" w:ascii="宋体" w:hAnsi="宋体" w:eastAsia="宋体" w:cs="宋体"/>
          <w:b/>
          <w:color w:val="auto"/>
          <w:sz w:val="28"/>
          <w:highlight w:val="none"/>
        </w:rPr>
      </w:pPr>
    </w:p>
    <w:tbl>
      <w:tblPr>
        <w:tblStyle w:val="43"/>
        <w:tblpPr w:leftFromText="181" w:rightFromText="181" w:bottomFromText="17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737"/>
        <w:gridCol w:w="981"/>
        <w:gridCol w:w="1200"/>
        <w:gridCol w:w="119"/>
        <w:gridCol w:w="1154"/>
        <w:gridCol w:w="340"/>
        <w:gridCol w:w="1343"/>
        <w:gridCol w:w="523"/>
        <w:gridCol w:w="118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59"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企业名称</w:t>
            </w:r>
          </w:p>
        </w:tc>
        <w:tc>
          <w:tcPr>
            <w:tcW w:w="2222" w:type="pct"/>
            <w:gridSpan w:val="5"/>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1169" w:type="pct"/>
            <w:gridSpan w:val="3"/>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法人代表</w:t>
            </w:r>
          </w:p>
        </w:tc>
        <w:tc>
          <w:tcPr>
            <w:tcW w:w="1149"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59"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地址</w:t>
            </w:r>
          </w:p>
        </w:tc>
        <w:tc>
          <w:tcPr>
            <w:tcW w:w="2222" w:type="pct"/>
            <w:gridSpan w:val="5"/>
            <w:tcBorders>
              <w:bottom w:val="single" w:color="auto" w:sz="4" w:space="0"/>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1169" w:type="pct"/>
            <w:gridSpan w:val="3"/>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企业性质</w:t>
            </w:r>
          </w:p>
        </w:tc>
        <w:tc>
          <w:tcPr>
            <w:tcW w:w="1149"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9" w:type="pct"/>
            <w:tcBorders>
              <w:bottom w:val="single" w:color="auto" w:sz="4" w:space="0"/>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股东姓名</w:t>
            </w:r>
          </w:p>
        </w:tc>
        <w:tc>
          <w:tcPr>
            <w:tcW w:w="391" w:type="pct"/>
            <w:tcBorders>
              <w:bottom w:val="single" w:color="auto" w:sz="4" w:space="0"/>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520" w:type="pct"/>
            <w:tcBorders>
              <w:bottom w:val="single" w:color="auto" w:sz="4" w:space="0"/>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股权结构（%）</w:t>
            </w:r>
          </w:p>
        </w:tc>
        <w:tc>
          <w:tcPr>
            <w:tcW w:w="1310" w:type="pct"/>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 w:val="0"/>
                <w:bCs w:val="0"/>
                <w:color w:val="auto"/>
                <w:kern w:val="0"/>
                <w:sz w:val="24"/>
                <w:highlight w:val="none"/>
              </w:rPr>
            </w:pPr>
          </w:p>
          <w:p>
            <w:pPr>
              <w:pStyle w:val="155"/>
              <w:spacing w:before="0" w:beforeAutospacing="0" w:after="0" w:afterAutospacing="0"/>
              <w:jc w:val="center"/>
              <w:rPr>
                <w:b w:val="0"/>
                <w:bCs w:val="0"/>
                <w:color w:val="auto"/>
                <w:highlight w:val="none"/>
              </w:rPr>
            </w:pPr>
          </w:p>
        </w:tc>
        <w:tc>
          <w:tcPr>
            <w:tcW w:w="1169" w:type="pct"/>
            <w:gridSpan w:val="3"/>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股东关系</w:t>
            </w:r>
          </w:p>
        </w:tc>
        <w:tc>
          <w:tcPr>
            <w:tcW w:w="1149"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59" w:type="pct"/>
            <w:vMerge w:val="restar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联系人姓名</w:t>
            </w:r>
          </w:p>
        </w:tc>
        <w:tc>
          <w:tcPr>
            <w:tcW w:w="391" w:type="pct"/>
            <w:vMerge w:val="restart"/>
            <w:tcBorders>
              <w:top w:val="nil"/>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520" w:type="pct"/>
            <w:tcBorders>
              <w:top w:val="nil"/>
              <w:bottom w:val="single" w:color="auto" w:sz="4" w:space="0"/>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固定电话</w:t>
            </w:r>
          </w:p>
        </w:tc>
        <w:tc>
          <w:tcPr>
            <w:tcW w:w="1310" w:type="pct"/>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 w:val="0"/>
                <w:bCs w:val="0"/>
                <w:color w:val="auto"/>
                <w:kern w:val="0"/>
                <w:sz w:val="24"/>
                <w:highlight w:val="none"/>
              </w:rPr>
            </w:pPr>
          </w:p>
          <w:p>
            <w:pPr>
              <w:pStyle w:val="155"/>
              <w:spacing w:before="0" w:beforeAutospacing="0" w:after="0" w:afterAutospacing="0"/>
              <w:jc w:val="center"/>
              <w:rPr>
                <w:b w:val="0"/>
                <w:bCs w:val="0"/>
                <w:color w:val="auto"/>
                <w:highlight w:val="none"/>
              </w:rPr>
            </w:pPr>
          </w:p>
        </w:tc>
        <w:tc>
          <w:tcPr>
            <w:tcW w:w="1169" w:type="pct"/>
            <w:gridSpan w:val="3"/>
            <w:vMerge w:val="restar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传真</w:t>
            </w:r>
          </w:p>
        </w:tc>
        <w:tc>
          <w:tcPr>
            <w:tcW w:w="1149" w:type="pct"/>
            <w:gridSpan w:val="2"/>
            <w:vMerge w:val="restar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9" w:type="pct"/>
            <w:vMerge w:val="continue"/>
            <w:tcBorders>
              <w:bottom w:val="single" w:color="auto" w:sz="4" w:space="0"/>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391" w:type="pct"/>
            <w:vMerge w:val="continue"/>
            <w:tcBorders>
              <w:bottom w:val="single" w:color="auto" w:sz="4" w:space="0"/>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520" w:type="pct"/>
            <w:tcBorders>
              <w:bottom w:val="single" w:color="auto" w:sz="4" w:space="0"/>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手机</w:t>
            </w:r>
          </w:p>
        </w:tc>
        <w:tc>
          <w:tcPr>
            <w:tcW w:w="1310" w:type="pct"/>
            <w:gridSpan w:val="3"/>
            <w:tcBorders>
              <w:bottom w:val="single" w:color="auto" w:sz="4" w:space="0"/>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1169" w:type="pct"/>
            <w:gridSpan w:val="3"/>
            <w:vMerge w:val="continue"/>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1149" w:type="pct"/>
            <w:gridSpan w:val="2"/>
            <w:vMerge w:val="continue"/>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59" w:type="pct"/>
            <w:vMerge w:val="restar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b w:val="0"/>
                <w:bCs w:val="0"/>
                <w:color w:val="auto"/>
                <w:highlight w:val="none"/>
              </w:rPr>
              <w:t>1</w:t>
            </w:r>
            <w:r>
              <w:rPr>
                <w:rFonts w:hint="eastAsia"/>
                <w:b w:val="0"/>
                <w:bCs w:val="0"/>
                <w:color w:val="auto"/>
                <w:highlight w:val="none"/>
              </w:rPr>
              <w:t>.</w:t>
            </w:r>
          </w:p>
          <w:p>
            <w:pPr>
              <w:pStyle w:val="155"/>
              <w:spacing w:before="0" w:beforeAutospacing="0" w:after="0" w:afterAutospacing="0"/>
              <w:jc w:val="center"/>
              <w:rPr>
                <w:b w:val="0"/>
                <w:bCs w:val="0"/>
                <w:color w:val="auto"/>
                <w:highlight w:val="none"/>
              </w:rPr>
            </w:pPr>
            <w:r>
              <w:rPr>
                <w:rFonts w:hint="eastAsia"/>
                <w:b w:val="0"/>
                <w:bCs w:val="0"/>
                <w:color w:val="auto"/>
                <w:highlight w:val="none"/>
              </w:rPr>
              <w:t>企</w:t>
            </w:r>
          </w:p>
          <w:p>
            <w:pPr>
              <w:pStyle w:val="155"/>
              <w:spacing w:before="0" w:beforeAutospacing="0" w:after="0" w:afterAutospacing="0"/>
              <w:jc w:val="center"/>
              <w:rPr>
                <w:b w:val="0"/>
                <w:bCs w:val="0"/>
                <w:color w:val="auto"/>
                <w:highlight w:val="none"/>
              </w:rPr>
            </w:pPr>
            <w:r>
              <w:rPr>
                <w:rFonts w:hint="eastAsia"/>
                <w:b w:val="0"/>
                <w:bCs w:val="0"/>
                <w:color w:val="auto"/>
                <w:highlight w:val="none"/>
              </w:rPr>
              <w:t>业</w:t>
            </w:r>
          </w:p>
          <w:p>
            <w:pPr>
              <w:pStyle w:val="155"/>
              <w:spacing w:before="0" w:beforeAutospacing="0" w:after="0" w:afterAutospacing="0"/>
              <w:jc w:val="center"/>
              <w:rPr>
                <w:b w:val="0"/>
                <w:bCs w:val="0"/>
                <w:color w:val="auto"/>
                <w:highlight w:val="none"/>
              </w:rPr>
            </w:pPr>
            <w:r>
              <w:rPr>
                <w:rFonts w:hint="eastAsia"/>
                <w:b w:val="0"/>
                <w:bCs w:val="0"/>
                <w:color w:val="auto"/>
                <w:highlight w:val="none"/>
              </w:rPr>
              <w:t>概</w:t>
            </w:r>
          </w:p>
          <w:p>
            <w:pPr>
              <w:pStyle w:val="155"/>
              <w:spacing w:before="0" w:beforeAutospacing="0" w:after="0" w:afterAutospacing="0"/>
              <w:jc w:val="center"/>
              <w:rPr>
                <w:b w:val="0"/>
                <w:bCs w:val="0"/>
                <w:color w:val="auto"/>
                <w:highlight w:val="none"/>
              </w:rPr>
            </w:pPr>
            <w:r>
              <w:rPr>
                <w:rFonts w:hint="eastAsia"/>
                <w:b w:val="0"/>
                <w:bCs w:val="0"/>
                <w:color w:val="auto"/>
                <w:highlight w:val="none"/>
              </w:rPr>
              <w:t>况</w:t>
            </w:r>
          </w:p>
        </w:tc>
        <w:tc>
          <w:tcPr>
            <w:tcW w:w="391" w:type="pct"/>
            <w:tcBorders>
              <w:top w:val="nil"/>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职工人数</w:t>
            </w:r>
          </w:p>
        </w:tc>
        <w:tc>
          <w:tcPr>
            <w:tcW w:w="520" w:type="pct"/>
            <w:tcBorders>
              <w:top w:val="nil"/>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636" w:type="pct"/>
            <w:tcBorders>
              <w:top w:val="nil"/>
            </w:tcBorders>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具备大专以上学历人数</w:t>
            </w:r>
          </w:p>
        </w:tc>
        <w:tc>
          <w:tcPr>
            <w:tcW w:w="674" w:type="pct"/>
            <w:gridSpan w:val="2"/>
            <w:tcBorders>
              <w:top w:val="nil"/>
            </w:tcBorders>
            <w:tcMar>
              <w:top w:w="57" w:type="dxa"/>
              <w:left w:w="85" w:type="dxa"/>
              <w:bottom w:w="0" w:type="dxa"/>
              <w:right w:w="85" w:type="dxa"/>
            </w:tcMar>
            <w:vAlign w:val="center"/>
          </w:tcPr>
          <w:p>
            <w:pPr>
              <w:widowControl/>
              <w:jc w:val="center"/>
              <w:rPr>
                <w:rFonts w:ascii="宋体" w:hAnsi="宋体" w:cs="宋体"/>
                <w:b w:val="0"/>
                <w:bCs w:val="0"/>
                <w:color w:val="auto"/>
                <w:kern w:val="0"/>
                <w:sz w:val="24"/>
                <w:highlight w:val="none"/>
              </w:rPr>
            </w:pPr>
          </w:p>
          <w:p>
            <w:pPr>
              <w:widowControl/>
              <w:jc w:val="center"/>
              <w:rPr>
                <w:rFonts w:ascii="宋体" w:hAnsi="宋体" w:cs="宋体"/>
                <w:b w:val="0"/>
                <w:bCs w:val="0"/>
                <w:color w:val="auto"/>
                <w:kern w:val="0"/>
                <w:sz w:val="24"/>
                <w:highlight w:val="none"/>
              </w:rPr>
            </w:pPr>
          </w:p>
          <w:p>
            <w:pPr>
              <w:pStyle w:val="155"/>
              <w:spacing w:before="0" w:beforeAutospacing="0" w:after="0" w:afterAutospacing="0"/>
              <w:jc w:val="center"/>
              <w:rPr>
                <w:b w:val="0"/>
                <w:bCs w:val="0"/>
                <w:color w:val="auto"/>
                <w:highlight w:val="none"/>
              </w:rPr>
            </w:pPr>
          </w:p>
        </w:tc>
        <w:tc>
          <w:tcPr>
            <w:tcW w:w="1169" w:type="pct"/>
            <w:gridSpan w:val="3"/>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国家授予技术职称人数</w:t>
            </w:r>
          </w:p>
        </w:tc>
        <w:tc>
          <w:tcPr>
            <w:tcW w:w="1149" w:type="pct"/>
            <w:gridSpan w:val="2"/>
            <w:tcMar>
              <w:top w:w="57" w:type="dxa"/>
              <w:left w:w="85" w:type="dxa"/>
              <w:bottom w:w="0" w:type="dxa"/>
              <w:right w:w="85" w:type="dxa"/>
            </w:tcMar>
            <w:vAlign w:val="center"/>
          </w:tcPr>
          <w:p>
            <w:pPr>
              <w:widowControl/>
              <w:jc w:val="center"/>
              <w:rPr>
                <w:rFonts w:ascii="宋体" w:hAnsi="宋体" w:cs="宋体"/>
                <w:b w:val="0"/>
                <w:bCs w:val="0"/>
                <w:color w:val="auto"/>
                <w:kern w:val="0"/>
                <w:sz w:val="24"/>
                <w:highlight w:val="none"/>
              </w:rPr>
            </w:pPr>
          </w:p>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59" w:type="pct"/>
            <w:vMerge w:val="continue"/>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391"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占地面积</w:t>
            </w:r>
          </w:p>
        </w:tc>
        <w:tc>
          <w:tcPr>
            <w:tcW w:w="520"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636"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建筑面积</w:t>
            </w:r>
          </w:p>
        </w:tc>
        <w:tc>
          <w:tcPr>
            <w:tcW w:w="674"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平方米</w:t>
            </w:r>
          </w:p>
          <w:p>
            <w:pPr>
              <w:pStyle w:val="155"/>
              <w:spacing w:before="0" w:beforeAutospacing="0" w:after="0" w:afterAutospacing="0"/>
              <w:jc w:val="center"/>
              <w:rPr>
                <w:b w:val="0"/>
                <w:bCs w:val="0"/>
                <w:color w:val="auto"/>
                <w:highlight w:val="none"/>
              </w:rPr>
            </w:pPr>
            <w:r>
              <w:rPr>
                <w:rFonts w:hint="eastAsia"/>
                <w:b w:val="0"/>
                <w:bCs w:val="0"/>
                <w:color w:val="auto"/>
                <w:highlight w:val="none"/>
              </w:rPr>
              <w:t>□自有</w:t>
            </w:r>
          </w:p>
          <w:p>
            <w:pPr>
              <w:pStyle w:val="155"/>
              <w:spacing w:before="0" w:beforeAutospacing="0" w:after="0" w:afterAutospacing="0"/>
              <w:jc w:val="center"/>
              <w:rPr>
                <w:b w:val="0"/>
                <w:bCs w:val="0"/>
                <w:color w:val="auto"/>
                <w:highlight w:val="none"/>
              </w:rPr>
            </w:pPr>
            <w:r>
              <w:rPr>
                <w:rFonts w:hint="eastAsia"/>
                <w:b w:val="0"/>
                <w:bCs w:val="0"/>
                <w:color w:val="auto"/>
                <w:highlight w:val="none"/>
              </w:rPr>
              <w:t>□租赁</w:t>
            </w:r>
          </w:p>
        </w:tc>
        <w:tc>
          <w:tcPr>
            <w:tcW w:w="1169" w:type="pct"/>
            <w:gridSpan w:val="3"/>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生产经营场所及场所的设施与设备</w:t>
            </w:r>
          </w:p>
        </w:tc>
        <w:tc>
          <w:tcPr>
            <w:tcW w:w="1149"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59" w:type="pct"/>
            <w:vMerge w:val="continue"/>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391"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注册资金</w:t>
            </w:r>
          </w:p>
        </w:tc>
        <w:tc>
          <w:tcPr>
            <w:tcW w:w="520"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636"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注册发证机关</w:t>
            </w:r>
          </w:p>
        </w:tc>
        <w:tc>
          <w:tcPr>
            <w:tcW w:w="1843" w:type="pct"/>
            <w:gridSpan w:val="5"/>
            <w:tcMar>
              <w:top w:w="57" w:type="dxa"/>
              <w:left w:w="85" w:type="dxa"/>
              <w:bottom w:w="0" w:type="dxa"/>
              <w:right w:w="85" w:type="dxa"/>
            </w:tcMar>
            <w:vAlign w:val="center"/>
          </w:tcPr>
          <w:p>
            <w:pPr>
              <w:widowControl/>
              <w:jc w:val="center"/>
              <w:rPr>
                <w:rFonts w:ascii="宋体" w:hAnsi="宋体" w:cs="宋体"/>
                <w:b w:val="0"/>
                <w:bCs w:val="0"/>
                <w:color w:val="auto"/>
                <w:kern w:val="0"/>
                <w:sz w:val="24"/>
                <w:highlight w:val="none"/>
              </w:rPr>
            </w:pPr>
          </w:p>
          <w:p>
            <w:pPr>
              <w:pStyle w:val="155"/>
              <w:spacing w:before="0" w:beforeAutospacing="0" w:after="0" w:afterAutospacing="0"/>
              <w:jc w:val="center"/>
              <w:rPr>
                <w:b w:val="0"/>
                <w:bCs w:val="0"/>
                <w:color w:val="auto"/>
                <w:highlight w:val="none"/>
              </w:rPr>
            </w:pPr>
          </w:p>
        </w:tc>
        <w:tc>
          <w:tcPr>
            <w:tcW w:w="628"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公司成立时间</w:t>
            </w:r>
          </w:p>
        </w:tc>
        <w:tc>
          <w:tcPr>
            <w:tcW w:w="521"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459" w:type="pct"/>
            <w:vMerge w:val="continue"/>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391"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核准经营范围</w:t>
            </w:r>
          </w:p>
        </w:tc>
        <w:tc>
          <w:tcPr>
            <w:tcW w:w="4149" w:type="pct"/>
            <w:gridSpan w:val="9"/>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59" w:type="pct"/>
            <w:vMerge w:val="continue"/>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4540" w:type="pct"/>
            <w:gridSpan w:val="10"/>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59" w:type="pct"/>
            <w:vMerge w:val="restar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b w:val="0"/>
                <w:bCs w:val="0"/>
                <w:color w:val="auto"/>
                <w:highlight w:val="none"/>
              </w:rPr>
              <w:t>2</w:t>
            </w:r>
            <w:r>
              <w:rPr>
                <w:rFonts w:hint="eastAsia"/>
                <w:b w:val="0"/>
                <w:bCs w:val="0"/>
                <w:color w:val="auto"/>
                <w:highlight w:val="none"/>
              </w:rPr>
              <w:t>．</w:t>
            </w:r>
          </w:p>
          <w:p>
            <w:pPr>
              <w:pStyle w:val="155"/>
              <w:spacing w:before="0" w:beforeAutospacing="0" w:after="0" w:afterAutospacing="0"/>
              <w:jc w:val="center"/>
              <w:rPr>
                <w:b w:val="0"/>
                <w:bCs w:val="0"/>
                <w:color w:val="auto"/>
                <w:highlight w:val="none"/>
              </w:rPr>
            </w:pPr>
            <w:r>
              <w:rPr>
                <w:rFonts w:hint="eastAsia"/>
                <w:b w:val="0"/>
                <w:bCs w:val="0"/>
                <w:color w:val="auto"/>
                <w:highlight w:val="none"/>
              </w:rPr>
              <w:t>企业有关资质获证情况</w:t>
            </w:r>
          </w:p>
        </w:tc>
        <w:tc>
          <w:tcPr>
            <w:tcW w:w="911" w:type="pct"/>
            <w:gridSpan w:val="2"/>
            <w:vMerge w:val="restar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spacing w:val="41"/>
                <w:highlight w:val="none"/>
              </w:rPr>
              <w:t>企业获得其他资质</w:t>
            </w:r>
            <w:r>
              <w:rPr>
                <w:rFonts w:hint="eastAsia"/>
                <w:b w:val="0"/>
                <w:bCs w:val="0"/>
                <w:color w:val="auto"/>
                <w:spacing w:val="11"/>
                <w:highlight w:val="none"/>
              </w:rPr>
              <w:t>认证情况</w:t>
            </w:r>
          </w:p>
        </w:tc>
        <w:tc>
          <w:tcPr>
            <w:tcW w:w="699"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spacing w:val="16"/>
                <w:highlight w:val="none"/>
              </w:rPr>
              <w:t>资质名称</w:t>
            </w:r>
          </w:p>
        </w:tc>
        <w:tc>
          <w:tcPr>
            <w:tcW w:w="791"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spacing w:val="16"/>
                <w:highlight w:val="none"/>
              </w:rPr>
              <w:t>发证机关</w:t>
            </w:r>
          </w:p>
        </w:tc>
        <w:tc>
          <w:tcPr>
            <w:tcW w:w="712"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spacing w:val="27"/>
                <w:highlight w:val="none"/>
              </w:rPr>
              <w:t>编号</w:t>
            </w:r>
          </w:p>
        </w:tc>
        <w:tc>
          <w:tcPr>
            <w:tcW w:w="904"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spacing w:val="16"/>
                <w:highlight w:val="none"/>
              </w:rPr>
              <w:t>发证时间</w:t>
            </w:r>
          </w:p>
        </w:tc>
        <w:tc>
          <w:tcPr>
            <w:tcW w:w="521"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59" w:type="pct"/>
            <w:vMerge w:val="continue"/>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911" w:type="pct"/>
            <w:gridSpan w:val="2"/>
            <w:vMerge w:val="continue"/>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699"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791"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712"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904"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521" w:type="pct"/>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59" w:type="pct"/>
            <w:vMerge w:val="continue"/>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c>
          <w:tcPr>
            <w:tcW w:w="911" w:type="pct"/>
            <w:gridSpan w:val="2"/>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r>
              <w:rPr>
                <w:rFonts w:hint="eastAsia"/>
                <w:b w:val="0"/>
                <w:bCs w:val="0"/>
                <w:color w:val="auto"/>
                <w:highlight w:val="none"/>
              </w:rPr>
              <w:t>企业获得专利情况</w:t>
            </w:r>
          </w:p>
        </w:tc>
        <w:tc>
          <w:tcPr>
            <w:tcW w:w="3629" w:type="pct"/>
            <w:gridSpan w:val="8"/>
            <w:tcMar>
              <w:top w:w="57" w:type="dxa"/>
              <w:left w:w="85" w:type="dxa"/>
              <w:bottom w:w="0" w:type="dxa"/>
              <w:right w:w="85" w:type="dxa"/>
            </w:tcMar>
            <w:vAlign w:val="center"/>
          </w:tcPr>
          <w:p>
            <w:pPr>
              <w:pStyle w:val="155"/>
              <w:spacing w:before="0" w:beforeAutospacing="0" w:after="0" w:afterAutospacing="0"/>
              <w:jc w:val="center"/>
              <w:rPr>
                <w:b w:val="0"/>
                <w:bCs w:val="0"/>
                <w:color w:val="auto"/>
                <w:highlight w:val="none"/>
              </w:rPr>
            </w:pPr>
          </w:p>
        </w:tc>
      </w:tr>
    </w:tbl>
    <w:p>
      <w:pPr>
        <w:spacing w:line="460" w:lineRule="exact"/>
        <w:ind w:left="755" w:hanging="758" w:hangingChars="343"/>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注：该表格仅供参考。</w:t>
      </w:r>
    </w:p>
    <w:p>
      <w:pPr>
        <w:spacing w:line="380" w:lineRule="exact"/>
        <w:jc w:val="left"/>
        <w:rPr>
          <w:rFonts w:hint="eastAsia" w:ascii="宋体" w:hAnsi="宋体" w:eastAsia="宋体" w:cs="宋体"/>
          <w:bCs/>
          <w:color w:val="auto"/>
          <w:sz w:val="22"/>
          <w:szCs w:val="22"/>
          <w:highlight w:val="none"/>
        </w:rPr>
      </w:pPr>
    </w:p>
    <w:p>
      <w:pPr>
        <w:spacing w:line="360" w:lineRule="auto"/>
        <w:ind w:right="-21" w:rightChars="-10" w:firstLine="3975" w:firstLineChars="1650"/>
        <w:rPr>
          <w:rFonts w:hint="eastAsia" w:ascii="宋体" w:hAnsi="宋体" w:eastAsia="宋体" w:cs="宋体"/>
          <w:color w:val="auto"/>
          <w:sz w:val="24"/>
          <w:highlight w:val="none"/>
        </w:rPr>
      </w:pPr>
    </w:p>
    <w:p>
      <w:pPr>
        <w:spacing w:line="380" w:lineRule="exact"/>
        <w:ind w:firstLine="4417"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供应商全称（公章）：</w:t>
      </w:r>
    </w:p>
    <w:p>
      <w:pPr>
        <w:spacing w:line="380" w:lineRule="exact"/>
        <w:ind w:firstLine="4417"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widowControl/>
        <w:jc w:val="left"/>
        <w:rPr>
          <w:rFonts w:hint="default" w:ascii="宋体" w:eastAsia="宋体"/>
          <w:bCs w:val="0"/>
          <w:color w:val="auto"/>
          <w:sz w:val="22"/>
          <w:szCs w:val="22"/>
          <w:highlight w:val="none"/>
          <w:lang w:val="en-US" w:eastAsia="zh-CN"/>
        </w:rPr>
      </w:pPr>
      <w:r>
        <w:rPr>
          <w:rFonts w:hint="eastAsia" w:ascii="宋体" w:eastAsia="宋体"/>
          <w:bCs w:val="0"/>
          <w:color w:val="auto"/>
          <w:sz w:val="22"/>
          <w:szCs w:val="22"/>
          <w:highlight w:val="none"/>
        </w:rPr>
        <w:t>附件</w:t>
      </w:r>
      <w:r>
        <w:rPr>
          <w:rFonts w:hint="eastAsia" w:ascii="宋体" w:eastAsia="宋体"/>
          <w:bCs w:val="0"/>
          <w:color w:val="auto"/>
          <w:sz w:val="22"/>
          <w:szCs w:val="22"/>
          <w:highlight w:val="none"/>
          <w:lang w:val="en-US" w:eastAsia="zh-CN"/>
        </w:rPr>
        <w:t>十二</w:t>
      </w:r>
    </w:p>
    <w:p>
      <w:pPr>
        <w:tabs>
          <w:tab w:val="left" w:pos="1080"/>
        </w:tabs>
        <w:autoSpaceDE w:val="0"/>
        <w:autoSpaceDN w:val="0"/>
        <w:adjustRightInd w:val="0"/>
        <w:spacing w:line="440" w:lineRule="atLeast"/>
        <w:jc w:val="center"/>
        <w:rPr>
          <w:rFonts w:ascii="宋体" w:eastAsia="宋体"/>
          <w:b w:val="0"/>
          <w:color w:val="auto"/>
          <w:sz w:val="32"/>
          <w:szCs w:val="32"/>
          <w:highlight w:val="none"/>
          <w:lang w:val="zh-CN"/>
        </w:rPr>
      </w:pPr>
      <w:r>
        <w:rPr>
          <w:rFonts w:hint="eastAsia" w:ascii="宋体" w:eastAsia="宋体"/>
          <w:color w:val="auto"/>
          <w:sz w:val="32"/>
          <w:szCs w:val="32"/>
          <w:highlight w:val="none"/>
        </w:rPr>
        <w:t>同类</w:t>
      </w:r>
      <w:r>
        <w:rPr>
          <w:rFonts w:hint="eastAsia" w:ascii="宋体" w:eastAsia="宋体"/>
          <w:color w:val="auto"/>
          <w:sz w:val="32"/>
          <w:szCs w:val="32"/>
          <w:highlight w:val="none"/>
          <w:lang w:val="zh-CN"/>
        </w:rPr>
        <w:t>业绩</w:t>
      </w:r>
      <w:r>
        <w:rPr>
          <w:rFonts w:hint="eastAsia" w:ascii="宋体" w:hAnsi="宋体" w:eastAsia="宋体" w:cs="宋体"/>
          <w:b/>
          <w:color w:val="auto"/>
          <w:sz w:val="32"/>
          <w:szCs w:val="32"/>
          <w:highlight w:val="none"/>
          <w:lang w:val="zh-CN"/>
        </w:rPr>
        <w:t>（时间以签订的时间为准）</w:t>
      </w:r>
    </w:p>
    <w:p>
      <w:pPr>
        <w:spacing w:line="460" w:lineRule="exact"/>
        <w:rPr>
          <w:rFonts w:ascii="宋体" w:eastAsia="宋体"/>
          <w:color w:val="auto"/>
          <w:sz w:val="22"/>
          <w:szCs w:val="22"/>
          <w:highlight w:val="none"/>
        </w:rPr>
      </w:pPr>
      <w:r>
        <w:rPr>
          <w:rFonts w:hint="eastAsia" w:ascii="宋体" w:eastAsia="宋体"/>
          <w:color w:val="auto"/>
          <w:sz w:val="22"/>
          <w:szCs w:val="22"/>
          <w:highlight w:val="none"/>
        </w:rPr>
        <w:t>项目名称：                                              项目编号：</w:t>
      </w:r>
    </w:p>
    <w:tbl>
      <w:tblPr>
        <w:tblStyle w:val="43"/>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aps/>
                <w:color w:val="auto"/>
                <w:spacing w:val="20"/>
                <w:sz w:val="22"/>
                <w:highlight w:val="none"/>
              </w:rPr>
            </w:pPr>
            <w:r>
              <w:rPr>
                <w:rFonts w:hint="eastAsia" w:ascii="宋体" w:eastAsia="宋体"/>
                <w:caps/>
                <w:color w:val="auto"/>
                <w:spacing w:val="20"/>
                <w:sz w:val="22"/>
                <w:szCs w:val="22"/>
                <w:highlight w:val="none"/>
              </w:rPr>
              <w:t>序号</w:t>
            </w: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r>
              <w:rPr>
                <w:rFonts w:hint="eastAsia" w:ascii="宋体" w:eastAsia="宋体"/>
                <w:color w:val="auto"/>
                <w:spacing w:val="20"/>
                <w:sz w:val="22"/>
                <w:szCs w:val="22"/>
                <w:highlight w:val="none"/>
              </w:rPr>
              <w:t>采购单位</w:t>
            </w:r>
          </w:p>
        </w:tc>
        <w:tc>
          <w:tcPr>
            <w:tcW w:w="1299" w:type="dxa"/>
            <w:vAlign w:val="center"/>
          </w:tcPr>
          <w:p>
            <w:pPr>
              <w:tabs>
                <w:tab w:val="left" w:pos="4140"/>
              </w:tabs>
              <w:adjustRightInd w:val="0"/>
              <w:snapToGrid w:val="0"/>
              <w:spacing w:line="320" w:lineRule="atLeast"/>
              <w:jc w:val="center"/>
              <w:rPr>
                <w:rFonts w:ascii="宋体" w:eastAsia="宋体"/>
                <w:caps/>
                <w:color w:val="auto"/>
                <w:spacing w:val="20"/>
                <w:sz w:val="22"/>
                <w:highlight w:val="none"/>
              </w:rPr>
            </w:pPr>
            <w:r>
              <w:rPr>
                <w:rFonts w:hint="eastAsia" w:ascii="宋体" w:eastAsia="宋体"/>
                <w:caps/>
                <w:color w:val="auto"/>
                <w:spacing w:val="20"/>
                <w:sz w:val="22"/>
                <w:szCs w:val="22"/>
                <w:highlight w:val="none"/>
              </w:rPr>
              <w:t>项目名称</w:t>
            </w:r>
          </w:p>
        </w:tc>
        <w:tc>
          <w:tcPr>
            <w:tcW w:w="1355" w:type="dxa"/>
            <w:vAlign w:val="center"/>
          </w:tcPr>
          <w:p>
            <w:pPr>
              <w:tabs>
                <w:tab w:val="left" w:pos="4140"/>
              </w:tabs>
              <w:adjustRightInd w:val="0"/>
              <w:snapToGrid w:val="0"/>
              <w:spacing w:line="320" w:lineRule="atLeast"/>
              <w:jc w:val="center"/>
              <w:rPr>
                <w:rFonts w:ascii="宋体" w:eastAsia="宋体"/>
                <w:caps/>
                <w:color w:val="auto"/>
                <w:spacing w:val="20"/>
                <w:sz w:val="22"/>
                <w:highlight w:val="none"/>
              </w:rPr>
            </w:pPr>
            <w:r>
              <w:rPr>
                <w:rFonts w:hint="eastAsia" w:ascii="宋体" w:eastAsia="宋体"/>
                <w:caps/>
                <w:color w:val="auto"/>
                <w:spacing w:val="20"/>
                <w:sz w:val="22"/>
                <w:szCs w:val="22"/>
                <w:highlight w:val="none"/>
              </w:rPr>
              <w:t>合同金额</w:t>
            </w: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r>
              <w:rPr>
                <w:rFonts w:hint="eastAsia" w:ascii="宋体" w:eastAsia="宋体"/>
                <w:color w:val="auto"/>
                <w:spacing w:val="20"/>
                <w:sz w:val="22"/>
                <w:szCs w:val="22"/>
                <w:highlight w:val="none"/>
              </w:rPr>
              <w:t>签约日期</w:t>
            </w: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r>
              <w:rPr>
                <w:rFonts w:hint="eastAsia" w:ascii="宋体" w:eastAsia="宋体"/>
                <w:color w:val="auto"/>
                <w:spacing w:val="20"/>
                <w:sz w:val="22"/>
                <w:szCs w:val="22"/>
                <w:highlight w:val="none"/>
              </w:rPr>
              <w:t>联系人</w:t>
            </w: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r>
              <w:rPr>
                <w:rFonts w:hint="eastAsia" w:ascii="宋体" w:eastAsia="宋体"/>
                <w:color w:val="auto"/>
                <w:spacing w:val="20"/>
                <w:sz w:val="22"/>
                <w:szCs w:val="22"/>
                <w:highlight w:val="none"/>
              </w:rPr>
              <w:t>联系电话</w:t>
            </w: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r>
              <w:rPr>
                <w:rFonts w:hint="eastAsia" w:ascii="宋体" w:eastAsia="宋体"/>
                <w:color w:val="auto"/>
                <w:spacing w:val="2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eastAsia="宋体"/>
                <w:color w:val="auto"/>
                <w:spacing w:val="20"/>
                <w:sz w:val="22"/>
                <w:highlight w:val="none"/>
              </w:rPr>
            </w:pPr>
          </w:p>
        </w:tc>
      </w:tr>
    </w:tbl>
    <w:p>
      <w:pPr>
        <w:spacing w:line="460" w:lineRule="exact"/>
        <w:ind w:left="755" w:hanging="754" w:hangingChars="343"/>
        <w:rPr>
          <w:rFonts w:ascii="宋体" w:eastAsia="宋体"/>
          <w:b w:val="0"/>
          <w:bCs w:val="0"/>
          <w:color w:val="auto"/>
          <w:sz w:val="22"/>
          <w:szCs w:val="22"/>
          <w:highlight w:val="none"/>
        </w:rPr>
      </w:pPr>
      <w:r>
        <w:rPr>
          <w:rFonts w:hint="eastAsia" w:ascii="宋体" w:eastAsia="宋体"/>
          <w:b w:val="0"/>
          <w:color w:val="auto"/>
          <w:sz w:val="22"/>
          <w:szCs w:val="22"/>
          <w:highlight w:val="none"/>
        </w:rPr>
        <w:t>注：投标供应商可按此表格式复制，需后附合同扫描件加盖公章。</w:t>
      </w:r>
    </w:p>
    <w:p>
      <w:pPr>
        <w:spacing w:line="460" w:lineRule="exact"/>
        <w:ind w:left="755" w:hanging="754" w:hangingChars="343"/>
        <w:rPr>
          <w:rFonts w:ascii="宋体" w:eastAsia="宋体"/>
          <w:b w:val="0"/>
          <w:bCs w:val="0"/>
          <w:color w:val="auto"/>
          <w:sz w:val="22"/>
          <w:szCs w:val="22"/>
          <w:highlight w:val="none"/>
        </w:rPr>
      </w:pPr>
    </w:p>
    <w:p>
      <w:pPr>
        <w:spacing w:line="440" w:lineRule="atLeast"/>
        <w:rPr>
          <w:rFonts w:ascii="宋体" w:eastAsia="宋体"/>
          <w:b w:val="0"/>
          <w:color w:val="auto"/>
          <w:sz w:val="22"/>
          <w:szCs w:val="22"/>
          <w:highlight w:val="none"/>
        </w:rPr>
      </w:pPr>
      <w:r>
        <w:rPr>
          <w:rFonts w:hint="eastAsia" w:ascii="宋体" w:eastAsia="宋体"/>
          <w:b w:val="0"/>
          <w:color w:val="auto"/>
          <w:sz w:val="22"/>
          <w:szCs w:val="22"/>
          <w:highlight w:val="none"/>
        </w:rPr>
        <w:t>供应商全称（盖章）：</w:t>
      </w:r>
    </w:p>
    <w:p>
      <w:pPr>
        <w:autoSpaceDE w:val="0"/>
        <w:autoSpaceDN w:val="0"/>
        <w:adjustRightInd w:val="0"/>
        <w:spacing w:line="460" w:lineRule="atLeast"/>
        <w:rPr>
          <w:rFonts w:ascii="宋体" w:eastAsia="宋体"/>
          <w:b w:val="0"/>
          <w:color w:val="auto"/>
          <w:sz w:val="22"/>
          <w:szCs w:val="22"/>
          <w:highlight w:val="none"/>
        </w:rPr>
      </w:pPr>
      <w:r>
        <w:rPr>
          <w:rFonts w:hint="eastAsia" w:ascii="宋体" w:eastAsia="宋体"/>
          <w:b w:val="0"/>
          <w:color w:val="auto"/>
          <w:sz w:val="22"/>
          <w:szCs w:val="22"/>
          <w:highlight w:val="none"/>
        </w:rPr>
        <w:t>日期：</w:t>
      </w:r>
    </w:p>
    <w:p>
      <w:pPr>
        <w:rPr>
          <w:rFonts w:ascii="宋体" w:eastAsia="宋体"/>
          <w:color w:val="auto"/>
          <w:sz w:val="28"/>
          <w:szCs w:val="28"/>
          <w:highlight w:val="none"/>
        </w:rPr>
      </w:pPr>
      <w:r>
        <w:rPr>
          <w:rFonts w:hint="eastAsia" w:ascii="宋体" w:eastAsia="宋体"/>
          <w:color w:val="auto"/>
          <w:sz w:val="28"/>
          <w:szCs w:val="28"/>
          <w:highlight w:val="none"/>
        </w:rPr>
        <w:br w:type="page"/>
      </w:r>
    </w:p>
    <w:p>
      <w:pPr>
        <w:pStyle w:val="2"/>
        <w:rPr>
          <w:rFonts w:hint="eastAsia"/>
          <w:color w:val="auto"/>
          <w:highlight w:val="none"/>
        </w:rPr>
      </w:pPr>
    </w:p>
    <w:p>
      <w:pPr>
        <w:widowControl/>
        <w:jc w:val="left"/>
        <w:rPr>
          <w:rFonts w:hint="eastAsia" w:ascii="宋体" w:eastAsia="宋体"/>
          <w:bCs w:val="0"/>
          <w:color w:val="auto"/>
          <w:sz w:val="22"/>
          <w:szCs w:val="22"/>
          <w:highlight w:val="none"/>
          <w:lang w:val="en-US" w:eastAsia="zh-CN"/>
        </w:rPr>
      </w:pPr>
      <w:r>
        <w:rPr>
          <w:rFonts w:hint="eastAsia" w:ascii="宋体" w:eastAsia="宋体"/>
          <w:bCs w:val="0"/>
          <w:color w:val="auto"/>
          <w:sz w:val="22"/>
          <w:szCs w:val="22"/>
          <w:highlight w:val="none"/>
        </w:rPr>
        <w:t>附件</w:t>
      </w:r>
      <w:r>
        <w:rPr>
          <w:rFonts w:hint="eastAsia" w:ascii="宋体" w:eastAsia="宋体"/>
          <w:bCs w:val="0"/>
          <w:color w:val="auto"/>
          <w:sz w:val="22"/>
          <w:szCs w:val="22"/>
          <w:highlight w:val="none"/>
          <w:lang w:val="en-US" w:eastAsia="zh-CN"/>
        </w:rPr>
        <w:t>十三</w:t>
      </w:r>
    </w:p>
    <w:p>
      <w:pPr>
        <w:tabs>
          <w:tab w:val="left" w:pos="1080"/>
        </w:tabs>
        <w:autoSpaceDE w:val="0"/>
        <w:autoSpaceDN w:val="0"/>
        <w:adjustRightInd w:val="0"/>
        <w:spacing w:line="440" w:lineRule="atLeast"/>
        <w:jc w:val="center"/>
        <w:rPr>
          <w:rFonts w:hint="eastAsia" w:ascii="宋体" w:hAnsi="宋体" w:eastAsia="宋体" w:cs="宋体"/>
          <w:color w:val="auto"/>
          <w:sz w:val="32"/>
          <w:szCs w:val="32"/>
          <w:highlight w:val="none"/>
        </w:rPr>
      </w:pPr>
      <w:bookmarkStart w:id="172" w:name="_Toc185"/>
      <w:bookmarkStart w:id="173" w:name="_Toc24554"/>
      <w:r>
        <w:rPr>
          <w:rFonts w:hint="eastAsia" w:ascii="宋体" w:hAnsi="宋体" w:eastAsia="宋体" w:cs="宋体"/>
          <w:color w:val="auto"/>
          <w:sz w:val="32"/>
          <w:szCs w:val="32"/>
          <w:highlight w:val="none"/>
        </w:rPr>
        <w:t>证书一览表</w:t>
      </w:r>
      <w:bookmarkEnd w:id="172"/>
      <w:bookmarkEnd w:id="173"/>
    </w:p>
    <w:p>
      <w:pPr>
        <w:pStyle w:val="157"/>
        <w:spacing w:line="360" w:lineRule="auto"/>
        <w:jc w:val="center"/>
        <w:rPr>
          <w:rFonts w:ascii="宋体" w:hAnsi="宋体" w:cs="Arial"/>
          <w:color w:val="auto"/>
          <w:sz w:val="28"/>
          <w:szCs w:val="28"/>
          <w:highlight w:val="none"/>
        </w:rPr>
      </w:pPr>
    </w:p>
    <w:tbl>
      <w:tblPr>
        <w:tblStyle w:val="43"/>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2537"/>
        <w:gridCol w:w="2539"/>
        <w:gridCol w:w="23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07" w:type="pct"/>
            <w:tcBorders>
              <w:top w:val="single" w:color="auto" w:sz="4" w:space="0"/>
              <w:left w:val="single" w:color="auto" w:sz="4" w:space="0"/>
              <w:bottom w:val="single" w:color="auto" w:sz="4" w:space="0"/>
            </w:tcBorders>
          </w:tcPr>
          <w:p>
            <w:pPr>
              <w:pStyle w:val="157"/>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1338" w:type="pct"/>
            <w:tcBorders>
              <w:top w:val="single" w:color="auto" w:sz="4" w:space="0"/>
              <w:bottom w:val="single" w:color="auto" w:sz="4" w:space="0"/>
            </w:tcBorders>
          </w:tcPr>
          <w:p>
            <w:pPr>
              <w:pStyle w:val="157"/>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1339" w:type="pct"/>
            <w:tcBorders>
              <w:top w:val="single" w:color="auto" w:sz="4" w:space="0"/>
              <w:bottom w:val="single" w:color="auto" w:sz="4" w:space="0"/>
            </w:tcBorders>
          </w:tcPr>
          <w:p>
            <w:pPr>
              <w:pStyle w:val="157"/>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213" w:type="pct"/>
            <w:tcBorders>
              <w:top w:val="single" w:color="auto" w:sz="4" w:space="0"/>
              <w:bottom w:val="single" w:color="auto" w:sz="4" w:space="0"/>
              <w:right w:val="single" w:color="auto" w:sz="4" w:space="0"/>
            </w:tcBorders>
          </w:tcPr>
          <w:p>
            <w:pPr>
              <w:pStyle w:val="157"/>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tcBorders>
              <w:top w:val="single" w:color="auto" w:sz="4" w:space="0"/>
              <w:left w:val="single" w:color="auto" w:sz="4" w:space="0"/>
            </w:tcBorders>
          </w:tcPr>
          <w:p>
            <w:pPr>
              <w:pStyle w:val="157"/>
              <w:spacing w:line="360" w:lineRule="auto"/>
              <w:jc w:val="center"/>
              <w:rPr>
                <w:rFonts w:ascii="宋体" w:hAnsi="宋体" w:cs="Arial"/>
                <w:color w:val="auto"/>
                <w:szCs w:val="21"/>
                <w:highlight w:val="none"/>
              </w:rPr>
            </w:pPr>
          </w:p>
        </w:tc>
        <w:tc>
          <w:tcPr>
            <w:tcW w:w="1338" w:type="pct"/>
            <w:tcBorders>
              <w:top w:val="single" w:color="auto" w:sz="4" w:space="0"/>
            </w:tcBorders>
          </w:tcPr>
          <w:p>
            <w:pPr>
              <w:pStyle w:val="157"/>
              <w:spacing w:line="360" w:lineRule="auto"/>
              <w:jc w:val="center"/>
              <w:rPr>
                <w:rFonts w:ascii="宋体" w:hAnsi="宋体" w:cs="Arial"/>
                <w:color w:val="auto"/>
                <w:szCs w:val="21"/>
                <w:highlight w:val="none"/>
              </w:rPr>
            </w:pPr>
          </w:p>
        </w:tc>
        <w:tc>
          <w:tcPr>
            <w:tcW w:w="1339" w:type="pct"/>
            <w:tcBorders>
              <w:top w:val="single" w:color="auto" w:sz="4" w:space="0"/>
            </w:tcBorders>
          </w:tcPr>
          <w:p>
            <w:pPr>
              <w:pStyle w:val="157"/>
              <w:spacing w:line="360" w:lineRule="auto"/>
              <w:jc w:val="center"/>
              <w:rPr>
                <w:rFonts w:ascii="宋体" w:hAnsi="宋体" w:cs="Arial"/>
                <w:color w:val="auto"/>
                <w:szCs w:val="21"/>
                <w:highlight w:val="none"/>
              </w:rPr>
            </w:pPr>
          </w:p>
        </w:tc>
        <w:tc>
          <w:tcPr>
            <w:tcW w:w="1213" w:type="pct"/>
            <w:tcBorders>
              <w:top w:val="single" w:color="auto" w:sz="4" w:space="0"/>
              <w:right w:val="single" w:color="auto" w:sz="4" w:space="0"/>
            </w:tcBorders>
          </w:tcPr>
          <w:p>
            <w:pPr>
              <w:pStyle w:val="15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tcBorders>
              <w:left w:val="single" w:color="auto" w:sz="4" w:space="0"/>
            </w:tcBorders>
          </w:tcPr>
          <w:p>
            <w:pPr>
              <w:pStyle w:val="157"/>
              <w:spacing w:line="360" w:lineRule="auto"/>
              <w:jc w:val="center"/>
              <w:rPr>
                <w:rFonts w:ascii="宋体" w:hAnsi="宋体" w:cs="Arial"/>
                <w:color w:val="auto"/>
                <w:szCs w:val="21"/>
                <w:highlight w:val="none"/>
              </w:rPr>
            </w:pPr>
          </w:p>
        </w:tc>
        <w:tc>
          <w:tcPr>
            <w:tcW w:w="1338" w:type="pct"/>
          </w:tcPr>
          <w:p>
            <w:pPr>
              <w:pStyle w:val="157"/>
              <w:spacing w:line="360" w:lineRule="auto"/>
              <w:jc w:val="center"/>
              <w:rPr>
                <w:rFonts w:ascii="宋体" w:hAnsi="宋体" w:cs="Arial"/>
                <w:color w:val="auto"/>
                <w:szCs w:val="21"/>
                <w:highlight w:val="none"/>
              </w:rPr>
            </w:pPr>
          </w:p>
        </w:tc>
        <w:tc>
          <w:tcPr>
            <w:tcW w:w="1339" w:type="pct"/>
          </w:tcPr>
          <w:p>
            <w:pPr>
              <w:pStyle w:val="157"/>
              <w:spacing w:line="360" w:lineRule="auto"/>
              <w:jc w:val="center"/>
              <w:rPr>
                <w:rFonts w:ascii="宋体" w:hAnsi="宋体" w:cs="Arial"/>
                <w:color w:val="auto"/>
                <w:szCs w:val="21"/>
                <w:highlight w:val="none"/>
              </w:rPr>
            </w:pPr>
          </w:p>
        </w:tc>
        <w:tc>
          <w:tcPr>
            <w:tcW w:w="1213" w:type="pct"/>
            <w:tcBorders>
              <w:right w:val="single" w:color="auto" w:sz="4" w:space="0"/>
            </w:tcBorders>
          </w:tcPr>
          <w:p>
            <w:pPr>
              <w:pStyle w:val="15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tcBorders>
              <w:left w:val="single" w:color="auto" w:sz="4" w:space="0"/>
            </w:tcBorders>
          </w:tcPr>
          <w:p>
            <w:pPr>
              <w:pStyle w:val="157"/>
              <w:spacing w:line="360" w:lineRule="auto"/>
              <w:jc w:val="center"/>
              <w:rPr>
                <w:rFonts w:ascii="宋体" w:hAnsi="宋体" w:cs="Arial"/>
                <w:color w:val="auto"/>
                <w:szCs w:val="21"/>
                <w:highlight w:val="none"/>
              </w:rPr>
            </w:pPr>
          </w:p>
        </w:tc>
        <w:tc>
          <w:tcPr>
            <w:tcW w:w="1338" w:type="pct"/>
          </w:tcPr>
          <w:p>
            <w:pPr>
              <w:pStyle w:val="157"/>
              <w:spacing w:line="360" w:lineRule="auto"/>
              <w:jc w:val="center"/>
              <w:rPr>
                <w:rFonts w:ascii="宋体" w:hAnsi="宋体" w:cs="Arial"/>
                <w:color w:val="auto"/>
                <w:szCs w:val="21"/>
                <w:highlight w:val="none"/>
              </w:rPr>
            </w:pPr>
          </w:p>
        </w:tc>
        <w:tc>
          <w:tcPr>
            <w:tcW w:w="1339" w:type="pct"/>
          </w:tcPr>
          <w:p>
            <w:pPr>
              <w:pStyle w:val="157"/>
              <w:spacing w:line="360" w:lineRule="auto"/>
              <w:jc w:val="center"/>
              <w:rPr>
                <w:rFonts w:ascii="宋体" w:hAnsi="宋体" w:cs="Arial"/>
                <w:color w:val="auto"/>
                <w:szCs w:val="21"/>
                <w:highlight w:val="none"/>
              </w:rPr>
            </w:pPr>
          </w:p>
        </w:tc>
        <w:tc>
          <w:tcPr>
            <w:tcW w:w="1213" w:type="pct"/>
            <w:tcBorders>
              <w:right w:val="single" w:color="auto" w:sz="4" w:space="0"/>
            </w:tcBorders>
          </w:tcPr>
          <w:p>
            <w:pPr>
              <w:pStyle w:val="15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tcBorders>
              <w:left w:val="single" w:color="auto" w:sz="4" w:space="0"/>
            </w:tcBorders>
          </w:tcPr>
          <w:p>
            <w:pPr>
              <w:pStyle w:val="157"/>
              <w:spacing w:line="360" w:lineRule="auto"/>
              <w:jc w:val="center"/>
              <w:rPr>
                <w:rFonts w:ascii="宋体" w:hAnsi="宋体" w:cs="Arial"/>
                <w:color w:val="auto"/>
                <w:szCs w:val="21"/>
                <w:highlight w:val="none"/>
              </w:rPr>
            </w:pPr>
          </w:p>
        </w:tc>
        <w:tc>
          <w:tcPr>
            <w:tcW w:w="1338" w:type="pct"/>
          </w:tcPr>
          <w:p>
            <w:pPr>
              <w:pStyle w:val="157"/>
              <w:spacing w:line="360" w:lineRule="auto"/>
              <w:jc w:val="center"/>
              <w:rPr>
                <w:rFonts w:ascii="宋体" w:hAnsi="宋体" w:cs="Arial"/>
                <w:color w:val="auto"/>
                <w:szCs w:val="21"/>
                <w:highlight w:val="none"/>
              </w:rPr>
            </w:pPr>
          </w:p>
        </w:tc>
        <w:tc>
          <w:tcPr>
            <w:tcW w:w="1339" w:type="pct"/>
          </w:tcPr>
          <w:p>
            <w:pPr>
              <w:pStyle w:val="157"/>
              <w:spacing w:line="360" w:lineRule="auto"/>
              <w:jc w:val="center"/>
              <w:rPr>
                <w:rFonts w:ascii="宋体" w:hAnsi="宋体" w:cs="Arial"/>
                <w:color w:val="auto"/>
                <w:szCs w:val="21"/>
                <w:highlight w:val="none"/>
              </w:rPr>
            </w:pPr>
          </w:p>
        </w:tc>
        <w:tc>
          <w:tcPr>
            <w:tcW w:w="1213" w:type="pct"/>
            <w:tcBorders>
              <w:right w:val="single" w:color="auto" w:sz="4" w:space="0"/>
            </w:tcBorders>
          </w:tcPr>
          <w:p>
            <w:pPr>
              <w:pStyle w:val="15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tcBorders>
              <w:left w:val="single" w:color="auto" w:sz="4" w:space="0"/>
            </w:tcBorders>
          </w:tcPr>
          <w:p>
            <w:pPr>
              <w:pStyle w:val="157"/>
              <w:spacing w:line="360" w:lineRule="auto"/>
              <w:jc w:val="center"/>
              <w:rPr>
                <w:rFonts w:ascii="宋体" w:hAnsi="宋体" w:cs="Arial"/>
                <w:color w:val="auto"/>
                <w:szCs w:val="21"/>
                <w:highlight w:val="none"/>
              </w:rPr>
            </w:pPr>
          </w:p>
        </w:tc>
        <w:tc>
          <w:tcPr>
            <w:tcW w:w="1338" w:type="pct"/>
          </w:tcPr>
          <w:p>
            <w:pPr>
              <w:pStyle w:val="157"/>
              <w:spacing w:line="360" w:lineRule="auto"/>
              <w:jc w:val="center"/>
              <w:rPr>
                <w:rFonts w:ascii="宋体" w:hAnsi="宋体" w:cs="Arial"/>
                <w:color w:val="auto"/>
                <w:szCs w:val="21"/>
                <w:highlight w:val="none"/>
              </w:rPr>
            </w:pPr>
          </w:p>
        </w:tc>
        <w:tc>
          <w:tcPr>
            <w:tcW w:w="1339" w:type="pct"/>
          </w:tcPr>
          <w:p>
            <w:pPr>
              <w:pStyle w:val="157"/>
              <w:spacing w:line="360" w:lineRule="auto"/>
              <w:jc w:val="center"/>
              <w:rPr>
                <w:rFonts w:ascii="宋体" w:hAnsi="宋体" w:cs="Arial"/>
                <w:color w:val="auto"/>
                <w:szCs w:val="21"/>
                <w:highlight w:val="none"/>
              </w:rPr>
            </w:pPr>
          </w:p>
        </w:tc>
        <w:tc>
          <w:tcPr>
            <w:tcW w:w="1213" w:type="pct"/>
            <w:tcBorders>
              <w:right w:val="single" w:color="auto" w:sz="4" w:space="0"/>
            </w:tcBorders>
          </w:tcPr>
          <w:p>
            <w:pPr>
              <w:pStyle w:val="15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tcBorders>
              <w:left w:val="single" w:color="auto" w:sz="4" w:space="0"/>
            </w:tcBorders>
          </w:tcPr>
          <w:p>
            <w:pPr>
              <w:pStyle w:val="157"/>
              <w:spacing w:line="360" w:lineRule="auto"/>
              <w:jc w:val="center"/>
              <w:rPr>
                <w:rFonts w:ascii="宋体" w:hAnsi="宋体" w:cs="Arial"/>
                <w:color w:val="auto"/>
                <w:szCs w:val="21"/>
                <w:highlight w:val="none"/>
              </w:rPr>
            </w:pPr>
          </w:p>
        </w:tc>
        <w:tc>
          <w:tcPr>
            <w:tcW w:w="1338" w:type="pct"/>
          </w:tcPr>
          <w:p>
            <w:pPr>
              <w:pStyle w:val="157"/>
              <w:spacing w:line="360" w:lineRule="auto"/>
              <w:jc w:val="center"/>
              <w:rPr>
                <w:rFonts w:ascii="宋体" w:hAnsi="宋体" w:cs="Arial"/>
                <w:color w:val="auto"/>
                <w:szCs w:val="21"/>
                <w:highlight w:val="none"/>
              </w:rPr>
            </w:pPr>
          </w:p>
        </w:tc>
        <w:tc>
          <w:tcPr>
            <w:tcW w:w="1339" w:type="pct"/>
          </w:tcPr>
          <w:p>
            <w:pPr>
              <w:pStyle w:val="157"/>
              <w:spacing w:line="360" w:lineRule="auto"/>
              <w:jc w:val="center"/>
              <w:rPr>
                <w:rFonts w:ascii="宋体" w:hAnsi="宋体" w:cs="Arial"/>
                <w:color w:val="auto"/>
                <w:szCs w:val="21"/>
                <w:highlight w:val="none"/>
              </w:rPr>
            </w:pPr>
          </w:p>
        </w:tc>
        <w:tc>
          <w:tcPr>
            <w:tcW w:w="1213" w:type="pct"/>
            <w:tcBorders>
              <w:right w:val="single" w:color="auto" w:sz="4" w:space="0"/>
            </w:tcBorders>
          </w:tcPr>
          <w:p>
            <w:pPr>
              <w:pStyle w:val="15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tcBorders>
              <w:left w:val="single" w:color="auto" w:sz="4" w:space="0"/>
              <w:bottom w:val="single" w:color="auto" w:sz="4" w:space="0"/>
            </w:tcBorders>
          </w:tcPr>
          <w:p>
            <w:pPr>
              <w:pStyle w:val="157"/>
              <w:spacing w:line="360" w:lineRule="auto"/>
              <w:jc w:val="center"/>
              <w:rPr>
                <w:rFonts w:ascii="宋体" w:hAnsi="宋体" w:cs="Arial"/>
                <w:color w:val="auto"/>
                <w:szCs w:val="21"/>
                <w:highlight w:val="none"/>
              </w:rPr>
            </w:pPr>
          </w:p>
        </w:tc>
        <w:tc>
          <w:tcPr>
            <w:tcW w:w="1338" w:type="pct"/>
            <w:tcBorders>
              <w:bottom w:val="single" w:color="auto" w:sz="4" w:space="0"/>
            </w:tcBorders>
          </w:tcPr>
          <w:p>
            <w:pPr>
              <w:pStyle w:val="157"/>
              <w:spacing w:line="360" w:lineRule="auto"/>
              <w:jc w:val="center"/>
              <w:rPr>
                <w:rFonts w:ascii="宋体" w:hAnsi="宋体" w:cs="Arial"/>
                <w:color w:val="auto"/>
                <w:szCs w:val="21"/>
                <w:highlight w:val="none"/>
              </w:rPr>
            </w:pPr>
          </w:p>
        </w:tc>
        <w:tc>
          <w:tcPr>
            <w:tcW w:w="1339" w:type="pct"/>
            <w:tcBorders>
              <w:bottom w:val="single" w:color="auto" w:sz="4" w:space="0"/>
            </w:tcBorders>
          </w:tcPr>
          <w:p>
            <w:pPr>
              <w:pStyle w:val="157"/>
              <w:spacing w:line="360" w:lineRule="auto"/>
              <w:jc w:val="center"/>
              <w:rPr>
                <w:rFonts w:ascii="宋体" w:hAnsi="宋体" w:cs="Arial"/>
                <w:color w:val="auto"/>
                <w:szCs w:val="21"/>
                <w:highlight w:val="none"/>
              </w:rPr>
            </w:pPr>
          </w:p>
        </w:tc>
        <w:tc>
          <w:tcPr>
            <w:tcW w:w="1213" w:type="pct"/>
            <w:tcBorders>
              <w:bottom w:val="single" w:color="auto" w:sz="4" w:space="0"/>
              <w:right w:val="single" w:color="auto" w:sz="4" w:space="0"/>
            </w:tcBorders>
          </w:tcPr>
          <w:p>
            <w:pPr>
              <w:pStyle w:val="157"/>
              <w:spacing w:line="360" w:lineRule="auto"/>
              <w:jc w:val="center"/>
              <w:rPr>
                <w:rFonts w:ascii="宋体" w:hAnsi="宋体" w:cs="Arial"/>
                <w:color w:val="auto"/>
                <w:szCs w:val="21"/>
                <w:highlight w:val="none"/>
              </w:rPr>
            </w:pPr>
          </w:p>
        </w:tc>
      </w:tr>
    </w:tbl>
    <w:p>
      <w:pPr>
        <w:pStyle w:val="157"/>
        <w:tabs>
          <w:tab w:val="left" w:pos="1050"/>
        </w:tabs>
        <w:spacing w:line="360" w:lineRule="auto"/>
        <w:rPr>
          <w:rFonts w:ascii="仿宋_GB2312" w:hAnsi="宋体" w:eastAsia="仿宋_GB2312"/>
          <w:color w:val="auto"/>
          <w:sz w:val="24"/>
          <w:highlight w:val="none"/>
        </w:rPr>
      </w:pPr>
    </w:p>
    <w:p>
      <w:pPr>
        <w:pStyle w:val="157"/>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157"/>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157"/>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w:t>
      </w:r>
      <w:r>
        <w:rPr>
          <w:rFonts w:hint="eastAsia" w:ascii="宋体" w:hAnsi="宋体"/>
          <w:color w:val="auto"/>
          <w:szCs w:val="21"/>
          <w:highlight w:val="none"/>
          <w:lang w:val="en-US" w:eastAsia="zh-CN"/>
        </w:rPr>
        <w:t>扫描件</w:t>
      </w:r>
      <w:r>
        <w:rPr>
          <w:rFonts w:hint="eastAsia" w:ascii="宋体" w:hAnsi="宋体"/>
          <w:color w:val="auto"/>
          <w:szCs w:val="21"/>
          <w:highlight w:val="none"/>
        </w:rPr>
        <w:t>或其他证明材料。</w:t>
      </w:r>
    </w:p>
    <w:p>
      <w:pPr>
        <w:spacing w:line="480" w:lineRule="auto"/>
        <w:ind w:firstLine="435"/>
        <w:jc w:val="center"/>
        <w:rPr>
          <w:rFonts w:hint="eastAsia" w:ascii="宋体" w:hAnsi="宋体"/>
          <w:b/>
          <w:color w:val="auto"/>
          <w:sz w:val="36"/>
          <w:szCs w:val="36"/>
          <w:highlight w:val="none"/>
          <w:lang w:bidi="en-US"/>
        </w:rPr>
      </w:pPr>
    </w:p>
    <w:p>
      <w:pPr>
        <w:spacing w:line="440" w:lineRule="atLeast"/>
        <w:rPr>
          <w:rFonts w:ascii="宋体" w:eastAsia="宋体"/>
          <w:b w:val="0"/>
          <w:color w:val="auto"/>
          <w:sz w:val="22"/>
          <w:szCs w:val="22"/>
          <w:highlight w:val="none"/>
        </w:rPr>
      </w:pPr>
      <w:r>
        <w:rPr>
          <w:rFonts w:hint="eastAsia" w:ascii="宋体" w:eastAsia="宋体"/>
          <w:b w:val="0"/>
          <w:color w:val="auto"/>
          <w:sz w:val="22"/>
          <w:szCs w:val="22"/>
          <w:highlight w:val="none"/>
        </w:rPr>
        <w:t>供应商全称（盖章）：</w:t>
      </w:r>
    </w:p>
    <w:p>
      <w:pPr>
        <w:autoSpaceDE w:val="0"/>
        <w:autoSpaceDN w:val="0"/>
        <w:adjustRightInd w:val="0"/>
        <w:spacing w:line="460" w:lineRule="atLeast"/>
        <w:rPr>
          <w:rFonts w:ascii="宋体" w:eastAsia="宋体"/>
          <w:b w:val="0"/>
          <w:color w:val="auto"/>
          <w:sz w:val="22"/>
          <w:szCs w:val="22"/>
          <w:highlight w:val="none"/>
        </w:rPr>
      </w:pPr>
      <w:r>
        <w:rPr>
          <w:rFonts w:hint="eastAsia" w:ascii="宋体" w:eastAsia="宋体"/>
          <w:b w:val="0"/>
          <w:color w:val="auto"/>
          <w:sz w:val="22"/>
          <w:szCs w:val="22"/>
          <w:highlight w:val="none"/>
        </w:rPr>
        <w:t>日期：</w:t>
      </w:r>
    </w:p>
    <w:p>
      <w:pPr>
        <w:spacing w:line="480" w:lineRule="auto"/>
        <w:ind w:firstLine="435"/>
        <w:jc w:val="center"/>
        <w:rPr>
          <w:rFonts w:hint="eastAsia" w:ascii="宋体" w:hAnsi="宋体"/>
          <w:b/>
          <w:color w:val="auto"/>
          <w:sz w:val="36"/>
          <w:szCs w:val="36"/>
          <w:highlight w:val="none"/>
          <w:lang w:bidi="en-US"/>
        </w:rPr>
      </w:pPr>
    </w:p>
    <w:p>
      <w:pPr>
        <w:spacing w:line="480" w:lineRule="auto"/>
        <w:ind w:firstLine="435"/>
        <w:jc w:val="center"/>
        <w:rPr>
          <w:rFonts w:hint="eastAsia" w:ascii="宋体" w:hAnsi="宋体"/>
          <w:b/>
          <w:color w:val="auto"/>
          <w:sz w:val="36"/>
          <w:szCs w:val="36"/>
          <w:highlight w:val="none"/>
          <w:lang w:bidi="en-US"/>
        </w:rPr>
      </w:pPr>
    </w:p>
    <w:p>
      <w:pPr>
        <w:rPr>
          <w:rFonts w:hint="eastAsia" w:ascii="宋体" w:hAnsi="宋体"/>
          <w:b/>
          <w:color w:val="auto"/>
          <w:sz w:val="36"/>
          <w:szCs w:val="36"/>
          <w:highlight w:val="none"/>
          <w:lang w:bidi="en-US"/>
        </w:rPr>
      </w:pPr>
      <w:r>
        <w:rPr>
          <w:rFonts w:hint="eastAsia" w:ascii="宋体" w:hAnsi="宋体"/>
          <w:b/>
          <w:color w:val="auto"/>
          <w:sz w:val="36"/>
          <w:szCs w:val="36"/>
          <w:highlight w:val="none"/>
          <w:lang w:bidi="en-US"/>
        </w:rPr>
        <w:br w:type="page"/>
      </w:r>
    </w:p>
    <w:p>
      <w:pPr>
        <w:widowControl/>
        <w:jc w:val="left"/>
        <w:rPr>
          <w:rFonts w:hint="default" w:ascii="宋体" w:eastAsia="宋体"/>
          <w:bCs w:val="0"/>
          <w:color w:val="auto"/>
          <w:sz w:val="22"/>
          <w:szCs w:val="22"/>
          <w:highlight w:val="none"/>
          <w:lang w:val="en-US" w:eastAsia="zh-CN"/>
        </w:rPr>
      </w:pPr>
      <w:r>
        <w:rPr>
          <w:rFonts w:hint="eastAsia" w:ascii="宋体" w:eastAsia="宋体"/>
          <w:bCs w:val="0"/>
          <w:color w:val="auto"/>
          <w:sz w:val="22"/>
          <w:szCs w:val="22"/>
          <w:highlight w:val="none"/>
        </w:rPr>
        <w:t>附件</w:t>
      </w:r>
      <w:r>
        <w:rPr>
          <w:rFonts w:hint="eastAsia" w:ascii="宋体" w:eastAsia="宋体"/>
          <w:bCs w:val="0"/>
          <w:color w:val="auto"/>
          <w:sz w:val="22"/>
          <w:szCs w:val="22"/>
          <w:highlight w:val="none"/>
          <w:lang w:val="en-US" w:eastAsia="zh-CN"/>
        </w:rPr>
        <w:t>十四</w:t>
      </w:r>
    </w:p>
    <w:p>
      <w:pPr>
        <w:spacing w:line="480" w:lineRule="auto"/>
        <w:ind w:firstLine="435"/>
        <w:jc w:val="center"/>
        <w:rPr>
          <w:rFonts w:hint="eastAsia" w:ascii="宋体" w:hAnsi="宋体"/>
          <w:b/>
          <w:color w:val="auto"/>
          <w:sz w:val="36"/>
          <w:szCs w:val="36"/>
          <w:highlight w:val="none"/>
          <w:lang w:bidi="en-US"/>
        </w:rPr>
      </w:pPr>
    </w:p>
    <w:p>
      <w:pPr>
        <w:spacing w:line="480" w:lineRule="auto"/>
        <w:ind w:firstLine="435"/>
        <w:jc w:val="center"/>
        <w:rPr>
          <w:rFonts w:ascii="宋体" w:hAnsi="宋体"/>
          <w:b/>
          <w:color w:val="auto"/>
          <w:sz w:val="36"/>
          <w:szCs w:val="36"/>
          <w:highlight w:val="none"/>
          <w:lang w:bidi="en-US"/>
        </w:rPr>
      </w:pPr>
      <w:r>
        <w:rPr>
          <w:rFonts w:hint="eastAsia" w:ascii="宋体" w:hAnsi="宋体"/>
          <w:b/>
          <w:color w:val="auto"/>
          <w:sz w:val="36"/>
          <w:szCs w:val="36"/>
          <w:highlight w:val="none"/>
          <w:lang w:bidi="en-US"/>
        </w:rPr>
        <w:t>投标剧目明细表</w:t>
      </w:r>
    </w:p>
    <w:tbl>
      <w:tblPr>
        <w:tblStyle w:val="43"/>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984"/>
        <w:gridCol w:w="1124"/>
        <w:gridCol w:w="2259"/>
        <w:gridCol w:w="2430"/>
        <w:gridCol w:w="127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7" w:hRule="atLeast"/>
          <w:jc w:val="center"/>
        </w:trPr>
        <w:tc>
          <w:tcPr>
            <w:tcW w:w="984" w:type="dxa"/>
            <w:tcBorders>
              <w:bottom w:val="single" w:color="auto" w:sz="4" w:space="0"/>
            </w:tcBorders>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剧目</w:t>
            </w:r>
          </w:p>
        </w:tc>
        <w:tc>
          <w:tcPr>
            <w:tcW w:w="1124" w:type="dxa"/>
            <w:tcBorders>
              <w:bottom w:val="single" w:color="auto" w:sz="4" w:space="0"/>
            </w:tcBorders>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剧种</w:t>
            </w:r>
          </w:p>
        </w:tc>
        <w:tc>
          <w:tcPr>
            <w:tcW w:w="2259" w:type="dxa"/>
            <w:tcBorders>
              <w:bottom w:val="single" w:color="auto" w:sz="4" w:space="0"/>
            </w:tcBorders>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演出时长</w:t>
            </w:r>
          </w:p>
        </w:tc>
        <w:tc>
          <w:tcPr>
            <w:tcW w:w="2430" w:type="dxa"/>
            <w:tcBorders>
              <w:bottom w:val="single" w:color="auto" w:sz="4" w:space="0"/>
            </w:tcBorders>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剧情简介</w:t>
            </w:r>
          </w:p>
        </w:tc>
        <w:tc>
          <w:tcPr>
            <w:tcW w:w="1278" w:type="dxa"/>
            <w:tcBorders>
              <w:bottom w:val="single" w:color="auto" w:sz="4" w:space="0"/>
            </w:tcBorders>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出演人数</w:t>
            </w:r>
          </w:p>
        </w:tc>
        <w:tc>
          <w:tcPr>
            <w:tcW w:w="1399" w:type="dxa"/>
            <w:tcBorders>
              <w:bottom w:val="single" w:color="auto" w:sz="4" w:space="0"/>
            </w:tcBorders>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97"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shd w:val="clear" w:color="auto" w:fill="FFFFFF"/>
            <w:vAlign w:val="center"/>
          </w:tcPr>
          <w:p>
            <w:pPr>
              <w:spacing w:line="360" w:lineRule="auto"/>
              <w:jc w:val="center"/>
              <w:rPr>
                <w:rFonts w:ascii="宋体" w:hAnsi="宋体"/>
                <w:color w:val="auto"/>
                <w:sz w:val="24"/>
                <w:highlight w:val="none"/>
                <w:lang w:bidi="en-US"/>
              </w:rPr>
            </w:pPr>
          </w:p>
        </w:tc>
        <w:tc>
          <w:tcPr>
            <w:tcW w:w="2430" w:type="dxa"/>
            <w:shd w:val="clear" w:color="auto" w:fill="FFFFFF"/>
            <w:vAlign w:val="center"/>
          </w:tcPr>
          <w:p>
            <w:pPr>
              <w:spacing w:line="360" w:lineRule="auto"/>
              <w:jc w:val="center"/>
              <w:rPr>
                <w:rFonts w:ascii="宋体" w:hAnsi="宋体"/>
                <w:color w:val="auto"/>
                <w:sz w:val="24"/>
                <w:highlight w:val="none"/>
                <w:lang w:bidi="en-US"/>
              </w:rPr>
            </w:pPr>
          </w:p>
        </w:tc>
        <w:tc>
          <w:tcPr>
            <w:tcW w:w="1278" w:type="dxa"/>
            <w:shd w:val="clear" w:color="auto" w:fill="FFFFFF"/>
            <w:vAlign w:val="center"/>
          </w:tcPr>
          <w:p>
            <w:pPr>
              <w:spacing w:line="360" w:lineRule="auto"/>
              <w:jc w:val="center"/>
              <w:rPr>
                <w:rFonts w:ascii="宋体" w:hAnsi="宋体"/>
                <w:color w:val="auto"/>
                <w:sz w:val="24"/>
                <w:highlight w:val="none"/>
                <w:lang w:bidi="en-US"/>
              </w:rPr>
            </w:pPr>
          </w:p>
        </w:tc>
        <w:tc>
          <w:tcPr>
            <w:tcW w:w="1399" w:type="dxa"/>
            <w:shd w:val="clear" w:color="auto" w:fill="FFFFFF"/>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97"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shd w:val="clear" w:color="auto" w:fill="FFFFFF"/>
            <w:vAlign w:val="center"/>
          </w:tcPr>
          <w:p>
            <w:pPr>
              <w:spacing w:line="360" w:lineRule="auto"/>
              <w:jc w:val="center"/>
              <w:rPr>
                <w:rFonts w:ascii="宋体" w:hAnsi="宋体"/>
                <w:color w:val="auto"/>
                <w:sz w:val="24"/>
                <w:highlight w:val="none"/>
                <w:lang w:bidi="en-US"/>
              </w:rPr>
            </w:pPr>
          </w:p>
        </w:tc>
        <w:tc>
          <w:tcPr>
            <w:tcW w:w="2430" w:type="dxa"/>
            <w:shd w:val="clear" w:color="auto" w:fill="FFFFFF"/>
            <w:vAlign w:val="center"/>
          </w:tcPr>
          <w:p>
            <w:pPr>
              <w:spacing w:line="360" w:lineRule="auto"/>
              <w:jc w:val="center"/>
              <w:rPr>
                <w:rFonts w:ascii="宋体" w:hAnsi="宋体"/>
                <w:color w:val="auto"/>
                <w:sz w:val="24"/>
                <w:highlight w:val="none"/>
                <w:lang w:bidi="en-US"/>
              </w:rPr>
            </w:pPr>
          </w:p>
        </w:tc>
        <w:tc>
          <w:tcPr>
            <w:tcW w:w="1278" w:type="dxa"/>
            <w:shd w:val="clear" w:color="auto" w:fill="FFFFFF"/>
            <w:vAlign w:val="center"/>
          </w:tcPr>
          <w:p>
            <w:pPr>
              <w:spacing w:line="360" w:lineRule="auto"/>
              <w:jc w:val="center"/>
              <w:rPr>
                <w:rFonts w:ascii="宋体" w:hAnsi="宋体"/>
                <w:color w:val="auto"/>
                <w:sz w:val="24"/>
                <w:highlight w:val="none"/>
                <w:lang w:bidi="en-US"/>
              </w:rPr>
            </w:pPr>
          </w:p>
        </w:tc>
        <w:tc>
          <w:tcPr>
            <w:tcW w:w="1399" w:type="dxa"/>
            <w:shd w:val="clear" w:color="auto" w:fill="FFFFFF"/>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33"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shd w:val="clear" w:color="auto" w:fill="FFFFFF"/>
            <w:vAlign w:val="center"/>
          </w:tcPr>
          <w:p>
            <w:pPr>
              <w:spacing w:line="360" w:lineRule="auto"/>
              <w:jc w:val="center"/>
              <w:rPr>
                <w:rFonts w:ascii="宋体" w:hAnsi="宋体"/>
                <w:color w:val="auto"/>
                <w:sz w:val="24"/>
                <w:highlight w:val="none"/>
                <w:lang w:bidi="en-US"/>
              </w:rPr>
            </w:pPr>
          </w:p>
        </w:tc>
        <w:tc>
          <w:tcPr>
            <w:tcW w:w="2430" w:type="dxa"/>
            <w:shd w:val="clear" w:color="auto" w:fill="FFFFFF"/>
            <w:vAlign w:val="center"/>
          </w:tcPr>
          <w:p>
            <w:pPr>
              <w:spacing w:line="360" w:lineRule="auto"/>
              <w:jc w:val="center"/>
              <w:rPr>
                <w:rFonts w:ascii="宋体" w:hAnsi="宋体"/>
                <w:color w:val="auto"/>
                <w:sz w:val="24"/>
                <w:highlight w:val="none"/>
                <w:lang w:bidi="en-US"/>
              </w:rPr>
            </w:pPr>
          </w:p>
        </w:tc>
        <w:tc>
          <w:tcPr>
            <w:tcW w:w="1278" w:type="dxa"/>
            <w:shd w:val="clear" w:color="auto" w:fill="FFFFFF"/>
            <w:vAlign w:val="center"/>
          </w:tcPr>
          <w:p>
            <w:pPr>
              <w:spacing w:line="360" w:lineRule="auto"/>
              <w:jc w:val="center"/>
              <w:rPr>
                <w:rFonts w:ascii="宋体" w:hAnsi="宋体"/>
                <w:color w:val="auto"/>
                <w:sz w:val="24"/>
                <w:highlight w:val="none"/>
                <w:lang w:bidi="en-US"/>
              </w:rPr>
            </w:pPr>
          </w:p>
        </w:tc>
        <w:tc>
          <w:tcPr>
            <w:tcW w:w="1399" w:type="dxa"/>
            <w:shd w:val="clear" w:color="auto" w:fill="FFFFFF"/>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7"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shd w:val="clear" w:color="auto" w:fill="FFFFFF"/>
            <w:vAlign w:val="center"/>
          </w:tcPr>
          <w:p>
            <w:pPr>
              <w:spacing w:line="360" w:lineRule="auto"/>
              <w:jc w:val="center"/>
              <w:rPr>
                <w:rFonts w:ascii="宋体" w:hAnsi="宋体"/>
                <w:color w:val="auto"/>
                <w:sz w:val="24"/>
                <w:highlight w:val="none"/>
                <w:lang w:bidi="en-US"/>
              </w:rPr>
            </w:pPr>
          </w:p>
        </w:tc>
        <w:tc>
          <w:tcPr>
            <w:tcW w:w="2430" w:type="dxa"/>
            <w:shd w:val="clear" w:color="auto" w:fill="FFFFFF"/>
            <w:vAlign w:val="center"/>
          </w:tcPr>
          <w:p>
            <w:pPr>
              <w:spacing w:line="360" w:lineRule="auto"/>
              <w:jc w:val="center"/>
              <w:rPr>
                <w:rFonts w:ascii="宋体" w:hAnsi="宋体"/>
                <w:color w:val="auto"/>
                <w:sz w:val="24"/>
                <w:highlight w:val="none"/>
                <w:lang w:bidi="en-US"/>
              </w:rPr>
            </w:pPr>
          </w:p>
        </w:tc>
        <w:tc>
          <w:tcPr>
            <w:tcW w:w="1278" w:type="dxa"/>
            <w:shd w:val="clear" w:color="auto" w:fill="FFFFFF"/>
            <w:vAlign w:val="center"/>
          </w:tcPr>
          <w:p>
            <w:pPr>
              <w:spacing w:line="360" w:lineRule="auto"/>
              <w:jc w:val="center"/>
              <w:rPr>
                <w:rFonts w:ascii="宋体" w:hAnsi="宋体"/>
                <w:color w:val="auto"/>
                <w:sz w:val="24"/>
                <w:highlight w:val="none"/>
                <w:lang w:bidi="en-US"/>
              </w:rPr>
            </w:pPr>
          </w:p>
        </w:tc>
        <w:tc>
          <w:tcPr>
            <w:tcW w:w="1399" w:type="dxa"/>
            <w:shd w:val="clear" w:color="auto" w:fill="FFFFFF"/>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7"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tcBorders>
              <w:bottom w:val="single" w:color="auto" w:sz="4" w:space="0"/>
            </w:tcBorders>
            <w:shd w:val="clear" w:color="auto" w:fill="FFFFFF"/>
            <w:vAlign w:val="center"/>
          </w:tcPr>
          <w:p>
            <w:pPr>
              <w:spacing w:line="360" w:lineRule="auto"/>
              <w:jc w:val="center"/>
              <w:rPr>
                <w:rFonts w:ascii="宋体" w:hAnsi="宋体"/>
                <w:color w:val="auto"/>
                <w:sz w:val="24"/>
                <w:highlight w:val="none"/>
                <w:lang w:bidi="en-US"/>
              </w:rPr>
            </w:pPr>
          </w:p>
        </w:tc>
        <w:tc>
          <w:tcPr>
            <w:tcW w:w="2430" w:type="dxa"/>
            <w:tcBorders>
              <w:bottom w:val="single" w:color="auto" w:sz="4" w:space="0"/>
            </w:tcBorders>
            <w:shd w:val="clear" w:color="auto" w:fill="FFFFFF"/>
            <w:vAlign w:val="center"/>
          </w:tcPr>
          <w:p>
            <w:pPr>
              <w:spacing w:line="360" w:lineRule="auto"/>
              <w:jc w:val="center"/>
              <w:rPr>
                <w:rFonts w:ascii="宋体" w:hAnsi="宋体"/>
                <w:color w:val="auto"/>
                <w:sz w:val="24"/>
                <w:highlight w:val="none"/>
                <w:lang w:bidi="en-US"/>
              </w:rPr>
            </w:pPr>
          </w:p>
        </w:tc>
        <w:tc>
          <w:tcPr>
            <w:tcW w:w="1278" w:type="dxa"/>
            <w:tcBorders>
              <w:bottom w:val="single" w:color="auto" w:sz="4" w:space="0"/>
            </w:tcBorders>
            <w:shd w:val="clear" w:color="auto" w:fill="FFFFFF"/>
            <w:vAlign w:val="center"/>
          </w:tcPr>
          <w:p>
            <w:pPr>
              <w:spacing w:line="360" w:lineRule="auto"/>
              <w:jc w:val="center"/>
              <w:rPr>
                <w:rFonts w:ascii="宋体" w:hAnsi="宋体"/>
                <w:color w:val="auto"/>
                <w:sz w:val="24"/>
                <w:highlight w:val="none"/>
                <w:lang w:bidi="en-US"/>
              </w:rPr>
            </w:pPr>
          </w:p>
        </w:tc>
        <w:tc>
          <w:tcPr>
            <w:tcW w:w="1399" w:type="dxa"/>
            <w:tcBorders>
              <w:bottom w:val="single" w:color="auto" w:sz="4" w:space="0"/>
            </w:tcBorders>
            <w:shd w:val="clear" w:color="auto" w:fill="FFFFFF"/>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7"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shd w:val="clear" w:color="auto" w:fill="FFFFFF"/>
            <w:vAlign w:val="center"/>
          </w:tcPr>
          <w:p>
            <w:pPr>
              <w:spacing w:line="360" w:lineRule="auto"/>
              <w:jc w:val="center"/>
              <w:rPr>
                <w:rFonts w:ascii="宋体" w:hAnsi="宋体"/>
                <w:color w:val="auto"/>
                <w:sz w:val="24"/>
                <w:highlight w:val="none"/>
                <w:lang w:bidi="en-US"/>
              </w:rPr>
            </w:pPr>
          </w:p>
        </w:tc>
        <w:tc>
          <w:tcPr>
            <w:tcW w:w="2430" w:type="dxa"/>
            <w:shd w:val="clear" w:color="auto" w:fill="FFFFFF"/>
            <w:vAlign w:val="center"/>
          </w:tcPr>
          <w:p>
            <w:pPr>
              <w:spacing w:line="360" w:lineRule="auto"/>
              <w:jc w:val="center"/>
              <w:rPr>
                <w:rFonts w:ascii="宋体" w:hAnsi="宋体"/>
                <w:color w:val="auto"/>
                <w:sz w:val="24"/>
                <w:highlight w:val="none"/>
                <w:lang w:bidi="en-US"/>
              </w:rPr>
            </w:pPr>
          </w:p>
        </w:tc>
        <w:tc>
          <w:tcPr>
            <w:tcW w:w="1278" w:type="dxa"/>
            <w:shd w:val="clear" w:color="auto" w:fill="FFFFFF"/>
            <w:vAlign w:val="center"/>
          </w:tcPr>
          <w:p>
            <w:pPr>
              <w:spacing w:line="360" w:lineRule="auto"/>
              <w:jc w:val="center"/>
              <w:rPr>
                <w:rFonts w:ascii="宋体" w:hAnsi="宋体"/>
                <w:color w:val="auto"/>
                <w:sz w:val="24"/>
                <w:highlight w:val="none"/>
                <w:lang w:bidi="en-US"/>
              </w:rPr>
            </w:pPr>
          </w:p>
        </w:tc>
        <w:tc>
          <w:tcPr>
            <w:tcW w:w="1399" w:type="dxa"/>
            <w:shd w:val="clear" w:color="auto" w:fill="FFFFFF"/>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7"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tcBorders>
              <w:bottom w:val="single" w:color="auto" w:sz="4" w:space="0"/>
            </w:tcBorders>
            <w:shd w:val="clear" w:color="auto" w:fill="FFFFFF"/>
            <w:vAlign w:val="center"/>
          </w:tcPr>
          <w:p>
            <w:pPr>
              <w:spacing w:line="360" w:lineRule="auto"/>
              <w:jc w:val="center"/>
              <w:rPr>
                <w:rFonts w:ascii="宋体" w:hAnsi="宋体"/>
                <w:color w:val="auto"/>
                <w:sz w:val="24"/>
                <w:highlight w:val="none"/>
                <w:lang w:bidi="en-US"/>
              </w:rPr>
            </w:pPr>
          </w:p>
        </w:tc>
        <w:tc>
          <w:tcPr>
            <w:tcW w:w="2430" w:type="dxa"/>
            <w:tcBorders>
              <w:bottom w:val="single" w:color="auto" w:sz="4" w:space="0"/>
            </w:tcBorders>
            <w:shd w:val="clear" w:color="auto" w:fill="FFFFFF"/>
            <w:vAlign w:val="center"/>
          </w:tcPr>
          <w:p>
            <w:pPr>
              <w:spacing w:line="360" w:lineRule="auto"/>
              <w:jc w:val="center"/>
              <w:rPr>
                <w:rFonts w:ascii="宋体" w:hAnsi="宋体"/>
                <w:color w:val="auto"/>
                <w:sz w:val="24"/>
                <w:highlight w:val="none"/>
                <w:lang w:bidi="en-US"/>
              </w:rPr>
            </w:pPr>
          </w:p>
        </w:tc>
        <w:tc>
          <w:tcPr>
            <w:tcW w:w="1278" w:type="dxa"/>
            <w:tcBorders>
              <w:bottom w:val="single" w:color="auto" w:sz="4" w:space="0"/>
            </w:tcBorders>
            <w:shd w:val="clear" w:color="auto" w:fill="FFFFFF"/>
            <w:vAlign w:val="center"/>
          </w:tcPr>
          <w:p>
            <w:pPr>
              <w:spacing w:line="360" w:lineRule="auto"/>
              <w:jc w:val="center"/>
              <w:rPr>
                <w:rFonts w:ascii="宋体" w:hAnsi="宋体"/>
                <w:color w:val="auto"/>
                <w:sz w:val="24"/>
                <w:highlight w:val="none"/>
                <w:lang w:bidi="en-US"/>
              </w:rPr>
            </w:pPr>
          </w:p>
        </w:tc>
        <w:tc>
          <w:tcPr>
            <w:tcW w:w="1399" w:type="dxa"/>
            <w:tcBorders>
              <w:bottom w:val="single" w:color="auto" w:sz="4" w:space="0"/>
            </w:tcBorders>
            <w:shd w:val="clear" w:color="auto" w:fill="FFFFFF"/>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7"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shd w:val="clear" w:color="auto" w:fill="FFFFFF"/>
            <w:vAlign w:val="center"/>
          </w:tcPr>
          <w:p>
            <w:pPr>
              <w:spacing w:line="360" w:lineRule="auto"/>
              <w:jc w:val="center"/>
              <w:rPr>
                <w:rFonts w:ascii="宋体" w:hAnsi="宋体"/>
                <w:color w:val="auto"/>
                <w:sz w:val="24"/>
                <w:highlight w:val="none"/>
                <w:lang w:bidi="en-US"/>
              </w:rPr>
            </w:pPr>
          </w:p>
        </w:tc>
        <w:tc>
          <w:tcPr>
            <w:tcW w:w="2430" w:type="dxa"/>
            <w:shd w:val="clear" w:color="auto" w:fill="FFFFFF"/>
            <w:vAlign w:val="center"/>
          </w:tcPr>
          <w:p>
            <w:pPr>
              <w:spacing w:line="360" w:lineRule="auto"/>
              <w:jc w:val="center"/>
              <w:rPr>
                <w:rFonts w:ascii="宋体" w:hAnsi="宋体"/>
                <w:color w:val="auto"/>
                <w:sz w:val="24"/>
                <w:highlight w:val="none"/>
                <w:lang w:bidi="en-US"/>
              </w:rPr>
            </w:pPr>
          </w:p>
        </w:tc>
        <w:tc>
          <w:tcPr>
            <w:tcW w:w="1278" w:type="dxa"/>
            <w:shd w:val="clear" w:color="auto" w:fill="FFFFFF"/>
            <w:vAlign w:val="center"/>
          </w:tcPr>
          <w:p>
            <w:pPr>
              <w:spacing w:line="360" w:lineRule="auto"/>
              <w:jc w:val="center"/>
              <w:rPr>
                <w:rFonts w:ascii="宋体" w:hAnsi="宋体"/>
                <w:color w:val="auto"/>
                <w:sz w:val="24"/>
                <w:highlight w:val="none"/>
                <w:lang w:bidi="en-US"/>
              </w:rPr>
            </w:pPr>
          </w:p>
        </w:tc>
        <w:tc>
          <w:tcPr>
            <w:tcW w:w="1399" w:type="dxa"/>
            <w:shd w:val="clear" w:color="auto" w:fill="FFFFFF"/>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7"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shd w:val="clear" w:color="auto" w:fill="FFFFFF"/>
            <w:vAlign w:val="center"/>
          </w:tcPr>
          <w:p>
            <w:pPr>
              <w:spacing w:line="360" w:lineRule="auto"/>
              <w:jc w:val="center"/>
              <w:rPr>
                <w:rFonts w:ascii="宋体" w:hAnsi="宋体"/>
                <w:color w:val="auto"/>
                <w:sz w:val="24"/>
                <w:highlight w:val="none"/>
                <w:lang w:bidi="en-US"/>
              </w:rPr>
            </w:pPr>
          </w:p>
        </w:tc>
        <w:tc>
          <w:tcPr>
            <w:tcW w:w="2430" w:type="dxa"/>
            <w:shd w:val="clear" w:color="auto" w:fill="FFFFFF"/>
            <w:vAlign w:val="center"/>
          </w:tcPr>
          <w:p>
            <w:pPr>
              <w:spacing w:line="360" w:lineRule="auto"/>
              <w:jc w:val="center"/>
              <w:rPr>
                <w:rFonts w:ascii="宋体" w:hAnsi="宋体"/>
                <w:color w:val="auto"/>
                <w:sz w:val="24"/>
                <w:highlight w:val="none"/>
                <w:lang w:bidi="en-US"/>
              </w:rPr>
            </w:pPr>
          </w:p>
        </w:tc>
        <w:tc>
          <w:tcPr>
            <w:tcW w:w="1278" w:type="dxa"/>
            <w:shd w:val="clear" w:color="auto" w:fill="FFFFFF"/>
            <w:vAlign w:val="center"/>
          </w:tcPr>
          <w:p>
            <w:pPr>
              <w:spacing w:line="360" w:lineRule="auto"/>
              <w:jc w:val="center"/>
              <w:rPr>
                <w:rFonts w:ascii="宋体" w:hAnsi="宋体"/>
                <w:color w:val="auto"/>
                <w:sz w:val="24"/>
                <w:highlight w:val="none"/>
                <w:lang w:bidi="en-US"/>
              </w:rPr>
            </w:pPr>
          </w:p>
        </w:tc>
        <w:tc>
          <w:tcPr>
            <w:tcW w:w="1399" w:type="dxa"/>
            <w:shd w:val="clear" w:color="auto" w:fill="FFFFFF"/>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33" w:hRule="atLeast"/>
          <w:jc w:val="center"/>
        </w:trPr>
        <w:tc>
          <w:tcPr>
            <w:tcW w:w="984" w:type="dxa"/>
            <w:shd w:val="clear" w:color="auto" w:fill="FFFFFF"/>
            <w:vAlign w:val="center"/>
          </w:tcPr>
          <w:p>
            <w:pPr>
              <w:spacing w:line="360" w:lineRule="auto"/>
              <w:jc w:val="center"/>
              <w:rPr>
                <w:rFonts w:ascii="宋体" w:hAnsi="宋体"/>
                <w:color w:val="auto"/>
                <w:sz w:val="24"/>
                <w:highlight w:val="none"/>
                <w:lang w:bidi="en-US"/>
              </w:rPr>
            </w:pPr>
          </w:p>
        </w:tc>
        <w:tc>
          <w:tcPr>
            <w:tcW w:w="1124" w:type="dxa"/>
            <w:shd w:val="clear" w:color="auto" w:fill="FFFFFF"/>
            <w:vAlign w:val="center"/>
          </w:tcPr>
          <w:p>
            <w:pPr>
              <w:spacing w:line="360" w:lineRule="auto"/>
              <w:jc w:val="center"/>
              <w:rPr>
                <w:rFonts w:ascii="宋体" w:hAnsi="宋体"/>
                <w:color w:val="auto"/>
                <w:sz w:val="24"/>
                <w:highlight w:val="none"/>
                <w:lang w:bidi="en-US"/>
              </w:rPr>
            </w:pPr>
          </w:p>
        </w:tc>
        <w:tc>
          <w:tcPr>
            <w:tcW w:w="2259" w:type="dxa"/>
            <w:shd w:val="clear" w:color="auto" w:fill="FFFFFF"/>
            <w:vAlign w:val="center"/>
          </w:tcPr>
          <w:p>
            <w:pPr>
              <w:spacing w:line="360" w:lineRule="auto"/>
              <w:jc w:val="center"/>
              <w:rPr>
                <w:rFonts w:ascii="宋体" w:hAnsi="宋体"/>
                <w:color w:val="auto"/>
                <w:sz w:val="24"/>
                <w:highlight w:val="none"/>
                <w:lang w:bidi="en-US"/>
              </w:rPr>
            </w:pPr>
          </w:p>
        </w:tc>
        <w:tc>
          <w:tcPr>
            <w:tcW w:w="2430" w:type="dxa"/>
            <w:shd w:val="clear" w:color="auto" w:fill="FFFFFF"/>
            <w:vAlign w:val="center"/>
          </w:tcPr>
          <w:p>
            <w:pPr>
              <w:spacing w:line="360" w:lineRule="auto"/>
              <w:jc w:val="center"/>
              <w:rPr>
                <w:rFonts w:ascii="宋体" w:hAnsi="宋体"/>
                <w:color w:val="auto"/>
                <w:sz w:val="24"/>
                <w:highlight w:val="none"/>
                <w:lang w:bidi="en-US"/>
              </w:rPr>
            </w:pPr>
          </w:p>
        </w:tc>
        <w:tc>
          <w:tcPr>
            <w:tcW w:w="1278" w:type="dxa"/>
            <w:shd w:val="clear" w:color="auto" w:fill="FFFFFF"/>
            <w:vAlign w:val="center"/>
          </w:tcPr>
          <w:p>
            <w:pPr>
              <w:spacing w:line="360" w:lineRule="auto"/>
              <w:jc w:val="center"/>
              <w:rPr>
                <w:rFonts w:ascii="宋体" w:hAnsi="宋体"/>
                <w:color w:val="auto"/>
                <w:sz w:val="24"/>
                <w:highlight w:val="none"/>
                <w:lang w:bidi="en-US"/>
              </w:rPr>
            </w:pPr>
          </w:p>
        </w:tc>
        <w:tc>
          <w:tcPr>
            <w:tcW w:w="1399" w:type="dxa"/>
            <w:shd w:val="clear" w:color="auto" w:fill="FFFFFF"/>
            <w:vAlign w:val="center"/>
          </w:tcPr>
          <w:p>
            <w:pPr>
              <w:spacing w:line="360" w:lineRule="auto"/>
              <w:jc w:val="center"/>
              <w:rPr>
                <w:rFonts w:ascii="宋体" w:hAnsi="宋体"/>
                <w:color w:val="auto"/>
                <w:sz w:val="24"/>
                <w:highlight w:val="none"/>
                <w:lang w:bidi="en-US"/>
              </w:rPr>
            </w:pPr>
          </w:p>
        </w:tc>
      </w:tr>
    </w:tbl>
    <w:p>
      <w:pPr>
        <w:rPr>
          <w:rFonts w:hint="eastAsia" w:ascii="宋体" w:eastAsia="宋体"/>
          <w:bCs w:val="0"/>
          <w:color w:val="auto"/>
          <w:sz w:val="22"/>
          <w:szCs w:val="22"/>
          <w:highlight w:val="none"/>
          <w:lang w:val="en-US" w:eastAsia="zh-CN"/>
        </w:rPr>
      </w:pPr>
    </w:p>
    <w:p>
      <w:pPr>
        <w:pStyle w:val="2"/>
        <w:rPr>
          <w:rFonts w:hint="default"/>
          <w:color w:val="auto"/>
          <w:highlight w:val="none"/>
          <w:lang w:val="en-US" w:eastAsia="zh-CN"/>
        </w:rPr>
      </w:pPr>
    </w:p>
    <w:p>
      <w:pPr>
        <w:spacing w:line="440" w:lineRule="atLeast"/>
        <w:rPr>
          <w:rFonts w:ascii="宋体" w:eastAsia="宋体"/>
          <w:b w:val="0"/>
          <w:color w:val="auto"/>
          <w:sz w:val="22"/>
          <w:szCs w:val="22"/>
          <w:highlight w:val="none"/>
        </w:rPr>
      </w:pPr>
      <w:r>
        <w:rPr>
          <w:rFonts w:hint="eastAsia" w:ascii="宋体" w:eastAsia="宋体"/>
          <w:b w:val="0"/>
          <w:color w:val="auto"/>
          <w:sz w:val="22"/>
          <w:szCs w:val="22"/>
          <w:highlight w:val="none"/>
        </w:rPr>
        <w:t>供应商全称（盖章）：</w:t>
      </w:r>
    </w:p>
    <w:p>
      <w:pPr>
        <w:autoSpaceDE w:val="0"/>
        <w:autoSpaceDN w:val="0"/>
        <w:adjustRightInd w:val="0"/>
        <w:spacing w:line="460" w:lineRule="atLeast"/>
        <w:rPr>
          <w:rFonts w:ascii="宋体" w:eastAsia="宋体"/>
          <w:b w:val="0"/>
          <w:color w:val="auto"/>
          <w:sz w:val="22"/>
          <w:szCs w:val="22"/>
          <w:highlight w:val="none"/>
        </w:rPr>
      </w:pPr>
      <w:r>
        <w:rPr>
          <w:rFonts w:hint="eastAsia" w:ascii="宋体" w:eastAsia="宋体"/>
          <w:b w:val="0"/>
          <w:color w:val="auto"/>
          <w:sz w:val="22"/>
          <w:szCs w:val="22"/>
          <w:highlight w:val="none"/>
        </w:rPr>
        <w:t>日期：</w:t>
      </w:r>
    </w:p>
    <w:p>
      <w:pPr>
        <w:rPr>
          <w:rFonts w:hint="eastAsia" w:ascii="宋体" w:hAnsi="宋体"/>
          <w:b/>
          <w:color w:val="auto"/>
          <w:sz w:val="36"/>
          <w:szCs w:val="36"/>
          <w:highlight w:val="none"/>
          <w:lang w:bidi="en-US"/>
        </w:rPr>
      </w:pPr>
      <w:r>
        <w:rPr>
          <w:rFonts w:hint="eastAsia" w:ascii="宋体" w:hAnsi="宋体"/>
          <w:b/>
          <w:color w:val="auto"/>
          <w:sz w:val="36"/>
          <w:szCs w:val="36"/>
          <w:highlight w:val="none"/>
          <w:lang w:bidi="en-US"/>
        </w:rPr>
        <w:br w:type="page"/>
      </w:r>
    </w:p>
    <w:p>
      <w:pPr>
        <w:widowControl/>
        <w:jc w:val="left"/>
        <w:rPr>
          <w:rFonts w:hint="default" w:ascii="宋体" w:eastAsia="宋体"/>
          <w:bCs w:val="0"/>
          <w:color w:val="auto"/>
          <w:sz w:val="22"/>
          <w:szCs w:val="22"/>
          <w:highlight w:val="none"/>
          <w:lang w:val="en-US" w:eastAsia="zh-CN"/>
        </w:rPr>
      </w:pPr>
      <w:r>
        <w:rPr>
          <w:rFonts w:hint="eastAsia" w:ascii="宋体" w:eastAsia="宋体"/>
          <w:bCs w:val="0"/>
          <w:color w:val="auto"/>
          <w:sz w:val="22"/>
          <w:szCs w:val="22"/>
          <w:highlight w:val="none"/>
        </w:rPr>
        <w:t>附件</w:t>
      </w:r>
      <w:r>
        <w:rPr>
          <w:rFonts w:hint="eastAsia" w:ascii="宋体" w:eastAsia="宋体"/>
          <w:bCs w:val="0"/>
          <w:color w:val="auto"/>
          <w:sz w:val="22"/>
          <w:szCs w:val="22"/>
          <w:highlight w:val="none"/>
          <w:lang w:val="en-US" w:eastAsia="zh-CN"/>
        </w:rPr>
        <w:t>十五</w:t>
      </w:r>
    </w:p>
    <w:p>
      <w:pPr>
        <w:spacing w:line="480" w:lineRule="auto"/>
        <w:ind w:firstLine="435"/>
        <w:jc w:val="center"/>
        <w:rPr>
          <w:rFonts w:ascii="宋体" w:hAnsi="宋体"/>
          <w:b/>
          <w:color w:val="auto"/>
          <w:sz w:val="36"/>
          <w:szCs w:val="36"/>
          <w:highlight w:val="none"/>
          <w:lang w:bidi="en-US"/>
        </w:rPr>
      </w:pPr>
      <w:r>
        <w:rPr>
          <w:rFonts w:hint="eastAsia" w:ascii="宋体" w:hAnsi="宋体"/>
          <w:b/>
          <w:color w:val="auto"/>
          <w:sz w:val="36"/>
          <w:szCs w:val="36"/>
          <w:highlight w:val="none"/>
          <w:lang w:bidi="en-US"/>
        </w:rPr>
        <w:t>演出设施设备情况表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380"/>
        <w:gridCol w:w="1155"/>
        <w:gridCol w:w="1718"/>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17" w:type="dxa"/>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序号</w:t>
            </w:r>
          </w:p>
        </w:tc>
        <w:tc>
          <w:tcPr>
            <w:tcW w:w="1701" w:type="dxa"/>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器材名称</w:t>
            </w:r>
          </w:p>
        </w:tc>
        <w:tc>
          <w:tcPr>
            <w:tcW w:w="1380" w:type="dxa"/>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型号</w:t>
            </w:r>
          </w:p>
        </w:tc>
        <w:tc>
          <w:tcPr>
            <w:tcW w:w="1155" w:type="dxa"/>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数量</w:t>
            </w:r>
          </w:p>
        </w:tc>
        <w:tc>
          <w:tcPr>
            <w:tcW w:w="1718" w:type="dxa"/>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购置时间</w:t>
            </w:r>
          </w:p>
        </w:tc>
        <w:tc>
          <w:tcPr>
            <w:tcW w:w="2515" w:type="dxa"/>
            <w:vAlign w:val="center"/>
          </w:tcPr>
          <w:p>
            <w:pPr>
              <w:spacing w:line="360" w:lineRule="auto"/>
              <w:jc w:val="center"/>
              <w:rPr>
                <w:rFonts w:ascii="宋体" w:hAnsi="宋体"/>
                <w:b/>
                <w:color w:val="auto"/>
                <w:sz w:val="24"/>
                <w:highlight w:val="none"/>
                <w:lang w:bidi="en-US"/>
              </w:rPr>
            </w:pPr>
            <w:r>
              <w:rPr>
                <w:rFonts w:hint="eastAsia" w:ascii="宋体" w:hAnsi="宋体"/>
                <w:b/>
                <w:color w:val="auto"/>
                <w:sz w:val="24"/>
                <w:highlight w:val="none"/>
                <w:lang w:bidi="en-US"/>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360" w:lineRule="auto"/>
              <w:jc w:val="center"/>
              <w:rPr>
                <w:rFonts w:ascii="宋体" w:hAnsi="宋体"/>
                <w:color w:val="auto"/>
                <w:sz w:val="24"/>
                <w:highlight w:val="none"/>
                <w:lang w:bidi="en-US"/>
              </w:rPr>
            </w:pPr>
          </w:p>
        </w:tc>
        <w:tc>
          <w:tcPr>
            <w:tcW w:w="1701" w:type="dxa"/>
            <w:vAlign w:val="center"/>
          </w:tcPr>
          <w:p>
            <w:pPr>
              <w:spacing w:line="360" w:lineRule="auto"/>
              <w:jc w:val="center"/>
              <w:rPr>
                <w:rFonts w:ascii="宋体" w:hAnsi="宋体"/>
                <w:color w:val="auto"/>
                <w:sz w:val="24"/>
                <w:highlight w:val="none"/>
                <w:lang w:bidi="en-US"/>
              </w:rPr>
            </w:pPr>
          </w:p>
        </w:tc>
        <w:tc>
          <w:tcPr>
            <w:tcW w:w="1380" w:type="dxa"/>
            <w:vAlign w:val="center"/>
          </w:tcPr>
          <w:p>
            <w:pPr>
              <w:spacing w:line="360" w:lineRule="auto"/>
              <w:jc w:val="center"/>
              <w:rPr>
                <w:rFonts w:ascii="宋体" w:hAnsi="宋体"/>
                <w:color w:val="auto"/>
                <w:sz w:val="24"/>
                <w:highlight w:val="none"/>
                <w:lang w:bidi="en-US"/>
              </w:rPr>
            </w:pPr>
          </w:p>
        </w:tc>
        <w:tc>
          <w:tcPr>
            <w:tcW w:w="1155" w:type="dxa"/>
            <w:vAlign w:val="center"/>
          </w:tcPr>
          <w:p>
            <w:pPr>
              <w:spacing w:line="360" w:lineRule="auto"/>
              <w:jc w:val="center"/>
              <w:rPr>
                <w:rFonts w:ascii="宋体" w:hAnsi="宋体"/>
                <w:color w:val="auto"/>
                <w:sz w:val="24"/>
                <w:highlight w:val="none"/>
                <w:lang w:bidi="en-US"/>
              </w:rPr>
            </w:pPr>
          </w:p>
        </w:tc>
        <w:tc>
          <w:tcPr>
            <w:tcW w:w="1718" w:type="dxa"/>
            <w:vAlign w:val="center"/>
          </w:tcPr>
          <w:p>
            <w:pPr>
              <w:spacing w:line="360" w:lineRule="auto"/>
              <w:jc w:val="center"/>
              <w:rPr>
                <w:rFonts w:ascii="宋体" w:hAnsi="宋体"/>
                <w:color w:val="auto"/>
                <w:sz w:val="24"/>
                <w:highlight w:val="none"/>
                <w:lang w:bidi="en-US"/>
              </w:rPr>
            </w:pPr>
          </w:p>
        </w:tc>
        <w:tc>
          <w:tcPr>
            <w:tcW w:w="2515" w:type="dxa"/>
            <w:vAlign w:val="center"/>
          </w:tcPr>
          <w:p>
            <w:pPr>
              <w:spacing w:line="360" w:lineRule="auto"/>
              <w:jc w:val="center"/>
              <w:rPr>
                <w:rFonts w:ascii="宋体" w:hAnsi="宋体"/>
                <w:color w:val="auto"/>
                <w:sz w:val="24"/>
                <w:highlight w:val="none"/>
                <w:lang w:bidi="en-US"/>
              </w:rPr>
            </w:pPr>
          </w:p>
        </w:tc>
      </w:tr>
    </w:tbl>
    <w:p>
      <w:pPr>
        <w:spacing w:line="460" w:lineRule="exact"/>
        <w:ind w:left="755" w:hanging="754" w:hangingChars="343"/>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注：设备购置提供证明材料。</w:t>
      </w:r>
    </w:p>
    <w:p>
      <w:pPr>
        <w:spacing w:line="460" w:lineRule="exact"/>
        <w:ind w:left="755" w:hanging="754" w:hangingChars="343"/>
        <w:rPr>
          <w:rFonts w:ascii="宋体" w:eastAsia="宋体"/>
          <w:b w:val="0"/>
          <w:bCs w:val="0"/>
          <w:color w:val="auto"/>
          <w:sz w:val="22"/>
          <w:szCs w:val="22"/>
          <w:highlight w:val="none"/>
        </w:rPr>
      </w:pPr>
    </w:p>
    <w:p>
      <w:pPr>
        <w:spacing w:line="440" w:lineRule="atLeast"/>
        <w:rPr>
          <w:rFonts w:ascii="宋体" w:eastAsia="宋体"/>
          <w:b w:val="0"/>
          <w:color w:val="auto"/>
          <w:sz w:val="22"/>
          <w:szCs w:val="22"/>
          <w:highlight w:val="none"/>
        </w:rPr>
      </w:pPr>
      <w:r>
        <w:rPr>
          <w:rFonts w:hint="eastAsia" w:ascii="宋体" w:eastAsia="宋体"/>
          <w:b w:val="0"/>
          <w:color w:val="auto"/>
          <w:sz w:val="22"/>
          <w:szCs w:val="22"/>
          <w:highlight w:val="none"/>
        </w:rPr>
        <w:t>供应商全称（盖章）：</w:t>
      </w:r>
    </w:p>
    <w:p>
      <w:pPr>
        <w:autoSpaceDE w:val="0"/>
        <w:autoSpaceDN w:val="0"/>
        <w:adjustRightInd w:val="0"/>
        <w:spacing w:line="460" w:lineRule="atLeast"/>
        <w:rPr>
          <w:rFonts w:ascii="宋体" w:eastAsia="宋体"/>
          <w:b w:val="0"/>
          <w:color w:val="auto"/>
          <w:sz w:val="22"/>
          <w:szCs w:val="22"/>
          <w:highlight w:val="none"/>
        </w:rPr>
      </w:pPr>
      <w:r>
        <w:rPr>
          <w:rFonts w:hint="eastAsia" w:ascii="宋体" w:eastAsia="宋体"/>
          <w:b w:val="0"/>
          <w:color w:val="auto"/>
          <w:sz w:val="22"/>
          <w:szCs w:val="22"/>
          <w:highlight w:val="none"/>
        </w:rPr>
        <w:t>日期：</w:t>
      </w:r>
    </w:p>
    <w:p>
      <w:pPr>
        <w:rPr>
          <w:rFonts w:hint="eastAsia" w:ascii="宋体" w:eastAsia="宋体"/>
          <w:color w:val="auto"/>
          <w:sz w:val="22"/>
          <w:szCs w:val="22"/>
          <w:highlight w:val="none"/>
        </w:rPr>
      </w:pPr>
      <w:r>
        <w:rPr>
          <w:rFonts w:hint="eastAsia" w:ascii="宋体" w:eastAsia="宋体"/>
          <w:color w:val="auto"/>
          <w:sz w:val="22"/>
          <w:szCs w:val="22"/>
          <w:highlight w:val="none"/>
        </w:rPr>
        <w:br w:type="page"/>
      </w:r>
    </w:p>
    <w:p>
      <w:pPr>
        <w:spacing w:line="360" w:lineRule="exact"/>
        <w:jc w:val="left"/>
        <w:rPr>
          <w:rFonts w:hint="eastAsia" w:ascii="宋体" w:eastAsia="宋体"/>
          <w:color w:val="auto"/>
          <w:sz w:val="22"/>
          <w:szCs w:val="22"/>
          <w:highlight w:val="none"/>
          <w:lang w:eastAsia="zh-CN"/>
        </w:rPr>
      </w:pP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十六</w:t>
      </w:r>
    </w:p>
    <w:p>
      <w:pPr>
        <w:snapToGrid w:val="0"/>
        <w:spacing w:line="360" w:lineRule="auto"/>
        <w:jc w:val="center"/>
        <w:rPr>
          <w:rFonts w:ascii="宋体" w:hAnsi="宋体"/>
          <w:b/>
          <w:color w:val="auto"/>
          <w:sz w:val="32"/>
          <w:szCs w:val="32"/>
          <w:highlight w:val="none"/>
        </w:rPr>
      </w:pPr>
      <w:bookmarkStart w:id="174" w:name="_Toc20569_WPSOffice_Level1"/>
      <w:bookmarkStart w:id="175" w:name="_Toc23671_WPSOffice_Level1"/>
      <w:r>
        <w:rPr>
          <w:rFonts w:hint="eastAsia" w:ascii="宋体" w:hAnsi="宋体"/>
          <w:b/>
          <w:color w:val="auto"/>
          <w:sz w:val="32"/>
          <w:szCs w:val="32"/>
          <w:highlight w:val="none"/>
          <w:lang w:val="en-US" w:eastAsia="zh-CN"/>
        </w:rPr>
        <w:t>主要演职</w:t>
      </w:r>
      <w:r>
        <w:rPr>
          <w:rFonts w:hint="eastAsia" w:ascii="宋体" w:hAnsi="宋体"/>
          <w:b/>
          <w:color w:val="auto"/>
          <w:sz w:val="32"/>
          <w:szCs w:val="32"/>
          <w:highlight w:val="none"/>
        </w:rPr>
        <w:t>人员一览表</w:t>
      </w:r>
      <w:bookmarkEnd w:id="174"/>
      <w:bookmarkEnd w:id="175"/>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43"/>
        <w:tblpPr w:leftFromText="181" w:rightFromText="181" w:bottomFromText="17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6"/>
        <w:gridCol w:w="1364"/>
        <w:gridCol w:w="770"/>
        <w:gridCol w:w="1043"/>
        <w:gridCol w:w="1396"/>
        <w:gridCol w:w="1845"/>
        <w:gridCol w:w="2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7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4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color w:val="auto"/>
                <w:szCs w:val="21"/>
                <w:highlight w:val="none"/>
              </w:rPr>
            </w:pPr>
            <w:r>
              <w:rPr>
                <w:rFonts w:hint="eastAsia" w:ascii="宋体" w:hAnsi="宋体"/>
                <w:b/>
                <w:color w:val="auto"/>
                <w:szCs w:val="21"/>
                <w:highlight w:val="none"/>
              </w:rPr>
              <w:t>性别</w:t>
            </w:r>
          </w:p>
        </w:tc>
        <w:tc>
          <w:tcPr>
            <w:tcW w:w="55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年龄</w:t>
            </w:r>
          </w:p>
        </w:tc>
        <w:tc>
          <w:tcPr>
            <w:tcW w:w="73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973"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职称</w:t>
            </w:r>
          </w:p>
        </w:tc>
        <w:tc>
          <w:tcPr>
            <w:tcW w:w="12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bCs/>
                <w:color w:val="auto"/>
                <w:szCs w:val="21"/>
                <w:highlight w:val="none"/>
              </w:rPr>
            </w:pPr>
            <w:r>
              <w:rPr>
                <w:rFonts w:hint="eastAsia" w:ascii="宋体" w:hAnsi="宋体" w:eastAsia="宋体" w:cs="Times New Roman"/>
                <w:b/>
                <w:color w:val="auto"/>
                <w:szCs w:val="21"/>
                <w:highlight w:val="none"/>
              </w:rPr>
              <w:t>个人荣誉/获奖情况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4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55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73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973"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12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4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55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73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973"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12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4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55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8"/>
              <w:snapToGrid w:val="0"/>
              <w:spacing w:beforeLines="50" w:after="50" w:line="360" w:lineRule="auto"/>
              <w:ind w:left="5250"/>
              <w:rPr>
                <w:rFonts w:ascii="宋体" w:hAnsi="宋体" w:eastAsia="宋体"/>
                <w:b/>
                <w:color w:val="auto"/>
                <w:kern w:val="44"/>
                <w:sz w:val="21"/>
                <w:szCs w:val="21"/>
                <w:highlight w:val="none"/>
              </w:rPr>
            </w:pPr>
          </w:p>
        </w:tc>
        <w:tc>
          <w:tcPr>
            <w:tcW w:w="73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8"/>
              <w:snapToGrid w:val="0"/>
              <w:spacing w:beforeLines="50" w:after="50" w:line="360" w:lineRule="auto"/>
              <w:ind w:left="5250"/>
              <w:rPr>
                <w:rFonts w:ascii="宋体" w:hAnsi="宋体" w:eastAsia="宋体"/>
                <w:b/>
                <w:color w:val="auto"/>
                <w:kern w:val="44"/>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8"/>
              <w:spacing w:line="360" w:lineRule="auto"/>
              <w:ind w:left="5250"/>
              <w:rPr>
                <w:rFonts w:ascii="宋体" w:hAnsi="宋体"/>
                <w:color w:val="auto"/>
                <w:sz w:val="21"/>
                <w:szCs w:val="21"/>
                <w:highlight w:val="none"/>
              </w:rPr>
            </w:pPr>
          </w:p>
        </w:tc>
        <w:tc>
          <w:tcPr>
            <w:tcW w:w="12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4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55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73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973"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12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4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55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73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973"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c>
          <w:tcPr>
            <w:tcW w:w="121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highlight w:val="none"/>
              </w:rPr>
            </w:pPr>
          </w:p>
        </w:tc>
      </w:tr>
    </w:tbl>
    <w:p>
      <w:pPr>
        <w:spacing w:line="360" w:lineRule="auto"/>
        <w:rPr>
          <w:rFonts w:ascii="宋体" w:hAnsi="宋体"/>
          <w:b/>
          <w:color w:val="auto"/>
          <w:szCs w:val="21"/>
          <w:highlight w:val="none"/>
        </w:rPr>
      </w:pPr>
      <w:r>
        <w:rPr>
          <w:rFonts w:hint="eastAsia" w:ascii="宋体"/>
          <w:b/>
          <w:color w:val="auto"/>
          <w:szCs w:val="21"/>
          <w:highlight w:val="none"/>
          <w:lang w:val="en-US" w:eastAsia="zh-CN"/>
        </w:rPr>
        <w:t>注</w:t>
      </w:r>
      <w:r>
        <w:rPr>
          <w:rFonts w:hint="eastAsia" w:ascii="宋体" w:hAnsi="宋体"/>
          <w:b/>
          <w:color w:val="auto"/>
          <w:szCs w:val="21"/>
          <w:highlight w:val="none"/>
        </w:rPr>
        <w:t>：</w:t>
      </w:r>
    </w:p>
    <w:p>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pPr>
        <w:pStyle w:val="156"/>
        <w:spacing w:line="360" w:lineRule="auto"/>
        <w:ind w:left="424" w:leftChars="202"/>
        <w:rPr>
          <w:rFonts w:ascii="宋体" w:hAnsi="宋体"/>
          <w:color w:val="auto"/>
          <w:szCs w:val="21"/>
          <w:highlight w:val="none"/>
        </w:rPr>
      </w:pPr>
      <w:r>
        <w:rPr>
          <w:rFonts w:hint="eastAsia" w:ascii="宋体" w:hAnsi="宋体"/>
          <w:color w:val="auto"/>
          <w:szCs w:val="21"/>
          <w:highlight w:val="none"/>
        </w:rPr>
        <w:t>2.</w:t>
      </w:r>
      <w:r>
        <w:rPr>
          <w:rFonts w:hint="eastAsia" w:ascii="宋体" w:hAnsi="宋体" w:eastAsia="宋体" w:cs="Times New Roman"/>
          <w:color w:val="auto"/>
          <w:kern w:val="2"/>
          <w:sz w:val="21"/>
          <w:szCs w:val="21"/>
          <w:highlight w:val="none"/>
          <w:lang w:val="en-US" w:eastAsia="zh-CN" w:bidi="ar-SA"/>
        </w:rPr>
        <w:t>须提供演员的职称证书、荣誉证书、获奖证书等</w:t>
      </w:r>
      <w:r>
        <w:rPr>
          <w:rFonts w:hint="eastAsia" w:ascii="宋体" w:hAnsi="宋体" w:cs="Times New Roman"/>
          <w:color w:val="auto"/>
          <w:kern w:val="2"/>
          <w:sz w:val="21"/>
          <w:szCs w:val="21"/>
          <w:highlight w:val="none"/>
          <w:lang w:val="en-US" w:eastAsia="zh-CN" w:bidi="ar-SA"/>
        </w:rPr>
        <w:t>扫描件</w:t>
      </w:r>
      <w:r>
        <w:rPr>
          <w:rFonts w:hint="eastAsia" w:ascii="宋体" w:hAnsi="宋体"/>
          <w:color w:val="auto"/>
          <w:szCs w:val="21"/>
          <w:highlight w:val="none"/>
        </w:rPr>
        <w:t>。</w:t>
      </w:r>
    </w:p>
    <w:p>
      <w:pPr>
        <w:spacing w:line="460" w:lineRule="atLeast"/>
        <w:ind w:firstLine="480"/>
        <w:rPr>
          <w:rFonts w:hint="eastAsia" w:ascii="宋体" w:hAnsi="宋体" w:eastAsia="宋体" w:cs="宋体"/>
          <w:b w:val="0"/>
          <w:bCs w:val="0"/>
          <w:color w:val="auto"/>
          <w:spacing w:val="20"/>
          <w:sz w:val="22"/>
          <w:szCs w:val="22"/>
          <w:highlight w:val="none"/>
        </w:rPr>
      </w:pPr>
    </w:p>
    <w:p>
      <w:pPr>
        <w:spacing w:line="460" w:lineRule="atLeast"/>
        <w:ind w:firstLine="480"/>
        <w:rPr>
          <w:rFonts w:hint="eastAsia" w:ascii="宋体" w:hAnsi="宋体" w:eastAsia="宋体" w:cs="宋体"/>
          <w:b w:val="0"/>
          <w:bCs w:val="0"/>
          <w:color w:val="auto"/>
          <w:spacing w:val="20"/>
          <w:sz w:val="22"/>
          <w:szCs w:val="22"/>
          <w:highlight w:val="none"/>
        </w:rPr>
      </w:pPr>
    </w:p>
    <w:p>
      <w:pPr>
        <w:spacing w:line="460" w:lineRule="atLeast"/>
        <w:ind w:firstLine="480"/>
        <w:rPr>
          <w:rFonts w:hint="eastAsia" w:ascii="宋体" w:hAnsi="宋体" w:eastAsia="宋体" w:cs="宋体"/>
          <w:b w:val="0"/>
          <w:bCs w:val="0"/>
          <w:color w:val="auto"/>
          <w:spacing w:val="20"/>
          <w:sz w:val="22"/>
          <w:szCs w:val="22"/>
          <w:highlight w:val="none"/>
        </w:rPr>
      </w:pPr>
      <w:r>
        <w:rPr>
          <w:rFonts w:hint="eastAsia" w:ascii="宋体" w:hAnsi="宋体" w:eastAsia="宋体" w:cs="宋体"/>
          <w:b w:val="0"/>
          <w:bCs w:val="0"/>
          <w:color w:val="auto"/>
          <w:spacing w:val="20"/>
          <w:sz w:val="22"/>
          <w:szCs w:val="22"/>
          <w:highlight w:val="none"/>
        </w:rPr>
        <w:t>供应商全称（公章）：</w:t>
      </w:r>
    </w:p>
    <w:p>
      <w:pPr>
        <w:spacing w:line="460" w:lineRule="atLeast"/>
        <w:ind w:firstLine="480"/>
        <w:rPr>
          <w:rFonts w:hint="eastAsia" w:ascii="宋体" w:hAnsi="宋体" w:eastAsia="宋体" w:cs="宋体"/>
          <w:b w:val="0"/>
          <w:bCs w:val="0"/>
          <w:color w:val="auto"/>
          <w:spacing w:val="20"/>
          <w:sz w:val="22"/>
          <w:szCs w:val="22"/>
          <w:highlight w:val="none"/>
        </w:rPr>
      </w:pPr>
      <w:r>
        <w:rPr>
          <w:rFonts w:hint="eastAsia" w:ascii="宋体" w:hAnsi="宋体" w:eastAsia="宋体" w:cs="宋体"/>
          <w:b w:val="0"/>
          <w:bCs w:val="0"/>
          <w:color w:val="auto"/>
          <w:spacing w:val="20"/>
          <w:sz w:val="22"/>
          <w:szCs w:val="22"/>
          <w:highlight w:val="none"/>
        </w:rPr>
        <w:t>日期：</w:t>
      </w:r>
    </w:p>
    <w:p>
      <w:pPr>
        <w:autoSpaceDE w:val="0"/>
        <w:autoSpaceDN w:val="0"/>
        <w:adjustRightInd w:val="0"/>
        <w:spacing w:line="360" w:lineRule="exact"/>
        <w:rPr>
          <w:rFonts w:hint="eastAsia" w:ascii="宋体" w:hAnsi="宋体" w:eastAsia="宋体" w:cs="宋体"/>
          <w:b w:val="0"/>
          <w:color w:val="auto"/>
          <w:sz w:val="32"/>
          <w:highlight w:val="none"/>
          <w:lang w:val="zh-CN"/>
        </w:rPr>
      </w:pPr>
    </w:p>
    <w:p>
      <w:pPr>
        <w:rPr>
          <w:rFonts w:hint="eastAsia" w:ascii="宋体" w:eastAsia="宋体"/>
          <w:color w:val="auto"/>
          <w:sz w:val="22"/>
          <w:szCs w:val="22"/>
          <w:highlight w:val="none"/>
        </w:rPr>
      </w:pPr>
    </w:p>
    <w:p>
      <w:pPr>
        <w:pStyle w:val="2"/>
        <w:rPr>
          <w:color w:val="auto"/>
          <w:highlight w:val="none"/>
        </w:rPr>
      </w:pPr>
    </w:p>
    <w:p>
      <w:pPr>
        <w:rPr>
          <w:rFonts w:hint="eastAsia" w:ascii="宋体" w:eastAsia="宋体"/>
          <w:color w:val="auto"/>
          <w:sz w:val="32"/>
          <w:szCs w:val="32"/>
          <w:highlight w:val="none"/>
          <w:lang w:val="zh-CN"/>
        </w:rPr>
      </w:pPr>
      <w:r>
        <w:rPr>
          <w:rFonts w:hint="eastAsia" w:ascii="宋体" w:eastAsia="宋体"/>
          <w:color w:val="auto"/>
          <w:sz w:val="32"/>
          <w:szCs w:val="32"/>
          <w:highlight w:val="none"/>
          <w:lang w:val="zh-CN"/>
        </w:rPr>
        <w:br w:type="page"/>
      </w:r>
    </w:p>
    <w:p>
      <w:pPr>
        <w:tabs>
          <w:tab w:val="left" w:pos="1080"/>
        </w:tabs>
        <w:autoSpaceDE w:val="0"/>
        <w:autoSpaceDN w:val="0"/>
        <w:adjustRightInd w:val="0"/>
        <w:spacing w:line="440" w:lineRule="atLeast"/>
        <w:jc w:val="left"/>
        <w:rPr>
          <w:rFonts w:hint="eastAsia" w:ascii="宋体" w:eastAsia="宋体"/>
          <w:color w:val="auto"/>
          <w:sz w:val="22"/>
          <w:szCs w:val="22"/>
          <w:highlight w:val="none"/>
          <w:lang w:val="en-US" w:eastAsia="zh-CN"/>
        </w:rPr>
      </w:pP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十七</w:t>
      </w:r>
    </w:p>
    <w:p>
      <w:pPr>
        <w:snapToGrid w:val="0"/>
        <w:spacing w:line="360" w:lineRule="auto"/>
        <w:jc w:val="center"/>
        <w:rPr>
          <w:rFonts w:hint="default" w:ascii="宋体" w:hAnsi="宋体" w:eastAsia="仿宋_GB2312" w:cs="宋体"/>
          <w:b/>
          <w:color w:val="auto"/>
          <w:sz w:val="32"/>
          <w:szCs w:val="32"/>
          <w:highlight w:val="none"/>
          <w:lang w:val="en-US" w:eastAsia="zh-CN"/>
        </w:rPr>
      </w:pPr>
      <w:r>
        <w:rPr>
          <w:rFonts w:hint="eastAsia" w:ascii="宋体" w:hAnsi="宋体" w:cs="宋体"/>
          <w:b/>
          <w:color w:val="auto"/>
          <w:sz w:val="32"/>
          <w:szCs w:val="32"/>
          <w:highlight w:val="none"/>
          <w:lang w:val="en-US" w:eastAsia="zh-CN"/>
        </w:rPr>
        <w:t>（1）具备常年（365 天）进行演出能力</w:t>
      </w:r>
      <w:r>
        <w:rPr>
          <w:rFonts w:hint="eastAsia" w:ascii="宋体" w:cs="宋体"/>
          <w:b/>
          <w:color w:val="auto"/>
          <w:sz w:val="32"/>
          <w:szCs w:val="32"/>
          <w:highlight w:val="none"/>
          <w:lang w:val="en-US" w:eastAsia="zh-CN"/>
        </w:rPr>
        <w:t>的</w:t>
      </w:r>
      <w:r>
        <w:rPr>
          <w:rFonts w:hint="eastAsia" w:ascii="宋体" w:hAnsi="宋体" w:cs="宋体"/>
          <w:b/>
          <w:color w:val="auto"/>
          <w:sz w:val="32"/>
          <w:szCs w:val="32"/>
          <w:highlight w:val="none"/>
          <w:lang w:val="en-US" w:eastAsia="zh-CN"/>
        </w:rPr>
        <w:t>承诺函</w:t>
      </w:r>
    </w:p>
    <w:p>
      <w:pPr>
        <w:rPr>
          <w:rFonts w:hint="eastAsia"/>
          <w:color w:val="auto"/>
          <w:highlight w:val="none"/>
          <w:lang w:val="zh-CN" w:eastAsia="zh-CN"/>
        </w:rPr>
      </w:pPr>
    </w:p>
    <w:p>
      <w:pPr>
        <w:spacing w:line="460" w:lineRule="exact"/>
        <w:jc w:val="left"/>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lang w:eastAsia="zh-CN"/>
        </w:rPr>
        <w:t>永嘉县文化和广电旅游体育局</w:t>
      </w:r>
      <w:r>
        <w:rPr>
          <w:rFonts w:hint="eastAsia" w:ascii="宋体" w:eastAsia="宋体"/>
          <w:bCs w:val="0"/>
          <w:color w:val="auto"/>
          <w:sz w:val="22"/>
          <w:szCs w:val="22"/>
          <w:highlight w:val="none"/>
          <w:u w:val="single"/>
        </w:rPr>
        <w:t>：</w:t>
      </w:r>
    </w:p>
    <w:p>
      <w:pPr>
        <w:spacing w:line="460" w:lineRule="exact"/>
        <w:jc w:val="left"/>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温州市中概工程管理咨询有限公司：</w:t>
      </w:r>
    </w:p>
    <w:p>
      <w:pPr>
        <w:widowControl/>
        <w:spacing w:line="460" w:lineRule="exact"/>
        <w:ind w:firstLine="440"/>
        <w:jc w:val="left"/>
        <w:rPr>
          <w:rFonts w:ascii="宋体" w:eastAsia="宋体"/>
          <w:b w:val="0"/>
          <w:color w:val="auto"/>
          <w:sz w:val="22"/>
          <w:szCs w:val="22"/>
          <w:highlight w:val="none"/>
        </w:rPr>
      </w:pPr>
      <w:r>
        <w:rPr>
          <w:rFonts w:hint="eastAsia" w:ascii="宋体" w:eastAsia="宋体"/>
          <w:b w:val="0"/>
          <w:color w:val="auto"/>
          <w:sz w:val="22"/>
          <w:szCs w:val="22"/>
          <w:highlight w:val="none"/>
        </w:rPr>
        <w:t>我方郑重承诺，我方此次参加本项目的投标，</w:t>
      </w:r>
      <w:r>
        <w:rPr>
          <w:rFonts w:hint="eastAsia" w:ascii="宋体" w:hAnsi="宋体" w:eastAsia="宋体" w:cs="宋体"/>
          <w:b w:val="0"/>
          <w:bCs w:val="0"/>
          <w:color w:val="auto"/>
          <w:sz w:val="22"/>
          <w:szCs w:val="22"/>
          <w:highlight w:val="none"/>
        </w:rPr>
        <w:t>具备常年（365 天）进行演出的能力</w:t>
      </w:r>
      <w:r>
        <w:rPr>
          <w:rFonts w:hint="eastAsia" w:ascii="宋体" w:eastAsia="宋体"/>
          <w:b w:val="0"/>
          <w:color w:val="auto"/>
          <w:sz w:val="22"/>
          <w:szCs w:val="22"/>
          <w:highlight w:val="none"/>
        </w:rPr>
        <w:t>。如有虚假或隐瞒，愿意承担一切后果。</w:t>
      </w:r>
    </w:p>
    <w:p>
      <w:pPr>
        <w:pStyle w:val="8"/>
        <w:jc w:val="left"/>
        <w:rPr>
          <w:rFonts w:ascii="宋体" w:hAnsi="宋体" w:cs="宋体"/>
          <w:b w:val="0"/>
          <w:color w:val="auto"/>
          <w:sz w:val="22"/>
          <w:szCs w:val="22"/>
          <w:highlight w:val="none"/>
        </w:rPr>
      </w:pPr>
    </w:p>
    <w:p>
      <w:pPr>
        <w:widowControl/>
        <w:spacing w:line="460" w:lineRule="exact"/>
        <w:ind w:firstLine="440"/>
        <w:jc w:val="left"/>
        <w:rPr>
          <w:rFonts w:ascii="宋体" w:eastAsia="宋体"/>
          <w:b w:val="0"/>
          <w:color w:val="auto"/>
          <w:sz w:val="22"/>
          <w:szCs w:val="22"/>
          <w:highlight w:val="none"/>
        </w:rPr>
      </w:pPr>
      <w:r>
        <w:rPr>
          <w:rFonts w:hint="eastAsia" w:ascii="宋体" w:eastAsia="宋体"/>
          <w:b w:val="0"/>
          <w:color w:val="auto"/>
          <w:sz w:val="22"/>
          <w:szCs w:val="22"/>
          <w:highlight w:val="none"/>
        </w:rPr>
        <w:t>特此承诺！</w:t>
      </w:r>
    </w:p>
    <w:p>
      <w:pPr>
        <w:widowControl/>
        <w:spacing w:line="460" w:lineRule="exact"/>
        <w:ind w:firstLine="440"/>
        <w:jc w:val="left"/>
        <w:rPr>
          <w:rFonts w:ascii="宋体" w:eastAsia="宋体"/>
          <w:b w:val="0"/>
          <w:color w:val="auto"/>
          <w:sz w:val="22"/>
          <w:szCs w:val="22"/>
          <w:highlight w:val="none"/>
        </w:rPr>
      </w:pPr>
    </w:p>
    <w:p>
      <w:pPr>
        <w:widowControl/>
        <w:spacing w:line="460" w:lineRule="exact"/>
        <w:ind w:firstLine="440"/>
        <w:jc w:val="left"/>
        <w:rPr>
          <w:rFonts w:ascii="宋体" w:eastAsia="宋体"/>
          <w:b w:val="0"/>
          <w:color w:val="auto"/>
          <w:sz w:val="22"/>
          <w:szCs w:val="22"/>
          <w:highlight w:val="none"/>
        </w:rPr>
      </w:pPr>
      <w:r>
        <w:rPr>
          <w:rFonts w:hint="eastAsia" w:ascii="宋体" w:eastAsia="宋体"/>
          <w:b w:val="0"/>
          <w:color w:val="auto"/>
          <w:sz w:val="22"/>
          <w:szCs w:val="22"/>
          <w:highlight w:val="none"/>
        </w:rPr>
        <w:t>投标供应商（盖章） ：</w:t>
      </w:r>
    </w:p>
    <w:p>
      <w:pPr>
        <w:spacing w:line="460" w:lineRule="atLeast"/>
        <w:ind w:firstLine="440"/>
        <w:rPr>
          <w:rFonts w:ascii="宋体" w:eastAsia="宋体"/>
          <w:b w:val="0"/>
          <w:color w:val="auto"/>
          <w:sz w:val="36"/>
          <w:highlight w:val="none"/>
        </w:rPr>
      </w:pPr>
      <w:r>
        <w:rPr>
          <w:rFonts w:hint="eastAsia" w:ascii="宋体" w:eastAsia="宋体"/>
          <w:b w:val="0"/>
          <w:color w:val="auto"/>
          <w:sz w:val="22"/>
          <w:szCs w:val="22"/>
          <w:highlight w:val="none"/>
        </w:rPr>
        <w:t>日期：</w:t>
      </w:r>
    </w:p>
    <w:p>
      <w:pP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br w:type="page"/>
      </w:r>
    </w:p>
    <w:p>
      <w:pPr>
        <w:snapToGrid w:val="0"/>
        <w:spacing w:line="360" w:lineRule="auto"/>
        <w:jc w:val="center"/>
        <w:rPr>
          <w:rFonts w:hint="default" w:ascii="宋体" w:hAnsi="宋体" w:eastAsia="仿宋_GB2312" w:cs="宋体"/>
          <w:b/>
          <w:color w:val="auto"/>
          <w:sz w:val="32"/>
          <w:szCs w:val="32"/>
          <w:highlight w:val="none"/>
          <w:lang w:val="en-US" w:eastAsia="zh-CN"/>
        </w:rPr>
      </w:pPr>
      <w:r>
        <w:rPr>
          <w:rFonts w:hint="eastAsia" w:ascii="宋体" w:hAnsi="宋体" w:cs="宋体"/>
          <w:b/>
          <w:color w:val="auto"/>
          <w:sz w:val="32"/>
          <w:szCs w:val="32"/>
          <w:highlight w:val="none"/>
          <w:lang w:val="en-US" w:eastAsia="zh-CN"/>
        </w:rPr>
        <w:t>（2）送戏过程中服从采购单位对村居调配</w:t>
      </w:r>
      <w:r>
        <w:rPr>
          <w:rFonts w:hint="eastAsia" w:ascii="宋体" w:cs="宋体"/>
          <w:b/>
          <w:color w:val="auto"/>
          <w:sz w:val="32"/>
          <w:szCs w:val="32"/>
          <w:highlight w:val="none"/>
          <w:lang w:val="en-US" w:eastAsia="zh-CN"/>
        </w:rPr>
        <w:t>的</w:t>
      </w:r>
      <w:r>
        <w:rPr>
          <w:rFonts w:hint="eastAsia" w:ascii="宋体" w:hAnsi="宋体" w:cs="宋体"/>
          <w:b/>
          <w:color w:val="auto"/>
          <w:sz w:val="32"/>
          <w:szCs w:val="32"/>
          <w:highlight w:val="none"/>
          <w:lang w:val="en-US" w:eastAsia="zh-CN"/>
        </w:rPr>
        <w:t>承诺函</w:t>
      </w:r>
    </w:p>
    <w:p>
      <w:pPr>
        <w:rPr>
          <w:rFonts w:hint="eastAsia"/>
          <w:color w:val="auto"/>
          <w:highlight w:val="none"/>
          <w:lang w:val="zh-CN" w:eastAsia="zh-CN"/>
        </w:rPr>
      </w:pPr>
    </w:p>
    <w:p>
      <w:pPr>
        <w:spacing w:line="460" w:lineRule="exact"/>
        <w:jc w:val="left"/>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lang w:eastAsia="zh-CN"/>
        </w:rPr>
        <w:t>永嘉县文化和广电旅游体育局</w:t>
      </w:r>
      <w:r>
        <w:rPr>
          <w:rFonts w:hint="eastAsia" w:ascii="宋体" w:eastAsia="宋体"/>
          <w:bCs w:val="0"/>
          <w:color w:val="auto"/>
          <w:sz w:val="22"/>
          <w:szCs w:val="22"/>
          <w:highlight w:val="none"/>
          <w:u w:val="single"/>
        </w:rPr>
        <w:t>：</w:t>
      </w:r>
    </w:p>
    <w:p>
      <w:pPr>
        <w:spacing w:line="460" w:lineRule="exact"/>
        <w:jc w:val="left"/>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温州市中概工程管理咨询有限公司：</w:t>
      </w:r>
    </w:p>
    <w:p>
      <w:pPr>
        <w:widowControl/>
        <w:spacing w:line="460" w:lineRule="exact"/>
        <w:ind w:firstLine="440"/>
        <w:jc w:val="left"/>
        <w:rPr>
          <w:rFonts w:ascii="宋体" w:eastAsia="宋体"/>
          <w:b w:val="0"/>
          <w:color w:val="auto"/>
          <w:sz w:val="22"/>
          <w:szCs w:val="22"/>
          <w:highlight w:val="none"/>
        </w:rPr>
      </w:pPr>
      <w:r>
        <w:rPr>
          <w:rFonts w:hint="eastAsia" w:ascii="宋体" w:eastAsia="宋体"/>
          <w:b w:val="0"/>
          <w:color w:val="auto"/>
          <w:sz w:val="22"/>
          <w:szCs w:val="22"/>
          <w:highlight w:val="none"/>
        </w:rPr>
        <w:t>我方郑重承诺，我方此次参加本项目的投标，送戏过程中服从采购单位对村居的调配。如有虚假或隐瞒，愿意承担一切后果。</w:t>
      </w:r>
    </w:p>
    <w:p>
      <w:pPr>
        <w:pStyle w:val="8"/>
        <w:jc w:val="left"/>
        <w:rPr>
          <w:rFonts w:ascii="宋体" w:hAnsi="宋体" w:cs="宋体"/>
          <w:b w:val="0"/>
          <w:color w:val="auto"/>
          <w:sz w:val="22"/>
          <w:szCs w:val="22"/>
          <w:highlight w:val="none"/>
        </w:rPr>
      </w:pPr>
    </w:p>
    <w:p>
      <w:pPr>
        <w:widowControl/>
        <w:spacing w:line="460" w:lineRule="exact"/>
        <w:ind w:firstLine="440"/>
        <w:jc w:val="left"/>
        <w:rPr>
          <w:rFonts w:ascii="宋体" w:eastAsia="宋体"/>
          <w:b w:val="0"/>
          <w:color w:val="auto"/>
          <w:sz w:val="22"/>
          <w:szCs w:val="22"/>
          <w:highlight w:val="none"/>
        </w:rPr>
      </w:pPr>
      <w:r>
        <w:rPr>
          <w:rFonts w:hint="eastAsia" w:ascii="宋体" w:eastAsia="宋体"/>
          <w:b w:val="0"/>
          <w:color w:val="auto"/>
          <w:sz w:val="22"/>
          <w:szCs w:val="22"/>
          <w:highlight w:val="none"/>
        </w:rPr>
        <w:t>特此承诺！</w:t>
      </w:r>
    </w:p>
    <w:p>
      <w:pPr>
        <w:widowControl/>
        <w:spacing w:line="460" w:lineRule="exact"/>
        <w:ind w:firstLine="440"/>
        <w:jc w:val="left"/>
        <w:rPr>
          <w:rFonts w:ascii="宋体" w:eastAsia="宋体"/>
          <w:b w:val="0"/>
          <w:color w:val="auto"/>
          <w:sz w:val="22"/>
          <w:szCs w:val="22"/>
          <w:highlight w:val="none"/>
        </w:rPr>
      </w:pPr>
    </w:p>
    <w:p>
      <w:pPr>
        <w:widowControl/>
        <w:spacing w:line="460" w:lineRule="exact"/>
        <w:ind w:firstLine="440"/>
        <w:jc w:val="left"/>
        <w:rPr>
          <w:rFonts w:ascii="宋体" w:eastAsia="宋体"/>
          <w:b w:val="0"/>
          <w:color w:val="auto"/>
          <w:sz w:val="22"/>
          <w:szCs w:val="22"/>
          <w:highlight w:val="none"/>
        </w:rPr>
      </w:pPr>
      <w:r>
        <w:rPr>
          <w:rFonts w:hint="eastAsia" w:ascii="宋体" w:eastAsia="宋体"/>
          <w:b w:val="0"/>
          <w:color w:val="auto"/>
          <w:sz w:val="22"/>
          <w:szCs w:val="22"/>
          <w:highlight w:val="none"/>
        </w:rPr>
        <w:t>投标供应商（盖章） ：</w:t>
      </w:r>
    </w:p>
    <w:p>
      <w:pPr>
        <w:spacing w:line="460" w:lineRule="atLeast"/>
        <w:ind w:firstLine="440"/>
        <w:rPr>
          <w:rFonts w:ascii="宋体" w:eastAsia="宋体"/>
          <w:b w:val="0"/>
          <w:color w:val="auto"/>
          <w:sz w:val="36"/>
          <w:highlight w:val="none"/>
        </w:rPr>
      </w:pPr>
      <w:r>
        <w:rPr>
          <w:rFonts w:hint="eastAsia" w:ascii="宋体" w:eastAsia="宋体"/>
          <w:b w:val="0"/>
          <w:color w:val="auto"/>
          <w:sz w:val="22"/>
          <w:szCs w:val="22"/>
          <w:highlight w:val="none"/>
        </w:rPr>
        <w:t>日期：</w:t>
      </w:r>
    </w:p>
    <w:p>
      <w:pPr>
        <w:pStyle w:val="2"/>
        <w:rPr>
          <w:rFonts w:hint="eastAsia"/>
          <w:color w:val="auto"/>
          <w:highlight w:val="none"/>
        </w:rPr>
      </w:pPr>
    </w:p>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pStyle w:val="20"/>
        <w:rPr>
          <w:rFonts w:hint="eastAsia" w:ascii="宋体" w:hAnsi="宋体" w:eastAsia="宋体" w:cs="宋体"/>
          <w:b/>
          <w:bCs/>
          <w:color w:val="auto"/>
          <w:highlight w:val="none"/>
          <w:lang w:val="en-US" w:eastAsia="zh-CN"/>
        </w:rPr>
      </w:pPr>
      <w:r>
        <w:rPr>
          <w:rFonts w:hint="eastAsia" w:ascii="宋体" w:hAnsi="宋体" w:eastAsia="宋体" w:cs="宋体"/>
          <w:b/>
          <w:bCs/>
          <w:color w:val="auto"/>
          <w:sz w:val="22"/>
          <w:szCs w:val="22"/>
          <w:highlight w:val="none"/>
        </w:rPr>
        <w:t>附件十</w:t>
      </w:r>
      <w:r>
        <w:rPr>
          <w:rFonts w:hint="eastAsia" w:ascii="宋体" w:hAnsi="宋体" w:eastAsia="宋体" w:cs="宋体"/>
          <w:b/>
          <w:bCs/>
          <w:color w:val="auto"/>
          <w:sz w:val="22"/>
          <w:szCs w:val="22"/>
          <w:highlight w:val="none"/>
          <w:lang w:val="en-US" w:eastAsia="zh-CN"/>
        </w:rPr>
        <w:t>八</w:t>
      </w:r>
    </w:p>
    <w:p>
      <w:pPr>
        <w:spacing w:after="240" w:line="360" w:lineRule="exact"/>
        <w:jc w:val="center"/>
        <w:rPr>
          <w:rFonts w:ascii="宋体" w:eastAsia="宋体"/>
          <w:color w:val="auto"/>
          <w:sz w:val="28"/>
          <w:szCs w:val="28"/>
          <w:highlight w:val="none"/>
        </w:rPr>
      </w:pPr>
      <w:r>
        <w:rPr>
          <w:rFonts w:hint="eastAsia" w:ascii="宋体" w:eastAsia="宋体"/>
          <w:color w:val="auto"/>
          <w:sz w:val="28"/>
          <w:szCs w:val="28"/>
          <w:highlight w:val="none"/>
        </w:rPr>
        <w:t>演出方案</w:t>
      </w:r>
    </w:p>
    <w:p>
      <w:pPr>
        <w:spacing w:line="360" w:lineRule="exact"/>
        <w:rPr>
          <w:rFonts w:ascii="宋体" w:eastAsia="宋体"/>
          <w:color w:val="auto"/>
          <w:sz w:val="22"/>
          <w:highlight w:val="none"/>
        </w:rPr>
      </w:pPr>
      <w:r>
        <w:rPr>
          <w:rFonts w:hint="eastAsia" w:ascii="宋体" w:eastAsia="宋体"/>
          <w:color w:val="auto"/>
          <w:sz w:val="22"/>
          <w:highlight w:val="none"/>
        </w:rPr>
        <w:t>项目名称：                                         项目编号：</w:t>
      </w:r>
    </w:p>
    <w:tbl>
      <w:tblPr>
        <w:tblStyle w:val="4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2" w:hRule="atLeast"/>
          <w:jc w:val="center"/>
        </w:trPr>
        <w:tc>
          <w:tcPr>
            <w:tcW w:w="9648" w:type="dxa"/>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宋体" w:eastAsia="宋体"/>
                <w:color w:val="auto"/>
                <w:highlight w:val="none"/>
              </w:rPr>
            </w:pPr>
          </w:p>
        </w:tc>
      </w:tr>
    </w:tbl>
    <w:p>
      <w:pPr>
        <w:pStyle w:val="26"/>
        <w:spacing w:line="400" w:lineRule="atLeast"/>
        <w:ind w:left="4635" w:leftChars="156" w:hanging="4307" w:hangingChars="1950"/>
        <w:rPr>
          <w:rFonts w:hAnsi="宋体" w:eastAsia="宋体"/>
          <w:color w:val="auto"/>
          <w:sz w:val="22"/>
          <w:highlight w:val="none"/>
        </w:rPr>
      </w:pPr>
    </w:p>
    <w:p>
      <w:pPr>
        <w:pStyle w:val="26"/>
        <w:spacing w:line="360" w:lineRule="auto"/>
        <w:rPr>
          <w:rFonts w:hAnsi="宋体" w:eastAsia="宋体"/>
          <w:b w:val="0"/>
          <w:color w:val="auto"/>
          <w:sz w:val="22"/>
          <w:szCs w:val="22"/>
          <w:highlight w:val="none"/>
        </w:rPr>
      </w:pPr>
      <w:bookmarkStart w:id="176" w:name="_Toc301515381"/>
      <w:r>
        <w:rPr>
          <w:rFonts w:hint="eastAsia" w:hAnsi="宋体" w:eastAsia="宋体"/>
          <w:b w:val="0"/>
          <w:color w:val="auto"/>
          <w:sz w:val="22"/>
          <w:szCs w:val="22"/>
          <w:highlight w:val="none"/>
        </w:rPr>
        <w:t>投标供应商全称（盖章）：</w:t>
      </w:r>
    </w:p>
    <w:p>
      <w:pPr>
        <w:pStyle w:val="26"/>
        <w:spacing w:line="360" w:lineRule="auto"/>
        <w:rPr>
          <w:rFonts w:hAnsi="宋体" w:eastAsia="宋体"/>
          <w:b w:val="0"/>
          <w:color w:val="auto"/>
          <w:sz w:val="22"/>
          <w:szCs w:val="22"/>
          <w:highlight w:val="none"/>
        </w:rPr>
      </w:pPr>
      <w:r>
        <w:rPr>
          <w:rFonts w:hint="eastAsia" w:hAnsi="宋体" w:eastAsia="宋体"/>
          <w:b w:val="0"/>
          <w:color w:val="auto"/>
          <w:sz w:val="22"/>
          <w:szCs w:val="22"/>
          <w:highlight w:val="none"/>
        </w:rPr>
        <w:t>日 期：       年      月      日</w:t>
      </w:r>
    </w:p>
    <w:p>
      <w:pPr>
        <w:pStyle w:val="8"/>
        <w:jc w:val="left"/>
        <w:rPr>
          <w:rFonts w:ascii="宋体" w:hAnsi="宋体" w:cs="宋体"/>
          <w:b w:val="0"/>
          <w:color w:val="auto"/>
          <w:sz w:val="22"/>
          <w:szCs w:val="22"/>
          <w:highlight w:val="none"/>
        </w:rPr>
      </w:pPr>
    </w:p>
    <w:p>
      <w:pPr>
        <w:pStyle w:val="20"/>
        <w:rPr>
          <w:rFonts w:hint="eastAsia" w:ascii="宋体" w:hAnsi="宋体" w:eastAsia="宋体" w:cs="宋体"/>
          <w:b/>
          <w:bCs/>
          <w:color w:val="auto"/>
          <w:highlight w:val="none"/>
          <w:lang w:val="en-US" w:eastAsia="zh-CN"/>
        </w:rPr>
      </w:pPr>
      <w:r>
        <w:rPr>
          <w:rFonts w:hint="eastAsia" w:ascii="宋体" w:eastAsia="宋体"/>
          <w:b w:val="0"/>
          <w:color w:val="auto"/>
          <w:sz w:val="28"/>
          <w:szCs w:val="28"/>
          <w:highlight w:val="none"/>
        </w:rPr>
        <w:br w:type="page"/>
      </w:r>
      <w:bookmarkEnd w:id="176"/>
      <w:r>
        <w:rPr>
          <w:rFonts w:hint="eastAsia" w:ascii="宋体" w:hAnsi="宋体" w:eastAsia="宋体" w:cs="宋体"/>
          <w:b/>
          <w:bCs/>
          <w:color w:val="auto"/>
          <w:sz w:val="22"/>
          <w:szCs w:val="22"/>
          <w:highlight w:val="none"/>
        </w:rPr>
        <w:t>附件十</w:t>
      </w:r>
      <w:r>
        <w:rPr>
          <w:rFonts w:hint="eastAsia" w:ascii="宋体" w:hAnsi="宋体" w:eastAsia="宋体" w:cs="宋体"/>
          <w:b/>
          <w:bCs/>
          <w:color w:val="auto"/>
          <w:sz w:val="22"/>
          <w:szCs w:val="22"/>
          <w:highlight w:val="none"/>
          <w:lang w:val="en-US" w:eastAsia="zh-CN"/>
        </w:rPr>
        <w:t>九</w:t>
      </w:r>
    </w:p>
    <w:p>
      <w:pPr>
        <w:spacing w:after="240" w:line="360" w:lineRule="exact"/>
        <w:jc w:val="center"/>
        <w:rPr>
          <w:rFonts w:ascii="宋体" w:eastAsia="宋体"/>
          <w:color w:val="auto"/>
          <w:sz w:val="28"/>
          <w:szCs w:val="28"/>
          <w:highlight w:val="none"/>
        </w:rPr>
      </w:pPr>
      <w:r>
        <w:rPr>
          <w:rFonts w:hint="eastAsia" w:ascii="宋体" w:eastAsia="宋体"/>
          <w:color w:val="auto"/>
          <w:sz w:val="28"/>
          <w:szCs w:val="28"/>
          <w:highlight w:val="none"/>
        </w:rPr>
        <w:t>实施方案</w:t>
      </w:r>
    </w:p>
    <w:p>
      <w:pPr>
        <w:spacing w:line="360" w:lineRule="exact"/>
        <w:rPr>
          <w:rFonts w:ascii="宋体" w:eastAsia="宋体"/>
          <w:color w:val="auto"/>
          <w:sz w:val="22"/>
          <w:highlight w:val="none"/>
        </w:rPr>
      </w:pPr>
      <w:r>
        <w:rPr>
          <w:rFonts w:hint="eastAsia" w:ascii="宋体" w:eastAsia="宋体"/>
          <w:color w:val="auto"/>
          <w:sz w:val="22"/>
          <w:highlight w:val="none"/>
        </w:rPr>
        <w:t>项目名称：                                         项目编号：</w:t>
      </w:r>
    </w:p>
    <w:tbl>
      <w:tblPr>
        <w:tblStyle w:val="4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2" w:hRule="atLeast"/>
          <w:jc w:val="center"/>
        </w:trPr>
        <w:tc>
          <w:tcPr>
            <w:tcW w:w="9648" w:type="dxa"/>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宋体" w:eastAsia="宋体"/>
                <w:color w:val="auto"/>
                <w:highlight w:val="none"/>
              </w:rPr>
            </w:pPr>
          </w:p>
        </w:tc>
      </w:tr>
    </w:tbl>
    <w:p>
      <w:pPr>
        <w:pStyle w:val="26"/>
        <w:spacing w:line="400" w:lineRule="atLeast"/>
        <w:ind w:left="4635" w:leftChars="156" w:hanging="4307" w:hangingChars="1950"/>
        <w:rPr>
          <w:rFonts w:hAnsi="宋体" w:eastAsia="宋体"/>
          <w:color w:val="auto"/>
          <w:sz w:val="22"/>
          <w:highlight w:val="none"/>
        </w:rPr>
      </w:pPr>
    </w:p>
    <w:p>
      <w:pPr>
        <w:pStyle w:val="26"/>
        <w:spacing w:line="360" w:lineRule="auto"/>
        <w:rPr>
          <w:rFonts w:hAnsi="宋体" w:eastAsia="宋体"/>
          <w:b w:val="0"/>
          <w:color w:val="auto"/>
          <w:sz w:val="22"/>
          <w:szCs w:val="22"/>
          <w:highlight w:val="none"/>
        </w:rPr>
      </w:pPr>
      <w:r>
        <w:rPr>
          <w:rFonts w:hint="eastAsia" w:hAnsi="宋体" w:eastAsia="宋体"/>
          <w:b w:val="0"/>
          <w:color w:val="auto"/>
          <w:sz w:val="22"/>
          <w:szCs w:val="22"/>
          <w:highlight w:val="none"/>
        </w:rPr>
        <w:t>投标供应商全称（盖章）：</w:t>
      </w:r>
    </w:p>
    <w:p>
      <w:pPr>
        <w:pStyle w:val="26"/>
        <w:spacing w:line="360" w:lineRule="auto"/>
        <w:rPr>
          <w:rFonts w:hAnsi="宋体" w:eastAsia="宋体"/>
          <w:b w:val="0"/>
          <w:color w:val="auto"/>
          <w:sz w:val="22"/>
          <w:szCs w:val="22"/>
          <w:highlight w:val="none"/>
        </w:rPr>
      </w:pPr>
      <w:r>
        <w:rPr>
          <w:rFonts w:hint="eastAsia" w:hAnsi="宋体" w:eastAsia="宋体"/>
          <w:b w:val="0"/>
          <w:color w:val="auto"/>
          <w:sz w:val="22"/>
          <w:szCs w:val="22"/>
          <w:highlight w:val="none"/>
        </w:rPr>
        <w:t>日 期：       年      月      日</w:t>
      </w:r>
    </w:p>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pStyle w:val="20"/>
        <w:rPr>
          <w:rFonts w:hint="eastAsia" w:ascii="宋体" w:hAnsi="宋体" w:eastAsia="宋体" w:cs="宋体"/>
          <w:b/>
          <w:bCs/>
          <w:color w:val="auto"/>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二十</w:t>
      </w:r>
    </w:p>
    <w:p>
      <w:pPr>
        <w:spacing w:after="240" w:line="360" w:lineRule="exact"/>
        <w:jc w:val="center"/>
        <w:rPr>
          <w:rFonts w:ascii="宋体" w:eastAsia="宋体"/>
          <w:color w:val="auto"/>
          <w:sz w:val="28"/>
          <w:szCs w:val="28"/>
          <w:highlight w:val="none"/>
        </w:rPr>
      </w:pPr>
      <w:r>
        <w:rPr>
          <w:rFonts w:hint="eastAsia" w:ascii="宋体" w:eastAsia="宋体"/>
          <w:color w:val="auto"/>
          <w:sz w:val="28"/>
          <w:szCs w:val="28"/>
          <w:highlight w:val="none"/>
        </w:rPr>
        <w:t>安全保障</w:t>
      </w:r>
    </w:p>
    <w:p>
      <w:pPr>
        <w:spacing w:line="360" w:lineRule="exact"/>
        <w:rPr>
          <w:rFonts w:ascii="宋体" w:eastAsia="宋体"/>
          <w:color w:val="auto"/>
          <w:sz w:val="22"/>
          <w:highlight w:val="none"/>
        </w:rPr>
      </w:pPr>
      <w:r>
        <w:rPr>
          <w:rFonts w:hint="eastAsia" w:ascii="宋体" w:eastAsia="宋体"/>
          <w:color w:val="auto"/>
          <w:sz w:val="22"/>
          <w:highlight w:val="none"/>
        </w:rPr>
        <w:t>项目名称：                                         项目编号：</w:t>
      </w:r>
    </w:p>
    <w:tbl>
      <w:tblPr>
        <w:tblStyle w:val="4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2" w:hRule="atLeast"/>
          <w:jc w:val="center"/>
        </w:trPr>
        <w:tc>
          <w:tcPr>
            <w:tcW w:w="9648" w:type="dxa"/>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宋体" w:eastAsia="宋体"/>
                <w:color w:val="auto"/>
                <w:highlight w:val="none"/>
              </w:rPr>
            </w:pPr>
          </w:p>
        </w:tc>
      </w:tr>
    </w:tbl>
    <w:p>
      <w:pPr>
        <w:pStyle w:val="26"/>
        <w:spacing w:line="400" w:lineRule="atLeast"/>
        <w:ind w:left="4635" w:leftChars="156" w:hanging="4307" w:hangingChars="1950"/>
        <w:rPr>
          <w:rFonts w:hAnsi="宋体" w:eastAsia="宋体"/>
          <w:color w:val="auto"/>
          <w:sz w:val="22"/>
          <w:highlight w:val="none"/>
        </w:rPr>
      </w:pPr>
    </w:p>
    <w:p>
      <w:pPr>
        <w:pStyle w:val="26"/>
        <w:spacing w:line="360" w:lineRule="auto"/>
        <w:rPr>
          <w:rFonts w:hAnsi="宋体" w:eastAsia="宋体"/>
          <w:b w:val="0"/>
          <w:color w:val="auto"/>
          <w:sz w:val="22"/>
          <w:szCs w:val="22"/>
          <w:highlight w:val="none"/>
        </w:rPr>
      </w:pPr>
      <w:r>
        <w:rPr>
          <w:rFonts w:hint="eastAsia" w:hAnsi="宋体" w:eastAsia="宋体"/>
          <w:b w:val="0"/>
          <w:color w:val="auto"/>
          <w:sz w:val="22"/>
          <w:szCs w:val="22"/>
          <w:highlight w:val="none"/>
        </w:rPr>
        <w:t>投标供应商全称（盖章）：</w:t>
      </w:r>
    </w:p>
    <w:p>
      <w:pPr>
        <w:pStyle w:val="8"/>
        <w:jc w:val="left"/>
        <w:rPr>
          <w:rFonts w:ascii="宋体" w:hAnsi="宋体" w:cs="宋体"/>
          <w:b w:val="0"/>
          <w:color w:val="auto"/>
          <w:sz w:val="22"/>
          <w:szCs w:val="22"/>
          <w:highlight w:val="none"/>
        </w:rPr>
      </w:pPr>
      <w:r>
        <w:rPr>
          <w:rFonts w:hint="eastAsia" w:hAnsi="宋体" w:eastAsia="宋体"/>
          <w:b w:val="0"/>
          <w:color w:val="auto"/>
          <w:sz w:val="22"/>
          <w:szCs w:val="22"/>
          <w:highlight w:val="none"/>
        </w:rPr>
        <w:t>日 期：       年      月      日</w:t>
      </w:r>
    </w:p>
    <w:p>
      <w:pPr>
        <w:pStyle w:val="26"/>
        <w:spacing w:line="360" w:lineRule="auto"/>
        <w:rPr>
          <w:rFonts w:hAnsi="宋体" w:eastAsia="宋体"/>
          <w:b w:val="0"/>
          <w:color w:val="auto"/>
          <w:sz w:val="22"/>
          <w:szCs w:val="22"/>
          <w:highlight w:val="none"/>
        </w:rPr>
      </w:pPr>
    </w:p>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pStyle w:val="20"/>
        <w:rPr>
          <w:rFonts w:hint="eastAsia" w:ascii="宋体" w:hAnsi="宋体" w:eastAsia="宋体" w:cs="宋体"/>
          <w:b/>
          <w:bCs/>
          <w:color w:val="auto"/>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二十一</w:t>
      </w:r>
    </w:p>
    <w:p>
      <w:pPr>
        <w:spacing w:after="240" w:line="360" w:lineRule="exact"/>
        <w:jc w:val="center"/>
        <w:rPr>
          <w:rFonts w:ascii="宋体" w:eastAsia="宋体"/>
          <w:color w:val="auto"/>
          <w:sz w:val="28"/>
          <w:szCs w:val="28"/>
          <w:highlight w:val="none"/>
        </w:rPr>
      </w:pPr>
      <w:r>
        <w:rPr>
          <w:rFonts w:hint="eastAsia" w:ascii="宋体" w:eastAsia="宋体"/>
          <w:color w:val="auto"/>
          <w:sz w:val="28"/>
          <w:szCs w:val="28"/>
          <w:highlight w:val="none"/>
        </w:rPr>
        <w:t>内部管理制度</w:t>
      </w:r>
    </w:p>
    <w:p>
      <w:pPr>
        <w:spacing w:line="360" w:lineRule="exact"/>
        <w:rPr>
          <w:rFonts w:ascii="宋体" w:eastAsia="宋体"/>
          <w:color w:val="auto"/>
          <w:sz w:val="22"/>
          <w:highlight w:val="none"/>
        </w:rPr>
      </w:pPr>
      <w:r>
        <w:rPr>
          <w:rFonts w:hint="eastAsia" w:ascii="宋体" w:eastAsia="宋体"/>
          <w:color w:val="auto"/>
          <w:sz w:val="22"/>
          <w:highlight w:val="none"/>
        </w:rPr>
        <w:t>项目名称：                                         项目编号：</w:t>
      </w:r>
    </w:p>
    <w:tbl>
      <w:tblPr>
        <w:tblStyle w:val="4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2" w:hRule="atLeast"/>
          <w:jc w:val="center"/>
        </w:trPr>
        <w:tc>
          <w:tcPr>
            <w:tcW w:w="9648" w:type="dxa"/>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宋体" w:eastAsia="宋体"/>
                <w:color w:val="auto"/>
                <w:highlight w:val="none"/>
              </w:rPr>
            </w:pPr>
          </w:p>
        </w:tc>
      </w:tr>
    </w:tbl>
    <w:p>
      <w:pPr>
        <w:pStyle w:val="26"/>
        <w:spacing w:line="400" w:lineRule="atLeast"/>
        <w:ind w:left="4635" w:leftChars="156" w:hanging="4307" w:hangingChars="1950"/>
        <w:rPr>
          <w:rFonts w:hAnsi="宋体" w:eastAsia="宋体"/>
          <w:color w:val="auto"/>
          <w:sz w:val="22"/>
          <w:highlight w:val="none"/>
        </w:rPr>
      </w:pPr>
    </w:p>
    <w:p>
      <w:pPr>
        <w:pStyle w:val="26"/>
        <w:spacing w:line="360" w:lineRule="auto"/>
        <w:rPr>
          <w:rFonts w:hAnsi="宋体" w:eastAsia="宋体"/>
          <w:b w:val="0"/>
          <w:color w:val="auto"/>
          <w:sz w:val="22"/>
          <w:szCs w:val="22"/>
          <w:highlight w:val="none"/>
        </w:rPr>
      </w:pPr>
      <w:r>
        <w:rPr>
          <w:rFonts w:hint="eastAsia" w:hAnsi="宋体" w:eastAsia="宋体"/>
          <w:b w:val="0"/>
          <w:color w:val="auto"/>
          <w:sz w:val="22"/>
          <w:szCs w:val="22"/>
          <w:highlight w:val="none"/>
        </w:rPr>
        <w:t>投标供应商全称（盖章）：</w:t>
      </w:r>
    </w:p>
    <w:p>
      <w:pPr>
        <w:pStyle w:val="8"/>
        <w:jc w:val="both"/>
        <w:rPr>
          <w:rFonts w:hint="eastAsia" w:hAnsi="宋体" w:eastAsia="宋体"/>
          <w:b w:val="0"/>
          <w:color w:val="auto"/>
          <w:sz w:val="22"/>
          <w:szCs w:val="22"/>
          <w:highlight w:val="none"/>
        </w:rPr>
      </w:pPr>
      <w:r>
        <w:rPr>
          <w:rFonts w:hint="eastAsia" w:hAnsi="宋体" w:eastAsia="宋体"/>
          <w:b w:val="0"/>
          <w:color w:val="auto"/>
          <w:sz w:val="22"/>
          <w:szCs w:val="22"/>
          <w:highlight w:val="none"/>
        </w:rPr>
        <w:t>日 期：       年      月      日</w:t>
      </w:r>
    </w:p>
    <w:p>
      <w:pPr>
        <w:rPr>
          <w:rFonts w:hint="eastAsia" w:hAnsi="宋体" w:eastAsia="宋体"/>
          <w:b w:val="0"/>
          <w:color w:val="auto"/>
          <w:sz w:val="22"/>
          <w:szCs w:val="22"/>
          <w:highlight w:val="none"/>
        </w:rPr>
      </w:pPr>
      <w:r>
        <w:rPr>
          <w:rFonts w:hint="eastAsia" w:hAnsi="宋体" w:eastAsia="宋体"/>
          <w:b w:val="0"/>
          <w:color w:val="auto"/>
          <w:sz w:val="22"/>
          <w:szCs w:val="22"/>
          <w:highlight w:val="none"/>
        </w:rPr>
        <w:br w:type="page"/>
      </w:r>
    </w:p>
    <w:p>
      <w:pPr>
        <w:pStyle w:val="20"/>
        <w:rPr>
          <w:rFonts w:hint="default" w:ascii="宋体" w:hAnsi="宋体" w:eastAsia="宋体" w:cs="宋体"/>
          <w:b/>
          <w:bCs/>
          <w:color w:val="auto"/>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二十二</w:t>
      </w:r>
    </w:p>
    <w:p>
      <w:pPr>
        <w:spacing w:after="240" w:line="360" w:lineRule="exact"/>
        <w:jc w:val="center"/>
        <w:rPr>
          <w:rFonts w:ascii="宋体" w:eastAsia="宋体"/>
          <w:color w:val="auto"/>
          <w:sz w:val="28"/>
          <w:szCs w:val="28"/>
          <w:highlight w:val="none"/>
        </w:rPr>
      </w:pPr>
      <w:r>
        <w:rPr>
          <w:rFonts w:hint="eastAsia" w:ascii="宋体" w:eastAsia="宋体"/>
          <w:color w:val="auto"/>
          <w:sz w:val="28"/>
          <w:szCs w:val="28"/>
          <w:highlight w:val="none"/>
        </w:rPr>
        <w:t>应急预案</w:t>
      </w:r>
    </w:p>
    <w:p>
      <w:pPr>
        <w:spacing w:line="360" w:lineRule="exact"/>
        <w:rPr>
          <w:rFonts w:ascii="宋体" w:eastAsia="宋体"/>
          <w:color w:val="auto"/>
          <w:sz w:val="22"/>
          <w:highlight w:val="none"/>
        </w:rPr>
      </w:pPr>
      <w:r>
        <w:rPr>
          <w:rFonts w:hint="eastAsia" w:ascii="宋体" w:eastAsia="宋体"/>
          <w:color w:val="auto"/>
          <w:sz w:val="22"/>
          <w:highlight w:val="none"/>
        </w:rPr>
        <w:t>项目名称：                                         项目编号：</w:t>
      </w:r>
    </w:p>
    <w:tbl>
      <w:tblPr>
        <w:tblStyle w:val="4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2" w:hRule="atLeast"/>
          <w:jc w:val="center"/>
        </w:trPr>
        <w:tc>
          <w:tcPr>
            <w:tcW w:w="9648" w:type="dxa"/>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宋体" w:eastAsia="宋体"/>
                <w:color w:val="auto"/>
                <w:highlight w:val="none"/>
              </w:rPr>
            </w:pPr>
          </w:p>
        </w:tc>
      </w:tr>
    </w:tbl>
    <w:p>
      <w:pPr>
        <w:pStyle w:val="26"/>
        <w:spacing w:line="400" w:lineRule="atLeast"/>
        <w:ind w:left="4635" w:leftChars="156" w:hanging="4307" w:hangingChars="1950"/>
        <w:rPr>
          <w:rFonts w:hAnsi="宋体" w:eastAsia="宋体"/>
          <w:color w:val="auto"/>
          <w:sz w:val="22"/>
          <w:highlight w:val="none"/>
        </w:rPr>
      </w:pPr>
    </w:p>
    <w:p>
      <w:pPr>
        <w:pStyle w:val="26"/>
        <w:spacing w:line="360" w:lineRule="auto"/>
        <w:rPr>
          <w:rFonts w:hAnsi="宋体" w:eastAsia="宋体"/>
          <w:b w:val="0"/>
          <w:color w:val="auto"/>
          <w:sz w:val="22"/>
          <w:szCs w:val="22"/>
          <w:highlight w:val="none"/>
        </w:rPr>
      </w:pPr>
      <w:r>
        <w:rPr>
          <w:rFonts w:hint="eastAsia" w:hAnsi="宋体" w:eastAsia="宋体"/>
          <w:b w:val="0"/>
          <w:color w:val="auto"/>
          <w:sz w:val="22"/>
          <w:szCs w:val="22"/>
          <w:highlight w:val="none"/>
        </w:rPr>
        <w:t>投标供应商全称（盖章）：</w:t>
      </w:r>
    </w:p>
    <w:p>
      <w:pPr>
        <w:pStyle w:val="8"/>
        <w:jc w:val="both"/>
        <w:rPr>
          <w:rFonts w:ascii="宋体" w:hAnsi="宋体" w:cs="宋体"/>
          <w:b w:val="0"/>
          <w:color w:val="auto"/>
          <w:highlight w:val="none"/>
        </w:rPr>
        <w:sectPr>
          <w:pgSz w:w="11906" w:h="16838"/>
          <w:pgMar w:top="1355" w:right="1355" w:bottom="1440" w:left="1287" w:header="720" w:footer="720" w:gutter="0"/>
          <w:cols w:space="720" w:num="1"/>
          <w:docGrid w:linePitch="272" w:charSpace="-3831"/>
        </w:sectPr>
      </w:pPr>
      <w:r>
        <w:rPr>
          <w:rFonts w:hint="eastAsia" w:hAnsi="宋体" w:eastAsia="宋体"/>
          <w:b w:val="0"/>
          <w:color w:val="auto"/>
          <w:sz w:val="22"/>
          <w:szCs w:val="22"/>
          <w:highlight w:val="none"/>
        </w:rPr>
        <w:t>日 期：       年      月      日</w:t>
      </w:r>
    </w:p>
    <w:p>
      <w:pPr>
        <w:pStyle w:val="20"/>
        <w:rPr>
          <w:rFonts w:hint="default" w:ascii="宋体" w:hAnsi="宋体" w:eastAsia="宋体" w:cs="宋体"/>
          <w:b/>
          <w:bCs/>
          <w:color w:val="auto"/>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二十三</w:t>
      </w:r>
    </w:p>
    <w:p>
      <w:pPr>
        <w:spacing w:after="240" w:line="360" w:lineRule="exact"/>
        <w:jc w:val="center"/>
        <w:rPr>
          <w:rFonts w:ascii="宋体" w:eastAsia="宋体"/>
          <w:color w:val="auto"/>
          <w:sz w:val="28"/>
          <w:szCs w:val="28"/>
          <w:highlight w:val="none"/>
        </w:rPr>
      </w:pPr>
      <w:r>
        <w:rPr>
          <w:rFonts w:hint="eastAsia" w:ascii="宋体" w:eastAsia="宋体"/>
          <w:color w:val="auto"/>
          <w:sz w:val="28"/>
          <w:szCs w:val="28"/>
          <w:highlight w:val="none"/>
        </w:rPr>
        <w:t>本地化服务</w:t>
      </w:r>
    </w:p>
    <w:p>
      <w:pPr>
        <w:spacing w:line="360" w:lineRule="exact"/>
        <w:rPr>
          <w:rFonts w:ascii="宋体" w:eastAsia="宋体"/>
          <w:color w:val="auto"/>
          <w:sz w:val="22"/>
          <w:highlight w:val="none"/>
        </w:rPr>
      </w:pPr>
      <w:r>
        <w:rPr>
          <w:rFonts w:hint="eastAsia" w:ascii="宋体" w:eastAsia="宋体"/>
          <w:color w:val="auto"/>
          <w:sz w:val="22"/>
          <w:highlight w:val="none"/>
        </w:rPr>
        <w:t>项目名称：                                         项目编号：</w:t>
      </w:r>
    </w:p>
    <w:tbl>
      <w:tblPr>
        <w:tblStyle w:val="4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2" w:hRule="atLeast"/>
          <w:jc w:val="center"/>
        </w:trPr>
        <w:tc>
          <w:tcPr>
            <w:tcW w:w="9648" w:type="dxa"/>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宋体" w:eastAsia="宋体"/>
                <w:color w:val="auto"/>
                <w:highlight w:val="none"/>
              </w:rPr>
            </w:pPr>
          </w:p>
        </w:tc>
      </w:tr>
    </w:tbl>
    <w:p>
      <w:pPr>
        <w:pStyle w:val="26"/>
        <w:spacing w:line="400" w:lineRule="atLeast"/>
        <w:ind w:left="4635" w:leftChars="156" w:hanging="4307" w:hangingChars="1950"/>
        <w:rPr>
          <w:rFonts w:hAnsi="宋体" w:eastAsia="宋体"/>
          <w:color w:val="auto"/>
          <w:sz w:val="22"/>
          <w:highlight w:val="none"/>
        </w:rPr>
      </w:pPr>
    </w:p>
    <w:p>
      <w:pPr>
        <w:pStyle w:val="26"/>
        <w:spacing w:line="360" w:lineRule="auto"/>
        <w:rPr>
          <w:rFonts w:hAnsi="宋体" w:eastAsia="宋体"/>
          <w:b w:val="0"/>
          <w:color w:val="auto"/>
          <w:sz w:val="22"/>
          <w:szCs w:val="22"/>
          <w:highlight w:val="none"/>
        </w:rPr>
      </w:pPr>
      <w:r>
        <w:rPr>
          <w:rFonts w:hint="eastAsia" w:hAnsi="宋体" w:eastAsia="宋体"/>
          <w:b w:val="0"/>
          <w:color w:val="auto"/>
          <w:sz w:val="22"/>
          <w:szCs w:val="22"/>
          <w:highlight w:val="none"/>
        </w:rPr>
        <w:t>投标供应商全称（盖章）：</w:t>
      </w:r>
    </w:p>
    <w:p>
      <w:pPr>
        <w:pStyle w:val="8"/>
        <w:jc w:val="both"/>
        <w:rPr>
          <w:color w:val="auto"/>
          <w:highlight w:val="none"/>
        </w:rPr>
        <w:sectPr>
          <w:pgSz w:w="11906" w:h="16838"/>
          <w:pgMar w:top="1355" w:right="1355" w:bottom="1440" w:left="1287" w:header="720" w:footer="720" w:gutter="0"/>
          <w:cols w:space="720" w:num="1"/>
          <w:docGrid w:linePitch="272" w:charSpace="-3831"/>
        </w:sectPr>
      </w:pPr>
      <w:r>
        <w:rPr>
          <w:rFonts w:hint="eastAsia" w:hAnsi="宋体" w:eastAsia="宋体"/>
          <w:b w:val="0"/>
          <w:color w:val="auto"/>
          <w:sz w:val="22"/>
          <w:szCs w:val="22"/>
          <w:highlight w:val="none"/>
        </w:rPr>
        <w:t xml:space="preserve">日 期：       年      月      </w:t>
      </w:r>
    </w:p>
    <w:p>
      <w:pPr>
        <w:pStyle w:val="8"/>
        <w:rPr>
          <w:rFonts w:ascii="宋体" w:hAnsi="宋体" w:cs="宋体"/>
          <w:color w:val="auto"/>
          <w:highlight w:val="none"/>
        </w:rPr>
      </w:pPr>
      <w:bookmarkStart w:id="177" w:name="_Toc21361"/>
      <w:r>
        <w:rPr>
          <w:rFonts w:hint="eastAsia" w:ascii="宋体" w:hAnsi="宋体" w:cs="宋体"/>
          <w:color w:val="auto"/>
          <w:highlight w:val="none"/>
        </w:rPr>
        <w:t>第七部分 评标定标办法</w:t>
      </w:r>
      <w:bookmarkEnd w:id="100"/>
      <w:bookmarkEnd w:id="177"/>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根据《中华人民共和国政府采购法》等有关政府采购法规，结合本次所要采购服务的实际，按照公平、公正、科学、择优的原则选择中标人，特制定本评审办法。</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一、总则</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中标人，磋商小组不作任何解释。投标供应商不得以任何方式干扰采购工作的进行，一经发现其磋商响应文件将被拒绝。</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二、评审组织</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评审工作由采购人依法组建的磋商小组负责，磋商小组由采购人代表以及评审专家库中随机抽取的有关技术、经济专家共同组成。评审全过程由采购管理部门全程监督。</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三、磋商程序、磋商原则和方式</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1、本次采购是根据竞争性磋商采购方式进行。</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1.1、如磋商小组认为竞争性磋商文件能够详细列明采购标的技术、服务要求的，评审结束后，磋商小组可以直接对投标供应商进行打分评价。</w:t>
      </w:r>
    </w:p>
    <w:p>
      <w:pPr>
        <w:spacing w:line="360" w:lineRule="auto"/>
        <w:ind w:firstLine="442" w:firstLineChars="200"/>
        <w:rPr>
          <w:rFonts w:ascii="宋体" w:eastAsia="宋体"/>
          <w:color w:val="auto"/>
          <w:sz w:val="22"/>
          <w:szCs w:val="22"/>
          <w:highlight w:val="none"/>
        </w:rPr>
      </w:pPr>
      <w:r>
        <w:rPr>
          <w:rFonts w:hint="eastAsia" w:ascii="宋体" w:eastAsia="宋体"/>
          <w:color w:val="auto"/>
          <w:sz w:val="22"/>
          <w:szCs w:val="22"/>
          <w:highlight w:val="none"/>
        </w:rPr>
        <w:t>1.2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对竞争性磋商文件作出的实质性变动是磋商文件的有效组成部分，磋商小组应当及时以书面形式同时通知所有参加磋商的投标供应商。</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投标供应商应当按照竞争性磋商文件的变动情况和磋商小组的要求重新提交磋商响应文件，并由其法定代表人或授权代表签字或者加盖公章。由授权代表签字的，应当附法定代表人授权书。投标供应商为自然人的，应当由本人签字并附身份证明。</w:t>
      </w:r>
    </w:p>
    <w:p>
      <w:pPr>
        <w:spacing w:line="360" w:lineRule="auto"/>
        <w:ind w:firstLine="442"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已提交磋商响应文件的投标供应商，在提交最后磋商报价之前，可以根据磋商情况退出磋商。</w:t>
      </w:r>
    </w:p>
    <w:p>
      <w:pPr>
        <w:spacing w:line="360" w:lineRule="auto"/>
        <w:ind w:firstLine="440" w:firstLineChars="200"/>
        <w:rPr>
          <w:rFonts w:ascii="宋体" w:eastAsia="宋体"/>
          <w:color w:val="auto"/>
          <w:sz w:val="22"/>
          <w:szCs w:val="22"/>
          <w:highlight w:val="none"/>
          <w:u w:val="single"/>
        </w:rPr>
      </w:pPr>
      <w:r>
        <w:rPr>
          <w:rFonts w:hint="eastAsia" w:ascii="宋体" w:eastAsia="宋体"/>
          <w:b w:val="0"/>
          <w:color w:val="auto"/>
          <w:sz w:val="22"/>
          <w:szCs w:val="22"/>
          <w:highlight w:val="none"/>
        </w:rPr>
        <w:t>1.3、磋商的顺序，按投标供应商签到的顺序进行。开展磋商，磋商小组所有成员集中与单一投标供应商分别进行磋商</w:t>
      </w:r>
      <w:r>
        <w:rPr>
          <w:rFonts w:hint="eastAsia" w:ascii="宋体" w:eastAsia="宋体"/>
          <w:color w:val="auto"/>
          <w:sz w:val="22"/>
          <w:szCs w:val="22"/>
          <w:highlight w:val="none"/>
        </w:rPr>
        <w:t>（如有需要可进行2至3次磋商，磋商次数由磋商小组讨论决定）</w:t>
      </w:r>
      <w:r>
        <w:rPr>
          <w:rFonts w:hint="eastAsia" w:ascii="宋体" w:eastAsia="宋体"/>
          <w:b w:val="0"/>
          <w:color w:val="auto"/>
          <w:sz w:val="22"/>
          <w:szCs w:val="22"/>
          <w:highlight w:val="none"/>
        </w:rPr>
        <w:t>，</w:t>
      </w:r>
      <w:r>
        <w:rPr>
          <w:rFonts w:hint="eastAsia" w:ascii="宋体" w:eastAsia="宋体"/>
          <w:color w:val="auto"/>
          <w:sz w:val="22"/>
          <w:szCs w:val="22"/>
          <w:highlight w:val="none"/>
        </w:rPr>
        <w:t>并要求投标供应商提交最终磋商报价（最终磋商报价可以是一次报价，如有需要可进行2至3次磋商报价，磋商报价次数由磋商小组讨论决定）。</w:t>
      </w:r>
      <w:r>
        <w:rPr>
          <w:rFonts w:hint="eastAsia" w:ascii="宋体" w:eastAsia="宋体"/>
          <w:color w:val="auto"/>
          <w:sz w:val="22"/>
          <w:szCs w:val="22"/>
          <w:highlight w:val="none"/>
          <w:u w:val="single"/>
        </w:rPr>
        <w:t>在竞争性磋商文件未做任何调整的情况下，参与磋商的投标供应商如有出现最终磋商报价超过磋商响应文件中报价的，则该投标供应商的报价按无效处理。超过规定时间提交的最终磋商报价作无效处理。</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2、评审原则和方法</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2.1、磋商小组负责审查磋商响应文件是否符合竞争性磋商文件的要求，并作出评价。磋商小组认为必要时，可向投标供应商进行质疑。磋商小组有权决定全部或部分投标供应商磋商响应文件无效。</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 xml:space="preserve">2.2、磋商小组将综合分析合格投标供应商的各项指标，而不是以单项指标的优劣评选出成交的投标供应商。   </w:t>
      </w:r>
    </w:p>
    <w:p>
      <w:pPr>
        <w:spacing w:line="360" w:lineRule="auto"/>
        <w:ind w:firstLine="440" w:firstLineChars="200"/>
        <w:rPr>
          <w:rFonts w:ascii="宋体" w:eastAsia="宋体"/>
          <w:color w:val="auto"/>
          <w:sz w:val="22"/>
          <w:szCs w:val="22"/>
          <w:highlight w:val="none"/>
        </w:rPr>
      </w:pPr>
      <w:r>
        <w:rPr>
          <w:rFonts w:hint="eastAsia" w:ascii="宋体" w:eastAsia="宋体"/>
          <w:b w:val="0"/>
          <w:color w:val="auto"/>
          <w:sz w:val="22"/>
          <w:szCs w:val="22"/>
          <w:highlight w:val="none"/>
        </w:rPr>
        <w:t>2.3、经磋商确定最终采购需求和提交最后报价的投标供应商后，由磋商小组采用综合评分法对提交最后报价的投标供应商的磋商响应文件和最后磋商报价进行综合评分。如竞争性磋商文件所列采购内容明确不需要修改的或投标供应商磋商响应文件清楚明确不需要澄清的，</w:t>
      </w:r>
      <w:r>
        <w:rPr>
          <w:rFonts w:hint="eastAsia" w:ascii="宋体" w:eastAsia="宋体"/>
          <w:color w:val="auto"/>
          <w:sz w:val="22"/>
          <w:szCs w:val="22"/>
          <w:highlight w:val="none"/>
        </w:rPr>
        <w:t>可以不进行磋商环节，直接要求投标供应商进行最终磋商报价，进行综合评分。</w:t>
      </w:r>
    </w:p>
    <w:p>
      <w:pPr>
        <w:spacing w:line="360" w:lineRule="auto"/>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本次评审采用综合评分法，磋商小组根据竞争性磋商文件制定的评审办法对投标供应商进行评审排序，推荐综合得分前3名（若2家继续开标的，推荐综合得分前2名）为</w:t>
      </w:r>
      <w:r>
        <w:rPr>
          <w:rFonts w:hint="eastAsia" w:ascii="宋体" w:eastAsia="宋体"/>
          <w:b w:val="0"/>
          <w:color w:val="auto"/>
          <w:sz w:val="22"/>
          <w:szCs w:val="22"/>
          <w:highlight w:val="none"/>
          <w:lang w:eastAsia="zh-CN"/>
        </w:rPr>
        <w:t>成交候选人</w:t>
      </w:r>
      <w:r>
        <w:rPr>
          <w:rFonts w:hint="eastAsia" w:ascii="宋体" w:eastAsia="宋体"/>
          <w:b w:val="0"/>
          <w:color w:val="auto"/>
          <w:sz w:val="22"/>
          <w:szCs w:val="22"/>
          <w:highlight w:val="none"/>
        </w:rPr>
        <w:t>，将综合得分第一名的供应商向采购人推荐其为成交供应商。</w:t>
      </w:r>
    </w:p>
    <w:p>
      <w:pPr>
        <w:spacing w:line="360" w:lineRule="auto"/>
        <w:ind w:firstLine="440" w:firstLineChars="20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本次2024年永嘉县送戏下乡公益演出总场次为100场，分3个标项。其中标项一、标项二中标候选单位根据越剧（标项一、标项二）综合得分排名先后顺序依次选择标项，排名第一的单位为标项一</w:t>
      </w:r>
      <w:r>
        <w:rPr>
          <w:rFonts w:hint="eastAsia" w:ascii="宋体" w:eastAsia="宋体"/>
          <w:b w:val="0"/>
          <w:color w:val="auto"/>
          <w:sz w:val="22"/>
          <w:szCs w:val="22"/>
          <w:highlight w:val="none"/>
          <w:lang w:eastAsia="zh-CN"/>
        </w:rPr>
        <w:t>成交候选人</w:t>
      </w:r>
      <w:r>
        <w:rPr>
          <w:rFonts w:hint="eastAsia" w:ascii="宋体" w:eastAsia="宋体"/>
          <w:b w:val="0"/>
          <w:color w:val="auto"/>
          <w:sz w:val="22"/>
          <w:szCs w:val="22"/>
          <w:highlight w:val="none"/>
        </w:rPr>
        <w:t>，排名第二的单位为标项二</w:t>
      </w:r>
      <w:r>
        <w:rPr>
          <w:rFonts w:hint="eastAsia" w:ascii="宋体" w:eastAsia="宋体"/>
          <w:b w:val="0"/>
          <w:color w:val="auto"/>
          <w:sz w:val="22"/>
          <w:szCs w:val="22"/>
          <w:highlight w:val="none"/>
          <w:lang w:eastAsia="zh-CN"/>
        </w:rPr>
        <w:t>成交候选人</w:t>
      </w:r>
      <w:r>
        <w:rPr>
          <w:rFonts w:hint="eastAsia" w:ascii="宋体" w:eastAsia="宋体"/>
          <w:b w:val="0"/>
          <w:color w:val="auto"/>
          <w:sz w:val="22"/>
          <w:szCs w:val="22"/>
          <w:highlight w:val="none"/>
        </w:rPr>
        <w:t>；标项三中标候选单位根据瓯剧（标项三）综合得分排名先后顺序依次确定，排名第一的单位为标项</w:t>
      </w:r>
      <w:r>
        <w:rPr>
          <w:rFonts w:hint="eastAsia" w:ascii="宋体" w:eastAsia="宋体"/>
          <w:b w:val="0"/>
          <w:color w:val="auto"/>
          <w:sz w:val="22"/>
          <w:szCs w:val="22"/>
          <w:highlight w:val="none"/>
          <w:lang w:val="en-US" w:eastAsia="zh-CN"/>
        </w:rPr>
        <w:t>三</w:t>
      </w:r>
      <w:r>
        <w:rPr>
          <w:rFonts w:hint="eastAsia" w:ascii="宋体" w:eastAsia="宋体"/>
          <w:b w:val="0"/>
          <w:color w:val="auto"/>
          <w:sz w:val="22"/>
          <w:szCs w:val="22"/>
          <w:highlight w:val="none"/>
          <w:lang w:eastAsia="zh-CN"/>
        </w:rPr>
        <w:t>成交候选人。</w:t>
      </w:r>
    </w:p>
    <w:p>
      <w:pPr>
        <w:adjustRightInd w:val="0"/>
        <w:spacing w:before="100" w:after="50" w:line="360" w:lineRule="auto"/>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四、评分细则</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一、报价评</w:t>
      </w:r>
      <w:r>
        <w:rPr>
          <w:rFonts w:hint="eastAsia" w:ascii="宋体" w:eastAsia="宋体"/>
          <w:b w:val="0"/>
          <w:color w:val="auto"/>
          <w:sz w:val="22"/>
          <w:szCs w:val="22"/>
          <w:highlight w:val="none"/>
        </w:rPr>
        <w:t>分</w:t>
      </w:r>
      <w:r>
        <w:rPr>
          <w:rFonts w:hint="eastAsia" w:ascii="宋体" w:eastAsia="宋体"/>
          <w:b w:val="0"/>
          <w:color w:val="auto"/>
          <w:sz w:val="22"/>
          <w:szCs w:val="22"/>
          <w:highlight w:val="none"/>
          <w:lang w:val="en-US" w:eastAsia="zh-CN"/>
        </w:rPr>
        <w:t>2</w:t>
      </w:r>
      <w:r>
        <w:rPr>
          <w:rFonts w:ascii="宋体" w:eastAsia="宋体"/>
          <w:b w:val="0"/>
          <w:color w:val="auto"/>
          <w:sz w:val="22"/>
          <w:szCs w:val="22"/>
          <w:highlight w:val="none"/>
        </w:rPr>
        <w:t>0</w:t>
      </w:r>
      <w:r>
        <w:rPr>
          <w:rFonts w:hint="eastAsia" w:ascii="宋体" w:eastAsia="宋体"/>
          <w:b w:val="0"/>
          <w:color w:val="auto"/>
          <w:sz w:val="22"/>
          <w:szCs w:val="22"/>
          <w:highlight w:val="none"/>
        </w:rPr>
        <w:t>分</w:t>
      </w:r>
    </w:p>
    <w:p>
      <w:pPr>
        <w:spacing w:line="360" w:lineRule="auto"/>
        <w:ind w:firstLine="442"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1、以供应商磋商后的最终报价中的最低价为评标基准价，得满分</w:t>
      </w:r>
      <w:r>
        <w:rPr>
          <w:rFonts w:hint="eastAsia" w:ascii="宋体" w:eastAsia="宋体"/>
          <w:color w:val="auto"/>
          <w:sz w:val="22"/>
          <w:szCs w:val="22"/>
          <w:highlight w:val="none"/>
          <w:u w:val="single"/>
          <w:lang w:val="en-US" w:eastAsia="zh-CN"/>
        </w:rPr>
        <w:t>2</w:t>
      </w:r>
      <w:r>
        <w:rPr>
          <w:rFonts w:hint="eastAsia" w:ascii="宋体" w:eastAsia="宋体"/>
          <w:color w:val="auto"/>
          <w:sz w:val="22"/>
          <w:szCs w:val="22"/>
          <w:highlight w:val="none"/>
          <w:u w:val="single"/>
        </w:rPr>
        <w:t>0分。报价评分结算公式为:投标报价得分=(评标基准价／磋商后的最终报价)×</w:t>
      </w:r>
      <w:r>
        <w:rPr>
          <w:rFonts w:hint="eastAsia" w:ascii="宋体" w:eastAsia="宋体"/>
          <w:color w:val="auto"/>
          <w:sz w:val="22"/>
          <w:szCs w:val="22"/>
          <w:highlight w:val="none"/>
          <w:u w:val="single"/>
          <w:lang w:val="en-US" w:eastAsia="zh-CN"/>
        </w:rPr>
        <w:t>2</w:t>
      </w:r>
      <w:r>
        <w:rPr>
          <w:rFonts w:ascii="宋体" w:eastAsia="宋体"/>
          <w:color w:val="auto"/>
          <w:sz w:val="22"/>
          <w:szCs w:val="22"/>
          <w:highlight w:val="none"/>
          <w:u w:val="single"/>
        </w:rPr>
        <w:t>0</w:t>
      </w:r>
      <w:r>
        <w:rPr>
          <w:rFonts w:hint="eastAsia" w:ascii="宋体" w:eastAsia="宋体"/>
          <w:color w:val="auto"/>
          <w:sz w:val="22"/>
          <w:szCs w:val="22"/>
          <w:highlight w:val="none"/>
          <w:u w:val="single"/>
        </w:rPr>
        <w:t>。</w:t>
      </w:r>
    </w:p>
    <w:p>
      <w:pPr>
        <w:numPr>
          <w:ilvl w:val="0"/>
          <w:numId w:val="5"/>
        </w:numPr>
        <w:spacing w:before="120" w:beforeLines="50" w:after="120" w:afterLines="50" w:line="360" w:lineRule="auto"/>
        <w:ind w:firstLine="220" w:firstLineChars="100"/>
        <w:rPr>
          <w:rFonts w:ascii="宋体" w:eastAsia="宋体"/>
          <w:b w:val="0"/>
          <w:color w:val="auto"/>
          <w:sz w:val="22"/>
          <w:szCs w:val="22"/>
          <w:highlight w:val="none"/>
        </w:rPr>
      </w:pPr>
      <w:r>
        <w:rPr>
          <w:rFonts w:hint="eastAsia" w:ascii="宋体" w:eastAsia="宋体"/>
          <w:b w:val="0"/>
          <w:color w:val="auto"/>
          <w:sz w:val="22"/>
          <w:szCs w:val="22"/>
          <w:highlight w:val="none"/>
        </w:rPr>
        <w:t>技术、服务等综合评</w:t>
      </w:r>
      <w:r>
        <w:rPr>
          <w:rFonts w:hint="eastAsia" w:ascii="宋体" w:eastAsia="宋体"/>
          <w:b w:val="0"/>
          <w:color w:val="auto"/>
          <w:sz w:val="22"/>
          <w:szCs w:val="22"/>
          <w:highlight w:val="none"/>
        </w:rPr>
        <w:t>分</w:t>
      </w:r>
      <w:r>
        <w:rPr>
          <w:rFonts w:hint="eastAsia" w:ascii="宋体" w:eastAsia="宋体"/>
          <w:b w:val="0"/>
          <w:color w:val="auto"/>
          <w:sz w:val="22"/>
          <w:szCs w:val="22"/>
          <w:highlight w:val="none"/>
          <w:lang w:val="en-US" w:eastAsia="zh-CN"/>
        </w:rPr>
        <w:t>8</w:t>
      </w:r>
      <w:r>
        <w:rPr>
          <w:rFonts w:hint="eastAsia" w:ascii="宋体" w:eastAsia="宋体"/>
          <w:b w:val="0"/>
          <w:color w:val="auto"/>
          <w:sz w:val="22"/>
          <w:szCs w:val="22"/>
          <w:highlight w:val="none"/>
        </w:rPr>
        <w:t>0分</w:t>
      </w:r>
    </w:p>
    <w:tbl>
      <w:tblPr>
        <w:tblStyle w:val="4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108"/>
        <w:gridCol w:w="7038"/>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3" w:type="pct"/>
            <w:vAlign w:val="center"/>
          </w:tcPr>
          <w:p>
            <w:pPr>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序号</w:t>
            </w:r>
          </w:p>
        </w:tc>
        <w:tc>
          <w:tcPr>
            <w:tcW w:w="584" w:type="pct"/>
            <w:vAlign w:val="center"/>
          </w:tcPr>
          <w:p>
            <w:pPr>
              <w:jc w:val="center"/>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内容</w:t>
            </w:r>
          </w:p>
        </w:tc>
        <w:tc>
          <w:tcPr>
            <w:tcW w:w="3715" w:type="pct"/>
            <w:vAlign w:val="center"/>
          </w:tcPr>
          <w:p>
            <w:pPr>
              <w:jc w:val="center"/>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细则</w:t>
            </w:r>
          </w:p>
        </w:tc>
        <w:tc>
          <w:tcPr>
            <w:tcW w:w="466" w:type="pct"/>
            <w:vAlign w:val="center"/>
          </w:tcPr>
          <w:p>
            <w:pPr>
              <w:jc w:val="center"/>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3"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w:t>
            </w:r>
          </w:p>
        </w:tc>
        <w:tc>
          <w:tcPr>
            <w:tcW w:w="584"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业绩</w:t>
            </w:r>
          </w:p>
        </w:tc>
        <w:tc>
          <w:tcPr>
            <w:tcW w:w="3715" w:type="pct"/>
            <w:vAlign w:val="center"/>
          </w:tcPr>
          <w:p>
            <w:pPr>
              <w:snapToGrid w:val="0"/>
              <w:spacing w:line="320" w:lineRule="exact"/>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根据</w:t>
            </w:r>
            <w:r>
              <w:rPr>
                <w:rFonts w:hint="eastAsia" w:ascii="宋体" w:hAnsi="宋体" w:eastAsia="宋体" w:cs="宋体"/>
                <w:b w:val="0"/>
                <w:bCs w:val="0"/>
                <w:color w:val="auto"/>
                <w:kern w:val="2"/>
                <w:sz w:val="22"/>
                <w:szCs w:val="22"/>
                <w:highlight w:val="none"/>
                <w:lang w:eastAsia="zh-CN"/>
              </w:rPr>
              <w:t>投标供应商</w:t>
            </w:r>
            <w:r>
              <w:rPr>
                <w:rFonts w:hint="eastAsia" w:ascii="宋体" w:hAnsi="宋体" w:eastAsia="宋体" w:cs="宋体"/>
                <w:b w:val="0"/>
                <w:bCs w:val="0"/>
                <w:color w:val="auto"/>
                <w:kern w:val="2"/>
                <w:sz w:val="22"/>
                <w:szCs w:val="22"/>
                <w:highlight w:val="none"/>
              </w:rPr>
              <w:t>自</w:t>
            </w:r>
            <w:r>
              <w:rPr>
                <w:rFonts w:hint="eastAsia" w:ascii="宋体" w:hAnsi="宋体" w:eastAsia="宋体" w:cs="宋体"/>
                <w:b w:val="0"/>
                <w:bCs w:val="0"/>
                <w:color w:val="auto"/>
                <w:kern w:val="2"/>
                <w:sz w:val="22"/>
                <w:szCs w:val="22"/>
                <w:highlight w:val="none"/>
                <w:lang w:val="en-US" w:eastAsia="zh-CN"/>
              </w:rPr>
              <w:t>2021</w:t>
            </w:r>
            <w:r>
              <w:rPr>
                <w:rFonts w:hint="eastAsia" w:ascii="宋体" w:hAnsi="宋体" w:eastAsia="宋体" w:cs="宋体"/>
                <w:b w:val="0"/>
                <w:bCs w:val="0"/>
                <w:color w:val="auto"/>
                <w:kern w:val="2"/>
                <w:sz w:val="22"/>
                <w:szCs w:val="22"/>
                <w:highlight w:val="none"/>
              </w:rPr>
              <w:t>年1月</w:t>
            </w:r>
            <w:r>
              <w:rPr>
                <w:rFonts w:hint="eastAsia" w:ascii="宋体" w:hAnsi="宋体" w:eastAsia="宋体" w:cs="宋体"/>
                <w:b w:val="0"/>
                <w:bCs w:val="0"/>
                <w:color w:val="auto"/>
                <w:kern w:val="2"/>
                <w:sz w:val="22"/>
                <w:szCs w:val="22"/>
                <w:highlight w:val="none"/>
                <w:lang w:val="en-US" w:eastAsia="zh-CN"/>
              </w:rPr>
              <w:t>1日</w:t>
            </w:r>
            <w:r>
              <w:rPr>
                <w:rFonts w:hint="eastAsia" w:ascii="宋体" w:hAnsi="宋体" w:eastAsia="宋体" w:cs="宋体"/>
                <w:b w:val="0"/>
                <w:bCs w:val="0"/>
                <w:color w:val="auto"/>
                <w:kern w:val="2"/>
                <w:sz w:val="22"/>
                <w:szCs w:val="22"/>
                <w:highlight w:val="none"/>
              </w:rPr>
              <w:t>以来（以合同或协议签订日期为准）</w:t>
            </w:r>
            <w:r>
              <w:rPr>
                <w:rFonts w:hint="eastAsia" w:ascii="宋体" w:hAnsi="宋体" w:eastAsia="宋体" w:cs="宋体"/>
                <w:b w:val="0"/>
                <w:bCs w:val="0"/>
                <w:color w:val="auto"/>
                <w:kern w:val="2"/>
                <w:sz w:val="22"/>
                <w:szCs w:val="22"/>
                <w:highlight w:val="none"/>
                <w:lang w:val="en-US" w:eastAsia="zh-CN"/>
              </w:rPr>
              <w:t>承接</w:t>
            </w:r>
            <w:r>
              <w:rPr>
                <w:rFonts w:hint="eastAsia" w:ascii="宋体" w:hAnsi="宋体" w:eastAsia="宋体" w:cs="宋体"/>
                <w:b w:val="0"/>
                <w:bCs w:val="0"/>
                <w:color w:val="auto"/>
                <w:kern w:val="2"/>
                <w:sz w:val="22"/>
                <w:szCs w:val="22"/>
                <w:highlight w:val="none"/>
              </w:rPr>
              <w:t>过</w:t>
            </w:r>
            <w:r>
              <w:rPr>
                <w:rFonts w:hint="eastAsia" w:ascii="宋体" w:hAnsi="宋体" w:eastAsia="宋体" w:cs="宋体"/>
                <w:b w:val="0"/>
                <w:bCs w:val="0"/>
                <w:color w:val="auto"/>
                <w:kern w:val="2"/>
                <w:sz w:val="22"/>
                <w:szCs w:val="22"/>
                <w:highlight w:val="none"/>
                <w:lang w:val="en-US" w:eastAsia="zh-CN"/>
              </w:rPr>
              <w:t>政府或文旅部门送戏下乡演出任务</w:t>
            </w:r>
            <w:r>
              <w:rPr>
                <w:rFonts w:hint="eastAsia" w:ascii="宋体" w:hAnsi="宋体" w:eastAsia="宋体" w:cs="宋体"/>
                <w:b w:val="0"/>
                <w:bCs w:val="0"/>
                <w:color w:val="auto"/>
                <w:kern w:val="2"/>
                <w:sz w:val="22"/>
                <w:szCs w:val="22"/>
                <w:highlight w:val="none"/>
              </w:rPr>
              <w:t>的情况来评分，每提供一个业绩得0.5分，最高得2分。</w:t>
            </w:r>
          </w:p>
          <w:p>
            <w:p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kern w:val="2"/>
                <w:sz w:val="22"/>
                <w:szCs w:val="22"/>
                <w:highlight w:val="none"/>
              </w:rPr>
              <w:t>注：</w:t>
            </w:r>
            <w:r>
              <w:rPr>
                <w:rFonts w:hint="eastAsia" w:ascii="宋体" w:hAnsi="宋体" w:eastAsia="宋体" w:cs="宋体"/>
                <w:b w:val="0"/>
                <w:bCs w:val="0"/>
                <w:color w:val="auto"/>
                <w:sz w:val="22"/>
                <w:szCs w:val="22"/>
                <w:highlight w:val="none"/>
              </w:rPr>
              <w:t>投标文件中须提供合同或协议</w:t>
            </w:r>
            <w:r>
              <w:rPr>
                <w:rFonts w:hint="eastAsia" w:ascii="宋体" w:hAnsi="宋体" w:eastAsia="宋体" w:cs="宋体"/>
                <w:b w:val="0"/>
                <w:bCs w:val="0"/>
                <w:color w:val="auto"/>
                <w:kern w:val="2"/>
                <w:sz w:val="22"/>
                <w:szCs w:val="22"/>
                <w:highlight w:val="none"/>
              </w:rPr>
              <w:t>扫描件，否则该业绩不予认可</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3" w:type="pct"/>
            <w:vMerge w:val="restar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w:t>
            </w:r>
          </w:p>
        </w:tc>
        <w:tc>
          <w:tcPr>
            <w:tcW w:w="584" w:type="pct"/>
            <w:vMerge w:val="restar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荣誉</w:t>
            </w:r>
          </w:p>
        </w:tc>
        <w:tc>
          <w:tcPr>
            <w:tcW w:w="3715" w:type="pct"/>
            <w:vAlign w:val="center"/>
          </w:tcPr>
          <w:p>
            <w:pPr>
              <w:numPr>
                <w:ilvl w:val="0"/>
                <w:numId w:val="6"/>
              </w:numPr>
              <w:snapToGrid w:val="0"/>
              <w:spacing w:line="320" w:lineRule="exact"/>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近</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年以来（</w:t>
            </w:r>
            <w:r>
              <w:rPr>
                <w:rFonts w:hint="eastAsia" w:ascii="宋体" w:hAnsi="宋体" w:eastAsia="宋体" w:cs="宋体"/>
                <w:b w:val="0"/>
                <w:bCs w:val="0"/>
                <w:color w:val="auto"/>
                <w:sz w:val="22"/>
                <w:szCs w:val="22"/>
                <w:highlight w:val="none"/>
                <w:lang w:val="en-US" w:eastAsia="zh-CN"/>
              </w:rPr>
              <w:t>2021年1月1日起</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获得荣誉（含其演职员获奖）（3分）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kern w:val="2"/>
                <w:sz w:val="22"/>
                <w:szCs w:val="22"/>
                <w:highlight w:val="none"/>
                <w:lang w:val="en-US" w:eastAsia="zh-CN" w:bidi="ar-SA"/>
              </w:rPr>
              <w:t>其中国家级</w:t>
            </w:r>
            <w:r>
              <w:rPr>
                <w:rFonts w:hint="eastAsia" w:ascii="宋体" w:hAnsi="宋体" w:eastAsia="宋体" w:cs="宋体"/>
                <w:b w:val="0"/>
                <w:bCs w:val="0"/>
                <w:color w:val="auto"/>
                <w:kern w:val="2"/>
                <w:sz w:val="22"/>
                <w:szCs w:val="22"/>
                <w:highlight w:val="none"/>
                <w:lang w:val="en-US" w:eastAsia="zh-CN" w:bidi="ar-SA"/>
              </w:rPr>
              <w:t>荣誉的得3分（获得前三名及优秀奖（或者鼓励奖）的分别得3分、2.5分、2分、1分，参加过国家级展演的</w:t>
            </w:r>
            <w:r>
              <w:rPr>
                <w:rFonts w:hint="eastAsia" w:ascii="宋体" w:hAnsi="宋体" w:eastAsia="宋体" w:cs="宋体"/>
                <w:b w:val="0"/>
                <w:bCs w:val="0"/>
                <w:color w:val="auto"/>
                <w:kern w:val="2"/>
                <w:sz w:val="22"/>
                <w:szCs w:val="22"/>
                <w:highlight w:val="none"/>
                <w:lang w:val="en-US" w:eastAsia="zh-CN" w:bidi="ar-SA"/>
              </w:rPr>
              <w:t>得</w:t>
            </w:r>
            <w:r>
              <w:rPr>
                <w:rFonts w:hint="eastAsia" w:ascii="宋体" w:eastAsia="宋体" w:cs="宋体"/>
                <w:b w:val="0"/>
                <w:bCs w:val="0"/>
                <w:color w:val="auto"/>
                <w:kern w:val="2"/>
                <w:sz w:val="22"/>
                <w:szCs w:val="22"/>
                <w:highlight w:val="none"/>
                <w:lang w:val="en-US" w:eastAsia="zh-CN" w:bidi="ar-SA"/>
              </w:rPr>
              <w:t>1</w:t>
            </w:r>
            <w:r>
              <w:rPr>
                <w:rFonts w:hint="eastAsia" w:ascii="宋体" w:hAnsi="宋体" w:eastAsia="宋体" w:cs="宋体"/>
                <w:b w:val="0"/>
                <w:bCs w:val="0"/>
                <w:color w:val="auto"/>
                <w:kern w:val="2"/>
                <w:sz w:val="22"/>
                <w:szCs w:val="22"/>
                <w:highlight w:val="none"/>
                <w:lang w:val="en-US" w:eastAsia="zh-CN" w:bidi="ar-SA"/>
              </w:rPr>
              <w:t>分</w:t>
            </w:r>
            <w:r>
              <w:rPr>
                <w:rFonts w:hint="eastAsia" w:ascii="宋体" w:hAnsi="宋体" w:eastAsia="宋体" w:cs="宋体"/>
                <w:b w:val="0"/>
                <w:bCs w:val="0"/>
                <w:color w:val="auto"/>
                <w:kern w:val="2"/>
                <w:sz w:val="22"/>
                <w:szCs w:val="22"/>
                <w:highlight w:val="none"/>
                <w:lang w:val="en-US" w:eastAsia="zh-CN" w:bidi="ar-SA"/>
              </w:rPr>
              <w:t>）</w:t>
            </w:r>
            <w:r>
              <w:rPr>
                <w:rFonts w:hint="eastAsia" w:ascii="宋体" w:eastAsia="宋体" w:cs="宋体"/>
                <w:b w:val="0"/>
                <w:bCs w:val="0"/>
                <w:color w:val="auto"/>
                <w:kern w:val="2"/>
                <w:sz w:val="22"/>
                <w:szCs w:val="22"/>
                <w:highlight w:val="none"/>
                <w:lang w:val="en-US" w:eastAsia="zh-CN" w:bidi="ar-SA"/>
              </w:rPr>
              <w:t>；</w:t>
            </w:r>
            <w:r>
              <w:rPr>
                <w:rFonts w:hint="eastAsia" w:ascii="宋体" w:hAnsi="宋体" w:eastAsia="宋体" w:cs="宋体"/>
                <w:b w:val="0"/>
                <w:bCs w:val="0"/>
                <w:color w:val="auto"/>
                <w:kern w:val="2"/>
                <w:sz w:val="22"/>
                <w:szCs w:val="22"/>
                <w:highlight w:val="none"/>
                <w:lang w:val="en-US" w:eastAsia="zh-CN" w:bidi="ar-SA"/>
              </w:rPr>
              <w:t>省级</w:t>
            </w:r>
            <w:r>
              <w:rPr>
                <w:rFonts w:hint="eastAsia" w:ascii="宋体" w:hAnsi="宋体" w:eastAsia="宋体" w:cs="宋体"/>
                <w:b w:val="0"/>
                <w:bCs w:val="0"/>
                <w:color w:val="auto"/>
                <w:kern w:val="2"/>
                <w:sz w:val="22"/>
                <w:szCs w:val="22"/>
                <w:highlight w:val="none"/>
                <w:lang w:val="en-US" w:eastAsia="zh-CN" w:bidi="ar-SA"/>
              </w:rPr>
              <w:t>荣誉的得2分（获得前三名及优秀奖（或者鼓励奖）的分别得2分、1.5分、1分、</w:t>
            </w:r>
            <w:r>
              <w:rPr>
                <w:rFonts w:hint="eastAsia" w:ascii="宋体" w:hAnsi="宋体" w:eastAsia="宋体" w:cs="宋体"/>
                <w:b w:val="0"/>
                <w:bCs w:val="0"/>
                <w:color w:val="auto"/>
                <w:kern w:val="2"/>
                <w:sz w:val="22"/>
                <w:szCs w:val="22"/>
                <w:highlight w:val="none"/>
                <w:lang w:val="en-US" w:eastAsia="zh-CN" w:bidi="ar-SA"/>
              </w:rPr>
              <w:t>0.5分</w:t>
            </w:r>
            <w:r>
              <w:rPr>
                <w:rFonts w:hint="eastAsia" w:ascii="宋体" w:hAnsi="宋体" w:eastAsia="宋体" w:cs="宋体"/>
                <w:b w:val="0"/>
                <w:bCs w:val="0"/>
                <w:color w:val="auto"/>
                <w:kern w:val="2"/>
                <w:sz w:val="22"/>
                <w:szCs w:val="22"/>
                <w:highlight w:val="none"/>
                <w:lang w:val="en-US" w:eastAsia="zh-CN" w:bidi="ar-SA"/>
              </w:rPr>
              <w:t>，参加过省级及以上展演的得</w:t>
            </w:r>
            <w:r>
              <w:rPr>
                <w:rFonts w:hint="eastAsia" w:ascii="宋体" w:eastAsia="宋体" w:cs="宋体"/>
                <w:b w:val="0"/>
                <w:bCs w:val="0"/>
                <w:color w:val="auto"/>
                <w:kern w:val="2"/>
                <w:sz w:val="22"/>
                <w:szCs w:val="22"/>
                <w:highlight w:val="none"/>
                <w:lang w:val="en-US" w:eastAsia="zh-CN" w:bidi="ar-SA"/>
              </w:rPr>
              <w:t>0.5</w:t>
            </w:r>
            <w:r>
              <w:rPr>
                <w:rFonts w:hint="eastAsia" w:ascii="宋体" w:hAnsi="宋体" w:eastAsia="宋体" w:cs="宋体"/>
                <w:b w:val="0"/>
                <w:bCs w:val="0"/>
                <w:color w:val="auto"/>
                <w:kern w:val="2"/>
                <w:sz w:val="22"/>
                <w:szCs w:val="22"/>
                <w:highlight w:val="none"/>
                <w:lang w:val="en-US" w:eastAsia="zh-CN" w:bidi="ar-SA"/>
              </w:rPr>
              <w:t>分）</w:t>
            </w:r>
            <w:r>
              <w:rPr>
                <w:rFonts w:hint="eastAsia" w:ascii="宋体" w:eastAsia="宋体" w:cs="宋体"/>
                <w:b w:val="0"/>
                <w:bCs w:val="0"/>
                <w:color w:val="auto"/>
                <w:kern w:val="2"/>
                <w:sz w:val="22"/>
                <w:szCs w:val="22"/>
                <w:highlight w:val="none"/>
                <w:lang w:val="en-US" w:eastAsia="zh-CN" w:bidi="ar-SA"/>
              </w:rPr>
              <w:t>；</w:t>
            </w:r>
            <w:r>
              <w:rPr>
                <w:rFonts w:hint="eastAsia" w:ascii="宋体" w:hAnsi="宋体" w:eastAsia="宋体" w:cs="宋体"/>
                <w:b w:val="0"/>
                <w:bCs w:val="0"/>
                <w:color w:val="auto"/>
                <w:kern w:val="2"/>
                <w:sz w:val="22"/>
                <w:szCs w:val="22"/>
                <w:highlight w:val="none"/>
                <w:lang w:val="en-US" w:eastAsia="zh-CN" w:bidi="ar-SA"/>
              </w:rPr>
              <w:t>市级荣誉1分（</w:t>
            </w:r>
            <w:r>
              <w:rPr>
                <w:rFonts w:hint="eastAsia" w:ascii="宋体" w:hAnsi="宋体" w:eastAsia="宋体" w:cs="宋体"/>
                <w:b w:val="0"/>
                <w:bCs w:val="0"/>
                <w:color w:val="auto"/>
                <w:kern w:val="2"/>
                <w:sz w:val="22"/>
                <w:szCs w:val="22"/>
                <w:highlight w:val="none"/>
                <w:lang w:val="en-US" w:eastAsia="zh-CN" w:bidi="ar-SA"/>
              </w:rPr>
              <w:t>获得前三名及优秀奖（或者鼓励奖）的分别得1分、0.5分、0.2分、0.1分，参加过市级展演的得0.</w:t>
            </w:r>
            <w:r>
              <w:rPr>
                <w:rFonts w:hint="eastAsia" w:ascii="宋体" w:eastAsia="宋体" w:cs="宋体"/>
                <w:b w:val="0"/>
                <w:bCs w:val="0"/>
                <w:color w:val="auto"/>
                <w:kern w:val="2"/>
                <w:sz w:val="22"/>
                <w:szCs w:val="22"/>
                <w:highlight w:val="none"/>
                <w:lang w:val="en-US" w:eastAsia="zh-CN" w:bidi="ar-SA"/>
              </w:rPr>
              <w:t>1</w:t>
            </w:r>
            <w:r>
              <w:rPr>
                <w:rFonts w:hint="eastAsia" w:ascii="宋体" w:hAnsi="宋体" w:eastAsia="宋体" w:cs="宋体"/>
                <w:b w:val="0"/>
                <w:bCs w:val="0"/>
                <w:color w:val="auto"/>
                <w:kern w:val="2"/>
                <w:sz w:val="22"/>
                <w:szCs w:val="22"/>
                <w:highlight w:val="none"/>
                <w:lang w:val="en-US" w:eastAsia="zh-CN" w:bidi="ar-SA"/>
              </w:rPr>
              <w:t>分</w:t>
            </w:r>
            <w:r>
              <w:rPr>
                <w:rFonts w:hint="eastAsia" w:ascii="宋体" w:hAnsi="宋体" w:eastAsia="宋体" w:cs="宋体"/>
                <w:b w:val="0"/>
                <w:bCs w:val="0"/>
                <w:color w:val="auto"/>
                <w:kern w:val="2"/>
                <w:sz w:val="22"/>
                <w:szCs w:val="22"/>
                <w:highlight w:val="none"/>
                <w:lang w:val="en-US" w:eastAsia="zh-CN" w:bidi="ar-SA"/>
              </w:rPr>
              <w:t>）</w:t>
            </w:r>
            <w:r>
              <w:rPr>
                <w:rFonts w:hint="eastAsia" w:ascii="宋体" w:eastAsia="宋体" w:cs="宋体"/>
                <w:b w:val="0"/>
                <w:bCs w:val="0"/>
                <w:color w:val="auto"/>
                <w:kern w:val="2"/>
                <w:sz w:val="22"/>
                <w:szCs w:val="22"/>
                <w:highlight w:val="none"/>
                <w:lang w:val="en-US" w:eastAsia="zh-CN" w:bidi="ar-SA"/>
              </w:rPr>
              <w:t>；</w:t>
            </w:r>
            <w:r>
              <w:rPr>
                <w:rFonts w:hint="eastAsia" w:ascii="宋体" w:hAnsi="宋体" w:eastAsia="宋体" w:cs="宋体"/>
                <w:b w:val="0"/>
                <w:bCs w:val="0"/>
                <w:color w:val="auto"/>
                <w:kern w:val="2"/>
                <w:sz w:val="22"/>
                <w:szCs w:val="22"/>
                <w:highlight w:val="none"/>
                <w:lang w:val="en-US" w:eastAsia="zh-CN" w:bidi="ar-SA"/>
              </w:rPr>
              <w:t>县级荣誉不得分，最高得分为6分，</w:t>
            </w:r>
            <w:r>
              <w:rPr>
                <w:rFonts w:hint="eastAsia" w:ascii="宋体" w:eastAsia="宋体" w:cs="宋体"/>
                <w:b w:val="0"/>
                <w:bCs w:val="0"/>
                <w:color w:val="auto"/>
                <w:kern w:val="2"/>
                <w:sz w:val="22"/>
                <w:szCs w:val="22"/>
                <w:highlight w:val="none"/>
                <w:lang w:val="en-US" w:eastAsia="zh-CN" w:bidi="ar-SA"/>
              </w:rPr>
              <w:t>同级别荣誉</w:t>
            </w:r>
            <w:r>
              <w:rPr>
                <w:rFonts w:hint="eastAsia" w:ascii="宋体" w:hAnsi="宋体" w:eastAsia="宋体" w:cs="宋体"/>
                <w:b w:val="0"/>
                <w:bCs w:val="0"/>
                <w:color w:val="auto"/>
                <w:kern w:val="2"/>
                <w:sz w:val="22"/>
                <w:szCs w:val="22"/>
                <w:highlight w:val="none"/>
                <w:lang w:val="en-US" w:eastAsia="zh-CN" w:bidi="ar-SA"/>
              </w:rPr>
              <w:t>不重复计分。</w:t>
            </w:r>
          </w:p>
          <w:p>
            <w:pPr>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SA"/>
              </w:rPr>
              <w:t>注：以上各类获奖荣誉含国务院、省市县各级政府及所属部、委、办、厅、局及戏剧家协会、音乐家协会、民间文艺家协会、曲艺家协会等部门单位举办的各类活动。投标文件中提供证书扫描件</w:t>
            </w:r>
            <w:r>
              <w:rPr>
                <w:rFonts w:hint="eastAsia" w:ascii="宋体" w:hAnsi="宋体" w:eastAsia="宋体" w:cs="宋体"/>
                <w:b w:val="0"/>
                <w:bCs w:val="0"/>
                <w:color w:val="auto"/>
                <w:sz w:val="22"/>
                <w:szCs w:val="22"/>
                <w:highlight w:val="none"/>
              </w:rPr>
              <w:t>并加盖公章</w:t>
            </w:r>
            <w:r>
              <w:rPr>
                <w:rFonts w:hint="eastAsia" w:ascii="宋体" w:hAnsi="宋体" w:eastAsia="宋体" w:cs="宋体"/>
                <w:b w:val="0"/>
                <w:bCs w:val="0"/>
                <w:color w:val="auto"/>
                <w:kern w:val="2"/>
                <w:sz w:val="22"/>
                <w:szCs w:val="22"/>
                <w:highlight w:val="none"/>
                <w:lang w:val="en-US" w:eastAsia="zh-CN" w:bidi="ar-SA"/>
              </w:rPr>
              <w:t>，</w:t>
            </w:r>
            <w:r>
              <w:rPr>
                <w:rFonts w:hint="eastAsia" w:ascii="宋体" w:hAnsi="宋体" w:eastAsia="宋体" w:cs="宋体"/>
                <w:b w:val="0"/>
                <w:bCs w:val="0"/>
                <w:color w:val="auto"/>
                <w:sz w:val="22"/>
                <w:szCs w:val="22"/>
                <w:highlight w:val="none"/>
              </w:rPr>
              <w:t>若为演职员获得奖项的，还须同时提供劳动合同或工资发放凭证。</w:t>
            </w:r>
            <w:r>
              <w:rPr>
                <w:rFonts w:hint="eastAsia" w:ascii="宋体" w:hAnsi="宋体" w:eastAsia="宋体" w:cs="宋体"/>
                <w:b w:val="0"/>
                <w:bCs w:val="0"/>
                <w:color w:val="auto"/>
                <w:kern w:val="2"/>
                <w:sz w:val="22"/>
                <w:szCs w:val="22"/>
                <w:highlight w:val="none"/>
                <w:lang w:val="en-US" w:eastAsia="zh-CN" w:bidi="ar-SA"/>
              </w:rPr>
              <w:t>否则不得分。</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3"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584"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3715" w:type="pct"/>
            <w:vAlign w:val="center"/>
          </w:tcPr>
          <w:p>
            <w:pPr>
              <w:pStyle w:val="28"/>
              <w:numPr>
                <w:ilvl w:val="0"/>
                <w:numId w:val="0"/>
              </w:num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2、投标供应商加入政府部门主管的演出行业协会或戏曲协会（1分）：省级及以上协会的得1分；县级及以上协会的得0.5分，最高得分为1分，以最高项计分，不累计加分。</w:t>
            </w:r>
          </w:p>
          <w:p>
            <w:pPr>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SA"/>
              </w:rPr>
              <w:t>注：投标文件中提供各级协会盖章证明扫描件，否则不得分。</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3"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584"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3715" w:type="pct"/>
            <w:vAlign w:val="center"/>
          </w:tcPr>
          <w:p>
            <w:pPr>
              <w:numPr>
                <w:ilvl w:val="0"/>
                <w:numId w:val="0"/>
              </w:numPr>
              <w:ind w:leftChars="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近</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年以来（</w:t>
            </w:r>
            <w:r>
              <w:rPr>
                <w:rFonts w:hint="eastAsia" w:ascii="宋体" w:hAnsi="宋体" w:eastAsia="宋体" w:cs="宋体"/>
                <w:b w:val="0"/>
                <w:bCs w:val="0"/>
                <w:color w:val="auto"/>
                <w:sz w:val="22"/>
                <w:szCs w:val="22"/>
                <w:highlight w:val="none"/>
                <w:lang w:val="en-US" w:eastAsia="zh-CN"/>
              </w:rPr>
              <w:t>2021年1月1日起</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负责人或演员或乐队人员参加过文旅部门或戏曲协会等培训班（1分）</w:t>
            </w:r>
          </w:p>
          <w:p>
            <w:pPr>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sz w:val="22"/>
                <w:szCs w:val="22"/>
                <w:highlight w:val="none"/>
                <w:lang w:val="en-US" w:eastAsia="zh-CN"/>
              </w:rPr>
              <w:t>注：提供能够证明上述内容的相关材料</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 w:type="pct"/>
            <w:vMerge w:val="restar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3</w:t>
            </w:r>
          </w:p>
        </w:tc>
        <w:tc>
          <w:tcPr>
            <w:tcW w:w="584" w:type="pct"/>
            <w:vMerge w:val="restar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演出设施设备</w:t>
            </w:r>
            <w:r>
              <w:rPr>
                <w:rFonts w:hint="eastAsia" w:ascii="宋体" w:eastAsia="宋体" w:cs="宋体"/>
                <w:b w:val="0"/>
                <w:bCs w:val="0"/>
                <w:color w:val="auto"/>
                <w:sz w:val="22"/>
                <w:szCs w:val="22"/>
                <w:highlight w:val="none"/>
                <w:vertAlign w:val="baseline"/>
                <w:lang w:val="en-US" w:eastAsia="zh-CN"/>
              </w:rPr>
              <w:t>（提供设备购置证明材料，否则不得分）</w:t>
            </w:r>
          </w:p>
        </w:tc>
        <w:tc>
          <w:tcPr>
            <w:tcW w:w="3715" w:type="pct"/>
            <w:vAlign w:val="center"/>
          </w:tcPr>
          <w:p>
            <w:pPr>
              <w:numPr>
                <w:ilvl w:val="0"/>
                <w:numId w:val="7"/>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音响设备：有全套音响设备含调音台、音箱、功放、话筒</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584"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3715" w:type="pct"/>
            <w:vAlign w:val="center"/>
          </w:tcPr>
          <w:p>
            <w:pPr>
              <w:numPr>
                <w:ilvl w:val="0"/>
                <w:numId w:val="7"/>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LED背景</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33"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584"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3715" w:type="pct"/>
            <w:vAlign w:val="center"/>
          </w:tcPr>
          <w:p>
            <w:pPr>
              <w:numPr>
                <w:ilvl w:val="0"/>
                <w:numId w:val="7"/>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舞台灯光设备</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3"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584"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3715" w:type="pct"/>
            <w:vAlign w:val="center"/>
          </w:tcPr>
          <w:p>
            <w:pPr>
              <w:numPr>
                <w:ilvl w:val="0"/>
                <w:numId w:val="7"/>
              </w:numPr>
              <w:jc w:val="left"/>
              <w:rPr>
                <w:rFonts w:hint="eastAsia"/>
                <w:color w:val="auto"/>
                <w:highlight w:val="none"/>
                <w:lang w:val="en-US" w:eastAsia="zh-CN"/>
              </w:rPr>
            </w:pPr>
            <w:r>
              <w:rPr>
                <w:rFonts w:hint="eastAsia" w:ascii="宋体" w:hAnsi="宋体" w:eastAsia="宋体" w:cs="宋体"/>
                <w:b w:val="0"/>
                <w:bCs w:val="0"/>
                <w:color w:val="auto"/>
                <w:sz w:val="22"/>
                <w:szCs w:val="22"/>
                <w:highlight w:val="none"/>
                <w:vertAlign w:val="baseline"/>
                <w:lang w:val="en-US" w:eastAsia="zh-CN"/>
              </w:rPr>
              <w:t>电子字幕</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w:t>
            </w:r>
          </w:p>
        </w:tc>
        <w:tc>
          <w:tcPr>
            <w:tcW w:w="584" w:type="pct"/>
            <w:vMerge w:val="restar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演出人员配备</w:t>
            </w:r>
          </w:p>
        </w:tc>
        <w:tc>
          <w:tcPr>
            <w:tcW w:w="3715" w:type="pct"/>
            <w:vAlign w:val="center"/>
          </w:tcPr>
          <w:p>
            <w:p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1、演员人数：配备演出阵容20人及以上6分，15—19人4分，15人以下不得分。提供：主要演员和其他演员名单（担任角色、身份证号、身份证</w:t>
            </w:r>
            <w:r>
              <w:rPr>
                <w:rFonts w:hint="eastAsia" w:ascii="宋体" w:eastAsia="宋体" w:cs="宋体"/>
                <w:b w:val="0"/>
                <w:bCs w:val="0"/>
                <w:color w:val="auto"/>
                <w:sz w:val="22"/>
                <w:szCs w:val="22"/>
                <w:highlight w:val="none"/>
                <w:vertAlign w:val="baseline"/>
                <w:lang w:val="en-US" w:eastAsia="zh-CN"/>
              </w:rPr>
              <w:t>扫描件</w:t>
            </w:r>
            <w:r>
              <w:rPr>
                <w:rFonts w:hint="eastAsia" w:ascii="宋体" w:hAnsi="宋体" w:eastAsia="宋体" w:cs="宋体"/>
                <w:b w:val="0"/>
                <w:bCs w:val="0"/>
                <w:color w:val="auto"/>
                <w:sz w:val="22"/>
                <w:szCs w:val="22"/>
                <w:highlight w:val="none"/>
                <w:vertAlign w:val="baseline"/>
                <w:lang w:val="en-US" w:eastAsia="zh-CN"/>
              </w:rPr>
              <w:t>、剧照、联系方式、户籍、职称）</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hint="eastAsia" w:ascii="宋体" w:hAnsi="宋体" w:eastAsia="宋体" w:cs="宋体"/>
                <w:b w:val="0"/>
                <w:bCs w:val="0"/>
                <w:color w:val="auto"/>
                <w:sz w:val="22"/>
                <w:szCs w:val="22"/>
                <w:highlight w:val="none"/>
                <w:vertAlign w:val="baseline"/>
              </w:rPr>
            </w:pPr>
          </w:p>
        </w:tc>
        <w:tc>
          <w:tcPr>
            <w:tcW w:w="584" w:type="pct"/>
            <w:vMerge w:val="continue"/>
            <w:vAlign w:val="center"/>
          </w:tcPr>
          <w:p>
            <w:pPr>
              <w:jc w:val="center"/>
              <w:rPr>
                <w:rFonts w:hint="eastAsia" w:ascii="宋体" w:hAnsi="宋体" w:eastAsia="宋体" w:cs="宋体"/>
                <w:b w:val="0"/>
                <w:bCs w:val="0"/>
                <w:color w:val="auto"/>
                <w:sz w:val="22"/>
                <w:szCs w:val="22"/>
                <w:highlight w:val="none"/>
                <w:vertAlign w:val="baseline"/>
              </w:rPr>
            </w:pPr>
          </w:p>
        </w:tc>
        <w:tc>
          <w:tcPr>
            <w:tcW w:w="3715" w:type="pct"/>
            <w:vAlign w:val="center"/>
          </w:tcPr>
          <w:p>
            <w:p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2、乐队人数：配备乐队阵容7人及以上3分，7人以下不得分。提供：乐队人员名单（担任职务、身份证号、身份证</w:t>
            </w:r>
            <w:r>
              <w:rPr>
                <w:rFonts w:hint="eastAsia" w:ascii="宋体" w:eastAsia="宋体" w:cs="宋体"/>
                <w:b w:val="0"/>
                <w:bCs w:val="0"/>
                <w:color w:val="auto"/>
                <w:sz w:val="22"/>
                <w:szCs w:val="22"/>
                <w:highlight w:val="none"/>
                <w:vertAlign w:val="baseline"/>
                <w:lang w:val="en-US" w:eastAsia="zh-CN"/>
              </w:rPr>
              <w:t>扫描件</w:t>
            </w:r>
            <w:r>
              <w:rPr>
                <w:rFonts w:hint="eastAsia" w:ascii="宋体" w:hAnsi="宋体" w:eastAsia="宋体" w:cs="宋体"/>
                <w:b w:val="0"/>
                <w:bCs w:val="0"/>
                <w:color w:val="auto"/>
                <w:sz w:val="22"/>
                <w:szCs w:val="22"/>
                <w:highlight w:val="none"/>
                <w:vertAlign w:val="baseline"/>
                <w:lang w:val="en-US" w:eastAsia="zh-CN"/>
              </w:rPr>
              <w:t>、剧照、联系方式、户籍、职称）</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3" w:type="pct"/>
            <w:vMerge w:val="restar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w:t>
            </w:r>
          </w:p>
        </w:tc>
        <w:tc>
          <w:tcPr>
            <w:tcW w:w="584" w:type="pct"/>
            <w:vMerge w:val="restart"/>
            <w:vAlign w:val="center"/>
          </w:tcPr>
          <w:p>
            <w:pPr>
              <w:jc w:val="center"/>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vertAlign w:val="baseline"/>
                <w:lang w:val="en-US" w:eastAsia="zh-CN"/>
              </w:rPr>
              <w:t>演出承诺</w:t>
            </w:r>
          </w:p>
        </w:tc>
        <w:tc>
          <w:tcPr>
            <w:tcW w:w="3715" w:type="pct"/>
            <w:vAlign w:val="center"/>
          </w:tcPr>
          <w:p>
            <w:p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承诺具备常年（365 天）进行演出的能力，本项得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分，不提供不得分。（提供承诺函）</w:t>
            </w:r>
          </w:p>
        </w:tc>
        <w:tc>
          <w:tcPr>
            <w:tcW w:w="466" w:type="pct"/>
            <w:vMerge w:val="restar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hint="eastAsia" w:ascii="宋体" w:hAnsi="宋体" w:eastAsia="宋体" w:cs="宋体"/>
                <w:b w:val="0"/>
                <w:bCs w:val="0"/>
                <w:color w:val="auto"/>
                <w:sz w:val="22"/>
                <w:szCs w:val="22"/>
                <w:highlight w:val="none"/>
                <w:vertAlign w:val="baseline"/>
              </w:rPr>
            </w:pPr>
          </w:p>
        </w:tc>
        <w:tc>
          <w:tcPr>
            <w:tcW w:w="584" w:type="pct"/>
            <w:vMerge w:val="continue"/>
            <w:vAlign w:val="center"/>
          </w:tcPr>
          <w:p>
            <w:pPr>
              <w:jc w:val="center"/>
              <w:rPr>
                <w:rFonts w:hint="eastAsia" w:ascii="宋体" w:hAnsi="宋体" w:eastAsia="宋体" w:cs="宋体"/>
                <w:b w:val="0"/>
                <w:bCs w:val="0"/>
                <w:color w:val="auto"/>
                <w:sz w:val="22"/>
                <w:szCs w:val="22"/>
                <w:highlight w:val="none"/>
                <w:vertAlign w:val="baseline"/>
              </w:rPr>
            </w:pPr>
          </w:p>
        </w:tc>
        <w:tc>
          <w:tcPr>
            <w:tcW w:w="3715" w:type="pct"/>
            <w:vAlign w:val="center"/>
          </w:tcPr>
          <w:p>
            <w:p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承诺</w:t>
            </w:r>
            <w:r>
              <w:rPr>
                <w:rFonts w:hint="eastAsia" w:ascii="宋体" w:hAnsi="宋体" w:eastAsia="宋体" w:cs="宋体"/>
                <w:b w:val="0"/>
                <w:bCs w:val="0"/>
                <w:color w:val="auto"/>
                <w:sz w:val="22"/>
                <w:szCs w:val="22"/>
                <w:highlight w:val="none"/>
                <w:lang w:eastAsia="zh-CN"/>
              </w:rPr>
              <w:t>送戏过程中服从采购单位对村居的调配</w:t>
            </w:r>
            <w:r>
              <w:rPr>
                <w:rFonts w:hint="eastAsia" w:ascii="宋体" w:hAnsi="宋体" w:eastAsia="宋体" w:cs="宋体"/>
                <w:b w:val="0"/>
                <w:bCs w:val="0"/>
                <w:color w:val="auto"/>
                <w:sz w:val="22"/>
                <w:szCs w:val="22"/>
                <w:highlight w:val="none"/>
              </w:rPr>
              <w:t>，本项得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分，不提供不得分。（提供承诺函）</w:t>
            </w:r>
          </w:p>
        </w:tc>
        <w:tc>
          <w:tcPr>
            <w:tcW w:w="466"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6</w:t>
            </w:r>
          </w:p>
        </w:tc>
        <w:tc>
          <w:tcPr>
            <w:tcW w:w="584" w:type="pct"/>
            <w:vAlign w:val="center"/>
          </w:tcPr>
          <w:p>
            <w:pPr>
              <w:jc w:val="center"/>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vertAlign w:val="baseline"/>
                <w:lang w:val="en-US" w:eastAsia="zh-CN"/>
              </w:rPr>
              <w:t>演出方案</w:t>
            </w:r>
          </w:p>
        </w:tc>
        <w:tc>
          <w:tcPr>
            <w:tcW w:w="3715" w:type="pct"/>
            <w:vAlign w:val="center"/>
          </w:tcPr>
          <w:p>
            <w:p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kern w:val="2"/>
                <w:sz w:val="22"/>
                <w:szCs w:val="22"/>
                <w:highlight w:val="none"/>
                <w:lang w:val="en-US" w:eastAsia="zh-CN" w:bidi="ar-SA"/>
              </w:rPr>
              <w:t>投标供应商提供针对本项目详细的演出方案，主要包含中标后演出需要安排的人员、曲目</w:t>
            </w:r>
            <w:r>
              <w:rPr>
                <w:rFonts w:hint="eastAsia" w:ascii="宋体" w:eastAsia="宋体" w:cs="宋体"/>
                <w:b w:val="0"/>
                <w:bCs w:val="0"/>
                <w:color w:val="auto"/>
                <w:kern w:val="2"/>
                <w:sz w:val="22"/>
                <w:szCs w:val="22"/>
                <w:highlight w:val="none"/>
                <w:lang w:val="en-US" w:eastAsia="zh-CN" w:bidi="ar-SA"/>
              </w:rPr>
              <w:t>（不少于15个剧目）</w:t>
            </w:r>
            <w:r>
              <w:rPr>
                <w:rFonts w:hint="eastAsia" w:ascii="宋体" w:hAnsi="宋体" w:eastAsia="宋体" w:cs="宋体"/>
                <w:b w:val="0"/>
                <w:bCs w:val="0"/>
                <w:color w:val="auto"/>
                <w:kern w:val="2"/>
                <w:sz w:val="22"/>
                <w:szCs w:val="22"/>
                <w:highlight w:val="none"/>
                <w:lang w:val="en-US" w:eastAsia="zh-CN" w:bidi="ar-SA"/>
              </w:rPr>
              <w:t>、进度计划、设备及场地的布置等详细内容，方案全面、有可操作性、可充分保障项目实施的得5分，</w:t>
            </w:r>
            <w:r>
              <w:rPr>
                <w:rFonts w:hint="eastAsia" w:ascii="宋体" w:hAnsi="宋体" w:eastAsia="宋体" w:cs="宋体"/>
                <w:b w:val="0"/>
                <w:bCs w:val="0"/>
                <w:color w:val="auto"/>
                <w:sz w:val="22"/>
                <w:szCs w:val="22"/>
                <w:highlight w:val="none"/>
              </w:rPr>
              <w:t>方案</w:t>
            </w:r>
            <w:r>
              <w:rPr>
                <w:rFonts w:hint="eastAsia" w:ascii="宋体" w:hAnsi="宋体" w:eastAsia="宋体" w:cs="宋体"/>
                <w:b w:val="0"/>
                <w:bCs w:val="0"/>
                <w:color w:val="auto"/>
                <w:sz w:val="22"/>
                <w:szCs w:val="22"/>
                <w:highlight w:val="none"/>
                <w:lang w:val="en-US" w:eastAsia="zh-CN"/>
              </w:rPr>
              <w:t>较为全面</w:t>
            </w:r>
            <w:r>
              <w:rPr>
                <w:rFonts w:hint="eastAsia" w:ascii="宋体" w:hAnsi="宋体" w:eastAsia="宋体" w:cs="宋体"/>
                <w:b w:val="0"/>
                <w:bCs w:val="0"/>
                <w:color w:val="auto"/>
                <w:kern w:val="2"/>
                <w:sz w:val="22"/>
                <w:szCs w:val="22"/>
                <w:highlight w:val="none"/>
                <w:lang w:val="en-US" w:eastAsia="zh-CN" w:bidi="ar-SA"/>
              </w:rPr>
              <w:t>、</w:t>
            </w:r>
            <w:r>
              <w:rPr>
                <w:rFonts w:hint="eastAsia" w:ascii="宋体" w:hAnsi="宋体" w:eastAsia="宋体" w:cs="宋体"/>
                <w:b w:val="0"/>
                <w:bCs w:val="0"/>
                <w:color w:val="auto"/>
                <w:sz w:val="22"/>
                <w:szCs w:val="22"/>
                <w:highlight w:val="none"/>
                <w:lang w:val="en-US" w:eastAsia="zh-CN"/>
              </w:rPr>
              <w:t>有可操作性</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lang w:val="en-US" w:eastAsia="zh-CN"/>
              </w:rPr>
              <w:t>得3分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方案有所欠缺</w:t>
            </w:r>
            <w:r>
              <w:rPr>
                <w:rFonts w:hint="eastAsia" w:ascii="宋体" w:hAnsi="宋体" w:eastAsia="宋体" w:cs="宋体"/>
                <w:b w:val="0"/>
                <w:bCs w:val="0"/>
                <w:color w:val="auto"/>
                <w:sz w:val="22"/>
                <w:szCs w:val="22"/>
                <w:highlight w:val="none"/>
              </w:rPr>
              <w:t>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方案不合理或未提供不得分</w:t>
            </w:r>
            <w:r>
              <w:rPr>
                <w:rFonts w:hint="eastAsia" w:ascii="宋体" w:hAnsi="宋体" w:eastAsia="宋体" w:cs="宋体"/>
                <w:b w:val="0"/>
                <w:bCs w:val="0"/>
                <w:color w:val="auto"/>
                <w:kern w:val="2"/>
                <w:sz w:val="22"/>
                <w:szCs w:val="22"/>
                <w:highlight w:val="none"/>
                <w:lang w:val="en-US" w:eastAsia="zh-CN" w:bidi="ar-SA"/>
              </w:rPr>
              <w:t>，最高得5分。</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7</w:t>
            </w:r>
          </w:p>
        </w:tc>
        <w:tc>
          <w:tcPr>
            <w:tcW w:w="584" w:type="pct"/>
            <w:vAlign w:val="center"/>
          </w:tcPr>
          <w:p>
            <w:pPr>
              <w:jc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vertAlign w:val="baseline"/>
                <w:lang w:val="en-US" w:eastAsia="zh-CN"/>
              </w:rPr>
              <w:t>实施方案</w:t>
            </w:r>
          </w:p>
        </w:tc>
        <w:tc>
          <w:tcPr>
            <w:tcW w:w="3715" w:type="pct"/>
            <w:vAlign w:val="center"/>
          </w:tcPr>
          <w:p>
            <w:pPr>
              <w:jc w:val="left"/>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lang w:eastAsia="zh-CN"/>
              </w:rPr>
              <w:t>投标供应商</w:t>
            </w:r>
            <w:r>
              <w:rPr>
                <w:rFonts w:hint="eastAsia" w:ascii="宋体" w:hAnsi="宋体" w:eastAsia="宋体" w:cs="宋体"/>
                <w:b w:val="0"/>
                <w:bCs w:val="0"/>
                <w:color w:val="auto"/>
                <w:kern w:val="2"/>
                <w:sz w:val="22"/>
                <w:szCs w:val="22"/>
                <w:highlight w:val="none"/>
              </w:rPr>
              <w:t>提供详细的项目整体实施方案，主要包含在接到演出通知后的整体安排，包括人衣食行解决方案、演出场地安排方案、观众组织方案等内容，方案完整、科学、合理</w:t>
            </w:r>
            <w:r>
              <w:rPr>
                <w:rFonts w:hint="eastAsia" w:ascii="宋体" w:hAnsi="宋体" w:eastAsia="宋体" w:cs="宋体"/>
                <w:b w:val="0"/>
                <w:bCs w:val="0"/>
                <w:color w:val="auto"/>
                <w:kern w:val="2"/>
                <w:sz w:val="22"/>
                <w:szCs w:val="22"/>
                <w:highlight w:val="none"/>
                <w:lang w:val="en-US" w:eastAsia="zh-CN" w:bidi="ar-SA"/>
              </w:rPr>
              <w:t>、可充分保障项目实施的得5分，</w:t>
            </w:r>
            <w:r>
              <w:rPr>
                <w:rFonts w:hint="eastAsia" w:ascii="宋体" w:hAnsi="宋体" w:eastAsia="宋体" w:cs="宋体"/>
                <w:b w:val="0"/>
                <w:bCs w:val="0"/>
                <w:color w:val="auto"/>
                <w:sz w:val="22"/>
                <w:szCs w:val="22"/>
                <w:highlight w:val="none"/>
              </w:rPr>
              <w:t>方案</w:t>
            </w:r>
            <w:r>
              <w:rPr>
                <w:rFonts w:hint="eastAsia" w:ascii="宋体" w:hAnsi="宋体" w:eastAsia="宋体" w:cs="宋体"/>
                <w:b w:val="0"/>
                <w:bCs w:val="0"/>
                <w:color w:val="auto"/>
                <w:sz w:val="22"/>
                <w:szCs w:val="22"/>
                <w:highlight w:val="none"/>
                <w:lang w:val="en-US" w:eastAsia="zh-CN"/>
              </w:rPr>
              <w:t>较为</w:t>
            </w:r>
            <w:r>
              <w:rPr>
                <w:rFonts w:hint="eastAsia" w:ascii="宋体" w:hAnsi="宋体" w:eastAsia="宋体" w:cs="宋体"/>
                <w:b w:val="0"/>
                <w:bCs w:val="0"/>
                <w:color w:val="auto"/>
                <w:kern w:val="2"/>
                <w:sz w:val="22"/>
                <w:szCs w:val="22"/>
                <w:highlight w:val="none"/>
                <w:lang w:val="en-US" w:eastAsia="zh-CN" w:bidi="ar-SA"/>
              </w:rPr>
              <w:t>完整、合理、</w:t>
            </w:r>
            <w:r>
              <w:rPr>
                <w:rFonts w:hint="eastAsia" w:ascii="宋体" w:hAnsi="宋体" w:eastAsia="宋体" w:cs="宋体"/>
                <w:b w:val="0"/>
                <w:bCs w:val="0"/>
                <w:color w:val="auto"/>
                <w:sz w:val="22"/>
                <w:szCs w:val="22"/>
                <w:highlight w:val="none"/>
                <w:lang w:val="en-US" w:eastAsia="zh-CN"/>
              </w:rPr>
              <w:t>基本保障项目实施</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lang w:val="en-US" w:eastAsia="zh-CN"/>
              </w:rPr>
              <w:t>得3分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方案有所欠缺</w:t>
            </w:r>
            <w:r>
              <w:rPr>
                <w:rFonts w:hint="eastAsia" w:ascii="宋体" w:hAnsi="宋体" w:eastAsia="宋体" w:cs="宋体"/>
                <w:b w:val="0"/>
                <w:bCs w:val="0"/>
                <w:color w:val="auto"/>
                <w:sz w:val="22"/>
                <w:szCs w:val="22"/>
                <w:highlight w:val="none"/>
              </w:rPr>
              <w:t>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方案不合理或未提供不得分</w:t>
            </w:r>
            <w:r>
              <w:rPr>
                <w:rFonts w:hint="eastAsia" w:ascii="宋体" w:hAnsi="宋体" w:eastAsia="宋体" w:cs="宋体"/>
                <w:b w:val="0"/>
                <w:bCs w:val="0"/>
                <w:color w:val="auto"/>
                <w:kern w:val="2"/>
                <w:sz w:val="22"/>
                <w:szCs w:val="22"/>
                <w:highlight w:val="none"/>
              </w:rPr>
              <w:t>，最高得5分。</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8</w:t>
            </w:r>
          </w:p>
        </w:tc>
        <w:tc>
          <w:tcPr>
            <w:tcW w:w="584" w:type="pct"/>
            <w:vAlign w:val="center"/>
          </w:tcPr>
          <w:p>
            <w:pPr>
              <w:jc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vertAlign w:val="baseline"/>
                <w:lang w:val="en-US" w:eastAsia="zh-CN"/>
              </w:rPr>
              <w:t>安全保障</w:t>
            </w:r>
          </w:p>
        </w:tc>
        <w:tc>
          <w:tcPr>
            <w:tcW w:w="3715" w:type="pct"/>
            <w:vAlign w:val="center"/>
          </w:tcPr>
          <w:p>
            <w:pPr>
              <w:jc w:val="left"/>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rPr>
              <w:t>针对本项目演出安全保证措施，如</w:t>
            </w:r>
            <w:r>
              <w:rPr>
                <w:rFonts w:hint="eastAsia" w:ascii="宋体" w:hAnsi="宋体" w:eastAsia="宋体" w:cs="宋体"/>
                <w:b w:val="0"/>
                <w:bCs w:val="0"/>
                <w:color w:val="auto"/>
                <w:kern w:val="2"/>
                <w:sz w:val="22"/>
                <w:szCs w:val="22"/>
                <w:highlight w:val="none"/>
                <w:lang w:eastAsia="zh-CN"/>
              </w:rPr>
              <w:t>投标供应商</w:t>
            </w:r>
            <w:r>
              <w:rPr>
                <w:rFonts w:hint="eastAsia" w:ascii="宋体" w:hAnsi="宋体" w:eastAsia="宋体" w:cs="宋体"/>
                <w:b w:val="0"/>
                <w:bCs w:val="0"/>
                <w:color w:val="auto"/>
                <w:kern w:val="2"/>
                <w:sz w:val="22"/>
                <w:szCs w:val="22"/>
                <w:highlight w:val="none"/>
              </w:rPr>
              <w:t>制定的安全防范措施，确保演出过程中演职人员的人身安全，并为演职人员购买人身意外保险等措施，方案完整、科学、合理</w:t>
            </w:r>
            <w:r>
              <w:rPr>
                <w:rFonts w:hint="eastAsia" w:ascii="宋体" w:hAnsi="宋体" w:eastAsia="宋体" w:cs="宋体"/>
                <w:b w:val="0"/>
                <w:bCs w:val="0"/>
                <w:color w:val="auto"/>
                <w:kern w:val="2"/>
                <w:sz w:val="22"/>
                <w:szCs w:val="22"/>
                <w:highlight w:val="none"/>
                <w:lang w:val="en-US" w:eastAsia="zh-CN" w:bidi="ar-SA"/>
              </w:rPr>
              <w:t>、可充分保障项目实施的得5分，</w:t>
            </w:r>
            <w:r>
              <w:rPr>
                <w:rFonts w:hint="eastAsia" w:ascii="宋体" w:hAnsi="宋体" w:eastAsia="宋体" w:cs="宋体"/>
                <w:b w:val="0"/>
                <w:bCs w:val="0"/>
                <w:color w:val="auto"/>
                <w:sz w:val="22"/>
                <w:szCs w:val="22"/>
                <w:highlight w:val="none"/>
              </w:rPr>
              <w:t>方案</w:t>
            </w:r>
            <w:r>
              <w:rPr>
                <w:rFonts w:hint="eastAsia" w:ascii="宋体" w:hAnsi="宋体" w:eastAsia="宋体" w:cs="宋体"/>
                <w:b w:val="0"/>
                <w:bCs w:val="0"/>
                <w:color w:val="auto"/>
                <w:sz w:val="22"/>
                <w:szCs w:val="22"/>
                <w:highlight w:val="none"/>
                <w:lang w:val="en-US" w:eastAsia="zh-CN"/>
              </w:rPr>
              <w:t>较为</w:t>
            </w:r>
            <w:r>
              <w:rPr>
                <w:rFonts w:hint="eastAsia" w:ascii="宋体" w:hAnsi="宋体" w:eastAsia="宋体" w:cs="宋体"/>
                <w:b w:val="0"/>
                <w:bCs w:val="0"/>
                <w:color w:val="auto"/>
                <w:kern w:val="2"/>
                <w:sz w:val="22"/>
                <w:szCs w:val="22"/>
                <w:highlight w:val="none"/>
                <w:lang w:val="en-US" w:eastAsia="zh-CN" w:bidi="ar-SA"/>
              </w:rPr>
              <w:t>完整、合理、</w:t>
            </w:r>
            <w:r>
              <w:rPr>
                <w:rFonts w:hint="eastAsia" w:ascii="宋体" w:hAnsi="宋体" w:eastAsia="宋体" w:cs="宋体"/>
                <w:b w:val="0"/>
                <w:bCs w:val="0"/>
                <w:color w:val="auto"/>
                <w:sz w:val="22"/>
                <w:szCs w:val="22"/>
                <w:highlight w:val="none"/>
                <w:lang w:val="en-US" w:eastAsia="zh-CN"/>
              </w:rPr>
              <w:t>基本保障项目实施</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lang w:val="en-US" w:eastAsia="zh-CN"/>
              </w:rPr>
              <w:t>得3分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方案有所欠缺</w:t>
            </w:r>
            <w:r>
              <w:rPr>
                <w:rFonts w:hint="eastAsia" w:ascii="宋体" w:hAnsi="宋体" w:eastAsia="宋体" w:cs="宋体"/>
                <w:b w:val="0"/>
                <w:bCs w:val="0"/>
                <w:color w:val="auto"/>
                <w:sz w:val="22"/>
                <w:szCs w:val="22"/>
                <w:highlight w:val="none"/>
              </w:rPr>
              <w:t>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方案不合理或未提供不得分</w:t>
            </w:r>
            <w:r>
              <w:rPr>
                <w:rFonts w:hint="eastAsia" w:ascii="宋体" w:hAnsi="宋体" w:eastAsia="宋体" w:cs="宋体"/>
                <w:b w:val="0"/>
                <w:bCs w:val="0"/>
                <w:color w:val="auto"/>
                <w:kern w:val="2"/>
                <w:sz w:val="22"/>
                <w:szCs w:val="22"/>
                <w:highlight w:val="none"/>
              </w:rPr>
              <w:t>，最高得5分。</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9</w:t>
            </w:r>
          </w:p>
        </w:tc>
        <w:tc>
          <w:tcPr>
            <w:tcW w:w="584" w:type="pct"/>
            <w:vMerge w:val="restart"/>
            <w:vAlign w:val="center"/>
          </w:tcPr>
          <w:p>
            <w:pPr>
              <w:jc w:val="center"/>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vertAlign w:val="baseline"/>
                <w:lang w:val="en-US" w:eastAsia="zh-CN"/>
              </w:rPr>
              <w:t>内部管理制度</w:t>
            </w:r>
          </w:p>
        </w:tc>
        <w:tc>
          <w:tcPr>
            <w:tcW w:w="3715" w:type="pct"/>
            <w:vAlign w:val="center"/>
          </w:tcPr>
          <w:p>
            <w:p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kern w:val="2"/>
                <w:sz w:val="22"/>
                <w:szCs w:val="22"/>
                <w:highlight w:val="none"/>
                <w:lang w:val="en-US" w:eastAsia="zh-CN"/>
              </w:rPr>
              <w:t>1、</w:t>
            </w:r>
            <w:r>
              <w:rPr>
                <w:rFonts w:hint="eastAsia" w:ascii="宋体" w:hAnsi="宋体" w:eastAsia="宋体" w:cs="宋体"/>
                <w:b w:val="0"/>
                <w:bCs w:val="0"/>
                <w:color w:val="auto"/>
                <w:kern w:val="2"/>
                <w:sz w:val="22"/>
                <w:szCs w:val="22"/>
                <w:highlight w:val="none"/>
              </w:rPr>
              <w:t>根据</w:t>
            </w:r>
            <w:r>
              <w:rPr>
                <w:rFonts w:hint="eastAsia" w:ascii="宋体" w:hAnsi="宋体" w:eastAsia="宋体" w:cs="宋体"/>
                <w:b w:val="0"/>
                <w:bCs w:val="0"/>
                <w:color w:val="auto"/>
                <w:kern w:val="2"/>
                <w:sz w:val="22"/>
                <w:szCs w:val="22"/>
                <w:highlight w:val="none"/>
                <w:lang w:eastAsia="zh-CN"/>
              </w:rPr>
              <w:t>投标供应商</w:t>
            </w:r>
            <w:r>
              <w:rPr>
                <w:rFonts w:hint="eastAsia" w:ascii="宋体" w:hAnsi="宋体" w:eastAsia="宋体" w:cs="宋体"/>
                <w:b w:val="0"/>
                <w:bCs w:val="0"/>
                <w:color w:val="auto"/>
                <w:kern w:val="2"/>
                <w:sz w:val="22"/>
                <w:szCs w:val="22"/>
                <w:highlight w:val="none"/>
              </w:rPr>
              <w:t>针对本项目制定的演出规章制度、员工管理制度（包括签订员工劳动合同、业务培训制度等）等内容进行评分，最高得</w:t>
            </w:r>
            <w:r>
              <w:rPr>
                <w:rFonts w:hint="eastAsia" w:ascii="宋体" w:hAnsi="宋体" w:eastAsia="宋体" w:cs="宋体"/>
                <w:b w:val="0"/>
                <w:bCs w:val="0"/>
                <w:color w:val="auto"/>
                <w:kern w:val="2"/>
                <w:sz w:val="22"/>
                <w:szCs w:val="22"/>
                <w:highlight w:val="none"/>
                <w:lang w:val="en-US" w:eastAsia="zh-CN"/>
              </w:rPr>
              <w:t>1.5</w:t>
            </w:r>
            <w:r>
              <w:rPr>
                <w:rFonts w:hint="eastAsia" w:ascii="宋体" w:hAnsi="宋体" w:eastAsia="宋体" w:cs="宋体"/>
                <w:b w:val="0"/>
                <w:bCs w:val="0"/>
                <w:color w:val="auto"/>
                <w:kern w:val="2"/>
                <w:sz w:val="22"/>
                <w:szCs w:val="22"/>
                <w:highlight w:val="none"/>
              </w:rPr>
              <w:t>分。</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hint="eastAsia" w:ascii="宋体" w:hAnsi="宋体" w:eastAsia="宋体" w:cs="宋体"/>
                <w:b w:val="0"/>
                <w:bCs w:val="0"/>
                <w:color w:val="auto"/>
                <w:sz w:val="22"/>
                <w:szCs w:val="22"/>
                <w:highlight w:val="none"/>
                <w:vertAlign w:val="baseline"/>
              </w:rPr>
            </w:pPr>
          </w:p>
        </w:tc>
        <w:tc>
          <w:tcPr>
            <w:tcW w:w="584" w:type="pct"/>
            <w:vMerge w:val="continue"/>
            <w:vAlign w:val="center"/>
          </w:tcPr>
          <w:p>
            <w:pPr>
              <w:jc w:val="center"/>
              <w:rPr>
                <w:rFonts w:hint="eastAsia" w:ascii="宋体" w:hAnsi="宋体" w:eastAsia="宋体" w:cs="宋体"/>
                <w:b w:val="0"/>
                <w:bCs w:val="0"/>
                <w:color w:val="auto"/>
                <w:sz w:val="22"/>
                <w:szCs w:val="22"/>
                <w:highlight w:val="none"/>
                <w:vertAlign w:val="baseline"/>
              </w:rPr>
            </w:pPr>
          </w:p>
        </w:tc>
        <w:tc>
          <w:tcPr>
            <w:tcW w:w="3715" w:type="pct"/>
            <w:vAlign w:val="center"/>
          </w:tcPr>
          <w:p>
            <w:p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kern w:val="2"/>
                <w:sz w:val="22"/>
                <w:szCs w:val="22"/>
                <w:highlight w:val="none"/>
                <w:lang w:val="en-US" w:eastAsia="zh-CN"/>
              </w:rPr>
              <w:t>2、</w:t>
            </w:r>
            <w:r>
              <w:rPr>
                <w:rFonts w:hint="eastAsia" w:ascii="宋体" w:hAnsi="宋体" w:eastAsia="宋体" w:cs="宋体"/>
                <w:b w:val="0"/>
                <w:bCs w:val="0"/>
                <w:color w:val="auto"/>
                <w:kern w:val="2"/>
                <w:sz w:val="22"/>
                <w:szCs w:val="22"/>
                <w:highlight w:val="none"/>
              </w:rPr>
              <w:t>根据</w:t>
            </w:r>
            <w:r>
              <w:rPr>
                <w:rFonts w:hint="eastAsia" w:ascii="宋体" w:hAnsi="宋体" w:eastAsia="宋体" w:cs="宋体"/>
                <w:b w:val="0"/>
                <w:bCs w:val="0"/>
                <w:color w:val="auto"/>
                <w:kern w:val="2"/>
                <w:sz w:val="22"/>
                <w:szCs w:val="22"/>
                <w:highlight w:val="none"/>
                <w:lang w:eastAsia="zh-CN"/>
              </w:rPr>
              <w:t>投标供应商</w:t>
            </w:r>
            <w:r>
              <w:rPr>
                <w:rFonts w:hint="eastAsia" w:ascii="宋体" w:hAnsi="宋体" w:eastAsia="宋体" w:cs="宋体"/>
                <w:b w:val="0"/>
                <w:bCs w:val="0"/>
                <w:color w:val="auto"/>
                <w:kern w:val="2"/>
                <w:sz w:val="22"/>
                <w:szCs w:val="22"/>
                <w:highlight w:val="none"/>
              </w:rPr>
              <w:t>针对本项目构建的组织管理机构情况，从组织管理机构是否健全、内部服务反应机制以及对外协调机制的合理性、科学性进行综合评价，最高得</w:t>
            </w:r>
            <w:r>
              <w:rPr>
                <w:rFonts w:hint="eastAsia" w:ascii="宋体" w:hAnsi="宋体" w:eastAsia="宋体" w:cs="宋体"/>
                <w:b w:val="0"/>
                <w:bCs w:val="0"/>
                <w:color w:val="auto"/>
                <w:kern w:val="2"/>
                <w:sz w:val="22"/>
                <w:szCs w:val="22"/>
                <w:highlight w:val="none"/>
                <w:lang w:val="en-US" w:eastAsia="zh-CN"/>
              </w:rPr>
              <w:t>1.5</w:t>
            </w:r>
            <w:r>
              <w:rPr>
                <w:rFonts w:hint="eastAsia" w:ascii="宋体" w:hAnsi="宋体" w:eastAsia="宋体" w:cs="宋体"/>
                <w:b w:val="0"/>
                <w:bCs w:val="0"/>
                <w:color w:val="auto"/>
                <w:kern w:val="2"/>
                <w:sz w:val="22"/>
                <w:szCs w:val="22"/>
                <w:highlight w:val="none"/>
              </w:rPr>
              <w:t>分。</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10</w:t>
            </w:r>
          </w:p>
        </w:tc>
        <w:tc>
          <w:tcPr>
            <w:tcW w:w="584" w:type="pct"/>
            <w:vAlign w:val="center"/>
          </w:tcPr>
          <w:p>
            <w:pPr>
              <w:jc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vertAlign w:val="baseline"/>
                <w:lang w:val="en-US" w:eastAsia="zh-CN"/>
              </w:rPr>
              <w:t>应急预案</w:t>
            </w:r>
          </w:p>
        </w:tc>
        <w:tc>
          <w:tcPr>
            <w:tcW w:w="3715" w:type="pct"/>
            <w:vAlign w:val="center"/>
          </w:tcPr>
          <w:p>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rPr>
              <w:t>根据</w:t>
            </w:r>
            <w:r>
              <w:rPr>
                <w:rFonts w:hint="eastAsia" w:ascii="宋体" w:hAnsi="宋体" w:eastAsia="宋体" w:cs="宋体"/>
                <w:b w:val="0"/>
                <w:bCs w:val="0"/>
                <w:color w:val="auto"/>
                <w:kern w:val="2"/>
                <w:sz w:val="22"/>
                <w:szCs w:val="22"/>
                <w:highlight w:val="none"/>
                <w:lang w:eastAsia="zh-CN"/>
              </w:rPr>
              <w:t>投标供应商</w:t>
            </w:r>
            <w:r>
              <w:rPr>
                <w:rFonts w:hint="eastAsia" w:ascii="宋体" w:hAnsi="宋体" w:eastAsia="宋体" w:cs="宋体"/>
                <w:b w:val="0"/>
                <w:bCs w:val="0"/>
                <w:color w:val="auto"/>
                <w:kern w:val="2"/>
                <w:sz w:val="22"/>
                <w:szCs w:val="22"/>
                <w:highlight w:val="none"/>
              </w:rPr>
              <w:t>提供的在发生突发状况时的应急预案（包括应急情况分析及应急人员安排、应急响应时间及处置措施等）</w:t>
            </w:r>
            <w:r>
              <w:rPr>
                <w:rFonts w:hint="eastAsia" w:ascii="宋体" w:hAnsi="宋体" w:eastAsia="宋体" w:cs="宋体"/>
                <w:b w:val="0"/>
                <w:bCs w:val="0"/>
                <w:color w:val="auto"/>
                <w:kern w:val="2"/>
                <w:sz w:val="22"/>
                <w:szCs w:val="22"/>
                <w:highlight w:val="none"/>
                <w:lang w:eastAsia="zh-CN"/>
              </w:rPr>
              <w:t>，</w:t>
            </w:r>
            <w:r>
              <w:rPr>
                <w:rFonts w:hint="eastAsia" w:ascii="宋体" w:hAnsi="宋体" w:eastAsia="宋体" w:cs="宋体"/>
                <w:b w:val="0"/>
                <w:bCs w:val="0"/>
                <w:color w:val="auto"/>
                <w:kern w:val="2"/>
                <w:sz w:val="22"/>
                <w:szCs w:val="22"/>
                <w:highlight w:val="none"/>
              </w:rPr>
              <w:t>方案完整、合理</w:t>
            </w:r>
            <w:r>
              <w:rPr>
                <w:rFonts w:hint="eastAsia" w:ascii="宋体" w:hAnsi="宋体" w:eastAsia="宋体" w:cs="宋体"/>
                <w:b w:val="0"/>
                <w:bCs w:val="0"/>
                <w:color w:val="auto"/>
                <w:kern w:val="2"/>
                <w:sz w:val="22"/>
                <w:szCs w:val="22"/>
                <w:highlight w:val="none"/>
                <w:lang w:val="en-US" w:eastAsia="zh-CN" w:bidi="ar-SA"/>
              </w:rPr>
              <w:t>、可充分保障项目实施的得5分，</w:t>
            </w:r>
            <w:r>
              <w:rPr>
                <w:rFonts w:hint="eastAsia" w:ascii="宋体" w:hAnsi="宋体" w:eastAsia="宋体" w:cs="宋体"/>
                <w:b w:val="0"/>
                <w:bCs w:val="0"/>
                <w:color w:val="auto"/>
                <w:sz w:val="22"/>
                <w:szCs w:val="22"/>
                <w:highlight w:val="none"/>
              </w:rPr>
              <w:t>方案</w:t>
            </w:r>
            <w:r>
              <w:rPr>
                <w:rFonts w:hint="eastAsia" w:ascii="宋体" w:hAnsi="宋体" w:eastAsia="宋体" w:cs="宋体"/>
                <w:b w:val="0"/>
                <w:bCs w:val="0"/>
                <w:color w:val="auto"/>
                <w:sz w:val="22"/>
                <w:szCs w:val="22"/>
                <w:highlight w:val="none"/>
                <w:lang w:val="en-US" w:eastAsia="zh-CN"/>
              </w:rPr>
              <w:t>较为</w:t>
            </w:r>
            <w:r>
              <w:rPr>
                <w:rFonts w:hint="eastAsia" w:ascii="宋体" w:hAnsi="宋体" w:eastAsia="宋体" w:cs="宋体"/>
                <w:b w:val="0"/>
                <w:bCs w:val="0"/>
                <w:color w:val="auto"/>
                <w:kern w:val="2"/>
                <w:sz w:val="22"/>
                <w:szCs w:val="22"/>
                <w:highlight w:val="none"/>
                <w:lang w:val="en-US" w:eastAsia="zh-CN" w:bidi="ar-SA"/>
              </w:rPr>
              <w:t>完整、合理、</w:t>
            </w:r>
            <w:r>
              <w:rPr>
                <w:rFonts w:hint="eastAsia" w:ascii="宋体" w:hAnsi="宋体" w:eastAsia="宋体" w:cs="宋体"/>
                <w:b w:val="0"/>
                <w:bCs w:val="0"/>
                <w:color w:val="auto"/>
                <w:sz w:val="22"/>
                <w:szCs w:val="22"/>
                <w:highlight w:val="none"/>
                <w:lang w:val="en-US" w:eastAsia="zh-CN"/>
              </w:rPr>
              <w:t>基本保障项目实施</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lang w:val="en-US" w:eastAsia="zh-CN"/>
              </w:rPr>
              <w:t>得3分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方案有所欠缺</w:t>
            </w:r>
            <w:r>
              <w:rPr>
                <w:rFonts w:hint="eastAsia" w:ascii="宋体" w:hAnsi="宋体" w:eastAsia="宋体" w:cs="宋体"/>
                <w:b w:val="0"/>
                <w:bCs w:val="0"/>
                <w:color w:val="auto"/>
                <w:sz w:val="22"/>
                <w:szCs w:val="22"/>
                <w:highlight w:val="none"/>
              </w:rPr>
              <w:t>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方案不合理或未提供不得分</w:t>
            </w:r>
            <w:r>
              <w:rPr>
                <w:rFonts w:hint="eastAsia" w:ascii="宋体" w:hAnsi="宋体" w:eastAsia="宋体" w:cs="宋体"/>
                <w:b w:val="0"/>
                <w:bCs w:val="0"/>
                <w:color w:val="auto"/>
                <w:kern w:val="2"/>
                <w:sz w:val="22"/>
                <w:szCs w:val="22"/>
                <w:highlight w:val="none"/>
              </w:rPr>
              <w:t>，最高得5分。</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11</w:t>
            </w:r>
          </w:p>
        </w:tc>
        <w:tc>
          <w:tcPr>
            <w:tcW w:w="584"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本地化服务</w:t>
            </w:r>
          </w:p>
        </w:tc>
        <w:tc>
          <w:tcPr>
            <w:tcW w:w="3715" w:type="pct"/>
            <w:vAlign w:val="center"/>
          </w:tcPr>
          <w:p>
            <w:pPr>
              <w:pStyle w:val="154"/>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根据投标</w:t>
            </w:r>
            <w:r>
              <w:rPr>
                <w:rFonts w:hint="eastAsia" w:ascii="宋体" w:hAnsi="宋体" w:eastAsia="宋体" w:cs="宋体"/>
                <w:b w:val="0"/>
                <w:bCs w:val="0"/>
                <w:color w:val="auto"/>
                <w:sz w:val="22"/>
                <w:szCs w:val="22"/>
                <w:highlight w:val="none"/>
                <w:lang w:val="en-US" w:eastAsia="zh-CN"/>
              </w:rPr>
              <w:t>供应商</w:t>
            </w:r>
            <w:r>
              <w:rPr>
                <w:rFonts w:hint="eastAsia" w:ascii="宋体" w:hAnsi="宋体" w:eastAsia="宋体" w:cs="宋体"/>
                <w:b w:val="0"/>
                <w:bCs w:val="0"/>
                <w:color w:val="auto"/>
                <w:sz w:val="22"/>
                <w:szCs w:val="22"/>
                <w:highlight w:val="none"/>
              </w:rPr>
              <w:t>对本项目近几年实施情况的了解程度、对本地演艺人才及群众戏剧文化喜好了解，提供本地化服务的能力、属地服务经验以及提供服务的便捷性。有完全服务本地的实力、响应能力</w:t>
            </w:r>
            <w:r>
              <w:rPr>
                <w:rFonts w:hint="eastAsia" w:ascii="宋体" w:eastAsia="宋体" w:cs="宋体"/>
                <w:b w:val="0"/>
                <w:bCs w:val="0"/>
                <w:color w:val="auto"/>
                <w:sz w:val="22"/>
                <w:szCs w:val="22"/>
                <w:highlight w:val="none"/>
                <w:lang w:val="en-US" w:eastAsia="zh-CN"/>
              </w:rPr>
              <w:t>的得</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分；有基本服务本地的实力、响应能力的</w:t>
            </w:r>
            <w:r>
              <w:rPr>
                <w:rFonts w:hint="eastAsia" w:ascii="宋体" w:eastAsia="宋体" w:cs="宋体"/>
                <w:b w:val="0"/>
                <w:bCs w:val="0"/>
                <w:color w:val="auto"/>
                <w:sz w:val="22"/>
                <w:szCs w:val="22"/>
                <w:highlight w:val="none"/>
                <w:lang w:val="en-US" w:eastAsia="zh-CN"/>
              </w:rPr>
              <w:t>得</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分；服务本地的实力、响应能力一般的</w:t>
            </w:r>
            <w:r>
              <w:rPr>
                <w:rFonts w:hint="eastAsia" w:ascii="宋体" w:eastAsia="宋体" w:cs="宋体"/>
                <w:b w:val="0"/>
                <w:bCs w:val="0"/>
                <w:color w:val="auto"/>
                <w:sz w:val="22"/>
                <w:szCs w:val="22"/>
                <w:highlight w:val="none"/>
                <w:lang w:val="en-US" w:eastAsia="zh-CN"/>
              </w:rPr>
              <w:t>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分；服务本地的实力、响应能力不足的</w:t>
            </w:r>
            <w:r>
              <w:rPr>
                <w:rFonts w:hint="eastAsia" w:ascii="宋体" w:eastAsia="宋体" w:cs="宋体"/>
                <w:b w:val="0"/>
                <w:bCs w:val="0"/>
                <w:color w:val="auto"/>
                <w:sz w:val="22"/>
                <w:szCs w:val="22"/>
                <w:highlight w:val="none"/>
                <w:lang w:val="en-US" w:eastAsia="zh-CN"/>
              </w:rPr>
              <w:t>得</w:t>
            </w:r>
            <w:r>
              <w:rPr>
                <w:rFonts w:hint="eastAsia" w:ascii="宋体" w:hAnsi="宋体" w:eastAsia="宋体" w:cs="宋体"/>
                <w:b w:val="0"/>
                <w:bCs w:val="0"/>
                <w:color w:val="auto"/>
                <w:sz w:val="22"/>
                <w:szCs w:val="22"/>
                <w:highlight w:val="none"/>
              </w:rPr>
              <w:t>0分。</w:t>
            </w:r>
          </w:p>
          <w:p>
            <w:pPr>
              <w:pStyle w:val="154"/>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注：在本地有固定场所，需提供房屋不动产所有权证明或房屋租赁合同、房屋及交通工具的图片等扫描件。</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pStyle w:val="2"/>
              <w:ind w:left="0" w:leftChars="0" w:firstLine="0" w:firstLineChars="0"/>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12</w:t>
            </w:r>
          </w:p>
        </w:tc>
        <w:tc>
          <w:tcPr>
            <w:tcW w:w="584" w:type="pct"/>
            <w:vMerge w:val="restart"/>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演出效果</w:t>
            </w:r>
          </w:p>
          <w:p>
            <w:pPr>
              <w:pStyle w:val="2"/>
              <w:ind w:left="0" w:leftChars="0" w:firstLine="0" w:firstLine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0"/>
                <w:sz w:val="22"/>
                <w:szCs w:val="22"/>
                <w:highlight w:val="none"/>
              </w:rPr>
              <w:t>（无视频或视频不符合本标段要求或不是本剧团演员演绎的视频本项不得分）</w:t>
            </w:r>
          </w:p>
        </w:tc>
        <w:tc>
          <w:tcPr>
            <w:tcW w:w="3715" w:type="pct"/>
            <w:vAlign w:val="center"/>
          </w:tcPr>
          <w:p>
            <w:pPr>
              <w:tabs>
                <w:tab w:val="left" w:pos="6510"/>
              </w:tabs>
              <w:ind w:right="-122" w:rightChars="-58"/>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1、根据投标供应商针对本项目的类似演出视频</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时长不超过10分钟）</w:t>
            </w:r>
            <w:r>
              <w:rPr>
                <w:rFonts w:hint="eastAsia" w:ascii="宋体" w:hAnsi="宋体" w:eastAsia="宋体" w:cs="宋体"/>
                <w:b w:val="0"/>
                <w:bCs w:val="0"/>
                <w:color w:val="auto"/>
                <w:sz w:val="22"/>
                <w:szCs w:val="22"/>
                <w:highlight w:val="none"/>
              </w:rPr>
              <w:t>要求如下：①</w:t>
            </w:r>
            <w:r>
              <w:rPr>
                <w:rFonts w:hint="eastAsia" w:ascii="宋体" w:hAnsi="宋体" w:eastAsia="宋体" w:cs="宋体"/>
                <w:b w:val="0"/>
                <w:bCs w:val="0"/>
                <w:color w:val="auto"/>
                <w:sz w:val="22"/>
                <w:szCs w:val="22"/>
                <w:highlight w:val="none"/>
                <w:lang w:val="en-US" w:eastAsia="zh-CN"/>
              </w:rPr>
              <w:t>演出剧目内容健康，符合社会主义核心价值观</w:t>
            </w:r>
            <w:r>
              <w:rPr>
                <w:rFonts w:hint="eastAsia" w:ascii="宋体" w:hAnsi="宋体" w:eastAsia="宋体" w:cs="宋体"/>
                <w:b w:val="0"/>
                <w:bCs w:val="0"/>
                <w:color w:val="auto"/>
                <w:sz w:val="22"/>
                <w:szCs w:val="22"/>
                <w:highlight w:val="none"/>
                <w:lang w:val="en-US" w:eastAsia="zh-CN"/>
              </w:rPr>
              <w:t>②视频质量③剧目选择，唱和表演并重④唱腔：韵味浓厚、发音悦耳、吐字清晰、音调节奏准确、演唱熟练⑤表演水准：情感丰富、台风稳健、表演自然、大方得体。</w:t>
            </w:r>
            <w:r>
              <w:rPr>
                <w:rFonts w:hint="eastAsia" w:ascii="宋体" w:hAnsi="宋体" w:eastAsia="宋体" w:cs="宋体"/>
                <w:b w:val="0"/>
                <w:bCs w:val="0"/>
                <w:color w:val="auto"/>
                <w:sz w:val="22"/>
                <w:szCs w:val="22"/>
                <w:highlight w:val="none"/>
              </w:rPr>
              <w:t>单项内容最能满足采购人需求和要求的每项得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分，单项内容部分符合的每项得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分，不符合不得分，本项最高得</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p>
            <w:pPr>
              <w:jc w:val="left"/>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sz w:val="22"/>
                <w:szCs w:val="22"/>
                <w:highlight w:val="none"/>
              </w:rPr>
              <w:t>注:</w:t>
            </w:r>
            <w:r>
              <w:rPr>
                <w:rFonts w:hint="eastAsia" w:ascii="宋体" w:hAnsi="宋体" w:eastAsia="宋体" w:cs="宋体"/>
                <w:b w:val="0"/>
                <w:bCs w:val="0"/>
                <w:color w:val="auto"/>
                <w:sz w:val="22"/>
                <w:szCs w:val="22"/>
                <w:highlight w:val="none"/>
                <w:lang w:val="en-US" w:eastAsia="zh-CN"/>
              </w:rPr>
              <w:t>本视频中的主要演员须与表述中所提供的演员名单一致；</w:t>
            </w:r>
            <w:r>
              <w:rPr>
                <w:rFonts w:hint="eastAsia" w:ascii="宋体" w:hAnsi="宋体" w:eastAsia="宋体" w:cs="宋体"/>
                <w:b w:val="0"/>
                <w:bCs w:val="0"/>
                <w:color w:val="auto"/>
                <w:sz w:val="22"/>
                <w:szCs w:val="22"/>
                <w:highlight w:val="none"/>
              </w:rPr>
              <w:t>采用多媒体视频播放，</w:t>
            </w: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提供电子文档（采用U盘存储），格式为主流通用音视频媒体格式</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因</w:t>
            </w: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自身原因导致无法演示或者演示效果不理想，责任自负。</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584" w:type="pct"/>
            <w:vMerge w:val="continue"/>
            <w:vAlign w:val="center"/>
          </w:tcPr>
          <w:p>
            <w:pPr>
              <w:jc w:val="center"/>
              <w:rPr>
                <w:rFonts w:hint="eastAsia" w:ascii="宋体" w:hAnsi="宋体" w:eastAsia="宋体" w:cs="宋体"/>
                <w:b w:val="0"/>
                <w:bCs w:val="0"/>
                <w:color w:val="auto"/>
                <w:sz w:val="22"/>
                <w:szCs w:val="22"/>
                <w:highlight w:val="none"/>
                <w:vertAlign w:val="baseline"/>
                <w:lang w:val="en-US" w:eastAsia="zh-CN"/>
              </w:rPr>
            </w:pPr>
          </w:p>
        </w:tc>
        <w:tc>
          <w:tcPr>
            <w:tcW w:w="3715" w:type="pct"/>
            <w:vAlign w:val="center"/>
          </w:tcPr>
          <w:p>
            <w:pPr>
              <w:jc w:val="left"/>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rPr>
              <w:t>根据演出视频的灯光、布景、服装和道具效果进行打分。能完美展现烘托剧情的</w:t>
            </w:r>
            <w:r>
              <w:rPr>
                <w:rFonts w:hint="eastAsia" w:ascii="宋体" w:eastAsia="宋体" w:cs="宋体"/>
                <w:b w:val="0"/>
                <w:bCs w:val="0"/>
                <w:color w:val="auto"/>
                <w:kern w:val="0"/>
                <w:sz w:val="22"/>
                <w:szCs w:val="22"/>
                <w:highlight w:val="none"/>
                <w:lang w:val="en-US" w:eastAsia="zh-CN"/>
              </w:rPr>
              <w:t>得</w:t>
            </w:r>
            <w:r>
              <w:rPr>
                <w:rFonts w:hint="eastAsia" w:ascii="宋体" w:hAnsi="宋体" w:eastAsia="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分；</w:t>
            </w:r>
            <w:r>
              <w:rPr>
                <w:rFonts w:hint="eastAsia" w:ascii="宋体" w:hAnsi="宋体" w:eastAsia="宋体" w:cs="宋体"/>
                <w:b w:val="0"/>
                <w:bCs w:val="0"/>
                <w:color w:val="auto"/>
                <w:kern w:val="0"/>
                <w:sz w:val="22"/>
                <w:szCs w:val="22"/>
                <w:highlight w:val="none"/>
                <w:lang w:val="en-US" w:eastAsia="zh-CN"/>
              </w:rPr>
              <w:t>基本</w:t>
            </w:r>
            <w:r>
              <w:rPr>
                <w:rFonts w:hint="eastAsia" w:ascii="宋体" w:hAnsi="宋体" w:eastAsia="宋体" w:cs="宋体"/>
                <w:b w:val="0"/>
                <w:bCs w:val="0"/>
                <w:color w:val="auto"/>
                <w:kern w:val="0"/>
                <w:sz w:val="22"/>
                <w:szCs w:val="22"/>
                <w:highlight w:val="none"/>
              </w:rPr>
              <w:t>能展现烘托剧情的</w:t>
            </w:r>
            <w:r>
              <w:rPr>
                <w:rFonts w:hint="eastAsia" w:ascii="宋体" w:eastAsia="宋体" w:cs="宋体"/>
                <w:b w:val="0"/>
                <w:bCs w:val="0"/>
                <w:color w:val="auto"/>
                <w:kern w:val="0"/>
                <w:sz w:val="22"/>
                <w:szCs w:val="22"/>
                <w:highlight w:val="none"/>
                <w:lang w:val="en-US" w:eastAsia="zh-CN"/>
              </w:rPr>
              <w:t>得</w:t>
            </w: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分；不太能展现烘托剧情的</w:t>
            </w:r>
            <w:r>
              <w:rPr>
                <w:rFonts w:hint="eastAsia" w:ascii="宋体" w:eastAsia="宋体" w:cs="宋体"/>
                <w:b w:val="0"/>
                <w:bCs w:val="0"/>
                <w:color w:val="auto"/>
                <w:kern w:val="0"/>
                <w:sz w:val="22"/>
                <w:szCs w:val="22"/>
                <w:highlight w:val="none"/>
                <w:lang w:val="en-US" w:eastAsia="zh-CN"/>
              </w:rPr>
              <w:t>得</w:t>
            </w:r>
            <w:r>
              <w:rPr>
                <w:rFonts w:hint="eastAsia" w:ascii="宋体" w:hAnsi="宋体" w:eastAsia="宋体" w:cs="宋体"/>
                <w:b w:val="0"/>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rPr>
              <w:t>分；不能展现烘托剧情的</w:t>
            </w:r>
            <w:r>
              <w:rPr>
                <w:rFonts w:hint="eastAsia" w:ascii="宋体" w:hAnsi="宋体" w:eastAsia="宋体" w:cs="宋体"/>
                <w:b w:val="0"/>
                <w:bCs w:val="0"/>
                <w:color w:val="auto"/>
                <w:kern w:val="0"/>
                <w:sz w:val="22"/>
                <w:szCs w:val="22"/>
                <w:highlight w:val="none"/>
                <w:lang w:val="en-US" w:eastAsia="zh-CN"/>
              </w:rPr>
              <w:t>不得分</w:t>
            </w:r>
            <w:r>
              <w:rPr>
                <w:rFonts w:hint="eastAsia" w:ascii="宋体" w:hAnsi="宋体" w:eastAsia="宋体" w:cs="宋体"/>
                <w:b w:val="0"/>
                <w:bCs w:val="0"/>
                <w:color w:val="auto"/>
                <w:kern w:val="0"/>
                <w:sz w:val="22"/>
                <w:szCs w:val="22"/>
                <w:highlight w:val="none"/>
              </w:rPr>
              <w:t>。</w:t>
            </w:r>
            <w:r>
              <w:rPr>
                <w:rFonts w:hint="eastAsia" w:ascii="宋体" w:hAnsi="宋体" w:eastAsia="宋体" w:cs="宋体"/>
                <w:b w:val="0"/>
                <w:bCs w:val="0"/>
                <w:color w:val="auto"/>
                <w:kern w:val="0"/>
                <w:sz w:val="22"/>
                <w:szCs w:val="22"/>
                <w:highlight w:val="none"/>
                <w:lang w:val="en-US" w:eastAsia="zh-CN"/>
              </w:rPr>
              <w:t>注：</w:t>
            </w:r>
            <w:r>
              <w:rPr>
                <w:rFonts w:hint="eastAsia" w:ascii="宋体" w:hAnsi="宋体" w:eastAsia="宋体" w:cs="宋体"/>
                <w:b w:val="0"/>
                <w:bCs w:val="0"/>
                <w:color w:val="auto"/>
                <w:kern w:val="0"/>
                <w:sz w:val="22"/>
                <w:szCs w:val="22"/>
                <w:highlight w:val="none"/>
              </w:rPr>
              <w:t>本视频展示的灯光、布景、服装和道具须与标书中所提供的灯光、布景、服装和道具相一致。</w:t>
            </w:r>
          </w:p>
        </w:tc>
        <w:tc>
          <w:tcPr>
            <w:tcW w:w="466" w:type="pct"/>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0-5</w:t>
            </w:r>
          </w:p>
        </w:tc>
      </w:tr>
    </w:tbl>
    <w:p>
      <w:pPr>
        <w:spacing w:line="360" w:lineRule="auto"/>
        <w:rPr>
          <w:rFonts w:ascii="宋体" w:eastAsia="宋体"/>
          <w:b w:val="0"/>
          <w:color w:val="auto"/>
          <w:sz w:val="22"/>
          <w:szCs w:val="22"/>
          <w:highlight w:val="none"/>
        </w:rPr>
      </w:pPr>
      <w:r>
        <w:rPr>
          <w:rFonts w:hint="eastAsia" w:ascii="宋体" w:eastAsia="宋体"/>
          <w:b w:val="0"/>
          <w:color w:val="auto"/>
          <w:sz w:val="22"/>
          <w:szCs w:val="22"/>
          <w:highlight w:val="none"/>
        </w:rPr>
        <w:t>三、说明</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1、每个投标供应商最终得分=技术资信部分分值（所有磋商小组成员打分的算术平均值）+报价部分分值。</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2、所有分值计算保留小数点后二位，小数点后三位四舍五入。</w:t>
      </w:r>
    </w:p>
    <w:p>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3、参见本竞争性磋商采购第三部分：“投标供应商须知” 中的相关内容，未尽事宜按有关法律规定处理。</w:t>
      </w:r>
    </w:p>
    <w:sectPr>
      <w:headerReference r:id="rId17" w:type="first"/>
      <w:headerReference r:id="rId16" w:type="default"/>
      <w:footerReference r:id="rId18" w:type="default"/>
      <w:pgSz w:w="11906" w:h="16838"/>
      <w:pgMar w:top="1355" w:right="1355"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2"/>
                            <w:jc w:val="center"/>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39</w:t>
                          </w:r>
                          <w:r>
                            <w:rPr>
                              <w:rFonts w:ascii="宋体" w:eastAsia="宋体"/>
                            </w:rPr>
                            <w:fldChar w:fldCharType="end"/>
                          </w:r>
                        </w:p>
                        <w:p>
                          <w:pPr>
                            <w:pStyle w:val="32"/>
                            <w:wordWrap w:val="0"/>
                            <w:ind w:right="360"/>
                            <w:jc w:val="right"/>
                            <w:rPr>
                              <w:rFonts w:ascii="宋体" w:eastAsia="宋体"/>
                            </w:rPr>
                          </w:pPr>
                          <w:r>
                            <w:rPr>
                              <w:rFonts w:hint="eastAsia"/>
                            </w:rPr>
                            <w:t xml:space="preserve">                                                         </w:t>
                          </w:r>
                          <w:r>
                            <w:rPr>
                              <w:rFonts w:ascii="宋体" w:eastAsia="宋体"/>
                            </w:rPr>
                            <w:t>温州市中概工程管理咨询有限公司</w:t>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XJA4V/cBAAAGBAAADgAAAAAAAAABACAAAAAeAQAAZHJzL2Uyb0RvYy54bWxQSwUGAAAA&#10;AAYABgBZAQAAhwUAAAAA&#10;">
              <v:fill on="f" focussize="0,0"/>
              <v:stroke on="f"/>
              <v:imagedata o:title=""/>
              <o:lock v:ext="edit" aspectratio="f"/>
              <v:textbox inset="0mm,0mm,0mm,0mm" style="mso-fit-shape-to-text:t;">
                <w:txbxContent>
                  <w:p>
                    <w:pPr>
                      <w:pStyle w:val="32"/>
                      <w:jc w:val="center"/>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39</w:t>
                    </w:r>
                    <w:r>
                      <w:rPr>
                        <w:rFonts w:ascii="宋体" w:eastAsia="宋体"/>
                      </w:rPr>
                      <w:fldChar w:fldCharType="end"/>
                    </w:r>
                  </w:p>
                  <w:p>
                    <w:pPr>
                      <w:pStyle w:val="32"/>
                      <w:wordWrap w:val="0"/>
                      <w:ind w:right="360"/>
                      <w:jc w:val="right"/>
                      <w:rPr>
                        <w:rFonts w:ascii="宋体" w:eastAsia="宋体"/>
                      </w:rPr>
                    </w:pPr>
                    <w:r>
                      <w:rPr>
                        <w:rFonts w:hint="eastAsia"/>
                      </w:rPr>
                      <w:t xml:space="preserve">                                                         </w:t>
                    </w:r>
                    <w:r>
                      <w:rPr>
                        <w:rFonts w:ascii="宋体" w:eastAsia="宋体"/>
                      </w:rPr>
                      <w:t>温州市中概工程管理咨询有限公司</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360"/>
      <w:jc w:val="right"/>
      <w:rPr>
        <w:rFonts w:ascii="宋体" w:eastAsia="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10"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w:t>
                          </w:r>
                          <w:r>
                            <w:rPr>
                              <w:rFonts w:ascii="宋体" w:eastAsia="宋体"/>
                            </w:rPr>
                            <w:fldChar w:fldCharType="end"/>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CM8esB/QEAAAQEAAAOAAAAAAAAAAEAIAAAACABAABkcnMvZTJvRG9jLnht&#10;bFBLBQYAAAAABgAGAFkBAACPBQAAAAA=&#10;">
              <v:fill on="f" focussize="0,0"/>
              <v:stroke on="f"/>
              <v:imagedata o:title=""/>
              <o:lock v:ext="edit" aspectratio="f"/>
              <v:textbox inset="0mm,0mm,0mm,0mm" style="mso-fit-shape-to-text:t;">
                <w:txbxContent>
                  <w:p>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47955"/>
              <wp:effectExtent l="0" t="0" r="0" b="0"/>
              <wp:wrapNone/>
              <wp:docPr id="8"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3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1.65pt;width:4.55pt;mso-position-horizontal:center;mso-position-horizontal-relative:margin;mso-wrap-style:none;z-index:25166540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A+Nlxg/QEAAAMEAAAOAAAAAAAAAAEAIAAAACABAABkcnMvZTJvRG9jLnht&#10;bFBLBQYAAAAABgAGAFkBAACPBQ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6"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27</w:t>
                          </w:r>
                          <w:r>
                            <w:rPr>
                              <w:sz w:val="1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CCgSoZ/QEAAAMEAAAOAAAAAAAAAAEAIAAAACABAABkcnMvZTJvRG9jLnht&#10;bFBLBQYAAAAABgAGAFkBAACPBQAAAAA=&#10;">
              <v:fill on="f" focussize="0,0"/>
              <v:stroke on="f"/>
              <v:imagedata o:title=""/>
              <o:lock v:ext="edit" aspectratio="f"/>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27</w:t>
                    </w:r>
                    <w:r>
                      <w:rPr>
                        <w:sz w:val="18"/>
                      </w:rPr>
                      <w:fldChar w:fldCharType="end"/>
                    </w:r>
                  </w:p>
                </w:txbxContent>
              </v:textbox>
            </v:shap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360"/>
      <w:jc w:val="right"/>
      <w:rPr>
        <w:rFonts w:ascii="宋体" w:eastAsia="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47955"/>
              <wp:effectExtent l="0" t="0" r="0" b="0"/>
              <wp:wrapNone/>
              <wp:docPr id="7"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40</w:t>
                          </w:r>
                          <w:r>
                            <w:rPr>
                              <w:rFonts w:ascii="宋体" w:eastAsia="宋体"/>
                            </w:rP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1.65pt;width:4.55pt;mso-position-horizontal:center;mso-position-horizontal-relative:margin;mso-wrap-style:none;z-index:25166438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BgowUO/QEAAAMEAAAOAAAAAAAAAAEAIAAAACABAABkcnMvZTJvRG9jLnht&#10;bFBLBQYAAAAABgAGAFkBAACPBQAAAAA=&#10;">
              <v:fill on="f" focussize="0,0"/>
              <v:stroke on="f"/>
              <v:imagedata o:title=""/>
              <o:lock v:ext="edit" aspectratio="f"/>
              <v:textbox inset="0mm,0mm,0mm,0mm" style="mso-fit-shape-to-text:t;">
                <w:txbxContent>
                  <w:p>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40</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Text Box 1037"/>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32"/>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1037" o:spid="_x0000_s1026" o:spt="202" type="#_x0000_t202" style="position:absolute;left:0pt;margin-top:0pt;height:11.65pt;width:4.55pt;mso-position-horizontal:center;mso-position-horizontal-relative:margin;mso-wrap-style:none;z-index:25166643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DiqoSd/QEAAAMEAAAOAAAAAAAAAAEAIAAAACABAABkcnMvZTJvRG9jLnht&#10;bFBLBQYAAAAABgAGAFkBAACPBQ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5570" cy="147955"/>
              <wp:effectExtent l="0" t="0" r="0" b="0"/>
              <wp:wrapNone/>
              <wp:docPr id="2"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115570" cy="147955"/>
                      </a:xfrm>
                      <a:prstGeom prst="rect">
                        <a:avLst/>
                      </a:prstGeom>
                      <a:noFill/>
                      <a:ln>
                        <a:noFill/>
                      </a:ln>
                    </wps:spPr>
                    <wps:txbx>
                      <w:txbxContent>
                        <w:p>
                          <w:pPr>
                            <w:pStyle w:val="32"/>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39</w:t>
                          </w:r>
                          <w:r>
                            <w:rPr>
                              <w:rFonts w:ascii="宋体"/>
                            </w:rPr>
                            <w:fldChar w:fldCharType="end"/>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1.65pt;width:9.1pt;mso-position-horizontal:center;mso-position-horizontal-relative:margin;mso-wrap-style:none;z-index:251662336;mso-width-relative:page;mso-height-relative:page;" filled="f" stroked="f" coordsize="21600,21600" o:gfxdata="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iIK7zRAAAAAwEAAA8AAAAAAAAAAQAgAAAAIgAAAGRycy9kb3ducmV2LnhtbFBLAQIU&#10;ABQAAAAIAIdO4kAhZZ2k+gEAAAQEAAAOAAAAAAAAAAEAIAAAACABAABkcnMvZTJvRG9jLnhtbFBL&#10;BQYAAAAABgAGAFkBAACMBQAAAAA=&#10;">
              <v:fill on="f" focussize="0,0"/>
              <v:stroke on="f"/>
              <v:imagedata o:title=""/>
              <o:lock v:ext="edit" aspectratio="f"/>
              <v:textbox inset="0mm,0mm,0mm,0mm" style="mso-fit-shape-to-text:t;">
                <w:txbxContent>
                  <w:p>
                    <w:pPr>
                      <w:pStyle w:val="32"/>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39</w:t>
                    </w:r>
                    <w:r>
                      <w:rPr>
                        <w:rFonts w:ascii="宋体"/>
                      </w:rPr>
                      <w:fldChar w:fldCharType="end"/>
                    </w:r>
                  </w:p>
                </w:txbxContent>
              </v:textbox>
            </v:shape>
          </w:pict>
        </mc:Fallback>
      </mc:AlternateContent>
    </w:r>
    <w:r>
      <w:rPr>
        <w:rFonts w:ascii="宋体"/>
      </w:rPr>
      <w:t>温州市中概工程管理咨询有限公司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ascii="宋体"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5570" cy="147955"/>
              <wp:effectExtent l="0" t="0" r="0" b="0"/>
              <wp:wrapNone/>
              <wp:docPr id="1"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15570" cy="147955"/>
                      </a:xfrm>
                      <a:prstGeom prst="rect">
                        <a:avLst/>
                      </a:prstGeom>
                      <a:noFill/>
                      <a:ln>
                        <a:noFill/>
                      </a:ln>
                    </wps:spPr>
                    <wps:txbx>
                      <w:txbxContent>
                        <w:p>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41</w:t>
                          </w:r>
                          <w:r>
                            <w:rPr>
                              <w:rFonts w:ascii="宋体" w:eastAsia="宋体"/>
                            </w:rP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1.65pt;width:9.1pt;mso-position-horizontal:center;mso-position-horizontal-relative:margin;mso-wrap-style:none;z-index:251663360;mso-width-relative:page;mso-height-relative:page;" filled="f" stroked="f" coordsize="21600,21600" o:gfxdata="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iCu80QAAAAMBAAAPAAAAAAAAAAEAIAAAACIAAABkcnMvZG93bnJldi54bWxQSwEC&#10;FAAUAAAACACHTuJA0k6iPvsBAAAEBAAADgAAAAAAAAABACAAAAAgAQAAZHJzL2Uyb0RvYy54bWxQ&#10;SwUGAAAAAAYABgBZAQAAjQUAAAAA&#10;">
              <v:fill on="f" focussize="0,0"/>
              <v:stroke on="f"/>
              <v:imagedata o:title=""/>
              <o:lock v:ext="edit" aspectratio="f"/>
              <v:textbox inset="0mm,0mm,0mm,0mm" style="mso-fit-shape-to-text:t;">
                <w:txbxContent>
                  <w:p>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41</w:t>
                    </w:r>
                    <w:r>
                      <w:rPr>
                        <w:rFonts w:ascii="宋体" w:eastAsia="宋体"/>
                      </w:rPr>
                      <w:fldChar w:fldCharType="end"/>
                    </w:r>
                  </w:p>
                </w:txbxContent>
              </v:textbox>
            </v:shape>
          </w:pict>
        </mc:Fallback>
      </mc:AlternateContent>
    </w:r>
    <w:r>
      <w:rPr>
        <w:rFonts w:ascii="宋体" w:eastAsia="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eastAsia="宋体"/>
        <w:b w:val="0"/>
      </w:rPr>
    </w:pPr>
    <w:r>
      <w:rPr>
        <w:rFonts w:hint="eastAsia" w:ascii="宋体" w:eastAsia="宋体"/>
        <w:b w:val="0"/>
      </w:rPr>
      <w:t>永嘉县政府采购竞争性磋商文件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eastAsia="宋体"/>
        <w:b w:val="0"/>
      </w:rPr>
    </w:pPr>
    <w:r>
      <w:rPr>
        <w:rFonts w:hint="eastAsia" w:ascii="宋体" w:eastAsia="宋体"/>
        <w:b w:val="0"/>
      </w:rPr>
      <w:t>永嘉县政府采购竞争性磋商文件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rFonts w:hint="eastAsia" w:ascii="宋体" w:eastAsia="宋体"/>
        <w:b w:val="0"/>
      </w:rPr>
      <w:t>永嘉县政府采购竞争性磋商文件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rFonts w:hint="eastAsia" w:ascii="宋体" w:eastAsia="宋体"/>
        <w:b w:val="0"/>
      </w:rPr>
      <w:t>永嘉县政府采购竞争性磋商文件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b w:val="0"/>
      </w:rPr>
    </w:pPr>
    <w:r>
      <w:rPr>
        <w:rFonts w:hint="eastAsia" w:ascii="宋体"/>
      </w:rPr>
      <w:t>永嘉县政府采购竞争性磋商文件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b w:val="0"/>
      </w:rPr>
    </w:pPr>
    <w:r>
      <w:rPr>
        <w:rFonts w:hint="eastAsia" w:ascii="宋体"/>
      </w:rPr>
      <w:t>永嘉县政府采购竞争性磋商文件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eastAsia="宋体"/>
        <w:b w:val="0"/>
      </w:rPr>
    </w:pPr>
    <w:r>
      <w:rPr>
        <w:rFonts w:hint="eastAsia" w:ascii="宋体" w:eastAsia="宋体"/>
        <w:b w:val="0"/>
      </w:rPr>
      <w:t>永嘉县政府采购竞争性磋商文件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eastAsia="宋体"/>
        <w:b w:val="0"/>
      </w:rPr>
    </w:pPr>
    <w:r>
      <w:rPr>
        <w:rFonts w:hint="eastAsia" w:ascii="宋体" w:eastAsia="宋体"/>
        <w:b w:val="0"/>
      </w:rPr>
      <w:t>永嘉县政府采购竞争性磋商文件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36006"/>
    <w:multiLevelType w:val="singleLevel"/>
    <w:tmpl w:val="89C36006"/>
    <w:lvl w:ilvl="0" w:tentative="0">
      <w:start w:val="1"/>
      <w:numFmt w:val="decimal"/>
      <w:suff w:val="nothing"/>
      <w:lvlText w:val="%1、"/>
      <w:lvlJc w:val="left"/>
    </w:lvl>
  </w:abstractNum>
  <w:abstractNum w:abstractNumId="1">
    <w:nsid w:val="D06C4EA3"/>
    <w:multiLevelType w:val="singleLevel"/>
    <w:tmpl w:val="D06C4EA3"/>
    <w:lvl w:ilvl="0" w:tentative="0">
      <w:start w:val="5"/>
      <w:numFmt w:val="chineseCounting"/>
      <w:suff w:val="space"/>
      <w:lvlText w:val="第%1部分"/>
      <w:lvlJc w:val="left"/>
      <w:rPr>
        <w:rFonts w:hint="eastAsia"/>
      </w:rPr>
    </w:lvl>
  </w:abstractNum>
  <w:abstractNum w:abstractNumId="2">
    <w:nsid w:val="FC582231"/>
    <w:multiLevelType w:val="singleLevel"/>
    <w:tmpl w:val="FC582231"/>
    <w:lvl w:ilvl="0" w:tentative="0">
      <w:start w:val="1"/>
      <w:numFmt w:val="decimal"/>
      <w:suff w:val="nothing"/>
      <w:lvlText w:val="%1、"/>
      <w:lvlJc w:val="left"/>
    </w:lvl>
  </w:abstractNum>
  <w:abstractNum w:abstractNumId="3">
    <w:nsid w:val="146DE902"/>
    <w:multiLevelType w:val="singleLevel"/>
    <w:tmpl w:val="146DE902"/>
    <w:lvl w:ilvl="0" w:tentative="0">
      <w:start w:val="2"/>
      <w:numFmt w:val="chineseCounting"/>
      <w:suff w:val="nothing"/>
      <w:lvlText w:val="%1、"/>
      <w:lvlJc w:val="left"/>
      <w:rPr>
        <w:rFonts w:hint="eastAsia"/>
      </w:rPr>
    </w:lvl>
  </w:abstractNum>
  <w:abstractNum w:abstractNumId="4">
    <w:nsid w:val="26007FCA"/>
    <w:multiLevelType w:val="multilevel"/>
    <w:tmpl w:val="26007FCA"/>
    <w:lvl w:ilvl="0" w:tentative="0">
      <w:start w:val="1"/>
      <w:numFmt w:val="decimal"/>
      <w:pStyle w:val="4"/>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pStyle w:val="7"/>
      <w:lvlText w:val="%1.%2.%3.%4"/>
      <w:lvlJc w:val="left"/>
      <w:pPr>
        <w:tabs>
          <w:tab w:val="left" w:pos="1440"/>
        </w:tabs>
        <w:ind w:left="1000" w:hanging="1000"/>
      </w:pPr>
      <w:rPr>
        <w:rFonts w:hint="eastAsia"/>
      </w:rPr>
    </w:lvl>
    <w:lvl w:ilvl="4" w:tentative="0">
      <w:start w:val="1"/>
      <w:numFmt w:val="decimal"/>
      <w:pStyle w:val="9"/>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5">
    <w:nsid w:val="3CCB50A5"/>
    <w:multiLevelType w:val="singleLevel"/>
    <w:tmpl w:val="3CCB50A5"/>
    <w:lvl w:ilvl="0" w:tentative="0">
      <w:start w:val="1"/>
      <w:numFmt w:val="decimal"/>
      <w:suff w:val="nothing"/>
      <w:lvlText w:val="%1、"/>
      <w:lvlJc w:val="left"/>
    </w:lvl>
  </w:abstractNum>
  <w:abstractNum w:abstractNumId="6">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evenAndOddHeaders w:val="1"/>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jNkMTZlOWM2MTdjMjI3ZDQyMDcwMzJhMTRmODkifQ=="/>
  </w:docVars>
  <w:rsids>
    <w:rsidRoot w:val="00FE7518"/>
    <w:rsid w:val="00000BCE"/>
    <w:rsid w:val="00001535"/>
    <w:rsid w:val="00001A16"/>
    <w:rsid w:val="0000209F"/>
    <w:rsid w:val="00003778"/>
    <w:rsid w:val="00003978"/>
    <w:rsid w:val="00004015"/>
    <w:rsid w:val="000049D8"/>
    <w:rsid w:val="0000568B"/>
    <w:rsid w:val="00005B61"/>
    <w:rsid w:val="00012A31"/>
    <w:rsid w:val="00012FA4"/>
    <w:rsid w:val="00013662"/>
    <w:rsid w:val="00014581"/>
    <w:rsid w:val="00015CE6"/>
    <w:rsid w:val="000205DC"/>
    <w:rsid w:val="0002452D"/>
    <w:rsid w:val="00024F68"/>
    <w:rsid w:val="0002712D"/>
    <w:rsid w:val="000341BE"/>
    <w:rsid w:val="00034BC1"/>
    <w:rsid w:val="00037660"/>
    <w:rsid w:val="0003787E"/>
    <w:rsid w:val="00037C16"/>
    <w:rsid w:val="00037CA9"/>
    <w:rsid w:val="00040739"/>
    <w:rsid w:val="00041953"/>
    <w:rsid w:val="00042F04"/>
    <w:rsid w:val="0004308D"/>
    <w:rsid w:val="00043911"/>
    <w:rsid w:val="000442AB"/>
    <w:rsid w:val="000447FA"/>
    <w:rsid w:val="00044D10"/>
    <w:rsid w:val="00045483"/>
    <w:rsid w:val="00045FF4"/>
    <w:rsid w:val="000509D7"/>
    <w:rsid w:val="000523CA"/>
    <w:rsid w:val="0005318F"/>
    <w:rsid w:val="00054CFD"/>
    <w:rsid w:val="0005616E"/>
    <w:rsid w:val="00056503"/>
    <w:rsid w:val="000574CB"/>
    <w:rsid w:val="00060797"/>
    <w:rsid w:val="00060C76"/>
    <w:rsid w:val="0006187C"/>
    <w:rsid w:val="00061CA7"/>
    <w:rsid w:val="00062BBF"/>
    <w:rsid w:val="00062E8C"/>
    <w:rsid w:val="00065550"/>
    <w:rsid w:val="000660DB"/>
    <w:rsid w:val="000665DB"/>
    <w:rsid w:val="0006708D"/>
    <w:rsid w:val="00067277"/>
    <w:rsid w:val="00070FC1"/>
    <w:rsid w:val="00072106"/>
    <w:rsid w:val="00072A5C"/>
    <w:rsid w:val="00072B89"/>
    <w:rsid w:val="00073266"/>
    <w:rsid w:val="000733E7"/>
    <w:rsid w:val="00073B1B"/>
    <w:rsid w:val="00074597"/>
    <w:rsid w:val="00076D91"/>
    <w:rsid w:val="000779CA"/>
    <w:rsid w:val="000800E7"/>
    <w:rsid w:val="00081907"/>
    <w:rsid w:val="0008309A"/>
    <w:rsid w:val="00084975"/>
    <w:rsid w:val="0008539C"/>
    <w:rsid w:val="00086937"/>
    <w:rsid w:val="0008745B"/>
    <w:rsid w:val="00087A70"/>
    <w:rsid w:val="0009096E"/>
    <w:rsid w:val="00090B45"/>
    <w:rsid w:val="0009165F"/>
    <w:rsid w:val="00091C24"/>
    <w:rsid w:val="000928C0"/>
    <w:rsid w:val="000938FD"/>
    <w:rsid w:val="00095895"/>
    <w:rsid w:val="00095AEA"/>
    <w:rsid w:val="00096907"/>
    <w:rsid w:val="000973A2"/>
    <w:rsid w:val="000975BF"/>
    <w:rsid w:val="000A0CFB"/>
    <w:rsid w:val="000A1751"/>
    <w:rsid w:val="000A3160"/>
    <w:rsid w:val="000A3A39"/>
    <w:rsid w:val="000A3FE5"/>
    <w:rsid w:val="000A40A8"/>
    <w:rsid w:val="000A4281"/>
    <w:rsid w:val="000A4D72"/>
    <w:rsid w:val="000A66A3"/>
    <w:rsid w:val="000B1B62"/>
    <w:rsid w:val="000B22B1"/>
    <w:rsid w:val="000B281D"/>
    <w:rsid w:val="000B50BB"/>
    <w:rsid w:val="000B5268"/>
    <w:rsid w:val="000B6727"/>
    <w:rsid w:val="000B7046"/>
    <w:rsid w:val="000C1455"/>
    <w:rsid w:val="000C1EAB"/>
    <w:rsid w:val="000C1F34"/>
    <w:rsid w:val="000C2552"/>
    <w:rsid w:val="000C3CC7"/>
    <w:rsid w:val="000C4465"/>
    <w:rsid w:val="000C5F54"/>
    <w:rsid w:val="000C643F"/>
    <w:rsid w:val="000C64F4"/>
    <w:rsid w:val="000D0681"/>
    <w:rsid w:val="000D2A91"/>
    <w:rsid w:val="000D41E7"/>
    <w:rsid w:val="000D6163"/>
    <w:rsid w:val="000D67E1"/>
    <w:rsid w:val="000E09F8"/>
    <w:rsid w:val="000E0DDD"/>
    <w:rsid w:val="000E0E8B"/>
    <w:rsid w:val="000E2084"/>
    <w:rsid w:val="000E2510"/>
    <w:rsid w:val="000E2B46"/>
    <w:rsid w:val="000E351D"/>
    <w:rsid w:val="000E4B1F"/>
    <w:rsid w:val="000E4D5C"/>
    <w:rsid w:val="000E50C5"/>
    <w:rsid w:val="000E71D1"/>
    <w:rsid w:val="000E7AF6"/>
    <w:rsid w:val="000F36A2"/>
    <w:rsid w:val="000F39B6"/>
    <w:rsid w:val="000F3DBE"/>
    <w:rsid w:val="000F3FEF"/>
    <w:rsid w:val="000F64E5"/>
    <w:rsid w:val="000F70E4"/>
    <w:rsid w:val="000F7379"/>
    <w:rsid w:val="000F7B24"/>
    <w:rsid w:val="00100AD4"/>
    <w:rsid w:val="00102B0D"/>
    <w:rsid w:val="0010338D"/>
    <w:rsid w:val="00104387"/>
    <w:rsid w:val="00104DF3"/>
    <w:rsid w:val="00104F29"/>
    <w:rsid w:val="0010682E"/>
    <w:rsid w:val="001070D4"/>
    <w:rsid w:val="00110097"/>
    <w:rsid w:val="001102EF"/>
    <w:rsid w:val="0011156A"/>
    <w:rsid w:val="00111649"/>
    <w:rsid w:val="0011198F"/>
    <w:rsid w:val="0011209E"/>
    <w:rsid w:val="0011243F"/>
    <w:rsid w:val="0011309B"/>
    <w:rsid w:val="00113F34"/>
    <w:rsid w:val="001141EC"/>
    <w:rsid w:val="001143F2"/>
    <w:rsid w:val="00120AAB"/>
    <w:rsid w:val="001223E4"/>
    <w:rsid w:val="00122644"/>
    <w:rsid w:val="00124D66"/>
    <w:rsid w:val="00126147"/>
    <w:rsid w:val="00126DC1"/>
    <w:rsid w:val="00127776"/>
    <w:rsid w:val="00131CD7"/>
    <w:rsid w:val="00132B6D"/>
    <w:rsid w:val="001339BE"/>
    <w:rsid w:val="001340D4"/>
    <w:rsid w:val="0013434C"/>
    <w:rsid w:val="00134ED2"/>
    <w:rsid w:val="00136E35"/>
    <w:rsid w:val="00136E81"/>
    <w:rsid w:val="00137AAD"/>
    <w:rsid w:val="00140393"/>
    <w:rsid w:val="001404E7"/>
    <w:rsid w:val="00140EAB"/>
    <w:rsid w:val="00141245"/>
    <w:rsid w:val="00143D08"/>
    <w:rsid w:val="001442A0"/>
    <w:rsid w:val="0014454E"/>
    <w:rsid w:val="0014548C"/>
    <w:rsid w:val="001456F6"/>
    <w:rsid w:val="001464A4"/>
    <w:rsid w:val="00146A90"/>
    <w:rsid w:val="00146E5E"/>
    <w:rsid w:val="00147070"/>
    <w:rsid w:val="00152000"/>
    <w:rsid w:val="0015304F"/>
    <w:rsid w:val="0015343A"/>
    <w:rsid w:val="0015493E"/>
    <w:rsid w:val="001555A1"/>
    <w:rsid w:val="00155A2F"/>
    <w:rsid w:val="00155ED1"/>
    <w:rsid w:val="001566CF"/>
    <w:rsid w:val="00157C61"/>
    <w:rsid w:val="00157CB4"/>
    <w:rsid w:val="001601A5"/>
    <w:rsid w:val="00160981"/>
    <w:rsid w:val="001612FB"/>
    <w:rsid w:val="00162489"/>
    <w:rsid w:val="0016301D"/>
    <w:rsid w:val="00165080"/>
    <w:rsid w:val="00166FCF"/>
    <w:rsid w:val="00167FA0"/>
    <w:rsid w:val="00170EEF"/>
    <w:rsid w:val="0017111C"/>
    <w:rsid w:val="00171C34"/>
    <w:rsid w:val="00172883"/>
    <w:rsid w:val="001736B7"/>
    <w:rsid w:val="00173ADF"/>
    <w:rsid w:val="001744BB"/>
    <w:rsid w:val="00174C4A"/>
    <w:rsid w:val="00177522"/>
    <w:rsid w:val="001777E1"/>
    <w:rsid w:val="001804D0"/>
    <w:rsid w:val="00181589"/>
    <w:rsid w:val="0018213F"/>
    <w:rsid w:val="00182575"/>
    <w:rsid w:val="001837B7"/>
    <w:rsid w:val="0018414B"/>
    <w:rsid w:val="0018426D"/>
    <w:rsid w:val="00184978"/>
    <w:rsid w:val="00185D4F"/>
    <w:rsid w:val="00194154"/>
    <w:rsid w:val="001943C4"/>
    <w:rsid w:val="00195185"/>
    <w:rsid w:val="001965B1"/>
    <w:rsid w:val="001A1F7B"/>
    <w:rsid w:val="001A20B6"/>
    <w:rsid w:val="001A39B2"/>
    <w:rsid w:val="001A3DFA"/>
    <w:rsid w:val="001A5CC7"/>
    <w:rsid w:val="001A7CE4"/>
    <w:rsid w:val="001B0053"/>
    <w:rsid w:val="001B03FE"/>
    <w:rsid w:val="001B0AC3"/>
    <w:rsid w:val="001B14EC"/>
    <w:rsid w:val="001B2DE1"/>
    <w:rsid w:val="001B422C"/>
    <w:rsid w:val="001B495D"/>
    <w:rsid w:val="001B5B8D"/>
    <w:rsid w:val="001B610C"/>
    <w:rsid w:val="001B7362"/>
    <w:rsid w:val="001B736E"/>
    <w:rsid w:val="001B7A64"/>
    <w:rsid w:val="001C0E06"/>
    <w:rsid w:val="001C1A9C"/>
    <w:rsid w:val="001C26B3"/>
    <w:rsid w:val="001C3149"/>
    <w:rsid w:val="001C39E6"/>
    <w:rsid w:val="001C4D4D"/>
    <w:rsid w:val="001C5815"/>
    <w:rsid w:val="001C6306"/>
    <w:rsid w:val="001D132A"/>
    <w:rsid w:val="001D28BF"/>
    <w:rsid w:val="001D30D4"/>
    <w:rsid w:val="001D3362"/>
    <w:rsid w:val="001D37C4"/>
    <w:rsid w:val="001D4315"/>
    <w:rsid w:val="001D6EBA"/>
    <w:rsid w:val="001D7DC4"/>
    <w:rsid w:val="001E07BA"/>
    <w:rsid w:val="001E18C6"/>
    <w:rsid w:val="001E1B9A"/>
    <w:rsid w:val="001E1DFB"/>
    <w:rsid w:val="001E2AEC"/>
    <w:rsid w:val="001E3CC8"/>
    <w:rsid w:val="001E40F4"/>
    <w:rsid w:val="001E45B4"/>
    <w:rsid w:val="001E57DA"/>
    <w:rsid w:val="001E5BD9"/>
    <w:rsid w:val="001E5EEC"/>
    <w:rsid w:val="001E72A1"/>
    <w:rsid w:val="001E7AC3"/>
    <w:rsid w:val="001E7EE7"/>
    <w:rsid w:val="001F0267"/>
    <w:rsid w:val="001F0F29"/>
    <w:rsid w:val="001F1ACC"/>
    <w:rsid w:val="001F1AE1"/>
    <w:rsid w:val="001F1B08"/>
    <w:rsid w:val="001F1DF5"/>
    <w:rsid w:val="001F274C"/>
    <w:rsid w:val="001F3E0A"/>
    <w:rsid w:val="001F49B9"/>
    <w:rsid w:val="001F5975"/>
    <w:rsid w:val="001F74B4"/>
    <w:rsid w:val="001F783E"/>
    <w:rsid w:val="00200C8D"/>
    <w:rsid w:val="002021CC"/>
    <w:rsid w:val="002063E8"/>
    <w:rsid w:val="00207FAA"/>
    <w:rsid w:val="00210D0A"/>
    <w:rsid w:val="00210D78"/>
    <w:rsid w:val="00212D19"/>
    <w:rsid w:val="0021382F"/>
    <w:rsid w:val="00213FD3"/>
    <w:rsid w:val="00213FED"/>
    <w:rsid w:val="00215208"/>
    <w:rsid w:val="0021529B"/>
    <w:rsid w:val="002158C1"/>
    <w:rsid w:val="00216D28"/>
    <w:rsid w:val="00217010"/>
    <w:rsid w:val="0021795A"/>
    <w:rsid w:val="0021797D"/>
    <w:rsid w:val="002204F0"/>
    <w:rsid w:val="00222D3D"/>
    <w:rsid w:val="002255D6"/>
    <w:rsid w:val="0023238C"/>
    <w:rsid w:val="00234DFD"/>
    <w:rsid w:val="002354CC"/>
    <w:rsid w:val="00235573"/>
    <w:rsid w:val="002356C8"/>
    <w:rsid w:val="00235EF8"/>
    <w:rsid w:val="002373B4"/>
    <w:rsid w:val="00237445"/>
    <w:rsid w:val="00240C56"/>
    <w:rsid w:val="00240D14"/>
    <w:rsid w:val="002410B8"/>
    <w:rsid w:val="00242A67"/>
    <w:rsid w:val="00242C39"/>
    <w:rsid w:val="00243B80"/>
    <w:rsid w:val="00244D8B"/>
    <w:rsid w:val="00244FD2"/>
    <w:rsid w:val="002450C9"/>
    <w:rsid w:val="00245522"/>
    <w:rsid w:val="002471F3"/>
    <w:rsid w:val="00247FBD"/>
    <w:rsid w:val="0025002F"/>
    <w:rsid w:val="00250440"/>
    <w:rsid w:val="00251121"/>
    <w:rsid w:val="00251200"/>
    <w:rsid w:val="002521CD"/>
    <w:rsid w:val="00252652"/>
    <w:rsid w:val="002533A1"/>
    <w:rsid w:val="00253D1A"/>
    <w:rsid w:val="0025655F"/>
    <w:rsid w:val="002567B2"/>
    <w:rsid w:val="0025700A"/>
    <w:rsid w:val="002606D4"/>
    <w:rsid w:val="00262173"/>
    <w:rsid w:val="0026228F"/>
    <w:rsid w:val="00262DA7"/>
    <w:rsid w:val="0026398B"/>
    <w:rsid w:val="00265C39"/>
    <w:rsid w:val="00265D80"/>
    <w:rsid w:val="00267DBD"/>
    <w:rsid w:val="00270475"/>
    <w:rsid w:val="002722D7"/>
    <w:rsid w:val="0027383A"/>
    <w:rsid w:val="00273DC9"/>
    <w:rsid w:val="002750AA"/>
    <w:rsid w:val="00282C68"/>
    <w:rsid w:val="00284276"/>
    <w:rsid w:val="002843D5"/>
    <w:rsid w:val="002848B8"/>
    <w:rsid w:val="00284B0D"/>
    <w:rsid w:val="00286849"/>
    <w:rsid w:val="0028788F"/>
    <w:rsid w:val="0029125C"/>
    <w:rsid w:val="0029206C"/>
    <w:rsid w:val="00293027"/>
    <w:rsid w:val="00293274"/>
    <w:rsid w:val="00293EBE"/>
    <w:rsid w:val="00293F29"/>
    <w:rsid w:val="002940D9"/>
    <w:rsid w:val="0029506B"/>
    <w:rsid w:val="0029547E"/>
    <w:rsid w:val="00295F93"/>
    <w:rsid w:val="002A0357"/>
    <w:rsid w:val="002A23FE"/>
    <w:rsid w:val="002A2F17"/>
    <w:rsid w:val="002A4D0C"/>
    <w:rsid w:val="002A616D"/>
    <w:rsid w:val="002A6F6E"/>
    <w:rsid w:val="002A7AA0"/>
    <w:rsid w:val="002A7DEE"/>
    <w:rsid w:val="002B13F1"/>
    <w:rsid w:val="002B1ACC"/>
    <w:rsid w:val="002B1D47"/>
    <w:rsid w:val="002B1D4F"/>
    <w:rsid w:val="002B227D"/>
    <w:rsid w:val="002B22E5"/>
    <w:rsid w:val="002B3C1D"/>
    <w:rsid w:val="002B433A"/>
    <w:rsid w:val="002B5824"/>
    <w:rsid w:val="002B67DC"/>
    <w:rsid w:val="002C0234"/>
    <w:rsid w:val="002C0E4B"/>
    <w:rsid w:val="002C0F8B"/>
    <w:rsid w:val="002C3005"/>
    <w:rsid w:val="002C343B"/>
    <w:rsid w:val="002C3869"/>
    <w:rsid w:val="002C51D6"/>
    <w:rsid w:val="002C5BB3"/>
    <w:rsid w:val="002C5E94"/>
    <w:rsid w:val="002C731C"/>
    <w:rsid w:val="002C7B95"/>
    <w:rsid w:val="002D07FE"/>
    <w:rsid w:val="002D1823"/>
    <w:rsid w:val="002D3215"/>
    <w:rsid w:val="002D3B35"/>
    <w:rsid w:val="002D55E4"/>
    <w:rsid w:val="002D6894"/>
    <w:rsid w:val="002E0E77"/>
    <w:rsid w:val="002E1D1D"/>
    <w:rsid w:val="002E2534"/>
    <w:rsid w:val="002E3856"/>
    <w:rsid w:val="002E3FE3"/>
    <w:rsid w:val="002E5B29"/>
    <w:rsid w:val="002E6505"/>
    <w:rsid w:val="002F08BC"/>
    <w:rsid w:val="002F127C"/>
    <w:rsid w:val="002F1D52"/>
    <w:rsid w:val="002F581F"/>
    <w:rsid w:val="002F5FDD"/>
    <w:rsid w:val="003017DD"/>
    <w:rsid w:val="003019C3"/>
    <w:rsid w:val="0030291B"/>
    <w:rsid w:val="0030429E"/>
    <w:rsid w:val="00306667"/>
    <w:rsid w:val="00306BB2"/>
    <w:rsid w:val="003075BD"/>
    <w:rsid w:val="00310163"/>
    <w:rsid w:val="00310B53"/>
    <w:rsid w:val="00311034"/>
    <w:rsid w:val="00312F6F"/>
    <w:rsid w:val="003132F0"/>
    <w:rsid w:val="003138F8"/>
    <w:rsid w:val="00313906"/>
    <w:rsid w:val="00316026"/>
    <w:rsid w:val="00316F37"/>
    <w:rsid w:val="00320948"/>
    <w:rsid w:val="00320A0D"/>
    <w:rsid w:val="00321CBE"/>
    <w:rsid w:val="0032258C"/>
    <w:rsid w:val="00323A5A"/>
    <w:rsid w:val="0032412A"/>
    <w:rsid w:val="0032480A"/>
    <w:rsid w:val="00326D0C"/>
    <w:rsid w:val="003301BE"/>
    <w:rsid w:val="003307F8"/>
    <w:rsid w:val="00336BF9"/>
    <w:rsid w:val="003377FC"/>
    <w:rsid w:val="00337E3E"/>
    <w:rsid w:val="0034033F"/>
    <w:rsid w:val="003417FD"/>
    <w:rsid w:val="00341CB5"/>
    <w:rsid w:val="003423A0"/>
    <w:rsid w:val="00342955"/>
    <w:rsid w:val="003461B2"/>
    <w:rsid w:val="00346AF4"/>
    <w:rsid w:val="00353807"/>
    <w:rsid w:val="00354489"/>
    <w:rsid w:val="0035706A"/>
    <w:rsid w:val="00357A93"/>
    <w:rsid w:val="00360CEA"/>
    <w:rsid w:val="0036286A"/>
    <w:rsid w:val="00362C7B"/>
    <w:rsid w:val="00364CEB"/>
    <w:rsid w:val="00366F52"/>
    <w:rsid w:val="00367865"/>
    <w:rsid w:val="003702A8"/>
    <w:rsid w:val="003717AA"/>
    <w:rsid w:val="00371C38"/>
    <w:rsid w:val="0037468B"/>
    <w:rsid w:val="00376750"/>
    <w:rsid w:val="00376AF8"/>
    <w:rsid w:val="0037776C"/>
    <w:rsid w:val="00380CD6"/>
    <w:rsid w:val="00383AE7"/>
    <w:rsid w:val="0038456D"/>
    <w:rsid w:val="00384BD9"/>
    <w:rsid w:val="003859ED"/>
    <w:rsid w:val="0038615C"/>
    <w:rsid w:val="00386828"/>
    <w:rsid w:val="0038758F"/>
    <w:rsid w:val="00393038"/>
    <w:rsid w:val="003930D7"/>
    <w:rsid w:val="00393204"/>
    <w:rsid w:val="00394B55"/>
    <w:rsid w:val="00394DAB"/>
    <w:rsid w:val="003957FC"/>
    <w:rsid w:val="0039582C"/>
    <w:rsid w:val="00395971"/>
    <w:rsid w:val="003963D6"/>
    <w:rsid w:val="003A1187"/>
    <w:rsid w:val="003A1FA3"/>
    <w:rsid w:val="003A30A9"/>
    <w:rsid w:val="003A3720"/>
    <w:rsid w:val="003A43B9"/>
    <w:rsid w:val="003A4626"/>
    <w:rsid w:val="003A6054"/>
    <w:rsid w:val="003A6D23"/>
    <w:rsid w:val="003A6FE3"/>
    <w:rsid w:val="003A7CCC"/>
    <w:rsid w:val="003B3A8E"/>
    <w:rsid w:val="003B47DA"/>
    <w:rsid w:val="003C05E2"/>
    <w:rsid w:val="003C0B1B"/>
    <w:rsid w:val="003C2649"/>
    <w:rsid w:val="003C29BA"/>
    <w:rsid w:val="003C6213"/>
    <w:rsid w:val="003C6352"/>
    <w:rsid w:val="003C7955"/>
    <w:rsid w:val="003D070B"/>
    <w:rsid w:val="003D1904"/>
    <w:rsid w:val="003D221B"/>
    <w:rsid w:val="003D2C01"/>
    <w:rsid w:val="003D31C7"/>
    <w:rsid w:val="003D4C81"/>
    <w:rsid w:val="003D5B02"/>
    <w:rsid w:val="003D5E95"/>
    <w:rsid w:val="003D6A34"/>
    <w:rsid w:val="003D6CCC"/>
    <w:rsid w:val="003D6ECC"/>
    <w:rsid w:val="003D7577"/>
    <w:rsid w:val="003E12DB"/>
    <w:rsid w:val="003E410A"/>
    <w:rsid w:val="003E5CE2"/>
    <w:rsid w:val="003E6758"/>
    <w:rsid w:val="003E6D3B"/>
    <w:rsid w:val="003E6E25"/>
    <w:rsid w:val="003E73C2"/>
    <w:rsid w:val="003F1591"/>
    <w:rsid w:val="003F1A1C"/>
    <w:rsid w:val="003F260E"/>
    <w:rsid w:val="003F28B7"/>
    <w:rsid w:val="003F55CD"/>
    <w:rsid w:val="003F64C4"/>
    <w:rsid w:val="00400AA5"/>
    <w:rsid w:val="004015C3"/>
    <w:rsid w:val="004028A4"/>
    <w:rsid w:val="00403119"/>
    <w:rsid w:val="00403329"/>
    <w:rsid w:val="004050F6"/>
    <w:rsid w:val="00406D56"/>
    <w:rsid w:val="00411403"/>
    <w:rsid w:val="004115A8"/>
    <w:rsid w:val="004133DB"/>
    <w:rsid w:val="004135DF"/>
    <w:rsid w:val="00413C57"/>
    <w:rsid w:val="0041403E"/>
    <w:rsid w:val="00414412"/>
    <w:rsid w:val="00416EF0"/>
    <w:rsid w:val="00417F0D"/>
    <w:rsid w:val="00420497"/>
    <w:rsid w:val="0042120A"/>
    <w:rsid w:val="004216A8"/>
    <w:rsid w:val="004217D2"/>
    <w:rsid w:val="0042345C"/>
    <w:rsid w:val="00423470"/>
    <w:rsid w:val="0042361D"/>
    <w:rsid w:val="00424BA0"/>
    <w:rsid w:val="004278C6"/>
    <w:rsid w:val="0043057C"/>
    <w:rsid w:val="00434763"/>
    <w:rsid w:val="00434FA0"/>
    <w:rsid w:val="00435802"/>
    <w:rsid w:val="00436216"/>
    <w:rsid w:val="00437191"/>
    <w:rsid w:val="004371E1"/>
    <w:rsid w:val="00440FD8"/>
    <w:rsid w:val="00441267"/>
    <w:rsid w:val="00441820"/>
    <w:rsid w:val="00441DDC"/>
    <w:rsid w:val="00442842"/>
    <w:rsid w:val="00443DB5"/>
    <w:rsid w:val="004477BA"/>
    <w:rsid w:val="00451582"/>
    <w:rsid w:val="004523D9"/>
    <w:rsid w:val="004523FC"/>
    <w:rsid w:val="00454BC3"/>
    <w:rsid w:val="00455A63"/>
    <w:rsid w:val="004619EF"/>
    <w:rsid w:val="004621D2"/>
    <w:rsid w:val="004633DC"/>
    <w:rsid w:val="00463DE2"/>
    <w:rsid w:val="00463FA6"/>
    <w:rsid w:val="00464353"/>
    <w:rsid w:val="00465B63"/>
    <w:rsid w:val="004668A5"/>
    <w:rsid w:val="004676DB"/>
    <w:rsid w:val="00470D76"/>
    <w:rsid w:val="00471192"/>
    <w:rsid w:val="0047227B"/>
    <w:rsid w:val="00472769"/>
    <w:rsid w:val="00481A67"/>
    <w:rsid w:val="00481EB8"/>
    <w:rsid w:val="0048202D"/>
    <w:rsid w:val="004830D2"/>
    <w:rsid w:val="00484BE8"/>
    <w:rsid w:val="004861D1"/>
    <w:rsid w:val="00487BD9"/>
    <w:rsid w:val="00492AED"/>
    <w:rsid w:val="00495780"/>
    <w:rsid w:val="00495CC0"/>
    <w:rsid w:val="00495EF7"/>
    <w:rsid w:val="004962A2"/>
    <w:rsid w:val="00496CA3"/>
    <w:rsid w:val="00496CD7"/>
    <w:rsid w:val="0049714D"/>
    <w:rsid w:val="00497C86"/>
    <w:rsid w:val="004A1746"/>
    <w:rsid w:val="004A3132"/>
    <w:rsid w:val="004A358F"/>
    <w:rsid w:val="004A3639"/>
    <w:rsid w:val="004A38A8"/>
    <w:rsid w:val="004A5A66"/>
    <w:rsid w:val="004A5D2E"/>
    <w:rsid w:val="004A5DD6"/>
    <w:rsid w:val="004A6ED4"/>
    <w:rsid w:val="004B0C5C"/>
    <w:rsid w:val="004B1232"/>
    <w:rsid w:val="004B19BB"/>
    <w:rsid w:val="004B1A2C"/>
    <w:rsid w:val="004B328B"/>
    <w:rsid w:val="004B4081"/>
    <w:rsid w:val="004B4B7D"/>
    <w:rsid w:val="004B4F5C"/>
    <w:rsid w:val="004B68F7"/>
    <w:rsid w:val="004B7911"/>
    <w:rsid w:val="004C1888"/>
    <w:rsid w:val="004C24B9"/>
    <w:rsid w:val="004C3990"/>
    <w:rsid w:val="004C6D91"/>
    <w:rsid w:val="004C7EBB"/>
    <w:rsid w:val="004D04B9"/>
    <w:rsid w:val="004D2913"/>
    <w:rsid w:val="004D2F25"/>
    <w:rsid w:val="004D56C8"/>
    <w:rsid w:val="004D5990"/>
    <w:rsid w:val="004D6E62"/>
    <w:rsid w:val="004D6F3E"/>
    <w:rsid w:val="004D701B"/>
    <w:rsid w:val="004E1BAF"/>
    <w:rsid w:val="004E1C16"/>
    <w:rsid w:val="004E208A"/>
    <w:rsid w:val="004E3092"/>
    <w:rsid w:val="004E36FA"/>
    <w:rsid w:val="004E37AD"/>
    <w:rsid w:val="004E4BAD"/>
    <w:rsid w:val="004E4D2B"/>
    <w:rsid w:val="004E4EA0"/>
    <w:rsid w:val="004E50F3"/>
    <w:rsid w:val="004E5EC0"/>
    <w:rsid w:val="004E75EA"/>
    <w:rsid w:val="004E7EE5"/>
    <w:rsid w:val="004F05F4"/>
    <w:rsid w:val="004F0804"/>
    <w:rsid w:val="004F1480"/>
    <w:rsid w:val="004F1AD6"/>
    <w:rsid w:val="004F20A6"/>
    <w:rsid w:val="004F24F7"/>
    <w:rsid w:val="004F2876"/>
    <w:rsid w:val="004F2D78"/>
    <w:rsid w:val="004F364D"/>
    <w:rsid w:val="004F38E2"/>
    <w:rsid w:val="004F6415"/>
    <w:rsid w:val="004F642D"/>
    <w:rsid w:val="004F769B"/>
    <w:rsid w:val="0050308C"/>
    <w:rsid w:val="005032F1"/>
    <w:rsid w:val="0050468D"/>
    <w:rsid w:val="00504B78"/>
    <w:rsid w:val="00504EA1"/>
    <w:rsid w:val="00505BBA"/>
    <w:rsid w:val="00510D9C"/>
    <w:rsid w:val="005122D6"/>
    <w:rsid w:val="0051264D"/>
    <w:rsid w:val="005128C0"/>
    <w:rsid w:val="00512AB7"/>
    <w:rsid w:val="00515059"/>
    <w:rsid w:val="00515811"/>
    <w:rsid w:val="005223A1"/>
    <w:rsid w:val="00526ADF"/>
    <w:rsid w:val="005304F7"/>
    <w:rsid w:val="005308D2"/>
    <w:rsid w:val="00531201"/>
    <w:rsid w:val="00531E7B"/>
    <w:rsid w:val="00532655"/>
    <w:rsid w:val="00533DF3"/>
    <w:rsid w:val="0053600F"/>
    <w:rsid w:val="0054079F"/>
    <w:rsid w:val="00540A74"/>
    <w:rsid w:val="00541D6F"/>
    <w:rsid w:val="00544D84"/>
    <w:rsid w:val="00545023"/>
    <w:rsid w:val="005458DB"/>
    <w:rsid w:val="005478CC"/>
    <w:rsid w:val="0055006E"/>
    <w:rsid w:val="00550BC7"/>
    <w:rsid w:val="00551E44"/>
    <w:rsid w:val="0055378E"/>
    <w:rsid w:val="00553C0E"/>
    <w:rsid w:val="0055483E"/>
    <w:rsid w:val="005576FF"/>
    <w:rsid w:val="005600E5"/>
    <w:rsid w:val="0056132E"/>
    <w:rsid w:val="005614CD"/>
    <w:rsid w:val="005619E0"/>
    <w:rsid w:val="005625C8"/>
    <w:rsid w:val="00562CE2"/>
    <w:rsid w:val="00563334"/>
    <w:rsid w:val="00563ED5"/>
    <w:rsid w:val="00566C47"/>
    <w:rsid w:val="00567059"/>
    <w:rsid w:val="0056725C"/>
    <w:rsid w:val="0057046A"/>
    <w:rsid w:val="00570566"/>
    <w:rsid w:val="00572910"/>
    <w:rsid w:val="00573487"/>
    <w:rsid w:val="005739E7"/>
    <w:rsid w:val="0057411D"/>
    <w:rsid w:val="00574CDD"/>
    <w:rsid w:val="00575DF1"/>
    <w:rsid w:val="0057690E"/>
    <w:rsid w:val="00577960"/>
    <w:rsid w:val="0058273C"/>
    <w:rsid w:val="00582B99"/>
    <w:rsid w:val="005840E3"/>
    <w:rsid w:val="00584B51"/>
    <w:rsid w:val="00584F59"/>
    <w:rsid w:val="005857A8"/>
    <w:rsid w:val="00585B14"/>
    <w:rsid w:val="00585C57"/>
    <w:rsid w:val="00585FA6"/>
    <w:rsid w:val="00586AA9"/>
    <w:rsid w:val="00590A34"/>
    <w:rsid w:val="00591B45"/>
    <w:rsid w:val="0059259A"/>
    <w:rsid w:val="00595032"/>
    <w:rsid w:val="005956AA"/>
    <w:rsid w:val="0059794B"/>
    <w:rsid w:val="005A1AB5"/>
    <w:rsid w:val="005A1FAF"/>
    <w:rsid w:val="005A236F"/>
    <w:rsid w:val="005A3036"/>
    <w:rsid w:val="005A3547"/>
    <w:rsid w:val="005A3F43"/>
    <w:rsid w:val="005A6D75"/>
    <w:rsid w:val="005B3741"/>
    <w:rsid w:val="005B4604"/>
    <w:rsid w:val="005B5CC9"/>
    <w:rsid w:val="005C1902"/>
    <w:rsid w:val="005C195F"/>
    <w:rsid w:val="005C1F25"/>
    <w:rsid w:val="005C1F45"/>
    <w:rsid w:val="005C2639"/>
    <w:rsid w:val="005C2CF8"/>
    <w:rsid w:val="005C40CB"/>
    <w:rsid w:val="005C444B"/>
    <w:rsid w:val="005C4C2A"/>
    <w:rsid w:val="005C5AE1"/>
    <w:rsid w:val="005C5E7C"/>
    <w:rsid w:val="005C7046"/>
    <w:rsid w:val="005D0354"/>
    <w:rsid w:val="005D1395"/>
    <w:rsid w:val="005D17B6"/>
    <w:rsid w:val="005D3157"/>
    <w:rsid w:val="005D4805"/>
    <w:rsid w:val="005D5ABE"/>
    <w:rsid w:val="005D5F25"/>
    <w:rsid w:val="005E1024"/>
    <w:rsid w:val="005E2808"/>
    <w:rsid w:val="005E2D4F"/>
    <w:rsid w:val="005E3AF5"/>
    <w:rsid w:val="005E3E67"/>
    <w:rsid w:val="005E6542"/>
    <w:rsid w:val="005E6AE4"/>
    <w:rsid w:val="005E7729"/>
    <w:rsid w:val="005E7AE8"/>
    <w:rsid w:val="005F0360"/>
    <w:rsid w:val="005F0583"/>
    <w:rsid w:val="005F0A3E"/>
    <w:rsid w:val="005F1A1E"/>
    <w:rsid w:val="005F1D73"/>
    <w:rsid w:val="005F3E96"/>
    <w:rsid w:val="005F4552"/>
    <w:rsid w:val="005F51FF"/>
    <w:rsid w:val="005F7749"/>
    <w:rsid w:val="005F7CFE"/>
    <w:rsid w:val="00600EB7"/>
    <w:rsid w:val="006037AE"/>
    <w:rsid w:val="00605593"/>
    <w:rsid w:val="00606684"/>
    <w:rsid w:val="00607E7C"/>
    <w:rsid w:val="00610344"/>
    <w:rsid w:val="00611F5C"/>
    <w:rsid w:val="00615A5E"/>
    <w:rsid w:val="0061637B"/>
    <w:rsid w:val="006175C3"/>
    <w:rsid w:val="00621CD3"/>
    <w:rsid w:val="00622125"/>
    <w:rsid w:val="00622517"/>
    <w:rsid w:val="00623025"/>
    <w:rsid w:val="00632C6D"/>
    <w:rsid w:val="00633C4E"/>
    <w:rsid w:val="00635C6D"/>
    <w:rsid w:val="00635F94"/>
    <w:rsid w:val="00636299"/>
    <w:rsid w:val="00636F53"/>
    <w:rsid w:val="006372A0"/>
    <w:rsid w:val="00637ADF"/>
    <w:rsid w:val="00637D9C"/>
    <w:rsid w:val="00640309"/>
    <w:rsid w:val="00640DF7"/>
    <w:rsid w:val="00641781"/>
    <w:rsid w:val="00642EE7"/>
    <w:rsid w:val="006438FE"/>
    <w:rsid w:val="006455AE"/>
    <w:rsid w:val="00645953"/>
    <w:rsid w:val="00646167"/>
    <w:rsid w:val="0065072A"/>
    <w:rsid w:val="006539C8"/>
    <w:rsid w:val="00653DDD"/>
    <w:rsid w:val="0065491A"/>
    <w:rsid w:val="00656E51"/>
    <w:rsid w:val="00657D6C"/>
    <w:rsid w:val="006621D1"/>
    <w:rsid w:val="006626EF"/>
    <w:rsid w:val="0066492D"/>
    <w:rsid w:val="00664A55"/>
    <w:rsid w:val="00670F0D"/>
    <w:rsid w:val="00671409"/>
    <w:rsid w:val="00671F39"/>
    <w:rsid w:val="006733DC"/>
    <w:rsid w:val="00674A7E"/>
    <w:rsid w:val="00674C91"/>
    <w:rsid w:val="00674D1D"/>
    <w:rsid w:val="00674DA5"/>
    <w:rsid w:val="00674F6A"/>
    <w:rsid w:val="00677213"/>
    <w:rsid w:val="006802F6"/>
    <w:rsid w:val="00680598"/>
    <w:rsid w:val="00680C3D"/>
    <w:rsid w:val="00682388"/>
    <w:rsid w:val="00682A25"/>
    <w:rsid w:val="00683040"/>
    <w:rsid w:val="0068371D"/>
    <w:rsid w:val="00684BDF"/>
    <w:rsid w:val="006854EE"/>
    <w:rsid w:val="00686DED"/>
    <w:rsid w:val="00687EA8"/>
    <w:rsid w:val="00690653"/>
    <w:rsid w:val="00691EFB"/>
    <w:rsid w:val="006935CA"/>
    <w:rsid w:val="0069360F"/>
    <w:rsid w:val="0069401B"/>
    <w:rsid w:val="00694BDB"/>
    <w:rsid w:val="00697C83"/>
    <w:rsid w:val="006A0269"/>
    <w:rsid w:val="006A08A0"/>
    <w:rsid w:val="006A1912"/>
    <w:rsid w:val="006A1944"/>
    <w:rsid w:val="006A2AC8"/>
    <w:rsid w:val="006A41DE"/>
    <w:rsid w:val="006A51EA"/>
    <w:rsid w:val="006A5A14"/>
    <w:rsid w:val="006A5C4F"/>
    <w:rsid w:val="006A6A94"/>
    <w:rsid w:val="006A7C5A"/>
    <w:rsid w:val="006B053C"/>
    <w:rsid w:val="006B08CB"/>
    <w:rsid w:val="006B1BC7"/>
    <w:rsid w:val="006B1E08"/>
    <w:rsid w:val="006B2DBA"/>
    <w:rsid w:val="006B43B1"/>
    <w:rsid w:val="006B448A"/>
    <w:rsid w:val="006B5260"/>
    <w:rsid w:val="006B5B79"/>
    <w:rsid w:val="006B5F99"/>
    <w:rsid w:val="006B64B2"/>
    <w:rsid w:val="006B7973"/>
    <w:rsid w:val="006B7DB3"/>
    <w:rsid w:val="006C1F25"/>
    <w:rsid w:val="006C2683"/>
    <w:rsid w:val="006C2803"/>
    <w:rsid w:val="006C2D84"/>
    <w:rsid w:val="006C30AF"/>
    <w:rsid w:val="006C3EDE"/>
    <w:rsid w:val="006C5C72"/>
    <w:rsid w:val="006C61BB"/>
    <w:rsid w:val="006D057D"/>
    <w:rsid w:val="006D12AD"/>
    <w:rsid w:val="006D1682"/>
    <w:rsid w:val="006D172B"/>
    <w:rsid w:val="006D1B8B"/>
    <w:rsid w:val="006D2B3F"/>
    <w:rsid w:val="006D3E6E"/>
    <w:rsid w:val="006D4108"/>
    <w:rsid w:val="006D47E8"/>
    <w:rsid w:val="006D7E50"/>
    <w:rsid w:val="006E00BA"/>
    <w:rsid w:val="006E0DFA"/>
    <w:rsid w:val="006E19E7"/>
    <w:rsid w:val="006E264F"/>
    <w:rsid w:val="006E28F4"/>
    <w:rsid w:val="006E3068"/>
    <w:rsid w:val="006E3B7C"/>
    <w:rsid w:val="006E753E"/>
    <w:rsid w:val="006F0C40"/>
    <w:rsid w:val="006F100E"/>
    <w:rsid w:val="006F3594"/>
    <w:rsid w:val="006F4486"/>
    <w:rsid w:val="006F65B4"/>
    <w:rsid w:val="006F6FDC"/>
    <w:rsid w:val="006F7BF9"/>
    <w:rsid w:val="007002B2"/>
    <w:rsid w:val="00700D01"/>
    <w:rsid w:val="00700FF4"/>
    <w:rsid w:val="00701C1E"/>
    <w:rsid w:val="00701C35"/>
    <w:rsid w:val="007020B0"/>
    <w:rsid w:val="00704784"/>
    <w:rsid w:val="0070552B"/>
    <w:rsid w:val="00705BAA"/>
    <w:rsid w:val="00706D35"/>
    <w:rsid w:val="00707910"/>
    <w:rsid w:val="00710A5E"/>
    <w:rsid w:val="00712209"/>
    <w:rsid w:val="007122EB"/>
    <w:rsid w:val="00712F9D"/>
    <w:rsid w:val="0071368A"/>
    <w:rsid w:val="00713932"/>
    <w:rsid w:val="007148C2"/>
    <w:rsid w:val="007168FF"/>
    <w:rsid w:val="00716A48"/>
    <w:rsid w:val="00720C10"/>
    <w:rsid w:val="00721CA7"/>
    <w:rsid w:val="007244B3"/>
    <w:rsid w:val="007313DE"/>
    <w:rsid w:val="00732897"/>
    <w:rsid w:val="0073504A"/>
    <w:rsid w:val="00735117"/>
    <w:rsid w:val="00736598"/>
    <w:rsid w:val="0073705C"/>
    <w:rsid w:val="00737BFE"/>
    <w:rsid w:val="0074117B"/>
    <w:rsid w:val="00742056"/>
    <w:rsid w:val="007429EB"/>
    <w:rsid w:val="00743078"/>
    <w:rsid w:val="00745CC7"/>
    <w:rsid w:val="007461A2"/>
    <w:rsid w:val="0074692D"/>
    <w:rsid w:val="007519DC"/>
    <w:rsid w:val="00752732"/>
    <w:rsid w:val="00752D82"/>
    <w:rsid w:val="00753082"/>
    <w:rsid w:val="00753CB5"/>
    <w:rsid w:val="00754384"/>
    <w:rsid w:val="007555AA"/>
    <w:rsid w:val="00756DE1"/>
    <w:rsid w:val="00756E01"/>
    <w:rsid w:val="00757AE6"/>
    <w:rsid w:val="00762EE1"/>
    <w:rsid w:val="00763422"/>
    <w:rsid w:val="00765AE4"/>
    <w:rsid w:val="0077012E"/>
    <w:rsid w:val="007722B4"/>
    <w:rsid w:val="00776FA1"/>
    <w:rsid w:val="00777917"/>
    <w:rsid w:val="007836AF"/>
    <w:rsid w:val="00783A80"/>
    <w:rsid w:val="007853A1"/>
    <w:rsid w:val="007869B2"/>
    <w:rsid w:val="007872EB"/>
    <w:rsid w:val="00787385"/>
    <w:rsid w:val="00791293"/>
    <w:rsid w:val="00791B5E"/>
    <w:rsid w:val="00791C55"/>
    <w:rsid w:val="00792716"/>
    <w:rsid w:val="00792A05"/>
    <w:rsid w:val="00792E8F"/>
    <w:rsid w:val="00794CBA"/>
    <w:rsid w:val="00795319"/>
    <w:rsid w:val="00796283"/>
    <w:rsid w:val="00796AD3"/>
    <w:rsid w:val="00797E72"/>
    <w:rsid w:val="007A0A17"/>
    <w:rsid w:val="007A0AAB"/>
    <w:rsid w:val="007A2184"/>
    <w:rsid w:val="007A3023"/>
    <w:rsid w:val="007A4EA1"/>
    <w:rsid w:val="007A5FFF"/>
    <w:rsid w:val="007A64FB"/>
    <w:rsid w:val="007A6B14"/>
    <w:rsid w:val="007B0249"/>
    <w:rsid w:val="007B0573"/>
    <w:rsid w:val="007B2389"/>
    <w:rsid w:val="007B6C2D"/>
    <w:rsid w:val="007B7E01"/>
    <w:rsid w:val="007C2306"/>
    <w:rsid w:val="007C3A84"/>
    <w:rsid w:val="007C4024"/>
    <w:rsid w:val="007C55BA"/>
    <w:rsid w:val="007C5AC6"/>
    <w:rsid w:val="007C5D11"/>
    <w:rsid w:val="007C7088"/>
    <w:rsid w:val="007D06AA"/>
    <w:rsid w:val="007D266C"/>
    <w:rsid w:val="007D29A4"/>
    <w:rsid w:val="007D35A1"/>
    <w:rsid w:val="007D3F90"/>
    <w:rsid w:val="007E0AD7"/>
    <w:rsid w:val="007E159C"/>
    <w:rsid w:val="007E187D"/>
    <w:rsid w:val="007E2124"/>
    <w:rsid w:val="007E2A37"/>
    <w:rsid w:val="007E2B41"/>
    <w:rsid w:val="007E4627"/>
    <w:rsid w:val="007E73B8"/>
    <w:rsid w:val="007E7D4A"/>
    <w:rsid w:val="007F310B"/>
    <w:rsid w:val="007F36E1"/>
    <w:rsid w:val="007F4013"/>
    <w:rsid w:val="007F69EC"/>
    <w:rsid w:val="007F74DE"/>
    <w:rsid w:val="007F78C5"/>
    <w:rsid w:val="007F7E7E"/>
    <w:rsid w:val="0080380B"/>
    <w:rsid w:val="00803C09"/>
    <w:rsid w:val="00807971"/>
    <w:rsid w:val="0081225D"/>
    <w:rsid w:val="008157D3"/>
    <w:rsid w:val="00816AC0"/>
    <w:rsid w:val="00816C91"/>
    <w:rsid w:val="00820174"/>
    <w:rsid w:val="008203BE"/>
    <w:rsid w:val="008207C3"/>
    <w:rsid w:val="0082280A"/>
    <w:rsid w:val="00823366"/>
    <w:rsid w:val="0082482C"/>
    <w:rsid w:val="008257AA"/>
    <w:rsid w:val="00830116"/>
    <w:rsid w:val="00831899"/>
    <w:rsid w:val="00834133"/>
    <w:rsid w:val="00834D7B"/>
    <w:rsid w:val="008368A2"/>
    <w:rsid w:val="00836FA9"/>
    <w:rsid w:val="008415DF"/>
    <w:rsid w:val="00841AD3"/>
    <w:rsid w:val="00841C47"/>
    <w:rsid w:val="00842BF4"/>
    <w:rsid w:val="00843C98"/>
    <w:rsid w:val="0084422C"/>
    <w:rsid w:val="008446D8"/>
    <w:rsid w:val="008455BD"/>
    <w:rsid w:val="00845A02"/>
    <w:rsid w:val="00847A38"/>
    <w:rsid w:val="00852B1C"/>
    <w:rsid w:val="00853A11"/>
    <w:rsid w:val="00853DBA"/>
    <w:rsid w:val="00854E2D"/>
    <w:rsid w:val="0085539B"/>
    <w:rsid w:val="0086105D"/>
    <w:rsid w:val="00863082"/>
    <w:rsid w:val="008632F7"/>
    <w:rsid w:val="00864AA1"/>
    <w:rsid w:val="008667A6"/>
    <w:rsid w:val="008668AA"/>
    <w:rsid w:val="00867011"/>
    <w:rsid w:val="00867F93"/>
    <w:rsid w:val="00870481"/>
    <w:rsid w:val="00874EC9"/>
    <w:rsid w:val="00875211"/>
    <w:rsid w:val="00875F46"/>
    <w:rsid w:val="00876F1D"/>
    <w:rsid w:val="008815F0"/>
    <w:rsid w:val="0088316D"/>
    <w:rsid w:val="00883649"/>
    <w:rsid w:val="008837EA"/>
    <w:rsid w:val="00885A52"/>
    <w:rsid w:val="00887887"/>
    <w:rsid w:val="00890152"/>
    <w:rsid w:val="00890E83"/>
    <w:rsid w:val="008910F4"/>
    <w:rsid w:val="008916F9"/>
    <w:rsid w:val="00891E36"/>
    <w:rsid w:val="0089248D"/>
    <w:rsid w:val="00893739"/>
    <w:rsid w:val="00894050"/>
    <w:rsid w:val="008950E2"/>
    <w:rsid w:val="008A0203"/>
    <w:rsid w:val="008A33EC"/>
    <w:rsid w:val="008A37E8"/>
    <w:rsid w:val="008A3DF8"/>
    <w:rsid w:val="008A3FA4"/>
    <w:rsid w:val="008A55D9"/>
    <w:rsid w:val="008A7FCD"/>
    <w:rsid w:val="008B259E"/>
    <w:rsid w:val="008B2D90"/>
    <w:rsid w:val="008B4BA0"/>
    <w:rsid w:val="008B6C72"/>
    <w:rsid w:val="008B7270"/>
    <w:rsid w:val="008C04FE"/>
    <w:rsid w:val="008C34F0"/>
    <w:rsid w:val="008C3565"/>
    <w:rsid w:val="008C4984"/>
    <w:rsid w:val="008C63C7"/>
    <w:rsid w:val="008C6416"/>
    <w:rsid w:val="008C7553"/>
    <w:rsid w:val="008C765A"/>
    <w:rsid w:val="008C7C16"/>
    <w:rsid w:val="008D1ECF"/>
    <w:rsid w:val="008D2A90"/>
    <w:rsid w:val="008D336A"/>
    <w:rsid w:val="008D51BC"/>
    <w:rsid w:val="008D5327"/>
    <w:rsid w:val="008D6448"/>
    <w:rsid w:val="008D652F"/>
    <w:rsid w:val="008D6ABE"/>
    <w:rsid w:val="008D7E67"/>
    <w:rsid w:val="008E15B8"/>
    <w:rsid w:val="008E1B61"/>
    <w:rsid w:val="008E3B90"/>
    <w:rsid w:val="008E48D8"/>
    <w:rsid w:val="008E490E"/>
    <w:rsid w:val="008E5D49"/>
    <w:rsid w:val="008E7C06"/>
    <w:rsid w:val="008F17E2"/>
    <w:rsid w:val="008F1F24"/>
    <w:rsid w:val="008F2D56"/>
    <w:rsid w:val="008F4B33"/>
    <w:rsid w:val="008F5029"/>
    <w:rsid w:val="008F74DE"/>
    <w:rsid w:val="009017A9"/>
    <w:rsid w:val="00901FBA"/>
    <w:rsid w:val="00902066"/>
    <w:rsid w:val="00903432"/>
    <w:rsid w:val="00904827"/>
    <w:rsid w:val="00904E27"/>
    <w:rsid w:val="00904FDE"/>
    <w:rsid w:val="009079B5"/>
    <w:rsid w:val="00907CE9"/>
    <w:rsid w:val="0091357C"/>
    <w:rsid w:val="00913CA0"/>
    <w:rsid w:val="0091465E"/>
    <w:rsid w:val="00914947"/>
    <w:rsid w:val="009169C0"/>
    <w:rsid w:val="009176BC"/>
    <w:rsid w:val="009211CF"/>
    <w:rsid w:val="00921FED"/>
    <w:rsid w:val="009222FB"/>
    <w:rsid w:val="00922A5A"/>
    <w:rsid w:val="00924530"/>
    <w:rsid w:val="00925881"/>
    <w:rsid w:val="00930E61"/>
    <w:rsid w:val="009316DA"/>
    <w:rsid w:val="00931BE5"/>
    <w:rsid w:val="00931E05"/>
    <w:rsid w:val="009332DA"/>
    <w:rsid w:val="0093348D"/>
    <w:rsid w:val="0093406B"/>
    <w:rsid w:val="009340F3"/>
    <w:rsid w:val="00936D82"/>
    <w:rsid w:val="0093742D"/>
    <w:rsid w:val="00940F82"/>
    <w:rsid w:val="0094138F"/>
    <w:rsid w:val="0094175A"/>
    <w:rsid w:val="009420A4"/>
    <w:rsid w:val="00944B3C"/>
    <w:rsid w:val="009462A4"/>
    <w:rsid w:val="00946C0D"/>
    <w:rsid w:val="00946DA7"/>
    <w:rsid w:val="00946F14"/>
    <w:rsid w:val="009475AC"/>
    <w:rsid w:val="00950243"/>
    <w:rsid w:val="00950B25"/>
    <w:rsid w:val="00951C4D"/>
    <w:rsid w:val="00954021"/>
    <w:rsid w:val="009542ED"/>
    <w:rsid w:val="0095435C"/>
    <w:rsid w:val="009557B6"/>
    <w:rsid w:val="00955C73"/>
    <w:rsid w:val="00956C31"/>
    <w:rsid w:val="009576F1"/>
    <w:rsid w:val="00957AD4"/>
    <w:rsid w:val="00960C8E"/>
    <w:rsid w:val="00963083"/>
    <w:rsid w:val="009640DF"/>
    <w:rsid w:val="00964739"/>
    <w:rsid w:val="00966595"/>
    <w:rsid w:val="009668A7"/>
    <w:rsid w:val="00966C92"/>
    <w:rsid w:val="0096785B"/>
    <w:rsid w:val="00970558"/>
    <w:rsid w:val="009717BD"/>
    <w:rsid w:val="00972A04"/>
    <w:rsid w:val="009730CA"/>
    <w:rsid w:val="00973A3A"/>
    <w:rsid w:val="00976350"/>
    <w:rsid w:val="00977058"/>
    <w:rsid w:val="00977553"/>
    <w:rsid w:val="00981E94"/>
    <w:rsid w:val="009836C0"/>
    <w:rsid w:val="00983FFE"/>
    <w:rsid w:val="00984DC9"/>
    <w:rsid w:val="00985432"/>
    <w:rsid w:val="0099321C"/>
    <w:rsid w:val="009945D7"/>
    <w:rsid w:val="00995465"/>
    <w:rsid w:val="009A03B0"/>
    <w:rsid w:val="009A07C4"/>
    <w:rsid w:val="009A15BC"/>
    <w:rsid w:val="009A4C47"/>
    <w:rsid w:val="009A4CAE"/>
    <w:rsid w:val="009A575B"/>
    <w:rsid w:val="009A6048"/>
    <w:rsid w:val="009A63A7"/>
    <w:rsid w:val="009A6520"/>
    <w:rsid w:val="009B12F3"/>
    <w:rsid w:val="009B486D"/>
    <w:rsid w:val="009B5329"/>
    <w:rsid w:val="009B5BEE"/>
    <w:rsid w:val="009B6A91"/>
    <w:rsid w:val="009B7CD2"/>
    <w:rsid w:val="009C1F85"/>
    <w:rsid w:val="009C2427"/>
    <w:rsid w:val="009C2F69"/>
    <w:rsid w:val="009C4547"/>
    <w:rsid w:val="009C4BA5"/>
    <w:rsid w:val="009C60F1"/>
    <w:rsid w:val="009C61A8"/>
    <w:rsid w:val="009D03AC"/>
    <w:rsid w:val="009D061C"/>
    <w:rsid w:val="009D062B"/>
    <w:rsid w:val="009D300C"/>
    <w:rsid w:val="009D477E"/>
    <w:rsid w:val="009D4787"/>
    <w:rsid w:val="009D5618"/>
    <w:rsid w:val="009D5988"/>
    <w:rsid w:val="009D5C9D"/>
    <w:rsid w:val="009D66B1"/>
    <w:rsid w:val="009D74CC"/>
    <w:rsid w:val="009E03CA"/>
    <w:rsid w:val="009E0FC2"/>
    <w:rsid w:val="009E13C0"/>
    <w:rsid w:val="009E3534"/>
    <w:rsid w:val="009E507A"/>
    <w:rsid w:val="009F0817"/>
    <w:rsid w:val="009F0A94"/>
    <w:rsid w:val="009F0F26"/>
    <w:rsid w:val="009F239A"/>
    <w:rsid w:val="009F2890"/>
    <w:rsid w:val="009F3111"/>
    <w:rsid w:val="009F39FC"/>
    <w:rsid w:val="009F3B39"/>
    <w:rsid w:val="009F41F1"/>
    <w:rsid w:val="009F4ADF"/>
    <w:rsid w:val="009F4D21"/>
    <w:rsid w:val="009F5880"/>
    <w:rsid w:val="009F5959"/>
    <w:rsid w:val="00A03827"/>
    <w:rsid w:val="00A04250"/>
    <w:rsid w:val="00A058FF"/>
    <w:rsid w:val="00A109C8"/>
    <w:rsid w:val="00A10F1D"/>
    <w:rsid w:val="00A11FE7"/>
    <w:rsid w:val="00A15EBA"/>
    <w:rsid w:val="00A160B1"/>
    <w:rsid w:val="00A160FD"/>
    <w:rsid w:val="00A16230"/>
    <w:rsid w:val="00A1647D"/>
    <w:rsid w:val="00A17A7B"/>
    <w:rsid w:val="00A17F23"/>
    <w:rsid w:val="00A21F15"/>
    <w:rsid w:val="00A22CDC"/>
    <w:rsid w:val="00A2320F"/>
    <w:rsid w:val="00A25179"/>
    <w:rsid w:val="00A25545"/>
    <w:rsid w:val="00A26235"/>
    <w:rsid w:val="00A27E42"/>
    <w:rsid w:val="00A31CB3"/>
    <w:rsid w:val="00A31E3F"/>
    <w:rsid w:val="00A331F2"/>
    <w:rsid w:val="00A33257"/>
    <w:rsid w:val="00A35B97"/>
    <w:rsid w:val="00A35CCE"/>
    <w:rsid w:val="00A36782"/>
    <w:rsid w:val="00A40110"/>
    <w:rsid w:val="00A4023A"/>
    <w:rsid w:val="00A413FD"/>
    <w:rsid w:val="00A4561A"/>
    <w:rsid w:val="00A4675D"/>
    <w:rsid w:val="00A4774B"/>
    <w:rsid w:val="00A47F2C"/>
    <w:rsid w:val="00A51A88"/>
    <w:rsid w:val="00A51C0A"/>
    <w:rsid w:val="00A5253A"/>
    <w:rsid w:val="00A53B2E"/>
    <w:rsid w:val="00A55292"/>
    <w:rsid w:val="00A55D32"/>
    <w:rsid w:val="00A56321"/>
    <w:rsid w:val="00A56494"/>
    <w:rsid w:val="00A565D4"/>
    <w:rsid w:val="00A569EE"/>
    <w:rsid w:val="00A57D15"/>
    <w:rsid w:val="00A57D65"/>
    <w:rsid w:val="00A609A8"/>
    <w:rsid w:val="00A61046"/>
    <w:rsid w:val="00A61293"/>
    <w:rsid w:val="00A62B00"/>
    <w:rsid w:val="00A64B90"/>
    <w:rsid w:val="00A6549B"/>
    <w:rsid w:val="00A6730B"/>
    <w:rsid w:val="00A67748"/>
    <w:rsid w:val="00A67B8F"/>
    <w:rsid w:val="00A67E00"/>
    <w:rsid w:val="00A7320C"/>
    <w:rsid w:val="00A7593B"/>
    <w:rsid w:val="00A7664C"/>
    <w:rsid w:val="00A77393"/>
    <w:rsid w:val="00A80462"/>
    <w:rsid w:val="00A80B49"/>
    <w:rsid w:val="00A821EB"/>
    <w:rsid w:val="00A82345"/>
    <w:rsid w:val="00A82368"/>
    <w:rsid w:val="00A84EBE"/>
    <w:rsid w:val="00A86411"/>
    <w:rsid w:val="00A90B0D"/>
    <w:rsid w:val="00A91640"/>
    <w:rsid w:val="00A9203E"/>
    <w:rsid w:val="00A93975"/>
    <w:rsid w:val="00A93EB8"/>
    <w:rsid w:val="00A95A9A"/>
    <w:rsid w:val="00A974E7"/>
    <w:rsid w:val="00AA209E"/>
    <w:rsid w:val="00AA255C"/>
    <w:rsid w:val="00AA4066"/>
    <w:rsid w:val="00AA41A8"/>
    <w:rsid w:val="00AA509B"/>
    <w:rsid w:val="00AA5C19"/>
    <w:rsid w:val="00AA626F"/>
    <w:rsid w:val="00AA6685"/>
    <w:rsid w:val="00AA6727"/>
    <w:rsid w:val="00AA71D0"/>
    <w:rsid w:val="00AB0236"/>
    <w:rsid w:val="00AB034A"/>
    <w:rsid w:val="00AB03F5"/>
    <w:rsid w:val="00AB124F"/>
    <w:rsid w:val="00AB345A"/>
    <w:rsid w:val="00AB3942"/>
    <w:rsid w:val="00AB46FB"/>
    <w:rsid w:val="00AB684F"/>
    <w:rsid w:val="00AB73EB"/>
    <w:rsid w:val="00AB7D1D"/>
    <w:rsid w:val="00AC0770"/>
    <w:rsid w:val="00AC3C61"/>
    <w:rsid w:val="00AC4510"/>
    <w:rsid w:val="00AC4A42"/>
    <w:rsid w:val="00AC58E3"/>
    <w:rsid w:val="00AC59EA"/>
    <w:rsid w:val="00AC6762"/>
    <w:rsid w:val="00AC6EEC"/>
    <w:rsid w:val="00AC7375"/>
    <w:rsid w:val="00AC77BC"/>
    <w:rsid w:val="00AC7AF2"/>
    <w:rsid w:val="00AD2E0F"/>
    <w:rsid w:val="00AD39FD"/>
    <w:rsid w:val="00AD3ABE"/>
    <w:rsid w:val="00AD3B4F"/>
    <w:rsid w:val="00AD3BA1"/>
    <w:rsid w:val="00AD4D3F"/>
    <w:rsid w:val="00AD52CB"/>
    <w:rsid w:val="00AE0202"/>
    <w:rsid w:val="00AE0877"/>
    <w:rsid w:val="00AE1826"/>
    <w:rsid w:val="00AE2619"/>
    <w:rsid w:val="00AE5408"/>
    <w:rsid w:val="00AE6531"/>
    <w:rsid w:val="00AE67C8"/>
    <w:rsid w:val="00AE714A"/>
    <w:rsid w:val="00AE741B"/>
    <w:rsid w:val="00AE76BA"/>
    <w:rsid w:val="00AF1828"/>
    <w:rsid w:val="00AF238D"/>
    <w:rsid w:val="00AF275D"/>
    <w:rsid w:val="00AF35AD"/>
    <w:rsid w:val="00AF4103"/>
    <w:rsid w:val="00AF44CF"/>
    <w:rsid w:val="00AF4A04"/>
    <w:rsid w:val="00AF5D29"/>
    <w:rsid w:val="00AF65D2"/>
    <w:rsid w:val="00AF67B3"/>
    <w:rsid w:val="00AF6B12"/>
    <w:rsid w:val="00AF6B7B"/>
    <w:rsid w:val="00AF7772"/>
    <w:rsid w:val="00B004A1"/>
    <w:rsid w:val="00B008ED"/>
    <w:rsid w:val="00B013A7"/>
    <w:rsid w:val="00B022DC"/>
    <w:rsid w:val="00B02323"/>
    <w:rsid w:val="00B034AB"/>
    <w:rsid w:val="00B06514"/>
    <w:rsid w:val="00B0790F"/>
    <w:rsid w:val="00B102BA"/>
    <w:rsid w:val="00B10C70"/>
    <w:rsid w:val="00B11ABB"/>
    <w:rsid w:val="00B13BB5"/>
    <w:rsid w:val="00B15972"/>
    <w:rsid w:val="00B176C6"/>
    <w:rsid w:val="00B177A2"/>
    <w:rsid w:val="00B236DF"/>
    <w:rsid w:val="00B25541"/>
    <w:rsid w:val="00B263D2"/>
    <w:rsid w:val="00B26BBF"/>
    <w:rsid w:val="00B27692"/>
    <w:rsid w:val="00B27932"/>
    <w:rsid w:val="00B27A81"/>
    <w:rsid w:val="00B32288"/>
    <w:rsid w:val="00B324C6"/>
    <w:rsid w:val="00B33E45"/>
    <w:rsid w:val="00B34A6C"/>
    <w:rsid w:val="00B35B9B"/>
    <w:rsid w:val="00B35FB5"/>
    <w:rsid w:val="00B3603F"/>
    <w:rsid w:val="00B36963"/>
    <w:rsid w:val="00B37FCB"/>
    <w:rsid w:val="00B40C44"/>
    <w:rsid w:val="00B41E8D"/>
    <w:rsid w:val="00B421C2"/>
    <w:rsid w:val="00B42392"/>
    <w:rsid w:val="00B42842"/>
    <w:rsid w:val="00B436FB"/>
    <w:rsid w:val="00B439D9"/>
    <w:rsid w:val="00B448B1"/>
    <w:rsid w:val="00B44999"/>
    <w:rsid w:val="00B459B4"/>
    <w:rsid w:val="00B463AB"/>
    <w:rsid w:val="00B46FA9"/>
    <w:rsid w:val="00B479D6"/>
    <w:rsid w:val="00B52236"/>
    <w:rsid w:val="00B52598"/>
    <w:rsid w:val="00B5306D"/>
    <w:rsid w:val="00B53868"/>
    <w:rsid w:val="00B5611E"/>
    <w:rsid w:val="00B56284"/>
    <w:rsid w:val="00B562F8"/>
    <w:rsid w:val="00B56568"/>
    <w:rsid w:val="00B5699D"/>
    <w:rsid w:val="00B56C9D"/>
    <w:rsid w:val="00B603C3"/>
    <w:rsid w:val="00B6085A"/>
    <w:rsid w:val="00B61888"/>
    <w:rsid w:val="00B62CD5"/>
    <w:rsid w:val="00B665B8"/>
    <w:rsid w:val="00B67553"/>
    <w:rsid w:val="00B677C9"/>
    <w:rsid w:val="00B70538"/>
    <w:rsid w:val="00B711CE"/>
    <w:rsid w:val="00B72AE2"/>
    <w:rsid w:val="00B72BD8"/>
    <w:rsid w:val="00B74779"/>
    <w:rsid w:val="00B75A5F"/>
    <w:rsid w:val="00B75FC0"/>
    <w:rsid w:val="00B77115"/>
    <w:rsid w:val="00B77212"/>
    <w:rsid w:val="00B806F3"/>
    <w:rsid w:val="00B8083C"/>
    <w:rsid w:val="00B80DE4"/>
    <w:rsid w:val="00B8262F"/>
    <w:rsid w:val="00B82BDF"/>
    <w:rsid w:val="00B83642"/>
    <w:rsid w:val="00B84876"/>
    <w:rsid w:val="00B8649C"/>
    <w:rsid w:val="00B86B03"/>
    <w:rsid w:val="00B92658"/>
    <w:rsid w:val="00B92BD0"/>
    <w:rsid w:val="00B931F7"/>
    <w:rsid w:val="00B94687"/>
    <w:rsid w:val="00B9500C"/>
    <w:rsid w:val="00B95841"/>
    <w:rsid w:val="00B96E09"/>
    <w:rsid w:val="00BA0222"/>
    <w:rsid w:val="00BA02AD"/>
    <w:rsid w:val="00BA0620"/>
    <w:rsid w:val="00BA0A04"/>
    <w:rsid w:val="00BA2344"/>
    <w:rsid w:val="00BA2C43"/>
    <w:rsid w:val="00BA2ED4"/>
    <w:rsid w:val="00BA3741"/>
    <w:rsid w:val="00BA3760"/>
    <w:rsid w:val="00BA392D"/>
    <w:rsid w:val="00BA471C"/>
    <w:rsid w:val="00BA4EF2"/>
    <w:rsid w:val="00BA5126"/>
    <w:rsid w:val="00BA66FA"/>
    <w:rsid w:val="00BA75AD"/>
    <w:rsid w:val="00BB4C99"/>
    <w:rsid w:val="00BB4FB6"/>
    <w:rsid w:val="00BB5DFB"/>
    <w:rsid w:val="00BB682D"/>
    <w:rsid w:val="00BB72AD"/>
    <w:rsid w:val="00BB7899"/>
    <w:rsid w:val="00BB7CCD"/>
    <w:rsid w:val="00BC0940"/>
    <w:rsid w:val="00BC2285"/>
    <w:rsid w:val="00BC6207"/>
    <w:rsid w:val="00BC6D8E"/>
    <w:rsid w:val="00BC7C4B"/>
    <w:rsid w:val="00BD0895"/>
    <w:rsid w:val="00BD149C"/>
    <w:rsid w:val="00BD180A"/>
    <w:rsid w:val="00BD4535"/>
    <w:rsid w:val="00BD4BA8"/>
    <w:rsid w:val="00BD6B2E"/>
    <w:rsid w:val="00BE0560"/>
    <w:rsid w:val="00BE2448"/>
    <w:rsid w:val="00BE2C60"/>
    <w:rsid w:val="00BE42DA"/>
    <w:rsid w:val="00BE4FB1"/>
    <w:rsid w:val="00BE5B91"/>
    <w:rsid w:val="00BE705C"/>
    <w:rsid w:val="00BE722E"/>
    <w:rsid w:val="00BE73BC"/>
    <w:rsid w:val="00BF2C4C"/>
    <w:rsid w:val="00BF30DC"/>
    <w:rsid w:val="00BF6F4E"/>
    <w:rsid w:val="00BF7AA3"/>
    <w:rsid w:val="00C00140"/>
    <w:rsid w:val="00C0052B"/>
    <w:rsid w:val="00C0073E"/>
    <w:rsid w:val="00C04C84"/>
    <w:rsid w:val="00C1039C"/>
    <w:rsid w:val="00C105E8"/>
    <w:rsid w:val="00C109CC"/>
    <w:rsid w:val="00C128CA"/>
    <w:rsid w:val="00C14D90"/>
    <w:rsid w:val="00C15B5C"/>
    <w:rsid w:val="00C15CD4"/>
    <w:rsid w:val="00C1722A"/>
    <w:rsid w:val="00C176E8"/>
    <w:rsid w:val="00C1771D"/>
    <w:rsid w:val="00C17870"/>
    <w:rsid w:val="00C215E8"/>
    <w:rsid w:val="00C2202D"/>
    <w:rsid w:val="00C22573"/>
    <w:rsid w:val="00C22E0F"/>
    <w:rsid w:val="00C23551"/>
    <w:rsid w:val="00C23EB1"/>
    <w:rsid w:val="00C247B4"/>
    <w:rsid w:val="00C25CE5"/>
    <w:rsid w:val="00C2690E"/>
    <w:rsid w:val="00C27536"/>
    <w:rsid w:val="00C2773E"/>
    <w:rsid w:val="00C30426"/>
    <w:rsid w:val="00C31574"/>
    <w:rsid w:val="00C3264B"/>
    <w:rsid w:val="00C339EC"/>
    <w:rsid w:val="00C340A0"/>
    <w:rsid w:val="00C3460C"/>
    <w:rsid w:val="00C37259"/>
    <w:rsid w:val="00C416A8"/>
    <w:rsid w:val="00C42986"/>
    <w:rsid w:val="00C4299C"/>
    <w:rsid w:val="00C436F1"/>
    <w:rsid w:val="00C4654E"/>
    <w:rsid w:val="00C46C60"/>
    <w:rsid w:val="00C475A5"/>
    <w:rsid w:val="00C50398"/>
    <w:rsid w:val="00C51D46"/>
    <w:rsid w:val="00C52C27"/>
    <w:rsid w:val="00C53A1A"/>
    <w:rsid w:val="00C540BC"/>
    <w:rsid w:val="00C55738"/>
    <w:rsid w:val="00C55CE3"/>
    <w:rsid w:val="00C55F2A"/>
    <w:rsid w:val="00C575F3"/>
    <w:rsid w:val="00C57F9C"/>
    <w:rsid w:val="00C603C2"/>
    <w:rsid w:val="00C610DD"/>
    <w:rsid w:val="00C61552"/>
    <w:rsid w:val="00C6273F"/>
    <w:rsid w:val="00C62BB6"/>
    <w:rsid w:val="00C62D6B"/>
    <w:rsid w:val="00C645D2"/>
    <w:rsid w:val="00C652C2"/>
    <w:rsid w:val="00C65396"/>
    <w:rsid w:val="00C66CBA"/>
    <w:rsid w:val="00C70051"/>
    <w:rsid w:val="00C703B7"/>
    <w:rsid w:val="00C70D83"/>
    <w:rsid w:val="00C71248"/>
    <w:rsid w:val="00C726BA"/>
    <w:rsid w:val="00C72849"/>
    <w:rsid w:val="00C72B8E"/>
    <w:rsid w:val="00C73919"/>
    <w:rsid w:val="00C739A7"/>
    <w:rsid w:val="00C73F07"/>
    <w:rsid w:val="00C754AC"/>
    <w:rsid w:val="00C766E3"/>
    <w:rsid w:val="00C7749C"/>
    <w:rsid w:val="00C77C70"/>
    <w:rsid w:val="00C8009A"/>
    <w:rsid w:val="00C8135B"/>
    <w:rsid w:val="00C81D3C"/>
    <w:rsid w:val="00C83123"/>
    <w:rsid w:val="00C83BED"/>
    <w:rsid w:val="00C8566E"/>
    <w:rsid w:val="00C863B1"/>
    <w:rsid w:val="00C87BBA"/>
    <w:rsid w:val="00C87FF8"/>
    <w:rsid w:val="00C91A5C"/>
    <w:rsid w:val="00C92590"/>
    <w:rsid w:val="00C94DBD"/>
    <w:rsid w:val="00C95CA0"/>
    <w:rsid w:val="00C95F45"/>
    <w:rsid w:val="00CA1805"/>
    <w:rsid w:val="00CA1BF6"/>
    <w:rsid w:val="00CA2237"/>
    <w:rsid w:val="00CA599C"/>
    <w:rsid w:val="00CB00CD"/>
    <w:rsid w:val="00CB03F5"/>
    <w:rsid w:val="00CB045A"/>
    <w:rsid w:val="00CB07B9"/>
    <w:rsid w:val="00CB128C"/>
    <w:rsid w:val="00CB12D2"/>
    <w:rsid w:val="00CB1EDF"/>
    <w:rsid w:val="00CB46D6"/>
    <w:rsid w:val="00CB59AB"/>
    <w:rsid w:val="00CB6DC0"/>
    <w:rsid w:val="00CB77B3"/>
    <w:rsid w:val="00CB7A78"/>
    <w:rsid w:val="00CC087F"/>
    <w:rsid w:val="00CC10DE"/>
    <w:rsid w:val="00CC2E38"/>
    <w:rsid w:val="00CC514C"/>
    <w:rsid w:val="00CC54F3"/>
    <w:rsid w:val="00CC5FC4"/>
    <w:rsid w:val="00CC6C27"/>
    <w:rsid w:val="00CD0A92"/>
    <w:rsid w:val="00CD23FD"/>
    <w:rsid w:val="00CD2420"/>
    <w:rsid w:val="00CD5D5E"/>
    <w:rsid w:val="00CD670C"/>
    <w:rsid w:val="00CD7E50"/>
    <w:rsid w:val="00CE2CC2"/>
    <w:rsid w:val="00CE35D2"/>
    <w:rsid w:val="00CE57F4"/>
    <w:rsid w:val="00CF0A1A"/>
    <w:rsid w:val="00CF3D54"/>
    <w:rsid w:val="00CF52B3"/>
    <w:rsid w:val="00CF57FF"/>
    <w:rsid w:val="00CF6595"/>
    <w:rsid w:val="00CF7AC6"/>
    <w:rsid w:val="00CF7F7D"/>
    <w:rsid w:val="00D00AF8"/>
    <w:rsid w:val="00D01479"/>
    <w:rsid w:val="00D01872"/>
    <w:rsid w:val="00D028D9"/>
    <w:rsid w:val="00D033C3"/>
    <w:rsid w:val="00D039D2"/>
    <w:rsid w:val="00D0503C"/>
    <w:rsid w:val="00D05169"/>
    <w:rsid w:val="00D06544"/>
    <w:rsid w:val="00D104D3"/>
    <w:rsid w:val="00D10707"/>
    <w:rsid w:val="00D10B4B"/>
    <w:rsid w:val="00D10DDB"/>
    <w:rsid w:val="00D10DE1"/>
    <w:rsid w:val="00D1149F"/>
    <w:rsid w:val="00D123EC"/>
    <w:rsid w:val="00D15018"/>
    <w:rsid w:val="00D16F60"/>
    <w:rsid w:val="00D1784D"/>
    <w:rsid w:val="00D17AA8"/>
    <w:rsid w:val="00D2050C"/>
    <w:rsid w:val="00D21A2E"/>
    <w:rsid w:val="00D21C8D"/>
    <w:rsid w:val="00D21E4A"/>
    <w:rsid w:val="00D231C9"/>
    <w:rsid w:val="00D247CF"/>
    <w:rsid w:val="00D25107"/>
    <w:rsid w:val="00D25A0E"/>
    <w:rsid w:val="00D26834"/>
    <w:rsid w:val="00D27283"/>
    <w:rsid w:val="00D27856"/>
    <w:rsid w:val="00D305A3"/>
    <w:rsid w:val="00D31606"/>
    <w:rsid w:val="00D320ED"/>
    <w:rsid w:val="00D325A6"/>
    <w:rsid w:val="00D3374C"/>
    <w:rsid w:val="00D33D78"/>
    <w:rsid w:val="00D34097"/>
    <w:rsid w:val="00D361B3"/>
    <w:rsid w:val="00D40A65"/>
    <w:rsid w:val="00D4151A"/>
    <w:rsid w:val="00D41C6D"/>
    <w:rsid w:val="00D42F00"/>
    <w:rsid w:val="00D43244"/>
    <w:rsid w:val="00D44632"/>
    <w:rsid w:val="00D44842"/>
    <w:rsid w:val="00D45C26"/>
    <w:rsid w:val="00D45FF7"/>
    <w:rsid w:val="00D47704"/>
    <w:rsid w:val="00D47729"/>
    <w:rsid w:val="00D506A3"/>
    <w:rsid w:val="00D517B1"/>
    <w:rsid w:val="00D52D23"/>
    <w:rsid w:val="00D53430"/>
    <w:rsid w:val="00D53755"/>
    <w:rsid w:val="00D54883"/>
    <w:rsid w:val="00D54AF1"/>
    <w:rsid w:val="00D54EA7"/>
    <w:rsid w:val="00D558F8"/>
    <w:rsid w:val="00D574DB"/>
    <w:rsid w:val="00D5750B"/>
    <w:rsid w:val="00D601DF"/>
    <w:rsid w:val="00D60E6D"/>
    <w:rsid w:val="00D62DAA"/>
    <w:rsid w:val="00D640A1"/>
    <w:rsid w:val="00D642AA"/>
    <w:rsid w:val="00D66652"/>
    <w:rsid w:val="00D6699D"/>
    <w:rsid w:val="00D673BA"/>
    <w:rsid w:val="00D721D5"/>
    <w:rsid w:val="00D727FE"/>
    <w:rsid w:val="00D72C9E"/>
    <w:rsid w:val="00D7367A"/>
    <w:rsid w:val="00D73CBE"/>
    <w:rsid w:val="00D74468"/>
    <w:rsid w:val="00D74CD8"/>
    <w:rsid w:val="00D75155"/>
    <w:rsid w:val="00D7549A"/>
    <w:rsid w:val="00D76005"/>
    <w:rsid w:val="00D763A5"/>
    <w:rsid w:val="00D76B01"/>
    <w:rsid w:val="00D76B7E"/>
    <w:rsid w:val="00D77398"/>
    <w:rsid w:val="00D802CC"/>
    <w:rsid w:val="00D82491"/>
    <w:rsid w:val="00D826F1"/>
    <w:rsid w:val="00D82D3E"/>
    <w:rsid w:val="00D859B6"/>
    <w:rsid w:val="00D863EE"/>
    <w:rsid w:val="00D92B10"/>
    <w:rsid w:val="00D94E22"/>
    <w:rsid w:val="00D957DB"/>
    <w:rsid w:val="00D95A79"/>
    <w:rsid w:val="00D962A6"/>
    <w:rsid w:val="00D97CD6"/>
    <w:rsid w:val="00DA2921"/>
    <w:rsid w:val="00DA2D66"/>
    <w:rsid w:val="00DA4EE5"/>
    <w:rsid w:val="00DA59C4"/>
    <w:rsid w:val="00DA660C"/>
    <w:rsid w:val="00DA67F8"/>
    <w:rsid w:val="00DB1B1D"/>
    <w:rsid w:val="00DB232D"/>
    <w:rsid w:val="00DB2BBE"/>
    <w:rsid w:val="00DB2F63"/>
    <w:rsid w:val="00DB6143"/>
    <w:rsid w:val="00DB7678"/>
    <w:rsid w:val="00DC0470"/>
    <w:rsid w:val="00DC04DD"/>
    <w:rsid w:val="00DC0DBD"/>
    <w:rsid w:val="00DC1603"/>
    <w:rsid w:val="00DC324A"/>
    <w:rsid w:val="00DC363F"/>
    <w:rsid w:val="00DC3E64"/>
    <w:rsid w:val="00DC41B4"/>
    <w:rsid w:val="00DC4A6C"/>
    <w:rsid w:val="00DC5889"/>
    <w:rsid w:val="00DC5B49"/>
    <w:rsid w:val="00DC632A"/>
    <w:rsid w:val="00DC63C2"/>
    <w:rsid w:val="00DC6F6D"/>
    <w:rsid w:val="00DD003C"/>
    <w:rsid w:val="00DD0215"/>
    <w:rsid w:val="00DD15C2"/>
    <w:rsid w:val="00DD4075"/>
    <w:rsid w:val="00DD48AA"/>
    <w:rsid w:val="00DD4952"/>
    <w:rsid w:val="00DD4972"/>
    <w:rsid w:val="00DD5D74"/>
    <w:rsid w:val="00DD740C"/>
    <w:rsid w:val="00DD759F"/>
    <w:rsid w:val="00DD76B3"/>
    <w:rsid w:val="00DE00B1"/>
    <w:rsid w:val="00DE3EC4"/>
    <w:rsid w:val="00DE440A"/>
    <w:rsid w:val="00DF01D8"/>
    <w:rsid w:val="00DF023B"/>
    <w:rsid w:val="00DF216D"/>
    <w:rsid w:val="00DF2F64"/>
    <w:rsid w:val="00DF304D"/>
    <w:rsid w:val="00DF32C7"/>
    <w:rsid w:val="00DF41B6"/>
    <w:rsid w:val="00DF4435"/>
    <w:rsid w:val="00DF4958"/>
    <w:rsid w:val="00DF4C5B"/>
    <w:rsid w:val="00DF5A57"/>
    <w:rsid w:val="00DF605F"/>
    <w:rsid w:val="00DF63DC"/>
    <w:rsid w:val="00DF64DC"/>
    <w:rsid w:val="00DF68B5"/>
    <w:rsid w:val="00DF6B46"/>
    <w:rsid w:val="00DF6CE3"/>
    <w:rsid w:val="00DF6E5F"/>
    <w:rsid w:val="00E00B55"/>
    <w:rsid w:val="00E0114E"/>
    <w:rsid w:val="00E02D7B"/>
    <w:rsid w:val="00E03B99"/>
    <w:rsid w:val="00E04A38"/>
    <w:rsid w:val="00E04C2C"/>
    <w:rsid w:val="00E04E6B"/>
    <w:rsid w:val="00E0504F"/>
    <w:rsid w:val="00E05BE1"/>
    <w:rsid w:val="00E07293"/>
    <w:rsid w:val="00E0742F"/>
    <w:rsid w:val="00E13713"/>
    <w:rsid w:val="00E13926"/>
    <w:rsid w:val="00E14476"/>
    <w:rsid w:val="00E1463E"/>
    <w:rsid w:val="00E14AD3"/>
    <w:rsid w:val="00E14BE0"/>
    <w:rsid w:val="00E14D14"/>
    <w:rsid w:val="00E1578C"/>
    <w:rsid w:val="00E1597A"/>
    <w:rsid w:val="00E15B46"/>
    <w:rsid w:val="00E16133"/>
    <w:rsid w:val="00E16F02"/>
    <w:rsid w:val="00E16FF9"/>
    <w:rsid w:val="00E17ADF"/>
    <w:rsid w:val="00E20A80"/>
    <w:rsid w:val="00E218E7"/>
    <w:rsid w:val="00E25248"/>
    <w:rsid w:val="00E2585E"/>
    <w:rsid w:val="00E25D3C"/>
    <w:rsid w:val="00E306F2"/>
    <w:rsid w:val="00E32000"/>
    <w:rsid w:val="00E32FCA"/>
    <w:rsid w:val="00E33234"/>
    <w:rsid w:val="00E33739"/>
    <w:rsid w:val="00E34283"/>
    <w:rsid w:val="00E37BB7"/>
    <w:rsid w:val="00E37EFF"/>
    <w:rsid w:val="00E40482"/>
    <w:rsid w:val="00E40A18"/>
    <w:rsid w:val="00E40AE1"/>
    <w:rsid w:val="00E416A2"/>
    <w:rsid w:val="00E422B4"/>
    <w:rsid w:val="00E42D1D"/>
    <w:rsid w:val="00E449BB"/>
    <w:rsid w:val="00E47C7B"/>
    <w:rsid w:val="00E501D0"/>
    <w:rsid w:val="00E507FF"/>
    <w:rsid w:val="00E51154"/>
    <w:rsid w:val="00E51F42"/>
    <w:rsid w:val="00E52688"/>
    <w:rsid w:val="00E549FC"/>
    <w:rsid w:val="00E5603A"/>
    <w:rsid w:val="00E5788E"/>
    <w:rsid w:val="00E57F03"/>
    <w:rsid w:val="00E57F79"/>
    <w:rsid w:val="00E622E4"/>
    <w:rsid w:val="00E62348"/>
    <w:rsid w:val="00E631DA"/>
    <w:rsid w:val="00E6460B"/>
    <w:rsid w:val="00E64934"/>
    <w:rsid w:val="00E66577"/>
    <w:rsid w:val="00E672D7"/>
    <w:rsid w:val="00E676FB"/>
    <w:rsid w:val="00E700F4"/>
    <w:rsid w:val="00E7030C"/>
    <w:rsid w:val="00E7072E"/>
    <w:rsid w:val="00E709F0"/>
    <w:rsid w:val="00E716A6"/>
    <w:rsid w:val="00E71815"/>
    <w:rsid w:val="00E71AB1"/>
    <w:rsid w:val="00E74349"/>
    <w:rsid w:val="00E7498C"/>
    <w:rsid w:val="00E7580C"/>
    <w:rsid w:val="00E761F2"/>
    <w:rsid w:val="00E76FC6"/>
    <w:rsid w:val="00E775E4"/>
    <w:rsid w:val="00E776D1"/>
    <w:rsid w:val="00E77D0A"/>
    <w:rsid w:val="00E80001"/>
    <w:rsid w:val="00E8142A"/>
    <w:rsid w:val="00E82508"/>
    <w:rsid w:val="00E82646"/>
    <w:rsid w:val="00E82726"/>
    <w:rsid w:val="00E832AA"/>
    <w:rsid w:val="00E83AA7"/>
    <w:rsid w:val="00E83B05"/>
    <w:rsid w:val="00E83DC7"/>
    <w:rsid w:val="00E85D10"/>
    <w:rsid w:val="00E9492A"/>
    <w:rsid w:val="00E9608E"/>
    <w:rsid w:val="00E97062"/>
    <w:rsid w:val="00E97918"/>
    <w:rsid w:val="00EA0935"/>
    <w:rsid w:val="00EA0AFD"/>
    <w:rsid w:val="00EA16F9"/>
    <w:rsid w:val="00EA2042"/>
    <w:rsid w:val="00EA2D6A"/>
    <w:rsid w:val="00EA3CE0"/>
    <w:rsid w:val="00EA3D9B"/>
    <w:rsid w:val="00EA4B97"/>
    <w:rsid w:val="00EA6931"/>
    <w:rsid w:val="00EB1A74"/>
    <w:rsid w:val="00EB34A0"/>
    <w:rsid w:val="00EB4579"/>
    <w:rsid w:val="00EB45EB"/>
    <w:rsid w:val="00EB4B93"/>
    <w:rsid w:val="00EB5C80"/>
    <w:rsid w:val="00EC0198"/>
    <w:rsid w:val="00EC077F"/>
    <w:rsid w:val="00EC0AF2"/>
    <w:rsid w:val="00EC0C39"/>
    <w:rsid w:val="00EC0C44"/>
    <w:rsid w:val="00EC2099"/>
    <w:rsid w:val="00EC281A"/>
    <w:rsid w:val="00EC2AAC"/>
    <w:rsid w:val="00EC4847"/>
    <w:rsid w:val="00EC4C25"/>
    <w:rsid w:val="00EC503E"/>
    <w:rsid w:val="00EC5D2C"/>
    <w:rsid w:val="00EC6A6C"/>
    <w:rsid w:val="00EC7642"/>
    <w:rsid w:val="00EC7656"/>
    <w:rsid w:val="00EC7C4A"/>
    <w:rsid w:val="00ED0E2A"/>
    <w:rsid w:val="00ED0EB8"/>
    <w:rsid w:val="00ED1202"/>
    <w:rsid w:val="00ED1EF3"/>
    <w:rsid w:val="00ED282E"/>
    <w:rsid w:val="00ED3224"/>
    <w:rsid w:val="00ED416F"/>
    <w:rsid w:val="00ED49A9"/>
    <w:rsid w:val="00ED50C6"/>
    <w:rsid w:val="00ED5462"/>
    <w:rsid w:val="00ED5B16"/>
    <w:rsid w:val="00ED5C4F"/>
    <w:rsid w:val="00ED7179"/>
    <w:rsid w:val="00EE02A7"/>
    <w:rsid w:val="00EE2395"/>
    <w:rsid w:val="00EE2918"/>
    <w:rsid w:val="00EE2931"/>
    <w:rsid w:val="00EE2EA5"/>
    <w:rsid w:val="00EE4D3F"/>
    <w:rsid w:val="00EE5855"/>
    <w:rsid w:val="00EE5E36"/>
    <w:rsid w:val="00EE628C"/>
    <w:rsid w:val="00EE6883"/>
    <w:rsid w:val="00EE6F5F"/>
    <w:rsid w:val="00EE72E9"/>
    <w:rsid w:val="00EE7621"/>
    <w:rsid w:val="00EF00C5"/>
    <w:rsid w:val="00EF148F"/>
    <w:rsid w:val="00EF17C5"/>
    <w:rsid w:val="00EF2009"/>
    <w:rsid w:val="00EF463F"/>
    <w:rsid w:val="00EF4C1C"/>
    <w:rsid w:val="00EF6A9C"/>
    <w:rsid w:val="00EF7CCA"/>
    <w:rsid w:val="00EF7D03"/>
    <w:rsid w:val="00F03109"/>
    <w:rsid w:val="00F032AC"/>
    <w:rsid w:val="00F046C1"/>
    <w:rsid w:val="00F0482F"/>
    <w:rsid w:val="00F05603"/>
    <w:rsid w:val="00F060CE"/>
    <w:rsid w:val="00F068F1"/>
    <w:rsid w:val="00F07C8C"/>
    <w:rsid w:val="00F1128C"/>
    <w:rsid w:val="00F12C3F"/>
    <w:rsid w:val="00F13D97"/>
    <w:rsid w:val="00F14254"/>
    <w:rsid w:val="00F14263"/>
    <w:rsid w:val="00F1715D"/>
    <w:rsid w:val="00F218D5"/>
    <w:rsid w:val="00F21914"/>
    <w:rsid w:val="00F21EA1"/>
    <w:rsid w:val="00F2536D"/>
    <w:rsid w:val="00F2595F"/>
    <w:rsid w:val="00F25A9A"/>
    <w:rsid w:val="00F25BBF"/>
    <w:rsid w:val="00F25C4B"/>
    <w:rsid w:val="00F26C62"/>
    <w:rsid w:val="00F27F61"/>
    <w:rsid w:val="00F30141"/>
    <w:rsid w:val="00F318B0"/>
    <w:rsid w:val="00F31F6F"/>
    <w:rsid w:val="00F323A7"/>
    <w:rsid w:val="00F33CB8"/>
    <w:rsid w:val="00F33E5C"/>
    <w:rsid w:val="00F33F07"/>
    <w:rsid w:val="00F349CB"/>
    <w:rsid w:val="00F37F7A"/>
    <w:rsid w:val="00F4034D"/>
    <w:rsid w:val="00F40730"/>
    <w:rsid w:val="00F42919"/>
    <w:rsid w:val="00F43D97"/>
    <w:rsid w:val="00F43E90"/>
    <w:rsid w:val="00F446AF"/>
    <w:rsid w:val="00F451E1"/>
    <w:rsid w:val="00F4644C"/>
    <w:rsid w:val="00F4729F"/>
    <w:rsid w:val="00F47643"/>
    <w:rsid w:val="00F47FA7"/>
    <w:rsid w:val="00F51702"/>
    <w:rsid w:val="00F54036"/>
    <w:rsid w:val="00F54878"/>
    <w:rsid w:val="00F55149"/>
    <w:rsid w:val="00F56A93"/>
    <w:rsid w:val="00F5728F"/>
    <w:rsid w:val="00F60AD5"/>
    <w:rsid w:val="00F61F3E"/>
    <w:rsid w:val="00F62851"/>
    <w:rsid w:val="00F63036"/>
    <w:rsid w:val="00F634FC"/>
    <w:rsid w:val="00F655BF"/>
    <w:rsid w:val="00F658E5"/>
    <w:rsid w:val="00F65949"/>
    <w:rsid w:val="00F662A7"/>
    <w:rsid w:val="00F66AB6"/>
    <w:rsid w:val="00F66FD6"/>
    <w:rsid w:val="00F70E08"/>
    <w:rsid w:val="00F71DEF"/>
    <w:rsid w:val="00F72278"/>
    <w:rsid w:val="00F7259A"/>
    <w:rsid w:val="00F73036"/>
    <w:rsid w:val="00F7545D"/>
    <w:rsid w:val="00F81122"/>
    <w:rsid w:val="00F81329"/>
    <w:rsid w:val="00F82303"/>
    <w:rsid w:val="00F82CD9"/>
    <w:rsid w:val="00F84A8A"/>
    <w:rsid w:val="00F85FAB"/>
    <w:rsid w:val="00F870B8"/>
    <w:rsid w:val="00F90E5B"/>
    <w:rsid w:val="00F93996"/>
    <w:rsid w:val="00F9498F"/>
    <w:rsid w:val="00F94F20"/>
    <w:rsid w:val="00F95B7E"/>
    <w:rsid w:val="00FA0666"/>
    <w:rsid w:val="00FA0FAB"/>
    <w:rsid w:val="00FA2145"/>
    <w:rsid w:val="00FA274E"/>
    <w:rsid w:val="00FA42E9"/>
    <w:rsid w:val="00FA4BC8"/>
    <w:rsid w:val="00FA4EC3"/>
    <w:rsid w:val="00FA5E1D"/>
    <w:rsid w:val="00FB0635"/>
    <w:rsid w:val="00FB11AA"/>
    <w:rsid w:val="00FB1E75"/>
    <w:rsid w:val="00FB33F5"/>
    <w:rsid w:val="00FC1AC8"/>
    <w:rsid w:val="00FC2E25"/>
    <w:rsid w:val="00FC3BF2"/>
    <w:rsid w:val="00FC7610"/>
    <w:rsid w:val="00FC7DB0"/>
    <w:rsid w:val="00FC7F1E"/>
    <w:rsid w:val="00FD03C9"/>
    <w:rsid w:val="00FD06EC"/>
    <w:rsid w:val="00FD0F99"/>
    <w:rsid w:val="00FD3A0B"/>
    <w:rsid w:val="00FD5A4A"/>
    <w:rsid w:val="00FE2014"/>
    <w:rsid w:val="00FE4963"/>
    <w:rsid w:val="00FE5E31"/>
    <w:rsid w:val="00FE6845"/>
    <w:rsid w:val="00FE7518"/>
    <w:rsid w:val="00FE7B3E"/>
    <w:rsid w:val="00FF128D"/>
    <w:rsid w:val="00FF12E3"/>
    <w:rsid w:val="00FF258C"/>
    <w:rsid w:val="00FF31A9"/>
    <w:rsid w:val="00FF39EC"/>
    <w:rsid w:val="00FF55B7"/>
    <w:rsid w:val="00FF745E"/>
    <w:rsid w:val="00FF797C"/>
    <w:rsid w:val="00FF7F9B"/>
    <w:rsid w:val="010A41C4"/>
    <w:rsid w:val="010C41AC"/>
    <w:rsid w:val="011949CD"/>
    <w:rsid w:val="012D3A25"/>
    <w:rsid w:val="01653082"/>
    <w:rsid w:val="0177122F"/>
    <w:rsid w:val="01981BCE"/>
    <w:rsid w:val="01A51E8A"/>
    <w:rsid w:val="01C24E01"/>
    <w:rsid w:val="01E407C8"/>
    <w:rsid w:val="01FC03B8"/>
    <w:rsid w:val="02341D2A"/>
    <w:rsid w:val="027361A2"/>
    <w:rsid w:val="028E3C74"/>
    <w:rsid w:val="02A35876"/>
    <w:rsid w:val="02F1192F"/>
    <w:rsid w:val="02FD0253"/>
    <w:rsid w:val="032823AE"/>
    <w:rsid w:val="032C4D22"/>
    <w:rsid w:val="035E02DE"/>
    <w:rsid w:val="038414D8"/>
    <w:rsid w:val="03C929A9"/>
    <w:rsid w:val="04032B43"/>
    <w:rsid w:val="041C7CB0"/>
    <w:rsid w:val="04542CD1"/>
    <w:rsid w:val="045A4C30"/>
    <w:rsid w:val="049668CF"/>
    <w:rsid w:val="04A223C3"/>
    <w:rsid w:val="04BB1D87"/>
    <w:rsid w:val="05573D16"/>
    <w:rsid w:val="056465DD"/>
    <w:rsid w:val="05976809"/>
    <w:rsid w:val="05DB7509"/>
    <w:rsid w:val="05E22441"/>
    <w:rsid w:val="05F26F9A"/>
    <w:rsid w:val="0655659E"/>
    <w:rsid w:val="06B55198"/>
    <w:rsid w:val="06C522AA"/>
    <w:rsid w:val="06FD2E75"/>
    <w:rsid w:val="07171C81"/>
    <w:rsid w:val="0720306C"/>
    <w:rsid w:val="074B5E4C"/>
    <w:rsid w:val="075A14EB"/>
    <w:rsid w:val="07AA4946"/>
    <w:rsid w:val="08122FE0"/>
    <w:rsid w:val="081E6C33"/>
    <w:rsid w:val="08234049"/>
    <w:rsid w:val="08256240"/>
    <w:rsid w:val="08503A6B"/>
    <w:rsid w:val="085E144C"/>
    <w:rsid w:val="085F500C"/>
    <w:rsid w:val="08B139F4"/>
    <w:rsid w:val="08DB40D3"/>
    <w:rsid w:val="090652EF"/>
    <w:rsid w:val="091937E1"/>
    <w:rsid w:val="0926526C"/>
    <w:rsid w:val="09443782"/>
    <w:rsid w:val="09466F9E"/>
    <w:rsid w:val="099B4D46"/>
    <w:rsid w:val="0A661BEC"/>
    <w:rsid w:val="0A974141"/>
    <w:rsid w:val="0A9B024A"/>
    <w:rsid w:val="0ABC0BBA"/>
    <w:rsid w:val="0ACA5040"/>
    <w:rsid w:val="0ACC58A6"/>
    <w:rsid w:val="0B2B3C7B"/>
    <w:rsid w:val="0B6158EF"/>
    <w:rsid w:val="0B936B4E"/>
    <w:rsid w:val="0BD7170D"/>
    <w:rsid w:val="0C0E6F38"/>
    <w:rsid w:val="0C455E4D"/>
    <w:rsid w:val="0C593C96"/>
    <w:rsid w:val="0CA710DF"/>
    <w:rsid w:val="0CA978E5"/>
    <w:rsid w:val="0CD50875"/>
    <w:rsid w:val="0CE71744"/>
    <w:rsid w:val="0D032FEF"/>
    <w:rsid w:val="0D344F62"/>
    <w:rsid w:val="0D8B6485"/>
    <w:rsid w:val="0D954DD1"/>
    <w:rsid w:val="0D9B2DFA"/>
    <w:rsid w:val="0DF548BE"/>
    <w:rsid w:val="0E0F5ED0"/>
    <w:rsid w:val="0E2C153B"/>
    <w:rsid w:val="0E3C3FBC"/>
    <w:rsid w:val="0E4242AE"/>
    <w:rsid w:val="0E523019"/>
    <w:rsid w:val="0E740908"/>
    <w:rsid w:val="0E7801B4"/>
    <w:rsid w:val="0E7B2D23"/>
    <w:rsid w:val="0EBF24AA"/>
    <w:rsid w:val="0F53679A"/>
    <w:rsid w:val="0F9F2801"/>
    <w:rsid w:val="0FA7589A"/>
    <w:rsid w:val="0FDE17AA"/>
    <w:rsid w:val="0FE62ACE"/>
    <w:rsid w:val="1025588C"/>
    <w:rsid w:val="102638EF"/>
    <w:rsid w:val="105D43A7"/>
    <w:rsid w:val="10FB206F"/>
    <w:rsid w:val="11661393"/>
    <w:rsid w:val="11B17200"/>
    <w:rsid w:val="12016EF0"/>
    <w:rsid w:val="120452FB"/>
    <w:rsid w:val="12772F79"/>
    <w:rsid w:val="12BE7C49"/>
    <w:rsid w:val="13253BB0"/>
    <w:rsid w:val="133C69CE"/>
    <w:rsid w:val="138A5A29"/>
    <w:rsid w:val="13B56934"/>
    <w:rsid w:val="13C24AD0"/>
    <w:rsid w:val="13E91FBF"/>
    <w:rsid w:val="142344D0"/>
    <w:rsid w:val="14304765"/>
    <w:rsid w:val="143B6EA3"/>
    <w:rsid w:val="144162BD"/>
    <w:rsid w:val="14EF5683"/>
    <w:rsid w:val="14F864ED"/>
    <w:rsid w:val="152E4A94"/>
    <w:rsid w:val="15A765F4"/>
    <w:rsid w:val="161126E5"/>
    <w:rsid w:val="165976AF"/>
    <w:rsid w:val="16615545"/>
    <w:rsid w:val="166A1F56"/>
    <w:rsid w:val="16971CF1"/>
    <w:rsid w:val="16A15A11"/>
    <w:rsid w:val="16C460C1"/>
    <w:rsid w:val="16E01D14"/>
    <w:rsid w:val="16F04865"/>
    <w:rsid w:val="170F0A85"/>
    <w:rsid w:val="175A3AB3"/>
    <w:rsid w:val="177617BE"/>
    <w:rsid w:val="17834C1C"/>
    <w:rsid w:val="17FF0778"/>
    <w:rsid w:val="187A3419"/>
    <w:rsid w:val="189C0871"/>
    <w:rsid w:val="19186721"/>
    <w:rsid w:val="191E4E1F"/>
    <w:rsid w:val="19287A4C"/>
    <w:rsid w:val="19B946FD"/>
    <w:rsid w:val="19BB7719"/>
    <w:rsid w:val="19D97744"/>
    <w:rsid w:val="19FC3FD6"/>
    <w:rsid w:val="1A163D48"/>
    <w:rsid w:val="1A1DA7C1"/>
    <w:rsid w:val="1A2B59C4"/>
    <w:rsid w:val="1A804EC7"/>
    <w:rsid w:val="1A9E2095"/>
    <w:rsid w:val="1AE50D96"/>
    <w:rsid w:val="1AF06321"/>
    <w:rsid w:val="1B0077FC"/>
    <w:rsid w:val="1B1A6B4A"/>
    <w:rsid w:val="1B5832CE"/>
    <w:rsid w:val="1BA76B79"/>
    <w:rsid w:val="1BAF2A04"/>
    <w:rsid w:val="1BC1209C"/>
    <w:rsid w:val="1BE51D1C"/>
    <w:rsid w:val="1BE9095C"/>
    <w:rsid w:val="1BE966A9"/>
    <w:rsid w:val="1BF82ED8"/>
    <w:rsid w:val="1BFC2ACA"/>
    <w:rsid w:val="1C11473E"/>
    <w:rsid w:val="1C182F3B"/>
    <w:rsid w:val="1C246950"/>
    <w:rsid w:val="1C4B56BA"/>
    <w:rsid w:val="1C5D372B"/>
    <w:rsid w:val="1C6E7210"/>
    <w:rsid w:val="1CCF10A1"/>
    <w:rsid w:val="1CF67E75"/>
    <w:rsid w:val="1D364BB6"/>
    <w:rsid w:val="1D6C09D7"/>
    <w:rsid w:val="1D8B71D5"/>
    <w:rsid w:val="1DAB5AB9"/>
    <w:rsid w:val="1DB7139E"/>
    <w:rsid w:val="1DB71BBB"/>
    <w:rsid w:val="1DF61891"/>
    <w:rsid w:val="1E1671DE"/>
    <w:rsid w:val="1E4D771D"/>
    <w:rsid w:val="1E6DA088"/>
    <w:rsid w:val="1E6E10AB"/>
    <w:rsid w:val="1E861248"/>
    <w:rsid w:val="1ED420C5"/>
    <w:rsid w:val="1EE54FDD"/>
    <w:rsid w:val="1F6435E0"/>
    <w:rsid w:val="1F724766"/>
    <w:rsid w:val="1FCC325E"/>
    <w:rsid w:val="1FE734F3"/>
    <w:rsid w:val="1FE77FCA"/>
    <w:rsid w:val="2027526B"/>
    <w:rsid w:val="20315438"/>
    <w:rsid w:val="203325CA"/>
    <w:rsid w:val="20BA58E6"/>
    <w:rsid w:val="20C368CF"/>
    <w:rsid w:val="210A1A63"/>
    <w:rsid w:val="215A6C10"/>
    <w:rsid w:val="21A71388"/>
    <w:rsid w:val="21E27297"/>
    <w:rsid w:val="21F34AE6"/>
    <w:rsid w:val="21FF3314"/>
    <w:rsid w:val="2200232E"/>
    <w:rsid w:val="221C28CA"/>
    <w:rsid w:val="222B17FB"/>
    <w:rsid w:val="22392389"/>
    <w:rsid w:val="224710BF"/>
    <w:rsid w:val="22AF4D3A"/>
    <w:rsid w:val="22C063E1"/>
    <w:rsid w:val="22C23B07"/>
    <w:rsid w:val="22C736B1"/>
    <w:rsid w:val="22E24AA5"/>
    <w:rsid w:val="231D45AE"/>
    <w:rsid w:val="231E0BF3"/>
    <w:rsid w:val="237409B3"/>
    <w:rsid w:val="237E4AE2"/>
    <w:rsid w:val="2399018E"/>
    <w:rsid w:val="23B02B18"/>
    <w:rsid w:val="23C465C3"/>
    <w:rsid w:val="23FF59BB"/>
    <w:rsid w:val="246433D2"/>
    <w:rsid w:val="24780FDD"/>
    <w:rsid w:val="24822062"/>
    <w:rsid w:val="24DE6CF7"/>
    <w:rsid w:val="24FC7917"/>
    <w:rsid w:val="251E50D3"/>
    <w:rsid w:val="258B6DE3"/>
    <w:rsid w:val="25C1100C"/>
    <w:rsid w:val="25CF6559"/>
    <w:rsid w:val="25FB0620"/>
    <w:rsid w:val="26012CDD"/>
    <w:rsid w:val="262940F3"/>
    <w:rsid w:val="265377E3"/>
    <w:rsid w:val="26643A95"/>
    <w:rsid w:val="266E675C"/>
    <w:rsid w:val="267020A2"/>
    <w:rsid w:val="26910428"/>
    <w:rsid w:val="26F5350F"/>
    <w:rsid w:val="271600D4"/>
    <w:rsid w:val="27653419"/>
    <w:rsid w:val="276F4A98"/>
    <w:rsid w:val="277F29F0"/>
    <w:rsid w:val="27B65FBB"/>
    <w:rsid w:val="27D8088F"/>
    <w:rsid w:val="28090196"/>
    <w:rsid w:val="28687E65"/>
    <w:rsid w:val="28927481"/>
    <w:rsid w:val="28AA3FD9"/>
    <w:rsid w:val="29116B87"/>
    <w:rsid w:val="29183F18"/>
    <w:rsid w:val="297E4D39"/>
    <w:rsid w:val="29970631"/>
    <w:rsid w:val="299B7CEB"/>
    <w:rsid w:val="29C4745C"/>
    <w:rsid w:val="29D137E8"/>
    <w:rsid w:val="2A6C223D"/>
    <w:rsid w:val="2A7C43E5"/>
    <w:rsid w:val="2A7F4333"/>
    <w:rsid w:val="2AB2666F"/>
    <w:rsid w:val="2ABD2793"/>
    <w:rsid w:val="2B0B2DA8"/>
    <w:rsid w:val="2B5B3A06"/>
    <w:rsid w:val="2BBD4024"/>
    <w:rsid w:val="2CBE5396"/>
    <w:rsid w:val="2CBE9A02"/>
    <w:rsid w:val="2CF34544"/>
    <w:rsid w:val="2D804CB1"/>
    <w:rsid w:val="2DC8596B"/>
    <w:rsid w:val="2DCB1588"/>
    <w:rsid w:val="2DFFF615"/>
    <w:rsid w:val="2E270F01"/>
    <w:rsid w:val="2E33424C"/>
    <w:rsid w:val="2E362909"/>
    <w:rsid w:val="2E6115DE"/>
    <w:rsid w:val="2E73541B"/>
    <w:rsid w:val="2EDD163D"/>
    <w:rsid w:val="2F44590F"/>
    <w:rsid w:val="2F7B7C19"/>
    <w:rsid w:val="2F8921ED"/>
    <w:rsid w:val="2FEE50F3"/>
    <w:rsid w:val="303B755E"/>
    <w:rsid w:val="30403272"/>
    <w:rsid w:val="30630637"/>
    <w:rsid w:val="30B21CEB"/>
    <w:rsid w:val="30D818E8"/>
    <w:rsid w:val="30E31201"/>
    <w:rsid w:val="30F524B2"/>
    <w:rsid w:val="30F540A9"/>
    <w:rsid w:val="31752FEE"/>
    <w:rsid w:val="318F45C6"/>
    <w:rsid w:val="31BA1094"/>
    <w:rsid w:val="31D34BF0"/>
    <w:rsid w:val="31D7564F"/>
    <w:rsid w:val="31F42769"/>
    <w:rsid w:val="320C04F7"/>
    <w:rsid w:val="320D5A13"/>
    <w:rsid w:val="326602A5"/>
    <w:rsid w:val="32685A55"/>
    <w:rsid w:val="32A375DA"/>
    <w:rsid w:val="32B42EB4"/>
    <w:rsid w:val="32C9763C"/>
    <w:rsid w:val="32CC60FB"/>
    <w:rsid w:val="32E82A97"/>
    <w:rsid w:val="33482449"/>
    <w:rsid w:val="334F4866"/>
    <w:rsid w:val="335425AD"/>
    <w:rsid w:val="3360282E"/>
    <w:rsid w:val="33613DD7"/>
    <w:rsid w:val="33E85F03"/>
    <w:rsid w:val="34CB78A0"/>
    <w:rsid w:val="34CC4049"/>
    <w:rsid w:val="35105848"/>
    <w:rsid w:val="351A33A9"/>
    <w:rsid w:val="35363B2B"/>
    <w:rsid w:val="357C0CDE"/>
    <w:rsid w:val="357C65CB"/>
    <w:rsid w:val="35E4397E"/>
    <w:rsid w:val="363A07A1"/>
    <w:rsid w:val="36704BCE"/>
    <w:rsid w:val="367E2601"/>
    <w:rsid w:val="3719300D"/>
    <w:rsid w:val="37313B18"/>
    <w:rsid w:val="37321C86"/>
    <w:rsid w:val="3736348A"/>
    <w:rsid w:val="375E61D9"/>
    <w:rsid w:val="378D4D8B"/>
    <w:rsid w:val="37A525EE"/>
    <w:rsid w:val="37A537E5"/>
    <w:rsid w:val="37A784FC"/>
    <w:rsid w:val="37AA558E"/>
    <w:rsid w:val="37AD2D9F"/>
    <w:rsid w:val="37D92540"/>
    <w:rsid w:val="3872527C"/>
    <w:rsid w:val="389C406E"/>
    <w:rsid w:val="38D83D46"/>
    <w:rsid w:val="38DC24E7"/>
    <w:rsid w:val="38DD400D"/>
    <w:rsid w:val="39517098"/>
    <w:rsid w:val="398C294A"/>
    <w:rsid w:val="398F421A"/>
    <w:rsid w:val="39955922"/>
    <w:rsid w:val="39AD05D8"/>
    <w:rsid w:val="39EA1CAF"/>
    <w:rsid w:val="39F33306"/>
    <w:rsid w:val="3A2914A0"/>
    <w:rsid w:val="3A474D18"/>
    <w:rsid w:val="3A723576"/>
    <w:rsid w:val="3A9D7E92"/>
    <w:rsid w:val="3A9E14C4"/>
    <w:rsid w:val="3A9E6A8B"/>
    <w:rsid w:val="3ABF34DC"/>
    <w:rsid w:val="3AE00E3C"/>
    <w:rsid w:val="3AF15A98"/>
    <w:rsid w:val="3AFF1566"/>
    <w:rsid w:val="3B1005B4"/>
    <w:rsid w:val="3B254B31"/>
    <w:rsid w:val="3B3E21C7"/>
    <w:rsid w:val="3B570A9E"/>
    <w:rsid w:val="3B64626A"/>
    <w:rsid w:val="3B792763"/>
    <w:rsid w:val="3BBE7837"/>
    <w:rsid w:val="3BEDD179"/>
    <w:rsid w:val="3C0201DA"/>
    <w:rsid w:val="3C2C120B"/>
    <w:rsid w:val="3CE8111C"/>
    <w:rsid w:val="3D263544"/>
    <w:rsid w:val="3D2B1C42"/>
    <w:rsid w:val="3D2C00D6"/>
    <w:rsid w:val="3D804233"/>
    <w:rsid w:val="3DA023CA"/>
    <w:rsid w:val="3DBE211C"/>
    <w:rsid w:val="3DF7E8AA"/>
    <w:rsid w:val="3DFF2382"/>
    <w:rsid w:val="3E2F4622"/>
    <w:rsid w:val="3E4070D1"/>
    <w:rsid w:val="3E735452"/>
    <w:rsid w:val="3E830483"/>
    <w:rsid w:val="3ECD179C"/>
    <w:rsid w:val="3ECE54F2"/>
    <w:rsid w:val="3EFD48F6"/>
    <w:rsid w:val="3F151053"/>
    <w:rsid w:val="3F2D2350"/>
    <w:rsid w:val="3F32094C"/>
    <w:rsid w:val="3F371C7A"/>
    <w:rsid w:val="3F374F28"/>
    <w:rsid w:val="3F79013B"/>
    <w:rsid w:val="3F9D0B16"/>
    <w:rsid w:val="3F9E6F8D"/>
    <w:rsid w:val="3FC55D7F"/>
    <w:rsid w:val="3FFEB543"/>
    <w:rsid w:val="3FFFFBBE"/>
    <w:rsid w:val="403C77B5"/>
    <w:rsid w:val="40517E0D"/>
    <w:rsid w:val="406F3341"/>
    <w:rsid w:val="4132723C"/>
    <w:rsid w:val="416C5CCB"/>
    <w:rsid w:val="4170052D"/>
    <w:rsid w:val="417F42CC"/>
    <w:rsid w:val="41892E00"/>
    <w:rsid w:val="41F1307E"/>
    <w:rsid w:val="420311B6"/>
    <w:rsid w:val="429C278D"/>
    <w:rsid w:val="42B41E77"/>
    <w:rsid w:val="42B5384F"/>
    <w:rsid w:val="42C703F3"/>
    <w:rsid w:val="42D633BD"/>
    <w:rsid w:val="42E94CB8"/>
    <w:rsid w:val="42F77F17"/>
    <w:rsid w:val="432439DA"/>
    <w:rsid w:val="432D75F3"/>
    <w:rsid w:val="43565B34"/>
    <w:rsid w:val="436A6192"/>
    <w:rsid w:val="43AE6EA7"/>
    <w:rsid w:val="43EE59F5"/>
    <w:rsid w:val="43EF05D2"/>
    <w:rsid w:val="44013D73"/>
    <w:rsid w:val="441000AA"/>
    <w:rsid w:val="441526C9"/>
    <w:rsid w:val="44540714"/>
    <w:rsid w:val="44542E71"/>
    <w:rsid w:val="44C67067"/>
    <w:rsid w:val="44F86C12"/>
    <w:rsid w:val="459A1911"/>
    <w:rsid w:val="45A46D27"/>
    <w:rsid w:val="45AD2BE1"/>
    <w:rsid w:val="461E405F"/>
    <w:rsid w:val="46911EDD"/>
    <w:rsid w:val="46B4048E"/>
    <w:rsid w:val="46DC1E55"/>
    <w:rsid w:val="46FC4477"/>
    <w:rsid w:val="47213E85"/>
    <w:rsid w:val="47925299"/>
    <w:rsid w:val="47945FDF"/>
    <w:rsid w:val="47A9313F"/>
    <w:rsid w:val="47AF20B0"/>
    <w:rsid w:val="48126575"/>
    <w:rsid w:val="4820016B"/>
    <w:rsid w:val="4897228A"/>
    <w:rsid w:val="48B3414B"/>
    <w:rsid w:val="491868E5"/>
    <w:rsid w:val="49211F77"/>
    <w:rsid w:val="49571754"/>
    <w:rsid w:val="49EA26A6"/>
    <w:rsid w:val="4A1033F0"/>
    <w:rsid w:val="4A3076B5"/>
    <w:rsid w:val="4A463AC2"/>
    <w:rsid w:val="4A7571B3"/>
    <w:rsid w:val="4A963F66"/>
    <w:rsid w:val="4ADD4EF3"/>
    <w:rsid w:val="4AE56B61"/>
    <w:rsid w:val="4AEC627C"/>
    <w:rsid w:val="4B4B5A6A"/>
    <w:rsid w:val="4B6E7574"/>
    <w:rsid w:val="4C5466A0"/>
    <w:rsid w:val="4C700244"/>
    <w:rsid w:val="4C981247"/>
    <w:rsid w:val="4CB9380A"/>
    <w:rsid w:val="4CE722B4"/>
    <w:rsid w:val="4CF07BB0"/>
    <w:rsid w:val="4D1350FB"/>
    <w:rsid w:val="4D225B57"/>
    <w:rsid w:val="4D4511EA"/>
    <w:rsid w:val="4D6E2844"/>
    <w:rsid w:val="4DDA060D"/>
    <w:rsid w:val="4E100B4C"/>
    <w:rsid w:val="4E263853"/>
    <w:rsid w:val="4E3A3DAE"/>
    <w:rsid w:val="4ED9271B"/>
    <w:rsid w:val="4EE96249"/>
    <w:rsid w:val="4F4E4F29"/>
    <w:rsid w:val="4F577CD7"/>
    <w:rsid w:val="4F7147CF"/>
    <w:rsid w:val="4F7B3091"/>
    <w:rsid w:val="4FFD8404"/>
    <w:rsid w:val="50611028"/>
    <w:rsid w:val="506F7248"/>
    <w:rsid w:val="507C6D8E"/>
    <w:rsid w:val="50847526"/>
    <w:rsid w:val="50A266B5"/>
    <w:rsid w:val="50BD6410"/>
    <w:rsid w:val="50E16A56"/>
    <w:rsid w:val="513B380C"/>
    <w:rsid w:val="51B9183E"/>
    <w:rsid w:val="51C27F32"/>
    <w:rsid w:val="521A765A"/>
    <w:rsid w:val="523C02CF"/>
    <w:rsid w:val="5297682B"/>
    <w:rsid w:val="52A97EC3"/>
    <w:rsid w:val="52AF02BB"/>
    <w:rsid w:val="52C40D55"/>
    <w:rsid w:val="52CA631E"/>
    <w:rsid w:val="52E8039B"/>
    <w:rsid w:val="52F62635"/>
    <w:rsid w:val="53817C7B"/>
    <w:rsid w:val="53887BD9"/>
    <w:rsid w:val="538C05FC"/>
    <w:rsid w:val="539B30C5"/>
    <w:rsid w:val="53AA0CEC"/>
    <w:rsid w:val="53C625A3"/>
    <w:rsid w:val="53E20746"/>
    <w:rsid w:val="53EA0E7E"/>
    <w:rsid w:val="542A7705"/>
    <w:rsid w:val="545D7B40"/>
    <w:rsid w:val="545F36D3"/>
    <w:rsid w:val="54890A66"/>
    <w:rsid w:val="549D5FFA"/>
    <w:rsid w:val="54C16457"/>
    <w:rsid w:val="54C91A7A"/>
    <w:rsid w:val="54D50974"/>
    <w:rsid w:val="551D671C"/>
    <w:rsid w:val="55231967"/>
    <w:rsid w:val="5544479C"/>
    <w:rsid w:val="556D336B"/>
    <w:rsid w:val="5572174A"/>
    <w:rsid w:val="55880576"/>
    <w:rsid w:val="55DE36CB"/>
    <w:rsid w:val="55EC2A7E"/>
    <w:rsid w:val="567000F9"/>
    <w:rsid w:val="569061FA"/>
    <w:rsid w:val="56980407"/>
    <w:rsid w:val="56D7133F"/>
    <w:rsid w:val="56FA2537"/>
    <w:rsid w:val="5759285A"/>
    <w:rsid w:val="57A80998"/>
    <w:rsid w:val="57CB665C"/>
    <w:rsid w:val="57FA6344"/>
    <w:rsid w:val="580B14CE"/>
    <w:rsid w:val="583C4CB4"/>
    <w:rsid w:val="58452660"/>
    <w:rsid w:val="58562F86"/>
    <w:rsid w:val="585A68CB"/>
    <w:rsid w:val="586B6575"/>
    <w:rsid w:val="58A8086E"/>
    <w:rsid w:val="58BE6AF4"/>
    <w:rsid w:val="58C07673"/>
    <w:rsid w:val="58E31508"/>
    <w:rsid w:val="59063CD4"/>
    <w:rsid w:val="59157E46"/>
    <w:rsid w:val="5916226A"/>
    <w:rsid w:val="59351713"/>
    <w:rsid w:val="593E5DBA"/>
    <w:rsid w:val="59506A1D"/>
    <w:rsid w:val="59704B59"/>
    <w:rsid w:val="59B062BB"/>
    <w:rsid w:val="59D64D04"/>
    <w:rsid w:val="59D76B4B"/>
    <w:rsid w:val="59ED58A4"/>
    <w:rsid w:val="59FA2929"/>
    <w:rsid w:val="5A335999"/>
    <w:rsid w:val="5A403EEE"/>
    <w:rsid w:val="5A657A84"/>
    <w:rsid w:val="5ADE0EE2"/>
    <w:rsid w:val="5AE1359D"/>
    <w:rsid w:val="5AE67930"/>
    <w:rsid w:val="5B313D3A"/>
    <w:rsid w:val="5B63783D"/>
    <w:rsid w:val="5B8A5EB3"/>
    <w:rsid w:val="5BE47D10"/>
    <w:rsid w:val="5C332DC9"/>
    <w:rsid w:val="5C6043D4"/>
    <w:rsid w:val="5C944F29"/>
    <w:rsid w:val="5CC1224C"/>
    <w:rsid w:val="5CE600DB"/>
    <w:rsid w:val="5D1758EC"/>
    <w:rsid w:val="5D22729F"/>
    <w:rsid w:val="5D2A508A"/>
    <w:rsid w:val="5D2A5454"/>
    <w:rsid w:val="5D5A09D6"/>
    <w:rsid w:val="5D68483A"/>
    <w:rsid w:val="5D9A3E21"/>
    <w:rsid w:val="5DC31172"/>
    <w:rsid w:val="5DDF5EEB"/>
    <w:rsid w:val="5DDF669F"/>
    <w:rsid w:val="5DE51034"/>
    <w:rsid w:val="5DFE0DE0"/>
    <w:rsid w:val="5E3741CA"/>
    <w:rsid w:val="5E4C2E61"/>
    <w:rsid w:val="5E572476"/>
    <w:rsid w:val="5E8248A7"/>
    <w:rsid w:val="5EC44304"/>
    <w:rsid w:val="5F017A94"/>
    <w:rsid w:val="5F1B2384"/>
    <w:rsid w:val="5F53FEC9"/>
    <w:rsid w:val="5F632D6A"/>
    <w:rsid w:val="5FA3430A"/>
    <w:rsid w:val="5FBFDD8E"/>
    <w:rsid w:val="5FDD0936"/>
    <w:rsid w:val="5FE27DA3"/>
    <w:rsid w:val="603352C3"/>
    <w:rsid w:val="60455DBA"/>
    <w:rsid w:val="604775DE"/>
    <w:rsid w:val="60715845"/>
    <w:rsid w:val="60887168"/>
    <w:rsid w:val="608963C4"/>
    <w:rsid w:val="609C1D66"/>
    <w:rsid w:val="60A75087"/>
    <w:rsid w:val="60C327DD"/>
    <w:rsid w:val="60E35D6D"/>
    <w:rsid w:val="60EF3E93"/>
    <w:rsid w:val="614F5635"/>
    <w:rsid w:val="616A31D9"/>
    <w:rsid w:val="61BD5ADD"/>
    <w:rsid w:val="61DF7B38"/>
    <w:rsid w:val="61F12FB6"/>
    <w:rsid w:val="62215603"/>
    <w:rsid w:val="622D0025"/>
    <w:rsid w:val="623201CC"/>
    <w:rsid w:val="62393FF7"/>
    <w:rsid w:val="62762A9A"/>
    <w:rsid w:val="62771E48"/>
    <w:rsid w:val="62844CDB"/>
    <w:rsid w:val="628A7A11"/>
    <w:rsid w:val="62D82213"/>
    <w:rsid w:val="631D0E0D"/>
    <w:rsid w:val="63302D52"/>
    <w:rsid w:val="635C7D60"/>
    <w:rsid w:val="637B125E"/>
    <w:rsid w:val="63922D47"/>
    <w:rsid w:val="63C57165"/>
    <w:rsid w:val="63D751DB"/>
    <w:rsid w:val="63DB226E"/>
    <w:rsid w:val="63E17B85"/>
    <w:rsid w:val="64322363"/>
    <w:rsid w:val="643557C2"/>
    <w:rsid w:val="64652967"/>
    <w:rsid w:val="646D1D84"/>
    <w:rsid w:val="64DF6794"/>
    <w:rsid w:val="64FC0336"/>
    <w:rsid w:val="653E4BCB"/>
    <w:rsid w:val="656C203B"/>
    <w:rsid w:val="657565A9"/>
    <w:rsid w:val="65A405CF"/>
    <w:rsid w:val="65E678A6"/>
    <w:rsid w:val="664805EF"/>
    <w:rsid w:val="66544705"/>
    <w:rsid w:val="669241EF"/>
    <w:rsid w:val="66974C5D"/>
    <w:rsid w:val="66C33EDD"/>
    <w:rsid w:val="66DF3544"/>
    <w:rsid w:val="67154F93"/>
    <w:rsid w:val="677DBDC6"/>
    <w:rsid w:val="679FCF60"/>
    <w:rsid w:val="67A260BC"/>
    <w:rsid w:val="68012C96"/>
    <w:rsid w:val="68076296"/>
    <w:rsid w:val="6818658C"/>
    <w:rsid w:val="684635BE"/>
    <w:rsid w:val="685513E3"/>
    <w:rsid w:val="687B0926"/>
    <w:rsid w:val="687B3BFB"/>
    <w:rsid w:val="68917F75"/>
    <w:rsid w:val="690249FC"/>
    <w:rsid w:val="69806DA9"/>
    <w:rsid w:val="699A175A"/>
    <w:rsid w:val="6A032CFC"/>
    <w:rsid w:val="6A2D133A"/>
    <w:rsid w:val="6A2D75E5"/>
    <w:rsid w:val="6A4C3880"/>
    <w:rsid w:val="6A683A0D"/>
    <w:rsid w:val="6A75763D"/>
    <w:rsid w:val="6A8F6C7D"/>
    <w:rsid w:val="6A9E21F4"/>
    <w:rsid w:val="6ACF10A2"/>
    <w:rsid w:val="6B435169"/>
    <w:rsid w:val="6B6444BD"/>
    <w:rsid w:val="6B6F1ECC"/>
    <w:rsid w:val="6B874193"/>
    <w:rsid w:val="6BC120CE"/>
    <w:rsid w:val="6BCC765E"/>
    <w:rsid w:val="6BD2201D"/>
    <w:rsid w:val="6C1339AB"/>
    <w:rsid w:val="6C987BFB"/>
    <w:rsid w:val="6CEE142A"/>
    <w:rsid w:val="6D157EF7"/>
    <w:rsid w:val="6D4B43FC"/>
    <w:rsid w:val="6D6E5962"/>
    <w:rsid w:val="6D837B95"/>
    <w:rsid w:val="6DC47430"/>
    <w:rsid w:val="6DE930EB"/>
    <w:rsid w:val="6E0E0D98"/>
    <w:rsid w:val="6E48121F"/>
    <w:rsid w:val="6E5F2D14"/>
    <w:rsid w:val="6E6741A3"/>
    <w:rsid w:val="6E955DDC"/>
    <w:rsid w:val="6ECC7C2E"/>
    <w:rsid w:val="6F4B35B8"/>
    <w:rsid w:val="6F655661"/>
    <w:rsid w:val="6F8C39FA"/>
    <w:rsid w:val="6FC1198B"/>
    <w:rsid w:val="6FC14767"/>
    <w:rsid w:val="6FDE1D56"/>
    <w:rsid w:val="6FDF658B"/>
    <w:rsid w:val="6FDF9F29"/>
    <w:rsid w:val="6FFF038F"/>
    <w:rsid w:val="6FFF544E"/>
    <w:rsid w:val="6FFF8E6B"/>
    <w:rsid w:val="701E0B1F"/>
    <w:rsid w:val="704A1E94"/>
    <w:rsid w:val="704E70B6"/>
    <w:rsid w:val="70DD93B3"/>
    <w:rsid w:val="710B44B6"/>
    <w:rsid w:val="711E35D7"/>
    <w:rsid w:val="7148395C"/>
    <w:rsid w:val="71513538"/>
    <w:rsid w:val="7156356E"/>
    <w:rsid w:val="71954A5F"/>
    <w:rsid w:val="719B2687"/>
    <w:rsid w:val="71A5490B"/>
    <w:rsid w:val="71F31AC9"/>
    <w:rsid w:val="71FB6B58"/>
    <w:rsid w:val="72005918"/>
    <w:rsid w:val="72380AD8"/>
    <w:rsid w:val="72735F5B"/>
    <w:rsid w:val="72994CA5"/>
    <w:rsid w:val="72C4680E"/>
    <w:rsid w:val="72D0244C"/>
    <w:rsid w:val="738675C4"/>
    <w:rsid w:val="739201E5"/>
    <w:rsid w:val="73B55061"/>
    <w:rsid w:val="73E04AEC"/>
    <w:rsid w:val="741B6060"/>
    <w:rsid w:val="749B47AB"/>
    <w:rsid w:val="74B755DF"/>
    <w:rsid w:val="74C117E3"/>
    <w:rsid w:val="750B2EC6"/>
    <w:rsid w:val="75194C94"/>
    <w:rsid w:val="75707D1A"/>
    <w:rsid w:val="75883018"/>
    <w:rsid w:val="75FD6C18"/>
    <w:rsid w:val="7611273C"/>
    <w:rsid w:val="761E4C8C"/>
    <w:rsid w:val="7663186B"/>
    <w:rsid w:val="766806B5"/>
    <w:rsid w:val="76826276"/>
    <w:rsid w:val="76EE2C7B"/>
    <w:rsid w:val="774E4E29"/>
    <w:rsid w:val="77CF4B98"/>
    <w:rsid w:val="77FDE848"/>
    <w:rsid w:val="781A1FE9"/>
    <w:rsid w:val="794744E3"/>
    <w:rsid w:val="79AD7577"/>
    <w:rsid w:val="79CE7069"/>
    <w:rsid w:val="79D36C08"/>
    <w:rsid w:val="7A4F3FC3"/>
    <w:rsid w:val="7A5E2007"/>
    <w:rsid w:val="7AAA85CF"/>
    <w:rsid w:val="7ADD148F"/>
    <w:rsid w:val="7AFF7436"/>
    <w:rsid w:val="7B3E6B4B"/>
    <w:rsid w:val="7B4C1B6E"/>
    <w:rsid w:val="7B6C20A7"/>
    <w:rsid w:val="7B991A96"/>
    <w:rsid w:val="7B9E3217"/>
    <w:rsid w:val="7BA341B1"/>
    <w:rsid w:val="7BD33B0A"/>
    <w:rsid w:val="7BDF0A19"/>
    <w:rsid w:val="7BDFEE8C"/>
    <w:rsid w:val="7C287BCC"/>
    <w:rsid w:val="7C5334A2"/>
    <w:rsid w:val="7C601008"/>
    <w:rsid w:val="7CA0289E"/>
    <w:rsid w:val="7CA558DA"/>
    <w:rsid w:val="7CDC2443"/>
    <w:rsid w:val="7CE72E05"/>
    <w:rsid w:val="7CEA3B1A"/>
    <w:rsid w:val="7CEA5EE0"/>
    <w:rsid w:val="7CF774BA"/>
    <w:rsid w:val="7D2BFAEE"/>
    <w:rsid w:val="7D3E6D0C"/>
    <w:rsid w:val="7D44180B"/>
    <w:rsid w:val="7D4C35AF"/>
    <w:rsid w:val="7D603DDC"/>
    <w:rsid w:val="7DB859C6"/>
    <w:rsid w:val="7DF72017"/>
    <w:rsid w:val="7E1503B0"/>
    <w:rsid w:val="7E724D21"/>
    <w:rsid w:val="7E732A04"/>
    <w:rsid w:val="7E8936ED"/>
    <w:rsid w:val="7E9D52BC"/>
    <w:rsid w:val="7EBB39C0"/>
    <w:rsid w:val="7EC6726C"/>
    <w:rsid w:val="7ED43DB1"/>
    <w:rsid w:val="7EEEA799"/>
    <w:rsid w:val="7F1466C2"/>
    <w:rsid w:val="7F1E53CE"/>
    <w:rsid w:val="7F1F23B8"/>
    <w:rsid w:val="7F2C360A"/>
    <w:rsid w:val="7F333089"/>
    <w:rsid w:val="7F5FE971"/>
    <w:rsid w:val="7F667A62"/>
    <w:rsid w:val="7F707145"/>
    <w:rsid w:val="7FDD2550"/>
    <w:rsid w:val="7FF23947"/>
    <w:rsid w:val="7FF9DD2D"/>
    <w:rsid w:val="9FBC9A88"/>
    <w:rsid w:val="A7CE9978"/>
    <w:rsid w:val="AAFF3C8A"/>
    <w:rsid w:val="AEF34452"/>
    <w:rsid w:val="AEFFE4DD"/>
    <w:rsid w:val="AFDC81BF"/>
    <w:rsid w:val="B5D58FB0"/>
    <w:rsid w:val="B6FF7182"/>
    <w:rsid w:val="B7BB31BC"/>
    <w:rsid w:val="B7DF6EBC"/>
    <w:rsid w:val="B7F77431"/>
    <w:rsid w:val="BAFF4C3A"/>
    <w:rsid w:val="BB975EB5"/>
    <w:rsid w:val="BD7DBEC1"/>
    <w:rsid w:val="BE3F2C45"/>
    <w:rsid w:val="BE5BE2F1"/>
    <w:rsid w:val="BE6B8133"/>
    <w:rsid w:val="C7FBE2D2"/>
    <w:rsid w:val="CB7A6548"/>
    <w:rsid w:val="CEFC5BCB"/>
    <w:rsid w:val="D2BB93FD"/>
    <w:rsid w:val="D3BFD1B8"/>
    <w:rsid w:val="D3DDD5FF"/>
    <w:rsid w:val="D4ED5102"/>
    <w:rsid w:val="D5FE9D86"/>
    <w:rsid w:val="DCBF7E35"/>
    <w:rsid w:val="DEFD6C41"/>
    <w:rsid w:val="DF7F3DDD"/>
    <w:rsid w:val="E5FFE824"/>
    <w:rsid w:val="EE6FE735"/>
    <w:rsid w:val="EF4D9CB1"/>
    <w:rsid w:val="EFBF0B4F"/>
    <w:rsid w:val="EFD7B61F"/>
    <w:rsid w:val="EFFB4208"/>
    <w:rsid w:val="F50BED50"/>
    <w:rsid w:val="F77FB611"/>
    <w:rsid w:val="F7B77C28"/>
    <w:rsid w:val="F7DF25E8"/>
    <w:rsid w:val="F7EEA598"/>
    <w:rsid w:val="F7FFC011"/>
    <w:rsid w:val="FB7FC232"/>
    <w:rsid w:val="FBBE337F"/>
    <w:rsid w:val="FC357BDE"/>
    <w:rsid w:val="FDBF2B0F"/>
    <w:rsid w:val="FEDEA92A"/>
    <w:rsid w:val="FF182370"/>
    <w:rsid w:val="FFBFF661"/>
    <w:rsid w:val="FFCF9B11"/>
    <w:rsid w:val="FFDD616D"/>
    <w:rsid w:val="FFEF1F72"/>
    <w:rsid w:val="FFFF777A"/>
    <w:rsid w:val="FFFFD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4">
    <w:name w:val="heading 1"/>
    <w:basedOn w:val="1"/>
    <w:next w:val="1"/>
    <w:link w:val="54"/>
    <w:qFormat/>
    <w:uiPriority w:val="0"/>
    <w:pPr>
      <w:keepNext/>
      <w:keepLines/>
      <w:numPr>
        <w:ilvl w:val="0"/>
        <w:numId w:val="1"/>
      </w:numPr>
      <w:spacing w:before="340" w:afterLines="50" w:line="578" w:lineRule="auto"/>
      <w:outlineLvl w:val="0"/>
    </w:pPr>
    <w:rPr>
      <w:rFonts w:ascii="Arial" w:hAnsi="Arial" w:eastAsia="黑体"/>
      <w:b w:val="0"/>
      <w:bCs w:val="0"/>
      <w:spacing w:val="20"/>
      <w:kern w:val="44"/>
      <w:sz w:val="36"/>
      <w:szCs w:val="44"/>
    </w:rPr>
  </w:style>
  <w:style w:type="paragraph" w:styleId="5">
    <w:name w:val="heading 2"/>
    <w:basedOn w:val="1"/>
    <w:next w:val="1"/>
    <w:link w:val="56"/>
    <w:qFormat/>
    <w:uiPriority w:val="0"/>
    <w:pPr>
      <w:keepNext/>
      <w:keepLines/>
      <w:numPr>
        <w:ilvl w:val="1"/>
        <w:numId w:val="1"/>
      </w:numPr>
      <w:spacing w:before="260" w:afterLines="50" w:line="416" w:lineRule="auto"/>
      <w:outlineLvl w:val="1"/>
    </w:pPr>
    <w:rPr>
      <w:rFonts w:ascii="Arial" w:hAnsi="Arial" w:eastAsia="黑体"/>
      <w:b w:val="0"/>
      <w:bCs w:val="0"/>
      <w:spacing w:val="20"/>
      <w:sz w:val="32"/>
      <w:szCs w:val="32"/>
    </w:rPr>
  </w:style>
  <w:style w:type="paragraph" w:styleId="6">
    <w:name w:val="heading 3"/>
    <w:basedOn w:val="1"/>
    <w:next w:val="1"/>
    <w:link w:val="57"/>
    <w:qFormat/>
    <w:uiPriority w:val="0"/>
    <w:pPr>
      <w:keepNext/>
      <w:keepLines/>
      <w:numPr>
        <w:ilvl w:val="2"/>
        <w:numId w:val="1"/>
      </w:numPr>
      <w:spacing w:before="260" w:afterLines="50" w:line="416" w:lineRule="auto"/>
      <w:outlineLvl w:val="2"/>
    </w:pPr>
    <w:rPr>
      <w:rFonts w:ascii="Arial" w:hAnsi="Arial" w:eastAsia="黑体"/>
      <w:b w:val="0"/>
      <w:bCs w:val="0"/>
      <w:spacing w:val="20"/>
      <w:sz w:val="30"/>
      <w:szCs w:val="32"/>
    </w:rPr>
  </w:style>
  <w:style w:type="paragraph" w:styleId="7">
    <w:name w:val="heading 4"/>
    <w:basedOn w:val="8"/>
    <w:next w:val="1"/>
    <w:qFormat/>
    <w:uiPriority w:val="0"/>
    <w:pPr>
      <w:keepNext/>
      <w:keepLines/>
      <w:numPr>
        <w:ilvl w:val="3"/>
        <w:numId w:val="1"/>
      </w:numPr>
      <w:tabs>
        <w:tab w:val="left" w:pos="1079"/>
        <w:tab w:val="clear" w:pos="1440"/>
      </w:tabs>
      <w:spacing w:before="280" w:afterLines="50" w:line="377" w:lineRule="auto"/>
      <w:ind w:left="1077" w:hanging="1077"/>
      <w:outlineLvl w:val="3"/>
    </w:pPr>
    <w:rPr>
      <w:rFonts w:eastAsia="黑体"/>
      <w:b w:val="0"/>
      <w:bCs w:val="0"/>
      <w:spacing w:val="10"/>
      <w:sz w:val="28"/>
      <w:szCs w:val="28"/>
    </w:rPr>
  </w:style>
  <w:style w:type="paragraph" w:styleId="9">
    <w:name w:val="heading 5"/>
    <w:basedOn w:val="1"/>
    <w:next w:val="2"/>
    <w:qFormat/>
    <w:uiPriority w:val="0"/>
    <w:pPr>
      <w:keepNext/>
      <w:keepLines/>
      <w:numPr>
        <w:ilvl w:val="4"/>
        <w:numId w:val="1"/>
      </w:numPr>
      <w:tabs>
        <w:tab w:val="left" w:pos="1260"/>
        <w:tab w:val="clear" w:pos="1008"/>
      </w:tabs>
      <w:spacing w:before="280" w:afterLines="50" w:line="377" w:lineRule="auto"/>
      <w:ind w:left="1259" w:hanging="1259"/>
      <w:outlineLvl w:val="4"/>
    </w:pPr>
    <w:rPr>
      <w:rFonts w:ascii="Arial" w:hAnsi="Arial" w:eastAsia="黑体"/>
      <w:b w:val="0"/>
      <w:bCs w:val="0"/>
      <w:spacing w:val="10"/>
      <w:sz w:val="28"/>
      <w:szCs w:val="28"/>
    </w:rPr>
  </w:style>
  <w:style w:type="paragraph" w:styleId="10">
    <w:name w:val="heading 6"/>
    <w:basedOn w:val="1"/>
    <w:next w:val="2"/>
    <w:qFormat/>
    <w:uiPriority w:val="0"/>
    <w:pPr>
      <w:keepNext/>
      <w:keepLines/>
      <w:numPr>
        <w:ilvl w:val="5"/>
        <w:numId w:val="1"/>
      </w:numPr>
      <w:tabs>
        <w:tab w:val="left" w:pos="1428"/>
        <w:tab w:val="clear" w:pos="1152"/>
      </w:tabs>
      <w:spacing w:before="240" w:afterLines="50" w:line="319" w:lineRule="auto"/>
      <w:ind w:left="550" w:hanging="550" w:hangingChars="550"/>
      <w:outlineLvl w:val="5"/>
    </w:pPr>
    <w:rPr>
      <w:rFonts w:ascii="Arial" w:hAnsi="Arial" w:eastAsia="黑体"/>
      <w:b w:val="0"/>
      <w:bCs w:val="0"/>
      <w:spacing w:val="10"/>
      <w:sz w:val="24"/>
    </w:rPr>
  </w:style>
  <w:style w:type="paragraph" w:styleId="11">
    <w:name w:val="heading 7"/>
    <w:basedOn w:val="1"/>
    <w:next w:val="2"/>
    <w:qFormat/>
    <w:uiPriority w:val="0"/>
    <w:pPr>
      <w:keepNext/>
      <w:keepLines/>
      <w:numPr>
        <w:ilvl w:val="6"/>
        <w:numId w:val="1"/>
      </w:numPr>
      <w:tabs>
        <w:tab w:val="left" w:pos="1638"/>
        <w:tab w:val="clear" w:pos="1296"/>
      </w:tabs>
      <w:spacing w:before="240" w:afterLines="50" w:line="319" w:lineRule="auto"/>
      <w:ind w:left="1633" w:hanging="1633"/>
      <w:outlineLvl w:val="6"/>
    </w:pPr>
    <w:rPr>
      <w:rFonts w:ascii="Arial" w:hAnsi="Arial" w:eastAsia="黑体"/>
      <w:b w:val="0"/>
      <w:bCs w:val="0"/>
      <w:sz w:val="24"/>
    </w:rPr>
  </w:style>
  <w:style w:type="paragraph" w:styleId="12">
    <w:name w:val="heading 8"/>
    <w:basedOn w:val="1"/>
    <w:next w:val="2"/>
    <w:qFormat/>
    <w:uiPriority w:val="0"/>
    <w:pPr>
      <w:keepNext/>
      <w:keepLines/>
      <w:numPr>
        <w:ilvl w:val="7"/>
        <w:numId w:val="1"/>
      </w:numPr>
      <w:tabs>
        <w:tab w:val="left" w:pos="1800"/>
        <w:tab w:val="clear" w:pos="1440"/>
      </w:tabs>
      <w:spacing w:before="240" w:afterLines="50" w:line="319" w:lineRule="auto"/>
      <w:ind w:left="1797" w:hanging="1797"/>
      <w:outlineLvl w:val="7"/>
    </w:pPr>
    <w:rPr>
      <w:rFonts w:ascii="Arial" w:hAnsi="Arial" w:eastAsia="黑体"/>
      <w:sz w:val="24"/>
    </w:rPr>
  </w:style>
  <w:style w:type="paragraph" w:styleId="13">
    <w:name w:val="heading 9"/>
    <w:basedOn w:val="1"/>
    <w:next w:val="2"/>
    <w:qFormat/>
    <w:uiPriority w:val="0"/>
    <w:pPr>
      <w:keepNext/>
      <w:keepLines/>
      <w:numPr>
        <w:ilvl w:val="8"/>
        <w:numId w:val="1"/>
      </w:numPr>
      <w:tabs>
        <w:tab w:val="left" w:pos="1980"/>
        <w:tab w:val="clear" w:pos="1584"/>
      </w:tabs>
      <w:spacing w:before="240" w:afterLines="50" w:line="319" w:lineRule="auto"/>
      <w:ind w:left="1979" w:hanging="1979"/>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55"/>
    <w:qFormat/>
    <w:uiPriority w:val="0"/>
    <w:pPr>
      <w:ind w:firstLine="420" w:firstLineChars="200"/>
    </w:pPr>
  </w:style>
  <w:style w:type="paragraph" w:styleId="3">
    <w:name w:val="Body Text Indent"/>
    <w:basedOn w:val="1"/>
    <w:next w:val="1"/>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8">
    <w:name w:val="Title"/>
    <w:basedOn w:val="1"/>
    <w:next w:val="1"/>
    <w:link w:val="64"/>
    <w:qFormat/>
    <w:uiPriority w:val="0"/>
    <w:pPr>
      <w:spacing w:before="240" w:after="60"/>
      <w:jc w:val="center"/>
      <w:outlineLvl w:val="0"/>
    </w:pPr>
    <w:rPr>
      <w:rFonts w:ascii="Arial" w:hAnsi="Arial" w:eastAsia="宋体" w:cs="Times New Roman"/>
      <w:sz w:val="32"/>
      <w:szCs w:val="32"/>
    </w:rPr>
  </w:style>
  <w:style w:type="paragraph" w:styleId="14">
    <w:name w:val="caption"/>
    <w:basedOn w:val="1"/>
    <w:next w:val="1"/>
    <w:qFormat/>
    <w:uiPriority w:val="0"/>
    <w:rPr>
      <w:rFonts w:ascii="Arial" w:hAnsi="Arial" w:eastAsia="黑体" w:cs="Arial"/>
      <w:b w:val="0"/>
      <w:bCs w:val="0"/>
      <w:kern w:val="1"/>
      <w:sz w:val="20"/>
      <w:szCs w:val="20"/>
    </w:rPr>
  </w:style>
  <w:style w:type="paragraph" w:styleId="15">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6">
    <w:name w:val="Document Map"/>
    <w:basedOn w:val="1"/>
    <w:semiHidden/>
    <w:qFormat/>
    <w:uiPriority w:val="0"/>
    <w:pPr>
      <w:shd w:val="clear" w:color="auto" w:fill="000080"/>
    </w:pPr>
    <w:rPr>
      <w:rFonts w:ascii="Times New Roman" w:hAnsi="Times New Roman" w:eastAsia="宋体" w:cs="Times New Roman"/>
      <w:b w:val="0"/>
      <w:bCs w:val="0"/>
      <w:color w:val="auto"/>
      <w:kern w:val="2"/>
      <w:szCs w:val="24"/>
    </w:r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58"/>
    <w:semiHidden/>
    <w:qFormat/>
    <w:uiPriority w:val="99"/>
    <w:pPr>
      <w:jc w:val="left"/>
    </w:pPr>
    <w:rPr>
      <w:rFonts w:cs="Times New Roman"/>
    </w:rPr>
  </w:style>
  <w:style w:type="paragraph" w:styleId="19">
    <w:name w:val="Body Text"/>
    <w:basedOn w:val="1"/>
    <w:next w:val="20"/>
    <w:qFormat/>
    <w:uiPriority w:val="0"/>
    <w:pPr>
      <w:spacing w:after="120"/>
    </w:pPr>
    <w:rPr>
      <w:rFonts w:ascii="Times New Roman" w:hAnsi="Times New Roman" w:eastAsia="宋体" w:cs="Times New Roman"/>
      <w:b w:val="0"/>
      <w:bCs w:val="0"/>
      <w:color w:val="auto"/>
      <w:kern w:val="2"/>
      <w:szCs w:val="24"/>
    </w:rPr>
  </w:style>
  <w:style w:type="paragraph" w:styleId="20">
    <w:name w:val="Body Text First Indent"/>
    <w:basedOn w:val="19"/>
    <w:next w:val="21"/>
    <w:qFormat/>
    <w:uiPriority w:val="0"/>
    <w:pPr>
      <w:ind w:firstLine="420"/>
    </w:pPr>
    <w:rPr>
      <w:rFonts w:eastAsia="楷体_GB2312"/>
      <w:sz w:val="32"/>
      <w:szCs w:val="20"/>
    </w:rPr>
  </w:style>
  <w:style w:type="paragraph" w:styleId="21">
    <w:name w:val="toc 6"/>
    <w:basedOn w:val="1"/>
    <w:next w:val="1"/>
    <w:qFormat/>
    <w:uiPriority w:val="0"/>
    <w:pPr>
      <w:ind w:left="2100" w:leftChars="1000"/>
    </w:pPr>
  </w:style>
  <w:style w:type="paragraph" w:styleId="22">
    <w:name w:val="List Number 3"/>
    <w:basedOn w:val="1"/>
    <w:qFormat/>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3">
    <w:name w:val="List Continue"/>
    <w:basedOn w:val="1"/>
    <w:qFormat/>
    <w:uiPriority w:val="0"/>
    <w:pPr>
      <w:spacing w:after="120"/>
      <w:ind w:left="420"/>
    </w:pPr>
    <w:rPr>
      <w:rFonts w:ascii="Times New Roman" w:hAnsi="Times New Roman" w:eastAsia="楷体_GB2312" w:cs="Times New Roman"/>
      <w:b w:val="0"/>
      <w:bCs w:val="0"/>
      <w:color w:val="auto"/>
      <w:kern w:val="2"/>
      <w:sz w:val="32"/>
      <w:szCs w:val="20"/>
    </w:rPr>
  </w:style>
  <w:style w:type="paragraph" w:styleId="24">
    <w:name w:val="Block Text"/>
    <w:basedOn w:val="1"/>
    <w:qFormat/>
    <w:uiPriority w:val="0"/>
    <w:pPr>
      <w:spacing w:after="120"/>
      <w:ind w:left="1440" w:leftChars="700" w:right="1440" w:rightChars="700"/>
    </w:pPr>
    <w:rPr>
      <w:rFonts w:ascii="Times New Roman" w:hAnsi="Times New Roman" w:eastAsia="宋体" w:cs="Times New Roman"/>
      <w:b w:val="0"/>
      <w:bCs w:val="0"/>
      <w:color w:val="auto"/>
      <w:kern w:val="2"/>
      <w:szCs w:val="22"/>
    </w:rPr>
  </w:style>
  <w:style w:type="paragraph" w:styleId="25">
    <w:name w:val="toc 3"/>
    <w:basedOn w:val="1"/>
    <w:next w:val="1"/>
    <w:semiHidden/>
    <w:qFormat/>
    <w:uiPriority w:val="0"/>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26">
    <w:name w:val="Plain Text"/>
    <w:basedOn w:val="1"/>
    <w:next w:val="27"/>
    <w:link w:val="59"/>
    <w:qFormat/>
    <w:uiPriority w:val="0"/>
    <w:rPr>
      <w:rFonts w:ascii="宋体" w:hAnsi="Courier New"/>
      <w:szCs w:val="20"/>
    </w:rPr>
  </w:style>
  <w:style w:type="paragraph" w:styleId="27">
    <w:name w:val="toc 2"/>
    <w:basedOn w:val="1"/>
    <w:next w:val="1"/>
    <w:qFormat/>
    <w:uiPriority w:val="39"/>
    <w:pPr>
      <w:ind w:left="420" w:leftChars="200"/>
    </w:pPr>
    <w:rPr>
      <w:szCs w:val="20"/>
    </w:rPr>
  </w:style>
  <w:style w:type="paragraph" w:styleId="28">
    <w:name w:val="Date"/>
    <w:basedOn w:val="1"/>
    <w:next w:val="1"/>
    <w:qFormat/>
    <w:uiPriority w:val="0"/>
    <w:pPr>
      <w:ind w:left="100" w:leftChars="2500"/>
    </w:pPr>
    <w:rPr>
      <w:sz w:val="24"/>
    </w:rPr>
  </w:style>
  <w:style w:type="paragraph" w:styleId="29">
    <w:name w:val="Body Text Indent 2"/>
    <w:basedOn w:val="1"/>
    <w:qFormat/>
    <w:uiPriority w:val="0"/>
    <w:pPr>
      <w:widowControl/>
      <w:spacing w:line="480" w:lineRule="atLeast"/>
      <w:ind w:firstLine="480"/>
    </w:pPr>
    <w:rPr>
      <w:rFonts w:ascii="宋体"/>
      <w:sz w:val="24"/>
      <w:szCs w:val="20"/>
    </w:rPr>
  </w:style>
  <w:style w:type="paragraph" w:styleId="30">
    <w:name w:val="endnote text"/>
    <w:basedOn w:val="1"/>
    <w:qFormat/>
    <w:uiPriority w:val="99"/>
    <w:rPr>
      <w:rFonts w:ascii="Calibri" w:hAnsi="Calibri" w:cs="Calibri"/>
    </w:rPr>
  </w:style>
  <w:style w:type="paragraph" w:styleId="31">
    <w:name w:val="Balloon Text"/>
    <w:basedOn w:val="1"/>
    <w:semiHidden/>
    <w:qFormat/>
    <w:uiPriority w:val="0"/>
    <w:rPr>
      <w:sz w:val="18"/>
      <w:szCs w:val="18"/>
    </w:rPr>
  </w:style>
  <w:style w:type="paragraph" w:styleId="32">
    <w:name w:val="footer"/>
    <w:basedOn w:val="1"/>
    <w:link w:val="60"/>
    <w:qFormat/>
    <w:uiPriority w:val="0"/>
    <w:pPr>
      <w:tabs>
        <w:tab w:val="center" w:pos="4153"/>
        <w:tab w:val="right" w:pos="8306"/>
      </w:tabs>
      <w:snapToGrid w:val="0"/>
      <w:jc w:val="left"/>
    </w:pPr>
    <w:rPr>
      <w:sz w:val="18"/>
      <w:szCs w:val="18"/>
    </w:rPr>
  </w:style>
  <w:style w:type="paragraph" w:styleId="33">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987"/>
      </w:tabs>
      <w:spacing w:line="360" w:lineRule="atLeast"/>
      <w:jc w:val="center"/>
    </w:pPr>
    <w:rPr>
      <w:rFonts w:ascii="宋体" w:eastAsia="宋体" w:cs="Times New Roman"/>
      <w:bCs w:val="0"/>
      <w:color w:val="auto"/>
      <w:kern w:val="2"/>
      <w:sz w:val="22"/>
      <w:szCs w:val="22"/>
    </w:rPr>
  </w:style>
  <w:style w:type="paragraph" w:styleId="35">
    <w:name w:val="toc 4"/>
    <w:basedOn w:val="1"/>
    <w:next w:val="1"/>
    <w:unhideWhenUsed/>
    <w:qFormat/>
    <w:uiPriority w:val="39"/>
    <w:pPr>
      <w:ind w:left="420"/>
      <w:jc w:val="left"/>
    </w:pPr>
    <w:rPr>
      <w:rFonts w:ascii="Calibri" w:hAnsi="Calibri" w:eastAsia="宋体" w:cs="Calibri"/>
      <w:color w:val="auto"/>
      <w:kern w:val="2"/>
      <w:sz w:val="20"/>
      <w:szCs w:val="20"/>
    </w:rPr>
  </w:style>
  <w:style w:type="paragraph" w:styleId="36">
    <w:name w:val="List"/>
    <w:basedOn w:val="1"/>
    <w:qFormat/>
    <w:uiPriority w:val="0"/>
    <w:pPr>
      <w:ind w:left="420" w:hanging="420"/>
    </w:pPr>
    <w:rPr>
      <w:rFonts w:ascii="Times New Roman" w:hAnsi="Times New Roman" w:eastAsia="楷体_GB2312" w:cs="Times New Roman"/>
      <w:b w:val="0"/>
      <w:bCs w:val="0"/>
      <w:color w:val="auto"/>
      <w:kern w:val="2"/>
      <w:sz w:val="32"/>
      <w:szCs w:val="20"/>
    </w:rPr>
  </w:style>
  <w:style w:type="paragraph" w:styleId="37">
    <w:name w:val="footnote text"/>
    <w:basedOn w:val="1"/>
    <w:link w:val="139"/>
    <w:qFormat/>
    <w:uiPriority w:val="0"/>
    <w:pPr>
      <w:snapToGrid w:val="0"/>
      <w:jc w:val="left"/>
    </w:pPr>
    <w:rPr>
      <w:rFonts w:ascii="Times New Roman" w:hAnsi="Times New Roman" w:eastAsia="宋体" w:cs="Times New Roman"/>
      <w:b w:val="0"/>
      <w:bCs w:val="0"/>
      <w:color w:val="auto"/>
      <w:kern w:val="2"/>
      <w:sz w:val="18"/>
      <w:szCs w:val="24"/>
    </w:rPr>
  </w:style>
  <w:style w:type="paragraph" w:styleId="38">
    <w:name w:val="Body Text Indent 3"/>
    <w:basedOn w:val="1"/>
    <w:link w:val="140"/>
    <w:qFormat/>
    <w:uiPriority w:val="0"/>
    <w:pPr>
      <w:spacing w:after="120"/>
      <w:ind w:left="420" w:leftChars="200"/>
    </w:pPr>
    <w:rPr>
      <w:sz w:val="16"/>
      <w:szCs w:val="16"/>
    </w:rPr>
  </w:style>
  <w:style w:type="paragraph" w:styleId="39">
    <w:name w:val="Body Text 2"/>
    <w:basedOn w:val="1"/>
    <w:qFormat/>
    <w:uiPriority w:val="0"/>
    <w:pPr>
      <w:spacing w:after="120" w:line="480" w:lineRule="auto"/>
    </w:pPr>
    <w:rPr>
      <w:rFonts w:ascii="Times New Roman" w:hAnsi="Times New Roman" w:eastAsia="宋体" w:cs="Times New Roman"/>
      <w:b w:val="0"/>
      <w:bCs w:val="0"/>
      <w:color w:val="auto"/>
      <w:kern w:val="2"/>
      <w:szCs w:val="24"/>
    </w:rPr>
  </w:style>
  <w:style w:type="paragraph" w:styleId="40">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b w:val="0"/>
      <w:bCs w:val="0"/>
      <w:color w:val="auto"/>
      <w:sz w:val="20"/>
      <w:szCs w:val="20"/>
    </w:rPr>
  </w:style>
  <w:style w:type="paragraph" w:styleId="41">
    <w:name w:val="Normal (Web)"/>
    <w:basedOn w:val="1"/>
    <w:link w:val="63"/>
    <w:qFormat/>
    <w:uiPriority w:val="0"/>
    <w:pPr>
      <w:widowControl/>
      <w:spacing w:afterLines="50"/>
      <w:jc w:val="left"/>
    </w:pPr>
    <w:rPr>
      <w:rFonts w:ascii="Times New Roman" w:hAnsi="Times New Roman" w:eastAsia="宋体" w:cs="Times New Roman"/>
      <w:b w:val="0"/>
      <w:bCs w:val="0"/>
      <w:color w:val="auto"/>
      <w:sz w:val="24"/>
      <w:szCs w:val="24"/>
    </w:rPr>
  </w:style>
  <w:style w:type="paragraph" w:styleId="42">
    <w:name w:val="annotation subject"/>
    <w:basedOn w:val="18"/>
    <w:next w:val="18"/>
    <w:semiHidden/>
    <w:qFormat/>
    <w:uiPriority w:val="0"/>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style>
  <w:style w:type="character" w:styleId="50">
    <w:name w:val="Hyperlink"/>
    <w:basedOn w:val="45"/>
    <w:qFormat/>
    <w:uiPriority w:val="99"/>
    <w:rPr>
      <w:color w:val="0000FF"/>
      <w:u w:val="single"/>
    </w:rPr>
  </w:style>
  <w:style w:type="character" w:styleId="51">
    <w:name w:val="annotation reference"/>
    <w:semiHidden/>
    <w:qFormat/>
    <w:uiPriority w:val="99"/>
    <w:rPr>
      <w:sz w:val="21"/>
      <w:szCs w:val="21"/>
    </w:rPr>
  </w:style>
  <w:style w:type="character" w:styleId="52">
    <w:name w:val="HTML Keyboard"/>
    <w:qFormat/>
    <w:uiPriority w:val="0"/>
    <w:rPr>
      <w:rFonts w:ascii="monospace" w:hAnsi="monospace" w:eastAsia="monospace" w:cs="monospace"/>
      <w:sz w:val="21"/>
      <w:szCs w:val="21"/>
    </w:rPr>
  </w:style>
  <w:style w:type="character" w:styleId="53">
    <w:name w:val="HTML Sample"/>
    <w:basedOn w:val="45"/>
    <w:semiHidden/>
    <w:unhideWhenUsed/>
    <w:qFormat/>
    <w:uiPriority w:val="0"/>
    <w:rPr>
      <w:rFonts w:ascii="Courier New" w:hAnsi="Courier New"/>
    </w:rPr>
  </w:style>
  <w:style w:type="character" w:customStyle="1" w:styleId="54">
    <w:name w:val="标题 1 Char"/>
    <w:link w:val="4"/>
    <w:qFormat/>
    <w:uiPriority w:val="0"/>
    <w:rPr>
      <w:rFonts w:ascii="Arial" w:hAnsi="Arial" w:eastAsia="黑体" w:cs="宋体"/>
      <w:color w:val="000000"/>
      <w:spacing w:val="20"/>
      <w:kern w:val="44"/>
      <w:sz w:val="36"/>
      <w:szCs w:val="44"/>
      <w:lang w:val="en-US" w:eastAsia="zh-CN" w:bidi="ar-SA"/>
    </w:rPr>
  </w:style>
  <w:style w:type="character" w:customStyle="1" w:styleId="55">
    <w:name w:val="正文缩进 Char"/>
    <w:link w:val="2"/>
    <w:qFormat/>
    <w:uiPriority w:val="0"/>
    <w:rPr>
      <w:rFonts w:ascii="仿宋_GB2312" w:hAnsi="宋体" w:eastAsia="仿宋_GB2312" w:cs="宋体"/>
      <w:b/>
      <w:bCs/>
      <w:color w:val="000000"/>
      <w:sz w:val="21"/>
      <w:szCs w:val="21"/>
      <w:lang w:val="en-US" w:eastAsia="zh-CN" w:bidi="ar-SA"/>
    </w:rPr>
  </w:style>
  <w:style w:type="character" w:customStyle="1" w:styleId="56">
    <w:name w:val="标题 2 Char"/>
    <w:link w:val="5"/>
    <w:qFormat/>
    <w:uiPriority w:val="0"/>
    <w:rPr>
      <w:rFonts w:ascii="Arial" w:hAnsi="Arial" w:eastAsia="黑体" w:cs="宋体"/>
      <w:color w:val="000000"/>
      <w:spacing w:val="20"/>
      <w:sz w:val="32"/>
      <w:szCs w:val="32"/>
      <w:lang w:val="en-US" w:eastAsia="zh-CN" w:bidi="ar-SA"/>
    </w:rPr>
  </w:style>
  <w:style w:type="character" w:customStyle="1" w:styleId="57">
    <w:name w:val="标题 3 Char"/>
    <w:link w:val="6"/>
    <w:qFormat/>
    <w:uiPriority w:val="0"/>
    <w:rPr>
      <w:rFonts w:ascii="Arial" w:hAnsi="Arial" w:eastAsia="黑体" w:cs="宋体"/>
      <w:color w:val="000000"/>
      <w:spacing w:val="20"/>
      <w:sz w:val="30"/>
      <w:szCs w:val="32"/>
      <w:lang w:val="en-US" w:eastAsia="zh-CN" w:bidi="ar-SA"/>
    </w:rPr>
  </w:style>
  <w:style w:type="character" w:customStyle="1" w:styleId="58">
    <w:name w:val="批注文字 Char"/>
    <w:link w:val="18"/>
    <w:semiHidden/>
    <w:qFormat/>
    <w:uiPriority w:val="99"/>
    <w:rPr>
      <w:rFonts w:ascii="仿宋_GB2312" w:hAnsi="宋体" w:eastAsia="仿宋_GB2312" w:cs="宋体"/>
      <w:b/>
      <w:bCs/>
      <w:color w:val="000000"/>
      <w:sz w:val="21"/>
      <w:szCs w:val="21"/>
    </w:rPr>
  </w:style>
  <w:style w:type="character" w:customStyle="1" w:styleId="59">
    <w:name w:val="纯文本 Char2"/>
    <w:link w:val="26"/>
    <w:qFormat/>
    <w:uiPriority w:val="0"/>
    <w:rPr>
      <w:rFonts w:ascii="宋体" w:hAnsi="Courier New" w:eastAsia="仿宋_GB2312" w:cs="宋体"/>
      <w:b/>
      <w:bCs/>
      <w:color w:val="000000"/>
      <w:sz w:val="21"/>
      <w:lang w:val="en-US" w:eastAsia="zh-CN" w:bidi="ar-SA"/>
    </w:rPr>
  </w:style>
  <w:style w:type="character" w:customStyle="1" w:styleId="60">
    <w:name w:val="页脚 Char"/>
    <w:link w:val="32"/>
    <w:qFormat/>
    <w:uiPriority w:val="0"/>
    <w:rPr>
      <w:rFonts w:ascii="仿宋_GB2312" w:hAnsi="宋体" w:eastAsia="仿宋_GB2312" w:cs="宋体"/>
      <w:b/>
      <w:bCs/>
      <w:color w:val="000000"/>
      <w:sz w:val="18"/>
      <w:szCs w:val="18"/>
      <w:lang w:val="en-US" w:eastAsia="zh-CN" w:bidi="ar-SA"/>
    </w:rPr>
  </w:style>
  <w:style w:type="character" w:customStyle="1" w:styleId="61">
    <w:name w:val="页眉 Char"/>
    <w:link w:val="33"/>
    <w:qFormat/>
    <w:uiPriority w:val="0"/>
    <w:rPr>
      <w:rFonts w:ascii="仿宋_GB2312" w:hAnsi="宋体" w:eastAsia="仿宋_GB2312" w:cs="宋体"/>
      <w:b/>
      <w:bCs/>
      <w:color w:val="000000"/>
      <w:sz w:val="18"/>
      <w:szCs w:val="18"/>
      <w:lang w:val="en-US" w:eastAsia="zh-CN" w:bidi="ar-SA"/>
    </w:rPr>
  </w:style>
  <w:style w:type="character" w:customStyle="1" w:styleId="62">
    <w:name w:val="HTML 预设格式 Char"/>
    <w:link w:val="40"/>
    <w:qFormat/>
    <w:uiPriority w:val="0"/>
    <w:rPr>
      <w:rFonts w:ascii="黑体" w:hAnsi="Courier New" w:eastAsia="黑体" w:cs="Courier New"/>
    </w:rPr>
  </w:style>
  <w:style w:type="character" w:customStyle="1" w:styleId="63">
    <w:name w:val="普通(网站) Char"/>
    <w:link w:val="41"/>
    <w:qFormat/>
    <w:uiPriority w:val="0"/>
    <w:rPr>
      <w:rFonts w:eastAsia="宋体"/>
      <w:sz w:val="24"/>
      <w:szCs w:val="24"/>
      <w:lang w:val="en-US" w:eastAsia="zh-CN" w:bidi="ar-SA"/>
    </w:rPr>
  </w:style>
  <w:style w:type="character" w:customStyle="1" w:styleId="64">
    <w:name w:val="标题 Char"/>
    <w:link w:val="8"/>
    <w:qFormat/>
    <w:uiPriority w:val="0"/>
    <w:rPr>
      <w:rFonts w:ascii="Arial" w:hAnsi="Arial" w:cs="Arial"/>
      <w:b/>
      <w:bCs/>
      <w:color w:val="000000"/>
      <w:sz w:val="32"/>
      <w:szCs w:val="32"/>
    </w:rPr>
  </w:style>
  <w:style w:type="character" w:customStyle="1" w:styleId="65">
    <w:name w:val="普通文字 Char Char1"/>
    <w:qFormat/>
    <w:uiPriority w:val="0"/>
    <w:rPr>
      <w:rFonts w:ascii="宋体" w:hAnsi="Courier New" w:eastAsia="仿宋_GB2312" w:cs="宋体"/>
      <w:b/>
      <w:bCs/>
      <w:color w:val="000000"/>
      <w:sz w:val="21"/>
      <w:lang w:val="en-US" w:eastAsia="zh-CN" w:bidi="ar-SA"/>
    </w:rPr>
  </w:style>
  <w:style w:type="character" w:customStyle="1" w:styleId="66">
    <w:name w:val="style11"/>
    <w:qFormat/>
    <w:uiPriority w:val="0"/>
    <w:rPr>
      <w:sz w:val="18"/>
      <w:szCs w:val="18"/>
    </w:rPr>
  </w:style>
  <w:style w:type="character" w:customStyle="1" w:styleId="67">
    <w:name w:val="Char Char2"/>
    <w:qFormat/>
    <w:uiPriority w:val="0"/>
    <w:rPr>
      <w:rFonts w:eastAsia="宋体"/>
      <w:kern w:val="2"/>
      <w:sz w:val="18"/>
      <w:szCs w:val="18"/>
      <w:lang w:val="en-US" w:eastAsia="zh-CN" w:bidi="ar-SA"/>
    </w:rPr>
  </w:style>
  <w:style w:type="character" w:customStyle="1" w:styleId="68">
    <w:name w:val="ca-6"/>
    <w:basedOn w:val="45"/>
    <w:qFormat/>
    <w:uiPriority w:val="0"/>
  </w:style>
  <w:style w:type="character" w:customStyle="1" w:styleId="69">
    <w:name w:val="unnamed11"/>
    <w:qFormat/>
    <w:uiPriority w:val="0"/>
    <w:rPr>
      <w:color w:val="000000"/>
      <w:sz w:val="20"/>
      <w:szCs w:val="20"/>
    </w:rPr>
  </w:style>
  <w:style w:type="character" w:customStyle="1" w:styleId="70">
    <w:name w:val="Texte Char Char"/>
    <w:qFormat/>
    <w:uiPriority w:val="0"/>
    <w:rPr>
      <w:rFonts w:ascii="宋体" w:hAnsi="Courier New" w:eastAsia="仿宋_GB2312" w:cs="宋体"/>
      <w:b/>
      <w:bCs/>
      <w:color w:val="000000"/>
      <w:sz w:val="21"/>
      <w:lang w:val="en-US" w:eastAsia="zh-CN" w:bidi="ar-SA"/>
    </w:rPr>
  </w:style>
  <w:style w:type="character" w:customStyle="1" w:styleId="71">
    <w:name w:val="纯文本 Char"/>
    <w:qFormat/>
    <w:uiPriority w:val="0"/>
    <w:rPr>
      <w:rFonts w:ascii="宋体" w:hAnsi="Courier New" w:eastAsia="宋体"/>
      <w:kern w:val="2"/>
      <w:sz w:val="21"/>
      <w:szCs w:val="21"/>
      <w:lang w:bidi="ar-SA"/>
    </w:rPr>
  </w:style>
  <w:style w:type="character" w:customStyle="1" w:styleId="72">
    <w:name w:val="f10"/>
    <w:basedOn w:val="45"/>
    <w:qFormat/>
    <w:uiPriority w:val="0"/>
  </w:style>
  <w:style w:type="character" w:customStyle="1" w:styleId="73">
    <w:name w:val="ca-2"/>
    <w:basedOn w:val="45"/>
    <w:qFormat/>
    <w:uiPriority w:val="0"/>
  </w:style>
  <w:style w:type="character" w:customStyle="1" w:styleId="74">
    <w:name w:val="缩进2字符 Char"/>
    <w:link w:val="75"/>
    <w:qFormat/>
    <w:locked/>
    <w:uiPriority w:val="0"/>
    <w:rPr>
      <w:rFonts w:ascii="仿宋_GB2312" w:hAnsi="仿宋_GB2312" w:eastAsia="仿宋_GB2312" w:cs="Arial"/>
      <w:snapToGrid w:val="0"/>
      <w:color w:val="000000"/>
      <w:sz w:val="28"/>
      <w:szCs w:val="28"/>
      <w:lang w:bidi="ar-SA"/>
    </w:rPr>
  </w:style>
  <w:style w:type="paragraph" w:customStyle="1" w:styleId="75">
    <w:name w:val="缩进2字符"/>
    <w:basedOn w:val="1"/>
    <w:link w:val="74"/>
    <w:qFormat/>
    <w:uiPriority w:val="0"/>
    <w:pPr>
      <w:widowControl/>
      <w:ind w:firstLine="200" w:firstLineChars="200"/>
      <w:jc w:val="left"/>
    </w:pPr>
    <w:rPr>
      <w:rFonts w:hAnsi="仿宋_GB2312" w:cs="Arial"/>
      <w:b w:val="0"/>
      <w:bCs w:val="0"/>
      <w:snapToGrid w:val="0"/>
      <w:sz w:val="28"/>
      <w:szCs w:val="28"/>
    </w:rPr>
  </w:style>
  <w:style w:type="character" w:customStyle="1" w:styleId="76">
    <w:name w:val="ca-11"/>
    <w:qFormat/>
    <w:uiPriority w:val="0"/>
    <w:rPr>
      <w:rFonts w:hint="eastAsia" w:ascii="宋体" w:hAnsi="宋体" w:eastAsia="宋体"/>
      <w:sz w:val="18"/>
      <w:szCs w:val="18"/>
    </w:rPr>
  </w:style>
  <w:style w:type="character" w:customStyle="1" w:styleId="77">
    <w:name w:val="标题 Char1"/>
    <w:qFormat/>
    <w:locked/>
    <w:uiPriority w:val="0"/>
    <w:rPr>
      <w:rFonts w:ascii="Arial" w:hAnsi="Arial" w:cs="Arial"/>
      <w:b/>
      <w:bCs/>
      <w:color w:val="000000"/>
      <w:sz w:val="32"/>
      <w:szCs w:val="32"/>
    </w:rPr>
  </w:style>
  <w:style w:type="character" w:customStyle="1" w:styleId="78">
    <w:name w:val="ca-3"/>
    <w:basedOn w:val="45"/>
    <w:qFormat/>
    <w:uiPriority w:val="0"/>
  </w:style>
  <w:style w:type="character" w:customStyle="1" w:styleId="79">
    <w:name w:val="NormalCharacter"/>
    <w:qFormat/>
    <w:uiPriority w:val="0"/>
  </w:style>
  <w:style w:type="character" w:customStyle="1" w:styleId="80">
    <w:name w:val="纯文本 Char1"/>
    <w:qFormat/>
    <w:uiPriority w:val="0"/>
    <w:rPr>
      <w:rFonts w:ascii="宋体" w:hAnsi="Courier New" w:eastAsia="仿宋_GB2312" w:cs="宋体"/>
      <w:b/>
      <w:bCs/>
      <w:color w:val="000000"/>
      <w:sz w:val="21"/>
      <w:lang w:val="en-US" w:eastAsia="zh-CN" w:bidi="ar-SA"/>
    </w:rPr>
  </w:style>
  <w:style w:type="character" w:customStyle="1" w:styleId="81">
    <w:name w:val="para"/>
    <w:basedOn w:val="45"/>
    <w:qFormat/>
    <w:uiPriority w:val="0"/>
  </w:style>
  <w:style w:type="character" w:customStyle="1" w:styleId="82">
    <w:name w:val="表格文本 Char"/>
    <w:link w:val="83"/>
    <w:qFormat/>
    <w:locked/>
    <w:uiPriority w:val="0"/>
    <w:rPr>
      <w:rFonts w:ascii="宋体" w:hAnsi="宋体" w:eastAsia="宋体" w:cs="Arial"/>
      <w:snapToGrid w:val="0"/>
      <w:szCs w:val="21"/>
      <w:lang w:bidi="ar-SA"/>
    </w:rPr>
  </w:style>
  <w:style w:type="paragraph" w:customStyle="1" w:styleId="83">
    <w:name w:val="表格文本"/>
    <w:basedOn w:val="1"/>
    <w:link w:val="82"/>
    <w:qFormat/>
    <w:uiPriority w:val="0"/>
    <w:pPr>
      <w:snapToGrid w:val="0"/>
      <w:jc w:val="left"/>
    </w:pPr>
    <w:rPr>
      <w:rFonts w:ascii="宋体" w:eastAsia="宋体" w:cs="Arial"/>
      <w:b w:val="0"/>
      <w:bCs w:val="0"/>
      <w:snapToGrid w:val="0"/>
      <w:color w:val="auto"/>
      <w:sz w:val="20"/>
    </w:rPr>
  </w:style>
  <w:style w:type="character" w:customStyle="1" w:styleId="84">
    <w:name w:val="ca-8"/>
    <w:basedOn w:val="45"/>
    <w:qFormat/>
    <w:uiPriority w:val="0"/>
  </w:style>
  <w:style w:type="character" w:customStyle="1" w:styleId="85">
    <w:name w:val="smalltxt1"/>
    <w:qFormat/>
    <w:uiPriority w:val="0"/>
    <w:rPr>
      <w:rFonts w:hint="default" w:ascii="ˎ̥" w:hAnsi="ˎ̥" w:eastAsia="仿宋_GB2312"/>
      <w:b/>
      <w:sz w:val="24"/>
      <w:szCs w:val="24"/>
    </w:rPr>
  </w:style>
  <w:style w:type="character" w:customStyle="1" w:styleId="86">
    <w:name w:val="Char Char1"/>
    <w:qFormat/>
    <w:uiPriority w:val="0"/>
    <w:rPr>
      <w:rFonts w:ascii="宋体" w:hAnsi="Courier New" w:eastAsia="仿宋_GB2312" w:cs="宋体"/>
      <w:b/>
      <w:bCs/>
      <w:color w:val="000000"/>
      <w:sz w:val="21"/>
      <w:lang w:val="en-US" w:eastAsia="zh-CN" w:bidi="ar-SA"/>
    </w:rPr>
  </w:style>
  <w:style w:type="character" w:customStyle="1" w:styleId="87">
    <w:name w:val="Char Char"/>
    <w:qFormat/>
    <w:uiPriority w:val="0"/>
    <w:rPr>
      <w:rFonts w:ascii="宋体" w:hAnsi="Courier New" w:eastAsia="仿宋_GB2312"/>
      <w:b/>
      <w:color w:val="000000"/>
      <w:sz w:val="21"/>
      <w:lang w:val="en-US" w:eastAsia="zh-CN"/>
    </w:rPr>
  </w:style>
  <w:style w:type="character" w:customStyle="1" w:styleId="88">
    <w:name w:val="apple-converted-space"/>
    <w:basedOn w:val="45"/>
    <w:qFormat/>
    <w:uiPriority w:val="0"/>
  </w:style>
  <w:style w:type="character" w:customStyle="1" w:styleId="89">
    <w:name w:val="bigtitle1"/>
    <w:qFormat/>
    <w:uiPriority w:val="0"/>
    <w:rPr>
      <w:sz w:val="28"/>
      <w:szCs w:val="28"/>
    </w:rPr>
  </w:style>
  <w:style w:type="character" w:customStyle="1" w:styleId="90">
    <w:name w:val="Char Char4"/>
    <w:qFormat/>
    <w:uiPriority w:val="0"/>
    <w:rPr>
      <w:rFonts w:eastAsia="宋体"/>
      <w:sz w:val="18"/>
      <w:szCs w:val="18"/>
      <w:lang w:val="en-US" w:eastAsia="zh-CN" w:bidi="ar-SA"/>
    </w:rPr>
  </w:style>
  <w:style w:type="character" w:customStyle="1" w:styleId="91">
    <w:name w:val="样式3 Char"/>
    <w:link w:val="92"/>
    <w:qFormat/>
    <w:uiPriority w:val="0"/>
    <w:rPr>
      <w:rFonts w:eastAsia="黑体"/>
      <w:kern w:val="2"/>
      <w:sz w:val="28"/>
      <w:szCs w:val="21"/>
      <w:lang w:val="en-US" w:eastAsia="zh-CN" w:bidi="ar-SA"/>
    </w:rPr>
  </w:style>
  <w:style w:type="paragraph" w:customStyle="1" w:styleId="92">
    <w:name w:val="样式3"/>
    <w:basedOn w:val="1"/>
    <w:link w:val="91"/>
    <w:qFormat/>
    <w:uiPriority w:val="0"/>
    <w:pPr>
      <w:snapToGrid w:val="0"/>
      <w:outlineLvl w:val="2"/>
    </w:pPr>
    <w:rPr>
      <w:rFonts w:ascii="Times New Roman" w:hAnsi="Times New Roman" w:eastAsia="黑体" w:cs="Times New Roman"/>
      <w:b w:val="0"/>
      <w:bCs w:val="0"/>
      <w:color w:val="auto"/>
      <w:kern w:val="2"/>
      <w:sz w:val="28"/>
    </w:rPr>
  </w:style>
  <w:style w:type="character" w:customStyle="1" w:styleId="93">
    <w:name w:val="unnamed51"/>
    <w:qFormat/>
    <w:uiPriority w:val="0"/>
    <w:rPr>
      <w:sz w:val="22"/>
      <w:szCs w:val="22"/>
    </w:rPr>
  </w:style>
  <w:style w:type="paragraph" w:customStyle="1" w:styleId="94">
    <w:name w:val="默认段落字体 Para Char"/>
    <w:basedOn w:val="1"/>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95">
    <w:name w:val="Char Char Char Char Char Char Char Char Char Char Char Char"/>
    <w:basedOn w:val="1"/>
    <w:qFormat/>
    <w:uiPriority w:val="0"/>
    <w:pPr>
      <w:spacing w:line="300" w:lineRule="auto"/>
    </w:pPr>
    <w:rPr>
      <w:rFonts w:ascii="宋体" w:eastAsia="宋体" w:cs="Times New Roman"/>
      <w:spacing w:val="8"/>
      <w:sz w:val="24"/>
      <w:szCs w:val="24"/>
    </w:rPr>
  </w:style>
  <w:style w:type="paragraph" w:customStyle="1" w:styleId="96">
    <w:name w:val="Char Char Char Char"/>
    <w:basedOn w:val="16"/>
    <w:qFormat/>
    <w:uiPriority w:val="0"/>
    <w:rPr>
      <w:rFonts w:ascii="Tahoma" w:hAnsi="Tahoma"/>
      <w:sz w:val="24"/>
    </w:rPr>
  </w:style>
  <w:style w:type="paragraph" w:customStyle="1" w:styleId="97">
    <w:name w:val="Char"/>
    <w:basedOn w:val="1"/>
    <w:qFormat/>
    <w:uiPriority w:val="0"/>
    <w:rPr>
      <w:rFonts w:hAnsi="Times New Roman" w:cs="Times New Roman"/>
      <w:bCs w:val="0"/>
      <w:color w:val="auto"/>
      <w:kern w:val="2"/>
      <w:sz w:val="32"/>
      <w:szCs w:val="32"/>
    </w:rPr>
  </w:style>
  <w:style w:type="paragraph" w:customStyle="1" w:styleId="98">
    <w:name w:val="Char2"/>
    <w:basedOn w:val="1"/>
    <w:qFormat/>
    <w:uiPriority w:val="0"/>
    <w:rPr>
      <w:b w:val="0"/>
      <w:sz w:val="32"/>
      <w:szCs w:val="32"/>
    </w:rPr>
  </w:style>
  <w:style w:type="paragraph" w:customStyle="1" w:styleId="99">
    <w:name w:val="默认段落字体 Para Char Char Char Char"/>
    <w:basedOn w:val="1"/>
    <w:qFormat/>
    <w:uiPriority w:val="0"/>
    <w:rPr>
      <w:rFonts w:ascii="Times New Roman" w:hAnsi="Times New Roman" w:eastAsia="宋体" w:cs="Times New Roman"/>
      <w:b w:val="0"/>
      <w:bCs w:val="0"/>
      <w:color w:val="auto"/>
      <w:kern w:val="2"/>
      <w:szCs w:val="24"/>
    </w:rPr>
  </w:style>
  <w:style w:type="paragraph" w:customStyle="1" w:styleId="100">
    <w:name w:val="样式1"/>
    <w:basedOn w:val="5"/>
    <w:qFormat/>
    <w:uiPriority w:val="0"/>
    <w:pPr>
      <w:numPr>
        <w:ilvl w:val="0"/>
        <w:numId w:val="0"/>
      </w:numPr>
      <w:tabs>
        <w:tab w:val="left" w:pos="2340"/>
        <w:tab w:val="left" w:pos="2700"/>
        <w:tab w:val="left" w:pos="2880"/>
        <w:tab w:val="left" w:pos="3060"/>
        <w:tab w:val="left" w:pos="3240"/>
        <w:tab w:val="left" w:pos="3420"/>
        <w:tab w:val="left" w:pos="3780"/>
      </w:tabs>
      <w:spacing w:before="120" w:afterLines="0" w:line="360" w:lineRule="auto"/>
    </w:pPr>
    <w:rPr>
      <w:rFonts w:eastAsia="Arial" w:cs="Times New Roman"/>
      <w:b/>
      <w:bCs/>
      <w:spacing w:val="0"/>
      <w:kern w:val="2"/>
    </w:rPr>
  </w:style>
  <w:style w:type="paragraph" w:customStyle="1" w:styleId="101">
    <w:name w:val="pa-2"/>
    <w:basedOn w:val="1"/>
    <w:qFormat/>
    <w:uiPriority w:val="0"/>
    <w:pPr>
      <w:widowControl/>
      <w:spacing w:line="240" w:lineRule="atLeast"/>
      <w:ind w:firstLine="440"/>
    </w:pPr>
    <w:rPr>
      <w:rFonts w:ascii="宋体" w:eastAsia="宋体"/>
      <w:b w:val="0"/>
      <w:bCs w:val="0"/>
      <w:color w:val="auto"/>
      <w:sz w:val="24"/>
      <w:szCs w:val="24"/>
    </w:rPr>
  </w:style>
  <w:style w:type="paragraph" w:customStyle="1" w:styleId="102">
    <w:name w:val="Char1"/>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03">
    <w:name w:val="Char1 Char Char Char"/>
    <w:basedOn w:val="1"/>
    <w:qFormat/>
    <w:uiPriority w:val="0"/>
    <w:rPr>
      <w:rFonts w:hAnsi="Times New Roman" w:cs="Times New Roman"/>
      <w:bCs w:val="0"/>
      <w:color w:val="auto"/>
      <w:kern w:val="2"/>
      <w:sz w:val="32"/>
      <w:szCs w:val="32"/>
    </w:rPr>
  </w:style>
  <w:style w:type="paragraph" w:customStyle="1" w:styleId="104">
    <w:name w:val="Body Text(ch)"/>
    <w:basedOn w:val="1"/>
    <w:next w:val="19"/>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105">
    <w:name w:val="Char Char Char Char1"/>
    <w:basedOn w:val="1"/>
    <w:semiHidden/>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106">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cs="Times New Roman"/>
      <w:b w:val="0"/>
      <w:bCs w:val="0"/>
      <w:color w:val="auto"/>
      <w:sz w:val="22"/>
      <w:szCs w:val="20"/>
      <w:lang w:val="de-DE" w:eastAsia="zh-TW"/>
    </w:rPr>
  </w:style>
  <w:style w:type="paragraph" w:customStyle="1" w:styleId="10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108">
    <w:name w:val="Char Char1 Char Char Char Char Char Char Char Char Char Char"/>
    <w:basedOn w:val="1"/>
    <w:qFormat/>
    <w:uiPriority w:val="0"/>
    <w:rPr>
      <w:rFonts w:ascii="Tahoma" w:hAnsi="Tahoma"/>
      <w:sz w:val="24"/>
      <w:szCs w:val="20"/>
    </w:rPr>
  </w:style>
  <w:style w:type="paragraph" w:customStyle="1" w:styleId="109">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10">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111">
    <w:name w:val="Char Char Char"/>
    <w:basedOn w:val="1"/>
    <w:qFormat/>
    <w:uiPriority w:val="0"/>
    <w:rPr>
      <w:rFonts w:ascii="Tahoma" w:hAnsi="Tahoma" w:eastAsia="宋体" w:cs="Times New Roman"/>
      <w:b w:val="0"/>
      <w:bCs w:val="0"/>
      <w:color w:val="auto"/>
      <w:kern w:val="2"/>
      <w:sz w:val="24"/>
      <w:szCs w:val="20"/>
    </w:rPr>
  </w:style>
  <w:style w:type="paragraph" w:customStyle="1" w:styleId="112">
    <w:name w:val="List Paragraph1"/>
    <w:basedOn w:val="1"/>
    <w:qFormat/>
    <w:uiPriority w:val="0"/>
    <w:pPr>
      <w:ind w:firstLine="420" w:firstLineChars="200"/>
    </w:pPr>
    <w:rPr>
      <w:rFonts w:cs="仿宋_GB2312"/>
    </w:rPr>
  </w:style>
  <w:style w:type="paragraph" w:customStyle="1" w:styleId="113">
    <w:name w:val="列出段落3"/>
    <w:basedOn w:val="1"/>
    <w:qFormat/>
    <w:uiPriority w:val="0"/>
    <w:pPr>
      <w:spacing w:line="360" w:lineRule="auto"/>
      <w:ind w:firstLine="420" w:firstLineChars="200"/>
    </w:pPr>
    <w:rPr>
      <w:rFonts w:ascii="Calibri" w:hAnsi="Calibri" w:eastAsia="宋体" w:cs="Times New Roman"/>
      <w:b w:val="0"/>
      <w:bCs w:val="0"/>
      <w:color w:val="auto"/>
      <w:kern w:val="2"/>
      <w:sz w:val="24"/>
      <w:szCs w:val="22"/>
    </w:rPr>
  </w:style>
  <w:style w:type="paragraph" w:customStyle="1" w:styleId="114">
    <w:name w:val="默认段落字体 Para Char Char Char Char Char Char Char Char Char1 Char Char Char Char Char Char Char"/>
    <w:basedOn w:val="16"/>
    <w:qFormat/>
    <w:uiPriority w:val="0"/>
    <w:rPr>
      <w:rFonts w:ascii="Tahoma" w:hAnsi="Tahoma"/>
      <w:sz w:val="24"/>
    </w:rPr>
  </w:style>
  <w:style w:type="paragraph" w:customStyle="1" w:styleId="115">
    <w:name w:val="Char Char Char Char Char Char Char"/>
    <w:basedOn w:val="1"/>
    <w:qFormat/>
    <w:uiPriority w:val="0"/>
    <w:pPr>
      <w:tabs>
        <w:tab w:val="left" w:pos="432"/>
      </w:tabs>
      <w:ind w:left="432" w:hanging="432"/>
    </w:pPr>
    <w:rPr>
      <w:rFonts w:ascii="Tahoma" w:hAnsi="Tahoma" w:eastAsia="宋体" w:cs="Times New Roman"/>
      <w:b w:val="0"/>
      <w:bCs w:val="0"/>
      <w:color w:val="auto"/>
      <w:kern w:val="2"/>
      <w:sz w:val="24"/>
      <w:szCs w:val="20"/>
    </w:rPr>
  </w:style>
  <w:style w:type="paragraph" w:customStyle="1" w:styleId="116">
    <w:name w:val="[Normal]"/>
    <w:qFormat/>
    <w:uiPriority w:val="99"/>
    <w:rPr>
      <w:rFonts w:ascii="宋体" w:hAnsi="宋体" w:eastAsia="宋体" w:cs="Times New Roman"/>
      <w:sz w:val="24"/>
      <w:szCs w:val="22"/>
      <w:lang w:val="zh-CN" w:eastAsia="zh-CN" w:bidi="ar-SA"/>
    </w:rPr>
  </w:style>
  <w:style w:type="paragraph" w:customStyle="1" w:styleId="117">
    <w:name w:val="标题5"/>
    <w:basedOn w:val="1"/>
    <w:qFormat/>
    <w:uiPriority w:val="0"/>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18">
    <w:name w:val="Numbered list 2.3"/>
    <w:basedOn w:val="6"/>
    <w:next w:val="1"/>
    <w:qFormat/>
    <w:uiPriority w:val="0"/>
    <w:pPr>
      <w:keepLines w:val="0"/>
      <w:widowControl/>
      <w:numPr>
        <w:ilvl w:val="0"/>
        <w:numId w:val="0"/>
      </w:numPr>
      <w:tabs>
        <w:tab w:val="left" w:pos="360"/>
        <w:tab w:val="left" w:pos="705"/>
        <w:tab w:val="left" w:pos="1080"/>
        <w:tab w:val="clear" w:pos="720"/>
      </w:tabs>
      <w:spacing w:before="240" w:afterLines="0" w:line="240" w:lineRule="auto"/>
      <w:ind w:left="720" w:hanging="720"/>
      <w:jc w:val="left"/>
    </w:pPr>
    <w:rPr>
      <w:rFonts w:eastAsia="宋体" w:cs="Times New Roman"/>
      <w:bCs/>
      <w:iCs/>
      <w:color w:val="auto"/>
      <w:spacing w:val="0"/>
      <w:sz w:val="28"/>
      <w:szCs w:val="24"/>
    </w:rPr>
  </w:style>
  <w:style w:type="paragraph" w:customStyle="1" w:styleId="119">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120">
    <w:name w:val="样式 宋体 小四 首行缩进:  0.93 厘米 段前: 11.15 磅 段后: 11.15 磅1"/>
    <w:basedOn w:val="1"/>
    <w:qFormat/>
    <w:uiPriority w:val="0"/>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21">
    <w:name w:val="Char Char1 Char Char Char Char Char Char"/>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22">
    <w:name w:val="Char3"/>
    <w:basedOn w:val="1"/>
    <w:qFormat/>
    <w:uiPriority w:val="0"/>
    <w:rPr>
      <w:rFonts w:ascii="Times New Roman" w:hAnsi="Times New Roman" w:eastAsia="宋体" w:cs="Times New Roman"/>
      <w:b w:val="0"/>
      <w:bCs w:val="0"/>
      <w:color w:val="auto"/>
      <w:kern w:val="2"/>
      <w:szCs w:val="20"/>
    </w:rPr>
  </w:style>
  <w:style w:type="paragraph" w:customStyle="1" w:styleId="123">
    <w:name w:val="style31"/>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24">
    <w:name w:val="正文段"/>
    <w:basedOn w:val="1"/>
    <w:qFormat/>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1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styleId="126">
    <w:name w:val="List Paragraph"/>
    <w:basedOn w:val="1"/>
    <w:qFormat/>
    <w:uiPriority w:val="34"/>
    <w:pPr>
      <w:ind w:firstLine="420" w:firstLineChars="200"/>
    </w:pPr>
    <w:rPr>
      <w:rFonts w:ascii="Calibri" w:hAnsi="Calibri" w:eastAsia="宋体" w:cs="Times New Roman"/>
      <w:b w:val="0"/>
      <w:bCs w:val="0"/>
      <w:color w:val="auto"/>
      <w:kern w:val="2"/>
      <w:szCs w:val="22"/>
    </w:rPr>
  </w:style>
  <w:style w:type="paragraph" w:customStyle="1" w:styleId="127">
    <w:name w:val="正文－恩普"/>
    <w:basedOn w:val="2"/>
    <w:qFormat/>
    <w:uiPriority w:val="0"/>
    <w:pPr>
      <w:widowControl/>
      <w:spacing w:before="100" w:beforeAutospacing="1" w:afterLines="50" w:afterAutospacing="1" w:line="360" w:lineRule="auto"/>
      <w:ind w:firstLine="480"/>
      <w:jc w:val="left"/>
    </w:pPr>
    <w:rPr>
      <w:sz w:val="24"/>
      <w:szCs w:val="20"/>
    </w:rPr>
  </w:style>
  <w:style w:type="paragraph" w:customStyle="1" w:styleId="128">
    <w:name w:val="Char1 Char Char Char Char Char"/>
    <w:basedOn w:val="1"/>
    <w:qFormat/>
    <w:uiPriority w:val="0"/>
    <w:rPr>
      <w:rFonts w:ascii="Times New Roman" w:hAnsi="Times New Roman" w:eastAsia="宋体" w:cs="Times New Roman"/>
      <w:b w:val="0"/>
      <w:bCs w:val="0"/>
      <w:color w:val="auto"/>
      <w:kern w:val="2"/>
      <w:szCs w:val="24"/>
    </w:rPr>
  </w:style>
  <w:style w:type="paragraph" w:customStyle="1" w:styleId="129">
    <w:name w:val="Char Char Char1"/>
    <w:basedOn w:val="16"/>
    <w:qFormat/>
    <w:uiPriority w:val="0"/>
    <w:rPr>
      <w:rFonts w:ascii="Tahoma" w:hAnsi="Tahoma"/>
      <w:sz w:val="24"/>
    </w:rPr>
  </w:style>
  <w:style w:type="paragraph" w:customStyle="1" w:styleId="130">
    <w:name w:val="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131">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32">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33">
    <w:name w:val="Table Paragraph"/>
    <w:basedOn w:val="1"/>
    <w:qFormat/>
    <w:uiPriority w:val="1"/>
    <w:pPr>
      <w:widowControl/>
      <w:autoSpaceDE w:val="0"/>
      <w:autoSpaceDN w:val="0"/>
      <w:spacing w:line="360" w:lineRule="auto"/>
      <w:jc w:val="left"/>
    </w:pPr>
    <w:rPr>
      <w:rFonts w:ascii="宋体" w:eastAsia="宋体"/>
      <w:b w:val="0"/>
      <w:bCs w:val="0"/>
      <w:color w:val="auto"/>
      <w:sz w:val="22"/>
      <w:szCs w:val="22"/>
      <w:lang w:val="zh-CN" w:bidi="zh-CN"/>
    </w:rPr>
  </w:style>
  <w:style w:type="character" w:customStyle="1" w:styleId="134">
    <w:name w:val="标题 4 Char1"/>
    <w:qFormat/>
    <w:uiPriority w:val="0"/>
    <w:rPr>
      <w:rFonts w:ascii="Arial" w:hAnsi="Arial" w:eastAsia="黑体"/>
      <w:b/>
      <w:bCs/>
      <w:kern w:val="2"/>
      <w:sz w:val="28"/>
      <w:szCs w:val="28"/>
      <w:lang w:val="en-US" w:eastAsia="zh-CN" w:bidi="ar-SA"/>
    </w:rPr>
  </w:style>
  <w:style w:type="paragraph" w:customStyle="1" w:styleId="135">
    <w:name w:val="正文缩进1"/>
    <w:basedOn w:val="1"/>
    <w:qFormat/>
    <w:uiPriority w:val="0"/>
    <w:pPr>
      <w:spacing w:line="360" w:lineRule="auto"/>
      <w:ind w:firstLine="454"/>
      <w:jc w:val="left"/>
    </w:pPr>
    <w:rPr>
      <w:rFonts w:ascii="Times New Roman" w:hAnsi="Times New Roman" w:eastAsia="宋体" w:cs="Times New Roman"/>
      <w:b w:val="0"/>
      <w:bCs w:val="0"/>
      <w:color w:val="auto"/>
      <w:kern w:val="2"/>
      <w:sz w:val="24"/>
      <w:szCs w:val="24"/>
    </w:rPr>
  </w:style>
  <w:style w:type="character" w:customStyle="1" w:styleId="136">
    <w:name w:val="skancount"/>
    <w:basedOn w:val="45"/>
    <w:qFormat/>
    <w:uiPriority w:val="0"/>
  </w:style>
  <w:style w:type="character" w:customStyle="1" w:styleId="137">
    <w:name w:val="bookmark-item"/>
    <w:basedOn w:val="45"/>
    <w:qFormat/>
    <w:uiPriority w:val="0"/>
  </w:style>
  <w:style w:type="paragraph" w:customStyle="1" w:styleId="138">
    <w:name w:val="列出段落1"/>
    <w:basedOn w:val="1"/>
    <w:qFormat/>
    <w:uiPriority w:val="0"/>
    <w:pPr>
      <w:ind w:firstLine="420" w:firstLineChars="200"/>
    </w:pPr>
    <w:rPr>
      <w:rFonts w:ascii="Times New Roman" w:hAnsi="Times New Roman" w:eastAsia="宋体" w:cs="Times New Roman"/>
      <w:b w:val="0"/>
      <w:bCs w:val="0"/>
      <w:color w:val="auto"/>
      <w:kern w:val="2"/>
      <w:sz w:val="36"/>
      <w:szCs w:val="20"/>
    </w:rPr>
  </w:style>
  <w:style w:type="character" w:customStyle="1" w:styleId="139">
    <w:name w:val="脚注文本 Char"/>
    <w:basedOn w:val="45"/>
    <w:link w:val="37"/>
    <w:qFormat/>
    <w:uiPriority w:val="0"/>
    <w:rPr>
      <w:kern w:val="2"/>
      <w:sz w:val="18"/>
      <w:szCs w:val="24"/>
    </w:rPr>
  </w:style>
  <w:style w:type="character" w:customStyle="1" w:styleId="140">
    <w:name w:val="正文文本缩进 3 Char"/>
    <w:basedOn w:val="45"/>
    <w:link w:val="38"/>
    <w:qFormat/>
    <w:uiPriority w:val="0"/>
    <w:rPr>
      <w:rFonts w:ascii="仿宋_GB2312" w:hAnsi="宋体" w:eastAsia="仿宋_GB2312" w:cs="宋体"/>
      <w:b/>
      <w:bCs/>
      <w:color w:val="000000"/>
      <w:sz w:val="16"/>
      <w:szCs w:val="16"/>
    </w:rPr>
  </w:style>
  <w:style w:type="character" w:customStyle="1" w:styleId="141">
    <w:name w:val="无"/>
    <w:qFormat/>
    <w:uiPriority w:val="0"/>
  </w:style>
  <w:style w:type="paragraph" w:customStyle="1" w:styleId="142">
    <w:name w:val="正文文本首行缩进1"/>
    <w:basedOn w:val="19"/>
    <w:qFormat/>
    <w:uiPriority w:val="0"/>
    <w:pPr>
      <w:spacing w:after="0" w:line="360" w:lineRule="auto"/>
      <w:ind w:firstLine="200" w:firstLineChars="200"/>
    </w:pPr>
    <w:rPr>
      <w:rFonts w:ascii="宋体" w:hAnsi="宋体"/>
      <w:bCs/>
      <w:sz w:val="24"/>
      <w:szCs w:val="21"/>
    </w:rPr>
  </w:style>
  <w:style w:type="paragraph" w:customStyle="1" w:styleId="143">
    <w:name w:val="列表段落1"/>
    <w:basedOn w:val="1"/>
    <w:qFormat/>
    <w:uiPriority w:val="0"/>
    <w:pPr>
      <w:ind w:firstLine="420" w:firstLineChars="200"/>
    </w:pPr>
    <w:rPr>
      <w:rFonts w:asciiTheme="minorHAnsi" w:hAnsiTheme="minorHAnsi" w:eastAsiaTheme="minorEastAsia" w:cstheme="minorBidi"/>
      <w:b w:val="0"/>
      <w:bCs w:val="0"/>
      <w:color w:val="auto"/>
      <w:kern w:val="2"/>
      <w:sz w:val="24"/>
      <w:szCs w:val="24"/>
    </w:rPr>
  </w:style>
  <w:style w:type="paragraph" w:customStyle="1" w:styleId="144">
    <w:name w:val="DAS正文"/>
    <w:basedOn w:val="1"/>
    <w:qFormat/>
    <w:uiPriority w:val="0"/>
    <w:pPr>
      <w:tabs>
        <w:tab w:val="left" w:pos="1200"/>
      </w:tabs>
      <w:spacing w:line="360" w:lineRule="exact"/>
      <w:ind w:left="-17" w:leftChars="-8" w:right="181" w:firstLine="632" w:firstLineChars="300"/>
    </w:pPr>
    <w:rPr>
      <w:rFonts w:ascii="Verdana" w:hAnsi="Verdana" w:eastAsia="宋体" w:cs="Times New Roman"/>
      <w:color w:val="auto"/>
      <w:kern w:val="2"/>
    </w:rPr>
  </w:style>
  <w:style w:type="character" w:customStyle="1" w:styleId="145">
    <w:name w:val="bold1"/>
    <w:basedOn w:val="45"/>
    <w:qFormat/>
    <w:uiPriority w:val="0"/>
    <w:rPr>
      <w:b/>
      <w:bCs/>
    </w:rPr>
  </w:style>
  <w:style w:type="paragraph" w:customStyle="1" w:styleId="146">
    <w:name w:val="缩进正文"/>
    <w:basedOn w:val="1"/>
    <w:qFormat/>
    <w:uiPriority w:val="0"/>
    <w:pPr>
      <w:ind w:firstLine="200" w:firstLineChars="200"/>
    </w:pPr>
  </w:style>
  <w:style w:type="character" w:customStyle="1" w:styleId="147">
    <w:name w:val="font31"/>
    <w:basedOn w:val="45"/>
    <w:qFormat/>
    <w:uiPriority w:val="0"/>
    <w:rPr>
      <w:rFonts w:hint="eastAsia" w:ascii="宋体" w:hAnsi="宋体" w:eastAsia="宋体" w:cs="宋体"/>
      <w:color w:val="000000"/>
      <w:sz w:val="21"/>
      <w:szCs w:val="21"/>
      <w:u w:val="none"/>
    </w:rPr>
  </w:style>
  <w:style w:type="character" w:customStyle="1" w:styleId="148">
    <w:name w:val="font01"/>
    <w:basedOn w:val="45"/>
    <w:qFormat/>
    <w:uiPriority w:val="0"/>
    <w:rPr>
      <w:rFonts w:hint="eastAsia" w:ascii="宋体" w:hAnsi="宋体" w:eastAsia="宋体" w:cs="宋体"/>
      <w:b/>
      <w:bCs/>
      <w:color w:val="000000"/>
      <w:sz w:val="22"/>
      <w:szCs w:val="22"/>
      <w:u w:val="none"/>
    </w:rPr>
  </w:style>
  <w:style w:type="paragraph" w:customStyle="1" w:styleId="149">
    <w:name w:val="表格文字"/>
    <w:basedOn w:val="26"/>
    <w:next w:val="19"/>
    <w:qFormat/>
    <w:uiPriority w:val="0"/>
    <w:pPr>
      <w:adjustRightInd w:val="0"/>
      <w:spacing w:line="420" w:lineRule="atLeast"/>
      <w:jc w:val="left"/>
      <w:textAlignment w:val="baseline"/>
    </w:pPr>
    <w:rPr>
      <w:rFonts w:ascii="Times New Roman" w:hAnsi="Times New Roman" w:eastAsia="宋体" w:cs="Times New Roman"/>
      <w:szCs w:val="24"/>
    </w:rPr>
  </w:style>
  <w:style w:type="paragraph" w:customStyle="1" w:styleId="150">
    <w:name w:val="Default"/>
    <w:next w:val="151"/>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5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2">
    <w:name w:val="font21"/>
    <w:basedOn w:val="45"/>
    <w:qFormat/>
    <w:uiPriority w:val="0"/>
    <w:rPr>
      <w:rFonts w:hint="eastAsia" w:ascii="微软雅黑" w:hAnsi="微软雅黑" w:eastAsia="微软雅黑" w:cs="微软雅黑"/>
      <w:color w:val="000000"/>
      <w:sz w:val="20"/>
      <w:szCs w:val="20"/>
      <w:u w:val="none"/>
    </w:rPr>
  </w:style>
  <w:style w:type="paragraph" w:customStyle="1" w:styleId="153">
    <w:name w:val="Revision"/>
    <w:hidden/>
    <w:unhideWhenUsed/>
    <w:qFormat/>
    <w:uiPriority w:val="99"/>
    <w:rPr>
      <w:rFonts w:ascii="仿宋_GB2312" w:hAnsi="宋体" w:eastAsia="仿宋_GB2312" w:cs="宋体"/>
      <w:b/>
      <w:bCs/>
      <w:color w:val="000000"/>
      <w:sz w:val="21"/>
      <w:szCs w:val="21"/>
      <w:lang w:val="en-US" w:eastAsia="zh-CN" w:bidi="ar-SA"/>
    </w:rPr>
  </w:style>
  <w:style w:type="paragraph" w:customStyle="1" w:styleId="154">
    <w:name w:val="Fließtext"/>
    <w:basedOn w:val="1"/>
    <w:qFormat/>
    <w:uiPriority w:val="0"/>
    <w:pPr>
      <w:overflowPunct w:val="0"/>
      <w:autoSpaceDE w:val="0"/>
      <w:autoSpaceDN w:val="0"/>
      <w:adjustRightInd w:val="0"/>
      <w:textAlignment w:val="baseline"/>
    </w:pPr>
    <w:rPr>
      <w:kern w:val="28"/>
      <w:szCs w:val="20"/>
    </w:r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tuxin</Company>
  <Pages>65</Pages>
  <Words>32328</Words>
  <Characters>33688</Characters>
  <Lines>213</Lines>
  <Paragraphs>60</Paragraphs>
  <TotalTime>1</TotalTime>
  <ScaleCrop>false</ScaleCrop>
  <LinksUpToDate>false</LinksUpToDate>
  <CharactersWithSpaces>35543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2023-10-25T09:22:00Z</dcterms:created>
  <dc:creator>微软用户</dc:creator>
  <cp:lastModifiedBy>cici</cp:lastModifiedBy>
  <cp:lastPrinted>2024-06-03T08:18:00Z</cp:lastPrinted>
  <dcterms:modified xsi:type="dcterms:W3CDTF">2024-06-14T01:35:44Z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16E3EE5ACF12436EAB6F49EFBFE2B6D7_13</vt:lpwstr>
  </property>
</Properties>
</file>