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5"/>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6" w:hRule="atLeast"/>
        </w:trPr>
        <w:tc>
          <w:tcPr>
            <w:tcW w:w="9030" w:type="dxa"/>
          </w:tcPr>
          <w:p>
            <w:pPr>
              <w:pStyle w:val="86"/>
              <w:rPr>
                <w:rFonts w:hint="eastAsia" w:cs="宋体"/>
                <w:color w:val="auto"/>
                <w:sz w:val="32"/>
                <w:szCs w:val="32"/>
                <w:highlight w:val="none"/>
              </w:rPr>
            </w:pPr>
          </w:p>
          <w:p>
            <w:pPr>
              <w:jc w:val="center"/>
              <w:rPr>
                <w:rFonts w:ascii="宋体" w:eastAsia="宋体"/>
                <w:b/>
                <w:bCs/>
                <w:color w:val="auto"/>
                <w:sz w:val="52"/>
                <w:szCs w:val="52"/>
              </w:rPr>
            </w:pPr>
            <w:r>
              <w:rPr>
                <w:rFonts w:hint="eastAsia" w:ascii="宋体" w:eastAsia="宋体"/>
                <w:b/>
                <w:bCs/>
                <w:color w:val="auto"/>
                <w:spacing w:val="20"/>
                <w:sz w:val="84"/>
              </w:rPr>
              <w:t>永嘉县（</w:t>
            </w:r>
            <w:r>
              <w:rPr>
                <w:rFonts w:hint="eastAsia" w:ascii="宋体" w:eastAsia="宋体"/>
                <w:b/>
                <w:bCs/>
                <w:color w:val="auto"/>
                <w:spacing w:val="20"/>
                <w:sz w:val="84"/>
                <w:lang w:eastAsia="zh-CN"/>
              </w:rPr>
              <w:t>分散</w:t>
            </w:r>
            <w:r>
              <w:rPr>
                <w:rFonts w:hint="eastAsia" w:ascii="宋体" w:eastAsia="宋体"/>
                <w:b/>
                <w:bCs/>
                <w:color w:val="auto"/>
                <w:spacing w:val="20"/>
                <w:sz w:val="84"/>
              </w:rPr>
              <w:t>）采购</w:t>
            </w:r>
          </w:p>
          <w:p>
            <w:pPr>
              <w:jc w:val="center"/>
              <w:rPr>
                <w:rFonts w:ascii="宋体" w:eastAsia="宋体"/>
                <w:b/>
                <w:bCs/>
                <w:color w:val="auto"/>
                <w:spacing w:val="20"/>
                <w:sz w:val="84"/>
              </w:rPr>
            </w:pPr>
            <w:r>
              <w:rPr>
                <w:rFonts w:hint="eastAsia" w:ascii="宋体" w:eastAsia="宋体"/>
                <w:b/>
                <w:bCs/>
                <w:color w:val="auto"/>
                <w:spacing w:val="20"/>
                <w:sz w:val="84"/>
              </w:rPr>
              <w:t>招标文件</w:t>
            </w:r>
          </w:p>
          <w:p>
            <w:pPr>
              <w:spacing w:line="800" w:lineRule="exact"/>
              <w:ind w:left="4758" w:leftChars="1023" w:hanging="2610" w:hangingChars="500"/>
              <w:rPr>
                <w:rFonts w:ascii="宋体" w:eastAsia="宋体"/>
                <w:b/>
                <w:bCs/>
                <w:color w:val="auto"/>
                <w:sz w:val="52"/>
                <w:szCs w:val="52"/>
              </w:rPr>
            </w:pPr>
            <w:r>
              <w:rPr>
                <w:rFonts w:hint="eastAsia" w:ascii="宋体" w:eastAsia="宋体"/>
                <w:b/>
                <w:bCs/>
                <w:color w:val="auto"/>
                <w:sz w:val="52"/>
                <w:szCs w:val="52"/>
              </w:rPr>
              <w:t>（线上电子招投标）</w:t>
            </w:r>
          </w:p>
          <w:p>
            <w:pPr>
              <w:spacing w:line="460" w:lineRule="atLeast"/>
              <w:ind w:left="2846" w:leftChars="710" w:hanging="1355" w:hangingChars="450"/>
              <w:rPr>
                <w:rFonts w:hint="eastAsia" w:ascii="宋体" w:hAnsi="宋体" w:cs="宋体"/>
                <w:b/>
                <w:color w:val="auto"/>
                <w:sz w:val="30"/>
                <w:szCs w:val="30"/>
                <w:highlight w:val="none"/>
              </w:rPr>
            </w:pPr>
          </w:p>
          <w:p>
            <w:pPr>
              <w:pStyle w:val="3"/>
              <w:ind w:firstLine="210"/>
              <w:rPr>
                <w:rFonts w:hint="eastAsia" w:ascii="宋体" w:hAnsi="宋体" w:cs="宋体"/>
                <w:color w:val="auto"/>
                <w:highlight w:val="none"/>
              </w:rPr>
            </w:pPr>
          </w:p>
          <w:p>
            <w:pPr>
              <w:pStyle w:val="3"/>
              <w:ind w:firstLine="210"/>
              <w:rPr>
                <w:rFonts w:hint="eastAsia" w:ascii="宋体" w:hAnsi="宋体" w:cs="宋体"/>
                <w:color w:val="auto"/>
                <w:highlight w:val="none"/>
              </w:rPr>
            </w:pPr>
          </w:p>
          <w:p>
            <w:pPr>
              <w:pStyle w:val="3"/>
              <w:ind w:firstLine="210"/>
              <w:rPr>
                <w:rFonts w:hint="eastAsia" w:ascii="宋体" w:hAnsi="宋体" w:cs="宋体"/>
                <w:color w:val="auto"/>
                <w:highlight w:val="none"/>
              </w:rPr>
            </w:pPr>
          </w:p>
          <w:p>
            <w:pPr>
              <w:spacing w:line="460" w:lineRule="atLeast"/>
              <w:ind w:left="3573" w:leftChars="726" w:hanging="2048" w:hangingChars="680"/>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项目编号：</w:t>
            </w:r>
            <w:r>
              <w:rPr>
                <w:rFonts w:hint="eastAsia" w:ascii="宋体" w:hAnsi="宋体" w:cs="宋体"/>
                <w:b/>
                <w:bCs/>
                <w:color w:val="auto"/>
                <w:sz w:val="30"/>
                <w:szCs w:val="30"/>
                <w:highlight w:val="none"/>
                <w:lang w:eastAsia="zh-CN"/>
              </w:rPr>
              <w:t>ZGCG-20241206</w:t>
            </w:r>
          </w:p>
          <w:p>
            <w:pPr>
              <w:spacing w:line="460" w:lineRule="atLeast"/>
              <w:ind w:left="2942" w:leftChars="704" w:hanging="1464" w:hangingChars="486"/>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项目名称：</w:t>
            </w:r>
            <w:r>
              <w:rPr>
                <w:rFonts w:hint="eastAsia" w:ascii="宋体" w:hAnsi="宋体" w:cs="宋体"/>
                <w:b/>
                <w:bCs/>
                <w:color w:val="auto"/>
                <w:sz w:val="30"/>
                <w:szCs w:val="30"/>
                <w:highlight w:val="none"/>
                <w:lang w:eastAsia="zh-CN"/>
              </w:rPr>
              <w:t>2025年至2027年度永嘉县公安局交通警察大队拖车及车辆保管服务项目</w:t>
            </w:r>
          </w:p>
          <w:p>
            <w:pPr>
              <w:spacing w:line="500" w:lineRule="atLeast"/>
              <w:ind w:left="3573" w:leftChars="726" w:hanging="2048" w:hangingChars="680"/>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采购方式：公开招标</w:t>
            </w:r>
          </w:p>
          <w:p>
            <w:pPr>
              <w:pStyle w:val="3"/>
              <w:ind w:firstLine="210"/>
              <w:rPr>
                <w:rFonts w:hint="eastAsia" w:ascii="宋体" w:hAnsi="宋体" w:cs="宋体"/>
                <w:b/>
                <w:bCs/>
                <w:color w:val="auto"/>
                <w:highlight w:val="none"/>
              </w:rPr>
            </w:pPr>
          </w:p>
          <w:p>
            <w:pPr>
              <w:pStyle w:val="3"/>
              <w:ind w:left="0" w:leftChars="0" w:firstLine="0" w:firstLineChars="0"/>
              <w:rPr>
                <w:rFonts w:hint="eastAsia" w:ascii="宋体" w:hAnsi="宋体" w:cs="宋体"/>
                <w:b/>
                <w:bCs/>
                <w:color w:val="auto"/>
                <w:highlight w:val="none"/>
              </w:rPr>
            </w:pPr>
          </w:p>
          <w:p>
            <w:pPr>
              <w:pStyle w:val="3"/>
              <w:ind w:firstLine="210"/>
              <w:rPr>
                <w:rFonts w:hint="eastAsia" w:ascii="宋体" w:hAnsi="宋体" w:cs="宋体"/>
                <w:b/>
                <w:bCs/>
                <w:color w:val="auto"/>
                <w:highlight w:val="none"/>
              </w:rPr>
            </w:pPr>
          </w:p>
          <w:p>
            <w:pPr>
              <w:pStyle w:val="3"/>
              <w:ind w:firstLine="210"/>
              <w:rPr>
                <w:rFonts w:hint="eastAsia" w:ascii="宋体" w:hAnsi="宋体" w:cs="宋体"/>
                <w:b/>
                <w:bCs/>
                <w:color w:val="auto"/>
                <w:highlight w:val="none"/>
              </w:rPr>
            </w:pPr>
          </w:p>
          <w:p>
            <w:pPr>
              <w:pStyle w:val="3"/>
              <w:ind w:firstLine="210"/>
              <w:rPr>
                <w:rFonts w:hint="eastAsia" w:ascii="宋体" w:hAnsi="宋体" w:cs="宋体"/>
                <w:b/>
                <w:bCs/>
                <w:color w:val="auto"/>
                <w:highlight w:val="none"/>
              </w:rPr>
            </w:pPr>
          </w:p>
          <w:p>
            <w:pPr>
              <w:spacing w:line="460" w:lineRule="atLeast"/>
              <w:ind w:left="2846" w:leftChars="710" w:hanging="1355" w:hangingChars="450"/>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采 购 人：</w:t>
            </w:r>
            <w:r>
              <w:rPr>
                <w:rFonts w:hint="eastAsia" w:ascii="宋体" w:hAnsi="宋体" w:cs="宋体"/>
                <w:b/>
                <w:bCs/>
                <w:color w:val="auto"/>
                <w:sz w:val="30"/>
                <w:szCs w:val="30"/>
                <w:highlight w:val="none"/>
                <w:lang w:eastAsia="zh-CN"/>
              </w:rPr>
              <w:t>永嘉县公安局交通警察大队</w:t>
            </w:r>
          </w:p>
          <w:p>
            <w:pPr>
              <w:spacing w:line="460" w:lineRule="atLeast"/>
              <w:ind w:left="2846" w:leftChars="710" w:hanging="1355" w:hangingChars="450"/>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代理机构：温州市中概工程管理咨询有限公司</w:t>
            </w:r>
          </w:p>
          <w:p>
            <w:pPr>
              <w:spacing w:line="500" w:lineRule="atLeast"/>
              <w:ind w:left="3573" w:leftChars="726" w:hanging="2048" w:hangingChars="680"/>
              <w:rPr>
                <w:rFonts w:hint="eastAsia" w:ascii="宋体" w:hAnsi="宋体" w:cs="宋体"/>
                <w:b/>
                <w:bCs/>
                <w:color w:val="auto"/>
                <w:sz w:val="30"/>
                <w:szCs w:val="30"/>
                <w:highlight w:val="none"/>
              </w:rPr>
            </w:pPr>
          </w:p>
          <w:p>
            <w:pPr>
              <w:spacing w:line="500" w:lineRule="atLeast"/>
              <w:rPr>
                <w:rFonts w:hint="eastAsia" w:ascii="宋体" w:hAnsi="宋体" w:cs="宋体"/>
                <w:b/>
                <w:bCs/>
                <w:color w:val="auto"/>
                <w:sz w:val="30"/>
                <w:szCs w:val="30"/>
                <w:highlight w:val="none"/>
              </w:rPr>
            </w:pPr>
          </w:p>
          <w:p>
            <w:pPr>
              <w:autoSpaceDE w:val="0"/>
              <w:autoSpaceDN w:val="0"/>
              <w:adjustRightInd w:val="0"/>
              <w:snapToGrid w:val="0"/>
              <w:spacing w:line="500" w:lineRule="atLeast"/>
              <w:jc w:val="center"/>
              <w:rPr>
                <w:rFonts w:hint="eastAsia" w:ascii="宋体" w:hAnsi="宋体" w:cs="宋体"/>
                <w:color w:val="auto"/>
                <w:sz w:val="32"/>
                <w:szCs w:val="32"/>
                <w:highlight w:val="none"/>
              </w:rPr>
            </w:pPr>
            <w:r>
              <w:rPr>
                <w:rFonts w:hint="eastAsia" w:ascii="宋体" w:hAnsi="宋体" w:cs="宋体"/>
                <w:b/>
                <w:bCs/>
                <w:color w:val="auto"/>
                <w:sz w:val="30"/>
                <w:szCs w:val="30"/>
                <w:highlight w:val="none"/>
              </w:rPr>
              <w:t>二○二四年十</w:t>
            </w:r>
            <w:r>
              <w:rPr>
                <w:rFonts w:hint="eastAsia" w:ascii="宋体" w:hAnsi="宋体" w:cs="宋体"/>
                <w:b/>
                <w:bCs/>
                <w:color w:val="auto"/>
                <w:sz w:val="30"/>
                <w:szCs w:val="30"/>
                <w:highlight w:val="none"/>
                <w:lang w:eastAsia="zh-CN"/>
              </w:rPr>
              <w:t>二</w:t>
            </w:r>
            <w:r>
              <w:rPr>
                <w:rFonts w:hint="eastAsia" w:ascii="宋体" w:hAnsi="宋体" w:cs="宋体"/>
                <w:b/>
                <w:bCs/>
                <w:color w:val="auto"/>
                <w:sz w:val="30"/>
                <w:szCs w:val="30"/>
                <w:highlight w:val="none"/>
              </w:rPr>
              <w:t>月</w:t>
            </w:r>
          </w:p>
        </w:tc>
      </w:tr>
    </w:tbl>
    <w:p>
      <w:pPr>
        <w:spacing w:line="500" w:lineRule="atLeast"/>
        <w:rPr>
          <w:rFonts w:hint="eastAsia"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850" w:gutter="0"/>
          <w:pgNumType w:start="1"/>
          <w:cols w:space="720" w:num="1"/>
          <w:titlePg/>
          <w:docGrid w:type="lines" w:linePitch="312" w:charSpace="0"/>
        </w:sectPr>
      </w:pPr>
    </w:p>
    <w:p>
      <w:pPr>
        <w:widowControl/>
        <w:spacing w:line="500" w:lineRule="atLeast"/>
        <w:jc w:val="center"/>
        <w:rPr>
          <w:rFonts w:hint="eastAsia" w:ascii="宋体" w:hAnsi="宋体" w:cs="宋体"/>
          <w:b/>
          <w:color w:val="auto"/>
          <w:sz w:val="32"/>
          <w:szCs w:val="32"/>
          <w:highlight w:val="none"/>
        </w:rPr>
      </w:pPr>
      <w:bookmarkStart w:id="0" w:name="_Toc496116237"/>
      <w:bookmarkStart w:id="1" w:name="_Toc293038713"/>
      <w:r>
        <w:rPr>
          <w:rFonts w:hint="eastAsia" w:ascii="宋体" w:hAnsi="宋体" w:cs="宋体"/>
          <w:b/>
          <w:color w:val="auto"/>
          <w:sz w:val="32"/>
          <w:szCs w:val="32"/>
          <w:highlight w:val="none"/>
        </w:rPr>
        <w:t>招标文件目录</w:t>
      </w:r>
    </w:p>
    <w:p>
      <w:pPr>
        <w:pStyle w:val="31"/>
        <w:tabs>
          <w:tab w:val="right" w:leader="dot" w:pos="9638"/>
          <w:tab w:val="clear" w:pos="8777"/>
        </w:tabs>
        <w:spacing w:line="480" w:lineRule="auto"/>
        <w:jc w:val="both"/>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"1-2" \h \z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"_Toc11853" </w:instrText>
      </w:r>
      <w:r>
        <w:rPr>
          <w:color w:val="auto"/>
          <w:highlight w:val="none"/>
        </w:rPr>
        <w:fldChar w:fldCharType="separate"/>
      </w:r>
      <w:r>
        <w:rPr>
          <w:rFonts w:hint="eastAsia" w:ascii="宋体" w:hAnsi="宋体" w:cs="宋体"/>
          <w:color w:val="auto"/>
          <w:szCs w:val="32"/>
          <w:highlight w:val="none"/>
        </w:rPr>
        <w:t>温州市中概工程管理咨询有限公司关于</w:t>
      </w:r>
      <w:r>
        <w:rPr>
          <w:rFonts w:hint="eastAsia" w:ascii="宋体" w:hAnsi="宋体" w:cs="宋体"/>
          <w:color w:val="auto"/>
          <w:szCs w:val="32"/>
          <w:highlight w:val="none"/>
          <w:lang w:eastAsia="zh-CN"/>
        </w:rPr>
        <w:t>2025年至2027年度永嘉县公安局交通警察大队拖车及车辆保管服务项目</w:t>
      </w:r>
      <w:r>
        <w:rPr>
          <w:rFonts w:hint="eastAsia" w:ascii="宋体" w:hAnsi="宋体" w:cs="宋体"/>
          <w:color w:val="auto"/>
          <w:szCs w:val="32"/>
          <w:highlight w:val="none"/>
        </w:rPr>
        <w:t>的公开招标公告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_Toc11853 \h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1"/>
        <w:tabs>
          <w:tab w:val="right" w:leader="dot" w:pos="9638"/>
          <w:tab w:val="clear" w:pos="8777"/>
        </w:tabs>
        <w:spacing w:line="480" w:lineRule="auto"/>
        <w:jc w:val="both"/>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"_Toc17480" </w:instrText>
      </w:r>
      <w:r>
        <w:rPr>
          <w:color w:val="auto"/>
          <w:highlight w:val="none"/>
        </w:rPr>
        <w:fldChar w:fldCharType="separate"/>
      </w:r>
      <w:r>
        <w:rPr>
          <w:rFonts w:hint="eastAsia" w:ascii="宋体" w:hAnsi="宋体" w:cs="宋体"/>
          <w:color w:val="auto"/>
          <w:szCs w:val="30"/>
          <w:highlight w:val="none"/>
        </w:rPr>
        <w:t>第一部分  投标通知(邀请)书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_Toc17480 \h </w:instrText>
      </w:r>
      <w:r>
        <w:rPr>
          <w:rFonts w:hint="eastAsia" w:ascii="宋体" w:hAnsi="宋体" w:cs="宋体"/>
          <w:color w:val="auto"/>
          <w:highlight w:val="none"/>
        </w:rPr>
        <w:fldChar w:fldCharType="separate"/>
      </w:r>
      <w:r>
        <w:rPr>
          <w:rFonts w:hint="eastAsia" w:ascii="宋体" w:hAnsi="宋体" w:cs="宋体"/>
          <w:color w:val="auto"/>
          <w:highlight w:val="none"/>
        </w:rPr>
        <w:t>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1"/>
        <w:tabs>
          <w:tab w:val="right" w:leader="dot" w:pos="9638"/>
          <w:tab w:val="clear" w:pos="8777"/>
        </w:tabs>
        <w:spacing w:line="480" w:lineRule="auto"/>
        <w:jc w:val="both"/>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"_Toc13266" </w:instrText>
      </w:r>
      <w:r>
        <w:rPr>
          <w:color w:val="auto"/>
          <w:highlight w:val="none"/>
        </w:rPr>
        <w:fldChar w:fldCharType="separate"/>
      </w:r>
      <w:r>
        <w:rPr>
          <w:rFonts w:hint="eastAsia" w:ascii="宋体" w:hAnsi="宋体" w:cs="宋体"/>
          <w:color w:val="auto"/>
          <w:szCs w:val="30"/>
          <w:highlight w:val="none"/>
        </w:rPr>
        <w:t>第二部分 招标内容及要求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_Toc13266 \h </w:instrText>
      </w:r>
      <w:r>
        <w:rPr>
          <w:rFonts w:hint="eastAsia" w:ascii="宋体" w:hAnsi="宋体" w:cs="宋体"/>
          <w:color w:val="auto"/>
          <w:highlight w:val="none"/>
        </w:rPr>
        <w:fldChar w:fldCharType="separate"/>
      </w:r>
      <w:r>
        <w:rPr>
          <w:rFonts w:hint="eastAsia" w:ascii="宋体" w:hAnsi="宋体" w:cs="宋体"/>
          <w:color w:val="auto"/>
          <w:highlight w:val="none"/>
        </w:rPr>
        <w:t>10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1"/>
        <w:tabs>
          <w:tab w:val="right" w:leader="dot" w:pos="9638"/>
          <w:tab w:val="clear" w:pos="8777"/>
        </w:tabs>
        <w:spacing w:line="480" w:lineRule="auto"/>
        <w:jc w:val="both"/>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"_Toc15919" </w:instrText>
      </w:r>
      <w:r>
        <w:rPr>
          <w:color w:val="auto"/>
          <w:highlight w:val="none"/>
        </w:rPr>
        <w:fldChar w:fldCharType="separate"/>
      </w:r>
      <w:r>
        <w:rPr>
          <w:rFonts w:hint="eastAsia" w:ascii="宋体" w:hAnsi="宋体" w:cs="宋体"/>
          <w:color w:val="auto"/>
          <w:szCs w:val="30"/>
          <w:highlight w:val="none"/>
        </w:rPr>
        <w:t>第三部分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_Toc15919 \h </w:instrText>
      </w:r>
      <w:r>
        <w:rPr>
          <w:rFonts w:hint="eastAsia" w:ascii="宋体" w:hAnsi="宋体" w:cs="宋体"/>
          <w:color w:val="auto"/>
          <w:highlight w:val="none"/>
        </w:rPr>
        <w:fldChar w:fldCharType="separate"/>
      </w:r>
      <w:r>
        <w:rPr>
          <w:rFonts w:hint="eastAsia" w:ascii="宋体" w:hAnsi="宋体" w:cs="宋体"/>
          <w:color w:val="auto"/>
          <w:highlight w:val="none"/>
        </w:rPr>
        <w:t>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8"/>
        <w:tabs>
          <w:tab w:val="right" w:leader="dot" w:pos="9638"/>
          <w:tab w:val="clear" w:pos="8777"/>
        </w:tabs>
        <w:spacing w:line="480" w:lineRule="auto"/>
        <w:ind w:firstLine="105"/>
        <w:jc w:val="both"/>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"_Toc3034" </w:instrText>
      </w:r>
      <w:r>
        <w:rPr>
          <w:color w:val="auto"/>
          <w:highlight w:val="none"/>
        </w:rPr>
        <w:fldChar w:fldCharType="separate"/>
      </w:r>
      <w:r>
        <w:rPr>
          <w:rFonts w:hint="eastAsia" w:ascii="宋体" w:hAnsi="宋体" w:cs="宋体"/>
          <w:bCs/>
          <w:color w:val="auto"/>
          <w:szCs w:val="22"/>
          <w:highlight w:val="none"/>
        </w:rPr>
        <w:t>一、说明</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_Toc3034 \h </w:instrText>
      </w:r>
      <w:r>
        <w:rPr>
          <w:rFonts w:hint="eastAsia" w:ascii="宋体" w:hAnsi="宋体" w:cs="宋体"/>
          <w:color w:val="auto"/>
          <w:highlight w:val="none"/>
        </w:rPr>
        <w:fldChar w:fldCharType="separate"/>
      </w:r>
      <w:r>
        <w:rPr>
          <w:rFonts w:hint="eastAsia" w:ascii="宋体" w:hAnsi="宋体" w:cs="宋体"/>
          <w:color w:val="auto"/>
          <w:highlight w:val="none"/>
        </w:rPr>
        <w:t>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8"/>
        <w:tabs>
          <w:tab w:val="right" w:leader="dot" w:pos="9638"/>
          <w:tab w:val="clear" w:pos="8777"/>
        </w:tabs>
        <w:spacing w:line="480" w:lineRule="auto"/>
        <w:ind w:firstLine="105"/>
        <w:jc w:val="both"/>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"_Toc13701" </w:instrText>
      </w:r>
      <w:r>
        <w:rPr>
          <w:color w:val="auto"/>
          <w:highlight w:val="none"/>
        </w:rPr>
        <w:fldChar w:fldCharType="separate"/>
      </w:r>
      <w:r>
        <w:rPr>
          <w:rFonts w:hint="eastAsia" w:ascii="宋体" w:hAnsi="宋体" w:cs="宋体"/>
          <w:bCs/>
          <w:color w:val="auto"/>
          <w:szCs w:val="22"/>
          <w:highlight w:val="none"/>
        </w:rPr>
        <w:t>二、供应商资格条件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_Toc13701 \h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8"/>
        <w:tabs>
          <w:tab w:val="right" w:leader="dot" w:pos="9638"/>
          <w:tab w:val="clear" w:pos="8777"/>
        </w:tabs>
        <w:spacing w:line="480" w:lineRule="auto"/>
        <w:ind w:firstLine="105"/>
        <w:jc w:val="both"/>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"_Toc13744" </w:instrText>
      </w:r>
      <w:r>
        <w:rPr>
          <w:color w:val="auto"/>
          <w:highlight w:val="none"/>
        </w:rPr>
        <w:fldChar w:fldCharType="separate"/>
      </w:r>
      <w:r>
        <w:rPr>
          <w:rFonts w:hint="eastAsia" w:ascii="宋体" w:hAnsi="宋体" w:cs="宋体"/>
          <w:bCs/>
          <w:color w:val="auto"/>
          <w:szCs w:val="22"/>
          <w:highlight w:val="none"/>
        </w:rPr>
        <w:t>三、招标文件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_Toc13744 \h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8"/>
        <w:tabs>
          <w:tab w:val="right" w:leader="dot" w:pos="9638"/>
          <w:tab w:val="clear" w:pos="8777"/>
        </w:tabs>
        <w:spacing w:line="480" w:lineRule="auto"/>
        <w:ind w:firstLine="105"/>
        <w:jc w:val="both"/>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"_Toc24086" </w:instrText>
      </w:r>
      <w:r>
        <w:rPr>
          <w:color w:val="auto"/>
          <w:highlight w:val="none"/>
        </w:rPr>
        <w:fldChar w:fldCharType="separate"/>
      </w:r>
      <w:r>
        <w:rPr>
          <w:rFonts w:hint="eastAsia" w:ascii="宋体" w:hAnsi="宋体" w:cs="宋体"/>
          <w:bCs/>
          <w:color w:val="auto"/>
          <w:szCs w:val="22"/>
          <w:highlight w:val="none"/>
        </w:rPr>
        <w:t>四、投标文件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_Toc24086 \h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8"/>
        <w:tabs>
          <w:tab w:val="right" w:leader="dot" w:pos="9638"/>
          <w:tab w:val="clear" w:pos="8777"/>
        </w:tabs>
        <w:spacing w:line="480" w:lineRule="auto"/>
        <w:ind w:firstLine="105"/>
        <w:jc w:val="both"/>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"_Toc18653" </w:instrText>
      </w:r>
      <w:r>
        <w:rPr>
          <w:color w:val="auto"/>
          <w:highlight w:val="none"/>
        </w:rPr>
        <w:fldChar w:fldCharType="separate"/>
      </w:r>
      <w:r>
        <w:rPr>
          <w:rFonts w:hint="eastAsia" w:ascii="宋体" w:hAnsi="宋体" w:cs="宋体"/>
          <w:bCs/>
          <w:color w:val="auto"/>
          <w:szCs w:val="22"/>
          <w:highlight w:val="none"/>
        </w:rPr>
        <w:t>五、投标文件的密封</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_Toc18653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8"/>
        <w:tabs>
          <w:tab w:val="right" w:leader="dot" w:pos="9638"/>
          <w:tab w:val="clear" w:pos="8777"/>
        </w:tabs>
        <w:spacing w:line="480" w:lineRule="auto"/>
        <w:ind w:firstLine="105"/>
        <w:jc w:val="both"/>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"_Toc144" </w:instrText>
      </w:r>
      <w:r>
        <w:rPr>
          <w:color w:val="auto"/>
          <w:highlight w:val="none"/>
        </w:rPr>
        <w:fldChar w:fldCharType="separate"/>
      </w:r>
      <w:r>
        <w:rPr>
          <w:rFonts w:hint="eastAsia" w:ascii="宋体" w:hAnsi="宋体" w:cs="宋体"/>
          <w:bCs/>
          <w:color w:val="auto"/>
          <w:szCs w:val="22"/>
          <w:highlight w:val="none"/>
        </w:rPr>
        <w:t>六、开标和评标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_Toc144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8"/>
        <w:tabs>
          <w:tab w:val="right" w:leader="dot" w:pos="9638"/>
          <w:tab w:val="clear" w:pos="8777"/>
        </w:tabs>
        <w:spacing w:line="480" w:lineRule="auto"/>
        <w:ind w:firstLine="105"/>
        <w:jc w:val="both"/>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"_Toc17810" </w:instrText>
      </w:r>
      <w:r>
        <w:rPr>
          <w:color w:val="auto"/>
          <w:highlight w:val="none"/>
        </w:rPr>
        <w:fldChar w:fldCharType="separate"/>
      </w:r>
      <w:r>
        <w:rPr>
          <w:rFonts w:hint="eastAsia" w:ascii="宋体" w:hAnsi="宋体" w:cs="宋体"/>
          <w:bCs/>
          <w:color w:val="auto"/>
          <w:szCs w:val="22"/>
          <w:highlight w:val="none"/>
        </w:rPr>
        <w:t>七、授予合同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_Toc17810 \h </w:instrText>
      </w:r>
      <w:r>
        <w:rPr>
          <w:rFonts w:hint="eastAsia" w:ascii="宋体" w:hAnsi="宋体" w:cs="宋体"/>
          <w:color w:val="auto"/>
          <w:highlight w:val="none"/>
        </w:rPr>
        <w:fldChar w:fldCharType="separate"/>
      </w:r>
      <w:r>
        <w:rPr>
          <w:rFonts w:hint="eastAsia" w:ascii="宋体" w:hAnsi="宋体" w:cs="宋体"/>
          <w:color w:val="auto"/>
          <w:highlight w:val="none"/>
        </w:rPr>
        <w:t>31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1"/>
        <w:tabs>
          <w:tab w:val="right" w:leader="dot" w:pos="9638"/>
          <w:tab w:val="clear" w:pos="8777"/>
        </w:tabs>
        <w:spacing w:line="480" w:lineRule="auto"/>
        <w:jc w:val="both"/>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"_Toc30125" </w:instrText>
      </w:r>
      <w:r>
        <w:rPr>
          <w:color w:val="auto"/>
          <w:highlight w:val="none"/>
        </w:rPr>
        <w:fldChar w:fldCharType="separate"/>
      </w:r>
      <w:r>
        <w:rPr>
          <w:rFonts w:hint="eastAsia" w:ascii="宋体" w:hAnsi="宋体" w:cs="宋体"/>
          <w:color w:val="auto"/>
          <w:szCs w:val="30"/>
          <w:highlight w:val="none"/>
        </w:rPr>
        <w:t>第四部分  政府采购政策功能相关说明</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_Toc30125 \h </w:instrText>
      </w:r>
      <w:r>
        <w:rPr>
          <w:rFonts w:hint="eastAsia" w:ascii="宋体" w:hAnsi="宋体" w:cs="宋体"/>
          <w:color w:val="auto"/>
          <w:highlight w:val="none"/>
        </w:rPr>
        <w:fldChar w:fldCharType="separate"/>
      </w:r>
      <w:r>
        <w:rPr>
          <w:rFonts w:hint="eastAsia" w:ascii="宋体" w:hAnsi="宋体" w:cs="宋体"/>
          <w:color w:val="auto"/>
          <w:highlight w:val="none"/>
        </w:rPr>
        <w:t>33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1"/>
        <w:tabs>
          <w:tab w:val="right" w:leader="dot" w:pos="9638"/>
          <w:tab w:val="clear" w:pos="8777"/>
        </w:tabs>
        <w:spacing w:line="480" w:lineRule="auto"/>
        <w:jc w:val="both"/>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"_Toc23974" </w:instrText>
      </w:r>
      <w:r>
        <w:rPr>
          <w:color w:val="auto"/>
          <w:highlight w:val="none"/>
        </w:rPr>
        <w:fldChar w:fldCharType="separate"/>
      </w:r>
      <w:r>
        <w:rPr>
          <w:rFonts w:hint="eastAsia" w:ascii="宋体" w:hAnsi="宋体" w:cs="宋体"/>
          <w:color w:val="auto"/>
          <w:szCs w:val="30"/>
          <w:highlight w:val="none"/>
        </w:rPr>
        <w:t>第五部分  合同主要条款（参考格式）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_Toc23974 \h </w:instrText>
      </w:r>
      <w:r>
        <w:rPr>
          <w:rFonts w:hint="eastAsia" w:ascii="宋体" w:hAnsi="宋体" w:cs="宋体"/>
          <w:color w:val="auto"/>
          <w:highlight w:val="none"/>
        </w:rPr>
        <w:fldChar w:fldCharType="separate"/>
      </w:r>
      <w:r>
        <w:rPr>
          <w:rFonts w:hint="eastAsia" w:ascii="宋体" w:hAnsi="宋体" w:cs="宋体"/>
          <w:color w:val="auto"/>
          <w:highlight w:val="none"/>
        </w:rPr>
        <w:t>37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1"/>
        <w:tabs>
          <w:tab w:val="right" w:leader="dot" w:pos="9638"/>
          <w:tab w:val="clear" w:pos="8777"/>
        </w:tabs>
        <w:spacing w:line="480" w:lineRule="auto"/>
        <w:jc w:val="both"/>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"_Toc21992" </w:instrText>
      </w:r>
      <w:r>
        <w:rPr>
          <w:color w:val="auto"/>
          <w:highlight w:val="none"/>
        </w:rPr>
        <w:fldChar w:fldCharType="separate"/>
      </w:r>
      <w:r>
        <w:rPr>
          <w:rFonts w:hint="eastAsia" w:ascii="宋体" w:hAnsi="宋体" w:cs="宋体"/>
          <w:color w:val="auto"/>
          <w:szCs w:val="30"/>
          <w:highlight w:val="none"/>
        </w:rPr>
        <w:t>第六部分 投标文件格式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_Toc21992 \h </w:instrText>
      </w:r>
      <w:r>
        <w:rPr>
          <w:rFonts w:hint="eastAsia" w:ascii="宋体" w:hAnsi="宋体" w:cs="宋体"/>
          <w:color w:val="auto"/>
          <w:highlight w:val="none"/>
        </w:rPr>
        <w:fldChar w:fldCharType="separate"/>
      </w:r>
      <w:r>
        <w:rPr>
          <w:rFonts w:hint="eastAsia" w:ascii="宋体" w:hAnsi="宋体" w:cs="宋体"/>
          <w:color w:val="auto"/>
          <w:highlight w:val="none"/>
        </w:rPr>
        <w:t>37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1"/>
        <w:tabs>
          <w:tab w:val="right" w:leader="dot" w:pos="9638"/>
          <w:tab w:val="clear" w:pos="8777"/>
        </w:tabs>
        <w:spacing w:line="480" w:lineRule="auto"/>
        <w:jc w:val="both"/>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"_Toc3026" </w:instrText>
      </w:r>
      <w:r>
        <w:rPr>
          <w:color w:val="auto"/>
          <w:highlight w:val="none"/>
        </w:rPr>
        <w:fldChar w:fldCharType="separate"/>
      </w:r>
      <w:r>
        <w:rPr>
          <w:rFonts w:hint="eastAsia" w:ascii="宋体" w:hAnsi="宋体" w:cs="宋体"/>
          <w:color w:val="auto"/>
          <w:highlight w:val="none"/>
        </w:rPr>
        <w:t>一、资格文件部分格式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_Toc3026 \h </w:instrText>
      </w:r>
      <w:r>
        <w:rPr>
          <w:rFonts w:hint="eastAsia" w:ascii="宋体" w:hAnsi="宋体" w:cs="宋体"/>
          <w:color w:val="auto"/>
          <w:highlight w:val="none"/>
        </w:rPr>
        <w:fldChar w:fldCharType="separate"/>
      </w:r>
      <w:r>
        <w:rPr>
          <w:rFonts w:hint="eastAsia" w:ascii="宋体" w:hAnsi="宋体" w:cs="宋体"/>
          <w:color w:val="auto"/>
          <w:highlight w:val="none"/>
        </w:rPr>
        <w:t>46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1"/>
        <w:tabs>
          <w:tab w:val="right" w:leader="dot" w:pos="9638"/>
          <w:tab w:val="clear" w:pos="8777"/>
        </w:tabs>
        <w:spacing w:line="480" w:lineRule="auto"/>
        <w:jc w:val="both"/>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"_Toc3526" </w:instrText>
      </w:r>
      <w:r>
        <w:rPr>
          <w:color w:val="auto"/>
          <w:highlight w:val="none"/>
        </w:rPr>
        <w:fldChar w:fldCharType="separate"/>
      </w:r>
      <w:r>
        <w:rPr>
          <w:rFonts w:hint="eastAsia" w:ascii="宋体" w:hAnsi="宋体" w:cs="宋体"/>
          <w:color w:val="auto"/>
          <w:highlight w:val="none"/>
        </w:rPr>
        <w:t>二、报价文件部分格式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_Toc3526 \h </w:instrText>
      </w:r>
      <w:r>
        <w:rPr>
          <w:rFonts w:hint="eastAsia" w:ascii="宋体" w:hAnsi="宋体" w:cs="宋体"/>
          <w:color w:val="auto"/>
          <w:highlight w:val="none"/>
        </w:rPr>
        <w:fldChar w:fldCharType="separate"/>
      </w:r>
      <w:r>
        <w:rPr>
          <w:rFonts w:hint="eastAsia" w:ascii="宋体" w:hAnsi="宋体" w:cs="宋体"/>
          <w:color w:val="auto"/>
          <w:highlight w:val="none"/>
        </w:rPr>
        <w:t>49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1"/>
        <w:tabs>
          <w:tab w:val="right" w:leader="dot" w:pos="9638"/>
          <w:tab w:val="clear" w:pos="8777"/>
        </w:tabs>
        <w:spacing w:line="480" w:lineRule="auto"/>
        <w:jc w:val="both"/>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"_Toc6383" </w:instrText>
      </w:r>
      <w:r>
        <w:rPr>
          <w:color w:val="auto"/>
          <w:highlight w:val="none"/>
        </w:rPr>
        <w:fldChar w:fldCharType="separate"/>
      </w:r>
      <w:r>
        <w:rPr>
          <w:rFonts w:hint="eastAsia" w:ascii="宋体" w:hAnsi="宋体" w:cs="宋体"/>
          <w:color w:val="auto"/>
          <w:highlight w:val="none"/>
        </w:rPr>
        <w:t>三、商务技术文件部分格式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_Toc6383 \h </w:instrText>
      </w:r>
      <w:r>
        <w:rPr>
          <w:rFonts w:hint="eastAsia" w:ascii="宋体" w:hAnsi="宋体" w:cs="宋体"/>
          <w:color w:val="auto"/>
          <w:highlight w:val="none"/>
        </w:rPr>
        <w:fldChar w:fldCharType="separate"/>
      </w:r>
      <w:r>
        <w:rPr>
          <w:rFonts w:hint="eastAsia" w:ascii="宋体" w:hAnsi="宋体" w:cs="宋体"/>
          <w:color w:val="auto"/>
          <w:highlight w:val="none"/>
        </w:rPr>
        <w:t>51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1"/>
        <w:tabs>
          <w:tab w:val="right" w:leader="dot" w:pos="9638"/>
          <w:tab w:val="clear" w:pos="8777"/>
        </w:tabs>
        <w:spacing w:line="480" w:lineRule="auto"/>
        <w:jc w:val="both"/>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"_Toc5132" </w:instrText>
      </w:r>
      <w:r>
        <w:rPr>
          <w:color w:val="auto"/>
          <w:highlight w:val="none"/>
        </w:rPr>
        <w:fldChar w:fldCharType="separate"/>
      </w:r>
      <w:r>
        <w:rPr>
          <w:rFonts w:hint="eastAsia" w:ascii="宋体" w:hAnsi="宋体" w:cs="宋体"/>
          <w:color w:val="auto"/>
          <w:szCs w:val="30"/>
          <w:highlight w:val="none"/>
        </w:rPr>
        <w:t>第七部分 评标定标办法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_Toc5132 \h </w:instrText>
      </w:r>
      <w:r>
        <w:rPr>
          <w:rFonts w:hint="eastAsia" w:ascii="宋体" w:hAnsi="宋体" w:cs="宋体"/>
          <w:color w:val="auto"/>
          <w:highlight w:val="none"/>
        </w:rPr>
        <w:fldChar w:fldCharType="separate"/>
      </w:r>
      <w:r>
        <w:rPr>
          <w:rFonts w:hint="eastAsia" w:ascii="宋体" w:hAnsi="宋体" w:cs="宋体"/>
          <w:color w:val="auto"/>
          <w:highlight w:val="none"/>
        </w:rPr>
        <w:t>56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spacing w:line="480" w:lineRule="auto"/>
        <w:jc w:val="both"/>
        <w:rPr>
          <w:rFonts w:hint="eastAsia" w:ascii="宋体" w:hAnsi="宋体" w:cs="宋体"/>
          <w:color w:val="auto"/>
          <w:highlight w:val="none"/>
        </w:rPr>
      </w:pPr>
      <w:r>
        <w:rPr>
          <w:rFonts w:hint="eastAsia" w:ascii="宋体" w:hAnsi="宋体" w:cs="宋体"/>
          <w:color w:val="auto"/>
          <w:highlight w:val="none"/>
        </w:rPr>
        <w:fldChar w:fldCharType="end"/>
      </w:r>
      <w:bookmarkStart w:id="2" w:name="_Toc498343162"/>
      <w:r>
        <w:rPr>
          <w:rFonts w:hint="eastAsia" w:ascii="宋体" w:hAnsi="宋体" w:cs="宋体"/>
          <w:b/>
          <w:bCs/>
          <w:color w:val="auto"/>
          <w:sz w:val="22"/>
          <w:szCs w:val="22"/>
          <w:highlight w:val="none"/>
        </w:rPr>
        <w:t>注：招标文</w:t>
      </w:r>
      <w:r>
        <w:rPr>
          <w:rFonts w:hint="eastAsia" w:ascii="宋体" w:hAnsi="宋体" w:eastAsia="宋体" w:cs="宋体"/>
          <w:b/>
          <w:bCs/>
          <w:color w:val="auto"/>
          <w:sz w:val="22"/>
          <w:szCs w:val="22"/>
          <w:highlight w:val="none"/>
        </w:rPr>
        <w:t>件中带“▲”条款系指实质性要求条款。“★”是关键技术参数及要求</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着重提醒</w:t>
      </w:r>
      <w:r>
        <w:rPr>
          <w:rFonts w:hint="eastAsia" w:ascii="宋体" w:hAnsi="宋体" w:cs="宋体"/>
          <w:b/>
          <w:bCs/>
          <w:color w:val="auto"/>
          <w:sz w:val="22"/>
          <w:szCs w:val="22"/>
          <w:highlight w:val="none"/>
        </w:rPr>
        <w:t>各投标供应商注意,并认真查看招标文件中的每一个条款及要求,因误读招标文件而造成的后果,招标人概不负责。</w:t>
      </w:r>
    </w:p>
    <w:bookmarkEnd w:id="0"/>
    <w:bookmarkEnd w:id="2"/>
    <w:p>
      <w:pPr>
        <w:spacing w:line="360" w:lineRule="auto"/>
        <w:jc w:val="center"/>
        <w:rPr>
          <w:rFonts w:hint="eastAsia" w:ascii="宋体" w:hAnsi="宋体" w:cs="宋体"/>
          <w:b/>
          <w:color w:val="auto"/>
          <w:sz w:val="32"/>
          <w:szCs w:val="32"/>
          <w:highlight w:val="none"/>
        </w:rPr>
      </w:pPr>
      <w:bookmarkStart w:id="3" w:name="_Toc11853"/>
      <w:bookmarkStart w:id="4" w:name="_Toc498343164"/>
      <w:bookmarkStart w:id="5" w:name="_Toc496116239"/>
      <w:r>
        <w:rPr>
          <w:rFonts w:hint="eastAsia" w:ascii="宋体" w:hAnsi="宋体" w:cs="宋体"/>
          <w:b/>
          <w:color w:val="auto"/>
          <w:sz w:val="32"/>
          <w:szCs w:val="32"/>
          <w:highlight w:val="none"/>
        </w:rPr>
        <w:t>温州市中概工程管理咨询有限公司关于</w:t>
      </w:r>
      <w:r>
        <w:rPr>
          <w:rFonts w:hint="eastAsia" w:ascii="宋体" w:hAnsi="宋体" w:cs="宋体"/>
          <w:b/>
          <w:color w:val="auto"/>
          <w:sz w:val="32"/>
          <w:szCs w:val="32"/>
          <w:highlight w:val="none"/>
          <w:lang w:eastAsia="zh-CN"/>
        </w:rPr>
        <w:t>2025年至2027年度永嘉县公安局交通警察大队拖车及车辆保管服务项目</w:t>
      </w:r>
      <w:r>
        <w:rPr>
          <w:rFonts w:hint="eastAsia" w:ascii="宋体" w:hAnsi="宋体" w:cs="宋体"/>
          <w:b/>
          <w:color w:val="auto"/>
          <w:sz w:val="32"/>
          <w:szCs w:val="32"/>
          <w:highlight w:val="none"/>
        </w:rPr>
        <w:t>的公开招标公告</w:t>
      </w:r>
      <w:bookmarkEnd w:id="3"/>
    </w:p>
    <w:p>
      <w:pPr>
        <w:pStyle w:val="41"/>
        <w:rPr>
          <w:rFonts w:hint="eastAsia"/>
          <w:color w:val="auto"/>
          <w:sz w:val="22"/>
          <w:szCs w:val="22"/>
          <w:highlight w:val="none"/>
        </w:rPr>
      </w:pPr>
      <w:r>
        <w:rPr>
          <w:rFonts w:hint="eastAsia"/>
          <w:color w:val="auto"/>
          <w:sz w:val="22"/>
          <w:szCs w:val="22"/>
          <w:highlight w:val="none"/>
        </w:rPr>
        <w:t>项目概况  </w:t>
      </w:r>
    </w:p>
    <w:p>
      <w:pPr>
        <w:pStyle w:val="41"/>
        <w:spacing w:line="360" w:lineRule="auto"/>
        <w:rPr>
          <w:rFonts w:hint="eastAsia"/>
          <w:color w:val="auto"/>
          <w:sz w:val="22"/>
          <w:szCs w:val="22"/>
          <w:highlight w:val="none"/>
        </w:rPr>
      </w:pPr>
      <w:r>
        <w:rPr>
          <w:rFonts w:hint="eastAsia" w:cs="宋体"/>
          <w:color w:val="auto"/>
          <w:sz w:val="22"/>
          <w:szCs w:val="22"/>
          <w:highlight w:val="none"/>
          <w:lang w:eastAsia="zh-CN"/>
        </w:rPr>
        <w:t>2025年至2027年度永嘉县公安局交通警察大队拖车及车辆保管服务</w:t>
      </w:r>
      <w:r>
        <w:rPr>
          <w:rFonts w:hint="eastAsia" w:ascii="宋体" w:hAnsi="宋体" w:eastAsia="宋体" w:cs="宋体"/>
          <w:color w:val="auto"/>
          <w:sz w:val="22"/>
          <w:szCs w:val="22"/>
          <w:highlight w:val="none"/>
        </w:rPr>
        <w:t>项目的潜在投</w:t>
      </w:r>
      <w:r>
        <w:rPr>
          <w:rFonts w:hint="eastAsia"/>
          <w:color w:val="auto"/>
          <w:sz w:val="22"/>
          <w:szCs w:val="22"/>
          <w:highlight w:val="none"/>
        </w:rPr>
        <w:t>标供应商应在政采云平台线上获取（下载）招标文件，并于 2024年</w:t>
      </w:r>
      <w:r>
        <w:rPr>
          <w:rFonts w:hint="eastAsia"/>
          <w:color w:val="auto"/>
          <w:sz w:val="22"/>
          <w:szCs w:val="22"/>
          <w:highlight w:val="none"/>
          <w:lang w:val="en-US" w:eastAsia="zh-CN"/>
        </w:rPr>
        <w:t>12月27日</w:t>
      </w:r>
      <w:r>
        <w:rPr>
          <w:rFonts w:hint="eastAsia"/>
          <w:color w:val="auto"/>
          <w:sz w:val="22"/>
          <w:szCs w:val="22"/>
          <w:highlight w:val="none"/>
        </w:rPr>
        <w:t xml:space="preserve"> 09:30（北京时间）前递交（上传）投标文件。</w:t>
      </w:r>
    </w:p>
    <w:p>
      <w:pPr>
        <w:widowControl/>
        <w:spacing w:before="225" w:after="225" w:line="360" w:lineRule="auto"/>
        <w:jc w:val="left"/>
        <w:rPr>
          <w:rFonts w:hint="eastAsia" w:ascii="宋体" w:hAnsi="宋体" w:cs="宋体"/>
          <w:color w:val="auto"/>
          <w:sz w:val="22"/>
          <w:szCs w:val="22"/>
          <w:highlight w:val="none"/>
        </w:rPr>
      </w:pPr>
      <w:r>
        <w:rPr>
          <w:rStyle w:val="48"/>
          <w:rFonts w:hint="eastAsia" w:ascii="宋体" w:hAnsi="宋体" w:cs="宋体"/>
          <w:color w:val="auto"/>
          <w:sz w:val="22"/>
          <w:szCs w:val="22"/>
          <w:highlight w:val="none"/>
        </w:rPr>
        <w:t>一、项目</w:t>
      </w:r>
      <w:r>
        <w:rPr>
          <w:rFonts w:hint="eastAsia" w:ascii="宋体" w:hAnsi="宋体" w:cs="宋体"/>
          <w:b/>
          <w:color w:val="auto"/>
          <w:kern w:val="0"/>
          <w:sz w:val="22"/>
          <w:szCs w:val="22"/>
          <w:highlight w:val="none"/>
        </w:rPr>
        <w:t>基本</w:t>
      </w:r>
      <w:r>
        <w:rPr>
          <w:rStyle w:val="48"/>
          <w:rFonts w:hint="eastAsia" w:ascii="宋体" w:hAnsi="宋体" w:cs="宋体"/>
          <w:color w:val="auto"/>
          <w:sz w:val="22"/>
          <w:szCs w:val="22"/>
          <w:highlight w:val="none"/>
        </w:rPr>
        <w:t>情况</w:t>
      </w:r>
      <w:r>
        <w:rPr>
          <w:rFonts w:hint="eastAsia" w:ascii="宋体" w:hAnsi="宋体" w:cs="宋体"/>
          <w:color w:val="auto"/>
          <w:sz w:val="22"/>
          <w:szCs w:val="22"/>
          <w:highlight w:val="none"/>
        </w:rPr>
        <w:t>                                            </w:t>
      </w:r>
    </w:p>
    <w:p>
      <w:pPr>
        <w:pStyle w:val="41"/>
        <w:spacing w:before="75" w:beforeAutospacing="0" w:after="75" w:afterAutospacing="0" w:line="300" w:lineRule="atLeast"/>
        <w:rPr>
          <w:rFonts w:hint="eastAsia"/>
          <w:color w:val="auto"/>
          <w:sz w:val="22"/>
          <w:szCs w:val="22"/>
          <w:highlight w:val="none"/>
        </w:rPr>
      </w:pPr>
      <w:r>
        <w:rPr>
          <w:rFonts w:hint="eastAsia"/>
          <w:color w:val="auto"/>
          <w:sz w:val="22"/>
          <w:szCs w:val="22"/>
          <w:highlight w:val="none"/>
        </w:rPr>
        <w:t>   项目编号：</w:t>
      </w:r>
      <w:r>
        <w:rPr>
          <w:rFonts w:hint="eastAsia"/>
          <w:color w:val="auto"/>
          <w:sz w:val="22"/>
          <w:szCs w:val="22"/>
          <w:highlight w:val="none"/>
          <w:lang w:eastAsia="zh-CN"/>
        </w:rPr>
        <w:t>ZGCG-20241206</w:t>
      </w:r>
      <w:r>
        <w:rPr>
          <w:rFonts w:hint="eastAsia"/>
          <w:color w:val="auto"/>
          <w:sz w:val="22"/>
          <w:szCs w:val="22"/>
          <w:highlight w:val="none"/>
        </w:rPr>
        <w:t> </w:t>
      </w:r>
    </w:p>
    <w:p>
      <w:pPr>
        <w:widowControl/>
        <w:spacing w:before="75" w:after="75" w:line="300" w:lineRule="atLeast"/>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    项目名称：</w:t>
      </w:r>
      <w:r>
        <w:rPr>
          <w:rFonts w:hint="eastAsia" w:ascii="宋体" w:hAnsi="宋体" w:cs="宋体"/>
          <w:color w:val="auto"/>
          <w:kern w:val="0"/>
          <w:sz w:val="22"/>
          <w:szCs w:val="22"/>
          <w:highlight w:val="none"/>
          <w:lang w:eastAsia="zh-CN"/>
        </w:rPr>
        <w:t>2025年至2027年度永嘉县公安局交通警察大队拖车及车辆保管服务项目</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预算金额（元）：</w:t>
      </w:r>
      <w:r>
        <w:rPr>
          <w:rFonts w:hint="eastAsia" w:asciiTheme="majorEastAsia" w:hAnsiTheme="majorEastAsia" w:eastAsiaTheme="majorEastAsia"/>
          <w:color w:val="auto"/>
          <w:sz w:val="22"/>
          <w:szCs w:val="22"/>
          <w:highlight w:val="none"/>
          <w:lang w:eastAsia="zh-CN"/>
        </w:rPr>
        <w:t>10500000</w:t>
      </w:r>
      <w:r>
        <w:rPr>
          <w:rFonts w:hint="eastAsia" w:ascii="宋体" w:hAnsi="宋体" w:cs="宋体"/>
          <w:color w:val="auto"/>
          <w:kern w:val="0"/>
          <w:sz w:val="22"/>
          <w:szCs w:val="22"/>
          <w:highlight w:val="none"/>
        </w:rPr>
        <w:t>  </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最高限价（元）：/ </w:t>
      </w:r>
    </w:p>
    <w:p>
      <w:pPr>
        <w:widowControl/>
        <w:spacing w:before="75" w:after="75" w:line="300" w:lineRule="atLeast"/>
        <w:jc w:val="left"/>
        <w:rPr>
          <w:rFonts w:hint="eastAsia" w:ascii="宋体" w:hAnsi="宋体" w:cs="宋体"/>
          <w:color w:val="auto"/>
          <w:highlight w:val="none"/>
        </w:rPr>
      </w:pPr>
      <w:r>
        <w:rPr>
          <w:rFonts w:hint="eastAsia" w:ascii="宋体" w:hAnsi="宋体" w:cs="宋体"/>
          <w:color w:val="auto"/>
          <w:kern w:val="0"/>
          <w:sz w:val="22"/>
          <w:szCs w:val="22"/>
          <w:highlight w:val="none"/>
        </w:rPr>
        <w:t>    采购需求：</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标项名称：</w:t>
      </w:r>
      <w:r>
        <w:rPr>
          <w:rFonts w:hint="eastAsia" w:ascii="宋体" w:hAnsi="宋体" w:cs="宋体"/>
          <w:color w:val="auto"/>
          <w:kern w:val="0"/>
          <w:sz w:val="22"/>
          <w:szCs w:val="22"/>
          <w:highlight w:val="none"/>
          <w:lang w:eastAsia="zh-CN"/>
        </w:rPr>
        <w:t>2025年至2027年度永嘉县公安局交通警察大队拖车及车辆保管服务项目</w:t>
      </w:r>
      <w:r>
        <w:rPr>
          <w:rFonts w:hint="eastAsia" w:ascii="宋体" w:hAnsi="宋体" w:cs="宋体"/>
          <w:color w:val="auto"/>
          <w:kern w:val="0"/>
          <w:sz w:val="22"/>
          <w:szCs w:val="22"/>
          <w:highlight w:val="none"/>
        </w:rPr>
        <w:t> </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数量：</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lang w:eastAsia="zh-CN"/>
        </w:rPr>
        <w:t>年</w:t>
      </w:r>
      <w:r>
        <w:rPr>
          <w:rFonts w:hint="eastAsia" w:ascii="宋体" w:hAnsi="宋体" w:cs="宋体"/>
          <w:color w:val="auto"/>
          <w:kern w:val="0"/>
          <w:sz w:val="22"/>
          <w:szCs w:val="22"/>
          <w:highlight w:val="none"/>
        </w:rPr>
        <w:t>  </w:t>
      </w:r>
    </w:p>
    <w:p>
      <w:pPr>
        <w:widowControl/>
        <w:spacing w:before="75" w:after="75" w:line="300" w:lineRule="atLeast"/>
        <w:ind w:firstLine="66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预算金额（元）：</w:t>
      </w:r>
      <w:r>
        <w:rPr>
          <w:rFonts w:hint="eastAsia" w:asciiTheme="majorEastAsia" w:hAnsiTheme="majorEastAsia" w:eastAsiaTheme="majorEastAsia"/>
          <w:color w:val="auto"/>
          <w:sz w:val="22"/>
          <w:szCs w:val="22"/>
          <w:highlight w:val="none"/>
          <w:lang w:eastAsia="zh-CN"/>
        </w:rPr>
        <w:t>10500000</w:t>
      </w:r>
    </w:p>
    <w:p>
      <w:pPr>
        <w:widowControl/>
        <w:spacing w:before="75" w:after="75" w:line="300" w:lineRule="atLeast"/>
        <w:ind w:firstLine="66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简要规格描述或项目基本概况介绍、用途：</w:t>
      </w:r>
      <w:r>
        <w:rPr>
          <w:rFonts w:hint="eastAsia" w:ascii="宋体" w:hAnsi="宋体" w:cs="宋体"/>
          <w:color w:val="auto"/>
          <w:kern w:val="0"/>
          <w:sz w:val="22"/>
          <w:szCs w:val="22"/>
          <w:highlight w:val="none"/>
          <w:lang w:eastAsia="zh-CN"/>
        </w:rPr>
        <w:t>拖车及车辆保管服务</w:t>
      </w:r>
      <w:r>
        <w:rPr>
          <w:rFonts w:hint="eastAsia" w:ascii="宋体" w:hAnsi="宋体" w:cs="宋体"/>
          <w:color w:val="auto"/>
          <w:kern w:val="0"/>
          <w:sz w:val="22"/>
          <w:szCs w:val="22"/>
          <w:highlight w:val="none"/>
        </w:rPr>
        <w:t>,详见招标文件 </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备注： </w:t>
      </w:r>
    </w:p>
    <w:p>
      <w:pPr>
        <w:widowControl/>
        <w:spacing w:before="75" w:after="75" w:line="300" w:lineRule="atLeast"/>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    合同履约期限：标项 1,详见招标文件</w:t>
      </w:r>
      <w:r>
        <w:rPr>
          <w:rFonts w:hint="eastAsia" w:ascii="宋体" w:hAnsi="宋体" w:cs="宋体"/>
          <w:color w:val="auto"/>
          <w:kern w:val="0"/>
          <w:sz w:val="22"/>
          <w:szCs w:val="22"/>
          <w:highlight w:val="none"/>
          <w:lang w:eastAsia="zh-CN"/>
        </w:rPr>
        <w:t>要求</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本项目（否）接受联合体投标。</w:t>
      </w:r>
    </w:p>
    <w:p>
      <w:pPr>
        <w:widowControl/>
        <w:spacing w:before="225" w:after="225" w:line="300" w:lineRule="atLeast"/>
        <w:jc w:val="lef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二、申请人的资格要求：</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2.落实政府采购政策需满足的资格要求：标项1：</w:t>
      </w:r>
      <w:r>
        <w:rPr>
          <w:rFonts w:hint="eastAsia" w:cs="Arial" w:asciiTheme="majorEastAsia" w:hAnsiTheme="majorEastAsia" w:eastAsiaTheme="majorEastAsia"/>
          <w:color w:val="auto"/>
          <w:kern w:val="0"/>
          <w:sz w:val="22"/>
          <w:szCs w:val="22"/>
          <w:highlight w:val="none"/>
        </w:rPr>
        <w:t>根据《政府采购促进中小企业发展管理办法》的通知（财库〔2020〕46号），本项目专门面向中小企业采购。</w:t>
      </w:r>
      <w:r>
        <w:rPr>
          <w:rFonts w:hint="eastAsia" w:ascii="宋体" w:hAnsi="宋体" w:cs="宋体"/>
          <w:color w:val="auto"/>
          <w:kern w:val="0"/>
          <w:sz w:val="22"/>
          <w:szCs w:val="22"/>
          <w:highlight w:val="none"/>
        </w:rPr>
        <w:t> </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3.本项目的特定资格要求：</w:t>
      </w:r>
      <w:r>
        <w:rPr>
          <w:rFonts w:hint="eastAsia" w:ascii="宋体" w:hAnsi="宋体" w:cs="宋体"/>
          <w:color w:val="auto"/>
          <w:kern w:val="0"/>
          <w:sz w:val="22"/>
          <w:szCs w:val="22"/>
          <w:highlight w:val="none"/>
          <w:lang w:eastAsia="zh-CN"/>
        </w:rPr>
        <w:t>无</w:t>
      </w:r>
      <w:r>
        <w:rPr>
          <w:rFonts w:hint="eastAsia" w:ascii="宋体" w:hAnsi="宋体" w:cs="宋体"/>
          <w:color w:val="auto"/>
          <w:kern w:val="0"/>
          <w:sz w:val="22"/>
          <w:szCs w:val="22"/>
          <w:highlight w:val="none"/>
        </w:rPr>
        <w:t>。 </w:t>
      </w:r>
    </w:p>
    <w:p>
      <w:pPr>
        <w:widowControl/>
        <w:spacing w:before="255" w:after="255" w:line="300" w:lineRule="atLeas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三、获取招标文件</w:t>
      </w:r>
      <w:r>
        <w:rPr>
          <w:rFonts w:hint="eastAsia" w:ascii="宋体" w:hAnsi="宋体" w:cs="宋体"/>
          <w:color w:val="auto"/>
          <w:kern w:val="0"/>
          <w:sz w:val="22"/>
          <w:szCs w:val="22"/>
          <w:highlight w:val="none"/>
        </w:rPr>
        <w:t> </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时间：/至2024年</w:t>
      </w:r>
      <w:r>
        <w:rPr>
          <w:rFonts w:hint="eastAsia" w:ascii="宋体" w:hAnsi="宋体" w:cs="宋体"/>
          <w:color w:val="auto"/>
          <w:sz w:val="22"/>
          <w:szCs w:val="22"/>
          <w:highlight w:val="none"/>
          <w:lang w:val="en-US" w:eastAsia="zh-CN"/>
        </w:rPr>
        <w:t>12月27日</w:t>
      </w:r>
      <w:r>
        <w:rPr>
          <w:rFonts w:hint="eastAsia" w:ascii="宋体" w:hAnsi="宋体" w:cs="宋体"/>
          <w:color w:val="auto"/>
          <w:kern w:val="0"/>
          <w:sz w:val="22"/>
          <w:szCs w:val="22"/>
          <w:highlight w:val="none"/>
        </w:rPr>
        <w:t>，每天上午00:00至12:00，下午12:00至23:59（北京时间，线上获取法定节假日均可，线下获取文件法定节假日除外）</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地点（网址）：政采云平台线上获取 </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方式：供应商登录政采云平台https://www.zcygov.cn/在线申请获取采购文件（进入“项目采购”应用，在获取采购文件菜单中选择项目，申请获取采购文件） </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售价（元）：0 </w:t>
      </w:r>
    </w:p>
    <w:p>
      <w:pPr>
        <w:widowControl/>
        <w:spacing w:before="255" w:after="255" w:line="300" w:lineRule="atLeas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四、提交投标文件截止时间、开标时间和地点</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提交投标文件截止时间：2024年</w:t>
      </w:r>
      <w:r>
        <w:rPr>
          <w:rFonts w:hint="eastAsia" w:ascii="宋体" w:hAnsi="宋体" w:cs="宋体"/>
          <w:color w:val="auto"/>
          <w:sz w:val="22"/>
          <w:szCs w:val="22"/>
          <w:highlight w:val="none"/>
          <w:lang w:val="en-US" w:eastAsia="zh-CN"/>
        </w:rPr>
        <w:t>12月27日</w:t>
      </w:r>
      <w:r>
        <w:rPr>
          <w:rFonts w:hint="eastAsia" w:ascii="宋体" w:hAnsi="宋体" w:cs="宋体"/>
          <w:color w:val="auto"/>
          <w:kern w:val="0"/>
          <w:sz w:val="22"/>
          <w:szCs w:val="22"/>
          <w:highlight w:val="none"/>
        </w:rPr>
        <w:t xml:space="preserve"> 09:30（北京时间）</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投标地点（网址）：请登录政采云投标客户端投标 </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开标时间：2024年</w:t>
      </w:r>
      <w:r>
        <w:rPr>
          <w:rFonts w:hint="eastAsia" w:ascii="宋体" w:hAnsi="宋体" w:cs="宋体"/>
          <w:color w:val="auto"/>
          <w:sz w:val="22"/>
          <w:szCs w:val="22"/>
          <w:highlight w:val="none"/>
          <w:lang w:val="en-US" w:eastAsia="zh-CN"/>
        </w:rPr>
        <w:t>12月27日</w:t>
      </w:r>
      <w:r>
        <w:rPr>
          <w:rFonts w:hint="eastAsia" w:ascii="宋体" w:hAnsi="宋体" w:cs="宋体"/>
          <w:color w:val="auto"/>
          <w:kern w:val="0"/>
          <w:sz w:val="22"/>
          <w:szCs w:val="22"/>
          <w:highlight w:val="none"/>
        </w:rPr>
        <w:t xml:space="preserve"> 09:30 </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开标地点（网址）：政采云平台（https://www.zcygov.cn/）  </w:t>
      </w:r>
    </w:p>
    <w:p>
      <w:pPr>
        <w:widowControl/>
        <w:spacing w:before="255" w:after="255" w:line="300" w:lineRule="atLeas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五、公告期限</w:t>
      </w:r>
      <w:r>
        <w:rPr>
          <w:rFonts w:hint="eastAsia" w:ascii="宋体" w:hAnsi="宋体" w:cs="宋体"/>
          <w:color w:val="auto"/>
          <w:kern w:val="0"/>
          <w:sz w:val="22"/>
          <w:szCs w:val="22"/>
          <w:highlight w:val="none"/>
        </w:rPr>
        <w:t> </w:t>
      </w:r>
    </w:p>
    <w:p>
      <w:pPr>
        <w:widowControl/>
        <w:spacing w:before="75" w:after="7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自本公告发布之日起5个工作日。</w:t>
      </w:r>
    </w:p>
    <w:p>
      <w:pPr>
        <w:widowControl/>
        <w:spacing w:before="255" w:after="255" w:line="300" w:lineRule="atLeas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六、其他补充事宜</w:t>
      </w:r>
    </w:p>
    <w:p>
      <w:pPr>
        <w:widowControl/>
        <w:spacing w:before="255" w:after="255" w:line="300" w:lineRule="atLeast"/>
        <w:ind w:firstLine="48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before="255" w:after="255" w:line="300" w:lineRule="atLeast"/>
        <w:ind w:firstLine="48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widowControl/>
        <w:spacing w:before="75" w:after="75" w:line="360" w:lineRule="atLeast"/>
        <w:ind w:firstLine="48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其他事项：（1）需要落实的政府采购政策：包括节约资源、保护环境、支持创新、促进中小企业发展等。详见招标文件。（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投标截止后，将不再接受对招标文件的质疑。   </w:t>
      </w:r>
    </w:p>
    <w:p>
      <w:pPr>
        <w:widowControl/>
        <w:spacing w:before="255" w:after="255" w:line="480" w:lineRule="atLeas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七、对本次采购提出询问、质疑、投诉,请按以下方式联系</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1.采购人信息</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名    称：</w:t>
      </w:r>
      <w:r>
        <w:rPr>
          <w:rFonts w:hint="eastAsia" w:ascii="宋体" w:hAnsi="宋体" w:cs="宋体"/>
          <w:color w:val="auto"/>
          <w:kern w:val="0"/>
          <w:sz w:val="22"/>
          <w:szCs w:val="22"/>
          <w:highlight w:val="none"/>
          <w:lang w:eastAsia="zh-CN"/>
        </w:rPr>
        <w:t>永嘉县公安局交通警察大队</w:t>
      </w:r>
      <w:r>
        <w:rPr>
          <w:rFonts w:hint="eastAsia" w:ascii="宋体" w:hAnsi="宋体" w:cs="宋体"/>
          <w:color w:val="auto"/>
          <w:kern w:val="0"/>
          <w:sz w:val="22"/>
          <w:szCs w:val="22"/>
          <w:highlight w:val="none"/>
        </w:rPr>
        <w:t> </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地    址：</w:t>
      </w:r>
      <w:r>
        <w:rPr>
          <w:rFonts w:hint="eastAsia" w:ascii="宋体" w:hAnsi="宋体" w:cs="宋体"/>
          <w:color w:val="auto"/>
          <w:kern w:val="0"/>
          <w:sz w:val="22"/>
          <w:szCs w:val="22"/>
          <w:highlight w:val="none"/>
          <w:lang w:eastAsia="zh-CN"/>
        </w:rPr>
        <w:t>温州市永嘉县沙门路1号</w:t>
      </w:r>
      <w:r>
        <w:rPr>
          <w:rFonts w:hint="eastAsia" w:ascii="宋体" w:hAnsi="宋体" w:cs="宋体"/>
          <w:color w:val="auto"/>
          <w:kern w:val="0"/>
          <w:sz w:val="22"/>
          <w:szCs w:val="22"/>
          <w:highlight w:val="none"/>
        </w:rPr>
        <w:t> </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项目联系人（询问）：</w:t>
      </w:r>
      <w:r>
        <w:rPr>
          <w:rFonts w:hint="eastAsia" w:ascii="宋体" w:hAnsi="宋体" w:cs="宋体"/>
          <w:color w:val="auto"/>
          <w:kern w:val="0"/>
          <w:sz w:val="22"/>
          <w:szCs w:val="22"/>
          <w:highlight w:val="none"/>
          <w:lang w:eastAsia="zh-CN"/>
        </w:rPr>
        <w:t>施先生</w:t>
      </w:r>
      <w:r>
        <w:rPr>
          <w:rFonts w:hint="eastAsia" w:ascii="宋体" w:hAnsi="宋体" w:cs="宋体"/>
          <w:color w:val="auto"/>
          <w:kern w:val="0"/>
          <w:sz w:val="22"/>
          <w:szCs w:val="22"/>
          <w:highlight w:val="none"/>
        </w:rPr>
        <w:t>  </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项目联系方式（询问）：</w:t>
      </w:r>
      <w:r>
        <w:rPr>
          <w:rFonts w:hint="eastAsia" w:asciiTheme="majorEastAsia" w:hAnsiTheme="majorEastAsia" w:eastAsiaTheme="majorEastAsia"/>
          <w:color w:val="auto"/>
          <w:sz w:val="22"/>
          <w:szCs w:val="22"/>
          <w:highlight w:val="none"/>
          <w:lang w:eastAsia="zh-CN"/>
        </w:rPr>
        <w:t>0577-66966525</w:t>
      </w:r>
      <w:r>
        <w:rPr>
          <w:rFonts w:hint="eastAsia" w:ascii="宋体" w:hAnsi="宋体" w:cs="宋体"/>
          <w:color w:val="auto"/>
          <w:kern w:val="0"/>
          <w:sz w:val="22"/>
          <w:szCs w:val="22"/>
          <w:highlight w:val="none"/>
        </w:rPr>
        <w:t> </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质疑联系人：</w:t>
      </w:r>
      <w:r>
        <w:rPr>
          <w:rFonts w:hint="eastAsia" w:ascii="宋体" w:hAnsi="宋体" w:cs="宋体"/>
          <w:color w:val="auto"/>
          <w:kern w:val="0"/>
          <w:sz w:val="22"/>
          <w:szCs w:val="22"/>
          <w:highlight w:val="none"/>
          <w:lang w:eastAsia="zh-CN"/>
        </w:rPr>
        <w:t>施先生</w:t>
      </w:r>
      <w:r>
        <w:rPr>
          <w:rFonts w:hint="eastAsia" w:ascii="宋体" w:hAnsi="宋体" w:cs="宋体"/>
          <w:color w:val="auto"/>
          <w:kern w:val="0"/>
          <w:sz w:val="22"/>
          <w:szCs w:val="22"/>
          <w:highlight w:val="none"/>
        </w:rPr>
        <w:t>    </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质疑联系方式：</w:t>
      </w:r>
      <w:r>
        <w:rPr>
          <w:rFonts w:hint="eastAsia" w:ascii="宋体" w:hAnsi="宋体" w:cs="宋体"/>
          <w:color w:val="auto"/>
          <w:kern w:val="0"/>
          <w:sz w:val="22"/>
          <w:szCs w:val="22"/>
          <w:highlight w:val="none"/>
          <w:lang w:eastAsia="zh-CN"/>
        </w:rPr>
        <w:t>0577-66999515</w:t>
      </w:r>
      <w:r>
        <w:rPr>
          <w:rFonts w:hint="eastAsia" w:ascii="宋体" w:hAnsi="宋体" w:cs="宋体"/>
          <w:color w:val="auto"/>
          <w:kern w:val="0"/>
          <w:sz w:val="22"/>
          <w:szCs w:val="22"/>
          <w:highlight w:val="none"/>
        </w:rPr>
        <w:t> </w:t>
      </w:r>
    </w:p>
    <w:p>
      <w:pPr>
        <w:pStyle w:val="10"/>
        <w:ind w:firstLine="422"/>
        <w:rPr>
          <w:rFonts w:hint="eastAsia" w:ascii="宋体" w:eastAsia="宋体"/>
          <w:color w:val="auto"/>
          <w:highlight w:val="none"/>
        </w:rPr>
      </w:pP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2.采购代理机构信息            </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名    称：温州市中概工程管理咨询有限公司             </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地    址：</w:t>
      </w:r>
      <w:r>
        <w:rPr>
          <w:rFonts w:hint="eastAsia" w:ascii="宋体" w:hAnsi="宋体" w:cs="宋体"/>
          <w:color w:val="auto"/>
          <w:kern w:val="0"/>
          <w:sz w:val="22"/>
          <w:szCs w:val="22"/>
          <w:highlight w:val="none"/>
          <w:lang w:eastAsia="zh-CN"/>
        </w:rPr>
        <w:t>温州市永嘉县南城街道环城北路云碓大厦503室</w:t>
      </w:r>
      <w:r>
        <w:rPr>
          <w:rFonts w:hint="eastAsia" w:ascii="宋体" w:hAnsi="宋体" w:cs="宋体"/>
          <w:color w:val="auto"/>
          <w:kern w:val="0"/>
          <w:sz w:val="22"/>
          <w:szCs w:val="22"/>
          <w:highlight w:val="none"/>
        </w:rPr>
        <w:t>             </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项目联系人（询问）：</w:t>
      </w:r>
      <w:r>
        <w:rPr>
          <w:rFonts w:hint="eastAsia" w:ascii="宋体" w:hAnsi="宋体" w:cs="宋体"/>
          <w:color w:val="auto"/>
          <w:kern w:val="0"/>
          <w:sz w:val="22"/>
          <w:szCs w:val="22"/>
          <w:highlight w:val="none"/>
          <w:lang w:eastAsia="zh-CN"/>
        </w:rPr>
        <w:t>黄曼曼</w:t>
      </w:r>
      <w:r>
        <w:rPr>
          <w:rFonts w:hint="eastAsia" w:ascii="宋体" w:hAnsi="宋体" w:cs="宋体"/>
          <w:color w:val="auto"/>
          <w:kern w:val="0"/>
          <w:sz w:val="22"/>
          <w:szCs w:val="22"/>
          <w:highlight w:val="none"/>
        </w:rPr>
        <w:t>              </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项目联系方式（询问）：</w:t>
      </w:r>
      <w:r>
        <w:rPr>
          <w:rFonts w:hint="eastAsia" w:ascii="宋体" w:hAnsi="宋体" w:cs="宋体"/>
          <w:color w:val="auto"/>
          <w:kern w:val="0"/>
          <w:sz w:val="22"/>
          <w:szCs w:val="22"/>
          <w:highlight w:val="none"/>
          <w:lang w:eastAsia="zh-CN"/>
        </w:rPr>
        <w:t>15858728890</w:t>
      </w:r>
      <w:r>
        <w:rPr>
          <w:rFonts w:hint="eastAsia" w:ascii="宋体" w:hAnsi="宋体" w:cs="宋体"/>
          <w:color w:val="auto"/>
          <w:kern w:val="0"/>
          <w:sz w:val="22"/>
          <w:szCs w:val="22"/>
          <w:highlight w:val="none"/>
        </w:rPr>
        <w:t> </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质疑联系人：余茜茜             </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质疑联系方式：13567723502 　　　　　　     </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p>
      <w:pPr>
        <w:pStyle w:val="10"/>
        <w:ind w:firstLine="422"/>
        <w:rPr>
          <w:rFonts w:hint="eastAsia" w:ascii="宋体" w:eastAsia="宋体"/>
          <w:color w:val="auto"/>
          <w:highlight w:val="none"/>
        </w:rPr>
      </w:pP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3.同级政府采购监督管理部门</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名   称：永嘉县财政局</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联 系 人：</w:t>
      </w:r>
      <w:r>
        <w:rPr>
          <w:rFonts w:hint="eastAsia" w:ascii="宋体" w:hAnsi="宋体" w:cs="宋体"/>
          <w:color w:val="auto"/>
          <w:kern w:val="0"/>
          <w:sz w:val="22"/>
          <w:szCs w:val="22"/>
          <w:highlight w:val="none"/>
          <w:lang w:eastAsia="zh-CN"/>
        </w:rPr>
        <w:t>徐</w:t>
      </w:r>
      <w:r>
        <w:rPr>
          <w:rFonts w:hint="eastAsia" w:ascii="宋体" w:hAnsi="宋体" w:cs="宋体"/>
          <w:color w:val="auto"/>
          <w:kern w:val="0"/>
          <w:sz w:val="22"/>
          <w:szCs w:val="22"/>
          <w:highlight w:val="none"/>
        </w:rPr>
        <w:t>女士</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监督投诉电话：0577-67230257</w:t>
      </w:r>
    </w:p>
    <w:p>
      <w:pPr>
        <w:widowControl/>
        <w:spacing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p>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p>
      <w:pPr>
        <w:widowControl/>
        <w:spacing w:before="75" w:after="75"/>
        <w:jc w:val="left"/>
        <w:rPr>
          <w:rFonts w:hint="eastAsia" w:ascii="宋体" w:hAnsi="宋体" w:cs="宋体"/>
          <w:color w:val="auto"/>
          <w:kern w:val="0"/>
          <w:sz w:val="22"/>
          <w:szCs w:val="22"/>
          <w:highlight w:val="none"/>
        </w:rPr>
      </w:pPr>
    </w:p>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若对项目采购电子交易系统操作有疑问,可登录政采云（https://www.zcygov.cn/）,点击右侧咨询小采,获取采小蜜智能服务管家帮助,或拨打政采云服务热线95763获取热线服务帮助。       </w:t>
      </w:r>
    </w:p>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CA问题联系电话（人工）：汇信CA 400-888-4636；天谷CA 400-087-8198。</w:t>
      </w:r>
    </w:p>
    <w:p>
      <w:pPr>
        <w:widowControl/>
        <w:spacing w:before="75" w:after="75" w:line="360" w:lineRule="auto"/>
        <w:jc w:val="left"/>
        <w:rPr>
          <w:rFonts w:hint="eastAsia" w:ascii="宋体" w:hAnsi="宋体" w:cs="宋体"/>
          <w:color w:val="auto"/>
          <w:kern w:val="0"/>
          <w:sz w:val="22"/>
          <w:szCs w:val="22"/>
          <w:highlight w:val="none"/>
        </w:rPr>
      </w:pPr>
    </w:p>
    <w:p>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pPr>
        <w:pStyle w:val="42"/>
        <w:rPr>
          <w:rFonts w:hint="eastAsia" w:ascii="宋体" w:hAnsi="宋体" w:cs="宋体"/>
          <w:color w:val="auto"/>
          <w:sz w:val="30"/>
          <w:szCs w:val="30"/>
          <w:highlight w:val="none"/>
        </w:rPr>
      </w:pPr>
      <w:bookmarkStart w:id="6" w:name="_Toc17480"/>
      <w:r>
        <w:rPr>
          <w:rFonts w:hint="eastAsia" w:ascii="宋体" w:hAnsi="宋体" w:cs="宋体"/>
          <w:color w:val="auto"/>
          <w:sz w:val="30"/>
          <w:szCs w:val="30"/>
          <w:highlight w:val="none"/>
        </w:rPr>
        <w:t>第一部分  投标通知（邀请）书</w:t>
      </w:r>
      <w:bookmarkEnd w:id="4"/>
      <w:bookmarkEnd w:id="5"/>
      <w:bookmarkEnd w:id="6"/>
    </w:p>
    <w:tbl>
      <w:tblPr>
        <w:tblStyle w:val="45"/>
        <w:tblW w:w="102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94"/>
        <w:gridCol w:w="1715"/>
        <w:gridCol w:w="7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spacing w:line="400" w:lineRule="atLeas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715" w:type="dxa"/>
            <w:vAlign w:val="center"/>
          </w:tcPr>
          <w:p>
            <w:pPr>
              <w:spacing w:line="400" w:lineRule="atLeas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内容</w:t>
            </w:r>
          </w:p>
        </w:tc>
        <w:tc>
          <w:tcPr>
            <w:tcW w:w="7821" w:type="dxa"/>
            <w:vAlign w:val="center"/>
          </w:tcPr>
          <w:p>
            <w:pPr>
              <w:spacing w:line="400" w:lineRule="atLeas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715" w:type="dxa"/>
            <w:vAlign w:val="center"/>
          </w:tcPr>
          <w:p>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采购人</w:t>
            </w:r>
          </w:p>
        </w:tc>
        <w:tc>
          <w:tcPr>
            <w:tcW w:w="7821" w:type="dxa"/>
            <w:vAlign w:val="center"/>
          </w:tcPr>
          <w:p>
            <w:pPr>
              <w:adjustRightInd w:val="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名称：</w:t>
            </w:r>
            <w:r>
              <w:rPr>
                <w:rFonts w:hint="eastAsia" w:ascii="宋体" w:hAnsi="宋体" w:cs="宋体"/>
                <w:color w:val="auto"/>
                <w:sz w:val="22"/>
                <w:szCs w:val="22"/>
                <w:highlight w:val="none"/>
                <w:lang w:eastAsia="zh-CN"/>
              </w:rPr>
              <w:t>永嘉县公安局交通警察大队</w:t>
            </w:r>
          </w:p>
          <w:p>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项目联系人（询问）：</w:t>
            </w:r>
            <w:r>
              <w:rPr>
                <w:rFonts w:hint="eastAsia" w:ascii="宋体" w:hAnsi="宋体" w:cs="宋体"/>
                <w:color w:val="auto"/>
                <w:sz w:val="22"/>
                <w:szCs w:val="22"/>
                <w:highlight w:val="none"/>
                <w:lang w:eastAsia="zh-CN"/>
              </w:rPr>
              <w:t>施先生</w:t>
            </w:r>
            <w:r>
              <w:rPr>
                <w:rFonts w:hint="eastAsia" w:ascii="宋体" w:hAnsi="宋体" w:cs="宋体"/>
                <w:color w:val="auto"/>
                <w:sz w:val="22"/>
                <w:szCs w:val="22"/>
                <w:highlight w:val="none"/>
              </w:rPr>
              <w:t>  </w:t>
            </w:r>
          </w:p>
          <w:p>
            <w:pPr>
              <w:adjustRightInd w:val="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项目联系方式（询问）：</w:t>
            </w:r>
            <w:r>
              <w:rPr>
                <w:rFonts w:hint="eastAsia" w:ascii="宋体" w:hAnsi="宋体" w:cs="宋体"/>
                <w:color w:val="auto"/>
                <w:sz w:val="22"/>
                <w:szCs w:val="22"/>
                <w:highlight w:val="none"/>
                <w:lang w:eastAsia="zh-CN"/>
              </w:rPr>
              <w:t>0577-66966525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715"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采购代理机构</w:t>
            </w:r>
          </w:p>
        </w:tc>
        <w:tc>
          <w:tcPr>
            <w:tcW w:w="7821" w:type="dxa"/>
            <w:vAlign w:val="center"/>
          </w:tcPr>
          <w:p>
            <w:pPr>
              <w:adjustRightInd w:val="0"/>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采购代理机构名称：温州市中概工程管理咨询有限公司</w:t>
            </w:r>
          </w:p>
          <w:p>
            <w:pPr>
              <w:adjustRightInd w:val="0"/>
              <w:rPr>
                <w:rFonts w:hint="eastAsia" w:ascii="宋体" w:hAnsi="宋体" w:cs="宋体"/>
                <w:bCs/>
                <w:color w:val="auto"/>
                <w:sz w:val="22"/>
                <w:szCs w:val="22"/>
                <w:highlight w:val="none"/>
              </w:rPr>
            </w:pPr>
            <w:r>
              <w:rPr>
                <w:rFonts w:hint="eastAsia" w:ascii="宋体" w:hAnsi="宋体" w:cs="宋体"/>
                <w:bCs/>
                <w:color w:val="auto"/>
                <w:sz w:val="22"/>
                <w:szCs w:val="22"/>
                <w:highlight w:val="none"/>
              </w:rPr>
              <w:t>地点：温州市永嘉县南城街道环城北路云碓大厦503室</w:t>
            </w:r>
          </w:p>
          <w:p>
            <w:pPr>
              <w:adjustRightInd w:val="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 系 人：</w:t>
            </w:r>
            <w:r>
              <w:rPr>
                <w:rFonts w:hint="eastAsia" w:ascii="宋体" w:hAnsi="宋体" w:cs="宋体"/>
                <w:color w:val="auto"/>
                <w:sz w:val="22"/>
                <w:szCs w:val="22"/>
                <w:highlight w:val="none"/>
                <w:lang w:eastAsia="zh-CN"/>
              </w:rPr>
              <w:t>黄曼曼</w:t>
            </w:r>
          </w:p>
          <w:p>
            <w:pPr>
              <w:adjustRightInd w:val="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lang w:eastAsia="zh-CN"/>
              </w:rPr>
              <w:t>15858728890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715"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项目名称及项目编号</w:t>
            </w:r>
          </w:p>
        </w:tc>
        <w:tc>
          <w:tcPr>
            <w:tcW w:w="7821" w:type="dxa"/>
            <w:vAlign w:val="center"/>
          </w:tcPr>
          <w:p>
            <w:pP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项目名称：</w:t>
            </w:r>
            <w:r>
              <w:rPr>
                <w:rFonts w:hint="eastAsia" w:ascii="宋体" w:hAnsi="宋体" w:cs="宋体"/>
                <w:bCs/>
                <w:color w:val="auto"/>
                <w:sz w:val="22"/>
                <w:szCs w:val="22"/>
                <w:highlight w:val="none"/>
                <w:lang w:eastAsia="zh-CN"/>
              </w:rPr>
              <w:t>2025年至2027年度永嘉县公安局交通警察大队拖车及车辆保管服务项目</w:t>
            </w:r>
          </w:p>
          <w:p>
            <w:pP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rPr>
              <w:t>项目编号：</w:t>
            </w:r>
            <w:r>
              <w:rPr>
                <w:rFonts w:hint="eastAsia" w:ascii="宋体" w:hAnsi="宋体" w:cs="宋体"/>
                <w:color w:val="auto"/>
                <w:sz w:val="22"/>
                <w:szCs w:val="22"/>
                <w:highlight w:val="none"/>
                <w:lang w:eastAsia="zh-CN"/>
              </w:rPr>
              <w:t>ZGCG-20241206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1715" w:type="dxa"/>
            <w:vAlign w:val="center"/>
          </w:tcPr>
          <w:p>
            <w:pPr>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采购预算</w:t>
            </w:r>
          </w:p>
        </w:tc>
        <w:tc>
          <w:tcPr>
            <w:tcW w:w="7821" w:type="dxa"/>
            <w:vAlign w:val="center"/>
          </w:tcPr>
          <w:p>
            <w:pPr>
              <w:adjustRightInd w:val="0"/>
              <w:rPr>
                <w:rFonts w:hint="default" w:ascii="宋体" w:hAnsi="宋体" w:eastAsia="宋体" w:cs="宋体"/>
                <w:color w:val="auto"/>
                <w:sz w:val="22"/>
                <w:szCs w:val="22"/>
                <w:highlight w:val="none"/>
                <w:lang w:val="en-US" w:eastAsia="zh-CN"/>
              </w:rPr>
            </w:pPr>
            <w:r>
              <w:rPr>
                <w:rFonts w:hint="eastAsia" w:asciiTheme="majorEastAsia" w:hAnsiTheme="majorEastAsia" w:eastAsiaTheme="majorEastAsia"/>
                <w:color w:val="auto"/>
                <w:sz w:val="22"/>
                <w:szCs w:val="22"/>
                <w:highlight w:val="none"/>
                <w:lang w:val="en-US" w:eastAsia="zh-CN"/>
              </w:rPr>
              <w:t>10500000</w:t>
            </w:r>
            <w:r>
              <w:rPr>
                <w:rFonts w:hint="eastAsia" w:ascii="宋体" w:hAnsi="宋体" w:cs="宋体"/>
                <w:color w:val="auto"/>
                <w:sz w:val="22"/>
                <w:szCs w:val="22"/>
                <w:highlight w:val="none"/>
                <w:lang w:eastAsia="zh-CN"/>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715"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评标办法</w:t>
            </w:r>
          </w:p>
        </w:tc>
        <w:tc>
          <w:tcPr>
            <w:tcW w:w="7821" w:type="dxa"/>
            <w:vAlign w:val="center"/>
          </w:tcPr>
          <w:p>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1715"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采购内容</w:t>
            </w:r>
          </w:p>
        </w:tc>
        <w:tc>
          <w:tcPr>
            <w:tcW w:w="7821" w:type="dxa"/>
            <w:vAlign w:val="center"/>
          </w:tcPr>
          <w:p>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1715"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供应商资格要求</w:t>
            </w:r>
          </w:p>
        </w:tc>
        <w:tc>
          <w:tcPr>
            <w:tcW w:w="7821" w:type="dxa"/>
            <w:vAlign w:val="center"/>
          </w:tcPr>
          <w:p>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1715" w:type="dxa"/>
            <w:vAlign w:val="center"/>
          </w:tcPr>
          <w:p>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821" w:type="dxa"/>
            <w:vAlign w:val="center"/>
          </w:tcPr>
          <w:p>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不接受</w:t>
            </w:r>
          </w:p>
          <w:p>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9</w:t>
            </w:r>
          </w:p>
        </w:tc>
        <w:tc>
          <w:tcPr>
            <w:tcW w:w="1715" w:type="dxa"/>
            <w:vAlign w:val="center"/>
          </w:tcPr>
          <w:p>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821" w:type="dxa"/>
            <w:vAlign w:val="center"/>
          </w:tcPr>
          <w:p>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不组织</w:t>
            </w:r>
          </w:p>
          <w:p>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1715" w:type="dxa"/>
            <w:vAlign w:val="center"/>
          </w:tcPr>
          <w:p>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是否允许递交备选投标方案</w:t>
            </w:r>
          </w:p>
        </w:tc>
        <w:tc>
          <w:tcPr>
            <w:tcW w:w="7821" w:type="dxa"/>
            <w:vAlign w:val="center"/>
          </w:tcPr>
          <w:p>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 xml:space="preserve"> 不允许</w:t>
            </w:r>
          </w:p>
          <w:p>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w:t>
            </w:r>
          </w:p>
        </w:tc>
        <w:tc>
          <w:tcPr>
            <w:tcW w:w="1715" w:type="dxa"/>
            <w:vAlign w:val="center"/>
          </w:tcPr>
          <w:p>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分包</w:t>
            </w:r>
          </w:p>
        </w:tc>
        <w:tc>
          <w:tcPr>
            <w:tcW w:w="7821" w:type="dxa"/>
            <w:vAlign w:val="center"/>
          </w:tcPr>
          <w:p>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不允许</w:t>
            </w:r>
          </w:p>
          <w:p>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w:t>
            </w:r>
          </w:p>
        </w:tc>
        <w:tc>
          <w:tcPr>
            <w:tcW w:w="1715" w:type="dxa"/>
            <w:vAlign w:val="center"/>
          </w:tcPr>
          <w:p>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报价货币</w:t>
            </w:r>
          </w:p>
        </w:tc>
        <w:tc>
          <w:tcPr>
            <w:tcW w:w="7821" w:type="dxa"/>
            <w:vAlign w:val="center"/>
          </w:tcPr>
          <w:p>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13</w:t>
            </w:r>
          </w:p>
        </w:tc>
        <w:tc>
          <w:tcPr>
            <w:tcW w:w="1715" w:type="dxa"/>
            <w:vAlign w:val="center"/>
          </w:tcPr>
          <w:p>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报价语言</w:t>
            </w:r>
          </w:p>
        </w:tc>
        <w:tc>
          <w:tcPr>
            <w:tcW w:w="7821" w:type="dxa"/>
            <w:vAlign w:val="center"/>
          </w:tcPr>
          <w:p>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14</w:t>
            </w:r>
          </w:p>
        </w:tc>
        <w:tc>
          <w:tcPr>
            <w:tcW w:w="1715" w:type="dxa"/>
            <w:shd w:val="clear" w:color="auto" w:fill="auto"/>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投标保证金</w:t>
            </w:r>
          </w:p>
        </w:tc>
        <w:tc>
          <w:tcPr>
            <w:tcW w:w="7821" w:type="dxa"/>
            <w:shd w:val="clear" w:color="auto" w:fill="auto"/>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不需要</w:t>
            </w:r>
          </w:p>
          <w:p>
            <w:pPr>
              <w:rPr>
                <w:rFonts w:hint="eastAsia" w:ascii="宋体" w:hAnsi="宋体" w:cs="宋体"/>
                <w:color w:val="auto"/>
                <w:sz w:val="22"/>
                <w:szCs w:val="22"/>
                <w:highlight w:val="none"/>
              </w:rPr>
            </w:pPr>
            <w:r>
              <w:rPr>
                <w:rFonts w:hint="eastAsia" w:ascii="宋体" w:hAnsi="宋体" w:cs="宋体"/>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15</w:t>
            </w:r>
          </w:p>
        </w:tc>
        <w:tc>
          <w:tcPr>
            <w:tcW w:w="1715" w:type="dxa"/>
            <w:shd w:val="clear" w:color="auto" w:fill="auto"/>
            <w:vAlign w:val="center"/>
          </w:tcPr>
          <w:p>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7821" w:type="dxa"/>
            <w:shd w:val="clear" w:color="auto" w:fill="auto"/>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不需要</w:t>
            </w:r>
          </w:p>
          <w:p>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 xml:space="preserve">需要 </w:t>
            </w:r>
            <w:r>
              <w:rPr>
                <w:rFonts w:hint="eastAsia" w:ascii="宋体" w:hAnsi="宋体" w:cs="宋体"/>
                <w:bCs/>
                <w:color w:val="auto"/>
                <w:sz w:val="22"/>
                <w:szCs w:val="22"/>
                <w:highlight w:val="none"/>
              </w:rPr>
              <w:t xml:space="preserve"> 合同签订后成交供应商应提供合同总金额1%的履约保证金至采购人指定账户,履约保证金可以以银行或保险公司出具的保函作为履约保函。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16</w:t>
            </w:r>
          </w:p>
        </w:tc>
        <w:tc>
          <w:tcPr>
            <w:tcW w:w="1715" w:type="dxa"/>
            <w:shd w:val="clear" w:color="auto" w:fill="auto"/>
            <w:vAlign w:val="center"/>
          </w:tcPr>
          <w:p>
            <w:pPr>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rPr>
              <w:t>投标文件递交截止时间及</w:t>
            </w:r>
            <w:r>
              <w:rPr>
                <w:rFonts w:hint="eastAsia" w:ascii="宋体" w:hAnsi="宋体" w:cs="宋体"/>
                <w:b/>
                <w:color w:val="auto"/>
                <w:sz w:val="22"/>
                <w:szCs w:val="22"/>
                <w:highlight w:val="none"/>
                <w:lang w:eastAsia="zh-CN"/>
              </w:rPr>
              <w:t>地点</w:t>
            </w:r>
          </w:p>
        </w:tc>
        <w:tc>
          <w:tcPr>
            <w:tcW w:w="7821" w:type="dxa"/>
            <w:shd w:val="clear" w:color="auto" w:fill="auto"/>
            <w:vAlign w:val="center"/>
          </w:tcPr>
          <w:p>
            <w:pPr>
              <w:rPr>
                <w:rFonts w:hint="eastAsia" w:ascii="宋体" w:hAnsi="宋体" w:cs="宋体"/>
                <w:b/>
                <w:color w:val="auto"/>
                <w:sz w:val="22"/>
                <w:szCs w:val="22"/>
                <w:highlight w:val="none"/>
              </w:rPr>
            </w:pPr>
            <w:r>
              <w:rPr>
                <w:rStyle w:val="96"/>
                <w:rFonts w:hint="eastAsia" w:ascii="宋体" w:hAnsi="宋体" w:cs="宋体"/>
                <w:b/>
                <w:color w:val="auto"/>
                <w:sz w:val="22"/>
                <w:szCs w:val="22"/>
                <w:highlight w:val="none"/>
              </w:rPr>
              <w:t>2024年</w:t>
            </w:r>
            <w:r>
              <w:rPr>
                <w:rStyle w:val="96"/>
                <w:rFonts w:hint="eastAsia" w:ascii="宋体" w:hAnsi="宋体" w:cs="宋体"/>
                <w:b/>
                <w:color w:val="auto"/>
                <w:sz w:val="22"/>
                <w:szCs w:val="22"/>
                <w:highlight w:val="none"/>
                <w:lang w:val="en-US" w:eastAsia="zh-CN"/>
              </w:rPr>
              <w:t>12月27日</w:t>
            </w:r>
            <w:r>
              <w:rPr>
                <w:rFonts w:hint="eastAsia" w:ascii="宋体" w:hAnsi="宋体" w:cs="宋体"/>
                <w:b/>
                <w:i/>
                <w:color w:val="auto"/>
                <w:sz w:val="22"/>
                <w:szCs w:val="22"/>
                <w:highlight w:val="none"/>
              </w:rPr>
              <w:t>09:30 截</w:t>
            </w:r>
            <w:r>
              <w:rPr>
                <w:rFonts w:hint="eastAsia" w:ascii="宋体" w:hAnsi="宋体" w:cs="宋体"/>
                <w:b/>
                <w:color w:val="auto"/>
                <w:sz w:val="22"/>
                <w:szCs w:val="22"/>
                <w:highlight w:val="none"/>
              </w:rPr>
              <w:t>止（北京时间）</w:t>
            </w:r>
          </w:p>
          <w:p>
            <w:pPr>
              <w:pStyle w:val="2"/>
              <w:rPr>
                <w:rFonts w:hint="eastAsia"/>
              </w:rPr>
            </w:pPr>
            <w:r>
              <w:rPr>
                <w:rStyle w:val="96"/>
                <w:rFonts w:hint="eastAsia" w:ascii="宋体" w:hAnsi="宋体" w:eastAsia="宋体" w:cs="宋体"/>
                <w:b/>
                <w:color w:val="auto"/>
                <w:kern w:val="2"/>
                <w:sz w:val="22"/>
                <w:szCs w:val="22"/>
                <w:highlight w:val="none"/>
                <w:lang w:val="en-US" w:eastAsia="zh-CN" w:bidi="ar-SA"/>
              </w:rPr>
              <w:t>本项目采用在线投标方式，投标供应商无须前往投标现场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17</w:t>
            </w:r>
          </w:p>
        </w:tc>
        <w:tc>
          <w:tcPr>
            <w:tcW w:w="1715" w:type="dxa"/>
            <w:shd w:val="clear" w:color="auto" w:fill="auto"/>
            <w:vAlign w:val="center"/>
          </w:tcPr>
          <w:p>
            <w:pPr>
              <w:jc w:val="center"/>
              <w:rPr>
                <w:rFonts w:ascii="宋体" w:eastAsia="宋体" w:cs="Arial"/>
                <w:b w:val="0"/>
                <w:bCs w:val="0"/>
                <w:color w:val="auto"/>
                <w:sz w:val="22"/>
                <w:szCs w:val="22"/>
                <w:highlight w:val="none"/>
              </w:rPr>
            </w:pPr>
            <w:r>
              <w:rPr>
                <w:rFonts w:hint="eastAsia" w:ascii="宋体" w:eastAsia="宋体" w:cs="Arial"/>
                <w:b w:val="0"/>
                <w:bCs w:val="0"/>
                <w:color w:val="auto"/>
                <w:sz w:val="22"/>
                <w:szCs w:val="22"/>
                <w:highlight w:val="none"/>
              </w:rPr>
              <w:t>开标时间</w:t>
            </w:r>
          </w:p>
          <w:p>
            <w:pPr>
              <w:jc w:val="center"/>
              <w:rPr>
                <w:rFonts w:hint="eastAsia" w:ascii="宋体" w:hAnsi="宋体" w:cs="宋体"/>
                <w:b w:val="0"/>
                <w:bCs w:val="0"/>
                <w:color w:val="auto"/>
                <w:sz w:val="22"/>
                <w:szCs w:val="22"/>
                <w:highlight w:val="none"/>
              </w:rPr>
            </w:pPr>
            <w:r>
              <w:rPr>
                <w:rFonts w:hint="eastAsia" w:ascii="宋体" w:eastAsia="宋体" w:cs="Arial"/>
                <w:b w:val="0"/>
                <w:bCs w:val="0"/>
                <w:color w:val="auto"/>
                <w:sz w:val="22"/>
                <w:szCs w:val="22"/>
                <w:highlight w:val="none"/>
              </w:rPr>
              <w:t>开标地点</w:t>
            </w:r>
          </w:p>
        </w:tc>
        <w:tc>
          <w:tcPr>
            <w:tcW w:w="7821" w:type="dxa"/>
            <w:shd w:val="clear" w:color="auto" w:fill="auto"/>
            <w:vAlign w:val="center"/>
          </w:tcPr>
          <w:p>
            <w:pPr>
              <w:rPr>
                <w:rFonts w:hint="eastAsia" w:ascii="宋体" w:hAnsi="宋体" w:eastAsia="宋体" w:cs="宋体"/>
                <w:b/>
                <w:bCs/>
                <w:color w:val="auto"/>
                <w:sz w:val="22"/>
                <w:szCs w:val="22"/>
                <w:highlight w:val="none"/>
              </w:rPr>
            </w:pPr>
            <w:r>
              <w:rPr>
                <w:rFonts w:hint="eastAsia" w:ascii="宋体" w:hAnsi="宋体" w:eastAsia="宋体" w:cs="宋体"/>
                <w:b/>
                <w:bCs/>
                <w:i/>
                <w:color w:val="auto"/>
                <w:sz w:val="22"/>
                <w:szCs w:val="22"/>
                <w:highlight w:val="none"/>
                <w:lang w:eastAsia="zh-CN"/>
              </w:rPr>
              <w:t>202</w:t>
            </w:r>
            <w:r>
              <w:rPr>
                <w:rFonts w:hint="eastAsia" w:ascii="宋体" w:hAnsi="宋体" w:eastAsia="宋体" w:cs="宋体"/>
                <w:b/>
                <w:bCs/>
                <w:i/>
                <w:color w:val="auto"/>
                <w:sz w:val="22"/>
                <w:szCs w:val="22"/>
                <w:highlight w:val="none"/>
                <w:lang w:val="en-US" w:eastAsia="zh-CN"/>
              </w:rPr>
              <w:t>3</w:t>
            </w:r>
            <w:r>
              <w:rPr>
                <w:rFonts w:hint="eastAsia" w:ascii="宋体" w:hAnsi="宋体" w:eastAsia="宋体" w:cs="宋体"/>
                <w:b/>
                <w:bCs/>
                <w:i/>
                <w:color w:val="auto"/>
                <w:sz w:val="22"/>
                <w:szCs w:val="22"/>
                <w:highlight w:val="none"/>
              </w:rPr>
              <w:t>年</w:t>
            </w:r>
            <w:r>
              <w:rPr>
                <w:rFonts w:hint="eastAsia" w:ascii="宋体" w:hAnsi="宋体" w:eastAsia="宋体" w:cs="宋体"/>
                <w:b/>
                <w:bCs/>
                <w:i/>
                <w:color w:val="auto"/>
                <w:sz w:val="22"/>
                <w:szCs w:val="22"/>
                <w:highlight w:val="none"/>
                <w:lang w:val="en-US" w:eastAsia="zh-CN"/>
              </w:rPr>
              <w:t xml:space="preserve"> </w:t>
            </w:r>
            <w:r>
              <w:rPr>
                <w:rFonts w:hint="eastAsia" w:ascii="宋体" w:hAnsi="宋体" w:cs="宋体"/>
                <w:b/>
                <w:bCs/>
                <w:i/>
                <w:color w:val="auto"/>
                <w:sz w:val="22"/>
                <w:szCs w:val="22"/>
                <w:highlight w:val="none"/>
                <w:lang w:val="en-US" w:eastAsia="zh-CN"/>
              </w:rPr>
              <w:t>12</w:t>
            </w:r>
            <w:r>
              <w:rPr>
                <w:rFonts w:hint="eastAsia" w:ascii="宋体" w:hAnsi="宋体" w:eastAsia="宋体" w:cs="宋体"/>
                <w:b/>
                <w:bCs/>
                <w:i/>
                <w:color w:val="auto"/>
                <w:sz w:val="22"/>
                <w:szCs w:val="22"/>
                <w:highlight w:val="none"/>
              </w:rPr>
              <w:t>月</w:t>
            </w:r>
            <w:r>
              <w:rPr>
                <w:rFonts w:hint="eastAsia" w:ascii="宋体" w:hAnsi="宋体" w:eastAsia="宋体" w:cs="宋体"/>
                <w:b/>
                <w:bCs/>
                <w:i/>
                <w:color w:val="auto"/>
                <w:sz w:val="22"/>
                <w:szCs w:val="22"/>
                <w:highlight w:val="none"/>
                <w:lang w:val="en-US" w:eastAsia="zh-CN"/>
              </w:rPr>
              <w:t xml:space="preserve"> </w:t>
            </w:r>
            <w:r>
              <w:rPr>
                <w:rFonts w:hint="eastAsia" w:ascii="宋体" w:hAnsi="宋体" w:cs="宋体"/>
                <w:b/>
                <w:bCs/>
                <w:i/>
                <w:color w:val="auto"/>
                <w:sz w:val="22"/>
                <w:szCs w:val="22"/>
                <w:highlight w:val="none"/>
                <w:lang w:val="en-US" w:eastAsia="zh-CN"/>
              </w:rPr>
              <w:t>27</w:t>
            </w:r>
            <w:r>
              <w:rPr>
                <w:rFonts w:hint="eastAsia" w:ascii="宋体" w:hAnsi="宋体" w:eastAsia="宋体" w:cs="宋体"/>
                <w:b/>
                <w:bCs/>
                <w:i/>
                <w:color w:val="auto"/>
                <w:sz w:val="22"/>
                <w:szCs w:val="22"/>
                <w:highlight w:val="none"/>
              </w:rPr>
              <w:t xml:space="preserve">日09:30 正 </w:t>
            </w:r>
            <w:r>
              <w:rPr>
                <w:rFonts w:hint="eastAsia" w:ascii="宋体" w:hAnsi="宋体" w:eastAsia="宋体" w:cs="宋体"/>
                <w:b/>
                <w:bCs/>
                <w:color w:val="auto"/>
                <w:sz w:val="22"/>
                <w:szCs w:val="22"/>
                <w:highlight w:val="none"/>
              </w:rPr>
              <w:t>(北京时间)</w:t>
            </w:r>
          </w:p>
          <w:p>
            <w:pPr>
              <w:rPr>
                <w:rFonts w:hint="eastAsia" w:ascii="宋体" w:hAnsi="宋体" w:cs="宋体"/>
                <w:b w:val="0"/>
                <w:bCs w:val="0"/>
                <w:color w:val="auto"/>
                <w:sz w:val="22"/>
                <w:szCs w:val="22"/>
                <w:highlight w:val="none"/>
              </w:rPr>
            </w:pPr>
            <w:r>
              <w:rPr>
                <w:rFonts w:hint="eastAsia" w:ascii="宋体" w:hAnsi="宋体" w:eastAsia="宋体" w:cs="宋体"/>
                <w:b/>
                <w:bCs/>
                <w:color w:val="auto"/>
                <w:sz w:val="22"/>
                <w:szCs w:val="22"/>
                <w:highlight w:val="none"/>
              </w:rPr>
              <w:t>政采云平台（https://www.zcygov.cn/）</w:t>
            </w:r>
            <w:r>
              <w:rPr>
                <w:rFonts w:hint="eastAsia" w:ascii="宋体" w:hAnsi="宋体" w:eastAsia="宋体" w:cs="宋体"/>
                <w:b w:val="0"/>
                <w:bCs w:val="0"/>
                <w:color w:val="auto"/>
                <w:sz w:val="22"/>
                <w:szCs w:val="22"/>
                <w:highlight w:val="none"/>
              </w:rPr>
              <w:t xml:space="preserve">   </w:t>
            </w:r>
            <w:r>
              <w:rPr>
                <w:rFonts w:ascii="宋体" w:eastAsia="宋体"/>
                <w:b w:val="0"/>
                <w:bCs w:val="0"/>
                <w:color w:val="auto"/>
                <w:sz w:val="22"/>
                <w:szCs w:val="22"/>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18</w:t>
            </w:r>
          </w:p>
        </w:tc>
        <w:tc>
          <w:tcPr>
            <w:tcW w:w="1715" w:type="dxa"/>
            <w:shd w:val="clear" w:color="auto" w:fill="auto"/>
            <w:vAlign w:val="center"/>
          </w:tcPr>
          <w:p>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投标文件的编制</w:t>
            </w:r>
          </w:p>
        </w:tc>
        <w:tc>
          <w:tcPr>
            <w:tcW w:w="7821" w:type="dxa"/>
            <w:shd w:val="clear" w:color="auto" w:fill="auto"/>
            <w:vAlign w:val="center"/>
          </w:tcPr>
          <w:p>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供应商应先安装“政采云电子交易客户端”,并按照本招标文件和“政采云平台”的要求,通过“政采云电子交易客户端”编制并加密投标文件。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19</w:t>
            </w:r>
          </w:p>
        </w:tc>
        <w:tc>
          <w:tcPr>
            <w:tcW w:w="1715" w:type="dxa"/>
            <w:shd w:val="clear" w:color="auto" w:fill="auto"/>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报价有效期</w:t>
            </w:r>
          </w:p>
        </w:tc>
        <w:tc>
          <w:tcPr>
            <w:tcW w:w="7821" w:type="dxa"/>
            <w:shd w:val="clear" w:color="auto" w:fill="auto"/>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0"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20</w:t>
            </w:r>
          </w:p>
        </w:tc>
        <w:tc>
          <w:tcPr>
            <w:tcW w:w="1715" w:type="dxa"/>
            <w:shd w:val="clear" w:color="auto" w:fill="auto"/>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签字或盖章要求</w:t>
            </w:r>
          </w:p>
        </w:tc>
        <w:tc>
          <w:tcPr>
            <w:tcW w:w="7821" w:type="dxa"/>
            <w:shd w:val="clear" w:color="auto" w:fill="auto"/>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投标文件的相应位置应加盖：电子签章。</w:t>
            </w:r>
          </w:p>
          <w:p>
            <w:pPr>
              <w:pStyle w:val="3"/>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注：本项目电子招投标活动中的签字与电子签章具有同等法律效应。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21</w:t>
            </w:r>
          </w:p>
        </w:tc>
        <w:tc>
          <w:tcPr>
            <w:tcW w:w="1715" w:type="dxa"/>
            <w:shd w:val="clear" w:color="auto" w:fill="auto"/>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投标文件的形式、制作及组成</w:t>
            </w:r>
          </w:p>
        </w:tc>
        <w:tc>
          <w:tcPr>
            <w:tcW w:w="7821" w:type="dxa"/>
            <w:shd w:val="clear" w:color="auto" w:fill="auto"/>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本项目实行在线投标响应（电子投标）。</w:t>
            </w:r>
          </w:p>
          <w:p>
            <w:pPr>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投标供应商准备电子投标文件（包括“电子加密投标文件”和“备份投标文件”两类,在投标文件编制完成后同时生成）。</w:t>
            </w:r>
          </w:p>
          <w:p>
            <w:pPr>
              <w:rPr>
                <w:rFonts w:hint="eastAsia" w:ascii="宋体" w:hAnsi="宋体" w:cs="宋体"/>
                <w:color w:val="auto"/>
                <w:sz w:val="22"/>
                <w:szCs w:val="22"/>
                <w:highlight w:val="none"/>
              </w:rPr>
            </w:pPr>
            <w:r>
              <w:rPr>
                <w:rFonts w:hint="eastAsia" w:ascii="宋体" w:hAnsi="宋体" w:cs="宋体"/>
                <w:color w:val="auto"/>
                <w:sz w:val="22"/>
                <w:szCs w:val="22"/>
                <w:highlight w:val="none"/>
              </w:rPr>
              <w:t>（1）“电子加密投标文件”是指通过“政采云电子交易客户端”完成投标文件编制后生成并加密的数据电文形式的投标文件。</w:t>
            </w:r>
          </w:p>
          <w:p>
            <w:pPr>
              <w:rPr>
                <w:rFonts w:hint="eastAsia" w:ascii="宋体" w:hAnsi="宋体" w:cs="宋体"/>
                <w:color w:val="auto"/>
                <w:sz w:val="22"/>
                <w:szCs w:val="22"/>
                <w:highlight w:val="none"/>
              </w:rPr>
            </w:pPr>
            <w:r>
              <w:rPr>
                <w:rFonts w:hint="eastAsia" w:ascii="宋体" w:hAnsi="宋体" w:cs="宋体"/>
                <w:color w:val="auto"/>
                <w:sz w:val="22"/>
                <w:szCs w:val="22"/>
                <w:highlight w:val="none"/>
              </w:rPr>
              <w:t>（2）“备份投标文件”是指与“电子加密投标文件”同时生成的数据电文形式的电子文件（备份标书）,其他方式编制的备份投标文件视为无效备份投标文件。</w:t>
            </w:r>
          </w:p>
          <w:p>
            <w:pPr>
              <w:rPr>
                <w:rFonts w:hint="eastAsia" w:ascii="宋体" w:hAnsi="宋体" w:cs="宋体"/>
                <w:color w:val="auto"/>
                <w:sz w:val="22"/>
                <w:szCs w:val="22"/>
                <w:highlight w:val="none"/>
              </w:rPr>
            </w:pPr>
            <w:r>
              <w:rPr>
                <w:rFonts w:hint="eastAsia" w:ascii="宋体" w:hAnsi="宋体" w:cs="宋体"/>
                <w:color w:val="auto"/>
                <w:sz w:val="22"/>
                <w:szCs w:val="22"/>
                <w:highlight w:val="none"/>
              </w:rPr>
              <w:t>以上两类投标文件均由资格文件、报价文件、商务技术文件三部分组成。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22</w:t>
            </w:r>
          </w:p>
        </w:tc>
        <w:tc>
          <w:tcPr>
            <w:tcW w:w="1715" w:type="dxa"/>
            <w:shd w:val="clear" w:color="auto" w:fill="auto"/>
            <w:vAlign w:val="center"/>
          </w:tcPr>
          <w:p>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投标文件份数</w:t>
            </w:r>
          </w:p>
        </w:tc>
        <w:tc>
          <w:tcPr>
            <w:tcW w:w="7821" w:type="dxa"/>
            <w:shd w:val="clear" w:color="auto" w:fill="auto"/>
            <w:vAlign w:val="center"/>
          </w:tcPr>
          <w:p>
            <w:pPr>
              <w:adjustRightInd w:val="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（1）“电子加密投标文件”：在线上传递交、一份。</w:t>
            </w:r>
          </w:p>
          <w:p>
            <w:pPr>
              <w:adjustRightInd w:val="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备份投标文件”：以U盘存储,密封包装后（顺丰快递形式）在投标文件递交截止时间及开标时间前递交,送达时间以签收人签收时间为准,一份,邮寄地址：温州市永嘉县南城街道环城北路云碓大厦503室,胡先生收,联系电话：</w:t>
            </w:r>
            <w:r>
              <w:rPr>
                <w:rFonts w:hint="eastAsia" w:ascii="宋体" w:hAnsi="宋体" w:cs="宋体"/>
                <w:color w:val="auto"/>
                <w:sz w:val="22"/>
                <w:szCs w:val="22"/>
                <w:highlight w:val="none"/>
                <w:lang w:eastAsia="zh-CN"/>
              </w:rPr>
              <w:t>15858728890</w:t>
            </w:r>
            <w:r>
              <w:rPr>
                <w:rFonts w:hint="eastAsia" w:ascii="宋体" w:hAnsi="宋体" w:cs="宋体"/>
                <w:color w:val="auto"/>
                <w:sz w:val="22"/>
                <w:szCs w:val="22"/>
                <w:highlight w:val="none"/>
              </w:rPr>
              <w:t>。</w:t>
            </w:r>
          </w:p>
          <w:p>
            <w:pPr>
              <w:pStyle w:val="3"/>
              <w:ind w:firstLine="221"/>
              <w:rPr>
                <w:rFonts w:hint="eastAsia" w:ascii="宋体" w:hAnsi="宋体" w:cs="宋体"/>
                <w:b/>
                <w:color w:val="auto"/>
                <w:sz w:val="22"/>
                <w:szCs w:val="22"/>
                <w:highlight w:val="none"/>
              </w:rPr>
            </w:pPr>
            <w:r>
              <w:rPr>
                <w:rFonts w:hint="eastAsia" w:ascii="宋体" w:hAnsi="宋体" w:cs="宋体"/>
                <w:b/>
                <w:color w:val="auto"/>
                <w:sz w:val="22"/>
                <w:szCs w:val="22"/>
                <w:highlight w:val="none"/>
              </w:rPr>
              <w:t>注：“备份投标文件”不强制要求提供,由供应商自行选择是否提供。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23</w:t>
            </w:r>
          </w:p>
        </w:tc>
        <w:tc>
          <w:tcPr>
            <w:tcW w:w="1715" w:type="dxa"/>
            <w:shd w:val="clear" w:color="auto" w:fill="auto"/>
            <w:vAlign w:val="center"/>
          </w:tcPr>
          <w:p>
            <w:pPr>
              <w:autoSpaceDE w:val="0"/>
              <w:autoSpaceDN w:val="0"/>
              <w:adjustRightInd w:val="0"/>
              <w:spacing w:line="300" w:lineRule="atLeas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投标文件的上传和递交</w:t>
            </w:r>
          </w:p>
        </w:tc>
        <w:tc>
          <w:tcPr>
            <w:tcW w:w="7821" w:type="dxa"/>
            <w:shd w:val="clear" w:color="auto" w:fill="auto"/>
            <w:vAlign w:val="center"/>
          </w:tcPr>
          <w:p>
            <w:pPr>
              <w:pStyle w:val="86"/>
              <w:autoSpaceDE w:val="0"/>
              <w:autoSpaceDN w:val="0"/>
              <w:adjustRightInd w:val="0"/>
              <w:spacing w:line="300" w:lineRule="atLeast"/>
              <w:jc w:val="both"/>
              <w:rPr>
                <w:rFonts w:hint="eastAsia" w:cs="宋体"/>
                <w:color w:val="auto"/>
                <w:sz w:val="22"/>
                <w:highlight w:val="none"/>
              </w:rPr>
            </w:pPr>
            <w:r>
              <w:rPr>
                <w:rFonts w:hint="eastAsia" w:cs="宋体"/>
                <w:color w:val="auto"/>
                <w:sz w:val="22"/>
                <w:highlight w:val="none"/>
              </w:rPr>
              <w:t>一、“电子加密投标文件”的上传、递交：</w:t>
            </w:r>
          </w:p>
          <w:p>
            <w:pPr>
              <w:pStyle w:val="86"/>
              <w:autoSpaceDE w:val="0"/>
              <w:autoSpaceDN w:val="0"/>
              <w:adjustRightInd w:val="0"/>
              <w:spacing w:line="300" w:lineRule="atLeast"/>
              <w:ind w:firstLine="440" w:firstLineChars="200"/>
              <w:jc w:val="both"/>
              <w:rPr>
                <w:rFonts w:hint="eastAsia" w:cs="宋体"/>
                <w:color w:val="auto"/>
                <w:sz w:val="22"/>
                <w:highlight w:val="none"/>
              </w:rPr>
            </w:pPr>
            <w:r>
              <w:rPr>
                <w:rFonts w:hint="eastAsia" w:cs="宋体"/>
                <w:color w:val="auto"/>
                <w:sz w:val="22"/>
                <w:highlight w:val="none"/>
              </w:rPr>
              <w:t>a.投标供应商应在投标文件递交截止时间前将“电子加密投标文件”成功上传递交至“政采云平台”,否则投标无效。</w:t>
            </w:r>
          </w:p>
          <w:p>
            <w:pPr>
              <w:pStyle w:val="86"/>
              <w:autoSpaceDE w:val="0"/>
              <w:autoSpaceDN w:val="0"/>
              <w:adjustRightInd w:val="0"/>
              <w:spacing w:line="300" w:lineRule="atLeast"/>
              <w:ind w:firstLine="440" w:firstLineChars="200"/>
              <w:jc w:val="both"/>
              <w:rPr>
                <w:rFonts w:hint="eastAsia" w:cs="宋体"/>
                <w:color w:val="auto"/>
                <w:sz w:val="22"/>
                <w:highlight w:val="none"/>
              </w:rPr>
            </w:pPr>
            <w:r>
              <w:rPr>
                <w:rFonts w:hint="eastAsia" w:cs="宋体"/>
                <w:color w:val="auto"/>
                <w:sz w:val="22"/>
                <w:highlight w:val="none"/>
              </w:rPr>
              <w:t>b.“电子加密投标文件”成功上传递交后,供应商可自行打印投标文件接收回执。</w:t>
            </w:r>
          </w:p>
          <w:p>
            <w:pPr>
              <w:pStyle w:val="86"/>
              <w:autoSpaceDE w:val="0"/>
              <w:autoSpaceDN w:val="0"/>
              <w:adjustRightInd w:val="0"/>
              <w:spacing w:line="300" w:lineRule="atLeast"/>
              <w:jc w:val="both"/>
              <w:rPr>
                <w:rFonts w:hint="eastAsia" w:cs="宋体"/>
                <w:color w:val="auto"/>
                <w:sz w:val="22"/>
                <w:highlight w:val="none"/>
              </w:rPr>
            </w:pPr>
            <w:r>
              <w:rPr>
                <w:rFonts w:hint="eastAsia" w:cs="宋体"/>
                <w:color w:val="auto"/>
                <w:sz w:val="22"/>
                <w:highlight w:val="none"/>
              </w:rPr>
              <w:t>二、“备份投标文件”的密封包装、递交：</w:t>
            </w:r>
          </w:p>
          <w:p>
            <w:pPr>
              <w:pStyle w:val="86"/>
              <w:autoSpaceDE w:val="0"/>
              <w:autoSpaceDN w:val="0"/>
              <w:adjustRightInd w:val="0"/>
              <w:spacing w:line="300" w:lineRule="atLeast"/>
              <w:ind w:firstLine="440" w:firstLineChars="200"/>
              <w:jc w:val="both"/>
              <w:rPr>
                <w:rFonts w:hint="eastAsia" w:cs="宋体"/>
                <w:color w:val="auto"/>
                <w:sz w:val="22"/>
                <w:highlight w:val="none"/>
              </w:rPr>
            </w:pPr>
            <w:r>
              <w:rPr>
                <w:rFonts w:hint="eastAsia" w:cs="宋体"/>
                <w:color w:val="auto"/>
                <w:sz w:val="22"/>
                <w:highlight w:val="none"/>
              </w:rPr>
              <w:t>a.投标供应商在“政采云平台”完成“电子加密投标文件”的上传递交后,还可以（建议顺丰快递形式）递交以介质（U盘）存储的 “备份投标文件”（一份）；顺丰快递形式快递至采购代理机构地址（地址详见招标文件）；</w:t>
            </w:r>
            <w:r>
              <w:rPr>
                <w:rFonts w:hint="eastAsia" w:cs="宋体"/>
                <w:b/>
                <w:color w:val="auto"/>
                <w:sz w:val="22"/>
                <w:highlight w:val="none"/>
              </w:rPr>
              <w:t>解密CA必须是上传并制作电子投标文件CA锁</w:t>
            </w:r>
            <w:r>
              <w:rPr>
                <w:rFonts w:hint="eastAsia" w:cs="宋体"/>
                <w:color w:val="auto"/>
                <w:sz w:val="22"/>
                <w:highlight w:val="none"/>
              </w:rPr>
              <w:t>。</w:t>
            </w:r>
          </w:p>
          <w:p>
            <w:pPr>
              <w:autoSpaceDE w:val="0"/>
              <w:autoSpaceDN w:val="0"/>
              <w:adjustRightInd w:val="0"/>
              <w:spacing w:line="300" w:lineRule="atLeas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b.“备份投标文件”应当密封包装,并在包装上标注投标项目名称、投标单位名称并加盖公章。没有密封包装或者逾期邮寄送达投标地点的“备份投标文件”将不予接收。</w:t>
            </w:r>
          </w:p>
          <w:p>
            <w:pPr>
              <w:autoSpaceDE w:val="0"/>
              <w:autoSpaceDN w:val="0"/>
              <w:adjustRightInd w:val="0"/>
              <w:spacing w:line="300" w:lineRule="atLeas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c.通过“政采云平台”成功上传递交的“电子加密投标文件”已按时解密的,“备份投标文件”自动失效。投标文件递交截止时间前,投标供应商仅递交了“备份投标文件”而未将“电子加密投标文件”成功上传至“政采云平台”的,投标无效。</w:t>
            </w:r>
          </w:p>
          <w:p>
            <w:pPr>
              <w:autoSpaceDE w:val="0"/>
              <w:autoSpaceDN w:val="0"/>
              <w:adjustRightInd w:val="0"/>
              <w:spacing w:line="300" w:lineRule="atLeast"/>
              <w:ind w:firstLine="440" w:firstLineChars="200"/>
              <w:rPr>
                <w:rFonts w:hint="eastAsia" w:ascii="宋体" w:hAnsi="宋体" w:cs="宋体"/>
                <w:color w:val="auto"/>
                <w:highlight w:val="none"/>
                <w:lang w:val="zh-CN"/>
              </w:rPr>
            </w:pPr>
            <w:r>
              <w:rPr>
                <w:rFonts w:hint="eastAsia" w:ascii="宋体" w:hAnsi="宋体" w:cs="宋体"/>
                <w:color w:val="auto"/>
                <w:sz w:val="22"/>
                <w:szCs w:val="22"/>
                <w:highlight w:val="none"/>
                <w:lang w:val="zh-CN"/>
              </w:rPr>
              <w:t>d.供应商应加强U盘的包装与保护,因包装不当而造成“备份投标文件”损坏或不能在开评标现场设备上正确读取的责任由供应商自负。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24</w:t>
            </w:r>
          </w:p>
        </w:tc>
        <w:tc>
          <w:tcPr>
            <w:tcW w:w="1715" w:type="dxa"/>
            <w:shd w:val="clear" w:color="auto" w:fill="auto"/>
            <w:vAlign w:val="center"/>
          </w:tcPr>
          <w:p>
            <w:pPr>
              <w:autoSpaceDE w:val="0"/>
              <w:autoSpaceDN w:val="0"/>
              <w:adjustRightInd w:val="0"/>
              <w:spacing w:line="300" w:lineRule="atLeas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电子加密投标文件的解密和异常情况处理</w:t>
            </w:r>
          </w:p>
        </w:tc>
        <w:tc>
          <w:tcPr>
            <w:tcW w:w="7821" w:type="dxa"/>
            <w:shd w:val="clear" w:color="auto" w:fill="auto"/>
            <w:vAlign w:val="center"/>
          </w:tcPr>
          <w:p>
            <w:pPr>
              <w:autoSpaceDE w:val="0"/>
              <w:autoSpaceDN w:val="0"/>
              <w:adjustRightInd w:val="0"/>
              <w:spacing w:line="300" w:lineRule="atLeas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（1）开标后,采购组织机构将向各投标供应商发出“电子加密投标文件”的解密通知,各投标供应商代表应当在接到解密通知后30分钟内自行完成“电子加密投标文件”的在线解密。</w:t>
            </w:r>
          </w:p>
          <w:p>
            <w:pPr>
              <w:autoSpaceDE w:val="0"/>
              <w:autoSpaceDN w:val="0"/>
              <w:adjustRightInd w:val="0"/>
              <w:spacing w:line="300" w:lineRule="atLeas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spacing w:line="300" w:lineRule="atLeas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（3）投标文件递交截止时间前,投标供应商仅递交了“备份投标文件”而未将电子加密投标文件上传至“政采云平台”的,投标无效。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25</w:t>
            </w:r>
          </w:p>
        </w:tc>
        <w:tc>
          <w:tcPr>
            <w:tcW w:w="1715" w:type="dxa"/>
            <w:shd w:val="clear" w:color="auto" w:fill="auto"/>
            <w:vAlign w:val="center"/>
          </w:tcPr>
          <w:p>
            <w:pPr>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评标委员会成员的组建</w:t>
            </w:r>
          </w:p>
        </w:tc>
        <w:tc>
          <w:tcPr>
            <w:tcW w:w="7821" w:type="dxa"/>
            <w:shd w:val="clear" w:color="auto" w:fill="auto"/>
            <w:vAlign w:val="center"/>
          </w:tcPr>
          <w:p>
            <w:pPr>
              <w:rPr>
                <w:rFonts w:hint="eastAsia" w:ascii="宋体" w:hAnsi="宋体" w:cs="宋体"/>
                <w:color w:val="auto"/>
                <w:sz w:val="22"/>
                <w:szCs w:val="22"/>
                <w:highlight w:val="none"/>
                <w:lang w:val="zh-CN"/>
              </w:rPr>
            </w:pPr>
            <w:r>
              <w:rPr>
                <w:rFonts w:hint="eastAsia" w:ascii="宋体" w:hAnsi="宋体" w:cs="宋体"/>
                <w:bCs/>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7"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26</w:t>
            </w:r>
          </w:p>
        </w:tc>
        <w:tc>
          <w:tcPr>
            <w:tcW w:w="1715" w:type="dxa"/>
            <w:shd w:val="clear" w:color="auto" w:fill="auto"/>
            <w:vAlign w:val="center"/>
          </w:tcPr>
          <w:p>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政府采购</w:t>
            </w:r>
          </w:p>
          <w:p>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扶持政策</w:t>
            </w:r>
          </w:p>
        </w:tc>
        <w:tc>
          <w:tcPr>
            <w:tcW w:w="7821" w:type="dxa"/>
            <w:shd w:val="clear" w:color="auto" w:fill="auto"/>
            <w:vAlign w:val="center"/>
          </w:tcPr>
          <w:p>
            <w:pPr>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1.本项目对符合财政扶持政策的中小企业（小型、微型）、监狱企业、残疾人福利性单位给予价格优惠扶持,价格优惠扶持见《评分办法》。</w:t>
            </w:r>
          </w:p>
          <w:p>
            <w:pPr>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2.满足财政部 工业和信息化部关于印发《政府采购促进中小企业发展管理办法》的通知（财库〔2020〕46号）的规定的中小企业可享受优惠扶持。</w:t>
            </w:r>
          </w:p>
          <w:p>
            <w:pPr>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3.满足关于政府采购支持监狱企业发展有关问题的通知（财库[2014]68号）的规定的供应商可享受优惠扶持。</w:t>
            </w:r>
          </w:p>
          <w:p>
            <w:pPr>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4.满足关于促进残疾人就业政府采购政策的通知（财库[2017]141号）的规定的供应商可享受优惠扶持。</w:t>
            </w:r>
          </w:p>
          <w:p>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t>5.</w:t>
            </w:r>
            <w:r>
              <w:rPr>
                <w:rFonts w:hint="eastAsia" w:ascii="宋体" w:hAnsi="宋体" w:cs="宋体"/>
                <w:color w:val="auto"/>
                <w:highlight w:val="none"/>
              </w:rPr>
              <w:t xml:space="preserve"> </w:t>
            </w:r>
            <w:r>
              <w:rPr>
                <w:rFonts w:hint="eastAsia" w:ascii="宋体" w:hAnsi="宋体" w:cs="宋体"/>
                <w:bCs/>
                <w:color w:val="auto"/>
                <w:sz w:val="22"/>
                <w:szCs w:val="22"/>
                <w:highlight w:val="none"/>
              </w:rPr>
              <w:t>为支持和促进中小企业发展,进一步发挥政府采购政策功能,“政采云”平台目前提供政采贷、履约保函、预付款保函等金融服务,供应商若有融资意向,可登录https://jinrong.zcygov.cn/finance-service/#/help查看详情。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p>
            <w:pPr>
              <w:rPr>
                <w:rFonts w:hint="eastAsia" w:ascii="宋体" w:hAnsi="宋体" w:cs="宋体"/>
                <w:color w:val="auto"/>
                <w:sz w:val="22"/>
                <w:szCs w:val="22"/>
                <w:highlight w:val="none"/>
              </w:rPr>
            </w:pPr>
            <w:r>
              <w:rPr>
                <w:rFonts w:hint="eastAsia" w:ascii="宋体" w:hAnsi="宋体" w:cs="宋体"/>
                <w:bCs/>
                <w:color w:val="auto"/>
                <w:sz w:val="22"/>
                <w:szCs w:val="22"/>
                <w:highlight w:val="none"/>
              </w:rPr>
              <w:t>6.对节能、环保产品优先采购。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7"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27</w:t>
            </w:r>
          </w:p>
        </w:tc>
        <w:tc>
          <w:tcPr>
            <w:tcW w:w="1715" w:type="dxa"/>
            <w:shd w:val="clear" w:color="auto" w:fill="auto"/>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供应商信用</w:t>
            </w:r>
          </w:p>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查询</w:t>
            </w:r>
          </w:p>
        </w:tc>
        <w:tc>
          <w:tcPr>
            <w:tcW w:w="7821" w:type="dxa"/>
            <w:shd w:val="clear" w:color="auto" w:fill="auto"/>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1、投标供应商信用信息查询的查询渠道：“信用中国”（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)；“中国政府采购网”（www.ccgp.gov.cn/search/cr/）；</w:t>
            </w:r>
          </w:p>
          <w:p>
            <w:pPr>
              <w:rPr>
                <w:rFonts w:hint="eastAsia" w:ascii="宋体" w:hAnsi="宋体" w:cs="宋体"/>
                <w:color w:val="auto"/>
                <w:sz w:val="22"/>
                <w:szCs w:val="22"/>
                <w:highlight w:val="none"/>
              </w:rPr>
            </w:pPr>
            <w:r>
              <w:rPr>
                <w:rFonts w:hint="eastAsia" w:ascii="宋体" w:hAnsi="宋体" w:cs="宋体"/>
                <w:color w:val="auto"/>
                <w:sz w:val="22"/>
                <w:szCs w:val="22"/>
                <w:highlight w:val="none"/>
              </w:rPr>
              <w:t>2、投标供应商信用信息查询截止时点：招标公告发布之日至投标截止时间前；</w:t>
            </w:r>
          </w:p>
          <w:p>
            <w:pPr>
              <w:rPr>
                <w:rFonts w:hint="eastAsia" w:ascii="宋体" w:hAnsi="宋体" w:cs="宋体"/>
                <w:color w:val="auto"/>
                <w:sz w:val="22"/>
                <w:szCs w:val="22"/>
                <w:highlight w:val="none"/>
              </w:rPr>
            </w:pPr>
            <w:r>
              <w:rPr>
                <w:rFonts w:hint="eastAsia" w:ascii="宋体" w:hAnsi="宋体" w:cs="宋体"/>
                <w:color w:val="auto"/>
                <w:sz w:val="22"/>
                <w:szCs w:val="22"/>
                <w:highlight w:val="none"/>
              </w:rPr>
              <w:t>3、投标供应商信用信息查询记录和证据留存的具体方式：网页截图或报告；</w:t>
            </w:r>
          </w:p>
          <w:p>
            <w:pPr>
              <w:rPr>
                <w:rFonts w:hint="eastAsia" w:ascii="宋体" w:hAnsi="宋体" w:cs="宋体"/>
                <w:color w:val="auto"/>
                <w:sz w:val="22"/>
                <w:szCs w:val="22"/>
                <w:highlight w:val="none"/>
              </w:rPr>
            </w:pPr>
            <w:r>
              <w:rPr>
                <w:rFonts w:hint="eastAsia" w:ascii="宋体" w:hAnsi="宋体" w:cs="宋体"/>
                <w:color w:val="auto"/>
                <w:sz w:val="22"/>
                <w:szCs w:val="22"/>
                <w:highlight w:val="none"/>
              </w:rPr>
              <w:t>4、信用信息的使用规则：对列入失信被执行人、重大税收违法案件当事人名单、政府采购严重违法失信行为记录名单及其他不符合《中华人民共和国政府采购法》第二十二条规定条件的供应商,其投标作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6"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28</w:t>
            </w:r>
          </w:p>
        </w:tc>
        <w:tc>
          <w:tcPr>
            <w:tcW w:w="1715" w:type="dxa"/>
            <w:shd w:val="clear" w:color="auto" w:fill="auto"/>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合同备案</w:t>
            </w:r>
          </w:p>
        </w:tc>
        <w:tc>
          <w:tcPr>
            <w:tcW w:w="7821" w:type="dxa"/>
            <w:shd w:val="clear" w:color="auto" w:fill="auto"/>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1、中标供应商须在发出中标通知书之日起30日历天内与采购人签订合同。</w:t>
            </w:r>
          </w:p>
          <w:p>
            <w:pPr>
              <w:rPr>
                <w:rFonts w:hint="eastAsia" w:ascii="宋体" w:hAnsi="宋体" w:cs="宋体"/>
                <w:color w:val="auto"/>
                <w:sz w:val="22"/>
                <w:szCs w:val="22"/>
                <w:highlight w:val="none"/>
              </w:rPr>
            </w:pPr>
            <w:r>
              <w:rPr>
                <w:rFonts w:hint="eastAsia" w:ascii="宋体" w:hAnsi="宋体" w:cs="宋体"/>
                <w:color w:val="auto"/>
                <w:sz w:val="22"/>
                <w:szCs w:val="22"/>
                <w:highlight w:val="none"/>
              </w:rPr>
              <w:t>2、本项目政府采购合同按规定在浙江政府采购网（http://www.zjzfcg.gov.cn）予以公告。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6"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29</w:t>
            </w:r>
          </w:p>
        </w:tc>
        <w:tc>
          <w:tcPr>
            <w:tcW w:w="1715" w:type="dxa"/>
            <w:shd w:val="clear" w:color="auto" w:fill="auto"/>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合同履约管理</w:t>
            </w:r>
          </w:p>
        </w:tc>
        <w:tc>
          <w:tcPr>
            <w:tcW w:w="7821" w:type="dxa"/>
            <w:shd w:val="clear" w:color="auto" w:fill="auto"/>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合同签订后,采购人依法加强对合同履约进行管理,并在成交供应商服务、项目验收等重要环节,如实填写《合同验收报告》,并及时向同级财政部门报告验收过程中遇到的问题。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1"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30</w:t>
            </w:r>
          </w:p>
        </w:tc>
        <w:tc>
          <w:tcPr>
            <w:tcW w:w="1715" w:type="dxa"/>
            <w:shd w:val="clear" w:color="auto" w:fill="auto"/>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免则声明</w:t>
            </w:r>
          </w:p>
        </w:tc>
        <w:tc>
          <w:tcPr>
            <w:tcW w:w="7821" w:type="dxa"/>
            <w:shd w:val="clear" w:color="auto" w:fill="auto"/>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1、供应商自行承担投标过程中产生的费用。无论何种因素导致采购项目延期开标、废标（流标）、供应商未成交、项目终止采购的,采购人与代理机构均不承担供应商投标费用。</w:t>
            </w:r>
          </w:p>
          <w:p>
            <w:pPr>
              <w:rPr>
                <w:rFonts w:hint="eastAsia" w:ascii="宋体" w:hAnsi="宋体" w:cs="宋体"/>
                <w:color w:val="auto"/>
                <w:sz w:val="22"/>
                <w:szCs w:val="22"/>
                <w:highlight w:val="none"/>
              </w:rPr>
            </w:pPr>
            <w:r>
              <w:rPr>
                <w:rFonts w:hint="eastAsia" w:ascii="宋体" w:hAnsi="宋体" w:cs="宋体"/>
                <w:color w:val="auto"/>
                <w:sz w:val="22"/>
                <w:szCs w:val="22"/>
                <w:highlight w:val="none"/>
              </w:rPr>
              <w:t>2、供应商在投标、合同履行过程中必须做好安全保障工作,不因项目实施而危及自身及第三方人员、财产安全。若发生任何安全事故,由成交供应商自行承担一切责任并赔偿损失。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31</w:t>
            </w:r>
          </w:p>
        </w:tc>
        <w:tc>
          <w:tcPr>
            <w:tcW w:w="1715" w:type="dxa"/>
            <w:shd w:val="clear" w:color="auto" w:fill="auto"/>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解释权</w:t>
            </w:r>
          </w:p>
        </w:tc>
        <w:tc>
          <w:tcPr>
            <w:tcW w:w="7821" w:type="dxa"/>
            <w:shd w:val="clear" w:color="auto" w:fill="auto"/>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6" w:hRule="atLeast"/>
          <w:jc w:val="center"/>
        </w:trPr>
        <w:tc>
          <w:tcPr>
            <w:tcW w:w="69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32</w:t>
            </w:r>
          </w:p>
        </w:tc>
        <w:tc>
          <w:tcPr>
            <w:tcW w:w="1715" w:type="dxa"/>
            <w:shd w:val="clear" w:color="auto" w:fill="auto"/>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项目类型</w:t>
            </w:r>
          </w:p>
        </w:tc>
        <w:tc>
          <w:tcPr>
            <w:tcW w:w="7821" w:type="dxa"/>
            <w:shd w:val="clear" w:color="auto" w:fill="auto"/>
            <w:vAlign w:val="center"/>
          </w:tcPr>
          <w:p>
            <w:pPr>
              <w:adjustRightInd w:val="0"/>
              <w:rPr>
                <w:rFonts w:hint="eastAsia" w:ascii="宋体" w:hAnsi="宋体" w:cs="宋体"/>
                <w:color w:val="auto"/>
                <w:sz w:val="22"/>
                <w:szCs w:val="22"/>
                <w:highlight w:val="none"/>
              </w:rPr>
            </w:pPr>
            <w:r>
              <w:rPr>
                <w:rFonts w:hint="eastAsia" w:ascii="宋体" w:hAnsi="宋体" w:cs="宋体"/>
                <w:b/>
                <w:color w:val="auto"/>
                <w:sz w:val="22"/>
                <w:szCs w:val="22"/>
                <w:highlight w:val="none"/>
              </w:rPr>
              <w:fldChar w:fldCharType="begin"/>
            </w:r>
            <w:r>
              <w:rPr>
                <w:rFonts w:hint="eastAsia" w:ascii="宋体" w:hAnsi="宋体" w:cs="宋体"/>
                <w:b/>
                <w:color w:val="auto"/>
                <w:sz w:val="22"/>
                <w:szCs w:val="22"/>
                <w:highlight w:val="none"/>
              </w:rPr>
              <w:instrText xml:space="preserve">eq \o\ac(□)</w:instrText>
            </w:r>
            <w:r>
              <w:rPr>
                <w:rFonts w:hint="eastAsia" w:ascii="宋体" w:hAnsi="宋体" w:cs="宋体"/>
                <w:b/>
                <w:color w:val="auto"/>
                <w:sz w:val="22"/>
                <w:szCs w:val="22"/>
                <w:highlight w:val="none"/>
              </w:rPr>
              <w:fldChar w:fldCharType="end"/>
            </w:r>
            <w:r>
              <w:rPr>
                <w:rFonts w:hint="eastAsia" w:ascii="宋体" w:hAnsi="宋体" w:cs="宋体"/>
                <w:color w:val="auto"/>
                <w:sz w:val="22"/>
                <w:szCs w:val="22"/>
                <w:highlight w:val="none"/>
              </w:rPr>
              <w:t>A</w:t>
            </w:r>
            <w:r>
              <w:rPr>
                <w:rFonts w:hint="eastAsia" w:ascii="宋体" w:hAnsi="宋体" w:cs="宋体"/>
                <w:b/>
                <w:color w:val="auto"/>
                <w:sz w:val="22"/>
                <w:szCs w:val="22"/>
                <w:highlight w:val="none"/>
              </w:rPr>
              <w:t>货物类</w:t>
            </w:r>
            <w:r>
              <w:rPr>
                <w:rFonts w:hint="eastAsia" w:ascii="宋体" w:hAnsi="宋体" w:cs="宋体"/>
                <w:color w:val="auto"/>
                <w:sz w:val="22"/>
                <w:szCs w:val="22"/>
                <w:highlight w:val="none"/>
              </w:rPr>
              <w:t>,单一产品或核心产品为：/</w:t>
            </w:r>
            <w:r>
              <w:rPr>
                <w:rFonts w:hint="eastAsia" w:ascii="宋体" w:hAnsi="宋体" w:cs="宋体"/>
                <w:color w:val="auto"/>
                <w:sz w:val="22"/>
                <w:highlight w:val="none"/>
              </w:rPr>
              <w:t>。</w:t>
            </w:r>
          </w:p>
          <w:p>
            <w:pPr>
              <w:rPr>
                <w:rFonts w:hint="eastAsia" w:ascii="宋体" w:hAnsi="宋体" w:cs="宋体"/>
                <w:b/>
                <w:color w:val="auto"/>
                <w:sz w:val="22"/>
                <w:szCs w:val="22"/>
                <w:highlight w:val="none"/>
              </w:rPr>
            </w:pPr>
            <w:r>
              <w:rPr>
                <w:rFonts w:hint="eastAsia" w:ascii="宋体" w:hAnsi="宋体" w:cs="宋体"/>
                <w:b/>
                <w:color w:val="auto"/>
                <w:sz w:val="22"/>
                <w:szCs w:val="22"/>
                <w:highlight w:val="none"/>
              </w:rPr>
              <w:sym w:font="Wingdings 2" w:char="0052"/>
            </w:r>
            <w:r>
              <w:rPr>
                <w:rFonts w:hint="eastAsia" w:ascii="宋体" w:hAnsi="宋体" w:cs="宋体"/>
                <w:b/>
                <w:color w:val="auto"/>
                <w:sz w:val="22"/>
                <w:szCs w:val="22"/>
                <w:highlight w:val="none"/>
              </w:rPr>
              <w:t>B服务类。</w:t>
            </w:r>
          </w:p>
          <w:p>
            <w:pPr>
              <w:rPr>
                <w:rFonts w:hint="eastAsia" w:ascii="宋体" w:hAnsi="宋体" w:eastAsia="新宋体" w:cs="宋体"/>
                <w:color w:val="auto"/>
                <w:sz w:val="22"/>
                <w:szCs w:val="22"/>
                <w:highlight w:val="none"/>
                <w:lang w:eastAsia="zh-CN"/>
              </w:rPr>
            </w:pPr>
            <w:r>
              <w:rPr>
                <w:rFonts w:hint="eastAsia" w:ascii="宋体" w:hAnsi="宋体" w:cs="宋体"/>
                <w:color w:val="auto"/>
                <w:sz w:val="22"/>
                <w:szCs w:val="22"/>
                <w:highlight w:val="none"/>
              </w:rPr>
              <w:t>采购标的对应的中小企业划分标准所属行业：</w:t>
            </w:r>
            <w:r>
              <w:rPr>
                <w:rFonts w:hint="eastAsia" w:ascii="新宋体" w:hAnsi="新宋体" w:eastAsia="新宋体" w:cs="新宋体"/>
                <w:color w:val="auto"/>
                <w:sz w:val="22"/>
                <w:szCs w:val="28"/>
                <w:highlight w:val="none"/>
                <w:u w:val="single"/>
              </w:rPr>
              <w:t>其他未列明行业</w:t>
            </w:r>
            <w:r>
              <w:rPr>
                <w:rFonts w:hint="eastAsia" w:ascii="新宋体" w:hAnsi="新宋体" w:eastAsia="新宋体" w:cs="新宋体"/>
                <w:color w:val="auto"/>
                <w:sz w:val="22"/>
                <w:szCs w:val="28"/>
                <w:highlight w:val="none"/>
                <w:u w:val="single"/>
                <w:lang w:eastAsia="zh-CN"/>
              </w:rPr>
              <w:t>。</w:t>
            </w:r>
          </w:p>
        </w:tc>
      </w:tr>
    </w:tbl>
    <w:p>
      <w:pPr>
        <w:rPr>
          <w:rFonts w:hint="eastAsia" w:ascii="宋体" w:hAnsi="宋体" w:cs="宋体"/>
          <w:color w:val="auto"/>
          <w:highlight w:val="none"/>
        </w:rPr>
      </w:pPr>
    </w:p>
    <w:p>
      <w:pPr>
        <w:pStyle w:val="3"/>
        <w:ind w:firstLine="210"/>
        <w:rPr>
          <w:rFonts w:hint="eastAsia" w:ascii="宋体" w:hAnsi="宋体" w:cs="宋体"/>
          <w:color w:val="auto"/>
          <w:highlight w:val="none"/>
        </w:rPr>
      </w:pPr>
    </w:p>
    <w:p>
      <w:pPr>
        <w:pStyle w:val="3"/>
        <w:ind w:firstLine="210"/>
        <w:rPr>
          <w:rFonts w:hint="eastAsia" w:ascii="宋体" w:hAnsi="宋体" w:cs="宋体"/>
          <w:color w:val="auto"/>
          <w:highlight w:val="none"/>
        </w:rPr>
      </w:pPr>
    </w:p>
    <w:p>
      <w:pPr>
        <w:pStyle w:val="3"/>
        <w:ind w:firstLine="210"/>
        <w:rPr>
          <w:rFonts w:hint="eastAsia" w:ascii="宋体" w:hAnsi="宋体" w:cs="宋体"/>
          <w:color w:val="auto"/>
          <w:highlight w:val="none"/>
        </w:rPr>
      </w:pPr>
    </w:p>
    <w:p>
      <w:pPr>
        <w:pStyle w:val="42"/>
        <w:rPr>
          <w:rFonts w:hint="eastAsia" w:ascii="宋体" w:hAnsi="宋体" w:cs="宋体"/>
          <w:color w:val="auto"/>
          <w:sz w:val="30"/>
          <w:szCs w:val="30"/>
          <w:highlight w:val="none"/>
        </w:rPr>
      </w:pPr>
      <w:bookmarkStart w:id="7" w:name="_Toc461563840"/>
      <w:bookmarkStart w:id="8" w:name="_Toc498343165"/>
      <w:r>
        <w:rPr>
          <w:rFonts w:hint="eastAsia" w:ascii="宋体" w:hAnsi="宋体" w:cs="宋体"/>
          <w:color w:val="auto"/>
          <w:sz w:val="30"/>
          <w:szCs w:val="30"/>
          <w:highlight w:val="none"/>
        </w:rPr>
        <w:br w:type="page"/>
      </w:r>
      <w:bookmarkStart w:id="9" w:name="_Toc13266"/>
      <w:r>
        <w:rPr>
          <w:rFonts w:hint="eastAsia" w:ascii="宋体" w:hAnsi="宋体" w:cs="宋体"/>
          <w:color w:val="auto"/>
          <w:sz w:val="30"/>
          <w:szCs w:val="30"/>
          <w:highlight w:val="none"/>
        </w:rPr>
        <w:t xml:space="preserve">第二部分 </w:t>
      </w:r>
      <w:bookmarkEnd w:id="7"/>
      <w:bookmarkEnd w:id="8"/>
      <w:r>
        <w:rPr>
          <w:rFonts w:hint="eastAsia" w:ascii="宋体" w:hAnsi="宋体" w:cs="宋体"/>
          <w:color w:val="auto"/>
          <w:sz w:val="30"/>
          <w:szCs w:val="30"/>
          <w:highlight w:val="none"/>
        </w:rPr>
        <w:t>招标内容及要求</w:t>
      </w:r>
      <w:bookmarkEnd w:id="9"/>
    </w:p>
    <w:p>
      <w:pPr>
        <w:pStyle w:val="36"/>
        <w:adjustRightInd w:val="0"/>
        <w:spacing w:line="430" w:lineRule="atLeast"/>
        <w:rPr>
          <w:rFonts w:hint="eastAsia" w:ascii="宋体" w:eastAsia="宋体"/>
          <w:color w:val="auto"/>
          <w:sz w:val="22"/>
          <w:szCs w:val="22"/>
          <w:highlight w:val="none"/>
        </w:rPr>
      </w:pPr>
      <w:bookmarkStart w:id="10" w:name="_Toc67213288"/>
      <w:bookmarkStart w:id="11" w:name="_Toc12276"/>
      <w:bookmarkStart w:id="12" w:name="_Toc422946256"/>
      <w:bookmarkStart w:id="13" w:name="_Toc533"/>
      <w:bookmarkStart w:id="14" w:name="_Toc4444"/>
      <w:bookmarkStart w:id="15" w:name="_Toc461563851"/>
      <w:bookmarkStart w:id="16" w:name="_Toc498343168"/>
      <w:r>
        <w:rPr>
          <w:rFonts w:hint="eastAsia" w:ascii="宋体" w:eastAsia="宋体"/>
          <w:color w:val="auto"/>
          <w:sz w:val="22"/>
          <w:szCs w:val="22"/>
          <w:highlight w:val="none"/>
        </w:rPr>
        <w:t>一、采购</w:t>
      </w:r>
      <w:r>
        <w:rPr>
          <w:rFonts w:hint="eastAsia" w:ascii="宋体" w:eastAsia="宋体"/>
          <w:color w:val="auto"/>
          <w:sz w:val="22"/>
          <w:szCs w:val="22"/>
          <w:highlight w:val="none"/>
          <w:lang w:eastAsia="zh-CN"/>
        </w:rPr>
        <w:t>总</w:t>
      </w:r>
      <w:r>
        <w:rPr>
          <w:rFonts w:hint="eastAsia" w:ascii="宋体" w:eastAsia="宋体"/>
          <w:color w:val="auto"/>
          <w:sz w:val="22"/>
          <w:szCs w:val="22"/>
          <w:highlight w:val="none"/>
        </w:rPr>
        <w:t>说明</w:t>
      </w:r>
    </w:p>
    <w:p>
      <w:pPr>
        <w:snapToGrid w:val="0"/>
        <w:spacing w:line="460" w:lineRule="exact"/>
        <w:ind w:firstLine="541" w:firstLineChars="246"/>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eastAsia="宋体" w:cs="宋体"/>
          <w:b/>
          <w:bCs/>
          <w:color w:val="auto"/>
          <w:sz w:val="22"/>
          <w:szCs w:val="22"/>
          <w:highlight w:val="none"/>
        </w:rPr>
        <w:t>★</w:t>
      </w:r>
      <w:r>
        <w:rPr>
          <w:rFonts w:hint="eastAsia" w:ascii="宋体" w:hAnsi="宋体" w:cs="宋体"/>
          <w:color w:val="auto"/>
          <w:sz w:val="22"/>
          <w:szCs w:val="22"/>
          <w:highlight w:val="none"/>
        </w:rPr>
        <w:t>本次招标服务期限为</w:t>
      </w:r>
      <w:r>
        <w:rPr>
          <w:rFonts w:hint="eastAsia" w:ascii="宋体" w:hAnsi="宋体" w:cs="宋体"/>
          <w:color w:val="auto"/>
          <w:sz w:val="22"/>
          <w:szCs w:val="22"/>
          <w:highlight w:val="none"/>
          <w:lang w:eastAsia="zh-CN"/>
        </w:rPr>
        <w:t>三</w:t>
      </w:r>
      <w:r>
        <w:rPr>
          <w:rFonts w:hint="eastAsia" w:ascii="宋体" w:hAnsi="宋体" w:cs="宋体"/>
          <w:color w:val="auto"/>
          <w:sz w:val="22"/>
          <w:szCs w:val="22"/>
          <w:highlight w:val="none"/>
        </w:rPr>
        <w:t>年</w:t>
      </w:r>
      <w:r>
        <w:rPr>
          <w:rFonts w:hint="eastAsia" w:ascii="宋体" w:hAnsi="宋体" w:cs="宋体"/>
          <w:color w:val="auto"/>
          <w:sz w:val="22"/>
          <w:szCs w:val="22"/>
          <w:highlight w:val="none"/>
        </w:rPr>
        <w:t>,合同采用1+1</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签订</w:t>
      </w:r>
      <w:bookmarkStart w:id="17" w:name="OLE_LINK3"/>
      <w:bookmarkStart w:id="18" w:name="OLE_LINK2"/>
      <w:r>
        <w:rPr>
          <w:rFonts w:hint="eastAsia" w:ascii="宋体" w:hAnsi="宋体" w:cs="宋体"/>
          <w:color w:val="auto"/>
          <w:sz w:val="22"/>
          <w:szCs w:val="22"/>
          <w:highlight w:val="none"/>
          <w:lang w:eastAsia="zh-CN"/>
        </w:rPr>
        <w:t>模式</w:t>
      </w:r>
      <w:r>
        <w:rPr>
          <w:rFonts w:hint="eastAsia" w:ascii="宋体" w:hAnsi="宋体" w:cs="宋体"/>
          <w:color w:val="auto"/>
          <w:sz w:val="22"/>
          <w:szCs w:val="22"/>
          <w:highlight w:val="none"/>
        </w:rPr>
        <w:t>,如</w:t>
      </w:r>
      <w:r>
        <w:rPr>
          <w:rFonts w:hint="eastAsia" w:ascii="宋体" w:hAnsi="宋体" w:cs="宋体"/>
          <w:color w:val="auto"/>
          <w:sz w:val="22"/>
          <w:szCs w:val="22"/>
          <w:highlight w:val="none"/>
          <w:lang w:eastAsia="zh-CN"/>
        </w:rPr>
        <w:t>中标供应商</w:t>
      </w:r>
      <w:r>
        <w:rPr>
          <w:rFonts w:hint="eastAsia" w:ascii="宋体" w:hAnsi="宋体" w:cs="宋体"/>
          <w:color w:val="auto"/>
          <w:sz w:val="22"/>
          <w:szCs w:val="22"/>
          <w:highlight w:val="none"/>
        </w:rPr>
        <w:t>第一年的服务及评分达到招标人要求,续签</w:t>
      </w:r>
      <w:r>
        <w:rPr>
          <w:rFonts w:hint="eastAsia" w:ascii="宋体" w:hAnsi="宋体" w:cs="宋体"/>
          <w:color w:val="auto"/>
          <w:sz w:val="22"/>
          <w:szCs w:val="22"/>
          <w:highlight w:val="none"/>
          <w:lang w:eastAsia="zh-CN"/>
        </w:rPr>
        <w:t>一</w:t>
      </w:r>
      <w:r>
        <w:rPr>
          <w:rFonts w:hint="eastAsia" w:ascii="宋体" w:hAnsi="宋体" w:cs="宋体"/>
          <w:color w:val="auto"/>
          <w:sz w:val="22"/>
          <w:szCs w:val="22"/>
          <w:highlight w:val="none"/>
        </w:rPr>
        <w:t>年合同</w:t>
      </w:r>
      <w:r>
        <w:rPr>
          <w:rFonts w:hint="eastAsia" w:ascii="宋体" w:hAnsi="宋体" w:cs="宋体"/>
          <w:color w:val="auto"/>
          <w:sz w:val="22"/>
          <w:szCs w:val="22"/>
          <w:highlight w:val="none"/>
          <w:lang w:eastAsia="zh-CN"/>
        </w:rPr>
        <w:t>，最多续签</w:t>
      </w:r>
      <w:r>
        <w:rPr>
          <w:rFonts w:hint="eastAsia" w:ascii="宋体" w:hAnsi="宋体" w:cs="宋体"/>
          <w:color w:val="auto"/>
          <w:sz w:val="22"/>
          <w:szCs w:val="22"/>
          <w:highlight w:val="none"/>
          <w:lang w:val="en-US" w:eastAsia="zh-CN"/>
        </w:rPr>
        <w:t>2次</w:t>
      </w:r>
      <w:r>
        <w:rPr>
          <w:rFonts w:hint="eastAsia" w:ascii="宋体" w:hAnsi="宋体" w:cs="宋体"/>
          <w:color w:val="auto"/>
          <w:sz w:val="22"/>
          <w:szCs w:val="22"/>
          <w:highlight w:val="none"/>
        </w:rPr>
        <w:t>。</w:t>
      </w:r>
    </w:p>
    <w:bookmarkEnd w:id="17"/>
    <w:p>
      <w:pPr>
        <w:snapToGrid w:val="0"/>
        <w:spacing w:line="460" w:lineRule="exact"/>
        <w:ind w:firstLine="541" w:firstLineChars="246"/>
        <w:rPr>
          <w:rFonts w:hint="eastAsia" w:ascii="宋体" w:hAnsi="宋体" w:cs="宋体"/>
          <w:color w:val="auto"/>
          <w:sz w:val="22"/>
          <w:szCs w:val="22"/>
          <w:highlight w:val="none"/>
        </w:rPr>
      </w:pPr>
      <w:r>
        <w:rPr>
          <w:rFonts w:hint="eastAsia" w:ascii="宋体" w:hAnsi="宋体" w:cs="宋体"/>
          <w:color w:val="auto"/>
          <w:sz w:val="22"/>
          <w:szCs w:val="22"/>
          <w:highlight w:val="none"/>
        </w:rPr>
        <w:t>2、</w:t>
      </w:r>
      <w:bookmarkEnd w:id="18"/>
      <w:bookmarkStart w:id="19" w:name="OLE_LINK8"/>
      <w:r>
        <w:rPr>
          <w:rFonts w:hint="eastAsia" w:ascii="宋体" w:hAnsi="宋体" w:cs="宋体"/>
          <w:color w:val="auto"/>
          <w:sz w:val="22"/>
          <w:szCs w:val="22"/>
          <w:highlight w:val="none"/>
        </w:rPr>
        <w:t>各投标单位应</w:t>
      </w:r>
      <w:r>
        <w:rPr>
          <w:rFonts w:hint="eastAsia" w:ascii="宋体" w:hAnsi="宋体" w:cs="宋体"/>
          <w:color w:val="auto"/>
          <w:sz w:val="22"/>
          <w:szCs w:val="22"/>
          <w:highlight w:val="none"/>
          <w:lang w:eastAsia="zh-CN"/>
        </w:rPr>
        <w:t>于</w:t>
      </w:r>
      <w:r>
        <w:rPr>
          <w:rFonts w:hint="eastAsia" w:ascii="宋体" w:hAnsi="宋体" w:cs="宋体"/>
          <w:color w:val="auto"/>
          <w:sz w:val="22"/>
          <w:szCs w:val="22"/>
          <w:highlight w:val="none"/>
        </w:rPr>
        <w:t>投标前自行勘查现场,以获取制定各种方案所需的现场勘查资料</w:t>
      </w:r>
      <w:bookmarkEnd w:id="19"/>
      <w:r>
        <w:rPr>
          <w:rFonts w:hint="eastAsia" w:ascii="宋体" w:hAnsi="宋体" w:cs="宋体"/>
          <w:color w:val="auto"/>
          <w:sz w:val="22"/>
          <w:szCs w:val="22"/>
          <w:highlight w:val="none"/>
        </w:rPr>
        <w:t>。</w:t>
      </w:r>
    </w:p>
    <w:p>
      <w:pPr>
        <w:snapToGrid w:val="0"/>
        <w:spacing w:line="460" w:lineRule="exact"/>
        <w:ind w:firstLine="541" w:firstLineChars="246"/>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、本项目不得</w:t>
      </w:r>
      <w:bookmarkStart w:id="20" w:name="OLE_LINK9"/>
      <w:r>
        <w:rPr>
          <w:rFonts w:hint="eastAsia" w:ascii="宋体" w:hAnsi="宋体" w:cs="宋体"/>
          <w:color w:val="auto"/>
          <w:sz w:val="22"/>
          <w:szCs w:val="22"/>
          <w:highlight w:val="none"/>
        </w:rPr>
        <w:t>分包、转包</w:t>
      </w:r>
      <w:bookmarkEnd w:id="20"/>
      <w:r>
        <w:rPr>
          <w:rFonts w:hint="eastAsia" w:ascii="宋体" w:hAnsi="宋体" w:cs="宋体"/>
          <w:color w:val="auto"/>
          <w:sz w:val="22"/>
          <w:szCs w:val="22"/>
          <w:highlight w:val="none"/>
        </w:rPr>
        <w:t>,未经招标人允许也不得更换项目管理人员,否则,招标人有权取消合同。</w:t>
      </w:r>
    </w:p>
    <w:p>
      <w:pPr>
        <w:snapToGrid w:val="0"/>
        <w:spacing w:line="460" w:lineRule="exact"/>
        <w:ind w:firstLine="541" w:firstLineChars="246"/>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、合同执行期间,中标单位如对招标人发出</w:t>
      </w:r>
      <w:bookmarkStart w:id="21" w:name="OLE_LINK12"/>
      <w:r>
        <w:rPr>
          <w:rFonts w:hint="eastAsia" w:ascii="宋体" w:hAnsi="宋体" w:cs="宋体"/>
          <w:color w:val="auto"/>
          <w:sz w:val="22"/>
          <w:szCs w:val="22"/>
          <w:highlight w:val="none"/>
        </w:rPr>
        <w:t>的</w:t>
      </w:r>
      <w:bookmarkStart w:id="22" w:name="OLE_LINK11"/>
      <w:r>
        <w:rPr>
          <w:rFonts w:hint="eastAsia" w:ascii="宋体" w:hAnsi="宋体" w:cs="宋体"/>
          <w:color w:val="auto"/>
          <w:sz w:val="22"/>
          <w:szCs w:val="22"/>
          <w:highlight w:val="none"/>
        </w:rPr>
        <w:t>整改要求拒不执行的</w:t>
      </w:r>
      <w:bookmarkEnd w:id="21"/>
      <w:bookmarkEnd w:id="22"/>
      <w:bookmarkStart w:id="23" w:name="OLE_LINK10"/>
      <w:r>
        <w:rPr>
          <w:rFonts w:hint="eastAsia" w:ascii="宋体" w:hAnsi="宋体" w:cs="宋体"/>
          <w:color w:val="auto"/>
          <w:sz w:val="22"/>
          <w:szCs w:val="22"/>
          <w:highlight w:val="none"/>
        </w:rPr>
        <w:t>,招标人有权取消合同。</w:t>
      </w:r>
      <w:bookmarkEnd w:id="23"/>
    </w:p>
    <w:p>
      <w:pPr>
        <w:snapToGrid w:val="0"/>
        <w:spacing w:line="460" w:lineRule="exact"/>
        <w:ind w:firstLine="541" w:firstLineChars="246"/>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、合同执行期间,遇有国家政策性最低工资调整或养老保险或人身意外险调整,投标供应商必须及时作出相应调整。该风险由投标供应商自行考虑,包含在投标总价内,招标人不再单独追加。</w:t>
      </w:r>
      <w:r>
        <w:rPr>
          <w:rFonts w:hint="eastAsia" w:ascii="宋体" w:hAnsi="宋体" w:cs="宋体"/>
          <w:b/>
          <w:bCs/>
          <w:color w:val="auto"/>
          <w:sz w:val="22"/>
          <w:szCs w:val="22"/>
          <w:highlight w:val="none"/>
        </w:rPr>
        <w:t>因</w:t>
      </w:r>
      <w:r>
        <w:rPr>
          <w:rFonts w:hint="eastAsia" w:ascii="宋体" w:hAnsi="宋体" w:cs="宋体"/>
          <w:b/>
          <w:bCs/>
          <w:color w:val="auto"/>
          <w:sz w:val="22"/>
          <w:szCs w:val="22"/>
          <w:highlight w:val="none"/>
          <w:lang w:eastAsia="zh-CN"/>
        </w:rPr>
        <w:t>中标供应商</w:t>
      </w:r>
      <w:r>
        <w:rPr>
          <w:rFonts w:hint="eastAsia" w:ascii="宋体" w:hAnsi="宋体" w:cs="宋体"/>
          <w:b/>
          <w:bCs/>
          <w:color w:val="auto"/>
          <w:sz w:val="22"/>
          <w:szCs w:val="22"/>
          <w:highlight w:val="none"/>
        </w:rPr>
        <w:t>违反《民法典》等国家法律法规和政策而造成采购人的连带责任和损失全部由</w:t>
      </w:r>
      <w:r>
        <w:rPr>
          <w:rFonts w:hint="eastAsia" w:ascii="宋体" w:hAnsi="宋体" w:cs="宋体"/>
          <w:b/>
          <w:bCs/>
          <w:color w:val="auto"/>
          <w:sz w:val="22"/>
          <w:szCs w:val="22"/>
          <w:highlight w:val="none"/>
          <w:lang w:eastAsia="zh-CN"/>
        </w:rPr>
        <w:t>中标供应商</w:t>
      </w:r>
      <w:r>
        <w:rPr>
          <w:rFonts w:hint="eastAsia" w:ascii="宋体" w:hAnsi="宋体" w:cs="宋体"/>
          <w:b/>
          <w:bCs/>
          <w:color w:val="auto"/>
          <w:sz w:val="22"/>
          <w:szCs w:val="22"/>
          <w:highlight w:val="none"/>
        </w:rPr>
        <w:t>承担。</w:t>
      </w:r>
    </w:p>
    <w:p>
      <w:pPr>
        <w:snapToGrid w:val="0"/>
        <w:spacing w:line="460" w:lineRule="exact"/>
        <w:ind w:firstLine="541" w:firstLineChars="246"/>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w:t>
      </w:r>
      <w:bookmarkStart w:id="24" w:name="OLE_LINK18"/>
      <w:bookmarkStart w:id="25" w:name="OLE_LINK16"/>
      <w:r>
        <w:rPr>
          <w:rFonts w:hint="eastAsia" w:ascii="宋体" w:hAnsi="宋体" w:cs="宋体"/>
          <w:color w:val="auto"/>
          <w:sz w:val="22"/>
          <w:szCs w:val="22"/>
          <w:highlight w:val="none"/>
          <w:lang w:eastAsia="zh-CN"/>
        </w:rPr>
        <w:t>中标供应商</w:t>
      </w:r>
      <w:r>
        <w:rPr>
          <w:rFonts w:hint="eastAsia" w:ascii="宋体" w:hAnsi="宋体" w:cs="宋体"/>
          <w:color w:val="auto"/>
          <w:sz w:val="22"/>
          <w:szCs w:val="22"/>
          <w:highlight w:val="none"/>
        </w:rPr>
        <w:t>不得以任何理由向采购人工作人员支付小费或赠送实物</w:t>
      </w:r>
      <w:bookmarkEnd w:id="24"/>
      <w:bookmarkStart w:id="26" w:name="OLE_LINK17"/>
      <w:r>
        <w:rPr>
          <w:rFonts w:hint="eastAsia" w:ascii="宋体" w:hAnsi="宋体" w:cs="宋体"/>
          <w:color w:val="auto"/>
          <w:sz w:val="22"/>
          <w:szCs w:val="22"/>
          <w:highlight w:val="none"/>
        </w:rPr>
        <w:t>,不得在承包区从事非法活动或有损甲方利益的活动。</w:t>
      </w:r>
    </w:p>
    <w:bookmarkEnd w:id="25"/>
    <w:bookmarkEnd w:id="26"/>
    <w:p>
      <w:pPr>
        <w:snapToGrid w:val="0"/>
        <w:spacing w:line="460" w:lineRule="exact"/>
        <w:ind w:firstLine="541" w:firstLineChars="246"/>
        <w:rPr>
          <w:rFonts w:hint="eastAsia" w:ascii="宋体" w:hAnsi="宋体" w:cs="宋体"/>
          <w:b/>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w:t>
      </w:r>
      <w:r>
        <w:rPr>
          <w:rFonts w:hint="eastAsia" w:ascii="宋体" w:hAnsi="宋体" w:cs="宋体"/>
          <w:b/>
          <w:color w:val="auto"/>
          <w:sz w:val="22"/>
          <w:szCs w:val="22"/>
          <w:highlight w:val="none"/>
          <w:lang w:eastAsia="zh-CN"/>
        </w:rPr>
        <w:t>中标供应商</w:t>
      </w:r>
      <w:r>
        <w:rPr>
          <w:rFonts w:hint="eastAsia" w:ascii="宋体" w:hAnsi="宋体" w:cs="宋体"/>
          <w:b/>
          <w:color w:val="auto"/>
          <w:sz w:val="22"/>
          <w:szCs w:val="22"/>
          <w:highlight w:val="none"/>
        </w:rPr>
        <w:t>需严格按照投标时所列费用进行落实执行,采购人对各项费用的执行情况有监督权。</w:t>
      </w:r>
    </w:p>
    <w:p>
      <w:pPr>
        <w:snapToGrid w:val="0"/>
        <w:spacing w:line="460" w:lineRule="exact"/>
        <w:ind w:firstLine="541" w:firstLineChars="246"/>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、因</w:t>
      </w:r>
      <w:r>
        <w:rPr>
          <w:rFonts w:hint="eastAsia" w:ascii="宋体" w:hAnsi="宋体" w:cs="宋体"/>
          <w:color w:val="auto"/>
          <w:sz w:val="22"/>
          <w:szCs w:val="22"/>
          <w:highlight w:val="none"/>
          <w:lang w:eastAsia="zh-CN"/>
        </w:rPr>
        <w:t>中标供应商</w:t>
      </w:r>
      <w:r>
        <w:rPr>
          <w:rFonts w:hint="eastAsia" w:ascii="宋体" w:hAnsi="宋体" w:cs="宋体"/>
          <w:color w:val="auto"/>
          <w:sz w:val="22"/>
          <w:szCs w:val="22"/>
          <w:highlight w:val="none"/>
        </w:rPr>
        <w:t>未按采</w:t>
      </w:r>
      <w:bookmarkStart w:id="27" w:name="OLE_LINK21"/>
      <w:r>
        <w:rPr>
          <w:rFonts w:hint="eastAsia" w:ascii="宋体" w:hAnsi="宋体" w:cs="宋体"/>
          <w:color w:val="auto"/>
          <w:sz w:val="22"/>
          <w:szCs w:val="22"/>
          <w:highlight w:val="none"/>
        </w:rPr>
        <w:t>购人要求或</w:t>
      </w:r>
      <w:r>
        <w:rPr>
          <w:rFonts w:hint="eastAsia" w:ascii="宋体" w:hAnsi="宋体" w:cs="宋体"/>
          <w:color w:val="auto"/>
          <w:sz w:val="22"/>
          <w:szCs w:val="22"/>
          <w:highlight w:val="none"/>
          <w:lang w:eastAsia="zh-CN"/>
        </w:rPr>
        <w:t>中标供应商</w:t>
      </w:r>
      <w:r>
        <w:rPr>
          <w:rFonts w:hint="eastAsia" w:ascii="宋体" w:hAnsi="宋体" w:cs="宋体"/>
          <w:color w:val="auto"/>
          <w:sz w:val="22"/>
          <w:szCs w:val="22"/>
          <w:highlight w:val="none"/>
        </w:rPr>
        <w:t>工作失误造成事故的</w:t>
      </w:r>
      <w:bookmarkStart w:id="28" w:name="OLE_LINK22"/>
      <w:r>
        <w:rPr>
          <w:rFonts w:hint="eastAsia" w:ascii="宋体" w:hAnsi="宋体" w:cs="宋体"/>
          <w:color w:val="auto"/>
          <w:sz w:val="22"/>
          <w:szCs w:val="22"/>
          <w:highlight w:val="none"/>
        </w:rPr>
        <w:t>,由</w:t>
      </w:r>
      <w:r>
        <w:rPr>
          <w:rFonts w:hint="eastAsia" w:ascii="宋体" w:hAnsi="宋体" w:cs="宋体"/>
          <w:color w:val="auto"/>
          <w:sz w:val="22"/>
          <w:szCs w:val="22"/>
          <w:highlight w:val="none"/>
          <w:lang w:eastAsia="zh-CN"/>
        </w:rPr>
        <w:t>中标供应商</w:t>
      </w:r>
      <w:r>
        <w:rPr>
          <w:rFonts w:hint="eastAsia" w:ascii="宋体" w:hAnsi="宋体" w:cs="宋体"/>
          <w:color w:val="auto"/>
          <w:sz w:val="22"/>
          <w:szCs w:val="22"/>
          <w:highlight w:val="none"/>
        </w:rPr>
        <w:t>负责。</w:t>
      </w:r>
      <w:bookmarkEnd w:id="27"/>
    </w:p>
    <w:bookmarkEnd w:id="28"/>
    <w:p>
      <w:pPr>
        <w:pStyle w:val="36"/>
        <w:adjustRightInd w:val="0"/>
        <w:spacing w:line="43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二、</w:t>
      </w:r>
      <w:r>
        <w:rPr>
          <w:rFonts w:hint="eastAsia" w:ascii="宋体" w:hAnsi="宋体" w:eastAsia="宋体" w:cs="宋体"/>
          <w:color w:val="auto"/>
          <w:sz w:val="22"/>
          <w:szCs w:val="22"/>
          <w:highlight w:val="none"/>
          <w:lang w:eastAsia="zh-CN"/>
        </w:rPr>
        <w:t>招标内容及要求</w:t>
      </w:r>
    </w:p>
    <w:tbl>
      <w:tblPr>
        <w:tblStyle w:val="45"/>
        <w:tblpPr w:leftFromText="180" w:rightFromText="180" w:vertAnchor="text" w:tblpXSpec="center" w:tblpY="1"/>
        <w:tblOverlap w:val="never"/>
        <w:tblW w:w="9931"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4063"/>
        <w:gridCol w:w="804"/>
        <w:gridCol w:w="853"/>
        <w:gridCol w:w="1851"/>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35" w:type="dxa"/>
            <w:noWrap w:val="0"/>
            <w:vAlign w:val="center"/>
          </w:tcPr>
          <w:p>
            <w:pPr>
              <w:autoSpaceDE w:val="0"/>
              <w:autoSpaceDN w:val="0"/>
              <w:adjustRightInd w:val="0"/>
              <w:spacing w:line="460" w:lineRule="atLeas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4063" w:type="dxa"/>
            <w:noWrap w:val="0"/>
            <w:vAlign w:val="center"/>
          </w:tcPr>
          <w:p>
            <w:pPr>
              <w:autoSpaceDE w:val="0"/>
              <w:autoSpaceDN w:val="0"/>
              <w:adjustRightInd w:val="0"/>
              <w:spacing w:line="46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项目内容</w:t>
            </w:r>
          </w:p>
        </w:tc>
        <w:tc>
          <w:tcPr>
            <w:tcW w:w="804" w:type="dxa"/>
            <w:noWrap w:val="0"/>
            <w:vAlign w:val="center"/>
          </w:tcPr>
          <w:p>
            <w:pPr>
              <w:autoSpaceDE w:val="0"/>
              <w:autoSpaceDN w:val="0"/>
              <w:adjustRightInd w:val="0"/>
              <w:spacing w:line="460" w:lineRule="atLeas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数量</w:t>
            </w:r>
          </w:p>
        </w:tc>
        <w:tc>
          <w:tcPr>
            <w:tcW w:w="853" w:type="dxa"/>
            <w:noWrap w:val="0"/>
            <w:vAlign w:val="center"/>
          </w:tcPr>
          <w:p>
            <w:pPr>
              <w:autoSpaceDE w:val="0"/>
              <w:autoSpaceDN w:val="0"/>
              <w:adjustRightInd w:val="0"/>
              <w:spacing w:line="46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3276" w:type="dxa"/>
            <w:gridSpan w:val="2"/>
            <w:noWrap w:val="0"/>
            <w:vAlign w:val="center"/>
          </w:tcPr>
          <w:p>
            <w:pPr>
              <w:autoSpaceDE w:val="0"/>
              <w:autoSpaceDN w:val="0"/>
              <w:adjustRightInd w:val="0"/>
              <w:spacing w:line="460" w:lineRule="atLeas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35" w:type="dxa"/>
            <w:noWrap w:val="0"/>
            <w:vAlign w:val="center"/>
          </w:tcPr>
          <w:p>
            <w:pPr>
              <w:autoSpaceDE w:val="0"/>
              <w:autoSpaceDN w:val="0"/>
              <w:adjustRightInd w:val="0"/>
              <w:spacing w:line="460" w:lineRule="atLeas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p>
        </w:tc>
        <w:tc>
          <w:tcPr>
            <w:tcW w:w="4063" w:type="dxa"/>
            <w:noWrap w:val="0"/>
            <w:vAlign w:val="center"/>
          </w:tcPr>
          <w:p>
            <w:pPr>
              <w:autoSpaceDE w:val="0"/>
              <w:autoSpaceDN w:val="0"/>
              <w:adjustRightInd w:val="0"/>
              <w:spacing w:line="460" w:lineRule="atLeas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道路交通车辆拖</w:t>
            </w:r>
            <w:r>
              <w:rPr>
                <w:rFonts w:hint="eastAsia" w:ascii="宋体" w:hAnsi="宋体" w:cs="宋体"/>
                <w:b/>
                <w:bCs/>
                <w:color w:val="auto"/>
                <w:sz w:val="24"/>
                <w:szCs w:val="24"/>
                <w:highlight w:val="none"/>
                <w:lang w:eastAsia="zh-CN"/>
              </w:rPr>
              <w:t>曳</w:t>
            </w:r>
            <w:r>
              <w:rPr>
                <w:rFonts w:hint="eastAsia" w:ascii="宋体" w:hAnsi="宋体" w:eastAsia="宋体" w:cs="宋体"/>
                <w:b/>
                <w:bCs/>
                <w:color w:val="auto"/>
                <w:sz w:val="24"/>
                <w:szCs w:val="24"/>
                <w:highlight w:val="none"/>
                <w:lang w:eastAsia="zh-CN"/>
              </w:rPr>
              <w:t>服务</w:t>
            </w:r>
          </w:p>
        </w:tc>
        <w:tc>
          <w:tcPr>
            <w:tcW w:w="804" w:type="dxa"/>
            <w:vMerge w:val="restart"/>
            <w:noWrap w:val="0"/>
            <w:vAlign w:val="center"/>
          </w:tcPr>
          <w:p>
            <w:pPr>
              <w:autoSpaceDE w:val="0"/>
              <w:autoSpaceDN w:val="0"/>
              <w:adjustRightInd w:val="0"/>
              <w:spacing w:line="460" w:lineRule="atLeast"/>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tc>
        <w:tc>
          <w:tcPr>
            <w:tcW w:w="853" w:type="dxa"/>
            <w:vMerge w:val="restart"/>
            <w:noWrap w:val="0"/>
            <w:vAlign w:val="center"/>
          </w:tcPr>
          <w:p>
            <w:pPr>
              <w:autoSpaceDE w:val="0"/>
              <w:autoSpaceDN w:val="0"/>
              <w:adjustRightInd w:val="0"/>
              <w:spacing w:line="460" w:lineRule="atLeas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年</w:t>
            </w:r>
          </w:p>
        </w:tc>
        <w:tc>
          <w:tcPr>
            <w:tcW w:w="1851" w:type="dxa"/>
            <w:noWrap w:val="0"/>
            <w:vAlign w:val="center"/>
          </w:tcPr>
          <w:p>
            <w:pPr>
              <w:autoSpaceDE w:val="0"/>
              <w:autoSpaceDN w:val="0"/>
              <w:adjustRightInd w:val="0"/>
              <w:spacing w:line="460" w:lineRule="atLeast"/>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4500000</w:t>
            </w:r>
          </w:p>
        </w:tc>
        <w:tc>
          <w:tcPr>
            <w:tcW w:w="1425" w:type="dxa"/>
            <w:vMerge w:val="restart"/>
            <w:noWrap w:val="0"/>
            <w:vAlign w:val="center"/>
          </w:tcPr>
          <w:p>
            <w:pPr>
              <w:autoSpaceDE w:val="0"/>
              <w:autoSpaceDN w:val="0"/>
              <w:adjustRightInd w:val="0"/>
              <w:spacing w:line="460" w:lineRule="atLeast"/>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trPr>
        <w:tc>
          <w:tcPr>
            <w:tcW w:w="935" w:type="dxa"/>
            <w:noWrap w:val="0"/>
            <w:vAlign w:val="center"/>
          </w:tcPr>
          <w:p>
            <w:pPr>
              <w:autoSpaceDE w:val="0"/>
              <w:autoSpaceDN w:val="0"/>
              <w:adjustRightInd w:val="0"/>
              <w:spacing w:line="460" w:lineRule="atLeas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4063" w:type="dxa"/>
            <w:noWrap w:val="0"/>
            <w:vAlign w:val="center"/>
          </w:tcPr>
          <w:p>
            <w:pPr>
              <w:autoSpaceDE w:val="0"/>
              <w:autoSpaceDN w:val="0"/>
              <w:adjustRightInd w:val="0"/>
              <w:spacing w:line="460" w:lineRule="atLeas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交通事故、违法车辆扣留后的保管服务</w:t>
            </w:r>
          </w:p>
        </w:tc>
        <w:tc>
          <w:tcPr>
            <w:tcW w:w="804" w:type="dxa"/>
            <w:vMerge w:val="continue"/>
            <w:noWrap w:val="0"/>
            <w:vAlign w:val="center"/>
          </w:tcPr>
          <w:p>
            <w:pPr>
              <w:autoSpaceDE w:val="0"/>
              <w:autoSpaceDN w:val="0"/>
              <w:adjustRightInd w:val="0"/>
              <w:spacing w:line="460" w:lineRule="atLeast"/>
              <w:jc w:val="center"/>
              <w:rPr>
                <w:rFonts w:hint="eastAsia" w:ascii="宋体" w:hAnsi="宋体" w:eastAsia="宋体" w:cs="宋体"/>
                <w:b/>
                <w:bCs/>
                <w:color w:val="auto"/>
                <w:sz w:val="24"/>
                <w:szCs w:val="24"/>
                <w:highlight w:val="none"/>
                <w:lang w:val="en-US" w:eastAsia="zh-CN"/>
              </w:rPr>
            </w:pPr>
          </w:p>
        </w:tc>
        <w:tc>
          <w:tcPr>
            <w:tcW w:w="853" w:type="dxa"/>
            <w:vMerge w:val="continue"/>
            <w:noWrap w:val="0"/>
            <w:vAlign w:val="center"/>
          </w:tcPr>
          <w:p>
            <w:pPr>
              <w:autoSpaceDE w:val="0"/>
              <w:autoSpaceDN w:val="0"/>
              <w:adjustRightInd w:val="0"/>
              <w:spacing w:line="460" w:lineRule="atLeast"/>
              <w:jc w:val="center"/>
              <w:rPr>
                <w:rFonts w:hint="eastAsia" w:ascii="宋体" w:hAnsi="宋体" w:eastAsia="宋体" w:cs="宋体"/>
                <w:b/>
                <w:bCs/>
                <w:color w:val="auto"/>
                <w:sz w:val="24"/>
                <w:szCs w:val="24"/>
                <w:highlight w:val="none"/>
                <w:lang w:eastAsia="zh-CN"/>
              </w:rPr>
            </w:pPr>
          </w:p>
        </w:tc>
        <w:tc>
          <w:tcPr>
            <w:tcW w:w="1851" w:type="dxa"/>
            <w:noWrap w:val="0"/>
            <w:vAlign w:val="center"/>
          </w:tcPr>
          <w:p>
            <w:pPr>
              <w:autoSpaceDE w:val="0"/>
              <w:autoSpaceDN w:val="0"/>
              <w:adjustRightInd w:val="0"/>
              <w:spacing w:line="460" w:lineRule="atLeast"/>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6000000</w:t>
            </w:r>
          </w:p>
        </w:tc>
        <w:tc>
          <w:tcPr>
            <w:tcW w:w="1425" w:type="dxa"/>
            <w:vMerge w:val="continue"/>
            <w:noWrap w:val="0"/>
            <w:vAlign w:val="center"/>
          </w:tcPr>
          <w:p>
            <w:pPr>
              <w:autoSpaceDE w:val="0"/>
              <w:autoSpaceDN w:val="0"/>
              <w:adjustRightInd w:val="0"/>
              <w:spacing w:line="460" w:lineRule="atLeast"/>
              <w:jc w:val="center"/>
              <w:rPr>
                <w:rFonts w:hint="default" w:ascii="宋体" w:hAnsi="宋体" w:eastAsia="宋体" w:cs="宋体"/>
                <w:b/>
                <w:bCs/>
                <w:color w:val="auto"/>
                <w:sz w:val="24"/>
                <w:szCs w:val="24"/>
                <w:highlight w:val="none"/>
                <w:lang w:val="en-US" w:eastAsia="zh-CN"/>
              </w:rPr>
            </w:pPr>
          </w:p>
        </w:tc>
      </w:tr>
    </w:tbl>
    <w:p>
      <w:pPr>
        <w:numPr>
          <w:ilvl w:val="0"/>
          <w:numId w:val="0"/>
        </w:numPr>
        <w:autoSpaceDE w:val="0"/>
        <w:autoSpaceDN w:val="0"/>
        <w:adjustRightInd w:val="0"/>
        <w:spacing w:line="460" w:lineRule="atLeast"/>
        <w:ind w:firstLine="442" w:firstLineChars="200"/>
        <w:rPr>
          <w:rFonts w:hint="eastAsia" w:ascii="宋体" w:hAnsi="宋体" w:cs="宋体"/>
          <w:b/>
          <w:bCs/>
          <w:color w:val="auto"/>
          <w:sz w:val="22"/>
          <w:szCs w:val="22"/>
          <w:highlight w:val="none"/>
          <w:lang w:val="en-US" w:eastAsia="zh-CN"/>
        </w:rPr>
      </w:pPr>
      <w:r>
        <w:rPr>
          <w:rFonts w:hint="eastAsia" w:ascii="宋体" w:hAnsi="宋体" w:eastAsia="宋体" w:cs="宋体"/>
          <w:b/>
          <w:bCs/>
          <w:color w:val="auto"/>
          <w:kern w:val="2"/>
          <w:sz w:val="22"/>
          <w:szCs w:val="22"/>
          <w:highlight w:val="none"/>
          <w:lang w:val="en-US" w:eastAsia="zh-CN" w:bidi="ar-SA"/>
        </w:rPr>
        <w:t>1、</w:t>
      </w:r>
      <w:r>
        <w:rPr>
          <w:rFonts w:hint="eastAsia" w:ascii="宋体" w:hAnsi="宋体" w:cs="宋体"/>
          <w:b/>
          <w:bCs/>
          <w:color w:val="auto"/>
          <w:sz w:val="22"/>
          <w:szCs w:val="22"/>
          <w:highlight w:val="none"/>
          <w:lang w:val="en-US" w:eastAsia="zh-CN"/>
        </w:rPr>
        <w:t>道路交通车辆拖曳服务</w:t>
      </w:r>
    </w:p>
    <w:p>
      <w:pPr>
        <w:numPr>
          <w:ilvl w:val="0"/>
          <w:numId w:val="0"/>
        </w:numPr>
        <w:autoSpaceDE w:val="0"/>
        <w:autoSpaceDN w:val="0"/>
        <w:adjustRightInd w:val="0"/>
        <w:spacing w:line="460" w:lineRule="atLeast"/>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1.1、主要内容为</w:t>
      </w:r>
      <w:r>
        <w:rPr>
          <w:rFonts w:hint="eastAsia" w:ascii="宋体" w:cs="宋体"/>
          <w:b w:val="0"/>
          <w:bCs w:val="0"/>
          <w:color w:val="auto"/>
          <w:sz w:val="22"/>
          <w:szCs w:val="22"/>
          <w:highlight w:val="none"/>
          <w:lang w:val="en-US" w:eastAsia="zh-CN"/>
        </w:rPr>
        <w:t>：</w:t>
      </w:r>
      <w:r>
        <w:rPr>
          <w:rFonts w:hint="default" w:ascii="Calibri" w:hAnsi="Calibri" w:eastAsia="宋体" w:cs="Calibri"/>
          <w:b w:val="0"/>
          <w:bCs w:val="0"/>
          <w:color w:val="auto"/>
          <w:sz w:val="22"/>
          <w:szCs w:val="22"/>
          <w:highlight w:val="none"/>
          <w:lang w:val="en-US" w:eastAsia="zh-CN"/>
        </w:rPr>
        <w:t>①</w:t>
      </w:r>
      <w:r>
        <w:rPr>
          <w:rFonts w:hint="eastAsia" w:ascii="宋体" w:cs="宋体"/>
          <w:b w:val="0"/>
          <w:bCs w:val="0"/>
          <w:color w:val="auto"/>
          <w:sz w:val="22"/>
          <w:szCs w:val="22"/>
          <w:highlight w:val="none"/>
          <w:lang w:val="en-US" w:eastAsia="zh-CN"/>
        </w:rPr>
        <w:t>因交通事故、交通违法扣押的涉案车辆的拖移（移至）及保管；</w:t>
      </w:r>
      <w:r>
        <w:rPr>
          <w:rFonts w:hint="default" w:ascii="Calibri" w:hAnsi="Calibri" w:cs="Calibri"/>
          <w:b w:val="0"/>
          <w:bCs w:val="0"/>
          <w:color w:val="auto"/>
          <w:sz w:val="22"/>
          <w:szCs w:val="22"/>
          <w:highlight w:val="none"/>
          <w:lang w:val="en-US" w:eastAsia="zh-CN"/>
        </w:rPr>
        <w:t>②</w:t>
      </w:r>
      <w:r>
        <w:rPr>
          <w:rFonts w:hint="eastAsia" w:ascii="宋体" w:eastAsia="宋体" w:cs="宋体"/>
          <w:b w:val="0"/>
          <w:bCs w:val="0"/>
          <w:color w:val="auto"/>
          <w:sz w:val="22"/>
          <w:szCs w:val="22"/>
          <w:highlight w:val="none"/>
          <w:lang w:val="en-US" w:eastAsia="zh-CN"/>
        </w:rPr>
        <w:t>交通事故、违法现场救援及与道路交通管理相关的车辆清障备勤服务，各类非法占道物品的清运及</w:t>
      </w:r>
      <w:r>
        <w:rPr>
          <w:rFonts w:hint="eastAsia" w:ascii="宋体" w:cs="宋体"/>
          <w:b w:val="0"/>
          <w:bCs w:val="0"/>
          <w:color w:val="auto"/>
          <w:sz w:val="22"/>
          <w:szCs w:val="22"/>
          <w:highlight w:val="none"/>
          <w:lang w:val="en-US" w:eastAsia="zh-CN"/>
        </w:rPr>
        <w:t>交通管理中非扣押清障移车服务</w:t>
      </w:r>
      <w:r>
        <w:rPr>
          <w:rFonts w:hint="eastAsia" w:ascii="宋体" w:eastAsia="宋体" w:cs="宋体"/>
          <w:b w:val="0"/>
          <w:bCs w:val="0"/>
          <w:color w:val="auto"/>
          <w:sz w:val="22"/>
          <w:szCs w:val="22"/>
          <w:highlight w:val="none"/>
          <w:lang w:val="en-US" w:eastAsia="zh-CN"/>
        </w:rPr>
        <w:t>（以下简称“清障作业”）</w:t>
      </w:r>
      <w:r>
        <w:rPr>
          <w:rFonts w:hint="eastAsia" w:ascii="宋体" w:cs="宋体"/>
          <w:b w:val="0"/>
          <w:bCs w:val="0"/>
          <w:color w:val="auto"/>
          <w:sz w:val="22"/>
          <w:szCs w:val="22"/>
          <w:highlight w:val="none"/>
          <w:lang w:val="en-US" w:eastAsia="zh-CN"/>
        </w:rPr>
        <w:t>。</w:t>
      </w:r>
    </w:p>
    <w:p>
      <w:pPr>
        <w:numPr>
          <w:ilvl w:val="0"/>
          <w:numId w:val="0"/>
        </w:numPr>
        <w:autoSpaceDE w:val="0"/>
        <w:autoSpaceDN w:val="0"/>
        <w:adjustRightInd w:val="0"/>
        <w:spacing w:line="460" w:lineRule="atLeast"/>
        <w:ind w:firstLine="442" w:firstLineChars="200"/>
        <w:rPr>
          <w:rFonts w:hint="eastAsia" w:ascii="宋体" w:eastAsia="宋体" w:cs="宋体"/>
          <w:b/>
          <w:bCs/>
          <w:color w:val="auto"/>
          <w:sz w:val="22"/>
          <w:szCs w:val="22"/>
          <w:lang w:val="en-US" w:eastAsia="zh-CN"/>
        </w:rPr>
      </w:pPr>
      <w:r>
        <w:rPr>
          <w:rFonts w:hint="eastAsia" w:ascii="宋体" w:eastAsia="宋体" w:cs="宋体"/>
          <w:b/>
          <w:bCs/>
          <w:color w:val="auto"/>
          <w:sz w:val="22"/>
          <w:szCs w:val="22"/>
          <w:highlight w:val="none"/>
          <w:lang w:val="en-US" w:eastAsia="zh-CN"/>
        </w:rPr>
        <w:t>如因相关的法律法规变动（费用由第三方支付的），</w:t>
      </w:r>
      <w:r>
        <w:rPr>
          <w:rFonts w:hint="eastAsia" w:ascii="宋体" w:eastAsia="宋体" w:cs="宋体"/>
          <w:b/>
          <w:bCs/>
          <w:color w:val="auto"/>
          <w:sz w:val="22"/>
          <w:szCs w:val="22"/>
          <w:lang w:val="en-US" w:eastAsia="zh-CN"/>
        </w:rPr>
        <w:t>采购人有权终止合同。</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1.2、技术要求：</w:t>
      </w:r>
    </w:p>
    <w:p>
      <w:pPr>
        <w:autoSpaceDE w:val="0"/>
        <w:autoSpaceDN w:val="0"/>
        <w:adjustRightInd w:val="0"/>
        <w:spacing w:line="460" w:lineRule="atLeast"/>
        <w:ind w:firstLine="442" w:firstLineChars="200"/>
        <w:rPr>
          <w:rFonts w:hint="eastAsia" w:ascii="宋体" w:eastAsia="宋体" w:cs="宋体"/>
          <w:b/>
          <w:bCs/>
          <w:color w:val="auto"/>
          <w:sz w:val="22"/>
          <w:szCs w:val="22"/>
          <w:lang w:val="en-US" w:eastAsia="zh-CN"/>
        </w:rPr>
      </w:pPr>
      <w:r>
        <w:rPr>
          <w:rFonts w:hint="eastAsia" w:ascii="宋体" w:eastAsia="宋体" w:cs="宋体"/>
          <w:b/>
          <w:bCs/>
          <w:color w:val="auto"/>
          <w:sz w:val="22"/>
          <w:szCs w:val="22"/>
          <w:lang w:val="en-US" w:eastAsia="zh-CN"/>
        </w:rPr>
        <w:t>1.2.1.车辆数量要求</w:t>
      </w:r>
      <w:r>
        <w:rPr>
          <w:rFonts w:hint="eastAsia" w:ascii="宋体" w:cs="宋体"/>
          <w:b/>
          <w:bCs/>
          <w:color w:val="auto"/>
          <w:sz w:val="22"/>
          <w:szCs w:val="22"/>
          <w:lang w:val="en-US" w:eastAsia="zh-CN"/>
        </w:rPr>
        <w:t>：</w:t>
      </w:r>
    </w:p>
    <w:p>
      <w:pPr>
        <w:autoSpaceDE w:val="0"/>
        <w:autoSpaceDN w:val="0"/>
        <w:adjustRightInd w:val="0"/>
        <w:spacing w:line="460" w:lineRule="atLeast"/>
        <w:ind w:firstLine="660" w:firstLineChars="300"/>
        <w:rPr>
          <w:rFonts w:hint="eastAsia" w:ascii="宋体" w:eastAsia="宋体" w:cs="宋体"/>
          <w:b w:val="0"/>
          <w:bCs w:val="0"/>
          <w:color w:val="auto"/>
          <w:sz w:val="22"/>
          <w:szCs w:val="22"/>
          <w:lang w:val="en-US" w:eastAsia="zh-CN"/>
        </w:rPr>
      </w:pPr>
      <w:r>
        <w:rPr>
          <w:rFonts w:hint="eastAsia" w:ascii="宋体" w:cs="宋体"/>
          <w:b w:val="0"/>
          <w:bCs w:val="0"/>
          <w:color w:val="auto"/>
          <w:sz w:val="22"/>
          <w:szCs w:val="22"/>
          <w:lang w:val="en-US" w:eastAsia="zh-CN"/>
        </w:rPr>
        <w:t>投标供应商</w:t>
      </w:r>
      <w:r>
        <w:rPr>
          <w:rFonts w:hint="eastAsia" w:ascii="宋体" w:eastAsia="宋体" w:cs="宋体"/>
          <w:b w:val="0"/>
          <w:bCs w:val="0"/>
          <w:color w:val="auto"/>
          <w:sz w:val="22"/>
          <w:szCs w:val="22"/>
          <w:lang w:val="en-US" w:eastAsia="zh-CN"/>
        </w:rPr>
        <w:t>为本项目投入专业拖车设备不少于6辆</w:t>
      </w:r>
      <w:r>
        <w:rPr>
          <w:rFonts w:hint="eastAsia" w:ascii="宋体" w:eastAsia="宋体" w:cs="宋体"/>
          <w:b w:val="0"/>
          <w:bCs w:val="0"/>
          <w:color w:val="auto"/>
          <w:sz w:val="22"/>
          <w:szCs w:val="22"/>
          <w:lang w:val="en-US" w:eastAsia="zh-CN"/>
        </w:rPr>
        <w:t>，重型1辆、中型专项作业车(一拖二平板车)1辆</w:t>
      </w:r>
      <w:r>
        <w:rPr>
          <w:rFonts w:hint="eastAsia" w:ascii="宋体" w:eastAsia="宋体" w:cs="宋体"/>
          <w:b w:val="0"/>
          <w:bCs w:val="0"/>
          <w:color w:val="auto"/>
          <w:sz w:val="22"/>
          <w:szCs w:val="22"/>
          <w:lang w:val="en-US" w:eastAsia="zh-CN"/>
        </w:rPr>
        <w:t>、中型专项作业车（自动拖）不少于2辆</w:t>
      </w:r>
      <w:r>
        <w:rPr>
          <w:rFonts w:hint="eastAsia" w:ascii="宋体" w:eastAsia="宋体" w:cs="宋体"/>
          <w:b w:val="0"/>
          <w:bCs w:val="0"/>
          <w:color w:val="auto"/>
          <w:sz w:val="22"/>
          <w:szCs w:val="22"/>
          <w:lang w:val="en-US" w:eastAsia="zh-CN"/>
        </w:rPr>
        <w:t>、轻型普通拖车不少于（含）2辆</w:t>
      </w:r>
      <w:r>
        <w:rPr>
          <w:rFonts w:hint="eastAsia" w:ascii="宋体" w:eastAsia="宋体" w:cs="宋体"/>
          <w:b w:val="0"/>
          <w:bCs w:val="0"/>
          <w:color w:val="auto"/>
          <w:sz w:val="22"/>
          <w:szCs w:val="22"/>
          <w:lang w:val="en-US" w:eastAsia="zh-CN"/>
        </w:rPr>
        <w:t>。满足采购人日常交通管理需求，所需油费、维修费、保养费由投标人自行承担，费用包括在本次投标报价中。</w:t>
      </w:r>
    </w:p>
    <w:p>
      <w:pPr>
        <w:autoSpaceDE w:val="0"/>
        <w:autoSpaceDN w:val="0"/>
        <w:adjustRightInd w:val="0"/>
        <w:spacing w:line="460" w:lineRule="atLeast"/>
        <w:ind w:firstLine="660" w:firstLineChars="3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以上车辆数量要求仅为中标供应商提供服务的最低要求，在实际工作中如清障作业需要车辆超出上述要求，中标供应商应当满足。其中轻型专项作业车（自动拖）、轻型普通拖车可以承诺在中标后30天内购置，其它车辆可以租赁合作也可以承诺成交后30天内购置，</w:t>
      </w:r>
      <w:r>
        <w:rPr>
          <w:rFonts w:hint="eastAsia" w:ascii="宋体" w:eastAsia="宋体" w:cs="宋体"/>
          <w:b/>
          <w:bCs/>
          <w:color w:val="auto"/>
          <w:sz w:val="22"/>
          <w:szCs w:val="22"/>
          <w:lang w:val="en-US" w:eastAsia="zh-CN"/>
        </w:rPr>
        <w:t>在报价时提供至少半年的租赁合作合同或30天内购置承诺函</w:t>
      </w:r>
      <w:r>
        <w:rPr>
          <w:rFonts w:hint="eastAsia" w:ascii="宋体" w:eastAsia="宋体" w:cs="宋体"/>
          <w:b w:val="0"/>
          <w:bCs w:val="0"/>
          <w:color w:val="auto"/>
          <w:sz w:val="22"/>
          <w:szCs w:val="22"/>
          <w:lang w:val="en-US" w:eastAsia="zh-CN"/>
        </w:rPr>
        <w:t>。</w:t>
      </w:r>
    </w:p>
    <w:p>
      <w:pPr>
        <w:autoSpaceDE w:val="0"/>
        <w:autoSpaceDN w:val="0"/>
        <w:adjustRightInd w:val="0"/>
        <w:spacing w:line="460" w:lineRule="atLeast"/>
        <w:ind w:firstLine="442" w:firstLineChars="200"/>
        <w:rPr>
          <w:rFonts w:hint="eastAsia" w:ascii="宋体" w:eastAsia="宋体" w:cs="宋体"/>
          <w:b/>
          <w:bCs/>
          <w:color w:val="auto"/>
          <w:sz w:val="22"/>
          <w:szCs w:val="22"/>
          <w:lang w:val="en-US" w:eastAsia="zh-CN"/>
        </w:rPr>
      </w:pPr>
      <w:r>
        <w:rPr>
          <w:rFonts w:hint="eastAsia" w:ascii="宋体" w:eastAsia="宋体" w:cs="宋体"/>
          <w:b/>
          <w:bCs/>
          <w:color w:val="auto"/>
          <w:sz w:val="22"/>
          <w:szCs w:val="22"/>
          <w:lang w:val="en-US" w:eastAsia="zh-CN"/>
        </w:rPr>
        <w:t>1.2.2.车辆状况要求：</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1）所投入的车辆必须具有有效的证照及年检合格单，不得提供报废、非法车辆参与清障作业，保证车况良好并配备足够、完好的交通清障辅助设备（包括枕木、警示筒、警示带、反光标志、拖车辅助轮、千斤顶、具有夜间拍摄和摄录功能的相机等）及通讯工具,并且车辆须为不受交通管制的车辆类型及号牌。大中型专项作业车（含）以上车型还需增配消防器材、破拆工具等设备，以确保清障能力与通信畅通。</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（2）中标供应商提供的车辆必须购买相应的保险，除交强险外，还应购买第三者责任险，且保险理赔时限在本项目服务期限内持续有效。</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（3）到达现场清障作业的车辆必须能够承担并完成采购人指定的清障任务。</w:t>
      </w:r>
      <w:r>
        <w:rPr>
          <w:rFonts w:hint="eastAsia" w:ascii="宋体" w:cs="宋体"/>
          <w:b w:val="0"/>
          <w:bCs w:val="0"/>
          <w:color w:val="auto"/>
          <w:sz w:val="22"/>
          <w:szCs w:val="22"/>
          <w:lang w:val="en-US" w:eastAsia="zh-CN"/>
        </w:rPr>
        <w:t>服务</w:t>
      </w:r>
      <w:r>
        <w:rPr>
          <w:rFonts w:hint="eastAsia" w:ascii="宋体" w:eastAsia="宋体" w:cs="宋体"/>
          <w:b w:val="0"/>
          <w:bCs w:val="0"/>
          <w:color w:val="auto"/>
          <w:sz w:val="22"/>
          <w:szCs w:val="22"/>
          <w:lang w:val="en-US" w:eastAsia="zh-CN"/>
        </w:rPr>
        <w:t>范围内，应尽量使用中型（或轻型）车辆拖曳，减少对</w:t>
      </w:r>
      <w:r>
        <w:rPr>
          <w:rFonts w:hint="eastAsia" w:ascii="宋体" w:cs="宋体"/>
          <w:b w:val="0"/>
          <w:bCs w:val="0"/>
          <w:color w:val="auto"/>
          <w:sz w:val="22"/>
          <w:szCs w:val="22"/>
          <w:lang w:val="en-US" w:eastAsia="zh-CN"/>
        </w:rPr>
        <w:t>县内</w:t>
      </w:r>
      <w:r>
        <w:rPr>
          <w:rFonts w:hint="eastAsia" w:ascii="宋体" w:eastAsia="宋体" w:cs="宋体"/>
          <w:b w:val="0"/>
          <w:bCs w:val="0"/>
          <w:color w:val="auto"/>
          <w:sz w:val="22"/>
          <w:szCs w:val="22"/>
          <w:lang w:val="en-US" w:eastAsia="zh-CN"/>
        </w:rPr>
        <w:t>交通的影响。</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cs="宋体"/>
          <w:b w:val="0"/>
          <w:bCs w:val="0"/>
          <w:color w:val="auto"/>
          <w:sz w:val="22"/>
          <w:szCs w:val="22"/>
          <w:lang w:val="en-US" w:eastAsia="zh-CN"/>
        </w:rPr>
        <w:t>（4）</w:t>
      </w:r>
      <w:r>
        <w:rPr>
          <w:rFonts w:hint="eastAsia" w:ascii="宋体" w:eastAsia="宋体" w:cs="宋体"/>
          <w:b w:val="0"/>
          <w:bCs w:val="0"/>
          <w:color w:val="auto"/>
          <w:sz w:val="22"/>
          <w:szCs w:val="22"/>
          <w:lang w:val="en-US" w:eastAsia="zh-CN"/>
        </w:rPr>
        <w:t>中标供应商须配合采购人涉案财物管理要求，并按采购人规定管理。</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w:t>
      </w:r>
      <w:r>
        <w:rPr>
          <w:rFonts w:hint="eastAsia" w:ascii="宋体" w:cs="宋体"/>
          <w:b w:val="0"/>
          <w:bCs w:val="0"/>
          <w:color w:val="auto"/>
          <w:sz w:val="22"/>
          <w:szCs w:val="22"/>
          <w:lang w:val="en-US" w:eastAsia="zh-CN"/>
        </w:rPr>
        <w:t>5</w:t>
      </w:r>
      <w:r>
        <w:rPr>
          <w:rFonts w:hint="eastAsia" w:ascii="宋体" w:eastAsia="宋体" w:cs="宋体"/>
          <w:b w:val="0"/>
          <w:bCs w:val="0"/>
          <w:color w:val="auto"/>
          <w:sz w:val="22"/>
          <w:szCs w:val="22"/>
          <w:lang w:val="en-US" w:eastAsia="zh-CN"/>
        </w:rPr>
        <w:t>）所投入车辆在执行任务时必须统一标识，统一喷涂中标供应商单位名称及投诉电话，必须达到相关的安全技术要求，相关费用由中标供应商负责。</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w:t>
      </w:r>
      <w:r>
        <w:rPr>
          <w:rFonts w:hint="eastAsia" w:ascii="宋体" w:cs="宋体"/>
          <w:b w:val="0"/>
          <w:bCs w:val="0"/>
          <w:color w:val="auto"/>
          <w:sz w:val="22"/>
          <w:szCs w:val="22"/>
          <w:lang w:val="en-US" w:eastAsia="zh-CN"/>
        </w:rPr>
        <w:t>6</w:t>
      </w:r>
      <w:r>
        <w:rPr>
          <w:rFonts w:hint="eastAsia" w:ascii="宋体" w:eastAsia="宋体" w:cs="宋体"/>
          <w:b w:val="0"/>
          <w:bCs w:val="0"/>
          <w:color w:val="auto"/>
          <w:sz w:val="22"/>
          <w:szCs w:val="22"/>
          <w:lang w:val="en-US" w:eastAsia="zh-CN"/>
        </w:rPr>
        <w:t>）服务期内，中标供应商投入的车辆必须在有效期内，对提供服务的车辆进行维修保养、年检等，在原服务车辆不能按时到场服务的情况下，中标供应商须提供同车型、同吨位的备用车辆（具有合格、完备证照）替代服务。</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w:t>
      </w:r>
      <w:r>
        <w:rPr>
          <w:rFonts w:hint="eastAsia" w:ascii="宋体" w:cs="宋体"/>
          <w:b w:val="0"/>
          <w:bCs w:val="0"/>
          <w:color w:val="auto"/>
          <w:sz w:val="22"/>
          <w:szCs w:val="22"/>
          <w:lang w:val="en-US" w:eastAsia="zh-CN"/>
        </w:rPr>
        <w:t>7</w:t>
      </w:r>
      <w:r>
        <w:rPr>
          <w:rFonts w:hint="eastAsia" w:ascii="宋体" w:eastAsia="宋体" w:cs="宋体"/>
          <w:b w:val="0"/>
          <w:bCs w:val="0"/>
          <w:color w:val="auto"/>
          <w:sz w:val="22"/>
          <w:szCs w:val="22"/>
          <w:lang w:val="en-US" w:eastAsia="zh-CN"/>
        </w:rPr>
        <w:t>）到达现场清障作业的车辆必须能够承担并完成采购人指定的清障任务。</w:t>
      </w:r>
    </w:p>
    <w:p>
      <w:pPr>
        <w:autoSpaceDE w:val="0"/>
        <w:autoSpaceDN w:val="0"/>
        <w:adjustRightInd w:val="0"/>
        <w:spacing w:line="460" w:lineRule="atLeast"/>
        <w:ind w:firstLine="442" w:firstLineChars="200"/>
        <w:rPr>
          <w:rFonts w:hint="eastAsia" w:ascii="宋体" w:eastAsia="宋体" w:cs="宋体"/>
          <w:b/>
          <w:bCs/>
          <w:color w:val="auto"/>
          <w:sz w:val="22"/>
          <w:szCs w:val="22"/>
          <w:lang w:val="en-US" w:eastAsia="zh-CN"/>
        </w:rPr>
      </w:pPr>
      <w:r>
        <w:rPr>
          <w:rFonts w:hint="eastAsia" w:ascii="宋体" w:eastAsia="宋体" w:cs="宋体"/>
          <w:b/>
          <w:bCs/>
          <w:color w:val="auto"/>
          <w:sz w:val="22"/>
          <w:szCs w:val="22"/>
          <w:lang w:val="en-US" w:eastAsia="zh-CN"/>
        </w:rPr>
        <w:t>1.2.3.清障作业人员要求：</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（1）</w:t>
      </w:r>
      <w:r>
        <w:rPr>
          <w:rFonts w:hint="eastAsia" w:ascii="宋体" w:cs="宋体"/>
          <w:b w:val="0"/>
          <w:bCs w:val="0"/>
          <w:color w:val="auto"/>
          <w:sz w:val="22"/>
          <w:szCs w:val="22"/>
          <w:lang w:val="en-US" w:eastAsia="zh-CN"/>
        </w:rPr>
        <w:t>项目负责人：</w:t>
      </w:r>
      <w:r>
        <w:rPr>
          <w:rFonts w:hint="eastAsia" w:ascii="宋体" w:eastAsia="宋体" w:cs="宋体"/>
          <w:b w:val="0"/>
          <w:bCs w:val="0"/>
          <w:color w:val="auto"/>
          <w:sz w:val="22"/>
          <w:szCs w:val="22"/>
          <w:lang w:val="en-US" w:eastAsia="zh-CN"/>
        </w:rPr>
        <w:t>具有一定的管理能力和管理经验</w:t>
      </w:r>
      <w:r>
        <w:rPr>
          <w:rFonts w:hint="eastAsia" w:ascii="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具有大专以上学历</w:t>
      </w:r>
      <w:r>
        <w:rPr>
          <w:rFonts w:hint="eastAsia" w:ascii="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思想端正，作风正派，工作责任心强，有良好的职业道德及语言表达能力</w:t>
      </w:r>
      <w:r>
        <w:rPr>
          <w:rFonts w:hint="eastAsia" w:ascii="宋体" w:cs="宋体"/>
          <w:b w:val="0"/>
          <w:bCs w:val="0"/>
          <w:color w:val="auto"/>
          <w:sz w:val="22"/>
          <w:szCs w:val="22"/>
          <w:lang w:val="en-US" w:eastAsia="zh-CN"/>
        </w:rPr>
        <w:t>；</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cs="宋体"/>
          <w:b w:val="0"/>
          <w:bCs w:val="0"/>
          <w:color w:val="auto"/>
          <w:sz w:val="22"/>
          <w:szCs w:val="22"/>
          <w:lang w:val="en-US" w:eastAsia="zh-CN"/>
        </w:rPr>
        <w:t>（2）</w:t>
      </w:r>
      <w:r>
        <w:rPr>
          <w:rFonts w:hint="eastAsia" w:ascii="宋体" w:eastAsia="宋体" w:cs="宋体"/>
          <w:b w:val="0"/>
          <w:bCs w:val="0"/>
          <w:color w:val="auto"/>
          <w:sz w:val="22"/>
          <w:szCs w:val="22"/>
          <w:lang w:val="en-US" w:eastAsia="zh-CN"/>
        </w:rPr>
        <w:t>车辆驾驶人员及操作人员：在服务期限内，车辆驾驶人员具有有效相符的驾驶证</w:t>
      </w:r>
      <w:r>
        <w:rPr>
          <w:rFonts w:hint="eastAsia" w:ascii="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操作人员具有有效相符的操作证</w:t>
      </w:r>
      <w:r>
        <w:rPr>
          <w:rFonts w:hint="eastAsia" w:ascii="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中标后</w:t>
      </w:r>
      <w:r>
        <w:rPr>
          <w:rFonts w:hint="eastAsia" w:ascii="宋体" w:cs="宋体"/>
          <w:b w:val="0"/>
          <w:bCs w:val="0"/>
          <w:color w:val="auto"/>
          <w:sz w:val="22"/>
          <w:szCs w:val="22"/>
          <w:lang w:val="en-US" w:eastAsia="zh-CN"/>
        </w:rPr>
        <w:t>须</w:t>
      </w:r>
      <w:r>
        <w:rPr>
          <w:rFonts w:hint="eastAsia" w:ascii="宋体" w:eastAsia="宋体" w:cs="宋体"/>
          <w:b w:val="0"/>
          <w:bCs w:val="0"/>
          <w:color w:val="auto"/>
          <w:sz w:val="22"/>
          <w:szCs w:val="22"/>
          <w:lang w:val="en-US" w:eastAsia="zh-CN"/>
        </w:rPr>
        <w:t>将相关人员名单提供给采购人，车辆驾驶人员和操作人员的数量需满足投标人投入专业拖车设备数量，经采购人审核、备案后，方可上岗</w:t>
      </w:r>
      <w:r>
        <w:rPr>
          <w:rFonts w:hint="eastAsia" w:ascii="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无器质性心脏病、癫痫病、美尼尔氏症、眩晕症、癔病、震颤麻痹、精神病、痴呆以及影响肢体活动的神经系统疾病等妨碍安全驾驶疾病</w:t>
      </w:r>
      <w:r>
        <w:rPr>
          <w:rFonts w:hint="eastAsia" w:ascii="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近三年内无满分记录、无酒驾（毒驾）记录，未发生致人死亡或者重大以上的交通事故责任记录</w:t>
      </w:r>
      <w:r>
        <w:rPr>
          <w:rFonts w:hint="eastAsia" w:ascii="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作业时须统一着装，佩戴相应的工作证件，配备必要的劳动及安全防护设施，按规范流程操作，同时必须听从交警的指挥</w:t>
      </w:r>
      <w:r>
        <w:rPr>
          <w:rFonts w:hint="eastAsia" w:ascii="宋体" w:cs="宋体"/>
          <w:b w:val="0"/>
          <w:bCs w:val="0"/>
          <w:color w:val="auto"/>
          <w:sz w:val="22"/>
          <w:szCs w:val="22"/>
          <w:lang w:val="en-US" w:eastAsia="zh-CN"/>
        </w:rPr>
        <w:t>；</w:t>
      </w:r>
    </w:p>
    <w:p>
      <w:pPr>
        <w:autoSpaceDE w:val="0"/>
        <w:autoSpaceDN w:val="0"/>
        <w:adjustRightInd w:val="0"/>
        <w:spacing w:line="460" w:lineRule="atLeast"/>
        <w:ind w:firstLine="440" w:firstLineChars="200"/>
        <w:rPr>
          <w:rFonts w:hint="eastAsia" w:ascii="宋体" w:cs="宋体"/>
          <w:b w:val="0"/>
          <w:bCs w:val="0"/>
          <w:color w:val="auto"/>
          <w:sz w:val="22"/>
          <w:szCs w:val="22"/>
          <w:highlight w:val="none"/>
          <w:lang w:val="en-US" w:eastAsia="zh-CN"/>
        </w:rPr>
      </w:pPr>
      <w:r>
        <w:rPr>
          <w:rFonts w:hint="eastAsia" w:ascii="宋体" w:cs="宋体"/>
          <w:b w:val="0"/>
          <w:bCs w:val="0"/>
          <w:color w:val="auto"/>
          <w:sz w:val="22"/>
          <w:szCs w:val="22"/>
          <w:lang w:val="en-US" w:eastAsia="zh-CN"/>
        </w:rPr>
        <w:t>（3）</w:t>
      </w:r>
      <w:r>
        <w:rPr>
          <w:rFonts w:hint="eastAsia" w:ascii="宋体" w:eastAsia="宋体" w:cs="宋体"/>
          <w:b w:val="0"/>
          <w:bCs w:val="0"/>
          <w:color w:val="auto"/>
          <w:sz w:val="22"/>
          <w:szCs w:val="22"/>
          <w:lang w:val="en-US" w:eastAsia="zh-CN"/>
        </w:rPr>
        <w:t>车辆保管人员</w:t>
      </w:r>
      <w:r>
        <w:rPr>
          <w:rFonts w:hint="eastAsia" w:ascii="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身体健壮，身心健康，政治可靠，无不良行为记录，能够承担工作任务</w:t>
      </w:r>
      <w:r>
        <w:rPr>
          <w:rFonts w:hint="eastAsia" w:ascii="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年龄在60周岁以内</w:t>
      </w:r>
      <w:r>
        <w:rPr>
          <w:rFonts w:hint="eastAsia" w:ascii="宋体" w:cs="宋体"/>
          <w:b w:val="0"/>
          <w:bCs w:val="0"/>
          <w:color w:val="auto"/>
          <w:sz w:val="22"/>
          <w:szCs w:val="22"/>
          <w:lang w:val="en-US" w:eastAsia="zh-CN"/>
        </w:rPr>
        <w:t>；</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lang w:val="en-US" w:eastAsia="zh-CN"/>
        </w:rPr>
        <w:t>（4）</w:t>
      </w:r>
      <w:r>
        <w:rPr>
          <w:rFonts w:hint="eastAsia" w:ascii="宋体" w:eastAsia="宋体" w:cs="宋体"/>
          <w:b w:val="0"/>
          <w:bCs w:val="0"/>
          <w:color w:val="auto"/>
          <w:sz w:val="22"/>
          <w:szCs w:val="22"/>
          <w:highlight w:val="none"/>
          <w:lang w:val="en-US" w:eastAsia="zh-CN"/>
        </w:rPr>
        <w:t>人数要求：每个停车场须配备车辆保管人员不少于2人</w:t>
      </w:r>
      <w:r>
        <w:rPr>
          <w:rFonts w:hint="eastAsia" w:ascii="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val="en-US" w:eastAsia="zh-CN"/>
        </w:rPr>
        <w:t>熟悉业务流程，熟练电脑操作，及车辆管理系统操作</w:t>
      </w:r>
      <w:r>
        <w:rPr>
          <w:rFonts w:hint="eastAsia" w:ascii="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val="en-US" w:eastAsia="zh-CN"/>
        </w:rPr>
        <w:t>停车场内需24小时值守，具体人员由供应商自行安排。</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lang w:val="en-US" w:eastAsia="zh-CN"/>
        </w:rPr>
        <w:t>（5）中标</w:t>
      </w:r>
      <w:r>
        <w:rPr>
          <w:rFonts w:hint="eastAsia" w:ascii="宋体" w:eastAsia="宋体" w:cs="宋体"/>
          <w:b w:val="0"/>
          <w:bCs w:val="0"/>
          <w:color w:val="auto"/>
          <w:sz w:val="22"/>
          <w:szCs w:val="22"/>
          <w:highlight w:val="none"/>
          <w:lang w:val="en-US" w:eastAsia="zh-CN"/>
        </w:rPr>
        <w:t>供应商应加强作业人员交通清障操作技能的培训。实施清障作业的每辆车，应配备1至2名熟悉业务的作业人员，保证交通清障顺利完成。清障作业人员必须统一着装，按规范流程操作，同时必须听从交警的指挥</w:t>
      </w:r>
      <w:r>
        <w:rPr>
          <w:rFonts w:hint="eastAsia" w:ascii="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val="en-US" w:eastAsia="zh-CN"/>
        </w:rPr>
        <w:t>人员</w:t>
      </w:r>
      <w:r>
        <w:rPr>
          <w:rFonts w:hint="eastAsia" w:ascii="宋体" w:cs="宋体"/>
          <w:b w:val="0"/>
          <w:bCs w:val="0"/>
          <w:color w:val="auto"/>
          <w:sz w:val="22"/>
          <w:szCs w:val="22"/>
          <w:highlight w:val="none"/>
          <w:lang w:val="en-US" w:eastAsia="zh-CN"/>
        </w:rPr>
        <w:t>名单</w:t>
      </w:r>
      <w:r>
        <w:rPr>
          <w:rFonts w:hint="eastAsia" w:ascii="宋体" w:eastAsia="宋体" w:cs="宋体"/>
          <w:b w:val="0"/>
          <w:bCs w:val="0"/>
          <w:color w:val="auto"/>
          <w:sz w:val="22"/>
          <w:szCs w:val="22"/>
          <w:highlight w:val="none"/>
          <w:lang w:val="en-US" w:eastAsia="zh-CN"/>
        </w:rPr>
        <w:t>应报采购人备案。</w:t>
      </w:r>
    </w:p>
    <w:p>
      <w:pPr>
        <w:autoSpaceDE w:val="0"/>
        <w:autoSpaceDN w:val="0"/>
        <w:adjustRightInd w:val="0"/>
        <w:spacing w:line="460" w:lineRule="atLeast"/>
        <w:ind w:firstLine="442" w:firstLineChars="200"/>
        <w:rPr>
          <w:rFonts w:hint="eastAsia" w:ascii="宋体" w:eastAsia="宋体" w:cs="宋体"/>
          <w:b/>
          <w:bCs/>
          <w:color w:val="auto"/>
          <w:sz w:val="22"/>
          <w:szCs w:val="22"/>
          <w:highlight w:val="none"/>
          <w:lang w:val="en-US" w:eastAsia="zh-CN"/>
        </w:rPr>
      </w:pPr>
      <w:r>
        <w:rPr>
          <w:rFonts w:hint="eastAsia" w:ascii="宋体" w:eastAsia="宋体" w:cs="宋体"/>
          <w:b/>
          <w:bCs/>
          <w:color w:val="auto"/>
          <w:sz w:val="22"/>
          <w:szCs w:val="22"/>
          <w:highlight w:val="none"/>
          <w:lang w:val="en-US" w:eastAsia="zh-CN"/>
        </w:rPr>
        <w:t>1</w:t>
      </w:r>
      <w:r>
        <w:rPr>
          <w:rFonts w:hint="eastAsia" w:ascii="宋体" w:eastAsia="宋体" w:cs="宋体"/>
          <w:b/>
          <w:bCs/>
          <w:color w:val="auto"/>
          <w:sz w:val="22"/>
          <w:szCs w:val="22"/>
          <w:highlight w:val="none"/>
          <w:lang w:val="en-US" w:eastAsia="zh-CN"/>
        </w:rPr>
        <w:t>.2.4.服务时间要求：</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中标供应商提供全天24小时的各类清障作业。中标供应商接到采购人发出的清障指令起计，在30分钟内到达现场提供服务。</w:t>
      </w:r>
    </w:p>
    <w:p>
      <w:pPr>
        <w:autoSpaceDE w:val="0"/>
        <w:autoSpaceDN w:val="0"/>
        <w:adjustRightInd w:val="0"/>
        <w:spacing w:line="460" w:lineRule="atLeast"/>
        <w:ind w:firstLine="442" w:firstLineChars="200"/>
        <w:rPr>
          <w:rFonts w:hint="eastAsia" w:ascii="宋体" w:eastAsia="宋体" w:cs="宋体"/>
          <w:b/>
          <w:bCs/>
          <w:color w:val="auto"/>
          <w:sz w:val="22"/>
          <w:szCs w:val="22"/>
          <w:highlight w:val="none"/>
          <w:lang w:val="en-US" w:eastAsia="zh-CN"/>
        </w:rPr>
      </w:pPr>
      <w:r>
        <w:rPr>
          <w:rFonts w:hint="eastAsia" w:ascii="宋体" w:eastAsia="宋体" w:cs="宋体"/>
          <w:b/>
          <w:bCs/>
          <w:color w:val="auto"/>
          <w:sz w:val="22"/>
          <w:szCs w:val="22"/>
          <w:highlight w:val="none"/>
          <w:lang w:val="en-US" w:eastAsia="zh-CN"/>
        </w:rPr>
        <w:t>1.2.5.定点配套要求：</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highlight w:val="none"/>
          <w:lang w:val="en-US" w:eastAsia="zh-CN"/>
        </w:rPr>
        <w:t>投标供应商须在永嘉县上塘、瓯北、岩头、沙头、乌牛、桥头、桥下、黄田等八个</w:t>
      </w:r>
      <w:r>
        <w:rPr>
          <w:rFonts w:hint="eastAsia" w:ascii="宋体" w:eastAsia="宋体" w:cs="宋体"/>
          <w:b w:val="0"/>
          <w:bCs w:val="0"/>
          <w:color w:val="auto"/>
          <w:sz w:val="22"/>
          <w:szCs w:val="22"/>
          <w:highlight w:val="none"/>
          <w:lang w:val="en-US" w:eastAsia="zh-CN"/>
        </w:rPr>
        <w:t>乡镇(街道)设置不少于8处（含）停车场所，且能满足采购人日常停放车辆需求。如暂时未在永嘉县本地设置</w:t>
      </w:r>
      <w:r>
        <w:rPr>
          <w:rFonts w:hint="eastAsia" w:ascii="宋体" w:eastAsia="宋体" w:cs="宋体"/>
          <w:b w:val="0"/>
          <w:bCs w:val="0"/>
          <w:color w:val="auto"/>
          <w:sz w:val="22"/>
          <w:szCs w:val="22"/>
          <w:lang w:val="en-US" w:eastAsia="zh-CN"/>
        </w:rPr>
        <w:t>停车场所的，须在中标后7天内办理完毕，如不能及时设置或设置不合格的将取消其中标资格。</w:t>
      </w:r>
    </w:p>
    <w:p>
      <w:pPr>
        <w:autoSpaceDE w:val="0"/>
        <w:autoSpaceDN w:val="0"/>
        <w:adjustRightInd w:val="0"/>
        <w:spacing w:line="460" w:lineRule="atLeast"/>
        <w:ind w:firstLine="442" w:firstLineChars="200"/>
        <w:rPr>
          <w:rFonts w:hint="eastAsia" w:ascii="宋体" w:eastAsia="宋体" w:cs="宋体"/>
          <w:b/>
          <w:bCs/>
          <w:color w:val="auto"/>
          <w:sz w:val="22"/>
          <w:szCs w:val="22"/>
          <w:highlight w:val="none"/>
          <w:lang w:val="en-US" w:eastAsia="zh-CN"/>
        </w:rPr>
      </w:pPr>
      <w:r>
        <w:rPr>
          <w:rFonts w:hint="eastAsia" w:ascii="宋体" w:eastAsia="宋体" w:cs="宋体"/>
          <w:b/>
          <w:bCs/>
          <w:color w:val="auto"/>
          <w:sz w:val="22"/>
          <w:szCs w:val="22"/>
          <w:highlight w:val="none"/>
          <w:lang w:val="en-US" w:eastAsia="zh-CN"/>
        </w:rPr>
        <w:t>1.2.6.现场作业要求</w:t>
      </w:r>
      <w:r>
        <w:rPr>
          <w:rFonts w:hint="eastAsia" w:ascii="宋体" w:cs="宋体"/>
          <w:b/>
          <w:bCs/>
          <w:color w:val="auto"/>
          <w:sz w:val="22"/>
          <w:szCs w:val="22"/>
          <w:highlight w:val="none"/>
          <w:lang w:val="en-US" w:eastAsia="zh-CN"/>
        </w:rPr>
        <w:t>：</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highlight w:val="none"/>
          <w:lang w:val="en-US" w:eastAsia="zh-CN"/>
        </w:rPr>
        <w:t>（1）中标供应商应按照采购人</w:t>
      </w:r>
      <w:r>
        <w:rPr>
          <w:rFonts w:hint="eastAsia" w:ascii="宋体" w:eastAsia="宋体" w:cs="宋体"/>
          <w:b w:val="0"/>
          <w:bCs w:val="0"/>
          <w:color w:val="auto"/>
          <w:sz w:val="22"/>
          <w:szCs w:val="22"/>
          <w:lang w:val="en-US" w:eastAsia="zh-CN"/>
        </w:rPr>
        <w:t>制订的拖车作业规范实施作业，包括对被拖车辆的检查和清点、按要求填写拖车清障作业单，以及按规范流程进行作业等；</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（2）拖车作业人员应服从现场交警的指挥；</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（3）中标供应商实施拖车，必须受交警部门指挥室指令或交警现场指令。</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（4）中标供应商作业时必须严格遵守道路交通管理规定，不得因作业而影响交通、造成交通堵塞或损坏市政设施（如因作业需要违反交通管理规定的，应经现场交警同意）。</w:t>
      </w:r>
    </w:p>
    <w:p>
      <w:pPr>
        <w:autoSpaceDE w:val="0"/>
        <w:autoSpaceDN w:val="0"/>
        <w:adjustRightInd w:val="0"/>
        <w:spacing w:line="460" w:lineRule="atLeast"/>
        <w:ind w:firstLine="442" w:firstLineChars="200"/>
        <w:rPr>
          <w:rFonts w:hint="eastAsia" w:ascii="宋体" w:hAnsi="Times New Roman" w:eastAsia="宋体" w:cs="宋体"/>
          <w:b/>
          <w:bCs/>
          <w:color w:val="auto"/>
          <w:sz w:val="22"/>
          <w:szCs w:val="22"/>
          <w:lang w:val="en-US" w:eastAsia="zh-CN"/>
        </w:rPr>
      </w:pPr>
      <w:r>
        <w:rPr>
          <w:rFonts w:hint="eastAsia" w:ascii="宋体" w:hAnsi="Times New Roman" w:eastAsia="宋体" w:cs="宋体"/>
          <w:b/>
          <w:bCs/>
          <w:color w:val="auto"/>
          <w:sz w:val="22"/>
          <w:szCs w:val="22"/>
          <w:lang w:val="en-US" w:eastAsia="zh-CN"/>
        </w:rPr>
        <w:t>1.2.7.被清拖车辆物品处理要求：</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hAnsi="Times New Roman" w:eastAsia="宋体" w:cs="宋体"/>
          <w:b w:val="0"/>
          <w:bCs w:val="0"/>
          <w:color w:val="auto"/>
          <w:sz w:val="22"/>
          <w:szCs w:val="22"/>
          <w:lang w:val="en-US" w:eastAsia="zh-CN"/>
        </w:rPr>
        <w:t>中标供应商应按照采购人规定的程</w:t>
      </w:r>
      <w:r>
        <w:rPr>
          <w:rFonts w:hint="eastAsia" w:ascii="宋体" w:eastAsia="宋体" w:cs="宋体"/>
          <w:b w:val="0"/>
          <w:bCs w:val="0"/>
          <w:color w:val="auto"/>
          <w:sz w:val="22"/>
          <w:szCs w:val="22"/>
          <w:lang w:val="en-US" w:eastAsia="zh-CN"/>
        </w:rPr>
        <w:t>序及规范处置被拖车辆的随车物品，未经采购人或当事人同意，中标供应商不得进入被拖车辆的车辆内部。</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lang w:val="en-US" w:eastAsia="zh-CN"/>
        </w:rPr>
        <w:t>1.2.</w:t>
      </w:r>
      <w:r>
        <w:rPr>
          <w:rFonts w:hint="eastAsia" w:ascii="宋体" w:eastAsia="宋体" w:cs="宋体"/>
          <w:b w:val="0"/>
          <w:bCs w:val="0"/>
          <w:color w:val="auto"/>
          <w:sz w:val="22"/>
          <w:szCs w:val="22"/>
          <w:highlight w:val="none"/>
          <w:lang w:val="en-US" w:eastAsia="zh-CN"/>
        </w:rPr>
        <w:t>8.中标供应商应按照要求将车辆拖至采购人指定的停车场地，因中标供应商违反拖车作业规范和被清拖车辆物品处理要求的，导致车辆（含随车物品）损坏或遗失的，其法律、经济责任由中标供应商承担。</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1.2.9.如现场民警要求将涉案货车拖移至称重点或治超点进行称重的，中标供应商应予以满足，并在完成称重后，再将车辆拖移至指定的停车场</w:t>
      </w:r>
      <w:r>
        <w:rPr>
          <w:rFonts w:hint="eastAsia" w:ascii="宋体" w:cs="宋体"/>
          <w:b w:val="0"/>
          <w:bCs w:val="0"/>
          <w:color w:val="auto"/>
          <w:sz w:val="22"/>
          <w:szCs w:val="22"/>
          <w:highlight w:val="none"/>
          <w:lang w:val="en-US" w:eastAsia="zh-CN"/>
        </w:rPr>
        <w:t>；中标供应商不得向第三方收取任何的拖车费用</w:t>
      </w:r>
      <w:r>
        <w:rPr>
          <w:rFonts w:hint="eastAsia" w:ascii="宋体" w:eastAsia="宋体" w:cs="宋体"/>
          <w:b w:val="0"/>
          <w:bCs w:val="0"/>
          <w:color w:val="auto"/>
          <w:sz w:val="22"/>
          <w:szCs w:val="22"/>
          <w:highlight w:val="none"/>
          <w:lang w:val="en-US" w:eastAsia="zh-CN"/>
        </w:rPr>
        <w:t>。</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1.2.10.中标供应商应对“清障作业”所拖车辆、物品数据进行分类登记，并定期向采购人报备。</w:t>
      </w:r>
    </w:p>
    <w:p>
      <w:pPr>
        <w:keepNext w:val="0"/>
        <w:keepLines w:val="0"/>
        <w:pageBreakBefore w:val="0"/>
        <w:widowControl w:val="0"/>
        <w:kinsoku/>
        <w:wordWrap/>
        <w:overflowPunct/>
        <w:topLinePunct w:val="0"/>
        <w:autoSpaceDE w:val="0"/>
        <w:autoSpaceDN w:val="0"/>
        <w:bidi w:val="0"/>
        <w:adjustRightInd w:val="0"/>
        <w:snapToGrid/>
        <w:spacing w:after="63" w:afterLines="20" w:line="460" w:lineRule="atLeast"/>
        <w:ind w:firstLine="442" w:firstLineChars="200"/>
        <w:textAlignment w:val="auto"/>
        <w:rPr>
          <w:rFonts w:hint="eastAsia" w:ascii="宋体" w:eastAsia="宋体" w:cs="宋体"/>
          <w:b/>
          <w:bCs/>
          <w:color w:val="auto"/>
          <w:sz w:val="22"/>
          <w:szCs w:val="22"/>
          <w:highlight w:val="none"/>
          <w:lang w:val="en-US" w:eastAsia="zh-CN"/>
        </w:rPr>
      </w:pPr>
      <w:r>
        <w:rPr>
          <w:rFonts w:hint="eastAsia" w:ascii="宋体" w:eastAsia="宋体" w:cs="宋体"/>
          <w:b/>
          <w:bCs/>
          <w:color w:val="auto"/>
          <w:sz w:val="22"/>
          <w:szCs w:val="22"/>
          <w:highlight w:val="none"/>
          <w:lang w:val="en-US" w:eastAsia="zh-CN"/>
        </w:rPr>
        <w:t>1.3.预算单价</w:t>
      </w:r>
    </w:p>
    <w:tbl>
      <w:tblPr>
        <w:tblStyle w:val="45"/>
        <w:tblW w:w="4720" w:type="pct"/>
        <w:tblInd w:w="23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609"/>
        <w:gridCol w:w="3878"/>
        <w:gridCol w:w="38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865" w:type="pct"/>
            <w:tcBorders>
              <w:left w:val="single" w:color="auto" w:sz="4" w:space="0"/>
              <w:right w:val="single" w:color="auto" w:sz="4" w:space="0"/>
            </w:tcBorders>
            <w:noWrap w:val="0"/>
            <w:vAlign w:val="center"/>
          </w:tcPr>
          <w:p>
            <w:pPr>
              <w:pStyle w:val="25"/>
              <w:jc w:val="center"/>
              <w:rPr>
                <w:rFonts w:hint="eastAsia" w:hAnsi="宋体" w:eastAsia="宋体"/>
                <w:color w:val="auto"/>
                <w:sz w:val="22"/>
                <w:highlight w:val="none"/>
                <w:lang w:eastAsia="zh-CN"/>
              </w:rPr>
            </w:pPr>
            <w:r>
              <w:rPr>
                <w:rFonts w:hint="eastAsia" w:hAnsi="宋体"/>
                <w:color w:val="auto"/>
                <w:sz w:val="22"/>
                <w:highlight w:val="none"/>
                <w:lang w:eastAsia="zh-CN"/>
              </w:rPr>
              <w:t>服务范围</w:t>
            </w:r>
          </w:p>
        </w:tc>
        <w:tc>
          <w:tcPr>
            <w:tcW w:w="2083" w:type="pct"/>
            <w:tcBorders>
              <w:left w:val="single" w:color="auto" w:sz="4" w:space="0"/>
            </w:tcBorders>
            <w:noWrap w:val="0"/>
            <w:vAlign w:val="center"/>
          </w:tcPr>
          <w:p>
            <w:pPr>
              <w:pStyle w:val="25"/>
              <w:jc w:val="center"/>
              <w:rPr>
                <w:rFonts w:hint="default" w:hAnsi="宋体" w:eastAsia="宋体"/>
                <w:color w:val="auto"/>
                <w:sz w:val="22"/>
                <w:highlight w:val="none"/>
                <w:lang w:val="en-US" w:eastAsia="zh-CN"/>
              </w:rPr>
            </w:pPr>
            <w:r>
              <w:rPr>
                <w:rFonts w:hint="eastAsia" w:hAnsi="宋体"/>
                <w:color w:val="auto"/>
                <w:sz w:val="22"/>
                <w:szCs w:val="22"/>
                <w:highlight w:val="none"/>
                <w:lang w:val="en-US" w:eastAsia="zh-CN"/>
              </w:rPr>
              <w:t>车辆类型</w:t>
            </w:r>
          </w:p>
        </w:tc>
        <w:tc>
          <w:tcPr>
            <w:tcW w:w="2050" w:type="pct"/>
            <w:tcBorders>
              <w:left w:val="single" w:color="auto" w:sz="4" w:space="0"/>
            </w:tcBorders>
            <w:noWrap w:val="0"/>
            <w:vAlign w:val="center"/>
          </w:tcPr>
          <w:p>
            <w:pPr>
              <w:pStyle w:val="25"/>
              <w:jc w:val="center"/>
              <w:rPr>
                <w:rFonts w:hint="default" w:hAnsi="宋体" w:eastAsia="宋体"/>
                <w:color w:val="auto"/>
                <w:sz w:val="22"/>
                <w:szCs w:val="22"/>
                <w:highlight w:val="none"/>
                <w:lang w:val="en-US" w:eastAsia="zh-CN"/>
              </w:rPr>
            </w:pPr>
            <w:r>
              <w:rPr>
                <w:rFonts w:hint="eastAsia" w:hAnsi="宋体" w:eastAsia="宋体"/>
                <w:color w:val="auto"/>
                <w:sz w:val="22"/>
                <w:szCs w:val="22"/>
                <w:highlight w:val="none"/>
                <w:lang w:val="en-US" w:eastAsia="zh-CN"/>
              </w:rPr>
              <w:t>单价最高限价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865" w:type="pct"/>
            <w:vMerge w:val="restart"/>
            <w:tcBorders>
              <w:left w:val="single" w:color="auto" w:sz="4" w:space="0"/>
              <w:right w:val="single" w:color="auto" w:sz="4" w:space="0"/>
            </w:tcBorders>
            <w:noWrap w:val="0"/>
            <w:vAlign w:val="center"/>
          </w:tcPr>
          <w:p>
            <w:pPr>
              <w:pStyle w:val="25"/>
              <w:spacing w:line="460" w:lineRule="atLeast"/>
              <w:jc w:val="center"/>
              <w:rPr>
                <w:rFonts w:hint="default" w:hAnsi="宋体" w:eastAsia="宋体"/>
                <w:b w:val="0"/>
                <w:color w:val="auto"/>
                <w:sz w:val="22"/>
                <w:highlight w:val="none"/>
                <w:lang w:val="en-US"/>
              </w:rPr>
            </w:pPr>
            <w:r>
              <w:rPr>
                <w:rFonts w:hint="eastAsia" w:ascii="宋体" w:eastAsia="宋体" w:cs="宋体"/>
                <w:b w:val="0"/>
                <w:bCs w:val="0"/>
                <w:color w:val="auto"/>
                <w:sz w:val="22"/>
                <w:szCs w:val="22"/>
                <w:highlight w:val="none"/>
                <w:lang w:val="en-US" w:eastAsia="zh-CN"/>
              </w:rPr>
              <w:t>城区内服务(上塘、瓯北、乌牛、桥头、桥下、黄田）</w:t>
            </w:r>
          </w:p>
        </w:tc>
        <w:tc>
          <w:tcPr>
            <w:tcW w:w="2083" w:type="pct"/>
            <w:tcBorders>
              <w:left w:val="single" w:color="auto" w:sz="4" w:space="0"/>
            </w:tcBorders>
            <w:noWrap w:val="0"/>
            <w:vAlign w:val="center"/>
          </w:tcPr>
          <w:p>
            <w:pPr>
              <w:widowControl/>
              <w:jc w:val="center"/>
              <w:rPr>
                <w:rFonts w:ascii="宋体" w:eastAsia="宋体"/>
                <w:b w:val="0"/>
                <w:color w:val="auto"/>
                <w:sz w:val="22"/>
                <w:highlight w:val="none"/>
              </w:rPr>
            </w:pPr>
            <w:r>
              <w:rPr>
                <w:rFonts w:hint="eastAsia" w:ascii="宋体" w:eastAsia="宋体" w:cs="宋体"/>
                <w:b w:val="0"/>
                <w:bCs w:val="0"/>
                <w:color w:val="auto"/>
                <w:sz w:val="22"/>
                <w:szCs w:val="22"/>
                <w:highlight w:val="none"/>
                <w:lang w:val="en-US" w:eastAsia="zh-CN"/>
              </w:rPr>
              <w:t>小型汽车</w:t>
            </w:r>
          </w:p>
        </w:tc>
        <w:tc>
          <w:tcPr>
            <w:tcW w:w="3815"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cs="宋体"/>
                <w:b w:val="0"/>
                <w:bCs w:val="0"/>
                <w:color w:val="auto"/>
                <w:sz w:val="22"/>
                <w:szCs w:val="22"/>
                <w:highlight w:val="none"/>
                <w:lang w:val="en-US" w:eastAsia="zh-CN"/>
              </w:rPr>
              <w:t>135</w:t>
            </w:r>
            <w:r>
              <w:rPr>
                <w:rFonts w:hint="eastAsia" w:ascii="宋体" w:eastAsia="宋体" w:cs="宋体"/>
                <w:b w:val="0"/>
                <w:bCs w:val="0"/>
                <w:color w:val="auto"/>
                <w:sz w:val="22"/>
                <w:szCs w:val="22"/>
                <w:highlight w:val="none"/>
                <w:lang w:val="en-US" w:eastAsia="zh-CN"/>
              </w:rPr>
              <w:t>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17" w:hRule="atLeast"/>
        </w:trPr>
        <w:tc>
          <w:tcPr>
            <w:tcW w:w="865" w:type="pct"/>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none"/>
                <w:lang w:val="en-US" w:eastAsia="zh-CN"/>
              </w:rPr>
            </w:pPr>
          </w:p>
        </w:tc>
        <w:tc>
          <w:tcPr>
            <w:tcW w:w="2083" w:type="pct"/>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黄牌汽车</w:t>
            </w:r>
          </w:p>
        </w:tc>
        <w:tc>
          <w:tcPr>
            <w:tcW w:w="3815" w:type="dxa"/>
            <w:tcBorders>
              <w:left w:val="single" w:color="auto" w:sz="4" w:space="0"/>
            </w:tcBorders>
            <w:noWrap w:val="0"/>
            <w:vAlign w:val="center"/>
          </w:tcPr>
          <w:p>
            <w:pPr>
              <w:autoSpaceDE w:val="0"/>
              <w:autoSpaceDN w:val="0"/>
              <w:adjustRightInd w:val="0"/>
              <w:spacing w:line="460" w:lineRule="atLeast"/>
              <w:jc w:val="center"/>
              <w:rPr>
                <w:rFonts w:hint="default" w:ascii="宋体" w:eastAsia="宋体"/>
                <w:b w:val="0"/>
                <w:color w:val="auto"/>
                <w:sz w:val="22"/>
                <w:highlight w:val="none"/>
                <w:lang w:val="en-US" w:eastAsia="zh-CN"/>
              </w:rPr>
            </w:pPr>
            <w:r>
              <w:rPr>
                <w:rFonts w:hint="eastAsia" w:ascii="宋体"/>
                <w:b w:val="0"/>
                <w:color w:val="auto"/>
                <w:sz w:val="22"/>
                <w:highlight w:val="none"/>
                <w:lang w:val="en-US" w:eastAsia="zh-CN"/>
              </w:rPr>
              <w:t>390元/辆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865" w:type="pct"/>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none"/>
                <w:lang w:val="en-US" w:eastAsia="zh-CN"/>
              </w:rPr>
            </w:pPr>
          </w:p>
        </w:tc>
        <w:tc>
          <w:tcPr>
            <w:tcW w:w="2083" w:type="pct"/>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二、三轮摩托车</w:t>
            </w:r>
          </w:p>
        </w:tc>
        <w:tc>
          <w:tcPr>
            <w:tcW w:w="3815"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cs="宋体"/>
                <w:b w:val="0"/>
                <w:bCs w:val="0"/>
                <w:color w:val="auto"/>
                <w:sz w:val="22"/>
                <w:szCs w:val="22"/>
                <w:highlight w:val="none"/>
                <w:lang w:val="en-US" w:eastAsia="zh-CN"/>
              </w:rPr>
              <w:t>45</w:t>
            </w:r>
            <w:r>
              <w:rPr>
                <w:rFonts w:hint="eastAsia" w:ascii="宋体" w:eastAsia="宋体" w:cs="宋体"/>
                <w:b w:val="0"/>
                <w:bCs w:val="0"/>
                <w:color w:val="auto"/>
                <w:sz w:val="22"/>
                <w:szCs w:val="22"/>
                <w:highlight w:val="none"/>
                <w:lang w:val="en-US" w:eastAsia="zh-CN"/>
              </w:rPr>
              <w:t>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865" w:type="pct"/>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none"/>
                <w:lang w:val="en-US" w:eastAsia="zh-CN"/>
              </w:rPr>
            </w:pPr>
          </w:p>
        </w:tc>
        <w:tc>
          <w:tcPr>
            <w:tcW w:w="2083" w:type="pct"/>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二、三轮电动车</w:t>
            </w:r>
          </w:p>
        </w:tc>
        <w:tc>
          <w:tcPr>
            <w:tcW w:w="3815"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cs="宋体"/>
                <w:b w:val="0"/>
                <w:bCs w:val="0"/>
                <w:color w:val="auto"/>
                <w:sz w:val="22"/>
                <w:szCs w:val="22"/>
                <w:highlight w:val="none"/>
                <w:lang w:val="en-US" w:eastAsia="zh-CN"/>
              </w:rPr>
              <w:t>45</w:t>
            </w:r>
            <w:r>
              <w:rPr>
                <w:rFonts w:hint="eastAsia" w:ascii="宋体" w:eastAsia="宋体" w:cs="宋体"/>
                <w:b w:val="0"/>
                <w:bCs w:val="0"/>
                <w:color w:val="auto"/>
                <w:sz w:val="22"/>
                <w:szCs w:val="22"/>
                <w:highlight w:val="none"/>
                <w:lang w:val="en-US" w:eastAsia="zh-CN"/>
              </w:rPr>
              <w:t>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865" w:type="pct"/>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none"/>
                <w:lang w:val="en-US" w:eastAsia="zh-CN"/>
              </w:rPr>
            </w:pPr>
          </w:p>
        </w:tc>
        <w:tc>
          <w:tcPr>
            <w:tcW w:w="2083" w:type="pct"/>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自行车</w:t>
            </w:r>
          </w:p>
        </w:tc>
        <w:tc>
          <w:tcPr>
            <w:tcW w:w="3815"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cs="宋体"/>
                <w:b w:val="0"/>
                <w:bCs w:val="0"/>
                <w:color w:val="auto"/>
                <w:sz w:val="22"/>
                <w:szCs w:val="22"/>
                <w:highlight w:val="none"/>
                <w:lang w:val="en-US" w:eastAsia="zh-CN"/>
              </w:rPr>
              <w:t>40</w:t>
            </w:r>
            <w:r>
              <w:rPr>
                <w:rFonts w:hint="eastAsia" w:ascii="宋体" w:eastAsia="宋体" w:cs="宋体"/>
                <w:b w:val="0"/>
                <w:bCs w:val="0"/>
                <w:color w:val="auto"/>
                <w:sz w:val="22"/>
                <w:szCs w:val="22"/>
                <w:highlight w:val="none"/>
                <w:lang w:val="en-US" w:eastAsia="zh-CN"/>
              </w:rPr>
              <w:t>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865" w:type="pct"/>
            <w:vMerge w:val="restart"/>
            <w:tcBorders>
              <w:left w:val="single" w:color="auto" w:sz="4" w:space="0"/>
              <w:right w:val="single" w:color="auto" w:sz="4" w:space="0"/>
            </w:tcBorders>
            <w:noWrap w:val="0"/>
            <w:vAlign w:val="center"/>
          </w:tcPr>
          <w:p>
            <w:pPr>
              <w:pStyle w:val="25"/>
              <w:spacing w:line="460" w:lineRule="atLeast"/>
              <w:jc w:val="center"/>
              <w:rPr>
                <w:rFonts w:hint="default" w:hAnsi="宋体" w:eastAsia="宋体"/>
                <w:b w:val="0"/>
                <w:color w:val="auto"/>
                <w:sz w:val="22"/>
                <w:highlight w:val="none"/>
                <w:lang w:val="en-US"/>
              </w:rPr>
            </w:pPr>
            <w:r>
              <w:rPr>
                <w:rFonts w:hint="eastAsia" w:ascii="宋体" w:eastAsia="宋体" w:cs="宋体"/>
                <w:b w:val="0"/>
                <w:bCs w:val="0"/>
                <w:color w:val="auto"/>
                <w:sz w:val="22"/>
                <w:szCs w:val="22"/>
                <w:highlight w:val="none"/>
                <w:lang w:val="en-US" w:eastAsia="zh-CN"/>
              </w:rPr>
              <w:t>城区外服务（除上述地区外）</w:t>
            </w:r>
          </w:p>
        </w:tc>
        <w:tc>
          <w:tcPr>
            <w:tcW w:w="2083" w:type="pct"/>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小型汽车</w:t>
            </w:r>
          </w:p>
        </w:tc>
        <w:tc>
          <w:tcPr>
            <w:tcW w:w="2050" w:type="pct"/>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cs="宋体"/>
                <w:b w:val="0"/>
                <w:bCs w:val="0"/>
                <w:color w:val="auto"/>
                <w:sz w:val="22"/>
                <w:szCs w:val="22"/>
                <w:highlight w:val="none"/>
                <w:lang w:val="en-US" w:eastAsia="zh-CN"/>
              </w:rPr>
              <w:t>150</w:t>
            </w:r>
            <w:r>
              <w:rPr>
                <w:rFonts w:hint="eastAsia" w:ascii="宋体" w:eastAsia="宋体" w:cs="宋体"/>
                <w:b w:val="0"/>
                <w:bCs w:val="0"/>
                <w:color w:val="auto"/>
                <w:sz w:val="22"/>
                <w:szCs w:val="22"/>
                <w:highlight w:val="none"/>
                <w:lang w:val="en-US" w:eastAsia="zh-CN"/>
              </w:rPr>
              <w:t>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17" w:hRule="atLeast"/>
        </w:trPr>
        <w:tc>
          <w:tcPr>
            <w:tcW w:w="865" w:type="pct"/>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none"/>
                <w:lang w:val="en-US" w:eastAsia="zh-CN"/>
              </w:rPr>
            </w:pPr>
          </w:p>
        </w:tc>
        <w:tc>
          <w:tcPr>
            <w:tcW w:w="3878" w:type="dxa"/>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黄牌汽车</w:t>
            </w:r>
          </w:p>
        </w:tc>
        <w:tc>
          <w:tcPr>
            <w:tcW w:w="3815"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b w:val="0"/>
                <w:color w:val="auto"/>
                <w:sz w:val="22"/>
                <w:highlight w:val="none"/>
                <w:lang w:val="en-US" w:eastAsia="zh-CN"/>
              </w:rPr>
              <w:t>410元/辆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865" w:type="pct"/>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none"/>
                <w:lang w:val="en-US" w:eastAsia="zh-CN"/>
              </w:rPr>
            </w:pPr>
          </w:p>
        </w:tc>
        <w:tc>
          <w:tcPr>
            <w:tcW w:w="2083" w:type="pct"/>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二、三轮摩托车</w:t>
            </w:r>
          </w:p>
        </w:tc>
        <w:tc>
          <w:tcPr>
            <w:tcW w:w="2050" w:type="pct"/>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cs="宋体"/>
                <w:b w:val="0"/>
                <w:bCs w:val="0"/>
                <w:color w:val="auto"/>
                <w:sz w:val="22"/>
                <w:szCs w:val="22"/>
                <w:highlight w:val="none"/>
                <w:lang w:val="en-US" w:eastAsia="zh-CN"/>
              </w:rPr>
              <w:t>5</w:t>
            </w:r>
            <w:r>
              <w:rPr>
                <w:rFonts w:hint="eastAsia" w:ascii="宋体" w:eastAsia="宋体" w:cs="宋体"/>
                <w:b w:val="0"/>
                <w:bCs w:val="0"/>
                <w:color w:val="auto"/>
                <w:sz w:val="22"/>
                <w:szCs w:val="22"/>
                <w:highlight w:val="none"/>
                <w:lang w:val="en-US" w:eastAsia="zh-CN"/>
              </w:rPr>
              <w:t>0元/辆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865" w:type="pct"/>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none"/>
                <w:lang w:val="en-US" w:eastAsia="zh-CN"/>
              </w:rPr>
            </w:pPr>
          </w:p>
        </w:tc>
        <w:tc>
          <w:tcPr>
            <w:tcW w:w="2083" w:type="pct"/>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二、三轮电动车</w:t>
            </w:r>
          </w:p>
        </w:tc>
        <w:tc>
          <w:tcPr>
            <w:tcW w:w="2050" w:type="pct"/>
            <w:tcBorders>
              <w:left w:val="single" w:color="auto" w:sz="4" w:space="0"/>
            </w:tcBorders>
            <w:noWrap w:val="0"/>
            <w:vAlign w:val="center"/>
          </w:tcPr>
          <w:p>
            <w:pPr>
              <w:widowControl/>
              <w:jc w:val="center"/>
              <w:rPr>
                <w:rFonts w:ascii="宋体" w:eastAsia="宋体"/>
                <w:b w:val="0"/>
                <w:color w:val="auto"/>
                <w:sz w:val="22"/>
                <w:highlight w:val="none"/>
              </w:rPr>
            </w:pPr>
            <w:r>
              <w:rPr>
                <w:rFonts w:hint="eastAsia" w:ascii="宋体" w:cs="宋体"/>
                <w:b w:val="0"/>
                <w:bCs w:val="0"/>
                <w:color w:val="auto"/>
                <w:sz w:val="22"/>
                <w:szCs w:val="22"/>
                <w:highlight w:val="none"/>
                <w:lang w:val="en-US" w:eastAsia="zh-CN"/>
              </w:rPr>
              <w:t>5</w:t>
            </w:r>
            <w:r>
              <w:rPr>
                <w:rFonts w:hint="eastAsia" w:ascii="宋体" w:eastAsia="宋体" w:cs="宋体"/>
                <w:b w:val="0"/>
                <w:bCs w:val="0"/>
                <w:color w:val="auto"/>
                <w:sz w:val="22"/>
                <w:szCs w:val="22"/>
                <w:highlight w:val="none"/>
                <w:lang w:val="en-US" w:eastAsia="zh-CN"/>
              </w:rPr>
              <w:t>0元/辆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865" w:type="pct"/>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none"/>
                <w:lang w:val="en-US" w:eastAsia="zh-CN"/>
              </w:rPr>
            </w:pPr>
          </w:p>
        </w:tc>
        <w:tc>
          <w:tcPr>
            <w:tcW w:w="2083" w:type="pct"/>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自行车</w:t>
            </w:r>
          </w:p>
        </w:tc>
        <w:tc>
          <w:tcPr>
            <w:tcW w:w="2050" w:type="pct"/>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cs="宋体"/>
                <w:b w:val="0"/>
                <w:bCs w:val="0"/>
                <w:color w:val="auto"/>
                <w:sz w:val="22"/>
                <w:szCs w:val="22"/>
                <w:highlight w:val="none"/>
                <w:lang w:val="en-US" w:eastAsia="zh-CN"/>
              </w:rPr>
              <w:t>45</w:t>
            </w:r>
            <w:r>
              <w:rPr>
                <w:rFonts w:hint="eastAsia" w:ascii="宋体" w:eastAsia="宋体" w:cs="宋体"/>
                <w:b w:val="0"/>
                <w:bCs w:val="0"/>
                <w:color w:val="auto"/>
                <w:sz w:val="22"/>
                <w:szCs w:val="22"/>
                <w:highlight w:val="none"/>
                <w:lang w:val="en-US" w:eastAsia="zh-CN"/>
              </w:rPr>
              <w:t>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77" w:hRule="atLeast"/>
        </w:trPr>
        <w:tc>
          <w:tcPr>
            <w:tcW w:w="2949" w:type="pct"/>
            <w:gridSpan w:val="2"/>
            <w:tcBorders>
              <w:left w:val="single" w:color="auto" w:sz="4" w:space="0"/>
            </w:tcBorders>
            <w:noWrap w:val="0"/>
            <w:vAlign w:val="center"/>
          </w:tcPr>
          <w:p>
            <w:pPr>
              <w:pStyle w:val="25"/>
              <w:spacing w:line="460" w:lineRule="atLeast"/>
              <w:jc w:val="center"/>
              <w:rPr>
                <w:rFonts w:ascii="宋体" w:eastAsia="宋体"/>
                <w:b w:val="0"/>
                <w:color w:val="auto"/>
                <w:sz w:val="22"/>
                <w:highlight w:val="none"/>
              </w:rPr>
            </w:pPr>
            <w:r>
              <w:rPr>
                <w:rFonts w:hint="eastAsia" w:ascii="宋体" w:eastAsia="宋体" w:cs="宋体"/>
                <w:b w:val="0"/>
                <w:bCs w:val="0"/>
                <w:color w:val="auto"/>
                <w:sz w:val="22"/>
                <w:szCs w:val="22"/>
                <w:highlight w:val="none"/>
                <w:lang w:val="en-US" w:eastAsia="zh-CN"/>
              </w:rPr>
              <w:t>清障车（待命、作业）服务</w:t>
            </w:r>
            <w:r>
              <w:rPr>
                <w:rFonts w:hint="eastAsia"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val="en-US" w:eastAsia="zh-CN"/>
              </w:rPr>
              <w:t>因大型活动现场安保、道路施工保障、交通事故、违法现场保障和其他非扣押行为清障任务的待命、作业 （简称“待命、作业”）</w:t>
            </w:r>
          </w:p>
        </w:tc>
        <w:tc>
          <w:tcPr>
            <w:tcW w:w="2050" w:type="pct"/>
            <w:tcBorders>
              <w:lef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60元/1小时/清障车1辆</w:t>
            </w:r>
          </w:p>
        </w:tc>
      </w:tr>
    </w:tbl>
    <w:p>
      <w:pPr>
        <w:pStyle w:val="2"/>
        <w:rPr>
          <w:rFonts w:hint="default"/>
          <w:lang w:val="en-US" w:eastAsia="zh-CN"/>
        </w:rPr>
      </w:pPr>
    </w:p>
    <w:p>
      <w:pPr>
        <w:numPr>
          <w:ilvl w:val="0"/>
          <w:numId w:val="0"/>
        </w:numPr>
        <w:snapToGrid w:val="0"/>
        <w:spacing w:line="460" w:lineRule="exact"/>
        <w:ind w:firstLine="442" w:firstLineChars="200"/>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交通事故、违法车辆扣留后的保管服务</w:t>
      </w:r>
    </w:p>
    <w:p>
      <w:pPr>
        <w:keepNext w:val="0"/>
        <w:keepLines w:val="0"/>
        <w:pageBreakBefore w:val="0"/>
        <w:widowControl w:val="0"/>
        <w:kinsoku/>
        <w:wordWrap/>
        <w:overflowPunct/>
        <w:topLinePunct w:val="0"/>
        <w:autoSpaceDE w:val="0"/>
        <w:autoSpaceDN w:val="0"/>
        <w:bidi w:val="0"/>
        <w:adjustRightInd w:val="0"/>
        <w:snapToGrid/>
        <w:spacing w:after="95" w:afterLines="30" w:line="460" w:lineRule="atLeast"/>
        <w:ind w:firstLine="442" w:firstLineChars="200"/>
        <w:textAlignment w:val="auto"/>
        <w:rPr>
          <w:rFonts w:hint="eastAsia" w:ascii="宋体" w:hAnsi="Times New Roman" w:eastAsia="宋体" w:cs="宋体"/>
          <w:b w:val="0"/>
          <w:bCs w:val="0"/>
          <w:color w:val="auto"/>
          <w:sz w:val="22"/>
          <w:szCs w:val="22"/>
          <w:highlight w:val="none"/>
          <w:lang w:val="en-US" w:eastAsia="zh-CN"/>
        </w:rPr>
      </w:pPr>
      <w:r>
        <w:rPr>
          <w:rFonts w:hint="eastAsia" w:ascii="宋体" w:eastAsia="宋体" w:cs="宋体"/>
          <w:b/>
          <w:bCs/>
          <w:color w:val="auto"/>
          <w:sz w:val="22"/>
          <w:szCs w:val="22"/>
          <w:highlight w:val="none"/>
          <w:lang w:val="en-US" w:eastAsia="zh-CN"/>
        </w:rPr>
        <w:t>2.1、主要内容为</w:t>
      </w:r>
      <w:r>
        <w:rPr>
          <w:rFonts w:hint="eastAsia" w:ascii="宋体" w:eastAsia="宋体" w:cs="宋体"/>
          <w:b w:val="0"/>
          <w:bCs w:val="0"/>
          <w:color w:val="auto"/>
          <w:sz w:val="22"/>
          <w:szCs w:val="22"/>
          <w:highlight w:val="none"/>
          <w:lang w:val="en-US" w:eastAsia="zh-CN"/>
        </w:rPr>
        <w:t>：永嘉县公安局交通警察大队车辆保管服务。服务范围：交通事故、违法车辆扣留</w:t>
      </w:r>
      <w:r>
        <w:rPr>
          <w:rFonts w:hint="eastAsia" w:ascii="宋体" w:eastAsia="宋体" w:cs="宋体"/>
          <w:b w:val="0"/>
          <w:bCs w:val="0"/>
          <w:color w:val="auto"/>
          <w:sz w:val="22"/>
          <w:szCs w:val="22"/>
          <w:lang w:val="en-US" w:eastAsia="zh-CN"/>
        </w:rPr>
        <w:t>后的保管。中标供应商将作</w:t>
      </w:r>
      <w:r>
        <w:rPr>
          <w:rFonts w:hint="eastAsia" w:ascii="宋体" w:hAnsi="Times New Roman" w:eastAsia="宋体" w:cs="宋体"/>
          <w:b w:val="0"/>
          <w:bCs w:val="0"/>
          <w:color w:val="auto"/>
          <w:sz w:val="22"/>
          <w:szCs w:val="22"/>
          <w:highlight w:val="none"/>
          <w:lang w:val="en-US" w:eastAsia="zh-CN"/>
        </w:rPr>
        <w:t>为永嘉县公安局交通警察大队涉案车辆保管服务的承办单位。</w:t>
      </w:r>
    </w:p>
    <w:p>
      <w:pPr>
        <w:pStyle w:val="2"/>
        <w:keepNext w:val="0"/>
        <w:keepLines w:val="0"/>
        <w:pageBreakBefore w:val="0"/>
        <w:widowControl w:val="0"/>
        <w:kinsoku/>
        <w:wordWrap/>
        <w:overflowPunct/>
        <w:topLinePunct w:val="0"/>
        <w:autoSpaceDE/>
        <w:autoSpaceDN/>
        <w:bidi w:val="0"/>
        <w:adjustRightInd/>
        <w:snapToGrid/>
        <w:spacing w:after="95" w:afterLines="30"/>
        <w:ind w:firstLine="442" w:firstLineChars="200"/>
        <w:textAlignment w:val="auto"/>
        <w:rPr>
          <w:rFonts w:hint="default"/>
          <w:b/>
          <w:bCs/>
          <w:lang w:val="en-US" w:eastAsia="zh-CN"/>
        </w:rPr>
      </w:pPr>
      <w:r>
        <w:rPr>
          <w:rFonts w:hint="eastAsia" w:ascii="宋体" w:cs="宋体"/>
          <w:b/>
          <w:bCs/>
          <w:color w:val="auto"/>
          <w:sz w:val="22"/>
          <w:szCs w:val="22"/>
          <w:highlight w:val="none"/>
          <w:lang w:val="en-US" w:eastAsia="zh-CN"/>
        </w:rPr>
        <w:t>2.2、主要服务内容如下：</w:t>
      </w:r>
    </w:p>
    <w:tbl>
      <w:tblPr>
        <w:tblStyle w:val="45"/>
        <w:tblW w:w="9338" w:type="dxa"/>
        <w:jc w:val="right"/>
        <w:tblLayout w:type="fixed"/>
        <w:tblCellMar>
          <w:top w:w="0" w:type="dxa"/>
          <w:left w:w="108" w:type="dxa"/>
          <w:bottom w:w="0" w:type="dxa"/>
          <w:right w:w="108" w:type="dxa"/>
        </w:tblCellMar>
      </w:tblPr>
      <w:tblGrid>
        <w:gridCol w:w="977"/>
        <w:gridCol w:w="3909"/>
        <w:gridCol w:w="4452"/>
      </w:tblGrid>
      <w:tr>
        <w:tblPrEx>
          <w:tblCellMar>
            <w:top w:w="0" w:type="dxa"/>
            <w:left w:w="108" w:type="dxa"/>
            <w:bottom w:w="0" w:type="dxa"/>
            <w:right w:w="108" w:type="dxa"/>
          </w:tblCellMar>
        </w:tblPrEx>
        <w:trPr>
          <w:trHeight w:val="655" w:hRule="atLeast"/>
          <w:jc w:val="right"/>
        </w:trPr>
        <w:tc>
          <w:tcPr>
            <w:tcW w:w="977" w:type="dxa"/>
            <w:tcBorders>
              <w:top w:val="single" w:color="000000" w:sz="12" w:space="0"/>
              <w:left w:val="single" w:color="000000" w:sz="12" w:space="0"/>
              <w:bottom w:val="single" w:color="000000" w:sz="4"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序号</w:t>
            </w:r>
          </w:p>
        </w:tc>
        <w:tc>
          <w:tcPr>
            <w:tcW w:w="3909" w:type="dxa"/>
            <w:tcBorders>
              <w:top w:val="single" w:color="000000" w:sz="12" w:space="0"/>
              <w:left w:val="single" w:color="000000" w:sz="4" w:space="0"/>
              <w:bottom w:val="single" w:color="000000" w:sz="4" w:space="0"/>
            </w:tcBorders>
            <w:noWrap/>
            <w:vAlign w:val="center"/>
          </w:tcPr>
          <w:p>
            <w:pPr>
              <w:autoSpaceDE w:val="0"/>
              <w:autoSpaceDN w:val="0"/>
              <w:adjustRightInd w:val="0"/>
              <w:spacing w:line="460" w:lineRule="atLeast"/>
              <w:ind w:firstLine="440" w:firstLineChars="200"/>
              <w:jc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项目名称</w:t>
            </w:r>
          </w:p>
        </w:tc>
        <w:tc>
          <w:tcPr>
            <w:tcW w:w="4452" w:type="dxa"/>
            <w:tcBorders>
              <w:top w:val="single" w:color="000000" w:sz="12" w:space="0"/>
              <w:left w:val="single" w:color="000000" w:sz="4" w:space="0"/>
              <w:bottom w:val="single" w:color="000000" w:sz="4" w:space="0"/>
              <w:right w:val="single" w:color="000000" w:sz="12" w:space="0"/>
            </w:tcBorders>
            <w:noWrap/>
            <w:vAlign w:val="center"/>
          </w:tcPr>
          <w:p>
            <w:pPr>
              <w:autoSpaceDE w:val="0"/>
              <w:autoSpaceDN w:val="0"/>
              <w:adjustRightInd w:val="0"/>
              <w:spacing w:line="460" w:lineRule="atLeast"/>
              <w:ind w:firstLine="440" w:firstLineChars="200"/>
              <w:jc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备注</w:t>
            </w:r>
          </w:p>
        </w:tc>
      </w:tr>
      <w:tr>
        <w:tblPrEx>
          <w:tblCellMar>
            <w:top w:w="0" w:type="dxa"/>
            <w:left w:w="108" w:type="dxa"/>
            <w:bottom w:w="0" w:type="dxa"/>
            <w:right w:w="108" w:type="dxa"/>
          </w:tblCellMar>
        </w:tblPrEx>
        <w:trPr>
          <w:trHeight w:val="945" w:hRule="atLeast"/>
          <w:jc w:val="right"/>
        </w:trPr>
        <w:tc>
          <w:tcPr>
            <w:tcW w:w="977" w:type="dxa"/>
            <w:tcBorders>
              <w:top w:val="single" w:color="000000" w:sz="4" w:space="0"/>
              <w:left w:val="single" w:color="000000" w:sz="12" w:space="0"/>
              <w:bottom w:val="single" w:color="000000" w:sz="4"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w:t>
            </w:r>
          </w:p>
        </w:tc>
        <w:tc>
          <w:tcPr>
            <w:tcW w:w="3909" w:type="dxa"/>
            <w:tcBorders>
              <w:top w:val="single" w:color="000000" w:sz="4" w:space="0"/>
              <w:left w:val="single" w:color="000000" w:sz="4" w:space="0"/>
              <w:bottom w:val="single" w:color="000000" w:sz="4"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一类车交通事故、违法扣留后的保管</w:t>
            </w:r>
          </w:p>
        </w:tc>
        <w:tc>
          <w:tcPr>
            <w:tcW w:w="4452" w:type="dxa"/>
            <w:tcBorders>
              <w:top w:val="single" w:color="000000" w:sz="4" w:space="0"/>
              <w:left w:val="single" w:color="000000" w:sz="4" w:space="0"/>
              <w:bottom w:val="single" w:color="000000" w:sz="4" w:space="0"/>
              <w:right w:val="single" w:color="000000" w:sz="12"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一类车指：20座（含）以下客车、2吨（含）以下货车</w:t>
            </w:r>
          </w:p>
        </w:tc>
      </w:tr>
      <w:tr>
        <w:tblPrEx>
          <w:tblCellMar>
            <w:top w:w="0" w:type="dxa"/>
            <w:left w:w="108" w:type="dxa"/>
            <w:bottom w:w="0" w:type="dxa"/>
            <w:right w:w="108" w:type="dxa"/>
          </w:tblCellMar>
        </w:tblPrEx>
        <w:trPr>
          <w:trHeight w:val="973" w:hRule="atLeast"/>
          <w:jc w:val="right"/>
        </w:trPr>
        <w:tc>
          <w:tcPr>
            <w:tcW w:w="977" w:type="dxa"/>
            <w:tcBorders>
              <w:top w:val="single" w:color="000000" w:sz="4" w:space="0"/>
              <w:left w:val="single" w:color="000000" w:sz="12" w:space="0"/>
              <w:bottom w:val="single" w:color="000000" w:sz="4"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2</w:t>
            </w:r>
          </w:p>
        </w:tc>
        <w:tc>
          <w:tcPr>
            <w:tcW w:w="3909" w:type="dxa"/>
            <w:tcBorders>
              <w:top w:val="single" w:color="000000" w:sz="4" w:space="0"/>
              <w:left w:val="single" w:color="000000" w:sz="4" w:space="0"/>
              <w:bottom w:val="single" w:color="000000" w:sz="4"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二类车交通事故、违法扣留后的保管</w:t>
            </w:r>
          </w:p>
        </w:tc>
        <w:tc>
          <w:tcPr>
            <w:tcW w:w="4452" w:type="dxa"/>
            <w:tcBorders>
              <w:top w:val="single" w:color="000000" w:sz="4" w:space="0"/>
              <w:left w:val="single" w:color="000000" w:sz="4" w:space="0"/>
              <w:bottom w:val="single" w:color="000000" w:sz="4" w:space="0"/>
              <w:right w:val="single" w:color="000000" w:sz="12"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二类车指：20座以上40座（含）以下客车、2吨以上5吨（含）以下货车</w:t>
            </w:r>
          </w:p>
        </w:tc>
      </w:tr>
      <w:tr>
        <w:tblPrEx>
          <w:tblCellMar>
            <w:top w:w="0" w:type="dxa"/>
            <w:left w:w="108" w:type="dxa"/>
            <w:bottom w:w="0" w:type="dxa"/>
            <w:right w:w="108" w:type="dxa"/>
          </w:tblCellMar>
        </w:tblPrEx>
        <w:trPr>
          <w:trHeight w:val="973" w:hRule="atLeast"/>
          <w:jc w:val="right"/>
        </w:trPr>
        <w:tc>
          <w:tcPr>
            <w:tcW w:w="977" w:type="dxa"/>
            <w:tcBorders>
              <w:top w:val="single" w:color="000000" w:sz="4" w:space="0"/>
              <w:left w:val="single" w:color="000000" w:sz="12" w:space="0"/>
              <w:bottom w:val="single" w:color="000000" w:sz="4"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3</w:t>
            </w:r>
          </w:p>
        </w:tc>
        <w:tc>
          <w:tcPr>
            <w:tcW w:w="3909" w:type="dxa"/>
            <w:tcBorders>
              <w:top w:val="single" w:color="000000" w:sz="4" w:space="0"/>
              <w:left w:val="single" w:color="000000" w:sz="4" w:space="0"/>
              <w:bottom w:val="single" w:color="000000" w:sz="4"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三类车交通事故、违法扣留后的保管</w:t>
            </w:r>
          </w:p>
        </w:tc>
        <w:tc>
          <w:tcPr>
            <w:tcW w:w="4452" w:type="dxa"/>
            <w:tcBorders>
              <w:top w:val="single" w:color="000000" w:sz="4" w:space="0"/>
              <w:left w:val="single" w:color="000000" w:sz="4" w:space="0"/>
              <w:bottom w:val="single" w:color="000000" w:sz="4" w:space="0"/>
              <w:right w:val="single" w:color="000000" w:sz="12"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三类车指：40座以上客车（含32座以上卧铺车）、5吨以上10吨（含）以下货车</w:t>
            </w:r>
          </w:p>
        </w:tc>
      </w:tr>
      <w:tr>
        <w:tblPrEx>
          <w:tblCellMar>
            <w:top w:w="0" w:type="dxa"/>
            <w:left w:w="108" w:type="dxa"/>
            <w:bottom w:w="0" w:type="dxa"/>
            <w:right w:w="108" w:type="dxa"/>
          </w:tblCellMar>
        </w:tblPrEx>
        <w:trPr>
          <w:trHeight w:val="700" w:hRule="atLeast"/>
          <w:jc w:val="right"/>
        </w:trPr>
        <w:tc>
          <w:tcPr>
            <w:tcW w:w="977" w:type="dxa"/>
            <w:tcBorders>
              <w:top w:val="single" w:color="000000" w:sz="4" w:space="0"/>
              <w:left w:val="single" w:color="000000" w:sz="12" w:space="0"/>
              <w:bottom w:val="single" w:color="000000" w:sz="4"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4</w:t>
            </w:r>
          </w:p>
        </w:tc>
        <w:tc>
          <w:tcPr>
            <w:tcW w:w="3909" w:type="dxa"/>
            <w:tcBorders>
              <w:top w:val="single" w:color="000000" w:sz="4" w:space="0"/>
              <w:left w:val="single" w:color="000000" w:sz="4" w:space="0"/>
              <w:bottom w:val="single" w:color="000000" w:sz="4"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四类车交通事故、违法扣留后的保管</w:t>
            </w:r>
          </w:p>
        </w:tc>
        <w:tc>
          <w:tcPr>
            <w:tcW w:w="4452" w:type="dxa"/>
            <w:tcBorders>
              <w:top w:val="single" w:color="000000" w:sz="4" w:space="0"/>
              <w:left w:val="single" w:color="000000" w:sz="4" w:space="0"/>
              <w:bottom w:val="single" w:color="000000" w:sz="4" w:space="0"/>
              <w:right w:val="single" w:color="000000" w:sz="12"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10吨以上15吨（含）以下货车</w:t>
            </w:r>
          </w:p>
        </w:tc>
      </w:tr>
      <w:tr>
        <w:tblPrEx>
          <w:tblCellMar>
            <w:top w:w="0" w:type="dxa"/>
            <w:left w:w="108" w:type="dxa"/>
            <w:bottom w:w="0" w:type="dxa"/>
            <w:right w:w="108" w:type="dxa"/>
          </w:tblCellMar>
        </w:tblPrEx>
        <w:trPr>
          <w:trHeight w:val="700" w:hRule="atLeast"/>
          <w:jc w:val="right"/>
        </w:trPr>
        <w:tc>
          <w:tcPr>
            <w:tcW w:w="977" w:type="dxa"/>
            <w:tcBorders>
              <w:top w:val="single" w:color="000000" w:sz="4" w:space="0"/>
              <w:left w:val="single" w:color="000000" w:sz="12" w:space="0"/>
              <w:bottom w:val="single" w:color="000000" w:sz="4"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5</w:t>
            </w:r>
          </w:p>
        </w:tc>
        <w:tc>
          <w:tcPr>
            <w:tcW w:w="3909" w:type="dxa"/>
            <w:tcBorders>
              <w:top w:val="single" w:color="000000" w:sz="4" w:space="0"/>
              <w:left w:val="single" w:color="000000" w:sz="4" w:space="0"/>
              <w:bottom w:val="single" w:color="000000" w:sz="4"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五类车交通事故、违法扣留后的保管</w:t>
            </w:r>
          </w:p>
        </w:tc>
        <w:tc>
          <w:tcPr>
            <w:tcW w:w="4452" w:type="dxa"/>
            <w:tcBorders>
              <w:top w:val="single" w:color="000000" w:sz="4" w:space="0"/>
              <w:left w:val="single" w:color="000000" w:sz="4" w:space="0"/>
              <w:bottom w:val="single" w:color="000000" w:sz="4" w:space="0"/>
              <w:right w:val="single" w:color="000000" w:sz="12"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15吨以上货车</w:t>
            </w:r>
          </w:p>
        </w:tc>
      </w:tr>
      <w:tr>
        <w:tblPrEx>
          <w:tblCellMar>
            <w:top w:w="0" w:type="dxa"/>
            <w:left w:w="108" w:type="dxa"/>
            <w:bottom w:w="0" w:type="dxa"/>
            <w:right w:w="108" w:type="dxa"/>
          </w:tblCellMar>
        </w:tblPrEx>
        <w:trPr>
          <w:trHeight w:val="762" w:hRule="atLeast"/>
          <w:jc w:val="right"/>
        </w:trPr>
        <w:tc>
          <w:tcPr>
            <w:tcW w:w="977" w:type="dxa"/>
            <w:tcBorders>
              <w:top w:val="single" w:color="000000" w:sz="4" w:space="0"/>
              <w:left w:val="single" w:color="000000" w:sz="12" w:space="0"/>
              <w:bottom w:val="single" w:color="000000" w:sz="12"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6</w:t>
            </w:r>
          </w:p>
        </w:tc>
        <w:tc>
          <w:tcPr>
            <w:tcW w:w="3909" w:type="dxa"/>
            <w:tcBorders>
              <w:top w:val="single" w:color="000000" w:sz="4" w:space="0"/>
              <w:left w:val="single" w:color="000000" w:sz="4" w:space="0"/>
              <w:bottom w:val="single" w:color="000000" w:sz="12"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六类车交通事故、违法扣留后的保管</w:t>
            </w:r>
          </w:p>
        </w:tc>
        <w:tc>
          <w:tcPr>
            <w:tcW w:w="4452" w:type="dxa"/>
            <w:tcBorders>
              <w:top w:val="single" w:color="000000" w:sz="4" w:space="0"/>
              <w:left w:val="single" w:color="000000" w:sz="4" w:space="0"/>
              <w:bottom w:val="single" w:color="000000" w:sz="12" w:space="0"/>
              <w:right w:val="single" w:color="000000" w:sz="12"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摩托车、三轮农用车、非机动车</w:t>
            </w:r>
          </w:p>
        </w:tc>
      </w:tr>
    </w:tbl>
    <w:p>
      <w:pPr>
        <w:autoSpaceDE w:val="0"/>
        <w:autoSpaceDN w:val="0"/>
        <w:adjustRightInd w:val="0"/>
        <w:spacing w:line="460" w:lineRule="atLeast"/>
        <w:ind w:firstLine="442" w:firstLineChars="200"/>
        <w:rPr>
          <w:rFonts w:hint="eastAsia" w:ascii="宋体" w:cs="宋体"/>
          <w:b/>
          <w:bCs/>
          <w:color w:val="auto"/>
          <w:sz w:val="22"/>
          <w:szCs w:val="22"/>
          <w:highlight w:val="none"/>
          <w:lang w:val="en-US" w:eastAsia="zh-CN"/>
        </w:rPr>
      </w:pPr>
      <w:r>
        <w:rPr>
          <w:rFonts w:hint="eastAsia" w:ascii="宋体" w:cs="宋体"/>
          <w:b/>
          <w:bCs/>
          <w:color w:val="auto"/>
          <w:sz w:val="22"/>
          <w:szCs w:val="22"/>
          <w:highlight w:val="none"/>
          <w:lang w:val="en-US" w:eastAsia="zh-CN"/>
        </w:rPr>
        <w:t>备注：</w:t>
      </w:r>
    </w:p>
    <w:p>
      <w:pPr>
        <w:autoSpaceDE w:val="0"/>
        <w:autoSpaceDN w:val="0"/>
        <w:adjustRightInd w:val="0"/>
        <w:spacing w:line="460" w:lineRule="atLeast"/>
        <w:ind w:firstLine="442" w:firstLineChars="200"/>
        <w:rPr>
          <w:rFonts w:hint="eastAsia" w:ascii="宋体" w:eastAsia="宋体" w:cs="宋体"/>
          <w:b w:val="0"/>
          <w:bCs w:val="0"/>
          <w:color w:val="auto"/>
          <w:sz w:val="22"/>
          <w:szCs w:val="22"/>
          <w:highlight w:val="none"/>
          <w:u w:val="single"/>
          <w:lang w:val="en-US" w:eastAsia="zh-CN"/>
        </w:rPr>
      </w:pPr>
      <w:r>
        <w:rPr>
          <w:rFonts w:hint="eastAsia" w:ascii="宋体" w:cs="宋体"/>
          <w:b/>
          <w:bCs/>
          <w:color w:val="auto"/>
          <w:sz w:val="22"/>
          <w:szCs w:val="22"/>
          <w:highlight w:val="none"/>
          <w:u w:val="single"/>
          <w:lang w:val="en-US" w:eastAsia="zh-CN"/>
        </w:rPr>
        <w:t>1）</w:t>
      </w:r>
      <w:r>
        <w:rPr>
          <w:rFonts w:hint="eastAsia" w:ascii="宋体" w:eastAsia="宋体" w:cs="宋体"/>
          <w:b/>
          <w:bCs/>
          <w:color w:val="auto"/>
          <w:sz w:val="22"/>
          <w:szCs w:val="22"/>
          <w:highlight w:val="none"/>
          <w:u w:val="single"/>
          <w:lang w:val="en-US" w:eastAsia="zh-CN"/>
        </w:rPr>
        <w:t>采购人无法预计也无法保证成交人在服务期内需要付出的服务次数。但本项目所涉及的人员工资、停车场地租赁、停车场建设（围墙、监控、地面平整、门卫室等）、其他费用（水、电、意外险、利润、税收等）均包含在本次投标总价中，服务期间不再额外增加费用。</w:t>
      </w:r>
    </w:p>
    <w:p>
      <w:pPr>
        <w:autoSpaceDE w:val="0"/>
        <w:autoSpaceDN w:val="0"/>
        <w:adjustRightInd w:val="0"/>
        <w:spacing w:line="460" w:lineRule="atLeast"/>
        <w:ind w:firstLine="442" w:firstLineChars="200"/>
        <w:rPr>
          <w:rFonts w:hint="eastAsia" w:ascii="宋体" w:eastAsia="宋体" w:cs="宋体"/>
          <w:b/>
          <w:bCs/>
          <w:color w:val="auto"/>
          <w:sz w:val="22"/>
          <w:szCs w:val="22"/>
          <w:highlight w:val="none"/>
          <w:lang w:val="en-US" w:eastAsia="zh-CN"/>
        </w:rPr>
      </w:pPr>
      <w:r>
        <w:rPr>
          <w:rFonts w:hint="eastAsia" w:ascii="宋体" w:cs="宋体"/>
          <w:b/>
          <w:bCs/>
          <w:color w:val="auto"/>
          <w:sz w:val="22"/>
          <w:szCs w:val="22"/>
          <w:highlight w:val="none"/>
          <w:lang w:val="en-US" w:eastAsia="zh-CN"/>
        </w:rPr>
        <w:t>2）</w:t>
      </w:r>
      <w:r>
        <w:rPr>
          <w:rFonts w:hint="eastAsia" w:ascii="宋体" w:eastAsia="宋体" w:cs="宋体"/>
          <w:b/>
          <w:bCs/>
          <w:color w:val="auto"/>
          <w:sz w:val="22"/>
          <w:szCs w:val="22"/>
          <w:highlight w:val="none"/>
          <w:lang w:val="en-US" w:eastAsia="zh-CN"/>
        </w:rPr>
        <w:t>如因相关的法律法规变动（费用由第三方支付的），采购人有权终止合同。</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lang w:val="en-US" w:eastAsia="zh-CN"/>
        </w:rPr>
        <w:t>3）</w:t>
      </w:r>
      <w:r>
        <w:rPr>
          <w:rFonts w:hint="eastAsia" w:ascii="宋体" w:eastAsia="宋体" w:cs="宋体"/>
          <w:b w:val="0"/>
          <w:bCs w:val="0"/>
          <w:color w:val="auto"/>
          <w:sz w:val="22"/>
          <w:szCs w:val="22"/>
          <w:highlight w:val="none"/>
          <w:lang w:val="en-US" w:eastAsia="zh-CN"/>
        </w:rPr>
        <w:t>投标供应商应充分考虑经营风险，并尽可能地提供优惠的价格和优质的服务，以提高自身的竞争力。</w:t>
      </w:r>
    </w:p>
    <w:p>
      <w:pPr>
        <w:autoSpaceDE w:val="0"/>
        <w:autoSpaceDN w:val="0"/>
        <w:adjustRightInd w:val="0"/>
        <w:spacing w:line="460" w:lineRule="atLeast"/>
        <w:ind w:firstLine="442" w:firstLineChars="200"/>
        <w:rPr>
          <w:rFonts w:hint="eastAsia"/>
          <w:color w:val="auto"/>
          <w:highlight w:val="none"/>
          <w:lang w:val="en-US" w:eastAsia="zh-CN"/>
        </w:rPr>
      </w:pPr>
      <w:r>
        <w:rPr>
          <w:rFonts w:hint="eastAsia" w:ascii="宋体" w:hAnsi="宋体" w:cs="宋体"/>
          <w:b/>
          <w:color w:val="auto"/>
          <w:sz w:val="22"/>
          <w:szCs w:val="22"/>
          <w:highlight w:val="none"/>
        </w:rPr>
        <w:t>▲</w:t>
      </w:r>
      <w:r>
        <w:rPr>
          <w:rFonts w:hint="eastAsia" w:ascii="宋体" w:cs="宋体"/>
          <w:b w:val="0"/>
          <w:bCs w:val="0"/>
          <w:color w:val="auto"/>
          <w:sz w:val="22"/>
          <w:szCs w:val="22"/>
          <w:highlight w:val="none"/>
          <w:lang w:val="en-US" w:eastAsia="zh-CN"/>
        </w:rPr>
        <w:t>4）中标供应商不得向第三方收取任何的停车费用，提供承诺函（格式自拟）。</w:t>
      </w:r>
    </w:p>
    <w:p>
      <w:pPr>
        <w:autoSpaceDE w:val="0"/>
        <w:autoSpaceDN w:val="0"/>
        <w:adjustRightInd w:val="0"/>
        <w:spacing w:line="460" w:lineRule="atLeast"/>
        <w:ind w:firstLine="442" w:firstLineChars="200"/>
        <w:rPr>
          <w:rFonts w:hint="eastAsia" w:ascii="宋体" w:hAnsi="Times New Roman" w:eastAsia="宋体" w:cs="宋体"/>
          <w:b/>
          <w:bCs/>
          <w:color w:val="auto"/>
          <w:sz w:val="22"/>
          <w:szCs w:val="22"/>
          <w:highlight w:val="none"/>
          <w:lang w:val="en-US" w:eastAsia="zh-CN"/>
        </w:rPr>
      </w:pPr>
      <w:r>
        <w:rPr>
          <w:rFonts w:hint="eastAsia" w:ascii="宋体" w:hAnsi="Times New Roman" w:eastAsia="宋体" w:cs="宋体"/>
          <w:b/>
          <w:bCs/>
          <w:color w:val="auto"/>
          <w:sz w:val="22"/>
          <w:szCs w:val="22"/>
          <w:highlight w:val="none"/>
          <w:lang w:val="en-US" w:eastAsia="zh-CN"/>
        </w:rPr>
        <w:t>2.</w:t>
      </w:r>
      <w:r>
        <w:rPr>
          <w:rFonts w:hint="eastAsia" w:ascii="宋体" w:cs="宋体"/>
          <w:b/>
          <w:bCs/>
          <w:color w:val="auto"/>
          <w:sz w:val="22"/>
          <w:szCs w:val="22"/>
          <w:highlight w:val="none"/>
          <w:lang w:val="en-US" w:eastAsia="zh-CN"/>
        </w:rPr>
        <w:t>3</w:t>
      </w:r>
      <w:r>
        <w:rPr>
          <w:rFonts w:hint="eastAsia" w:ascii="宋体" w:hAnsi="Times New Roman" w:eastAsia="宋体" w:cs="宋体"/>
          <w:b/>
          <w:bCs/>
          <w:color w:val="auto"/>
          <w:sz w:val="22"/>
          <w:szCs w:val="22"/>
          <w:highlight w:val="none"/>
          <w:lang w:val="en-US" w:eastAsia="zh-CN"/>
        </w:rPr>
        <w:t>、</w:t>
      </w:r>
      <w:r>
        <w:rPr>
          <w:rFonts w:hint="eastAsia" w:ascii="宋体" w:cs="宋体"/>
          <w:b/>
          <w:bCs/>
          <w:color w:val="auto"/>
          <w:sz w:val="22"/>
          <w:szCs w:val="22"/>
          <w:highlight w:val="none"/>
          <w:lang w:val="en-US" w:eastAsia="zh-CN"/>
        </w:rPr>
        <w:t>详细</w:t>
      </w:r>
      <w:r>
        <w:rPr>
          <w:rFonts w:hint="eastAsia" w:ascii="宋体" w:hAnsi="Times New Roman" w:eastAsia="宋体" w:cs="宋体"/>
          <w:b/>
          <w:bCs/>
          <w:color w:val="auto"/>
          <w:sz w:val="22"/>
          <w:szCs w:val="22"/>
          <w:highlight w:val="none"/>
          <w:lang w:val="en-US" w:eastAsia="zh-CN"/>
        </w:rPr>
        <w:t>服务要求：</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（1）投标供应商须在永嘉县上塘、瓯北、岩头、沙头、乌牛、桥头、桥下、黄田</w:t>
      </w:r>
      <w:r>
        <w:rPr>
          <w:rFonts w:hint="eastAsia" w:ascii="宋体" w:eastAsia="宋体" w:cs="宋体"/>
          <w:b w:val="0"/>
          <w:bCs w:val="0"/>
          <w:color w:val="auto"/>
          <w:sz w:val="22"/>
          <w:szCs w:val="22"/>
          <w:highlight w:val="none"/>
          <w:lang w:val="en-US" w:eastAsia="zh-CN"/>
        </w:rPr>
        <w:t>等八个乡镇(街道)设置不少于8处（含）停车场所，停车场距离各镇交警中队直线距离不得超过1公里（岩头、桥下除外），且能满足采购人日常停放车辆需求。如暂时未在永嘉县本地设置停车场所的，须在中标后7天内办理完毕，如不能及时设置或设置不合格的将取消其中标资格。</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2）所有停车场面积要求：上塘周边设置不少于10亩，瓯北周边设置不少于6亩，黄田周边设置不少于6亩，乌牛周边设置不少于5亩，岩头周边设置不少于5亩，沙头周边设置不少于3亩，桥头周边设置不少于5亩，桥下周边设置不少于5亩。最终停车场的设置及位置需满足交警部门的日常需求。</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（3）停车场的地理位置需交通便利，导航可以标注，并设置指示牌。</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（4）投标时所承诺拟投入的所有停车场须在中标公示后7日历天内建设完成并投入使用，如未能及时设置或经采购人验收认定设置不合格的将取消其中标资格。</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（5）停车场内须安装车辆进、出场录音、录像设施，保证监控无死角，交警部门可远程查看实时监控及录像，便于随时掌握停车场的有关动态，储存时长不少于90日，相关费用由投标人自行考虑，综合报价。</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（6）停车场内须配备至少一台电脑，能与交警部门的涉案车辆管理系统进行对接。</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（7）停车场内须</w:t>
      </w:r>
      <w:r>
        <w:rPr>
          <w:rFonts w:hint="eastAsia" w:ascii="宋体" w:cs="宋体"/>
          <w:b w:val="0"/>
          <w:bCs w:val="0"/>
          <w:color w:val="auto"/>
          <w:sz w:val="22"/>
          <w:szCs w:val="22"/>
          <w:highlight w:val="none"/>
          <w:lang w:val="en-US" w:eastAsia="zh-CN"/>
        </w:rPr>
        <w:t>必须建立车辆出入登记台账、形成档案，</w:t>
      </w:r>
      <w:r>
        <w:rPr>
          <w:rFonts w:hint="eastAsia" w:ascii="宋体" w:eastAsia="宋体" w:cs="宋体"/>
          <w:b w:val="0"/>
          <w:bCs w:val="0"/>
          <w:color w:val="auto"/>
          <w:sz w:val="22"/>
          <w:szCs w:val="22"/>
          <w:highlight w:val="none"/>
          <w:lang w:val="en-US" w:eastAsia="zh-CN"/>
        </w:rPr>
        <w:t>设置明显的功能区分类标识，将违法暂扣、违停车辆、事故车辆、</w:t>
      </w:r>
      <w:r>
        <w:rPr>
          <w:rFonts w:hint="eastAsia" w:ascii="宋体" w:cs="宋体"/>
          <w:b w:val="0"/>
          <w:bCs w:val="0"/>
          <w:color w:val="auto"/>
          <w:sz w:val="22"/>
          <w:szCs w:val="22"/>
          <w:highlight w:val="none"/>
          <w:lang w:val="en-US" w:eastAsia="zh-CN"/>
        </w:rPr>
        <w:t>待处置区域</w:t>
      </w:r>
      <w:r>
        <w:rPr>
          <w:rFonts w:hint="eastAsia" w:ascii="宋体" w:eastAsia="宋体" w:cs="宋体"/>
          <w:b w:val="0"/>
          <w:bCs w:val="0"/>
          <w:color w:val="auto"/>
          <w:sz w:val="22"/>
          <w:szCs w:val="22"/>
          <w:highlight w:val="none"/>
          <w:lang w:val="en-US" w:eastAsia="zh-CN"/>
        </w:rPr>
        <w:t>进行分类停放</w:t>
      </w:r>
      <w:r>
        <w:rPr>
          <w:rFonts w:hint="eastAsia" w:ascii="宋体" w:cs="宋体"/>
          <w:b w:val="0"/>
          <w:bCs w:val="0"/>
          <w:color w:val="auto"/>
          <w:sz w:val="22"/>
          <w:szCs w:val="22"/>
          <w:highlight w:val="none"/>
          <w:lang w:val="en-US" w:eastAsia="zh-CN"/>
        </w:rPr>
        <w:t>，并将车辆按照时间分别停放，超出60天可进行拍卖的车辆，需在60天到期后10天内移至停车场待处置区域按时间顺序进行停放</w:t>
      </w:r>
      <w:r>
        <w:rPr>
          <w:rFonts w:hint="eastAsia" w:ascii="宋体" w:eastAsia="宋体" w:cs="宋体"/>
          <w:b w:val="0"/>
          <w:bCs w:val="0"/>
          <w:color w:val="auto"/>
          <w:sz w:val="22"/>
          <w:szCs w:val="22"/>
          <w:highlight w:val="none"/>
          <w:lang w:val="en-US" w:eastAsia="zh-CN"/>
        </w:rPr>
        <w:t>。</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w:t>
      </w:r>
      <w:r>
        <w:rPr>
          <w:rFonts w:hint="eastAsia" w:ascii="宋体" w:cs="宋体"/>
          <w:b w:val="0"/>
          <w:bCs w:val="0"/>
          <w:color w:val="auto"/>
          <w:sz w:val="22"/>
          <w:szCs w:val="22"/>
          <w:highlight w:val="none"/>
          <w:lang w:val="en-US" w:eastAsia="zh-CN"/>
        </w:rPr>
        <w:t>8</w:t>
      </w:r>
      <w:r>
        <w:rPr>
          <w:rFonts w:hint="eastAsia" w:ascii="宋体" w:eastAsia="宋体" w:cs="宋体"/>
          <w:b w:val="0"/>
          <w:bCs w:val="0"/>
          <w:color w:val="auto"/>
          <w:sz w:val="22"/>
          <w:szCs w:val="22"/>
          <w:highlight w:val="none"/>
          <w:lang w:val="en-US" w:eastAsia="zh-CN"/>
        </w:rPr>
        <w:t>）做好停车场内防火、防盗、防灾（洪水、台风等自然灾害）、防事故（人为破坏等）等的安全防范措施及应急服务措施。发生任何安全事故的，一切责任及经济损失由中标供应商自行承担。</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w:t>
      </w:r>
      <w:r>
        <w:rPr>
          <w:rFonts w:hint="eastAsia" w:ascii="宋体" w:cs="宋体"/>
          <w:b w:val="0"/>
          <w:bCs w:val="0"/>
          <w:color w:val="auto"/>
          <w:sz w:val="22"/>
          <w:szCs w:val="22"/>
          <w:highlight w:val="none"/>
          <w:lang w:val="en-US" w:eastAsia="zh-CN"/>
        </w:rPr>
        <w:t>9</w:t>
      </w:r>
      <w:r>
        <w:rPr>
          <w:rFonts w:hint="eastAsia" w:ascii="宋体" w:eastAsia="宋体" w:cs="宋体"/>
          <w:b w:val="0"/>
          <w:bCs w:val="0"/>
          <w:color w:val="auto"/>
          <w:sz w:val="22"/>
          <w:szCs w:val="22"/>
          <w:highlight w:val="none"/>
          <w:lang w:val="en-US" w:eastAsia="zh-CN"/>
        </w:rPr>
        <w:t>）停车场长期处于饱和状态致使被拖曳车辆无法按规定进入现有停车场停放，经采购人通知要求整改后，</w:t>
      </w:r>
      <w:r>
        <w:rPr>
          <w:rFonts w:hint="eastAsia" w:ascii="宋体" w:cs="宋体"/>
          <w:b w:val="0"/>
          <w:bCs w:val="0"/>
          <w:color w:val="auto"/>
          <w:sz w:val="22"/>
          <w:szCs w:val="22"/>
          <w:highlight w:val="none"/>
          <w:lang w:val="en-US" w:eastAsia="zh-CN"/>
        </w:rPr>
        <w:t>中标供应商</w:t>
      </w:r>
      <w:r>
        <w:rPr>
          <w:rFonts w:hint="eastAsia" w:ascii="宋体" w:eastAsia="宋体" w:cs="宋体"/>
          <w:b w:val="0"/>
          <w:bCs w:val="0"/>
          <w:color w:val="auto"/>
          <w:sz w:val="22"/>
          <w:szCs w:val="22"/>
          <w:highlight w:val="none"/>
          <w:lang w:val="en-US" w:eastAsia="zh-CN"/>
        </w:rPr>
        <w:t>又不能按要求增设停车场的，在月度结算时扣除当月结算费用的10%作为处罚，直至停车场满足需求为止。</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cs="宋体"/>
          <w:b w:val="0"/>
          <w:bCs w:val="0"/>
          <w:color w:val="auto"/>
          <w:sz w:val="22"/>
          <w:szCs w:val="22"/>
          <w:lang w:val="en-US" w:eastAsia="zh-CN"/>
        </w:rPr>
        <w:t>（10）</w:t>
      </w:r>
      <w:r>
        <w:rPr>
          <w:rFonts w:hint="eastAsia" w:ascii="宋体" w:eastAsia="宋体" w:cs="宋体"/>
          <w:b w:val="0"/>
          <w:bCs w:val="0"/>
          <w:color w:val="auto"/>
          <w:sz w:val="22"/>
          <w:szCs w:val="22"/>
          <w:lang w:val="en-US" w:eastAsia="zh-CN"/>
        </w:rPr>
        <w:t>事故、违章车辆统一拖至投标供应商的停车场所，按照采购人的要求统一保管。</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w:t>
      </w:r>
      <w:r>
        <w:rPr>
          <w:rFonts w:hint="eastAsia" w:ascii="宋体" w:cs="宋体"/>
          <w:b w:val="0"/>
          <w:bCs w:val="0"/>
          <w:color w:val="auto"/>
          <w:sz w:val="22"/>
          <w:szCs w:val="22"/>
          <w:lang w:val="en-US" w:eastAsia="zh-CN"/>
        </w:rPr>
        <w:t>11</w:t>
      </w:r>
      <w:r>
        <w:rPr>
          <w:rFonts w:hint="eastAsia" w:ascii="宋体" w:eastAsia="宋体" w:cs="宋体"/>
          <w:b w:val="0"/>
          <w:bCs w:val="0"/>
          <w:color w:val="auto"/>
          <w:sz w:val="22"/>
          <w:szCs w:val="22"/>
          <w:lang w:val="en-US" w:eastAsia="zh-CN"/>
        </w:rPr>
        <w:t>）车辆的拖离和取出必须按照交警部门的相关程序和要求执行。</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w:t>
      </w:r>
      <w:r>
        <w:rPr>
          <w:rFonts w:hint="eastAsia" w:ascii="宋体" w:cs="宋体"/>
          <w:b w:val="0"/>
          <w:bCs w:val="0"/>
          <w:color w:val="auto"/>
          <w:sz w:val="22"/>
          <w:szCs w:val="22"/>
          <w:lang w:val="en-US" w:eastAsia="zh-CN"/>
        </w:rPr>
        <w:t>12</w:t>
      </w:r>
      <w:r>
        <w:rPr>
          <w:rFonts w:hint="eastAsia" w:ascii="宋体" w:eastAsia="宋体" w:cs="宋体"/>
          <w:b w:val="0"/>
          <w:bCs w:val="0"/>
          <w:color w:val="auto"/>
          <w:sz w:val="22"/>
          <w:szCs w:val="22"/>
          <w:lang w:val="en-US" w:eastAsia="zh-CN"/>
        </w:rPr>
        <w:t>）投标供应商必须按要求加强与采购人指定的停车场的日常交接车管理。</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w:t>
      </w:r>
      <w:r>
        <w:rPr>
          <w:rFonts w:hint="eastAsia" w:ascii="宋体" w:cs="宋体"/>
          <w:b w:val="0"/>
          <w:bCs w:val="0"/>
          <w:color w:val="auto"/>
          <w:sz w:val="22"/>
          <w:szCs w:val="22"/>
          <w:lang w:val="en-US" w:eastAsia="zh-CN"/>
        </w:rPr>
        <w:t>13</w:t>
      </w:r>
      <w:r>
        <w:rPr>
          <w:rFonts w:hint="eastAsia" w:ascii="宋体" w:eastAsia="宋体" w:cs="宋体"/>
          <w:b w:val="0"/>
          <w:bCs w:val="0"/>
          <w:color w:val="auto"/>
          <w:sz w:val="22"/>
          <w:szCs w:val="22"/>
          <w:lang w:val="en-US" w:eastAsia="zh-CN"/>
        </w:rPr>
        <w:t>）投标供应商必须建立完善的车辆保管管理制度</w:t>
      </w:r>
      <w:r>
        <w:rPr>
          <w:rFonts w:hint="eastAsia" w:ascii="宋体" w:cs="宋体"/>
          <w:b w:val="0"/>
          <w:bCs w:val="0"/>
          <w:color w:val="auto"/>
          <w:sz w:val="22"/>
          <w:szCs w:val="22"/>
          <w:lang w:val="en-US" w:eastAsia="zh-CN"/>
        </w:rPr>
        <w:t>和</w:t>
      </w:r>
      <w:r>
        <w:rPr>
          <w:rFonts w:hint="eastAsia" w:ascii="宋体" w:eastAsia="宋体" w:cs="宋体"/>
          <w:b w:val="0"/>
          <w:bCs w:val="0"/>
          <w:color w:val="auto"/>
          <w:sz w:val="22"/>
          <w:szCs w:val="22"/>
          <w:lang w:val="en-US" w:eastAsia="zh-CN"/>
        </w:rPr>
        <w:t>安全管理制度，以确保杜绝在保管过程中安全事故的发生,确保保持车辆被扣留时的原有状态。在保管服务过程中发生的一切损失（自然老化的除外）由投标供应商自行承担。</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w:t>
      </w:r>
      <w:r>
        <w:rPr>
          <w:rFonts w:hint="eastAsia" w:ascii="宋体" w:cs="宋体"/>
          <w:b w:val="0"/>
          <w:bCs w:val="0"/>
          <w:color w:val="auto"/>
          <w:sz w:val="22"/>
          <w:szCs w:val="22"/>
          <w:lang w:val="en-US" w:eastAsia="zh-CN"/>
        </w:rPr>
        <w:t>14</w:t>
      </w:r>
      <w:r>
        <w:rPr>
          <w:rFonts w:hint="eastAsia" w:ascii="宋体" w:eastAsia="宋体" w:cs="宋体"/>
          <w:b w:val="0"/>
          <w:bCs w:val="0"/>
          <w:color w:val="auto"/>
          <w:sz w:val="22"/>
          <w:szCs w:val="22"/>
          <w:lang w:val="en-US" w:eastAsia="zh-CN"/>
        </w:rPr>
        <w:t>）投标供应商的所有人员在上岗服务时必须统一着装，佩戴相应的工作证件，并配备必要的劳动及安全防护设施。</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lang w:val="en-US" w:eastAsia="zh-CN"/>
        </w:rPr>
        <w:t>（</w:t>
      </w:r>
      <w:r>
        <w:rPr>
          <w:rFonts w:hint="eastAsia" w:ascii="宋体" w:cs="宋体"/>
          <w:b w:val="0"/>
          <w:bCs w:val="0"/>
          <w:color w:val="auto"/>
          <w:sz w:val="22"/>
          <w:szCs w:val="22"/>
          <w:lang w:val="en-US" w:eastAsia="zh-CN"/>
        </w:rPr>
        <w:t>15</w:t>
      </w:r>
      <w:r>
        <w:rPr>
          <w:rFonts w:hint="eastAsia" w:ascii="宋体" w:eastAsia="宋体" w:cs="宋体"/>
          <w:b w:val="0"/>
          <w:bCs w:val="0"/>
          <w:color w:val="auto"/>
          <w:sz w:val="22"/>
          <w:szCs w:val="22"/>
          <w:lang w:val="en-US" w:eastAsia="zh-CN"/>
        </w:rPr>
        <w:t>）投</w:t>
      </w:r>
      <w:r>
        <w:rPr>
          <w:rFonts w:hint="eastAsia" w:ascii="宋体" w:eastAsia="宋体" w:cs="宋体"/>
          <w:b w:val="0"/>
          <w:bCs w:val="0"/>
          <w:color w:val="auto"/>
          <w:sz w:val="22"/>
          <w:szCs w:val="22"/>
          <w:highlight w:val="none"/>
          <w:lang w:val="en-US" w:eastAsia="zh-CN"/>
        </w:rPr>
        <w:t>标供应商必须保证设备和人员等数量满足实际的服务需要，以保证最终服务的高质、高效。相关费用由投标供应商自行承担。</w:t>
      </w:r>
    </w:p>
    <w:p>
      <w:pPr>
        <w:autoSpaceDE w:val="0"/>
        <w:autoSpaceDN w:val="0"/>
        <w:adjustRightInd w:val="0"/>
        <w:spacing w:line="460" w:lineRule="atLeast"/>
        <w:ind w:firstLine="440" w:firstLineChars="200"/>
        <w:rPr>
          <w:rFonts w:hint="eastAsia"/>
          <w:color w:val="auto"/>
          <w:highlight w:val="none"/>
          <w:lang w:val="en-US" w:eastAsia="zh-CN"/>
        </w:rPr>
      </w:pPr>
      <w:r>
        <w:rPr>
          <w:rFonts w:hint="eastAsia" w:ascii="宋体" w:eastAsia="宋体" w:cs="宋体"/>
          <w:b w:val="0"/>
          <w:bCs w:val="0"/>
          <w:color w:val="auto"/>
          <w:sz w:val="22"/>
          <w:szCs w:val="22"/>
          <w:highlight w:val="none"/>
          <w:lang w:val="en-US" w:eastAsia="zh-CN"/>
        </w:rPr>
        <w:t>（1</w:t>
      </w:r>
      <w:r>
        <w:rPr>
          <w:rFonts w:hint="eastAsia" w:ascii="宋体" w:cs="宋体"/>
          <w:b w:val="0"/>
          <w:bCs w:val="0"/>
          <w:color w:val="auto"/>
          <w:sz w:val="22"/>
          <w:szCs w:val="22"/>
          <w:highlight w:val="none"/>
          <w:lang w:val="en-US" w:eastAsia="zh-CN"/>
        </w:rPr>
        <w:t>6</w:t>
      </w:r>
      <w:r>
        <w:rPr>
          <w:rFonts w:hint="eastAsia" w:ascii="宋体" w:eastAsia="宋体" w:cs="宋体"/>
          <w:b w:val="0"/>
          <w:bCs w:val="0"/>
          <w:color w:val="auto"/>
          <w:sz w:val="22"/>
          <w:szCs w:val="22"/>
          <w:highlight w:val="none"/>
          <w:lang w:val="en-US" w:eastAsia="zh-CN"/>
        </w:rPr>
        <w:t>）为保证维护质量，服务方须自行提供互联网电脑和智能手机等终端设备，与采购方的“扣车管理系统”相关平台对接，实行车辆保管登记信息一致，保证实时通讯。服务方从业人员要具备相应的计算机操作及系统应用能力，能熟练完成车辆进出停车场、信息核对、查询统计等操作。</w:t>
      </w:r>
    </w:p>
    <w:p>
      <w:pPr>
        <w:snapToGrid w:val="0"/>
        <w:spacing w:line="460" w:lineRule="exact"/>
        <w:ind w:firstLine="440" w:firstLineChars="200"/>
        <w:rPr>
          <w:rFonts w:hint="eastAsia" w:ascii="宋体" w:hAnsi="宋体" w:cs="宋体"/>
          <w:b/>
          <w:color w:val="auto"/>
          <w:sz w:val="22"/>
          <w:szCs w:val="22"/>
          <w:highlight w:val="none"/>
        </w:rPr>
      </w:pPr>
      <w:r>
        <w:rPr>
          <w:rFonts w:hint="eastAsia" w:ascii="宋体" w:hAnsi="宋体" w:eastAsia="宋体" w:cs="宋体"/>
          <w:color w:val="auto"/>
          <w:sz w:val="22"/>
          <w:szCs w:val="22"/>
          <w:highlight w:val="none"/>
          <w:lang w:eastAsia="zh-CN"/>
        </w:rPr>
        <w:t>三</w:t>
      </w:r>
      <w:r>
        <w:rPr>
          <w:rFonts w:hint="eastAsia" w:ascii="宋体" w:hAnsi="宋体" w:eastAsia="宋体" w:cs="宋体"/>
          <w:color w:val="auto"/>
          <w:sz w:val="22"/>
          <w:szCs w:val="22"/>
          <w:highlight w:val="none"/>
        </w:rPr>
        <w:t>、</w:t>
      </w:r>
      <w:r>
        <w:rPr>
          <w:rFonts w:hint="eastAsia" w:ascii="宋体" w:hAnsi="宋体" w:cs="宋体"/>
          <w:b/>
          <w:color w:val="auto"/>
          <w:sz w:val="22"/>
          <w:szCs w:val="22"/>
          <w:highlight w:val="none"/>
        </w:rPr>
        <w:t>商务要求</w:t>
      </w:r>
    </w:p>
    <w:p>
      <w:pPr>
        <w:snapToGrid w:val="0"/>
        <w:spacing w:line="4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▲1、报价要求（本条要求均为实质性要求,任何负偏离都作无效标处理）</w:t>
      </w:r>
    </w:p>
    <w:p>
      <w:pPr>
        <w:autoSpaceDE w:val="0"/>
        <w:autoSpaceDN w:val="0"/>
        <w:adjustRightInd w:val="0"/>
        <w:spacing w:line="460" w:lineRule="atLeast"/>
        <w:ind w:firstLine="660" w:firstLineChars="300"/>
        <w:rPr>
          <w:rFonts w:hint="eastAsia" w:ascii="宋体" w:hAnsi="Times New Roman" w:eastAsia="宋体" w:cs="宋体"/>
          <w:b w:val="0"/>
          <w:bCs w:val="0"/>
          <w:color w:val="auto"/>
          <w:sz w:val="22"/>
          <w:szCs w:val="22"/>
          <w:highlight w:val="none"/>
          <w:lang w:val="en-US" w:eastAsia="zh-CN"/>
        </w:rPr>
      </w:pPr>
      <w:r>
        <w:rPr>
          <w:rFonts w:hint="eastAsia" w:ascii="宋体" w:hAnsi="Times New Roman" w:eastAsia="宋体" w:cs="宋体"/>
          <w:b w:val="0"/>
          <w:bCs w:val="0"/>
          <w:color w:val="auto"/>
          <w:sz w:val="22"/>
          <w:szCs w:val="22"/>
          <w:highlight w:val="none"/>
          <w:lang w:val="en-US" w:eastAsia="zh-CN"/>
        </w:rPr>
        <w:t>本项目投标供应商报价应为承包完成</w:t>
      </w:r>
      <w:r>
        <w:rPr>
          <w:rFonts w:hint="eastAsia" w:ascii="宋体" w:cs="宋体"/>
          <w:b w:val="0"/>
          <w:bCs w:val="0"/>
          <w:color w:val="auto"/>
          <w:sz w:val="22"/>
          <w:szCs w:val="22"/>
          <w:highlight w:val="none"/>
          <w:lang w:val="en-US" w:eastAsia="zh-CN"/>
        </w:rPr>
        <w:t>下述</w:t>
      </w:r>
      <w:r>
        <w:rPr>
          <w:rFonts w:hint="eastAsia" w:ascii="宋体" w:hAnsi="Times New Roman" w:eastAsia="宋体" w:cs="宋体"/>
          <w:b w:val="0"/>
          <w:bCs w:val="0"/>
          <w:color w:val="auto"/>
          <w:sz w:val="22"/>
          <w:szCs w:val="22"/>
          <w:highlight w:val="none"/>
          <w:lang w:val="en-US" w:eastAsia="zh-CN"/>
        </w:rPr>
        <w:t>所规定服务内容的全部工作所发生的服务费，并承担一切风险责任。投标报价包括在提供拖曳服务及车辆保管所需的一切人员的符合国家规定的工资、福利、各种加班费、误餐费、各种社会保险、食宿与交通、设备及工具、器材、服装、安全、管理费用、税费、利润、拖车费、油费、维修费、场地使用费、车辆保管费（当事人未按交警部门要求及时领取车辆部分除外）等完成合同所需的一切本身和不可或缺的所有工作开支、政策性文件规定及合同包含的所有风险、责任等各项全部费用并承担一切风险责任。</w:t>
      </w:r>
    </w:p>
    <w:p>
      <w:pPr>
        <w:autoSpaceDE w:val="0"/>
        <w:autoSpaceDN w:val="0"/>
        <w:adjustRightInd w:val="0"/>
        <w:spacing w:line="460" w:lineRule="atLeas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hAnsi="Times New Roman" w:eastAsia="宋体" w:cs="宋体"/>
          <w:b w:val="0"/>
          <w:bCs w:val="0"/>
          <w:color w:val="auto"/>
          <w:sz w:val="22"/>
          <w:szCs w:val="22"/>
          <w:highlight w:val="none"/>
          <w:lang w:val="en-US" w:eastAsia="zh-CN"/>
        </w:rPr>
        <w:t>（1）</w:t>
      </w:r>
      <w:r>
        <w:rPr>
          <w:rFonts w:hint="eastAsia" w:ascii="宋体" w:hAnsi="宋体" w:eastAsia="宋体" w:cs="宋体"/>
          <w:b/>
          <w:bCs/>
          <w:color w:val="auto"/>
          <w:sz w:val="24"/>
          <w:szCs w:val="24"/>
          <w:highlight w:val="none"/>
          <w:lang w:eastAsia="zh-CN"/>
        </w:rPr>
        <w:t>道路交通车辆拖</w:t>
      </w:r>
      <w:r>
        <w:rPr>
          <w:rFonts w:hint="eastAsia" w:ascii="宋体" w:hAnsi="宋体" w:cs="宋体"/>
          <w:b/>
          <w:bCs/>
          <w:color w:val="auto"/>
          <w:sz w:val="24"/>
          <w:szCs w:val="24"/>
          <w:highlight w:val="none"/>
          <w:lang w:eastAsia="zh-CN"/>
        </w:rPr>
        <w:t>曳</w:t>
      </w:r>
      <w:r>
        <w:rPr>
          <w:rFonts w:hint="eastAsia" w:ascii="宋体" w:hAnsi="宋体" w:eastAsia="宋体" w:cs="宋体"/>
          <w:b/>
          <w:bCs/>
          <w:color w:val="auto"/>
          <w:sz w:val="24"/>
          <w:szCs w:val="24"/>
          <w:highlight w:val="none"/>
          <w:lang w:eastAsia="zh-CN"/>
        </w:rPr>
        <w:t>服务</w:t>
      </w:r>
      <w:r>
        <w:rPr>
          <w:rFonts w:hint="eastAsia" w:ascii="宋体" w:hAnsi="Times New Roman"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val="en-US" w:eastAsia="zh-CN"/>
        </w:rPr>
        <w:t>拖车的交通违法车辆（含因交通事故暂扣车辆）选取所有城区内服务单价、城区外服务单价、清障车（待命、作业）服务单价作为商务计算使用</w:t>
      </w:r>
      <w:r>
        <w:rPr>
          <w:rFonts w:hint="eastAsia" w:ascii="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val="en-US" w:eastAsia="zh-CN"/>
        </w:rPr>
        <w:t>由采购人按拖车数量与拖车单价进行结算，一季度结算一次，由采购人核实支付</w:t>
      </w:r>
      <w:r>
        <w:rPr>
          <w:rFonts w:hint="eastAsia" w:ascii="宋体" w:cs="宋体"/>
          <w:b w:val="0"/>
          <w:bCs w:val="0"/>
          <w:color w:val="auto"/>
          <w:sz w:val="22"/>
          <w:szCs w:val="22"/>
          <w:highlight w:val="none"/>
          <w:lang w:val="en-US" w:eastAsia="zh-CN"/>
        </w:rPr>
        <w:t>，</w:t>
      </w:r>
      <w:r>
        <w:rPr>
          <w:rFonts w:hint="eastAsia" w:ascii="宋体" w:hAnsi="Times New Roman" w:eastAsia="宋体" w:cs="宋体"/>
          <w:b w:val="0"/>
          <w:bCs w:val="0"/>
          <w:color w:val="auto"/>
          <w:sz w:val="22"/>
          <w:szCs w:val="22"/>
          <w:highlight w:val="none"/>
          <w:lang w:val="en-US" w:eastAsia="zh-CN"/>
        </w:rPr>
        <w:t>投标人应根据上述因素自行考虑含入单价。</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hAnsi="Times New Roman" w:eastAsia="宋体" w:cs="宋体"/>
          <w:b w:val="0"/>
          <w:bCs w:val="0"/>
          <w:color w:val="auto"/>
          <w:sz w:val="22"/>
          <w:szCs w:val="22"/>
          <w:highlight w:val="none"/>
          <w:lang w:val="en-US" w:eastAsia="zh-CN"/>
        </w:rPr>
        <w:t>（2）交通事故、违法车辆扣留后的保管服务：</w:t>
      </w:r>
      <w:r>
        <w:rPr>
          <w:rFonts w:hint="eastAsia" w:ascii="宋体" w:eastAsia="宋体" w:cs="宋体"/>
          <w:b w:val="0"/>
          <w:bCs w:val="0"/>
          <w:color w:val="auto"/>
          <w:sz w:val="22"/>
          <w:szCs w:val="22"/>
          <w:highlight w:val="none"/>
          <w:lang w:val="en-US" w:eastAsia="zh-CN"/>
        </w:rPr>
        <w:t>在保证服务质量与最精简优化人员配备的前提下，实行费用包干</w:t>
      </w:r>
      <w:r>
        <w:rPr>
          <w:rFonts w:hint="eastAsia" w:ascii="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val="en-US" w:eastAsia="zh-CN"/>
        </w:rPr>
        <w:t>除招标文件特殊说明外，供应商的报价应包括为完成本项目服务可能发生的全部费用及供应商的利润和应交纳的税金等（包括人员工资、各种社会保险、人员的伙食费与交通、住宿、折旧费、场地的租赁费、场地的建设费用、办公费等）。供应商对合同内容的费用、质量、安全、文明服务等实行全面承包。</w:t>
      </w:r>
      <w:r>
        <w:rPr>
          <w:rFonts w:hint="eastAsia" w:ascii="宋体" w:eastAsia="宋体" w:cs="宋体"/>
          <w:b w:val="0"/>
          <w:bCs w:val="0"/>
          <w:color w:val="auto"/>
          <w:sz w:val="22"/>
          <w:szCs w:val="22"/>
          <w:highlight w:val="none"/>
          <w:u w:val="single"/>
          <w:lang w:val="en-US" w:eastAsia="zh-CN"/>
        </w:rPr>
        <w:t>报价为</w:t>
      </w:r>
      <w:r>
        <w:rPr>
          <w:rFonts w:hint="eastAsia" w:ascii="宋体" w:cs="宋体"/>
          <w:b w:val="0"/>
          <w:bCs w:val="0"/>
          <w:color w:val="auto"/>
          <w:sz w:val="22"/>
          <w:szCs w:val="22"/>
          <w:highlight w:val="none"/>
          <w:u w:val="single"/>
          <w:lang w:val="en-US" w:eastAsia="zh-CN"/>
        </w:rPr>
        <w:t>36</w:t>
      </w:r>
      <w:r>
        <w:rPr>
          <w:rFonts w:hint="eastAsia" w:ascii="宋体" w:eastAsia="宋体" w:cs="宋体"/>
          <w:b w:val="0"/>
          <w:bCs w:val="0"/>
          <w:color w:val="auto"/>
          <w:sz w:val="22"/>
          <w:szCs w:val="22"/>
          <w:highlight w:val="none"/>
          <w:u w:val="single"/>
          <w:lang w:val="en-US" w:eastAsia="zh-CN"/>
        </w:rPr>
        <w:t>个月内的总费用。</w:t>
      </w:r>
    </w:p>
    <w:p>
      <w:pPr>
        <w:snapToGrid w:val="0"/>
        <w:spacing w:line="4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▲2、</w:t>
      </w:r>
      <w:r>
        <w:rPr>
          <w:rFonts w:hint="eastAsia" w:ascii="宋体" w:hAnsi="宋体" w:cs="宋体"/>
          <w:b/>
          <w:color w:val="auto"/>
          <w:sz w:val="22"/>
          <w:szCs w:val="22"/>
          <w:highlight w:val="none"/>
          <w:lang w:eastAsia="zh-CN"/>
        </w:rPr>
        <w:t>付款方式</w:t>
      </w:r>
    </w:p>
    <w:p>
      <w:pPr>
        <w:autoSpaceDE w:val="0"/>
        <w:autoSpaceDN w:val="0"/>
        <w:adjustRightInd w:val="0"/>
        <w:spacing w:line="460" w:lineRule="atLeas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hAnsi="Times New Roman" w:eastAsia="宋体" w:cs="宋体"/>
          <w:b w:val="0"/>
          <w:bCs w:val="0"/>
          <w:color w:val="auto"/>
          <w:sz w:val="22"/>
          <w:szCs w:val="22"/>
          <w:highlight w:val="none"/>
          <w:lang w:val="en-US" w:eastAsia="zh-CN"/>
        </w:rPr>
        <w:t>（1）</w:t>
      </w:r>
      <w:r>
        <w:rPr>
          <w:rFonts w:hint="eastAsia" w:ascii="宋体" w:hAnsi="宋体" w:eastAsia="宋体" w:cs="宋体"/>
          <w:b/>
          <w:bCs/>
          <w:color w:val="auto"/>
          <w:sz w:val="24"/>
          <w:szCs w:val="24"/>
          <w:highlight w:val="none"/>
          <w:lang w:eastAsia="zh-CN"/>
        </w:rPr>
        <w:t>道路交通车辆拖</w:t>
      </w:r>
      <w:r>
        <w:rPr>
          <w:rFonts w:hint="eastAsia" w:ascii="宋体" w:hAnsi="宋体" w:cs="宋体"/>
          <w:b/>
          <w:bCs/>
          <w:color w:val="auto"/>
          <w:sz w:val="24"/>
          <w:szCs w:val="24"/>
          <w:highlight w:val="none"/>
          <w:lang w:eastAsia="zh-CN"/>
        </w:rPr>
        <w:t>曳</w:t>
      </w:r>
      <w:r>
        <w:rPr>
          <w:rFonts w:hint="eastAsia" w:ascii="宋体" w:hAnsi="宋体" w:eastAsia="宋体" w:cs="宋体"/>
          <w:b/>
          <w:bCs/>
          <w:color w:val="auto"/>
          <w:sz w:val="24"/>
          <w:szCs w:val="24"/>
          <w:highlight w:val="none"/>
          <w:lang w:eastAsia="zh-CN"/>
        </w:rPr>
        <w:t>服务</w:t>
      </w:r>
      <w:r>
        <w:rPr>
          <w:rFonts w:hint="eastAsia" w:ascii="宋体" w:hAnsi="Times New Roman" w:eastAsia="宋体" w:cs="宋体"/>
          <w:b w:val="0"/>
          <w:bCs w:val="0"/>
          <w:color w:val="auto"/>
          <w:sz w:val="22"/>
          <w:szCs w:val="22"/>
          <w:highlight w:val="none"/>
          <w:lang w:val="en-US" w:eastAsia="zh-CN"/>
        </w:rPr>
        <w:t>：拖车的交通违法车辆（含因交通事故暂扣车辆），由采购人按拖车数量与拖车单价进行结算，一季度结算一次，由采购人核实支付。其他车辆、物品的扣押清运费用包含在内，不再另行结算。支付金额超出采购人年预算金额的，采购人不再另行支付。</w:t>
      </w:r>
    </w:p>
    <w:p>
      <w:pPr>
        <w:autoSpaceDE w:val="0"/>
        <w:autoSpaceDN w:val="0"/>
        <w:adjustRightInd w:val="0"/>
        <w:spacing w:line="460" w:lineRule="atLeas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hAnsi="Times New Roman" w:eastAsia="宋体" w:cs="宋体"/>
          <w:b w:val="0"/>
          <w:bCs w:val="0"/>
          <w:color w:val="auto"/>
          <w:sz w:val="22"/>
          <w:szCs w:val="22"/>
          <w:highlight w:val="none"/>
          <w:lang w:val="en-US" w:eastAsia="zh-CN"/>
        </w:rPr>
        <w:t>（2）交通事故、违法车辆扣留后的保管服务：车辆保管服务中标金额每年分开两次支付，支付时间为每年1月、7月，每次支付金额为中标金额的</w:t>
      </w:r>
      <w:r>
        <w:rPr>
          <w:rFonts w:hint="eastAsia" w:ascii="宋体" w:cs="宋体"/>
          <w:b w:val="0"/>
          <w:bCs w:val="0"/>
          <w:color w:val="auto"/>
          <w:sz w:val="22"/>
          <w:szCs w:val="22"/>
          <w:highlight w:val="none"/>
          <w:lang w:val="en-US" w:eastAsia="zh-CN"/>
        </w:rPr>
        <w:t>1/6</w:t>
      </w:r>
      <w:r>
        <w:rPr>
          <w:rFonts w:hint="eastAsia" w:ascii="宋体" w:hAnsi="Times New Roman" w:eastAsia="宋体" w:cs="宋体"/>
          <w:b w:val="0"/>
          <w:bCs w:val="0"/>
          <w:color w:val="auto"/>
          <w:sz w:val="22"/>
          <w:szCs w:val="22"/>
          <w:highlight w:val="none"/>
          <w:lang w:val="en-US" w:eastAsia="zh-CN"/>
        </w:rPr>
        <w:t>。</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注；根据《浙江省财政厅关于坚决打赢疫情防控狙击战进一步做好政府采购资金支持企业发展工作的通知》（浙财采监〔2020〕3号）、《永嘉县财政局关于做好政府采购相关工作应对新冠肺炎疫情支持中小企业共渡难关的通知》（永财采监〔2020〕47号）、《浙江省财政厅关于进一步发挥政府采购政策功能全力推动经济稳进提质的通知》（浙财采监〔2022〕3号）执行预付款制度（小微企业中标的不少于20%）,具体预付款支付比例应当在合同中约定。</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如采购人无法按上述约定期限支付对应款项的,采购人与中标供应商根据实际情况另行协商确定付款时间,中标供应商确认不因采购人延期付款的情形要求采购人承担逾期付款利息等违约责任。</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因财政国库库款能力不足等情势变更情况导致无法执行相关文件要求的支付比例,采购人与中标供应商应根据实际情况另行协商约定。</w:t>
      </w:r>
    </w:p>
    <w:p>
      <w:pPr>
        <w:snapToGrid w:val="0"/>
        <w:spacing w:line="4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3</w:t>
      </w:r>
      <w:r>
        <w:rPr>
          <w:rFonts w:hint="eastAsia" w:ascii="宋体" w:hAnsi="宋体" w:cs="宋体"/>
          <w:b/>
          <w:color w:val="auto"/>
          <w:sz w:val="22"/>
          <w:szCs w:val="22"/>
          <w:highlight w:val="none"/>
        </w:rPr>
        <w:t>、</w:t>
      </w:r>
      <w:r>
        <w:rPr>
          <w:rFonts w:hint="eastAsia" w:ascii="宋体" w:hAnsi="宋体" w:cs="宋体"/>
          <w:b/>
          <w:color w:val="auto"/>
          <w:sz w:val="22"/>
          <w:szCs w:val="22"/>
          <w:highlight w:val="none"/>
          <w:lang w:eastAsia="zh-CN"/>
        </w:rPr>
        <w:t>应急处置要求</w:t>
      </w:r>
    </w:p>
    <w:p>
      <w:pPr>
        <w:snapToGrid w:val="0"/>
        <w:spacing w:line="460" w:lineRule="exac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hAnsi="Times New Roman" w:eastAsia="宋体" w:cs="宋体"/>
          <w:b w:val="0"/>
          <w:bCs w:val="0"/>
          <w:color w:val="auto"/>
          <w:sz w:val="22"/>
          <w:szCs w:val="22"/>
          <w:highlight w:val="none"/>
          <w:lang w:val="en-US" w:eastAsia="zh-CN"/>
        </w:rPr>
        <w:t>（1）中标供应商须根据采购人要求及突发情况24小时待命。</w:t>
      </w:r>
    </w:p>
    <w:p>
      <w:pPr>
        <w:snapToGrid w:val="0"/>
        <w:spacing w:line="460" w:lineRule="exac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lang w:val="en-US" w:eastAsia="zh-CN"/>
        </w:rPr>
        <w:t>（2）</w:t>
      </w:r>
      <w:r>
        <w:rPr>
          <w:rFonts w:hint="eastAsia" w:ascii="宋体" w:hAnsi="Times New Roman" w:eastAsia="宋体" w:cs="宋体"/>
          <w:b w:val="0"/>
          <w:bCs w:val="0"/>
          <w:color w:val="auto"/>
          <w:sz w:val="22"/>
          <w:szCs w:val="22"/>
          <w:highlight w:val="none"/>
          <w:lang w:val="en-US" w:eastAsia="zh-CN"/>
        </w:rPr>
        <w:t>服务人员需要配备相关作业所需物资应对应急事件。</w:t>
      </w:r>
    </w:p>
    <w:p>
      <w:pPr>
        <w:snapToGrid w:val="0"/>
        <w:spacing w:line="460" w:lineRule="exac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lang w:val="en-US" w:eastAsia="zh-CN"/>
        </w:rPr>
        <w:t>（3）</w:t>
      </w:r>
      <w:r>
        <w:rPr>
          <w:rFonts w:hint="eastAsia" w:ascii="宋体" w:hAnsi="Times New Roman" w:eastAsia="宋体" w:cs="宋体"/>
          <w:b w:val="0"/>
          <w:bCs w:val="0"/>
          <w:color w:val="auto"/>
          <w:sz w:val="22"/>
          <w:szCs w:val="22"/>
          <w:highlight w:val="none"/>
          <w:lang w:val="en-US" w:eastAsia="zh-CN"/>
        </w:rPr>
        <w:t>在台风、雷暴雨、洪水、大雾、寒潮、高温等灾害性气候条件下，应按照气象部门发布的预警时间，启动应急预案，保证安全前提下进行应急作业。</w:t>
      </w:r>
    </w:p>
    <w:p>
      <w:pPr>
        <w:snapToGrid w:val="0"/>
        <w:spacing w:line="460" w:lineRule="exac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lang w:val="en-US" w:eastAsia="zh-CN"/>
        </w:rPr>
        <w:t>（4）</w:t>
      </w:r>
      <w:r>
        <w:rPr>
          <w:rFonts w:hint="eastAsia" w:ascii="宋体" w:hAnsi="Times New Roman" w:eastAsia="宋体" w:cs="宋体"/>
          <w:b w:val="0"/>
          <w:bCs w:val="0"/>
          <w:color w:val="auto"/>
          <w:sz w:val="22"/>
          <w:szCs w:val="22"/>
          <w:highlight w:val="none"/>
          <w:lang w:val="en-US" w:eastAsia="zh-CN"/>
        </w:rPr>
        <w:t>作业过程中出现突发情况或发现疑似危险物品，应及时向有关部门报告，待相关人员到现场后，配合清场、协助处理。</w:t>
      </w:r>
    </w:p>
    <w:p>
      <w:pPr>
        <w:snapToGrid w:val="0"/>
        <w:spacing w:line="460" w:lineRule="exac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lang w:val="en-US" w:eastAsia="zh-CN"/>
        </w:rPr>
        <w:t>（5）</w:t>
      </w:r>
      <w:r>
        <w:rPr>
          <w:rFonts w:hint="eastAsia" w:ascii="宋体" w:hAnsi="Times New Roman" w:eastAsia="宋体" w:cs="宋体"/>
          <w:b w:val="0"/>
          <w:bCs w:val="0"/>
          <w:color w:val="auto"/>
          <w:sz w:val="22"/>
          <w:szCs w:val="22"/>
          <w:highlight w:val="none"/>
          <w:lang w:val="en-US" w:eastAsia="zh-CN"/>
        </w:rPr>
        <w:t>因车辆原因或其它自身原因不能及时处理应急事件时，须及时报告采购人。</w:t>
      </w:r>
    </w:p>
    <w:p>
      <w:pPr>
        <w:snapToGrid w:val="0"/>
        <w:spacing w:line="460" w:lineRule="exact"/>
        <w:ind w:firstLine="442" w:firstLineChars="200"/>
        <w:rPr>
          <w:rFonts w:hint="eastAsia" w:eastAsia="宋体"/>
          <w:color w:val="auto"/>
          <w:highlight w:val="none"/>
          <w:lang w:val="en-US" w:eastAsia="zh-CN"/>
        </w:rPr>
      </w:pPr>
      <w:r>
        <w:rPr>
          <w:rFonts w:hint="eastAsia" w:ascii="宋体" w:hAnsi="宋体" w:cs="宋体"/>
          <w:b/>
          <w:color w:val="auto"/>
          <w:sz w:val="22"/>
          <w:szCs w:val="22"/>
          <w:highlight w:val="none"/>
          <w:lang w:val="en-US" w:eastAsia="zh-CN"/>
        </w:rPr>
        <w:t>4</w:t>
      </w:r>
      <w:r>
        <w:rPr>
          <w:rFonts w:hint="eastAsia" w:ascii="宋体" w:hAnsi="宋体" w:cs="宋体"/>
          <w:b/>
          <w:color w:val="auto"/>
          <w:sz w:val="22"/>
          <w:szCs w:val="22"/>
          <w:highlight w:val="none"/>
        </w:rPr>
        <w:t>、</w:t>
      </w:r>
      <w:r>
        <w:rPr>
          <w:rFonts w:hint="eastAsia" w:ascii="宋体" w:hAnsi="宋体" w:cs="宋体"/>
          <w:b/>
          <w:color w:val="auto"/>
          <w:sz w:val="22"/>
          <w:szCs w:val="22"/>
          <w:highlight w:val="none"/>
          <w:lang w:eastAsia="zh-CN"/>
        </w:rPr>
        <w:t>项目管理</w:t>
      </w:r>
    </w:p>
    <w:p>
      <w:pPr>
        <w:snapToGrid w:val="0"/>
        <w:spacing w:line="460" w:lineRule="exact"/>
        <w:ind w:firstLine="442" w:firstLineChars="200"/>
        <w:rPr>
          <w:rFonts w:hint="eastAsia" w:ascii="宋体" w:cs="宋体"/>
          <w:b w:val="0"/>
          <w:bCs w:val="0"/>
          <w:color w:val="auto"/>
          <w:sz w:val="22"/>
          <w:szCs w:val="22"/>
          <w:highlight w:val="none"/>
          <w:lang w:val="en-US" w:eastAsia="zh-CN"/>
        </w:rPr>
      </w:pPr>
      <w:r>
        <w:rPr>
          <w:rFonts w:hint="eastAsia" w:ascii="宋体" w:hAnsi="宋体" w:cs="宋体"/>
          <w:b/>
          <w:color w:val="auto"/>
          <w:sz w:val="22"/>
          <w:szCs w:val="22"/>
          <w:highlight w:val="none"/>
          <w:lang w:val="en-US" w:eastAsia="zh-CN"/>
        </w:rPr>
        <w:t>4.1</w:t>
      </w:r>
      <w:r>
        <w:rPr>
          <w:rFonts w:hint="eastAsia" w:ascii="宋体" w:hAnsi="宋体" w:cs="宋体"/>
          <w:b/>
          <w:color w:val="auto"/>
          <w:sz w:val="22"/>
          <w:szCs w:val="22"/>
          <w:highlight w:val="none"/>
          <w:lang w:eastAsia="zh-CN"/>
        </w:rPr>
        <w:t>项目管理要求</w:t>
      </w:r>
    </w:p>
    <w:p>
      <w:pPr>
        <w:snapToGrid w:val="0"/>
        <w:spacing w:line="460" w:lineRule="exac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lang w:val="en-US" w:eastAsia="zh-CN"/>
        </w:rPr>
        <w:t>（1）</w:t>
      </w:r>
      <w:r>
        <w:rPr>
          <w:rFonts w:hint="eastAsia" w:ascii="宋体" w:hAnsi="Times New Roman" w:eastAsia="宋体" w:cs="宋体"/>
          <w:b w:val="0"/>
          <w:bCs w:val="0"/>
          <w:color w:val="auto"/>
          <w:sz w:val="22"/>
          <w:szCs w:val="22"/>
          <w:highlight w:val="none"/>
          <w:lang w:val="en-US" w:eastAsia="zh-CN"/>
        </w:rPr>
        <w:t>采购人将不定期对</w:t>
      </w:r>
      <w:r>
        <w:rPr>
          <w:rFonts w:hint="eastAsia" w:ascii="宋体" w:cs="宋体"/>
          <w:b w:val="0"/>
          <w:bCs w:val="0"/>
          <w:color w:val="auto"/>
          <w:sz w:val="22"/>
          <w:szCs w:val="22"/>
          <w:highlight w:val="none"/>
          <w:lang w:val="en-US" w:eastAsia="zh-CN"/>
        </w:rPr>
        <w:t>中标供应商</w:t>
      </w:r>
      <w:r>
        <w:rPr>
          <w:rFonts w:hint="eastAsia" w:ascii="宋体" w:hAnsi="Times New Roman" w:eastAsia="宋体" w:cs="宋体"/>
          <w:b w:val="0"/>
          <w:bCs w:val="0"/>
          <w:color w:val="auto"/>
          <w:sz w:val="22"/>
          <w:szCs w:val="22"/>
          <w:highlight w:val="none"/>
          <w:lang w:val="en-US" w:eastAsia="zh-CN"/>
        </w:rPr>
        <w:t>的作业情况及台帐登记情况进行检查。</w:t>
      </w:r>
    </w:p>
    <w:p>
      <w:pPr>
        <w:snapToGrid w:val="0"/>
        <w:spacing w:line="460" w:lineRule="exac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lang w:val="en-US" w:eastAsia="zh-CN"/>
        </w:rPr>
        <w:t>（2）中标供应商</w:t>
      </w:r>
      <w:r>
        <w:rPr>
          <w:rFonts w:hint="eastAsia" w:ascii="宋体" w:hAnsi="Times New Roman" w:eastAsia="宋体" w:cs="宋体"/>
          <w:b w:val="0"/>
          <w:bCs w:val="0"/>
          <w:color w:val="auto"/>
          <w:sz w:val="22"/>
          <w:szCs w:val="22"/>
          <w:highlight w:val="none"/>
          <w:lang w:val="en-US" w:eastAsia="zh-CN"/>
        </w:rPr>
        <w:t>每月的服务费与当月的考评挂钩。采购人将对</w:t>
      </w:r>
      <w:r>
        <w:rPr>
          <w:rFonts w:hint="eastAsia" w:ascii="宋体" w:cs="宋体"/>
          <w:b w:val="0"/>
          <w:bCs w:val="0"/>
          <w:color w:val="auto"/>
          <w:sz w:val="22"/>
          <w:szCs w:val="22"/>
          <w:highlight w:val="none"/>
          <w:lang w:val="en-US" w:eastAsia="zh-CN"/>
        </w:rPr>
        <w:t>中标供应商</w:t>
      </w:r>
      <w:r>
        <w:rPr>
          <w:rFonts w:hint="eastAsia" w:ascii="宋体" w:hAnsi="Times New Roman" w:eastAsia="宋体" w:cs="宋体"/>
          <w:b w:val="0"/>
          <w:bCs w:val="0"/>
          <w:color w:val="auto"/>
          <w:sz w:val="22"/>
          <w:szCs w:val="22"/>
          <w:highlight w:val="none"/>
          <w:lang w:val="en-US" w:eastAsia="zh-CN"/>
        </w:rPr>
        <w:t>清障任务完成的质量情况进行考评，并按照月度考评情况扣减相应的服务费用。</w:t>
      </w:r>
    </w:p>
    <w:p>
      <w:pPr>
        <w:snapToGrid w:val="0"/>
        <w:spacing w:line="460" w:lineRule="exac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lang w:val="en-US" w:eastAsia="zh-CN"/>
        </w:rPr>
        <w:t>（3）</w:t>
      </w:r>
      <w:r>
        <w:rPr>
          <w:rFonts w:hint="eastAsia" w:ascii="宋体" w:hAnsi="Times New Roman" w:eastAsia="宋体" w:cs="宋体"/>
          <w:b w:val="0"/>
          <w:bCs w:val="0"/>
          <w:color w:val="auto"/>
          <w:sz w:val="22"/>
          <w:szCs w:val="22"/>
          <w:highlight w:val="none"/>
          <w:lang w:val="en-US" w:eastAsia="zh-CN"/>
        </w:rPr>
        <w:t>采购人根据检查发现并核实的问题向</w:t>
      </w:r>
      <w:r>
        <w:rPr>
          <w:rFonts w:hint="eastAsia" w:ascii="宋体" w:cs="宋体"/>
          <w:b w:val="0"/>
          <w:bCs w:val="0"/>
          <w:color w:val="auto"/>
          <w:sz w:val="22"/>
          <w:szCs w:val="22"/>
          <w:highlight w:val="none"/>
          <w:lang w:val="en-US" w:eastAsia="zh-CN"/>
        </w:rPr>
        <w:t>中标供应商</w:t>
      </w:r>
      <w:r>
        <w:rPr>
          <w:rFonts w:hint="eastAsia" w:ascii="宋体" w:hAnsi="Times New Roman" w:eastAsia="宋体" w:cs="宋体"/>
          <w:b w:val="0"/>
          <w:bCs w:val="0"/>
          <w:color w:val="auto"/>
          <w:sz w:val="22"/>
          <w:szCs w:val="22"/>
          <w:highlight w:val="none"/>
          <w:lang w:val="en-US" w:eastAsia="zh-CN"/>
        </w:rPr>
        <w:t>发出整改通知书，要求限期整改，</w:t>
      </w:r>
      <w:r>
        <w:rPr>
          <w:rFonts w:hint="eastAsia" w:ascii="宋体" w:cs="宋体"/>
          <w:b w:val="0"/>
          <w:bCs w:val="0"/>
          <w:color w:val="auto"/>
          <w:sz w:val="22"/>
          <w:szCs w:val="22"/>
          <w:highlight w:val="none"/>
          <w:lang w:val="en-US" w:eastAsia="zh-CN"/>
        </w:rPr>
        <w:t>中标供应商</w:t>
      </w:r>
      <w:r>
        <w:rPr>
          <w:rFonts w:hint="eastAsia" w:ascii="宋体" w:hAnsi="Times New Roman" w:eastAsia="宋体" w:cs="宋体"/>
          <w:b w:val="0"/>
          <w:bCs w:val="0"/>
          <w:color w:val="auto"/>
          <w:sz w:val="22"/>
          <w:szCs w:val="22"/>
          <w:highlight w:val="none"/>
          <w:lang w:val="en-US" w:eastAsia="zh-CN"/>
        </w:rPr>
        <w:t>应在规定期限内实施整改，并将整改结果书面报采购人；如</w:t>
      </w:r>
      <w:r>
        <w:rPr>
          <w:rFonts w:hint="eastAsia" w:ascii="宋体" w:cs="宋体"/>
          <w:b w:val="0"/>
          <w:bCs w:val="0"/>
          <w:color w:val="auto"/>
          <w:sz w:val="22"/>
          <w:szCs w:val="22"/>
          <w:highlight w:val="none"/>
          <w:lang w:val="en-US" w:eastAsia="zh-CN"/>
        </w:rPr>
        <w:t>中标供应商</w:t>
      </w:r>
      <w:r>
        <w:rPr>
          <w:rFonts w:hint="eastAsia" w:ascii="宋体" w:hAnsi="Times New Roman" w:eastAsia="宋体" w:cs="宋体"/>
          <w:b w:val="0"/>
          <w:bCs w:val="0"/>
          <w:color w:val="auto"/>
          <w:sz w:val="22"/>
          <w:szCs w:val="22"/>
          <w:highlight w:val="none"/>
          <w:lang w:val="en-US" w:eastAsia="zh-CN"/>
        </w:rPr>
        <w:t>不按要求实施整改的，采购人有权暂缓支付相关费用。</w:t>
      </w:r>
    </w:p>
    <w:p>
      <w:pPr>
        <w:snapToGrid w:val="0"/>
        <w:spacing w:line="460" w:lineRule="exac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lang w:val="en-US" w:eastAsia="zh-CN"/>
        </w:rPr>
        <w:t>（4）中标供应商</w:t>
      </w:r>
      <w:r>
        <w:rPr>
          <w:rFonts w:hint="eastAsia" w:ascii="宋体" w:hAnsi="Times New Roman" w:eastAsia="宋体" w:cs="宋体"/>
          <w:b w:val="0"/>
          <w:bCs w:val="0"/>
          <w:color w:val="auto"/>
          <w:sz w:val="22"/>
          <w:szCs w:val="22"/>
          <w:highlight w:val="none"/>
          <w:lang w:val="en-US" w:eastAsia="zh-CN"/>
        </w:rPr>
        <w:t>如出现违法、违规行为的，采购人有权终止合同，且由此造成的损失由</w:t>
      </w:r>
      <w:r>
        <w:rPr>
          <w:rFonts w:hint="eastAsia" w:ascii="宋体" w:cs="宋体"/>
          <w:b w:val="0"/>
          <w:bCs w:val="0"/>
          <w:color w:val="auto"/>
          <w:sz w:val="22"/>
          <w:szCs w:val="22"/>
          <w:highlight w:val="none"/>
          <w:lang w:val="en-US" w:eastAsia="zh-CN"/>
        </w:rPr>
        <w:t>中标供应商</w:t>
      </w:r>
      <w:r>
        <w:rPr>
          <w:rFonts w:hint="eastAsia" w:ascii="宋体" w:hAnsi="Times New Roman" w:eastAsia="宋体" w:cs="宋体"/>
          <w:b w:val="0"/>
          <w:bCs w:val="0"/>
          <w:color w:val="auto"/>
          <w:sz w:val="22"/>
          <w:szCs w:val="22"/>
          <w:highlight w:val="none"/>
          <w:lang w:val="en-US" w:eastAsia="zh-CN"/>
        </w:rPr>
        <w:t>负责。</w:t>
      </w:r>
    </w:p>
    <w:p>
      <w:pPr>
        <w:snapToGrid w:val="0"/>
        <w:spacing w:line="460" w:lineRule="exact"/>
        <w:ind w:firstLine="442" w:firstLineChars="200"/>
        <w:rPr>
          <w:rFonts w:hint="eastAsia" w:ascii="宋体" w:cs="宋体"/>
          <w:b w:val="0"/>
          <w:bCs w:val="0"/>
          <w:color w:val="auto"/>
          <w:sz w:val="22"/>
          <w:szCs w:val="22"/>
          <w:highlight w:val="none"/>
          <w:lang w:val="en-US" w:eastAsia="zh-CN"/>
        </w:rPr>
      </w:pPr>
      <w:r>
        <w:rPr>
          <w:rFonts w:hint="eastAsia" w:ascii="宋体" w:hAnsi="宋体" w:cs="宋体"/>
          <w:b/>
          <w:color w:val="auto"/>
          <w:sz w:val="22"/>
          <w:szCs w:val="22"/>
          <w:highlight w:val="none"/>
          <w:lang w:val="en-US" w:eastAsia="zh-CN"/>
        </w:rPr>
        <w:t>4.2考评条款</w:t>
      </w:r>
    </w:p>
    <w:tbl>
      <w:tblPr>
        <w:tblStyle w:val="45"/>
        <w:tblW w:w="0" w:type="auto"/>
        <w:jc w:val="center"/>
        <w:tblLayout w:type="fixed"/>
        <w:tblCellMar>
          <w:top w:w="15" w:type="dxa"/>
          <w:left w:w="15" w:type="dxa"/>
          <w:bottom w:w="15" w:type="dxa"/>
          <w:right w:w="15" w:type="dxa"/>
        </w:tblCellMar>
      </w:tblPr>
      <w:tblGrid>
        <w:gridCol w:w="9640"/>
      </w:tblGrid>
      <w:tr>
        <w:tblPrEx>
          <w:tblCellMar>
            <w:top w:w="15" w:type="dxa"/>
            <w:left w:w="15" w:type="dxa"/>
            <w:bottom w:w="15" w:type="dxa"/>
            <w:right w:w="15" w:type="dxa"/>
          </w:tblCellMar>
        </w:tblPrEx>
        <w:trPr>
          <w:trHeight w:val="504" w:hRule="atLeast"/>
          <w:jc w:val="center"/>
        </w:trPr>
        <w:tc>
          <w:tcPr>
            <w:tcW w:w="964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ind w:left="105" w:leftChars="50"/>
              <w:jc w:val="center"/>
              <w:textAlignment w:val="bottom"/>
              <w:rPr>
                <w:rFonts w:hint="eastAsia" w:cs="新宋体"/>
                <w:color w:val="000000"/>
                <w:sz w:val="22"/>
                <w:szCs w:val="22"/>
              </w:rPr>
            </w:pPr>
            <w:r>
              <w:rPr>
                <w:rFonts w:hint="eastAsia" w:cs="新宋体"/>
                <w:color w:val="000000"/>
                <w:sz w:val="22"/>
                <w:szCs w:val="22"/>
              </w:rPr>
              <w:t>考评主要内容</w:t>
            </w:r>
          </w:p>
        </w:tc>
      </w:tr>
      <w:tr>
        <w:tblPrEx>
          <w:tblCellMar>
            <w:top w:w="15" w:type="dxa"/>
            <w:left w:w="15" w:type="dxa"/>
            <w:bottom w:w="15" w:type="dxa"/>
            <w:right w:w="15" w:type="dxa"/>
          </w:tblCellMar>
        </w:tblPrEx>
        <w:trPr>
          <w:trHeight w:val="537" w:hRule="atLeast"/>
          <w:jc w:val="center"/>
        </w:trPr>
        <w:tc>
          <w:tcPr>
            <w:tcW w:w="964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ind w:left="105" w:leftChars="50"/>
              <w:textAlignment w:val="bottom"/>
              <w:rPr>
                <w:rFonts w:hint="eastAsia" w:cs="新宋体"/>
                <w:color w:val="000000"/>
                <w:sz w:val="22"/>
                <w:szCs w:val="22"/>
              </w:rPr>
            </w:pPr>
            <w:r>
              <w:rPr>
                <w:rFonts w:hint="eastAsia" w:cs="新宋体"/>
                <w:color w:val="000000"/>
                <w:sz w:val="22"/>
                <w:szCs w:val="22"/>
                <w:lang w:bidi="ar"/>
              </w:rPr>
              <w:t>1、根据交警部门要求，不在规定时间内到达现场的，每次扣</w:t>
            </w:r>
            <w:r>
              <w:rPr>
                <w:rFonts w:hint="eastAsia"/>
                <w:color w:val="000000"/>
                <w:sz w:val="22"/>
              </w:rPr>
              <w:t>服务费用</w:t>
            </w:r>
            <w:r>
              <w:rPr>
                <w:rFonts w:cs="新宋体"/>
                <w:color w:val="000000"/>
                <w:sz w:val="22"/>
                <w:szCs w:val="22"/>
                <w:lang w:bidi="ar"/>
              </w:rPr>
              <w:t>2</w:t>
            </w:r>
            <w:r>
              <w:rPr>
                <w:rFonts w:hint="eastAsia" w:cs="新宋体"/>
                <w:color w:val="000000"/>
                <w:sz w:val="22"/>
                <w:szCs w:val="22"/>
                <w:lang w:bidi="ar"/>
              </w:rPr>
              <w:t>000元。</w:t>
            </w:r>
          </w:p>
        </w:tc>
      </w:tr>
      <w:tr>
        <w:tblPrEx>
          <w:tblCellMar>
            <w:top w:w="15" w:type="dxa"/>
            <w:left w:w="15" w:type="dxa"/>
            <w:bottom w:w="15" w:type="dxa"/>
            <w:right w:w="15" w:type="dxa"/>
          </w:tblCellMar>
        </w:tblPrEx>
        <w:trPr>
          <w:trHeight w:val="584" w:hRule="atLeast"/>
          <w:jc w:val="center"/>
        </w:trPr>
        <w:tc>
          <w:tcPr>
            <w:tcW w:w="964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ind w:left="105" w:leftChars="50"/>
              <w:textAlignment w:val="bottom"/>
              <w:rPr>
                <w:rFonts w:hint="eastAsia" w:cs="新宋体"/>
                <w:color w:val="000000"/>
                <w:sz w:val="22"/>
                <w:szCs w:val="22"/>
              </w:rPr>
            </w:pPr>
            <w:r>
              <w:rPr>
                <w:rFonts w:hint="eastAsia" w:cs="新宋体"/>
                <w:color w:val="000000"/>
                <w:sz w:val="22"/>
                <w:szCs w:val="22"/>
                <w:lang w:bidi="ar"/>
              </w:rPr>
              <w:t>2、对交警部门工作指令，存在推诿现象的，每次扣</w:t>
            </w:r>
            <w:r>
              <w:rPr>
                <w:rFonts w:hint="eastAsia"/>
                <w:color w:val="000000"/>
                <w:sz w:val="22"/>
              </w:rPr>
              <w:t>服务费用</w:t>
            </w:r>
            <w:r>
              <w:rPr>
                <w:rFonts w:hint="eastAsia" w:cs="新宋体"/>
                <w:color w:val="000000"/>
                <w:sz w:val="22"/>
                <w:szCs w:val="22"/>
                <w:lang w:bidi="ar"/>
              </w:rPr>
              <w:t>2000元。</w:t>
            </w:r>
          </w:p>
        </w:tc>
      </w:tr>
      <w:tr>
        <w:tblPrEx>
          <w:tblCellMar>
            <w:top w:w="15" w:type="dxa"/>
            <w:left w:w="15" w:type="dxa"/>
            <w:bottom w:w="15" w:type="dxa"/>
            <w:right w:w="15" w:type="dxa"/>
          </w:tblCellMar>
        </w:tblPrEx>
        <w:trPr>
          <w:trHeight w:val="548" w:hRule="atLeast"/>
          <w:jc w:val="center"/>
        </w:trPr>
        <w:tc>
          <w:tcPr>
            <w:tcW w:w="964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ind w:left="105" w:leftChars="50"/>
              <w:textAlignment w:val="bottom"/>
              <w:rPr>
                <w:rFonts w:hint="eastAsia" w:cs="新宋体"/>
                <w:color w:val="000000"/>
                <w:sz w:val="22"/>
                <w:szCs w:val="22"/>
              </w:rPr>
            </w:pPr>
            <w:r>
              <w:rPr>
                <w:rFonts w:hint="eastAsia" w:cs="新宋体"/>
                <w:color w:val="000000"/>
                <w:sz w:val="22"/>
                <w:szCs w:val="22"/>
                <w:lang w:bidi="ar"/>
              </w:rPr>
              <w:t>3、出动拖车不按规定配带有关服务设备或服务人员的，每次扣</w:t>
            </w:r>
            <w:r>
              <w:rPr>
                <w:rFonts w:hint="eastAsia"/>
                <w:color w:val="000000"/>
                <w:sz w:val="22"/>
              </w:rPr>
              <w:t>服务费用</w:t>
            </w:r>
            <w:r>
              <w:rPr>
                <w:rFonts w:hint="eastAsia" w:cs="新宋体"/>
                <w:color w:val="000000"/>
                <w:sz w:val="22"/>
                <w:szCs w:val="22"/>
                <w:lang w:bidi="ar"/>
              </w:rPr>
              <w:t>1000元。</w:t>
            </w:r>
          </w:p>
        </w:tc>
      </w:tr>
      <w:tr>
        <w:tblPrEx>
          <w:tblCellMar>
            <w:top w:w="15" w:type="dxa"/>
            <w:left w:w="15" w:type="dxa"/>
            <w:bottom w:w="15" w:type="dxa"/>
            <w:right w:w="15" w:type="dxa"/>
          </w:tblCellMar>
        </w:tblPrEx>
        <w:trPr>
          <w:trHeight w:val="967" w:hRule="atLeast"/>
          <w:jc w:val="center"/>
        </w:trPr>
        <w:tc>
          <w:tcPr>
            <w:tcW w:w="964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ind w:left="105" w:leftChars="50"/>
              <w:textAlignment w:val="bottom"/>
              <w:rPr>
                <w:rFonts w:hint="eastAsia" w:cs="新宋体"/>
                <w:color w:val="auto"/>
                <w:sz w:val="22"/>
                <w:szCs w:val="22"/>
                <w:highlight w:val="none"/>
                <w:lang w:bidi="ar"/>
              </w:rPr>
            </w:pPr>
            <w:r>
              <w:rPr>
                <w:rFonts w:hint="eastAsia" w:cs="新宋体"/>
                <w:color w:val="auto"/>
                <w:sz w:val="22"/>
                <w:szCs w:val="22"/>
                <w:highlight w:val="none"/>
                <w:lang w:bidi="ar"/>
              </w:rPr>
              <w:t>4、向当事人违规收取拖车费用</w:t>
            </w:r>
            <w:r>
              <w:rPr>
                <w:rFonts w:hint="eastAsia" w:cs="新宋体"/>
                <w:color w:val="auto"/>
                <w:sz w:val="22"/>
                <w:szCs w:val="22"/>
                <w:highlight w:val="none"/>
                <w:lang w:eastAsia="zh-CN" w:bidi="ar"/>
              </w:rPr>
              <w:t>、</w:t>
            </w:r>
            <w:r>
              <w:rPr>
                <w:rFonts w:hint="eastAsia" w:cs="新宋体"/>
                <w:color w:val="auto"/>
                <w:sz w:val="22"/>
                <w:szCs w:val="22"/>
                <w:highlight w:val="none"/>
                <w:lang w:val="en-US" w:eastAsia="zh-CN" w:bidi="ar"/>
              </w:rPr>
              <w:t>停车费用</w:t>
            </w:r>
            <w:r>
              <w:rPr>
                <w:rFonts w:hint="eastAsia" w:cs="新宋体"/>
                <w:color w:val="auto"/>
                <w:sz w:val="22"/>
                <w:szCs w:val="22"/>
                <w:highlight w:val="none"/>
                <w:lang w:bidi="ar"/>
              </w:rPr>
              <w:t>或其他违规费用的，</w:t>
            </w:r>
            <w:r>
              <w:rPr>
                <w:rFonts w:hint="eastAsia" w:cs="新宋体"/>
                <w:color w:val="auto"/>
                <w:sz w:val="22"/>
                <w:szCs w:val="22"/>
                <w:highlight w:val="none"/>
                <w:lang w:val="en-US" w:eastAsia="zh-CN" w:bidi="ar"/>
              </w:rPr>
              <w:t>查实后必须</w:t>
            </w:r>
            <w:r>
              <w:rPr>
                <w:rFonts w:hint="eastAsia" w:cs="新宋体"/>
                <w:color w:val="auto"/>
                <w:sz w:val="22"/>
                <w:szCs w:val="22"/>
                <w:highlight w:val="none"/>
                <w:lang w:bidi="ar"/>
              </w:rPr>
              <w:t>返还向当事人违规收取的所有费用，并每次视后果予以扣除3000-5000元。</w:t>
            </w:r>
          </w:p>
        </w:tc>
      </w:tr>
      <w:tr>
        <w:tblPrEx>
          <w:tblCellMar>
            <w:top w:w="15" w:type="dxa"/>
            <w:left w:w="15" w:type="dxa"/>
            <w:bottom w:w="15" w:type="dxa"/>
            <w:right w:w="15" w:type="dxa"/>
          </w:tblCellMar>
        </w:tblPrEx>
        <w:trPr>
          <w:trHeight w:val="637" w:hRule="atLeast"/>
          <w:jc w:val="center"/>
        </w:trPr>
        <w:tc>
          <w:tcPr>
            <w:tcW w:w="964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ind w:left="105" w:leftChars="50"/>
              <w:textAlignment w:val="center"/>
              <w:rPr>
                <w:rFonts w:hint="eastAsia" w:cs="新宋体"/>
                <w:color w:val="auto"/>
                <w:sz w:val="22"/>
                <w:szCs w:val="22"/>
                <w:lang w:bidi="ar"/>
              </w:rPr>
            </w:pPr>
            <w:r>
              <w:rPr>
                <w:rFonts w:hint="eastAsia" w:cs="新宋体"/>
                <w:color w:val="auto"/>
                <w:sz w:val="22"/>
                <w:szCs w:val="22"/>
                <w:lang w:bidi="ar"/>
              </w:rPr>
              <w:t>5、因服务问题造成当事人投诉，造成不良影响，倒查属实的，每次视后果予以扣除</w:t>
            </w:r>
            <w:r>
              <w:rPr>
                <w:rFonts w:hint="eastAsia"/>
                <w:color w:val="auto"/>
                <w:sz w:val="22"/>
              </w:rPr>
              <w:t>费用3</w:t>
            </w:r>
            <w:r>
              <w:rPr>
                <w:rFonts w:hint="eastAsia" w:cs="新宋体"/>
                <w:color w:val="auto"/>
                <w:sz w:val="22"/>
                <w:szCs w:val="22"/>
                <w:lang w:bidi="ar"/>
              </w:rPr>
              <w:t>000-5000元。</w:t>
            </w:r>
          </w:p>
        </w:tc>
      </w:tr>
      <w:tr>
        <w:tblPrEx>
          <w:tblCellMar>
            <w:top w:w="15" w:type="dxa"/>
            <w:left w:w="15" w:type="dxa"/>
            <w:bottom w:w="15" w:type="dxa"/>
            <w:right w:w="15" w:type="dxa"/>
          </w:tblCellMar>
        </w:tblPrEx>
        <w:trPr>
          <w:trHeight w:val="967" w:hRule="atLeast"/>
          <w:jc w:val="center"/>
        </w:trPr>
        <w:tc>
          <w:tcPr>
            <w:tcW w:w="964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ind w:left="105" w:leftChars="50"/>
              <w:textAlignment w:val="center"/>
              <w:rPr>
                <w:rFonts w:hint="default" w:eastAsia="宋体" w:cs="新宋体"/>
                <w:color w:val="auto"/>
                <w:sz w:val="22"/>
                <w:szCs w:val="22"/>
                <w:highlight w:val="none"/>
                <w:lang w:val="en-US" w:eastAsia="zh-CN" w:bidi="ar"/>
              </w:rPr>
            </w:pPr>
            <w:r>
              <w:rPr>
                <w:rFonts w:hint="eastAsia" w:cs="新宋体"/>
                <w:color w:val="auto"/>
                <w:sz w:val="22"/>
                <w:szCs w:val="22"/>
                <w:highlight w:val="none"/>
                <w:lang w:val="en-US" w:eastAsia="zh-CN" w:bidi="ar"/>
              </w:rPr>
              <w:t>6、停车场内超出60天可拍卖的车辆以及其他车辆未按采购人要求停放至指定区域的，造成车辆无法准时拍卖的，</w:t>
            </w:r>
            <w:r>
              <w:rPr>
                <w:rFonts w:hint="eastAsia" w:cs="新宋体"/>
                <w:color w:val="auto"/>
                <w:sz w:val="22"/>
                <w:szCs w:val="22"/>
                <w:highlight w:val="none"/>
                <w:lang w:bidi="ar"/>
              </w:rPr>
              <w:t>每次扣</w:t>
            </w:r>
            <w:r>
              <w:rPr>
                <w:rFonts w:hint="eastAsia"/>
                <w:color w:val="auto"/>
                <w:sz w:val="22"/>
                <w:highlight w:val="none"/>
              </w:rPr>
              <w:t>服务费用</w:t>
            </w:r>
            <w:r>
              <w:rPr>
                <w:rFonts w:hint="eastAsia" w:cs="新宋体"/>
                <w:color w:val="auto"/>
                <w:sz w:val="22"/>
                <w:szCs w:val="22"/>
                <w:highlight w:val="none"/>
                <w:lang w:bidi="ar"/>
              </w:rPr>
              <w:t>1000元。</w:t>
            </w:r>
          </w:p>
        </w:tc>
      </w:tr>
      <w:tr>
        <w:tblPrEx>
          <w:tblCellMar>
            <w:top w:w="15" w:type="dxa"/>
            <w:left w:w="15" w:type="dxa"/>
            <w:bottom w:w="15" w:type="dxa"/>
            <w:right w:w="15" w:type="dxa"/>
          </w:tblCellMar>
        </w:tblPrEx>
        <w:trPr>
          <w:trHeight w:val="967" w:hRule="atLeast"/>
          <w:jc w:val="center"/>
        </w:trPr>
        <w:tc>
          <w:tcPr>
            <w:tcW w:w="964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ind w:left="105" w:leftChars="50"/>
              <w:textAlignment w:val="center"/>
              <w:rPr>
                <w:rFonts w:hint="eastAsia" w:cs="新宋体"/>
                <w:color w:val="auto"/>
                <w:sz w:val="22"/>
                <w:szCs w:val="22"/>
                <w:highlight w:val="none"/>
                <w:lang w:bidi="ar"/>
              </w:rPr>
            </w:pPr>
            <w:r>
              <w:rPr>
                <w:rFonts w:hint="eastAsia" w:cs="新宋体"/>
                <w:color w:val="auto"/>
                <w:sz w:val="22"/>
                <w:szCs w:val="22"/>
                <w:highlight w:val="none"/>
                <w:lang w:val="en-US" w:eastAsia="zh-CN" w:bidi="ar"/>
              </w:rPr>
              <w:t>7</w:t>
            </w:r>
            <w:r>
              <w:rPr>
                <w:rFonts w:hint="eastAsia" w:cs="新宋体"/>
                <w:color w:val="auto"/>
                <w:sz w:val="22"/>
                <w:szCs w:val="22"/>
                <w:highlight w:val="none"/>
                <w:lang w:bidi="ar"/>
              </w:rPr>
              <w:t>、投入使用的停车场面积及设备等发生变化，无法满足交警部门</w:t>
            </w:r>
            <w:r>
              <w:rPr>
                <w:rFonts w:hint="eastAsia" w:cs="新宋体"/>
                <w:color w:val="auto"/>
                <w:sz w:val="22"/>
                <w:szCs w:val="22"/>
                <w:highlight w:val="none"/>
                <w:lang w:val="en-US" w:eastAsia="zh-CN" w:bidi="ar"/>
              </w:rPr>
              <w:t>执法</w:t>
            </w:r>
            <w:r>
              <w:rPr>
                <w:rFonts w:hint="eastAsia" w:cs="新宋体"/>
                <w:color w:val="auto"/>
                <w:sz w:val="22"/>
                <w:szCs w:val="22"/>
                <w:highlight w:val="none"/>
                <w:lang w:bidi="ar"/>
              </w:rPr>
              <w:t>要求的，每次视情扣月度</w:t>
            </w:r>
            <w:r>
              <w:rPr>
                <w:rFonts w:hint="eastAsia"/>
                <w:color w:val="auto"/>
                <w:sz w:val="22"/>
                <w:highlight w:val="none"/>
              </w:rPr>
              <w:t>服务费用</w:t>
            </w:r>
            <w:r>
              <w:rPr>
                <w:rFonts w:cs="新宋体"/>
                <w:color w:val="auto"/>
                <w:sz w:val="22"/>
                <w:szCs w:val="22"/>
                <w:highlight w:val="none"/>
                <w:lang w:bidi="ar"/>
              </w:rPr>
              <w:t>3</w:t>
            </w:r>
            <w:r>
              <w:rPr>
                <w:rFonts w:hint="eastAsia" w:cs="新宋体"/>
                <w:color w:val="auto"/>
                <w:sz w:val="22"/>
                <w:szCs w:val="22"/>
                <w:highlight w:val="none"/>
                <w:lang w:bidi="ar"/>
              </w:rPr>
              <w:t>000-</w:t>
            </w:r>
            <w:r>
              <w:rPr>
                <w:rFonts w:cs="新宋体"/>
                <w:color w:val="auto"/>
                <w:sz w:val="22"/>
                <w:szCs w:val="22"/>
                <w:highlight w:val="none"/>
                <w:lang w:bidi="ar"/>
              </w:rPr>
              <w:t>10</w:t>
            </w:r>
            <w:r>
              <w:rPr>
                <w:rFonts w:hint="eastAsia" w:cs="新宋体"/>
                <w:color w:val="auto"/>
                <w:sz w:val="22"/>
                <w:szCs w:val="22"/>
                <w:highlight w:val="none"/>
                <w:lang w:bidi="ar"/>
              </w:rPr>
              <w:t>000元，并暂停支付服务费用，直至供应商整改完毕。</w:t>
            </w:r>
          </w:p>
        </w:tc>
      </w:tr>
      <w:tr>
        <w:tblPrEx>
          <w:tblCellMar>
            <w:top w:w="15" w:type="dxa"/>
            <w:left w:w="15" w:type="dxa"/>
            <w:bottom w:w="15" w:type="dxa"/>
            <w:right w:w="15" w:type="dxa"/>
          </w:tblCellMar>
        </w:tblPrEx>
        <w:trPr>
          <w:trHeight w:val="967" w:hRule="atLeast"/>
          <w:jc w:val="center"/>
        </w:trPr>
        <w:tc>
          <w:tcPr>
            <w:tcW w:w="964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ind w:left="105" w:leftChars="50"/>
              <w:textAlignment w:val="center"/>
              <w:rPr>
                <w:rFonts w:hint="default" w:cs="新宋体"/>
                <w:color w:val="auto"/>
                <w:sz w:val="22"/>
                <w:szCs w:val="22"/>
                <w:highlight w:val="none"/>
                <w:lang w:val="en-US" w:eastAsia="zh-CN" w:bidi="ar"/>
              </w:rPr>
            </w:pPr>
            <w:r>
              <w:rPr>
                <w:rFonts w:hint="eastAsia" w:cs="新宋体"/>
                <w:color w:val="auto"/>
                <w:sz w:val="22"/>
                <w:szCs w:val="22"/>
                <w:highlight w:val="none"/>
                <w:lang w:val="en-US" w:eastAsia="zh-CN" w:bidi="ar"/>
              </w:rPr>
              <w:t>8、执法检查发现停车场的车辆管理混乱，未按照采购方要求建立登记台帐，或者未对车辆分区域有序停放，发放执法整改书一次，每次扣服务费用1000元。</w:t>
            </w:r>
          </w:p>
        </w:tc>
      </w:tr>
      <w:tr>
        <w:tblPrEx>
          <w:tblCellMar>
            <w:top w:w="15" w:type="dxa"/>
            <w:left w:w="15" w:type="dxa"/>
            <w:bottom w:w="15" w:type="dxa"/>
            <w:right w:w="15" w:type="dxa"/>
          </w:tblCellMar>
        </w:tblPrEx>
        <w:trPr>
          <w:trHeight w:val="967" w:hRule="atLeast"/>
          <w:jc w:val="center"/>
        </w:trPr>
        <w:tc>
          <w:tcPr>
            <w:tcW w:w="964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ind w:left="105" w:leftChars="50"/>
              <w:textAlignment w:val="center"/>
              <w:rPr>
                <w:rFonts w:hint="default" w:cs="新宋体"/>
                <w:color w:val="auto"/>
                <w:sz w:val="22"/>
                <w:szCs w:val="22"/>
                <w:highlight w:val="none"/>
                <w:lang w:val="en-US" w:eastAsia="zh-CN" w:bidi="ar"/>
              </w:rPr>
            </w:pPr>
            <w:r>
              <w:rPr>
                <w:rFonts w:hint="eastAsia" w:cs="新宋体"/>
                <w:color w:val="auto"/>
                <w:sz w:val="22"/>
                <w:szCs w:val="22"/>
                <w:highlight w:val="none"/>
                <w:lang w:val="en-US" w:eastAsia="zh-CN" w:bidi="ar"/>
              </w:rPr>
              <w:t>9、执法检查发现停车场保管的车辆被盗，遗失或者其他不当处置情形的，每次扣服务费用2000元。</w:t>
            </w:r>
          </w:p>
        </w:tc>
      </w:tr>
      <w:tr>
        <w:tblPrEx>
          <w:tblCellMar>
            <w:top w:w="15" w:type="dxa"/>
            <w:left w:w="15" w:type="dxa"/>
            <w:bottom w:w="15" w:type="dxa"/>
            <w:right w:w="15" w:type="dxa"/>
          </w:tblCellMar>
        </w:tblPrEx>
        <w:trPr>
          <w:trHeight w:val="514" w:hRule="atLeast"/>
          <w:jc w:val="center"/>
        </w:trPr>
        <w:tc>
          <w:tcPr>
            <w:tcW w:w="964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ind w:left="105" w:leftChars="50"/>
              <w:textAlignment w:val="center"/>
              <w:rPr>
                <w:rFonts w:hint="eastAsia" w:cs="新宋体"/>
                <w:color w:val="auto"/>
                <w:sz w:val="22"/>
                <w:szCs w:val="22"/>
                <w:lang w:bidi="ar"/>
              </w:rPr>
            </w:pPr>
            <w:r>
              <w:rPr>
                <w:rFonts w:hint="eastAsia" w:cs="新宋体"/>
                <w:color w:val="auto"/>
                <w:sz w:val="22"/>
                <w:szCs w:val="22"/>
                <w:lang w:val="en-US" w:eastAsia="zh-CN" w:bidi="ar"/>
              </w:rPr>
              <w:t>10</w:t>
            </w:r>
            <w:r>
              <w:rPr>
                <w:rFonts w:hint="eastAsia" w:cs="新宋体"/>
                <w:color w:val="auto"/>
                <w:sz w:val="22"/>
                <w:szCs w:val="22"/>
                <w:lang w:bidi="ar"/>
              </w:rPr>
              <w:t>、其它不当情形的，每次视情扣月度</w:t>
            </w:r>
            <w:r>
              <w:rPr>
                <w:rFonts w:hint="eastAsia"/>
                <w:color w:val="auto"/>
                <w:sz w:val="22"/>
              </w:rPr>
              <w:t>服务费用</w:t>
            </w:r>
            <w:r>
              <w:rPr>
                <w:rFonts w:hint="eastAsia" w:cs="新宋体"/>
                <w:color w:val="auto"/>
                <w:sz w:val="22"/>
                <w:szCs w:val="22"/>
                <w:lang w:bidi="ar"/>
              </w:rPr>
              <w:t>1000-</w:t>
            </w:r>
            <w:r>
              <w:rPr>
                <w:rFonts w:cs="新宋体"/>
                <w:color w:val="auto"/>
                <w:sz w:val="22"/>
                <w:szCs w:val="22"/>
                <w:lang w:bidi="ar"/>
              </w:rPr>
              <w:t>10</w:t>
            </w:r>
            <w:r>
              <w:rPr>
                <w:rFonts w:hint="eastAsia" w:cs="新宋体"/>
                <w:color w:val="auto"/>
                <w:sz w:val="22"/>
                <w:szCs w:val="22"/>
                <w:lang w:bidi="ar"/>
              </w:rPr>
              <w:t>000元。</w:t>
            </w:r>
          </w:p>
        </w:tc>
      </w:tr>
    </w:tbl>
    <w:p>
      <w:pPr>
        <w:snapToGrid w:val="0"/>
        <w:spacing w:line="460" w:lineRule="exact"/>
        <w:ind w:firstLine="442" w:firstLineChars="200"/>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eastAsia="zh-CN"/>
        </w:rPr>
        <w:t>四、项目服务期</w:t>
      </w:r>
      <w:r>
        <w:rPr>
          <w:rFonts w:hint="eastAsia" w:ascii="宋体" w:hAnsi="宋体" w:eastAsia="宋体" w:cs="宋体"/>
          <w:b/>
          <w:bCs/>
          <w:color w:val="auto"/>
          <w:sz w:val="22"/>
          <w:szCs w:val="22"/>
          <w:highlight w:val="none"/>
          <w:lang w:val="en-US" w:eastAsia="zh-CN"/>
        </w:rPr>
        <w:t>:</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lang w:val="en-US" w:eastAsia="zh-CN"/>
        </w:rPr>
      </w:pPr>
      <w:bookmarkStart w:id="29" w:name="_Toc520146750"/>
      <w:bookmarkStart w:id="30" w:name="_Toc493682316"/>
      <w:bookmarkStart w:id="31" w:name="_Toc446429436"/>
      <w:bookmarkStart w:id="32" w:name="_Toc515017337"/>
      <w:bookmarkStart w:id="33" w:name="_Toc14080391"/>
      <w:r>
        <w:rPr>
          <w:rFonts w:hint="eastAsia" w:ascii="宋体" w:hAnsi="宋体" w:cs="宋体"/>
          <w:color w:val="auto"/>
          <w:sz w:val="22"/>
          <w:szCs w:val="22"/>
          <w:highlight w:val="none"/>
          <w:lang w:val="en-US" w:eastAsia="zh-CN"/>
        </w:rPr>
        <w:t>项目服务期自合同签订之日起三年，合同一年一签。中标供应商在未有违反合同的行为发生，且服务质量满足采购人要求的前提下，1年承包期满后，可续签下一年服务承包合同，若中标供应商有违约行为，服务质量未达到标准，采购人有权单方面提前解除合同或不续签下一年合同。</w:t>
      </w:r>
    </w:p>
    <w:bookmarkEnd w:id="10"/>
    <w:bookmarkEnd w:id="11"/>
    <w:bookmarkEnd w:id="12"/>
    <w:bookmarkEnd w:id="13"/>
    <w:bookmarkEnd w:id="14"/>
    <w:bookmarkEnd w:id="29"/>
    <w:bookmarkEnd w:id="30"/>
    <w:bookmarkEnd w:id="31"/>
    <w:bookmarkEnd w:id="32"/>
    <w:bookmarkEnd w:id="33"/>
    <w:p>
      <w:pPr>
        <w:snapToGrid w:val="0"/>
        <w:spacing w:line="460" w:lineRule="exact"/>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五、履约验收要求</w:t>
      </w:r>
    </w:p>
    <w:p>
      <w:pPr>
        <w:keepNext w:val="0"/>
        <w:keepLines w:val="0"/>
        <w:pageBreakBefore w:val="0"/>
        <w:widowControl w:val="0"/>
        <w:kinsoku/>
        <w:wordWrap/>
        <w:overflowPunct/>
        <w:topLinePunct w:val="0"/>
        <w:bidi w:val="0"/>
        <w:spacing w:line="460" w:lineRule="exact"/>
        <w:ind w:firstLine="440" w:firstLineChars="200"/>
        <w:textAlignment w:val="auto"/>
        <w:rPr>
          <w:rFonts w:hint="eastAsia" w:ascii="宋体" w:hAnsi="宋体" w:eastAsia="宋体" w:cs="宋体"/>
          <w:b/>
          <w:color w:val="auto"/>
          <w:sz w:val="22"/>
          <w:highlight w:val="none"/>
        </w:rPr>
      </w:pPr>
      <w:r>
        <w:rPr>
          <w:rFonts w:hint="eastAsia" w:ascii="新宋体" w:hAnsi="新宋体" w:eastAsia="新宋体" w:cs="新宋体"/>
          <w:color w:val="auto"/>
          <w:sz w:val="22"/>
          <w:szCs w:val="22"/>
          <w:highlight w:val="none"/>
        </w:rPr>
        <w:t>按《中华人民共和国政府采购法》及其实施条例、《中华人民共和国民法典》、《财政部关于进一步加强政府采购需求和履约验收管理的指导意见》（财库〔2016〕205号）、《浙江省财政厅关于印发浙江省政府采购合同暂行办法的通知》（浙财采监〔2017〕11号）、《温州市政府采购履约验收办法》（温财采〔2020〕6号）等相关法律法规、规定执行。</w:t>
      </w:r>
    </w:p>
    <w:p>
      <w:pPr>
        <w:snapToGrid w:val="0"/>
        <w:spacing w:line="460" w:lineRule="exact"/>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六、其他要求</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投标供应商应根据工程的实际特点，并结合本公司的实际情况，制定详细的响应措施和方案。</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投标文件中需具有下列内容：</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1）、企业及主要负责人基本情况介绍（包括企业信誉、标准认证、近期业绩、获奖情况）；</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2）、主要工作人员配备；</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3）、自有拖车数量及证明；</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4）、相关服务承诺；</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5）、提出需要采购单位提供的配合条件。</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6）、其他应说明的内容和资料。</w:t>
      </w:r>
    </w:p>
    <w:p>
      <w:pPr>
        <w:pStyle w:val="20"/>
        <w:rPr>
          <w:rFonts w:hint="eastAsia" w:ascii="宋体" w:cs="宋体"/>
          <w:b w:val="0"/>
          <w:bCs w:val="0"/>
          <w:color w:val="auto"/>
          <w:sz w:val="22"/>
          <w:szCs w:val="22"/>
          <w:highlight w:val="yellow"/>
          <w:lang w:val="en-US" w:eastAsia="zh-CN"/>
        </w:rPr>
      </w:pPr>
    </w:p>
    <w:p>
      <w:pPr>
        <w:rPr>
          <w:rFonts w:hint="eastAsia" w:ascii="宋体" w:hAnsi="宋体" w:cs="宋体"/>
          <w:color w:val="auto"/>
          <w:sz w:val="30"/>
          <w:szCs w:val="30"/>
          <w:highlight w:val="none"/>
        </w:rPr>
      </w:pPr>
    </w:p>
    <w:p>
      <w:pPr>
        <w:rPr>
          <w:rFonts w:hint="eastAsia" w:ascii="宋体" w:hAnsi="宋体" w:cs="宋体"/>
          <w:color w:val="auto"/>
          <w:sz w:val="30"/>
          <w:szCs w:val="30"/>
          <w:highlight w:val="none"/>
        </w:rPr>
      </w:pPr>
      <w:bookmarkStart w:id="34" w:name="_Toc15919"/>
      <w:r>
        <w:rPr>
          <w:rFonts w:hint="eastAsia" w:ascii="宋体" w:hAnsi="宋体" w:cs="宋体"/>
          <w:color w:val="auto"/>
          <w:sz w:val="30"/>
          <w:szCs w:val="30"/>
          <w:highlight w:val="none"/>
        </w:rPr>
        <w:br w:type="page"/>
      </w:r>
    </w:p>
    <w:p>
      <w:pPr>
        <w:pStyle w:val="42"/>
        <w:rPr>
          <w:rFonts w:hint="eastAsia" w:ascii="宋体" w:hAnsi="宋体" w:cs="宋体"/>
          <w:color w:val="auto"/>
          <w:sz w:val="30"/>
          <w:szCs w:val="30"/>
          <w:highlight w:val="none"/>
        </w:rPr>
      </w:pPr>
      <w:r>
        <w:rPr>
          <w:rFonts w:hint="eastAsia" w:ascii="宋体" w:hAnsi="宋体" w:cs="宋体"/>
          <w:color w:val="auto"/>
          <w:sz w:val="30"/>
          <w:szCs w:val="30"/>
          <w:highlight w:val="none"/>
        </w:rPr>
        <w:t>第三部分 供应商须知</w:t>
      </w:r>
      <w:bookmarkEnd w:id="15"/>
      <w:bookmarkEnd w:id="16"/>
      <w:bookmarkEnd w:id="34"/>
    </w:p>
    <w:p>
      <w:pPr>
        <w:autoSpaceDE w:val="0"/>
        <w:autoSpaceDN w:val="0"/>
        <w:adjustRightInd w:val="0"/>
        <w:snapToGrid w:val="0"/>
        <w:spacing w:line="440" w:lineRule="exact"/>
        <w:ind w:firstLine="422" w:firstLineChars="150"/>
        <w:jc w:val="center"/>
        <w:textAlignment w:val="bottom"/>
        <w:outlineLvl w:val="1"/>
        <w:rPr>
          <w:rFonts w:hint="eastAsia" w:ascii="宋体" w:hAnsi="宋体" w:cs="宋体"/>
          <w:b/>
          <w:bCs/>
          <w:color w:val="auto"/>
          <w:sz w:val="28"/>
          <w:szCs w:val="28"/>
          <w:highlight w:val="none"/>
        </w:rPr>
      </w:pPr>
      <w:bookmarkStart w:id="35" w:name="_Toc3034"/>
      <w:bookmarkStart w:id="36" w:name="_Toc461563852"/>
      <w:r>
        <w:rPr>
          <w:rFonts w:hint="eastAsia" w:ascii="宋体" w:hAnsi="宋体" w:cs="宋体"/>
          <w:b/>
          <w:bCs/>
          <w:color w:val="auto"/>
          <w:sz w:val="28"/>
          <w:szCs w:val="28"/>
          <w:highlight w:val="none"/>
        </w:rPr>
        <w:t>一、说明</w:t>
      </w:r>
      <w:bookmarkEnd w:id="35"/>
      <w:bookmarkEnd w:id="36"/>
    </w:p>
    <w:p>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1、本次采购工作是按照《中华人民共和国政府采购法》《中华人民共和国政府采购法实施条例》、《政府采购货物和服务招标投标管理办法》及相关法律规章组织和实施。</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2、供应商必须对全部内容进行投标报价,只对部分内容进行投标报价的供应商将按无效投标处理。</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3、无论投标过程中的做法和结果如何,供应商自行承担投标活动中所发生的全部费用。</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4、供应商须自行现场勘察,确认采购人的实际需求,取得准确的报价依据。如果认为招标文件描述或所列范围、面积与实际情况有较大出入,请在规定的招标质疑截止时间前列出详细的异议意见和数据向采购代理机构书面反映,逾期不得再对招标文件的条款提出质疑,视为接受招标文件,投标供应商中标后不得以各种理由提出增价要求,否则做投标违约处理,采购人有权取消其中标资格。</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5、本项目采购预算见采购公告。</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6、</w:t>
      </w:r>
      <w:r>
        <w:rPr>
          <w:rFonts w:hint="eastAsia" w:ascii="宋体" w:hAnsi="宋体" w:cs="宋体"/>
          <w:color w:val="auto"/>
          <w:sz w:val="22"/>
          <w:szCs w:val="22"/>
          <w:highlight w:val="none"/>
        </w:rPr>
        <w:t>投标供应商认为完成本招标文件规定的项目承包内容所发生的直接成本、间接成本、利润、税金、政策性文件规定的费用等一切费用均应计入投标报价,凡未列入的将被认为均已包含在投标总价中,今后不得以任何理由追加或调整。</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7、采用最低评标价法的采购项目,提供相同品牌产品的不同投标供应商参加同一合同项下投标的,以其中通过资格审查、符合性审查且报价最低的参加评标；报价相同的,采取随机抽取方式确定,其他投标无效。</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使用综合评分法的采购项目,提供相同品牌产品且通过资格审查、符合性审查的不同投标供应商参加同一合同项下投标的,按一家投标供应商计算,评审后得分最高的同品牌投标供应商获得</w:t>
      </w:r>
      <w:r>
        <w:rPr>
          <w:rFonts w:hint="eastAsia" w:ascii="宋体" w:hAnsi="宋体" w:cs="宋体"/>
          <w:color w:val="auto"/>
          <w:sz w:val="22"/>
          <w:szCs w:val="22"/>
          <w:highlight w:val="none"/>
          <w:lang w:eastAsia="zh-CN"/>
        </w:rPr>
        <w:t>中标供应商</w:t>
      </w:r>
      <w:r>
        <w:rPr>
          <w:rFonts w:hint="eastAsia" w:ascii="宋体" w:hAnsi="宋体" w:cs="宋体"/>
          <w:color w:val="auto"/>
          <w:sz w:val="22"/>
          <w:szCs w:val="22"/>
          <w:highlight w:val="none"/>
        </w:rPr>
        <w:t>推荐资格；评审得分相同的,采取随机抽取方式确定,其他同品牌投标供应商不作为中标候选人。</w:t>
      </w:r>
    </w:p>
    <w:p>
      <w:pPr>
        <w:widowControl/>
        <w:autoSpaceDE w:val="0"/>
        <w:autoSpaceDN w:val="0"/>
        <w:adjustRightInd w:val="0"/>
        <w:spacing w:line="460" w:lineRule="atLeast"/>
        <w:ind w:firstLine="464" w:firstLineChars="200"/>
        <w:textAlignment w:val="bottom"/>
        <w:rPr>
          <w:rFonts w:hint="eastAsia" w:ascii="宋体" w:hAnsi="宋体" w:cs="宋体"/>
          <w:color w:val="auto"/>
          <w:sz w:val="22"/>
          <w:szCs w:val="22"/>
          <w:highlight w:val="none"/>
        </w:rPr>
      </w:pPr>
      <w:r>
        <w:rPr>
          <w:rFonts w:hint="eastAsia" w:ascii="宋体" w:hAnsi="宋体" w:cs="宋体"/>
          <w:bCs/>
          <w:color w:val="auto"/>
          <w:spacing w:val="6"/>
          <w:sz w:val="22"/>
          <w:szCs w:val="22"/>
          <w:highlight w:val="none"/>
        </w:rPr>
        <w:t>非单一产品采购项目,采购人应当根据采购项目技术构成、产品价格比重等合理确定核心产品,并在采购文件中载明。多家供应商提供的核心产品品牌相同的,按前两款规定处理</w:t>
      </w:r>
      <w:r>
        <w:rPr>
          <w:rFonts w:hint="eastAsia" w:ascii="宋体" w:hAnsi="宋体" w:cs="宋体"/>
          <w:color w:val="auto"/>
          <w:sz w:val="22"/>
          <w:szCs w:val="22"/>
          <w:highlight w:val="none"/>
        </w:rPr>
        <w:t>。</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8、本项目对符合财政扶持政策的中小企业（小型、微型）、监狱企业、残疾人福利性单位给予价格优惠扶持,执行节能产品政府强制采购和优先采购政策,执行环境标志产品政府优先采购政策；</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9、“政采金融服务：政采云平台目前为供应商提供政采贷、履约保函、预付款保函等相关金融服务,相关操作帮助及情况介绍见以下链接：https://jinrong.zcygov.cn/finance-service/#/help”。</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10、供应商在投标活动中提供任何虚假材料,其投标无效,并报监管部门查处；中标后发现的,</w:t>
      </w:r>
      <w:r>
        <w:rPr>
          <w:rFonts w:hint="eastAsia" w:ascii="宋体" w:hAnsi="宋体" w:cs="宋体"/>
          <w:color w:val="auto"/>
          <w:sz w:val="22"/>
          <w:szCs w:val="22"/>
          <w:highlight w:val="none"/>
          <w:lang w:eastAsia="zh-CN"/>
        </w:rPr>
        <w:t>中标供应商</w:t>
      </w:r>
      <w:r>
        <w:rPr>
          <w:rFonts w:hint="eastAsia" w:ascii="宋体" w:hAnsi="宋体" w:cs="宋体"/>
          <w:color w:val="auto"/>
          <w:sz w:val="22"/>
          <w:szCs w:val="22"/>
          <w:highlight w:val="none"/>
        </w:rPr>
        <w:t>须依照《中华人民共和国消费者权益保护法》第49条之规定双倍赔偿采购人,且民事赔偿并不免除违法供应商的行政与刑事责任。</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11、非浙江政府采购网注册的供应商或发生变更且未及时更新的供应商,应当在规定时间内按照《浙江省政府采购供应商注册及诚信管理暂行办法》（浙财采监字〔2009〕28号）的相关规定及时办理更新或供应商注册事项。一旦被确定为</w:t>
      </w:r>
      <w:r>
        <w:rPr>
          <w:rFonts w:hint="eastAsia" w:ascii="宋体" w:hAnsi="宋体" w:cs="宋体"/>
          <w:color w:val="auto"/>
          <w:sz w:val="22"/>
          <w:szCs w:val="22"/>
          <w:highlight w:val="none"/>
          <w:lang w:eastAsia="zh-CN"/>
        </w:rPr>
        <w:t>中标供应商</w:t>
      </w:r>
      <w:r>
        <w:rPr>
          <w:rFonts w:hint="eastAsia" w:ascii="宋体" w:hAnsi="宋体" w:cs="宋体"/>
          <w:color w:val="auto"/>
          <w:sz w:val="22"/>
          <w:szCs w:val="22"/>
          <w:highlight w:val="none"/>
        </w:rPr>
        <w:t>的,在合同签订前按本办法的规定完成注册并成为正式注册供应商</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12、投标供应商代表指全权代表投标供应商参加投标活动并签署投标文件的人。如果投标供应商代表是法定代表人的,仅需提供身份证扫描件；如果投标供应商代表不是法定代表人,必须持有《法定代表人授权书》。</w:t>
      </w:r>
    </w:p>
    <w:p>
      <w:pPr>
        <w:widowControl/>
        <w:autoSpaceDE w:val="0"/>
        <w:autoSpaceDN w:val="0"/>
        <w:adjustRightInd w:val="0"/>
        <w:spacing w:line="460" w:lineRule="atLeast"/>
        <w:ind w:firstLine="420" w:firstLineChars="200"/>
        <w:textAlignment w:val="bottom"/>
        <w:rPr>
          <w:rFonts w:hint="eastAsia" w:ascii="宋体" w:hAnsi="宋体" w:cs="宋体"/>
          <w:color w:val="auto"/>
          <w:highlight w:val="none"/>
        </w:rPr>
      </w:pPr>
      <w:r>
        <w:rPr>
          <w:rFonts w:hint="eastAsia" w:ascii="宋体" w:hAnsi="宋体" w:cs="宋体"/>
          <w:color w:val="auto"/>
          <w:highlight w:val="none"/>
        </w:rPr>
        <w:t>13、</w:t>
      </w:r>
      <w:r>
        <w:rPr>
          <w:rFonts w:hint="eastAsia" w:ascii="宋体" w:hAnsi="宋体" w:cs="宋体"/>
          <w:color w:val="auto"/>
          <w:sz w:val="22"/>
          <w:szCs w:val="22"/>
          <w:highlight w:val="none"/>
        </w:rPr>
        <w:t>《浙江省财政厅关于进一步加大政府采购支持中小企业力度助力扎实稳住经济的通知》（浙财采监（2022）8号）已于2022年7月1日开始实施,此前有关规定与上述文件内容不一致的,按上述文件要求执行。</w:t>
      </w:r>
    </w:p>
    <w:p>
      <w:pPr>
        <w:autoSpaceDE w:val="0"/>
        <w:autoSpaceDN w:val="0"/>
        <w:adjustRightInd w:val="0"/>
        <w:snapToGrid w:val="0"/>
        <w:spacing w:line="440" w:lineRule="exact"/>
        <w:ind w:firstLine="422" w:firstLineChars="150"/>
        <w:jc w:val="center"/>
        <w:textAlignment w:val="bottom"/>
        <w:outlineLvl w:val="1"/>
        <w:rPr>
          <w:rFonts w:hint="eastAsia" w:ascii="宋体" w:hAnsi="宋体" w:cs="宋体"/>
          <w:b/>
          <w:bCs/>
          <w:color w:val="auto"/>
          <w:sz w:val="28"/>
          <w:szCs w:val="28"/>
          <w:highlight w:val="none"/>
        </w:rPr>
      </w:pPr>
      <w:bookmarkStart w:id="37" w:name="_Toc461563853"/>
      <w:bookmarkStart w:id="38" w:name="_Toc13701"/>
      <w:r>
        <w:rPr>
          <w:rFonts w:hint="eastAsia" w:ascii="宋体" w:hAnsi="宋体" w:cs="宋体"/>
          <w:b/>
          <w:bCs/>
          <w:color w:val="auto"/>
          <w:sz w:val="28"/>
          <w:szCs w:val="28"/>
          <w:highlight w:val="none"/>
        </w:rPr>
        <w:t>二、供应商资格条件</w:t>
      </w:r>
      <w:bookmarkEnd w:id="37"/>
      <w:bookmarkEnd w:id="38"/>
    </w:p>
    <w:p>
      <w:pPr>
        <w:autoSpaceDE w:val="0"/>
        <w:autoSpaceDN w:val="0"/>
        <w:adjustRightInd w:val="0"/>
        <w:spacing w:line="450" w:lineRule="exac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按招标公告要求。</w:t>
      </w:r>
    </w:p>
    <w:p>
      <w:pPr>
        <w:autoSpaceDE w:val="0"/>
        <w:autoSpaceDN w:val="0"/>
        <w:adjustRightInd w:val="0"/>
        <w:snapToGrid w:val="0"/>
        <w:spacing w:line="440" w:lineRule="exact"/>
        <w:ind w:firstLine="422" w:firstLineChars="150"/>
        <w:jc w:val="center"/>
        <w:textAlignment w:val="bottom"/>
        <w:outlineLvl w:val="1"/>
        <w:rPr>
          <w:rFonts w:hint="eastAsia" w:ascii="宋体" w:hAnsi="宋体" w:cs="宋体"/>
          <w:b/>
          <w:bCs/>
          <w:color w:val="auto"/>
          <w:sz w:val="28"/>
          <w:szCs w:val="28"/>
          <w:highlight w:val="none"/>
        </w:rPr>
      </w:pPr>
      <w:bookmarkStart w:id="39" w:name="_Toc13744"/>
      <w:bookmarkStart w:id="40" w:name="_Toc461563854"/>
      <w:r>
        <w:rPr>
          <w:rFonts w:hint="eastAsia" w:ascii="宋体" w:hAnsi="宋体" w:cs="宋体"/>
          <w:b/>
          <w:bCs/>
          <w:color w:val="auto"/>
          <w:sz w:val="28"/>
          <w:szCs w:val="28"/>
          <w:highlight w:val="none"/>
        </w:rPr>
        <w:t>三、招标文件</w:t>
      </w:r>
      <w:bookmarkEnd w:id="39"/>
      <w:bookmarkEnd w:id="40"/>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1、招标文件</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1.1招标文件约束力</w:t>
      </w:r>
    </w:p>
    <w:p>
      <w:pPr>
        <w:autoSpaceDE w:val="0"/>
        <w:autoSpaceDN w:val="0"/>
        <w:adjustRightInd w:val="0"/>
        <w:spacing w:line="460" w:lineRule="atLeast"/>
        <w:ind w:firstLine="442" w:firstLineChars="200"/>
        <w:rPr>
          <w:rFonts w:hint="eastAsia" w:ascii="宋体" w:hAnsi="宋体" w:cs="宋体"/>
          <w:color w:val="auto"/>
          <w:sz w:val="22"/>
          <w:szCs w:val="22"/>
          <w:highlight w:val="none"/>
          <w:u w:val="single"/>
        </w:rPr>
      </w:pPr>
      <w:r>
        <w:rPr>
          <w:rFonts w:hint="eastAsia" w:ascii="宋体" w:hAnsi="宋体" w:eastAsia="宋体" w:cs="宋体"/>
          <w:b/>
          <w:bCs/>
          <w:color w:val="auto"/>
          <w:sz w:val="22"/>
          <w:szCs w:val="22"/>
          <w:highlight w:val="none"/>
        </w:rPr>
        <w:t>★</w:t>
      </w:r>
      <w:r>
        <w:rPr>
          <w:rFonts w:hint="eastAsia" w:ascii="宋体" w:hAnsi="宋体" w:cs="宋体"/>
          <w:b/>
          <w:color w:val="auto"/>
          <w:sz w:val="22"/>
          <w:szCs w:val="22"/>
          <w:highlight w:val="none"/>
          <w:u w:val="single"/>
        </w:rPr>
        <w:t>供应商一旦获取了本招标文件并参加投标,即被认为接受了本招标文件中所有条款和规定。</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1.2招标文件的组成</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招标文件由招标文件总目录所列内容及补充资料等组成。</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2、质疑</w:t>
      </w:r>
    </w:p>
    <w:p>
      <w:pPr>
        <w:autoSpaceDE w:val="0"/>
        <w:autoSpaceDN w:val="0"/>
        <w:adjustRightInd w:val="0"/>
        <w:spacing w:line="460" w:lineRule="atLeast"/>
        <w:ind w:firstLine="440" w:firstLineChars="200"/>
        <w:rPr>
          <w:rFonts w:hint="eastAsia" w:ascii="宋体" w:hAnsi="宋体" w:cs="宋体"/>
          <w:b/>
          <w:color w:val="auto"/>
          <w:sz w:val="22"/>
          <w:szCs w:val="22"/>
          <w:highlight w:val="none"/>
        </w:rPr>
      </w:pPr>
      <w:r>
        <w:rPr>
          <w:rFonts w:hint="eastAsia" w:ascii="宋体" w:hAnsi="宋体" w:cs="宋体"/>
          <w:color w:val="auto"/>
          <w:sz w:val="22"/>
          <w:szCs w:val="22"/>
          <w:highlight w:val="none"/>
        </w:rPr>
        <w:t>2.1供应商认为采购文件、采购过程、中标或者成交结果使自己的权益受到损害的,可以在知道或者应知其权益受到损害之日起7个工作日内,以书面形式（包括信函、传真,下同）或政采云系统向采购人、采购代理机构提出质疑。逾期提出的,采购组织机构将不予受理、答复。</w:t>
      </w:r>
      <w:r>
        <w:rPr>
          <w:rFonts w:hint="eastAsia" w:ascii="宋体" w:hAnsi="宋体" w:cs="宋体"/>
          <w:b/>
          <w:color w:val="auto"/>
          <w:sz w:val="22"/>
          <w:szCs w:val="22"/>
          <w:highlight w:val="none"/>
        </w:rPr>
        <w:t>任何口头答复均不作为投标依据。</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2.2供应商提出质疑应当提交质疑函和必要的证明材料,质疑函范本请到“浙江政府采购网下载专区”下载,质疑函内容及签署等相关要求请参看《政府采购质疑和投诉办法》相关规定。</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2.3提出质疑的供应商应当是参与本项目招标活动的供应商。供应商在法定质疑期内一次性提出针对同一采购程序环节的质疑。</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2.4根据《政府采购质疑和投诉办法》第三十七条的规定,投诉人在全国范围12个月内三次以上投诉查无实据的,由财政部门列入不良行为记录名单。</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3、投诉</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3.1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4、招标文件的澄清或修改</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4.1采购人或者采购代理机构可以对已发出的采购文件进行必要的澄清或者修改。澄清或者修改在浙江政府采购网上发布公告,同时政采云系统会向所有已按采购文件规定方式获取采购文件的潜在投标供应商发送更正提醒信息,潜在投标供应商请自行到浙江省政府采购网上查看更正（澄清或补充）公告,潜在投标供应商在收到该公告后应于1日内,以书面或传真形式（签署意见并加盖公章）向采购代理机构回函给予确认。过期未回复的,视为默认接受。澄清或者修改的内容为采购文件的组成部分,对所有投标供应商均有约束力。</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4.2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4.3补充、更正文件在浙江政府采购网（http://www.zjzfcg.gov.cn/）予以公告公布。</w:t>
      </w:r>
      <w:bookmarkEnd w:id="1"/>
      <w:r>
        <w:rPr>
          <w:rFonts w:hint="eastAsia" w:ascii="宋体" w:hAnsi="宋体" w:cs="宋体"/>
          <w:b/>
          <w:bCs/>
          <w:color w:val="auto"/>
          <w:sz w:val="22"/>
          <w:szCs w:val="22"/>
          <w:highlight w:val="none"/>
        </w:rPr>
        <w:t>供应商须在开标前一日自行查看是否有补充更正文件,并按补充更正文件要求响应,否则责任自负。</w:t>
      </w:r>
    </w:p>
    <w:p>
      <w:pPr>
        <w:autoSpaceDE w:val="0"/>
        <w:autoSpaceDN w:val="0"/>
        <w:adjustRightInd w:val="0"/>
        <w:snapToGrid w:val="0"/>
        <w:spacing w:line="440" w:lineRule="exact"/>
        <w:ind w:firstLine="422" w:firstLineChars="150"/>
        <w:jc w:val="center"/>
        <w:textAlignment w:val="bottom"/>
        <w:outlineLvl w:val="1"/>
        <w:rPr>
          <w:rFonts w:hint="eastAsia" w:ascii="宋体" w:hAnsi="宋体" w:cs="宋体"/>
          <w:b/>
          <w:bCs/>
          <w:color w:val="auto"/>
          <w:sz w:val="28"/>
          <w:szCs w:val="28"/>
          <w:highlight w:val="none"/>
        </w:rPr>
      </w:pPr>
      <w:bookmarkStart w:id="41" w:name="_Toc496116252"/>
      <w:bookmarkStart w:id="42" w:name="_Toc24086"/>
      <w:r>
        <w:rPr>
          <w:rFonts w:hint="eastAsia" w:ascii="宋体" w:hAnsi="宋体" w:cs="宋体"/>
          <w:b/>
          <w:bCs/>
          <w:color w:val="auto"/>
          <w:sz w:val="28"/>
          <w:szCs w:val="28"/>
          <w:highlight w:val="none"/>
        </w:rPr>
        <w:t>四、投标文件</w:t>
      </w:r>
      <w:bookmarkEnd w:id="41"/>
      <w:bookmarkEnd w:id="42"/>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1、投标文件</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1.1供应商提交的投标文件以及供应商与采购人就有关投标的所有来往函电均应使用中文。供应商可以提交用其他语言印制的资料,但必须译成中文,在有差异和矛盾时以中文为准。</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1.2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1.3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1.4供应商应仔细阅读招标文件中的所有内容,按照招标文件要求,详细编制投标文件,所有文件资料必须是针对本次投标。不按招标文件的要求提供的投标文件可能导致被拒绝。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pacing w:line="460" w:lineRule="atLeas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2、投标文件的组成</w:t>
      </w:r>
    </w:p>
    <w:p>
      <w:pPr>
        <w:autoSpaceDE w:val="0"/>
        <w:autoSpaceDN w:val="0"/>
        <w:adjustRightInd w:val="0"/>
        <w:spacing w:line="460" w:lineRule="atLeast"/>
        <w:ind w:firstLine="442" w:firstLineChars="200"/>
        <w:rPr>
          <w:rFonts w:hint="eastAsia" w:ascii="宋体" w:hAnsi="宋体" w:cs="宋体"/>
          <w:b/>
          <w:color w:val="auto"/>
          <w:sz w:val="22"/>
          <w:szCs w:val="22"/>
          <w:highlight w:val="none"/>
          <w:lang w:val="zh-CN"/>
        </w:rPr>
      </w:pPr>
      <w:r>
        <w:rPr>
          <w:rFonts w:hint="eastAsia" w:ascii="宋体" w:hAnsi="宋体" w:cs="宋体"/>
          <w:b/>
          <w:bCs/>
          <w:color w:val="auto"/>
          <w:sz w:val="22"/>
          <w:szCs w:val="22"/>
          <w:highlight w:val="none"/>
          <w:u w:val="single"/>
        </w:rPr>
        <w:t>投标文件由资格证明文件、报价文件部分和技术资信部分三部分组成。</w:t>
      </w:r>
    </w:p>
    <w:p>
      <w:pPr>
        <w:autoSpaceDE w:val="0"/>
        <w:autoSpaceDN w:val="0"/>
        <w:adjustRightInd w:val="0"/>
        <w:spacing w:line="450" w:lineRule="atLeast"/>
        <w:ind w:firstLine="442" w:firstLineChars="200"/>
        <w:rPr>
          <w:rFonts w:hint="eastAsia" w:ascii="宋体" w:hAnsi="宋体" w:cs="宋体"/>
          <w:b/>
          <w:color w:val="auto"/>
          <w:sz w:val="22"/>
          <w:szCs w:val="22"/>
          <w:highlight w:val="none"/>
          <w:u w:val="single"/>
          <w:lang w:val="zh-CN"/>
        </w:rPr>
      </w:pPr>
      <w:bookmarkStart w:id="43" w:name="_Toc132122412"/>
      <w:bookmarkStart w:id="44" w:name="_Toc132122115"/>
      <w:r>
        <w:rPr>
          <w:rFonts w:hint="eastAsia" w:ascii="宋体" w:hAnsi="宋体" w:cs="宋体"/>
          <w:b/>
          <w:color w:val="auto"/>
          <w:sz w:val="22"/>
          <w:szCs w:val="22"/>
          <w:highlight w:val="none"/>
          <w:u w:val="single"/>
          <w:lang w:val="zh-CN"/>
        </w:rPr>
        <w:t>2.1资格证明文件部分组成</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7956"/>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30" w:lineRule="atLeast"/>
              <w:jc w:val="center"/>
              <w:rPr>
                <w:rFonts w:hint="eastAsia" w:ascii="宋体" w:hAnsi="宋体" w:cs="宋体"/>
                <w:b/>
                <w:bCs/>
                <w:color w:val="auto"/>
                <w:sz w:val="22"/>
                <w:szCs w:val="22"/>
                <w:highlight w:val="none"/>
                <w:lang w:val="zh-CN"/>
              </w:rPr>
            </w:pPr>
            <w:r>
              <w:rPr>
                <w:rFonts w:hint="eastAsia" w:ascii="宋体" w:hAnsi="宋体" w:cs="宋体"/>
                <w:color w:val="auto"/>
                <w:sz w:val="22"/>
                <w:szCs w:val="22"/>
                <w:highlight w:val="none"/>
                <w:lang w:val="zh-CN"/>
              </w:rPr>
              <w:t>序号</w:t>
            </w:r>
          </w:p>
        </w:tc>
        <w:tc>
          <w:tcPr>
            <w:tcW w:w="4036"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jc w:val="center"/>
              <w:rPr>
                <w:rFonts w:hint="eastAsia" w:ascii="宋体" w:hAnsi="宋体" w:cs="宋体"/>
                <w:b/>
                <w:bCs/>
                <w:color w:val="auto"/>
                <w:sz w:val="22"/>
                <w:szCs w:val="22"/>
                <w:highlight w:val="none"/>
                <w:lang w:val="zh-CN"/>
              </w:rPr>
            </w:pPr>
            <w:r>
              <w:rPr>
                <w:rFonts w:hint="eastAsia" w:ascii="宋体" w:hAnsi="宋体" w:cs="宋体"/>
                <w:color w:val="auto"/>
                <w:sz w:val="22"/>
                <w:szCs w:val="22"/>
                <w:highlight w:val="none"/>
                <w:u w:val="single"/>
                <w:lang w:val="zh-CN"/>
              </w:rPr>
              <w:t>内容（▲以下资格证明文件必须提供,否则不能通过资格审查的,责任自负</w:t>
            </w:r>
            <w:r>
              <w:rPr>
                <w:rFonts w:hint="eastAsia" w:ascii="宋体" w:hAnsi="宋体" w:cs="宋体"/>
                <w:color w:val="auto"/>
                <w:sz w:val="22"/>
                <w:szCs w:val="22"/>
                <w:highlight w:val="none"/>
                <w:lang w:val="zh-CN"/>
              </w:rPr>
              <w:t>）</w:t>
            </w:r>
          </w:p>
        </w:tc>
        <w:tc>
          <w:tcPr>
            <w:tcW w:w="558"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w:t>
            </w:r>
          </w:p>
        </w:tc>
        <w:tc>
          <w:tcPr>
            <w:tcW w:w="4036"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投标供应商的营业执照（或事业法人登记证书或其他工商等登记证明材料）、税务登记证（如为多证合一仅需提供营业执照（或事业法人登记证书或其他工商等登记证明材料）,扫描件加盖公章）</w:t>
            </w:r>
          </w:p>
        </w:tc>
        <w:tc>
          <w:tcPr>
            <w:tcW w:w="558"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w:t>
            </w:r>
          </w:p>
        </w:tc>
        <w:tc>
          <w:tcPr>
            <w:tcW w:w="4036"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具有财务会计制度、设备和专业技术能力、</w:t>
            </w:r>
            <w:r>
              <w:rPr>
                <w:rFonts w:hint="eastAsia" w:ascii="宋体" w:hAnsi="宋体" w:cs="宋体"/>
                <w:color w:val="auto"/>
                <w:sz w:val="22"/>
                <w:szCs w:val="22"/>
                <w:highlight w:val="none"/>
              </w:rPr>
              <w:t>依法</w:t>
            </w:r>
            <w:r>
              <w:rPr>
                <w:rFonts w:hint="eastAsia" w:ascii="宋体" w:hAnsi="宋体" w:cs="宋体"/>
                <w:color w:val="auto"/>
                <w:sz w:val="22"/>
                <w:szCs w:val="22"/>
                <w:highlight w:val="none"/>
                <w:lang w:val="zh-CN"/>
              </w:rPr>
              <w:t>缴纳税收和社会保障资金</w:t>
            </w:r>
            <w:r>
              <w:rPr>
                <w:rFonts w:hint="eastAsia" w:ascii="宋体" w:hAnsi="宋体" w:cs="宋体"/>
                <w:color w:val="auto"/>
                <w:sz w:val="22"/>
                <w:szCs w:val="22"/>
                <w:highlight w:val="none"/>
              </w:rPr>
              <w:t>记录</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无</w:t>
            </w:r>
            <w:r>
              <w:rPr>
                <w:rFonts w:hint="eastAsia" w:ascii="宋体" w:hAnsi="宋体" w:cs="宋体"/>
                <w:color w:val="auto"/>
                <w:sz w:val="22"/>
                <w:szCs w:val="22"/>
                <w:highlight w:val="none"/>
                <w:lang w:val="zh-CN"/>
              </w:rPr>
              <w:t>重大违法记录的承诺函</w:t>
            </w:r>
          </w:p>
        </w:tc>
        <w:tc>
          <w:tcPr>
            <w:tcW w:w="558"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430" w:lineRule="atLeast"/>
              <w:jc w:val="center"/>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4036"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hAnsi="宋体" w:cs="宋体"/>
                <w:b/>
                <w:color w:val="auto"/>
                <w:sz w:val="22"/>
                <w:szCs w:val="22"/>
                <w:highlight w:val="none"/>
              </w:rPr>
            </w:pPr>
            <w:r>
              <w:rPr>
                <w:rFonts w:hint="eastAsia" w:ascii="宋体" w:hAnsi="宋体" w:cs="宋体"/>
                <w:color w:val="auto"/>
                <w:sz w:val="22"/>
                <w:szCs w:val="22"/>
                <w:highlight w:val="none"/>
              </w:rPr>
              <w:t>投标供应商</w:t>
            </w:r>
            <w:r>
              <w:rPr>
                <w:rFonts w:hint="eastAsia" w:ascii="宋体" w:hAnsi="宋体" w:cs="宋体"/>
                <w:b/>
                <w:color w:val="auto"/>
                <w:sz w:val="22"/>
                <w:szCs w:val="22"/>
                <w:highlight w:val="none"/>
              </w:rPr>
              <w:t>同时提供以下</w:t>
            </w:r>
            <w:r>
              <w:rPr>
                <w:rFonts w:hint="eastAsia" w:ascii="宋体" w:hAnsi="宋体" w:cs="宋体"/>
                <w:color w:val="auto"/>
                <w:sz w:val="22"/>
                <w:szCs w:val="22"/>
                <w:highlight w:val="none"/>
              </w:rPr>
              <w:t>信用记录查询网页截图或报告（采购公告发布之日至投标文件递交截止时间前关于投标供应商信用记录的查询网页）</w:t>
            </w:r>
            <w:r>
              <w:rPr>
                <w:rFonts w:hint="eastAsia" w:ascii="宋体" w:hAnsi="宋体" w:cs="宋体"/>
                <w:b/>
                <w:color w:val="auto"/>
                <w:sz w:val="22"/>
                <w:szCs w:val="22"/>
                <w:highlight w:val="none"/>
              </w:rPr>
              <w:t>：</w:t>
            </w:r>
          </w:p>
          <w:p>
            <w:pPr>
              <w:tabs>
                <w:tab w:val="left" w:pos="4140"/>
              </w:tabs>
              <w:adjustRightInd w:val="0"/>
              <w:snapToGrid w:val="0"/>
              <w:spacing w:line="32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（1）“信用中国”（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52"/>
                <w:rFonts w:hint="eastAsia" w:ascii="宋体" w:hAnsi="宋体" w:cs="宋体"/>
                <w:color w:val="auto"/>
                <w:sz w:val="22"/>
                <w:szCs w:val="22"/>
                <w:highlight w:val="none"/>
              </w:rPr>
              <w:t>www.creditchina.gov.cn</w:t>
            </w:r>
            <w:r>
              <w:rPr>
                <w:rStyle w:val="52"/>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),在信用中国首页搜索栏中直接输入投标供应商全称搜索信用信息,再找到并点击进入投标供应商全称的查询页面。</w:t>
            </w:r>
          </w:p>
          <w:p>
            <w:pPr>
              <w:tabs>
                <w:tab w:val="left" w:pos="4140"/>
              </w:tabs>
              <w:adjustRightInd w:val="0"/>
              <w:snapToGrid w:val="0"/>
              <w:spacing w:line="320" w:lineRule="atLeas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（2）“中国政府采购网”（</w:t>
            </w:r>
            <w:r>
              <w:rPr>
                <w:color w:val="auto"/>
                <w:highlight w:val="none"/>
              </w:rPr>
              <w:fldChar w:fldCharType="begin"/>
            </w:r>
            <w:r>
              <w:rPr>
                <w:color w:val="auto"/>
                <w:highlight w:val="none"/>
              </w:rPr>
              <w:instrText xml:space="preserve"> HYPERLINK "http://www.ccgp.gov.cn/search/cr/" </w:instrText>
            </w:r>
            <w:r>
              <w:rPr>
                <w:color w:val="auto"/>
                <w:highlight w:val="none"/>
              </w:rPr>
              <w:fldChar w:fldCharType="separate"/>
            </w:r>
            <w:r>
              <w:rPr>
                <w:rStyle w:val="52"/>
                <w:rFonts w:hint="eastAsia" w:ascii="宋体" w:hAnsi="宋体" w:cs="宋体"/>
                <w:color w:val="auto"/>
                <w:sz w:val="22"/>
                <w:szCs w:val="22"/>
                <w:highlight w:val="none"/>
              </w:rPr>
              <w:t>www.ccgp.gov.cn/search/cr/</w:t>
            </w:r>
            <w:r>
              <w:rPr>
                <w:rStyle w:val="52"/>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 政府采购严重违法失信行为记录名单</w:t>
            </w:r>
            <w:r>
              <w:rPr>
                <w:rFonts w:hint="eastAsia" w:ascii="宋体" w:hAnsi="宋体" w:cs="宋体"/>
                <w:color w:val="auto"/>
                <w:sz w:val="22"/>
                <w:szCs w:val="22"/>
                <w:highlight w:val="none"/>
              </w:rPr>
              <w:t>输入投标供应商全称搜索信用信息</w:t>
            </w:r>
            <w:r>
              <w:rPr>
                <w:rFonts w:hint="eastAsia" w:ascii="宋体" w:hAnsi="宋体" w:cs="宋体"/>
                <w:color w:val="auto"/>
                <w:sz w:val="22"/>
                <w:szCs w:val="22"/>
                <w:highlight w:val="none"/>
                <w:lang w:eastAsia="zh-CN"/>
              </w:rPr>
              <w:t>。</w:t>
            </w:r>
          </w:p>
          <w:p>
            <w:pPr>
              <w:rPr>
                <w:rFonts w:hint="eastAsia" w:ascii="宋体" w:hAnsi="宋体" w:cs="宋体"/>
                <w:color w:val="auto"/>
                <w:sz w:val="22"/>
                <w:szCs w:val="22"/>
                <w:highlight w:val="none"/>
              </w:rPr>
            </w:pPr>
            <w:r>
              <w:rPr>
                <w:rFonts w:hint="eastAsia" w:ascii="宋体" w:hAnsi="宋体" w:cs="宋体"/>
                <w:color w:val="auto"/>
                <w:highlight w:val="none"/>
              </w:rPr>
              <w:t>注：</w:t>
            </w:r>
            <w:r>
              <w:rPr>
                <w:rFonts w:hint="eastAsia" w:ascii="宋体" w:hAnsi="宋体" w:cs="宋体"/>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pPr>
              <w:pStyle w:val="10"/>
              <w:ind w:firstLine="442"/>
              <w:rPr>
                <w:rFonts w:hint="eastAsia" w:ascii="宋体" w:eastAsia="宋体"/>
                <w:color w:val="auto"/>
                <w:highlight w:val="none"/>
              </w:rPr>
            </w:pPr>
            <w:r>
              <w:rPr>
                <w:rFonts w:hint="eastAsia" w:ascii="宋体" w:hAnsi="宋体" w:eastAsia="宋体" w:cs="宋体"/>
                <w:b w:val="0"/>
                <w:bCs w:val="0"/>
                <w:color w:val="auto"/>
                <w:kern w:val="2"/>
                <w:sz w:val="22"/>
                <w:szCs w:val="22"/>
                <w:highlight w:val="none"/>
                <w:lang w:val="en-US" w:eastAsia="zh-CN" w:bidi="ar-SA"/>
              </w:rPr>
              <w:t>②若供应商在“信用中国”无数据,亦须将搜索结果页面打印,并附说明。</w:t>
            </w:r>
          </w:p>
        </w:tc>
        <w:tc>
          <w:tcPr>
            <w:tcW w:w="558"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430" w:lineRule="atLeast"/>
              <w:jc w:val="center"/>
              <w:textAlignment w:val="bottom"/>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05"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4036"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与参加本次项目同一合同项下政府采购活动的其他供应商不存在单位负责人为同一人或者直接控股、管理关系的承诺函</w:t>
            </w:r>
          </w:p>
        </w:tc>
        <w:tc>
          <w:tcPr>
            <w:tcW w:w="55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30" w:lineRule="atLeast"/>
              <w:jc w:val="center"/>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4036"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供应商法定代表人授权书（如果投标供应商代表是法定代表人的,仅需提供身份证扫描件；如果投标供应商代表不是法定代表人,须持有《法定代表人授权书》）</w:t>
            </w:r>
          </w:p>
        </w:tc>
        <w:tc>
          <w:tcPr>
            <w:tcW w:w="558"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430" w:lineRule="atLeast"/>
              <w:jc w:val="center"/>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4036"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hAnsi="宋体" w:cs="宋体"/>
                <w:color w:val="auto"/>
                <w:sz w:val="22"/>
                <w:szCs w:val="22"/>
                <w:highlight w:val="none"/>
              </w:rPr>
            </w:pPr>
            <w:r>
              <w:rPr>
                <w:rFonts w:hint="eastAsia" w:ascii="宋体"/>
                <w:color w:val="auto"/>
                <w:sz w:val="22"/>
                <w:szCs w:val="22"/>
                <w:highlight w:val="none"/>
              </w:rPr>
              <w:t>中小企业（含残疾人福利性单位）声明函或监狱企业证明材料（格式见招标文件第四部分）</w:t>
            </w:r>
          </w:p>
        </w:tc>
        <w:tc>
          <w:tcPr>
            <w:tcW w:w="558"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430" w:lineRule="atLeast"/>
              <w:jc w:val="center"/>
              <w:textAlignment w:val="bottom"/>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4036" w:type="pct"/>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hint="eastAsia" w:ascii="宋体" w:eastAsia="宋体"/>
                <w:color w:val="auto"/>
                <w:sz w:val="22"/>
                <w:szCs w:val="22"/>
                <w:highlight w:val="none"/>
                <w:lang w:eastAsia="zh-CN"/>
              </w:rPr>
            </w:pPr>
            <w:r>
              <w:rPr>
                <w:rFonts w:hint="eastAsia" w:ascii="宋体" w:hAnsi="宋体"/>
                <w:color w:val="auto"/>
                <w:sz w:val="22"/>
                <w:szCs w:val="22"/>
                <w:highlight w:val="none"/>
              </w:rPr>
              <w:t>投标供应商特定资格条件证明：</w:t>
            </w:r>
            <w:r>
              <w:rPr>
                <w:rFonts w:hint="eastAsia" w:ascii="宋体" w:hAnsi="宋体"/>
                <w:color w:val="auto"/>
                <w:sz w:val="22"/>
                <w:szCs w:val="22"/>
                <w:highlight w:val="none"/>
                <w:lang w:eastAsia="zh-CN"/>
              </w:rPr>
              <w:t>无</w:t>
            </w:r>
          </w:p>
        </w:tc>
        <w:tc>
          <w:tcPr>
            <w:tcW w:w="558"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430" w:lineRule="atLeast"/>
              <w:jc w:val="center"/>
              <w:textAlignment w:val="bottom"/>
              <w:rPr>
                <w:rFonts w:hint="eastAsia" w:ascii="宋体" w:hAnsi="宋体" w:cs="宋体"/>
                <w:color w:val="auto"/>
                <w:sz w:val="22"/>
                <w:szCs w:val="22"/>
                <w:highlight w:val="none"/>
              </w:rPr>
            </w:pPr>
          </w:p>
        </w:tc>
      </w:tr>
    </w:tbl>
    <w:p>
      <w:pPr>
        <w:autoSpaceDE w:val="0"/>
        <w:autoSpaceDN w:val="0"/>
        <w:adjustRightInd w:val="0"/>
        <w:spacing w:line="450" w:lineRule="atLeast"/>
        <w:ind w:firstLine="442" w:firstLineChars="200"/>
        <w:rPr>
          <w:rFonts w:hint="eastAsia" w:ascii="宋体" w:hAnsi="宋体" w:cs="宋体"/>
          <w:b/>
          <w:color w:val="auto"/>
          <w:sz w:val="22"/>
          <w:szCs w:val="22"/>
          <w:highlight w:val="none"/>
          <w:u w:val="single"/>
          <w:lang w:val="zh-CN"/>
        </w:rPr>
      </w:pPr>
      <w:r>
        <w:rPr>
          <w:rFonts w:hint="eastAsia" w:ascii="宋体" w:hAnsi="宋体" w:cs="宋体"/>
          <w:b/>
          <w:color w:val="auto"/>
          <w:sz w:val="22"/>
          <w:szCs w:val="22"/>
          <w:highlight w:val="none"/>
          <w:u w:val="single"/>
          <w:lang w:val="zh-CN"/>
        </w:rPr>
        <w:t>2.2报价文件部分组成</w:t>
      </w:r>
    </w:p>
    <w:tbl>
      <w:tblPr>
        <w:tblStyle w:val="4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08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autoSpaceDE w:val="0"/>
              <w:autoSpaceDN w:val="0"/>
              <w:adjustRightInd w:val="0"/>
              <w:snapToGrid w:val="0"/>
              <w:spacing w:line="430" w:lineRule="atLeast"/>
              <w:rPr>
                <w:rFonts w:hint="eastAsia" w:ascii="宋体" w:hAnsi="宋体" w:cs="宋体"/>
                <w:b/>
                <w:bCs/>
                <w:color w:val="auto"/>
                <w:sz w:val="22"/>
                <w:highlight w:val="none"/>
                <w:lang w:val="zh-CN"/>
              </w:rPr>
            </w:pPr>
            <w:r>
              <w:rPr>
                <w:rFonts w:hint="eastAsia" w:ascii="宋体" w:hAnsi="宋体" w:cs="宋体"/>
                <w:color w:val="auto"/>
                <w:sz w:val="22"/>
                <w:szCs w:val="22"/>
                <w:highlight w:val="none"/>
                <w:lang w:val="zh-CN"/>
              </w:rPr>
              <w:t>序号</w:t>
            </w:r>
          </w:p>
        </w:tc>
        <w:tc>
          <w:tcPr>
            <w:tcW w:w="8080" w:type="dxa"/>
          </w:tcPr>
          <w:p>
            <w:pPr>
              <w:autoSpaceDE w:val="0"/>
              <w:autoSpaceDN w:val="0"/>
              <w:adjustRightInd w:val="0"/>
              <w:snapToGrid w:val="0"/>
              <w:spacing w:line="430" w:lineRule="atLeast"/>
              <w:rPr>
                <w:rFonts w:hint="eastAsia" w:ascii="宋体" w:hAnsi="宋体" w:cs="宋体"/>
                <w:b/>
                <w:bCs/>
                <w:color w:val="auto"/>
                <w:sz w:val="22"/>
                <w:highlight w:val="none"/>
                <w:lang w:val="zh-CN"/>
              </w:rPr>
            </w:pPr>
            <w:r>
              <w:rPr>
                <w:rFonts w:hint="eastAsia" w:ascii="宋体" w:hAnsi="宋体" w:cs="宋体"/>
                <w:color w:val="auto"/>
                <w:sz w:val="22"/>
                <w:szCs w:val="22"/>
                <w:highlight w:val="none"/>
                <w:lang w:val="zh-CN"/>
              </w:rPr>
              <w:t>内容（▲</w:t>
            </w:r>
            <w:r>
              <w:rPr>
                <w:rFonts w:hint="eastAsia" w:ascii="宋体" w:hAnsi="宋体" w:cs="宋体"/>
                <w:color w:val="auto"/>
                <w:sz w:val="22"/>
                <w:szCs w:val="22"/>
                <w:highlight w:val="none"/>
                <w:u w:val="single"/>
                <w:lang w:val="zh-CN"/>
              </w:rPr>
              <w:t>序号1、</w:t>
            </w:r>
            <w:r>
              <w:rPr>
                <w:rFonts w:hint="eastAsia" w:ascii="宋体" w:hAnsi="宋体" w:cs="宋体"/>
                <w:color w:val="auto"/>
                <w:sz w:val="22"/>
                <w:szCs w:val="22"/>
                <w:highlight w:val="none"/>
                <w:u w:val="single"/>
              </w:rPr>
              <w:t>2</w:t>
            </w:r>
            <w:r>
              <w:rPr>
                <w:rFonts w:hint="eastAsia" w:ascii="宋体" w:hAnsi="宋体" w:cs="宋体"/>
                <w:color w:val="auto"/>
                <w:sz w:val="22"/>
                <w:szCs w:val="22"/>
                <w:highlight w:val="none"/>
                <w:u w:val="single"/>
                <w:lang w:val="zh-CN"/>
              </w:rPr>
              <w:t>项供应商必须提供,否则不能通过符合性审查的,责任自负</w:t>
            </w:r>
            <w:r>
              <w:rPr>
                <w:rFonts w:hint="eastAsia" w:ascii="宋体" w:hAnsi="宋体" w:cs="宋体"/>
                <w:color w:val="auto"/>
                <w:sz w:val="22"/>
                <w:szCs w:val="22"/>
                <w:highlight w:val="none"/>
                <w:lang w:val="zh-CN"/>
              </w:rPr>
              <w:t>）</w:t>
            </w:r>
          </w:p>
        </w:tc>
        <w:tc>
          <w:tcPr>
            <w:tcW w:w="1099" w:type="dxa"/>
          </w:tcPr>
          <w:p>
            <w:pPr>
              <w:autoSpaceDE w:val="0"/>
              <w:autoSpaceDN w:val="0"/>
              <w:adjustRightInd w:val="0"/>
              <w:snapToGrid w:val="0"/>
              <w:spacing w:line="430" w:lineRule="atLeast"/>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cs="宋体"/>
                <w:b/>
                <w:bCs/>
                <w:color w:val="auto"/>
                <w:sz w:val="22"/>
                <w:highlight w:val="none"/>
                <w:lang w:val="zh-CN"/>
              </w:rPr>
            </w:pPr>
            <w:r>
              <w:rPr>
                <w:rFonts w:hint="eastAsia" w:ascii="宋体" w:hAnsi="宋体" w:cs="宋体"/>
                <w:color w:val="auto"/>
                <w:sz w:val="22"/>
                <w:szCs w:val="22"/>
                <w:highlight w:val="none"/>
                <w:lang w:val="zh-CN"/>
              </w:rPr>
              <w:t>1</w:t>
            </w:r>
          </w:p>
        </w:tc>
        <w:tc>
          <w:tcPr>
            <w:tcW w:w="8080" w:type="dxa"/>
          </w:tcPr>
          <w:p>
            <w:pPr>
              <w:autoSpaceDE w:val="0"/>
              <w:autoSpaceDN w:val="0"/>
              <w:adjustRightInd w:val="0"/>
              <w:spacing w:line="430" w:lineRule="atLeast"/>
              <w:textAlignment w:val="bottom"/>
              <w:rPr>
                <w:rFonts w:hint="eastAsia" w:ascii="宋体" w:hAnsi="宋体" w:cs="宋体"/>
                <w:b/>
                <w:bCs/>
                <w:color w:val="auto"/>
                <w:sz w:val="22"/>
                <w:highlight w:val="none"/>
              </w:rPr>
            </w:pPr>
            <w:r>
              <w:rPr>
                <w:rFonts w:hint="eastAsia" w:ascii="宋体" w:hAnsi="宋体" w:cs="宋体"/>
                <w:color w:val="auto"/>
                <w:sz w:val="22"/>
                <w:szCs w:val="22"/>
                <w:highlight w:val="none"/>
              </w:rPr>
              <w:t>报价一览表</w:t>
            </w:r>
          </w:p>
        </w:tc>
        <w:tc>
          <w:tcPr>
            <w:tcW w:w="1099" w:type="dxa"/>
          </w:tcPr>
          <w:p>
            <w:pPr>
              <w:autoSpaceDE w:val="0"/>
              <w:autoSpaceDN w:val="0"/>
              <w:adjustRightInd w:val="0"/>
              <w:spacing w:line="430" w:lineRule="atLeast"/>
              <w:jc w:val="center"/>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8080" w:type="dxa"/>
          </w:tcPr>
          <w:p>
            <w:pPr>
              <w:autoSpaceDE w:val="0"/>
              <w:autoSpaceDN w:val="0"/>
              <w:adjustRightInd w:val="0"/>
              <w:spacing w:line="430" w:lineRule="atLeast"/>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zh-CN"/>
              </w:rPr>
              <w:t>分项报价表</w:t>
            </w:r>
          </w:p>
        </w:tc>
        <w:tc>
          <w:tcPr>
            <w:tcW w:w="1099" w:type="dxa"/>
          </w:tcPr>
          <w:p>
            <w:pPr>
              <w:autoSpaceDE w:val="0"/>
              <w:autoSpaceDN w:val="0"/>
              <w:adjustRightInd w:val="0"/>
              <w:spacing w:line="430" w:lineRule="atLeast"/>
              <w:jc w:val="center"/>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附件五</w:t>
            </w:r>
          </w:p>
        </w:tc>
      </w:tr>
    </w:tbl>
    <w:p>
      <w:pPr>
        <w:autoSpaceDE w:val="0"/>
        <w:autoSpaceDN w:val="0"/>
        <w:adjustRightInd w:val="0"/>
        <w:spacing w:line="450" w:lineRule="atLeast"/>
        <w:ind w:firstLine="442" w:firstLineChars="200"/>
        <w:rPr>
          <w:rFonts w:hint="eastAsia" w:ascii="宋体" w:hAnsi="宋体" w:cs="宋体"/>
          <w:b/>
          <w:color w:val="auto"/>
          <w:sz w:val="22"/>
          <w:szCs w:val="22"/>
          <w:highlight w:val="none"/>
          <w:u w:val="single"/>
          <w:lang w:val="zh-CN"/>
        </w:rPr>
      </w:pPr>
      <w:bookmarkStart w:id="45" w:name="_Toc132122113"/>
      <w:bookmarkStart w:id="46" w:name="_Toc132122410"/>
      <w:r>
        <w:rPr>
          <w:rFonts w:hint="eastAsia" w:ascii="宋体" w:hAnsi="宋体" w:cs="宋体"/>
          <w:b/>
          <w:color w:val="auto"/>
          <w:sz w:val="22"/>
          <w:szCs w:val="22"/>
          <w:highlight w:val="none"/>
          <w:u w:val="single"/>
          <w:lang w:val="zh-CN"/>
        </w:rPr>
        <w:t>2.3商务技术文件部分组成</w:t>
      </w:r>
    </w:p>
    <w:bookmarkEnd w:id="45"/>
    <w:bookmarkEnd w:id="46"/>
    <w:tbl>
      <w:tblPr>
        <w:tblStyle w:val="4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38"/>
        <w:gridCol w:w="7342"/>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gridSpan w:val="2"/>
          </w:tcPr>
          <w:p>
            <w:pPr>
              <w:autoSpaceDE w:val="0"/>
              <w:autoSpaceDN w:val="0"/>
              <w:adjustRightInd w:val="0"/>
              <w:snapToGrid w:val="0"/>
              <w:spacing w:line="430" w:lineRule="atLeast"/>
              <w:jc w:val="center"/>
              <w:rPr>
                <w:rFonts w:hint="eastAsia" w:ascii="宋体" w:hAnsi="宋体" w:cs="宋体"/>
                <w:b/>
                <w:color w:val="auto"/>
                <w:sz w:val="22"/>
                <w:highlight w:val="none"/>
                <w:lang w:val="zh-CN"/>
              </w:rPr>
            </w:pPr>
            <w:r>
              <w:rPr>
                <w:rFonts w:hint="eastAsia" w:ascii="宋体" w:hAnsi="宋体" w:cs="宋体"/>
                <w:color w:val="auto"/>
                <w:sz w:val="22"/>
                <w:szCs w:val="22"/>
                <w:highlight w:val="none"/>
                <w:lang w:val="zh-CN"/>
              </w:rPr>
              <w:t>序号</w:t>
            </w:r>
          </w:p>
        </w:tc>
        <w:tc>
          <w:tcPr>
            <w:tcW w:w="7342" w:type="dxa"/>
          </w:tcPr>
          <w:p>
            <w:pPr>
              <w:autoSpaceDE w:val="0"/>
              <w:autoSpaceDN w:val="0"/>
              <w:adjustRightInd w:val="0"/>
              <w:snapToGrid w:val="0"/>
              <w:spacing w:line="430" w:lineRule="atLeast"/>
              <w:jc w:val="center"/>
              <w:rPr>
                <w:rFonts w:hint="eastAsia" w:ascii="宋体" w:hAnsi="宋体" w:cs="宋体"/>
                <w:b/>
                <w:color w:val="auto"/>
                <w:sz w:val="22"/>
                <w:highlight w:val="none"/>
                <w:lang w:val="zh-CN"/>
              </w:rPr>
            </w:pPr>
            <w:r>
              <w:rPr>
                <w:rFonts w:hint="eastAsia" w:ascii="宋体" w:hAnsi="宋体" w:cs="宋体"/>
                <w:color w:val="auto"/>
                <w:sz w:val="22"/>
                <w:szCs w:val="22"/>
                <w:highlight w:val="none"/>
                <w:lang w:val="zh-CN"/>
              </w:rPr>
              <w:t>内容</w:t>
            </w:r>
          </w:p>
        </w:tc>
        <w:tc>
          <w:tcPr>
            <w:tcW w:w="1099" w:type="dxa"/>
          </w:tcPr>
          <w:p>
            <w:pPr>
              <w:autoSpaceDE w:val="0"/>
              <w:autoSpaceDN w:val="0"/>
              <w:adjustRightInd w:val="0"/>
              <w:snapToGrid w:val="0"/>
              <w:spacing w:line="430" w:lineRule="atLeast"/>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3"/>
          </w:tcPr>
          <w:p>
            <w:pPr>
              <w:autoSpaceDE w:val="0"/>
              <w:autoSpaceDN w:val="0"/>
              <w:adjustRightInd w:val="0"/>
              <w:snapToGrid w:val="0"/>
              <w:spacing w:line="430" w:lineRule="atLeast"/>
              <w:rPr>
                <w:rFonts w:hint="eastAsia" w:ascii="宋体" w:hAnsi="宋体" w:cs="宋体"/>
                <w:b/>
                <w:color w:val="auto"/>
                <w:sz w:val="22"/>
                <w:highlight w:val="none"/>
                <w:lang w:val="zh-CN"/>
              </w:rPr>
            </w:pPr>
            <w:r>
              <w:rPr>
                <w:rFonts w:hint="eastAsia" w:ascii="宋体" w:hAnsi="宋体" w:cs="宋体"/>
                <w:color w:val="auto"/>
                <w:sz w:val="22"/>
                <w:szCs w:val="22"/>
                <w:highlight w:val="none"/>
                <w:lang w:val="zh-CN"/>
              </w:rPr>
              <w:t>资信部分（▲</w:t>
            </w:r>
            <w:r>
              <w:rPr>
                <w:rFonts w:hint="eastAsia" w:ascii="宋体" w:hAnsi="宋体" w:cs="宋体"/>
                <w:color w:val="auto"/>
                <w:sz w:val="22"/>
                <w:szCs w:val="22"/>
                <w:highlight w:val="none"/>
                <w:u w:val="single"/>
                <w:lang w:val="zh-CN"/>
              </w:rPr>
              <w:t>序号1-</w:t>
            </w:r>
            <w:r>
              <w:rPr>
                <w:rFonts w:hint="eastAsia" w:ascii="宋体" w:hAnsi="宋体" w:cs="宋体"/>
                <w:color w:val="auto"/>
                <w:sz w:val="22"/>
                <w:szCs w:val="22"/>
                <w:highlight w:val="none"/>
                <w:u w:val="single"/>
              </w:rPr>
              <w:t>2、6</w:t>
            </w:r>
            <w:r>
              <w:rPr>
                <w:rFonts w:hint="eastAsia" w:ascii="宋体" w:hAnsi="宋体" w:cs="宋体"/>
                <w:color w:val="auto"/>
                <w:sz w:val="22"/>
                <w:szCs w:val="22"/>
                <w:highlight w:val="none"/>
                <w:u w:val="single"/>
                <w:lang w:val="zh-CN"/>
              </w:rPr>
              <w:t>项供应商必须提供,否则不能通过符合性审查的,责任自负。</w:t>
            </w:r>
            <w:r>
              <w:rPr>
                <w:rFonts w:hint="eastAsia" w:ascii="宋体" w:hAnsi="宋体" w:cs="宋体"/>
                <w:color w:val="auto"/>
                <w:sz w:val="22"/>
                <w:szCs w:val="22"/>
                <w:highlight w:val="none"/>
                <w:lang w:val="zh-CN"/>
              </w:rPr>
              <w:t>）</w:t>
            </w:r>
          </w:p>
        </w:tc>
        <w:tc>
          <w:tcPr>
            <w:tcW w:w="1099" w:type="dxa"/>
          </w:tcPr>
          <w:p>
            <w:pPr>
              <w:autoSpaceDE w:val="0"/>
              <w:autoSpaceDN w:val="0"/>
              <w:adjustRightInd w:val="0"/>
              <w:snapToGrid w:val="0"/>
              <w:spacing w:line="430" w:lineRule="atLeast"/>
              <w:jc w:val="center"/>
              <w:rPr>
                <w:rFonts w:hint="eastAsia" w:ascii="宋体" w:hAnsi="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Pr>
          <w:p>
            <w:pPr>
              <w:autoSpaceDE w:val="0"/>
              <w:autoSpaceDN w:val="0"/>
              <w:adjustRightInd w:val="0"/>
              <w:snapToGrid w:val="0"/>
              <w:spacing w:line="430" w:lineRule="atLeast"/>
              <w:jc w:val="center"/>
              <w:rPr>
                <w:rFonts w:hint="eastAsia" w:ascii="宋体" w:hAnsi="宋体" w:cs="宋体"/>
                <w:b/>
                <w:color w:val="auto"/>
                <w:sz w:val="22"/>
                <w:highlight w:val="none"/>
              </w:rPr>
            </w:pPr>
            <w:r>
              <w:rPr>
                <w:rFonts w:hint="eastAsia" w:ascii="宋体" w:hAnsi="宋体" w:cs="宋体"/>
                <w:color w:val="auto"/>
                <w:sz w:val="22"/>
                <w:szCs w:val="22"/>
                <w:highlight w:val="none"/>
              </w:rPr>
              <w:t>1</w:t>
            </w:r>
          </w:p>
        </w:tc>
        <w:tc>
          <w:tcPr>
            <w:tcW w:w="8080" w:type="dxa"/>
            <w:gridSpan w:val="2"/>
          </w:tcPr>
          <w:p>
            <w:pPr>
              <w:autoSpaceDE w:val="0"/>
              <w:autoSpaceDN w:val="0"/>
              <w:adjustRightInd w:val="0"/>
              <w:snapToGrid w:val="0"/>
              <w:spacing w:line="430" w:lineRule="atLeast"/>
              <w:rPr>
                <w:rFonts w:hint="eastAsia" w:ascii="宋体" w:hAnsi="宋体" w:cs="宋体"/>
                <w:b/>
                <w:color w:val="auto"/>
                <w:sz w:val="22"/>
                <w:highlight w:val="none"/>
                <w:lang w:val="zh-CN"/>
              </w:rPr>
            </w:pPr>
            <w:r>
              <w:rPr>
                <w:rFonts w:hint="eastAsia" w:ascii="宋体" w:hAnsi="宋体" w:cs="宋体"/>
                <w:color w:val="auto"/>
                <w:sz w:val="22"/>
                <w:szCs w:val="22"/>
                <w:highlight w:val="none"/>
              </w:rPr>
              <w:t>投标函</w:t>
            </w:r>
          </w:p>
        </w:tc>
        <w:tc>
          <w:tcPr>
            <w:tcW w:w="1099" w:type="dxa"/>
          </w:tcPr>
          <w:p>
            <w:pPr>
              <w:autoSpaceDE w:val="0"/>
              <w:autoSpaceDN w:val="0"/>
              <w:adjustRightInd w:val="0"/>
              <w:snapToGrid w:val="0"/>
              <w:spacing w:line="430" w:lineRule="atLeas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cs="宋体"/>
                <w:b/>
                <w:color w:val="auto"/>
                <w:sz w:val="22"/>
                <w:highlight w:val="none"/>
              </w:rPr>
            </w:pPr>
            <w:r>
              <w:rPr>
                <w:rFonts w:hint="eastAsia" w:ascii="宋体" w:hAnsi="宋体" w:cs="宋体"/>
                <w:color w:val="auto"/>
                <w:sz w:val="22"/>
                <w:szCs w:val="22"/>
                <w:highlight w:val="none"/>
              </w:rPr>
              <w:t>2</w:t>
            </w:r>
          </w:p>
        </w:tc>
        <w:tc>
          <w:tcPr>
            <w:tcW w:w="8080" w:type="dxa"/>
            <w:gridSpan w:val="2"/>
          </w:tcPr>
          <w:p>
            <w:pPr>
              <w:autoSpaceDE w:val="0"/>
              <w:autoSpaceDN w:val="0"/>
              <w:adjustRightInd w:val="0"/>
              <w:snapToGrid w:val="0"/>
              <w:spacing w:line="430" w:lineRule="atLeast"/>
              <w:rPr>
                <w:rFonts w:hint="eastAsia" w:ascii="宋体" w:hAnsi="宋体" w:cs="宋体"/>
                <w:b/>
                <w:color w:val="auto"/>
                <w:sz w:val="22"/>
                <w:highlight w:val="none"/>
              </w:rPr>
            </w:pPr>
            <w:r>
              <w:rPr>
                <w:rFonts w:hint="eastAsia" w:ascii="宋体" w:hAnsi="宋体" w:cs="宋体"/>
                <w:color w:val="auto"/>
                <w:sz w:val="22"/>
                <w:szCs w:val="22"/>
                <w:highlight w:val="none"/>
              </w:rPr>
              <w:t>法定代表人诚信投标承诺书</w:t>
            </w:r>
          </w:p>
        </w:tc>
        <w:tc>
          <w:tcPr>
            <w:tcW w:w="1099" w:type="dxa"/>
          </w:tcPr>
          <w:p>
            <w:pPr>
              <w:autoSpaceDE w:val="0"/>
              <w:autoSpaceDN w:val="0"/>
              <w:adjustRightInd w:val="0"/>
              <w:snapToGrid w:val="0"/>
              <w:spacing w:line="430" w:lineRule="atLeas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cs="宋体"/>
                <w:b/>
                <w:color w:val="auto"/>
                <w:sz w:val="22"/>
                <w:highlight w:val="none"/>
              </w:rPr>
            </w:pPr>
            <w:r>
              <w:rPr>
                <w:rFonts w:hint="eastAsia" w:ascii="宋体" w:hAnsi="宋体" w:cs="宋体"/>
                <w:color w:val="auto"/>
                <w:sz w:val="22"/>
                <w:szCs w:val="22"/>
                <w:highlight w:val="none"/>
              </w:rPr>
              <w:t>3</w:t>
            </w:r>
          </w:p>
        </w:tc>
        <w:tc>
          <w:tcPr>
            <w:tcW w:w="8080" w:type="dxa"/>
            <w:gridSpan w:val="2"/>
          </w:tcPr>
          <w:p>
            <w:pPr>
              <w:autoSpaceDE w:val="0"/>
              <w:autoSpaceDN w:val="0"/>
              <w:adjustRightInd w:val="0"/>
              <w:snapToGrid w:val="0"/>
              <w:spacing w:line="430" w:lineRule="atLeast"/>
              <w:rPr>
                <w:rFonts w:hint="eastAsia" w:ascii="宋体" w:hAnsi="宋体" w:cs="宋体"/>
                <w:b/>
                <w:color w:val="auto"/>
                <w:sz w:val="22"/>
                <w:highlight w:val="none"/>
              </w:rPr>
            </w:pPr>
            <w:r>
              <w:rPr>
                <w:rFonts w:hint="eastAsia" w:ascii="宋体" w:hAnsi="宋体" w:cs="宋体"/>
                <w:color w:val="auto"/>
                <w:sz w:val="22"/>
                <w:szCs w:val="22"/>
                <w:highlight w:val="none"/>
              </w:rPr>
              <w:t>供应商相关资质、资信或信用证书、获奖证书等（如有则提供,扫描件加盖有效公章）</w:t>
            </w:r>
          </w:p>
        </w:tc>
        <w:tc>
          <w:tcPr>
            <w:tcW w:w="1099" w:type="dxa"/>
          </w:tcPr>
          <w:p>
            <w:pPr>
              <w:autoSpaceDE w:val="0"/>
              <w:autoSpaceDN w:val="0"/>
              <w:adjustRightInd w:val="0"/>
              <w:snapToGrid w:val="0"/>
              <w:spacing w:line="430" w:lineRule="atLeas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cs="宋体"/>
                <w:b/>
                <w:color w:val="auto"/>
                <w:sz w:val="22"/>
                <w:highlight w:val="none"/>
              </w:rPr>
            </w:pPr>
            <w:r>
              <w:rPr>
                <w:rFonts w:hint="eastAsia" w:ascii="宋体" w:hAnsi="宋体" w:cs="宋体"/>
                <w:color w:val="auto"/>
                <w:sz w:val="22"/>
                <w:szCs w:val="22"/>
                <w:highlight w:val="none"/>
              </w:rPr>
              <w:t>4</w:t>
            </w:r>
          </w:p>
        </w:tc>
        <w:tc>
          <w:tcPr>
            <w:tcW w:w="8080" w:type="dxa"/>
            <w:gridSpan w:val="2"/>
          </w:tcPr>
          <w:p>
            <w:pPr>
              <w:autoSpaceDE w:val="0"/>
              <w:autoSpaceDN w:val="0"/>
              <w:adjustRightInd w:val="0"/>
              <w:snapToGrid w:val="0"/>
              <w:spacing w:line="430" w:lineRule="atLeast"/>
              <w:rPr>
                <w:rFonts w:hint="eastAsia" w:ascii="宋体" w:hAnsi="宋体" w:cs="宋体"/>
                <w:b/>
                <w:color w:val="auto"/>
                <w:sz w:val="22"/>
                <w:highlight w:val="none"/>
              </w:rPr>
            </w:pPr>
            <w:r>
              <w:rPr>
                <w:rFonts w:hint="eastAsia" w:ascii="宋体" w:hAnsi="宋体" w:cs="宋体"/>
                <w:color w:val="auto"/>
                <w:sz w:val="22"/>
                <w:szCs w:val="22"/>
                <w:highlight w:val="none"/>
              </w:rPr>
              <w:t>类似业绩（如有,具体以评分细则中的要求为准）</w:t>
            </w:r>
          </w:p>
        </w:tc>
        <w:tc>
          <w:tcPr>
            <w:tcW w:w="1099" w:type="dxa"/>
          </w:tcPr>
          <w:p>
            <w:pPr>
              <w:autoSpaceDE w:val="0"/>
              <w:autoSpaceDN w:val="0"/>
              <w:adjustRightInd w:val="0"/>
              <w:snapToGrid w:val="0"/>
              <w:spacing w:line="430" w:lineRule="atLeast"/>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cs="宋体"/>
                <w:b/>
                <w:color w:val="auto"/>
                <w:sz w:val="22"/>
                <w:highlight w:val="none"/>
              </w:rPr>
            </w:pPr>
            <w:r>
              <w:rPr>
                <w:rFonts w:hint="eastAsia" w:ascii="宋体" w:hAnsi="宋体" w:cs="宋体"/>
                <w:color w:val="auto"/>
                <w:sz w:val="22"/>
                <w:szCs w:val="22"/>
                <w:highlight w:val="none"/>
              </w:rPr>
              <w:t>5</w:t>
            </w:r>
          </w:p>
        </w:tc>
        <w:tc>
          <w:tcPr>
            <w:tcW w:w="8080" w:type="dxa"/>
            <w:gridSpan w:val="2"/>
            <w:vAlign w:val="center"/>
          </w:tcPr>
          <w:p>
            <w:pPr>
              <w:tabs>
                <w:tab w:val="left" w:pos="4140"/>
              </w:tabs>
              <w:adjustRightInd w:val="0"/>
              <w:snapToGrid w:val="0"/>
              <w:spacing w:line="320" w:lineRule="atLeast"/>
              <w:rPr>
                <w:rFonts w:hint="eastAsia" w:ascii="宋体" w:hAnsi="宋体" w:cs="宋体"/>
                <w:b/>
                <w:color w:val="auto"/>
                <w:sz w:val="22"/>
                <w:highlight w:val="none"/>
              </w:rPr>
            </w:pPr>
            <w:r>
              <w:rPr>
                <w:rFonts w:hint="eastAsia" w:ascii="宋体" w:hAnsi="宋体" w:cs="宋体"/>
                <w:color w:val="auto"/>
                <w:sz w:val="22"/>
                <w:szCs w:val="22"/>
                <w:highlight w:val="none"/>
              </w:rPr>
              <w:t>其他需说明的资料（如有则提供）</w:t>
            </w:r>
          </w:p>
        </w:tc>
        <w:tc>
          <w:tcPr>
            <w:tcW w:w="1099" w:type="dxa"/>
            <w:vAlign w:val="center"/>
          </w:tcPr>
          <w:p>
            <w:pPr>
              <w:tabs>
                <w:tab w:val="left" w:pos="4140"/>
              </w:tabs>
              <w:adjustRightInd w:val="0"/>
              <w:snapToGrid w:val="0"/>
              <w:spacing w:line="320" w:lineRule="atLeast"/>
              <w:jc w:val="center"/>
              <w:rPr>
                <w:rFonts w:hint="eastAsia" w:ascii="宋体" w:hAnsi="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3"/>
          </w:tcPr>
          <w:p>
            <w:pPr>
              <w:autoSpaceDE w:val="0"/>
              <w:autoSpaceDN w:val="0"/>
              <w:adjustRightInd w:val="0"/>
              <w:snapToGrid w:val="0"/>
              <w:spacing w:line="430" w:lineRule="atLeast"/>
              <w:rPr>
                <w:rFonts w:hint="eastAsia" w:ascii="宋体" w:hAnsi="宋体" w:cs="宋体"/>
                <w:b/>
                <w:color w:val="auto"/>
                <w:sz w:val="22"/>
                <w:highlight w:val="none"/>
              </w:rPr>
            </w:pPr>
            <w:r>
              <w:rPr>
                <w:rFonts w:hint="eastAsia" w:ascii="宋体" w:hAnsi="宋体" w:cs="宋体"/>
                <w:color w:val="auto"/>
                <w:sz w:val="22"/>
                <w:szCs w:val="22"/>
                <w:highlight w:val="none"/>
                <w:lang w:val="zh-CN"/>
              </w:rPr>
              <w:t>技术部分（如资料提供不齐全,将可能导致不利的评定）</w:t>
            </w:r>
          </w:p>
        </w:tc>
        <w:tc>
          <w:tcPr>
            <w:tcW w:w="1099" w:type="dxa"/>
          </w:tcPr>
          <w:p>
            <w:pPr>
              <w:autoSpaceDE w:val="0"/>
              <w:autoSpaceDN w:val="0"/>
              <w:adjustRightInd w:val="0"/>
              <w:snapToGrid w:val="0"/>
              <w:spacing w:line="430" w:lineRule="atLeast"/>
              <w:jc w:val="center"/>
              <w:rPr>
                <w:rFonts w:hint="eastAsia" w:ascii="宋体" w:hAnsi="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cs="宋体"/>
                <w:bCs/>
                <w:color w:val="auto"/>
                <w:sz w:val="22"/>
                <w:highlight w:val="none"/>
              </w:rPr>
            </w:pPr>
            <w:r>
              <w:rPr>
                <w:rFonts w:hint="eastAsia" w:ascii="宋体" w:hAnsi="宋体" w:cs="宋体"/>
                <w:bCs/>
                <w:color w:val="auto"/>
                <w:sz w:val="22"/>
                <w:highlight w:val="none"/>
              </w:rPr>
              <w:t>6</w:t>
            </w:r>
          </w:p>
        </w:tc>
        <w:tc>
          <w:tcPr>
            <w:tcW w:w="8080" w:type="dxa"/>
            <w:gridSpan w:val="2"/>
          </w:tcPr>
          <w:p>
            <w:pPr>
              <w:autoSpaceDE w:val="0"/>
              <w:autoSpaceDN w:val="0"/>
              <w:adjustRightInd w:val="0"/>
              <w:snapToGrid w:val="0"/>
              <w:spacing w:line="430" w:lineRule="atLeast"/>
              <w:rPr>
                <w:rFonts w:hint="eastAsia" w:ascii="宋体" w:hAnsi="宋体" w:cs="宋体"/>
                <w:b/>
                <w:color w:val="auto"/>
                <w:sz w:val="22"/>
                <w:highlight w:val="none"/>
              </w:rPr>
            </w:pPr>
            <w:r>
              <w:rPr>
                <w:rFonts w:hint="eastAsia" w:ascii="宋体" w:hAnsi="宋体" w:cs="宋体"/>
                <w:color w:val="auto"/>
                <w:sz w:val="22"/>
                <w:szCs w:val="22"/>
                <w:highlight w:val="none"/>
              </w:rPr>
              <w:t>商务、技术偏离表</w:t>
            </w:r>
          </w:p>
        </w:tc>
        <w:tc>
          <w:tcPr>
            <w:tcW w:w="1099" w:type="dxa"/>
          </w:tcPr>
          <w:p>
            <w:pPr>
              <w:autoSpaceDE w:val="0"/>
              <w:autoSpaceDN w:val="0"/>
              <w:adjustRightInd w:val="0"/>
              <w:snapToGrid w:val="0"/>
              <w:spacing w:line="430" w:lineRule="atLeas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cs="宋体"/>
                <w:bCs/>
                <w:color w:val="auto"/>
                <w:sz w:val="22"/>
                <w:highlight w:val="none"/>
              </w:rPr>
            </w:pPr>
            <w:r>
              <w:rPr>
                <w:rFonts w:hint="eastAsia" w:ascii="宋体" w:hAnsi="宋体" w:cs="宋体"/>
                <w:bCs/>
                <w:color w:val="auto"/>
                <w:sz w:val="22"/>
                <w:highlight w:val="none"/>
              </w:rPr>
              <w:t>7</w:t>
            </w:r>
          </w:p>
        </w:tc>
        <w:tc>
          <w:tcPr>
            <w:tcW w:w="8080" w:type="dxa"/>
            <w:gridSpan w:val="2"/>
            <w:vAlign w:val="center"/>
          </w:tcPr>
          <w:p>
            <w:pPr>
              <w:autoSpaceDE w:val="0"/>
              <w:autoSpaceDN w:val="0"/>
              <w:adjustRightInd w:val="0"/>
              <w:textAlignment w:val="bottom"/>
              <w:rPr>
                <w:rFonts w:hint="eastAsia" w:ascii="宋体" w:hAnsi="宋体" w:cs="宋体"/>
                <w:color w:val="auto"/>
                <w:sz w:val="22"/>
                <w:szCs w:val="22"/>
                <w:highlight w:val="none"/>
              </w:rPr>
            </w:pPr>
            <w:r>
              <w:rPr>
                <w:rFonts w:hint="eastAsia" w:ascii="宋体" w:hAnsi="宋体" w:cs="新宋体"/>
                <w:color w:val="auto"/>
                <w:sz w:val="22"/>
                <w:szCs w:val="22"/>
                <w:highlight w:val="none"/>
                <w:lang w:val="zh-CN"/>
              </w:rPr>
              <w:t>针对本项目详细的服务方案</w:t>
            </w:r>
          </w:p>
        </w:tc>
        <w:tc>
          <w:tcPr>
            <w:tcW w:w="1099" w:type="dxa"/>
          </w:tcPr>
          <w:p>
            <w:pPr>
              <w:autoSpaceDE w:val="0"/>
              <w:autoSpaceDN w:val="0"/>
              <w:adjustRightInd w:val="0"/>
              <w:snapToGrid w:val="0"/>
              <w:spacing w:line="430" w:lineRule="atLeas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cs="宋体"/>
                <w:bCs/>
                <w:color w:val="auto"/>
                <w:sz w:val="22"/>
                <w:highlight w:val="none"/>
              </w:rPr>
            </w:pPr>
            <w:r>
              <w:rPr>
                <w:rFonts w:hint="eastAsia" w:ascii="宋体" w:hAnsi="宋体" w:cs="宋体"/>
                <w:bCs/>
                <w:color w:val="auto"/>
                <w:sz w:val="22"/>
                <w:highlight w:val="none"/>
              </w:rPr>
              <w:t>8</w:t>
            </w:r>
          </w:p>
        </w:tc>
        <w:tc>
          <w:tcPr>
            <w:tcW w:w="8080" w:type="dxa"/>
            <w:gridSpan w:val="2"/>
          </w:tcPr>
          <w:p>
            <w:pPr>
              <w:autoSpaceDE w:val="0"/>
              <w:autoSpaceDN w:val="0"/>
              <w:adjustRightInd w:val="0"/>
              <w:snapToGrid w:val="0"/>
              <w:spacing w:line="430" w:lineRule="atLeast"/>
              <w:rPr>
                <w:rFonts w:hint="eastAsia" w:ascii="宋体" w:hAnsi="宋体" w:cs="宋体"/>
                <w:color w:val="auto"/>
                <w:sz w:val="22"/>
                <w:szCs w:val="22"/>
                <w:highlight w:val="none"/>
              </w:rPr>
            </w:pPr>
            <w:r>
              <w:rPr>
                <w:rFonts w:hint="eastAsia" w:ascii="宋体" w:hAnsi="宋体" w:cs="Arial"/>
                <w:color w:val="auto"/>
                <w:sz w:val="22"/>
                <w:szCs w:val="22"/>
                <w:highlight w:val="none"/>
              </w:rPr>
              <w:t>项目负责人的资质证书</w:t>
            </w:r>
            <w:r>
              <w:rPr>
                <w:rFonts w:hint="eastAsia" w:ascii="宋体" w:hAnsi="宋体" w:cs="仿宋_GB2312"/>
                <w:color w:val="auto"/>
                <w:sz w:val="22"/>
                <w:szCs w:val="22"/>
                <w:highlight w:val="none"/>
                <w:lang w:val="zh-CN"/>
              </w:rPr>
              <w:t>,履历介绍</w:t>
            </w:r>
          </w:p>
        </w:tc>
        <w:tc>
          <w:tcPr>
            <w:tcW w:w="1099" w:type="dxa"/>
          </w:tcPr>
          <w:p>
            <w:pPr>
              <w:autoSpaceDE w:val="0"/>
              <w:autoSpaceDN w:val="0"/>
              <w:adjustRightInd w:val="0"/>
              <w:snapToGrid w:val="0"/>
              <w:spacing w:line="430" w:lineRule="atLeas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附件十-1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cs="宋体"/>
                <w:bCs/>
                <w:color w:val="auto"/>
                <w:sz w:val="22"/>
                <w:highlight w:val="none"/>
              </w:rPr>
            </w:pPr>
            <w:r>
              <w:rPr>
                <w:rFonts w:hint="eastAsia" w:ascii="宋体" w:hAnsi="宋体" w:cs="宋体"/>
                <w:bCs/>
                <w:color w:val="auto"/>
                <w:sz w:val="22"/>
                <w:highlight w:val="none"/>
              </w:rPr>
              <w:t>9</w:t>
            </w:r>
          </w:p>
        </w:tc>
        <w:tc>
          <w:tcPr>
            <w:tcW w:w="8080" w:type="dxa"/>
            <w:gridSpan w:val="2"/>
          </w:tcPr>
          <w:p>
            <w:pPr>
              <w:autoSpaceDE w:val="0"/>
              <w:autoSpaceDN w:val="0"/>
              <w:adjustRightInd w:val="0"/>
              <w:snapToGrid w:val="0"/>
              <w:spacing w:line="430" w:lineRule="atLeast"/>
              <w:rPr>
                <w:rFonts w:hint="eastAsia" w:ascii="宋体" w:hAnsi="宋体" w:cs="宋体"/>
                <w:color w:val="auto"/>
                <w:sz w:val="22"/>
                <w:szCs w:val="22"/>
                <w:highlight w:val="none"/>
              </w:rPr>
            </w:pPr>
            <w:r>
              <w:rPr>
                <w:rFonts w:hint="eastAsia" w:ascii="宋体" w:hAnsi="宋体" w:cs="Arial"/>
                <w:color w:val="auto"/>
                <w:sz w:val="22"/>
                <w:szCs w:val="22"/>
                <w:highlight w:val="none"/>
              </w:rPr>
              <w:t>供应商为本项目专门组织的工作小组名单</w:t>
            </w:r>
            <w:r>
              <w:rPr>
                <w:rFonts w:hint="eastAsia" w:ascii="宋体" w:hAnsi="宋体" w:cs="仿宋_GB2312"/>
                <w:color w:val="auto"/>
                <w:sz w:val="22"/>
                <w:szCs w:val="22"/>
                <w:highlight w:val="none"/>
                <w:lang w:val="zh-CN"/>
              </w:rPr>
              <w:t>, 安排人员的履历表。履历表主要内容包括学历（附最高学历证书）、工作特长（特长领域、能力取向等）、经验与业绩（包括从事相关业务的经验,在具体参与项目中的职责及参与的时间。应对这些项目有一个简要的描述）等</w:t>
            </w:r>
            <w:r>
              <w:rPr>
                <w:rFonts w:hint="eastAsia" w:ascii="宋体" w:hAnsi="宋体" w:cs="仿宋_GB2312"/>
                <w:color w:val="auto"/>
                <w:sz w:val="22"/>
                <w:szCs w:val="22"/>
                <w:highlight w:val="none"/>
              </w:rPr>
              <w:t xml:space="preserve"> </w:t>
            </w:r>
          </w:p>
        </w:tc>
        <w:tc>
          <w:tcPr>
            <w:tcW w:w="1099" w:type="dxa"/>
          </w:tcPr>
          <w:p>
            <w:pPr>
              <w:autoSpaceDE w:val="0"/>
              <w:autoSpaceDN w:val="0"/>
              <w:adjustRightInd w:val="0"/>
              <w:snapToGrid w:val="0"/>
              <w:spacing w:line="430" w:lineRule="atLeas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附件十-2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cs="宋体"/>
                <w:bCs/>
                <w:color w:val="auto"/>
                <w:sz w:val="22"/>
                <w:highlight w:val="none"/>
              </w:rPr>
            </w:pPr>
            <w:r>
              <w:rPr>
                <w:rFonts w:hint="eastAsia" w:ascii="宋体" w:hAnsi="宋体" w:cs="宋体"/>
                <w:bCs/>
                <w:color w:val="auto"/>
                <w:sz w:val="22"/>
                <w:highlight w:val="none"/>
              </w:rPr>
              <w:t>10</w:t>
            </w:r>
          </w:p>
        </w:tc>
        <w:tc>
          <w:tcPr>
            <w:tcW w:w="8080" w:type="dxa"/>
            <w:gridSpan w:val="2"/>
          </w:tcPr>
          <w:p>
            <w:pPr>
              <w:autoSpaceDE w:val="0"/>
              <w:autoSpaceDN w:val="0"/>
              <w:adjustRightInd w:val="0"/>
              <w:snapToGrid w:val="0"/>
              <w:spacing w:line="430" w:lineRule="atLeast"/>
              <w:rPr>
                <w:rFonts w:hint="eastAsia" w:ascii="宋体" w:hAnsi="宋体" w:cs="宋体"/>
                <w:color w:val="auto"/>
                <w:sz w:val="22"/>
                <w:szCs w:val="22"/>
                <w:highlight w:val="none"/>
              </w:rPr>
            </w:pPr>
            <w:r>
              <w:rPr>
                <w:rFonts w:hint="eastAsia" w:ascii="宋体" w:hAnsi="宋体" w:cs="新宋体"/>
                <w:color w:val="auto"/>
                <w:sz w:val="22"/>
                <w:szCs w:val="22"/>
                <w:highlight w:val="none"/>
                <w:lang w:val="zh-CN"/>
              </w:rPr>
              <w:t>技术服务、培训、质量保证、惩罚保证、优惠条件及其他承诺</w:t>
            </w:r>
          </w:p>
        </w:tc>
        <w:tc>
          <w:tcPr>
            <w:tcW w:w="1099" w:type="dxa"/>
          </w:tcPr>
          <w:p>
            <w:pPr>
              <w:autoSpaceDE w:val="0"/>
              <w:autoSpaceDN w:val="0"/>
              <w:adjustRightInd w:val="0"/>
              <w:snapToGrid w:val="0"/>
              <w:spacing w:line="430" w:lineRule="atLeas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cs="宋体"/>
                <w:bCs/>
                <w:color w:val="auto"/>
                <w:sz w:val="22"/>
                <w:highlight w:val="none"/>
              </w:rPr>
            </w:pPr>
            <w:r>
              <w:rPr>
                <w:rFonts w:hint="eastAsia" w:ascii="宋体" w:hAnsi="宋体" w:cs="宋体"/>
                <w:bCs/>
                <w:color w:val="auto"/>
                <w:sz w:val="22"/>
                <w:highlight w:val="none"/>
              </w:rPr>
              <w:t>11</w:t>
            </w:r>
          </w:p>
        </w:tc>
        <w:tc>
          <w:tcPr>
            <w:tcW w:w="8080" w:type="dxa"/>
            <w:gridSpan w:val="2"/>
          </w:tcPr>
          <w:p>
            <w:pPr>
              <w:autoSpaceDE w:val="0"/>
              <w:autoSpaceDN w:val="0"/>
              <w:adjustRightInd w:val="0"/>
              <w:snapToGrid w:val="0"/>
              <w:spacing w:line="430" w:lineRule="atLeast"/>
              <w:rPr>
                <w:rFonts w:hint="eastAsia" w:ascii="宋体" w:hAnsi="宋体" w:cs="宋体"/>
                <w:color w:val="auto"/>
                <w:sz w:val="22"/>
                <w:szCs w:val="22"/>
                <w:highlight w:val="none"/>
              </w:rPr>
            </w:pPr>
            <w:r>
              <w:rPr>
                <w:rFonts w:hint="eastAsia" w:ascii="宋体" w:hAnsi="宋体"/>
                <w:color w:val="auto"/>
                <w:sz w:val="22"/>
                <w:szCs w:val="22"/>
                <w:highlight w:val="none"/>
              </w:rPr>
              <w:t>根据招标文件中的采购内容与技术要求、评标细则,需要提供的其他文件和资料。</w:t>
            </w:r>
          </w:p>
        </w:tc>
        <w:tc>
          <w:tcPr>
            <w:tcW w:w="1099" w:type="dxa"/>
          </w:tcPr>
          <w:p>
            <w:pPr>
              <w:autoSpaceDE w:val="0"/>
              <w:autoSpaceDN w:val="0"/>
              <w:adjustRightInd w:val="0"/>
              <w:snapToGrid w:val="0"/>
              <w:spacing w:line="430" w:lineRule="atLeas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autoSpaceDE w:val="0"/>
              <w:autoSpaceDN w:val="0"/>
              <w:adjustRightInd w:val="0"/>
              <w:snapToGrid w:val="0"/>
              <w:spacing w:line="430" w:lineRule="atLeast"/>
              <w:jc w:val="center"/>
              <w:rPr>
                <w:rFonts w:hint="eastAsia" w:ascii="宋体" w:hAnsi="宋体" w:cs="宋体"/>
                <w:bCs/>
                <w:color w:val="auto"/>
                <w:sz w:val="22"/>
                <w:highlight w:val="none"/>
              </w:rPr>
            </w:pPr>
            <w:r>
              <w:rPr>
                <w:rFonts w:hint="eastAsia" w:ascii="宋体" w:hAnsi="宋体" w:cs="宋体"/>
                <w:bCs/>
                <w:color w:val="auto"/>
                <w:sz w:val="22"/>
                <w:highlight w:val="none"/>
              </w:rPr>
              <w:t>12</w:t>
            </w:r>
          </w:p>
        </w:tc>
        <w:tc>
          <w:tcPr>
            <w:tcW w:w="8080" w:type="dxa"/>
            <w:gridSpan w:val="2"/>
          </w:tcPr>
          <w:p>
            <w:pPr>
              <w:autoSpaceDE w:val="0"/>
              <w:autoSpaceDN w:val="0"/>
              <w:adjustRightInd w:val="0"/>
              <w:snapToGrid w:val="0"/>
              <w:spacing w:line="430" w:lineRule="atLeast"/>
              <w:rPr>
                <w:rFonts w:hint="eastAsia" w:ascii="宋体" w:hAnsi="宋体" w:cs="宋体"/>
                <w:color w:val="auto"/>
                <w:sz w:val="22"/>
                <w:szCs w:val="22"/>
                <w:highlight w:val="none"/>
              </w:rPr>
            </w:pPr>
            <w:r>
              <w:rPr>
                <w:rFonts w:hint="eastAsia" w:ascii="宋体" w:hAnsi="宋体"/>
                <w:color w:val="auto"/>
                <w:sz w:val="22"/>
                <w:szCs w:val="22"/>
                <w:highlight w:val="none"/>
              </w:rPr>
              <w:t>其它供应商须说明的资料（如有则提供）</w:t>
            </w:r>
          </w:p>
        </w:tc>
        <w:tc>
          <w:tcPr>
            <w:tcW w:w="1099" w:type="dxa"/>
          </w:tcPr>
          <w:p>
            <w:pPr>
              <w:autoSpaceDE w:val="0"/>
              <w:autoSpaceDN w:val="0"/>
              <w:adjustRightInd w:val="0"/>
              <w:snapToGrid w:val="0"/>
              <w:spacing w:line="430" w:lineRule="atLeast"/>
              <w:jc w:val="center"/>
              <w:rPr>
                <w:rFonts w:hint="eastAsia" w:ascii="宋体" w:hAnsi="宋体" w:cs="宋体"/>
                <w:color w:val="auto"/>
                <w:sz w:val="22"/>
                <w:szCs w:val="22"/>
                <w:highlight w:val="none"/>
              </w:rPr>
            </w:pPr>
          </w:p>
        </w:tc>
      </w:tr>
    </w:tbl>
    <w:p>
      <w:pPr>
        <w:spacing w:line="43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备注：</w:t>
      </w:r>
    </w:p>
    <w:p>
      <w:pPr>
        <w:numPr>
          <w:ilvl w:val="0"/>
          <w:numId w:val="1"/>
        </w:numPr>
        <w:spacing w:line="430" w:lineRule="exact"/>
        <w:rPr>
          <w:rFonts w:hint="eastAsia" w:ascii="宋体" w:hAnsi="宋体" w:cs="宋体"/>
          <w:color w:val="auto"/>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numPr>
          <w:ilvl w:val="0"/>
          <w:numId w:val="1"/>
        </w:numPr>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pPr>
        <w:numPr>
          <w:ilvl w:val="0"/>
          <w:numId w:val="1"/>
        </w:numPr>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以上所需的各种证书、证件、证明等若系复印件、扫描件,须加盖供应商有效的公章。</w:t>
      </w:r>
    </w:p>
    <w:p>
      <w:pPr>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3、投标文件编制</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3.1本项目通过“政采云平台（www.zcygov.cn）”实行在线投标响应（电子投标）。供应商应通过“政采云电子交易客户端”,并按照本招标文件和“政采云平台”的要求编制并加密投标文件。</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3.2投标供应商应当按照本章节 “投标文件组成”规定的内容及顺序在“政采云电子交易客户端”编制投标文件。其中 “技术资信文件”中不得出现本项目投标报价,如因投标供应商原因提前泄露投标报价,是投标供应商的责任。</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3.3本招标文件“投标文件格式”中有提供格式的,投标供应商须参照格式进行编制（格式中要求提供相关证明材料的还需后附相关证明材料）,并按格式要求在指定位置根据要求进行签章,否则视为未提供；本文件“投标文件格式”未提供格式的,请各投标单位自行拟定格式,并加盖单位公章并由法定代表人或其授权代表签署（签字或盖章）,否则视为未提供。</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3.4投标文件内容不完整、编排混乱导致投标文件被误读、漏读或者查找不到相关内容的,是投标供应商的责任。</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3.5投标文件因字迹潦草或表达不清所引起的后果由投标供应商负责。</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3.6 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4、投标文件的签章</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4.1投标文件的签章要求：投标供应商须知前附表；</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4.2投标文件应由投标供应商法定代表人或其授权代表签章,并加盖投标供应商公章。</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4.3电子签章操作指南详见采购公告附件《供应商项目采购-电子招投标操作指南》。</w:t>
      </w:r>
    </w:p>
    <w:p>
      <w:pPr>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5、投标文件的形式</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5.1投标文件的形式：见投标供应商须知前附表；</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5.2“电子加密投标文件”：“电子加密投标文件”是指通过“政采云电子交易客户端”完成投标文件编制后生成并加密的数据电文形式的投标文件。</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5.3“备份投标文件”：“备份投标文件”是指与“电子加密投标文件”同时生成的数据电文形式的电子文件（备份标书）,其他方式编制的“备份投标文件”视为无效的“备份投标文件”。</w:t>
      </w:r>
    </w:p>
    <w:p>
      <w:pPr>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6、投标文件的份数</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6.1投标文件的份数：见投标供应商须知前附表。</w:t>
      </w:r>
    </w:p>
    <w:p>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7、投标报价</w:t>
      </w:r>
      <w:bookmarkEnd w:id="43"/>
      <w:bookmarkEnd w:id="44"/>
    </w:p>
    <w:p>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bookmarkStart w:id="47" w:name="_Toc132122413"/>
      <w:bookmarkStart w:id="48" w:name="_Toc132122116"/>
      <w:r>
        <w:rPr>
          <w:rFonts w:hint="eastAsia" w:ascii="宋体" w:hAnsi="宋体" w:cs="宋体"/>
          <w:bCs/>
          <w:color w:val="auto"/>
          <w:sz w:val="22"/>
          <w:szCs w:val="22"/>
          <w:highlight w:val="none"/>
        </w:rPr>
        <w:t>7.1供应商应按招标文件中《开标一览表》及《投标分项报价表》（如有）填写投标总价及分项报价。</w:t>
      </w:r>
    </w:p>
    <w:p>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7.2本次招标只允许有一个报价,有选择的报价将不予接受。</w:t>
      </w:r>
    </w:p>
    <w:p>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7.3投标报价应包含以下费用。</w:t>
      </w:r>
    </w:p>
    <w:p>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color w:val="auto"/>
          <w:sz w:val="22"/>
          <w:szCs w:val="22"/>
          <w:highlight w:val="none"/>
        </w:rPr>
        <w:t>投标报价包括为完成本次</w:t>
      </w:r>
      <w:r>
        <w:rPr>
          <w:rFonts w:hint="eastAsia" w:ascii="宋体" w:hAnsi="宋体" w:cs="宋体"/>
          <w:color w:val="auto"/>
          <w:sz w:val="22"/>
          <w:szCs w:val="22"/>
          <w:highlight w:val="none"/>
          <w:lang w:eastAsia="zh-CN"/>
        </w:rPr>
        <w:t>永嘉县公安局交通警察大队</w:t>
      </w:r>
      <w:r>
        <w:rPr>
          <w:rFonts w:hint="eastAsia" w:ascii="宋体" w:hAnsi="宋体" w:cs="宋体"/>
          <w:color w:val="auto"/>
          <w:sz w:val="22"/>
          <w:szCs w:val="22"/>
          <w:highlight w:val="none"/>
        </w:rPr>
        <w:t>保安服务全部内容所发生的所有费用,并承担一切风险责任。要求投标供应商结合本项目特点,市场行情及投标供应商自身的管理水平,竞争能力,确定最终报价。最终报价即完成本次采购项目所发生的一切费用。投标供应商应列入而未列入其中的费用,均视为已包含在内,风险由投标供应商承担。</w:t>
      </w:r>
    </w:p>
    <w:p>
      <w:pPr>
        <w:autoSpaceDE w:val="0"/>
        <w:autoSpaceDN w:val="0"/>
        <w:adjustRightInd w:val="0"/>
        <w:spacing w:line="460" w:lineRule="atLeast"/>
        <w:ind w:firstLine="442" w:firstLineChars="200"/>
        <w:textAlignment w:val="bottom"/>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供应商在投标报价中应充分考虑所有可能发生的费用,否则采购人将视投标总价中已包括所有费用。</w:t>
      </w:r>
    </w:p>
    <w:p>
      <w:pPr>
        <w:autoSpaceDE w:val="0"/>
        <w:autoSpaceDN w:val="0"/>
        <w:adjustRightInd w:val="0"/>
        <w:spacing w:line="460" w:lineRule="atLeast"/>
        <w:ind w:firstLine="442" w:firstLineChars="200"/>
        <w:textAlignment w:val="bottom"/>
        <w:rPr>
          <w:rFonts w:hint="eastAsia" w:ascii="宋体" w:hAnsi="宋体" w:cs="宋体"/>
          <w:bCs/>
          <w:color w:val="auto"/>
          <w:sz w:val="22"/>
          <w:szCs w:val="22"/>
          <w:highlight w:val="none"/>
          <w:u w:val="single"/>
        </w:rPr>
      </w:pPr>
      <w:r>
        <w:rPr>
          <w:rFonts w:hint="eastAsia" w:ascii="宋体" w:hAnsi="宋体" w:cs="宋体"/>
          <w:b/>
          <w:bCs/>
          <w:color w:val="auto"/>
          <w:sz w:val="22"/>
          <w:szCs w:val="22"/>
          <w:highlight w:val="none"/>
          <w:u w:val="single"/>
        </w:rPr>
        <w:t>供应商对在合同执行中,除上述费用及招标文件规定的由中标供应商负责的工作范围以外需要采购人协调或提供便利的工作应当在投标文件中说明。</w:t>
      </w:r>
    </w:p>
    <w:p>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填写报价表格时,各项费用应如实填写。</w:t>
      </w:r>
    </w:p>
    <w:p>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8、采购人要求分类报价是为了方便评标,但在任何情况下不限制采购人以其认为最合适的条款签订合同的权利。</w:t>
      </w:r>
    </w:p>
    <w:bookmarkEnd w:id="47"/>
    <w:bookmarkEnd w:id="48"/>
    <w:p>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bookmarkStart w:id="49" w:name="_Toc132122117"/>
      <w:bookmarkStart w:id="50" w:name="_Toc132122414"/>
      <w:bookmarkStart w:id="51" w:name="_Toc132124595"/>
      <w:bookmarkStart w:id="52" w:name="_Toc132122417"/>
      <w:bookmarkStart w:id="53" w:name="_Toc132125575"/>
      <w:bookmarkStart w:id="54" w:name="_Toc132125984"/>
      <w:bookmarkStart w:id="55" w:name="_Toc132123882"/>
      <w:bookmarkStart w:id="56" w:name="_Toc132123635"/>
      <w:bookmarkStart w:id="57" w:name="_Toc132125096"/>
      <w:bookmarkStart w:id="58" w:name="_Toc332809833"/>
      <w:bookmarkStart w:id="59" w:name="_Toc132126155"/>
      <w:bookmarkStart w:id="60" w:name="_Toc132655777"/>
      <w:bookmarkStart w:id="61" w:name="_Toc132123440"/>
      <w:bookmarkStart w:id="62" w:name="_Toc132123548"/>
      <w:bookmarkStart w:id="63" w:name="_Toc132123839"/>
      <w:bookmarkStart w:id="64" w:name="_Toc132125038"/>
      <w:bookmarkStart w:id="65" w:name="_Toc132122120"/>
      <w:bookmarkStart w:id="66" w:name="_Toc132125152"/>
      <w:r>
        <w:rPr>
          <w:rFonts w:hint="eastAsia" w:ascii="宋体" w:hAnsi="宋体" w:cs="宋体"/>
          <w:bCs/>
          <w:color w:val="auto"/>
          <w:sz w:val="22"/>
          <w:szCs w:val="22"/>
          <w:highlight w:val="none"/>
        </w:rPr>
        <w:t>9、投标文件的有效期</w:t>
      </w:r>
      <w:bookmarkEnd w:id="49"/>
      <w:bookmarkEnd w:id="50"/>
    </w:p>
    <w:p>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9.1 自投标截止时间起90天内,投标文件应保持有效。有效期短于这个规定期限的投标将被拒绝。</w:t>
      </w:r>
    </w:p>
    <w:p>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9.2 在特殊情况下,采购人可与供应商协商延长投标文件的有效期,这种要求和答复均应以书面形式进行。</w:t>
      </w:r>
    </w:p>
    <w:p>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9.3 供应商可拒绝接受延期要求。同意延长有效期的供应商不能修改投标文件。</w:t>
      </w:r>
    </w:p>
    <w:p>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10、投标供应商如发生下列情况之一,将上报同级政府采购监督管理部门,追究其责任：</w:t>
      </w:r>
    </w:p>
    <w:p>
      <w:pPr>
        <w:pStyle w:val="87"/>
        <w:numPr>
          <w:ilvl w:val="0"/>
          <w:numId w:val="2"/>
        </w:numPr>
        <w:autoSpaceDE w:val="0"/>
        <w:autoSpaceDN w:val="0"/>
        <w:adjustRightInd w:val="0"/>
        <w:spacing w:line="460" w:lineRule="atLeast"/>
        <w:ind w:firstLineChars="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投标供应商在招标文件规定的投标有效期内撤回投标；</w:t>
      </w:r>
    </w:p>
    <w:p>
      <w:pPr>
        <w:pStyle w:val="87"/>
        <w:numPr>
          <w:ilvl w:val="0"/>
          <w:numId w:val="2"/>
        </w:numPr>
        <w:autoSpaceDE w:val="0"/>
        <w:autoSpaceDN w:val="0"/>
        <w:adjustRightInd w:val="0"/>
        <w:spacing w:line="460" w:lineRule="atLeast"/>
        <w:ind w:firstLineChars="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lang w:eastAsia="zh-CN"/>
        </w:rPr>
        <w:t>中标供应商</w:t>
      </w:r>
      <w:r>
        <w:rPr>
          <w:rFonts w:hint="eastAsia" w:ascii="宋体" w:hAnsi="宋体" w:cs="宋体"/>
          <w:bCs/>
          <w:color w:val="auto"/>
          <w:sz w:val="22"/>
          <w:szCs w:val="22"/>
          <w:highlight w:val="none"/>
        </w:rPr>
        <w:t>未按中标通知书中规定的时间与采购人签订合同；</w:t>
      </w:r>
    </w:p>
    <w:p>
      <w:pPr>
        <w:pStyle w:val="87"/>
        <w:numPr>
          <w:ilvl w:val="0"/>
          <w:numId w:val="2"/>
        </w:numPr>
        <w:autoSpaceDE w:val="0"/>
        <w:autoSpaceDN w:val="0"/>
        <w:adjustRightInd w:val="0"/>
        <w:spacing w:line="460" w:lineRule="atLeast"/>
        <w:ind w:firstLineChars="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投标供应商在招标文件中提供虚假技术指标及参数,经评标委员会确认属实的。</w:t>
      </w:r>
    </w:p>
    <w:p>
      <w:pPr>
        <w:pStyle w:val="87"/>
        <w:numPr>
          <w:ilvl w:val="0"/>
          <w:numId w:val="2"/>
        </w:numPr>
        <w:autoSpaceDE w:val="0"/>
        <w:autoSpaceDN w:val="0"/>
        <w:adjustRightInd w:val="0"/>
        <w:spacing w:line="460" w:lineRule="atLeast"/>
        <w:ind w:firstLineChars="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经同级政府采购监督管理部门审查认定投标供应商有违反《中华人民共和国政府采购法》等有关法律法规的行为。</w:t>
      </w:r>
    </w:p>
    <w:p>
      <w:pPr>
        <w:autoSpaceDE w:val="0"/>
        <w:autoSpaceDN w:val="0"/>
        <w:adjustRightInd w:val="0"/>
        <w:snapToGrid w:val="0"/>
        <w:spacing w:line="440" w:lineRule="exact"/>
        <w:ind w:firstLine="422" w:firstLineChars="150"/>
        <w:jc w:val="center"/>
        <w:textAlignment w:val="bottom"/>
        <w:outlineLvl w:val="1"/>
        <w:rPr>
          <w:rFonts w:hint="eastAsia" w:ascii="宋体" w:hAnsi="宋体" w:cs="宋体"/>
          <w:b/>
          <w:bCs/>
          <w:color w:val="auto"/>
          <w:sz w:val="28"/>
          <w:szCs w:val="28"/>
          <w:highlight w:val="none"/>
        </w:rPr>
      </w:pPr>
      <w:bookmarkStart w:id="67" w:name="_Toc18653"/>
      <w:bookmarkStart w:id="68" w:name="_Toc132125983"/>
      <w:bookmarkStart w:id="69" w:name="_Toc132125037"/>
      <w:bookmarkStart w:id="70" w:name="_Toc132123439"/>
      <w:bookmarkStart w:id="71" w:name="_Toc132125151"/>
      <w:bookmarkStart w:id="72" w:name="_Toc132123881"/>
      <w:bookmarkStart w:id="73" w:name="_Toc132123838"/>
      <w:bookmarkStart w:id="74" w:name="_Toc132124594"/>
      <w:bookmarkStart w:id="75" w:name="_Toc132122416"/>
      <w:bookmarkStart w:id="76" w:name="_Toc132123634"/>
      <w:bookmarkStart w:id="77" w:name="_Toc496116253"/>
      <w:bookmarkStart w:id="78" w:name="_Toc132125574"/>
      <w:bookmarkStart w:id="79" w:name="_Toc132122119"/>
      <w:bookmarkStart w:id="80" w:name="_Toc132655776"/>
      <w:bookmarkStart w:id="81" w:name="_Toc132125095"/>
      <w:bookmarkStart w:id="82" w:name="_Toc132123547"/>
      <w:bookmarkStart w:id="83" w:name="_Toc132126154"/>
      <w:r>
        <w:rPr>
          <w:rFonts w:hint="eastAsia" w:ascii="宋体" w:hAnsi="宋体" w:cs="宋体"/>
          <w:b/>
          <w:bCs/>
          <w:color w:val="auto"/>
          <w:sz w:val="28"/>
          <w:szCs w:val="28"/>
          <w:highlight w:val="none"/>
        </w:rPr>
        <w:t>五、投标文件的</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eastAsia" w:ascii="宋体" w:hAnsi="宋体" w:cs="宋体"/>
          <w:b/>
          <w:bCs/>
          <w:color w:val="auto"/>
          <w:sz w:val="28"/>
          <w:szCs w:val="28"/>
          <w:highlight w:val="none"/>
        </w:rPr>
        <w:t>递交</w:t>
      </w:r>
    </w:p>
    <w:p>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1、投标文件的递交</w:t>
      </w:r>
    </w:p>
    <w:p>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sz w:val="22"/>
          <w:szCs w:val="22"/>
          <w:highlight w:val="none"/>
        </w:rPr>
        <w:t>1.1投标文件的上传、递交：见投标供应商须知前附表。</w:t>
      </w:r>
    </w:p>
    <w:p>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2、 “电子加密投标文件”解密和异常情况处理。</w:t>
      </w:r>
    </w:p>
    <w:p>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2.1“电子加密投标文件”解密：见投标供应商须知前附表。</w:t>
      </w:r>
    </w:p>
    <w:p>
      <w:pPr>
        <w:autoSpaceDE w:val="0"/>
        <w:autoSpaceDN w:val="0"/>
        <w:adjustRightInd w:val="0"/>
        <w:spacing w:line="460" w:lineRule="atLeast"/>
        <w:ind w:firstLine="442" w:firstLineChars="200"/>
        <w:textAlignment w:val="bottom"/>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 投标文件的补充、修改或撤回</w:t>
      </w:r>
    </w:p>
    <w:p>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3.1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3.2投标文件递交截止时间后,投标供应商不得撤回、修改投标文件。</w:t>
      </w:r>
    </w:p>
    <w:p>
      <w:pPr>
        <w:autoSpaceDE w:val="0"/>
        <w:autoSpaceDN w:val="0"/>
        <w:adjustRightInd w:val="0"/>
        <w:spacing w:line="460" w:lineRule="atLeast"/>
        <w:ind w:firstLine="442" w:firstLineChars="200"/>
        <w:textAlignment w:val="bottom"/>
        <w:rPr>
          <w:rFonts w:hint="eastAsia" w:ascii="宋体" w:hAnsi="宋体" w:cs="宋体"/>
          <w:bCs/>
          <w:color w:val="auto"/>
          <w:kern w:val="0"/>
          <w:sz w:val="22"/>
          <w:szCs w:val="22"/>
          <w:highlight w:val="none"/>
        </w:rPr>
      </w:pPr>
      <w:r>
        <w:rPr>
          <w:rFonts w:hint="eastAsia" w:ascii="宋体" w:hAnsi="宋体" w:cs="宋体"/>
          <w:b/>
          <w:bCs/>
          <w:color w:val="auto"/>
          <w:kern w:val="0"/>
          <w:sz w:val="22"/>
          <w:szCs w:val="22"/>
          <w:highlight w:val="none"/>
        </w:rPr>
        <w:t>4、投标文件的备选方案</w:t>
      </w:r>
    </w:p>
    <w:p>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4.1投标供应商不得递交任何的投标备选（替代）方案,否则其投标文件将作无效标处理。与“电子加密投标文件”同时生成的“备份投标文件”不是投标备选（替代）方案。</w:t>
      </w:r>
    </w:p>
    <w:p>
      <w:pPr>
        <w:autoSpaceDE w:val="0"/>
        <w:autoSpaceDN w:val="0"/>
        <w:adjustRightInd w:val="0"/>
        <w:snapToGrid w:val="0"/>
        <w:spacing w:line="440" w:lineRule="exact"/>
        <w:ind w:firstLine="422" w:firstLineChars="150"/>
        <w:jc w:val="center"/>
        <w:textAlignment w:val="bottom"/>
        <w:outlineLvl w:val="1"/>
        <w:rPr>
          <w:rFonts w:hint="eastAsia" w:ascii="宋体" w:hAnsi="宋体" w:cs="宋体"/>
          <w:b/>
          <w:bCs/>
          <w:color w:val="auto"/>
          <w:sz w:val="22"/>
          <w:szCs w:val="22"/>
          <w:highlight w:val="none"/>
        </w:rPr>
      </w:pPr>
      <w:bookmarkStart w:id="84" w:name="_Toc496116254"/>
      <w:bookmarkStart w:id="85" w:name="_Toc144"/>
      <w:r>
        <w:rPr>
          <w:rFonts w:hint="eastAsia" w:ascii="宋体" w:hAnsi="宋体" w:cs="宋体"/>
          <w:b/>
          <w:bCs/>
          <w:color w:val="auto"/>
          <w:sz w:val="28"/>
          <w:szCs w:val="28"/>
          <w:highlight w:val="none"/>
        </w:rPr>
        <w:t>六、开标和评标</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84"/>
      <w:bookmarkEnd w:id="85"/>
    </w:p>
    <w:p>
      <w:pPr>
        <w:autoSpaceDE w:val="0"/>
        <w:autoSpaceDN w:val="0"/>
        <w:adjustRightInd w:val="0"/>
        <w:spacing w:line="460" w:lineRule="atLeast"/>
        <w:ind w:firstLine="442" w:firstLineChars="200"/>
        <w:textAlignment w:val="bottom"/>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1、开标形式</w:t>
      </w:r>
    </w:p>
    <w:p>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1.1 采购组织机构将按照招标文件规定的时间通过“政采云平台”组织开标、开启投标文件,所有供应商均应当准时在线参加。</w:t>
      </w:r>
    </w:p>
    <w:p>
      <w:pPr>
        <w:autoSpaceDE w:val="0"/>
        <w:autoSpaceDN w:val="0"/>
        <w:adjustRightInd w:val="0"/>
        <w:spacing w:line="460" w:lineRule="atLeast"/>
        <w:ind w:firstLine="442" w:firstLineChars="200"/>
        <w:textAlignment w:val="bottom"/>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 开标准备</w:t>
      </w:r>
    </w:p>
    <w:p>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2.1开标的准备工作由采购组织机构负责落实。</w:t>
      </w:r>
    </w:p>
    <w:p>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2.2采购组织机构将按照招标文件规定的时间通过“政采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autoSpaceDE w:val="0"/>
        <w:autoSpaceDN w:val="0"/>
        <w:adjustRightInd w:val="0"/>
        <w:spacing w:line="460" w:lineRule="atLeast"/>
        <w:ind w:firstLine="442" w:firstLineChars="200"/>
        <w:textAlignment w:val="bottom"/>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3、开标流程（两阶段）</w:t>
      </w:r>
    </w:p>
    <w:p>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3.1开标第一阶段</w:t>
      </w:r>
    </w:p>
    <w:p>
      <w:pPr>
        <w:tabs>
          <w:tab w:val="left" w:pos="540"/>
        </w:tabs>
        <w:spacing w:line="460" w:lineRule="exact"/>
        <w:ind w:firstLine="325" w:firstLineChars="147"/>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向各投标供应商发出电子加密投标文件【开始解密】通知,由供应商按招标文件规定的时间内自行进行投标文件解密。投标供应商在规定的时间内（开标时间起30分钟内）无法完成已递交的“电子加密投标文件”解密的,如已按规定递交了备份投标文件的,将由采购组织机构按“政采云平台”操作规范将备份投标文件上传至“政采云平台”,上传成功后,“电子加密投标文件”自动失效；</w:t>
      </w:r>
    </w:p>
    <w:p>
      <w:pPr>
        <w:tabs>
          <w:tab w:val="left" w:pos="540"/>
        </w:tabs>
        <w:spacing w:line="460" w:lineRule="exact"/>
        <w:ind w:firstLine="325" w:firstLineChars="147"/>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（2）开启投标文件,进入资格审查；</w:t>
      </w:r>
    </w:p>
    <w:p>
      <w:pPr>
        <w:tabs>
          <w:tab w:val="left" w:pos="540"/>
        </w:tabs>
        <w:spacing w:line="460" w:lineRule="exact"/>
        <w:ind w:firstLine="325" w:firstLineChars="147"/>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（3）资格审查通过的投标供应商的技术资信文件进入符合性审查、技术评审；</w:t>
      </w:r>
    </w:p>
    <w:p>
      <w:pPr>
        <w:tabs>
          <w:tab w:val="left" w:pos="540"/>
        </w:tabs>
        <w:spacing w:line="460" w:lineRule="exact"/>
        <w:ind w:firstLine="325" w:firstLineChars="147"/>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（4）第一阶段开标结束。</w:t>
      </w:r>
    </w:p>
    <w:p>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备注：开标大会的第一阶段结束后,采购人或采购代理机构将对依法对投标供应商的资格进行审查,资格审查结束后进入符合性审查和技术资信文件的评审工作,具体见本章节“投标供应商资格审查”相关规定。</w:t>
      </w:r>
    </w:p>
    <w:p>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3.2开标第二阶段</w:t>
      </w:r>
    </w:p>
    <w:p>
      <w:pPr>
        <w:tabs>
          <w:tab w:val="left" w:pos="540"/>
        </w:tabs>
        <w:spacing w:line="460" w:lineRule="exact"/>
        <w:ind w:firstLine="325" w:firstLineChars="147"/>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符合性审查、技术资信文件的评审结束后,举行开标大会第二阶段会议。首先在“政采云平台”系统平台上公布符合性审查、技术资信评审无效供应商名称及理由；公布经技术资信评审后有效投标供应商的名单,同时公布其技术资信部分得分情况。</w:t>
      </w:r>
    </w:p>
    <w:p>
      <w:pPr>
        <w:tabs>
          <w:tab w:val="left" w:pos="540"/>
        </w:tabs>
        <w:spacing w:line="460" w:lineRule="exact"/>
        <w:ind w:firstLine="325" w:firstLineChars="147"/>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开启通过符合性审查、技术资信文件评审有效投标供应商的商务（报价）文件,在“政采云平台”系统平台上公布开标一览表有关内容,同时当场制作开标记录。开标结束后,由评标委员会对报价的合理性、准确性等进行审查核实。</w:t>
      </w:r>
    </w:p>
    <w:p>
      <w:pPr>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sz w:val="22"/>
          <w:highlight w:val="none"/>
        </w:rPr>
        <w:t>投标文件报价出现前后不一致的,除采购文件另有规定外,按照下列规定修正</w:t>
      </w:r>
      <w:r>
        <w:rPr>
          <w:rFonts w:hint="eastAsia" w:ascii="宋体" w:hAnsi="宋体" w:cs="宋体"/>
          <w:color w:val="auto"/>
          <w:kern w:val="0"/>
          <w:sz w:val="22"/>
          <w:szCs w:val="22"/>
          <w:highlight w:val="none"/>
        </w:rPr>
        <w:t>：</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sz w:val="22"/>
          <w:highlight w:val="none"/>
        </w:rPr>
        <w:t>投标文件中开标一览表（报价表）内容与投标文件中相应内容不一致的,以开标一览表（报价表）为准</w:t>
      </w:r>
      <w:r>
        <w:rPr>
          <w:rFonts w:hint="eastAsia" w:ascii="宋体" w:hAnsi="宋体" w:cs="宋体"/>
          <w:color w:val="auto"/>
          <w:kern w:val="0"/>
          <w:sz w:val="22"/>
          <w:szCs w:val="22"/>
          <w:highlight w:val="none"/>
        </w:rPr>
        <w:t>。</w:t>
      </w:r>
    </w:p>
    <w:p>
      <w:pPr>
        <w:spacing w:line="460" w:lineRule="exact"/>
        <w:ind w:firstLine="418" w:firstLineChars="190"/>
        <w:rPr>
          <w:rFonts w:hint="eastAsia" w:ascii="宋体" w:hAnsi="宋体" w:cs="宋体"/>
          <w:color w:val="auto"/>
          <w:sz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大写金额和小写金额不一致的,以大写金额为准。</w:t>
      </w:r>
    </w:p>
    <w:p>
      <w:pPr>
        <w:spacing w:line="460" w:lineRule="exact"/>
        <w:ind w:firstLine="418" w:firstLineChars="190"/>
        <w:rPr>
          <w:rFonts w:hint="eastAsia" w:ascii="宋体" w:hAnsi="宋体" w:cs="宋体"/>
          <w:color w:val="auto"/>
          <w:sz w:val="22"/>
          <w:highlight w:val="none"/>
        </w:rPr>
      </w:pPr>
      <w:r>
        <w:rPr>
          <w:rFonts w:hint="eastAsia" w:ascii="宋体" w:hAnsi="宋体" w:cs="宋体"/>
          <w:color w:val="auto"/>
          <w:sz w:val="22"/>
          <w:highlight w:val="none"/>
        </w:rPr>
        <w:t>3）单价金额小数点或者百分比有明显错位的,以开标一览表的总价为准,并修改单价。</w:t>
      </w:r>
    </w:p>
    <w:p>
      <w:pPr>
        <w:spacing w:line="460" w:lineRule="exact"/>
        <w:ind w:firstLine="418" w:firstLineChars="190"/>
        <w:rPr>
          <w:rFonts w:hint="eastAsia" w:ascii="宋体" w:hAnsi="宋体" w:cs="宋体"/>
          <w:color w:val="auto"/>
          <w:sz w:val="22"/>
          <w:highlight w:val="none"/>
        </w:rPr>
      </w:pPr>
      <w:r>
        <w:rPr>
          <w:rFonts w:hint="eastAsia" w:ascii="宋体" w:hAnsi="宋体" w:cs="宋体"/>
          <w:color w:val="auto"/>
          <w:sz w:val="22"/>
          <w:highlight w:val="none"/>
        </w:rPr>
        <w:t>4）总价金额与按单价汇总金额不一致的,以单价金额计算结果为准。</w:t>
      </w:r>
    </w:p>
    <w:p>
      <w:pPr>
        <w:spacing w:line="460" w:lineRule="exact"/>
        <w:ind w:firstLine="418" w:firstLineChars="190"/>
        <w:rPr>
          <w:rFonts w:hint="eastAsia" w:ascii="宋体" w:hAnsi="宋体" w:cs="宋体"/>
          <w:color w:val="auto"/>
          <w:sz w:val="22"/>
          <w:highlight w:val="none"/>
        </w:rPr>
      </w:pPr>
      <w:r>
        <w:rPr>
          <w:rFonts w:hint="eastAsia" w:ascii="宋体" w:hAnsi="宋体" w:cs="宋体"/>
          <w:color w:val="auto"/>
          <w:sz w:val="22"/>
          <w:highlight w:val="none"/>
        </w:rPr>
        <w:t>5）</w:t>
      </w:r>
      <w:r>
        <w:rPr>
          <w:rFonts w:hint="eastAsia" w:ascii="宋体" w:hAnsi="宋体" w:cs="宋体"/>
          <w:color w:val="auto"/>
          <w:sz w:val="22"/>
          <w:szCs w:val="22"/>
          <w:highlight w:val="none"/>
        </w:rPr>
        <w:t>投标供应商在政采云客户端填写的报价与以pdf格式上传文件中的报价不一致的,应以Pdf格式上传文件中的报价为准,修正客户端的报价。</w:t>
      </w:r>
    </w:p>
    <w:p>
      <w:pPr>
        <w:spacing w:line="460" w:lineRule="exact"/>
        <w:ind w:firstLine="420" w:firstLineChars="190"/>
        <w:rPr>
          <w:rFonts w:hint="eastAsia" w:ascii="宋体" w:hAnsi="宋体" w:cs="宋体"/>
          <w:b/>
          <w:bCs/>
          <w:color w:val="auto"/>
          <w:sz w:val="22"/>
          <w:szCs w:val="22"/>
          <w:highlight w:val="none"/>
        </w:rPr>
      </w:pPr>
      <w:r>
        <w:rPr>
          <w:rFonts w:hint="eastAsia" w:ascii="宋体" w:hAnsi="宋体" w:cs="宋体"/>
          <w:b/>
          <w:bCs/>
          <w:color w:val="auto"/>
          <w:sz w:val="22"/>
          <w:highlight w:val="none"/>
        </w:rPr>
        <w:t>同时出现两种以上不一致的,按照前款规定的顺序修正。修正后的报价按照本采购文件规定经供应商确认后产生约束力,供应商不确认的,其投标无效。</w:t>
      </w:r>
    </w:p>
    <w:p>
      <w:pPr>
        <w:tabs>
          <w:tab w:val="left" w:pos="540"/>
        </w:tabs>
        <w:spacing w:line="460" w:lineRule="exact"/>
        <w:ind w:firstLine="325" w:firstLineChars="147"/>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（3）评审结束后,在“政采云平台”系统平台上公布中标（成交）候选供应商名单,及采购人最终确定中标或成交供应商名单的时间和公告方式等。</w:t>
      </w:r>
    </w:p>
    <w:p>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pPr>
        <w:autoSpaceDE w:val="0"/>
        <w:autoSpaceDN w:val="0"/>
        <w:adjustRightInd w:val="0"/>
        <w:spacing w:line="460" w:lineRule="atLeast"/>
        <w:ind w:firstLine="442" w:firstLineChars="200"/>
        <w:textAlignment w:val="bottom"/>
        <w:rPr>
          <w:rFonts w:hint="eastAsia" w:ascii="宋体" w:hAnsi="宋体" w:cs="宋体"/>
          <w:b/>
          <w:bCs/>
          <w:color w:val="auto"/>
          <w:kern w:val="0"/>
          <w:sz w:val="22"/>
          <w:szCs w:val="22"/>
          <w:highlight w:val="none"/>
        </w:rPr>
      </w:pPr>
      <w:bookmarkStart w:id="86" w:name="_Toc33194393"/>
      <w:bookmarkStart w:id="87" w:name="_Toc24550037"/>
      <w:r>
        <w:rPr>
          <w:rFonts w:hint="eastAsia" w:ascii="宋体" w:hAnsi="宋体" w:cs="宋体"/>
          <w:b/>
          <w:bCs/>
          <w:color w:val="auto"/>
          <w:kern w:val="0"/>
          <w:sz w:val="22"/>
          <w:szCs w:val="22"/>
          <w:highlight w:val="none"/>
        </w:rPr>
        <w:t>4、 投标供应商资格审查</w:t>
      </w:r>
      <w:bookmarkEnd w:id="86"/>
      <w:bookmarkEnd w:id="87"/>
    </w:p>
    <w:p>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4.1开标大会第一阶段结束后,采购人或采购代理机构首先依法对各投标供应商的资格进行审查,审查各投标供应商的资格是否满足招标文件的要求。采购人或采购代理机构对投标供应商所提交的资格审查材料仅负审核的责任。如发现投标供应商所提交的资格审查材料不合法或与事实不符,采购人可取消其中标资格并追究投标供应商的法律责任。</w:t>
      </w:r>
    </w:p>
    <w:p>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4.2投标供应商提交的资格审查材料无法证明其符合招标文件规定的“投标供应商资格要求”的,采购人或采购代理机构将对其作资格审查不通过处理（无效投标）,并不再将其投标提交评标委员会进行后续评审。</w:t>
      </w:r>
    </w:p>
    <w:p>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4.3单位负责人为同一人或者存在直接控股、管理关系的不同供应商参加同一合同项下的政府采购活动的,相关投标供应商均作资格无效处理。</w:t>
      </w:r>
    </w:p>
    <w:p>
      <w:pPr>
        <w:pStyle w:val="25"/>
        <w:snapToGrid w:val="0"/>
        <w:spacing w:line="460" w:lineRule="atLeast"/>
        <w:ind w:firstLine="435" w:firstLineChars="197"/>
        <w:rPr>
          <w:rFonts w:hint="eastAsia" w:hAnsi="宋体" w:cs="宋体"/>
          <w:b/>
          <w:color w:val="auto"/>
          <w:sz w:val="22"/>
          <w:szCs w:val="22"/>
          <w:highlight w:val="none"/>
        </w:rPr>
      </w:pPr>
      <w:r>
        <w:rPr>
          <w:rFonts w:hint="eastAsia" w:hAnsi="宋体" w:cs="宋体"/>
          <w:b/>
          <w:color w:val="auto"/>
          <w:sz w:val="22"/>
          <w:szCs w:val="22"/>
          <w:highlight w:val="none"/>
        </w:rPr>
        <w:t>5、评标</w:t>
      </w:r>
    </w:p>
    <w:p>
      <w:pPr>
        <w:pStyle w:val="25"/>
        <w:snapToGrid w:val="0"/>
        <w:spacing w:line="460" w:lineRule="atLeast"/>
        <w:ind w:firstLine="435" w:firstLineChars="197"/>
        <w:rPr>
          <w:rFonts w:hint="eastAsia" w:hAnsi="宋体" w:cs="宋体"/>
          <w:b/>
          <w:color w:val="auto"/>
          <w:sz w:val="22"/>
          <w:szCs w:val="22"/>
          <w:highlight w:val="none"/>
        </w:rPr>
      </w:pPr>
      <w:r>
        <w:rPr>
          <w:rFonts w:hint="eastAsia" w:hAnsi="宋体" w:cs="宋体"/>
          <w:b/>
          <w:color w:val="auto"/>
          <w:sz w:val="22"/>
          <w:szCs w:val="22"/>
          <w:highlight w:val="none"/>
        </w:rPr>
        <w:t>5.1评标由采购人依法组建的评标委员会负责,并独立履行下列职责：</w:t>
      </w:r>
    </w:p>
    <w:p>
      <w:pPr>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1）审查投标文件是否符合招标文件要求,并作出评价；</w:t>
      </w:r>
    </w:p>
    <w:p>
      <w:pPr>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2）要求供应商对投标文件有关事项作出解释或者澄清；</w:t>
      </w:r>
    </w:p>
    <w:p>
      <w:pPr>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3）按照招标文件确定的评标办法确定</w:t>
      </w:r>
      <w:r>
        <w:rPr>
          <w:rFonts w:hint="eastAsia" w:ascii="宋体" w:hAnsi="宋体" w:cs="宋体"/>
          <w:color w:val="auto"/>
          <w:sz w:val="22"/>
          <w:szCs w:val="22"/>
          <w:highlight w:val="none"/>
          <w:lang w:eastAsia="zh-CN"/>
        </w:rPr>
        <w:t>中标供应商</w:t>
      </w:r>
      <w:r>
        <w:rPr>
          <w:rFonts w:hint="eastAsia" w:ascii="宋体" w:hAnsi="宋体" w:cs="宋体"/>
          <w:color w:val="auto"/>
          <w:sz w:val="22"/>
          <w:szCs w:val="22"/>
          <w:highlight w:val="none"/>
        </w:rPr>
        <w:t>,并对其排序；综合得分最高的供应商推荐为</w:t>
      </w:r>
      <w:r>
        <w:rPr>
          <w:rFonts w:hint="eastAsia" w:ascii="宋体" w:hAnsi="宋体" w:cs="宋体"/>
          <w:color w:val="auto"/>
          <w:sz w:val="22"/>
          <w:szCs w:val="22"/>
          <w:highlight w:val="none"/>
          <w:lang w:eastAsia="zh-CN"/>
        </w:rPr>
        <w:t>中标供应商</w:t>
      </w:r>
      <w:r>
        <w:rPr>
          <w:rFonts w:hint="eastAsia" w:ascii="宋体" w:hAnsi="宋体" w:cs="宋体"/>
          <w:color w:val="auto"/>
          <w:sz w:val="22"/>
          <w:szCs w:val="22"/>
          <w:highlight w:val="none"/>
        </w:rPr>
        <w:t>；</w:t>
      </w:r>
    </w:p>
    <w:p>
      <w:pPr>
        <w:pStyle w:val="25"/>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4）向采购人或者有关部门报告非法干预评标工作的行为。</w:t>
      </w:r>
    </w:p>
    <w:p>
      <w:pPr>
        <w:pStyle w:val="25"/>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5）根据采购人的授权确定</w:t>
      </w:r>
      <w:r>
        <w:rPr>
          <w:rFonts w:hint="eastAsia" w:hAnsi="宋体" w:cs="宋体"/>
          <w:color w:val="auto"/>
          <w:sz w:val="22"/>
          <w:szCs w:val="22"/>
          <w:highlight w:val="none"/>
          <w:lang w:eastAsia="zh-CN"/>
        </w:rPr>
        <w:t>中标供应商</w:t>
      </w:r>
      <w:r>
        <w:rPr>
          <w:rFonts w:hint="eastAsia" w:hAnsi="宋体" w:cs="宋体"/>
          <w:color w:val="auto"/>
          <w:sz w:val="22"/>
          <w:szCs w:val="22"/>
          <w:highlight w:val="none"/>
        </w:rPr>
        <w:t>名单；</w:t>
      </w:r>
    </w:p>
    <w:p>
      <w:pPr>
        <w:snapToGrid w:val="0"/>
        <w:spacing w:line="460" w:lineRule="atLeast"/>
        <w:ind w:firstLine="435" w:firstLineChars="197"/>
        <w:rPr>
          <w:rFonts w:hint="eastAsia" w:ascii="宋体" w:hAnsi="宋体" w:cs="宋体"/>
          <w:b/>
          <w:color w:val="auto"/>
          <w:sz w:val="22"/>
          <w:szCs w:val="22"/>
          <w:highlight w:val="none"/>
        </w:rPr>
      </w:pPr>
      <w:r>
        <w:rPr>
          <w:rFonts w:hint="eastAsia" w:ascii="宋体" w:hAnsi="宋体" w:cs="宋体"/>
          <w:b/>
          <w:color w:val="auto"/>
          <w:sz w:val="22"/>
          <w:szCs w:val="22"/>
          <w:highlight w:val="none"/>
        </w:rPr>
        <w:t>5.2评标应当遵循下列工作程序：</w:t>
      </w:r>
    </w:p>
    <w:p>
      <w:pPr>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1）投标文件初审。初审为符合性检查。</w:t>
      </w:r>
    </w:p>
    <w:p>
      <w:pPr>
        <w:snapToGrid w:val="0"/>
        <w:spacing w:line="460" w:lineRule="atLeast"/>
        <w:ind w:firstLine="323" w:firstLineChars="147"/>
        <w:rPr>
          <w:rFonts w:hint="eastAsia" w:ascii="宋体" w:hAnsi="宋体" w:cs="宋体"/>
          <w:color w:val="auto"/>
          <w:sz w:val="22"/>
          <w:szCs w:val="22"/>
          <w:highlight w:val="none"/>
        </w:rPr>
      </w:pPr>
      <w:r>
        <w:rPr>
          <w:rFonts w:hint="eastAsia" w:ascii="宋体" w:hAnsi="宋体" w:cs="宋体"/>
          <w:color w:val="auto"/>
          <w:sz w:val="22"/>
          <w:szCs w:val="22"/>
          <w:highlight w:val="none"/>
        </w:rPr>
        <w:t>（1）符合性检查。依据招标文件的规定,从投标文件的有效性、完整性和对招标文件的响应程度进行审查,以确定是否对招标文件的实质性要求做出响应。</w:t>
      </w:r>
    </w:p>
    <w:p>
      <w:pPr>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adjustRightInd w:val="0"/>
        <w:snapToGrid w:val="0"/>
        <w:spacing w:line="460" w:lineRule="atLeast"/>
        <w:ind w:firstLine="435" w:firstLineChars="197"/>
        <w:rPr>
          <w:rFonts w:hint="eastAsia" w:ascii="宋体" w:hAnsi="宋体" w:cs="宋体"/>
          <w:b/>
          <w:color w:val="auto"/>
          <w:sz w:val="22"/>
          <w:szCs w:val="22"/>
          <w:highlight w:val="none"/>
        </w:rPr>
      </w:pPr>
      <w:r>
        <w:rPr>
          <w:rFonts w:hint="eastAsia" w:ascii="宋体" w:hAnsi="宋体" w:cs="宋体"/>
          <w:b/>
          <w:color w:val="auto"/>
          <w:sz w:val="22"/>
          <w:szCs w:val="22"/>
          <w:highlight w:val="none"/>
        </w:rPr>
        <w:t>实质上没有响应招标文件要求的投标将被拒绝。供应商不得通过修正或撤销不合要求的偏离从而使其投标成为实质上响应的投标。</w:t>
      </w:r>
    </w:p>
    <w:p>
      <w:pPr>
        <w:snapToGrid w:val="0"/>
        <w:spacing w:line="460" w:lineRule="atLeast"/>
        <w:ind w:firstLine="435" w:firstLineChars="197"/>
        <w:rPr>
          <w:rFonts w:hint="eastAsia" w:ascii="宋体" w:hAnsi="宋体" w:cs="宋体"/>
          <w:b/>
          <w:color w:val="auto"/>
          <w:sz w:val="22"/>
          <w:szCs w:val="22"/>
          <w:highlight w:val="none"/>
        </w:rPr>
      </w:pPr>
      <w:r>
        <w:rPr>
          <w:rFonts w:hint="eastAsia" w:ascii="宋体" w:hAnsi="宋体" w:cs="宋体"/>
          <w:b/>
          <w:color w:val="auto"/>
          <w:sz w:val="22"/>
          <w:szCs w:val="22"/>
          <w:highlight w:val="none"/>
        </w:rPr>
        <w:t>评标委员会对投标文件的判定,只依据投标文件内容本身,不依靠开标后的任何外来证明。</w:t>
      </w:r>
    </w:p>
    <w:p>
      <w:pPr>
        <w:pStyle w:val="25"/>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3）比较与评价。按招标文件中规定的评标方法和标准,对资格性检查和符合性检查合格的投标文件进行商务和技术评估,综合比较与评价。</w:t>
      </w:r>
    </w:p>
    <w:p>
      <w:pPr>
        <w:pStyle w:val="25"/>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4）推荐</w:t>
      </w:r>
      <w:r>
        <w:rPr>
          <w:rFonts w:hint="eastAsia" w:hAnsi="宋体" w:cs="宋体"/>
          <w:color w:val="auto"/>
          <w:sz w:val="22"/>
          <w:szCs w:val="22"/>
          <w:highlight w:val="none"/>
          <w:lang w:eastAsia="zh-CN"/>
        </w:rPr>
        <w:t>中标供应商</w:t>
      </w:r>
      <w:r>
        <w:rPr>
          <w:rFonts w:hint="eastAsia" w:hAnsi="宋体" w:cs="宋体"/>
          <w:color w:val="auto"/>
          <w:sz w:val="22"/>
          <w:szCs w:val="22"/>
          <w:highlight w:val="none"/>
        </w:rPr>
        <w:t>候选人名单,并根据采购人的授权确定</w:t>
      </w:r>
      <w:r>
        <w:rPr>
          <w:rFonts w:hint="eastAsia" w:hAnsi="宋体" w:cs="宋体"/>
          <w:color w:val="auto"/>
          <w:sz w:val="22"/>
          <w:szCs w:val="22"/>
          <w:highlight w:val="none"/>
          <w:lang w:eastAsia="zh-CN"/>
        </w:rPr>
        <w:t>中标供应商</w:t>
      </w:r>
      <w:r>
        <w:rPr>
          <w:rFonts w:hint="eastAsia" w:hAnsi="宋体" w:cs="宋体"/>
          <w:color w:val="auto"/>
          <w:sz w:val="22"/>
          <w:szCs w:val="22"/>
          <w:highlight w:val="none"/>
        </w:rPr>
        <w:t>。</w:t>
      </w:r>
    </w:p>
    <w:p>
      <w:pPr>
        <w:pStyle w:val="25"/>
        <w:snapToGrid w:val="0"/>
        <w:spacing w:line="460" w:lineRule="atLeast"/>
        <w:ind w:firstLine="435" w:firstLineChars="197"/>
        <w:rPr>
          <w:rFonts w:hint="eastAsia" w:hAnsi="宋体" w:cs="宋体"/>
          <w:b/>
          <w:color w:val="auto"/>
          <w:sz w:val="22"/>
          <w:szCs w:val="22"/>
          <w:highlight w:val="none"/>
          <w:u w:val="single"/>
        </w:rPr>
      </w:pPr>
      <w:r>
        <w:rPr>
          <w:rFonts w:hint="eastAsia" w:hAnsi="宋体" w:cs="宋体"/>
          <w:b/>
          <w:color w:val="auto"/>
          <w:sz w:val="22"/>
          <w:szCs w:val="22"/>
          <w:highlight w:val="none"/>
        </w:rPr>
        <w:t xml:space="preserve">5.3 </w:t>
      </w:r>
      <w:r>
        <w:rPr>
          <w:rFonts w:hint="eastAsia" w:hAnsi="宋体" w:cs="宋体"/>
          <w:b/>
          <w:color w:val="auto"/>
          <w:sz w:val="22"/>
          <w:szCs w:val="22"/>
          <w:highlight w:val="none"/>
          <w:u w:val="single"/>
        </w:rPr>
        <w:t>▲投标供应商存在下列情况之一的,投标无效：</w:t>
      </w:r>
    </w:p>
    <w:p>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1</w:t>
      </w:r>
      <w:r>
        <w:rPr>
          <w:rFonts w:hint="eastAsia" w:ascii="宋体" w:hAnsi="宋体" w:eastAsia="宋体"/>
          <w:b w:val="0"/>
          <w:color w:val="auto"/>
          <w:sz w:val="22"/>
          <w:szCs w:val="22"/>
          <w:highlight w:val="none"/>
          <w:lang w:eastAsia="zh-CN"/>
        </w:rPr>
        <w:t>）</w:t>
      </w:r>
      <w:r>
        <w:rPr>
          <w:rFonts w:hint="eastAsia" w:ascii="宋体" w:hAnsi="宋体" w:eastAsia="宋体"/>
          <w:b w:val="0"/>
          <w:color w:val="auto"/>
          <w:sz w:val="22"/>
          <w:szCs w:val="22"/>
          <w:highlight w:val="none"/>
        </w:rPr>
        <w:t>投标人不具备招标文件中规定的资格要求的（投标人未提供有效的资格文件的，视为投标人不具备招标文件中规定的资格要求）；</w:t>
      </w:r>
    </w:p>
    <w:p>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2</w:t>
      </w:r>
      <w:r>
        <w:rPr>
          <w:rFonts w:hint="eastAsia" w:ascii="宋体" w:hAnsi="宋体" w:eastAsia="宋体"/>
          <w:b w:val="0"/>
          <w:color w:val="auto"/>
          <w:sz w:val="22"/>
          <w:szCs w:val="22"/>
          <w:highlight w:val="none"/>
          <w:lang w:eastAsia="zh-CN"/>
        </w:rPr>
        <w:t>）</w:t>
      </w:r>
      <w:r>
        <w:rPr>
          <w:rFonts w:hint="eastAsia" w:ascii="宋体" w:hAnsi="宋体" w:eastAsia="宋体"/>
          <w:b w:val="0"/>
          <w:color w:val="auto"/>
          <w:sz w:val="22"/>
          <w:szCs w:val="22"/>
          <w:highlight w:val="none"/>
        </w:rPr>
        <w:t>投标文件未按照招标文件要求签署、盖章的；</w:t>
      </w:r>
    </w:p>
    <w:p>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w:t>
      </w:r>
      <w:r>
        <w:rPr>
          <w:rFonts w:hint="eastAsia" w:ascii="宋体" w:hAnsi="宋体" w:eastAsia="宋体"/>
          <w:b w:val="0"/>
          <w:color w:val="auto"/>
          <w:sz w:val="22"/>
          <w:szCs w:val="22"/>
          <w:highlight w:val="none"/>
          <w:lang w:eastAsia="zh-CN"/>
        </w:rPr>
        <w:t>）</w:t>
      </w:r>
      <w:r>
        <w:rPr>
          <w:rFonts w:hint="eastAsia" w:ascii="宋体" w:hAnsi="宋体" w:eastAsia="宋体"/>
          <w:b w:val="0"/>
          <w:color w:val="auto"/>
          <w:sz w:val="22"/>
          <w:szCs w:val="22"/>
          <w:highlight w:val="none"/>
        </w:rPr>
        <w:t>采购人拟采购的产品属于政府强制采购的节能产品品目清单范围的，投标人相应的投标产品未获得国家确定的认证机构出具的、处于有效期之内的节能产品认证证书的；</w:t>
      </w:r>
    </w:p>
    <w:p>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w:t>
      </w:r>
      <w:r>
        <w:rPr>
          <w:rFonts w:hint="eastAsia" w:ascii="宋体" w:hAnsi="宋体" w:eastAsia="宋体"/>
          <w:b w:val="0"/>
          <w:color w:val="auto"/>
          <w:sz w:val="22"/>
          <w:szCs w:val="22"/>
          <w:highlight w:val="none"/>
          <w:lang w:eastAsia="zh-CN"/>
        </w:rPr>
        <w:t>）</w:t>
      </w:r>
      <w:r>
        <w:rPr>
          <w:rFonts w:hint="eastAsia" w:ascii="宋体" w:hAnsi="宋体" w:eastAsia="宋体"/>
          <w:b w:val="0"/>
          <w:color w:val="auto"/>
          <w:sz w:val="22"/>
          <w:szCs w:val="22"/>
          <w:highlight w:val="none"/>
        </w:rPr>
        <w:t>投标文件含有采购人不能接受的附加条件的；</w:t>
      </w:r>
    </w:p>
    <w:p>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5</w:t>
      </w:r>
      <w:r>
        <w:rPr>
          <w:rFonts w:hint="eastAsia" w:ascii="宋体" w:hAnsi="宋体" w:eastAsia="宋体"/>
          <w:b w:val="0"/>
          <w:color w:val="auto"/>
          <w:sz w:val="22"/>
          <w:szCs w:val="22"/>
          <w:highlight w:val="none"/>
          <w:lang w:eastAsia="zh-CN"/>
        </w:rPr>
        <w:t>）</w:t>
      </w:r>
      <w:r>
        <w:rPr>
          <w:rFonts w:hint="eastAsia" w:ascii="宋体" w:hAnsi="宋体" w:eastAsia="宋体"/>
          <w:b w:val="0"/>
          <w:color w:val="auto"/>
          <w:sz w:val="22"/>
          <w:szCs w:val="22"/>
          <w:highlight w:val="none"/>
        </w:rPr>
        <w:t>投标文件中承诺的投标有效期少于招标文件中载明的投标有效期的；</w:t>
      </w:r>
    </w:p>
    <w:p>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6</w:t>
      </w:r>
      <w:r>
        <w:rPr>
          <w:rFonts w:hint="eastAsia" w:ascii="宋体" w:hAnsi="宋体" w:eastAsia="宋体"/>
          <w:b w:val="0"/>
          <w:color w:val="auto"/>
          <w:sz w:val="22"/>
          <w:szCs w:val="22"/>
          <w:highlight w:val="none"/>
          <w:lang w:eastAsia="zh-CN"/>
        </w:rPr>
        <w:t>）</w:t>
      </w:r>
      <w:r>
        <w:rPr>
          <w:rFonts w:hint="eastAsia" w:ascii="宋体" w:hAnsi="宋体" w:eastAsia="宋体"/>
          <w:b w:val="0"/>
          <w:color w:val="auto"/>
          <w:sz w:val="22"/>
          <w:szCs w:val="22"/>
          <w:highlight w:val="none"/>
        </w:rPr>
        <w:t>投标文件出现不是唯一的、有选择性投标报价的;</w:t>
      </w:r>
    </w:p>
    <w:p>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7</w:t>
      </w:r>
      <w:r>
        <w:rPr>
          <w:rFonts w:hint="eastAsia" w:ascii="宋体" w:hAnsi="宋体" w:eastAsia="宋体"/>
          <w:b w:val="0"/>
          <w:color w:val="auto"/>
          <w:sz w:val="22"/>
          <w:szCs w:val="22"/>
          <w:highlight w:val="none"/>
          <w:lang w:eastAsia="zh-CN"/>
        </w:rPr>
        <w:t>）</w:t>
      </w:r>
      <w:r>
        <w:rPr>
          <w:rFonts w:hint="eastAsia" w:ascii="宋体" w:hAnsi="宋体" w:eastAsia="宋体"/>
          <w:b w:val="0"/>
          <w:color w:val="auto"/>
          <w:sz w:val="22"/>
          <w:szCs w:val="22"/>
          <w:highlight w:val="none"/>
        </w:rPr>
        <w:t>投标报价超过招标文件中规定的预算金额或者最高限价的;</w:t>
      </w:r>
    </w:p>
    <w:p>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8</w:t>
      </w:r>
      <w:r>
        <w:rPr>
          <w:rFonts w:hint="eastAsia" w:ascii="宋体" w:hAnsi="宋体" w:eastAsia="宋体"/>
          <w:b w:val="0"/>
          <w:color w:val="auto"/>
          <w:sz w:val="22"/>
          <w:szCs w:val="22"/>
          <w:highlight w:val="none"/>
          <w:lang w:eastAsia="zh-CN"/>
        </w:rPr>
        <w:t>）</w:t>
      </w:r>
      <w:r>
        <w:rPr>
          <w:rFonts w:hint="eastAsia" w:ascii="宋体" w:hAnsi="宋体" w:eastAsia="宋体"/>
          <w:b w:val="0"/>
          <w:color w:val="auto"/>
          <w:sz w:val="22"/>
          <w:szCs w:val="22"/>
          <w:highlight w:val="none"/>
        </w:rPr>
        <w:t>报价明显低于其他通过符合性审查投标人的报价，有可能影响产品质量或者不能诚信履约的，未能按要求提供书面说明或者提交相关证明材料，不能证明其报价合理性的;</w:t>
      </w:r>
    </w:p>
    <w:p>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9</w:t>
      </w:r>
      <w:r>
        <w:rPr>
          <w:rFonts w:hint="eastAsia" w:ascii="宋体" w:hAnsi="宋体" w:eastAsia="宋体"/>
          <w:b w:val="0"/>
          <w:color w:val="auto"/>
          <w:sz w:val="22"/>
          <w:szCs w:val="22"/>
          <w:highlight w:val="none"/>
          <w:lang w:eastAsia="zh-CN"/>
        </w:rPr>
        <w:t>）</w:t>
      </w:r>
      <w:r>
        <w:rPr>
          <w:rFonts w:hint="eastAsia" w:ascii="宋体" w:hAnsi="宋体" w:eastAsia="宋体"/>
          <w:b w:val="0"/>
          <w:color w:val="auto"/>
          <w:sz w:val="22"/>
          <w:szCs w:val="22"/>
          <w:highlight w:val="none"/>
        </w:rPr>
        <w:t>投标人对根据修正原则修正后的报价不确认的；</w:t>
      </w:r>
    </w:p>
    <w:p>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10</w:t>
      </w:r>
      <w:r>
        <w:rPr>
          <w:rFonts w:hint="eastAsia" w:ascii="宋体" w:hAnsi="宋体" w:eastAsia="宋体"/>
          <w:b w:val="0"/>
          <w:color w:val="auto"/>
          <w:sz w:val="22"/>
          <w:szCs w:val="22"/>
          <w:highlight w:val="none"/>
          <w:lang w:eastAsia="zh-CN"/>
        </w:rPr>
        <w:t>）</w:t>
      </w:r>
      <w:r>
        <w:rPr>
          <w:rFonts w:hint="eastAsia" w:ascii="宋体" w:hAnsi="宋体" w:eastAsia="宋体"/>
          <w:b w:val="0"/>
          <w:color w:val="auto"/>
          <w:sz w:val="22"/>
          <w:szCs w:val="22"/>
          <w:highlight w:val="none"/>
        </w:rPr>
        <w:t>投标人提供虚假材料投标的；</w:t>
      </w:r>
    </w:p>
    <w:p>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11</w:t>
      </w:r>
      <w:r>
        <w:rPr>
          <w:rFonts w:hint="eastAsia" w:ascii="宋体" w:hAnsi="宋体" w:eastAsia="宋体"/>
          <w:b w:val="0"/>
          <w:color w:val="auto"/>
          <w:sz w:val="22"/>
          <w:szCs w:val="22"/>
          <w:highlight w:val="none"/>
          <w:lang w:eastAsia="zh-CN"/>
        </w:rPr>
        <w:t>）</w:t>
      </w:r>
      <w:r>
        <w:rPr>
          <w:rFonts w:hint="eastAsia" w:ascii="宋体" w:hAnsi="宋体" w:eastAsia="宋体"/>
          <w:b w:val="0"/>
          <w:color w:val="auto"/>
          <w:sz w:val="22"/>
          <w:szCs w:val="22"/>
          <w:highlight w:val="none"/>
        </w:rPr>
        <w:t>投标人有恶意串通、妨碍其他投标人的竞争行为、损害采购人或者其他投标人的合法权益情形的；</w:t>
      </w:r>
    </w:p>
    <w:p>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12</w:t>
      </w:r>
      <w:r>
        <w:rPr>
          <w:rFonts w:hint="eastAsia" w:ascii="宋体" w:hAnsi="宋体" w:eastAsia="宋体"/>
          <w:b w:val="0"/>
          <w:color w:val="auto"/>
          <w:sz w:val="22"/>
          <w:szCs w:val="22"/>
          <w:highlight w:val="none"/>
          <w:lang w:eastAsia="zh-CN"/>
        </w:rPr>
        <w:t>）</w:t>
      </w:r>
      <w:r>
        <w:rPr>
          <w:rFonts w:hint="eastAsia" w:ascii="宋体" w:hAnsi="宋体" w:eastAsia="宋体"/>
          <w:b w:val="0"/>
          <w:color w:val="auto"/>
          <w:sz w:val="22"/>
          <w:szCs w:val="22"/>
          <w:highlight w:val="none"/>
        </w:rPr>
        <w:t>投标人仅提交备份投标文件，未在电子交易平台传输递交投标文件的，投标无效；</w:t>
      </w:r>
    </w:p>
    <w:p>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13</w:t>
      </w:r>
      <w:r>
        <w:rPr>
          <w:rFonts w:hint="eastAsia" w:ascii="宋体" w:hAnsi="宋体" w:eastAsia="宋体"/>
          <w:b w:val="0"/>
          <w:color w:val="auto"/>
          <w:sz w:val="22"/>
          <w:szCs w:val="22"/>
          <w:highlight w:val="none"/>
          <w:lang w:eastAsia="zh-CN"/>
        </w:rPr>
        <w:t>）</w:t>
      </w:r>
      <w:r>
        <w:rPr>
          <w:rFonts w:hint="eastAsia" w:ascii="宋体" w:hAnsi="宋体" w:eastAsia="宋体"/>
          <w:b w:val="0"/>
          <w:color w:val="auto"/>
          <w:sz w:val="22"/>
          <w:szCs w:val="22"/>
          <w:highlight w:val="none"/>
        </w:rPr>
        <w:t xml:space="preserve"> 投标文件不满足招标文件的其它实质性要求的；</w:t>
      </w:r>
    </w:p>
    <w:p>
      <w:pPr>
        <w:spacing w:line="460" w:lineRule="atLeast"/>
        <w:ind w:firstLine="440"/>
        <w:rPr>
          <w:rFonts w:hint="default" w:ascii="宋体" w:hAnsi="宋体" w:eastAsia="宋体"/>
          <w:b/>
          <w:bCs/>
          <w:color w:val="auto"/>
          <w:sz w:val="22"/>
          <w:szCs w:val="22"/>
          <w:highlight w:val="none"/>
          <w:lang w:val="en-US" w:eastAsia="zh-CN"/>
        </w:rPr>
      </w:pPr>
      <w:r>
        <w:rPr>
          <w:rFonts w:hint="eastAsia" w:ascii="宋体" w:hAnsi="宋体" w:eastAsia="宋体"/>
          <w:b/>
          <w:bCs/>
          <w:color w:val="auto"/>
          <w:sz w:val="22"/>
          <w:szCs w:val="22"/>
          <w:highlight w:val="none"/>
          <w:lang w:val="en-US" w:eastAsia="zh-CN"/>
        </w:rPr>
        <w:t>14） 不同供应商的电子投标（响应）文件上传的IP地址、MAC地址、硬盘序列号等硬件信息相同且无法合理解释的；不同供应商的电子投标（响应）文件上传时的手机号信息相同且无法合理解释的；</w:t>
      </w:r>
    </w:p>
    <w:p>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1</w:t>
      </w:r>
      <w:r>
        <w:rPr>
          <w:rFonts w:hint="eastAsia" w:ascii="宋体" w:hAnsi="宋体" w:eastAsia="宋体"/>
          <w:b w:val="0"/>
          <w:color w:val="auto"/>
          <w:sz w:val="22"/>
          <w:szCs w:val="22"/>
          <w:highlight w:val="none"/>
          <w:lang w:val="en-US" w:eastAsia="zh-CN"/>
        </w:rPr>
        <w:t>5）</w:t>
      </w:r>
      <w:r>
        <w:rPr>
          <w:rFonts w:hint="eastAsia" w:ascii="宋体" w:hAnsi="宋体" w:eastAsia="宋体"/>
          <w:b w:val="0"/>
          <w:color w:val="auto"/>
          <w:sz w:val="22"/>
          <w:szCs w:val="22"/>
          <w:highlight w:val="none"/>
        </w:rPr>
        <w:t>法律、法规、规章（适用本市的）及省级以上规范性文件（适用本市的）规定的其他无效情形。</w:t>
      </w:r>
    </w:p>
    <w:p>
      <w:pPr>
        <w:pStyle w:val="25"/>
        <w:snapToGrid w:val="0"/>
        <w:spacing w:line="460" w:lineRule="atLeast"/>
        <w:ind w:firstLine="435" w:firstLineChars="197"/>
        <w:rPr>
          <w:rFonts w:hint="eastAsia" w:hAnsi="宋体" w:cs="宋体"/>
          <w:b/>
          <w:color w:val="auto"/>
          <w:sz w:val="22"/>
          <w:szCs w:val="22"/>
          <w:highlight w:val="none"/>
        </w:rPr>
      </w:pPr>
      <w:r>
        <w:rPr>
          <w:rFonts w:hint="eastAsia" w:hAnsi="宋体" w:cs="宋体"/>
          <w:b/>
          <w:color w:val="auto"/>
          <w:sz w:val="22"/>
          <w:szCs w:val="22"/>
          <w:highlight w:val="none"/>
        </w:rPr>
        <w:t>5.4 ▲</w:t>
      </w:r>
      <w:r>
        <w:rPr>
          <w:rFonts w:hint="eastAsia" w:hAnsi="宋体" w:cs="宋体"/>
          <w:b/>
          <w:color w:val="auto"/>
          <w:sz w:val="22"/>
          <w:szCs w:val="22"/>
          <w:highlight w:val="none"/>
          <w:u w:val="single"/>
        </w:rPr>
        <w:t>评标委员会发现投标文件有下列情形之一的属于重大偏差（评标委员会按少数服从多数原则认定）,按照无效投标处理：</w:t>
      </w:r>
    </w:p>
    <w:p>
      <w:pPr>
        <w:pStyle w:val="25"/>
        <w:snapToGrid w:val="0"/>
        <w:spacing w:line="460" w:lineRule="atLeast"/>
        <w:ind w:firstLine="435" w:firstLineChars="197"/>
        <w:rPr>
          <w:rFonts w:hint="eastAsia" w:hAnsi="宋体" w:cs="宋体"/>
          <w:b/>
          <w:color w:val="auto"/>
          <w:sz w:val="22"/>
          <w:szCs w:val="22"/>
          <w:highlight w:val="none"/>
        </w:rPr>
      </w:pPr>
      <w:r>
        <w:rPr>
          <w:rFonts w:hint="eastAsia" w:hAnsi="宋体" w:cs="宋体"/>
          <w:b/>
          <w:color w:val="auto"/>
          <w:sz w:val="22"/>
          <w:szCs w:val="22"/>
          <w:highlight w:val="none"/>
        </w:rPr>
        <w:t>1）未按招标文件要求编制或字迹模糊、辨认不清的投标文件；</w:t>
      </w:r>
    </w:p>
    <w:p>
      <w:pPr>
        <w:pStyle w:val="25"/>
        <w:snapToGrid w:val="0"/>
        <w:spacing w:line="460" w:lineRule="atLeast"/>
        <w:ind w:firstLine="435" w:firstLineChars="197"/>
        <w:rPr>
          <w:rFonts w:hint="eastAsia" w:hAnsi="宋体" w:cs="宋体"/>
          <w:b/>
          <w:color w:val="auto"/>
          <w:sz w:val="22"/>
          <w:szCs w:val="22"/>
          <w:highlight w:val="none"/>
        </w:rPr>
      </w:pPr>
      <w:r>
        <w:rPr>
          <w:rFonts w:hint="eastAsia" w:hAnsi="宋体" w:cs="宋体"/>
          <w:b/>
          <w:color w:val="auto"/>
          <w:sz w:val="22"/>
          <w:szCs w:val="22"/>
          <w:highlight w:val="none"/>
        </w:rPr>
        <w:t>2）供应商技术资信投标文件中出现投标报价；</w:t>
      </w:r>
    </w:p>
    <w:p>
      <w:pPr>
        <w:pStyle w:val="25"/>
        <w:snapToGrid w:val="0"/>
        <w:spacing w:line="460" w:lineRule="atLeast"/>
        <w:ind w:firstLine="435" w:firstLineChars="197"/>
        <w:rPr>
          <w:rFonts w:hint="eastAsia" w:hAnsi="宋体" w:cs="宋体"/>
          <w:b/>
          <w:color w:val="auto"/>
          <w:sz w:val="22"/>
          <w:szCs w:val="22"/>
          <w:highlight w:val="none"/>
        </w:rPr>
      </w:pPr>
      <w:r>
        <w:rPr>
          <w:rFonts w:hint="eastAsia" w:hAnsi="宋体" w:cs="宋体"/>
          <w:b/>
          <w:color w:val="auto"/>
          <w:sz w:val="22"/>
          <w:szCs w:val="22"/>
          <w:highlight w:val="none"/>
        </w:rPr>
        <w:t>3）除5.3条款以外,出现其它明显不符合技术规格、技术标准的要求或不满足招标文件技术规格书中的主要参数的投标文件；</w:t>
      </w:r>
    </w:p>
    <w:p>
      <w:pPr>
        <w:pStyle w:val="25"/>
        <w:snapToGrid w:val="0"/>
        <w:spacing w:line="460" w:lineRule="atLeast"/>
        <w:ind w:firstLine="435" w:firstLineChars="197"/>
        <w:rPr>
          <w:rFonts w:hint="eastAsia" w:hAnsi="宋体" w:cs="宋体"/>
          <w:b/>
          <w:color w:val="auto"/>
          <w:sz w:val="22"/>
          <w:szCs w:val="22"/>
          <w:highlight w:val="none"/>
        </w:rPr>
      </w:pPr>
      <w:r>
        <w:rPr>
          <w:rFonts w:hint="eastAsia" w:hAnsi="宋体" w:cs="宋体"/>
          <w:b/>
          <w:color w:val="auto"/>
          <w:sz w:val="22"/>
          <w:szCs w:val="22"/>
          <w:highlight w:val="none"/>
        </w:rPr>
        <w:t>4）除5.3条款以外,出现投标服务内容与招标文件对比出现较大偏差；商务报价明细表计算错误,出现较大差错；</w:t>
      </w:r>
    </w:p>
    <w:p>
      <w:pPr>
        <w:pStyle w:val="25"/>
        <w:snapToGrid w:val="0"/>
        <w:spacing w:line="460" w:lineRule="atLeast"/>
        <w:ind w:firstLine="435" w:firstLineChars="197"/>
        <w:rPr>
          <w:rFonts w:hint="eastAsia" w:hAnsi="宋体" w:cs="宋体"/>
          <w:b/>
          <w:color w:val="auto"/>
          <w:sz w:val="22"/>
          <w:szCs w:val="22"/>
          <w:highlight w:val="none"/>
        </w:rPr>
      </w:pPr>
      <w:r>
        <w:rPr>
          <w:rFonts w:hint="eastAsia" w:hAnsi="宋体" w:cs="宋体"/>
          <w:b/>
          <w:color w:val="auto"/>
          <w:sz w:val="22"/>
          <w:szCs w:val="22"/>
          <w:highlight w:val="none"/>
        </w:rPr>
        <w:t>5）除5.3条款以外,出现其他不符合招标文件中规定的实质性要求的投标文件,是否为偏离实质性要求由评标委员会认定。</w:t>
      </w:r>
    </w:p>
    <w:p>
      <w:pPr>
        <w:pStyle w:val="25"/>
        <w:snapToGrid w:val="0"/>
        <w:spacing w:line="460" w:lineRule="atLeast"/>
        <w:ind w:firstLine="435" w:firstLineChars="197"/>
        <w:rPr>
          <w:rFonts w:hint="eastAsia" w:hAnsi="宋体" w:cs="宋体"/>
          <w:b/>
          <w:color w:val="auto"/>
          <w:sz w:val="22"/>
          <w:szCs w:val="22"/>
          <w:highlight w:val="none"/>
        </w:rPr>
      </w:pPr>
      <w:r>
        <w:rPr>
          <w:rFonts w:hint="eastAsia" w:hAnsi="宋体" w:cs="宋体"/>
          <w:b/>
          <w:color w:val="auto"/>
          <w:sz w:val="22"/>
          <w:szCs w:val="22"/>
          <w:highlight w:val="none"/>
        </w:rPr>
        <w:t>5.5 开启供应商商务报价文件后发现价格、数量有误,其投标价将按下述原则处理：</w:t>
      </w:r>
    </w:p>
    <w:p>
      <w:pPr>
        <w:adjustRightInd w:val="0"/>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1) 任何有漏去一些小项货物或服务的投标将被视为其费用已包含在投标总价中,投标价格不予调整。如果供应商不接受上述处理方式,将作为无效投标。</w:t>
      </w:r>
    </w:p>
    <w:p>
      <w:pPr>
        <w:adjustRightInd w:val="0"/>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2) 任何有多报一些小项工程或服务的投标其投标价不予调整,如果该供应商中标,则合同价格必须为核减掉多报的一些小项工程或服务后的价格。如果供应商不接受上述处理方式,将作为无效投标。</w:t>
      </w:r>
    </w:p>
    <w:p>
      <w:pPr>
        <w:adjustRightInd w:val="0"/>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3）对于计算错误的其投标价不予调整,如果该供应商中标,如其投标价格计算错误导致多报者合同价格予以据实核减,少报者合同价格不予调整。如果供应商不接受上述处理方式,将作为无效投标。</w:t>
      </w:r>
    </w:p>
    <w:p>
      <w:pPr>
        <w:adjustRightInd w:val="0"/>
        <w:snapToGrid w:val="0"/>
        <w:spacing w:line="460" w:lineRule="atLeast"/>
        <w:ind w:firstLine="433" w:firstLineChars="197"/>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4）对于计算错误,多报或漏报的一些小项工程或服务的仅仅为非实质性重大偏差范围内的偏离,并经过评标委员会按少数服从多数原则认定为细微偏差,评审时其投标价不予调整。</w:t>
      </w:r>
      <w:r>
        <w:rPr>
          <w:rFonts w:hint="eastAsia" w:ascii="宋体" w:hAnsi="宋体" w:cs="宋体"/>
          <w:b/>
          <w:color w:val="auto"/>
          <w:sz w:val="22"/>
          <w:szCs w:val="22"/>
          <w:highlight w:val="none"/>
          <w:u w:val="single"/>
        </w:rPr>
        <w:t>如认定为重大偏差的,作无效投标处理。</w:t>
      </w:r>
    </w:p>
    <w:p>
      <w:pPr>
        <w:adjustRightInd w:val="0"/>
        <w:snapToGrid w:val="0"/>
        <w:spacing w:line="460" w:lineRule="atLeast"/>
        <w:ind w:firstLine="435" w:firstLineChars="197"/>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single"/>
        </w:rPr>
        <w:t>5.6</w:t>
      </w:r>
      <w:r>
        <w:rPr>
          <w:rFonts w:hint="eastAsia" w:ascii="宋体" w:hAnsi="宋体" w:eastAsia="宋体" w:cs="宋体"/>
          <w:b/>
          <w:bCs/>
          <w:color w:val="auto"/>
          <w:sz w:val="22"/>
          <w:szCs w:val="22"/>
          <w:highlight w:val="none"/>
          <w:u w:val="single"/>
        </w:rPr>
        <w:t>★</w:t>
      </w:r>
      <w:r>
        <w:rPr>
          <w:rFonts w:hint="eastAsia" w:ascii="宋体" w:hAnsi="宋体" w:cs="宋体"/>
          <w:b/>
          <w:color w:val="auto"/>
          <w:sz w:val="22"/>
          <w:szCs w:val="22"/>
          <w:highlight w:val="none"/>
          <w:u w:val="single"/>
        </w:rPr>
        <w:t>评标委员会认为投标供应商的报价明显低于其他通过符合性审查投标供应商的报价,有可能影响产品质量或者不能诚信履约的,将要求其在合理时间内在“政采云平台”上作出在线澄清并提供书面说明,必要时提交相关证明材料；投标供应商不能证明其报价合理性的,评标委员会应当将其作为无效投标处理。</w:t>
      </w:r>
    </w:p>
    <w:p>
      <w:pPr>
        <w:adjustRightInd w:val="0"/>
        <w:snapToGrid w:val="0"/>
        <w:spacing w:line="460" w:lineRule="atLeast"/>
        <w:ind w:firstLine="435" w:firstLineChars="197"/>
        <w:rPr>
          <w:rFonts w:hint="eastAsia" w:ascii="宋体" w:hAnsi="宋体" w:cs="宋体"/>
          <w:b/>
          <w:color w:val="auto"/>
          <w:sz w:val="22"/>
          <w:szCs w:val="22"/>
          <w:highlight w:val="none"/>
        </w:rPr>
      </w:pPr>
      <w:r>
        <w:rPr>
          <w:rFonts w:hint="eastAsia" w:ascii="宋体" w:hAnsi="宋体" w:cs="宋体"/>
          <w:b/>
          <w:color w:val="auto"/>
          <w:sz w:val="22"/>
          <w:szCs w:val="22"/>
          <w:highlight w:val="none"/>
          <w:u w:val="single"/>
        </w:rPr>
        <w:t>5.7如果投标供应商代表拒绝按评标委员会要求在“政采云平台”作出在线回复且无其他有效回复方式的,评标委员会可以对其作出否决投标处理。</w:t>
      </w:r>
    </w:p>
    <w:p>
      <w:pPr>
        <w:pStyle w:val="25"/>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5.8 经澄清后,若偏差仍存在,且不可接受,则投标文件将被认定为“没有实质性响应招标文件要求”,按无效投标处理,不再进入下一步评审。评标委员会在评标中,不得改变招标文件中规定的评标标准、方法和中标条件。</w:t>
      </w:r>
    </w:p>
    <w:p>
      <w:pPr>
        <w:pStyle w:val="25"/>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5.9 评标时如遇到招标文件未规定的特殊情况,由评标委员会按少数服从多数原则集体决定处理。</w:t>
      </w:r>
    </w:p>
    <w:p>
      <w:pPr>
        <w:pStyle w:val="25"/>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6、投标文件的澄清</w:t>
      </w:r>
    </w:p>
    <w:p>
      <w:pPr>
        <w:adjustRightInd w:val="0"/>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6.1 </w:t>
      </w:r>
      <w:r>
        <w:rPr>
          <w:rFonts w:hint="eastAsia" w:ascii="宋体" w:hAnsi="宋体" w:cs="宋体"/>
          <w:b/>
          <w:bCs/>
          <w:color w:val="auto"/>
          <w:sz w:val="22"/>
          <w:szCs w:val="22"/>
          <w:highlight w:val="none"/>
        </w:rPr>
        <w:t>为有助于投标文件的审查、评价和比较,评标小组可以在“政采云平台”在线询标或其他有效形式要求投标供应商对同一份投标文件含义不明确或同类问题表述不一致的内容（招标文件其它地方有规定处理方法的除外）作必要的澄清或说明,投标供应商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r>
        <w:rPr>
          <w:rFonts w:hint="eastAsia" w:ascii="宋体" w:hAnsi="宋体" w:cs="宋体"/>
          <w:color w:val="auto"/>
          <w:sz w:val="22"/>
          <w:szCs w:val="22"/>
          <w:highlight w:val="none"/>
        </w:rPr>
        <w:t>。</w:t>
      </w:r>
    </w:p>
    <w:p>
      <w:pPr>
        <w:adjustRightInd w:val="0"/>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6.2 若投标文件中所提交的证书、证明等材料若出现已过有效期、时间或其他主要信息不明确,且投标供应商书面澄清（书面澄清仅限在投标文件递交截止时间前所提交投标文件及相关材料中未被评标委员会审查的内容）亦不明确的,评审过程中将不予认可,不再寻求外部证据（外部证据包括投标供应商在澄清过程中申请补交的证明材料或网络查询结果等非投标文件本身内容）。</w:t>
      </w:r>
    </w:p>
    <w:p>
      <w:pPr>
        <w:adjustRightInd w:val="0"/>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6.3 供应商对投标文件的澄清不得寻求、提供或允许改变投标价格等实质性内容。 </w:t>
      </w:r>
    </w:p>
    <w:p>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7、禁止供应商相互串通投标。</w:t>
      </w:r>
    </w:p>
    <w:p>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7.1、有下列情形之一的,视为供应商相互串通投标：</w:t>
      </w:r>
    </w:p>
    <w:p>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（一）不同供应商的投标文件由同一单位或者个人编制；</w:t>
      </w:r>
    </w:p>
    <w:p>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（二）不同供应商委托同一单位或者个人办理投标事宜；</w:t>
      </w:r>
    </w:p>
    <w:p>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（三）不同供应商的投标文件载明的项目管理成员为同一人；</w:t>
      </w:r>
    </w:p>
    <w:p>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（四）不同供应商的投标文件异常一致或者投标报价呈规律性差异；</w:t>
      </w:r>
    </w:p>
    <w:p>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（五）不同供应商的投标文件相互混装；</w:t>
      </w:r>
    </w:p>
    <w:p>
      <w:pPr>
        <w:adjustRightInd w:val="0"/>
        <w:snapToGrid w:val="0"/>
        <w:spacing w:line="460" w:lineRule="atLeast"/>
        <w:ind w:left="414" w:leftChars="197"/>
        <w:rPr>
          <w:rFonts w:hint="eastAsia" w:ascii="宋体" w:hAnsi="宋体" w:cs="宋体"/>
          <w:b/>
          <w:color w:val="auto"/>
          <w:sz w:val="22"/>
          <w:szCs w:val="22"/>
          <w:highlight w:val="none"/>
        </w:rPr>
      </w:pPr>
      <w:r>
        <w:rPr>
          <w:rFonts w:hint="eastAsia" w:ascii="宋体" w:hAnsi="宋体" w:cs="宋体"/>
          <w:b/>
          <w:color w:val="auto"/>
          <w:sz w:val="22"/>
          <w:szCs w:val="22"/>
          <w:highlight w:val="none"/>
        </w:rPr>
        <w:t>7.2、经评标委员会认定供应商进行串通投标的,评标委员会可以对相关供应商做出无效投标处理,并上报政府采购管理部门进行进一步处理。</w:t>
      </w:r>
    </w:p>
    <w:p>
      <w:pPr>
        <w:pStyle w:val="25"/>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8、评标原则</w:t>
      </w:r>
    </w:p>
    <w:p>
      <w:pPr>
        <w:pStyle w:val="25"/>
        <w:snapToGrid w:val="0"/>
        <w:spacing w:line="460" w:lineRule="atLeast"/>
        <w:ind w:firstLine="435" w:firstLineChars="197"/>
        <w:rPr>
          <w:rFonts w:hint="eastAsia" w:hAnsi="宋体" w:cs="宋体"/>
          <w:b/>
          <w:color w:val="auto"/>
          <w:sz w:val="22"/>
          <w:szCs w:val="22"/>
          <w:highlight w:val="none"/>
        </w:rPr>
      </w:pPr>
      <w:r>
        <w:rPr>
          <w:rFonts w:hint="eastAsia" w:hAnsi="宋体" w:cs="宋体"/>
          <w:b/>
          <w:color w:val="auto"/>
          <w:sz w:val="22"/>
          <w:szCs w:val="22"/>
          <w:highlight w:val="none"/>
        </w:rPr>
        <w:t>8.1 ▲</w:t>
      </w:r>
      <w:r>
        <w:rPr>
          <w:rFonts w:hint="eastAsia" w:hAnsi="宋体" w:cs="宋体"/>
          <w:b/>
          <w:color w:val="auto"/>
          <w:sz w:val="22"/>
          <w:szCs w:val="22"/>
          <w:highlight w:val="none"/>
          <w:u w:val="single"/>
        </w:rPr>
        <w:t>投标截止时或评审过程中有效投标供应商不足三家的,不予开标或评标。</w:t>
      </w:r>
    </w:p>
    <w:p>
      <w:pPr>
        <w:pStyle w:val="25"/>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9、确定中标候选人</w:t>
      </w:r>
    </w:p>
    <w:p>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9.1本次招标由评标委员会推荐中标候选人,采购人根据评标委员会的推荐结果进行最终确认。</w:t>
      </w:r>
    </w:p>
    <w:p>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9.2评标委员会依据法律法规及招标文件有关规定在有效标中按投标供应商的最终得分（即技术分与商务分之和）高低进行排序,得分前二名的投标供应商推荐为第一中标候选人与第二中标候选人（得分相同投标报价低的排序第一；得分且投标报价相同的,由评标委员会成员抽签决定排序）。</w:t>
      </w:r>
    </w:p>
    <w:p>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9.3若出现以下情形之一,采购人可视具体情况确定是否由下一候选人为</w:t>
      </w:r>
      <w:r>
        <w:rPr>
          <w:rFonts w:hint="eastAsia" w:ascii="宋体" w:hAnsi="宋体" w:cs="宋体"/>
          <w:color w:val="auto"/>
          <w:sz w:val="22"/>
          <w:szCs w:val="22"/>
          <w:highlight w:val="none"/>
          <w:lang w:eastAsia="zh-CN"/>
        </w:rPr>
        <w:t>中标供应商</w:t>
      </w:r>
      <w:r>
        <w:rPr>
          <w:rFonts w:hint="eastAsia" w:ascii="宋体" w:hAnsi="宋体" w:cs="宋体"/>
          <w:color w:val="auto"/>
          <w:sz w:val="22"/>
          <w:szCs w:val="22"/>
          <w:highlight w:val="none"/>
        </w:rPr>
        <w:t>或重新组织招标：</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1）中标候选人放弃中标资格；</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2）中标候选人因不可抗力提出不能履行合同；</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3）中标候选人未能在规定时间内与采购单位签订合同；</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4）经质疑,采购人审查后,中标候选人确实在本次采购活动中存在违法违规行为或其他原因使质疑成立的。</w:t>
      </w:r>
    </w:p>
    <w:p>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9.4采购人、采购代理机构及评标委员会对未中标的供应商不作解释。</w:t>
      </w:r>
    </w:p>
    <w:p>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10、评标细则详见“评标原则及方法”。</w:t>
      </w:r>
    </w:p>
    <w:p>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11、 可中止电子交易活动的情形</w:t>
      </w:r>
    </w:p>
    <w:p>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11.1采购过程中出现以下情形,导致电子交易平台无法正常运行,或者无法保证电子交易的公平、公正和安全时,采购组织机构可中止电子交易活动：</w:t>
      </w:r>
    </w:p>
    <w:p>
      <w:pPr>
        <w:numPr>
          <w:ilvl w:val="2"/>
          <w:numId w:val="3"/>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电子交易平台发生故障而无法登录访问的；</w:t>
      </w:r>
    </w:p>
    <w:p>
      <w:pPr>
        <w:numPr>
          <w:ilvl w:val="2"/>
          <w:numId w:val="3"/>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电子交易平台应用或数据库出现错误,不能进行正常操作的；</w:t>
      </w:r>
    </w:p>
    <w:p>
      <w:pPr>
        <w:numPr>
          <w:ilvl w:val="2"/>
          <w:numId w:val="3"/>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电子交易平台发现严重安全漏洞,有潜在泄密危险的；</w:t>
      </w:r>
    </w:p>
    <w:p>
      <w:pPr>
        <w:numPr>
          <w:ilvl w:val="2"/>
          <w:numId w:val="3"/>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病毒发作导致不能进行正常操作的；</w:t>
      </w:r>
    </w:p>
    <w:p>
      <w:pPr>
        <w:numPr>
          <w:ilvl w:val="2"/>
          <w:numId w:val="3"/>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其他无法保证电子交易的公平、公正和安全的情况。</w:t>
      </w:r>
    </w:p>
    <w:p>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11.2出现前款规定情形,不影响采购公平、公正性的,采购组织机构可以待上述情形消除后继续组织电子交易活动；影响或可能影响采购公平、公正性的,应当重新采购。</w:t>
      </w:r>
    </w:p>
    <w:p>
      <w:pPr>
        <w:autoSpaceDE w:val="0"/>
        <w:autoSpaceDN w:val="0"/>
        <w:adjustRightInd w:val="0"/>
        <w:snapToGrid w:val="0"/>
        <w:spacing w:line="440" w:lineRule="exact"/>
        <w:ind w:firstLine="422" w:firstLineChars="150"/>
        <w:jc w:val="center"/>
        <w:textAlignment w:val="bottom"/>
        <w:outlineLvl w:val="1"/>
        <w:rPr>
          <w:rFonts w:hint="eastAsia" w:ascii="宋体" w:hAnsi="宋体" w:cs="宋体"/>
          <w:b/>
          <w:bCs/>
          <w:color w:val="auto"/>
          <w:sz w:val="28"/>
          <w:szCs w:val="28"/>
          <w:highlight w:val="none"/>
        </w:rPr>
      </w:pPr>
      <w:bookmarkStart w:id="88" w:name="_Toc17810"/>
      <w:bookmarkStart w:id="89" w:name="_Toc496116255"/>
      <w:r>
        <w:rPr>
          <w:rFonts w:hint="eastAsia" w:ascii="宋体" w:hAnsi="宋体" w:cs="宋体"/>
          <w:b/>
          <w:bCs/>
          <w:color w:val="auto"/>
          <w:sz w:val="28"/>
          <w:szCs w:val="28"/>
          <w:highlight w:val="none"/>
        </w:rPr>
        <w:t>七、授予合同</w:t>
      </w:r>
      <w:bookmarkEnd w:id="88"/>
      <w:bookmarkEnd w:id="89"/>
    </w:p>
    <w:p>
      <w:pPr>
        <w:pStyle w:val="25"/>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1、决标</w:t>
      </w:r>
    </w:p>
    <w:p>
      <w:pPr>
        <w:pStyle w:val="25"/>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1.1、评标结束后,评标委员会按照招标文件确定的评标办法推荐中标供应商。</w:t>
      </w:r>
    </w:p>
    <w:p>
      <w:pPr>
        <w:pStyle w:val="25"/>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2、中标通知书</w:t>
      </w:r>
    </w:p>
    <w:p>
      <w:pPr>
        <w:spacing w:line="460" w:lineRule="atLeast"/>
        <w:ind w:firstLine="435" w:firstLineChars="197"/>
        <w:rPr>
          <w:rFonts w:hint="eastAsia" w:ascii="宋体" w:hAnsi="宋体" w:cs="宋体"/>
          <w:b/>
          <w:color w:val="auto"/>
          <w:sz w:val="22"/>
          <w:szCs w:val="22"/>
          <w:highlight w:val="none"/>
        </w:rPr>
      </w:pPr>
      <w:r>
        <w:rPr>
          <w:rFonts w:hint="eastAsia" w:ascii="宋体" w:hAnsi="宋体" w:cs="宋体"/>
          <w:b/>
          <w:color w:val="auto"/>
          <w:sz w:val="22"/>
          <w:szCs w:val="22"/>
          <w:highlight w:val="none"/>
        </w:rPr>
        <w:t>2.1、采购人依法确认中标供应商后,代理机构在浙江省政府采购网上公告中标结果,公告期限为1个工作日。同时向中标供应商发出中标通知书。</w:t>
      </w:r>
    </w:p>
    <w:p>
      <w:pPr>
        <w:adjustRightInd w:val="0"/>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2.2、中标通知书对采购人和</w:t>
      </w:r>
      <w:r>
        <w:rPr>
          <w:rFonts w:hint="eastAsia" w:ascii="宋体" w:hAnsi="宋体" w:cs="宋体"/>
          <w:color w:val="auto"/>
          <w:sz w:val="22"/>
          <w:szCs w:val="22"/>
          <w:highlight w:val="none"/>
          <w:lang w:eastAsia="zh-CN"/>
        </w:rPr>
        <w:t>中标供应商</w:t>
      </w:r>
      <w:r>
        <w:rPr>
          <w:rFonts w:hint="eastAsia" w:ascii="宋体" w:hAnsi="宋体" w:cs="宋体"/>
          <w:color w:val="auto"/>
          <w:sz w:val="22"/>
          <w:szCs w:val="22"/>
          <w:highlight w:val="none"/>
        </w:rPr>
        <w:t>具有法律约束力。中标通知书发出后,采购人改变中标结果或者</w:t>
      </w:r>
      <w:r>
        <w:rPr>
          <w:rFonts w:hint="eastAsia" w:ascii="宋体" w:hAnsi="宋体" w:cs="宋体"/>
          <w:color w:val="auto"/>
          <w:sz w:val="22"/>
          <w:szCs w:val="22"/>
          <w:highlight w:val="none"/>
          <w:lang w:eastAsia="zh-CN"/>
        </w:rPr>
        <w:t>中标供应商</w:t>
      </w:r>
      <w:r>
        <w:rPr>
          <w:rFonts w:hint="eastAsia" w:ascii="宋体" w:hAnsi="宋体" w:cs="宋体"/>
          <w:color w:val="auto"/>
          <w:sz w:val="22"/>
          <w:szCs w:val="22"/>
          <w:highlight w:val="none"/>
        </w:rPr>
        <w:t>放弃中标的,应当承担法律责任。</w:t>
      </w:r>
    </w:p>
    <w:p>
      <w:pPr>
        <w:adjustRightInd w:val="0"/>
        <w:snapToGrid w:val="0"/>
        <w:spacing w:line="460" w:lineRule="atLeast"/>
        <w:ind w:firstLine="435" w:firstLineChars="197"/>
        <w:rPr>
          <w:rFonts w:hint="eastAsia" w:ascii="宋体" w:hAnsi="宋体" w:cs="宋体"/>
          <w:b/>
          <w:color w:val="auto"/>
          <w:sz w:val="22"/>
          <w:szCs w:val="22"/>
          <w:highlight w:val="none"/>
        </w:rPr>
      </w:pPr>
      <w:r>
        <w:rPr>
          <w:rFonts w:hint="eastAsia" w:ascii="宋体" w:hAnsi="宋体" w:cs="宋体"/>
          <w:b/>
          <w:color w:val="auto"/>
          <w:sz w:val="22"/>
          <w:szCs w:val="22"/>
          <w:highlight w:val="none"/>
        </w:rPr>
        <w:t>2.3、中标无效</w:t>
      </w:r>
    </w:p>
    <w:p>
      <w:pPr>
        <w:adjustRightInd w:val="0"/>
        <w:snapToGrid w:val="0"/>
        <w:spacing w:line="460" w:lineRule="atLeast"/>
        <w:ind w:firstLine="433" w:firstLineChars="197"/>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1）发现中标供应商资格无效或中标供应商放弃中标或拒绝与采购人签订合同的,采购人可以按照评审报告推荐的中标候选人名单排序,确定下一候选人为中标供应商,也可以重新开展政府采购活动。</w:t>
      </w:r>
    </w:p>
    <w:p>
      <w:pPr>
        <w:adjustRightInd w:val="0"/>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2）有《中华人民共和国政府采购法实施条例》第七十一条、第七十二条、第七十三条、第七十四条规定的违法行为之一,由政府采购监管部门依法处理。</w:t>
      </w:r>
    </w:p>
    <w:p>
      <w:pPr>
        <w:adjustRightInd w:val="0"/>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4、签订合同</w:t>
      </w:r>
    </w:p>
    <w:p>
      <w:pPr>
        <w:pStyle w:val="25"/>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4.1 中标供应商须主动联系采购人或采购代理机构领取中标通知书。中标供应商应当在中标通知书发出之日起30日历天内与采购人签订合同。中标供应商未经采购人许可,在规定时间内未到采购人处与采购人签订合同,则视为拒签合同。</w:t>
      </w:r>
    </w:p>
    <w:p>
      <w:pPr>
        <w:adjustRightInd w:val="0"/>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4.2 招标文件、中标供应商的投标文件及投标修改文件、评标过程中有关澄清文件及经双方签字的询标纪要（承诺）和中标通知书均作为合同附件。</w:t>
      </w:r>
    </w:p>
    <w:p>
      <w:pPr>
        <w:adjustRightInd w:val="0"/>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4.3 拒签合同的责任</w:t>
      </w:r>
    </w:p>
    <w:p>
      <w:pPr>
        <w:pStyle w:val="25"/>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中标供应商在规定时间内（30日历天）借故否认已经承诺的条件、拒签合同或拒交履约保证金者,以投标违约处理,赔偿采购人由此造成的直接经济损失；采购人重新组织招标的,所需费用由原中标供应商承担。</w:t>
      </w:r>
    </w:p>
    <w:p>
      <w:pPr>
        <w:pStyle w:val="25"/>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4.4 采购人在授予合同时有权对采购的服务予以增加或减少,但不得对单价或其他的条款和条件做任何改变。</w:t>
      </w:r>
    </w:p>
    <w:p>
      <w:pPr>
        <w:pStyle w:val="25"/>
        <w:snapToGrid w:val="0"/>
        <w:spacing w:line="460" w:lineRule="atLeast"/>
        <w:ind w:firstLine="435" w:firstLineChars="197"/>
        <w:rPr>
          <w:rFonts w:hint="eastAsia" w:hAnsi="宋体" w:cs="宋体"/>
          <w:b/>
          <w:color w:val="auto"/>
          <w:sz w:val="22"/>
          <w:szCs w:val="22"/>
          <w:highlight w:val="none"/>
        </w:rPr>
      </w:pPr>
      <w:r>
        <w:rPr>
          <w:rFonts w:hint="eastAsia" w:hAnsi="宋体" w:cs="宋体"/>
          <w:b/>
          <w:color w:val="auto"/>
          <w:sz w:val="22"/>
          <w:szCs w:val="22"/>
          <w:highlight w:val="none"/>
        </w:rPr>
        <w:t>5、履约保证金</w:t>
      </w:r>
    </w:p>
    <w:p>
      <w:pPr>
        <w:autoSpaceDE w:val="0"/>
        <w:autoSpaceDN w:val="0"/>
        <w:adjustRightInd w:val="0"/>
        <w:snapToGrid w:val="0"/>
        <w:spacing w:line="460" w:lineRule="atLeast"/>
        <w:ind w:firstLine="433" w:firstLineChars="197"/>
        <w:textAlignment w:val="bottom"/>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lang w:eastAsia="zh-CN"/>
        </w:rPr>
        <w:t>无</w:t>
      </w:r>
    </w:p>
    <w:p>
      <w:pPr>
        <w:pStyle w:val="10"/>
        <w:ind w:firstLine="422"/>
        <w:rPr>
          <w:rFonts w:hint="eastAsia" w:ascii="宋体" w:eastAsia="宋体"/>
          <w:color w:val="auto"/>
          <w:highlight w:val="none"/>
        </w:rPr>
      </w:pPr>
      <w:r>
        <w:rPr>
          <w:rFonts w:hint="eastAsia" w:ascii="宋体" w:eastAsia="宋体"/>
          <w:color w:val="auto"/>
          <w:highlight w:val="none"/>
        </w:rPr>
        <w:t>6、</w:t>
      </w:r>
      <w:r>
        <w:rPr>
          <w:rFonts w:hint="eastAsia" w:ascii="宋体" w:eastAsia="宋体"/>
          <w:color w:val="auto"/>
          <w:sz w:val="22"/>
          <w:szCs w:val="22"/>
          <w:highlight w:val="none"/>
        </w:rPr>
        <w:t>招标代理服务费</w:t>
      </w:r>
    </w:p>
    <w:p>
      <w:pPr>
        <w:autoSpaceDE w:val="0"/>
        <w:autoSpaceDN w:val="0"/>
        <w:adjustRightInd w:val="0"/>
        <w:snapToGrid w:val="0"/>
        <w:spacing w:line="460" w:lineRule="atLeast"/>
        <w:ind w:firstLine="433" w:firstLineChars="197"/>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本次项目招标代理服务费</w:t>
      </w:r>
      <w:r>
        <w:rPr>
          <w:rFonts w:hint="eastAsia" w:ascii="宋体" w:cs="Arial"/>
          <w:color w:val="auto"/>
          <w:sz w:val="22"/>
          <w:szCs w:val="22"/>
          <w:highlight w:val="none"/>
        </w:rPr>
        <w:t>参照《关于印发招标代理服务收费管理暂行办法的通知(计价格[2002]1980号）文件（招标代理服务费）规定收费</w:t>
      </w:r>
      <w:r>
        <w:rPr>
          <w:rFonts w:hint="eastAsia" w:ascii="宋体" w:cs="Arial"/>
          <w:color w:val="auto"/>
          <w:sz w:val="22"/>
          <w:szCs w:val="22"/>
          <w:highlight w:val="none"/>
          <w:lang w:eastAsia="zh-CN"/>
        </w:rPr>
        <w:t>服务类</w:t>
      </w:r>
      <w:r>
        <w:rPr>
          <w:rFonts w:hint="eastAsia" w:ascii="宋体" w:cs="Arial"/>
          <w:color w:val="auto"/>
          <w:sz w:val="22"/>
          <w:szCs w:val="22"/>
          <w:highlight w:val="none"/>
        </w:rPr>
        <w:t>标准</w:t>
      </w:r>
      <w:r>
        <w:rPr>
          <w:rFonts w:hint="eastAsia" w:ascii="宋体" w:hAnsi="宋体" w:cs="宋体"/>
          <w:color w:val="auto"/>
          <w:sz w:val="22"/>
          <w:szCs w:val="22"/>
          <w:highlight w:val="none"/>
        </w:rPr>
        <w:t>收取。采购人不负责任何招标代理服务费用。招标代理服务费由</w:t>
      </w:r>
      <w:r>
        <w:rPr>
          <w:rFonts w:hint="eastAsia" w:ascii="宋体" w:hAnsi="宋体" w:cs="宋体"/>
          <w:color w:val="auto"/>
          <w:sz w:val="22"/>
          <w:szCs w:val="22"/>
          <w:highlight w:val="none"/>
          <w:lang w:eastAsia="zh-CN"/>
        </w:rPr>
        <w:t>中标供应商</w:t>
      </w:r>
      <w:r>
        <w:rPr>
          <w:rFonts w:hint="eastAsia" w:ascii="宋体" w:hAnsi="宋体" w:cs="宋体"/>
          <w:color w:val="auto"/>
          <w:sz w:val="22"/>
          <w:szCs w:val="22"/>
          <w:highlight w:val="none"/>
        </w:rPr>
        <w:t>支付,请报价人在报价时予以考虑。招标代理服务费汇入以下账户：</w:t>
      </w:r>
    </w:p>
    <w:p>
      <w:pPr>
        <w:autoSpaceDE w:val="0"/>
        <w:autoSpaceDN w:val="0"/>
        <w:adjustRightInd w:val="0"/>
        <w:snapToGrid w:val="0"/>
        <w:spacing w:line="460" w:lineRule="atLeast"/>
        <w:ind w:firstLine="433" w:firstLineChars="197"/>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开户银行：中国建设银行永嘉广场支行</w:t>
      </w:r>
    </w:p>
    <w:p>
      <w:pPr>
        <w:autoSpaceDE w:val="0"/>
        <w:autoSpaceDN w:val="0"/>
        <w:adjustRightInd w:val="0"/>
        <w:snapToGrid w:val="0"/>
        <w:spacing w:line="460" w:lineRule="atLeast"/>
        <w:ind w:firstLine="433" w:firstLineChars="197"/>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开户名称：温州市中概工程管理咨询有限公司</w:t>
      </w:r>
    </w:p>
    <w:p>
      <w:pPr>
        <w:autoSpaceDE w:val="0"/>
        <w:autoSpaceDN w:val="0"/>
        <w:adjustRightInd w:val="0"/>
        <w:snapToGrid w:val="0"/>
        <w:spacing w:line="460" w:lineRule="atLeast"/>
        <w:ind w:firstLine="433" w:firstLineChars="197"/>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开户账号：33050162766300000011</w:t>
      </w:r>
    </w:p>
    <w:p>
      <w:pPr>
        <w:autoSpaceDE w:val="0"/>
        <w:autoSpaceDN w:val="0"/>
        <w:adjustRightInd w:val="0"/>
        <w:snapToGrid w:val="0"/>
        <w:spacing w:line="460" w:lineRule="atLeast"/>
        <w:ind w:firstLine="433" w:firstLineChars="197"/>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招标代理服务费须在领取《中标通知书》前付清。</w:t>
      </w:r>
    </w:p>
    <w:p>
      <w:pPr>
        <w:spacing w:line="360" w:lineRule="auto"/>
        <w:ind w:left="480" w:hanging="480" w:hangingChars="200"/>
        <w:rPr>
          <w:rFonts w:hint="eastAsia" w:ascii="宋体" w:hAnsi="宋体" w:cs="宋体"/>
          <w:color w:val="auto"/>
          <w:sz w:val="24"/>
          <w:highlight w:val="none"/>
        </w:rPr>
      </w:pPr>
      <w:bookmarkStart w:id="90" w:name="_Toc293038718"/>
    </w:p>
    <w:bookmarkEnd w:id="90"/>
    <w:p>
      <w:pPr>
        <w:spacing w:line="360" w:lineRule="auto"/>
        <w:ind w:left="480" w:hanging="480" w:hangingChars="200"/>
        <w:rPr>
          <w:rFonts w:hint="eastAsia" w:ascii="宋体" w:hAnsi="宋体" w:cs="宋体"/>
          <w:color w:val="auto"/>
          <w:sz w:val="24"/>
          <w:highlight w:val="none"/>
        </w:rPr>
        <w:sectPr>
          <w:footerReference r:id="rId9" w:type="first"/>
          <w:footerReference r:id="rId8" w:type="default"/>
          <w:pgSz w:w="11906" w:h="16838"/>
          <w:pgMar w:top="1134" w:right="1134" w:bottom="1134" w:left="1134" w:header="851" w:footer="850" w:gutter="0"/>
          <w:cols w:space="720" w:num="1"/>
          <w:titlePg/>
          <w:docGrid w:type="lines" w:linePitch="312" w:charSpace="0"/>
        </w:sectPr>
      </w:pPr>
    </w:p>
    <w:p>
      <w:pPr>
        <w:pStyle w:val="42"/>
        <w:rPr>
          <w:rFonts w:hint="eastAsia" w:ascii="宋体" w:hAnsi="宋体" w:cs="宋体"/>
          <w:color w:val="auto"/>
          <w:sz w:val="30"/>
          <w:szCs w:val="30"/>
          <w:highlight w:val="none"/>
        </w:rPr>
      </w:pPr>
      <w:bookmarkStart w:id="91" w:name="_Toc30125"/>
      <w:bookmarkStart w:id="92" w:name="_Toc293038719"/>
      <w:bookmarkStart w:id="93" w:name="_Toc498343170"/>
      <w:r>
        <w:rPr>
          <w:rFonts w:hint="eastAsia" w:ascii="宋体" w:hAnsi="宋体" w:cs="宋体"/>
          <w:color w:val="auto"/>
          <w:sz w:val="30"/>
          <w:szCs w:val="30"/>
          <w:highlight w:val="none"/>
        </w:rPr>
        <w:t>第四部分  政府采购政策功能相关说明</w:t>
      </w:r>
      <w:bookmarkEnd w:id="91"/>
    </w:p>
    <w:p>
      <w:pPr>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一、小、微企业（含监狱企业、残疾人福利性单位）扶持政策说明</w:t>
      </w:r>
    </w:p>
    <w:p>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1、文件依据</w:t>
      </w:r>
    </w:p>
    <w:p>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（1）关于印发《政府采购促进中小企业发展管理办法》的通知（财库〔2020〕46号）</w:t>
      </w:r>
    </w:p>
    <w:p>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（2）浙江省财政厅《关于开展政府采购投标供应商网上注册登记和诚信管理工作的通知》（浙财采监〔2010〕8号）</w:t>
      </w:r>
    </w:p>
    <w:p>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（3）《工业和信息化部、国家统计局、国家发展和改革委员会、财政部关于印发中小企业划型标准规定的通知》（工信部联企业[2011]300号）</w:t>
      </w:r>
    </w:p>
    <w:p>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（4）财政部、司法部《关于政府采购支持监狱企业发展有关问题的通知》（财库〔2014〕68号）</w:t>
      </w:r>
    </w:p>
    <w:p>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（5）《财政部 民政部 中国残疾人联合会关于促进残疾人就业政府采购政策的通知》（财库〔2017〕 141号）</w:t>
      </w:r>
    </w:p>
    <w:p>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（6）《浙江省财政厅  浙江省经济和信息化委员会关于简化中小企业类别确认流程有关事项的通知》（浙财采监〔2018〕2号）</w:t>
      </w:r>
    </w:p>
    <w:p>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（7）《浙江省财政厅关于进一步发挥政府采购政策功能全力推动经济稳进提质的通知》（浙财采监〔2022〕3号）</w:t>
      </w:r>
    </w:p>
    <w:p>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（8）《浙江省财政厅关于进一步加大政府采购支持中小企业力度 助力扎实稳住经济的通知》（浙财采监〔2022〕8号）</w:t>
      </w:r>
    </w:p>
    <w:p>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2、本项目专门面向中小企业,投标供应商所投产品的制造商为中小企业（或小微企业）的,提供相应的中小企业声明函。</w:t>
      </w:r>
    </w:p>
    <w:p>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（1）在货物采购项目中,货物由中小企业制造,即货物由中小企业生产且使用该中小企业商号或者注册商标；</w:t>
      </w:r>
    </w:p>
    <w:p>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（2）在工程采购项目中,工程由中小企业承建,即工程施工单位为中小企业；</w:t>
      </w:r>
    </w:p>
    <w:p>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（3）在服务采购项目中,服务由中小企业承接,即提供服务的人员为中小企业依照《中华人民共和国劳动合同法》订立劳动合同的从业人员。</w:t>
      </w:r>
    </w:p>
    <w:p>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在货物采购项目中,供应商提供的货物既有中小企业制造货物,也有大型企业制造货物的,不享受本办法规定的中小企业扶持政策。</w:t>
      </w:r>
    </w:p>
    <w:p>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以联合体形式参加政府采购活动,联合体各方均为中小企业的,联合体视同中小企业。其中,联合体各方均为小微企业的,联合体视同小微企业。</w:t>
      </w:r>
    </w:p>
    <w:p>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u w:val="single"/>
        </w:rPr>
        <w:t>享受监狱企业提供以下证明材料</w:t>
      </w:r>
      <w:r>
        <w:rPr>
          <w:rFonts w:hint="eastAsia" w:ascii="宋体" w:hAnsi="宋体" w:cs="宋体"/>
          <w:color w:val="auto"/>
          <w:sz w:val="22"/>
          <w:szCs w:val="22"/>
          <w:highlight w:val="none"/>
        </w:rPr>
        <w:t>：</w:t>
      </w:r>
    </w:p>
    <w:p>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监狱企业参加政府采购活动时,应当提供由省级以上监狱管理局、戒毒管理局（含新疆生产建设兵团）出具的属于监狱企业的证明文件（原件或扫描件加盖公章）。在政府采购活动中,监狱企业视同小型、微型企业。</w:t>
      </w:r>
    </w:p>
    <w:p>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u w:val="single"/>
        </w:rPr>
        <w:t>享受残疾人福利性单位提供以下证明材料</w:t>
      </w:r>
      <w:r>
        <w:rPr>
          <w:rFonts w:hint="eastAsia" w:ascii="宋体" w:hAnsi="宋体" w:cs="宋体"/>
          <w:color w:val="auto"/>
          <w:sz w:val="22"/>
          <w:szCs w:val="22"/>
          <w:highlight w:val="none"/>
        </w:rPr>
        <w:t>：</w:t>
      </w:r>
    </w:p>
    <w:p>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（1）残疾人福利性单位声明函（附件2）；</w:t>
      </w:r>
    </w:p>
    <w:p>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或政策扶持。</w:t>
      </w:r>
    </w:p>
    <w:p>
      <w:pPr>
        <w:spacing w:line="440" w:lineRule="atLeast"/>
        <w:jc w:val="left"/>
        <w:rPr>
          <w:rFonts w:hint="eastAsia" w:ascii="宋体" w:hAnsi="宋体" w:cs="宋体"/>
          <w:b/>
          <w:bCs/>
          <w:color w:val="auto"/>
          <w:sz w:val="22"/>
          <w:szCs w:val="22"/>
          <w:highlight w:val="none"/>
        </w:rPr>
      </w:pPr>
    </w:p>
    <w:p>
      <w:pPr>
        <w:spacing w:line="440" w:lineRule="atLeast"/>
        <w:jc w:val="left"/>
        <w:rPr>
          <w:rFonts w:hint="eastAsia" w:ascii="宋体" w:hAnsi="宋体" w:cs="宋体"/>
          <w:b/>
          <w:bCs/>
          <w:color w:val="auto"/>
          <w:sz w:val="22"/>
          <w:szCs w:val="22"/>
          <w:highlight w:val="none"/>
        </w:rPr>
      </w:pPr>
    </w:p>
    <w:p>
      <w:pPr>
        <w:spacing w:line="440" w:lineRule="atLeast"/>
        <w:jc w:val="left"/>
        <w:rPr>
          <w:rFonts w:hint="eastAsia" w:ascii="宋体" w:hAnsi="宋体" w:cs="宋体"/>
          <w:b/>
          <w:bCs/>
          <w:color w:val="auto"/>
          <w:sz w:val="22"/>
          <w:szCs w:val="22"/>
          <w:highlight w:val="none"/>
        </w:rPr>
      </w:pPr>
    </w:p>
    <w:p>
      <w:pPr>
        <w:spacing w:line="440" w:lineRule="atLeast"/>
        <w:jc w:val="left"/>
        <w:rPr>
          <w:rFonts w:hint="eastAsia" w:ascii="宋体" w:hAnsi="宋体" w:cs="宋体"/>
          <w:b/>
          <w:bCs/>
          <w:color w:val="auto"/>
          <w:sz w:val="22"/>
          <w:szCs w:val="22"/>
          <w:highlight w:val="none"/>
        </w:rPr>
      </w:pPr>
    </w:p>
    <w:p>
      <w:pPr>
        <w:spacing w:line="440" w:lineRule="atLeast"/>
        <w:jc w:val="left"/>
        <w:rPr>
          <w:rFonts w:hint="eastAsia" w:ascii="宋体" w:hAnsi="宋体" w:cs="宋体"/>
          <w:b/>
          <w:bCs/>
          <w:color w:val="auto"/>
          <w:sz w:val="22"/>
          <w:szCs w:val="22"/>
          <w:highlight w:val="none"/>
        </w:rPr>
      </w:pPr>
    </w:p>
    <w:p>
      <w:pPr>
        <w:spacing w:line="440" w:lineRule="atLeast"/>
        <w:jc w:val="left"/>
        <w:rPr>
          <w:rFonts w:hint="eastAsia" w:ascii="宋体" w:hAnsi="宋体" w:cs="宋体"/>
          <w:b/>
          <w:bCs/>
          <w:color w:val="auto"/>
          <w:sz w:val="22"/>
          <w:szCs w:val="22"/>
          <w:highlight w:val="none"/>
        </w:rPr>
      </w:pPr>
    </w:p>
    <w:p>
      <w:pPr>
        <w:spacing w:line="440" w:lineRule="atLeast"/>
        <w:jc w:val="left"/>
        <w:rPr>
          <w:rFonts w:hint="eastAsia" w:ascii="宋体" w:hAnsi="宋体" w:cs="宋体"/>
          <w:b/>
          <w:bCs/>
          <w:color w:val="auto"/>
          <w:sz w:val="22"/>
          <w:szCs w:val="22"/>
          <w:highlight w:val="none"/>
        </w:rPr>
      </w:pPr>
    </w:p>
    <w:p>
      <w:pPr>
        <w:spacing w:line="440" w:lineRule="atLeast"/>
        <w:jc w:val="left"/>
        <w:rPr>
          <w:rFonts w:hint="eastAsia" w:ascii="宋体" w:hAnsi="宋体" w:cs="宋体"/>
          <w:b/>
          <w:bCs/>
          <w:color w:val="auto"/>
          <w:sz w:val="22"/>
          <w:szCs w:val="22"/>
          <w:highlight w:val="none"/>
        </w:rPr>
      </w:pPr>
    </w:p>
    <w:p>
      <w:pPr>
        <w:spacing w:line="440" w:lineRule="atLeast"/>
        <w:jc w:val="left"/>
        <w:rPr>
          <w:rFonts w:hint="eastAsia" w:ascii="宋体" w:hAnsi="宋体" w:cs="宋体"/>
          <w:b/>
          <w:bCs/>
          <w:color w:val="auto"/>
          <w:sz w:val="22"/>
          <w:szCs w:val="22"/>
          <w:highlight w:val="none"/>
        </w:rPr>
      </w:pPr>
    </w:p>
    <w:p>
      <w:pPr>
        <w:spacing w:line="440" w:lineRule="atLeast"/>
        <w:jc w:val="left"/>
        <w:rPr>
          <w:rFonts w:hint="eastAsia" w:ascii="宋体" w:hAnsi="宋体" w:cs="宋体"/>
          <w:b/>
          <w:bCs/>
          <w:color w:val="auto"/>
          <w:sz w:val="22"/>
          <w:szCs w:val="22"/>
          <w:highlight w:val="none"/>
        </w:rPr>
      </w:pPr>
    </w:p>
    <w:p>
      <w:pPr>
        <w:spacing w:line="440" w:lineRule="atLeast"/>
        <w:jc w:val="left"/>
        <w:rPr>
          <w:rFonts w:hint="eastAsia" w:ascii="宋体" w:hAnsi="宋体" w:cs="宋体"/>
          <w:b/>
          <w:bCs/>
          <w:color w:val="auto"/>
          <w:sz w:val="22"/>
          <w:szCs w:val="22"/>
          <w:highlight w:val="none"/>
        </w:rPr>
      </w:pPr>
    </w:p>
    <w:p>
      <w:pPr>
        <w:widowControl/>
        <w:spacing w:before="100" w:beforeAutospacing="1" w:after="100" w:afterAutospacing="1" w:line="440" w:lineRule="atLeast"/>
        <w:jc w:val="left"/>
        <w:rPr>
          <w:rFonts w:hint="eastAsia"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widowControl/>
        <w:spacing w:before="100" w:beforeAutospacing="1" w:after="100" w:afterAutospacing="1" w:line="440" w:lineRule="atLeast"/>
        <w:jc w:val="left"/>
        <w:rPr>
          <w:rFonts w:hint="eastAsia" w:ascii="宋体" w:hAnsi="宋体" w:cs="宋体"/>
          <w:color w:val="auto"/>
          <w:sz w:val="22"/>
          <w:szCs w:val="22"/>
          <w:highlight w:val="none"/>
        </w:rPr>
      </w:pPr>
      <w:r>
        <w:rPr>
          <w:rFonts w:hint="eastAsia" w:ascii="宋体" w:hAnsi="宋体" w:cs="宋体"/>
          <w:b/>
          <w:bCs/>
          <w:color w:val="auto"/>
          <w:sz w:val="24"/>
          <w:highlight w:val="none"/>
        </w:rPr>
        <w:t>附件1：</w:t>
      </w:r>
    </w:p>
    <w:p>
      <w:pPr>
        <w:widowControl/>
        <w:spacing w:before="100" w:beforeAutospacing="1" w:after="100" w:afterAutospacing="1" w:line="440" w:lineRule="atLeast"/>
        <w:jc w:val="center"/>
        <w:rPr>
          <w:rFonts w:hint="eastAsia" w:ascii="宋体" w:hAnsi="宋体"/>
          <w:b/>
          <w:bCs/>
          <w:color w:val="auto"/>
          <w:sz w:val="24"/>
          <w:highlight w:val="none"/>
        </w:rPr>
      </w:pPr>
      <w:r>
        <w:rPr>
          <w:rFonts w:hint="eastAsia" w:ascii="宋体" w:hAnsi="宋体"/>
          <w:b/>
          <w:color w:val="auto"/>
          <w:sz w:val="24"/>
          <w:highlight w:val="none"/>
        </w:rPr>
        <w:t>中小企业声明函（工程、服务）</w:t>
      </w:r>
    </w:p>
    <w:p>
      <w:pPr>
        <w:widowControl/>
        <w:spacing w:before="100" w:beforeAutospacing="1" w:after="100" w:afterAutospacing="1" w:line="440" w:lineRule="atLeast"/>
        <w:ind w:firstLine="440" w:firstLineChars="200"/>
        <w:jc w:val="left"/>
        <w:rPr>
          <w:rFonts w:hint="eastAsia" w:ascii="宋体" w:hAnsi="宋体"/>
          <w:color w:val="auto"/>
          <w:sz w:val="22"/>
          <w:szCs w:val="22"/>
          <w:highlight w:val="none"/>
        </w:rPr>
      </w:pPr>
      <w:r>
        <w:rPr>
          <w:rFonts w:hint="eastAsia" w:ascii="宋体" w:hAnsi="宋体"/>
          <w:color w:val="auto"/>
          <w:sz w:val="22"/>
          <w:szCs w:val="22"/>
          <w:highlight w:val="none"/>
        </w:rPr>
        <w:t>本公司（联合体）郑重声明,根据《政府采购促进中小企业发展管理办法》（财库﹝2020﹞46 号）的规定,本公司（联合体）参加</w:t>
      </w:r>
      <w:r>
        <w:rPr>
          <w:rFonts w:hint="eastAsia" w:ascii="宋体" w:hAnsi="宋体"/>
          <w:color w:val="auto"/>
          <w:sz w:val="22"/>
          <w:szCs w:val="22"/>
          <w:highlight w:val="none"/>
          <w:u w:val="single"/>
        </w:rPr>
        <w:t xml:space="preserve"> （单位名称）</w:t>
      </w:r>
      <w:r>
        <w:rPr>
          <w:rFonts w:hint="eastAsia" w:ascii="宋体" w:hAnsi="宋体"/>
          <w:color w:val="auto"/>
          <w:sz w:val="22"/>
          <w:szCs w:val="22"/>
          <w:highlight w:val="none"/>
        </w:rPr>
        <w:t xml:space="preserve"> 的 </w:t>
      </w:r>
      <w:r>
        <w:rPr>
          <w:rFonts w:hint="eastAsia" w:ascii="宋体" w:hAnsi="宋体"/>
          <w:color w:val="auto"/>
          <w:sz w:val="22"/>
          <w:szCs w:val="22"/>
          <w:highlight w:val="none"/>
          <w:u w:val="single"/>
        </w:rPr>
        <w:t>（项目名称）</w:t>
      </w:r>
      <w:r>
        <w:rPr>
          <w:rFonts w:hint="eastAsia" w:ascii="宋体" w:hAnsi="宋体"/>
          <w:color w:val="auto"/>
          <w:sz w:val="22"/>
          <w:szCs w:val="22"/>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100" w:beforeAutospacing="1" w:after="100" w:afterAutospacing="1" w:line="440" w:lineRule="atLeast"/>
        <w:ind w:firstLine="440" w:firstLineChars="200"/>
        <w:jc w:val="left"/>
        <w:rPr>
          <w:rFonts w:hint="eastAsia" w:ascii="宋体" w:hAnsi="宋体"/>
          <w:color w:val="auto"/>
          <w:sz w:val="22"/>
          <w:szCs w:val="22"/>
          <w:highlight w:val="none"/>
        </w:rPr>
      </w:pPr>
      <w:r>
        <w:rPr>
          <w:rFonts w:hint="eastAsia" w:ascii="宋体" w:hAnsi="宋体"/>
          <w:color w:val="auto"/>
          <w:sz w:val="22"/>
          <w:szCs w:val="22"/>
          <w:highlight w:val="none"/>
        </w:rPr>
        <w:t xml:space="preserve">1. </w:t>
      </w:r>
      <w:r>
        <w:rPr>
          <w:rFonts w:hint="eastAsia" w:ascii="宋体" w:hAnsi="宋体"/>
          <w:color w:val="auto"/>
          <w:sz w:val="22"/>
          <w:szCs w:val="22"/>
          <w:highlight w:val="none"/>
          <w:u w:val="single"/>
        </w:rPr>
        <w:t xml:space="preserve">（标的名称） </w:t>
      </w:r>
      <w:r>
        <w:rPr>
          <w:rFonts w:hint="eastAsia" w:ascii="宋体" w:hAnsi="宋体"/>
          <w:color w:val="auto"/>
          <w:sz w:val="22"/>
          <w:szCs w:val="22"/>
          <w:highlight w:val="none"/>
        </w:rPr>
        <w:t xml:space="preserve">,属于 </w:t>
      </w:r>
      <w:r>
        <w:rPr>
          <w:rFonts w:hint="eastAsia" w:ascii="宋体" w:hAnsi="宋体"/>
          <w:color w:val="auto"/>
          <w:sz w:val="22"/>
          <w:szCs w:val="22"/>
          <w:highlight w:val="none"/>
          <w:u w:val="single"/>
        </w:rPr>
        <w:t>租赁和商业服务行业</w:t>
      </w:r>
      <w:r>
        <w:rPr>
          <w:rFonts w:hint="eastAsia" w:ascii="宋体" w:hAnsi="宋体"/>
          <w:color w:val="auto"/>
          <w:sz w:val="22"/>
          <w:szCs w:val="22"/>
          <w:highlight w:val="none"/>
        </w:rPr>
        <w:t xml:space="preserve"> ；承建（承接）企业为 </w:t>
      </w:r>
      <w:r>
        <w:rPr>
          <w:rFonts w:hint="eastAsia" w:ascii="宋体" w:hAnsi="宋体"/>
          <w:color w:val="auto"/>
          <w:sz w:val="22"/>
          <w:szCs w:val="22"/>
          <w:highlight w:val="none"/>
          <w:u w:val="single"/>
        </w:rPr>
        <w:t xml:space="preserve">（企业名称） </w:t>
      </w:r>
      <w:r>
        <w:rPr>
          <w:rFonts w:hint="eastAsia" w:ascii="宋体" w:hAnsi="宋体"/>
          <w:color w:val="auto"/>
          <w:sz w:val="22"/>
          <w:szCs w:val="22"/>
          <w:highlight w:val="none"/>
        </w:rPr>
        <w:t>,从业人员</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人,营业收入为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万元,资产总额为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万元 ,属于</w:t>
      </w:r>
      <w:r>
        <w:rPr>
          <w:rFonts w:hint="eastAsia" w:ascii="宋体" w:hAnsi="宋体"/>
          <w:color w:val="auto"/>
          <w:sz w:val="22"/>
          <w:szCs w:val="22"/>
          <w:highlight w:val="none"/>
          <w:u w:val="single"/>
        </w:rPr>
        <w:t xml:space="preserve"> （中型企业、小型企业、微型企业） </w:t>
      </w:r>
      <w:r>
        <w:rPr>
          <w:rFonts w:hint="eastAsia" w:ascii="宋体" w:hAnsi="宋体"/>
          <w:color w:val="auto"/>
          <w:sz w:val="22"/>
          <w:szCs w:val="22"/>
          <w:highlight w:val="none"/>
        </w:rPr>
        <w:t>；</w:t>
      </w:r>
    </w:p>
    <w:p>
      <w:pPr>
        <w:widowControl/>
        <w:spacing w:before="100" w:beforeAutospacing="1" w:after="100" w:afterAutospacing="1" w:line="440" w:lineRule="atLeast"/>
        <w:ind w:firstLine="440" w:firstLineChars="200"/>
        <w:jc w:val="left"/>
        <w:rPr>
          <w:rFonts w:hint="eastAsia" w:ascii="宋体" w:hAnsi="宋体"/>
          <w:color w:val="auto"/>
          <w:sz w:val="22"/>
          <w:szCs w:val="22"/>
          <w:highlight w:val="none"/>
        </w:rPr>
      </w:pPr>
      <w:r>
        <w:rPr>
          <w:rFonts w:hint="eastAsia" w:ascii="宋体" w:hAnsi="宋体"/>
          <w:color w:val="auto"/>
          <w:sz w:val="22"/>
          <w:szCs w:val="22"/>
          <w:highlight w:val="none"/>
        </w:rPr>
        <w:t xml:space="preserve">2. </w:t>
      </w:r>
      <w:r>
        <w:rPr>
          <w:rFonts w:hint="eastAsia" w:ascii="宋体" w:hAnsi="宋体"/>
          <w:color w:val="auto"/>
          <w:sz w:val="22"/>
          <w:szCs w:val="22"/>
          <w:highlight w:val="none"/>
          <w:u w:val="single"/>
        </w:rPr>
        <w:t>（标的名称）</w:t>
      </w:r>
      <w:r>
        <w:rPr>
          <w:rFonts w:hint="eastAsia" w:ascii="宋体" w:hAnsi="宋体"/>
          <w:color w:val="auto"/>
          <w:sz w:val="22"/>
          <w:szCs w:val="22"/>
          <w:highlight w:val="none"/>
        </w:rPr>
        <w:t xml:space="preserve"> ,属于</w:t>
      </w:r>
      <w:r>
        <w:rPr>
          <w:rFonts w:hint="eastAsia" w:ascii="宋体" w:hAnsi="宋体"/>
          <w:color w:val="auto"/>
          <w:sz w:val="22"/>
          <w:szCs w:val="22"/>
          <w:highlight w:val="none"/>
          <w:u w:val="single"/>
        </w:rPr>
        <w:t>租赁和商业服务行业</w:t>
      </w:r>
      <w:r>
        <w:rPr>
          <w:rFonts w:hint="eastAsia" w:ascii="宋体" w:hAnsi="宋体"/>
          <w:color w:val="auto"/>
          <w:sz w:val="22"/>
          <w:szCs w:val="22"/>
          <w:highlight w:val="none"/>
        </w:rPr>
        <w:t>；承建（承接）企业为</w:t>
      </w:r>
      <w:r>
        <w:rPr>
          <w:rFonts w:hint="eastAsia" w:ascii="宋体" w:hAnsi="宋体"/>
          <w:color w:val="auto"/>
          <w:sz w:val="22"/>
          <w:szCs w:val="22"/>
          <w:highlight w:val="none"/>
          <w:u w:val="single"/>
        </w:rPr>
        <w:t xml:space="preserve"> （企业名称）</w:t>
      </w:r>
      <w:r>
        <w:rPr>
          <w:rFonts w:hint="eastAsia" w:ascii="宋体" w:hAnsi="宋体"/>
          <w:color w:val="auto"/>
          <w:sz w:val="22"/>
          <w:szCs w:val="22"/>
          <w:highlight w:val="none"/>
        </w:rPr>
        <w:t xml:space="preserve"> ,从业人员</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人,营业收入为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万元,资产总额为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万元,属于 </w:t>
      </w:r>
      <w:r>
        <w:rPr>
          <w:rFonts w:hint="eastAsia" w:ascii="宋体" w:hAnsi="宋体"/>
          <w:color w:val="auto"/>
          <w:sz w:val="22"/>
          <w:szCs w:val="22"/>
          <w:highlight w:val="none"/>
          <w:u w:val="single"/>
        </w:rPr>
        <w:t>（中型企业、小型企业、微型企业）</w:t>
      </w:r>
      <w:r>
        <w:rPr>
          <w:rFonts w:hint="eastAsia" w:ascii="宋体" w:hAnsi="宋体"/>
          <w:color w:val="auto"/>
          <w:sz w:val="22"/>
          <w:szCs w:val="22"/>
          <w:highlight w:val="none"/>
        </w:rPr>
        <w:t xml:space="preserve"> ；</w:t>
      </w:r>
    </w:p>
    <w:p>
      <w:pPr>
        <w:widowControl/>
        <w:spacing w:before="100" w:beforeAutospacing="1" w:after="100" w:afterAutospacing="1" w:line="440" w:lineRule="atLeast"/>
        <w:ind w:firstLine="440" w:firstLineChars="200"/>
        <w:jc w:val="left"/>
        <w:rPr>
          <w:rFonts w:hint="eastAsia" w:ascii="宋体" w:hAnsi="宋体"/>
          <w:color w:val="auto"/>
          <w:sz w:val="22"/>
          <w:szCs w:val="22"/>
          <w:highlight w:val="none"/>
        </w:rPr>
      </w:pPr>
      <w:r>
        <w:rPr>
          <w:rFonts w:hint="eastAsia" w:ascii="宋体" w:hAnsi="宋体"/>
          <w:color w:val="auto"/>
          <w:sz w:val="22"/>
          <w:szCs w:val="22"/>
          <w:highlight w:val="none"/>
        </w:rPr>
        <w:t>……</w:t>
      </w:r>
    </w:p>
    <w:p>
      <w:pPr>
        <w:widowControl/>
        <w:spacing w:before="100" w:beforeAutospacing="1" w:after="100" w:afterAutospacing="1" w:line="440" w:lineRule="atLeast"/>
        <w:ind w:firstLine="440" w:firstLineChars="200"/>
        <w:jc w:val="left"/>
        <w:rPr>
          <w:rFonts w:hint="eastAsia" w:ascii="宋体" w:hAnsi="宋体"/>
          <w:color w:val="auto"/>
          <w:sz w:val="22"/>
          <w:szCs w:val="22"/>
          <w:highlight w:val="none"/>
        </w:rPr>
      </w:pPr>
      <w:r>
        <w:rPr>
          <w:rFonts w:hint="eastAsia" w:ascii="宋体" w:hAnsi="宋体"/>
          <w:color w:val="auto"/>
          <w:sz w:val="22"/>
          <w:szCs w:val="22"/>
          <w:highlight w:val="none"/>
        </w:rPr>
        <w:t>以上企业,不属于大企业的分支机构,不存在控股股东为大企业的情形,也不存在与大企业的负责人为同一人的情形。</w:t>
      </w:r>
    </w:p>
    <w:p>
      <w:pPr>
        <w:widowControl/>
        <w:spacing w:before="100" w:beforeAutospacing="1" w:after="100" w:afterAutospacing="1" w:line="440" w:lineRule="atLeast"/>
        <w:ind w:firstLine="440" w:firstLineChars="200"/>
        <w:jc w:val="left"/>
        <w:rPr>
          <w:rFonts w:hint="eastAsia" w:ascii="宋体" w:hAnsi="宋体"/>
          <w:color w:val="auto"/>
          <w:sz w:val="22"/>
          <w:szCs w:val="22"/>
          <w:highlight w:val="none"/>
        </w:rPr>
      </w:pPr>
      <w:r>
        <w:rPr>
          <w:rFonts w:hint="eastAsia" w:ascii="宋体" w:hAnsi="宋体"/>
          <w:color w:val="auto"/>
          <w:sz w:val="22"/>
          <w:szCs w:val="22"/>
          <w:highlight w:val="none"/>
        </w:rPr>
        <w:t>本企业对上述声明内容的真实性负责。如有虚假,将依法承担相应责任。</w:t>
      </w:r>
    </w:p>
    <w:p>
      <w:pPr>
        <w:widowControl/>
        <w:spacing w:before="100" w:beforeAutospacing="1" w:after="100" w:afterAutospacing="1" w:line="440" w:lineRule="atLeast"/>
        <w:ind w:firstLine="440" w:firstLineChars="200"/>
        <w:jc w:val="left"/>
        <w:rPr>
          <w:rFonts w:hint="eastAsia" w:ascii="宋体" w:hAnsi="宋体"/>
          <w:color w:val="auto"/>
          <w:sz w:val="22"/>
          <w:szCs w:val="22"/>
          <w:highlight w:val="none"/>
        </w:rPr>
      </w:pPr>
      <w:r>
        <w:rPr>
          <w:rFonts w:hint="eastAsia" w:ascii="宋体" w:hAnsi="宋体"/>
          <w:color w:val="auto"/>
          <w:sz w:val="22"/>
          <w:szCs w:val="22"/>
          <w:highlight w:val="none"/>
        </w:rPr>
        <w:t>企业名称（盖章）：</w:t>
      </w:r>
    </w:p>
    <w:p>
      <w:pPr>
        <w:widowControl/>
        <w:spacing w:before="100" w:beforeAutospacing="1" w:after="100" w:afterAutospacing="1" w:line="440" w:lineRule="atLeast"/>
        <w:ind w:firstLine="440" w:firstLineChars="200"/>
        <w:jc w:val="left"/>
        <w:rPr>
          <w:rFonts w:hint="eastAsia" w:ascii="宋体" w:hAnsi="宋体" w:cs="宋体"/>
          <w:b/>
          <w:bCs/>
          <w:color w:val="auto"/>
          <w:sz w:val="24"/>
          <w:highlight w:val="none"/>
        </w:rPr>
      </w:pPr>
      <w:r>
        <w:rPr>
          <w:rFonts w:hint="eastAsia" w:ascii="宋体" w:hAnsi="宋体"/>
          <w:color w:val="auto"/>
          <w:sz w:val="22"/>
          <w:szCs w:val="22"/>
          <w:highlight w:val="none"/>
        </w:rPr>
        <w:t>日 期：</w:t>
      </w:r>
      <w:r>
        <w:rPr>
          <w:rFonts w:ascii="宋体" w:hAnsi="宋体"/>
          <w:color w:val="auto"/>
          <w:sz w:val="22"/>
          <w:szCs w:val="22"/>
          <w:highlight w:val="none"/>
        </w:rPr>
        <w:t> </w:t>
      </w:r>
      <w:r>
        <w:rPr>
          <w:rFonts w:hint="eastAsia" w:ascii="宋体" w:hAnsi="宋体" w:cs="宋体"/>
          <w:color w:val="auto"/>
          <w:sz w:val="22"/>
          <w:szCs w:val="22"/>
          <w:highlight w:val="none"/>
        </w:rPr>
        <w:t>          　　　　</w:t>
      </w:r>
      <w:r>
        <w:rPr>
          <w:rFonts w:hint="eastAsia" w:ascii="宋体" w:hAnsi="宋体" w:cs="宋体"/>
          <w:b/>
          <w:bCs/>
          <w:color w:val="auto"/>
          <w:sz w:val="24"/>
          <w:highlight w:val="none"/>
        </w:rPr>
        <w:t>　</w:t>
      </w:r>
    </w:p>
    <w:p>
      <w:pPr>
        <w:spacing w:line="440" w:lineRule="atLeast"/>
        <w:rPr>
          <w:rFonts w:hint="eastAsia" w:ascii="宋体" w:hAnsi="宋体" w:cs="宋体"/>
          <w:b/>
          <w:bCs/>
          <w:color w:val="auto"/>
          <w:sz w:val="24"/>
          <w:highlight w:val="none"/>
        </w:rPr>
      </w:pPr>
    </w:p>
    <w:p>
      <w:pPr>
        <w:widowControl/>
        <w:spacing w:before="100" w:beforeAutospacing="1" w:after="100" w:afterAutospacing="1" w:line="440" w:lineRule="atLeast"/>
        <w:jc w:val="left"/>
        <w:rPr>
          <w:rFonts w:hint="eastAsia" w:ascii="宋体" w:hAnsi="宋体" w:cs="宋体"/>
          <w:b/>
          <w:bCs/>
          <w:color w:val="auto"/>
          <w:sz w:val="24"/>
          <w:highlight w:val="none"/>
        </w:rPr>
      </w:pPr>
      <w:r>
        <w:rPr>
          <w:rFonts w:hint="eastAsia" w:ascii="宋体" w:hAnsi="宋体" w:cs="宋体"/>
          <w:b/>
          <w:bCs/>
          <w:color w:val="auto"/>
          <w:sz w:val="24"/>
          <w:highlight w:val="none"/>
        </w:rPr>
        <w:t>注：1 从业人员、营业收入、资产总额填报上一年度数据,无上一年度数据的新成立企业可不填报。</w:t>
      </w:r>
      <w:r>
        <w:rPr>
          <w:rFonts w:hint="eastAsia" w:ascii="宋体" w:hAnsi="宋体" w:cs="宋体"/>
          <w:color w:val="auto"/>
          <w:sz w:val="22"/>
          <w:szCs w:val="22"/>
          <w:highlight w:val="none"/>
        </w:rPr>
        <w:t>                  　　　　</w:t>
      </w:r>
      <w:r>
        <w:rPr>
          <w:rFonts w:hint="eastAsia" w:ascii="宋体" w:hAnsi="宋体" w:cs="宋体"/>
          <w:b/>
          <w:bCs/>
          <w:color w:val="auto"/>
          <w:sz w:val="24"/>
          <w:highlight w:val="none"/>
        </w:rPr>
        <w:t>　</w:t>
      </w:r>
    </w:p>
    <w:p>
      <w:pPr>
        <w:widowControl/>
        <w:spacing w:before="100" w:beforeAutospacing="1" w:after="100" w:afterAutospacing="1" w:line="440" w:lineRule="atLeast"/>
        <w:jc w:val="left"/>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附件2</w:t>
      </w:r>
    </w:p>
    <w:p>
      <w:pPr>
        <w:widowControl/>
        <w:spacing w:before="100" w:beforeAutospacing="1" w:after="100" w:afterAutospacing="1" w:line="440" w:lineRule="atLeast"/>
        <w:jc w:val="center"/>
        <w:rPr>
          <w:rFonts w:hint="eastAsia" w:ascii="宋体" w:hAnsi="宋体" w:cs="宋体"/>
          <w:b/>
          <w:bCs/>
          <w:color w:val="auto"/>
          <w:sz w:val="24"/>
          <w:highlight w:val="none"/>
        </w:rPr>
      </w:pPr>
      <w:bookmarkStart w:id="94" w:name="OLE_LINK13"/>
      <w:bookmarkStart w:id="95" w:name="OLE_LINK14"/>
      <w:r>
        <w:rPr>
          <w:rFonts w:hint="eastAsia" w:ascii="宋体" w:hAnsi="宋体" w:cs="宋体"/>
          <w:b/>
          <w:bCs/>
          <w:color w:val="auto"/>
          <w:sz w:val="24"/>
          <w:highlight w:val="none"/>
        </w:rPr>
        <w:t>残疾人福利性单位声明函</w:t>
      </w:r>
    </w:p>
    <w:bookmarkEnd w:id="94"/>
    <w:bookmarkEnd w:id="95"/>
    <w:p>
      <w:pPr>
        <w:spacing w:line="588" w:lineRule="exact"/>
        <w:rPr>
          <w:rFonts w:hint="eastAsia" w:ascii="宋体" w:hAnsi="宋体" w:cs="宋体"/>
          <w:b/>
          <w:bCs/>
          <w:color w:val="auto"/>
          <w:spacing w:val="6"/>
          <w:sz w:val="30"/>
          <w:szCs w:val="30"/>
          <w:highlight w:val="none"/>
        </w:rPr>
      </w:pPr>
    </w:p>
    <w:p>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pPr>
        <w:spacing w:line="588" w:lineRule="exact"/>
        <w:ind w:firstLine="464" w:firstLineChars="200"/>
        <w:rPr>
          <w:rFonts w:hint="eastAsia" w:ascii="宋体" w:hAnsi="宋体" w:cs="宋体"/>
          <w:color w:val="auto"/>
          <w:spacing w:val="6"/>
          <w:sz w:val="22"/>
          <w:szCs w:val="22"/>
          <w:highlight w:val="none"/>
        </w:rPr>
      </w:pPr>
    </w:p>
    <w:p>
      <w:pPr>
        <w:tabs>
          <w:tab w:val="left" w:pos="4860"/>
        </w:tabs>
        <w:spacing w:line="588" w:lineRule="exact"/>
        <w:ind w:right="1560" w:firstLine="464" w:firstLineChars="200"/>
        <w:rPr>
          <w:rFonts w:hint="eastAsia" w:ascii="宋体" w:hAnsi="宋体" w:cs="宋体"/>
          <w:color w:val="auto"/>
          <w:spacing w:val="6"/>
          <w:sz w:val="22"/>
          <w:szCs w:val="22"/>
          <w:highlight w:val="none"/>
        </w:rPr>
      </w:pPr>
    </w:p>
    <w:p>
      <w:pPr>
        <w:tabs>
          <w:tab w:val="left" w:pos="4860"/>
        </w:tabs>
        <w:spacing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投标供应商全称（盖章）：</w:t>
      </w:r>
    </w:p>
    <w:p>
      <w:pPr>
        <w:tabs>
          <w:tab w:val="left" w:pos="4860"/>
        </w:tabs>
        <w:spacing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日  期：</w:t>
      </w:r>
    </w:p>
    <w:p>
      <w:pPr>
        <w:tabs>
          <w:tab w:val="left" w:pos="4860"/>
        </w:tabs>
        <w:spacing w:line="588" w:lineRule="exact"/>
        <w:ind w:right="1560" w:firstLine="464" w:firstLineChars="200"/>
        <w:jc w:val="center"/>
        <w:rPr>
          <w:rFonts w:hint="eastAsia" w:ascii="宋体" w:hAnsi="宋体" w:cs="宋体"/>
          <w:color w:val="auto"/>
          <w:spacing w:val="6"/>
          <w:sz w:val="22"/>
          <w:szCs w:val="22"/>
          <w:highlight w:val="none"/>
        </w:rPr>
      </w:pPr>
    </w:p>
    <w:p>
      <w:pPr>
        <w:tabs>
          <w:tab w:val="left" w:pos="4860"/>
        </w:tabs>
        <w:spacing w:line="588" w:lineRule="exact"/>
        <w:ind w:right="1560" w:firstLine="464" w:firstLineChars="200"/>
        <w:jc w:val="center"/>
        <w:rPr>
          <w:rFonts w:hint="eastAsia" w:ascii="宋体" w:hAnsi="宋体" w:cs="宋体"/>
          <w:color w:val="auto"/>
          <w:spacing w:val="6"/>
          <w:sz w:val="22"/>
          <w:szCs w:val="22"/>
          <w:highlight w:val="none"/>
        </w:rPr>
      </w:pPr>
    </w:p>
    <w:p>
      <w:pPr>
        <w:tabs>
          <w:tab w:val="left" w:pos="4860"/>
        </w:tabs>
        <w:spacing w:line="588" w:lineRule="exact"/>
        <w:ind w:right="1560"/>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备注说明：</w:t>
      </w:r>
    </w:p>
    <w:p>
      <w:pPr>
        <w:tabs>
          <w:tab w:val="left" w:pos="4860"/>
        </w:tabs>
        <w:spacing w:line="588" w:lineRule="exact"/>
        <w:ind w:right="1560"/>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1、如中标,将在中标公示中将此声明函予以公示,接受社会监督；</w:t>
      </w:r>
    </w:p>
    <w:p>
      <w:pPr>
        <w:autoSpaceDE w:val="0"/>
        <w:autoSpaceDN w:val="0"/>
        <w:adjustRightInd w:val="0"/>
        <w:spacing w:line="460" w:lineRule="atLeast"/>
        <w:textAlignment w:val="bottom"/>
        <w:rPr>
          <w:rFonts w:hint="eastAsia" w:ascii="宋体" w:hAnsi="宋体" w:cs="宋体"/>
          <w:color w:val="auto"/>
          <w:sz w:val="22"/>
          <w:szCs w:val="22"/>
          <w:highlight w:val="none"/>
        </w:rPr>
      </w:pPr>
      <w:r>
        <w:rPr>
          <w:rFonts w:hint="eastAsia" w:ascii="宋体" w:hAnsi="宋体" w:cs="宋体"/>
          <w:b/>
          <w:bCs/>
          <w:color w:val="auto"/>
          <w:sz w:val="22"/>
          <w:szCs w:val="22"/>
          <w:highlight w:val="none"/>
        </w:rPr>
        <w:t>2、投标供应商提供的《残疾人福利性单位声明函》与事实不符的,依照《政府采购法》第七十七条第一款的规定追究法律责任。</w:t>
      </w:r>
    </w:p>
    <w:p>
      <w:pPr>
        <w:spacing w:line="360" w:lineRule="auto"/>
        <w:outlineLvl w:val="0"/>
        <w:rPr>
          <w:rFonts w:hint="eastAsia" w:ascii="宋体" w:hAnsi="宋体" w:cs="宋体"/>
          <w:b/>
          <w:bCs/>
          <w:color w:val="auto"/>
          <w:sz w:val="28"/>
          <w:szCs w:val="28"/>
          <w:highlight w:val="none"/>
        </w:rPr>
      </w:pPr>
    </w:p>
    <w:p>
      <w:pPr>
        <w:pStyle w:val="42"/>
        <w:rPr>
          <w:rFonts w:hint="eastAsia" w:ascii="宋体" w:hAnsi="宋体" w:cs="宋体"/>
          <w:color w:val="auto"/>
          <w:sz w:val="30"/>
          <w:szCs w:val="30"/>
          <w:highlight w:val="none"/>
        </w:rPr>
      </w:pPr>
    </w:p>
    <w:p>
      <w:pPr>
        <w:widowControl/>
        <w:jc w:val="left"/>
        <w:rPr>
          <w:rFonts w:hint="eastAsia" w:ascii="宋体" w:hAnsi="宋体" w:cs="宋体"/>
          <w:b/>
          <w:bCs/>
          <w:color w:val="auto"/>
          <w:sz w:val="30"/>
          <w:szCs w:val="30"/>
          <w:highlight w:val="none"/>
        </w:rPr>
      </w:pPr>
      <w:r>
        <w:rPr>
          <w:rFonts w:hint="eastAsia" w:ascii="宋体" w:hAnsi="宋体" w:cs="宋体"/>
          <w:color w:val="auto"/>
          <w:sz w:val="30"/>
          <w:szCs w:val="30"/>
          <w:highlight w:val="none"/>
        </w:rPr>
        <w:br w:type="page"/>
      </w:r>
    </w:p>
    <w:p>
      <w:pPr>
        <w:spacing w:line="360" w:lineRule="auto"/>
        <w:jc w:val="center"/>
        <w:outlineLvl w:val="0"/>
        <w:rPr>
          <w:rFonts w:hint="eastAsia" w:ascii="宋体" w:hAnsi="宋体" w:cs="宋体"/>
          <w:b/>
          <w:color w:val="auto"/>
          <w:sz w:val="36"/>
          <w:szCs w:val="36"/>
          <w:highlight w:val="none"/>
        </w:rPr>
      </w:pPr>
      <w:bookmarkStart w:id="96" w:name="_Toc23974"/>
      <w:r>
        <w:rPr>
          <w:rFonts w:hint="eastAsia" w:ascii="宋体" w:hAnsi="宋体" w:cs="宋体"/>
          <w:color w:val="auto"/>
          <w:sz w:val="30"/>
          <w:szCs w:val="30"/>
          <w:highlight w:val="none"/>
        </w:rPr>
        <w:t xml:space="preserve">第五部分  </w:t>
      </w:r>
      <w:bookmarkEnd w:id="92"/>
      <w:bookmarkEnd w:id="93"/>
      <w:r>
        <w:rPr>
          <w:rFonts w:hint="eastAsia" w:ascii="宋体" w:hAnsi="宋体" w:cs="宋体"/>
          <w:color w:val="auto"/>
          <w:sz w:val="30"/>
          <w:szCs w:val="30"/>
          <w:highlight w:val="none"/>
        </w:rPr>
        <w:t>合同格式（参考格式）</w:t>
      </w:r>
      <w:bookmarkEnd w:id="96"/>
      <w:r>
        <w:rPr>
          <w:rFonts w:hint="eastAsia" w:ascii="宋体" w:hAnsi="宋体" w:cs="宋体"/>
          <w:color w:val="auto"/>
          <w:sz w:val="30"/>
          <w:szCs w:val="30"/>
          <w:highlight w:val="none"/>
        </w:rPr>
        <w:t xml:space="preserve">  </w:t>
      </w:r>
    </w:p>
    <w:p>
      <w:pPr>
        <w:spacing w:line="460" w:lineRule="exact"/>
        <w:ind w:firstLine="541" w:firstLineChars="245"/>
        <w:rPr>
          <w:rFonts w:hint="eastAsia" w:ascii="宋体" w:hAnsi="宋体" w:eastAsia="宋体" w:cs="宋体"/>
          <w:b/>
          <w:color w:val="auto"/>
          <w:sz w:val="22"/>
          <w:szCs w:val="22"/>
          <w:highlight w:val="none"/>
        </w:rPr>
      </w:pPr>
      <w:bookmarkStart w:id="97" w:name="_Toc496116263"/>
      <w:bookmarkStart w:id="98" w:name="_Toc498343172"/>
      <w:bookmarkStart w:id="99" w:name="_Toc21992"/>
      <w:bookmarkStart w:id="100" w:name="_Toc293038721"/>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pPr>
        <w:spacing w:line="460" w:lineRule="exact"/>
        <w:ind w:firstLine="539" w:firstLineChars="245"/>
        <w:rPr>
          <w:rFonts w:hint="eastAsia" w:ascii="宋体" w:hAnsi="宋体" w:eastAsia="宋体" w:cs="宋体"/>
          <w:color w:val="auto"/>
          <w:sz w:val="22"/>
          <w:szCs w:val="22"/>
          <w:highlight w:val="none"/>
        </w:rPr>
      </w:pPr>
    </w:p>
    <w:p>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甲方：</w:t>
      </w:r>
      <w:r>
        <w:rPr>
          <w:rFonts w:hint="eastAsia" w:ascii="新宋体" w:hAnsi="新宋体" w:eastAsia="新宋体" w:cs="新宋体"/>
          <w:color w:val="auto"/>
          <w:sz w:val="22"/>
          <w:szCs w:val="22"/>
          <w:highlight w:val="none"/>
          <w:u w:val="single"/>
          <w:shd w:val="clear" w:color="auto" w:fill="auto"/>
        </w:rPr>
        <w:t xml:space="preserve">                                        </w:t>
      </w:r>
      <w:r>
        <w:rPr>
          <w:rFonts w:hint="eastAsia" w:ascii="新宋体" w:hAnsi="新宋体" w:eastAsia="新宋体" w:cs="新宋体"/>
          <w:color w:val="auto"/>
          <w:sz w:val="22"/>
          <w:szCs w:val="22"/>
          <w:highlight w:val="none"/>
          <w:shd w:val="clear" w:color="auto" w:fill="auto"/>
        </w:rPr>
        <w:t>（招标人）</w:t>
      </w:r>
    </w:p>
    <w:p>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乙方: </w:t>
      </w:r>
      <w:r>
        <w:rPr>
          <w:rFonts w:hint="eastAsia" w:ascii="新宋体" w:hAnsi="新宋体" w:eastAsia="新宋体" w:cs="新宋体"/>
          <w:color w:val="auto"/>
          <w:sz w:val="22"/>
          <w:szCs w:val="22"/>
          <w:highlight w:val="none"/>
          <w:u w:val="single"/>
          <w:shd w:val="clear" w:color="auto" w:fill="auto"/>
        </w:rPr>
        <w:t xml:space="preserve">                                        </w:t>
      </w: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eastAsia="zh-CN"/>
        </w:rPr>
        <w:t>中标供应商</w:t>
      </w:r>
      <w:r>
        <w:rPr>
          <w:rFonts w:hint="eastAsia" w:ascii="新宋体" w:hAnsi="新宋体" w:eastAsia="新宋体" w:cs="新宋体"/>
          <w:color w:val="auto"/>
          <w:sz w:val="22"/>
          <w:szCs w:val="22"/>
          <w:highlight w:val="none"/>
          <w:shd w:val="clear" w:color="auto" w:fill="auto"/>
        </w:rPr>
        <w:t>）</w:t>
      </w:r>
    </w:p>
    <w:p>
      <w:pPr>
        <w:spacing w:line="460" w:lineRule="exact"/>
        <w:ind w:firstLine="539" w:firstLineChars="245"/>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lang w:eastAsia="zh-CN"/>
        </w:rPr>
        <w:t>永嘉县公安局交通警察大队</w:t>
      </w:r>
      <w:r>
        <w:rPr>
          <w:rFonts w:hint="eastAsia" w:ascii="新宋体" w:hAnsi="新宋体" w:eastAsia="新宋体" w:cs="新宋体"/>
          <w:bCs/>
          <w:color w:val="auto"/>
          <w:sz w:val="22"/>
          <w:szCs w:val="22"/>
          <w:highlight w:val="none"/>
          <w:shd w:val="clear" w:color="auto" w:fill="auto"/>
        </w:rPr>
        <w:t>的</w:t>
      </w:r>
      <w:r>
        <w:rPr>
          <w:rFonts w:hint="eastAsia" w:ascii="新宋体" w:hAnsi="新宋体" w:eastAsia="新宋体" w:cs="新宋体"/>
          <w:bCs/>
          <w:color w:val="auto"/>
          <w:sz w:val="22"/>
          <w:szCs w:val="22"/>
          <w:highlight w:val="none"/>
          <w:u w:val="single"/>
          <w:shd w:val="clear" w:color="auto" w:fill="auto"/>
        </w:rPr>
        <w:t xml:space="preserve">               </w:t>
      </w:r>
      <w:r>
        <w:rPr>
          <w:rFonts w:hint="eastAsia" w:ascii="新宋体" w:hAnsi="新宋体" w:eastAsia="新宋体" w:cs="新宋体"/>
          <w:bCs/>
          <w:color w:val="auto"/>
          <w:sz w:val="22"/>
          <w:szCs w:val="22"/>
          <w:highlight w:val="none"/>
          <w:shd w:val="clear" w:color="auto" w:fill="auto"/>
        </w:rPr>
        <w:t>（项目名称、编号）在国内以公开招标方式进行招标，经评标委员会评定</w:t>
      </w:r>
      <w:r>
        <w:rPr>
          <w:rFonts w:hint="eastAsia" w:ascii="新宋体" w:hAnsi="新宋体" w:eastAsia="新宋体" w:cs="新宋体"/>
          <w:bCs/>
          <w:color w:val="auto"/>
          <w:sz w:val="22"/>
          <w:szCs w:val="22"/>
          <w:highlight w:val="none"/>
          <w:u w:val="single"/>
          <w:shd w:val="clear" w:color="auto" w:fill="auto"/>
        </w:rPr>
        <w:t xml:space="preserve">                 </w:t>
      </w:r>
      <w:r>
        <w:rPr>
          <w:rFonts w:hint="eastAsia" w:ascii="新宋体" w:hAnsi="新宋体" w:eastAsia="新宋体" w:cs="新宋体"/>
          <w:bCs/>
          <w:color w:val="auto"/>
          <w:sz w:val="22"/>
          <w:szCs w:val="22"/>
          <w:highlight w:val="none"/>
          <w:shd w:val="clear" w:color="auto" w:fill="auto"/>
        </w:rPr>
        <w:t>（</w:t>
      </w:r>
      <w:r>
        <w:rPr>
          <w:rFonts w:hint="eastAsia" w:ascii="新宋体" w:hAnsi="新宋体" w:eastAsia="新宋体" w:cs="新宋体"/>
          <w:bCs/>
          <w:color w:val="auto"/>
          <w:sz w:val="22"/>
          <w:szCs w:val="22"/>
          <w:highlight w:val="none"/>
          <w:shd w:val="clear" w:color="auto" w:fill="auto"/>
          <w:lang w:eastAsia="zh-CN"/>
        </w:rPr>
        <w:t>中标供应商</w:t>
      </w:r>
      <w:r>
        <w:rPr>
          <w:rFonts w:hint="eastAsia" w:ascii="新宋体" w:hAnsi="新宋体" w:eastAsia="新宋体" w:cs="新宋体"/>
          <w:bCs/>
          <w:color w:val="auto"/>
          <w:sz w:val="22"/>
          <w:szCs w:val="22"/>
          <w:highlight w:val="none"/>
          <w:shd w:val="clear" w:color="auto" w:fill="auto"/>
        </w:rPr>
        <w:t>名称）为</w:t>
      </w:r>
      <w:r>
        <w:rPr>
          <w:rFonts w:hint="eastAsia" w:ascii="新宋体" w:hAnsi="新宋体" w:eastAsia="新宋体" w:cs="新宋体"/>
          <w:bCs/>
          <w:color w:val="auto"/>
          <w:sz w:val="22"/>
          <w:szCs w:val="22"/>
          <w:highlight w:val="none"/>
          <w:shd w:val="clear" w:color="auto" w:fill="auto"/>
          <w:lang w:eastAsia="zh-CN"/>
        </w:rPr>
        <w:t>中标供应商</w:t>
      </w:r>
      <w:r>
        <w:rPr>
          <w:rFonts w:hint="eastAsia" w:ascii="新宋体" w:hAnsi="新宋体" w:eastAsia="新宋体" w:cs="新宋体"/>
          <w:bCs/>
          <w:color w:val="auto"/>
          <w:sz w:val="22"/>
          <w:szCs w:val="22"/>
          <w:highlight w:val="none"/>
          <w:shd w:val="clear" w:color="auto" w:fill="auto"/>
        </w:rPr>
        <w:t>。双方本着诚信及互利互惠的原则，同意按照下面条款和条件，签署本合同。</w:t>
      </w:r>
    </w:p>
    <w:p>
      <w:pPr>
        <w:spacing w:line="460" w:lineRule="exact"/>
        <w:outlineLvl w:val="1"/>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一、本合同签订依据</w:t>
      </w:r>
    </w:p>
    <w:p>
      <w:pPr>
        <w:spacing w:line="460" w:lineRule="exact"/>
        <w:ind w:firstLine="539" w:firstLineChars="2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rPr>
        <w:t>中华人民共和国</w:t>
      </w:r>
      <w:r>
        <w:rPr>
          <w:rFonts w:hint="eastAsia" w:ascii="新宋体" w:hAnsi="新宋体" w:eastAsia="新宋体" w:cs="新宋体"/>
          <w:color w:val="auto"/>
          <w:sz w:val="22"/>
          <w:szCs w:val="22"/>
          <w:highlight w:val="none"/>
          <w:shd w:val="clear" w:color="auto" w:fill="auto"/>
          <w:lang w:val="en-US" w:eastAsia="zh-CN"/>
        </w:rPr>
        <w:t>民法典</w:t>
      </w:r>
      <w:r>
        <w:rPr>
          <w:rFonts w:hint="eastAsia" w:ascii="新宋体" w:hAnsi="新宋体" w:eastAsia="新宋体" w:cs="新宋体"/>
          <w:bCs/>
          <w:color w:val="auto"/>
          <w:sz w:val="22"/>
          <w:szCs w:val="22"/>
          <w:highlight w:val="none"/>
          <w:shd w:val="clear" w:color="auto" w:fill="auto"/>
        </w:rPr>
        <w:t>》</w:t>
      </w:r>
    </w:p>
    <w:p>
      <w:pPr>
        <w:spacing w:line="460" w:lineRule="exact"/>
        <w:outlineLvl w:val="1"/>
        <w:rPr>
          <w:rFonts w:hint="eastAsia" w:ascii="新宋体" w:hAnsi="新宋体" w:eastAsia="新宋体" w:cs="新宋体"/>
          <w:b/>
          <w:color w:val="auto"/>
          <w:sz w:val="22"/>
          <w:szCs w:val="22"/>
          <w:highlight w:val="none"/>
          <w:shd w:val="clear" w:color="auto" w:fill="auto"/>
        </w:rPr>
      </w:pPr>
      <w:r>
        <w:rPr>
          <w:rFonts w:hint="eastAsia" w:ascii="新宋体" w:hAnsi="新宋体" w:eastAsia="新宋体" w:cs="新宋体"/>
          <w:b/>
          <w:color w:val="auto"/>
          <w:sz w:val="22"/>
          <w:szCs w:val="22"/>
          <w:highlight w:val="none"/>
          <w:shd w:val="clear" w:color="auto" w:fill="auto"/>
        </w:rPr>
        <w:t>二、合同文件的优先次序</w:t>
      </w:r>
    </w:p>
    <w:p>
      <w:pPr>
        <w:spacing w:line="460" w:lineRule="exact"/>
        <w:ind w:firstLine="539" w:firstLineChars="2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合同文件如存在歧义或不一致则根据以下优先次序来判断：</w:t>
      </w:r>
    </w:p>
    <w:p>
      <w:pPr>
        <w:spacing w:line="460" w:lineRule="exact"/>
        <w:ind w:firstLine="539" w:firstLineChars="2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 xml:space="preserve">1、合同书及合同补充条款或说明 </w:t>
      </w:r>
    </w:p>
    <w:p>
      <w:pPr>
        <w:spacing w:line="460" w:lineRule="exact"/>
        <w:ind w:firstLine="539" w:firstLineChars="2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2、中标通知书</w:t>
      </w:r>
    </w:p>
    <w:p>
      <w:pPr>
        <w:spacing w:line="460" w:lineRule="exact"/>
        <w:ind w:firstLine="539" w:firstLineChars="2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3、承诺书（含询标记录和优惠条款）</w:t>
      </w:r>
    </w:p>
    <w:p>
      <w:pPr>
        <w:spacing w:line="460" w:lineRule="exact"/>
        <w:ind w:firstLine="539" w:firstLineChars="245"/>
        <w:rPr>
          <w:rFonts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4、投标文件</w:t>
      </w:r>
    </w:p>
    <w:p>
      <w:pPr>
        <w:spacing w:line="460" w:lineRule="exact"/>
        <w:ind w:firstLine="539" w:firstLineChars="245"/>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5、招标文件</w:t>
      </w:r>
    </w:p>
    <w:p>
      <w:pPr>
        <w:spacing w:line="460" w:lineRule="exact"/>
        <w:rPr>
          <w:rFonts w:hint="eastAsia" w:ascii="新宋体" w:hAnsi="新宋体" w:eastAsia="新宋体"/>
          <w:b/>
          <w:bCs/>
          <w:color w:val="auto"/>
          <w:sz w:val="22"/>
          <w:highlight w:val="none"/>
          <w:shd w:val="clear" w:color="auto" w:fill="auto"/>
          <w:lang w:val="en-US" w:eastAsia="zh-CN"/>
        </w:rPr>
      </w:pPr>
      <w:r>
        <w:rPr>
          <w:rFonts w:hint="eastAsia" w:ascii="新宋体" w:hAnsi="新宋体" w:eastAsia="新宋体" w:cs="新宋体"/>
          <w:b/>
          <w:color w:val="auto"/>
          <w:sz w:val="22"/>
          <w:szCs w:val="22"/>
          <w:highlight w:val="none"/>
          <w:shd w:val="clear" w:color="auto" w:fill="auto"/>
        </w:rPr>
        <w:t>三、</w:t>
      </w:r>
      <w:r>
        <w:rPr>
          <w:rFonts w:hint="eastAsia" w:ascii="新宋体" w:hAnsi="新宋体" w:eastAsia="新宋体" w:cs="新宋体"/>
          <w:b/>
          <w:color w:val="auto"/>
          <w:sz w:val="22"/>
          <w:szCs w:val="22"/>
          <w:highlight w:val="none"/>
          <w:shd w:val="clear" w:color="auto" w:fill="auto"/>
          <w:lang w:eastAsia="zh-CN"/>
        </w:rPr>
        <w:t>服务内容</w:t>
      </w:r>
    </w:p>
    <w:p>
      <w:pPr>
        <w:numPr>
          <w:ilvl w:val="0"/>
          <w:numId w:val="0"/>
        </w:numPr>
        <w:autoSpaceDE w:val="0"/>
        <w:autoSpaceDN w:val="0"/>
        <w:adjustRightInd w:val="0"/>
        <w:spacing w:line="460" w:lineRule="atLeast"/>
        <w:ind w:firstLine="442" w:firstLineChars="200"/>
        <w:rPr>
          <w:rFonts w:hint="eastAsia" w:ascii="宋体" w:hAnsi="宋体" w:cs="宋体"/>
          <w:b/>
          <w:bCs/>
          <w:color w:val="auto"/>
          <w:sz w:val="22"/>
          <w:szCs w:val="22"/>
          <w:highlight w:val="none"/>
          <w:lang w:val="en-US" w:eastAsia="zh-CN"/>
        </w:rPr>
      </w:pPr>
      <w:r>
        <w:rPr>
          <w:rFonts w:hint="eastAsia" w:ascii="宋体" w:hAnsi="宋体" w:eastAsia="宋体" w:cs="宋体"/>
          <w:b/>
          <w:bCs/>
          <w:color w:val="auto"/>
          <w:kern w:val="2"/>
          <w:sz w:val="22"/>
          <w:szCs w:val="22"/>
          <w:highlight w:val="none"/>
          <w:lang w:val="en-US" w:eastAsia="zh-CN" w:bidi="ar-SA"/>
        </w:rPr>
        <w:t>1、</w:t>
      </w:r>
      <w:r>
        <w:rPr>
          <w:rFonts w:hint="eastAsia" w:ascii="宋体" w:hAnsi="宋体" w:eastAsia="宋体" w:cs="宋体"/>
          <w:b/>
          <w:bCs/>
          <w:color w:val="auto"/>
          <w:sz w:val="24"/>
          <w:szCs w:val="24"/>
          <w:highlight w:val="none"/>
          <w:lang w:eastAsia="zh-CN"/>
        </w:rPr>
        <w:t>道路交通车辆拖</w:t>
      </w:r>
      <w:r>
        <w:rPr>
          <w:rFonts w:hint="eastAsia" w:ascii="宋体" w:hAnsi="宋体" w:cs="宋体"/>
          <w:b/>
          <w:bCs/>
          <w:color w:val="auto"/>
          <w:sz w:val="24"/>
          <w:szCs w:val="24"/>
          <w:highlight w:val="none"/>
          <w:lang w:eastAsia="zh-CN"/>
        </w:rPr>
        <w:t>曳</w:t>
      </w:r>
      <w:r>
        <w:rPr>
          <w:rFonts w:hint="eastAsia" w:ascii="宋体" w:hAnsi="宋体" w:eastAsia="宋体" w:cs="宋体"/>
          <w:b/>
          <w:bCs/>
          <w:color w:val="auto"/>
          <w:sz w:val="24"/>
          <w:szCs w:val="24"/>
          <w:highlight w:val="none"/>
          <w:lang w:eastAsia="zh-CN"/>
        </w:rPr>
        <w:t>服务</w:t>
      </w:r>
    </w:p>
    <w:p>
      <w:pPr>
        <w:numPr>
          <w:ilvl w:val="0"/>
          <w:numId w:val="0"/>
        </w:numPr>
        <w:autoSpaceDE w:val="0"/>
        <w:autoSpaceDN w:val="0"/>
        <w:adjustRightInd w:val="0"/>
        <w:spacing w:line="460" w:lineRule="atLeast"/>
        <w:ind w:firstLine="440" w:firstLineChars="200"/>
        <w:rPr>
          <w:rFonts w:hint="eastAsia" w:ascii="宋体" w:eastAsia="宋体" w:cs="宋体"/>
          <w:b/>
          <w:bCs/>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1.1、主要内容为：①因交通事故、交通违法扣押的涉案车辆的拖移（移至）及保管；②交通事故、违法现场救援及与道路交通管理相关的车辆清障备勤服务，各类非法占道物品的清运及交通管理中非扣押清障移车服务（以下简称“清障作业”）。</w:t>
      </w:r>
      <w:r>
        <w:rPr>
          <w:rFonts w:hint="eastAsia" w:ascii="宋体" w:eastAsia="宋体" w:cs="宋体"/>
          <w:b/>
          <w:bCs/>
          <w:color w:val="auto"/>
          <w:sz w:val="22"/>
          <w:szCs w:val="22"/>
          <w:highlight w:val="none"/>
          <w:lang w:val="en-US" w:eastAsia="zh-CN"/>
        </w:rPr>
        <w:t>如因相关的法律法规变动（费用由第三方支付的），采购人有权终止合同。</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1.2、技术要求：</w:t>
      </w:r>
    </w:p>
    <w:p>
      <w:pPr>
        <w:autoSpaceDE w:val="0"/>
        <w:autoSpaceDN w:val="0"/>
        <w:adjustRightInd w:val="0"/>
        <w:spacing w:line="460" w:lineRule="atLeast"/>
        <w:ind w:firstLine="442" w:firstLineChars="200"/>
        <w:rPr>
          <w:rFonts w:hint="eastAsia" w:ascii="宋体" w:eastAsia="宋体" w:cs="宋体"/>
          <w:b/>
          <w:bCs/>
          <w:color w:val="auto"/>
          <w:sz w:val="22"/>
          <w:szCs w:val="22"/>
          <w:lang w:val="en-US" w:eastAsia="zh-CN"/>
        </w:rPr>
      </w:pPr>
      <w:r>
        <w:rPr>
          <w:rFonts w:hint="eastAsia" w:ascii="宋体" w:eastAsia="宋体" w:cs="宋体"/>
          <w:b/>
          <w:bCs/>
          <w:color w:val="auto"/>
          <w:sz w:val="22"/>
          <w:szCs w:val="22"/>
          <w:lang w:val="en-US" w:eastAsia="zh-CN"/>
        </w:rPr>
        <w:t>1.2.1.车辆数量要求</w:t>
      </w:r>
      <w:r>
        <w:rPr>
          <w:rFonts w:hint="eastAsia" w:ascii="宋体" w:cs="宋体"/>
          <w:b/>
          <w:bCs/>
          <w:color w:val="auto"/>
          <w:sz w:val="22"/>
          <w:szCs w:val="22"/>
          <w:lang w:val="en-US" w:eastAsia="zh-CN"/>
        </w:rPr>
        <w:t>：</w:t>
      </w:r>
    </w:p>
    <w:p>
      <w:pPr>
        <w:autoSpaceDE w:val="0"/>
        <w:autoSpaceDN w:val="0"/>
        <w:adjustRightInd w:val="0"/>
        <w:spacing w:line="460" w:lineRule="atLeast"/>
        <w:ind w:firstLine="660" w:firstLineChars="300"/>
        <w:rPr>
          <w:rFonts w:hint="eastAsia" w:ascii="宋体" w:eastAsia="宋体" w:cs="宋体"/>
          <w:b w:val="0"/>
          <w:bCs w:val="0"/>
          <w:color w:val="auto"/>
          <w:sz w:val="22"/>
          <w:szCs w:val="22"/>
          <w:lang w:val="en-US" w:eastAsia="zh-CN"/>
        </w:rPr>
      </w:pPr>
      <w:r>
        <w:rPr>
          <w:rFonts w:hint="eastAsia" w:ascii="宋体" w:cs="宋体"/>
          <w:b w:val="0"/>
          <w:bCs w:val="0"/>
          <w:color w:val="auto"/>
          <w:sz w:val="22"/>
          <w:szCs w:val="22"/>
          <w:lang w:val="en-US" w:eastAsia="zh-CN"/>
        </w:rPr>
        <w:t>投标供应商</w:t>
      </w:r>
      <w:r>
        <w:rPr>
          <w:rFonts w:hint="eastAsia" w:ascii="宋体" w:eastAsia="宋体" w:cs="宋体"/>
          <w:b w:val="0"/>
          <w:bCs w:val="0"/>
          <w:color w:val="auto"/>
          <w:sz w:val="22"/>
          <w:szCs w:val="22"/>
          <w:lang w:val="en-US" w:eastAsia="zh-CN"/>
        </w:rPr>
        <w:t>为本项目投入专业拖车设备不少于6辆，重型1辆、中型专项作业车(一拖二平板车)1辆、中型专项作业车（自动拖）不少于2辆、轻型普通拖车不少于（含）2辆。满足采购人日常交通管理需求，所需油费、维修费、保养费由投标人自行承担，费用包括在本次投标报价中。</w:t>
      </w:r>
    </w:p>
    <w:p>
      <w:pPr>
        <w:autoSpaceDE w:val="0"/>
        <w:autoSpaceDN w:val="0"/>
        <w:adjustRightInd w:val="0"/>
        <w:spacing w:line="460" w:lineRule="atLeast"/>
        <w:ind w:firstLine="660" w:firstLineChars="3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以上车辆数量要求仅为中标供应商提供服务的最低要求，在实际工作中如清障作业需要车辆超出上述要求，中标供应商应当满足。其中轻型专项作业车（自动拖）、轻型普通拖车可以承诺在中标后30天内购置，其它车辆可以租赁合作也可以承诺成交后30天内购置，</w:t>
      </w:r>
      <w:r>
        <w:rPr>
          <w:rFonts w:hint="eastAsia" w:ascii="宋体" w:eastAsia="宋体" w:cs="宋体"/>
          <w:b/>
          <w:bCs/>
          <w:color w:val="auto"/>
          <w:sz w:val="22"/>
          <w:szCs w:val="22"/>
          <w:lang w:val="en-US" w:eastAsia="zh-CN"/>
        </w:rPr>
        <w:t>在报价时提供至少半年的租赁合作合同或30天内购置承诺函</w:t>
      </w:r>
      <w:r>
        <w:rPr>
          <w:rFonts w:hint="eastAsia" w:ascii="宋体" w:eastAsia="宋体" w:cs="宋体"/>
          <w:b w:val="0"/>
          <w:bCs w:val="0"/>
          <w:color w:val="auto"/>
          <w:sz w:val="22"/>
          <w:szCs w:val="22"/>
          <w:lang w:val="en-US" w:eastAsia="zh-CN"/>
        </w:rPr>
        <w:t>。</w:t>
      </w:r>
    </w:p>
    <w:p>
      <w:pPr>
        <w:autoSpaceDE w:val="0"/>
        <w:autoSpaceDN w:val="0"/>
        <w:adjustRightInd w:val="0"/>
        <w:spacing w:line="460" w:lineRule="atLeast"/>
        <w:ind w:firstLine="442" w:firstLineChars="200"/>
        <w:rPr>
          <w:rFonts w:hint="eastAsia" w:ascii="宋体" w:eastAsia="宋体" w:cs="宋体"/>
          <w:b/>
          <w:bCs/>
          <w:color w:val="auto"/>
          <w:sz w:val="22"/>
          <w:szCs w:val="22"/>
          <w:lang w:val="en-US" w:eastAsia="zh-CN"/>
        </w:rPr>
      </w:pPr>
      <w:r>
        <w:rPr>
          <w:rFonts w:hint="eastAsia" w:ascii="宋体" w:eastAsia="宋体" w:cs="宋体"/>
          <w:b/>
          <w:bCs/>
          <w:color w:val="auto"/>
          <w:sz w:val="22"/>
          <w:szCs w:val="22"/>
          <w:lang w:val="en-US" w:eastAsia="zh-CN"/>
        </w:rPr>
        <w:t>1.2.2.车辆状况要求：</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1）所投入的车辆必须具有有效的证照及年检合格单，不得提供报废、非法车辆参与清障作业，保证车况良好并配备足够、完好的交通清障辅助设备（包括枕木、警示筒、警示带、反光标志、拖车辅助轮、千斤顶、具有夜间拍摄和摄录功能的相机等）及通讯工具,并且车辆须为不受交通管制的车辆类型及号牌。大中型专项作业车（含）以上车型还需增配消防器材、破拆工具等设备，以确保清障能力与通信畅通。</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（2）中标供应商提供的车辆必须购买相应的保险，除交强险外，还应购买第三者责任险，且保险理赔时限在本项目服务期限内持续有效。</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（3）到达现场清障作业的车辆必须能够承担并完成采购人指定的清障任务。</w:t>
      </w:r>
      <w:r>
        <w:rPr>
          <w:rFonts w:hint="eastAsia" w:ascii="宋体" w:cs="宋体"/>
          <w:b w:val="0"/>
          <w:bCs w:val="0"/>
          <w:color w:val="auto"/>
          <w:sz w:val="22"/>
          <w:szCs w:val="22"/>
          <w:lang w:val="en-US" w:eastAsia="zh-CN"/>
        </w:rPr>
        <w:t>服务</w:t>
      </w:r>
      <w:r>
        <w:rPr>
          <w:rFonts w:hint="eastAsia" w:ascii="宋体" w:eastAsia="宋体" w:cs="宋体"/>
          <w:b w:val="0"/>
          <w:bCs w:val="0"/>
          <w:color w:val="auto"/>
          <w:sz w:val="22"/>
          <w:szCs w:val="22"/>
          <w:lang w:val="en-US" w:eastAsia="zh-CN"/>
        </w:rPr>
        <w:t>范围内，应尽量使用中型（或轻型）车辆拖曳，减少对</w:t>
      </w:r>
      <w:r>
        <w:rPr>
          <w:rFonts w:hint="eastAsia" w:ascii="宋体" w:cs="宋体"/>
          <w:b w:val="0"/>
          <w:bCs w:val="0"/>
          <w:color w:val="auto"/>
          <w:sz w:val="22"/>
          <w:szCs w:val="22"/>
          <w:lang w:val="en-US" w:eastAsia="zh-CN"/>
        </w:rPr>
        <w:t>县内</w:t>
      </w:r>
      <w:r>
        <w:rPr>
          <w:rFonts w:hint="eastAsia" w:ascii="宋体" w:eastAsia="宋体" w:cs="宋体"/>
          <w:b w:val="0"/>
          <w:bCs w:val="0"/>
          <w:color w:val="auto"/>
          <w:sz w:val="22"/>
          <w:szCs w:val="22"/>
          <w:lang w:val="en-US" w:eastAsia="zh-CN"/>
        </w:rPr>
        <w:t>交通的影响。</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cs="宋体"/>
          <w:b w:val="0"/>
          <w:bCs w:val="0"/>
          <w:color w:val="auto"/>
          <w:sz w:val="22"/>
          <w:szCs w:val="22"/>
          <w:lang w:val="en-US" w:eastAsia="zh-CN"/>
        </w:rPr>
        <w:t>（4）</w:t>
      </w:r>
      <w:r>
        <w:rPr>
          <w:rFonts w:hint="eastAsia" w:ascii="宋体" w:eastAsia="宋体" w:cs="宋体"/>
          <w:b w:val="0"/>
          <w:bCs w:val="0"/>
          <w:color w:val="auto"/>
          <w:sz w:val="22"/>
          <w:szCs w:val="22"/>
          <w:lang w:val="en-US" w:eastAsia="zh-CN"/>
        </w:rPr>
        <w:t>中标供应商须配合采购人涉案财物管理要求，并按采购人规定管理。</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w:t>
      </w:r>
      <w:r>
        <w:rPr>
          <w:rFonts w:hint="eastAsia" w:ascii="宋体" w:cs="宋体"/>
          <w:b w:val="0"/>
          <w:bCs w:val="0"/>
          <w:color w:val="auto"/>
          <w:sz w:val="22"/>
          <w:szCs w:val="22"/>
          <w:lang w:val="en-US" w:eastAsia="zh-CN"/>
        </w:rPr>
        <w:t>5</w:t>
      </w:r>
      <w:r>
        <w:rPr>
          <w:rFonts w:hint="eastAsia" w:ascii="宋体" w:eastAsia="宋体" w:cs="宋体"/>
          <w:b w:val="0"/>
          <w:bCs w:val="0"/>
          <w:color w:val="auto"/>
          <w:sz w:val="22"/>
          <w:szCs w:val="22"/>
          <w:lang w:val="en-US" w:eastAsia="zh-CN"/>
        </w:rPr>
        <w:t>）所投入车辆在执行任务时必须统一标识，统一喷涂中标供应商单位名称及投诉电话，必须达到相关的安全技术要求，相关费用由中标供应商负责。</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w:t>
      </w:r>
      <w:r>
        <w:rPr>
          <w:rFonts w:hint="eastAsia" w:ascii="宋体" w:cs="宋体"/>
          <w:b w:val="0"/>
          <w:bCs w:val="0"/>
          <w:color w:val="auto"/>
          <w:sz w:val="22"/>
          <w:szCs w:val="22"/>
          <w:lang w:val="en-US" w:eastAsia="zh-CN"/>
        </w:rPr>
        <w:t>6</w:t>
      </w:r>
      <w:r>
        <w:rPr>
          <w:rFonts w:hint="eastAsia" w:ascii="宋体" w:eastAsia="宋体" w:cs="宋体"/>
          <w:b w:val="0"/>
          <w:bCs w:val="0"/>
          <w:color w:val="auto"/>
          <w:sz w:val="22"/>
          <w:szCs w:val="22"/>
          <w:lang w:val="en-US" w:eastAsia="zh-CN"/>
        </w:rPr>
        <w:t>）服务期内，中标供应商投入的车辆必须在有效期内，对提供服务的车辆进行维修保养、年检等，在原服务车辆不能按时到场服务的情况下，中标供应商须提供同车型、同吨位的备用车辆（具有合格、完备证照）替代服务。</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w:t>
      </w:r>
      <w:r>
        <w:rPr>
          <w:rFonts w:hint="eastAsia" w:ascii="宋体" w:cs="宋体"/>
          <w:b w:val="0"/>
          <w:bCs w:val="0"/>
          <w:color w:val="auto"/>
          <w:sz w:val="22"/>
          <w:szCs w:val="22"/>
          <w:lang w:val="en-US" w:eastAsia="zh-CN"/>
        </w:rPr>
        <w:t>7</w:t>
      </w:r>
      <w:r>
        <w:rPr>
          <w:rFonts w:hint="eastAsia" w:ascii="宋体" w:eastAsia="宋体" w:cs="宋体"/>
          <w:b w:val="0"/>
          <w:bCs w:val="0"/>
          <w:color w:val="auto"/>
          <w:sz w:val="22"/>
          <w:szCs w:val="22"/>
          <w:lang w:val="en-US" w:eastAsia="zh-CN"/>
        </w:rPr>
        <w:t>）到达现场清障作业的车辆必须能够承担并完成采购人指定的清障任务。</w:t>
      </w:r>
    </w:p>
    <w:p>
      <w:pPr>
        <w:autoSpaceDE w:val="0"/>
        <w:autoSpaceDN w:val="0"/>
        <w:adjustRightInd w:val="0"/>
        <w:spacing w:line="460" w:lineRule="atLeast"/>
        <w:ind w:firstLine="442" w:firstLineChars="200"/>
        <w:rPr>
          <w:rFonts w:hint="eastAsia" w:ascii="宋体" w:eastAsia="宋体" w:cs="宋体"/>
          <w:b/>
          <w:bCs/>
          <w:color w:val="auto"/>
          <w:sz w:val="22"/>
          <w:szCs w:val="22"/>
          <w:lang w:val="en-US" w:eastAsia="zh-CN"/>
        </w:rPr>
      </w:pPr>
      <w:r>
        <w:rPr>
          <w:rFonts w:hint="eastAsia" w:ascii="宋体" w:eastAsia="宋体" w:cs="宋体"/>
          <w:b/>
          <w:bCs/>
          <w:color w:val="auto"/>
          <w:sz w:val="22"/>
          <w:szCs w:val="22"/>
          <w:lang w:val="en-US" w:eastAsia="zh-CN"/>
        </w:rPr>
        <w:t>1.2.3.清障作业人员要求：</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（1）</w:t>
      </w:r>
      <w:r>
        <w:rPr>
          <w:rFonts w:hint="eastAsia" w:ascii="宋体" w:cs="宋体"/>
          <w:b w:val="0"/>
          <w:bCs w:val="0"/>
          <w:color w:val="auto"/>
          <w:sz w:val="22"/>
          <w:szCs w:val="22"/>
          <w:lang w:val="en-US" w:eastAsia="zh-CN"/>
        </w:rPr>
        <w:t>项目负责人：</w:t>
      </w:r>
      <w:r>
        <w:rPr>
          <w:rFonts w:hint="eastAsia" w:ascii="宋体" w:eastAsia="宋体" w:cs="宋体"/>
          <w:b w:val="0"/>
          <w:bCs w:val="0"/>
          <w:color w:val="auto"/>
          <w:sz w:val="22"/>
          <w:szCs w:val="22"/>
          <w:lang w:val="en-US" w:eastAsia="zh-CN"/>
        </w:rPr>
        <w:t>具有一定的管理能力和管理经验</w:t>
      </w:r>
      <w:r>
        <w:rPr>
          <w:rFonts w:hint="eastAsia" w:ascii="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具有大专以上学历</w:t>
      </w:r>
      <w:r>
        <w:rPr>
          <w:rFonts w:hint="eastAsia" w:ascii="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思想端正，作风正派，工作责任心强，有良好的职业道德及语言表达能力</w:t>
      </w:r>
      <w:r>
        <w:rPr>
          <w:rFonts w:hint="eastAsia" w:ascii="宋体" w:cs="宋体"/>
          <w:b w:val="0"/>
          <w:bCs w:val="0"/>
          <w:color w:val="auto"/>
          <w:sz w:val="22"/>
          <w:szCs w:val="22"/>
          <w:lang w:val="en-US" w:eastAsia="zh-CN"/>
        </w:rPr>
        <w:t>；</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cs="宋体"/>
          <w:b w:val="0"/>
          <w:bCs w:val="0"/>
          <w:color w:val="auto"/>
          <w:sz w:val="22"/>
          <w:szCs w:val="22"/>
          <w:lang w:val="en-US" w:eastAsia="zh-CN"/>
        </w:rPr>
        <w:t>（2）</w:t>
      </w:r>
      <w:r>
        <w:rPr>
          <w:rFonts w:hint="eastAsia" w:ascii="宋体" w:eastAsia="宋体" w:cs="宋体"/>
          <w:b w:val="0"/>
          <w:bCs w:val="0"/>
          <w:color w:val="auto"/>
          <w:sz w:val="22"/>
          <w:szCs w:val="22"/>
          <w:lang w:val="en-US" w:eastAsia="zh-CN"/>
        </w:rPr>
        <w:t>车辆驾驶人员及操作人员：在服务期限内，车辆驾驶人员具有有效相符的驾驶证</w:t>
      </w:r>
      <w:r>
        <w:rPr>
          <w:rFonts w:hint="eastAsia" w:ascii="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操作人员具有有效相符的操作证</w:t>
      </w:r>
      <w:r>
        <w:rPr>
          <w:rFonts w:hint="eastAsia" w:ascii="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中标后</w:t>
      </w:r>
      <w:r>
        <w:rPr>
          <w:rFonts w:hint="eastAsia" w:ascii="宋体" w:cs="宋体"/>
          <w:b w:val="0"/>
          <w:bCs w:val="0"/>
          <w:color w:val="auto"/>
          <w:sz w:val="22"/>
          <w:szCs w:val="22"/>
          <w:lang w:val="en-US" w:eastAsia="zh-CN"/>
        </w:rPr>
        <w:t>须</w:t>
      </w:r>
      <w:r>
        <w:rPr>
          <w:rFonts w:hint="eastAsia" w:ascii="宋体" w:eastAsia="宋体" w:cs="宋体"/>
          <w:b w:val="0"/>
          <w:bCs w:val="0"/>
          <w:color w:val="auto"/>
          <w:sz w:val="22"/>
          <w:szCs w:val="22"/>
          <w:lang w:val="en-US" w:eastAsia="zh-CN"/>
        </w:rPr>
        <w:t>将相关人员名单提供给采购人，车辆驾驶人员和操作人员的数量需满足投标人投入专业拖车设备数量，经采购人审核、备案后，方可上岗</w:t>
      </w:r>
      <w:r>
        <w:rPr>
          <w:rFonts w:hint="eastAsia" w:ascii="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无器质性心脏病、癫痫病、美尼尔氏症、眩晕症、癔病、震颤麻痹、精神病、痴呆以及影响肢体活动的神经系统疾病等妨碍安全驾驶疾病</w:t>
      </w:r>
      <w:r>
        <w:rPr>
          <w:rFonts w:hint="eastAsia" w:ascii="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近三年内无满分记录、无酒驾（毒驾）记录，未发生致人死亡或者重大以上的交通事故责任记录</w:t>
      </w:r>
      <w:r>
        <w:rPr>
          <w:rFonts w:hint="eastAsia" w:ascii="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作业时须统一着装，佩戴相应的工作证件，配备必要的劳动及安全防护设施，按规范流程操作，同时必须听从交警的指挥</w:t>
      </w:r>
      <w:r>
        <w:rPr>
          <w:rFonts w:hint="eastAsia" w:ascii="宋体" w:cs="宋体"/>
          <w:b w:val="0"/>
          <w:bCs w:val="0"/>
          <w:color w:val="auto"/>
          <w:sz w:val="22"/>
          <w:szCs w:val="22"/>
          <w:lang w:val="en-US" w:eastAsia="zh-CN"/>
        </w:rPr>
        <w:t>；</w:t>
      </w:r>
    </w:p>
    <w:p>
      <w:pPr>
        <w:autoSpaceDE w:val="0"/>
        <w:autoSpaceDN w:val="0"/>
        <w:adjustRightInd w:val="0"/>
        <w:spacing w:line="460" w:lineRule="atLeast"/>
        <w:ind w:firstLine="440" w:firstLineChars="200"/>
        <w:rPr>
          <w:rFonts w:hint="eastAsia" w:ascii="宋体" w:cs="宋体"/>
          <w:b w:val="0"/>
          <w:bCs w:val="0"/>
          <w:color w:val="auto"/>
          <w:sz w:val="22"/>
          <w:szCs w:val="22"/>
          <w:highlight w:val="none"/>
          <w:lang w:val="en-US" w:eastAsia="zh-CN"/>
        </w:rPr>
      </w:pPr>
      <w:r>
        <w:rPr>
          <w:rFonts w:hint="eastAsia" w:ascii="宋体" w:cs="宋体"/>
          <w:b w:val="0"/>
          <w:bCs w:val="0"/>
          <w:color w:val="auto"/>
          <w:sz w:val="22"/>
          <w:szCs w:val="22"/>
          <w:lang w:val="en-US" w:eastAsia="zh-CN"/>
        </w:rPr>
        <w:t>（3）</w:t>
      </w:r>
      <w:r>
        <w:rPr>
          <w:rFonts w:hint="eastAsia" w:ascii="宋体" w:eastAsia="宋体" w:cs="宋体"/>
          <w:b w:val="0"/>
          <w:bCs w:val="0"/>
          <w:color w:val="auto"/>
          <w:sz w:val="22"/>
          <w:szCs w:val="22"/>
          <w:lang w:val="en-US" w:eastAsia="zh-CN"/>
        </w:rPr>
        <w:t>车辆保管人员</w:t>
      </w:r>
      <w:r>
        <w:rPr>
          <w:rFonts w:hint="eastAsia" w:ascii="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身体健壮，身心健康，政治可靠，无不良行为记录，能够承担工作任务</w:t>
      </w:r>
      <w:r>
        <w:rPr>
          <w:rFonts w:hint="eastAsia" w:ascii="宋体" w:cs="宋体"/>
          <w:b w:val="0"/>
          <w:bCs w:val="0"/>
          <w:color w:val="auto"/>
          <w:sz w:val="22"/>
          <w:szCs w:val="22"/>
          <w:lang w:val="en-US" w:eastAsia="zh-CN"/>
        </w:rPr>
        <w:t>；</w:t>
      </w:r>
      <w:r>
        <w:rPr>
          <w:rFonts w:hint="eastAsia" w:ascii="宋体" w:eastAsia="宋体" w:cs="宋体"/>
          <w:b w:val="0"/>
          <w:bCs w:val="0"/>
          <w:color w:val="auto"/>
          <w:sz w:val="22"/>
          <w:szCs w:val="22"/>
          <w:lang w:val="en-US" w:eastAsia="zh-CN"/>
        </w:rPr>
        <w:t>年龄在60周岁以内</w:t>
      </w:r>
      <w:r>
        <w:rPr>
          <w:rFonts w:hint="eastAsia" w:ascii="宋体" w:cs="宋体"/>
          <w:b w:val="0"/>
          <w:bCs w:val="0"/>
          <w:color w:val="auto"/>
          <w:sz w:val="22"/>
          <w:szCs w:val="22"/>
          <w:lang w:val="en-US" w:eastAsia="zh-CN"/>
        </w:rPr>
        <w:t>；</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lang w:val="en-US" w:eastAsia="zh-CN"/>
        </w:rPr>
        <w:t>（4）</w:t>
      </w:r>
      <w:r>
        <w:rPr>
          <w:rFonts w:hint="eastAsia" w:ascii="宋体" w:eastAsia="宋体" w:cs="宋体"/>
          <w:b w:val="0"/>
          <w:bCs w:val="0"/>
          <w:color w:val="auto"/>
          <w:sz w:val="22"/>
          <w:szCs w:val="22"/>
          <w:highlight w:val="none"/>
          <w:lang w:val="en-US" w:eastAsia="zh-CN"/>
        </w:rPr>
        <w:t>人数要求：每个停车场须配备车辆保管人员不少于2人</w:t>
      </w:r>
      <w:r>
        <w:rPr>
          <w:rFonts w:hint="eastAsia" w:ascii="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val="en-US" w:eastAsia="zh-CN"/>
        </w:rPr>
        <w:t>熟悉业务流程，熟练电脑操作，及车辆管理系统操作</w:t>
      </w:r>
      <w:r>
        <w:rPr>
          <w:rFonts w:hint="eastAsia" w:ascii="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val="en-US" w:eastAsia="zh-CN"/>
        </w:rPr>
        <w:t>停车场内需24小时值守，具体人员由供应商自行安排。</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lang w:val="en-US" w:eastAsia="zh-CN"/>
        </w:rPr>
        <w:t>（5）中标</w:t>
      </w:r>
      <w:r>
        <w:rPr>
          <w:rFonts w:hint="eastAsia" w:ascii="宋体" w:eastAsia="宋体" w:cs="宋体"/>
          <w:b w:val="0"/>
          <w:bCs w:val="0"/>
          <w:color w:val="auto"/>
          <w:sz w:val="22"/>
          <w:szCs w:val="22"/>
          <w:highlight w:val="none"/>
          <w:lang w:val="en-US" w:eastAsia="zh-CN"/>
        </w:rPr>
        <w:t>供应商应加强作业人员交通清障操作技能的培训。实施清障作业的每辆车，应配备1至2名熟悉业务的作业人员，保证交通清障顺利完成。清障作业人员必须统一着装，按规范流程操作，同时必须听从交警的指挥</w:t>
      </w:r>
      <w:r>
        <w:rPr>
          <w:rFonts w:hint="eastAsia" w:ascii="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val="en-US" w:eastAsia="zh-CN"/>
        </w:rPr>
        <w:t>人员</w:t>
      </w:r>
      <w:r>
        <w:rPr>
          <w:rFonts w:hint="eastAsia" w:ascii="宋体" w:cs="宋体"/>
          <w:b w:val="0"/>
          <w:bCs w:val="0"/>
          <w:color w:val="auto"/>
          <w:sz w:val="22"/>
          <w:szCs w:val="22"/>
          <w:highlight w:val="none"/>
          <w:lang w:val="en-US" w:eastAsia="zh-CN"/>
        </w:rPr>
        <w:t>名单</w:t>
      </w:r>
      <w:r>
        <w:rPr>
          <w:rFonts w:hint="eastAsia" w:ascii="宋体" w:eastAsia="宋体" w:cs="宋体"/>
          <w:b w:val="0"/>
          <w:bCs w:val="0"/>
          <w:color w:val="auto"/>
          <w:sz w:val="22"/>
          <w:szCs w:val="22"/>
          <w:highlight w:val="none"/>
          <w:lang w:val="en-US" w:eastAsia="zh-CN"/>
        </w:rPr>
        <w:t>应报采购人备案。</w:t>
      </w:r>
    </w:p>
    <w:p>
      <w:pPr>
        <w:autoSpaceDE w:val="0"/>
        <w:autoSpaceDN w:val="0"/>
        <w:adjustRightInd w:val="0"/>
        <w:spacing w:line="460" w:lineRule="atLeast"/>
        <w:ind w:firstLine="442" w:firstLineChars="200"/>
        <w:rPr>
          <w:rFonts w:hint="eastAsia" w:ascii="宋体" w:eastAsia="宋体" w:cs="宋体"/>
          <w:b/>
          <w:bCs/>
          <w:color w:val="auto"/>
          <w:sz w:val="22"/>
          <w:szCs w:val="22"/>
          <w:highlight w:val="none"/>
          <w:lang w:val="en-US" w:eastAsia="zh-CN"/>
        </w:rPr>
      </w:pPr>
      <w:r>
        <w:rPr>
          <w:rFonts w:hint="eastAsia" w:ascii="宋体" w:eastAsia="宋体" w:cs="宋体"/>
          <w:b/>
          <w:bCs/>
          <w:color w:val="auto"/>
          <w:sz w:val="22"/>
          <w:szCs w:val="22"/>
          <w:highlight w:val="none"/>
          <w:lang w:val="en-US" w:eastAsia="zh-CN"/>
        </w:rPr>
        <w:t>1.2.4.服务时间要求：</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中标供应商提供全天24小时的各类清障作业。中标供应商接到采购人发出的清障指令起计，在30分钟内到达现场提供服务。</w:t>
      </w:r>
    </w:p>
    <w:p>
      <w:pPr>
        <w:autoSpaceDE w:val="0"/>
        <w:autoSpaceDN w:val="0"/>
        <w:adjustRightInd w:val="0"/>
        <w:spacing w:line="460" w:lineRule="atLeast"/>
        <w:ind w:firstLine="442" w:firstLineChars="200"/>
        <w:rPr>
          <w:rFonts w:hint="eastAsia" w:ascii="宋体" w:eastAsia="宋体" w:cs="宋体"/>
          <w:b/>
          <w:bCs/>
          <w:color w:val="auto"/>
          <w:sz w:val="22"/>
          <w:szCs w:val="22"/>
          <w:highlight w:val="none"/>
          <w:lang w:val="en-US" w:eastAsia="zh-CN"/>
        </w:rPr>
      </w:pPr>
      <w:r>
        <w:rPr>
          <w:rFonts w:hint="eastAsia" w:ascii="宋体" w:eastAsia="宋体" w:cs="宋体"/>
          <w:b/>
          <w:bCs/>
          <w:color w:val="auto"/>
          <w:sz w:val="22"/>
          <w:szCs w:val="22"/>
          <w:highlight w:val="none"/>
          <w:lang w:val="en-US" w:eastAsia="zh-CN"/>
        </w:rPr>
        <w:t>1.2.5.定点配套要求：</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highlight w:val="none"/>
          <w:lang w:val="en-US" w:eastAsia="zh-CN"/>
        </w:rPr>
        <w:t>投标供应商须在永嘉县上塘、瓯北、岩头、沙头、乌牛、桥头、桥下、黄田等八个乡镇(街道)设置不少于8处（含）停车场所，且能满足采购人日常停放车辆需求。如暂时未在永嘉县本地设置</w:t>
      </w:r>
      <w:r>
        <w:rPr>
          <w:rFonts w:hint="eastAsia" w:ascii="宋体" w:eastAsia="宋体" w:cs="宋体"/>
          <w:b w:val="0"/>
          <w:bCs w:val="0"/>
          <w:color w:val="auto"/>
          <w:sz w:val="22"/>
          <w:szCs w:val="22"/>
          <w:lang w:val="en-US" w:eastAsia="zh-CN"/>
        </w:rPr>
        <w:t>停车场所的，须在中标后7天内办理完毕，如不能及时设置或设置不合格的将取消其中标资格。</w:t>
      </w:r>
    </w:p>
    <w:p>
      <w:pPr>
        <w:autoSpaceDE w:val="0"/>
        <w:autoSpaceDN w:val="0"/>
        <w:adjustRightInd w:val="0"/>
        <w:spacing w:line="460" w:lineRule="atLeast"/>
        <w:ind w:firstLine="442" w:firstLineChars="200"/>
        <w:rPr>
          <w:rFonts w:hint="eastAsia" w:ascii="宋体" w:eastAsia="宋体" w:cs="宋体"/>
          <w:b/>
          <w:bCs/>
          <w:color w:val="auto"/>
          <w:sz w:val="22"/>
          <w:szCs w:val="22"/>
          <w:highlight w:val="none"/>
          <w:lang w:val="en-US" w:eastAsia="zh-CN"/>
        </w:rPr>
      </w:pPr>
      <w:r>
        <w:rPr>
          <w:rFonts w:hint="eastAsia" w:ascii="宋体" w:eastAsia="宋体" w:cs="宋体"/>
          <w:b/>
          <w:bCs/>
          <w:color w:val="auto"/>
          <w:sz w:val="22"/>
          <w:szCs w:val="22"/>
          <w:highlight w:val="none"/>
          <w:lang w:val="en-US" w:eastAsia="zh-CN"/>
        </w:rPr>
        <w:t>1.2.6.现场作业要求</w:t>
      </w:r>
      <w:r>
        <w:rPr>
          <w:rFonts w:hint="eastAsia" w:ascii="宋体" w:cs="宋体"/>
          <w:b/>
          <w:bCs/>
          <w:color w:val="auto"/>
          <w:sz w:val="22"/>
          <w:szCs w:val="22"/>
          <w:highlight w:val="none"/>
          <w:lang w:val="en-US" w:eastAsia="zh-CN"/>
        </w:rPr>
        <w:t>：</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highlight w:val="none"/>
          <w:lang w:val="en-US" w:eastAsia="zh-CN"/>
        </w:rPr>
        <w:t>（1）中标供应商应按照采购人</w:t>
      </w:r>
      <w:r>
        <w:rPr>
          <w:rFonts w:hint="eastAsia" w:ascii="宋体" w:eastAsia="宋体" w:cs="宋体"/>
          <w:b w:val="0"/>
          <w:bCs w:val="0"/>
          <w:color w:val="auto"/>
          <w:sz w:val="22"/>
          <w:szCs w:val="22"/>
          <w:lang w:val="en-US" w:eastAsia="zh-CN"/>
        </w:rPr>
        <w:t>制订的拖车作业规范实施作业，包括对被拖车辆的检查和清点、按要求填写拖车清障作业单，以及按规范流程进行作业等；</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（2）拖车作业人员应服从现场交警的指挥；</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（3）中标供应商实施拖车，必须受交警部门指挥室指令或交警现场指令。</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（4）中标供应商作业时必须严格遵守道路交通管理规定，不得因作业而影响交通、造成交通堵塞或损坏市政设施（如因作业需要违反交通管理规定的，应经现场交警同意）。</w:t>
      </w:r>
    </w:p>
    <w:p>
      <w:pPr>
        <w:autoSpaceDE w:val="0"/>
        <w:autoSpaceDN w:val="0"/>
        <w:adjustRightInd w:val="0"/>
        <w:spacing w:line="460" w:lineRule="atLeast"/>
        <w:ind w:firstLine="442" w:firstLineChars="200"/>
        <w:rPr>
          <w:rFonts w:hint="eastAsia" w:ascii="宋体" w:hAnsi="Times New Roman" w:eastAsia="宋体" w:cs="宋体"/>
          <w:b/>
          <w:bCs/>
          <w:color w:val="auto"/>
          <w:sz w:val="22"/>
          <w:szCs w:val="22"/>
          <w:lang w:val="en-US" w:eastAsia="zh-CN"/>
        </w:rPr>
      </w:pPr>
      <w:r>
        <w:rPr>
          <w:rFonts w:hint="eastAsia" w:ascii="宋体" w:hAnsi="Times New Roman" w:eastAsia="宋体" w:cs="宋体"/>
          <w:b/>
          <w:bCs/>
          <w:color w:val="auto"/>
          <w:sz w:val="22"/>
          <w:szCs w:val="22"/>
          <w:lang w:val="en-US" w:eastAsia="zh-CN"/>
        </w:rPr>
        <w:t>1.2.7.被清拖车辆物品处理要求：</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hAnsi="Times New Roman" w:eastAsia="宋体" w:cs="宋体"/>
          <w:b w:val="0"/>
          <w:bCs w:val="0"/>
          <w:color w:val="auto"/>
          <w:sz w:val="22"/>
          <w:szCs w:val="22"/>
          <w:lang w:val="en-US" w:eastAsia="zh-CN"/>
        </w:rPr>
        <w:t>中标供应商应按照采购人规定的程</w:t>
      </w:r>
      <w:r>
        <w:rPr>
          <w:rFonts w:hint="eastAsia" w:ascii="宋体" w:eastAsia="宋体" w:cs="宋体"/>
          <w:b w:val="0"/>
          <w:bCs w:val="0"/>
          <w:color w:val="auto"/>
          <w:sz w:val="22"/>
          <w:szCs w:val="22"/>
          <w:lang w:val="en-US" w:eastAsia="zh-CN"/>
        </w:rPr>
        <w:t>序及规范处置被拖车辆的随车物品，未经采购人或当事人同意，中标供应商不得进入被拖车辆的车辆内部。</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lang w:val="en-US" w:eastAsia="zh-CN"/>
        </w:rPr>
        <w:t>1.2.</w:t>
      </w:r>
      <w:r>
        <w:rPr>
          <w:rFonts w:hint="eastAsia" w:ascii="宋体" w:eastAsia="宋体" w:cs="宋体"/>
          <w:b w:val="0"/>
          <w:bCs w:val="0"/>
          <w:color w:val="auto"/>
          <w:sz w:val="22"/>
          <w:szCs w:val="22"/>
          <w:highlight w:val="none"/>
          <w:lang w:val="en-US" w:eastAsia="zh-CN"/>
        </w:rPr>
        <w:t>8.中标供应商应按照要求将车辆拖至采购人指定的停车场地，因中标供应商违反拖车作业规范和被清拖车辆物品处理要求的，导致车辆（含随车物品）损坏或遗失的，其法律、经济责任由中标供应商承担。</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1.2.9.如现场民警要求将涉案货车拖移至称重点或治超点进行称重的，中标供应商应予以满足，并在完成称重后，再将车辆拖移至指定的停车场</w:t>
      </w:r>
      <w:r>
        <w:rPr>
          <w:rFonts w:hint="eastAsia" w:ascii="宋体" w:cs="宋体"/>
          <w:b w:val="0"/>
          <w:bCs w:val="0"/>
          <w:color w:val="auto"/>
          <w:sz w:val="22"/>
          <w:szCs w:val="22"/>
          <w:highlight w:val="none"/>
          <w:lang w:val="en-US" w:eastAsia="zh-CN"/>
        </w:rPr>
        <w:t>；</w:t>
      </w:r>
      <w:r>
        <w:rPr>
          <w:rFonts w:hint="eastAsia" w:ascii="宋体" w:cs="宋体"/>
          <w:b/>
          <w:bCs/>
          <w:color w:val="auto"/>
          <w:sz w:val="22"/>
          <w:szCs w:val="22"/>
          <w:highlight w:val="none"/>
          <w:lang w:val="en-US" w:eastAsia="zh-CN"/>
        </w:rPr>
        <w:t>中标供应商不得向第三方收取任何的拖车费用、免费称重</w:t>
      </w:r>
      <w:r>
        <w:rPr>
          <w:rFonts w:hint="eastAsia" w:ascii="宋体" w:eastAsia="宋体" w:cs="宋体"/>
          <w:b/>
          <w:bCs/>
          <w:color w:val="auto"/>
          <w:sz w:val="22"/>
          <w:szCs w:val="22"/>
          <w:highlight w:val="none"/>
          <w:lang w:val="en-US" w:eastAsia="zh-CN"/>
        </w:rPr>
        <w:t>。</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1.2.10.中标供应商应对“清障作业”所拖车辆、物品数据进行分类登记，并定期向采购人报备。</w:t>
      </w:r>
    </w:p>
    <w:p>
      <w:pPr>
        <w:keepNext w:val="0"/>
        <w:keepLines w:val="0"/>
        <w:pageBreakBefore w:val="0"/>
        <w:widowControl w:val="0"/>
        <w:kinsoku/>
        <w:wordWrap/>
        <w:overflowPunct/>
        <w:topLinePunct w:val="0"/>
        <w:autoSpaceDE w:val="0"/>
        <w:autoSpaceDN w:val="0"/>
        <w:bidi w:val="0"/>
        <w:adjustRightInd w:val="0"/>
        <w:snapToGrid/>
        <w:spacing w:after="63" w:afterLines="20" w:line="460" w:lineRule="atLeast"/>
        <w:ind w:firstLine="442" w:firstLineChars="200"/>
        <w:textAlignment w:val="auto"/>
        <w:rPr>
          <w:rFonts w:hint="eastAsia" w:ascii="宋体" w:eastAsia="宋体" w:cs="宋体"/>
          <w:b/>
          <w:bCs/>
          <w:color w:val="auto"/>
          <w:sz w:val="22"/>
          <w:szCs w:val="22"/>
          <w:highlight w:val="none"/>
          <w:lang w:val="en-US" w:eastAsia="zh-CN"/>
        </w:rPr>
      </w:pPr>
      <w:r>
        <w:rPr>
          <w:rFonts w:hint="eastAsia" w:ascii="宋体" w:eastAsia="宋体" w:cs="宋体"/>
          <w:b/>
          <w:bCs/>
          <w:color w:val="auto"/>
          <w:sz w:val="22"/>
          <w:szCs w:val="22"/>
          <w:highlight w:val="none"/>
          <w:lang w:val="en-US" w:eastAsia="zh-CN"/>
        </w:rPr>
        <w:t>1.3.单价</w:t>
      </w:r>
    </w:p>
    <w:tbl>
      <w:tblPr>
        <w:tblStyle w:val="45"/>
        <w:tblW w:w="4969"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2"/>
        <w:gridCol w:w="1505"/>
        <w:gridCol w:w="3148"/>
        <w:gridCol w:w="31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26" w:type="pct"/>
            <w:tcBorders>
              <w:right w:val="single" w:color="auto" w:sz="4" w:space="0"/>
            </w:tcBorders>
            <w:noWrap w:val="0"/>
            <w:vAlign w:val="center"/>
          </w:tcPr>
          <w:p>
            <w:pPr>
              <w:pStyle w:val="25"/>
              <w:jc w:val="center"/>
              <w:rPr>
                <w:rFonts w:hAnsi="宋体" w:eastAsia="宋体"/>
                <w:color w:val="auto"/>
                <w:sz w:val="22"/>
                <w:highlight w:val="none"/>
              </w:rPr>
            </w:pPr>
            <w:r>
              <w:rPr>
                <w:rFonts w:hint="eastAsia" w:hAnsi="宋体"/>
                <w:color w:val="auto"/>
                <w:sz w:val="22"/>
                <w:szCs w:val="22"/>
                <w:highlight w:val="none"/>
                <w:lang w:eastAsia="zh-CN"/>
              </w:rPr>
              <w:t>序号</w:t>
            </w:r>
          </w:p>
        </w:tc>
        <w:tc>
          <w:tcPr>
            <w:tcW w:w="868" w:type="pct"/>
            <w:tcBorders>
              <w:left w:val="single" w:color="auto" w:sz="4" w:space="0"/>
              <w:right w:val="single" w:color="auto" w:sz="4" w:space="0"/>
            </w:tcBorders>
            <w:noWrap w:val="0"/>
            <w:vAlign w:val="center"/>
          </w:tcPr>
          <w:p>
            <w:pPr>
              <w:pStyle w:val="25"/>
              <w:jc w:val="center"/>
              <w:rPr>
                <w:rFonts w:hAnsi="宋体" w:eastAsia="宋体"/>
                <w:color w:val="auto"/>
                <w:sz w:val="22"/>
                <w:highlight w:val="none"/>
              </w:rPr>
            </w:pPr>
            <w:r>
              <w:rPr>
                <w:rFonts w:hint="eastAsia" w:eastAsia="宋体" w:cs="仿宋_GB2312"/>
                <w:color w:val="auto"/>
                <w:sz w:val="22"/>
                <w:szCs w:val="22"/>
                <w:highlight w:val="none"/>
                <w:lang w:val="zh-CN"/>
              </w:rPr>
              <w:t>投标综合单价</w:t>
            </w:r>
          </w:p>
        </w:tc>
        <w:tc>
          <w:tcPr>
            <w:tcW w:w="1815" w:type="pct"/>
            <w:tcBorders>
              <w:left w:val="single" w:color="auto" w:sz="4" w:space="0"/>
            </w:tcBorders>
            <w:noWrap w:val="0"/>
            <w:vAlign w:val="center"/>
          </w:tcPr>
          <w:p>
            <w:pPr>
              <w:pStyle w:val="25"/>
              <w:jc w:val="center"/>
              <w:rPr>
                <w:rFonts w:hint="default" w:hAnsi="宋体" w:eastAsia="宋体"/>
                <w:color w:val="auto"/>
                <w:sz w:val="22"/>
                <w:highlight w:val="none"/>
                <w:lang w:val="en-US" w:eastAsia="zh-CN"/>
              </w:rPr>
            </w:pPr>
            <w:r>
              <w:rPr>
                <w:rFonts w:hint="eastAsia" w:hAnsi="宋体" w:eastAsia="宋体"/>
                <w:color w:val="auto"/>
                <w:sz w:val="22"/>
                <w:szCs w:val="22"/>
                <w:highlight w:val="none"/>
                <w:lang w:val="en-US" w:eastAsia="zh-CN"/>
              </w:rPr>
              <w:t>投标单价</w:t>
            </w:r>
          </w:p>
        </w:tc>
        <w:tc>
          <w:tcPr>
            <w:tcW w:w="1789" w:type="pct"/>
            <w:tcBorders>
              <w:left w:val="single" w:color="auto" w:sz="4" w:space="0"/>
            </w:tcBorders>
            <w:noWrap w:val="0"/>
            <w:vAlign w:val="center"/>
          </w:tcPr>
          <w:p>
            <w:pPr>
              <w:pStyle w:val="25"/>
              <w:jc w:val="center"/>
              <w:rPr>
                <w:rFonts w:hint="default" w:hAnsi="宋体" w:eastAsia="宋体"/>
                <w:color w:val="auto"/>
                <w:sz w:val="22"/>
                <w:szCs w:val="22"/>
                <w:highlight w:val="none"/>
                <w:lang w:val="en-US" w:eastAsia="zh-CN"/>
              </w:rPr>
            </w:pPr>
            <w:r>
              <w:rPr>
                <w:rFonts w:hint="eastAsia" w:hAnsi="宋体" w:eastAsia="宋体"/>
                <w:color w:val="auto"/>
                <w:sz w:val="22"/>
                <w:szCs w:val="22"/>
                <w:highlight w:val="none"/>
                <w:lang w:val="en-US" w:eastAsia="zh-CN"/>
              </w:rPr>
              <w:t>单价最高限价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8" w:hRule="atLeast"/>
        </w:trPr>
        <w:tc>
          <w:tcPr>
            <w:tcW w:w="526" w:type="pct"/>
            <w:vMerge w:val="restart"/>
            <w:tcBorders>
              <w:right w:val="single" w:color="auto" w:sz="4" w:space="0"/>
            </w:tcBorders>
            <w:noWrap w:val="0"/>
            <w:vAlign w:val="center"/>
          </w:tcPr>
          <w:p>
            <w:pPr>
              <w:pStyle w:val="25"/>
              <w:jc w:val="center"/>
              <w:rPr>
                <w:rFonts w:hint="eastAsia" w:hAnsi="宋体" w:eastAsia="宋体"/>
                <w:color w:val="auto"/>
                <w:sz w:val="22"/>
                <w:highlight w:val="none"/>
                <w:lang w:eastAsia="zh-CN"/>
              </w:rPr>
            </w:pPr>
            <w:r>
              <w:rPr>
                <w:rFonts w:hint="eastAsia" w:cs="宋体"/>
                <w:b/>
                <w:bCs/>
                <w:color w:val="auto"/>
                <w:sz w:val="22"/>
                <w:highlight w:val="none"/>
                <w:lang w:val="en-US" w:eastAsia="zh-CN"/>
              </w:rPr>
              <w:t>1、</w:t>
            </w:r>
            <w:r>
              <w:rPr>
                <w:rFonts w:hint="eastAsia" w:ascii="宋体" w:hAnsi="宋体" w:eastAsia="宋体" w:cs="宋体"/>
                <w:b/>
                <w:bCs/>
                <w:color w:val="auto"/>
                <w:sz w:val="24"/>
                <w:szCs w:val="24"/>
                <w:highlight w:val="none"/>
                <w:lang w:eastAsia="zh-CN"/>
              </w:rPr>
              <w:t>道路交通车辆拖</w:t>
            </w:r>
            <w:r>
              <w:rPr>
                <w:rFonts w:hint="eastAsia" w:ascii="宋体" w:hAnsi="宋体" w:cs="宋体"/>
                <w:b/>
                <w:bCs/>
                <w:color w:val="auto"/>
                <w:sz w:val="24"/>
                <w:szCs w:val="24"/>
                <w:highlight w:val="none"/>
                <w:lang w:eastAsia="zh-CN"/>
              </w:rPr>
              <w:t>曳</w:t>
            </w:r>
            <w:r>
              <w:rPr>
                <w:rFonts w:hint="eastAsia" w:ascii="宋体" w:hAnsi="宋体" w:eastAsia="宋体" w:cs="宋体"/>
                <w:b/>
                <w:bCs/>
                <w:color w:val="auto"/>
                <w:sz w:val="24"/>
                <w:szCs w:val="24"/>
                <w:highlight w:val="none"/>
                <w:lang w:eastAsia="zh-CN"/>
              </w:rPr>
              <w:t>服务</w:t>
            </w:r>
          </w:p>
        </w:tc>
        <w:tc>
          <w:tcPr>
            <w:tcW w:w="868" w:type="pct"/>
            <w:vMerge w:val="restart"/>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城区内服务</w:t>
            </w:r>
          </w:p>
          <w:p>
            <w:pPr>
              <w:pStyle w:val="25"/>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单价(上塘、瓯北、乌牛、桥头、桥下、黄田）</w:t>
            </w:r>
          </w:p>
          <w:p>
            <w:pPr>
              <w:pStyle w:val="25"/>
              <w:spacing w:line="460" w:lineRule="atLeast"/>
              <w:jc w:val="both"/>
              <w:rPr>
                <w:rFonts w:hint="default" w:hAnsi="宋体" w:eastAsia="宋体"/>
                <w:b w:val="0"/>
                <w:color w:val="auto"/>
                <w:sz w:val="22"/>
                <w:highlight w:val="none"/>
                <w:lang w:val="en-US"/>
              </w:rPr>
            </w:pPr>
            <w:r>
              <w:rPr>
                <w:rFonts w:hint="eastAsia" w:ascii="宋体"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w:t>
            </w:r>
          </w:p>
        </w:tc>
        <w:tc>
          <w:tcPr>
            <w:tcW w:w="1815" w:type="pct"/>
            <w:tcBorders>
              <w:left w:val="single" w:color="auto" w:sz="4" w:space="0"/>
            </w:tcBorders>
            <w:noWrap w:val="0"/>
            <w:vAlign w:val="center"/>
          </w:tcPr>
          <w:p>
            <w:pPr>
              <w:widowControl/>
              <w:jc w:val="center"/>
              <w:rPr>
                <w:rFonts w:ascii="宋体" w:eastAsia="宋体"/>
                <w:b w:val="0"/>
                <w:color w:val="auto"/>
                <w:sz w:val="22"/>
                <w:highlight w:val="none"/>
              </w:rPr>
            </w:pPr>
            <w:r>
              <w:rPr>
                <w:rFonts w:hint="eastAsia" w:ascii="宋体" w:eastAsia="宋体" w:cs="宋体"/>
                <w:b w:val="0"/>
                <w:bCs w:val="0"/>
                <w:color w:val="auto"/>
                <w:sz w:val="22"/>
                <w:szCs w:val="22"/>
                <w:highlight w:val="none"/>
                <w:lang w:val="en-US" w:eastAsia="zh-CN"/>
              </w:rPr>
              <w:t>小型汽车</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元/辆</w:t>
            </w:r>
          </w:p>
        </w:tc>
        <w:tc>
          <w:tcPr>
            <w:tcW w:w="3101"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eastAsia="宋体" w:cs="宋体"/>
                <w:b w:val="0"/>
                <w:bCs w:val="0"/>
                <w:color w:val="auto"/>
                <w:sz w:val="22"/>
                <w:szCs w:val="22"/>
                <w:highlight w:val="none"/>
                <w:lang w:val="en-US" w:eastAsia="zh-CN"/>
              </w:rPr>
              <w:t>小型汽车</w:t>
            </w:r>
            <w:r>
              <w:rPr>
                <w:rFonts w:hint="eastAsia" w:ascii="宋体" w:cs="宋体"/>
                <w:b w:val="0"/>
                <w:bCs w:val="0"/>
                <w:color w:val="auto"/>
                <w:sz w:val="22"/>
                <w:szCs w:val="22"/>
                <w:highlight w:val="none"/>
                <w:lang w:val="en-US" w:eastAsia="zh-CN"/>
              </w:rPr>
              <w:t>135</w:t>
            </w:r>
            <w:r>
              <w:rPr>
                <w:rFonts w:hint="eastAsia" w:ascii="宋体" w:eastAsia="宋体" w:cs="宋体"/>
                <w:b w:val="0"/>
                <w:bCs w:val="0"/>
                <w:color w:val="auto"/>
                <w:sz w:val="22"/>
                <w:szCs w:val="22"/>
                <w:highlight w:val="none"/>
                <w:lang w:val="en-US" w:eastAsia="zh-CN"/>
              </w:rPr>
              <w:t>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2" w:hRule="atLeast"/>
        </w:trPr>
        <w:tc>
          <w:tcPr>
            <w:tcW w:w="526" w:type="pct"/>
            <w:vMerge w:val="continue"/>
            <w:tcBorders>
              <w:right w:val="single" w:color="auto" w:sz="4" w:space="0"/>
            </w:tcBorders>
            <w:noWrap w:val="0"/>
            <w:vAlign w:val="center"/>
          </w:tcPr>
          <w:p>
            <w:pPr>
              <w:pStyle w:val="25"/>
              <w:jc w:val="center"/>
              <w:rPr>
                <w:rFonts w:hint="eastAsia" w:eastAsia="宋体" w:cs="Courier New"/>
                <w:b w:val="0"/>
                <w:color w:val="auto"/>
                <w:sz w:val="22"/>
                <w:szCs w:val="22"/>
                <w:highlight w:val="none"/>
                <w:lang w:eastAsia="zh-CN"/>
              </w:rPr>
            </w:pPr>
          </w:p>
        </w:tc>
        <w:tc>
          <w:tcPr>
            <w:tcW w:w="868" w:type="pct"/>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none"/>
                <w:lang w:val="en-US" w:eastAsia="zh-CN"/>
              </w:rPr>
            </w:pPr>
          </w:p>
        </w:tc>
        <w:tc>
          <w:tcPr>
            <w:tcW w:w="1815" w:type="pct"/>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黄牌汽车</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元/辆；</w:t>
            </w:r>
          </w:p>
        </w:tc>
        <w:tc>
          <w:tcPr>
            <w:tcW w:w="3101"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eastAsia="宋体" w:cs="宋体"/>
                <w:b w:val="0"/>
                <w:bCs w:val="0"/>
                <w:color w:val="auto"/>
                <w:sz w:val="22"/>
                <w:szCs w:val="22"/>
                <w:highlight w:val="none"/>
                <w:lang w:val="en-US" w:eastAsia="zh-CN"/>
              </w:rPr>
              <w:t>黄牌汽车</w:t>
            </w:r>
            <w:r>
              <w:rPr>
                <w:rFonts w:hint="eastAsia" w:ascii="宋体"/>
                <w:b w:val="0"/>
                <w:color w:val="auto"/>
                <w:sz w:val="22"/>
                <w:highlight w:val="none"/>
                <w:lang w:val="en-US" w:eastAsia="zh-CN"/>
              </w:rPr>
              <w:t>390元/辆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0" w:hRule="atLeast"/>
        </w:trPr>
        <w:tc>
          <w:tcPr>
            <w:tcW w:w="526" w:type="pct"/>
            <w:vMerge w:val="continue"/>
            <w:tcBorders>
              <w:right w:val="single" w:color="auto" w:sz="4" w:space="0"/>
            </w:tcBorders>
            <w:noWrap w:val="0"/>
            <w:vAlign w:val="center"/>
          </w:tcPr>
          <w:p>
            <w:pPr>
              <w:pStyle w:val="25"/>
              <w:jc w:val="center"/>
              <w:rPr>
                <w:rFonts w:hint="eastAsia" w:eastAsia="宋体" w:cs="Courier New"/>
                <w:b w:val="0"/>
                <w:color w:val="auto"/>
                <w:sz w:val="22"/>
                <w:szCs w:val="22"/>
                <w:highlight w:val="none"/>
                <w:lang w:eastAsia="zh-CN"/>
              </w:rPr>
            </w:pPr>
          </w:p>
        </w:tc>
        <w:tc>
          <w:tcPr>
            <w:tcW w:w="868" w:type="pct"/>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none"/>
                <w:lang w:val="en-US" w:eastAsia="zh-CN"/>
              </w:rPr>
            </w:pPr>
          </w:p>
        </w:tc>
        <w:tc>
          <w:tcPr>
            <w:tcW w:w="1815" w:type="pct"/>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二、三轮摩托车</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元/辆</w:t>
            </w:r>
          </w:p>
        </w:tc>
        <w:tc>
          <w:tcPr>
            <w:tcW w:w="3101"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eastAsia="宋体" w:cs="宋体"/>
                <w:b w:val="0"/>
                <w:bCs w:val="0"/>
                <w:color w:val="auto"/>
                <w:sz w:val="22"/>
                <w:szCs w:val="22"/>
                <w:highlight w:val="none"/>
                <w:lang w:val="en-US" w:eastAsia="zh-CN"/>
              </w:rPr>
              <w:t>二、三轮摩托车</w:t>
            </w:r>
            <w:r>
              <w:rPr>
                <w:rFonts w:hint="eastAsia" w:ascii="宋体" w:cs="宋体"/>
                <w:b w:val="0"/>
                <w:bCs w:val="0"/>
                <w:color w:val="auto"/>
                <w:sz w:val="22"/>
                <w:szCs w:val="22"/>
                <w:highlight w:val="none"/>
                <w:lang w:val="en-US" w:eastAsia="zh-CN"/>
              </w:rPr>
              <w:t>45</w:t>
            </w:r>
            <w:r>
              <w:rPr>
                <w:rFonts w:hint="eastAsia" w:ascii="宋体" w:eastAsia="宋体" w:cs="宋体"/>
                <w:b w:val="0"/>
                <w:bCs w:val="0"/>
                <w:color w:val="auto"/>
                <w:sz w:val="22"/>
                <w:szCs w:val="22"/>
                <w:highlight w:val="none"/>
                <w:lang w:val="en-US" w:eastAsia="zh-CN"/>
              </w:rPr>
              <w:t>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 w:hRule="atLeast"/>
        </w:trPr>
        <w:tc>
          <w:tcPr>
            <w:tcW w:w="526" w:type="pct"/>
            <w:vMerge w:val="continue"/>
            <w:tcBorders>
              <w:right w:val="single" w:color="auto" w:sz="4" w:space="0"/>
            </w:tcBorders>
            <w:noWrap w:val="0"/>
            <w:vAlign w:val="center"/>
          </w:tcPr>
          <w:p>
            <w:pPr>
              <w:pStyle w:val="25"/>
              <w:jc w:val="center"/>
              <w:rPr>
                <w:rFonts w:hint="eastAsia" w:eastAsia="宋体" w:cs="Courier New"/>
                <w:b w:val="0"/>
                <w:color w:val="auto"/>
                <w:sz w:val="22"/>
                <w:szCs w:val="22"/>
                <w:highlight w:val="none"/>
                <w:lang w:eastAsia="zh-CN"/>
              </w:rPr>
            </w:pPr>
          </w:p>
        </w:tc>
        <w:tc>
          <w:tcPr>
            <w:tcW w:w="868" w:type="pct"/>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none"/>
                <w:lang w:val="en-US" w:eastAsia="zh-CN"/>
              </w:rPr>
            </w:pPr>
          </w:p>
        </w:tc>
        <w:tc>
          <w:tcPr>
            <w:tcW w:w="1815" w:type="pct"/>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二、三轮电动车</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元/辆</w:t>
            </w:r>
          </w:p>
        </w:tc>
        <w:tc>
          <w:tcPr>
            <w:tcW w:w="3101"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eastAsia="宋体" w:cs="宋体"/>
                <w:b w:val="0"/>
                <w:bCs w:val="0"/>
                <w:color w:val="auto"/>
                <w:sz w:val="22"/>
                <w:szCs w:val="22"/>
                <w:highlight w:val="none"/>
                <w:lang w:val="en-US" w:eastAsia="zh-CN"/>
              </w:rPr>
              <w:t>二、三轮电动车</w:t>
            </w:r>
            <w:r>
              <w:rPr>
                <w:rFonts w:hint="eastAsia" w:ascii="宋体" w:cs="宋体"/>
                <w:b w:val="0"/>
                <w:bCs w:val="0"/>
                <w:color w:val="auto"/>
                <w:sz w:val="22"/>
                <w:szCs w:val="22"/>
                <w:highlight w:val="none"/>
                <w:lang w:val="en-US" w:eastAsia="zh-CN"/>
              </w:rPr>
              <w:t>45</w:t>
            </w:r>
            <w:r>
              <w:rPr>
                <w:rFonts w:hint="eastAsia" w:ascii="宋体" w:eastAsia="宋体" w:cs="宋体"/>
                <w:b w:val="0"/>
                <w:bCs w:val="0"/>
                <w:color w:val="auto"/>
                <w:sz w:val="22"/>
                <w:szCs w:val="22"/>
                <w:highlight w:val="none"/>
                <w:lang w:val="en-US" w:eastAsia="zh-CN"/>
              </w:rPr>
              <w:t>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8" w:hRule="atLeast"/>
        </w:trPr>
        <w:tc>
          <w:tcPr>
            <w:tcW w:w="526" w:type="pct"/>
            <w:vMerge w:val="continue"/>
            <w:tcBorders>
              <w:right w:val="single" w:color="auto" w:sz="4" w:space="0"/>
            </w:tcBorders>
            <w:noWrap w:val="0"/>
            <w:vAlign w:val="center"/>
          </w:tcPr>
          <w:p>
            <w:pPr>
              <w:pStyle w:val="25"/>
              <w:jc w:val="center"/>
              <w:rPr>
                <w:rFonts w:hint="eastAsia" w:eastAsia="宋体" w:cs="Courier New"/>
                <w:b w:val="0"/>
                <w:color w:val="auto"/>
                <w:sz w:val="22"/>
                <w:szCs w:val="22"/>
                <w:highlight w:val="none"/>
                <w:lang w:eastAsia="zh-CN"/>
              </w:rPr>
            </w:pPr>
          </w:p>
        </w:tc>
        <w:tc>
          <w:tcPr>
            <w:tcW w:w="868" w:type="pct"/>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none"/>
                <w:lang w:val="en-US" w:eastAsia="zh-CN"/>
              </w:rPr>
            </w:pPr>
          </w:p>
        </w:tc>
        <w:tc>
          <w:tcPr>
            <w:tcW w:w="1815" w:type="pct"/>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自行车</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元/辆</w:t>
            </w:r>
          </w:p>
        </w:tc>
        <w:tc>
          <w:tcPr>
            <w:tcW w:w="3101"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eastAsia="宋体" w:cs="宋体"/>
                <w:b w:val="0"/>
                <w:bCs w:val="0"/>
                <w:color w:val="auto"/>
                <w:sz w:val="22"/>
                <w:szCs w:val="22"/>
                <w:highlight w:val="none"/>
                <w:lang w:val="en-US" w:eastAsia="zh-CN"/>
              </w:rPr>
              <w:t>自行车</w:t>
            </w:r>
            <w:r>
              <w:rPr>
                <w:rFonts w:hint="eastAsia" w:ascii="宋体" w:cs="宋体"/>
                <w:b w:val="0"/>
                <w:bCs w:val="0"/>
                <w:color w:val="auto"/>
                <w:sz w:val="22"/>
                <w:szCs w:val="22"/>
                <w:highlight w:val="none"/>
                <w:lang w:val="en-US" w:eastAsia="zh-CN"/>
              </w:rPr>
              <w:t>40</w:t>
            </w:r>
            <w:r>
              <w:rPr>
                <w:rFonts w:hint="eastAsia" w:ascii="宋体" w:eastAsia="宋体" w:cs="宋体"/>
                <w:b w:val="0"/>
                <w:bCs w:val="0"/>
                <w:color w:val="auto"/>
                <w:sz w:val="22"/>
                <w:szCs w:val="22"/>
                <w:highlight w:val="none"/>
                <w:lang w:val="en-US" w:eastAsia="zh-CN"/>
              </w:rPr>
              <w:t>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 w:hRule="atLeast"/>
        </w:trPr>
        <w:tc>
          <w:tcPr>
            <w:tcW w:w="526" w:type="pct"/>
            <w:vMerge w:val="continue"/>
            <w:tcBorders>
              <w:right w:val="single" w:color="auto" w:sz="4" w:space="0"/>
            </w:tcBorders>
            <w:noWrap w:val="0"/>
            <w:vAlign w:val="center"/>
          </w:tcPr>
          <w:p>
            <w:pPr>
              <w:pStyle w:val="25"/>
              <w:jc w:val="center"/>
              <w:rPr>
                <w:rFonts w:hint="eastAsia" w:eastAsia="宋体" w:cs="Courier New"/>
                <w:b w:val="0"/>
                <w:color w:val="auto"/>
                <w:sz w:val="22"/>
                <w:szCs w:val="22"/>
                <w:highlight w:val="none"/>
                <w:lang w:eastAsia="zh-CN"/>
              </w:rPr>
            </w:pPr>
          </w:p>
        </w:tc>
        <w:tc>
          <w:tcPr>
            <w:tcW w:w="868" w:type="pct"/>
            <w:vMerge w:val="restart"/>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城区外服务</w:t>
            </w:r>
          </w:p>
          <w:p>
            <w:pPr>
              <w:pStyle w:val="25"/>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单价（除上述地区外）</w:t>
            </w:r>
          </w:p>
          <w:p>
            <w:pPr>
              <w:pStyle w:val="25"/>
              <w:spacing w:line="460" w:lineRule="atLeast"/>
              <w:jc w:val="center"/>
              <w:rPr>
                <w:rFonts w:hint="default" w:hAnsi="宋体" w:eastAsia="宋体"/>
                <w:b w:val="0"/>
                <w:color w:val="auto"/>
                <w:sz w:val="22"/>
                <w:highlight w:val="none"/>
                <w:lang w:val="en-US"/>
              </w:rPr>
            </w:pPr>
            <w:r>
              <w:rPr>
                <w:rFonts w:hint="eastAsia" w:ascii="宋体"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w:t>
            </w:r>
          </w:p>
        </w:tc>
        <w:tc>
          <w:tcPr>
            <w:tcW w:w="3148" w:type="dxa"/>
            <w:tcBorders>
              <w:left w:val="single" w:color="auto" w:sz="4" w:space="0"/>
            </w:tcBorders>
            <w:noWrap w:val="0"/>
            <w:vAlign w:val="center"/>
          </w:tcPr>
          <w:p>
            <w:pPr>
              <w:widowControl/>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小型汽车</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元/辆</w:t>
            </w:r>
          </w:p>
        </w:tc>
        <w:tc>
          <w:tcPr>
            <w:tcW w:w="3101"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cs="宋体"/>
                <w:b w:val="0"/>
                <w:bCs w:val="0"/>
                <w:color w:val="auto"/>
                <w:sz w:val="22"/>
                <w:szCs w:val="22"/>
                <w:highlight w:val="none"/>
                <w:lang w:val="en-US" w:eastAsia="zh-CN"/>
              </w:rPr>
              <w:t>150</w:t>
            </w:r>
            <w:r>
              <w:rPr>
                <w:rFonts w:hint="eastAsia" w:ascii="宋体" w:eastAsia="宋体" w:cs="宋体"/>
                <w:b w:val="0"/>
                <w:bCs w:val="0"/>
                <w:color w:val="auto"/>
                <w:sz w:val="22"/>
                <w:szCs w:val="22"/>
                <w:highlight w:val="none"/>
                <w:lang w:val="en-US" w:eastAsia="zh-CN"/>
              </w:rPr>
              <w:t>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1" w:hRule="atLeast"/>
        </w:trPr>
        <w:tc>
          <w:tcPr>
            <w:tcW w:w="526" w:type="pct"/>
            <w:vMerge w:val="continue"/>
            <w:tcBorders>
              <w:right w:val="single" w:color="auto" w:sz="4" w:space="0"/>
            </w:tcBorders>
            <w:noWrap w:val="0"/>
            <w:vAlign w:val="center"/>
          </w:tcPr>
          <w:p>
            <w:pPr>
              <w:pStyle w:val="25"/>
              <w:jc w:val="center"/>
              <w:rPr>
                <w:rFonts w:hint="eastAsia" w:eastAsia="宋体" w:cs="Courier New"/>
                <w:b w:val="0"/>
                <w:color w:val="auto"/>
                <w:sz w:val="22"/>
                <w:szCs w:val="22"/>
                <w:highlight w:val="none"/>
                <w:lang w:eastAsia="zh-CN"/>
              </w:rPr>
            </w:pPr>
          </w:p>
        </w:tc>
        <w:tc>
          <w:tcPr>
            <w:tcW w:w="868" w:type="pct"/>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lang w:val="en-US" w:eastAsia="zh-CN"/>
              </w:rPr>
            </w:pPr>
          </w:p>
        </w:tc>
        <w:tc>
          <w:tcPr>
            <w:tcW w:w="3148" w:type="dxa"/>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highlight w:val="none"/>
                <w:lang w:val="en-US" w:eastAsia="zh-CN"/>
              </w:rPr>
              <w:t>黄牌汽车</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元/辆；</w:t>
            </w:r>
          </w:p>
        </w:tc>
        <w:tc>
          <w:tcPr>
            <w:tcW w:w="3101"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b w:val="0"/>
                <w:color w:val="auto"/>
                <w:sz w:val="22"/>
                <w:highlight w:val="none"/>
                <w:lang w:val="en-US" w:eastAsia="zh-CN"/>
              </w:rPr>
              <w:t>410元/辆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 w:hRule="atLeast"/>
        </w:trPr>
        <w:tc>
          <w:tcPr>
            <w:tcW w:w="526" w:type="pct"/>
            <w:vMerge w:val="continue"/>
            <w:tcBorders>
              <w:right w:val="single" w:color="auto" w:sz="4" w:space="0"/>
            </w:tcBorders>
            <w:noWrap w:val="0"/>
            <w:vAlign w:val="center"/>
          </w:tcPr>
          <w:p>
            <w:pPr>
              <w:pStyle w:val="25"/>
              <w:jc w:val="center"/>
              <w:rPr>
                <w:rFonts w:hint="eastAsia" w:eastAsia="宋体" w:cs="Courier New"/>
                <w:b w:val="0"/>
                <w:color w:val="auto"/>
                <w:sz w:val="22"/>
                <w:szCs w:val="22"/>
                <w:highlight w:val="none"/>
                <w:lang w:eastAsia="zh-CN"/>
              </w:rPr>
            </w:pPr>
          </w:p>
        </w:tc>
        <w:tc>
          <w:tcPr>
            <w:tcW w:w="868" w:type="pct"/>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lang w:val="en-US" w:eastAsia="zh-CN"/>
              </w:rPr>
            </w:pPr>
          </w:p>
        </w:tc>
        <w:tc>
          <w:tcPr>
            <w:tcW w:w="3148" w:type="dxa"/>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highlight w:val="none"/>
                <w:lang w:val="en-US" w:eastAsia="zh-CN"/>
              </w:rPr>
              <w:t>二、三轮摩托车</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元/辆</w:t>
            </w:r>
          </w:p>
        </w:tc>
        <w:tc>
          <w:tcPr>
            <w:tcW w:w="3101"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cs="宋体"/>
                <w:b w:val="0"/>
                <w:bCs w:val="0"/>
                <w:color w:val="auto"/>
                <w:sz w:val="22"/>
                <w:szCs w:val="22"/>
                <w:highlight w:val="none"/>
                <w:lang w:val="en-US" w:eastAsia="zh-CN"/>
              </w:rPr>
              <w:t>5</w:t>
            </w:r>
            <w:r>
              <w:rPr>
                <w:rFonts w:hint="eastAsia" w:ascii="宋体" w:eastAsia="宋体" w:cs="宋体"/>
                <w:b w:val="0"/>
                <w:bCs w:val="0"/>
                <w:color w:val="auto"/>
                <w:sz w:val="22"/>
                <w:szCs w:val="22"/>
                <w:highlight w:val="none"/>
                <w:lang w:val="en-US" w:eastAsia="zh-CN"/>
              </w:rPr>
              <w:t>0元/辆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526" w:type="pct"/>
            <w:vMerge w:val="continue"/>
            <w:tcBorders>
              <w:right w:val="single" w:color="auto" w:sz="4" w:space="0"/>
            </w:tcBorders>
            <w:noWrap w:val="0"/>
            <w:vAlign w:val="center"/>
          </w:tcPr>
          <w:p>
            <w:pPr>
              <w:pStyle w:val="25"/>
              <w:jc w:val="center"/>
              <w:rPr>
                <w:rFonts w:hint="eastAsia" w:eastAsia="宋体" w:cs="Courier New"/>
                <w:b w:val="0"/>
                <w:color w:val="auto"/>
                <w:sz w:val="22"/>
                <w:szCs w:val="22"/>
                <w:highlight w:val="none"/>
                <w:lang w:eastAsia="zh-CN"/>
              </w:rPr>
            </w:pPr>
          </w:p>
        </w:tc>
        <w:tc>
          <w:tcPr>
            <w:tcW w:w="868" w:type="pct"/>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lang w:val="en-US" w:eastAsia="zh-CN"/>
              </w:rPr>
            </w:pPr>
          </w:p>
        </w:tc>
        <w:tc>
          <w:tcPr>
            <w:tcW w:w="3148" w:type="dxa"/>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highlight w:val="none"/>
                <w:lang w:val="en-US" w:eastAsia="zh-CN"/>
              </w:rPr>
              <w:t>二、三轮电动车</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元/辆</w:t>
            </w:r>
          </w:p>
        </w:tc>
        <w:tc>
          <w:tcPr>
            <w:tcW w:w="3101" w:type="dxa"/>
            <w:tcBorders>
              <w:left w:val="single" w:color="auto" w:sz="4" w:space="0"/>
            </w:tcBorders>
            <w:noWrap w:val="0"/>
            <w:vAlign w:val="center"/>
          </w:tcPr>
          <w:p>
            <w:pPr>
              <w:widowControl/>
              <w:jc w:val="center"/>
              <w:rPr>
                <w:rFonts w:ascii="宋体" w:eastAsia="宋体"/>
                <w:b w:val="0"/>
                <w:color w:val="auto"/>
                <w:sz w:val="22"/>
                <w:highlight w:val="none"/>
              </w:rPr>
            </w:pPr>
            <w:r>
              <w:rPr>
                <w:rFonts w:hint="eastAsia" w:ascii="宋体" w:cs="宋体"/>
                <w:b w:val="0"/>
                <w:bCs w:val="0"/>
                <w:color w:val="auto"/>
                <w:sz w:val="22"/>
                <w:szCs w:val="22"/>
                <w:highlight w:val="none"/>
                <w:lang w:val="en-US" w:eastAsia="zh-CN"/>
              </w:rPr>
              <w:t>5</w:t>
            </w:r>
            <w:r>
              <w:rPr>
                <w:rFonts w:hint="eastAsia" w:ascii="宋体" w:eastAsia="宋体" w:cs="宋体"/>
                <w:b w:val="0"/>
                <w:bCs w:val="0"/>
                <w:color w:val="auto"/>
                <w:sz w:val="22"/>
                <w:szCs w:val="22"/>
                <w:highlight w:val="none"/>
                <w:lang w:val="en-US" w:eastAsia="zh-CN"/>
              </w:rPr>
              <w:t>0元/辆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526" w:type="pct"/>
            <w:vMerge w:val="continue"/>
            <w:tcBorders>
              <w:right w:val="single" w:color="auto" w:sz="4" w:space="0"/>
            </w:tcBorders>
            <w:noWrap w:val="0"/>
            <w:vAlign w:val="center"/>
          </w:tcPr>
          <w:p>
            <w:pPr>
              <w:pStyle w:val="25"/>
              <w:jc w:val="center"/>
              <w:rPr>
                <w:rFonts w:hint="eastAsia" w:eastAsia="宋体" w:cs="Courier New"/>
                <w:b w:val="0"/>
                <w:color w:val="auto"/>
                <w:sz w:val="22"/>
                <w:szCs w:val="22"/>
                <w:highlight w:val="none"/>
                <w:lang w:eastAsia="zh-CN"/>
              </w:rPr>
            </w:pPr>
          </w:p>
        </w:tc>
        <w:tc>
          <w:tcPr>
            <w:tcW w:w="868" w:type="pct"/>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lang w:val="en-US" w:eastAsia="zh-CN"/>
              </w:rPr>
            </w:pPr>
          </w:p>
        </w:tc>
        <w:tc>
          <w:tcPr>
            <w:tcW w:w="3148" w:type="dxa"/>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highlight w:val="none"/>
                <w:lang w:val="en-US" w:eastAsia="zh-CN"/>
              </w:rPr>
              <w:t>自行车</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元/辆</w:t>
            </w:r>
          </w:p>
        </w:tc>
        <w:tc>
          <w:tcPr>
            <w:tcW w:w="3101"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cs="宋体"/>
                <w:b w:val="0"/>
                <w:bCs w:val="0"/>
                <w:color w:val="auto"/>
                <w:sz w:val="22"/>
                <w:szCs w:val="22"/>
                <w:highlight w:val="none"/>
                <w:lang w:val="en-US" w:eastAsia="zh-CN"/>
              </w:rPr>
              <w:t>45</w:t>
            </w:r>
            <w:r>
              <w:rPr>
                <w:rFonts w:hint="eastAsia" w:ascii="宋体" w:eastAsia="宋体" w:cs="宋体"/>
                <w:b w:val="0"/>
                <w:bCs w:val="0"/>
                <w:color w:val="auto"/>
                <w:sz w:val="22"/>
                <w:szCs w:val="22"/>
                <w:highlight w:val="none"/>
                <w:lang w:val="en-US" w:eastAsia="zh-CN"/>
              </w:rPr>
              <w:t>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7" w:hRule="atLeast"/>
        </w:trPr>
        <w:tc>
          <w:tcPr>
            <w:tcW w:w="526" w:type="pct"/>
            <w:vMerge w:val="continue"/>
            <w:tcBorders>
              <w:right w:val="single" w:color="auto" w:sz="4" w:space="0"/>
            </w:tcBorders>
            <w:noWrap w:val="0"/>
            <w:vAlign w:val="center"/>
          </w:tcPr>
          <w:p>
            <w:pPr>
              <w:pStyle w:val="25"/>
              <w:jc w:val="center"/>
              <w:rPr>
                <w:rFonts w:hint="eastAsia" w:eastAsia="宋体" w:cs="Courier New"/>
                <w:b w:val="0"/>
                <w:color w:val="auto"/>
                <w:sz w:val="22"/>
                <w:szCs w:val="22"/>
                <w:highlight w:val="none"/>
                <w:lang w:eastAsia="zh-CN"/>
              </w:rPr>
            </w:pPr>
          </w:p>
        </w:tc>
        <w:tc>
          <w:tcPr>
            <w:tcW w:w="2684" w:type="pct"/>
            <w:gridSpan w:val="2"/>
            <w:tcBorders>
              <w:left w:val="single" w:color="auto" w:sz="4" w:space="0"/>
            </w:tcBorders>
            <w:noWrap w:val="0"/>
            <w:vAlign w:val="center"/>
          </w:tcPr>
          <w:p>
            <w:pPr>
              <w:pStyle w:val="25"/>
              <w:spacing w:line="460" w:lineRule="atLeast"/>
              <w:jc w:val="center"/>
              <w:rPr>
                <w:rFonts w:ascii="宋体" w:eastAsia="宋体"/>
                <w:b w:val="0"/>
                <w:color w:val="auto"/>
                <w:sz w:val="22"/>
                <w:highlight w:val="none"/>
              </w:rPr>
            </w:pPr>
            <w:r>
              <w:rPr>
                <w:rFonts w:hint="eastAsia" w:ascii="宋体" w:eastAsia="宋体" w:cs="宋体"/>
                <w:b w:val="0"/>
                <w:bCs w:val="0"/>
                <w:color w:val="auto"/>
                <w:sz w:val="22"/>
                <w:szCs w:val="22"/>
                <w:highlight w:val="none"/>
                <w:lang w:val="en-US" w:eastAsia="zh-CN"/>
              </w:rPr>
              <w:t>清障车（待命、作业）服务单价：</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w:t>
            </w:r>
          </w:p>
        </w:tc>
        <w:tc>
          <w:tcPr>
            <w:tcW w:w="1789" w:type="pct"/>
            <w:tcBorders>
              <w:lef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red"/>
                <w:lang w:val="en-US" w:eastAsia="zh-CN"/>
              </w:rPr>
            </w:pPr>
            <w:r>
              <w:rPr>
                <w:rFonts w:hint="eastAsia" w:ascii="宋体" w:eastAsia="宋体" w:cs="宋体"/>
                <w:b w:val="0"/>
                <w:bCs w:val="0"/>
                <w:color w:val="auto"/>
                <w:sz w:val="22"/>
                <w:szCs w:val="22"/>
                <w:lang w:val="en-US" w:eastAsia="zh-CN"/>
              </w:rPr>
              <w:t>60元/1小时/清障车1辆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7" w:hRule="atLeast"/>
        </w:trPr>
        <w:tc>
          <w:tcPr>
            <w:tcW w:w="526" w:type="pct"/>
            <w:tcBorders>
              <w:right w:val="single" w:color="auto" w:sz="4" w:space="0"/>
            </w:tcBorders>
            <w:noWrap w:val="0"/>
            <w:vAlign w:val="center"/>
          </w:tcPr>
          <w:p>
            <w:pPr>
              <w:pStyle w:val="25"/>
              <w:jc w:val="center"/>
              <w:rPr>
                <w:rFonts w:hint="default" w:eastAsia="宋体" w:cs="Courier New"/>
                <w:b w:val="0"/>
                <w:color w:val="auto"/>
                <w:sz w:val="22"/>
                <w:szCs w:val="22"/>
                <w:highlight w:val="none"/>
                <w:lang w:val="en-US" w:eastAsia="zh-CN"/>
              </w:rPr>
            </w:pPr>
            <w:r>
              <w:rPr>
                <w:rFonts w:hint="eastAsia" w:ascii="宋体" w:eastAsia="宋体" w:cs="宋体"/>
                <w:b/>
                <w:bCs/>
                <w:color w:val="auto"/>
                <w:sz w:val="22"/>
                <w:highlight w:val="none"/>
                <w:lang w:val="en-US" w:eastAsia="zh-CN"/>
              </w:rPr>
              <w:t>2、交通事故、违法车辆扣留后的保管服务</w:t>
            </w:r>
          </w:p>
        </w:tc>
        <w:tc>
          <w:tcPr>
            <w:tcW w:w="2684" w:type="pct"/>
            <w:gridSpan w:val="2"/>
            <w:tcBorders>
              <w:left w:val="single" w:color="auto" w:sz="4" w:space="0"/>
            </w:tcBorders>
            <w:noWrap w:val="0"/>
            <w:vAlign w:val="center"/>
          </w:tcPr>
          <w:p>
            <w:pPr>
              <w:pStyle w:val="25"/>
              <w:spacing w:line="460" w:lineRule="atLeast"/>
              <w:jc w:val="both"/>
              <w:rPr>
                <w:rFonts w:hint="eastAsia" w:cs="宋体"/>
                <w:b w:val="0"/>
                <w:bCs w:val="0"/>
                <w:color w:val="auto"/>
                <w:sz w:val="22"/>
                <w:szCs w:val="22"/>
                <w:highlight w:val="none"/>
                <w:lang w:val="en-US" w:eastAsia="zh-CN"/>
              </w:rPr>
            </w:pPr>
            <w:r>
              <w:rPr>
                <w:rFonts w:hint="eastAsia" w:cs="宋体"/>
                <w:b w:val="0"/>
                <w:bCs w:val="0"/>
                <w:color w:val="auto"/>
                <w:sz w:val="22"/>
                <w:szCs w:val="22"/>
                <w:highlight w:val="none"/>
                <w:lang w:val="en-US" w:eastAsia="zh-CN"/>
              </w:rPr>
              <w:t>投标报价：</w:t>
            </w:r>
          </w:p>
          <w:p>
            <w:pPr>
              <w:pStyle w:val="25"/>
              <w:spacing w:line="460" w:lineRule="atLeast"/>
              <w:jc w:val="both"/>
              <w:rPr>
                <w:rFonts w:hint="eastAsia" w:cs="宋体"/>
                <w:b w:val="0"/>
                <w:bCs w:val="0"/>
                <w:color w:val="auto"/>
                <w:sz w:val="22"/>
                <w:szCs w:val="22"/>
                <w:highlight w:val="none"/>
                <w:lang w:val="en-US" w:eastAsia="zh-CN"/>
              </w:rPr>
            </w:pPr>
            <w:r>
              <w:rPr>
                <w:rFonts w:hint="eastAsia" w:cs="宋体"/>
                <w:b w:val="0"/>
                <w:bCs w:val="0"/>
                <w:color w:val="auto"/>
                <w:sz w:val="22"/>
                <w:szCs w:val="22"/>
                <w:highlight w:val="none"/>
                <w:lang w:val="en-US" w:eastAsia="zh-CN"/>
              </w:rPr>
              <w:t>小写：</w:t>
            </w:r>
          </w:p>
          <w:p>
            <w:pPr>
              <w:rPr>
                <w:rFonts w:hint="eastAsia"/>
                <w:lang w:val="en-US" w:eastAsia="zh-CN"/>
              </w:rPr>
            </w:pPr>
            <w:r>
              <w:rPr>
                <w:rFonts w:hint="eastAsia" w:cs="宋体"/>
                <w:b w:val="0"/>
                <w:bCs w:val="0"/>
                <w:color w:val="auto"/>
                <w:sz w:val="22"/>
                <w:szCs w:val="22"/>
                <w:highlight w:val="none"/>
                <w:lang w:val="en-US" w:eastAsia="zh-CN"/>
              </w:rPr>
              <w:t>大写：</w:t>
            </w:r>
          </w:p>
        </w:tc>
        <w:tc>
          <w:tcPr>
            <w:tcW w:w="1789" w:type="pct"/>
            <w:tcBorders>
              <w:left w:val="single" w:color="auto" w:sz="4" w:space="0"/>
            </w:tcBorders>
            <w:noWrap w:val="0"/>
            <w:vAlign w:val="center"/>
          </w:tcPr>
          <w:p>
            <w:pPr>
              <w:pStyle w:val="25"/>
              <w:spacing w:line="460" w:lineRule="atLeast"/>
              <w:jc w:val="center"/>
              <w:rPr>
                <w:rFonts w:hint="default" w:ascii="宋体" w:eastAsia="宋体" w:cs="宋体"/>
                <w:b w:val="0"/>
                <w:bCs w:val="0"/>
                <w:color w:val="auto"/>
                <w:sz w:val="22"/>
                <w:szCs w:val="22"/>
                <w:lang w:val="en-US" w:eastAsia="zh-CN"/>
              </w:rPr>
            </w:pPr>
            <w:r>
              <w:rPr>
                <w:rFonts w:hint="eastAsia" w:ascii="宋体" w:eastAsia="宋体" w:cs="宋体"/>
                <w:b/>
                <w:bCs/>
                <w:color w:val="auto"/>
                <w:sz w:val="22"/>
                <w:highlight w:val="none"/>
                <w:lang w:val="en-US" w:eastAsia="zh-CN"/>
              </w:rPr>
              <w:t>交通事故、违法车辆扣留后的保管服务</w:t>
            </w:r>
            <w:r>
              <w:rPr>
                <w:rFonts w:hint="eastAsia" w:cs="宋体"/>
                <w:b w:val="0"/>
                <w:bCs w:val="0"/>
                <w:color w:val="auto"/>
                <w:sz w:val="22"/>
                <w:szCs w:val="22"/>
                <w:lang w:val="en-US" w:eastAsia="zh-CN"/>
              </w:rPr>
              <w:t>采购金额：6000000元（三年）</w:t>
            </w:r>
          </w:p>
        </w:tc>
      </w:tr>
    </w:tbl>
    <w:p>
      <w:pPr>
        <w:pStyle w:val="2"/>
        <w:rPr>
          <w:rFonts w:hint="default"/>
          <w:lang w:val="en-US" w:eastAsia="zh-CN"/>
        </w:rPr>
      </w:pPr>
    </w:p>
    <w:p>
      <w:pPr>
        <w:numPr>
          <w:ilvl w:val="0"/>
          <w:numId w:val="0"/>
        </w:numPr>
        <w:snapToGrid w:val="0"/>
        <w:spacing w:line="460" w:lineRule="exact"/>
        <w:ind w:firstLine="442" w:firstLineChars="200"/>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交通事故、违法车辆扣留后的保管服务</w:t>
      </w:r>
    </w:p>
    <w:p>
      <w:pPr>
        <w:keepNext w:val="0"/>
        <w:keepLines w:val="0"/>
        <w:pageBreakBefore w:val="0"/>
        <w:widowControl w:val="0"/>
        <w:kinsoku/>
        <w:wordWrap/>
        <w:overflowPunct/>
        <w:topLinePunct w:val="0"/>
        <w:autoSpaceDE w:val="0"/>
        <w:autoSpaceDN w:val="0"/>
        <w:bidi w:val="0"/>
        <w:adjustRightInd w:val="0"/>
        <w:snapToGrid/>
        <w:spacing w:after="95" w:afterLines="30" w:line="460" w:lineRule="atLeast"/>
        <w:ind w:firstLine="442" w:firstLineChars="200"/>
        <w:textAlignment w:val="auto"/>
        <w:rPr>
          <w:rFonts w:hint="eastAsia" w:ascii="宋体" w:hAnsi="Times New Roman" w:eastAsia="宋体" w:cs="宋体"/>
          <w:b w:val="0"/>
          <w:bCs w:val="0"/>
          <w:color w:val="auto"/>
          <w:sz w:val="22"/>
          <w:szCs w:val="22"/>
          <w:highlight w:val="none"/>
          <w:lang w:val="en-US" w:eastAsia="zh-CN"/>
        </w:rPr>
      </w:pPr>
      <w:r>
        <w:rPr>
          <w:rFonts w:hint="eastAsia" w:ascii="宋体" w:eastAsia="宋体" w:cs="宋体"/>
          <w:b/>
          <w:bCs/>
          <w:color w:val="auto"/>
          <w:sz w:val="22"/>
          <w:szCs w:val="22"/>
          <w:highlight w:val="none"/>
          <w:lang w:val="en-US" w:eastAsia="zh-CN"/>
        </w:rPr>
        <w:t>2.1、主要内容为</w:t>
      </w:r>
      <w:r>
        <w:rPr>
          <w:rFonts w:hint="eastAsia" w:ascii="宋体" w:eastAsia="宋体" w:cs="宋体"/>
          <w:b w:val="0"/>
          <w:bCs w:val="0"/>
          <w:color w:val="auto"/>
          <w:sz w:val="22"/>
          <w:szCs w:val="22"/>
          <w:highlight w:val="none"/>
          <w:lang w:val="en-US" w:eastAsia="zh-CN"/>
        </w:rPr>
        <w:t>：永嘉县公安局交通警察大队车辆保管服务。服务范围：交通事故、违法车辆扣留</w:t>
      </w:r>
      <w:r>
        <w:rPr>
          <w:rFonts w:hint="eastAsia" w:ascii="宋体" w:eastAsia="宋体" w:cs="宋体"/>
          <w:b w:val="0"/>
          <w:bCs w:val="0"/>
          <w:color w:val="auto"/>
          <w:sz w:val="22"/>
          <w:szCs w:val="22"/>
          <w:lang w:val="en-US" w:eastAsia="zh-CN"/>
        </w:rPr>
        <w:t>后的保管。中标供应商将作</w:t>
      </w:r>
      <w:r>
        <w:rPr>
          <w:rFonts w:hint="eastAsia" w:ascii="宋体" w:hAnsi="Times New Roman" w:eastAsia="宋体" w:cs="宋体"/>
          <w:b w:val="0"/>
          <w:bCs w:val="0"/>
          <w:color w:val="auto"/>
          <w:sz w:val="22"/>
          <w:szCs w:val="22"/>
          <w:highlight w:val="none"/>
          <w:lang w:val="en-US" w:eastAsia="zh-CN"/>
        </w:rPr>
        <w:t>为永嘉县公安局交通警察大队涉案车辆保管服务的承办单位。</w:t>
      </w:r>
    </w:p>
    <w:p>
      <w:pPr>
        <w:pStyle w:val="2"/>
        <w:keepNext w:val="0"/>
        <w:keepLines w:val="0"/>
        <w:pageBreakBefore w:val="0"/>
        <w:widowControl w:val="0"/>
        <w:kinsoku/>
        <w:wordWrap/>
        <w:overflowPunct/>
        <w:topLinePunct w:val="0"/>
        <w:autoSpaceDE/>
        <w:autoSpaceDN/>
        <w:bidi w:val="0"/>
        <w:adjustRightInd/>
        <w:snapToGrid/>
        <w:spacing w:after="95" w:afterLines="30"/>
        <w:ind w:firstLine="442" w:firstLineChars="200"/>
        <w:textAlignment w:val="auto"/>
        <w:rPr>
          <w:rFonts w:hint="default"/>
          <w:b/>
          <w:bCs/>
          <w:lang w:val="en-US" w:eastAsia="zh-CN"/>
        </w:rPr>
      </w:pPr>
      <w:r>
        <w:rPr>
          <w:rFonts w:hint="eastAsia" w:ascii="宋体" w:cs="宋体"/>
          <w:b/>
          <w:bCs/>
          <w:color w:val="auto"/>
          <w:sz w:val="22"/>
          <w:szCs w:val="22"/>
          <w:highlight w:val="none"/>
          <w:lang w:val="en-US" w:eastAsia="zh-CN"/>
        </w:rPr>
        <w:t>2.2、主要服务内容如下：</w:t>
      </w:r>
    </w:p>
    <w:tbl>
      <w:tblPr>
        <w:tblStyle w:val="45"/>
        <w:tblW w:w="9338" w:type="dxa"/>
        <w:jc w:val="right"/>
        <w:tblLayout w:type="fixed"/>
        <w:tblCellMar>
          <w:top w:w="0" w:type="dxa"/>
          <w:left w:w="108" w:type="dxa"/>
          <w:bottom w:w="0" w:type="dxa"/>
          <w:right w:w="108" w:type="dxa"/>
        </w:tblCellMar>
      </w:tblPr>
      <w:tblGrid>
        <w:gridCol w:w="977"/>
        <w:gridCol w:w="3909"/>
        <w:gridCol w:w="4452"/>
      </w:tblGrid>
      <w:tr>
        <w:tblPrEx>
          <w:tblCellMar>
            <w:top w:w="0" w:type="dxa"/>
            <w:left w:w="108" w:type="dxa"/>
            <w:bottom w:w="0" w:type="dxa"/>
            <w:right w:w="108" w:type="dxa"/>
          </w:tblCellMar>
        </w:tblPrEx>
        <w:trPr>
          <w:trHeight w:val="655" w:hRule="atLeast"/>
          <w:jc w:val="right"/>
        </w:trPr>
        <w:tc>
          <w:tcPr>
            <w:tcW w:w="977" w:type="dxa"/>
            <w:tcBorders>
              <w:top w:val="single" w:color="000000" w:sz="12" w:space="0"/>
              <w:left w:val="single" w:color="000000" w:sz="12" w:space="0"/>
              <w:bottom w:val="single" w:color="000000" w:sz="4"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序号</w:t>
            </w:r>
          </w:p>
        </w:tc>
        <w:tc>
          <w:tcPr>
            <w:tcW w:w="3909" w:type="dxa"/>
            <w:tcBorders>
              <w:top w:val="single" w:color="000000" w:sz="12" w:space="0"/>
              <w:left w:val="single" w:color="000000" w:sz="4" w:space="0"/>
              <w:bottom w:val="single" w:color="000000" w:sz="4" w:space="0"/>
            </w:tcBorders>
            <w:noWrap/>
            <w:vAlign w:val="center"/>
          </w:tcPr>
          <w:p>
            <w:pPr>
              <w:autoSpaceDE w:val="0"/>
              <w:autoSpaceDN w:val="0"/>
              <w:adjustRightInd w:val="0"/>
              <w:spacing w:line="460" w:lineRule="atLeast"/>
              <w:ind w:firstLine="440" w:firstLineChars="200"/>
              <w:jc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项目名称</w:t>
            </w:r>
          </w:p>
        </w:tc>
        <w:tc>
          <w:tcPr>
            <w:tcW w:w="4452" w:type="dxa"/>
            <w:tcBorders>
              <w:top w:val="single" w:color="000000" w:sz="12" w:space="0"/>
              <w:left w:val="single" w:color="000000" w:sz="4" w:space="0"/>
              <w:bottom w:val="single" w:color="000000" w:sz="4" w:space="0"/>
              <w:right w:val="single" w:color="000000" w:sz="12" w:space="0"/>
            </w:tcBorders>
            <w:noWrap/>
            <w:vAlign w:val="center"/>
          </w:tcPr>
          <w:p>
            <w:pPr>
              <w:autoSpaceDE w:val="0"/>
              <w:autoSpaceDN w:val="0"/>
              <w:adjustRightInd w:val="0"/>
              <w:spacing w:line="460" w:lineRule="atLeast"/>
              <w:ind w:firstLine="440" w:firstLineChars="200"/>
              <w:jc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备注</w:t>
            </w:r>
          </w:p>
        </w:tc>
      </w:tr>
      <w:tr>
        <w:tblPrEx>
          <w:tblCellMar>
            <w:top w:w="0" w:type="dxa"/>
            <w:left w:w="108" w:type="dxa"/>
            <w:bottom w:w="0" w:type="dxa"/>
            <w:right w:w="108" w:type="dxa"/>
          </w:tblCellMar>
        </w:tblPrEx>
        <w:trPr>
          <w:trHeight w:val="945" w:hRule="atLeast"/>
          <w:jc w:val="right"/>
        </w:trPr>
        <w:tc>
          <w:tcPr>
            <w:tcW w:w="977" w:type="dxa"/>
            <w:tcBorders>
              <w:top w:val="single" w:color="000000" w:sz="4" w:space="0"/>
              <w:left w:val="single" w:color="000000" w:sz="12" w:space="0"/>
              <w:bottom w:val="single" w:color="000000" w:sz="4"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w:t>
            </w:r>
          </w:p>
        </w:tc>
        <w:tc>
          <w:tcPr>
            <w:tcW w:w="3909" w:type="dxa"/>
            <w:tcBorders>
              <w:top w:val="single" w:color="000000" w:sz="4" w:space="0"/>
              <w:left w:val="single" w:color="000000" w:sz="4" w:space="0"/>
              <w:bottom w:val="single" w:color="000000" w:sz="4"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一类车交通事故、违法扣留后的保管</w:t>
            </w:r>
          </w:p>
        </w:tc>
        <w:tc>
          <w:tcPr>
            <w:tcW w:w="4452" w:type="dxa"/>
            <w:tcBorders>
              <w:top w:val="single" w:color="000000" w:sz="4" w:space="0"/>
              <w:left w:val="single" w:color="000000" w:sz="4" w:space="0"/>
              <w:bottom w:val="single" w:color="000000" w:sz="4" w:space="0"/>
              <w:right w:val="single" w:color="000000" w:sz="12"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一类车指：20座（含）以下客车、2吨（含）以下货车</w:t>
            </w:r>
          </w:p>
        </w:tc>
      </w:tr>
      <w:tr>
        <w:tblPrEx>
          <w:tblCellMar>
            <w:top w:w="0" w:type="dxa"/>
            <w:left w:w="108" w:type="dxa"/>
            <w:bottom w:w="0" w:type="dxa"/>
            <w:right w:w="108" w:type="dxa"/>
          </w:tblCellMar>
        </w:tblPrEx>
        <w:trPr>
          <w:trHeight w:val="973" w:hRule="atLeast"/>
          <w:jc w:val="right"/>
        </w:trPr>
        <w:tc>
          <w:tcPr>
            <w:tcW w:w="977" w:type="dxa"/>
            <w:tcBorders>
              <w:top w:val="single" w:color="000000" w:sz="4" w:space="0"/>
              <w:left w:val="single" w:color="000000" w:sz="12" w:space="0"/>
              <w:bottom w:val="single" w:color="000000" w:sz="4"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2</w:t>
            </w:r>
          </w:p>
        </w:tc>
        <w:tc>
          <w:tcPr>
            <w:tcW w:w="3909" w:type="dxa"/>
            <w:tcBorders>
              <w:top w:val="single" w:color="000000" w:sz="4" w:space="0"/>
              <w:left w:val="single" w:color="000000" w:sz="4" w:space="0"/>
              <w:bottom w:val="single" w:color="000000" w:sz="4"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二类车交通事故、违法扣留后的保管</w:t>
            </w:r>
          </w:p>
        </w:tc>
        <w:tc>
          <w:tcPr>
            <w:tcW w:w="4452" w:type="dxa"/>
            <w:tcBorders>
              <w:top w:val="single" w:color="000000" w:sz="4" w:space="0"/>
              <w:left w:val="single" w:color="000000" w:sz="4" w:space="0"/>
              <w:bottom w:val="single" w:color="000000" w:sz="4" w:space="0"/>
              <w:right w:val="single" w:color="000000" w:sz="12"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二类车指：20座以上40座（含）以下客车、2吨以上5吨（含）以下货车</w:t>
            </w:r>
          </w:p>
        </w:tc>
      </w:tr>
      <w:tr>
        <w:trPr>
          <w:trHeight w:val="973" w:hRule="atLeast"/>
          <w:jc w:val="right"/>
        </w:trPr>
        <w:tc>
          <w:tcPr>
            <w:tcW w:w="977" w:type="dxa"/>
            <w:tcBorders>
              <w:top w:val="single" w:color="000000" w:sz="4" w:space="0"/>
              <w:left w:val="single" w:color="000000" w:sz="12" w:space="0"/>
              <w:bottom w:val="single" w:color="000000" w:sz="4"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3</w:t>
            </w:r>
          </w:p>
        </w:tc>
        <w:tc>
          <w:tcPr>
            <w:tcW w:w="3909" w:type="dxa"/>
            <w:tcBorders>
              <w:top w:val="single" w:color="000000" w:sz="4" w:space="0"/>
              <w:left w:val="single" w:color="000000" w:sz="4" w:space="0"/>
              <w:bottom w:val="single" w:color="000000" w:sz="4"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三类车交通事故、违法扣留后的保管</w:t>
            </w:r>
          </w:p>
        </w:tc>
        <w:tc>
          <w:tcPr>
            <w:tcW w:w="4452" w:type="dxa"/>
            <w:tcBorders>
              <w:top w:val="single" w:color="000000" w:sz="4" w:space="0"/>
              <w:left w:val="single" w:color="000000" w:sz="4" w:space="0"/>
              <w:bottom w:val="single" w:color="000000" w:sz="4" w:space="0"/>
              <w:right w:val="single" w:color="000000" w:sz="12"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三类车指：40座以上客车（含32座以上卧铺车）、5吨以上10吨（含）以下货车</w:t>
            </w:r>
          </w:p>
        </w:tc>
      </w:tr>
      <w:tr>
        <w:tblPrEx>
          <w:tblCellMar>
            <w:top w:w="0" w:type="dxa"/>
            <w:left w:w="108" w:type="dxa"/>
            <w:bottom w:w="0" w:type="dxa"/>
            <w:right w:w="108" w:type="dxa"/>
          </w:tblCellMar>
        </w:tblPrEx>
        <w:trPr>
          <w:trHeight w:val="700" w:hRule="atLeast"/>
          <w:jc w:val="right"/>
        </w:trPr>
        <w:tc>
          <w:tcPr>
            <w:tcW w:w="977" w:type="dxa"/>
            <w:tcBorders>
              <w:top w:val="single" w:color="000000" w:sz="4" w:space="0"/>
              <w:left w:val="single" w:color="000000" w:sz="12" w:space="0"/>
              <w:bottom w:val="single" w:color="000000" w:sz="4"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4</w:t>
            </w:r>
          </w:p>
        </w:tc>
        <w:tc>
          <w:tcPr>
            <w:tcW w:w="3909" w:type="dxa"/>
            <w:tcBorders>
              <w:top w:val="single" w:color="000000" w:sz="4" w:space="0"/>
              <w:left w:val="single" w:color="000000" w:sz="4" w:space="0"/>
              <w:bottom w:val="single" w:color="000000" w:sz="4"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四类车交通事故、违法扣留后的保管</w:t>
            </w:r>
          </w:p>
        </w:tc>
        <w:tc>
          <w:tcPr>
            <w:tcW w:w="4452" w:type="dxa"/>
            <w:tcBorders>
              <w:top w:val="single" w:color="000000" w:sz="4" w:space="0"/>
              <w:left w:val="single" w:color="000000" w:sz="4" w:space="0"/>
              <w:bottom w:val="single" w:color="000000" w:sz="4" w:space="0"/>
              <w:right w:val="single" w:color="000000" w:sz="12"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10吨以上15吨（含）以下货车</w:t>
            </w:r>
          </w:p>
        </w:tc>
      </w:tr>
      <w:tr>
        <w:tblPrEx>
          <w:tblCellMar>
            <w:top w:w="0" w:type="dxa"/>
            <w:left w:w="108" w:type="dxa"/>
            <w:bottom w:w="0" w:type="dxa"/>
            <w:right w:w="108" w:type="dxa"/>
          </w:tblCellMar>
        </w:tblPrEx>
        <w:trPr>
          <w:trHeight w:val="700" w:hRule="atLeast"/>
          <w:jc w:val="right"/>
        </w:trPr>
        <w:tc>
          <w:tcPr>
            <w:tcW w:w="977" w:type="dxa"/>
            <w:tcBorders>
              <w:top w:val="single" w:color="000000" w:sz="4" w:space="0"/>
              <w:left w:val="single" w:color="000000" w:sz="12" w:space="0"/>
              <w:bottom w:val="single" w:color="000000" w:sz="4"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5</w:t>
            </w:r>
          </w:p>
        </w:tc>
        <w:tc>
          <w:tcPr>
            <w:tcW w:w="3909" w:type="dxa"/>
            <w:tcBorders>
              <w:top w:val="single" w:color="000000" w:sz="4" w:space="0"/>
              <w:left w:val="single" w:color="000000" w:sz="4" w:space="0"/>
              <w:bottom w:val="single" w:color="000000" w:sz="4"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五类车交通事故、违法扣留后的保管</w:t>
            </w:r>
          </w:p>
        </w:tc>
        <w:tc>
          <w:tcPr>
            <w:tcW w:w="4452" w:type="dxa"/>
            <w:tcBorders>
              <w:top w:val="single" w:color="000000" w:sz="4" w:space="0"/>
              <w:left w:val="single" w:color="000000" w:sz="4" w:space="0"/>
              <w:bottom w:val="single" w:color="000000" w:sz="4" w:space="0"/>
              <w:right w:val="single" w:color="000000" w:sz="12"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15吨以上货车</w:t>
            </w:r>
          </w:p>
        </w:tc>
      </w:tr>
      <w:tr>
        <w:tblPrEx>
          <w:tblCellMar>
            <w:top w:w="0" w:type="dxa"/>
            <w:left w:w="108" w:type="dxa"/>
            <w:bottom w:w="0" w:type="dxa"/>
            <w:right w:w="108" w:type="dxa"/>
          </w:tblCellMar>
        </w:tblPrEx>
        <w:trPr>
          <w:trHeight w:val="762" w:hRule="atLeast"/>
          <w:jc w:val="right"/>
        </w:trPr>
        <w:tc>
          <w:tcPr>
            <w:tcW w:w="977" w:type="dxa"/>
            <w:tcBorders>
              <w:top w:val="single" w:color="000000" w:sz="4" w:space="0"/>
              <w:left w:val="single" w:color="000000" w:sz="12" w:space="0"/>
              <w:bottom w:val="single" w:color="000000" w:sz="12"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6</w:t>
            </w:r>
          </w:p>
        </w:tc>
        <w:tc>
          <w:tcPr>
            <w:tcW w:w="3909" w:type="dxa"/>
            <w:tcBorders>
              <w:top w:val="single" w:color="000000" w:sz="4" w:space="0"/>
              <w:left w:val="single" w:color="000000" w:sz="4" w:space="0"/>
              <w:bottom w:val="single" w:color="000000" w:sz="12"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六类车交通事故、违法扣留后的保管</w:t>
            </w:r>
          </w:p>
        </w:tc>
        <w:tc>
          <w:tcPr>
            <w:tcW w:w="4452" w:type="dxa"/>
            <w:tcBorders>
              <w:top w:val="single" w:color="000000" w:sz="4" w:space="0"/>
              <w:left w:val="single" w:color="000000" w:sz="4" w:space="0"/>
              <w:bottom w:val="single" w:color="000000" w:sz="12" w:space="0"/>
              <w:right w:val="single" w:color="000000" w:sz="12" w:space="0"/>
            </w:tcBorders>
            <w:noWrap/>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摩托车、三轮农用车、非机动车</w:t>
            </w:r>
          </w:p>
        </w:tc>
      </w:tr>
    </w:tbl>
    <w:p>
      <w:pPr>
        <w:autoSpaceDE w:val="0"/>
        <w:autoSpaceDN w:val="0"/>
        <w:adjustRightInd w:val="0"/>
        <w:spacing w:line="460" w:lineRule="atLeast"/>
        <w:ind w:firstLine="442" w:firstLineChars="200"/>
        <w:rPr>
          <w:rFonts w:hint="eastAsia" w:ascii="宋体" w:cs="宋体"/>
          <w:b/>
          <w:bCs/>
          <w:color w:val="auto"/>
          <w:sz w:val="22"/>
          <w:szCs w:val="22"/>
          <w:highlight w:val="none"/>
          <w:lang w:val="en-US" w:eastAsia="zh-CN"/>
        </w:rPr>
      </w:pPr>
      <w:r>
        <w:rPr>
          <w:rFonts w:hint="eastAsia" w:ascii="宋体" w:cs="宋体"/>
          <w:b/>
          <w:bCs/>
          <w:color w:val="auto"/>
          <w:sz w:val="22"/>
          <w:szCs w:val="22"/>
          <w:highlight w:val="none"/>
          <w:lang w:val="en-US" w:eastAsia="zh-CN"/>
        </w:rPr>
        <w:t>备注：</w:t>
      </w:r>
    </w:p>
    <w:p>
      <w:pPr>
        <w:autoSpaceDE w:val="0"/>
        <w:autoSpaceDN w:val="0"/>
        <w:adjustRightInd w:val="0"/>
        <w:spacing w:line="460" w:lineRule="atLeast"/>
        <w:ind w:firstLine="442" w:firstLineChars="200"/>
        <w:rPr>
          <w:rFonts w:hint="eastAsia" w:ascii="宋体" w:eastAsia="宋体" w:cs="宋体"/>
          <w:b w:val="0"/>
          <w:bCs w:val="0"/>
          <w:color w:val="auto"/>
          <w:sz w:val="22"/>
          <w:szCs w:val="22"/>
          <w:highlight w:val="none"/>
          <w:u w:val="single"/>
          <w:lang w:val="en-US" w:eastAsia="zh-CN"/>
        </w:rPr>
      </w:pPr>
      <w:r>
        <w:rPr>
          <w:rFonts w:hint="eastAsia" w:ascii="宋体" w:cs="宋体"/>
          <w:b/>
          <w:bCs/>
          <w:color w:val="auto"/>
          <w:sz w:val="22"/>
          <w:szCs w:val="22"/>
          <w:highlight w:val="none"/>
          <w:u w:val="single"/>
          <w:lang w:val="en-US" w:eastAsia="zh-CN"/>
        </w:rPr>
        <w:t>1）</w:t>
      </w:r>
      <w:r>
        <w:rPr>
          <w:rFonts w:hint="eastAsia" w:ascii="宋体" w:eastAsia="宋体" w:cs="宋体"/>
          <w:b/>
          <w:bCs/>
          <w:color w:val="auto"/>
          <w:sz w:val="22"/>
          <w:szCs w:val="22"/>
          <w:highlight w:val="none"/>
          <w:u w:val="single"/>
          <w:lang w:val="en-US" w:eastAsia="zh-CN"/>
        </w:rPr>
        <w:t>采购人无法预计也无法保证成交人在服务期内需要付出的服务次数。但本项目所涉及的人员工资、停车场地租赁、停车场建设（围墙、监控、地面平整、门卫室等）、其他费用（水、电、意外险、利润、税收等）均包含在本次投标总价中，服务期间不再额外增加费用。</w:t>
      </w:r>
    </w:p>
    <w:p>
      <w:pPr>
        <w:autoSpaceDE w:val="0"/>
        <w:autoSpaceDN w:val="0"/>
        <w:adjustRightInd w:val="0"/>
        <w:spacing w:line="460" w:lineRule="atLeast"/>
        <w:ind w:firstLine="442" w:firstLineChars="200"/>
        <w:rPr>
          <w:rFonts w:hint="eastAsia" w:ascii="宋体" w:eastAsia="宋体" w:cs="宋体"/>
          <w:b/>
          <w:bCs/>
          <w:color w:val="auto"/>
          <w:sz w:val="22"/>
          <w:szCs w:val="22"/>
          <w:highlight w:val="none"/>
          <w:lang w:val="en-US" w:eastAsia="zh-CN"/>
        </w:rPr>
      </w:pPr>
      <w:r>
        <w:rPr>
          <w:rFonts w:hint="eastAsia" w:ascii="宋体" w:cs="宋体"/>
          <w:b/>
          <w:bCs/>
          <w:color w:val="auto"/>
          <w:sz w:val="22"/>
          <w:szCs w:val="22"/>
          <w:highlight w:val="none"/>
          <w:lang w:val="en-US" w:eastAsia="zh-CN"/>
        </w:rPr>
        <w:t>2）</w:t>
      </w:r>
      <w:r>
        <w:rPr>
          <w:rFonts w:hint="eastAsia" w:ascii="宋体" w:eastAsia="宋体" w:cs="宋体"/>
          <w:b/>
          <w:bCs/>
          <w:color w:val="auto"/>
          <w:sz w:val="22"/>
          <w:szCs w:val="22"/>
          <w:highlight w:val="none"/>
          <w:lang w:val="en-US" w:eastAsia="zh-CN"/>
        </w:rPr>
        <w:t>如因相关的法律法规变动（费用由第三方支付的），采购人有权终止合同。</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lang w:val="en-US" w:eastAsia="zh-CN"/>
        </w:rPr>
        <w:t>3）</w:t>
      </w:r>
      <w:r>
        <w:rPr>
          <w:rFonts w:hint="eastAsia" w:ascii="宋体" w:eastAsia="宋体" w:cs="宋体"/>
          <w:b w:val="0"/>
          <w:bCs w:val="0"/>
          <w:color w:val="auto"/>
          <w:sz w:val="22"/>
          <w:szCs w:val="22"/>
          <w:highlight w:val="none"/>
          <w:lang w:val="en-US" w:eastAsia="zh-CN"/>
        </w:rPr>
        <w:t>投标供应商应充分考虑经营风险，并尽可能地提供优惠的价格和优质的服务，以提高自身的竞争力。</w:t>
      </w:r>
    </w:p>
    <w:p>
      <w:pPr>
        <w:autoSpaceDE w:val="0"/>
        <w:autoSpaceDN w:val="0"/>
        <w:adjustRightInd w:val="0"/>
        <w:spacing w:line="460" w:lineRule="atLeast"/>
        <w:ind w:firstLine="442" w:firstLineChars="200"/>
        <w:rPr>
          <w:rFonts w:hint="eastAsia" w:ascii="宋体" w:eastAsia="宋体" w:cs="宋体"/>
          <w:b/>
          <w:bCs/>
          <w:color w:val="auto"/>
          <w:sz w:val="22"/>
          <w:szCs w:val="22"/>
          <w:highlight w:val="none"/>
          <w:lang w:val="en-US" w:eastAsia="zh-CN"/>
        </w:rPr>
      </w:pPr>
      <w:r>
        <w:rPr>
          <w:rFonts w:hint="eastAsia" w:ascii="宋体" w:eastAsia="宋体" w:cs="宋体"/>
          <w:b/>
          <w:bCs/>
          <w:color w:val="auto"/>
          <w:sz w:val="22"/>
          <w:szCs w:val="22"/>
          <w:highlight w:val="none"/>
          <w:lang w:val="en-US" w:eastAsia="zh-CN"/>
        </w:rPr>
        <w:t>4）中标供应商不得向第三方收取任何的停车费用，提供承诺函（格式自拟）。</w:t>
      </w:r>
    </w:p>
    <w:p>
      <w:pPr>
        <w:autoSpaceDE w:val="0"/>
        <w:autoSpaceDN w:val="0"/>
        <w:adjustRightInd w:val="0"/>
        <w:spacing w:line="460" w:lineRule="atLeast"/>
        <w:ind w:firstLine="442" w:firstLineChars="200"/>
        <w:rPr>
          <w:rFonts w:hint="eastAsia" w:ascii="宋体" w:hAnsi="Times New Roman" w:eastAsia="宋体" w:cs="宋体"/>
          <w:b/>
          <w:bCs/>
          <w:color w:val="auto"/>
          <w:sz w:val="22"/>
          <w:szCs w:val="22"/>
          <w:highlight w:val="none"/>
          <w:lang w:val="en-US" w:eastAsia="zh-CN"/>
        </w:rPr>
      </w:pPr>
      <w:r>
        <w:rPr>
          <w:rFonts w:hint="eastAsia" w:ascii="宋体" w:hAnsi="Times New Roman" w:eastAsia="宋体" w:cs="宋体"/>
          <w:b/>
          <w:bCs/>
          <w:color w:val="auto"/>
          <w:sz w:val="22"/>
          <w:szCs w:val="22"/>
          <w:highlight w:val="none"/>
          <w:lang w:val="en-US" w:eastAsia="zh-CN"/>
        </w:rPr>
        <w:t>2.</w:t>
      </w:r>
      <w:r>
        <w:rPr>
          <w:rFonts w:hint="eastAsia" w:ascii="宋体" w:cs="宋体"/>
          <w:b/>
          <w:bCs/>
          <w:color w:val="auto"/>
          <w:sz w:val="22"/>
          <w:szCs w:val="22"/>
          <w:highlight w:val="none"/>
          <w:lang w:val="en-US" w:eastAsia="zh-CN"/>
        </w:rPr>
        <w:t>3</w:t>
      </w:r>
      <w:r>
        <w:rPr>
          <w:rFonts w:hint="eastAsia" w:ascii="宋体" w:hAnsi="Times New Roman" w:eastAsia="宋体" w:cs="宋体"/>
          <w:b/>
          <w:bCs/>
          <w:color w:val="auto"/>
          <w:sz w:val="22"/>
          <w:szCs w:val="22"/>
          <w:highlight w:val="none"/>
          <w:lang w:val="en-US" w:eastAsia="zh-CN"/>
        </w:rPr>
        <w:t>、</w:t>
      </w:r>
      <w:r>
        <w:rPr>
          <w:rFonts w:hint="eastAsia" w:ascii="宋体" w:cs="宋体"/>
          <w:b/>
          <w:bCs/>
          <w:color w:val="auto"/>
          <w:sz w:val="22"/>
          <w:szCs w:val="22"/>
          <w:highlight w:val="none"/>
          <w:lang w:val="en-US" w:eastAsia="zh-CN"/>
        </w:rPr>
        <w:t>详细</w:t>
      </w:r>
      <w:r>
        <w:rPr>
          <w:rFonts w:hint="eastAsia" w:ascii="宋体" w:hAnsi="Times New Roman" w:eastAsia="宋体" w:cs="宋体"/>
          <w:b/>
          <w:bCs/>
          <w:color w:val="auto"/>
          <w:sz w:val="22"/>
          <w:szCs w:val="22"/>
          <w:highlight w:val="none"/>
          <w:lang w:val="en-US" w:eastAsia="zh-CN"/>
        </w:rPr>
        <w:t>服务要求：</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投标供应商须在永嘉县上塘、瓯北、岩头、沙头、乌牛、桥头、桥下、黄田等八个乡镇(街道)设置不少于8处（含）停车场所，停车场距离各镇交警中队直线距离不得超过1公里（岩头、桥下除外），且能满足采购人日常停放车辆需求。如暂时未在永嘉县本地设置停车场所的，须在中标后7天内办理完毕，如不能及时设置或设置不合格的将取消其中标资格。</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2）所有停车场面积要求：上塘周边设置不少于10亩，瓯北周边设置不少于6亩，黄田周边设置不少于6亩，乌牛周边设置不少于5亩，岩头周边设置不少于5亩，沙头周边设置不少于3亩，桥头周边设置不少于5亩，桥下周边设置不少于5亩。最终停车场的设置及位置需满足交警部门的日常需求。</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（3）停车场的地理位置需交通便利，导航可以标注，并设置指示牌。</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（4）投标时所承诺拟投入的所有停车场须在中标公示后7日历天内建设完成并投入使用，如未能及时设置或经采购人验收认定设置不合格的将取消其中标资格。</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（5）停车场内须安装车辆进、出场录音、录像设施，保证监控无死角，交警部门可远程查看实时监控及录像，便于随时掌握停车场的有关动态，储存时长不少于90日，相关费用由投标人自行考虑，综合报价。</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（6）停车场内须配备至少一台电脑，能与交警部门的涉案车辆管理系统进行对接。</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（7）停车场内须</w:t>
      </w:r>
      <w:r>
        <w:rPr>
          <w:rFonts w:hint="eastAsia" w:ascii="宋体" w:cs="宋体"/>
          <w:b w:val="0"/>
          <w:bCs w:val="0"/>
          <w:color w:val="auto"/>
          <w:sz w:val="22"/>
          <w:szCs w:val="22"/>
          <w:highlight w:val="none"/>
          <w:lang w:val="en-US" w:eastAsia="zh-CN"/>
        </w:rPr>
        <w:t>必须建立车辆出入登记台账、形成档案，</w:t>
      </w:r>
      <w:r>
        <w:rPr>
          <w:rFonts w:hint="eastAsia" w:ascii="宋体" w:eastAsia="宋体" w:cs="宋体"/>
          <w:b w:val="0"/>
          <w:bCs w:val="0"/>
          <w:color w:val="auto"/>
          <w:sz w:val="22"/>
          <w:szCs w:val="22"/>
          <w:highlight w:val="none"/>
          <w:lang w:val="en-US" w:eastAsia="zh-CN"/>
        </w:rPr>
        <w:t>设置明显的功能区分类标识，将违法暂扣、违停车辆、事故车辆、</w:t>
      </w:r>
      <w:r>
        <w:rPr>
          <w:rFonts w:hint="eastAsia" w:ascii="宋体" w:cs="宋体"/>
          <w:b w:val="0"/>
          <w:bCs w:val="0"/>
          <w:color w:val="auto"/>
          <w:sz w:val="22"/>
          <w:szCs w:val="22"/>
          <w:highlight w:val="none"/>
          <w:lang w:val="en-US" w:eastAsia="zh-CN"/>
        </w:rPr>
        <w:t>待处置区域</w:t>
      </w:r>
      <w:r>
        <w:rPr>
          <w:rFonts w:hint="eastAsia" w:ascii="宋体" w:eastAsia="宋体" w:cs="宋体"/>
          <w:b w:val="0"/>
          <w:bCs w:val="0"/>
          <w:color w:val="auto"/>
          <w:sz w:val="22"/>
          <w:szCs w:val="22"/>
          <w:highlight w:val="none"/>
          <w:lang w:val="en-US" w:eastAsia="zh-CN"/>
        </w:rPr>
        <w:t>进行分类停放</w:t>
      </w:r>
      <w:r>
        <w:rPr>
          <w:rFonts w:hint="eastAsia" w:ascii="宋体" w:cs="宋体"/>
          <w:b w:val="0"/>
          <w:bCs w:val="0"/>
          <w:color w:val="auto"/>
          <w:sz w:val="22"/>
          <w:szCs w:val="22"/>
          <w:highlight w:val="none"/>
          <w:lang w:val="en-US" w:eastAsia="zh-CN"/>
        </w:rPr>
        <w:t>，并将车辆按照时间分别停放，超出60天可进行拍卖的车辆，需在60天到期后10天内移至停车场待处置区域按时间顺序进行停放</w:t>
      </w:r>
      <w:r>
        <w:rPr>
          <w:rFonts w:hint="eastAsia" w:ascii="宋体" w:eastAsia="宋体" w:cs="宋体"/>
          <w:b w:val="0"/>
          <w:bCs w:val="0"/>
          <w:color w:val="auto"/>
          <w:sz w:val="22"/>
          <w:szCs w:val="22"/>
          <w:highlight w:val="none"/>
          <w:lang w:val="en-US" w:eastAsia="zh-CN"/>
        </w:rPr>
        <w:t>。</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w:t>
      </w:r>
      <w:r>
        <w:rPr>
          <w:rFonts w:hint="eastAsia" w:ascii="宋体" w:cs="宋体"/>
          <w:b w:val="0"/>
          <w:bCs w:val="0"/>
          <w:color w:val="auto"/>
          <w:sz w:val="22"/>
          <w:szCs w:val="22"/>
          <w:highlight w:val="none"/>
          <w:lang w:val="en-US" w:eastAsia="zh-CN"/>
        </w:rPr>
        <w:t>8</w:t>
      </w:r>
      <w:r>
        <w:rPr>
          <w:rFonts w:hint="eastAsia" w:ascii="宋体" w:eastAsia="宋体" w:cs="宋体"/>
          <w:b w:val="0"/>
          <w:bCs w:val="0"/>
          <w:color w:val="auto"/>
          <w:sz w:val="22"/>
          <w:szCs w:val="22"/>
          <w:highlight w:val="none"/>
          <w:lang w:val="en-US" w:eastAsia="zh-CN"/>
        </w:rPr>
        <w:t>）做好停车场内防火、防盗、防灾（洪水、台风等自然灾害）、防事故（人为破坏等）等的安全防范措施及应急服务措施。发生任何安全事故的，一切责任及经济损失由中标供应商自行承担。</w:t>
      </w:r>
    </w:p>
    <w:p>
      <w:pPr>
        <w:autoSpaceDE w:val="0"/>
        <w:autoSpaceDN w:val="0"/>
        <w:adjustRightInd w:val="0"/>
        <w:spacing w:line="460" w:lineRule="atLeast"/>
        <w:ind w:firstLine="440" w:firstLineChars="200"/>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w:t>
      </w:r>
      <w:r>
        <w:rPr>
          <w:rFonts w:hint="eastAsia" w:ascii="宋体" w:cs="宋体"/>
          <w:b w:val="0"/>
          <w:bCs w:val="0"/>
          <w:color w:val="auto"/>
          <w:sz w:val="22"/>
          <w:szCs w:val="22"/>
          <w:highlight w:val="none"/>
          <w:lang w:val="en-US" w:eastAsia="zh-CN"/>
        </w:rPr>
        <w:t>9</w:t>
      </w:r>
      <w:r>
        <w:rPr>
          <w:rFonts w:hint="eastAsia" w:ascii="宋体" w:eastAsia="宋体" w:cs="宋体"/>
          <w:b w:val="0"/>
          <w:bCs w:val="0"/>
          <w:color w:val="auto"/>
          <w:sz w:val="22"/>
          <w:szCs w:val="22"/>
          <w:highlight w:val="none"/>
          <w:lang w:val="en-US" w:eastAsia="zh-CN"/>
        </w:rPr>
        <w:t>）停车场长期处于饱和状态致使被拖曳车辆无法按规定进入现有停车场停放，经采购人通知要求整改后，</w:t>
      </w:r>
      <w:r>
        <w:rPr>
          <w:rFonts w:hint="eastAsia" w:ascii="宋体" w:cs="宋体"/>
          <w:b w:val="0"/>
          <w:bCs w:val="0"/>
          <w:color w:val="auto"/>
          <w:sz w:val="22"/>
          <w:szCs w:val="22"/>
          <w:highlight w:val="none"/>
          <w:lang w:val="en-US" w:eastAsia="zh-CN"/>
        </w:rPr>
        <w:t>中标供应商</w:t>
      </w:r>
      <w:r>
        <w:rPr>
          <w:rFonts w:hint="eastAsia" w:ascii="宋体" w:eastAsia="宋体" w:cs="宋体"/>
          <w:b w:val="0"/>
          <w:bCs w:val="0"/>
          <w:color w:val="auto"/>
          <w:sz w:val="22"/>
          <w:szCs w:val="22"/>
          <w:highlight w:val="none"/>
          <w:lang w:val="en-US" w:eastAsia="zh-CN"/>
        </w:rPr>
        <w:t>又不能按要求增设停车场的，在月度结算时扣除当月结算费用的10%作为处罚，直至停车场满足需求为止。</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cs="宋体"/>
          <w:b w:val="0"/>
          <w:bCs w:val="0"/>
          <w:color w:val="auto"/>
          <w:sz w:val="22"/>
          <w:szCs w:val="22"/>
          <w:lang w:val="en-US" w:eastAsia="zh-CN"/>
        </w:rPr>
        <w:t>（10）</w:t>
      </w:r>
      <w:r>
        <w:rPr>
          <w:rFonts w:hint="eastAsia" w:ascii="宋体" w:eastAsia="宋体" w:cs="宋体"/>
          <w:b w:val="0"/>
          <w:bCs w:val="0"/>
          <w:color w:val="auto"/>
          <w:sz w:val="22"/>
          <w:szCs w:val="22"/>
          <w:lang w:val="en-US" w:eastAsia="zh-CN"/>
        </w:rPr>
        <w:t>事故、违章车辆统一拖至投标供应商的停车场所，按照采购人的要求统一保管。</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w:t>
      </w:r>
      <w:r>
        <w:rPr>
          <w:rFonts w:hint="eastAsia" w:ascii="宋体" w:cs="宋体"/>
          <w:b w:val="0"/>
          <w:bCs w:val="0"/>
          <w:color w:val="auto"/>
          <w:sz w:val="22"/>
          <w:szCs w:val="22"/>
          <w:lang w:val="en-US" w:eastAsia="zh-CN"/>
        </w:rPr>
        <w:t>11</w:t>
      </w:r>
      <w:r>
        <w:rPr>
          <w:rFonts w:hint="eastAsia" w:ascii="宋体" w:eastAsia="宋体" w:cs="宋体"/>
          <w:b w:val="0"/>
          <w:bCs w:val="0"/>
          <w:color w:val="auto"/>
          <w:sz w:val="22"/>
          <w:szCs w:val="22"/>
          <w:lang w:val="en-US" w:eastAsia="zh-CN"/>
        </w:rPr>
        <w:t>）车辆的拖离和取出必须按照交警部门的相关程序和要求执行。</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w:t>
      </w:r>
      <w:r>
        <w:rPr>
          <w:rFonts w:hint="eastAsia" w:ascii="宋体" w:cs="宋体"/>
          <w:b w:val="0"/>
          <w:bCs w:val="0"/>
          <w:color w:val="auto"/>
          <w:sz w:val="22"/>
          <w:szCs w:val="22"/>
          <w:lang w:val="en-US" w:eastAsia="zh-CN"/>
        </w:rPr>
        <w:t>12</w:t>
      </w:r>
      <w:r>
        <w:rPr>
          <w:rFonts w:hint="eastAsia" w:ascii="宋体" w:eastAsia="宋体" w:cs="宋体"/>
          <w:b w:val="0"/>
          <w:bCs w:val="0"/>
          <w:color w:val="auto"/>
          <w:sz w:val="22"/>
          <w:szCs w:val="22"/>
          <w:lang w:val="en-US" w:eastAsia="zh-CN"/>
        </w:rPr>
        <w:t>）投标供应商必须按要求加强与采购人指定的停车场的日常交接车管理。</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w:t>
      </w:r>
      <w:r>
        <w:rPr>
          <w:rFonts w:hint="eastAsia" w:ascii="宋体" w:cs="宋体"/>
          <w:b w:val="0"/>
          <w:bCs w:val="0"/>
          <w:color w:val="auto"/>
          <w:sz w:val="22"/>
          <w:szCs w:val="22"/>
          <w:lang w:val="en-US" w:eastAsia="zh-CN"/>
        </w:rPr>
        <w:t>13</w:t>
      </w:r>
      <w:r>
        <w:rPr>
          <w:rFonts w:hint="eastAsia" w:ascii="宋体" w:eastAsia="宋体" w:cs="宋体"/>
          <w:b w:val="0"/>
          <w:bCs w:val="0"/>
          <w:color w:val="auto"/>
          <w:sz w:val="22"/>
          <w:szCs w:val="22"/>
          <w:lang w:val="en-US" w:eastAsia="zh-CN"/>
        </w:rPr>
        <w:t>）投标供应商必须建立完善的车辆保管管理制度</w:t>
      </w:r>
      <w:r>
        <w:rPr>
          <w:rFonts w:hint="eastAsia" w:ascii="宋体" w:cs="宋体"/>
          <w:b w:val="0"/>
          <w:bCs w:val="0"/>
          <w:color w:val="auto"/>
          <w:sz w:val="22"/>
          <w:szCs w:val="22"/>
          <w:lang w:val="en-US" w:eastAsia="zh-CN"/>
        </w:rPr>
        <w:t>和</w:t>
      </w:r>
      <w:r>
        <w:rPr>
          <w:rFonts w:hint="eastAsia" w:ascii="宋体" w:eastAsia="宋体" w:cs="宋体"/>
          <w:b w:val="0"/>
          <w:bCs w:val="0"/>
          <w:color w:val="auto"/>
          <w:sz w:val="22"/>
          <w:szCs w:val="22"/>
          <w:lang w:val="en-US" w:eastAsia="zh-CN"/>
        </w:rPr>
        <w:t>安全管理制度，以确保杜绝在保管过程中安全事故的发生,确保保持车辆被扣留时的原有状态。在保管服务过程中发生的一切损失（自然老化的除外）由投标供应商自行承担。</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w:t>
      </w:r>
      <w:r>
        <w:rPr>
          <w:rFonts w:hint="eastAsia" w:ascii="宋体" w:cs="宋体"/>
          <w:b w:val="0"/>
          <w:bCs w:val="0"/>
          <w:color w:val="auto"/>
          <w:sz w:val="22"/>
          <w:szCs w:val="22"/>
          <w:lang w:val="en-US" w:eastAsia="zh-CN"/>
        </w:rPr>
        <w:t>14</w:t>
      </w:r>
      <w:r>
        <w:rPr>
          <w:rFonts w:hint="eastAsia" w:ascii="宋体" w:eastAsia="宋体" w:cs="宋体"/>
          <w:b w:val="0"/>
          <w:bCs w:val="0"/>
          <w:color w:val="auto"/>
          <w:sz w:val="22"/>
          <w:szCs w:val="22"/>
          <w:lang w:val="en-US" w:eastAsia="zh-CN"/>
        </w:rPr>
        <w:t>）投标供应商的所有人员在上岗服务时必须统一着装，佩戴相应的工作证件，并配备必要的劳动及安全防护设施。</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w:t>
      </w:r>
      <w:r>
        <w:rPr>
          <w:rFonts w:hint="eastAsia" w:ascii="宋体" w:cs="宋体"/>
          <w:b w:val="0"/>
          <w:bCs w:val="0"/>
          <w:color w:val="auto"/>
          <w:sz w:val="22"/>
          <w:szCs w:val="22"/>
          <w:lang w:val="en-US" w:eastAsia="zh-CN"/>
        </w:rPr>
        <w:t>15</w:t>
      </w:r>
      <w:r>
        <w:rPr>
          <w:rFonts w:hint="eastAsia" w:ascii="宋体" w:eastAsia="宋体" w:cs="宋体"/>
          <w:b w:val="0"/>
          <w:bCs w:val="0"/>
          <w:color w:val="auto"/>
          <w:sz w:val="22"/>
          <w:szCs w:val="22"/>
          <w:lang w:val="en-US" w:eastAsia="zh-CN"/>
        </w:rPr>
        <w:t>）投标供应商必须保证设备和人员等数量满足实际的服务需要，以保证最终服务的高质、高效。相关费用由投标供应商自行承担。</w:t>
      </w:r>
    </w:p>
    <w:p>
      <w:pPr>
        <w:autoSpaceDE w:val="0"/>
        <w:autoSpaceDN w:val="0"/>
        <w:adjustRightInd w:val="0"/>
        <w:spacing w:line="460" w:lineRule="atLeast"/>
        <w:ind w:firstLine="440" w:firstLineChars="200"/>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（1</w:t>
      </w:r>
      <w:r>
        <w:rPr>
          <w:rFonts w:hint="eastAsia" w:ascii="宋体" w:cs="宋体"/>
          <w:b w:val="0"/>
          <w:bCs w:val="0"/>
          <w:color w:val="auto"/>
          <w:sz w:val="22"/>
          <w:szCs w:val="22"/>
          <w:lang w:val="en-US" w:eastAsia="zh-CN"/>
        </w:rPr>
        <w:t>6</w:t>
      </w:r>
      <w:r>
        <w:rPr>
          <w:rFonts w:hint="eastAsia" w:ascii="宋体" w:eastAsia="宋体" w:cs="宋体"/>
          <w:b w:val="0"/>
          <w:bCs w:val="0"/>
          <w:color w:val="auto"/>
          <w:sz w:val="22"/>
          <w:szCs w:val="22"/>
          <w:lang w:val="en-US" w:eastAsia="zh-CN"/>
        </w:rPr>
        <w:t>）为保证维护质量，服务方须自行提供互联网电脑和智能手机等终端设备，与采购方的“扣车管理系统”相关平台对接，实行车辆保管登记信息一致，保证实时通讯。服务方从业人员要具备相应的计算机操作及系统应用能力，能熟练完成车辆进出停车场、信息核对、查询统计等操作。</w:t>
      </w:r>
    </w:p>
    <w:p>
      <w:pPr>
        <w:snapToGrid w:val="0"/>
        <w:spacing w:line="46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lang w:eastAsia="zh-CN"/>
        </w:rPr>
        <w:t>四、付款方式</w:t>
      </w:r>
    </w:p>
    <w:p>
      <w:pPr>
        <w:autoSpaceDE w:val="0"/>
        <w:autoSpaceDN w:val="0"/>
        <w:adjustRightInd w:val="0"/>
        <w:spacing w:line="460" w:lineRule="atLeas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hAnsi="Times New Roman" w:eastAsia="宋体" w:cs="宋体"/>
          <w:b w:val="0"/>
          <w:bCs w:val="0"/>
          <w:color w:val="auto"/>
          <w:sz w:val="22"/>
          <w:szCs w:val="22"/>
          <w:highlight w:val="none"/>
          <w:lang w:val="en-US" w:eastAsia="zh-CN"/>
        </w:rPr>
        <w:t>（1）</w:t>
      </w:r>
      <w:r>
        <w:rPr>
          <w:rFonts w:hint="eastAsia" w:ascii="宋体" w:hAnsi="宋体" w:eastAsia="宋体" w:cs="宋体"/>
          <w:b/>
          <w:bCs/>
          <w:color w:val="auto"/>
          <w:sz w:val="24"/>
          <w:szCs w:val="24"/>
          <w:highlight w:val="none"/>
          <w:lang w:eastAsia="zh-CN"/>
        </w:rPr>
        <w:t>道路交通车辆拖</w:t>
      </w:r>
      <w:r>
        <w:rPr>
          <w:rFonts w:hint="eastAsia" w:ascii="宋体" w:hAnsi="宋体" w:cs="宋体"/>
          <w:b/>
          <w:bCs/>
          <w:color w:val="auto"/>
          <w:sz w:val="24"/>
          <w:szCs w:val="24"/>
          <w:highlight w:val="none"/>
          <w:lang w:eastAsia="zh-CN"/>
        </w:rPr>
        <w:t>曳</w:t>
      </w:r>
      <w:r>
        <w:rPr>
          <w:rFonts w:hint="eastAsia" w:ascii="宋体" w:hAnsi="宋体" w:eastAsia="宋体" w:cs="宋体"/>
          <w:b/>
          <w:bCs/>
          <w:color w:val="auto"/>
          <w:sz w:val="24"/>
          <w:szCs w:val="24"/>
          <w:highlight w:val="none"/>
          <w:lang w:eastAsia="zh-CN"/>
        </w:rPr>
        <w:t>服务</w:t>
      </w:r>
      <w:r>
        <w:rPr>
          <w:rFonts w:hint="eastAsia" w:ascii="宋体" w:hAnsi="Times New Roman" w:eastAsia="宋体" w:cs="宋体"/>
          <w:b w:val="0"/>
          <w:bCs w:val="0"/>
          <w:color w:val="auto"/>
          <w:sz w:val="22"/>
          <w:szCs w:val="22"/>
          <w:highlight w:val="none"/>
          <w:lang w:val="en-US" w:eastAsia="zh-CN"/>
        </w:rPr>
        <w:t>：拖车的交通违法车辆（含因交通事故暂扣车辆），由采购人按拖车数量与拖车单价进行结算，一季度结算一次，由采购人核实支付。其他车辆、物品的扣押清运费用包含在内，不再另行结算。支付金额超出采购人年预算金额的，采购人不再另行支付。</w:t>
      </w:r>
    </w:p>
    <w:p>
      <w:pPr>
        <w:autoSpaceDE w:val="0"/>
        <w:autoSpaceDN w:val="0"/>
        <w:adjustRightInd w:val="0"/>
        <w:spacing w:line="460" w:lineRule="atLeas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hAnsi="Times New Roman" w:eastAsia="宋体" w:cs="宋体"/>
          <w:b w:val="0"/>
          <w:bCs w:val="0"/>
          <w:color w:val="auto"/>
          <w:sz w:val="22"/>
          <w:szCs w:val="22"/>
          <w:highlight w:val="none"/>
          <w:lang w:val="en-US" w:eastAsia="zh-CN"/>
        </w:rPr>
        <w:t>（2）交通事故、违法车辆扣留后的保管服务：车辆保管服务中标金额每年分开两次支付，支付时间为每年1月、7月，每次支付金额为中标金额的</w:t>
      </w:r>
      <w:r>
        <w:rPr>
          <w:rFonts w:hint="eastAsia" w:ascii="宋体" w:cs="宋体"/>
          <w:b w:val="0"/>
          <w:bCs w:val="0"/>
          <w:color w:val="auto"/>
          <w:sz w:val="22"/>
          <w:szCs w:val="22"/>
          <w:highlight w:val="none"/>
          <w:lang w:val="en-US" w:eastAsia="zh-CN"/>
        </w:rPr>
        <w:t>1/6</w:t>
      </w:r>
      <w:r>
        <w:rPr>
          <w:rFonts w:hint="eastAsia" w:ascii="宋体" w:hAnsi="Times New Roman" w:eastAsia="宋体" w:cs="宋体"/>
          <w:b w:val="0"/>
          <w:bCs w:val="0"/>
          <w:color w:val="auto"/>
          <w:sz w:val="22"/>
          <w:szCs w:val="22"/>
          <w:highlight w:val="none"/>
          <w:lang w:val="en-US" w:eastAsia="zh-CN"/>
        </w:rPr>
        <w:t>。</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注；根据《浙江省财政厅关于坚决打赢疫情防控狙击战进一步做好政府采购资金支持企业发展工作的通知》（浙财采监〔2020〕3号）、《永嘉县财政局关于做好政府采购相关工作应对新冠肺炎疫情支持中小企业共渡难关的通知》（永财采监〔2020〕47号）、《浙江省财政厅关于进一步发挥政府采购政策功能全力推动经济稳进提质的通知》（浙财采监〔2022〕3号）执行预付款制度（小微企业中标的不少于20%）,具体预付款支付比例应当在合同中约定。</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如采购人无法按上述约定期限支付对应款项的,采购人与中标供应商根据实际情况另行协商确定付款时间,中标供应商确认不因采购人延期付款的情形要求采购人承担逾期付款利息等违约责任。</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因财政国库库款能力不足等情势变更情况导致无法执行相关文件要求的支付比例,采购人与中标供应商应根据实际情况另行协商约定。</w:t>
      </w:r>
    </w:p>
    <w:p>
      <w:pPr>
        <w:snapToGrid w:val="0"/>
        <w:spacing w:line="46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lang w:eastAsia="zh-CN"/>
        </w:rPr>
        <w:t>五、应急处置要求</w:t>
      </w:r>
    </w:p>
    <w:p>
      <w:pPr>
        <w:snapToGrid w:val="0"/>
        <w:spacing w:line="460" w:lineRule="exac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hAnsi="Times New Roman" w:eastAsia="宋体" w:cs="宋体"/>
          <w:b w:val="0"/>
          <w:bCs w:val="0"/>
          <w:color w:val="auto"/>
          <w:sz w:val="22"/>
          <w:szCs w:val="22"/>
          <w:highlight w:val="none"/>
          <w:lang w:val="en-US" w:eastAsia="zh-CN"/>
        </w:rPr>
        <w:t>（1）中标供应商须根据采购人要求及突发情况24小时待命。</w:t>
      </w:r>
    </w:p>
    <w:p>
      <w:pPr>
        <w:snapToGrid w:val="0"/>
        <w:spacing w:line="460" w:lineRule="exac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lang w:val="en-US" w:eastAsia="zh-CN"/>
        </w:rPr>
        <w:t>（2）</w:t>
      </w:r>
      <w:r>
        <w:rPr>
          <w:rFonts w:hint="eastAsia" w:ascii="宋体" w:hAnsi="Times New Roman" w:eastAsia="宋体" w:cs="宋体"/>
          <w:b w:val="0"/>
          <w:bCs w:val="0"/>
          <w:color w:val="auto"/>
          <w:sz w:val="22"/>
          <w:szCs w:val="22"/>
          <w:highlight w:val="none"/>
          <w:lang w:val="en-US" w:eastAsia="zh-CN"/>
        </w:rPr>
        <w:t>服务人员需要配备相关作业所需物资应对应急事件。</w:t>
      </w:r>
    </w:p>
    <w:p>
      <w:pPr>
        <w:snapToGrid w:val="0"/>
        <w:spacing w:line="460" w:lineRule="exac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lang w:val="en-US" w:eastAsia="zh-CN"/>
        </w:rPr>
        <w:t>（3）</w:t>
      </w:r>
      <w:r>
        <w:rPr>
          <w:rFonts w:hint="eastAsia" w:ascii="宋体" w:hAnsi="Times New Roman" w:eastAsia="宋体" w:cs="宋体"/>
          <w:b w:val="0"/>
          <w:bCs w:val="0"/>
          <w:color w:val="auto"/>
          <w:sz w:val="22"/>
          <w:szCs w:val="22"/>
          <w:highlight w:val="none"/>
          <w:lang w:val="en-US" w:eastAsia="zh-CN"/>
        </w:rPr>
        <w:t>在台风、雷暴雨、洪水、大雾、寒潮、高温等灾害性气候条件下，应按照气象部门发布的预警时间，启动应急预案，保证安全前提下进行应急作业。</w:t>
      </w:r>
    </w:p>
    <w:p>
      <w:pPr>
        <w:snapToGrid w:val="0"/>
        <w:spacing w:line="460" w:lineRule="exac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lang w:val="en-US" w:eastAsia="zh-CN"/>
        </w:rPr>
        <w:t>（4）</w:t>
      </w:r>
      <w:r>
        <w:rPr>
          <w:rFonts w:hint="eastAsia" w:ascii="宋体" w:hAnsi="Times New Roman" w:eastAsia="宋体" w:cs="宋体"/>
          <w:b w:val="0"/>
          <w:bCs w:val="0"/>
          <w:color w:val="auto"/>
          <w:sz w:val="22"/>
          <w:szCs w:val="22"/>
          <w:highlight w:val="none"/>
          <w:lang w:val="en-US" w:eastAsia="zh-CN"/>
        </w:rPr>
        <w:t>作业过程中出现突发情况或发现疑似危险物品，应及时向有关部门报告，待相关人员到现场后，配合清场、协助处理。</w:t>
      </w:r>
    </w:p>
    <w:p>
      <w:pPr>
        <w:snapToGrid w:val="0"/>
        <w:spacing w:line="460" w:lineRule="exac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lang w:val="en-US" w:eastAsia="zh-CN"/>
        </w:rPr>
        <w:t>（5）</w:t>
      </w:r>
      <w:r>
        <w:rPr>
          <w:rFonts w:hint="eastAsia" w:ascii="宋体" w:hAnsi="Times New Roman" w:eastAsia="宋体" w:cs="宋体"/>
          <w:b w:val="0"/>
          <w:bCs w:val="0"/>
          <w:color w:val="auto"/>
          <w:sz w:val="22"/>
          <w:szCs w:val="22"/>
          <w:highlight w:val="none"/>
          <w:lang w:val="en-US" w:eastAsia="zh-CN"/>
        </w:rPr>
        <w:t>因车辆原因或其它自身原因不能及时处理应急事件时，须及时报告采购人。</w:t>
      </w:r>
    </w:p>
    <w:p>
      <w:pPr>
        <w:snapToGrid w:val="0"/>
        <w:spacing w:line="460" w:lineRule="exact"/>
        <w:rPr>
          <w:rFonts w:hint="eastAsia" w:eastAsia="宋体"/>
          <w:color w:val="auto"/>
          <w:highlight w:val="none"/>
          <w:lang w:val="en-US" w:eastAsia="zh-CN"/>
        </w:rPr>
      </w:pPr>
      <w:r>
        <w:rPr>
          <w:rFonts w:hint="eastAsia" w:ascii="宋体" w:hAnsi="宋体" w:cs="宋体"/>
          <w:b/>
          <w:color w:val="auto"/>
          <w:sz w:val="22"/>
          <w:szCs w:val="22"/>
          <w:highlight w:val="none"/>
          <w:lang w:eastAsia="zh-CN"/>
        </w:rPr>
        <w:t>六、项目管理</w:t>
      </w:r>
    </w:p>
    <w:p>
      <w:pPr>
        <w:snapToGrid w:val="0"/>
        <w:spacing w:line="460" w:lineRule="exac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lang w:val="en-US" w:eastAsia="zh-CN"/>
        </w:rPr>
        <w:t>（1）</w:t>
      </w:r>
      <w:r>
        <w:rPr>
          <w:rFonts w:hint="eastAsia" w:ascii="宋体" w:hAnsi="Times New Roman" w:eastAsia="宋体" w:cs="宋体"/>
          <w:b w:val="0"/>
          <w:bCs w:val="0"/>
          <w:color w:val="auto"/>
          <w:sz w:val="22"/>
          <w:szCs w:val="22"/>
          <w:highlight w:val="none"/>
          <w:lang w:val="en-US" w:eastAsia="zh-CN"/>
        </w:rPr>
        <w:t>采购人将不定期对</w:t>
      </w:r>
      <w:r>
        <w:rPr>
          <w:rFonts w:hint="eastAsia" w:ascii="宋体" w:cs="宋体"/>
          <w:b w:val="0"/>
          <w:bCs w:val="0"/>
          <w:color w:val="auto"/>
          <w:sz w:val="22"/>
          <w:szCs w:val="22"/>
          <w:highlight w:val="none"/>
          <w:lang w:val="en-US" w:eastAsia="zh-CN"/>
        </w:rPr>
        <w:t>中标供应商</w:t>
      </w:r>
      <w:r>
        <w:rPr>
          <w:rFonts w:hint="eastAsia" w:ascii="宋体" w:hAnsi="Times New Roman" w:eastAsia="宋体" w:cs="宋体"/>
          <w:b w:val="0"/>
          <w:bCs w:val="0"/>
          <w:color w:val="auto"/>
          <w:sz w:val="22"/>
          <w:szCs w:val="22"/>
          <w:highlight w:val="none"/>
          <w:lang w:val="en-US" w:eastAsia="zh-CN"/>
        </w:rPr>
        <w:t>的作业情况及台帐登记情况进行检查。</w:t>
      </w:r>
    </w:p>
    <w:p>
      <w:pPr>
        <w:snapToGrid w:val="0"/>
        <w:spacing w:line="460" w:lineRule="exac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lang w:val="en-US" w:eastAsia="zh-CN"/>
        </w:rPr>
        <w:t>（2）中标供应商</w:t>
      </w:r>
      <w:r>
        <w:rPr>
          <w:rFonts w:hint="eastAsia" w:ascii="宋体" w:hAnsi="Times New Roman" w:eastAsia="宋体" w:cs="宋体"/>
          <w:b w:val="0"/>
          <w:bCs w:val="0"/>
          <w:color w:val="auto"/>
          <w:sz w:val="22"/>
          <w:szCs w:val="22"/>
          <w:highlight w:val="none"/>
          <w:lang w:val="en-US" w:eastAsia="zh-CN"/>
        </w:rPr>
        <w:t>每月的服务费与当月的考评挂钩。采购人将对</w:t>
      </w:r>
      <w:r>
        <w:rPr>
          <w:rFonts w:hint="eastAsia" w:ascii="宋体" w:cs="宋体"/>
          <w:b w:val="0"/>
          <w:bCs w:val="0"/>
          <w:color w:val="auto"/>
          <w:sz w:val="22"/>
          <w:szCs w:val="22"/>
          <w:highlight w:val="none"/>
          <w:lang w:val="en-US" w:eastAsia="zh-CN"/>
        </w:rPr>
        <w:t>中标供应商</w:t>
      </w:r>
      <w:r>
        <w:rPr>
          <w:rFonts w:hint="eastAsia" w:ascii="宋体" w:hAnsi="Times New Roman" w:eastAsia="宋体" w:cs="宋体"/>
          <w:b w:val="0"/>
          <w:bCs w:val="0"/>
          <w:color w:val="auto"/>
          <w:sz w:val="22"/>
          <w:szCs w:val="22"/>
          <w:highlight w:val="none"/>
          <w:lang w:val="en-US" w:eastAsia="zh-CN"/>
        </w:rPr>
        <w:t>清障任务完成的质量情况进行考评，并按照月度考评情况扣减相应的服务费用。</w:t>
      </w:r>
    </w:p>
    <w:p>
      <w:pPr>
        <w:snapToGrid w:val="0"/>
        <w:spacing w:line="460" w:lineRule="exac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lang w:val="en-US" w:eastAsia="zh-CN"/>
        </w:rPr>
        <w:t>（3）</w:t>
      </w:r>
      <w:r>
        <w:rPr>
          <w:rFonts w:hint="eastAsia" w:ascii="宋体" w:hAnsi="Times New Roman" w:eastAsia="宋体" w:cs="宋体"/>
          <w:b w:val="0"/>
          <w:bCs w:val="0"/>
          <w:color w:val="auto"/>
          <w:sz w:val="22"/>
          <w:szCs w:val="22"/>
          <w:highlight w:val="none"/>
          <w:lang w:val="en-US" w:eastAsia="zh-CN"/>
        </w:rPr>
        <w:t>采购人根据检查发现并核实的问题向</w:t>
      </w:r>
      <w:r>
        <w:rPr>
          <w:rFonts w:hint="eastAsia" w:ascii="宋体" w:cs="宋体"/>
          <w:b w:val="0"/>
          <w:bCs w:val="0"/>
          <w:color w:val="auto"/>
          <w:sz w:val="22"/>
          <w:szCs w:val="22"/>
          <w:highlight w:val="none"/>
          <w:lang w:val="en-US" w:eastAsia="zh-CN"/>
        </w:rPr>
        <w:t>中标供应商</w:t>
      </w:r>
      <w:r>
        <w:rPr>
          <w:rFonts w:hint="eastAsia" w:ascii="宋体" w:hAnsi="Times New Roman" w:eastAsia="宋体" w:cs="宋体"/>
          <w:b w:val="0"/>
          <w:bCs w:val="0"/>
          <w:color w:val="auto"/>
          <w:sz w:val="22"/>
          <w:szCs w:val="22"/>
          <w:highlight w:val="none"/>
          <w:lang w:val="en-US" w:eastAsia="zh-CN"/>
        </w:rPr>
        <w:t>发出整改通知书，要求限期整改，</w:t>
      </w:r>
      <w:r>
        <w:rPr>
          <w:rFonts w:hint="eastAsia" w:ascii="宋体" w:cs="宋体"/>
          <w:b w:val="0"/>
          <w:bCs w:val="0"/>
          <w:color w:val="auto"/>
          <w:sz w:val="22"/>
          <w:szCs w:val="22"/>
          <w:highlight w:val="none"/>
          <w:lang w:val="en-US" w:eastAsia="zh-CN"/>
        </w:rPr>
        <w:t>中标供应商</w:t>
      </w:r>
      <w:r>
        <w:rPr>
          <w:rFonts w:hint="eastAsia" w:ascii="宋体" w:hAnsi="Times New Roman" w:eastAsia="宋体" w:cs="宋体"/>
          <w:b w:val="0"/>
          <w:bCs w:val="0"/>
          <w:color w:val="auto"/>
          <w:sz w:val="22"/>
          <w:szCs w:val="22"/>
          <w:highlight w:val="none"/>
          <w:lang w:val="en-US" w:eastAsia="zh-CN"/>
        </w:rPr>
        <w:t>应在规定期限内实施整改，并将整改结果书面报采购人；如</w:t>
      </w:r>
      <w:r>
        <w:rPr>
          <w:rFonts w:hint="eastAsia" w:ascii="宋体" w:cs="宋体"/>
          <w:b w:val="0"/>
          <w:bCs w:val="0"/>
          <w:color w:val="auto"/>
          <w:sz w:val="22"/>
          <w:szCs w:val="22"/>
          <w:highlight w:val="none"/>
          <w:lang w:val="en-US" w:eastAsia="zh-CN"/>
        </w:rPr>
        <w:t>中标供应商</w:t>
      </w:r>
      <w:r>
        <w:rPr>
          <w:rFonts w:hint="eastAsia" w:ascii="宋体" w:hAnsi="Times New Roman" w:eastAsia="宋体" w:cs="宋体"/>
          <w:b w:val="0"/>
          <w:bCs w:val="0"/>
          <w:color w:val="auto"/>
          <w:sz w:val="22"/>
          <w:szCs w:val="22"/>
          <w:highlight w:val="none"/>
          <w:lang w:val="en-US" w:eastAsia="zh-CN"/>
        </w:rPr>
        <w:t>不按要求实施整改的，采购人有权暂缓支付相关费用。</w:t>
      </w:r>
    </w:p>
    <w:p>
      <w:pPr>
        <w:snapToGrid w:val="0"/>
        <w:spacing w:line="460" w:lineRule="exact"/>
        <w:ind w:firstLine="440" w:firstLineChars="200"/>
        <w:rPr>
          <w:rFonts w:hint="eastAsia" w:ascii="宋体" w:hAnsi="Times New Roman" w:eastAsia="宋体" w:cs="宋体"/>
          <w:b w:val="0"/>
          <w:bCs w:val="0"/>
          <w:color w:val="auto"/>
          <w:sz w:val="22"/>
          <w:szCs w:val="22"/>
          <w:highlight w:val="none"/>
          <w:lang w:val="en-US" w:eastAsia="zh-CN"/>
        </w:rPr>
      </w:pPr>
      <w:r>
        <w:rPr>
          <w:rFonts w:hint="eastAsia" w:ascii="宋体" w:cs="宋体"/>
          <w:b w:val="0"/>
          <w:bCs w:val="0"/>
          <w:color w:val="auto"/>
          <w:sz w:val="22"/>
          <w:szCs w:val="22"/>
          <w:highlight w:val="none"/>
          <w:lang w:val="en-US" w:eastAsia="zh-CN"/>
        </w:rPr>
        <w:t>（4）中标供应商</w:t>
      </w:r>
      <w:r>
        <w:rPr>
          <w:rFonts w:hint="eastAsia" w:ascii="宋体" w:hAnsi="Times New Roman" w:eastAsia="宋体" w:cs="宋体"/>
          <w:b w:val="0"/>
          <w:bCs w:val="0"/>
          <w:color w:val="auto"/>
          <w:sz w:val="22"/>
          <w:szCs w:val="22"/>
          <w:highlight w:val="none"/>
          <w:lang w:val="en-US" w:eastAsia="zh-CN"/>
        </w:rPr>
        <w:t>如出现违法、违规行为的，采购人有权终止合同，且由此造成的损失由</w:t>
      </w:r>
      <w:r>
        <w:rPr>
          <w:rFonts w:hint="eastAsia" w:ascii="宋体" w:cs="宋体"/>
          <w:b w:val="0"/>
          <w:bCs w:val="0"/>
          <w:color w:val="auto"/>
          <w:sz w:val="22"/>
          <w:szCs w:val="22"/>
          <w:highlight w:val="none"/>
          <w:lang w:val="en-US" w:eastAsia="zh-CN"/>
        </w:rPr>
        <w:t>中标供应商</w:t>
      </w:r>
      <w:r>
        <w:rPr>
          <w:rFonts w:hint="eastAsia" w:ascii="宋体" w:hAnsi="Times New Roman" w:eastAsia="宋体" w:cs="宋体"/>
          <w:b w:val="0"/>
          <w:bCs w:val="0"/>
          <w:color w:val="auto"/>
          <w:sz w:val="22"/>
          <w:szCs w:val="22"/>
          <w:highlight w:val="none"/>
          <w:lang w:val="en-US" w:eastAsia="zh-CN"/>
        </w:rPr>
        <w:t>负责。</w:t>
      </w:r>
    </w:p>
    <w:p>
      <w:pPr>
        <w:snapToGrid w:val="0"/>
        <w:spacing w:line="460" w:lineRule="exact"/>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eastAsia="zh-CN"/>
        </w:rPr>
        <w:t>七、</w:t>
      </w:r>
      <w:r>
        <w:rPr>
          <w:rFonts w:hint="eastAsia" w:ascii="宋体" w:hAnsi="宋体" w:eastAsia="宋体" w:cs="宋体"/>
          <w:b/>
          <w:bCs/>
          <w:color w:val="auto"/>
          <w:sz w:val="22"/>
          <w:szCs w:val="22"/>
          <w:highlight w:val="none"/>
          <w:lang w:eastAsia="zh-CN"/>
        </w:rPr>
        <w:t>项目服务期</w:t>
      </w:r>
      <w:r>
        <w:rPr>
          <w:rFonts w:hint="eastAsia" w:ascii="宋体" w:hAnsi="宋体" w:eastAsia="宋体" w:cs="宋体"/>
          <w:b/>
          <w:bCs/>
          <w:color w:val="auto"/>
          <w:sz w:val="22"/>
          <w:szCs w:val="22"/>
          <w:highlight w:val="none"/>
          <w:lang w:val="en-US" w:eastAsia="zh-CN"/>
        </w:rPr>
        <w:t>:</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目服务期自合同签订之日起三年，合同一年一签。中标供应商在未有违反合同的行为发生，且服务质量满足采购人要求的前提下，1年承包期满后，可续签下一年服务承包合同，若中标供应商有违约行为，服务质量未达到标准，采购人有权单方面提前解除合同或不续签下一年合同。</w:t>
      </w:r>
    </w:p>
    <w:p>
      <w:pPr>
        <w:snapToGrid w:val="0"/>
        <w:spacing w:line="460" w:lineRule="exact"/>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八、</w:t>
      </w:r>
      <w:r>
        <w:rPr>
          <w:rFonts w:hint="eastAsia" w:ascii="宋体" w:hAnsi="宋体" w:eastAsia="宋体" w:cs="宋体"/>
          <w:b/>
          <w:bCs/>
          <w:color w:val="auto"/>
          <w:sz w:val="22"/>
          <w:szCs w:val="22"/>
          <w:highlight w:val="none"/>
          <w:lang w:val="en-US" w:eastAsia="zh-CN"/>
        </w:rPr>
        <w:t>履约验收要求</w:t>
      </w:r>
    </w:p>
    <w:p>
      <w:pPr>
        <w:keepNext w:val="0"/>
        <w:keepLines w:val="0"/>
        <w:pageBreakBefore w:val="0"/>
        <w:widowControl w:val="0"/>
        <w:kinsoku/>
        <w:wordWrap/>
        <w:overflowPunct/>
        <w:topLinePunct w:val="0"/>
        <w:bidi w:val="0"/>
        <w:spacing w:line="460" w:lineRule="exact"/>
        <w:ind w:firstLine="440" w:firstLineChars="200"/>
        <w:textAlignment w:val="auto"/>
        <w:rPr>
          <w:rFonts w:hint="eastAsia" w:ascii="宋体" w:hAnsi="宋体" w:eastAsia="宋体" w:cs="宋体"/>
          <w:b/>
          <w:color w:val="auto"/>
          <w:sz w:val="22"/>
          <w:highlight w:val="none"/>
        </w:rPr>
      </w:pPr>
      <w:r>
        <w:rPr>
          <w:rFonts w:hint="eastAsia" w:ascii="新宋体" w:hAnsi="新宋体" w:eastAsia="新宋体" w:cs="新宋体"/>
          <w:color w:val="auto"/>
          <w:sz w:val="22"/>
          <w:szCs w:val="22"/>
          <w:highlight w:val="none"/>
        </w:rPr>
        <w:t>按《中华人民共和国政府采购法》及其实施条例、《中华人民共和国民法典》、《财政部关于进一步加强政府采购需求和履约验收管理的指导意见》（财库〔2016〕205号）、《浙江省财政厅关于印发浙江省政府采购合同暂行办法的通知》（浙财采监〔2017〕11号）、《温州市政府采购履约验收办法》（温财采〔2020〕6号）等相关法律法规、规定执行。</w:t>
      </w:r>
    </w:p>
    <w:p>
      <w:pPr>
        <w:spacing w:line="460" w:lineRule="exact"/>
        <w:outlineLvl w:val="1"/>
        <w:rPr>
          <w:rFonts w:hint="eastAsia" w:ascii="新宋体" w:hAnsi="新宋体" w:eastAsia="新宋体" w:cs="新宋体"/>
          <w:b/>
          <w:color w:val="auto"/>
          <w:sz w:val="22"/>
          <w:szCs w:val="22"/>
          <w:highlight w:val="none"/>
          <w:shd w:val="clear" w:color="auto" w:fill="auto"/>
        </w:rPr>
      </w:pPr>
      <w:bookmarkStart w:id="101" w:name="_Toc11896"/>
      <w:r>
        <w:rPr>
          <w:rFonts w:hint="eastAsia" w:ascii="新宋体" w:hAnsi="新宋体" w:eastAsia="新宋体" w:cs="新宋体"/>
          <w:b/>
          <w:color w:val="auto"/>
          <w:sz w:val="22"/>
          <w:szCs w:val="22"/>
          <w:highlight w:val="none"/>
          <w:shd w:val="clear" w:color="auto" w:fill="auto"/>
          <w:lang w:eastAsia="zh-CN"/>
        </w:rPr>
        <w:t>九</w:t>
      </w:r>
      <w:r>
        <w:rPr>
          <w:rFonts w:hint="eastAsia" w:ascii="新宋体" w:hAnsi="新宋体" w:eastAsia="新宋体" w:cs="新宋体"/>
          <w:b/>
          <w:color w:val="auto"/>
          <w:sz w:val="22"/>
          <w:szCs w:val="22"/>
          <w:highlight w:val="none"/>
          <w:shd w:val="clear" w:color="auto" w:fill="auto"/>
        </w:rPr>
        <w:t>、违约责任</w:t>
      </w:r>
      <w:bookmarkEnd w:id="101"/>
    </w:p>
    <w:p>
      <w:pPr>
        <w:spacing w:line="460" w:lineRule="exact"/>
        <w:ind w:firstLine="440" w:firstLineChars="200"/>
        <w:rPr>
          <w:rFonts w:hint="eastAsia" w:ascii="新宋体" w:hAnsi="新宋体" w:eastAsia="新宋体" w:cs="Times New Roman"/>
          <w:b w:val="0"/>
          <w:bCs w:val="0"/>
          <w:color w:val="auto"/>
          <w:sz w:val="22"/>
          <w:highlight w:val="none"/>
          <w:shd w:val="clear" w:color="auto" w:fill="auto"/>
        </w:rPr>
      </w:pPr>
      <w:r>
        <w:rPr>
          <w:rFonts w:hint="eastAsia" w:ascii="新宋体" w:hAnsi="新宋体" w:eastAsia="新宋体" w:cs="Times New Roman"/>
          <w:b w:val="0"/>
          <w:bCs w:val="0"/>
          <w:color w:val="auto"/>
          <w:sz w:val="22"/>
          <w:highlight w:val="none"/>
          <w:shd w:val="clear" w:color="auto" w:fill="auto"/>
          <w:lang w:val="en-US" w:eastAsia="zh-CN"/>
        </w:rPr>
        <w:t>1、</w:t>
      </w:r>
      <w:r>
        <w:rPr>
          <w:rFonts w:hint="eastAsia" w:ascii="新宋体" w:hAnsi="新宋体" w:eastAsia="新宋体" w:cs="Times New Roman"/>
          <w:b w:val="0"/>
          <w:bCs w:val="0"/>
          <w:color w:val="auto"/>
          <w:sz w:val="22"/>
          <w:highlight w:val="none"/>
          <w:shd w:val="clear" w:color="auto" w:fill="auto"/>
        </w:rPr>
        <w:t>因乙方违约导致合同终止的，相关责任和损失由乙方承担，并向甲方支付10万元的违约金。</w:t>
      </w:r>
    </w:p>
    <w:p>
      <w:pPr>
        <w:spacing w:line="460" w:lineRule="exact"/>
        <w:ind w:firstLine="440" w:firstLineChars="200"/>
        <w:rPr>
          <w:rFonts w:hint="eastAsia" w:ascii="新宋体" w:hAnsi="新宋体" w:eastAsia="新宋体" w:cs="Times New Roman"/>
          <w:b w:val="0"/>
          <w:bCs w:val="0"/>
          <w:color w:val="auto"/>
          <w:sz w:val="22"/>
          <w:highlight w:val="none"/>
          <w:shd w:val="clear" w:color="auto" w:fill="auto"/>
        </w:rPr>
      </w:pPr>
      <w:r>
        <w:rPr>
          <w:rFonts w:hint="eastAsia" w:ascii="新宋体" w:hAnsi="新宋体" w:eastAsia="新宋体" w:cs="Times New Roman"/>
          <w:b w:val="0"/>
          <w:bCs w:val="0"/>
          <w:color w:val="auto"/>
          <w:sz w:val="22"/>
          <w:highlight w:val="none"/>
          <w:shd w:val="clear" w:color="auto" w:fill="auto"/>
          <w:lang w:val="en-US" w:eastAsia="zh-CN"/>
        </w:rPr>
        <w:t>2、</w:t>
      </w:r>
      <w:r>
        <w:rPr>
          <w:rFonts w:hint="eastAsia" w:ascii="新宋体" w:hAnsi="新宋体" w:eastAsia="新宋体" w:cs="Times New Roman"/>
          <w:b w:val="0"/>
          <w:bCs w:val="0"/>
          <w:color w:val="auto"/>
          <w:sz w:val="22"/>
          <w:highlight w:val="none"/>
          <w:shd w:val="clear" w:color="auto" w:fill="auto"/>
        </w:rPr>
        <w:t>甲方应按照合同规定时限办理服务费用的支付手续，每拖延1天，乙方可加收逾期未付服务费用1‰的违约金，逾期超过30天，乙方有权撤回提供服务的车辆及人员。</w:t>
      </w:r>
    </w:p>
    <w:p>
      <w:pPr>
        <w:spacing w:line="460" w:lineRule="exact"/>
        <w:ind w:firstLine="440" w:firstLineChars="200"/>
        <w:rPr>
          <w:rFonts w:hint="eastAsia" w:ascii="新宋体" w:hAnsi="新宋体" w:eastAsia="新宋体" w:cs="Times New Roman"/>
          <w:b w:val="0"/>
          <w:bCs w:val="0"/>
          <w:color w:val="auto"/>
          <w:sz w:val="22"/>
          <w:highlight w:val="none"/>
          <w:shd w:val="clear" w:color="auto" w:fill="auto"/>
        </w:rPr>
      </w:pPr>
      <w:r>
        <w:rPr>
          <w:rFonts w:hint="eastAsia" w:ascii="新宋体" w:hAnsi="新宋体" w:eastAsia="新宋体" w:cs="Times New Roman"/>
          <w:b w:val="0"/>
          <w:bCs w:val="0"/>
          <w:color w:val="auto"/>
          <w:sz w:val="22"/>
          <w:highlight w:val="none"/>
          <w:shd w:val="clear" w:color="auto" w:fill="auto"/>
          <w:lang w:val="en-US" w:eastAsia="zh-CN"/>
        </w:rPr>
        <w:t>3、</w:t>
      </w:r>
      <w:r>
        <w:rPr>
          <w:rFonts w:hint="eastAsia" w:ascii="新宋体" w:hAnsi="新宋体" w:eastAsia="新宋体" w:cs="Times New Roman"/>
          <w:b w:val="0"/>
          <w:bCs w:val="0"/>
          <w:color w:val="auto"/>
          <w:sz w:val="22"/>
          <w:highlight w:val="none"/>
          <w:shd w:val="clear" w:color="auto" w:fill="auto"/>
        </w:rPr>
        <w:t>甲方应按照合同规定时限办理服务费用的支付手续，每拖延1天，乙方可加收逾期未付服务费用</w:t>
      </w:r>
      <w:r>
        <w:rPr>
          <w:rFonts w:hint="eastAsia" w:ascii="新宋体" w:hAnsi="新宋体" w:eastAsia="新宋体" w:cs="Times New Roman"/>
          <w:b w:val="0"/>
          <w:bCs w:val="0"/>
          <w:color w:val="auto"/>
          <w:sz w:val="22"/>
          <w:highlight w:val="none"/>
          <w:shd w:val="clear" w:color="auto" w:fill="auto"/>
          <w:lang w:val="en-US" w:eastAsia="zh-CN"/>
        </w:rPr>
        <w:t>0.5</w:t>
      </w:r>
      <w:r>
        <w:rPr>
          <w:rFonts w:hint="eastAsia" w:ascii="新宋体" w:hAnsi="新宋体" w:eastAsia="新宋体" w:cs="Times New Roman"/>
          <w:b w:val="0"/>
          <w:bCs w:val="0"/>
          <w:color w:val="auto"/>
          <w:sz w:val="22"/>
          <w:highlight w:val="none"/>
          <w:shd w:val="clear" w:color="auto" w:fill="auto"/>
        </w:rPr>
        <w:t>‰的违约金，逾期超过</w:t>
      </w:r>
      <w:r>
        <w:rPr>
          <w:rFonts w:hint="eastAsia" w:ascii="新宋体" w:hAnsi="新宋体" w:eastAsia="新宋体" w:cs="Times New Roman"/>
          <w:b w:val="0"/>
          <w:bCs w:val="0"/>
          <w:color w:val="auto"/>
          <w:sz w:val="22"/>
          <w:highlight w:val="none"/>
          <w:shd w:val="clear" w:color="auto" w:fill="auto"/>
          <w:lang w:val="en-US" w:eastAsia="zh-CN"/>
        </w:rPr>
        <w:t>60</w:t>
      </w:r>
      <w:r>
        <w:rPr>
          <w:rFonts w:hint="eastAsia" w:ascii="新宋体" w:hAnsi="新宋体" w:eastAsia="新宋体" w:cs="Times New Roman"/>
          <w:b w:val="0"/>
          <w:bCs w:val="0"/>
          <w:color w:val="auto"/>
          <w:sz w:val="22"/>
          <w:highlight w:val="none"/>
          <w:shd w:val="clear" w:color="auto" w:fill="auto"/>
        </w:rPr>
        <w:t>天，乙方有权撤回</w:t>
      </w:r>
      <w:r>
        <w:rPr>
          <w:rFonts w:hint="eastAsia" w:ascii="新宋体" w:hAnsi="新宋体" w:eastAsia="新宋体" w:cs="Times New Roman"/>
          <w:b w:val="0"/>
          <w:bCs w:val="0"/>
          <w:color w:val="auto"/>
          <w:sz w:val="22"/>
          <w:highlight w:val="none"/>
          <w:shd w:val="clear" w:color="auto" w:fill="auto"/>
          <w:lang w:val="en-US" w:eastAsia="zh-CN"/>
        </w:rPr>
        <w:t>所</w:t>
      </w:r>
      <w:r>
        <w:rPr>
          <w:rFonts w:hint="eastAsia" w:ascii="新宋体" w:hAnsi="新宋体" w:eastAsia="新宋体" w:cs="Times New Roman"/>
          <w:b w:val="0"/>
          <w:bCs w:val="0"/>
          <w:color w:val="auto"/>
          <w:sz w:val="22"/>
          <w:highlight w:val="none"/>
          <w:shd w:val="clear" w:color="auto" w:fill="auto"/>
        </w:rPr>
        <w:t>提供</w:t>
      </w:r>
      <w:r>
        <w:rPr>
          <w:rFonts w:hint="eastAsia" w:ascii="新宋体" w:hAnsi="新宋体" w:eastAsia="新宋体" w:cs="Times New Roman"/>
          <w:b w:val="0"/>
          <w:bCs w:val="0"/>
          <w:color w:val="auto"/>
          <w:sz w:val="22"/>
          <w:highlight w:val="none"/>
          <w:shd w:val="clear" w:color="auto" w:fill="auto"/>
          <w:lang w:val="en-US" w:eastAsia="zh-CN"/>
        </w:rPr>
        <w:t>的</w:t>
      </w:r>
      <w:r>
        <w:rPr>
          <w:rFonts w:hint="eastAsia" w:ascii="新宋体" w:hAnsi="新宋体" w:eastAsia="新宋体" w:cs="Times New Roman"/>
          <w:b w:val="0"/>
          <w:bCs w:val="0"/>
          <w:color w:val="auto"/>
          <w:sz w:val="22"/>
          <w:highlight w:val="none"/>
          <w:shd w:val="clear" w:color="auto" w:fill="auto"/>
        </w:rPr>
        <w:t>服务。但由于财政资金拨款不到位而导致甲方逾期付款的，甲方不承担违约责任，并且此情况不能成为乙方拒绝提供服务的理由。</w:t>
      </w:r>
    </w:p>
    <w:p>
      <w:pPr>
        <w:spacing w:line="460" w:lineRule="exact"/>
        <w:ind w:firstLine="440" w:firstLineChars="200"/>
        <w:rPr>
          <w:rFonts w:hint="eastAsia" w:ascii="新宋体" w:hAnsi="新宋体" w:eastAsia="新宋体" w:cs="Times New Roman"/>
          <w:b w:val="0"/>
          <w:bCs w:val="0"/>
          <w:color w:val="auto"/>
          <w:sz w:val="22"/>
          <w:highlight w:val="none"/>
          <w:shd w:val="clear" w:color="auto" w:fill="auto"/>
        </w:rPr>
      </w:pPr>
      <w:r>
        <w:rPr>
          <w:rFonts w:hint="eastAsia" w:ascii="新宋体" w:hAnsi="新宋体" w:eastAsia="新宋体" w:cs="Times New Roman"/>
          <w:b w:val="0"/>
          <w:bCs w:val="0"/>
          <w:color w:val="auto"/>
          <w:sz w:val="22"/>
          <w:highlight w:val="none"/>
          <w:shd w:val="clear" w:color="auto" w:fill="auto"/>
          <w:lang w:val="en-US" w:eastAsia="zh-CN"/>
        </w:rPr>
        <w:t>4、</w:t>
      </w:r>
      <w:r>
        <w:rPr>
          <w:rFonts w:hint="eastAsia" w:ascii="新宋体" w:hAnsi="新宋体" w:eastAsia="新宋体" w:cs="Times New Roman"/>
          <w:b w:val="0"/>
          <w:bCs w:val="0"/>
          <w:color w:val="auto"/>
          <w:sz w:val="22"/>
          <w:highlight w:val="none"/>
          <w:shd w:val="clear" w:color="auto" w:fill="auto"/>
        </w:rPr>
        <w:t>合同履行期间，单方无故终止合同的，违约方应向对方支付违约金10万元。</w:t>
      </w:r>
    </w:p>
    <w:p>
      <w:pPr>
        <w:spacing w:line="460" w:lineRule="exact"/>
        <w:outlineLvl w:val="1"/>
        <w:rPr>
          <w:rFonts w:hint="eastAsia" w:ascii="新宋体" w:hAnsi="新宋体" w:eastAsia="新宋体" w:cs="新宋体"/>
          <w:b/>
          <w:color w:val="auto"/>
          <w:sz w:val="22"/>
          <w:szCs w:val="22"/>
          <w:highlight w:val="none"/>
          <w:shd w:val="clear" w:color="auto" w:fill="auto"/>
        </w:rPr>
      </w:pPr>
      <w:bookmarkStart w:id="102" w:name="_Toc23050"/>
      <w:r>
        <w:rPr>
          <w:rFonts w:hint="eastAsia" w:ascii="新宋体" w:hAnsi="新宋体" w:eastAsia="新宋体" w:cs="新宋体"/>
          <w:b/>
          <w:color w:val="auto"/>
          <w:sz w:val="22"/>
          <w:szCs w:val="22"/>
          <w:highlight w:val="none"/>
          <w:shd w:val="clear" w:color="auto" w:fill="auto"/>
        </w:rPr>
        <w:t>十、不可抗力</w:t>
      </w:r>
      <w:bookmarkEnd w:id="102"/>
    </w:p>
    <w:p>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1、由于不可预见、不可避免、不可克服等不可抗力的原因，一方不能履行约定义务的，应当在不可抗力发生之日起3天内以书面形式通知对方，阐明不可抗力事件的存在。</w:t>
      </w:r>
    </w:p>
    <w:p>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2、不可抗力事件发生后，双方应当积极寻求合理的方式履行本合同。如不可抗力无法消除，致使合同目的无法实现的，双方均有权解除合同，且无需承担赔偿责任。</w:t>
      </w:r>
    </w:p>
    <w:p>
      <w:pPr>
        <w:spacing w:line="460" w:lineRule="exact"/>
        <w:outlineLvl w:val="1"/>
        <w:rPr>
          <w:rFonts w:hint="eastAsia" w:ascii="新宋体" w:hAnsi="新宋体" w:eastAsia="新宋体" w:cs="新宋体"/>
          <w:b/>
          <w:color w:val="auto"/>
          <w:sz w:val="22"/>
          <w:szCs w:val="22"/>
          <w:highlight w:val="none"/>
          <w:shd w:val="clear" w:color="auto" w:fill="auto"/>
        </w:rPr>
      </w:pPr>
      <w:bookmarkStart w:id="103" w:name="_Toc2259"/>
      <w:r>
        <w:rPr>
          <w:rFonts w:hint="eastAsia" w:ascii="新宋体" w:hAnsi="新宋体" w:eastAsia="新宋体" w:cs="新宋体"/>
          <w:b/>
          <w:color w:val="auto"/>
          <w:sz w:val="22"/>
          <w:szCs w:val="22"/>
          <w:highlight w:val="none"/>
          <w:shd w:val="clear" w:color="auto" w:fill="auto"/>
        </w:rPr>
        <w:t>十</w:t>
      </w:r>
      <w:r>
        <w:rPr>
          <w:rFonts w:hint="eastAsia" w:ascii="新宋体" w:hAnsi="新宋体" w:eastAsia="新宋体" w:cs="新宋体"/>
          <w:b/>
          <w:color w:val="auto"/>
          <w:sz w:val="22"/>
          <w:szCs w:val="22"/>
          <w:highlight w:val="none"/>
          <w:shd w:val="clear" w:color="auto" w:fill="auto"/>
          <w:lang w:eastAsia="zh-CN"/>
        </w:rPr>
        <w:t>一</w:t>
      </w:r>
      <w:r>
        <w:rPr>
          <w:rFonts w:hint="eastAsia" w:ascii="新宋体" w:hAnsi="新宋体" w:eastAsia="新宋体" w:cs="新宋体"/>
          <w:b/>
          <w:color w:val="auto"/>
          <w:sz w:val="22"/>
          <w:szCs w:val="22"/>
          <w:highlight w:val="none"/>
          <w:shd w:val="clear" w:color="auto" w:fill="auto"/>
        </w:rPr>
        <w:t>、争议的解决方法</w:t>
      </w:r>
      <w:bookmarkEnd w:id="103"/>
    </w:p>
    <w:p>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1、凡与本合同有关的一切争议，甲乙双方应通过协商解决；如经协商或调解后仍不能达成协议时，向有管辖权的法院提出诉讼解决。</w:t>
      </w:r>
    </w:p>
    <w:p>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2、本合同的诉讼管辖地为</w:t>
      </w:r>
      <w:r>
        <w:rPr>
          <w:rFonts w:hint="eastAsia" w:ascii="新宋体" w:hAnsi="新宋体" w:eastAsia="新宋体"/>
          <w:color w:val="auto"/>
          <w:sz w:val="22"/>
          <w:highlight w:val="none"/>
          <w:shd w:val="clear" w:color="auto" w:fill="auto"/>
          <w:lang w:val="en-US" w:eastAsia="zh-CN"/>
        </w:rPr>
        <w:t>甲方所在地人民</w:t>
      </w:r>
      <w:r>
        <w:rPr>
          <w:rFonts w:hint="eastAsia" w:ascii="新宋体" w:hAnsi="新宋体" w:eastAsia="新宋体"/>
          <w:color w:val="auto"/>
          <w:sz w:val="22"/>
          <w:highlight w:val="none"/>
          <w:shd w:val="clear" w:color="auto" w:fill="auto"/>
        </w:rPr>
        <w:t>法院。</w:t>
      </w:r>
    </w:p>
    <w:p>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3、在诉讼期间，除有争议部分的事项外，合同其他部分仍继续履行。</w:t>
      </w:r>
    </w:p>
    <w:p>
      <w:pPr>
        <w:spacing w:line="460" w:lineRule="exact"/>
        <w:outlineLvl w:val="1"/>
        <w:rPr>
          <w:rFonts w:hint="eastAsia" w:ascii="新宋体" w:hAnsi="新宋体" w:eastAsia="新宋体" w:cs="新宋体"/>
          <w:b/>
          <w:color w:val="auto"/>
          <w:sz w:val="22"/>
          <w:szCs w:val="22"/>
          <w:highlight w:val="none"/>
          <w:shd w:val="clear" w:color="auto" w:fill="auto"/>
        </w:rPr>
      </w:pPr>
      <w:bookmarkStart w:id="104" w:name="_Toc12582"/>
      <w:r>
        <w:rPr>
          <w:rFonts w:hint="eastAsia" w:ascii="新宋体" w:hAnsi="新宋体" w:eastAsia="新宋体" w:cs="新宋体"/>
          <w:b/>
          <w:color w:val="auto"/>
          <w:sz w:val="22"/>
          <w:szCs w:val="22"/>
          <w:highlight w:val="none"/>
          <w:shd w:val="clear" w:color="auto" w:fill="auto"/>
        </w:rPr>
        <w:t>十</w:t>
      </w:r>
      <w:r>
        <w:rPr>
          <w:rFonts w:hint="eastAsia" w:ascii="新宋体" w:hAnsi="新宋体" w:eastAsia="新宋体" w:cs="新宋体"/>
          <w:b/>
          <w:color w:val="auto"/>
          <w:sz w:val="22"/>
          <w:szCs w:val="22"/>
          <w:highlight w:val="none"/>
          <w:shd w:val="clear" w:color="auto" w:fill="auto"/>
          <w:lang w:eastAsia="zh-CN"/>
        </w:rPr>
        <w:t>二</w:t>
      </w:r>
      <w:r>
        <w:rPr>
          <w:rFonts w:hint="eastAsia" w:ascii="新宋体" w:hAnsi="新宋体" w:eastAsia="新宋体" w:cs="新宋体"/>
          <w:b/>
          <w:color w:val="auto"/>
          <w:sz w:val="22"/>
          <w:szCs w:val="22"/>
          <w:highlight w:val="none"/>
          <w:shd w:val="clear" w:color="auto" w:fill="auto"/>
        </w:rPr>
        <w:t>、其他约定事项</w:t>
      </w:r>
      <w:bookmarkEnd w:id="104"/>
    </w:p>
    <w:p>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1、服务期内如遇国家重大政策变化，经双方协商，可对本合同的条款进行补充，并以书面形式签订补充协议，补充协议与本合同具有同等法律效力。</w:t>
      </w:r>
    </w:p>
    <w:p>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2、本合同经双方授权代表签字并加盖合同专用章或公章之日起生效，双方签署日期不一致的，以时间在后的为准。</w:t>
      </w:r>
    </w:p>
    <w:p>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3、本项目中标通知书、招标文件、投标文件及附件均是本合同不可分割的部分，解释的顺序除特别说明外，以文件生成时间在后的为准。</w:t>
      </w:r>
    </w:p>
    <w:p>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4、在执行合同过程中，所有经甲乙双方签署确认的文件（包括会议纪要、补充协议、往来信函）即成为本合同的有效组成部分，其生效日期为双方签字盖章确认的日期。</w:t>
      </w:r>
    </w:p>
    <w:p>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5、除甲方事先书面同意外，乙方不得部分或全部转让其应履行的合同项下的义务。</w:t>
      </w:r>
    </w:p>
    <w:p>
      <w:pPr>
        <w:spacing w:line="460" w:lineRule="exact"/>
        <w:ind w:firstLine="541" w:firstLineChars="245"/>
        <w:rPr>
          <w:rFonts w:hint="eastAsia" w:ascii="新宋体" w:hAnsi="新宋体" w:eastAsia="新宋体"/>
          <w:b/>
          <w:bCs/>
          <w:color w:val="auto"/>
          <w:sz w:val="22"/>
          <w:highlight w:val="none"/>
          <w:shd w:val="clear" w:color="auto" w:fill="auto"/>
        </w:rPr>
      </w:pPr>
      <w:r>
        <w:rPr>
          <w:rFonts w:hint="eastAsia" w:ascii="新宋体" w:hAnsi="新宋体" w:eastAsia="新宋体"/>
          <w:b/>
          <w:bCs/>
          <w:color w:val="auto"/>
          <w:sz w:val="22"/>
          <w:highlight w:val="none"/>
          <w:shd w:val="clear" w:color="auto" w:fill="auto"/>
        </w:rPr>
        <w:t>6、本合同书壹式伍份，甲乙双方各贰份，壹份送招标</w:t>
      </w:r>
      <w:r>
        <w:rPr>
          <w:rFonts w:hint="eastAsia" w:ascii="新宋体" w:hAnsi="新宋体" w:eastAsia="新宋体"/>
          <w:b/>
          <w:bCs/>
          <w:color w:val="auto"/>
          <w:sz w:val="22"/>
          <w:highlight w:val="none"/>
          <w:shd w:val="clear" w:color="auto" w:fill="auto"/>
          <w:lang w:eastAsia="zh-CN"/>
        </w:rPr>
        <w:t>代理机构</w:t>
      </w:r>
      <w:r>
        <w:rPr>
          <w:rFonts w:hint="eastAsia" w:ascii="新宋体" w:hAnsi="新宋体" w:eastAsia="新宋体"/>
          <w:b/>
          <w:bCs/>
          <w:color w:val="auto"/>
          <w:sz w:val="22"/>
          <w:highlight w:val="none"/>
          <w:shd w:val="clear" w:color="auto" w:fill="auto"/>
        </w:rPr>
        <w:t>备案，均具有同等法律效力。</w:t>
      </w:r>
    </w:p>
    <w:p>
      <w:pPr>
        <w:snapToGrid w:val="0"/>
        <w:ind w:right="-334" w:rightChars="-159" w:firstLine="420" w:firstLineChars="200"/>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w:t>
      </w:r>
    </w:p>
    <w:p>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甲方名称：（盖章）                 乙方名称：（盖章）</w:t>
      </w:r>
    </w:p>
    <w:p>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授权代表：（签字）                 授权代表：（签字）</w:t>
      </w:r>
    </w:p>
    <w:p>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地址：                             地址：</w:t>
      </w:r>
    </w:p>
    <w:p>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邮政编码：                         邮政编码：</w:t>
      </w:r>
    </w:p>
    <w:p>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电话：                             电话：</w:t>
      </w:r>
    </w:p>
    <w:p>
      <w:pPr>
        <w:spacing w:line="460" w:lineRule="exact"/>
        <w:ind w:firstLine="539" w:firstLineChars="245"/>
        <w:rPr>
          <w:rFonts w:hint="eastAsia" w:ascii="新宋体" w:hAnsi="新宋体" w:eastAsia="新宋体"/>
          <w:color w:val="auto"/>
          <w:sz w:val="22"/>
          <w:highlight w:val="none"/>
          <w:shd w:val="clear" w:color="auto" w:fill="auto"/>
        </w:rPr>
      </w:pPr>
      <w:r>
        <w:rPr>
          <w:rFonts w:hint="eastAsia" w:ascii="新宋体" w:hAnsi="新宋体" w:eastAsia="新宋体"/>
          <w:color w:val="auto"/>
          <w:sz w:val="22"/>
          <w:highlight w:val="none"/>
          <w:shd w:val="clear" w:color="auto" w:fill="auto"/>
        </w:rPr>
        <w:t>传真：                             传真：</w:t>
      </w:r>
    </w:p>
    <w:p>
      <w:pPr>
        <w:spacing w:line="460" w:lineRule="exact"/>
        <w:ind w:firstLine="539" w:firstLineChars="245"/>
        <w:rPr>
          <w:color w:val="auto"/>
          <w:highlight w:val="none"/>
          <w:shd w:val="clear" w:color="auto" w:fill="auto"/>
        </w:rPr>
      </w:pPr>
      <w:r>
        <w:rPr>
          <w:rFonts w:hint="eastAsia" w:ascii="新宋体" w:hAnsi="新宋体" w:eastAsia="新宋体"/>
          <w:color w:val="auto"/>
          <w:sz w:val="22"/>
          <w:highlight w:val="none"/>
          <w:shd w:val="clear" w:color="auto" w:fill="auto"/>
        </w:rPr>
        <w:t>日期：                             日期：</w:t>
      </w:r>
    </w:p>
    <w:p>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pPr>
        <w:pStyle w:val="42"/>
        <w:rPr>
          <w:rFonts w:hint="eastAsia" w:ascii="宋体" w:hAnsi="宋体" w:cs="宋体"/>
          <w:color w:val="auto"/>
          <w:sz w:val="30"/>
          <w:szCs w:val="30"/>
          <w:highlight w:val="none"/>
        </w:rPr>
      </w:pPr>
      <w:r>
        <w:rPr>
          <w:rFonts w:hint="eastAsia" w:ascii="宋体" w:hAnsi="宋体" w:cs="宋体"/>
          <w:color w:val="auto"/>
          <w:sz w:val="30"/>
          <w:szCs w:val="30"/>
          <w:highlight w:val="none"/>
        </w:rPr>
        <w:t>第六部分 投标文件格式</w:t>
      </w:r>
      <w:bookmarkEnd w:id="97"/>
      <w:bookmarkEnd w:id="98"/>
      <w:bookmarkEnd w:id="99"/>
    </w:p>
    <w:bookmarkEnd w:id="100"/>
    <w:p>
      <w:pPr>
        <w:widowControl/>
        <w:spacing w:line="460" w:lineRule="atLeast"/>
        <w:jc w:val="center"/>
        <w:rPr>
          <w:rFonts w:hint="eastAsia" w:ascii="宋体" w:hAnsi="宋体" w:cs="宋体"/>
          <w:b/>
          <w:bCs/>
          <w:color w:val="auto"/>
          <w:sz w:val="32"/>
          <w:szCs w:val="32"/>
          <w:highlight w:val="none"/>
        </w:rPr>
      </w:pPr>
      <w:bookmarkStart w:id="105" w:name="_Toc161563051"/>
      <w:bookmarkStart w:id="106" w:name="_Toc498343176"/>
      <w:bookmarkStart w:id="107" w:name="_Toc496116282"/>
      <w:bookmarkStart w:id="108" w:name="_Toc293038733"/>
    </w:p>
    <w:p>
      <w:pPr>
        <w:pStyle w:val="42"/>
        <w:rPr>
          <w:rFonts w:hint="eastAsia" w:ascii="宋体" w:hAnsi="宋体" w:cs="宋体"/>
          <w:color w:val="auto"/>
          <w:highlight w:val="none"/>
        </w:rPr>
      </w:pPr>
      <w:bookmarkStart w:id="109" w:name="_Toc65590090"/>
      <w:bookmarkStart w:id="110" w:name="_Toc3026"/>
      <w:bookmarkStart w:id="111" w:name="_Toc96970922"/>
      <w:bookmarkStart w:id="112" w:name="_Toc42678689"/>
      <w:bookmarkStart w:id="113" w:name="_Toc65830018"/>
      <w:r>
        <w:rPr>
          <w:rFonts w:hint="eastAsia" w:ascii="宋体" w:hAnsi="宋体" w:cs="宋体"/>
          <w:color w:val="auto"/>
          <w:highlight w:val="none"/>
        </w:rPr>
        <w:t>一、资格文件部分格式</w:t>
      </w:r>
      <w:bookmarkEnd w:id="109"/>
      <w:bookmarkEnd w:id="110"/>
      <w:bookmarkEnd w:id="111"/>
      <w:bookmarkEnd w:id="112"/>
      <w:bookmarkEnd w:id="113"/>
    </w:p>
    <w:p>
      <w:pPr>
        <w:widowControl/>
        <w:spacing w:line="460" w:lineRule="atLeast"/>
        <w:jc w:val="left"/>
        <w:rPr>
          <w:rFonts w:hint="eastAsia" w:ascii="宋体" w:hAnsi="宋体" w:cs="宋体"/>
          <w:b/>
          <w:bCs/>
          <w:color w:val="auto"/>
          <w:sz w:val="22"/>
          <w:szCs w:val="22"/>
          <w:highlight w:val="none"/>
        </w:rPr>
      </w:pPr>
      <w:r>
        <w:rPr>
          <w:rFonts w:hint="eastAsia" w:ascii="宋体" w:hAnsi="宋体" w:cs="宋体"/>
          <w:b/>
          <w:color w:val="auto"/>
          <w:sz w:val="22"/>
          <w:szCs w:val="22"/>
          <w:highlight w:val="none"/>
        </w:rPr>
        <w:t>附件一</w:t>
      </w:r>
    </w:p>
    <w:p>
      <w:pPr>
        <w:pStyle w:val="42"/>
        <w:rPr>
          <w:rFonts w:hint="eastAsia" w:ascii="宋体" w:hAnsi="宋体" w:cs="宋体"/>
          <w:color w:val="auto"/>
          <w:highlight w:val="none"/>
          <w:lang w:val="zh-CN"/>
        </w:rPr>
      </w:pPr>
      <w:bookmarkStart w:id="114" w:name="_Toc5942"/>
      <w:bookmarkStart w:id="115" w:name="_Toc61444210"/>
      <w:bookmarkStart w:id="116" w:name="_Toc42678690"/>
      <w:bookmarkStart w:id="117" w:name="_Toc65590091"/>
      <w:bookmarkStart w:id="118" w:name="_Toc12671"/>
      <w:bookmarkStart w:id="119" w:name="_Toc42243282"/>
      <w:bookmarkStart w:id="120" w:name="_Toc42678179"/>
      <w:bookmarkStart w:id="121" w:name="_Toc65830019"/>
      <w:bookmarkStart w:id="122" w:name="_Toc42678024"/>
      <w:bookmarkStart w:id="123" w:name="_Toc56004404"/>
      <w:bookmarkStart w:id="124" w:name="_Toc61444213"/>
      <w:r>
        <w:rPr>
          <w:rFonts w:hint="eastAsia" w:ascii="宋体" w:hAnsi="宋体" w:cs="宋体"/>
          <w:color w:val="auto"/>
          <w:highlight w:val="none"/>
          <w:lang w:val="zh-CN"/>
        </w:rPr>
        <w:t>具有财务会计制度、设备和专业技术能力、</w:t>
      </w:r>
      <w:r>
        <w:rPr>
          <w:rFonts w:hint="eastAsia" w:ascii="宋体" w:hAnsi="宋体" w:cs="宋体"/>
          <w:color w:val="auto"/>
          <w:highlight w:val="none"/>
        </w:rPr>
        <w:t>依法</w:t>
      </w:r>
      <w:r>
        <w:rPr>
          <w:rFonts w:hint="eastAsia" w:ascii="宋体" w:hAnsi="宋体" w:cs="宋体"/>
          <w:color w:val="auto"/>
          <w:highlight w:val="none"/>
          <w:lang w:val="zh-CN"/>
        </w:rPr>
        <w:t>缴纳税收和社会保障资金</w:t>
      </w:r>
      <w:r>
        <w:rPr>
          <w:rFonts w:hint="eastAsia" w:ascii="宋体" w:hAnsi="宋体" w:cs="宋体"/>
          <w:color w:val="auto"/>
          <w:highlight w:val="none"/>
        </w:rPr>
        <w:t>记录</w:t>
      </w:r>
      <w:r>
        <w:rPr>
          <w:rFonts w:hint="eastAsia" w:ascii="宋体" w:hAnsi="宋体" w:cs="宋体"/>
          <w:color w:val="auto"/>
          <w:highlight w:val="none"/>
          <w:lang w:val="zh-CN"/>
        </w:rPr>
        <w:t>、</w:t>
      </w:r>
      <w:r>
        <w:rPr>
          <w:rFonts w:hint="eastAsia" w:ascii="宋体" w:hAnsi="宋体" w:cs="宋体"/>
          <w:color w:val="auto"/>
          <w:highlight w:val="none"/>
        </w:rPr>
        <w:t>无</w:t>
      </w:r>
      <w:r>
        <w:rPr>
          <w:rFonts w:hint="eastAsia" w:ascii="宋体" w:hAnsi="宋体" w:cs="宋体"/>
          <w:color w:val="auto"/>
          <w:highlight w:val="none"/>
          <w:lang w:val="zh-CN"/>
        </w:rPr>
        <w:t>重大违法记录的承诺函</w:t>
      </w:r>
      <w:bookmarkEnd w:id="114"/>
      <w:bookmarkEnd w:id="115"/>
      <w:bookmarkEnd w:id="116"/>
      <w:bookmarkEnd w:id="117"/>
      <w:bookmarkEnd w:id="118"/>
      <w:bookmarkEnd w:id="119"/>
      <w:bookmarkEnd w:id="120"/>
      <w:bookmarkEnd w:id="121"/>
      <w:bookmarkEnd w:id="122"/>
    </w:p>
    <w:p>
      <w:pPr>
        <w:spacing w:line="460" w:lineRule="exact"/>
        <w:rPr>
          <w:rFonts w:hint="eastAsia" w:ascii="宋体" w:hAnsi="宋体" w:cs="宋体"/>
          <w:b/>
          <w:color w:val="auto"/>
          <w:sz w:val="22"/>
          <w:szCs w:val="22"/>
          <w:highlight w:val="none"/>
          <w:u w:val="single"/>
        </w:rPr>
      </w:pPr>
    </w:p>
    <w:p>
      <w:pPr>
        <w:spacing w:line="460" w:lineRule="exact"/>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single"/>
          <w:lang w:eastAsia="zh-CN"/>
        </w:rPr>
        <w:t>永嘉县公安局交通警察大队</w:t>
      </w:r>
      <w:r>
        <w:rPr>
          <w:rFonts w:hint="eastAsia" w:ascii="宋体" w:hAnsi="宋体" w:cs="宋体"/>
          <w:b/>
          <w:color w:val="auto"/>
          <w:sz w:val="22"/>
          <w:szCs w:val="22"/>
          <w:highlight w:val="none"/>
          <w:u w:val="single"/>
        </w:rPr>
        <w:t>：</w:t>
      </w:r>
    </w:p>
    <w:p>
      <w:pPr>
        <w:spacing w:line="460" w:lineRule="exact"/>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single"/>
        </w:rPr>
        <w:t>温州市中概工程管理咨询有限公司：</w:t>
      </w:r>
    </w:p>
    <w:p>
      <w:pPr>
        <w:widowControl/>
        <w:snapToGrid w:val="0"/>
        <w:spacing w:line="460" w:lineRule="exact"/>
        <w:ind w:firstLine="442" w:firstLineChars="200"/>
        <w:jc w:val="left"/>
        <w:rPr>
          <w:rFonts w:hint="eastAsia" w:ascii="宋体" w:hAnsi="宋体" w:cs="宋体"/>
          <w:b/>
          <w:color w:val="auto"/>
          <w:sz w:val="22"/>
          <w:szCs w:val="22"/>
          <w:highlight w:val="none"/>
        </w:rPr>
      </w:pPr>
    </w:p>
    <w:p>
      <w:pPr>
        <w:widowControl/>
        <w:snapToGrid w:val="0"/>
        <w:spacing w:line="460" w:lineRule="exact"/>
        <w:ind w:firstLine="440" w:firstLineChars="200"/>
        <w:jc w:val="left"/>
        <w:rPr>
          <w:rFonts w:hint="eastAsia" w:ascii="宋体" w:hAnsi="宋体" w:cs="宋体"/>
          <w:b/>
          <w:color w:val="auto"/>
          <w:sz w:val="22"/>
          <w:szCs w:val="22"/>
          <w:highlight w:val="none"/>
        </w:rPr>
      </w:pPr>
      <w:r>
        <w:rPr>
          <w:rFonts w:hint="eastAsia" w:ascii="宋体" w:hAnsi="宋体" w:cs="宋体"/>
          <w:color w:val="auto"/>
          <w:sz w:val="22"/>
          <w:szCs w:val="22"/>
          <w:highlight w:val="none"/>
        </w:rPr>
        <w:t>我公司郑重声明：</w:t>
      </w:r>
    </w:p>
    <w:p>
      <w:pPr>
        <w:widowControl/>
        <w:snapToGrid w:val="0"/>
        <w:spacing w:line="460" w:lineRule="exact"/>
        <w:ind w:firstLine="440" w:firstLineChars="200"/>
        <w:jc w:val="left"/>
        <w:rPr>
          <w:rFonts w:hint="eastAsia" w:ascii="宋体" w:hAnsi="宋体" w:cs="宋体"/>
          <w:b/>
          <w:color w:val="auto"/>
          <w:sz w:val="22"/>
          <w:szCs w:val="22"/>
          <w:highlight w:val="none"/>
        </w:rPr>
      </w:pPr>
      <w:r>
        <w:rPr>
          <w:rFonts w:hint="eastAsia" w:ascii="宋体" w:hAnsi="宋体" w:cs="宋体"/>
          <w:color w:val="auto"/>
          <w:sz w:val="22"/>
          <w:szCs w:val="22"/>
          <w:highlight w:val="none"/>
        </w:rPr>
        <w:t>1、具有良好的商业信誉和健全的财务会计制度；</w:t>
      </w:r>
    </w:p>
    <w:p>
      <w:pPr>
        <w:widowControl/>
        <w:snapToGrid w:val="0"/>
        <w:spacing w:line="460" w:lineRule="exact"/>
        <w:ind w:firstLine="440" w:firstLineChars="200"/>
        <w:jc w:val="left"/>
        <w:rPr>
          <w:rFonts w:hint="eastAsia" w:ascii="宋体" w:hAnsi="宋体" w:cs="宋体"/>
          <w:b/>
          <w:color w:val="auto"/>
          <w:sz w:val="22"/>
          <w:szCs w:val="22"/>
          <w:highlight w:val="none"/>
        </w:rPr>
      </w:pPr>
      <w:r>
        <w:rPr>
          <w:rFonts w:hint="eastAsia" w:ascii="宋体" w:hAnsi="宋体" w:cs="宋体"/>
          <w:color w:val="auto"/>
          <w:sz w:val="22"/>
          <w:szCs w:val="22"/>
          <w:highlight w:val="none"/>
        </w:rPr>
        <w:t>2、承诺具有履行合同所必需的设备和专业技术能力。如有虚假,采购人可取消我方任何资格（投标/中标/签订合同）,我方对此无任何异议。</w:t>
      </w:r>
    </w:p>
    <w:p>
      <w:pPr>
        <w:widowControl/>
        <w:snapToGrid w:val="0"/>
        <w:spacing w:line="460" w:lineRule="exact"/>
        <w:ind w:firstLine="440" w:firstLineChars="200"/>
        <w:jc w:val="left"/>
        <w:rPr>
          <w:rFonts w:hint="eastAsia" w:ascii="宋体" w:hAnsi="宋体" w:cs="宋体"/>
          <w:b/>
          <w:color w:val="auto"/>
          <w:sz w:val="22"/>
          <w:szCs w:val="22"/>
          <w:highlight w:val="none"/>
        </w:rPr>
      </w:pPr>
      <w:r>
        <w:rPr>
          <w:rFonts w:hint="eastAsia" w:ascii="宋体" w:hAnsi="宋体" w:cs="宋体"/>
          <w:color w:val="auto"/>
          <w:sz w:val="22"/>
          <w:szCs w:val="22"/>
          <w:highlight w:val="none"/>
        </w:rPr>
        <w:t>3、严格依法缴纳税收和社会保障资金,本文件中所提供的相关材料均真实有效,不存在虚假、造假行为。如有违反,愿承担一切责任。</w:t>
      </w:r>
    </w:p>
    <w:p>
      <w:pPr>
        <w:widowControl/>
        <w:snapToGrid w:val="0"/>
        <w:spacing w:line="460" w:lineRule="exact"/>
        <w:ind w:firstLine="440" w:firstLineChars="200"/>
        <w:jc w:val="left"/>
        <w:rPr>
          <w:rFonts w:hint="eastAsia" w:ascii="宋体" w:hAnsi="宋体" w:cs="宋体"/>
          <w:color w:val="auto"/>
          <w:highlight w:val="none"/>
        </w:rPr>
      </w:pPr>
      <w:r>
        <w:rPr>
          <w:rFonts w:hint="eastAsia" w:ascii="宋体" w:hAnsi="宋体" w:cs="宋体"/>
          <w:color w:val="auto"/>
          <w:sz w:val="22"/>
          <w:szCs w:val="22"/>
          <w:highlight w:val="none"/>
        </w:rPr>
        <w:t>4、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2" w:firstLineChars="200"/>
        <w:jc w:val="left"/>
        <w:rPr>
          <w:rFonts w:hint="eastAsia" w:ascii="宋体" w:hAnsi="宋体" w:cs="宋体"/>
          <w:b/>
          <w:color w:val="auto"/>
          <w:sz w:val="22"/>
          <w:szCs w:val="22"/>
          <w:highlight w:val="none"/>
        </w:rPr>
      </w:pPr>
    </w:p>
    <w:p>
      <w:pPr>
        <w:widowControl/>
        <w:snapToGrid w:val="0"/>
        <w:spacing w:line="460" w:lineRule="exact"/>
        <w:ind w:firstLine="440" w:firstLineChars="200"/>
        <w:jc w:val="left"/>
        <w:rPr>
          <w:rFonts w:hint="eastAsia" w:ascii="宋体" w:hAnsi="宋体" w:cs="宋体"/>
          <w:b/>
          <w:color w:val="auto"/>
          <w:sz w:val="22"/>
          <w:szCs w:val="22"/>
          <w:highlight w:val="none"/>
        </w:rPr>
      </w:pPr>
      <w:r>
        <w:rPr>
          <w:rFonts w:hint="eastAsia" w:ascii="宋体" w:hAnsi="宋体" w:cs="宋体"/>
          <w:color w:val="auto"/>
          <w:sz w:val="22"/>
          <w:szCs w:val="22"/>
          <w:highlight w:val="none"/>
        </w:rPr>
        <w:t>特此承诺！</w:t>
      </w:r>
    </w:p>
    <w:p>
      <w:pPr>
        <w:widowControl/>
        <w:snapToGrid w:val="0"/>
        <w:spacing w:line="460" w:lineRule="exact"/>
        <w:ind w:firstLine="442" w:firstLineChars="200"/>
        <w:jc w:val="left"/>
        <w:rPr>
          <w:rFonts w:hint="eastAsia" w:ascii="宋体" w:hAnsi="宋体" w:cs="宋体"/>
          <w:b/>
          <w:color w:val="auto"/>
          <w:sz w:val="22"/>
          <w:szCs w:val="22"/>
          <w:highlight w:val="none"/>
        </w:rPr>
      </w:pPr>
    </w:p>
    <w:p>
      <w:pPr>
        <w:widowControl/>
        <w:snapToGrid w:val="0"/>
        <w:spacing w:line="460" w:lineRule="exact"/>
        <w:ind w:firstLine="440" w:firstLineChars="200"/>
        <w:jc w:val="left"/>
        <w:rPr>
          <w:rFonts w:hint="eastAsia" w:ascii="宋体" w:hAnsi="宋体" w:cs="宋体"/>
          <w:b/>
          <w:color w:val="auto"/>
          <w:sz w:val="22"/>
          <w:szCs w:val="22"/>
          <w:highlight w:val="none"/>
        </w:rPr>
      </w:pPr>
      <w:r>
        <w:rPr>
          <w:rFonts w:hint="eastAsia" w:ascii="宋体" w:hAnsi="宋体" w:cs="宋体"/>
          <w:color w:val="auto"/>
          <w:sz w:val="22"/>
          <w:szCs w:val="22"/>
          <w:highlight w:val="none"/>
        </w:rPr>
        <w:t>投标供应商（盖章） ：</w:t>
      </w:r>
    </w:p>
    <w:p>
      <w:pPr>
        <w:widowControl/>
        <w:snapToGrid w:val="0"/>
        <w:spacing w:line="460" w:lineRule="exact"/>
        <w:ind w:firstLine="440" w:firstLineChars="200"/>
        <w:jc w:val="left"/>
        <w:rPr>
          <w:rFonts w:hint="eastAsia" w:ascii="宋体" w:hAnsi="宋体" w:cs="宋体"/>
          <w:b/>
          <w:color w:val="auto"/>
          <w:sz w:val="22"/>
          <w:szCs w:val="22"/>
          <w:highlight w:val="none"/>
        </w:rPr>
      </w:pPr>
      <w:r>
        <w:rPr>
          <w:rFonts w:hint="eastAsia" w:ascii="宋体" w:hAnsi="宋体" w:cs="宋体"/>
          <w:color w:val="auto"/>
          <w:sz w:val="22"/>
          <w:szCs w:val="22"/>
          <w:highlight w:val="none"/>
        </w:rPr>
        <w:t>日期：</w:t>
      </w:r>
    </w:p>
    <w:p>
      <w:pPr>
        <w:widowControl/>
        <w:jc w:val="left"/>
        <w:rPr>
          <w:rFonts w:hint="eastAsia" w:ascii="宋体" w:hAnsi="宋体" w:cs="宋体"/>
          <w:b/>
          <w:bCs/>
          <w:color w:val="auto"/>
          <w:sz w:val="22"/>
          <w:szCs w:val="22"/>
          <w:highlight w:val="none"/>
        </w:rPr>
      </w:pPr>
      <w:r>
        <w:rPr>
          <w:rFonts w:hint="eastAsia" w:ascii="宋体" w:hAnsi="宋体" w:cs="宋体"/>
          <w:color w:val="auto"/>
          <w:sz w:val="36"/>
          <w:szCs w:val="32"/>
          <w:highlight w:val="none"/>
        </w:rPr>
        <w:br w:type="page"/>
      </w:r>
      <w:r>
        <w:rPr>
          <w:rFonts w:hint="eastAsia" w:ascii="宋体" w:hAnsi="宋体" w:cs="宋体"/>
          <w:b/>
          <w:color w:val="auto"/>
          <w:sz w:val="22"/>
          <w:szCs w:val="22"/>
          <w:highlight w:val="none"/>
        </w:rPr>
        <w:t>附件二</w:t>
      </w:r>
    </w:p>
    <w:p>
      <w:pPr>
        <w:pStyle w:val="15"/>
        <w:spacing w:before="240" w:after="60"/>
        <w:jc w:val="center"/>
        <w:outlineLvl w:val="0"/>
        <w:rPr>
          <w:rFonts w:hint="eastAsia" w:ascii="宋体" w:hAnsi="宋体" w:eastAsia="宋体" w:cs="宋体"/>
          <w:b/>
          <w:color w:val="auto"/>
          <w:kern w:val="0"/>
          <w:sz w:val="32"/>
          <w:szCs w:val="32"/>
          <w:highlight w:val="none"/>
          <w:lang w:val="zh-CN"/>
        </w:rPr>
      </w:pPr>
      <w:bookmarkStart w:id="125" w:name="_Toc65590094"/>
      <w:bookmarkStart w:id="126" w:name="_Toc96970926"/>
      <w:bookmarkStart w:id="127" w:name="_Toc68187553"/>
      <w:bookmarkStart w:id="128" w:name="_Toc14892"/>
      <w:bookmarkStart w:id="129" w:name="_Toc87518591"/>
      <w:bookmarkStart w:id="130" w:name="_Toc68188789"/>
      <w:bookmarkStart w:id="131" w:name="_Toc65830022"/>
      <w:bookmarkStart w:id="132" w:name="_Toc87518414"/>
      <w:bookmarkStart w:id="133" w:name="_Toc6694"/>
      <w:bookmarkStart w:id="134" w:name="_Toc68189103"/>
      <w:bookmarkStart w:id="135" w:name="_Toc97033068"/>
      <w:bookmarkStart w:id="136" w:name="_Toc11018"/>
      <w:bookmarkStart w:id="137" w:name="_Toc23799"/>
      <w:r>
        <w:rPr>
          <w:rFonts w:hint="eastAsia" w:ascii="宋体" w:hAnsi="宋体" w:eastAsia="宋体" w:cs="宋体"/>
          <w:b/>
          <w:color w:val="auto"/>
          <w:kern w:val="0"/>
          <w:sz w:val="32"/>
          <w:szCs w:val="32"/>
          <w:highlight w:val="none"/>
          <w:lang w:val="zh-CN"/>
        </w:rPr>
        <w:t>与参加本次项目同一合同项下政府采购活动的其他供应商不存在单位负责人为同一人或者直接控股、管理关系的承诺函</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spacing w:line="460" w:lineRule="exact"/>
        <w:rPr>
          <w:rFonts w:hint="eastAsia" w:ascii="宋体" w:hAnsi="宋体" w:cs="宋体"/>
          <w:b/>
          <w:color w:val="auto"/>
          <w:sz w:val="22"/>
          <w:szCs w:val="22"/>
          <w:highlight w:val="none"/>
          <w:u w:val="single"/>
        </w:rPr>
      </w:pPr>
    </w:p>
    <w:p>
      <w:pPr>
        <w:spacing w:line="460" w:lineRule="exact"/>
        <w:jc w:val="left"/>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single"/>
          <w:lang w:eastAsia="zh-CN"/>
        </w:rPr>
        <w:t>永嘉县公安局交通警察大队</w:t>
      </w:r>
      <w:r>
        <w:rPr>
          <w:rFonts w:hint="eastAsia" w:ascii="宋体" w:hAnsi="宋体" w:cs="宋体"/>
          <w:b/>
          <w:color w:val="auto"/>
          <w:sz w:val="22"/>
          <w:szCs w:val="22"/>
          <w:highlight w:val="none"/>
          <w:u w:val="single"/>
        </w:rPr>
        <w:t>：</w:t>
      </w:r>
    </w:p>
    <w:p>
      <w:pPr>
        <w:spacing w:line="460" w:lineRule="exact"/>
        <w:jc w:val="left"/>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single"/>
        </w:rPr>
        <w:t>温州市中概工程管理咨询有限公司：</w:t>
      </w:r>
    </w:p>
    <w:p>
      <w:pPr>
        <w:widowControl/>
        <w:spacing w:line="460" w:lineRule="exact"/>
        <w:ind w:firstLine="44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我方郑重承诺,我方此次参加本项目的投标,与参加本次项目同一合同项下政府采购活动的其他供应商不存在单位负责人为同一人或者直接控股、管理关系。如有虚假或隐瞒,愿意承担一切后果。</w:t>
      </w:r>
    </w:p>
    <w:p>
      <w:pPr>
        <w:pStyle w:val="3"/>
        <w:ind w:firstLine="210"/>
        <w:rPr>
          <w:rFonts w:hint="eastAsia" w:ascii="宋体" w:hAnsi="宋体" w:cs="宋体"/>
          <w:color w:val="auto"/>
          <w:highlight w:val="none"/>
        </w:rPr>
      </w:pPr>
    </w:p>
    <w:p>
      <w:pPr>
        <w:widowControl/>
        <w:spacing w:line="460" w:lineRule="exact"/>
        <w:ind w:firstLine="44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特此承诺！</w:t>
      </w:r>
    </w:p>
    <w:p>
      <w:pPr>
        <w:widowControl/>
        <w:spacing w:line="460" w:lineRule="exact"/>
        <w:ind w:firstLine="440"/>
        <w:jc w:val="left"/>
        <w:rPr>
          <w:rFonts w:hint="eastAsia" w:ascii="宋体" w:hAnsi="宋体" w:cs="宋体"/>
          <w:color w:val="auto"/>
          <w:sz w:val="22"/>
          <w:szCs w:val="22"/>
          <w:highlight w:val="none"/>
        </w:rPr>
      </w:pPr>
    </w:p>
    <w:p>
      <w:pPr>
        <w:widowControl/>
        <w:spacing w:line="460" w:lineRule="exact"/>
        <w:ind w:firstLine="44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投标供应商（盖章） ：</w:t>
      </w:r>
    </w:p>
    <w:p>
      <w:pPr>
        <w:spacing w:line="460" w:lineRule="atLeast"/>
        <w:ind w:firstLine="440"/>
        <w:rPr>
          <w:rFonts w:hint="eastAsia" w:ascii="宋体" w:hAnsi="宋体" w:cs="宋体"/>
          <w:color w:val="auto"/>
          <w:sz w:val="36"/>
          <w:highlight w:val="none"/>
        </w:rPr>
      </w:pPr>
      <w:r>
        <w:rPr>
          <w:rFonts w:hint="eastAsia" w:ascii="宋体" w:hAnsi="宋体" w:cs="宋体"/>
          <w:color w:val="auto"/>
          <w:sz w:val="22"/>
          <w:szCs w:val="22"/>
          <w:highlight w:val="none"/>
        </w:rPr>
        <w:t>日期：</w:t>
      </w:r>
    </w:p>
    <w:p>
      <w:pPr>
        <w:widowControl/>
        <w:snapToGrid w:val="0"/>
        <w:spacing w:line="460" w:lineRule="exact"/>
        <w:ind w:firstLine="440" w:firstLineChars="200"/>
        <w:jc w:val="left"/>
        <w:rPr>
          <w:rFonts w:hint="eastAsia" w:ascii="宋体" w:hAnsi="宋体" w:cs="宋体"/>
          <w:color w:val="auto"/>
          <w:sz w:val="22"/>
          <w:szCs w:val="22"/>
          <w:highlight w:val="none"/>
        </w:rPr>
      </w:pPr>
    </w:p>
    <w:p>
      <w:pPr>
        <w:widowControl/>
        <w:spacing w:line="460" w:lineRule="atLeast"/>
        <w:jc w:val="left"/>
        <w:rPr>
          <w:rFonts w:hint="eastAsia" w:ascii="宋体" w:hAnsi="宋体" w:cs="宋体"/>
          <w:b/>
          <w:bCs/>
          <w:color w:val="auto"/>
          <w:sz w:val="22"/>
          <w:szCs w:val="22"/>
          <w:highlight w:val="none"/>
        </w:rPr>
      </w:pPr>
      <w:bookmarkStart w:id="138" w:name="_Toc509485354"/>
      <w:r>
        <w:rPr>
          <w:rFonts w:hint="eastAsia" w:ascii="宋体" w:hAnsi="宋体" w:cs="宋体"/>
          <w:color w:val="auto"/>
          <w:sz w:val="22"/>
          <w:szCs w:val="22"/>
          <w:highlight w:val="none"/>
        </w:rPr>
        <w:br w:type="page"/>
      </w:r>
      <w:r>
        <w:rPr>
          <w:rFonts w:hint="eastAsia" w:ascii="宋体" w:hAnsi="宋体" w:cs="宋体"/>
          <w:b/>
          <w:color w:val="auto"/>
          <w:sz w:val="22"/>
          <w:szCs w:val="22"/>
          <w:highlight w:val="none"/>
        </w:rPr>
        <w:t>附件</w:t>
      </w:r>
      <w:bookmarkEnd w:id="138"/>
      <w:r>
        <w:rPr>
          <w:rFonts w:hint="eastAsia" w:ascii="宋体" w:hAnsi="宋体" w:cs="宋体"/>
          <w:b/>
          <w:color w:val="auto"/>
          <w:sz w:val="22"/>
          <w:szCs w:val="22"/>
          <w:highlight w:val="none"/>
        </w:rPr>
        <w:t>三</w:t>
      </w:r>
    </w:p>
    <w:p>
      <w:pPr>
        <w:pStyle w:val="42"/>
        <w:rPr>
          <w:rFonts w:hint="eastAsia" w:ascii="宋体" w:hAnsi="宋体" w:cs="宋体"/>
          <w:color w:val="auto"/>
          <w:highlight w:val="none"/>
        </w:rPr>
      </w:pPr>
      <w:bookmarkStart w:id="139" w:name="_Toc42678697"/>
      <w:bookmarkStart w:id="140" w:name="_Toc65830027"/>
      <w:bookmarkStart w:id="141" w:name="_Toc97033070"/>
      <w:bookmarkStart w:id="142" w:name="_Toc7382"/>
      <w:bookmarkStart w:id="143" w:name="_Toc9334951"/>
      <w:bookmarkStart w:id="144" w:name="_Toc404262445"/>
      <w:bookmarkStart w:id="145" w:name="_Toc496618934"/>
      <w:bookmarkStart w:id="146" w:name="_Toc42678031"/>
      <w:bookmarkStart w:id="147" w:name="_Toc42243289"/>
      <w:bookmarkStart w:id="148" w:name="_Toc68189108"/>
      <w:bookmarkStart w:id="149" w:name="_Toc402361081"/>
      <w:bookmarkStart w:id="150" w:name="_Toc518512536"/>
      <w:bookmarkStart w:id="151" w:name="_Toc68188794"/>
      <w:bookmarkStart w:id="152" w:name="_Toc42678618"/>
      <w:bookmarkStart w:id="153" w:name="_Toc459450868"/>
      <w:bookmarkStart w:id="154" w:name="_Toc522469121"/>
      <w:bookmarkStart w:id="155" w:name="_Toc430717503"/>
      <w:bookmarkStart w:id="156" w:name="_Toc491606420"/>
      <w:bookmarkStart w:id="157" w:name="_Toc65590099"/>
      <w:bookmarkStart w:id="158" w:name="_Toc438150553"/>
      <w:bookmarkStart w:id="159" w:name="_Toc15893"/>
      <w:bookmarkStart w:id="160" w:name="_Toc19204522"/>
      <w:bookmarkStart w:id="161" w:name="_Toc96970928"/>
      <w:bookmarkStart w:id="162" w:name="_Toc87518415"/>
      <w:bookmarkStart w:id="163" w:name="_Toc26971"/>
      <w:bookmarkStart w:id="164" w:name="_Toc459361857"/>
      <w:bookmarkStart w:id="165" w:name="_Toc61444218"/>
      <w:bookmarkStart w:id="166" w:name="_Toc68187558"/>
      <w:bookmarkStart w:id="167" w:name="_Toc410055446"/>
      <w:bookmarkStart w:id="168" w:name="_Toc427581337"/>
      <w:bookmarkStart w:id="169" w:name="_Toc402360964"/>
      <w:bookmarkStart w:id="170" w:name="_Toc42678186"/>
      <w:bookmarkStart w:id="171" w:name="_Toc511045483"/>
      <w:bookmarkStart w:id="172" w:name="_Toc855"/>
      <w:bookmarkStart w:id="173" w:name="_Toc87518592"/>
      <w:bookmarkStart w:id="174" w:name="_Toc65590095"/>
      <w:bookmarkStart w:id="175" w:name="_Toc42243285"/>
      <w:bookmarkStart w:id="176" w:name="_Toc42678693"/>
      <w:bookmarkStart w:id="177" w:name="_Toc65830023"/>
      <w:r>
        <w:rPr>
          <w:rFonts w:hint="eastAsia" w:ascii="宋体" w:hAnsi="宋体" w:cs="宋体"/>
          <w:color w:val="auto"/>
          <w:highlight w:val="none"/>
        </w:rPr>
        <w:t>法定代表人授权书</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spacing w:line="48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u w:val="single"/>
        </w:rPr>
        <w:t>（采购人名称）</w:t>
      </w:r>
      <w:r>
        <w:rPr>
          <w:rFonts w:hint="eastAsia" w:ascii="宋体" w:hAnsi="宋体" w:cs="宋体"/>
          <w:b/>
          <w:color w:val="auto"/>
          <w:sz w:val="22"/>
          <w:szCs w:val="22"/>
          <w:highlight w:val="none"/>
          <w:lang w:val="zh-CN"/>
        </w:rPr>
        <w:t>：</w:t>
      </w:r>
    </w:p>
    <w:p>
      <w:pPr>
        <w:spacing w:line="48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本授权委托书声明：我</w:t>
      </w:r>
      <w:r>
        <w:rPr>
          <w:rFonts w:hint="eastAsia" w:ascii="宋体" w:hAnsi="宋体" w:cs="宋体"/>
          <w:color w:val="auto"/>
          <w:sz w:val="22"/>
          <w:szCs w:val="22"/>
          <w:highlight w:val="none"/>
          <w:u w:val="single"/>
        </w:rPr>
        <w:t xml:space="preserve">   （法定代表人姓名）   </w:t>
      </w:r>
      <w:r>
        <w:rPr>
          <w:rFonts w:hint="eastAsia" w:ascii="宋体" w:hAnsi="宋体" w:cs="宋体"/>
          <w:color w:val="auto"/>
          <w:sz w:val="22"/>
          <w:szCs w:val="22"/>
          <w:highlight w:val="none"/>
        </w:rPr>
        <w:t>系</w:t>
      </w:r>
      <w:r>
        <w:rPr>
          <w:rFonts w:hint="eastAsia" w:ascii="宋体" w:hAnsi="宋体" w:cs="宋体"/>
          <w:color w:val="auto"/>
          <w:sz w:val="22"/>
          <w:szCs w:val="22"/>
          <w:highlight w:val="none"/>
          <w:u w:val="single"/>
        </w:rPr>
        <w:t xml:space="preserve">   （供 应 商 名 称）  </w:t>
      </w:r>
      <w:r>
        <w:rPr>
          <w:rFonts w:hint="eastAsia" w:ascii="宋体" w:hAnsi="宋体" w:cs="宋体"/>
          <w:color w:val="auto"/>
          <w:sz w:val="22"/>
          <w:szCs w:val="22"/>
          <w:highlight w:val="none"/>
        </w:rPr>
        <w:t>的法定代表人,现授权委托</w:t>
      </w:r>
      <w:r>
        <w:rPr>
          <w:rFonts w:hint="eastAsia" w:ascii="宋体" w:hAnsi="宋体" w:cs="宋体"/>
          <w:color w:val="auto"/>
          <w:sz w:val="22"/>
          <w:szCs w:val="22"/>
          <w:highlight w:val="none"/>
          <w:u w:val="single"/>
        </w:rPr>
        <w:t xml:space="preserve">  （单 位 名 称）   </w:t>
      </w:r>
      <w:r>
        <w:rPr>
          <w:rFonts w:hint="eastAsia" w:ascii="宋体" w:hAnsi="宋体" w:cs="宋体"/>
          <w:color w:val="auto"/>
          <w:sz w:val="22"/>
          <w:szCs w:val="22"/>
          <w:highlight w:val="none"/>
        </w:rPr>
        <w:t>的</w:t>
      </w:r>
      <w:r>
        <w:rPr>
          <w:rFonts w:hint="eastAsia" w:ascii="宋体" w:hAnsi="宋体" w:cs="宋体"/>
          <w:color w:val="auto"/>
          <w:sz w:val="22"/>
          <w:szCs w:val="22"/>
          <w:highlight w:val="none"/>
          <w:u w:val="single"/>
        </w:rPr>
        <w:t xml:space="preserve">  （授权代表姓名）  </w:t>
      </w:r>
      <w:r>
        <w:rPr>
          <w:rFonts w:hint="eastAsia" w:ascii="宋体" w:hAnsi="宋体" w:cs="宋体"/>
          <w:color w:val="auto"/>
          <w:sz w:val="22"/>
          <w:szCs w:val="22"/>
          <w:highlight w:val="none"/>
        </w:rPr>
        <w:t>为我公司法定代表人授权代表,参加贵处组织的</w:t>
      </w:r>
      <w:r>
        <w:rPr>
          <w:rFonts w:hint="eastAsia" w:ascii="宋体" w:hAnsi="宋体" w:cs="宋体"/>
          <w:color w:val="auto"/>
          <w:sz w:val="22"/>
          <w:szCs w:val="22"/>
          <w:highlight w:val="none"/>
          <w:u w:val="single"/>
        </w:rPr>
        <w:t xml:space="preserve">  （招标项目名称,括号中填写项目编号）  </w:t>
      </w:r>
      <w:r>
        <w:rPr>
          <w:rFonts w:hint="eastAsia" w:ascii="宋体" w:hAnsi="宋体" w:cs="宋体"/>
          <w:color w:val="auto"/>
          <w:sz w:val="22"/>
          <w:szCs w:val="22"/>
          <w:highlight w:val="none"/>
        </w:rPr>
        <w:t>项目投标,全权处理本次招投标活动中的一切事宜,我承认授权代表全权代表我所签署的本项目的投标文件的内容。</w:t>
      </w:r>
    </w:p>
    <w:p>
      <w:pPr>
        <w:spacing w:line="48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授权代表无转授权,特此授权</w:t>
      </w:r>
    </w:p>
    <w:p>
      <w:pPr>
        <w:spacing w:line="360" w:lineRule="auto"/>
        <w:ind w:left="1260"/>
        <w:rPr>
          <w:rFonts w:hint="eastAsia" w:ascii="宋体" w:hAnsi="宋体" w:cs="宋体"/>
          <w:color w:val="auto"/>
          <w:sz w:val="22"/>
          <w:szCs w:val="22"/>
          <w:highlight w:val="none"/>
        </w:rPr>
      </w:pPr>
    </w:p>
    <w:p>
      <w:pPr>
        <w:spacing w:line="480" w:lineRule="auto"/>
        <w:ind w:left="2100" w:leftChars="1000"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授权代表： 性别 ：</w:t>
      </w:r>
    </w:p>
    <w:p>
      <w:pPr>
        <w:spacing w:line="480" w:lineRule="auto"/>
        <w:ind w:left="2100" w:leftChars="1000"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职务：年龄：</w:t>
      </w:r>
    </w:p>
    <w:p>
      <w:pPr>
        <w:spacing w:line="480" w:lineRule="auto"/>
        <w:ind w:left="2100" w:leftChars="1000"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详细通讯地址： 邮政编码：</w:t>
      </w:r>
    </w:p>
    <w:p>
      <w:pPr>
        <w:spacing w:line="480" w:lineRule="auto"/>
        <w:ind w:left="1" w:firstLine="2510" w:firstLineChars="1141"/>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电话： 传真：</w:t>
      </w:r>
    </w:p>
    <w:p>
      <w:pPr>
        <w:spacing w:line="480" w:lineRule="auto"/>
        <w:ind w:left="1" w:firstLine="422" w:firstLineChars="192"/>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投标供应商：</w:t>
      </w:r>
      <w:r>
        <w:rPr>
          <w:rFonts w:hint="eastAsia" w:ascii="宋体" w:hAnsi="宋体" w:cs="宋体"/>
          <w:color w:val="auto"/>
          <w:sz w:val="22"/>
          <w:szCs w:val="22"/>
          <w:highlight w:val="none"/>
          <w:u w:val="single"/>
        </w:rPr>
        <w:t xml:space="preserve">                              （盖章）</w:t>
      </w:r>
    </w:p>
    <w:p>
      <w:pPr>
        <w:spacing w:line="480" w:lineRule="auto"/>
        <w:ind w:left="2100" w:right="44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法定代表人：</w:t>
      </w:r>
      <w:r>
        <w:rPr>
          <w:rFonts w:hint="eastAsia" w:ascii="宋体" w:hAnsi="宋体" w:cs="宋体"/>
          <w:color w:val="auto"/>
          <w:sz w:val="22"/>
          <w:szCs w:val="22"/>
          <w:highlight w:val="none"/>
          <w:u w:val="single"/>
        </w:rPr>
        <w:t xml:space="preserve">                        （签字或盖章）</w:t>
      </w:r>
    </w:p>
    <w:p>
      <w:pPr>
        <w:spacing w:line="480" w:lineRule="auto"/>
        <w:ind w:right="440" w:firstLine="3300" w:firstLineChars="150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授权委托日期：年 月日</w:t>
      </w:r>
    </w:p>
    <w:tbl>
      <w:tblPr>
        <w:tblStyle w:val="45"/>
        <w:tblW w:w="7720"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7720" w:type="dxa"/>
          </w:tcPr>
          <w:p>
            <w:pPr>
              <w:pStyle w:val="25"/>
              <w:spacing w:line="440" w:lineRule="atLeast"/>
              <w:rPr>
                <w:rFonts w:hint="eastAsia" w:hAnsi="宋体" w:cs="宋体"/>
                <w:b/>
                <w:color w:val="auto"/>
                <w:sz w:val="36"/>
                <w:highlight w:val="none"/>
              </w:rPr>
            </w:pPr>
          </w:p>
          <w:p>
            <w:pPr>
              <w:pStyle w:val="25"/>
              <w:spacing w:line="440" w:lineRule="atLeast"/>
              <w:jc w:val="center"/>
              <w:rPr>
                <w:rFonts w:hint="eastAsia" w:hAnsi="宋体" w:cs="宋体"/>
                <w:b/>
                <w:color w:val="auto"/>
                <w:sz w:val="36"/>
                <w:highlight w:val="none"/>
              </w:rPr>
            </w:pPr>
          </w:p>
          <w:p>
            <w:pPr>
              <w:pStyle w:val="25"/>
              <w:spacing w:line="440" w:lineRule="atLeast"/>
              <w:jc w:val="center"/>
              <w:rPr>
                <w:rFonts w:hint="eastAsia" w:hAnsi="宋体" w:cs="宋体"/>
                <w:b/>
                <w:color w:val="auto"/>
                <w:sz w:val="36"/>
                <w:highlight w:val="none"/>
              </w:rPr>
            </w:pPr>
          </w:p>
          <w:p>
            <w:pPr>
              <w:pStyle w:val="25"/>
              <w:spacing w:line="440" w:lineRule="atLeast"/>
              <w:jc w:val="center"/>
              <w:rPr>
                <w:rFonts w:hint="eastAsia" w:hAnsi="宋体" w:cs="宋体"/>
                <w:b/>
                <w:color w:val="auto"/>
                <w:sz w:val="36"/>
                <w:highlight w:val="none"/>
              </w:rPr>
            </w:pPr>
          </w:p>
          <w:p>
            <w:pPr>
              <w:pStyle w:val="25"/>
              <w:spacing w:line="440" w:lineRule="atLeast"/>
              <w:jc w:val="center"/>
              <w:rPr>
                <w:rFonts w:hint="eastAsia" w:hAnsi="宋体" w:cs="宋体"/>
                <w:b/>
                <w:color w:val="auto"/>
                <w:sz w:val="36"/>
                <w:highlight w:val="none"/>
              </w:rPr>
            </w:pPr>
            <w:r>
              <w:rPr>
                <w:rFonts w:hint="eastAsia" w:hAnsi="宋体" w:cs="宋体"/>
                <w:color w:val="auto"/>
                <w:sz w:val="36"/>
                <w:highlight w:val="none"/>
              </w:rPr>
              <w:t>（授权代表身份证扫描件或影印件）</w:t>
            </w:r>
          </w:p>
          <w:p>
            <w:pPr>
              <w:pStyle w:val="25"/>
              <w:spacing w:line="440" w:lineRule="atLeast"/>
              <w:ind w:left="5271" w:firstLine="1084" w:firstLineChars="300"/>
              <w:rPr>
                <w:rFonts w:hint="eastAsia" w:hAnsi="宋体" w:cs="宋体"/>
                <w:b/>
                <w:color w:val="auto"/>
                <w:sz w:val="36"/>
                <w:highlight w:val="none"/>
              </w:rPr>
            </w:pPr>
          </w:p>
        </w:tc>
      </w:tr>
    </w:tbl>
    <w:p>
      <w:pPr>
        <w:pStyle w:val="42"/>
        <w:rPr>
          <w:rFonts w:hint="eastAsia" w:ascii="宋体" w:hAnsi="宋体" w:cs="宋体"/>
          <w:color w:val="auto"/>
          <w:highlight w:val="none"/>
        </w:rPr>
      </w:pPr>
      <w:bookmarkStart w:id="178" w:name="_Toc3526"/>
      <w:r>
        <w:rPr>
          <w:rFonts w:hint="eastAsia" w:ascii="宋体" w:hAnsi="宋体" w:cs="宋体"/>
          <w:color w:val="auto"/>
          <w:highlight w:val="none"/>
        </w:rPr>
        <w:t>二、报价文件部分格式</w:t>
      </w:r>
      <w:bookmarkEnd w:id="174"/>
      <w:bookmarkEnd w:id="175"/>
      <w:bookmarkEnd w:id="176"/>
      <w:bookmarkEnd w:id="177"/>
      <w:bookmarkEnd w:id="178"/>
    </w:p>
    <w:p>
      <w:pPr>
        <w:widowControl/>
        <w:spacing w:line="460" w:lineRule="atLeast"/>
        <w:jc w:val="left"/>
        <w:rPr>
          <w:rFonts w:hint="eastAsia" w:ascii="宋体" w:hAnsi="宋体" w:cs="宋体"/>
          <w:b/>
          <w:bCs/>
          <w:color w:val="auto"/>
          <w:sz w:val="22"/>
          <w:szCs w:val="22"/>
          <w:highlight w:val="none"/>
        </w:rPr>
      </w:pPr>
      <w:r>
        <w:rPr>
          <w:rFonts w:hint="eastAsia" w:ascii="宋体" w:hAnsi="宋体" w:cs="宋体"/>
          <w:b/>
          <w:color w:val="auto"/>
          <w:sz w:val="22"/>
          <w:szCs w:val="22"/>
          <w:highlight w:val="none"/>
        </w:rPr>
        <w:t>附</w:t>
      </w:r>
      <w:bookmarkStart w:id="179" w:name="_Toc413747701"/>
      <w:r>
        <w:rPr>
          <w:rFonts w:hint="eastAsia" w:ascii="宋体" w:hAnsi="宋体" w:cs="宋体"/>
          <w:b/>
          <w:color w:val="auto"/>
          <w:sz w:val="22"/>
          <w:szCs w:val="22"/>
          <w:highlight w:val="none"/>
        </w:rPr>
        <w:t>件</w:t>
      </w:r>
      <w:bookmarkEnd w:id="179"/>
      <w:r>
        <w:rPr>
          <w:rFonts w:hint="eastAsia" w:ascii="宋体" w:hAnsi="宋体" w:cs="宋体"/>
          <w:b/>
          <w:color w:val="auto"/>
          <w:sz w:val="22"/>
          <w:szCs w:val="22"/>
          <w:highlight w:val="none"/>
        </w:rPr>
        <w:t>四</w:t>
      </w:r>
    </w:p>
    <w:p>
      <w:pPr>
        <w:pStyle w:val="42"/>
        <w:rPr>
          <w:rFonts w:hint="eastAsia" w:ascii="宋体" w:hAnsi="宋体" w:cs="宋体"/>
          <w:color w:val="auto"/>
          <w:sz w:val="22"/>
          <w:szCs w:val="22"/>
          <w:highlight w:val="none"/>
        </w:rPr>
      </w:pPr>
      <w:bookmarkStart w:id="180" w:name="_Toc522469114"/>
      <w:bookmarkStart w:id="181" w:name="_Toc68187555"/>
      <w:bookmarkStart w:id="182" w:name="_Toc68189105"/>
      <w:bookmarkStart w:id="183" w:name="_Toc65590096"/>
      <w:bookmarkStart w:id="184" w:name="_Toc511045476"/>
      <w:bookmarkStart w:id="185" w:name="_Toc68188791"/>
      <w:bookmarkStart w:id="186" w:name="_Toc61444215"/>
      <w:bookmarkStart w:id="187" w:name="_Toc42243286"/>
      <w:bookmarkStart w:id="188" w:name="_Toc496618930"/>
      <w:bookmarkStart w:id="189" w:name="_Toc42678694"/>
      <w:bookmarkStart w:id="190" w:name="_Toc96970930"/>
      <w:bookmarkStart w:id="191" w:name="_Toc22422"/>
      <w:bookmarkStart w:id="192" w:name="_Toc7030"/>
      <w:bookmarkStart w:id="193" w:name="_Toc518512529"/>
      <w:bookmarkStart w:id="194" w:name="_Toc87518417"/>
      <w:bookmarkStart w:id="195" w:name="_Toc10399"/>
      <w:bookmarkStart w:id="196" w:name="_Toc19204519"/>
      <w:bookmarkStart w:id="197" w:name="_Toc42678028"/>
      <w:bookmarkStart w:id="198" w:name="_Toc20005"/>
      <w:bookmarkStart w:id="199" w:name="_Toc97033072"/>
      <w:bookmarkStart w:id="200" w:name="_Toc42678615"/>
      <w:bookmarkStart w:id="201" w:name="_Toc9334945"/>
      <w:bookmarkStart w:id="202" w:name="_Toc65830024"/>
      <w:bookmarkStart w:id="203" w:name="_Toc42678183"/>
      <w:bookmarkStart w:id="204" w:name="_Toc87518594"/>
      <w:r>
        <w:rPr>
          <w:rFonts w:hint="eastAsia" w:ascii="宋体" w:hAnsi="宋体" w:cs="宋体"/>
          <w:color w:val="auto"/>
          <w:sz w:val="22"/>
          <w:szCs w:val="22"/>
          <w:highlight w:val="none"/>
        </w:rPr>
        <w:t>报价一览表</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autoSpaceDE w:val="0"/>
        <w:autoSpaceDN w:val="0"/>
        <w:adjustRightInd w:val="0"/>
        <w:rPr>
          <w:rFonts w:hint="eastAsia" w:ascii="宋体" w:hAnsi="宋体" w:cs="宋体"/>
          <w:color w:val="auto"/>
          <w:sz w:val="22"/>
          <w:szCs w:val="22"/>
          <w:highlight w:val="none"/>
          <w:u w:val="single"/>
          <w:lang w:val="zh-CN"/>
        </w:rPr>
      </w:pPr>
      <w:r>
        <w:rPr>
          <w:rFonts w:hint="eastAsia" w:ascii="宋体" w:hAnsi="宋体" w:cs="宋体"/>
          <w:color w:val="auto"/>
          <w:sz w:val="22"/>
          <w:szCs w:val="22"/>
          <w:highlight w:val="none"/>
          <w:lang w:val="zh-CN"/>
        </w:rPr>
        <w:t>投标供应商名称：采购编号：  报价单位：</w:t>
      </w:r>
      <w:r>
        <w:rPr>
          <w:rFonts w:hint="eastAsia" w:ascii="宋体" w:hAnsi="宋体" w:cs="宋体"/>
          <w:color w:val="auto"/>
          <w:sz w:val="22"/>
          <w:szCs w:val="22"/>
          <w:highlight w:val="none"/>
          <w:u w:val="single"/>
          <w:lang w:val="zh-CN"/>
        </w:rPr>
        <w:t>人民币元</w:t>
      </w:r>
    </w:p>
    <w:tbl>
      <w:tblPr>
        <w:tblStyle w:val="45"/>
        <w:tblW w:w="4969"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2"/>
        <w:gridCol w:w="1505"/>
        <w:gridCol w:w="3148"/>
        <w:gridCol w:w="31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26" w:type="pct"/>
            <w:tcBorders>
              <w:right w:val="single" w:color="auto" w:sz="4" w:space="0"/>
            </w:tcBorders>
            <w:noWrap w:val="0"/>
            <w:vAlign w:val="center"/>
          </w:tcPr>
          <w:p>
            <w:pPr>
              <w:pStyle w:val="25"/>
              <w:jc w:val="center"/>
              <w:rPr>
                <w:rFonts w:hAnsi="宋体" w:eastAsia="宋体"/>
                <w:color w:val="auto"/>
                <w:sz w:val="22"/>
                <w:highlight w:val="none"/>
              </w:rPr>
            </w:pPr>
            <w:r>
              <w:rPr>
                <w:rFonts w:hint="eastAsia" w:hAnsi="宋体"/>
                <w:color w:val="auto"/>
                <w:sz w:val="22"/>
                <w:szCs w:val="22"/>
                <w:highlight w:val="none"/>
                <w:lang w:eastAsia="zh-CN"/>
              </w:rPr>
              <w:t>序号</w:t>
            </w:r>
          </w:p>
        </w:tc>
        <w:tc>
          <w:tcPr>
            <w:tcW w:w="868" w:type="pct"/>
            <w:tcBorders>
              <w:left w:val="single" w:color="auto" w:sz="4" w:space="0"/>
              <w:right w:val="single" w:color="auto" w:sz="4" w:space="0"/>
            </w:tcBorders>
            <w:noWrap w:val="0"/>
            <w:vAlign w:val="center"/>
          </w:tcPr>
          <w:p>
            <w:pPr>
              <w:pStyle w:val="25"/>
              <w:jc w:val="center"/>
              <w:rPr>
                <w:rFonts w:hAnsi="宋体" w:eastAsia="宋体"/>
                <w:color w:val="auto"/>
                <w:sz w:val="22"/>
                <w:highlight w:val="none"/>
              </w:rPr>
            </w:pPr>
            <w:r>
              <w:rPr>
                <w:rFonts w:hint="eastAsia" w:eastAsia="宋体" w:cs="仿宋_GB2312"/>
                <w:color w:val="auto"/>
                <w:sz w:val="22"/>
                <w:szCs w:val="22"/>
                <w:highlight w:val="none"/>
                <w:lang w:val="zh-CN"/>
              </w:rPr>
              <w:t>投标综合单价</w:t>
            </w:r>
          </w:p>
        </w:tc>
        <w:tc>
          <w:tcPr>
            <w:tcW w:w="1815" w:type="pct"/>
            <w:tcBorders>
              <w:left w:val="single" w:color="auto" w:sz="4" w:space="0"/>
            </w:tcBorders>
            <w:noWrap w:val="0"/>
            <w:vAlign w:val="center"/>
          </w:tcPr>
          <w:p>
            <w:pPr>
              <w:pStyle w:val="25"/>
              <w:jc w:val="center"/>
              <w:rPr>
                <w:rFonts w:hint="default" w:hAnsi="宋体" w:eastAsia="宋体"/>
                <w:color w:val="auto"/>
                <w:sz w:val="22"/>
                <w:highlight w:val="none"/>
                <w:lang w:val="en-US" w:eastAsia="zh-CN"/>
              </w:rPr>
            </w:pPr>
            <w:r>
              <w:rPr>
                <w:rFonts w:hint="eastAsia" w:hAnsi="宋体" w:eastAsia="宋体"/>
                <w:color w:val="auto"/>
                <w:sz w:val="22"/>
                <w:szCs w:val="22"/>
                <w:highlight w:val="none"/>
                <w:lang w:val="en-US" w:eastAsia="zh-CN"/>
              </w:rPr>
              <w:t>投标单价</w:t>
            </w:r>
          </w:p>
        </w:tc>
        <w:tc>
          <w:tcPr>
            <w:tcW w:w="1789" w:type="pct"/>
            <w:tcBorders>
              <w:left w:val="single" w:color="auto" w:sz="4" w:space="0"/>
            </w:tcBorders>
            <w:noWrap w:val="0"/>
            <w:vAlign w:val="center"/>
          </w:tcPr>
          <w:p>
            <w:pPr>
              <w:pStyle w:val="25"/>
              <w:jc w:val="center"/>
              <w:rPr>
                <w:rFonts w:hint="default" w:hAnsi="宋体" w:eastAsia="宋体"/>
                <w:color w:val="auto"/>
                <w:sz w:val="22"/>
                <w:szCs w:val="22"/>
                <w:highlight w:val="none"/>
                <w:lang w:val="en-US" w:eastAsia="zh-CN"/>
              </w:rPr>
            </w:pPr>
            <w:r>
              <w:rPr>
                <w:rFonts w:hint="eastAsia" w:hAnsi="宋体" w:eastAsia="宋体"/>
                <w:color w:val="auto"/>
                <w:sz w:val="22"/>
                <w:szCs w:val="22"/>
                <w:highlight w:val="none"/>
                <w:lang w:val="en-US" w:eastAsia="zh-CN"/>
              </w:rPr>
              <w:t>单价最高限价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8" w:hRule="atLeast"/>
        </w:trPr>
        <w:tc>
          <w:tcPr>
            <w:tcW w:w="526" w:type="pct"/>
            <w:vMerge w:val="restart"/>
            <w:tcBorders>
              <w:right w:val="single" w:color="auto" w:sz="4" w:space="0"/>
            </w:tcBorders>
            <w:noWrap w:val="0"/>
            <w:vAlign w:val="center"/>
          </w:tcPr>
          <w:p>
            <w:pPr>
              <w:pStyle w:val="25"/>
              <w:jc w:val="center"/>
              <w:rPr>
                <w:rFonts w:hint="eastAsia" w:hAnsi="宋体" w:eastAsia="宋体"/>
                <w:color w:val="auto"/>
                <w:sz w:val="22"/>
                <w:highlight w:val="none"/>
                <w:lang w:eastAsia="zh-CN"/>
              </w:rPr>
            </w:pPr>
            <w:r>
              <w:rPr>
                <w:rFonts w:hint="eastAsia" w:cs="宋体"/>
                <w:b/>
                <w:bCs/>
                <w:color w:val="auto"/>
                <w:sz w:val="22"/>
                <w:highlight w:val="none"/>
                <w:lang w:val="en-US" w:eastAsia="zh-CN"/>
              </w:rPr>
              <w:t>1、</w:t>
            </w:r>
            <w:r>
              <w:rPr>
                <w:rFonts w:hint="eastAsia" w:ascii="宋体" w:hAnsi="宋体" w:eastAsia="宋体" w:cs="宋体"/>
                <w:b/>
                <w:bCs/>
                <w:color w:val="auto"/>
                <w:sz w:val="24"/>
                <w:szCs w:val="24"/>
                <w:highlight w:val="none"/>
                <w:lang w:eastAsia="zh-CN"/>
              </w:rPr>
              <w:t>道路交通车辆拖</w:t>
            </w:r>
            <w:r>
              <w:rPr>
                <w:rFonts w:hint="eastAsia" w:ascii="宋体" w:hAnsi="宋体" w:cs="宋体"/>
                <w:b/>
                <w:bCs/>
                <w:color w:val="auto"/>
                <w:sz w:val="24"/>
                <w:szCs w:val="24"/>
                <w:highlight w:val="none"/>
                <w:lang w:eastAsia="zh-CN"/>
              </w:rPr>
              <w:t>曳</w:t>
            </w:r>
            <w:r>
              <w:rPr>
                <w:rFonts w:hint="eastAsia" w:ascii="宋体" w:hAnsi="宋体" w:eastAsia="宋体" w:cs="宋体"/>
                <w:b/>
                <w:bCs/>
                <w:color w:val="auto"/>
                <w:sz w:val="24"/>
                <w:szCs w:val="24"/>
                <w:highlight w:val="none"/>
                <w:lang w:eastAsia="zh-CN"/>
              </w:rPr>
              <w:t>服务</w:t>
            </w:r>
          </w:p>
        </w:tc>
        <w:tc>
          <w:tcPr>
            <w:tcW w:w="1505" w:type="dxa"/>
            <w:vMerge w:val="restart"/>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城区内服务</w:t>
            </w:r>
          </w:p>
          <w:p>
            <w:pPr>
              <w:pStyle w:val="25"/>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单价(上塘、瓯北、乌牛、桥头、桥下、黄田）</w:t>
            </w:r>
          </w:p>
          <w:p>
            <w:pPr>
              <w:pStyle w:val="25"/>
              <w:spacing w:line="460" w:lineRule="atLeast"/>
              <w:jc w:val="both"/>
              <w:rPr>
                <w:rFonts w:hint="default" w:hAnsi="宋体" w:eastAsia="宋体"/>
                <w:b w:val="0"/>
                <w:color w:val="auto"/>
                <w:sz w:val="22"/>
                <w:highlight w:val="none"/>
                <w:lang w:val="en-US"/>
              </w:rPr>
            </w:pPr>
            <w:r>
              <w:rPr>
                <w:rFonts w:hint="eastAsia" w:ascii="宋体"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w:t>
            </w:r>
          </w:p>
        </w:tc>
        <w:tc>
          <w:tcPr>
            <w:tcW w:w="3148" w:type="dxa"/>
            <w:tcBorders>
              <w:left w:val="single" w:color="auto" w:sz="4" w:space="0"/>
            </w:tcBorders>
            <w:noWrap w:val="0"/>
            <w:vAlign w:val="center"/>
          </w:tcPr>
          <w:p>
            <w:pPr>
              <w:widowControl/>
              <w:jc w:val="center"/>
              <w:rPr>
                <w:rFonts w:ascii="宋体" w:eastAsia="宋体"/>
                <w:b w:val="0"/>
                <w:color w:val="auto"/>
                <w:sz w:val="22"/>
                <w:highlight w:val="none"/>
              </w:rPr>
            </w:pPr>
            <w:r>
              <w:rPr>
                <w:rFonts w:hint="eastAsia" w:ascii="宋体" w:eastAsia="宋体" w:cs="宋体"/>
                <w:b w:val="0"/>
                <w:bCs w:val="0"/>
                <w:color w:val="auto"/>
                <w:sz w:val="22"/>
                <w:szCs w:val="22"/>
                <w:highlight w:val="none"/>
                <w:lang w:val="en-US" w:eastAsia="zh-CN"/>
              </w:rPr>
              <w:t>小型汽车</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元/辆</w:t>
            </w:r>
          </w:p>
        </w:tc>
        <w:tc>
          <w:tcPr>
            <w:tcW w:w="3101"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eastAsia="宋体" w:cs="宋体"/>
                <w:b w:val="0"/>
                <w:bCs w:val="0"/>
                <w:color w:val="auto"/>
                <w:sz w:val="22"/>
                <w:szCs w:val="22"/>
                <w:highlight w:val="none"/>
                <w:lang w:val="en-US" w:eastAsia="zh-CN"/>
              </w:rPr>
              <w:t>小型汽车</w:t>
            </w:r>
            <w:r>
              <w:rPr>
                <w:rFonts w:hint="eastAsia" w:ascii="宋体" w:cs="宋体"/>
                <w:b w:val="0"/>
                <w:bCs w:val="0"/>
                <w:color w:val="auto"/>
                <w:sz w:val="22"/>
                <w:szCs w:val="22"/>
                <w:highlight w:val="none"/>
                <w:lang w:val="en-US" w:eastAsia="zh-CN"/>
              </w:rPr>
              <w:t>135</w:t>
            </w:r>
            <w:r>
              <w:rPr>
                <w:rFonts w:hint="eastAsia" w:ascii="宋体" w:eastAsia="宋体" w:cs="宋体"/>
                <w:b w:val="0"/>
                <w:bCs w:val="0"/>
                <w:color w:val="auto"/>
                <w:sz w:val="22"/>
                <w:szCs w:val="22"/>
                <w:highlight w:val="none"/>
                <w:lang w:val="en-US" w:eastAsia="zh-CN"/>
              </w:rPr>
              <w:t>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2" w:hRule="atLeast"/>
        </w:trPr>
        <w:tc>
          <w:tcPr>
            <w:tcW w:w="526" w:type="pct"/>
            <w:vMerge w:val="continue"/>
            <w:tcBorders>
              <w:right w:val="single" w:color="auto" w:sz="4" w:space="0"/>
            </w:tcBorders>
            <w:noWrap w:val="0"/>
            <w:vAlign w:val="center"/>
          </w:tcPr>
          <w:p>
            <w:pPr>
              <w:pStyle w:val="25"/>
              <w:jc w:val="center"/>
              <w:rPr>
                <w:rFonts w:hint="eastAsia" w:eastAsia="宋体" w:cs="Courier New"/>
                <w:b w:val="0"/>
                <w:color w:val="auto"/>
                <w:sz w:val="22"/>
                <w:szCs w:val="22"/>
                <w:highlight w:val="none"/>
                <w:lang w:eastAsia="zh-CN"/>
              </w:rPr>
            </w:pPr>
          </w:p>
        </w:tc>
        <w:tc>
          <w:tcPr>
            <w:tcW w:w="1505" w:type="dxa"/>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none"/>
                <w:lang w:val="en-US" w:eastAsia="zh-CN"/>
              </w:rPr>
            </w:pPr>
          </w:p>
        </w:tc>
        <w:tc>
          <w:tcPr>
            <w:tcW w:w="3148" w:type="dxa"/>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黄牌汽车</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元/辆；</w:t>
            </w:r>
          </w:p>
        </w:tc>
        <w:tc>
          <w:tcPr>
            <w:tcW w:w="3101"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eastAsia="宋体" w:cs="宋体"/>
                <w:b w:val="0"/>
                <w:bCs w:val="0"/>
                <w:color w:val="auto"/>
                <w:sz w:val="22"/>
                <w:szCs w:val="22"/>
                <w:highlight w:val="none"/>
                <w:lang w:val="en-US" w:eastAsia="zh-CN"/>
              </w:rPr>
              <w:t>黄牌汽车</w:t>
            </w:r>
            <w:r>
              <w:rPr>
                <w:rFonts w:hint="eastAsia" w:ascii="宋体"/>
                <w:b w:val="0"/>
                <w:color w:val="auto"/>
                <w:sz w:val="22"/>
                <w:highlight w:val="none"/>
                <w:lang w:val="en-US" w:eastAsia="zh-CN"/>
              </w:rPr>
              <w:t>390元/辆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0" w:hRule="atLeast"/>
        </w:trPr>
        <w:tc>
          <w:tcPr>
            <w:tcW w:w="526" w:type="pct"/>
            <w:vMerge w:val="continue"/>
            <w:tcBorders>
              <w:right w:val="single" w:color="auto" w:sz="4" w:space="0"/>
            </w:tcBorders>
            <w:noWrap w:val="0"/>
            <w:vAlign w:val="center"/>
          </w:tcPr>
          <w:p>
            <w:pPr>
              <w:pStyle w:val="25"/>
              <w:jc w:val="center"/>
              <w:rPr>
                <w:rFonts w:hint="eastAsia" w:eastAsia="宋体" w:cs="Courier New"/>
                <w:b w:val="0"/>
                <w:color w:val="auto"/>
                <w:sz w:val="22"/>
                <w:szCs w:val="22"/>
                <w:highlight w:val="none"/>
                <w:lang w:eastAsia="zh-CN"/>
              </w:rPr>
            </w:pPr>
          </w:p>
        </w:tc>
        <w:tc>
          <w:tcPr>
            <w:tcW w:w="1505" w:type="dxa"/>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none"/>
                <w:lang w:val="en-US" w:eastAsia="zh-CN"/>
              </w:rPr>
            </w:pPr>
          </w:p>
        </w:tc>
        <w:tc>
          <w:tcPr>
            <w:tcW w:w="3148" w:type="dxa"/>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二、三轮摩托车</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元/辆</w:t>
            </w:r>
          </w:p>
        </w:tc>
        <w:tc>
          <w:tcPr>
            <w:tcW w:w="3101"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eastAsia="宋体" w:cs="宋体"/>
                <w:b w:val="0"/>
                <w:bCs w:val="0"/>
                <w:color w:val="auto"/>
                <w:sz w:val="22"/>
                <w:szCs w:val="22"/>
                <w:highlight w:val="none"/>
                <w:lang w:val="en-US" w:eastAsia="zh-CN"/>
              </w:rPr>
              <w:t>二、三轮摩托车</w:t>
            </w:r>
            <w:r>
              <w:rPr>
                <w:rFonts w:hint="eastAsia" w:ascii="宋体" w:cs="宋体"/>
                <w:b w:val="0"/>
                <w:bCs w:val="0"/>
                <w:color w:val="auto"/>
                <w:sz w:val="22"/>
                <w:szCs w:val="22"/>
                <w:highlight w:val="none"/>
                <w:lang w:val="en-US" w:eastAsia="zh-CN"/>
              </w:rPr>
              <w:t>45</w:t>
            </w:r>
            <w:r>
              <w:rPr>
                <w:rFonts w:hint="eastAsia" w:ascii="宋体" w:eastAsia="宋体" w:cs="宋体"/>
                <w:b w:val="0"/>
                <w:bCs w:val="0"/>
                <w:color w:val="auto"/>
                <w:sz w:val="22"/>
                <w:szCs w:val="22"/>
                <w:highlight w:val="none"/>
                <w:lang w:val="en-US" w:eastAsia="zh-CN"/>
              </w:rPr>
              <w:t>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 w:hRule="atLeast"/>
        </w:trPr>
        <w:tc>
          <w:tcPr>
            <w:tcW w:w="526" w:type="pct"/>
            <w:vMerge w:val="continue"/>
            <w:tcBorders>
              <w:right w:val="single" w:color="auto" w:sz="4" w:space="0"/>
            </w:tcBorders>
            <w:noWrap w:val="0"/>
            <w:vAlign w:val="center"/>
          </w:tcPr>
          <w:p>
            <w:pPr>
              <w:pStyle w:val="25"/>
              <w:jc w:val="center"/>
              <w:rPr>
                <w:rFonts w:hint="eastAsia" w:eastAsia="宋体" w:cs="Courier New"/>
                <w:b w:val="0"/>
                <w:color w:val="auto"/>
                <w:sz w:val="22"/>
                <w:szCs w:val="22"/>
                <w:highlight w:val="none"/>
                <w:lang w:eastAsia="zh-CN"/>
              </w:rPr>
            </w:pPr>
          </w:p>
        </w:tc>
        <w:tc>
          <w:tcPr>
            <w:tcW w:w="1505" w:type="dxa"/>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none"/>
                <w:lang w:val="en-US" w:eastAsia="zh-CN"/>
              </w:rPr>
            </w:pPr>
          </w:p>
        </w:tc>
        <w:tc>
          <w:tcPr>
            <w:tcW w:w="3148" w:type="dxa"/>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二、三轮电动车</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元/辆</w:t>
            </w:r>
          </w:p>
        </w:tc>
        <w:tc>
          <w:tcPr>
            <w:tcW w:w="3101"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eastAsia="宋体" w:cs="宋体"/>
                <w:b w:val="0"/>
                <w:bCs w:val="0"/>
                <w:color w:val="auto"/>
                <w:sz w:val="22"/>
                <w:szCs w:val="22"/>
                <w:highlight w:val="none"/>
                <w:lang w:val="en-US" w:eastAsia="zh-CN"/>
              </w:rPr>
              <w:t>二、三轮电动车</w:t>
            </w:r>
            <w:r>
              <w:rPr>
                <w:rFonts w:hint="eastAsia" w:ascii="宋体" w:cs="宋体"/>
                <w:b w:val="0"/>
                <w:bCs w:val="0"/>
                <w:color w:val="auto"/>
                <w:sz w:val="22"/>
                <w:szCs w:val="22"/>
                <w:highlight w:val="none"/>
                <w:lang w:val="en-US" w:eastAsia="zh-CN"/>
              </w:rPr>
              <w:t>45</w:t>
            </w:r>
            <w:r>
              <w:rPr>
                <w:rFonts w:hint="eastAsia" w:ascii="宋体" w:eastAsia="宋体" w:cs="宋体"/>
                <w:b w:val="0"/>
                <w:bCs w:val="0"/>
                <w:color w:val="auto"/>
                <w:sz w:val="22"/>
                <w:szCs w:val="22"/>
                <w:highlight w:val="none"/>
                <w:lang w:val="en-US" w:eastAsia="zh-CN"/>
              </w:rPr>
              <w:t>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8" w:hRule="atLeast"/>
        </w:trPr>
        <w:tc>
          <w:tcPr>
            <w:tcW w:w="526" w:type="pct"/>
            <w:vMerge w:val="continue"/>
            <w:tcBorders>
              <w:right w:val="single" w:color="auto" w:sz="4" w:space="0"/>
            </w:tcBorders>
            <w:noWrap w:val="0"/>
            <w:vAlign w:val="center"/>
          </w:tcPr>
          <w:p>
            <w:pPr>
              <w:pStyle w:val="25"/>
              <w:jc w:val="center"/>
              <w:rPr>
                <w:rFonts w:hint="eastAsia" w:eastAsia="宋体" w:cs="Courier New"/>
                <w:b w:val="0"/>
                <w:color w:val="auto"/>
                <w:sz w:val="22"/>
                <w:szCs w:val="22"/>
                <w:highlight w:val="none"/>
                <w:lang w:eastAsia="zh-CN"/>
              </w:rPr>
            </w:pPr>
          </w:p>
        </w:tc>
        <w:tc>
          <w:tcPr>
            <w:tcW w:w="1505" w:type="dxa"/>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none"/>
                <w:lang w:val="en-US" w:eastAsia="zh-CN"/>
              </w:rPr>
            </w:pPr>
          </w:p>
        </w:tc>
        <w:tc>
          <w:tcPr>
            <w:tcW w:w="3148" w:type="dxa"/>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自行车</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元/辆</w:t>
            </w:r>
          </w:p>
        </w:tc>
        <w:tc>
          <w:tcPr>
            <w:tcW w:w="3101"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eastAsia="宋体" w:cs="宋体"/>
                <w:b w:val="0"/>
                <w:bCs w:val="0"/>
                <w:color w:val="auto"/>
                <w:sz w:val="22"/>
                <w:szCs w:val="22"/>
                <w:highlight w:val="none"/>
                <w:lang w:val="en-US" w:eastAsia="zh-CN"/>
              </w:rPr>
              <w:t>自行车</w:t>
            </w:r>
            <w:r>
              <w:rPr>
                <w:rFonts w:hint="eastAsia" w:ascii="宋体" w:cs="宋体"/>
                <w:b w:val="0"/>
                <w:bCs w:val="0"/>
                <w:color w:val="auto"/>
                <w:sz w:val="22"/>
                <w:szCs w:val="22"/>
                <w:highlight w:val="none"/>
                <w:lang w:val="en-US" w:eastAsia="zh-CN"/>
              </w:rPr>
              <w:t>40</w:t>
            </w:r>
            <w:r>
              <w:rPr>
                <w:rFonts w:hint="eastAsia" w:ascii="宋体" w:eastAsia="宋体" w:cs="宋体"/>
                <w:b w:val="0"/>
                <w:bCs w:val="0"/>
                <w:color w:val="auto"/>
                <w:sz w:val="22"/>
                <w:szCs w:val="22"/>
                <w:highlight w:val="none"/>
                <w:lang w:val="en-US" w:eastAsia="zh-CN"/>
              </w:rPr>
              <w:t>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 w:hRule="atLeast"/>
        </w:trPr>
        <w:tc>
          <w:tcPr>
            <w:tcW w:w="526" w:type="pct"/>
            <w:vMerge w:val="continue"/>
            <w:tcBorders>
              <w:right w:val="single" w:color="auto" w:sz="4" w:space="0"/>
            </w:tcBorders>
            <w:noWrap w:val="0"/>
            <w:vAlign w:val="center"/>
          </w:tcPr>
          <w:p>
            <w:pPr>
              <w:pStyle w:val="25"/>
              <w:jc w:val="center"/>
              <w:rPr>
                <w:rFonts w:hint="eastAsia" w:eastAsia="宋体" w:cs="Courier New"/>
                <w:b w:val="0"/>
                <w:color w:val="auto"/>
                <w:sz w:val="22"/>
                <w:szCs w:val="22"/>
                <w:highlight w:val="none"/>
                <w:lang w:eastAsia="zh-CN"/>
              </w:rPr>
            </w:pPr>
          </w:p>
        </w:tc>
        <w:tc>
          <w:tcPr>
            <w:tcW w:w="1505" w:type="dxa"/>
            <w:vMerge w:val="restart"/>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城区外服务</w:t>
            </w:r>
          </w:p>
          <w:p>
            <w:pPr>
              <w:pStyle w:val="25"/>
              <w:spacing w:line="460" w:lineRule="atLeast"/>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单价（除上述地区外）</w:t>
            </w:r>
          </w:p>
          <w:p>
            <w:pPr>
              <w:pStyle w:val="25"/>
              <w:spacing w:line="460" w:lineRule="atLeast"/>
              <w:jc w:val="center"/>
              <w:rPr>
                <w:rFonts w:hint="default" w:hAnsi="宋体" w:eastAsia="宋体"/>
                <w:b w:val="0"/>
                <w:color w:val="auto"/>
                <w:sz w:val="22"/>
                <w:highlight w:val="none"/>
                <w:lang w:val="en-US"/>
              </w:rPr>
            </w:pPr>
            <w:r>
              <w:rPr>
                <w:rFonts w:hint="eastAsia" w:ascii="宋体"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w:t>
            </w:r>
          </w:p>
        </w:tc>
        <w:tc>
          <w:tcPr>
            <w:tcW w:w="3148" w:type="dxa"/>
            <w:tcBorders>
              <w:left w:val="single" w:color="auto" w:sz="4" w:space="0"/>
            </w:tcBorders>
            <w:noWrap w:val="0"/>
            <w:vAlign w:val="center"/>
          </w:tcPr>
          <w:p>
            <w:pPr>
              <w:widowControl/>
              <w:jc w:val="center"/>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小型汽车</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元/辆</w:t>
            </w:r>
          </w:p>
        </w:tc>
        <w:tc>
          <w:tcPr>
            <w:tcW w:w="3101"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cs="宋体"/>
                <w:b w:val="0"/>
                <w:bCs w:val="0"/>
                <w:color w:val="auto"/>
                <w:sz w:val="22"/>
                <w:szCs w:val="22"/>
                <w:highlight w:val="none"/>
                <w:lang w:val="en-US" w:eastAsia="zh-CN"/>
              </w:rPr>
              <w:t>150</w:t>
            </w:r>
            <w:r>
              <w:rPr>
                <w:rFonts w:hint="eastAsia" w:ascii="宋体" w:eastAsia="宋体" w:cs="宋体"/>
                <w:b w:val="0"/>
                <w:bCs w:val="0"/>
                <w:color w:val="auto"/>
                <w:sz w:val="22"/>
                <w:szCs w:val="22"/>
                <w:highlight w:val="none"/>
                <w:lang w:val="en-US" w:eastAsia="zh-CN"/>
              </w:rPr>
              <w:t>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1" w:hRule="atLeast"/>
        </w:trPr>
        <w:tc>
          <w:tcPr>
            <w:tcW w:w="526" w:type="pct"/>
            <w:vMerge w:val="continue"/>
            <w:tcBorders>
              <w:right w:val="single" w:color="auto" w:sz="4" w:space="0"/>
            </w:tcBorders>
            <w:noWrap w:val="0"/>
            <w:vAlign w:val="center"/>
          </w:tcPr>
          <w:p>
            <w:pPr>
              <w:pStyle w:val="25"/>
              <w:jc w:val="center"/>
              <w:rPr>
                <w:rFonts w:hint="eastAsia" w:eastAsia="宋体" w:cs="Courier New"/>
                <w:b w:val="0"/>
                <w:color w:val="auto"/>
                <w:sz w:val="22"/>
                <w:szCs w:val="22"/>
                <w:highlight w:val="none"/>
                <w:lang w:eastAsia="zh-CN"/>
              </w:rPr>
            </w:pPr>
          </w:p>
        </w:tc>
        <w:tc>
          <w:tcPr>
            <w:tcW w:w="1505" w:type="dxa"/>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lang w:val="en-US" w:eastAsia="zh-CN"/>
              </w:rPr>
            </w:pPr>
          </w:p>
        </w:tc>
        <w:tc>
          <w:tcPr>
            <w:tcW w:w="3148" w:type="dxa"/>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highlight w:val="none"/>
                <w:lang w:val="en-US" w:eastAsia="zh-CN"/>
              </w:rPr>
              <w:t>黄牌汽车</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元/辆；</w:t>
            </w:r>
          </w:p>
        </w:tc>
        <w:tc>
          <w:tcPr>
            <w:tcW w:w="3101"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b w:val="0"/>
                <w:color w:val="auto"/>
                <w:sz w:val="22"/>
                <w:highlight w:val="none"/>
                <w:lang w:val="en-US" w:eastAsia="zh-CN"/>
              </w:rPr>
              <w:t>410元/辆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 w:hRule="atLeast"/>
        </w:trPr>
        <w:tc>
          <w:tcPr>
            <w:tcW w:w="526" w:type="pct"/>
            <w:vMerge w:val="continue"/>
            <w:tcBorders>
              <w:right w:val="single" w:color="auto" w:sz="4" w:space="0"/>
            </w:tcBorders>
            <w:noWrap w:val="0"/>
            <w:vAlign w:val="center"/>
          </w:tcPr>
          <w:p>
            <w:pPr>
              <w:pStyle w:val="25"/>
              <w:jc w:val="center"/>
              <w:rPr>
                <w:rFonts w:hint="eastAsia" w:eastAsia="宋体" w:cs="Courier New"/>
                <w:b w:val="0"/>
                <w:color w:val="auto"/>
                <w:sz w:val="22"/>
                <w:szCs w:val="22"/>
                <w:highlight w:val="none"/>
                <w:lang w:eastAsia="zh-CN"/>
              </w:rPr>
            </w:pPr>
          </w:p>
        </w:tc>
        <w:tc>
          <w:tcPr>
            <w:tcW w:w="1505" w:type="dxa"/>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lang w:val="en-US" w:eastAsia="zh-CN"/>
              </w:rPr>
            </w:pPr>
          </w:p>
        </w:tc>
        <w:tc>
          <w:tcPr>
            <w:tcW w:w="3148" w:type="dxa"/>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highlight w:val="none"/>
                <w:lang w:val="en-US" w:eastAsia="zh-CN"/>
              </w:rPr>
              <w:t>二、三轮摩托车</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元/辆</w:t>
            </w:r>
          </w:p>
        </w:tc>
        <w:tc>
          <w:tcPr>
            <w:tcW w:w="3101"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cs="宋体"/>
                <w:b w:val="0"/>
                <w:bCs w:val="0"/>
                <w:color w:val="auto"/>
                <w:sz w:val="22"/>
                <w:szCs w:val="22"/>
                <w:highlight w:val="none"/>
                <w:lang w:val="en-US" w:eastAsia="zh-CN"/>
              </w:rPr>
              <w:t>5</w:t>
            </w:r>
            <w:r>
              <w:rPr>
                <w:rFonts w:hint="eastAsia" w:ascii="宋体" w:eastAsia="宋体" w:cs="宋体"/>
                <w:b w:val="0"/>
                <w:bCs w:val="0"/>
                <w:color w:val="auto"/>
                <w:sz w:val="22"/>
                <w:szCs w:val="22"/>
                <w:highlight w:val="none"/>
                <w:lang w:val="en-US" w:eastAsia="zh-CN"/>
              </w:rPr>
              <w:t>0元/辆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526" w:type="pct"/>
            <w:vMerge w:val="continue"/>
            <w:tcBorders>
              <w:right w:val="single" w:color="auto" w:sz="4" w:space="0"/>
            </w:tcBorders>
            <w:noWrap w:val="0"/>
            <w:vAlign w:val="center"/>
          </w:tcPr>
          <w:p>
            <w:pPr>
              <w:pStyle w:val="25"/>
              <w:jc w:val="center"/>
              <w:rPr>
                <w:rFonts w:hint="eastAsia" w:eastAsia="宋体" w:cs="Courier New"/>
                <w:b w:val="0"/>
                <w:color w:val="auto"/>
                <w:sz w:val="22"/>
                <w:szCs w:val="22"/>
                <w:highlight w:val="none"/>
                <w:lang w:eastAsia="zh-CN"/>
              </w:rPr>
            </w:pPr>
          </w:p>
        </w:tc>
        <w:tc>
          <w:tcPr>
            <w:tcW w:w="1505" w:type="dxa"/>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lang w:val="en-US" w:eastAsia="zh-CN"/>
              </w:rPr>
            </w:pPr>
          </w:p>
        </w:tc>
        <w:tc>
          <w:tcPr>
            <w:tcW w:w="3148" w:type="dxa"/>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highlight w:val="none"/>
                <w:lang w:val="en-US" w:eastAsia="zh-CN"/>
              </w:rPr>
              <w:t>二、三轮电动车</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元/辆</w:t>
            </w:r>
          </w:p>
        </w:tc>
        <w:tc>
          <w:tcPr>
            <w:tcW w:w="3101" w:type="dxa"/>
            <w:tcBorders>
              <w:left w:val="single" w:color="auto" w:sz="4" w:space="0"/>
            </w:tcBorders>
            <w:noWrap w:val="0"/>
            <w:vAlign w:val="center"/>
          </w:tcPr>
          <w:p>
            <w:pPr>
              <w:widowControl/>
              <w:jc w:val="center"/>
              <w:rPr>
                <w:rFonts w:ascii="宋体" w:eastAsia="宋体"/>
                <w:b w:val="0"/>
                <w:color w:val="auto"/>
                <w:sz w:val="22"/>
                <w:highlight w:val="none"/>
              </w:rPr>
            </w:pPr>
            <w:r>
              <w:rPr>
                <w:rFonts w:hint="eastAsia" w:ascii="宋体" w:cs="宋体"/>
                <w:b w:val="0"/>
                <w:bCs w:val="0"/>
                <w:color w:val="auto"/>
                <w:sz w:val="22"/>
                <w:szCs w:val="22"/>
                <w:highlight w:val="none"/>
                <w:lang w:val="en-US" w:eastAsia="zh-CN"/>
              </w:rPr>
              <w:t>5</w:t>
            </w:r>
            <w:r>
              <w:rPr>
                <w:rFonts w:hint="eastAsia" w:ascii="宋体" w:eastAsia="宋体" w:cs="宋体"/>
                <w:b w:val="0"/>
                <w:bCs w:val="0"/>
                <w:color w:val="auto"/>
                <w:sz w:val="22"/>
                <w:szCs w:val="22"/>
                <w:highlight w:val="none"/>
                <w:lang w:val="en-US" w:eastAsia="zh-CN"/>
              </w:rPr>
              <w:t>0元/辆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526" w:type="pct"/>
            <w:vMerge w:val="continue"/>
            <w:tcBorders>
              <w:right w:val="single" w:color="auto" w:sz="4" w:space="0"/>
            </w:tcBorders>
            <w:noWrap w:val="0"/>
            <w:vAlign w:val="center"/>
          </w:tcPr>
          <w:p>
            <w:pPr>
              <w:pStyle w:val="25"/>
              <w:jc w:val="center"/>
              <w:rPr>
                <w:rFonts w:hint="eastAsia" w:eastAsia="宋体" w:cs="Courier New"/>
                <w:b w:val="0"/>
                <w:color w:val="auto"/>
                <w:sz w:val="22"/>
                <w:szCs w:val="22"/>
                <w:highlight w:val="none"/>
                <w:lang w:eastAsia="zh-CN"/>
              </w:rPr>
            </w:pPr>
          </w:p>
        </w:tc>
        <w:tc>
          <w:tcPr>
            <w:tcW w:w="1505" w:type="dxa"/>
            <w:vMerge w:val="continue"/>
            <w:tcBorders>
              <w:left w:val="single" w:color="auto" w:sz="4" w:space="0"/>
              <w:righ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lang w:val="en-US" w:eastAsia="zh-CN"/>
              </w:rPr>
            </w:pPr>
          </w:p>
        </w:tc>
        <w:tc>
          <w:tcPr>
            <w:tcW w:w="3148" w:type="dxa"/>
            <w:tcBorders>
              <w:left w:val="single" w:color="auto" w:sz="4" w:space="0"/>
            </w:tcBorders>
            <w:noWrap w:val="0"/>
            <w:vAlign w:val="center"/>
          </w:tcPr>
          <w:p>
            <w:pPr>
              <w:autoSpaceDE w:val="0"/>
              <w:autoSpaceDN w:val="0"/>
              <w:adjustRightInd w:val="0"/>
              <w:spacing w:line="460" w:lineRule="atLeast"/>
              <w:jc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highlight w:val="none"/>
                <w:lang w:val="en-US" w:eastAsia="zh-CN"/>
              </w:rPr>
              <w:t>自行车</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元/辆</w:t>
            </w:r>
          </w:p>
        </w:tc>
        <w:tc>
          <w:tcPr>
            <w:tcW w:w="3101" w:type="dxa"/>
            <w:tcBorders>
              <w:left w:val="single" w:color="auto" w:sz="4" w:space="0"/>
            </w:tcBorders>
            <w:noWrap w:val="0"/>
            <w:vAlign w:val="center"/>
          </w:tcPr>
          <w:p>
            <w:pPr>
              <w:autoSpaceDE w:val="0"/>
              <w:autoSpaceDN w:val="0"/>
              <w:adjustRightInd w:val="0"/>
              <w:spacing w:line="460" w:lineRule="atLeast"/>
              <w:jc w:val="center"/>
              <w:rPr>
                <w:rFonts w:ascii="宋体" w:eastAsia="宋体"/>
                <w:b w:val="0"/>
                <w:color w:val="auto"/>
                <w:sz w:val="22"/>
                <w:highlight w:val="none"/>
              </w:rPr>
            </w:pPr>
            <w:r>
              <w:rPr>
                <w:rFonts w:hint="eastAsia" w:ascii="宋体" w:cs="宋体"/>
                <w:b w:val="0"/>
                <w:bCs w:val="0"/>
                <w:color w:val="auto"/>
                <w:sz w:val="22"/>
                <w:szCs w:val="22"/>
                <w:highlight w:val="none"/>
                <w:lang w:val="en-US" w:eastAsia="zh-CN"/>
              </w:rPr>
              <w:t>45</w:t>
            </w:r>
            <w:r>
              <w:rPr>
                <w:rFonts w:hint="eastAsia" w:ascii="宋体" w:eastAsia="宋体" w:cs="宋体"/>
                <w:b w:val="0"/>
                <w:bCs w:val="0"/>
                <w:color w:val="auto"/>
                <w:sz w:val="22"/>
                <w:szCs w:val="22"/>
                <w:highlight w:val="none"/>
                <w:lang w:val="en-US" w:eastAsia="zh-CN"/>
              </w:rPr>
              <w:t>元/辆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7" w:hRule="atLeast"/>
        </w:trPr>
        <w:tc>
          <w:tcPr>
            <w:tcW w:w="526" w:type="pct"/>
            <w:vMerge w:val="continue"/>
            <w:tcBorders>
              <w:right w:val="single" w:color="auto" w:sz="4" w:space="0"/>
            </w:tcBorders>
            <w:noWrap w:val="0"/>
            <w:vAlign w:val="center"/>
          </w:tcPr>
          <w:p>
            <w:pPr>
              <w:pStyle w:val="25"/>
              <w:jc w:val="center"/>
              <w:rPr>
                <w:rFonts w:hint="eastAsia" w:eastAsia="宋体" w:cs="Courier New"/>
                <w:b w:val="0"/>
                <w:color w:val="auto"/>
                <w:sz w:val="22"/>
                <w:szCs w:val="22"/>
                <w:highlight w:val="none"/>
                <w:lang w:eastAsia="zh-CN"/>
              </w:rPr>
            </w:pPr>
          </w:p>
        </w:tc>
        <w:tc>
          <w:tcPr>
            <w:tcW w:w="2684" w:type="pct"/>
            <w:gridSpan w:val="2"/>
            <w:tcBorders>
              <w:left w:val="single" w:color="auto" w:sz="4" w:space="0"/>
            </w:tcBorders>
            <w:noWrap w:val="0"/>
            <w:vAlign w:val="center"/>
          </w:tcPr>
          <w:p>
            <w:pPr>
              <w:pStyle w:val="25"/>
              <w:spacing w:line="460" w:lineRule="atLeast"/>
              <w:jc w:val="center"/>
              <w:rPr>
                <w:rFonts w:ascii="宋体" w:eastAsia="宋体"/>
                <w:b w:val="0"/>
                <w:color w:val="auto"/>
                <w:sz w:val="22"/>
                <w:highlight w:val="none"/>
              </w:rPr>
            </w:pPr>
            <w:r>
              <w:rPr>
                <w:rFonts w:hint="eastAsia" w:ascii="宋体" w:eastAsia="宋体" w:cs="宋体"/>
                <w:b w:val="0"/>
                <w:bCs w:val="0"/>
                <w:color w:val="auto"/>
                <w:sz w:val="22"/>
                <w:szCs w:val="22"/>
                <w:highlight w:val="none"/>
                <w:lang w:val="en-US" w:eastAsia="zh-CN"/>
              </w:rPr>
              <w:t>清障车（待命、作业）服务单价：</w:t>
            </w:r>
            <w:r>
              <w:rPr>
                <w:rFonts w:hint="eastAsia" w:ascii="宋体" w:eastAsia="宋体" w:cs="宋体"/>
                <w:b w:val="0"/>
                <w:bCs w:val="0"/>
                <w:color w:val="auto"/>
                <w:sz w:val="22"/>
                <w:szCs w:val="22"/>
                <w:highlight w:val="none"/>
                <w:u w:val="single"/>
                <w:lang w:val="en-US" w:eastAsia="zh-CN"/>
              </w:rPr>
              <w:t xml:space="preserve">     </w:t>
            </w:r>
            <w:r>
              <w:rPr>
                <w:rFonts w:hint="eastAsia" w:ascii="宋体" w:eastAsia="宋体" w:cs="宋体"/>
                <w:b w:val="0"/>
                <w:bCs w:val="0"/>
                <w:color w:val="auto"/>
                <w:sz w:val="22"/>
                <w:szCs w:val="22"/>
                <w:highlight w:val="none"/>
                <w:lang w:val="en-US" w:eastAsia="zh-CN"/>
              </w:rPr>
              <w:t>元</w:t>
            </w:r>
          </w:p>
        </w:tc>
        <w:tc>
          <w:tcPr>
            <w:tcW w:w="1789" w:type="pct"/>
            <w:tcBorders>
              <w:left w:val="single" w:color="auto" w:sz="4" w:space="0"/>
            </w:tcBorders>
            <w:noWrap w:val="0"/>
            <w:vAlign w:val="center"/>
          </w:tcPr>
          <w:p>
            <w:pPr>
              <w:pStyle w:val="25"/>
              <w:spacing w:line="460" w:lineRule="atLeast"/>
              <w:jc w:val="center"/>
              <w:rPr>
                <w:rFonts w:hint="eastAsia" w:ascii="宋体" w:eastAsia="宋体" w:cs="宋体"/>
                <w:b w:val="0"/>
                <w:bCs w:val="0"/>
                <w:color w:val="auto"/>
                <w:sz w:val="22"/>
                <w:szCs w:val="22"/>
                <w:highlight w:val="red"/>
                <w:lang w:val="en-US" w:eastAsia="zh-CN"/>
              </w:rPr>
            </w:pPr>
            <w:r>
              <w:rPr>
                <w:rFonts w:hint="eastAsia" w:ascii="宋体" w:eastAsia="宋体" w:cs="宋体"/>
                <w:b w:val="0"/>
                <w:bCs w:val="0"/>
                <w:color w:val="auto"/>
                <w:sz w:val="22"/>
                <w:szCs w:val="22"/>
                <w:lang w:val="en-US" w:eastAsia="zh-CN"/>
              </w:rPr>
              <w:t>60元/1小时/清障车1辆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7" w:hRule="atLeast"/>
        </w:trPr>
        <w:tc>
          <w:tcPr>
            <w:tcW w:w="526" w:type="pct"/>
            <w:tcBorders>
              <w:right w:val="single" w:color="auto" w:sz="4" w:space="0"/>
            </w:tcBorders>
            <w:noWrap w:val="0"/>
            <w:vAlign w:val="center"/>
          </w:tcPr>
          <w:p>
            <w:pPr>
              <w:pStyle w:val="25"/>
              <w:jc w:val="center"/>
              <w:rPr>
                <w:rFonts w:hint="default" w:eastAsia="宋体" w:cs="Courier New"/>
                <w:b w:val="0"/>
                <w:color w:val="auto"/>
                <w:sz w:val="22"/>
                <w:szCs w:val="22"/>
                <w:highlight w:val="none"/>
                <w:lang w:val="en-US" w:eastAsia="zh-CN"/>
              </w:rPr>
            </w:pPr>
            <w:r>
              <w:rPr>
                <w:rFonts w:hint="eastAsia" w:ascii="宋体" w:eastAsia="宋体" w:cs="宋体"/>
                <w:b/>
                <w:bCs/>
                <w:color w:val="auto"/>
                <w:sz w:val="22"/>
                <w:highlight w:val="none"/>
                <w:lang w:val="en-US" w:eastAsia="zh-CN"/>
              </w:rPr>
              <w:t>2、交通事故、违法车辆扣留后的保管服务</w:t>
            </w:r>
          </w:p>
        </w:tc>
        <w:tc>
          <w:tcPr>
            <w:tcW w:w="2684" w:type="pct"/>
            <w:gridSpan w:val="2"/>
            <w:tcBorders>
              <w:left w:val="single" w:color="auto" w:sz="4" w:space="0"/>
            </w:tcBorders>
            <w:noWrap w:val="0"/>
            <w:vAlign w:val="center"/>
          </w:tcPr>
          <w:p>
            <w:pPr>
              <w:pStyle w:val="25"/>
              <w:spacing w:line="460" w:lineRule="atLeast"/>
              <w:jc w:val="both"/>
              <w:rPr>
                <w:rFonts w:hint="eastAsia" w:cs="宋体"/>
                <w:b w:val="0"/>
                <w:bCs w:val="0"/>
                <w:color w:val="auto"/>
                <w:sz w:val="22"/>
                <w:szCs w:val="22"/>
                <w:highlight w:val="none"/>
                <w:lang w:val="en-US" w:eastAsia="zh-CN"/>
              </w:rPr>
            </w:pPr>
            <w:r>
              <w:rPr>
                <w:rFonts w:hint="eastAsia" w:cs="宋体"/>
                <w:b w:val="0"/>
                <w:bCs w:val="0"/>
                <w:color w:val="auto"/>
                <w:sz w:val="22"/>
                <w:szCs w:val="22"/>
                <w:highlight w:val="none"/>
                <w:lang w:val="en-US" w:eastAsia="zh-CN"/>
              </w:rPr>
              <w:t>投标报价：</w:t>
            </w:r>
          </w:p>
          <w:p>
            <w:pPr>
              <w:pStyle w:val="25"/>
              <w:spacing w:line="460" w:lineRule="atLeast"/>
              <w:jc w:val="both"/>
              <w:rPr>
                <w:rFonts w:hint="eastAsia" w:cs="宋体"/>
                <w:b w:val="0"/>
                <w:bCs w:val="0"/>
                <w:color w:val="auto"/>
                <w:sz w:val="22"/>
                <w:szCs w:val="22"/>
                <w:highlight w:val="none"/>
                <w:lang w:val="en-US" w:eastAsia="zh-CN"/>
              </w:rPr>
            </w:pPr>
            <w:r>
              <w:rPr>
                <w:rFonts w:hint="eastAsia" w:cs="宋体"/>
                <w:b w:val="0"/>
                <w:bCs w:val="0"/>
                <w:color w:val="auto"/>
                <w:sz w:val="22"/>
                <w:szCs w:val="22"/>
                <w:highlight w:val="none"/>
                <w:lang w:val="en-US" w:eastAsia="zh-CN"/>
              </w:rPr>
              <w:t>小写：</w:t>
            </w:r>
          </w:p>
          <w:p>
            <w:pPr>
              <w:rPr>
                <w:rFonts w:hint="eastAsia"/>
                <w:lang w:val="en-US" w:eastAsia="zh-CN"/>
              </w:rPr>
            </w:pPr>
            <w:r>
              <w:rPr>
                <w:rFonts w:hint="eastAsia" w:cs="宋体"/>
                <w:b w:val="0"/>
                <w:bCs w:val="0"/>
                <w:color w:val="auto"/>
                <w:sz w:val="22"/>
                <w:szCs w:val="22"/>
                <w:highlight w:val="none"/>
                <w:lang w:val="en-US" w:eastAsia="zh-CN"/>
              </w:rPr>
              <w:t>大写：</w:t>
            </w:r>
          </w:p>
        </w:tc>
        <w:tc>
          <w:tcPr>
            <w:tcW w:w="1789" w:type="pct"/>
            <w:tcBorders>
              <w:left w:val="single" w:color="auto" w:sz="4" w:space="0"/>
            </w:tcBorders>
            <w:noWrap w:val="0"/>
            <w:vAlign w:val="center"/>
          </w:tcPr>
          <w:p>
            <w:pPr>
              <w:pStyle w:val="25"/>
              <w:spacing w:line="460" w:lineRule="atLeast"/>
              <w:jc w:val="center"/>
              <w:rPr>
                <w:rFonts w:hint="default" w:ascii="宋体" w:eastAsia="宋体" w:cs="宋体"/>
                <w:b w:val="0"/>
                <w:bCs w:val="0"/>
                <w:color w:val="auto"/>
                <w:sz w:val="22"/>
                <w:szCs w:val="22"/>
                <w:lang w:val="en-US" w:eastAsia="zh-CN"/>
              </w:rPr>
            </w:pPr>
            <w:r>
              <w:rPr>
                <w:rFonts w:hint="eastAsia" w:ascii="宋体" w:eastAsia="宋体" w:cs="宋体"/>
                <w:b/>
                <w:bCs/>
                <w:color w:val="auto"/>
                <w:sz w:val="22"/>
                <w:highlight w:val="none"/>
                <w:lang w:val="en-US" w:eastAsia="zh-CN"/>
              </w:rPr>
              <w:t>交通事故、违法车辆扣留后的保管服务</w:t>
            </w:r>
            <w:r>
              <w:rPr>
                <w:rFonts w:hint="eastAsia" w:cs="宋体"/>
                <w:b w:val="0"/>
                <w:bCs w:val="0"/>
                <w:color w:val="auto"/>
                <w:sz w:val="22"/>
                <w:szCs w:val="22"/>
                <w:lang w:val="en-US" w:eastAsia="zh-CN"/>
              </w:rPr>
              <w:t>采购金额：6000000元（三年）</w:t>
            </w:r>
          </w:p>
        </w:tc>
      </w:tr>
    </w:tbl>
    <w:p>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说明：</w:t>
      </w:r>
    </w:p>
    <w:p>
      <w:pPr>
        <w:autoSpaceDE w:val="0"/>
        <w:autoSpaceDN w:val="0"/>
        <w:adjustRightInd w:val="0"/>
        <w:spacing w:line="400" w:lineRule="atLeast"/>
        <w:ind w:left="400"/>
        <w:rPr>
          <w:rFonts w:hint="eastAsia" w:ascii="宋体" w:hAnsi="宋体" w:cs="宋体"/>
          <w:b/>
          <w:bCs/>
          <w:color w:val="auto"/>
          <w:kern w:val="0"/>
          <w:sz w:val="22"/>
          <w:szCs w:val="22"/>
          <w:highlight w:val="none"/>
          <w:lang w:val="zh-CN"/>
        </w:rPr>
      </w:pPr>
    </w:p>
    <w:p>
      <w:pPr>
        <w:numPr>
          <w:ilvl w:val="0"/>
          <w:numId w:val="4"/>
        </w:numPr>
        <w:autoSpaceDE w:val="0"/>
        <w:autoSpaceDN w:val="0"/>
        <w:adjustRightInd w:val="0"/>
        <w:spacing w:line="400" w:lineRule="atLeast"/>
        <w:rPr>
          <w:rFonts w:hint="eastAsia" w:ascii="宋体" w:hAnsi="宋体" w:cs="宋体"/>
          <w:b/>
          <w:bCs/>
          <w:color w:val="auto"/>
          <w:kern w:val="0"/>
          <w:sz w:val="22"/>
          <w:szCs w:val="22"/>
          <w:highlight w:val="none"/>
          <w:u w:val="wave"/>
          <w:lang w:val="zh-CN"/>
        </w:rPr>
      </w:pPr>
      <w:r>
        <w:rPr>
          <w:rFonts w:hint="eastAsia" w:ascii="宋体" w:hAnsi="宋体" w:cs="宋体"/>
          <w:b/>
          <w:color w:val="auto"/>
          <w:sz w:val="22"/>
          <w:szCs w:val="22"/>
          <w:highlight w:val="none"/>
          <w:u w:val="single"/>
        </w:rPr>
        <w:t>▲</w:t>
      </w:r>
      <w:r>
        <w:rPr>
          <w:rFonts w:hint="eastAsia" w:ascii="宋体" w:hAnsi="宋体" w:cs="宋体"/>
          <w:b/>
          <w:bCs/>
          <w:color w:val="auto"/>
          <w:sz w:val="22"/>
          <w:szCs w:val="22"/>
          <w:highlight w:val="none"/>
          <w:u w:val="single"/>
        </w:rPr>
        <w:t>不提供此表格将被视为没有实质性响应招标文件。</w:t>
      </w:r>
    </w:p>
    <w:p>
      <w:pPr>
        <w:numPr>
          <w:ilvl w:val="0"/>
          <w:numId w:val="4"/>
        </w:numPr>
        <w:autoSpaceDE w:val="0"/>
        <w:autoSpaceDN w:val="0"/>
        <w:adjustRightInd w:val="0"/>
        <w:spacing w:line="400" w:lineRule="atLeast"/>
        <w:rPr>
          <w:rFonts w:hint="eastAsia" w:ascii="宋体" w:hAnsi="宋体" w:cs="宋体"/>
          <w:b/>
          <w:bCs/>
          <w:color w:val="auto"/>
          <w:kern w:val="0"/>
          <w:sz w:val="22"/>
          <w:szCs w:val="22"/>
          <w:highlight w:val="none"/>
          <w:u w:val="single"/>
          <w:lang w:val="zh-CN"/>
        </w:rPr>
      </w:pPr>
      <w:r>
        <w:rPr>
          <w:rFonts w:hint="eastAsia" w:ascii="宋体" w:hAnsi="宋体" w:cs="宋体"/>
          <w:b/>
          <w:color w:val="auto"/>
          <w:sz w:val="22"/>
          <w:szCs w:val="22"/>
          <w:highlight w:val="none"/>
          <w:u w:val="single"/>
        </w:rPr>
        <w:t>▲</w:t>
      </w:r>
      <w:r>
        <w:rPr>
          <w:rFonts w:hint="eastAsia" w:ascii="宋体" w:hAnsi="宋体" w:cs="宋体"/>
          <w:b/>
          <w:bCs/>
          <w:color w:val="auto"/>
          <w:sz w:val="22"/>
          <w:szCs w:val="22"/>
          <w:highlight w:val="none"/>
          <w:u w:val="single"/>
        </w:rPr>
        <w:t>投标总价须与投标分项报价表中的总计价相一致。</w:t>
      </w:r>
    </w:p>
    <w:p>
      <w:pPr>
        <w:autoSpaceDE w:val="0"/>
        <w:autoSpaceDN w:val="0"/>
        <w:adjustRightInd w:val="0"/>
        <w:spacing w:line="500" w:lineRule="atLeast"/>
        <w:rPr>
          <w:rFonts w:hint="eastAsia" w:ascii="宋体" w:hAnsi="宋体" w:cs="宋体"/>
          <w:color w:val="auto"/>
          <w:sz w:val="30"/>
          <w:szCs w:val="30"/>
          <w:highlight w:val="none"/>
        </w:rPr>
      </w:pPr>
    </w:p>
    <w:p>
      <w:pPr>
        <w:widowControl/>
        <w:spacing w:line="460" w:lineRule="exact"/>
        <w:ind w:firstLine="44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投标供应商（盖章） ：</w:t>
      </w:r>
    </w:p>
    <w:p>
      <w:pPr>
        <w:spacing w:line="460" w:lineRule="atLeast"/>
        <w:ind w:firstLine="440"/>
        <w:rPr>
          <w:rFonts w:hint="eastAsia" w:ascii="宋体" w:hAnsi="宋体" w:cs="宋体"/>
          <w:color w:val="auto"/>
          <w:sz w:val="36"/>
          <w:highlight w:val="none"/>
        </w:rPr>
      </w:pPr>
      <w:r>
        <w:rPr>
          <w:rFonts w:hint="eastAsia" w:ascii="宋体" w:hAnsi="宋体" w:cs="宋体"/>
          <w:color w:val="auto"/>
          <w:sz w:val="22"/>
          <w:szCs w:val="22"/>
          <w:highlight w:val="none"/>
        </w:rPr>
        <w:t>日期：</w:t>
      </w:r>
    </w:p>
    <w:p>
      <w:pPr>
        <w:pStyle w:val="3"/>
        <w:ind w:firstLine="210"/>
        <w:rPr>
          <w:rFonts w:hint="eastAsia" w:ascii="宋体" w:hAnsi="宋体" w:cs="宋体"/>
          <w:color w:val="auto"/>
          <w:highlight w:val="none"/>
        </w:rPr>
      </w:pPr>
      <w:r>
        <w:rPr>
          <w:rFonts w:hint="eastAsia" w:ascii="宋体" w:hAnsi="宋体" w:cs="宋体"/>
          <w:color w:val="auto"/>
          <w:highlight w:val="none"/>
        </w:rPr>
        <w:br w:type="page"/>
      </w:r>
    </w:p>
    <w:p>
      <w:pPr>
        <w:widowControl/>
        <w:spacing w:line="460" w:lineRule="atLeast"/>
        <w:jc w:val="left"/>
        <w:rPr>
          <w:rFonts w:hint="eastAsia" w:ascii="宋体" w:hAnsi="宋体" w:cs="宋体"/>
          <w:b/>
          <w:bCs/>
          <w:color w:val="auto"/>
          <w:sz w:val="22"/>
          <w:szCs w:val="22"/>
          <w:highlight w:val="none"/>
        </w:rPr>
      </w:pPr>
      <w:r>
        <w:rPr>
          <w:rFonts w:hint="eastAsia" w:ascii="宋体" w:hAnsi="宋体" w:cs="宋体"/>
          <w:b/>
          <w:color w:val="auto"/>
          <w:sz w:val="22"/>
          <w:szCs w:val="22"/>
          <w:highlight w:val="none"/>
        </w:rPr>
        <w:t>附件五</w:t>
      </w:r>
    </w:p>
    <w:p>
      <w:pPr>
        <w:autoSpaceDE w:val="0"/>
        <w:autoSpaceDN w:val="0"/>
        <w:adjustRightInd w:val="0"/>
        <w:spacing w:line="360" w:lineRule="atLeast"/>
        <w:ind w:right="220"/>
        <w:jc w:val="center"/>
        <w:textAlignment w:val="baseline"/>
        <w:rPr>
          <w:rFonts w:hint="eastAsia" w:ascii="宋体" w:hAnsi="宋体" w:cs="宋体"/>
          <w:b/>
          <w:color w:val="auto"/>
          <w:sz w:val="22"/>
          <w:highlight w:val="none"/>
        </w:rPr>
      </w:pPr>
      <w:r>
        <w:rPr>
          <w:rFonts w:hint="eastAsia" w:ascii="宋体" w:hAnsi="宋体" w:cs="宋体"/>
          <w:b/>
          <w:bCs/>
          <w:color w:val="auto"/>
          <w:kern w:val="0"/>
          <w:sz w:val="28"/>
          <w:szCs w:val="28"/>
          <w:highlight w:val="none"/>
          <w:lang w:val="zh-CN"/>
        </w:rPr>
        <w:t>投标分项报价表</w:t>
      </w:r>
    </w:p>
    <w:p>
      <w:pPr>
        <w:spacing w:line="360" w:lineRule="exact"/>
        <w:jc w:val="right"/>
        <w:rPr>
          <w:rFonts w:hint="eastAsia" w:ascii="宋体" w:hAnsi="宋体" w:cs="宋体"/>
          <w:color w:val="auto"/>
          <w:sz w:val="22"/>
          <w:highlight w:val="none"/>
        </w:rPr>
      </w:pPr>
      <w:r>
        <w:rPr>
          <w:rFonts w:hint="eastAsia" w:ascii="宋体" w:hAnsi="宋体" w:cs="宋体"/>
          <w:color w:val="auto"/>
          <w:sz w:val="22"/>
          <w:highlight w:val="none"/>
        </w:rPr>
        <w:t>（单位价格：元）</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366"/>
        <w:gridCol w:w="3208"/>
        <w:gridCol w:w="1134"/>
        <w:gridCol w:w="1134"/>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26" w:type="pct"/>
            <w:vAlign w:val="center"/>
          </w:tcPr>
          <w:p>
            <w:pPr>
              <w:jc w:val="center"/>
              <w:rPr>
                <w:rFonts w:ascii="宋体"/>
                <w:b/>
                <w:color w:val="auto"/>
                <w:sz w:val="22"/>
                <w:highlight w:val="none"/>
              </w:rPr>
            </w:pPr>
            <w:r>
              <w:rPr>
                <w:rFonts w:hint="eastAsia" w:ascii="宋体"/>
                <w:b/>
                <w:color w:val="auto"/>
                <w:sz w:val="22"/>
                <w:highlight w:val="none"/>
              </w:rPr>
              <w:t>序号</w:t>
            </w:r>
          </w:p>
        </w:tc>
        <w:tc>
          <w:tcPr>
            <w:tcW w:w="783" w:type="pct"/>
            <w:vAlign w:val="center"/>
          </w:tcPr>
          <w:p>
            <w:pPr>
              <w:jc w:val="center"/>
              <w:rPr>
                <w:rFonts w:ascii="宋体"/>
                <w:b/>
                <w:color w:val="auto"/>
                <w:sz w:val="22"/>
                <w:highlight w:val="none"/>
              </w:rPr>
            </w:pPr>
            <w:r>
              <w:rPr>
                <w:rFonts w:hint="eastAsia" w:ascii="宋体"/>
                <w:b/>
                <w:color w:val="auto"/>
                <w:sz w:val="22"/>
                <w:highlight w:val="none"/>
              </w:rPr>
              <w:t>名称</w:t>
            </w:r>
          </w:p>
        </w:tc>
        <w:tc>
          <w:tcPr>
            <w:tcW w:w="1838" w:type="pct"/>
            <w:vAlign w:val="center"/>
          </w:tcPr>
          <w:p>
            <w:pPr>
              <w:jc w:val="center"/>
              <w:rPr>
                <w:rFonts w:ascii="宋体"/>
                <w:b/>
                <w:color w:val="auto"/>
                <w:sz w:val="22"/>
                <w:highlight w:val="none"/>
              </w:rPr>
            </w:pPr>
            <w:r>
              <w:rPr>
                <w:rFonts w:hint="eastAsia" w:ascii="宋体"/>
                <w:b/>
                <w:color w:val="auto"/>
                <w:sz w:val="22"/>
                <w:highlight w:val="none"/>
              </w:rPr>
              <w:t>内容</w:t>
            </w:r>
          </w:p>
        </w:tc>
        <w:tc>
          <w:tcPr>
            <w:tcW w:w="650" w:type="pct"/>
            <w:vAlign w:val="center"/>
          </w:tcPr>
          <w:p>
            <w:pPr>
              <w:jc w:val="center"/>
              <w:rPr>
                <w:rFonts w:ascii="宋体"/>
                <w:b/>
                <w:color w:val="auto"/>
                <w:sz w:val="22"/>
                <w:highlight w:val="none"/>
              </w:rPr>
            </w:pPr>
            <w:r>
              <w:rPr>
                <w:rFonts w:hint="eastAsia" w:ascii="宋体"/>
                <w:b/>
                <w:color w:val="auto"/>
                <w:sz w:val="22"/>
                <w:highlight w:val="none"/>
              </w:rPr>
              <w:t>数量</w:t>
            </w:r>
          </w:p>
        </w:tc>
        <w:tc>
          <w:tcPr>
            <w:tcW w:w="650" w:type="pct"/>
            <w:vAlign w:val="center"/>
          </w:tcPr>
          <w:p>
            <w:pPr>
              <w:jc w:val="center"/>
              <w:rPr>
                <w:rFonts w:ascii="宋体"/>
                <w:b/>
                <w:color w:val="auto"/>
                <w:sz w:val="22"/>
                <w:highlight w:val="none"/>
              </w:rPr>
            </w:pPr>
            <w:r>
              <w:rPr>
                <w:rFonts w:hint="eastAsia" w:ascii="宋体"/>
                <w:b/>
                <w:color w:val="auto"/>
                <w:sz w:val="22"/>
                <w:highlight w:val="none"/>
              </w:rPr>
              <w:t>单价</w:t>
            </w:r>
          </w:p>
        </w:tc>
        <w:tc>
          <w:tcPr>
            <w:tcW w:w="650" w:type="pct"/>
            <w:vAlign w:val="center"/>
          </w:tcPr>
          <w:p>
            <w:pPr>
              <w:jc w:val="center"/>
              <w:rPr>
                <w:rFonts w:ascii="宋体"/>
                <w:b/>
                <w:color w:val="auto"/>
                <w:sz w:val="22"/>
                <w:highlight w:val="none"/>
              </w:rPr>
            </w:pPr>
            <w:r>
              <w:rPr>
                <w:rFonts w:hint="eastAsia" w:ascii="宋体"/>
                <w:b/>
                <w:color w:val="auto"/>
                <w:sz w:val="22"/>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6" w:type="pct"/>
            <w:vAlign w:val="center"/>
          </w:tcPr>
          <w:p>
            <w:pPr>
              <w:jc w:val="center"/>
              <w:rPr>
                <w:rFonts w:ascii="宋体"/>
                <w:b/>
                <w:color w:val="auto"/>
                <w:sz w:val="22"/>
                <w:highlight w:val="none"/>
              </w:rPr>
            </w:pPr>
            <w:r>
              <w:rPr>
                <w:rFonts w:hint="eastAsia" w:ascii="宋体"/>
                <w:b/>
                <w:color w:val="auto"/>
                <w:sz w:val="22"/>
                <w:highlight w:val="none"/>
              </w:rPr>
              <w:t>1</w:t>
            </w:r>
          </w:p>
        </w:tc>
        <w:tc>
          <w:tcPr>
            <w:tcW w:w="783" w:type="pct"/>
            <w:shd w:val="clear" w:color="auto" w:fill="auto"/>
            <w:vAlign w:val="center"/>
          </w:tcPr>
          <w:p>
            <w:pPr>
              <w:spacing w:line="400" w:lineRule="exact"/>
              <w:jc w:val="center"/>
              <w:rPr>
                <w:rFonts w:hint="eastAsia" w:ascii="宋体" w:hAnsi="宋体" w:eastAsia="宋体" w:cs="宋体"/>
                <w:color w:val="auto"/>
                <w:kern w:val="2"/>
                <w:sz w:val="22"/>
                <w:szCs w:val="22"/>
                <w:highlight w:val="none"/>
                <w:lang w:val="en-US" w:eastAsia="zh-CN" w:bidi="ar-SA"/>
              </w:rPr>
            </w:pPr>
          </w:p>
        </w:tc>
        <w:tc>
          <w:tcPr>
            <w:tcW w:w="1838" w:type="pct"/>
            <w:vAlign w:val="center"/>
          </w:tcPr>
          <w:p>
            <w:pPr>
              <w:jc w:val="center"/>
              <w:rPr>
                <w:rFonts w:ascii="宋体"/>
                <w:b/>
                <w:color w:val="auto"/>
                <w:sz w:val="22"/>
                <w:highlight w:val="none"/>
              </w:rPr>
            </w:pPr>
          </w:p>
        </w:tc>
        <w:tc>
          <w:tcPr>
            <w:tcW w:w="650" w:type="pct"/>
            <w:vAlign w:val="center"/>
          </w:tcPr>
          <w:p>
            <w:pPr>
              <w:snapToGrid w:val="0"/>
              <w:spacing w:line="400" w:lineRule="atLeast"/>
              <w:jc w:val="center"/>
              <w:rPr>
                <w:rFonts w:ascii="宋体"/>
                <w:b/>
                <w:color w:val="auto"/>
                <w:sz w:val="22"/>
                <w:highlight w:val="none"/>
              </w:rPr>
            </w:pPr>
          </w:p>
        </w:tc>
        <w:tc>
          <w:tcPr>
            <w:tcW w:w="650" w:type="pct"/>
            <w:vAlign w:val="center"/>
          </w:tcPr>
          <w:p>
            <w:pPr>
              <w:jc w:val="center"/>
              <w:rPr>
                <w:rFonts w:ascii="宋体"/>
                <w:b/>
                <w:color w:val="auto"/>
                <w:sz w:val="22"/>
                <w:highlight w:val="none"/>
              </w:rPr>
            </w:pPr>
          </w:p>
        </w:tc>
        <w:tc>
          <w:tcPr>
            <w:tcW w:w="650" w:type="pct"/>
            <w:vAlign w:val="center"/>
          </w:tcPr>
          <w:p>
            <w:pPr>
              <w:jc w:val="center"/>
              <w:rPr>
                <w:rFonts w:ascii="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6" w:type="pct"/>
            <w:vAlign w:val="center"/>
          </w:tcPr>
          <w:p>
            <w:pPr>
              <w:jc w:val="center"/>
              <w:rPr>
                <w:rFonts w:ascii="宋体"/>
                <w:b/>
                <w:color w:val="auto"/>
                <w:sz w:val="22"/>
                <w:highlight w:val="none"/>
              </w:rPr>
            </w:pPr>
            <w:r>
              <w:rPr>
                <w:rFonts w:hint="eastAsia" w:ascii="宋体"/>
                <w:b/>
                <w:color w:val="auto"/>
                <w:sz w:val="22"/>
                <w:highlight w:val="none"/>
              </w:rPr>
              <w:t>2</w:t>
            </w:r>
          </w:p>
        </w:tc>
        <w:tc>
          <w:tcPr>
            <w:tcW w:w="783" w:type="pct"/>
            <w:shd w:val="clear" w:color="auto" w:fill="auto"/>
            <w:vAlign w:val="center"/>
          </w:tcPr>
          <w:p>
            <w:pPr>
              <w:spacing w:line="400" w:lineRule="exact"/>
              <w:jc w:val="center"/>
              <w:rPr>
                <w:rFonts w:hint="eastAsia" w:ascii="宋体" w:hAnsi="宋体" w:eastAsia="宋体" w:cs="宋体"/>
                <w:color w:val="auto"/>
                <w:kern w:val="2"/>
                <w:sz w:val="22"/>
                <w:szCs w:val="22"/>
                <w:highlight w:val="none"/>
                <w:lang w:val="en-US" w:eastAsia="zh-CN" w:bidi="ar-SA"/>
              </w:rPr>
            </w:pPr>
          </w:p>
        </w:tc>
        <w:tc>
          <w:tcPr>
            <w:tcW w:w="1838" w:type="pct"/>
            <w:vAlign w:val="center"/>
          </w:tcPr>
          <w:p>
            <w:pPr>
              <w:jc w:val="center"/>
              <w:rPr>
                <w:rFonts w:ascii="宋体"/>
                <w:b/>
                <w:color w:val="auto"/>
                <w:sz w:val="22"/>
                <w:highlight w:val="none"/>
              </w:rPr>
            </w:pPr>
          </w:p>
        </w:tc>
        <w:tc>
          <w:tcPr>
            <w:tcW w:w="650" w:type="pct"/>
            <w:vAlign w:val="center"/>
          </w:tcPr>
          <w:p>
            <w:pPr>
              <w:snapToGrid w:val="0"/>
              <w:spacing w:line="400" w:lineRule="atLeast"/>
              <w:jc w:val="center"/>
              <w:rPr>
                <w:rFonts w:ascii="宋体"/>
                <w:b/>
                <w:color w:val="auto"/>
                <w:sz w:val="22"/>
                <w:highlight w:val="none"/>
              </w:rPr>
            </w:pPr>
          </w:p>
        </w:tc>
        <w:tc>
          <w:tcPr>
            <w:tcW w:w="650" w:type="pct"/>
            <w:vAlign w:val="center"/>
          </w:tcPr>
          <w:p>
            <w:pPr>
              <w:jc w:val="center"/>
              <w:rPr>
                <w:rFonts w:ascii="宋体"/>
                <w:b/>
                <w:color w:val="auto"/>
                <w:sz w:val="22"/>
                <w:highlight w:val="none"/>
              </w:rPr>
            </w:pPr>
          </w:p>
        </w:tc>
        <w:tc>
          <w:tcPr>
            <w:tcW w:w="650" w:type="pct"/>
            <w:vAlign w:val="center"/>
          </w:tcPr>
          <w:p>
            <w:pPr>
              <w:jc w:val="center"/>
              <w:rPr>
                <w:rFonts w:ascii="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6" w:type="pct"/>
            <w:vAlign w:val="center"/>
          </w:tcPr>
          <w:p>
            <w:pPr>
              <w:jc w:val="center"/>
              <w:rPr>
                <w:rFonts w:ascii="宋体"/>
                <w:b/>
                <w:color w:val="auto"/>
                <w:sz w:val="22"/>
                <w:highlight w:val="none"/>
              </w:rPr>
            </w:pPr>
            <w:r>
              <w:rPr>
                <w:rFonts w:hint="eastAsia" w:ascii="宋体"/>
                <w:b/>
                <w:color w:val="auto"/>
                <w:sz w:val="22"/>
                <w:highlight w:val="none"/>
              </w:rPr>
              <w:t>3</w:t>
            </w:r>
          </w:p>
        </w:tc>
        <w:tc>
          <w:tcPr>
            <w:tcW w:w="783" w:type="pct"/>
            <w:shd w:val="clear" w:color="auto" w:fill="auto"/>
            <w:vAlign w:val="center"/>
          </w:tcPr>
          <w:p>
            <w:pPr>
              <w:spacing w:line="400" w:lineRule="exact"/>
              <w:jc w:val="center"/>
              <w:rPr>
                <w:rFonts w:hint="eastAsia" w:ascii="宋体" w:hAnsi="宋体" w:eastAsia="宋体" w:cs="宋体"/>
                <w:color w:val="auto"/>
                <w:kern w:val="2"/>
                <w:sz w:val="22"/>
                <w:szCs w:val="22"/>
                <w:highlight w:val="none"/>
                <w:lang w:val="en-US" w:eastAsia="zh-CN" w:bidi="ar-SA"/>
              </w:rPr>
            </w:pPr>
          </w:p>
        </w:tc>
        <w:tc>
          <w:tcPr>
            <w:tcW w:w="1838" w:type="pct"/>
            <w:vAlign w:val="center"/>
          </w:tcPr>
          <w:p>
            <w:pPr>
              <w:jc w:val="center"/>
              <w:rPr>
                <w:rFonts w:ascii="宋体"/>
                <w:b/>
                <w:color w:val="auto"/>
                <w:sz w:val="22"/>
                <w:highlight w:val="none"/>
              </w:rPr>
            </w:pPr>
          </w:p>
        </w:tc>
        <w:tc>
          <w:tcPr>
            <w:tcW w:w="650" w:type="pct"/>
            <w:vAlign w:val="center"/>
          </w:tcPr>
          <w:p>
            <w:pPr>
              <w:snapToGrid w:val="0"/>
              <w:spacing w:line="400" w:lineRule="atLeast"/>
              <w:jc w:val="center"/>
              <w:rPr>
                <w:rFonts w:ascii="宋体"/>
                <w:b/>
                <w:color w:val="auto"/>
                <w:sz w:val="22"/>
                <w:highlight w:val="none"/>
              </w:rPr>
            </w:pPr>
          </w:p>
        </w:tc>
        <w:tc>
          <w:tcPr>
            <w:tcW w:w="650" w:type="pct"/>
            <w:vAlign w:val="center"/>
          </w:tcPr>
          <w:p>
            <w:pPr>
              <w:jc w:val="center"/>
              <w:rPr>
                <w:rFonts w:ascii="宋体"/>
                <w:b/>
                <w:color w:val="auto"/>
                <w:sz w:val="22"/>
                <w:highlight w:val="none"/>
              </w:rPr>
            </w:pPr>
          </w:p>
        </w:tc>
        <w:tc>
          <w:tcPr>
            <w:tcW w:w="650" w:type="pct"/>
            <w:vAlign w:val="center"/>
          </w:tcPr>
          <w:p>
            <w:pPr>
              <w:jc w:val="center"/>
              <w:rPr>
                <w:rFonts w:ascii="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6" w:type="pct"/>
            <w:vAlign w:val="center"/>
          </w:tcPr>
          <w:p>
            <w:pPr>
              <w:jc w:val="center"/>
              <w:rPr>
                <w:rFonts w:ascii="宋体"/>
                <w:b/>
                <w:color w:val="auto"/>
                <w:sz w:val="22"/>
                <w:highlight w:val="none"/>
              </w:rPr>
            </w:pPr>
            <w:r>
              <w:rPr>
                <w:rFonts w:hint="eastAsia" w:ascii="宋体"/>
                <w:b/>
                <w:color w:val="auto"/>
                <w:sz w:val="22"/>
                <w:highlight w:val="none"/>
              </w:rPr>
              <w:t>4</w:t>
            </w:r>
          </w:p>
        </w:tc>
        <w:tc>
          <w:tcPr>
            <w:tcW w:w="783" w:type="pct"/>
            <w:shd w:val="clear" w:color="auto" w:fill="auto"/>
            <w:vAlign w:val="center"/>
          </w:tcPr>
          <w:p>
            <w:pPr>
              <w:spacing w:line="400" w:lineRule="exact"/>
              <w:jc w:val="center"/>
              <w:rPr>
                <w:rFonts w:hint="eastAsia" w:ascii="宋体" w:hAnsi="宋体" w:eastAsia="宋体" w:cs="宋体"/>
                <w:color w:val="auto"/>
                <w:kern w:val="2"/>
                <w:sz w:val="22"/>
                <w:szCs w:val="22"/>
                <w:highlight w:val="none"/>
                <w:lang w:val="en-US" w:eastAsia="zh-CN" w:bidi="ar-SA"/>
              </w:rPr>
            </w:pPr>
          </w:p>
        </w:tc>
        <w:tc>
          <w:tcPr>
            <w:tcW w:w="1838" w:type="pct"/>
            <w:vAlign w:val="center"/>
          </w:tcPr>
          <w:p>
            <w:pPr>
              <w:jc w:val="center"/>
              <w:rPr>
                <w:rFonts w:ascii="宋体"/>
                <w:b/>
                <w:color w:val="auto"/>
                <w:sz w:val="22"/>
                <w:highlight w:val="none"/>
              </w:rPr>
            </w:pPr>
          </w:p>
        </w:tc>
        <w:tc>
          <w:tcPr>
            <w:tcW w:w="650" w:type="pct"/>
            <w:vAlign w:val="center"/>
          </w:tcPr>
          <w:p>
            <w:pPr>
              <w:snapToGrid w:val="0"/>
              <w:spacing w:line="400" w:lineRule="atLeast"/>
              <w:jc w:val="center"/>
              <w:rPr>
                <w:rFonts w:ascii="宋体"/>
                <w:b/>
                <w:color w:val="auto"/>
                <w:sz w:val="22"/>
                <w:highlight w:val="none"/>
              </w:rPr>
            </w:pPr>
          </w:p>
        </w:tc>
        <w:tc>
          <w:tcPr>
            <w:tcW w:w="650" w:type="pct"/>
            <w:vAlign w:val="center"/>
          </w:tcPr>
          <w:p>
            <w:pPr>
              <w:jc w:val="center"/>
              <w:rPr>
                <w:rFonts w:ascii="宋体"/>
                <w:b/>
                <w:color w:val="auto"/>
                <w:sz w:val="22"/>
                <w:highlight w:val="none"/>
              </w:rPr>
            </w:pPr>
          </w:p>
        </w:tc>
        <w:tc>
          <w:tcPr>
            <w:tcW w:w="650" w:type="pct"/>
            <w:vAlign w:val="center"/>
          </w:tcPr>
          <w:p>
            <w:pPr>
              <w:jc w:val="center"/>
              <w:rPr>
                <w:rFonts w:ascii="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6" w:type="pct"/>
            <w:vAlign w:val="center"/>
          </w:tcPr>
          <w:p>
            <w:pPr>
              <w:jc w:val="center"/>
              <w:rPr>
                <w:rFonts w:ascii="宋体"/>
                <w:b/>
                <w:color w:val="auto"/>
                <w:sz w:val="22"/>
                <w:highlight w:val="none"/>
              </w:rPr>
            </w:pPr>
            <w:r>
              <w:rPr>
                <w:rFonts w:hint="eastAsia" w:ascii="宋体"/>
                <w:b/>
                <w:color w:val="auto"/>
                <w:sz w:val="22"/>
                <w:highlight w:val="none"/>
              </w:rPr>
              <w:t>5</w:t>
            </w:r>
          </w:p>
        </w:tc>
        <w:tc>
          <w:tcPr>
            <w:tcW w:w="783" w:type="pct"/>
            <w:vAlign w:val="center"/>
          </w:tcPr>
          <w:p>
            <w:pPr>
              <w:jc w:val="center"/>
              <w:rPr>
                <w:rFonts w:ascii="宋体"/>
                <w:b/>
                <w:color w:val="auto"/>
                <w:sz w:val="22"/>
                <w:highlight w:val="none"/>
              </w:rPr>
            </w:pPr>
          </w:p>
        </w:tc>
        <w:tc>
          <w:tcPr>
            <w:tcW w:w="1838" w:type="pct"/>
            <w:vAlign w:val="center"/>
          </w:tcPr>
          <w:p>
            <w:pPr>
              <w:jc w:val="center"/>
              <w:rPr>
                <w:rFonts w:ascii="宋体"/>
                <w:b/>
                <w:color w:val="auto"/>
                <w:sz w:val="22"/>
                <w:highlight w:val="none"/>
              </w:rPr>
            </w:pPr>
          </w:p>
        </w:tc>
        <w:tc>
          <w:tcPr>
            <w:tcW w:w="650" w:type="pct"/>
            <w:vAlign w:val="center"/>
          </w:tcPr>
          <w:p>
            <w:pPr>
              <w:snapToGrid w:val="0"/>
              <w:spacing w:line="400" w:lineRule="atLeast"/>
              <w:jc w:val="center"/>
              <w:rPr>
                <w:rFonts w:ascii="宋体"/>
                <w:b/>
                <w:color w:val="auto"/>
                <w:sz w:val="22"/>
                <w:highlight w:val="none"/>
              </w:rPr>
            </w:pPr>
          </w:p>
        </w:tc>
        <w:tc>
          <w:tcPr>
            <w:tcW w:w="650" w:type="pct"/>
            <w:vAlign w:val="center"/>
          </w:tcPr>
          <w:p>
            <w:pPr>
              <w:jc w:val="center"/>
              <w:rPr>
                <w:rFonts w:ascii="宋体"/>
                <w:b/>
                <w:color w:val="auto"/>
                <w:sz w:val="22"/>
                <w:highlight w:val="none"/>
              </w:rPr>
            </w:pPr>
          </w:p>
        </w:tc>
        <w:tc>
          <w:tcPr>
            <w:tcW w:w="650" w:type="pct"/>
            <w:vAlign w:val="center"/>
          </w:tcPr>
          <w:p>
            <w:pPr>
              <w:jc w:val="center"/>
              <w:rPr>
                <w:rFonts w:ascii="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6" w:type="pct"/>
            <w:vAlign w:val="center"/>
          </w:tcPr>
          <w:p>
            <w:pPr>
              <w:jc w:val="center"/>
              <w:rPr>
                <w:rFonts w:ascii="宋体"/>
                <w:b/>
                <w:color w:val="auto"/>
                <w:sz w:val="22"/>
                <w:highlight w:val="none"/>
              </w:rPr>
            </w:pPr>
            <w:r>
              <w:rPr>
                <w:rFonts w:hint="eastAsia" w:ascii="宋体"/>
                <w:b/>
                <w:color w:val="auto"/>
                <w:sz w:val="22"/>
                <w:highlight w:val="none"/>
              </w:rPr>
              <w:t>…</w:t>
            </w:r>
          </w:p>
        </w:tc>
        <w:tc>
          <w:tcPr>
            <w:tcW w:w="783" w:type="pct"/>
            <w:vAlign w:val="center"/>
          </w:tcPr>
          <w:p>
            <w:pPr>
              <w:jc w:val="center"/>
              <w:rPr>
                <w:rFonts w:ascii="宋体"/>
                <w:b/>
                <w:color w:val="auto"/>
                <w:sz w:val="22"/>
                <w:highlight w:val="none"/>
              </w:rPr>
            </w:pPr>
          </w:p>
        </w:tc>
        <w:tc>
          <w:tcPr>
            <w:tcW w:w="1838" w:type="pct"/>
            <w:vAlign w:val="center"/>
          </w:tcPr>
          <w:p>
            <w:pPr>
              <w:jc w:val="center"/>
              <w:rPr>
                <w:rFonts w:ascii="宋体"/>
                <w:b/>
                <w:color w:val="auto"/>
                <w:sz w:val="22"/>
                <w:highlight w:val="none"/>
              </w:rPr>
            </w:pPr>
          </w:p>
        </w:tc>
        <w:tc>
          <w:tcPr>
            <w:tcW w:w="650" w:type="pct"/>
            <w:vAlign w:val="center"/>
          </w:tcPr>
          <w:p>
            <w:pPr>
              <w:snapToGrid w:val="0"/>
              <w:spacing w:line="400" w:lineRule="atLeast"/>
              <w:jc w:val="center"/>
              <w:rPr>
                <w:rFonts w:ascii="宋体"/>
                <w:b/>
                <w:color w:val="auto"/>
                <w:sz w:val="22"/>
                <w:highlight w:val="none"/>
              </w:rPr>
            </w:pPr>
          </w:p>
        </w:tc>
        <w:tc>
          <w:tcPr>
            <w:tcW w:w="650" w:type="pct"/>
            <w:vAlign w:val="center"/>
          </w:tcPr>
          <w:p>
            <w:pPr>
              <w:jc w:val="center"/>
              <w:rPr>
                <w:rFonts w:ascii="宋体"/>
                <w:b/>
                <w:color w:val="auto"/>
                <w:sz w:val="22"/>
                <w:highlight w:val="none"/>
              </w:rPr>
            </w:pPr>
          </w:p>
        </w:tc>
        <w:tc>
          <w:tcPr>
            <w:tcW w:w="650" w:type="pct"/>
            <w:vAlign w:val="center"/>
          </w:tcPr>
          <w:p>
            <w:pPr>
              <w:jc w:val="center"/>
              <w:rPr>
                <w:rFonts w:ascii="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6" w:type="pct"/>
            <w:vAlign w:val="center"/>
          </w:tcPr>
          <w:p>
            <w:pPr>
              <w:jc w:val="center"/>
              <w:rPr>
                <w:rFonts w:ascii="宋体"/>
                <w:b/>
                <w:color w:val="auto"/>
                <w:sz w:val="22"/>
                <w:highlight w:val="none"/>
              </w:rPr>
            </w:pPr>
            <w:r>
              <w:rPr>
                <w:rFonts w:hint="eastAsia" w:ascii="宋体"/>
                <w:b/>
                <w:color w:val="auto"/>
                <w:sz w:val="22"/>
                <w:highlight w:val="none"/>
              </w:rPr>
              <w:t>.</w:t>
            </w:r>
          </w:p>
        </w:tc>
        <w:tc>
          <w:tcPr>
            <w:tcW w:w="783" w:type="pct"/>
            <w:vAlign w:val="center"/>
          </w:tcPr>
          <w:p>
            <w:pPr>
              <w:jc w:val="center"/>
              <w:rPr>
                <w:rFonts w:ascii="宋体"/>
                <w:b/>
                <w:color w:val="auto"/>
                <w:sz w:val="22"/>
                <w:highlight w:val="none"/>
              </w:rPr>
            </w:pPr>
          </w:p>
        </w:tc>
        <w:tc>
          <w:tcPr>
            <w:tcW w:w="1838" w:type="pct"/>
            <w:vAlign w:val="center"/>
          </w:tcPr>
          <w:p>
            <w:pPr>
              <w:jc w:val="center"/>
              <w:rPr>
                <w:rFonts w:ascii="宋体"/>
                <w:b/>
                <w:color w:val="auto"/>
                <w:sz w:val="22"/>
                <w:highlight w:val="none"/>
              </w:rPr>
            </w:pPr>
          </w:p>
        </w:tc>
        <w:tc>
          <w:tcPr>
            <w:tcW w:w="650" w:type="pct"/>
            <w:vAlign w:val="center"/>
          </w:tcPr>
          <w:p>
            <w:pPr>
              <w:snapToGrid w:val="0"/>
              <w:spacing w:line="400" w:lineRule="atLeast"/>
              <w:jc w:val="center"/>
              <w:rPr>
                <w:rFonts w:ascii="宋体"/>
                <w:b/>
                <w:color w:val="auto"/>
                <w:sz w:val="22"/>
                <w:highlight w:val="none"/>
              </w:rPr>
            </w:pPr>
          </w:p>
        </w:tc>
        <w:tc>
          <w:tcPr>
            <w:tcW w:w="650" w:type="pct"/>
            <w:vAlign w:val="center"/>
          </w:tcPr>
          <w:p>
            <w:pPr>
              <w:jc w:val="center"/>
              <w:rPr>
                <w:rFonts w:ascii="宋体"/>
                <w:b/>
                <w:color w:val="auto"/>
                <w:sz w:val="22"/>
                <w:highlight w:val="none"/>
              </w:rPr>
            </w:pPr>
          </w:p>
        </w:tc>
        <w:tc>
          <w:tcPr>
            <w:tcW w:w="650" w:type="pct"/>
            <w:vAlign w:val="center"/>
          </w:tcPr>
          <w:p>
            <w:pPr>
              <w:jc w:val="center"/>
              <w:rPr>
                <w:rFonts w:ascii="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48" w:type="pct"/>
            <w:gridSpan w:val="3"/>
            <w:vAlign w:val="center"/>
          </w:tcPr>
          <w:p>
            <w:pPr>
              <w:jc w:val="center"/>
              <w:rPr>
                <w:rFonts w:ascii="宋体"/>
                <w:b/>
                <w:color w:val="auto"/>
                <w:sz w:val="22"/>
                <w:highlight w:val="none"/>
              </w:rPr>
            </w:pPr>
            <w:r>
              <w:rPr>
                <w:rFonts w:hint="eastAsia" w:ascii="宋体"/>
                <w:b/>
                <w:color w:val="auto"/>
                <w:sz w:val="22"/>
                <w:highlight w:val="none"/>
              </w:rPr>
              <w:t>合计价</w:t>
            </w:r>
          </w:p>
        </w:tc>
        <w:tc>
          <w:tcPr>
            <w:tcW w:w="1951" w:type="pct"/>
            <w:gridSpan w:val="3"/>
            <w:vAlign w:val="center"/>
          </w:tcPr>
          <w:p>
            <w:pPr>
              <w:jc w:val="center"/>
              <w:rPr>
                <w:rFonts w:ascii="宋体"/>
                <w:b/>
                <w:color w:val="auto"/>
                <w:sz w:val="22"/>
                <w:highlight w:val="none"/>
              </w:rPr>
            </w:pPr>
          </w:p>
        </w:tc>
      </w:tr>
    </w:tbl>
    <w:p>
      <w:pPr>
        <w:pStyle w:val="25"/>
        <w:spacing w:line="440" w:lineRule="atLeast"/>
        <w:rPr>
          <w:rFonts w:hint="eastAsia" w:hAnsi="宋体" w:cs="宋体"/>
          <w:color w:val="auto"/>
          <w:highlight w:val="none"/>
        </w:rPr>
      </w:pPr>
      <w:r>
        <w:rPr>
          <w:rFonts w:hint="eastAsia" w:hAnsi="宋体" w:cs="宋体"/>
          <w:b/>
          <w:color w:val="auto"/>
          <w:sz w:val="22"/>
          <w:szCs w:val="22"/>
          <w:highlight w:val="none"/>
        </w:rPr>
        <w:t>说明：</w:t>
      </w:r>
      <w:r>
        <w:rPr>
          <w:rFonts w:hint="eastAsia" w:hAnsi="宋体" w:cs="宋体"/>
          <w:color w:val="auto"/>
          <w:highlight w:val="none"/>
        </w:rPr>
        <w:t xml:space="preserve"> </w:t>
      </w:r>
    </w:p>
    <w:p>
      <w:pPr>
        <w:spacing w:line="400" w:lineRule="exact"/>
        <w:ind w:left="420" w:firstLine="210" w:firstLineChars="100"/>
        <w:rPr>
          <w:rFonts w:hint="eastAsia" w:ascii="宋体" w:hAnsi="宋体" w:cs="宋体"/>
          <w:color w:val="auto"/>
          <w:szCs w:val="21"/>
          <w:highlight w:val="none"/>
        </w:rPr>
      </w:pPr>
      <w:r>
        <w:rPr>
          <w:rFonts w:hint="eastAsia" w:ascii="宋体" w:hAnsi="宋体" w:cs="宋体"/>
          <w:color w:val="auto"/>
          <w:szCs w:val="21"/>
          <w:highlight w:val="none"/>
        </w:rPr>
        <w:t>1、总计价应与“开标一览表”中投标总价对应相一致。</w:t>
      </w:r>
    </w:p>
    <w:p>
      <w:pPr>
        <w:spacing w:line="400" w:lineRule="exact"/>
        <w:ind w:left="420" w:firstLine="210" w:firstLineChars="100"/>
        <w:rPr>
          <w:rFonts w:hint="eastAsia" w:ascii="宋体" w:hAnsi="宋体" w:cs="宋体"/>
          <w:color w:val="auto"/>
          <w:szCs w:val="21"/>
          <w:highlight w:val="none"/>
        </w:rPr>
      </w:pPr>
      <w:r>
        <w:rPr>
          <w:rFonts w:hint="eastAsia" w:ascii="宋体" w:hAnsi="宋体" w:cs="宋体"/>
          <w:color w:val="auto"/>
          <w:szCs w:val="21"/>
          <w:highlight w:val="none"/>
        </w:rPr>
        <w:t>2、报价中须包含本项目正常作业所需的一切劳务、服装、材料、设备、配件、备件、损耗、包装、运输、维修、税费、保险、利润以及完成合同条件所需的一切开支等。各项费用如已包含在产品价格中请注明“含”,若免费请注明“免”,若没有请注明“无”。</w:t>
      </w:r>
    </w:p>
    <w:p>
      <w:pPr>
        <w:spacing w:line="400" w:lineRule="exact"/>
        <w:ind w:left="420" w:firstLine="210" w:firstLineChars="100"/>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szCs w:val="21"/>
          <w:highlight w:val="none"/>
        </w:rPr>
        <w:t>本表</w:t>
      </w:r>
      <w:r>
        <w:rPr>
          <w:rFonts w:hint="eastAsia" w:ascii="宋体" w:hAnsi="宋体" w:cs="宋体"/>
          <w:color w:val="auto"/>
          <w:highlight w:val="none"/>
        </w:rPr>
        <w:t>可在不改变格式的情况下根据具体需要自行增减。</w:t>
      </w:r>
    </w:p>
    <w:p>
      <w:pPr>
        <w:spacing w:line="400" w:lineRule="exact"/>
        <w:ind w:left="420" w:firstLine="221" w:firstLineChars="100"/>
        <w:rPr>
          <w:rFonts w:hint="eastAsia" w:ascii="宋体" w:hAnsi="宋体" w:cs="宋体"/>
          <w:b/>
          <w:color w:val="auto"/>
          <w:sz w:val="22"/>
          <w:szCs w:val="22"/>
          <w:highlight w:val="none"/>
        </w:rPr>
      </w:pPr>
      <w:r>
        <w:rPr>
          <w:rFonts w:hint="eastAsia" w:ascii="宋体" w:hAnsi="宋体" w:cs="宋体"/>
          <w:b/>
          <w:color w:val="auto"/>
          <w:sz w:val="22"/>
          <w:szCs w:val="22"/>
          <w:highlight w:val="none"/>
        </w:rPr>
        <w:t xml:space="preserve">4、▲ </w:t>
      </w:r>
      <w:r>
        <w:rPr>
          <w:rFonts w:hint="eastAsia" w:ascii="宋体" w:hAnsi="宋体" w:cs="宋体"/>
          <w:b/>
          <w:color w:val="auto"/>
          <w:sz w:val="22"/>
          <w:szCs w:val="22"/>
          <w:highlight w:val="none"/>
          <w:u w:val="single"/>
        </w:rPr>
        <w:t>不提供此表格的将视为没有实质性响应招标文件。</w:t>
      </w:r>
    </w:p>
    <w:p>
      <w:pPr>
        <w:widowControl/>
        <w:spacing w:line="460" w:lineRule="exact"/>
        <w:ind w:firstLine="44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投标供应商（盖章） ：</w:t>
      </w:r>
    </w:p>
    <w:p>
      <w:pPr>
        <w:spacing w:line="460" w:lineRule="atLeast"/>
        <w:ind w:firstLine="440"/>
        <w:rPr>
          <w:rFonts w:hint="eastAsia" w:ascii="宋体" w:hAnsi="宋体" w:cs="宋体"/>
          <w:color w:val="auto"/>
          <w:sz w:val="36"/>
          <w:highlight w:val="none"/>
        </w:rPr>
      </w:pPr>
      <w:r>
        <w:rPr>
          <w:rFonts w:hint="eastAsia" w:ascii="宋体" w:hAnsi="宋体" w:cs="宋体"/>
          <w:color w:val="auto"/>
          <w:sz w:val="22"/>
          <w:szCs w:val="22"/>
          <w:highlight w:val="none"/>
        </w:rPr>
        <w:t>日期：</w:t>
      </w:r>
    </w:p>
    <w:p>
      <w:pPr>
        <w:snapToGrid w:val="0"/>
        <w:spacing w:line="500" w:lineRule="atLeast"/>
        <w:ind w:firstLine="4367" w:firstLineChars="1450"/>
        <w:rPr>
          <w:rFonts w:hint="eastAsia" w:ascii="宋体" w:hAnsi="宋体" w:cs="宋体"/>
          <w:b/>
          <w:color w:val="auto"/>
          <w:sz w:val="30"/>
          <w:highlight w:val="none"/>
        </w:rPr>
        <w:sectPr>
          <w:headerReference r:id="rId10" w:type="default"/>
          <w:footerReference r:id="rId11" w:type="default"/>
          <w:pgSz w:w="11906" w:h="16838"/>
          <w:pgMar w:top="1440" w:right="1701" w:bottom="1440" w:left="1701" w:header="851" w:footer="992" w:gutter="0"/>
          <w:cols w:space="720" w:num="1"/>
          <w:docGrid w:linePitch="312" w:charSpace="0"/>
        </w:sectPr>
      </w:pPr>
    </w:p>
    <w:p>
      <w:pPr>
        <w:pStyle w:val="42"/>
        <w:rPr>
          <w:rFonts w:hint="eastAsia" w:ascii="宋体" w:hAnsi="宋体" w:cs="宋体"/>
          <w:color w:val="auto"/>
          <w:highlight w:val="none"/>
        </w:rPr>
      </w:pPr>
      <w:bookmarkStart w:id="205" w:name="_Toc42678695"/>
      <w:bookmarkStart w:id="206" w:name="_Toc65830025"/>
      <w:bookmarkStart w:id="207" w:name="_Toc42243287"/>
      <w:bookmarkStart w:id="208" w:name="_Toc65590097"/>
      <w:bookmarkStart w:id="209" w:name="_Toc6383"/>
      <w:r>
        <w:rPr>
          <w:rFonts w:hint="eastAsia" w:ascii="宋体" w:hAnsi="宋体" w:cs="宋体"/>
          <w:color w:val="auto"/>
          <w:highlight w:val="none"/>
        </w:rPr>
        <w:t>三、商务技术文件部分格式</w:t>
      </w:r>
      <w:bookmarkEnd w:id="205"/>
      <w:bookmarkEnd w:id="206"/>
      <w:bookmarkEnd w:id="207"/>
      <w:bookmarkEnd w:id="208"/>
      <w:bookmarkEnd w:id="209"/>
    </w:p>
    <w:p>
      <w:pPr>
        <w:widowControl/>
        <w:spacing w:line="460" w:lineRule="atLeast"/>
        <w:jc w:val="left"/>
        <w:rPr>
          <w:rFonts w:hint="eastAsia" w:ascii="宋体" w:hAnsi="宋体" w:cs="宋体"/>
          <w:b/>
          <w:bCs/>
          <w:color w:val="auto"/>
          <w:sz w:val="22"/>
          <w:szCs w:val="22"/>
          <w:highlight w:val="none"/>
        </w:rPr>
      </w:pPr>
      <w:bookmarkStart w:id="210" w:name="_Toc493530215"/>
      <w:r>
        <w:rPr>
          <w:rFonts w:hint="eastAsia" w:ascii="宋体" w:hAnsi="宋体" w:cs="宋体"/>
          <w:b/>
          <w:color w:val="auto"/>
          <w:sz w:val="22"/>
          <w:szCs w:val="22"/>
          <w:highlight w:val="none"/>
        </w:rPr>
        <w:t>附件</w:t>
      </w:r>
      <w:bookmarkEnd w:id="210"/>
      <w:r>
        <w:rPr>
          <w:rFonts w:hint="eastAsia" w:ascii="宋体" w:hAnsi="宋体" w:cs="宋体"/>
          <w:b/>
          <w:color w:val="auto"/>
          <w:sz w:val="22"/>
          <w:szCs w:val="22"/>
          <w:highlight w:val="none"/>
        </w:rPr>
        <w:t>六</w:t>
      </w:r>
    </w:p>
    <w:p>
      <w:pPr>
        <w:pStyle w:val="42"/>
        <w:rPr>
          <w:rFonts w:hint="eastAsia" w:ascii="宋体" w:hAnsi="宋体" w:cs="宋体"/>
          <w:color w:val="auto"/>
          <w:highlight w:val="none"/>
        </w:rPr>
      </w:pPr>
      <w:bookmarkStart w:id="211" w:name="_Toc68188793"/>
      <w:bookmarkStart w:id="212" w:name="_Toc65830026"/>
      <w:bookmarkStart w:id="213" w:name="_Toc97033074"/>
      <w:bookmarkStart w:id="214" w:name="_Toc511045481"/>
      <w:bookmarkStart w:id="215" w:name="_Toc18949"/>
      <w:bookmarkStart w:id="216" w:name="_Toc65590098"/>
      <w:bookmarkStart w:id="217" w:name="_Toc42678696"/>
      <w:bookmarkStart w:id="218" w:name="_Toc518512534"/>
      <w:bookmarkStart w:id="219" w:name="_Toc87518419"/>
      <w:bookmarkStart w:id="220" w:name="_Toc42678617"/>
      <w:bookmarkStart w:id="221" w:name="_Toc68189107"/>
      <w:bookmarkStart w:id="222" w:name="_Toc9334949"/>
      <w:bookmarkStart w:id="223" w:name="_Toc42678185"/>
      <w:bookmarkStart w:id="224" w:name="_Toc96970932"/>
      <w:bookmarkStart w:id="225" w:name="_Toc522469119"/>
      <w:bookmarkStart w:id="226" w:name="_Toc87518596"/>
      <w:bookmarkStart w:id="227" w:name="_Toc29259"/>
      <w:bookmarkStart w:id="228" w:name="_Toc68187557"/>
      <w:bookmarkStart w:id="229" w:name="_Toc42243288"/>
      <w:bookmarkStart w:id="230" w:name="_Toc19204521"/>
      <w:bookmarkStart w:id="231" w:name="_Toc42678030"/>
      <w:bookmarkStart w:id="232" w:name="_Toc61444217"/>
      <w:bookmarkStart w:id="233" w:name="_Toc21520"/>
      <w:r>
        <w:rPr>
          <w:rFonts w:hint="eastAsia" w:ascii="宋体" w:hAnsi="宋体" w:cs="宋体"/>
          <w:color w:val="auto"/>
          <w:highlight w:val="none"/>
        </w:rPr>
        <w:t>投 标 函</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autoSpaceDE w:val="0"/>
        <w:autoSpaceDN w:val="0"/>
        <w:adjustRightInd w:val="0"/>
        <w:snapToGrid w:val="0"/>
        <w:spacing w:line="480" w:lineRule="atLeast"/>
        <w:rPr>
          <w:rFonts w:hint="eastAsia" w:ascii="宋体" w:hAnsi="宋体" w:cs="宋体"/>
          <w:b/>
          <w:color w:val="auto"/>
          <w:sz w:val="22"/>
          <w:highlight w:val="none"/>
          <w:u w:val="single"/>
        </w:rPr>
      </w:pPr>
      <w:r>
        <w:rPr>
          <w:rFonts w:hint="eastAsia" w:ascii="宋体" w:hAnsi="宋体" w:cs="宋体"/>
          <w:b/>
          <w:color w:val="auto"/>
          <w:sz w:val="22"/>
          <w:highlight w:val="none"/>
          <w:u w:val="single"/>
          <w:lang w:val="zh-CN"/>
        </w:rPr>
        <w:t xml:space="preserve">  （采购人）   ：</w:t>
      </w:r>
    </w:p>
    <w:p>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项目（项目编号：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（供应商名称）作为供应商正式授权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（授权代表全名,职务）代表我方处理有关本项目投标的一切事宜。</w:t>
      </w:r>
    </w:p>
    <w:p>
      <w:pPr>
        <w:autoSpaceDE w:val="0"/>
        <w:autoSpaceDN w:val="0"/>
        <w:adjustRightInd w:val="0"/>
        <w:spacing w:line="420" w:lineRule="atLeast"/>
        <w:ind w:firstLine="440" w:firstLineChars="20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在此提交的投标文件中,包括如下内容,并已分别单独提交：</w:t>
      </w:r>
    </w:p>
    <w:p>
      <w:pPr>
        <w:numPr>
          <w:ilvl w:val="0"/>
          <w:numId w:val="5"/>
        </w:numPr>
        <w:spacing w:line="420" w:lineRule="exact"/>
        <w:rPr>
          <w:rFonts w:hint="eastAsia" w:ascii="宋体" w:hAnsi="宋体" w:cs="宋体"/>
          <w:color w:val="auto"/>
          <w:szCs w:val="21"/>
          <w:highlight w:val="none"/>
        </w:rPr>
      </w:pPr>
      <w:r>
        <w:rPr>
          <w:rFonts w:hint="eastAsia" w:ascii="宋体" w:hAnsi="宋体" w:cs="宋体"/>
          <w:color w:val="auto"/>
          <w:sz w:val="22"/>
          <w:highlight w:val="none"/>
        </w:rPr>
        <w:t>按“供应商须知”要求编制的投标文件资格审查资料 ；</w:t>
      </w:r>
    </w:p>
    <w:p>
      <w:pPr>
        <w:numPr>
          <w:ilvl w:val="0"/>
          <w:numId w:val="5"/>
        </w:numPr>
        <w:spacing w:line="420" w:lineRule="exact"/>
        <w:rPr>
          <w:rFonts w:hint="eastAsia" w:ascii="宋体" w:hAnsi="宋体" w:cs="宋体"/>
          <w:color w:val="auto"/>
          <w:szCs w:val="21"/>
          <w:highlight w:val="none"/>
        </w:rPr>
      </w:pPr>
      <w:r>
        <w:rPr>
          <w:rFonts w:hint="eastAsia" w:ascii="宋体" w:hAnsi="宋体" w:cs="宋体"/>
          <w:color w:val="auto"/>
          <w:sz w:val="22"/>
          <w:highlight w:val="none"/>
        </w:rPr>
        <w:t>按“供应商须知”要求编制的投标文件商务技术文件 ；</w:t>
      </w:r>
    </w:p>
    <w:p>
      <w:pPr>
        <w:numPr>
          <w:ilvl w:val="0"/>
          <w:numId w:val="5"/>
        </w:numPr>
        <w:spacing w:line="420" w:lineRule="exact"/>
        <w:rPr>
          <w:rFonts w:hint="eastAsia" w:ascii="宋体" w:hAnsi="宋体" w:cs="宋体"/>
          <w:color w:val="auto"/>
          <w:szCs w:val="21"/>
          <w:highlight w:val="none"/>
        </w:rPr>
      </w:pPr>
      <w:r>
        <w:rPr>
          <w:rFonts w:hint="eastAsia" w:ascii="宋体" w:hAnsi="宋体" w:cs="宋体"/>
          <w:color w:val="auto"/>
          <w:sz w:val="22"/>
          <w:highlight w:val="none"/>
        </w:rPr>
        <w:t>按“供应商须知”要求编制的投标文件报价文件 。</w:t>
      </w:r>
    </w:p>
    <w:p>
      <w:pPr>
        <w:autoSpaceDE w:val="0"/>
        <w:autoSpaceDN w:val="0"/>
        <w:adjustRightInd w:val="0"/>
        <w:spacing w:line="420" w:lineRule="atLeast"/>
        <w:ind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我方已完全明白采购文件的所有条款要求,并重申以下几点：</w:t>
      </w:r>
    </w:p>
    <w:p>
      <w:pPr>
        <w:numPr>
          <w:ilvl w:val="0"/>
          <w:numId w:val="6"/>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pPr>
        <w:numPr>
          <w:ilvl w:val="0"/>
          <w:numId w:val="6"/>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同意提供按照贵方可能要求的与投标有关的一切数据或资料等。若贵方需要,我方愿意提供我方作出的一切承诺的证明材料。</w:t>
      </w:r>
    </w:p>
    <w:p>
      <w:pPr>
        <w:numPr>
          <w:ilvl w:val="0"/>
          <w:numId w:val="6"/>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如中标,保证按照采购文件要求及投标文件的承诺与采购人签订合同,保证履行合同条款。</w:t>
      </w:r>
    </w:p>
    <w:p>
      <w:pPr>
        <w:numPr>
          <w:ilvl w:val="0"/>
          <w:numId w:val="6"/>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同意在采购文件中供应商须知规定的开标日期起遵守本投标书中的承诺且在投标有效期满之前均具有约束力。</w:t>
      </w:r>
    </w:p>
    <w:p>
      <w:pPr>
        <w:numPr>
          <w:ilvl w:val="0"/>
          <w:numId w:val="6"/>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如果在开标后规定的投标有效期内撤回投标,我方接受贵方处罚。</w:t>
      </w:r>
    </w:p>
    <w:p>
      <w:pPr>
        <w:numPr>
          <w:ilvl w:val="0"/>
          <w:numId w:val="6"/>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完全理解贵方不一定要接受最低价的投标。</w:t>
      </w:r>
    </w:p>
    <w:p>
      <w:pPr>
        <w:numPr>
          <w:ilvl w:val="0"/>
          <w:numId w:val="6"/>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在参加本项目前三年内（被通报或者处罚的违法行为有：</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）或（没有因违法经营受到刑事处罚或者责令停产停业、吊销许可证或者执照、较大数额罚款等行政处罚或处罚）或（在</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至</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期间禁止参加政府采购活动但是期限届满,须附相关证明文件）</w:t>
      </w:r>
    </w:p>
    <w:p>
      <w:pPr>
        <w:numPr>
          <w:ilvl w:val="0"/>
          <w:numId w:val="6"/>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在投标截止前（未被“信用中国”网站（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)列入失信被执行人、重大税收违法案件当事人名单；未被“中国政府采购网”（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 w:val="22"/>
          <w:highlight w:val="none"/>
        </w:rPr>
        <w:t>www.ccgp.gov.cn</w:t>
      </w:r>
      <w:r>
        <w:rPr>
          <w:rFonts w:hint="eastAsia" w:ascii="宋体" w:hAnsi="宋体" w:cs="宋体"/>
          <w:color w:val="auto"/>
          <w:sz w:val="22"/>
          <w:highlight w:val="none"/>
        </w:rPr>
        <w:fldChar w:fldCharType="end"/>
      </w:r>
      <w:r>
        <w:rPr>
          <w:rFonts w:hint="eastAsia" w:ascii="宋体" w:hAnsi="宋体" w:cs="宋体"/>
          <w:color w:val="auto"/>
          <w:sz w:val="22"/>
          <w:highlight w:val="none"/>
        </w:rPr>
        <w:t>)列入政府采购严重违法失信行为记录名单。）或（被“信用中国”或“中国政府采购网”列入……名单。）</w:t>
      </w:r>
    </w:p>
    <w:p>
      <w:pPr>
        <w:numPr>
          <w:ilvl w:val="0"/>
          <w:numId w:val="6"/>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如有下列情形之一的,我方愿意被取消中标资格（如中标）,同时继续承担其他一切法律后果,并不再寻求任何旨在减轻或免除法律责任的解释：</w:t>
      </w:r>
    </w:p>
    <w:p>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（1）提供虚假材料（承诺）谋取中标、成交的；</w:t>
      </w:r>
    </w:p>
    <w:p>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（2）采取不正当手段诋毁、排挤其他供应商的；</w:t>
      </w:r>
    </w:p>
    <w:p>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（3）与采购人、其他供应商或者采购代理机构恶意串通的；</w:t>
      </w:r>
    </w:p>
    <w:p>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（4）向采购人、采购代理机构行贿或者提供其他不正当利益的；</w:t>
      </w:r>
    </w:p>
    <w:p>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（5）在招标采购过程中与采购人进行协商谈判的；</w:t>
      </w:r>
    </w:p>
    <w:p>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（6）拒绝有关部门监督检查或提供虚假情况的。</w:t>
      </w:r>
    </w:p>
    <w:p>
      <w:pPr>
        <w:numPr>
          <w:ilvl w:val="0"/>
          <w:numId w:val="6"/>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所有与本投标有关的函件请发往下列地址：</w:t>
      </w:r>
    </w:p>
    <w:p>
      <w:pPr>
        <w:spacing w:line="42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pPr>
        <w:spacing w:line="42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pPr>
        <w:spacing w:line="420" w:lineRule="exact"/>
        <w:ind w:firstLine="435"/>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pPr>
        <w:spacing w:line="42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pPr>
        <w:autoSpaceDE w:val="0"/>
        <w:autoSpaceDN w:val="0"/>
        <w:adjustRightInd w:val="0"/>
        <w:spacing w:line="440" w:lineRule="atLeast"/>
        <w:rPr>
          <w:rFonts w:hint="eastAsia" w:ascii="宋体" w:hAnsi="宋体" w:cs="宋体"/>
          <w:color w:val="auto"/>
          <w:sz w:val="22"/>
          <w:szCs w:val="22"/>
          <w:highlight w:val="none"/>
        </w:rPr>
      </w:pPr>
    </w:p>
    <w:p>
      <w:pPr>
        <w:autoSpaceDE w:val="0"/>
        <w:autoSpaceDN w:val="0"/>
        <w:adjustRightInd w:val="0"/>
        <w:spacing w:line="440" w:lineRule="atLeast"/>
        <w:ind w:firstLine="1980" w:firstLineChars="900"/>
        <w:rPr>
          <w:rFonts w:hint="eastAsia" w:ascii="宋体" w:hAnsi="宋体" w:cs="宋体"/>
          <w:color w:val="auto"/>
          <w:sz w:val="22"/>
          <w:szCs w:val="22"/>
          <w:highlight w:val="none"/>
          <w:lang w:val="zh-CN"/>
        </w:rPr>
      </w:pPr>
    </w:p>
    <w:p>
      <w:pPr>
        <w:autoSpaceDE w:val="0"/>
        <w:autoSpaceDN w:val="0"/>
        <w:adjustRightInd w:val="0"/>
        <w:spacing w:line="440" w:lineRule="atLeast"/>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供应商全称（盖章）：</w:t>
      </w:r>
    </w:p>
    <w:p>
      <w:pPr>
        <w:autoSpaceDE w:val="0"/>
        <w:autoSpaceDN w:val="0"/>
        <w:adjustRightInd w:val="0"/>
        <w:spacing w:line="440" w:lineRule="atLeast"/>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日期：</w:t>
      </w:r>
    </w:p>
    <w:p>
      <w:pPr>
        <w:autoSpaceDE w:val="0"/>
        <w:autoSpaceDN w:val="0"/>
        <w:adjustRightInd w:val="0"/>
        <w:snapToGrid w:val="0"/>
        <w:spacing w:line="480" w:lineRule="atLeast"/>
        <w:ind w:firstLine="440" w:firstLineChars="200"/>
        <w:jc w:val="left"/>
        <w:rPr>
          <w:rFonts w:hint="eastAsia" w:ascii="宋体" w:hAnsi="宋体" w:cs="宋体"/>
          <w:color w:val="auto"/>
          <w:sz w:val="22"/>
          <w:highlight w:val="none"/>
          <w:lang w:val="zh-CN"/>
        </w:rPr>
      </w:pPr>
    </w:p>
    <w:p>
      <w:pPr>
        <w:rPr>
          <w:rFonts w:hint="eastAsia" w:ascii="宋体" w:hAnsi="宋体" w:cs="宋体"/>
          <w:b/>
          <w:bCs/>
          <w:color w:val="auto"/>
          <w:sz w:val="22"/>
          <w:szCs w:val="22"/>
          <w:highlight w:val="none"/>
        </w:rPr>
      </w:pPr>
      <w:bookmarkStart w:id="234" w:name="_Toc493530219"/>
      <w:r>
        <w:rPr>
          <w:rFonts w:hint="eastAsia" w:ascii="宋体" w:hAnsi="宋体" w:cs="宋体"/>
          <w:b/>
          <w:bCs/>
          <w:color w:val="auto"/>
          <w:sz w:val="22"/>
          <w:szCs w:val="22"/>
          <w:highlight w:val="none"/>
        </w:rPr>
        <w:br w:type="page"/>
      </w:r>
    </w:p>
    <w:p>
      <w:pPr>
        <w:widowControl/>
        <w:spacing w:line="460" w:lineRule="atLeast"/>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附件</w:t>
      </w:r>
      <w:bookmarkEnd w:id="234"/>
      <w:r>
        <w:rPr>
          <w:rFonts w:hint="eastAsia" w:ascii="宋体" w:hAnsi="宋体" w:cs="宋体"/>
          <w:b/>
          <w:bCs/>
          <w:color w:val="auto"/>
          <w:sz w:val="22"/>
          <w:szCs w:val="22"/>
          <w:highlight w:val="none"/>
        </w:rPr>
        <w:t>七</w:t>
      </w:r>
    </w:p>
    <w:p>
      <w:pPr>
        <w:tabs>
          <w:tab w:val="left" w:pos="1080"/>
        </w:tabs>
        <w:autoSpaceDE w:val="0"/>
        <w:autoSpaceDN w:val="0"/>
        <w:adjustRightInd w:val="0"/>
        <w:spacing w:line="440" w:lineRule="atLeast"/>
        <w:jc w:val="center"/>
        <w:rPr>
          <w:rFonts w:hint="eastAsia" w:ascii="宋体" w:hAnsi="宋体" w:cs="宋体"/>
          <w:b/>
          <w:color w:val="auto"/>
          <w:sz w:val="32"/>
          <w:szCs w:val="32"/>
          <w:highlight w:val="none"/>
          <w:lang w:val="zh-CN"/>
        </w:rPr>
      </w:pPr>
      <w:r>
        <w:rPr>
          <w:rFonts w:hint="eastAsia" w:ascii="宋体" w:hAnsi="宋体" w:cs="宋体"/>
          <w:b/>
          <w:color w:val="auto"/>
          <w:sz w:val="32"/>
          <w:szCs w:val="32"/>
          <w:highlight w:val="none"/>
          <w:lang w:val="zh-CN"/>
        </w:rPr>
        <w:t>法定代表人诚信投标承诺书</w:t>
      </w:r>
    </w:p>
    <w:p>
      <w:pPr>
        <w:spacing w:line="360" w:lineRule="auto"/>
        <w:jc w:val="left"/>
        <w:rPr>
          <w:rFonts w:hint="eastAsia" w:ascii="宋体" w:hAnsi="宋体" w:cs="宋体"/>
          <w:b/>
          <w:color w:val="auto"/>
          <w:sz w:val="24"/>
          <w:highlight w:val="none"/>
        </w:rPr>
      </w:pPr>
    </w:p>
    <w:p>
      <w:pPr>
        <w:spacing w:line="460" w:lineRule="atLeast"/>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本人以企业法定代表人的身份郑重承诺：</w:t>
      </w:r>
    </w:p>
    <w:p>
      <w:pPr>
        <w:spacing w:line="460" w:lineRule="atLeas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将遵循公开、公平、公正和诚信信用的原则参加</w:t>
      </w:r>
      <w:r>
        <w:rPr>
          <w:rFonts w:hint="eastAsia" w:ascii="宋体" w:hAnsi="宋体" w:cs="宋体"/>
          <w:color w:val="auto"/>
          <w:sz w:val="22"/>
          <w:szCs w:val="22"/>
          <w:highlight w:val="none"/>
          <w:u w:val="single"/>
        </w:rPr>
        <w:t xml:space="preserve">              项目（项目编号：   ）</w:t>
      </w:r>
      <w:r>
        <w:rPr>
          <w:rFonts w:hint="eastAsia" w:ascii="宋体" w:hAnsi="宋体" w:cs="宋体"/>
          <w:color w:val="auto"/>
          <w:sz w:val="22"/>
          <w:szCs w:val="22"/>
          <w:highlight w:val="none"/>
        </w:rPr>
        <w:t>的投标；</w:t>
      </w:r>
    </w:p>
    <w:p>
      <w:pPr>
        <w:spacing w:line="460" w:lineRule="atLeast"/>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一、杜绝以收取管理费等形式的一切挂靠、违法转包、分包行为；并选派有丰富经验、无不良行为记录的项目管理人员、技术人员,严格按招标文件、投标文件及合同等要求保证拟派人员的到岗率。</w:t>
      </w:r>
    </w:p>
    <w:p>
      <w:pPr>
        <w:spacing w:line="460" w:lineRule="atLeas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二、投标文件所提供的一切材料都是真实、有效、合法的。</w:t>
      </w:r>
    </w:p>
    <w:p>
      <w:pPr>
        <w:spacing w:line="460" w:lineRule="atLeas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三、不与其他投标供应商相互串通投标报价,不排挤其他投标供应商的公平竞争,不损害招标人或其他投标供应商的合法权益。</w:t>
      </w:r>
    </w:p>
    <w:p>
      <w:pPr>
        <w:spacing w:line="460" w:lineRule="atLeas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四、不与采购人或采购代理机构串通投标,不损害国家利益,社会公共利益或其他人的合法权益。</w:t>
      </w:r>
    </w:p>
    <w:p>
      <w:pPr>
        <w:spacing w:line="460" w:lineRule="atLeas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五、不向采购人或者评标委员会成员行贿以牟取中标。</w:t>
      </w:r>
    </w:p>
    <w:p>
      <w:pPr>
        <w:spacing w:line="460" w:lineRule="atLeas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六、不以他人名义投标或者以其他方式弄虚作假,骗取中标。</w:t>
      </w:r>
    </w:p>
    <w:p>
      <w:pPr>
        <w:spacing w:line="460" w:lineRule="atLeas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七、不在开标后进行虚假恶意投诉。</w:t>
      </w:r>
    </w:p>
    <w:p>
      <w:pPr>
        <w:spacing w:line="460" w:lineRule="atLeas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九、没有被各地、各级财政部门禁止参加政府采购活动,且在限制期限内：    </w:t>
      </w:r>
    </w:p>
    <w:p>
      <w:pPr>
        <w:spacing w:line="460" w:lineRule="atLeas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十、参与本项目政府采购活动3年内没有重大违法记录情况。</w:t>
      </w:r>
    </w:p>
    <w:p>
      <w:pPr>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2970" w:firstLineChars="135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法定代表人（签字或盖章）：</w:t>
      </w:r>
    </w:p>
    <w:p>
      <w:pPr>
        <w:spacing w:line="460" w:lineRule="atLeast"/>
        <w:ind w:right="1120" w:firstLine="2970" w:firstLineChars="1350"/>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投标供应商（盖章）</w:t>
      </w:r>
    </w:p>
    <w:p>
      <w:pPr>
        <w:spacing w:line="460" w:lineRule="atLeast"/>
        <w:ind w:right="1120" w:firstLine="2970" w:firstLineChars="1350"/>
        <w:rPr>
          <w:rFonts w:hint="eastAsia" w:ascii="宋体" w:hAnsi="宋体" w:cs="宋体"/>
          <w:color w:val="auto"/>
          <w:highlight w:val="none"/>
        </w:rPr>
      </w:pPr>
      <w:r>
        <w:rPr>
          <w:rFonts w:hint="eastAsia" w:ascii="宋体" w:hAnsi="宋体" w:cs="宋体"/>
          <w:color w:val="auto"/>
          <w:sz w:val="22"/>
          <w:szCs w:val="22"/>
          <w:highlight w:val="none"/>
        </w:rPr>
        <w:t>承诺书签署日期：         年  月  日</w:t>
      </w:r>
    </w:p>
    <w:p>
      <w:pPr>
        <w:spacing w:line="360" w:lineRule="exact"/>
        <w:jc w:val="left"/>
        <w:rPr>
          <w:rFonts w:hint="eastAsia" w:ascii="宋体" w:hAnsi="宋体" w:cs="宋体"/>
          <w:b/>
          <w:bCs/>
          <w:color w:val="auto"/>
          <w:sz w:val="22"/>
          <w:szCs w:val="22"/>
          <w:highlight w:val="none"/>
          <w:u w:val="single"/>
        </w:rPr>
      </w:pPr>
    </w:p>
    <w:p>
      <w:pPr>
        <w:spacing w:line="360" w:lineRule="exact"/>
        <w:jc w:val="left"/>
        <w:rPr>
          <w:rFonts w:hint="eastAsia" w:ascii="宋体" w:hAnsi="宋体" w:cs="宋体"/>
          <w:b/>
          <w:color w:val="auto"/>
          <w:sz w:val="30"/>
          <w:highlight w:val="none"/>
        </w:rPr>
      </w:pPr>
      <w:r>
        <w:rPr>
          <w:rFonts w:hint="eastAsia" w:ascii="宋体" w:hAnsi="宋体" w:cs="宋体"/>
          <w:b/>
          <w:color w:val="auto"/>
          <w:sz w:val="22"/>
          <w:szCs w:val="22"/>
          <w:highlight w:val="none"/>
          <w:u w:val="single"/>
        </w:rPr>
        <w:t>备注：▲投标供应商必须提供本承诺书,不提供按无效投标处理。</w:t>
      </w:r>
    </w:p>
    <w:p>
      <w:pPr>
        <w:tabs>
          <w:tab w:val="left" w:pos="2520"/>
        </w:tabs>
        <w:spacing w:line="440" w:lineRule="exact"/>
        <w:outlineLvl w:val="0"/>
        <w:rPr>
          <w:rFonts w:hint="eastAsia" w:ascii="宋体" w:hAnsi="宋体" w:cs="宋体"/>
          <w:color w:val="auto"/>
          <w:highlight w:val="none"/>
        </w:rPr>
      </w:pPr>
    </w:p>
    <w:p>
      <w:pPr>
        <w:tabs>
          <w:tab w:val="left" w:pos="2520"/>
        </w:tabs>
        <w:spacing w:line="440" w:lineRule="exact"/>
        <w:outlineLvl w:val="0"/>
        <w:rPr>
          <w:rFonts w:hint="eastAsia" w:ascii="宋体" w:hAnsi="宋体" w:cs="宋体"/>
          <w:color w:val="auto"/>
          <w:highlight w:val="none"/>
        </w:rPr>
      </w:pPr>
    </w:p>
    <w:p>
      <w:pPr>
        <w:spacing w:line="360" w:lineRule="exact"/>
        <w:jc w:val="left"/>
        <w:rPr>
          <w:rFonts w:hint="eastAsia" w:ascii="宋体" w:hAnsi="宋体" w:cs="宋体"/>
          <w:b/>
          <w:bCs/>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b/>
          <w:color w:val="auto"/>
          <w:sz w:val="22"/>
          <w:szCs w:val="22"/>
          <w:highlight w:val="none"/>
        </w:rPr>
        <w:t>附件八</w:t>
      </w:r>
    </w:p>
    <w:p>
      <w:pPr>
        <w:tabs>
          <w:tab w:val="left" w:pos="1080"/>
        </w:tabs>
        <w:autoSpaceDE w:val="0"/>
        <w:autoSpaceDN w:val="0"/>
        <w:adjustRightInd w:val="0"/>
        <w:spacing w:line="440" w:lineRule="atLeast"/>
        <w:jc w:val="center"/>
        <w:rPr>
          <w:rFonts w:hint="eastAsia" w:ascii="宋体" w:hAnsi="宋体" w:cs="宋体"/>
          <w:b/>
          <w:color w:val="auto"/>
          <w:sz w:val="32"/>
          <w:szCs w:val="32"/>
          <w:highlight w:val="none"/>
          <w:lang w:val="zh-CN"/>
        </w:rPr>
      </w:pPr>
      <w:r>
        <w:rPr>
          <w:rFonts w:hint="eastAsia" w:ascii="宋体" w:hAnsi="宋体" w:cs="宋体"/>
          <w:b/>
          <w:color w:val="auto"/>
          <w:sz w:val="32"/>
          <w:szCs w:val="32"/>
          <w:highlight w:val="none"/>
          <w:lang w:val="zh-CN"/>
        </w:rPr>
        <w:t>类似业绩（时间以签订的时间为准）</w:t>
      </w:r>
    </w:p>
    <w:p>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项目名称：                                              项目编号：</w:t>
      </w:r>
    </w:p>
    <w:tbl>
      <w:tblPr>
        <w:tblStyle w:val="45"/>
        <w:tblW w:w="93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5"/>
        <w:gridCol w:w="1299"/>
        <w:gridCol w:w="1355"/>
        <w:gridCol w:w="1296"/>
        <w:gridCol w:w="1064"/>
        <w:gridCol w:w="1271"/>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cs="宋体"/>
                <w:caps/>
                <w:color w:val="auto"/>
                <w:spacing w:val="20"/>
                <w:sz w:val="22"/>
                <w:highlight w:val="none"/>
              </w:rPr>
            </w:pPr>
            <w:r>
              <w:rPr>
                <w:rFonts w:hint="eastAsia" w:ascii="宋体" w:hAnsi="宋体" w:cs="宋体"/>
                <w:caps/>
                <w:color w:val="auto"/>
                <w:spacing w:val="20"/>
                <w:sz w:val="22"/>
                <w:szCs w:val="22"/>
                <w:highlight w:val="none"/>
              </w:rPr>
              <w:t>序号</w:t>
            </w:r>
          </w:p>
        </w:tc>
        <w:tc>
          <w:tcPr>
            <w:tcW w:w="128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r>
              <w:rPr>
                <w:rFonts w:hint="eastAsia" w:ascii="宋体" w:hAnsi="宋体" w:cs="宋体"/>
                <w:color w:val="auto"/>
                <w:spacing w:val="20"/>
                <w:sz w:val="22"/>
                <w:szCs w:val="22"/>
                <w:highlight w:val="none"/>
              </w:rPr>
              <w:t>采购单位</w:t>
            </w:r>
          </w:p>
        </w:tc>
        <w:tc>
          <w:tcPr>
            <w:tcW w:w="1299" w:type="dxa"/>
            <w:vAlign w:val="center"/>
          </w:tcPr>
          <w:p>
            <w:pPr>
              <w:tabs>
                <w:tab w:val="left" w:pos="4140"/>
              </w:tabs>
              <w:adjustRightInd w:val="0"/>
              <w:snapToGrid w:val="0"/>
              <w:spacing w:line="320" w:lineRule="atLeast"/>
              <w:jc w:val="center"/>
              <w:rPr>
                <w:rFonts w:hint="eastAsia" w:ascii="宋体" w:hAnsi="宋体" w:cs="宋体"/>
                <w:caps/>
                <w:color w:val="auto"/>
                <w:spacing w:val="20"/>
                <w:sz w:val="22"/>
                <w:highlight w:val="none"/>
              </w:rPr>
            </w:pPr>
            <w:r>
              <w:rPr>
                <w:rFonts w:hint="eastAsia" w:ascii="宋体" w:hAnsi="宋体" w:cs="宋体"/>
                <w:caps/>
                <w:color w:val="auto"/>
                <w:spacing w:val="20"/>
                <w:sz w:val="22"/>
                <w:szCs w:val="22"/>
                <w:highlight w:val="none"/>
              </w:rPr>
              <w:t>项目名称</w:t>
            </w:r>
          </w:p>
        </w:tc>
        <w:tc>
          <w:tcPr>
            <w:tcW w:w="1355" w:type="dxa"/>
            <w:vAlign w:val="center"/>
          </w:tcPr>
          <w:p>
            <w:pPr>
              <w:tabs>
                <w:tab w:val="left" w:pos="4140"/>
              </w:tabs>
              <w:adjustRightInd w:val="0"/>
              <w:snapToGrid w:val="0"/>
              <w:spacing w:line="320" w:lineRule="atLeast"/>
              <w:jc w:val="center"/>
              <w:rPr>
                <w:rFonts w:hint="eastAsia" w:ascii="宋体" w:hAnsi="宋体" w:cs="宋体"/>
                <w:caps/>
                <w:color w:val="auto"/>
                <w:spacing w:val="20"/>
                <w:sz w:val="22"/>
                <w:highlight w:val="none"/>
              </w:rPr>
            </w:pPr>
            <w:r>
              <w:rPr>
                <w:rFonts w:hint="eastAsia" w:ascii="宋体" w:hAnsi="宋体" w:cs="宋体"/>
                <w:caps/>
                <w:color w:val="auto"/>
                <w:spacing w:val="20"/>
                <w:sz w:val="22"/>
                <w:szCs w:val="22"/>
                <w:highlight w:val="none"/>
              </w:rPr>
              <w:t>合同金额</w:t>
            </w:r>
          </w:p>
        </w:tc>
        <w:tc>
          <w:tcPr>
            <w:tcW w:w="129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r>
              <w:rPr>
                <w:rFonts w:hint="eastAsia" w:ascii="宋体" w:hAnsi="宋体" w:cs="宋体"/>
                <w:color w:val="auto"/>
                <w:spacing w:val="20"/>
                <w:sz w:val="22"/>
                <w:szCs w:val="22"/>
                <w:highlight w:val="none"/>
              </w:rPr>
              <w:t>签约日期</w:t>
            </w: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r>
              <w:rPr>
                <w:rFonts w:hint="eastAsia" w:ascii="宋体" w:hAnsi="宋体" w:cs="宋体"/>
                <w:color w:val="auto"/>
                <w:spacing w:val="20"/>
                <w:sz w:val="22"/>
                <w:szCs w:val="22"/>
                <w:highlight w:val="none"/>
              </w:rPr>
              <w:t>联系人</w:t>
            </w:r>
          </w:p>
        </w:tc>
        <w:tc>
          <w:tcPr>
            <w:tcW w:w="1271"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r>
              <w:rPr>
                <w:rFonts w:hint="eastAsia" w:ascii="宋体" w:hAnsi="宋体" w:cs="宋体"/>
                <w:color w:val="auto"/>
                <w:spacing w:val="20"/>
                <w:sz w:val="22"/>
                <w:szCs w:val="22"/>
                <w:highlight w:val="none"/>
              </w:rPr>
              <w:t>联系电话</w:t>
            </w: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r>
              <w:rPr>
                <w:rFonts w:hint="eastAsia" w:ascii="宋体" w:hAnsi="宋体" w:cs="宋体"/>
                <w:color w:val="auto"/>
                <w:spacing w:val="2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bl>
    <w:p>
      <w:pPr>
        <w:spacing w:line="460" w:lineRule="exact"/>
        <w:ind w:left="755" w:hanging="754" w:hangingChars="343"/>
        <w:rPr>
          <w:rFonts w:hint="eastAsia" w:ascii="宋体" w:hAnsi="宋体" w:cs="宋体"/>
          <w:bCs/>
          <w:color w:val="auto"/>
          <w:sz w:val="22"/>
          <w:szCs w:val="22"/>
          <w:highlight w:val="none"/>
        </w:rPr>
      </w:pPr>
      <w:r>
        <w:rPr>
          <w:rFonts w:hint="eastAsia" w:ascii="宋体" w:hAnsi="宋体" w:cs="宋体"/>
          <w:color w:val="auto"/>
          <w:sz w:val="22"/>
          <w:szCs w:val="22"/>
          <w:highlight w:val="none"/>
        </w:rPr>
        <w:t>注：投标供应商可按此表格式复制,需后附合同扫描件加盖公章。</w:t>
      </w:r>
    </w:p>
    <w:p>
      <w:pPr>
        <w:spacing w:line="460" w:lineRule="exact"/>
        <w:ind w:left="755" w:hanging="754" w:hangingChars="343"/>
        <w:rPr>
          <w:rFonts w:hint="eastAsia" w:ascii="宋体" w:hAnsi="宋体" w:cs="宋体"/>
          <w:bCs/>
          <w:color w:val="auto"/>
          <w:sz w:val="22"/>
          <w:szCs w:val="22"/>
          <w:highlight w:val="none"/>
        </w:rPr>
      </w:pPr>
    </w:p>
    <w:p>
      <w:pPr>
        <w:spacing w:line="44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pPr>
        <w:autoSpaceDE w:val="0"/>
        <w:autoSpaceDN w:val="0"/>
        <w:adjustRightInd w:val="0"/>
        <w:spacing w:line="46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p>
    <w:p>
      <w:pPr>
        <w:autoSpaceDE w:val="0"/>
        <w:autoSpaceDN w:val="0"/>
        <w:adjustRightInd w:val="0"/>
        <w:spacing w:line="460" w:lineRule="atLeast"/>
        <w:rPr>
          <w:rFonts w:hint="eastAsia" w:ascii="宋体" w:hAnsi="宋体" w:cs="宋体"/>
          <w:color w:val="auto"/>
          <w:sz w:val="22"/>
          <w:highlight w:val="none"/>
        </w:rPr>
      </w:pPr>
    </w:p>
    <w:p>
      <w:pPr>
        <w:autoSpaceDE w:val="0"/>
        <w:autoSpaceDN w:val="0"/>
        <w:adjustRightInd w:val="0"/>
        <w:spacing w:line="460" w:lineRule="atLeast"/>
        <w:rPr>
          <w:rFonts w:hint="eastAsia" w:ascii="宋体" w:hAnsi="宋体" w:cs="宋体"/>
          <w:color w:val="auto"/>
          <w:sz w:val="22"/>
          <w:highlight w:val="none"/>
        </w:rPr>
      </w:pPr>
    </w:p>
    <w:p>
      <w:pPr>
        <w:pStyle w:val="42"/>
        <w:rPr>
          <w:rFonts w:hint="eastAsia" w:ascii="宋体" w:hAnsi="宋体" w:cs="宋体"/>
          <w:color w:val="auto"/>
          <w:highlight w:val="none"/>
        </w:rPr>
      </w:pPr>
      <w:bookmarkStart w:id="235" w:name="_Toc493530220"/>
    </w:p>
    <w:p>
      <w:pPr>
        <w:rPr>
          <w:rFonts w:hint="eastAsia" w:ascii="宋体" w:hAnsi="宋体" w:cs="宋体"/>
          <w:color w:val="auto"/>
          <w:highlight w:val="none"/>
        </w:rPr>
      </w:pPr>
    </w:p>
    <w:bookmarkEnd w:id="235"/>
    <w:p>
      <w:pPr>
        <w:rPr>
          <w:rFonts w:hint="eastAsia" w:ascii="宋体" w:hAnsi="宋体" w:cs="宋体"/>
          <w:b/>
          <w:color w:val="auto"/>
          <w:sz w:val="22"/>
          <w:szCs w:val="22"/>
          <w:highlight w:val="none"/>
        </w:rPr>
      </w:pPr>
      <w:r>
        <w:rPr>
          <w:rFonts w:hint="eastAsia" w:ascii="宋体" w:hAnsi="宋体" w:cs="宋体"/>
          <w:b/>
          <w:color w:val="auto"/>
          <w:sz w:val="22"/>
          <w:szCs w:val="22"/>
          <w:highlight w:val="none"/>
        </w:rPr>
        <w:br w:type="page"/>
      </w:r>
    </w:p>
    <w:p>
      <w:pPr>
        <w:widowControl/>
        <w:jc w:val="left"/>
        <w:rPr>
          <w:rFonts w:hint="eastAsia" w:ascii="宋体" w:hAnsi="宋体" w:cs="宋体"/>
          <w:b/>
          <w:bCs/>
          <w:color w:val="auto"/>
          <w:sz w:val="22"/>
          <w:szCs w:val="22"/>
          <w:highlight w:val="none"/>
        </w:rPr>
      </w:pPr>
      <w:r>
        <w:rPr>
          <w:rFonts w:hint="eastAsia" w:ascii="宋体" w:hAnsi="宋体" w:cs="宋体"/>
          <w:b/>
          <w:color w:val="auto"/>
          <w:sz w:val="22"/>
          <w:szCs w:val="22"/>
          <w:highlight w:val="none"/>
        </w:rPr>
        <w:t>附件九</w:t>
      </w:r>
    </w:p>
    <w:p>
      <w:pPr>
        <w:pStyle w:val="42"/>
        <w:rPr>
          <w:rFonts w:hint="eastAsia" w:ascii="宋体" w:hAnsi="宋体" w:cs="宋体"/>
          <w:color w:val="auto"/>
          <w:highlight w:val="none"/>
        </w:rPr>
      </w:pPr>
      <w:r>
        <w:rPr>
          <w:rFonts w:hint="eastAsia" w:ascii="宋体" w:hAnsi="宋体" w:cs="宋体"/>
          <w:color w:val="auto"/>
          <w:highlight w:val="none"/>
        </w:rPr>
        <w:t>商务、技术偏离表</w:t>
      </w:r>
    </w:p>
    <w:p>
      <w:pPr>
        <w:spacing w:line="560" w:lineRule="exact"/>
        <w:ind w:firstLine="431" w:firstLineChars="196"/>
        <w:rPr>
          <w:rFonts w:hint="eastAsia" w:ascii="宋体" w:hAnsi="宋体" w:cs="宋体"/>
          <w:bCs/>
          <w:color w:val="auto"/>
          <w:sz w:val="22"/>
          <w:szCs w:val="22"/>
          <w:highlight w:val="none"/>
        </w:rPr>
      </w:pPr>
      <w:r>
        <w:rPr>
          <w:rFonts w:hint="eastAsia" w:ascii="宋体" w:hAnsi="宋体" w:cs="宋体"/>
          <w:color w:val="auto"/>
          <w:sz w:val="22"/>
          <w:szCs w:val="22"/>
          <w:highlight w:val="none"/>
        </w:rPr>
        <w:t>项目名称：                                       项目编号：</w:t>
      </w:r>
    </w:p>
    <w:tbl>
      <w:tblPr>
        <w:tblStyle w:val="4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34"/>
        <w:gridCol w:w="2743"/>
        <w:gridCol w:w="302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68"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内   容</w:t>
            </w:r>
          </w:p>
        </w:tc>
        <w:tc>
          <w:tcPr>
            <w:tcW w:w="1434"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招标文件</w:t>
            </w:r>
          </w:p>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条目</w:t>
            </w:r>
          </w:p>
        </w:tc>
        <w:tc>
          <w:tcPr>
            <w:tcW w:w="2743"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招标文件</w:t>
            </w:r>
          </w:p>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规格要求</w:t>
            </w:r>
          </w:p>
        </w:tc>
        <w:tc>
          <w:tcPr>
            <w:tcW w:w="3023"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w:t>
            </w:r>
          </w:p>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对应规格</w:t>
            </w:r>
          </w:p>
        </w:tc>
        <w:tc>
          <w:tcPr>
            <w:tcW w:w="1260" w:type="dxa"/>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技术偏离</w:t>
            </w:r>
          </w:p>
        </w:tc>
        <w:tc>
          <w:tcPr>
            <w:tcW w:w="1434" w:type="dxa"/>
            <w:vAlign w:val="center"/>
          </w:tcPr>
          <w:p>
            <w:pPr>
              <w:jc w:val="center"/>
              <w:rPr>
                <w:rFonts w:hint="eastAsia" w:ascii="宋体" w:hAnsi="宋体" w:cs="宋体"/>
                <w:color w:val="auto"/>
                <w:sz w:val="22"/>
                <w:szCs w:val="22"/>
                <w:highlight w:val="none"/>
              </w:rPr>
            </w:pPr>
          </w:p>
        </w:tc>
        <w:tc>
          <w:tcPr>
            <w:tcW w:w="2743" w:type="dxa"/>
            <w:vAlign w:val="center"/>
          </w:tcPr>
          <w:p>
            <w:pPr>
              <w:jc w:val="center"/>
              <w:rPr>
                <w:rFonts w:hint="eastAsia" w:ascii="宋体" w:hAnsi="宋体" w:cs="宋体"/>
                <w:color w:val="auto"/>
                <w:sz w:val="22"/>
                <w:szCs w:val="22"/>
                <w:highlight w:val="none"/>
              </w:rPr>
            </w:pPr>
          </w:p>
        </w:tc>
        <w:tc>
          <w:tcPr>
            <w:tcW w:w="3023" w:type="dxa"/>
            <w:vAlign w:val="center"/>
          </w:tcPr>
          <w:p>
            <w:pPr>
              <w:jc w:val="center"/>
              <w:rPr>
                <w:rFonts w:hint="eastAsia" w:ascii="宋体" w:hAnsi="宋体" w:cs="宋体"/>
                <w:color w:val="auto"/>
                <w:sz w:val="22"/>
                <w:szCs w:val="22"/>
                <w:highlight w:val="none"/>
              </w:rPr>
            </w:pPr>
          </w:p>
        </w:tc>
        <w:tc>
          <w:tcPr>
            <w:tcW w:w="1260" w:type="dxa"/>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cs="宋体"/>
                <w:color w:val="auto"/>
                <w:sz w:val="22"/>
                <w:szCs w:val="22"/>
                <w:highlight w:val="none"/>
              </w:rPr>
            </w:pPr>
          </w:p>
        </w:tc>
        <w:tc>
          <w:tcPr>
            <w:tcW w:w="1434" w:type="dxa"/>
            <w:vAlign w:val="center"/>
          </w:tcPr>
          <w:p>
            <w:pPr>
              <w:jc w:val="center"/>
              <w:rPr>
                <w:rFonts w:hint="eastAsia" w:ascii="宋体" w:hAnsi="宋体" w:cs="宋体"/>
                <w:color w:val="auto"/>
                <w:sz w:val="22"/>
                <w:szCs w:val="22"/>
                <w:highlight w:val="none"/>
              </w:rPr>
            </w:pPr>
          </w:p>
        </w:tc>
        <w:tc>
          <w:tcPr>
            <w:tcW w:w="2743" w:type="dxa"/>
            <w:vAlign w:val="center"/>
          </w:tcPr>
          <w:p>
            <w:pPr>
              <w:jc w:val="center"/>
              <w:rPr>
                <w:rFonts w:hint="eastAsia" w:ascii="宋体" w:hAnsi="宋体" w:cs="宋体"/>
                <w:color w:val="auto"/>
                <w:sz w:val="22"/>
                <w:szCs w:val="22"/>
                <w:highlight w:val="none"/>
              </w:rPr>
            </w:pPr>
          </w:p>
        </w:tc>
        <w:tc>
          <w:tcPr>
            <w:tcW w:w="3023" w:type="dxa"/>
            <w:vAlign w:val="center"/>
          </w:tcPr>
          <w:p>
            <w:pPr>
              <w:jc w:val="center"/>
              <w:rPr>
                <w:rFonts w:hint="eastAsia" w:ascii="宋体" w:hAnsi="宋体" w:cs="宋体"/>
                <w:color w:val="auto"/>
                <w:sz w:val="22"/>
                <w:szCs w:val="22"/>
                <w:highlight w:val="none"/>
              </w:rPr>
            </w:pPr>
          </w:p>
        </w:tc>
        <w:tc>
          <w:tcPr>
            <w:tcW w:w="1260" w:type="dxa"/>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cs="宋体"/>
                <w:color w:val="auto"/>
                <w:sz w:val="22"/>
                <w:szCs w:val="22"/>
                <w:highlight w:val="none"/>
              </w:rPr>
            </w:pPr>
          </w:p>
        </w:tc>
        <w:tc>
          <w:tcPr>
            <w:tcW w:w="1434" w:type="dxa"/>
            <w:vAlign w:val="center"/>
          </w:tcPr>
          <w:p>
            <w:pPr>
              <w:jc w:val="center"/>
              <w:rPr>
                <w:rFonts w:hint="eastAsia" w:ascii="宋体" w:hAnsi="宋体" w:cs="宋体"/>
                <w:color w:val="auto"/>
                <w:sz w:val="22"/>
                <w:szCs w:val="22"/>
                <w:highlight w:val="none"/>
              </w:rPr>
            </w:pPr>
          </w:p>
        </w:tc>
        <w:tc>
          <w:tcPr>
            <w:tcW w:w="2743" w:type="dxa"/>
            <w:vAlign w:val="center"/>
          </w:tcPr>
          <w:p>
            <w:pPr>
              <w:jc w:val="center"/>
              <w:rPr>
                <w:rFonts w:hint="eastAsia" w:ascii="宋体" w:hAnsi="宋体" w:cs="宋体"/>
                <w:color w:val="auto"/>
                <w:sz w:val="22"/>
                <w:szCs w:val="22"/>
                <w:highlight w:val="none"/>
              </w:rPr>
            </w:pPr>
          </w:p>
        </w:tc>
        <w:tc>
          <w:tcPr>
            <w:tcW w:w="3023" w:type="dxa"/>
            <w:vAlign w:val="center"/>
          </w:tcPr>
          <w:p>
            <w:pPr>
              <w:jc w:val="center"/>
              <w:rPr>
                <w:rFonts w:hint="eastAsia" w:ascii="宋体" w:hAnsi="宋体" w:cs="宋体"/>
                <w:color w:val="auto"/>
                <w:sz w:val="22"/>
                <w:szCs w:val="22"/>
                <w:highlight w:val="none"/>
              </w:rPr>
            </w:pPr>
          </w:p>
        </w:tc>
        <w:tc>
          <w:tcPr>
            <w:tcW w:w="1260" w:type="dxa"/>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cs="宋体"/>
                <w:color w:val="auto"/>
                <w:sz w:val="22"/>
                <w:szCs w:val="22"/>
                <w:highlight w:val="none"/>
              </w:rPr>
            </w:pPr>
          </w:p>
        </w:tc>
        <w:tc>
          <w:tcPr>
            <w:tcW w:w="1434" w:type="dxa"/>
            <w:vAlign w:val="center"/>
          </w:tcPr>
          <w:p>
            <w:pPr>
              <w:jc w:val="center"/>
              <w:rPr>
                <w:rFonts w:hint="eastAsia" w:ascii="宋体" w:hAnsi="宋体" w:cs="宋体"/>
                <w:color w:val="auto"/>
                <w:sz w:val="22"/>
                <w:szCs w:val="22"/>
                <w:highlight w:val="none"/>
              </w:rPr>
            </w:pPr>
          </w:p>
        </w:tc>
        <w:tc>
          <w:tcPr>
            <w:tcW w:w="2743" w:type="dxa"/>
            <w:vAlign w:val="center"/>
          </w:tcPr>
          <w:p>
            <w:pPr>
              <w:jc w:val="center"/>
              <w:rPr>
                <w:rFonts w:hint="eastAsia" w:ascii="宋体" w:hAnsi="宋体" w:cs="宋体"/>
                <w:color w:val="auto"/>
                <w:sz w:val="22"/>
                <w:szCs w:val="22"/>
                <w:highlight w:val="none"/>
              </w:rPr>
            </w:pPr>
          </w:p>
        </w:tc>
        <w:tc>
          <w:tcPr>
            <w:tcW w:w="3023" w:type="dxa"/>
            <w:vAlign w:val="center"/>
          </w:tcPr>
          <w:p>
            <w:pPr>
              <w:jc w:val="center"/>
              <w:rPr>
                <w:rFonts w:hint="eastAsia" w:ascii="宋体" w:hAnsi="宋体" w:cs="宋体"/>
                <w:color w:val="auto"/>
                <w:sz w:val="22"/>
                <w:szCs w:val="22"/>
                <w:highlight w:val="none"/>
              </w:rPr>
            </w:pPr>
          </w:p>
        </w:tc>
        <w:tc>
          <w:tcPr>
            <w:tcW w:w="1260" w:type="dxa"/>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cs="宋体"/>
                <w:color w:val="auto"/>
                <w:sz w:val="22"/>
                <w:szCs w:val="22"/>
                <w:highlight w:val="none"/>
              </w:rPr>
            </w:pPr>
          </w:p>
        </w:tc>
        <w:tc>
          <w:tcPr>
            <w:tcW w:w="1434" w:type="dxa"/>
            <w:vAlign w:val="center"/>
          </w:tcPr>
          <w:p>
            <w:pPr>
              <w:jc w:val="center"/>
              <w:rPr>
                <w:rFonts w:hint="eastAsia" w:ascii="宋体" w:hAnsi="宋体" w:cs="宋体"/>
                <w:color w:val="auto"/>
                <w:sz w:val="22"/>
                <w:szCs w:val="22"/>
                <w:highlight w:val="none"/>
              </w:rPr>
            </w:pPr>
          </w:p>
        </w:tc>
        <w:tc>
          <w:tcPr>
            <w:tcW w:w="2743" w:type="dxa"/>
            <w:vAlign w:val="center"/>
          </w:tcPr>
          <w:p>
            <w:pPr>
              <w:jc w:val="center"/>
              <w:rPr>
                <w:rFonts w:hint="eastAsia" w:ascii="宋体" w:hAnsi="宋体" w:cs="宋体"/>
                <w:color w:val="auto"/>
                <w:sz w:val="22"/>
                <w:szCs w:val="22"/>
                <w:highlight w:val="none"/>
              </w:rPr>
            </w:pPr>
          </w:p>
        </w:tc>
        <w:tc>
          <w:tcPr>
            <w:tcW w:w="3023" w:type="dxa"/>
            <w:vAlign w:val="center"/>
          </w:tcPr>
          <w:p>
            <w:pPr>
              <w:jc w:val="center"/>
              <w:rPr>
                <w:rFonts w:hint="eastAsia" w:ascii="宋体" w:hAnsi="宋体" w:cs="宋体"/>
                <w:color w:val="auto"/>
                <w:sz w:val="22"/>
                <w:szCs w:val="22"/>
                <w:highlight w:val="none"/>
              </w:rPr>
            </w:pPr>
          </w:p>
        </w:tc>
        <w:tc>
          <w:tcPr>
            <w:tcW w:w="1260" w:type="dxa"/>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商务偏离</w:t>
            </w:r>
          </w:p>
        </w:tc>
        <w:tc>
          <w:tcPr>
            <w:tcW w:w="1434" w:type="dxa"/>
            <w:vAlign w:val="center"/>
          </w:tcPr>
          <w:p>
            <w:pPr>
              <w:jc w:val="center"/>
              <w:rPr>
                <w:rFonts w:hint="eastAsia" w:ascii="宋体" w:hAnsi="宋体" w:cs="宋体"/>
                <w:color w:val="auto"/>
                <w:sz w:val="22"/>
                <w:szCs w:val="22"/>
                <w:highlight w:val="none"/>
              </w:rPr>
            </w:pPr>
          </w:p>
        </w:tc>
        <w:tc>
          <w:tcPr>
            <w:tcW w:w="2743" w:type="dxa"/>
            <w:vAlign w:val="center"/>
          </w:tcPr>
          <w:p>
            <w:pPr>
              <w:jc w:val="center"/>
              <w:rPr>
                <w:rFonts w:hint="eastAsia" w:ascii="宋体" w:hAnsi="宋体" w:cs="宋体"/>
                <w:color w:val="auto"/>
                <w:sz w:val="22"/>
                <w:szCs w:val="22"/>
                <w:highlight w:val="none"/>
              </w:rPr>
            </w:pPr>
          </w:p>
        </w:tc>
        <w:tc>
          <w:tcPr>
            <w:tcW w:w="3023" w:type="dxa"/>
            <w:vAlign w:val="center"/>
          </w:tcPr>
          <w:p>
            <w:pPr>
              <w:jc w:val="center"/>
              <w:rPr>
                <w:rFonts w:hint="eastAsia" w:ascii="宋体" w:hAnsi="宋体" w:cs="宋体"/>
                <w:color w:val="auto"/>
                <w:sz w:val="22"/>
                <w:szCs w:val="22"/>
                <w:highlight w:val="none"/>
              </w:rPr>
            </w:pPr>
          </w:p>
        </w:tc>
        <w:tc>
          <w:tcPr>
            <w:tcW w:w="1260" w:type="dxa"/>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cs="宋体"/>
                <w:color w:val="auto"/>
                <w:sz w:val="22"/>
                <w:szCs w:val="22"/>
                <w:highlight w:val="none"/>
              </w:rPr>
            </w:pPr>
          </w:p>
        </w:tc>
        <w:tc>
          <w:tcPr>
            <w:tcW w:w="1434" w:type="dxa"/>
            <w:vAlign w:val="center"/>
          </w:tcPr>
          <w:p>
            <w:pPr>
              <w:jc w:val="center"/>
              <w:rPr>
                <w:rFonts w:hint="eastAsia" w:ascii="宋体" w:hAnsi="宋体" w:cs="宋体"/>
                <w:color w:val="auto"/>
                <w:sz w:val="22"/>
                <w:szCs w:val="22"/>
                <w:highlight w:val="none"/>
              </w:rPr>
            </w:pPr>
          </w:p>
        </w:tc>
        <w:tc>
          <w:tcPr>
            <w:tcW w:w="2743" w:type="dxa"/>
            <w:vAlign w:val="center"/>
          </w:tcPr>
          <w:p>
            <w:pPr>
              <w:jc w:val="center"/>
              <w:rPr>
                <w:rFonts w:hint="eastAsia" w:ascii="宋体" w:hAnsi="宋体" w:cs="宋体"/>
                <w:color w:val="auto"/>
                <w:sz w:val="22"/>
                <w:szCs w:val="22"/>
                <w:highlight w:val="none"/>
              </w:rPr>
            </w:pPr>
          </w:p>
        </w:tc>
        <w:tc>
          <w:tcPr>
            <w:tcW w:w="3023" w:type="dxa"/>
            <w:vAlign w:val="center"/>
          </w:tcPr>
          <w:p>
            <w:pPr>
              <w:jc w:val="center"/>
              <w:rPr>
                <w:rFonts w:hint="eastAsia" w:ascii="宋体" w:hAnsi="宋体" w:cs="宋体"/>
                <w:color w:val="auto"/>
                <w:sz w:val="22"/>
                <w:szCs w:val="22"/>
                <w:highlight w:val="none"/>
              </w:rPr>
            </w:pPr>
          </w:p>
        </w:tc>
        <w:tc>
          <w:tcPr>
            <w:tcW w:w="1260" w:type="dxa"/>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cs="宋体"/>
                <w:color w:val="auto"/>
                <w:sz w:val="22"/>
                <w:szCs w:val="22"/>
                <w:highlight w:val="none"/>
              </w:rPr>
            </w:pPr>
          </w:p>
        </w:tc>
        <w:tc>
          <w:tcPr>
            <w:tcW w:w="1434" w:type="dxa"/>
            <w:vAlign w:val="center"/>
          </w:tcPr>
          <w:p>
            <w:pPr>
              <w:jc w:val="center"/>
              <w:rPr>
                <w:rFonts w:hint="eastAsia" w:ascii="宋体" w:hAnsi="宋体" w:cs="宋体"/>
                <w:color w:val="auto"/>
                <w:sz w:val="22"/>
                <w:szCs w:val="22"/>
                <w:highlight w:val="none"/>
              </w:rPr>
            </w:pPr>
          </w:p>
        </w:tc>
        <w:tc>
          <w:tcPr>
            <w:tcW w:w="2743" w:type="dxa"/>
            <w:vAlign w:val="center"/>
          </w:tcPr>
          <w:p>
            <w:pPr>
              <w:jc w:val="center"/>
              <w:rPr>
                <w:rFonts w:hint="eastAsia" w:ascii="宋体" w:hAnsi="宋体" w:cs="宋体"/>
                <w:color w:val="auto"/>
                <w:sz w:val="22"/>
                <w:szCs w:val="22"/>
                <w:highlight w:val="none"/>
              </w:rPr>
            </w:pPr>
          </w:p>
        </w:tc>
        <w:tc>
          <w:tcPr>
            <w:tcW w:w="3023" w:type="dxa"/>
            <w:vAlign w:val="center"/>
          </w:tcPr>
          <w:p>
            <w:pPr>
              <w:jc w:val="center"/>
              <w:rPr>
                <w:rFonts w:hint="eastAsia" w:ascii="宋体" w:hAnsi="宋体" w:cs="宋体"/>
                <w:color w:val="auto"/>
                <w:sz w:val="22"/>
                <w:szCs w:val="22"/>
                <w:highlight w:val="none"/>
              </w:rPr>
            </w:pPr>
          </w:p>
        </w:tc>
        <w:tc>
          <w:tcPr>
            <w:tcW w:w="1260" w:type="dxa"/>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cs="宋体"/>
                <w:color w:val="auto"/>
                <w:sz w:val="22"/>
                <w:szCs w:val="22"/>
                <w:highlight w:val="none"/>
              </w:rPr>
            </w:pPr>
          </w:p>
        </w:tc>
        <w:tc>
          <w:tcPr>
            <w:tcW w:w="1434" w:type="dxa"/>
            <w:vAlign w:val="center"/>
          </w:tcPr>
          <w:p>
            <w:pPr>
              <w:jc w:val="center"/>
              <w:rPr>
                <w:rFonts w:hint="eastAsia" w:ascii="宋体" w:hAnsi="宋体" w:cs="宋体"/>
                <w:color w:val="auto"/>
                <w:sz w:val="22"/>
                <w:szCs w:val="22"/>
                <w:highlight w:val="none"/>
              </w:rPr>
            </w:pPr>
          </w:p>
        </w:tc>
        <w:tc>
          <w:tcPr>
            <w:tcW w:w="2743" w:type="dxa"/>
            <w:vAlign w:val="center"/>
          </w:tcPr>
          <w:p>
            <w:pPr>
              <w:jc w:val="center"/>
              <w:rPr>
                <w:rFonts w:hint="eastAsia" w:ascii="宋体" w:hAnsi="宋体" w:cs="宋体"/>
                <w:color w:val="auto"/>
                <w:sz w:val="22"/>
                <w:szCs w:val="22"/>
                <w:highlight w:val="none"/>
              </w:rPr>
            </w:pPr>
          </w:p>
        </w:tc>
        <w:tc>
          <w:tcPr>
            <w:tcW w:w="3023" w:type="dxa"/>
            <w:vAlign w:val="center"/>
          </w:tcPr>
          <w:p>
            <w:pPr>
              <w:jc w:val="center"/>
              <w:rPr>
                <w:rFonts w:hint="eastAsia" w:ascii="宋体" w:hAnsi="宋体" w:cs="宋体"/>
                <w:color w:val="auto"/>
                <w:sz w:val="22"/>
                <w:szCs w:val="22"/>
                <w:highlight w:val="none"/>
              </w:rPr>
            </w:pPr>
          </w:p>
        </w:tc>
        <w:tc>
          <w:tcPr>
            <w:tcW w:w="1260" w:type="dxa"/>
            <w:vAlign w:val="center"/>
          </w:tcPr>
          <w:p>
            <w:pPr>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hint="eastAsia" w:ascii="宋体" w:hAnsi="宋体" w:cs="宋体"/>
                <w:color w:val="auto"/>
                <w:sz w:val="22"/>
                <w:szCs w:val="22"/>
                <w:highlight w:val="none"/>
              </w:rPr>
            </w:pPr>
          </w:p>
        </w:tc>
        <w:tc>
          <w:tcPr>
            <w:tcW w:w="1434" w:type="dxa"/>
            <w:vAlign w:val="center"/>
          </w:tcPr>
          <w:p>
            <w:pPr>
              <w:jc w:val="center"/>
              <w:rPr>
                <w:rFonts w:hint="eastAsia" w:ascii="宋体" w:hAnsi="宋体" w:cs="宋体"/>
                <w:color w:val="auto"/>
                <w:sz w:val="22"/>
                <w:szCs w:val="22"/>
                <w:highlight w:val="none"/>
              </w:rPr>
            </w:pPr>
          </w:p>
        </w:tc>
        <w:tc>
          <w:tcPr>
            <w:tcW w:w="2743" w:type="dxa"/>
            <w:vAlign w:val="center"/>
          </w:tcPr>
          <w:p>
            <w:pPr>
              <w:jc w:val="center"/>
              <w:rPr>
                <w:rFonts w:hint="eastAsia" w:ascii="宋体" w:hAnsi="宋体" w:cs="宋体"/>
                <w:color w:val="auto"/>
                <w:sz w:val="22"/>
                <w:szCs w:val="22"/>
                <w:highlight w:val="none"/>
              </w:rPr>
            </w:pPr>
          </w:p>
        </w:tc>
        <w:tc>
          <w:tcPr>
            <w:tcW w:w="3023" w:type="dxa"/>
            <w:vAlign w:val="center"/>
          </w:tcPr>
          <w:p>
            <w:pPr>
              <w:jc w:val="center"/>
              <w:rPr>
                <w:rFonts w:hint="eastAsia" w:ascii="宋体" w:hAnsi="宋体" w:cs="宋体"/>
                <w:color w:val="auto"/>
                <w:sz w:val="22"/>
                <w:szCs w:val="22"/>
                <w:highlight w:val="none"/>
              </w:rPr>
            </w:pPr>
          </w:p>
        </w:tc>
        <w:tc>
          <w:tcPr>
            <w:tcW w:w="1260" w:type="dxa"/>
            <w:vAlign w:val="center"/>
          </w:tcPr>
          <w:p>
            <w:pPr>
              <w:jc w:val="center"/>
              <w:rPr>
                <w:rFonts w:hint="eastAsia" w:ascii="宋体" w:hAnsi="宋体" w:cs="宋体"/>
                <w:color w:val="auto"/>
                <w:sz w:val="22"/>
                <w:szCs w:val="22"/>
                <w:highlight w:val="none"/>
              </w:rPr>
            </w:pPr>
          </w:p>
        </w:tc>
      </w:tr>
    </w:tbl>
    <w:p>
      <w:pPr>
        <w:pStyle w:val="25"/>
        <w:spacing w:line="340" w:lineRule="exact"/>
        <w:rPr>
          <w:rFonts w:hint="eastAsia" w:hAnsi="宋体" w:cs="宋体"/>
          <w:color w:val="auto"/>
          <w:sz w:val="22"/>
          <w:szCs w:val="22"/>
          <w:highlight w:val="none"/>
        </w:rPr>
      </w:pPr>
      <w:r>
        <w:rPr>
          <w:rFonts w:hint="eastAsia" w:hAnsi="宋体" w:cs="宋体"/>
          <w:b/>
          <w:color w:val="auto"/>
          <w:sz w:val="22"/>
          <w:szCs w:val="22"/>
          <w:highlight w:val="none"/>
        </w:rPr>
        <w:t>注：1、偏离表中进行如实填写详细对比说明并注明无偏离、正偏离和负偏离。</w:t>
      </w:r>
    </w:p>
    <w:p>
      <w:pPr>
        <w:pStyle w:val="25"/>
        <w:spacing w:line="340" w:lineRule="exact"/>
        <w:ind w:firstLine="442" w:firstLineChars="200"/>
        <w:rPr>
          <w:rFonts w:hint="eastAsia" w:hAnsi="宋体" w:cs="宋体"/>
          <w:b/>
          <w:bCs/>
          <w:color w:val="auto"/>
          <w:sz w:val="22"/>
          <w:szCs w:val="22"/>
          <w:highlight w:val="none"/>
        </w:rPr>
      </w:pPr>
      <w:r>
        <w:rPr>
          <w:rFonts w:hint="eastAsia" w:hAnsi="宋体" w:cs="宋体"/>
          <w:b/>
          <w:bCs/>
          <w:color w:val="auto"/>
          <w:sz w:val="22"/>
          <w:szCs w:val="22"/>
          <w:highlight w:val="none"/>
        </w:rPr>
        <w:t>2、不填写此表视作完全响应采购文件要求。</w:t>
      </w:r>
    </w:p>
    <w:p>
      <w:pPr>
        <w:pStyle w:val="25"/>
        <w:spacing w:line="340" w:lineRule="exact"/>
        <w:ind w:firstLine="442" w:firstLineChars="200"/>
        <w:rPr>
          <w:rFonts w:hint="eastAsia" w:hAnsi="宋体" w:cs="宋体"/>
          <w:b/>
          <w:bCs/>
          <w:color w:val="auto"/>
          <w:sz w:val="22"/>
          <w:szCs w:val="22"/>
          <w:highlight w:val="none"/>
          <w:u w:val="single"/>
        </w:rPr>
      </w:pPr>
      <w:r>
        <w:rPr>
          <w:rFonts w:hint="eastAsia" w:hAnsi="宋体" w:cs="宋体"/>
          <w:b/>
          <w:bCs/>
          <w:color w:val="auto"/>
          <w:sz w:val="22"/>
          <w:szCs w:val="22"/>
          <w:highlight w:val="none"/>
        </w:rPr>
        <w:t>3、▲</w:t>
      </w:r>
      <w:r>
        <w:rPr>
          <w:rFonts w:hint="eastAsia" w:hAnsi="宋体" w:cs="宋体"/>
          <w:b/>
          <w:bCs/>
          <w:color w:val="auto"/>
          <w:sz w:val="22"/>
          <w:szCs w:val="22"/>
          <w:highlight w:val="none"/>
          <w:u w:val="single"/>
          <w:lang w:val="zh-CN"/>
        </w:rPr>
        <w:t>不提供此表的视为没有实质性响应采购文件,其投标将被拒绝。</w:t>
      </w:r>
    </w:p>
    <w:p>
      <w:pPr>
        <w:pStyle w:val="25"/>
        <w:spacing w:line="340" w:lineRule="exact"/>
        <w:rPr>
          <w:rFonts w:hint="eastAsia" w:hAnsi="宋体" w:cs="宋体"/>
          <w:b/>
          <w:color w:val="auto"/>
          <w:sz w:val="22"/>
          <w:highlight w:val="none"/>
        </w:rPr>
      </w:pPr>
    </w:p>
    <w:p>
      <w:pPr>
        <w:pStyle w:val="25"/>
        <w:spacing w:line="340" w:lineRule="exact"/>
        <w:ind w:left="657" w:leftChars="313" w:firstLine="4196" w:firstLineChars="1900"/>
        <w:rPr>
          <w:rFonts w:hint="eastAsia" w:hAnsi="宋体" w:cs="宋体"/>
          <w:b/>
          <w:color w:val="auto"/>
          <w:sz w:val="22"/>
          <w:highlight w:val="none"/>
        </w:rPr>
      </w:pPr>
    </w:p>
    <w:p>
      <w:pPr>
        <w:pStyle w:val="25"/>
        <w:spacing w:line="360" w:lineRule="auto"/>
        <w:rPr>
          <w:rFonts w:hint="eastAsia" w:hAnsi="宋体" w:cs="宋体"/>
          <w:color w:val="auto"/>
          <w:sz w:val="22"/>
          <w:szCs w:val="22"/>
          <w:highlight w:val="none"/>
        </w:rPr>
      </w:pPr>
      <w:r>
        <w:rPr>
          <w:rFonts w:hint="eastAsia" w:hAnsi="宋体" w:cs="宋体"/>
          <w:color w:val="auto"/>
          <w:sz w:val="22"/>
          <w:szCs w:val="22"/>
          <w:highlight w:val="none"/>
        </w:rPr>
        <w:t>投标供应商全称（盖章）：</w:t>
      </w:r>
    </w:p>
    <w:p>
      <w:pPr>
        <w:pStyle w:val="25"/>
        <w:spacing w:line="360" w:lineRule="auto"/>
        <w:rPr>
          <w:rFonts w:hint="eastAsia" w:hAnsi="宋体" w:cs="宋体"/>
          <w:color w:val="auto"/>
          <w:sz w:val="22"/>
          <w:szCs w:val="22"/>
          <w:highlight w:val="none"/>
        </w:rPr>
        <w:sectPr>
          <w:pgSz w:w="11906" w:h="16838"/>
          <w:pgMar w:top="1134" w:right="1134" w:bottom="1134" w:left="1134" w:header="851" w:footer="850" w:gutter="0"/>
          <w:cols w:space="720" w:num="1"/>
          <w:titlePg/>
          <w:docGrid w:type="lines" w:linePitch="312" w:charSpace="0"/>
        </w:sectPr>
      </w:pPr>
      <w:r>
        <w:rPr>
          <w:rFonts w:hint="eastAsia" w:hAnsi="宋体" w:cs="宋体"/>
          <w:color w:val="auto"/>
          <w:sz w:val="22"/>
          <w:szCs w:val="22"/>
          <w:highlight w:val="none"/>
        </w:rPr>
        <w:t>日 期：       年      月      日</w:t>
      </w:r>
    </w:p>
    <w:p>
      <w:pPr>
        <w:pStyle w:val="42"/>
        <w:jc w:val="left"/>
        <w:rPr>
          <w:rFonts w:hint="eastAsia" w:ascii="宋体" w:hAnsi="宋体" w:cs="宋体"/>
          <w:b w:val="0"/>
          <w:bCs w:val="0"/>
          <w:color w:val="auto"/>
          <w:kern w:val="0"/>
          <w:sz w:val="22"/>
          <w:szCs w:val="22"/>
          <w:highlight w:val="none"/>
        </w:rPr>
      </w:pPr>
      <w:bookmarkStart w:id="236" w:name="_Toc5132"/>
      <w:r>
        <w:rPr>
          <w:rFonts w:hint="eastAsia" w:ascii="宋体" w:hAnsi="宋体" w:cs="宋体"/>
          <w:b w:val="0"/>
          <w:bCs w:val="0"/>
          <w:color w:val="auto"/>
          <w:kern w:val="0"/>
          <w:sz w:val="22"/>
          <w:szCs w:val="22"/>
          <w:highlight w:val="none"/>
        </w:rPr>
        <w:t>附件十</w:t>
      </w:r>
    </w:p>
    <w:p>
      <w:pPr>
        <w:spacing w:after="240" w:line="360" w:lineRule="exact"/>
        <w:jc w:val="center"/>
        <w:rPr>
          <w:rFonts w:hint="eastAsia" w:asciiTheme="majorEastAsia" w:hAnsiTheme="majorEastAsia" w:eastAsiaTheme="majorEastAsia"/>
          <w:b/>
          <w:bCs/>
          <w:color w:val="auto"/>
          <w:sz w:val="32"/>
          <w:szCs w:val="32"/>
          <w:highlight w:val="none"/>
        </w:rPr>
      </w:pPr>
      <w:r>
        <w:rPr>
          <w:rFonts w:hint="eastAsia" w:asciiTheme="majorEastAsia" w:hAnsiTheme="majorEastAsia" w:eastAsiaTheme="majorEastAsia"/>
          <w:b/>
          <w:bCs/>
          <w:color w:val="auto"/>
          <w:sz w:val="32"/>
          <w:szCs w:val="32"/>
          <w:highlight w:val="none"/>
        </w:rPr>
        <w:t>（1）项目负责人情况表</w:t>
      </w:r>
    </w:p>
    <w:p>
      <w:pPr>
        <w:spacing w:line="360" w:lineRule="exact"/>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项目名称：                                         项目编号：</w:t>
      </w:r>
    </w:p>
    <w:tbl>
      <w:tblPr>
        <w:tblStyle w:val="4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pPr>
              <w:spacing w:line="360" w:lineRule="exact"/>
              <w:jc w:val="center"/>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姓   名</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年  龄</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学  历</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毕业学校</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ajorEastAsia" w:hAnsiTheme="majorEastAsia" w:eastAsiaTheme="majorEastAsia"/>
                <w:color w:val="auto"/>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专  业</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职  务</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职  称</w:t>
            </w:r>
          </w:p>
          <w:p>
            <w:pPr>
              <w:spacing w:line="260" w:lineRule="exact"/>
              <w:jc w:val="center"/>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（或资格）</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ajorEastAsia" w:hAnsiTheme="majorEastAsia" w:eastAsiaTheme="majorEastAsia"/>
                <w:color w:val="auto"/>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拟任何职</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参加工作</w:t>
            </w:r>
          </w:p>
          <w:p>
            <w:pPr>
              <w:spacing w:line="280" w:lineRule="exact"/>
              <w:jc w:val="center"/>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时间</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360" w:lineRule="exact"/>
              <w:jc w:val="center"/>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时  间</w:t>
            </w: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hint="eastAsia" w:asciiTheme="majorEastAsia" w:hAnsiTheme="majorEastAsia" w:eastAsiaTheme="majorEastAsia"/>
                <w:color w:val="auto"/>
                <w:highlight w:val="none"/>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hint="eastAsia" w:asciiTheme="majorEastAsia" w:hAnsiTheme="majorEastAsia" w:eastAsiaTheme="majorEastAsia"/>
                <w:color w:val="auto"/>
                <w:highlight w:val="none"/>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360" w:lineRule="exact"/>
              <w:jc w:val="center"/>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3、负责类似项目业绩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Theme="majorEastAsia" w:hAnsiTheme="majorEastAsia" w:eastAsiaTheme="majorEastAsia"/>
                <w:color w:val="auto"/>
                <w:highlight w:val="none"/>
              </w:rPr>
            </w:pPr>
            <w:r>
              <w:rPr>
                <w:rFonts w:hint="eastAsia" w:asciiTheme="majorEastAsia" w:hAnsiTheme="majorEastAsia" w:eastAsiaTheme="majorEastAsia"/>
                <w:color w:val="auto"/>
                <w:highlight w:val="none"/>
              </w:rPr>
              <w:t>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hint="eastAsia" w:asciiTheme="majorEastAsia" w:hAnsiTheme="majorEastAsia" w:eastAsiaTheme="majorEastAsia"/>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ajorEastAsia" w:hAnsiTheme="majorEastAsia" w:eastAsiaTheme="majorEastAsia"/>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hint="eastAsia" w:asciiTheme="majorEastAsia" w:hAnsiTheme="majorEastAsia" w:eastAsiaTheme="majorEastAsia"/>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ajorEastAsia" w:hAnsiTheme="majorEastAsia" w:eastAsiaTheme="majorEastAsia"/>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hint="eastAsia" w:asciiTheme="majorEastAsia" w:hAnsiTheme="majorEastAsia" w:eastAsiaTheme="majorEastAsia"/>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ajorEastAsia" w:hAnsiTheme="majorEastAsia" w:eastAsiaTheme="majorEastAsia"/>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hint="eastAsia" w:asciiTheme="majorEastAsia" w:hAnsiTheme="majorEastAsia" w:eastAsiaTheme="majorEastAsia"/>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ajorEastAsia" w:hAnsiTheme="majorEastAsia" w:eastAsiaTheme="majorEastAsia"/>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hint="eastAsia" w:asciiTheme="majorEastAsia" w:hAnsiTheme="majorEastAsia" w:eastAsiaTheme="majorEastAsia"/>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ajorEastAsia" w:hAnsiTheme="majorEastAsia" w:eastAsiaTheme="majorEastAsia"/>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hint="eastAsia" w:asciiTheme="majorEastAsia" w:hAnsiTheme="majorEastAsia" w:eastAsiaTheme="majorEastAsia"/>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ajorEastAsia" w:hAnsiTheme="majorEastAsia" w:eastAsiaTheme="majorEastAsia"/>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asciiTheme="majorEastAsia" w:hAnsiTheme="majorEastAsia" w:eastAsiaTheme="maj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12" w:space="0"/>
              <w:right w:val="single" w:color="auto" w:sz="4" w:space="0"/>
            </w:tcBorders>
            <w:vAlign w:val="center"/>
          </w:tcPr>
          <w:p>
            <w:pPr>
              <w:spacing w:line="360" w:lineRule="exact"/>
              <w:rPr>
                <w:rFonts w:hint="eastAsia" w:asciiTheme="majorEastAsia" w:hAnsiTheme="majorEastAsia" w:eastAsiaTheme="majorEastAsia"/>
                <w:color w:val="auto"/>
                <w:highlight w:val="none"/>
              </w:rPr>
            </w:pPr>
          </w:p>
        </w:tc>
        <w:tc>
          <w:tcPr>
            <w:tcW w:w="5580" w:type="dxa"/>
            <w:gridSpan w:val="4"/>
            <w:tcBorders>
              <w:top w:val="single" w:color="auto" w:sz="4" w:space="0"/>
              <w:left w:val="single" w:color="auto" w:sz="4" w:space="0"/>
              <w:bottom w:val="single" w:color="auto" w:sz="12" w:space="0"/>
              <w:right w:val="single" w:color="auto" w:sz="4" w:space="0"/>
            </w:tcBorders>
            <w:vAlign w:val="center"/>
          </w:tcPr>
          <w:p>
            <w:pPr>
              <w:spacing w:line="360" w:lineRule="exact"/>
              <w:rPr>
                <w:rFonts w:hint="eastAsia" w:asciiTheme="majorEastAsia" w:hAnsiTheme="majorEastAsia" w:eastAsiaTheme="majorEastAsia"/>
                <w:color w:val="auto"/>
                <w:highlight w:val="none"/>
              </w:rPr>
            </w:pPr>
          </w:p>
        </w:tc>
        <w:tc>
          <w:tcPr>
            <w:tcW w:w="3037" w:type="dxa"/>
            <w:gridSpan w:val="2"/>
            <w:tcBorders>
              <w:top w:val="single" w:color="auto" w:sz="4" w:space="0"/>
              <w:left w:val="single" w:color="auto" w:sz="4" w:space="0"/>
              <w:bottom w:val="single" w:color="auto" w:sz="12" w:space="0"/>
              <w:right w:val="single" w:color="auto" w:sz="12" w:space="0"/>
            </w:tcBorders>
            <w:vAlign w:val="center"/>
          </w:tcPr>
          <w:p>
            <w:pPr>
              <w:spacing w:line="360" w:lineRule="exact"/>
              <w:rPr>
                <w:rFonts w:hint="eastAsia" w:asciiTheme="majorEastAsia" w:hAnsiTheme="majorEastAsia" w:eastAsiaTheme="majorEastAsia"/>
                <w:color w:val="auto"/>
                <w:highlight w:val="none"/>
              </w:rPr>
            </w:pPr>
          </w:p>
        </w:tc>
      </w:tr>
    </w:tbl>
    <w:p>
      <w:pPr>
        <w:spacing w:line="360" w:lineRule="exact"/>
        <w:ind w:left="770" w:hanging="770" w:hangingChars="350"/>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注：1、本表应附相关证书、社保等证明。</w:t>
      </w:r>
    </w:p>
    <w:p>
      <w:pPr>
        <w:pStyle w:val="25"/>
        <w:spacing w:line="400" w:lineRule="atLeast"/>
        <w:ind w:left="4618" w:leftChars="156" w:hanging="4290" w:hangingChars="1950"/>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 xml:space="preserve">2、本表可在不改变格式的情况下根据具体需要自行增减。 </w:t>
      </w:r>
    </w:p>
    <w:p>
      <w:pPr>
        <w:pStyle w:val="25"/>
        <w:spacing w:line="400" w:lineRule="atLeast"/>
        <w:ind w:left="4618" w:leftChars="156" w:hanging="4290" w:hangingChars="1950"/>
        <w:rPr>
          <w:rFonts w:hint="eastAsia" w:asciiTheme="majorEastAsia" w:hAnsiTheme="majorEastAsia" w:eastAsiaTheme="majorEastAsia"/>
          <w:color w:val="auto"/>
          <w:sz w:val="22"/>
          <w:highlight w:val="none"/>
        </w:rPr>
      </w:pPr>
    </w:p>
    <w:p>
      <w:pPr>
        <w:pStyle w:val="25"/>
        <w:spacing w:line="360" w:lineRule="auto"/>
        <w:rPr>
          <w:rFonts w:hint="eastAsia" w:asciiTheme="majorEastAsia" w:hAnsiTheme="majorEastAsia" w:eastAsiaTheme="majorEastAsia"/>
          <w:color w:val="auto"/>
          <w:sz w:val="22"/>
          <w:szCs w:val="22"/>
          <w:highlight w:val="none"/>
        </w:rPr>
      </w:pPr>
      <w:bookmarkStart w:id="237" w:name="_Toc301515381"/>
      <w:r>
        <w:rPr>
          <w:rFonts w:hint="eastAsia" w:asciiTheme="majorEastAsia" w:hAnsiTheme="majorEastAsia" w:eastAsiaTheme="majorEastAsia"/>
          <w:color w:val="auto"/>
          <w:sz w:val="22"/>
          <w:szCs w:val="22"/>
          <w:highlight w:val="none"/>
        </w:rPr>
        <w:t>投标供应商</w:t>
      </w:r>
      <w:r>
        <w:rPr>
          <w:rFonts w:asciiTheme="majorEastAsia" w:hAnsiTheme="majorEastAsia" w:eastAsiaTheme="majorEastAsia"/>
          <w:color w:val="auto"/>
          <w:sz w:val="22"/>
          <w:szCs w:val="22"/>
          <w:highlight w:val="none"/>
        </w:rPr>
        <w:t>全称（盖章）：</w:t>
      </w:r>
    </w:p>
    <w:p>
      <w:pPr>
        <w:pStyle w:val="25"/>
        <w:spacing w:line="360" w:lineRule="auto"/>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日 期：       年      月      日</w:t>
      </w:r>
    </w:p>
    <w:p>
      <w:pPr>
        <w:pStyle w:val="42"/>
        <w:jc w:val="left"/>
        <w:rPr>
          <w:rFonts w:hint="eastAsia" w:cs="宋体" w:asciiTheme="majorEastAsia" w:hAnsiTheme="majorEastAsia" w:eastAsiaTheme="majorEastAsia"/>
          <w:b w:val="0"/>
          <w:color w:val="auto"/>
          <w:sz w:val="22"/>
          <w:szCs w:val="22"/>
          <w:highlight w:val="none"/>
        </w:rPr>
      </w:pPr>
    </w:p>
    <w:p>
      <w:pPr>
        <w:widowControl/>
        <w:jc w:val="center"/>
        <w:rPr>
          <w:rFonts w:hint="eastAsia"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r>
        <w:rPr>
          <w:rFonts w:hint="eastAsia" w:asciiTheme="majorEastAsia" w:hAnsiTheme="majorEastAsia" w:eastAsiaTheme="majorEastAsia"/>
          <w:b/>
          <w:color w:val="auto"/>
          <w:sz w:val="28"/>
          <w:szCs w:val="28"/>
          <w:highlight w:val="none"/>
        </w:rPr>
        <w:t>（2）项目组人员一览表</w:t>
      </w:r>
      <w:bookmarkEnd w:id="237"/>
    </w:p>
    <w:p>
      <w:pPr>
        <w:rPr>
          <w:rFonts w:hint="eastAsia" w:asciiTheme="majorEastAsia" w:hAnsiTheme="majorEastAsia" w:eastAsiaTheme="majorEastAsia"/>
          <w:color w:val="auto"/>
          <w:highlight w:val="none"/>
        </w:rPr>
      </w:pPr>
    </w:p>
    <w:p>
      <w:pPr>
        <w:spacing w:line="360" w:lineRule="exact"/>
        <w:rPr>
          <w:rFonts w:hint="eastAsia" w:asciiTheme="majorEastAsia" w:hAnsiTheme="majorEastAsia" w:eastAsiaTheme="majorEastAsia"/>
          <w:color w:val="auto"/>
          <w:highlight w:val="none"/>
        </w:rPr>
      </w:pPr>
      <w:r>
        <w:rPr>
          <w:rFonts w:hint="eastAsia" w:asciiTheme="majorEastAsia" w:hAnsiTheme="majorEastAsia" w:eastAsiaTheme="majorEastAsia"/>
          <w:color w:val="auto"/>
          <w:sz w:val="22"/>
          <w:highlight w:val="none"/>
        </w:rPr>
        <w:t>项目名称：                                        项目编号：</w:t>
      </w:r>
    </w:p>
    <w:tbl>
      <w:tblPr>
        <w:tblStyle w:val="45"/>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891"/>
        <w:gridCol w:w="891"/>
        <w:gridCol w:w="956"/>
        <w:gridCol w:w="1402"/>
        <w:gridCol w:w="1157"/>
        <w:gridCol w:w="1224"/>
        <w:gridCol w:w="1264"/>
        <w:gridCol w:w="12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406" w:type="pct"/>
            <w:tcBorders>
              <w:top w:val="single" w:color="auto" w:sz="12" w:space="0"/>
              <w:left w:val="single" w:color="auto" w:sz="12" w:space="0"/>
              <w:bottom w:val="single" w:color="auto" w:sz="4" w:space="0"/>
              <w:right w:val="single" w:color="auto" w:sz="4" w:space="0"/>
            </w:tcBorders>
            <w:vAlign w:val="center"/>
          </w:tcPr>
          <w:p>
            <w:pPr>
              <w:spacing w:line="300" w:lineRule="exact"/>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姓名</w:t>
            </w:r>
          </w:p>
        </w:tc>
        <w:tc>
          <w:tcPr>
            <w:tcW w:w="452" w:type="pct"/>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性别</w:t>
            </w:r>
          </w:p>
        </w:tc>
        <w:tc>
          <w:tcPr>
            <w:tcW w:w="452" w:type="pct"/>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年龄</w:t>
            </w:r>
          </w:p>
        </w:tc>
        <w:tc>
          <w:tcPr>
            <w:tcW w:w="485" w:type="pct"/>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身高</w:t>
            </w:r>
          </w:p>
        </w:tc>
        <w:tc>
          <w:tcPr>
            <w:tcW w:w="711" w:type="pct"/>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学历/职称</w:t>
            </w:r>
          </w:p>
        </w:tc>
        <w:tc>
          <w:tcPr>
            <w:tcW w:w="587" w:type="pct"/>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专业</w:t>
            </w:r>
          </w:p>
        </w:tc>
        <w:tc>
          <w:tcPr>
            <w:tcW w:w="621" w:type="pct"/>
            <w:tcBorders>
              <w:top w:val="single" w:color="auto" w:sz="12" w:space="0"/>
              <w:left w:val="single" w:color="auto" w:sz="4" w:space="0"/>
              <w:bottom w:val="single" w:color="auto" w:sz="4" w:space="0"/>
              <w:right w:val="single" w:color="auto" w:sz="4" w:space="0"/>
            </w:tcBorders>
            <w:vAlign w:val="center"/>
          </w:tcPr>
          <w:p>
            <w:pPr>
              <w:spacing w:line="300" w:lineRule="exact"/>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专业工作年限</w:t>
            </w:r>
          </w:p>
        </w:tc>
        <w:tc>
          <w:tcPr>
            <w:tcW w:w="641" w:type="pct"/>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拟任何职</w:t>
            </w:r>
          </w:p>
        </w:tc>
        <w:tc>
          <w:tcPr>
            <w:tcW w:w="641" w:type="pct"/>
            <w:tcBorders>
              <w:top w:val="single" w:color="auto" w:sz="12" w:space="0"/>
              <w:left w:val="single" w:color="auto" w:sz="4" w:space="0"/>
              <w:bottom w:val="single" w:color="auto" w:sz="4" w:space="0"/>
              <w:right w:val="single" w:color="auto" w:sz="12" w:space="0"/>
            </w:tcBorders>
            <w:vAlign w:val="center"/>
          </w:tcPr>
          <w:p>
            <w:pPr>
              <w:spacing w:line="300" w:lineRule="exact"/>
              <w:jc w:val="center"/>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是否常驻</w:t>
            </w:r>
            <w:r>
              <w:rPr>
                <w:rFonts w:hint="eastAsia" w:asciiTheme="majorEastAsia" w:hAnsiTheme="majorEastAsia" w:eastAsiaTheme="majorEastAsia"/>
                <w:color w:val="auto"/>
                <w:sz w:val="22"/>
                <w:szCs w:val="22"/>
                <w:highlight w:val="none"/>
              </w:rPr>
              <w:t>（填：是或否）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06" w:type="pct"/>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5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2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06" w:type="pct"/>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5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2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06" w:type="pct"/>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5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2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06" w:type="pct"/>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5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2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06" w:type="pct"/>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5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2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06" w:type="pct"/>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5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2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06" w:type="pct"/>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5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2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06" w:type="pct"/>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5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2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06" w:type="pct"/>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5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2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06" w:type="pct"/>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5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2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06" w:type="pct"/>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71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5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2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06" w:type="pct"/>
            <w:tcBorders>
              <w:top w:val="single" w:color="auto" w:sz="4" w:space="0"/>
              <w:left w:val="single" w:color="auto" w:sz="12" w:space="0"/>
              <w:bottom w:val="single" w:color="auto" w:sz="12"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52" w:type="pct"/>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485" w:type="pct"/>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711" w:type="pct"/>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587" w:type="pct"/>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21" w:type="pct"/>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c>
          <w:tcPr>
            <w:tcW w:w="641" w:type="pct"/>
            <w:tcBorders>
              <w:top w:val="single" w:color="auto" w:sz="4" w:space="0"/>
              <w:left w:val="single" w:color="auto" w:sz="4" w:space="0"/>
              <w:bottom w:val="single" w:color="auto" w:sz="12" w:space="0"/>
              <w:right w:val="single" w:color="auto" w:sz="12" w:space="0"/>
            </w:tcBorders>
            <w:vAlign w:val="center"/>
          </w:tcPr>
          <w:p>
            <w:pPr>
              <w:spacing w:line="360" w:lineRule="exact"/>
              <w:jc w:val="center"/>
              <w:rPr>
                <w:rFonts w:hint="eastAsia" w:asciiTheme="majorEastAsia" w:hAnsiTheme="majorEastAsia" w:eastAsiaTheme="majorEastAsia"/>
                <w:color w:val="auto"/>
                <w:sz w:val="22"/>
                <w:szCs w:val="22"/>
                <w:highlight w:val="none"/>
              </w:rPr>
            </w:pPr>
          </w:p>
        </w:tc>
      </w:tr>
    </w:tbl>
    <w:p>
      <w:pPr>
        <w:spacing w:line="360" w:lineRule="exact"/>
        <w:ind w:left="660" w:hanging="660" w:hangingChars="300"/>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注：1、本表应附所列项目组成员相关证书、社保等证明。</w:t>
      </w:r>
    </w:p>
    <w:p>
      <w:pPr>
        <w:pStyle w:val="25"/>
        <w:tabs>
          <w:tab w:val="left" w:pos="0"/>
          <w:tab w:val="left" w:pos="540"/>
        </w:tabs>
        <w:spacing w:line="300" w:lineRule="auto"/>
        <w:ind w:left="438" w:leftChars="156" w:hanging="110" w:hangingChars="50"/>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2、此表仅提供了表格形式,可按此表格复制。</w:t>
      </w:r>
    </w:p>
    <w:p>
      <w:pPr>
        <w:pStyle w:val="25"/>
        <w:tabs>
          <w:tab w:val="left" w:pos="0"/>
          <w:tab w:val="left" w:pos="540"/>
        </w:tabs>
        <w:spacing w:line="300" w:lineRule="auto"/>
        <w:ind w:left="438" w:leftChars="156" w:hanging="110" w:hangingChars="50"/>
        <w:rPr>
          <w:rFonts w:hint="eastAsia" w:asciiTheme="majorEastAsia" w:hAnsiTheme="majorEastAsia" w:eastAsiaTheme="majorEastAsia"/>
          <w:color w:val="auto"/>
          <w:sz w:val="22"/>
          <w:szCs w:val="22"/>
          <w:highlight w:val="none"/>
        </w:rPr>
      </w:pPr>
    </w:p>
    <w:p>
      <w:pPr>
        <w:pStyle w:val="25"/>
        <w:spacing w:line="360" w:lineRule="auto"/>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投标供应商</w:t>
      </w:r>
      <w:r>
        <w:rPr>
          <w:rFonts w:asciiTheme="majorEastAsia" w:hAnsiTheme="majorEastAsia" w:eastAsiaTheme="majorEastAsia"/>
          <w:color w:val="auto"/>
          <w:sz w:val="22"/>
          <w:szCs w:val="22"/>
          <w:highlight w:val="none"/>
        </w:rPr>
        <w:t>全称（盖章）：</w:t>
      </w:r>
    </w:p>
    <w:p>
      <w:pPr>
        <w:pStyle w:val="25"/>
        <w:spacing w:line="360" w:lineRule="auto"/>
        <w:rPr>
          <w:rFonts w:hint="eastAsia"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日 期：       年      月      日</w:t>
      </w:r>
    </w:p>
    <w:p>
      <w:pPr>
        <w:spacing w:line="400" w:lineRule="exact"/>
        <w:rPr>
          <w:rFonts w:hint="eastAsia" w:asciiTheme="majorEastAsia" w:hAnsiTheme="majorEastAsia" w:eastAsiaTheme="majorEastAsia"/>
          <w:color w:val="auto"/>
          <w:sz w:val="22"/>
          <w:szCs w:val="22"/>
          <w:highlight w:val="none"/>
        </w:rPr>
      </w:pPr>
    </w:p>
    <w:p>
      <w:pPr>
        <w:pStyle w:val="42"/>
        <w:rPr>
          <w:rFonts w:hint="eastAsia" w:ascii="宋体" w:hAnsi="宋体" w:cs="宋体"/>
          <w:color w:val="auto"/>
          <w:sz w:val="30"/>
          <w:szCs w:val="30"/>
          <w:highlight w:val="none"/>
        </w:rPr>
        <w:sectPr>
          <w:headerReference r:id="rId13" w:type="first"/>
          <w:headerReference r:id="rId12" w:type="default"/>
          <w:footerReference r:id="rId14" w:type="default"/>
          <w:pgSz w:w="11906" w:h="16838"/>
          <w:pgMar w:top="1134" w:right="1134" w:bottom="1134" w:left="1134" w:header="851" w:footer="850" w:gutter="0"/>
          <w:cols w:space="720" w:num="1"/>
          <w:titlePg/>
          <w:docGrid w:type="lines" w:linePitch="312" w:charSpace="0"/>
        </w:sectPr>
      </w:pPr>
    </w:p>
    <w:p>
      <w:pPr>
        <w:pStyle w:val="42"/>
        <w:rPr>
          <w:rFonts w:hint="eastAsia" w:ascii="宋体" w:hAnsi="宋体" w:cs="宋体"/>
          <w:color w:val="auto"/>
          <w:sz w:val="30"/>
          <w:szCs w:val="30"/>
          <w:highlight w:val="none"/>
        </w:rPr>
      </w:pPr>
      <w:r>
        <w:rPr>
          <w:rFonts w:hint="eastAsia" w:ascii="宋体" w:hAnsi="宋体" w:cs="宋体"/>
          <w:color w:val="auto"/>
          <w:sz w:val="30"/>
          <w:szCs w:val="30"/>
          <w:highlight w:val="none"/>
        </w:rPr>
        <w:t>第七部分 评标定标办法</w:t>
      </w:r>
      <w:bookmarkEnd w:id="105"/>
      <w:bookmarkEnd w:id="106"/>
      <w:bookmarkEnd w:id="107"/>
      <w:bookmarkEnd w:id="236"/>
    </w:p>
    <w:p>
      <w:pPr>
        <w:tabs>
          <w:tab w:val="left" w:pos="8820"/>
        </w:tabs>
        <w:adjustRightInd w:val="0"/>
        <w:snapToGrid w:val="0"/>
        <w:spacing w:before="100" w:after="50"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根据《中华人民共和国政府采购法》等有关政府采购法规,结合本次所要采购服务的实际,按照公平、公正、科学、择优的原则选择中标供应商,特制定本评标办法。</w:t>
      </w:r>
    </w:p>
    <w:p>
      <w:pPr>
        <w:adjustRightInd w:val="0"/>
        <w:snapToGrid w:val="0"/>
        <w:spacing w:before="156" w:beforeLines="50" w:after="50" w:line="460" w:lineRule="atLeas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一、总则</w:t>
      </w:r>
    </w:p>
    <w:p>
      <w:pPr>
        <w:pStyle w:val="27"/>
        <w:adjustRightInd w:val="0"/>
        <w:snapToGrid w:val="0"/>
        <w:spacing w:before="100" w:after="50" w:line="460" w:lineRule="atLeast"/>
        <w:rPr>
          <w:rFonts w:hint="eastAsia" w:eastAsia="宋体" w:cs="宋体"/>
          <w:b w:val="0"/>
          <w:color w:val="auto"/>
          <w:sz w:val="22"/>
          <w:szCs w:val="22"/>
          <w:highlight w:val="none"/>
        </w:rPr>
      </w:pPr>
      <w:r>
        <w:rPr>
          <w:rFonts w:hint="eastAsia" w:eastAsia="宋体" w:cs="宋体"/>
          <w:b w:val="0"/>
          <w:color w:val="auto"/>
          <w:sz w:val="22"/>
          <w:szCs w:val="22"/>
          <w:highlight w:val="none"/>
        </w:rPr>
        <w:t>评标工作遵循公平、公正、民主、科学的原则和诚实、信誉、效率的服务原则。本着科学、严谨的态度,认真进行评标。择优选定服务供应商,确保服务质量,最大限度地保护当事人权益,严格按照招标文件的商务、技术要求,对投标文件进行综合评定,提出优选方案,编写评标报告。评标委员会必须严格遵守保密规定,不得泄露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before="156" w:beforeLines="50" w:after="50" w:line="460" w:lineRule="atLeas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二、评标组织</w:t>
      </w:r>
    </w:p>
    <w:p>
      <w:pPr>
        <w:pStyle w:val="27"/>
        <w:adjustRightInd w:val="0"/>
        <w:snapToGrid w:val="0"/>
        <w:spacing w:before="100" w:after="50" w:line="460" w:lineRule="atLeast"/>
        <w:rPr>
          <w:rFonts w:hint="eastAsia" w:eastAsia="宋体" w:cs="宋体"/>
          <w:b w:val="0"/>
          <w:color w:val="auto"/>
          <w:sz w:val="22"/>
          <w:szCs w:val="22"/>
          <w:highlight w:val="none"/>
        </w:rPr>
      </w:pPr>
      <w:r>
        <w:rPr>
          <w:rFonts w:hint="eastAsia" w:eastAsia="宋体" w:cs="宋体"/>
          <w:b w:val="0"/>
          <w:color w:val="auto"/>
          <w:sz w:val="22"/>
          <w:szCs w:val="22"/>
          <w:highlight w:val="none"/>
        </w:rPr>
        <w:t>评标工作由采购人依法组建的评标委员会负责,评标委员会由采购人代表以及评标专家库中随机抽取的有关技术、经济专家共同组成。评标全过程由采购管理部门监督整个开标、评标和定标过程。</w:t>
      </w:r>
    </w:p>
    <w:p>
      <w:pPr>
        <w:pStyle w:val="85"/>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460" w:lineRule="atLeast"/>
        <w:textAlignment w:val="auto"/>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三、评标程序</w:t>
      </w:r>
    </w:p>
    <w:p>
      <w:pPr>
        <w:adjustRightInd w:val="0"/>
        <w:snapToGrid w:val="0"/>
        <w:spacing w:before="100" w:after="50"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开标后,采购人或采购代理机构对各投标供应商的资格进行审查；然后评标委员会对合格投标供应商进行符合性审查,按照招标文件中规定的评标方法和标准,对符合性审查合格的投标文件进行商务和技术评估,综合比较与评价。</w:t>
      </w:r>
    </w:p>
    <w:p>
      <w:pPr>
        <w:pStyle w:val="10"/>
        <w:adjustRightInd w:val="0"/>
        <w:snapToGrid w:val="0"/>
        <w:spacing w:before="156" w:beforeLines="50" w:after="50" w:line="460" w:lineRule="atLeast"/>
        <w:ind w:firstLine="440"/>
        <w:rPr>
          <w:rFonts w:hint="eastAsia" w:ascii="宋体" w:eastAsia="宋体"/>
          <w:b w:val="0"/>
          <w:color w:val="auto"/>
          <w:sz w:val="22"/>
          <w:szCs w:val="22"/>
          <w:highlight w:val="none"/>
        </w:rPr>
      </w:pPr>
      <w:r>
        <w:rPr>
          <w:rFonts w:hint="eastAsia" w:ascii="宋体" w:eastAsia="宋体"/>
          <w:b w:val="0"/>
          <w:color w:val="auto"/>
          <w:sz w:val="22"/>
          <w:szCs w:val="22"/>
          <w:highlight w:val="none"/>
        </w:rPr>
        <w:t>2、由评标委员会依据法律法规及招标文件有关规定在有效标中按投标供应商的最终得分（即技术分与商务分之和）高低进行排序,得分前二名的投标供应商推荐为第一中标候选人与第二中标候选人（得分相同投标报价低的排序第一；得分且投标报价相同的,由评标委员会成员抽签决定排序）。</w:t>
      </w:r>
    </w:p>
    <w:p>
      <w:pPr>
        <w:pStyle w:val="10"/>
        <w:adjustRightInd w:val="0"/>
        <w:snapToGrid w:val="0"/>
        <w:spacing w:before="156" w:beforeLines="50" w:after="50" w:line="460" w:lineRule="atLeast"/>
        <w:ind w:firstLine="440"/>
        <w:rPr>
          <w:rFonts w:hint="eastAsia" w:ascii="宋体" w:eastAsia="宋体"/>
          <w:b w:val="0"/>
          <w:color w:val="auto"/>
          <w:sz w:val="22"/>
          <w:szCs w:val="22"/>
          <w:highlight w:val="none"/>
        </w:rPr>
      </w:pPr>
      <w:r>
        <w:rPr>
          <w:rFonts w:hint="eastAsia" w:ascii="宋体" w:eastAsia="宋体"/>
          <w:b w:val="0"/>
          <w:color w:val="auto"/>
          <w:sz w:val="22"/>
          <w:szCs w:val="22"/>
          <w:highlight w:val="none"/>
        </w:rPr>
        <w:t>3、</w:t>
      </w:r>
      <w:r>
        <w:rPr>
          <w:rFonts w:hint="eastAsia" w:ascii="宋体" w:eastAsia="宋体"/>
          <w:b w:val="0"/>
          <w:color w:val="auto"/>
          <w:sz w:val="22"/>
          <w:szCs w:val="22"/>
          <w:highlight w:val="none"/>
          <w:lang w:eastAsia="zh-CN"/>
        </w:rPr>
        <w:t>中标供应商</w:t>
      </w:r>
      <w:r>
        <w:rPr>
          <w:rFonts w:hint="eastAsia" w:ascii="宋体" w:eastAsia="宋体"/>
          <w:b w:val="0"/>
          <w:color w:val="auto"/>
          <w:sz w:val="22"/>
          <w:szCs w:val="22"/>
          <w:highlight w:val="none"/>
        </w:rPr>
        <w:t>放弃中标,或者因不可抗力提出不能履行合同,或者招标文件规定应当提交履约保证金、签订合同而在规定的期限内未能提交、签订合同的,采购人可以取消其中标资格。并按供应商评标排序从高到低排序依次确定新的</w:t>
      </w:r>
      <w:r>
        <w:rPr>
          <w:rFonts w:hint="eastAsia" w:ascii="宋体" w:eastAsia="宋体"/>
          <w:b w:val="0"/>
          <w:color w:val="auto"/>
          <w:sz w:val="22"/>
          <w:szCs w:val="22"/>
          <w:highlight w:val="none"/>
          <w:lang w:eastAsia="zh-CN"/>
        </w:rPr>
        <w:t>中标供应商</w:t>
      </w:r>
      <w:r>
        <w:rPr>
          <w:rFonts w:hint="eastAsia" w:ascii="宋体" w:eastAsia="宋体"/>
          <w:b w:val="0"/>
          <w:color w:val="auto"/>
          <w:sz w:val="22"/>
          <w:szCs w:val="22"/>
          <w:highlight w:val="none"/>
        </w:rPr>
        <w:t xml:space="preserve">或重新组织采购。 </w:t>
      </w:r>
    </w:p>
    <w:p>
      <w:pPr>
        <w:pStyle w:val="10"/>
        <w:adjustRightInd w:val="0"/>
        <w:snapToGrid w:val="0"/>
        <w:spacing w:before="156" w:beforeLines="50" w:after="50" w:line="460" w:lineRule="atLeast"/>
        <w:ind w:firstLine="440"/>
        <w:rPr>
          <w:rFonts w:hint="eastAsia" w:ascii="宋体" w:eastAsia="宋体"/>
          <w:b w:val="0"/>
          <w:color w:val="auto"/>
          <w:sz w:val="22"/>
          <w:szCs w:val="22"/>
          <w:highlight w:val="none"/>
        </w:rPr>
      </w:pPr>
      <w:r>
        <w:rPr>
          <w:rFonts w:hint="eastAsia" w:ascii="宋体" w:eastAsia="宋体"/>
          <w:b w:val="0"/>
          <w:color w:val="auto"/>
          <w:sz w:val="22"/>
          <w:szCs w:val="22"/>
          <w:highlight w:val="none"/>
        </w:rPr>
        <w:t>4、其他参见本招标文件第三部分：“供应商须知” 中的相关内容。</w:t>
      </w:r>
    </w:p>
    <w:bookmarkEnd w:id="108"/>
    <w:p>
      <w:pPr>
        <w:spacing w:line="400" w:lineRule="exact"/>
        <w:rPr>
          <w:rFonts w:hint="eastAsia" w:ascii="宋体" w:hAnsi="宋体" w:cs="宋体"/>
          <w:color w:val="auto"/>
          <w:szCs w:val="21"/>
          <w:highlight w:val="none"/>
        </w:rPr>
      </w:pPr>
    </w:p>
    <w:p>
      <w:pPr>
        <w:adjustRightInd w:val="0"/>
        <w:spacing w:before="100" w:after="50" w:line="460" w:lineRule="atLeas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四、评分细则</w:t>
      </w:r>
    </w:p>
    <w:p>
      <w:pPr>
        <w:spacing w:line="460" w:lineRule="atLeast"/>
        <w:ind w:firstLine="440" w:firstLineChars="200"/>
        <w:rPr>
          <w:rFonts w:hint="eastAsia" w:ascii="宋体" w:hAnsi="宋体" w:cs="宋体"/>
          <w:b/>
          <w:bCs/>
          <w:color w:val="auto"/>
          <w:sz w:val="22"/>
          <w:szCs w:val="22"/>
          <w:highlight w:val="none"/>
        </w:rPr>
      </w:pPr>
      <w:r>
        <w:rPr>
          <w:rFonts w:hint="eastAsia" w:ascii="宋体" w:hAnsi="宋体" w:cs="宋体"/>
          <w:color w:val="auto"/>
          <w:sz w:val="22"/>
          <w:szCs w:val="22"/>
          <w:highlight w:val="none"/>
        </w:rPr>
        <w:t>一、商务报价评分</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0分</w:t>
      </w:r>
    </w:p>
    <w:p>
      <w:pPr>
        <w:spacing w:line="460" w:lineRule="atLeast"/>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1、商务报价部分分值=1.1城区内服务单价报价得分+1.2城区外服务单价报价得分+1.3清障车（待命、作业）服务单价报价得分</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交通事故、违法车辆扣留后的保管服务投标报价得分。</w:t>
      </w:r>
    </w:p>
    <w:p>
      <w:pPr>
        <w:spacing w:line="460" w:lineRule="atLeast"/>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1.1.以供应商城区内服务单价有效投标价中的最低价为评标基准价，得满分</w:t>
      </w:r>
      <w:r>
        <w:rPr>
          <w:rFonts w:hint="eastAsia" w:ascii="宋体"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分。商务报价评分结算公式为:城区内服务单价投标报价得分=(评标基准价／城区内服务单价投标报价)×</w:t>
      </w:r>
      <w:r>
        <w:rPr>
          <w:rFonts w:hint="eastAsia" w:ascii="宋体"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%×100。</w:t>
      </w:r>
    </w:p>
    <w:p>
      <w:pPr>
        <w:spacing w:line="460" w:lineRule="atLeast"/>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1.2.以供应商城区外服务单价有效投标价中的最低价为评标基准价，得满分</w:t>
      </w:r>
      <w:r>
        <w:rPr>
          <w:rFonts w:hint="eastAsia" w:ascii="宋体"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分。商务报价评分结算公式为:城区外服务单价投标报价得分=(评标基准价／城区外服务单价投标报价)×</w:t>
      </w:r>
      <w:r>
        <w:rPr>
          <w:rFonts w:hint="eastAsia" w:ascii="宋体"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%×100。</w:t>
      </w:r>
    </w:p>
    <w:p>
      <w:pPr>
        <w:spacing w:line="460" w:lineRule="atLeast"/>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1.3.以供应商清障车（待命、作业）服务单价有效投标价中的最低价为评标基准价，得满分</w:t>
      </w:r>
      <w:r>
        <w:rPr>
          <w:rFonts w:hint="eastAsia" w:ascii="宋体" w:hAnsi="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en-US" w:eastAsia="zh-CN"/>
        </w:rPr>
        <w:t>分。商务报价评分结算公式为:清障车（待命、作业）服务单价投标报价得分=(评标基准价／清障车（待命、作业）服务单价投标报价)×</w:t>
      </w:r>
      <w:r>
        <w:rPr>
          <w:rFonts w:hint="eastAsia" w:ascii="宋体" w:hAnsi="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en-US" w:eastAsia="zh-CN"/>
        </w:rPr>
        <w:t>%×100。</w:t>
      </w:r>
    </w:p>
    <w:p>
      <w:pPr>
        <w:spacing w:line="460" w:lineRule="atLeast"/>
        <w:ind w:firstLine="442" w:firstLineChars="200"/>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1.4.以供应商交通事故、违法车辆扣留后的保管服务有效投标价中的最低价为评标基准价，得满分</w:t>
      </w:r>
      <w:r>
        <w:rPr>
          <w:rFonts w:hint="eastAsia" w:ascii="宋体" w:hAnsi="宋体" w:cs="宋体"/>
          <w:b/>
          <w:bCs/>
          <w:color w:val="auto"/>
          <w:sz w:val="22"/>
          <w:szCs w:val="22"/>
          <w:highlight w:val="none"/>
          <w:lang w:val="en-US" w:eastAsia="zh-CN"/>
        </w:rPr>
        <w:t>5</w:t>
      </w:r>
      <w:r>
        <w:rPr>
          <w:rFonts w:hint="eastAsia" w:ascii="宋体" w:hAnsi="宋体" w:eastAsia="宋体" w:cs="宋体"/>
          <w:b/>
          <w:bCs/>
          <w:color w:val="auto"/>
          <w:sz w:val="22"/>
          <w:szCs w:val="22"/>
          <w:highlight w:val="none"/>
          <w:lang w:val="en-US" w:eastAsia="zh-CN"/>
        </w:rPr>
        <w:t>分。商务报价评分结算公式为:交通事故、违法车辆扣留后的保管服务投标报价得分=(评标基准价／交通事故、违法车辆扣留后的保管服务投标报价)×</w:t>
      </w:r>
      <w:r>
        <w:rPr>
          <w:rFonts w:hint="eastAsia" w:ascii="宋体" w:hAnsi="宋体" w:cs="宋体"/>
          <w:b/>
          <w:bCs/>
          <w:color w:val="auto"/>
          <w:sz w:val="22"/>
          <w:szCs w:val="22"/>
          <w:highlight w:val="none"/>
          <w:lang w:val="en-US" w:eastAsia="zh-CN"/>
        </w:rPr>
        <w:t>5</w:t>
      </w:r>
      <w:r>
        <w:rPr>
          <w:rFonts w:hint="eastAsia" w:ascii="宋体" w:hAnsi="宋体" w:eastAsia="宋体" w:cs="宋体"/>
          <w:b/>
          <w:bCs/>
          <w:color w:val="auto"/>
          <w:sz w:val="22"/>
          <w:szCs w:val="22"/>
          <w:highlight w:val="none"/>
          <w:lang w:val="en-US" w:eastAsia="zh-CN"/>
        </w:rPr>
        <w:t>%×100。</w:t>
      </w:r>
    </w:p>
    <w:p>
      <w:pPr>
        <w:autoSpaceDE w:val="0"/>
        <w:autoSpaceDN w:val="0"/>
        <w:adjustRightInd w:val="0"/>
        <w:spacing w:line="460" w:lineRule="atLeast"/>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u w:val="single"/>
        </w:rPr>
        <w:t>2、</w:t>
      </w:r>
      <w:r>
        <w:rPr>
          <w:rFonts w:hint="eastAsia" w:ascii="宋体" w:hAnsi="宋体" w:cs="宋体"/>
          <w:b/>
          <w:color w:val="auto"/>
          <w:sz w:val="22"/>
          <w:highlight w:val="none"/>
          <w:u w:val="single"/>
        </w:rPr>
        <w:t>本项目</w:t>
      </w:r>
      <w:r>
        <w:rPr>
          <w:rFonts w:hint="eastAsia" w:ascii="宋体" w:hAnsi="宋体" w:cs="宋体"/>
          <w:b/>
          <w:color w:val="auto"/>
          <w:sz w:val="22"/>
          <w:szCs w:val="22"/>
          <w:highlight w:val="none"/>
          <w:u w:val="single"/>
        </w:rPr>
        <w:t>采购预算见采购公告。</w:t>
      </w:r>
      <w:r>
        <w:rPr>
          <w:rFonts w:hint="eastAsia" w:ascii="宋体" w:hAnsi="宋体" w:cs="宋体"/>
          <w:color w:val="auto"/>
          <w:sz w:val="22"/>
          <w:szCs w:val="22"/>
          <w:highlight w:val="none"/>
        </w:rPr>
        <w:t>如果所有供应商的报价均超出采购最高限价且采购人确认不能支付的情况,本次采购做流（废）标处理。如果仅仅某个（些）供应商的商务报价超出采购最高限价则该供应商按无效投标处理。</w:t>
      </w:r>
    </w:p>
    <w:p>
      <w:pPr>
        <w:spacing w:line="460" w:lineRule="atLeas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二、技术、服务、资信业绩综合评分</w:t>
      </w:r>
      <w:r>
        <w:rPr>
          <w:rFonts w:hint="eastAsia" w:ascii="宋体" w:hAnsi="宋体" w:cs="宋体"/>
          <w:color w:val="auto"/>
          <w:sz w:val="22"/>
          <w:highlight w:val="none"/>
          <w:lang w:val="en-US" w:eastAsia="zh-CN"/>
        </w:rPr>
        <w:t>9</w:t>
      </w:r>
      <w:r>
        <w:rPr>
          <w:rFonts w:hint="eastAsia" w:ascii="宋体" w:hAnsi="宋体" w:cs="宋体"/>
          <w:color w:val="auto"/>
          <w:sz w:val="22"/>
          <w:highlight w:val="none"/>
        </w:rPr>
        <w:t>0分</w:t>
      </w:r>
    </w:p>
    <w:p>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各评委成员按下列评分项目进行评定,每人一张评分计算表,由评标委员会成员各自评定打分并记实名。如任何一张表的一项评分内容分值超过规定的范围,则该张表无效。评标委员会成员对各供应商的各项评分内容评分合计值的算术平均值为该供应商商务技术文件的最终得分（四舍五入,保留小数点后二位）。</w:t>
      </w:r>
    </w:p>
    <w:tbl>
      <w:tblPr>
        <w:tblStyle w:val="45"/>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6598"/>
        <w:gridCol w:w="1186"/>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序号</w:t>
            </w:r>
          </w:p>
        </w:tc>
        <w:tc>
          <w:tcPr>
            <w:tcW w:w="3350"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评标标准</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主观分/客观分</w:t>
            </w:r>
          </w:p>
        </w:tc>
        <w:tc>
          <w:tcPr>
            <w:tcW w:w="54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p>
        </w:tc>
        <w:tc>
          <w:tcPr>
            <w:tcW w:w="3350" w:type="pct"/>
            <w:noWrap w:val="0"/>
            <w:vAlign w:val="center"/>
          </w:tcPr>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业绩：</w:t>
            </w:r>
          </w:p>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投标人自2021年1月1日以来（以合同签订时间为准）类似业绩（类似业绩指车辆拖曳及保管服务），每提供一个得0.5分,最高得分1分。</w:t>
            </w:r>
          </w:p>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注：需提供中标（成交）通知书和合同扫描件加盖公章，同一中标通知书的业绩仅计1个业绩。</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客观分</w:t>
            </w:r>
          </w:p>
        </w:tc>
        <w:tc>
          <w:tcPr>
            <w:tcW w:w="543" w:type="pct"/>
            <w:noWrap w:val="0"/>
            <w:vAlign w:val="center"/>
          </w:tcPr>
          <w:p>
            <w:pPr>
              <w:keepNext w:val="0"/>
              <w:keepLines w:val="0"/>
              <w:pageBreakBefore w:val="0"/>
              <w:kinsoku/>
              <w:wordWrap/>
              <w:overflowPunct/>
              <w:topLinePunct w:val="0"/>
              <w:autoSpaceDE/>
              <w:autoSpaceDN/>
              <w:bidi w:val="0"/>
              <w:adjustRightInd/>
              <w:spacing w:line="240" w:lineRule="auto"/>
              <w:ind w:right="3" w:rightChars="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3350" w:type="pct"/>
            <w:noWrap w:val="0"/>
            <w:vAlign w:val="center"/>
          </w:tcPr>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拟投入设备</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sz w:val="21"/>
                <w:szCs w:val="21"/>
                <w:highlight w:val="none"/>
              </w:rPr>
            </w:pPr>
          </w:p>
        </w:tc>
        <w:tc>
          <w:tcPr>
            <w:tcW w:w="543" w:type="pct"/>
            <w:noWrap w:val="0"/>
            <w:vAlign w:val="center"/>
          </w:tcPr>
          <w:p>
            <w:pPr>
              <w:keepNext w:val="0"/>
              <w:keepLines w:val="0"/>
              <w:pageBreakBefore w:val="0"/>
              <w:kinsoku/>
              <w:wordWrap/>
              <w:overflowPunct/>
              <w:topLinePunct w:val="0"/>
              <w:autoSpaceDE/>
              <w:autoSpaceDN/>
              <w:bidi w:val="0"/>
              <w:adjustRightInd/>
              <w:spacing w:line="240" w:lineRule="auto"/>
              <w:ind w:right="3" w:rightChars="0"/>
              <w:jc w:val="center"/>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.1</w:t>
            </w:r>
          </w:p>
        </w:tc>
        <w:tc>
          <w:tcPr>
            <w:tcW w:w="3350" w:type="pct"/>
            <w:noWrap w:val="0"/>
            <w:vAlign w:val="center"/>
          </w:tcPr>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根据投标人拟投入本项目拖曳作业的车辆情况，由专家打分：</w:t>
            </w:r>
          </w:p>
          <w:p>
            <w:pPr>
              <w:keepNext w:val="0"/>
              <w:keepLines w:val="0"/>
              <w:pageBreakBefore w:val="0"/>
              <w:numPr>
                <w:ilvl w:val="0"/>
                <w:numId w:val="7"/>
              </w:numPr>
              <w:kinsoku/>
              <w:wordWrap/>
              <w:overflowPunct/>
              <w:topLinePunct w:val="0"/>
              <w:autoSpaceDE/>
              <w:autoSpaceDN/>
              <w:bidi w:val="0"/>
              <w:adjustRightInd/>
              <w:spacing w:line="240" w:lineRule="auto"/>
              <w:ind w:right="3"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具有</w:t>
            </w:r>
            <w:r>
              <w:rPr>
                <w:rFonts w:hint="eastAsia" w:ascii="宋体" w:hAnsi="宋体" w:eastAsia="宋体" w:cs="宋体"/>
                <w:color w:val="auto"/>
                <w:kern w:val="2"/>
                <w:sz w:val="21"/>
                <w:szCs w:val="21"/>
                <w:highlight w:val="none"/>
                <w:lang w:val="en-US" w:eastAsia="zh-CN" w:bidi="ar-SA"/>
              </w:rPr>
              <w:t>中型（或轻型）专项作业车（拖车或货车）</w:t>
            </w:r>
            <w:r>
              <w:rPr>
                <w:rFonts w:hint="eastAsia" w:ascii="宋体" w:hAnsi="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en-US" w:eastAsia="zh-CN" w:bidi="ar-SA"/>
              </w:rPr>
              <w:t>每辆得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分。本小项最高得</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numPr>
                <w:ilvl w:val="0"/>
                <w:numId w:val="7"/>
              </w:numPr>
              <w:kinsoku/>
              <w:wordWrap/>
              <w:overflowPunct/>
              <w:topLinePunct w:val="0"/>
              <w:autoSpaceDE/>
              <w:autoSpaceDN/>
              <w:bidi w:val="0"/>
              <w:adjustRightInd/>
              <w:spacing w:line="240" w:lineRule="auto"/>
              <w:ind w:right="3" w:rightChars="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具有</w:t>
            </w:r>
            <w:r>
              <w:rPr>
                <w:rFonts w:hint="eastAsia" w:ascii="宋体" w:hAnsi="宋体" w:eastAsia="宋体" w:cs="宋体"/>
                <w:color w:val="auto"/>
                <w:kern w:val="2"/>
                <w:sz w:val="21"/>
                <w:szCs w:val="21"/>
                <w:highlight w:val="none"/>
                <w:lang w:val="en-US" w:eastAsia="zh-CN" w:bidi="ar-SA"/>
              </w:rPr>
              <w:t>重型专项作业车（拖车）</w:t>
            </w:r>
            <w:r>
              <w:rPr>
                <w:rFonts w:hint="eastAsia" w:ascii="宋体" w:hAnsi="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en-US" w:eastAsia="zh-CN" w:bidi="ar-SA"/>
              </w:rPr>
              <w:t>每辆得0.5分。本小项最高得1分；</w:t>
            </w:r>
          </w:p>
          <w:p>
            <w:pPr>
              <w:keepNext w:val="0"/>
              <w:keepLines w:val="0"/>
              <w:pageBreakBefore w:val="0"/>
              <w:numPr>
                <w:ilvl w:val="0"/>
                <w:numId w:val="7"/>
              </w:numPr>
              <w:kinsoku/>
              <w:wordWrap/>
              <w:overflowPunct/>
              <w:topLinePunct w:val="0"/>
              <w:autoSpaceDE/>
              <w:autoSpaceDN/>
              <w:bidi w:val="0"/>
              <w:adjustRightInd/>
              <w:spacing w:line="240" w:lineRule="auto"/>
              <w:ind w:right="3" w:rightChars="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具有</w:t>
            </w:r>
            <w:r>
              <w:rPr>
                <w:rFonts w:hint="eastAsia" w:ascii="宋体" w:hAnsi="宋体" w:eastAsia="宋体" w:cs="宋体"/>
                <w:color w:val="auto"/>
                <w:kern w:val="2"/>
                <w:sz w:val="21"/>
                <w:szCs w:val="21"/>
                <w:highlight w:val="none"/>
                <w:lang w:val="en-US" w:eastAsia="zh-CN" w:bidi="ar-SA"/>
              </w:rPr>
              <w:t>中型（或重型）专项作业车（吊车）</w:t>
            </w:r>
            <w:r>
              <w:rPr>
                <w:rFonts w:hint="eastAsia" w:ascii="宋体" w:hAnsi="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en-US" w:eastAsia="zh-CN" w:bidi="ar-SA"/>
              </w:rPr>
              <w:t>每辆得0.5分，本小项最高得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w:t>
            </w:r>
            <w:r>
              <w:rPr>
                <w:rFonts w:hint="eastAsia" w:ascii="Calibri" w:hAnsi="Calibri" w:eastAsia="宋体" w:cs="Calibri"/>
                <w:color w:val="auto"/>
                <w:kern w:val="2"/>
                <w:sz w:val="21"/>
                <w:szCs w:val="21"/>
                <w:highlight w:val="none"/>
                <w:lang w:val="en-US" w:eastAsia="zh-CN" w:bidi="ar-SA"/>
              </w:rPr>
              <w:t>①</w:t>
            </w:r>
            <w:r>
              <w:rPr>
                <w:rFonts w:hint="eastAsia" w:ascii="宋体" w:hAnsi="宋体" w:eastAsia="宋体" w:cs="宋体"/>
                <w:color w:val="auto"/>
                <w:kern w:val="2"/>
                <w:sz w:val="21"/>
                <w:szCs w:val="21"/>
                <w:highlight w:val="none"/>
                <w:lang w:val="en-US" w:eastAsia="zh-CN" w:bidi="ar-SA"/>
              </w:rPr>
              <w:t>自有车辆的证明材料：已办理车辆行驶证的车辆提供车辆行驶证和车辆照片；尚未办理行驶证的提供购车发票和车辆照片；</w:t>
            </w:r>
          </w:p>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strike/>
                <w:dstrike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②租赁车辆的证明材料：租赁合同（车辆租赁期须覆盖本项目的服务承包期限）、行驶证、车辆照片；</w:t>
            </w:r>
          </w:p>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trike w:val="0"/>
                <w:dstrike w:val="0"/>
                <w:color w:val="auto"/>
                <w:kern w:val="2"/>
                <w:sz w:val="21"/>
                <w:szCs w:val="21"/>
                <w:highlight w:val="none"/>
                <w:lang w:val="en-US" w:eastAsia="zh-CN" w:bidi="ar-SA"/>
              </w:rPr>
              <w:t>③</w:t>
            </w:r>
            <w:r>
              <w:rPr>
                <w:rFonts w:hint="eastAsia" w:ascii="宋体" w:hAnsi="宋体" w:eastAsia="宋体" w:cs="宋体"/>
                <w:color w:val="auto"/>
                <w:kern w:val="2"/>
                <w:sz w:val="21"/>
                <w:szCs w:val="21"/>
                <w:highlight w:val="none"/>
                <w:lang w:val="en-US" w:eastAsia="zh-CN" w:bidi="ar-SA"/>
              </w:rPr>
              <w:t>承诺中标后购买（或租赁）车辆的证明材料：购买（或租赁）承诺书及车辆照片，其中车辆租赁期须覆盖本项目的服务承包期限。</w:t>
            </w:r>
          </w:p>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以上材料提供扫描件加盖公章。</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客观分</w:t>
            </w:r>
          </w:p>
        </w:tc>
        <w:tc>
          <w:tcPr>
            <w:tcW w:w="543" w:type="pct"/>
            <w:noWrap w:val="0"/>
            <w:vAlign w:val="center"/>
          </w:tcPr>
          <w:p>
            <w:pPr>
              <w:keepNext w:val="0"/>
              <w:keepLines w:val="0"/>
              <w:pageBreakBefore w:val="0"/>
              <w:kinsoku/>
              <w:wordWrap/>
              <w:overflowPunct/>
              <w:topLinePunct w:val="0"/>
              <w:autoSpaceDE/>
              <w:autoSpaceDN/>
              <w:bidi w:val="0"/>
              <w:adjustRightInd/>
              <w:spacing w:line="240" w:lineRule="auto"/>
              <w:ind w:right="3" w:rightChars="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.2</w:t>
            </w:r>
          </w:p>
        </w:tc>
        <w:tc>
          <w:tcPr>
            <w:tcW w:w="3350" w:type="pct"/>
            <w:noWrap w:val="0"/>
            <w:vAlign w:val="center"/>
          </w:tcPr>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根据投标人拟投入本项目的交通清障辅助设备（包括枕木、警示筒、警示带、反光标志、拖车辅助轮、千斤顶、具有夜间拍摄和摄录功能的相机等）、通讯工具、消防器材及破拆工具等，由专家打分：</w:t>
            </w:r>
          </w:p>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①配备合理科学，满足采购要求的，得</w:t>
            </w:r>
            <w:r>
              <w:rPr>
                <w:rFonts w:hint="eastAsia" w:ascii="宋体" w:hAnsi="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分；</w:t>
            </w:r>
          </w:p>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②配备基本合理，基本满足采购要求的，得</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分；</w:t>
            </w:r>
          </w:p>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③配备较为简单或存在缺漏的，得1分；</w:t>
            </w:r>
          </w:p>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strike w:val="0"/>
                <w:dstrike w:val="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④未提供内容的，不得分。</w:t>
            </w:r>
          </w:p>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trike w:val="0"/>
                <w:dstrike w:val="0"/>
                <w:kern w:val="2"/>
                <w:sz w:val="21"/>
                <w:szCs w:val="21"/>
                <w:highlight w:val="none"/>
                <w:lang w:val="en-US" w:eastAsia="zh-CN" w:bidi="ar-SA"/>
              </w:rPr>
              <w:t>注：需提供有效的设备所有权证明材料（或购买承诺书）。</w:t>
            </w:r>
            <w:r>
              <w:rPr>
                <w:rFonts w:hint="eastAsia" w:ascii="宋体" w:hAnsi="宋体" w:eastAsia="宋体" w:cs="宋体"/>
                <w:kern w:val="2"/>
                <w:sz w:val="21"/>
                <w:szCs w:val="21"/>
                <w:highlight w:val="none"/>
                <w:lang w:val="en-US" w:eastAsia="zh-CN" w:bidi="ar-SA"/>
              </w:rPr>
              <w:t>以上材料提供扫描件加盖公章。</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主观分</w:t>
            </w:r>
          </w:p>
        </w:tc>
        <w:tc>
          <w:tcPr>
            <w:tcW w:w="543" w:type="pct"/>
            <w:noWrap w:val="0"/>
            <w:vAlign w:val="center"/>
          </w:tcPr>
          <w:p>
            <w:pPr>
              <w:jc w:val="center"/>
              <w:rPr>
                <w:rFonts w:hint="eastAsia" w:ascii="宋体" w:hAnsi="宋体" w:eastAsia="宋体" w:cs="宋体"/>
                <w:snapToGrid w:val="0"/>
                <w:kern w:val="2"/>
                <w:sz w:val="21"/>
                <w:szCs w:val="21"/>
                <w:highlight w:val="none"/>
                <w:lang w:val="en-US" w:eastAsia="zh-CN" w:bidi="ar-SA"/>
              </w:rPr>
            </w:pPr>
            <w:r>
              <w:rPr>
                <w:rFonts w:hint="eastAsia" w:ascii="宋体" w:hAnsi="宋体" w:cs="宋体"/>
                <w:snapToGrid w:val="0"/>
                <w:sz w:val="21"/>
                <w:szCs w:val="21"/>
                <w:highlight w:val="none"/>
                <w:lang w:val="en-US" w:eastAsia="zh-CN"/>
              </w:rPr>
              <w:t>5</w:t>
            </w:r>
            <w:r>
              <w:rPr>
                <w:rFonts w:hint="eastAsia" w:ascii="宋体" w:hAnsi="宋体" w:eastAsia="宋体" w:cs="宋体"/>
                <w:snapToGrid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3350" w:type="pct"/>
            <w:noWrap w:val="0"/>
            <w:vAlign w:val="center"/>
          </w:tcPr>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拟投入使用的停车场</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sz w:val="21"/>
                <w:szCs w:val="21"/>
                <w:highlight w:val="none"/>
              </w:rPr>
            </w:pPr>
          </w:p>
        </w:tc>
        <w:tc>
          <w:tcPr>
            <w:tcW w:w="543" w:type="pct"/>
            <w:noWrap w:val="0"/>
            <w:vAlign w:val="center"/>
          </w:tcPr>
          <w:p>
            <w:pPr>
              <w:keepNext w:val="0"/>
              <w:keepLines w:val="0"/>
              <w:pageBreakBefore w:val="0"/>
              <w:kinsoku/>
              <w:wordWrap/>
              <w:overflowPunct/>
              <w:topLinePunct w:val="0"/>
              <w:autoSpaceDE/>
              <w:autoSpaceDN/>
              <w:bidi w:val="0"/>
              <w:adjustRightInd/>
              <w:spacing w:line="240" w:lineRule="auto"/>
              <w:ind w:right="3" w:rightChars="0"/>
              <w:jc w:val="center"/>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.1</w:t>
            </w:r>
          </w:p>
        </w:tc>
        <w:tc>
          <w:tcPr>
            <w:tcW w:w="3350" w:type="pct"/>
            <w:noWrap w:val="0"/>
            <w:vAlign w:val="center"/>
          </w:tcPr>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根据投标人拟投入使用的停车场地的面积、位置分布等情况，由专家打分：</w:t>
            </w:r>
          </w:p>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①配备合理科学，满足采购要求的，得</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②配备基本合理，基本满足采购要求的，得</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③配备较为简单或存在缺漏的，得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④未提供内容的，不得分。</w:t>
            </w:r>
          </w:p>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注：如为自有场地的须提供产权证明；如为租赁场地的须提供有效的租赁证明材料或意向租赁协议证明材料。</w:t>
            </w:r>
          </w:p>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以上材料提供扫描件加盖公章。</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主观分</w:t>
            </w:r>
          </w:p>
        </w:tc>
        <w:tc>
          <w:tcPr>
            <w:tcW w:w="543" w:type="pct"/>
            <w:noWrap w:val="0"/>
            <w:vAlign w:val="center"/>
          </w:tcPr>
          <w:p>
            <w:pPr>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sz w:val="21"/>
                <w:szCs w:val="21"/>
                <w:highlight w:val="none"/>
                <w:lang w:val="en-US" w:eastAsia="zh-CN"/>
              </w:rPr>
              <w:t>10</w:t>
            </w:r>
            <w:r>
              <w:rPr>
                <w:rFonts w:hint="eastAsia" w:ascii="宋体" w:hAnsi="宋体" w:eastAsia="宋体" w:cs="宋体"/>
                <w:snapToGrid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.2</w:t>
            </w:r>
          </w:p>
        </w:tc>
        <w:tc>
          <w:tcPr>
            <w:tcW w:w="3350" w:type="pct"/>
            <w:noWrap w:val="0"/>
            <w:vAlign w:val="center"/>
          </w:tcPr>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根据投标人拟投入停车场的平面布局、现场布置（包括围墙、大门等）、设备配置（包括办公设备、监控设备、报警防盗装置等）等情况，由专家打分：</w:t>
            </w:r>
          </w:p>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①配备合理科学，满足采购要求的，得5分；</w:t>
            </w:r>
          </w:p>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②配备基本合理，基本满足采购要求的，得3分；</w:t>
            </w:r>
          </w:p>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③配备较为简单或存在缺漏的，得1分；</w:t>
            </w:r>
          </w:p>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④未提供内容的，不得分。</w:t>
            </w:r>
          </w:p>
          <w:p>
            <w:pPr>
              <w:keepNext w:val="0"/>
              <w:keepLines w:val="0"/>
              <w:pageBreakBefore w:val="0"/>
              <w:kinsoku/>
              <w:wordWrap/>
              <w:overflowPunct/>
              <w:topLinePunct w:val="0"/>
              <w:autoSpaceDE/>
              <w:autoSpaceDN/>
              <w:bidi w:val="0"/>
              <w:adjustRightInd/>
              <w:spacing w:line="240" w:lineRule="auto"/>
              <w:ind w:right="3" w:righ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注：需提供相关证明材料以及有效的设备所有权证明材料（或购买承诺书）。以上材料提供扫描件加盖公章。</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主观分</w:t>
            </w:r>
          </w:p>
        </w:tc>
        <w:tc>
          <w:tcPr>
            <w:tcW w:w="543" w:type="pct"/>
            <w:noWrap w:val="0"/>
            <w:vAlign w:val="center"/>
          </w:tcPr>
          <w:p>
            <w:pPr>
              <w:jc w:val="center"/>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sz w:val="21"/>
                <w:szCs w:val="21"/>
                <w:highlight w:val="none"/>
                <w:lang w:val="en-US" w:eastAsia="zh-CN"/>
              </w:rPr>
              <w:t>5</w:t>
            </w:r>
            <w:r>
              <w:rPr>
                <w:rFonts w:hint="eastAsia" w:ascii="宋体" w:hAnsi="宋体" w:eastAsia="宋体" w:cs="宋体"/>
                <w:snapToGrid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w:t>
            </w:r>
          </w:p>
        </w:tc>
        <w:tc>
          <w:tcPr>
            <w:tcW w:w="3350" w:type="pct"/>
            <w:noWrap w:val="0"/>
            <w:vAlign w:val="center"/>
          </w:tcPr>
          <w:p>
            <w:pPr>
              <w:pStyle w:val="56"/>
              <w:keepNext w:val="0"/>
              <w:keepLines w:val="0"/>
              <w:pageBreakBefore w:val="0"/>
              <w:kinsoku/>
              <w:wordWrap/>
              <w:overflowPunct/>
              <w:topLinePunct w:val="0"/>
              <w:autoSpaceDE/>
              <w:autoSpaceDN/>
              <w:bidi w:val="0"/>
              <w:snapToGrid/>
              <w:spacing w:line="240" w:lineRule="auto"/>
              <w:ind w:firstLine="0" w:firstLineChars="0"/>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拟投入人员</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kern w:val="2"/>
                <w:sz w:val="21"/>
                <w:szCs w:val="21"/>
                <w:highlight w:val="none"/>
                <w:lang w:val="en-US" w:eastAsia="zh-CN" w:bidi="ar-SA"/>
              </w:rPr>
            </w:pPr>
          </w:p>
        </w:tc>
        <w:tc>
          <w:tcPr>
            <w:tcW w:w="543" w:type="pct"/>
            <w:noWrap w:val="0"/>
            <w:vAlign w:val="center"/>
          </w:tcPr>
          <w:p>
            <w:pPr>
              <w:jc w:val="center"/>
              <w:rPr>
                <w:rFonts w:hint="eastAsia" w:ascii="宋体" w:hAnsi="宋体" w:eastAsia="宋体" w:cs="宋体"/>
                <w:snapToGrid w:val="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.1</w:t>
            </w:r>
          </w:p>
        </w:tc>
        <w:tc>
          <w:tcPr>
            <w:tcW w:w="3350" w:type="pct"/>
            <w:noWrap w:val="0"/>
            <w:vAlign w:val="center"/>
          </w:tcPr>
          <w:p>
            <w:pPr>
              <w:keepNext w:val="0"/>
              <w:keepLines w:val="0"/>
              <w:pageBreakBefore w:val="0"/>
              <w:numPr>
                <w:ilvl w:val="0"/>
                <w:numId w:val="0"/>
              </w:numPr>
              <w:kinsoku/>
              <w:wordWrap/>
              <w:overflowPunct/>
              <w:topLinePunct w:val="0"/>
              <w:autoSpaceDE/>
              <w:autoSpaceDN/>
              <w:bidi w:val="0"/>
              <w:snapToGrid/>
              <w:spacing w:line="240" w:lineRule="auto"/>
              <w:ind w:left="0" w:leftChars="0" w:right="3" w:rightChars="0" w:firstLine="0" w:firstLineChars="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项目负责人：</w:t>
            </w:r>
          </w:p>
          <w:p>
            <w:pPr>
              <w:keepNext w:val="0"/>
              <w:keepLines w:val="0"/>
              <w:pageBreakBefore w:val="0"/>
              <w:numPr>
                <w:ilvl w:val="0"/>
                <w:numId w:val="0"/>
              </w:numPr>
              <w:kinsoku/>
              <w:wordWrap/>
              <w:overflowPunct/>
              <w:topLinePunct w:val="0"/>
              <w:autoSpaceDE/>
              <w:autoSpaceDN/>
              <w:bidi w:val="0"/>
              <w:snapToGrid/>
              <w:spacing w:line="240" w:lineRule="auto"/>
              <w:ind w:left="0" w:leftChars="0" w:right="3" w:rightChars="0" w:firstLine="0" w:firstLineChars="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根据项目负责人的专业素质、工作经验等情况，由专家打分：</w:t>
            </w:r>
          </w:p>
          <w:p>
            <w:pPr>
              <w:keepNext w:val="0"/>
              <w:keepLines w:val="0"/>
              <w:pageBreakBefore w:val="0"/>
              <w:numPr>
                <w:ilvl w:val="0"/>
                <w:numId w:val="0"/>
              </w:numPr>
              <w:kinsoku/>
              <w:wordWrap/>
              <w:overflowPunct/>
              <w:topLinePunct w:val="0"/>
              <w:autoSpaceDE/>
              <w:autoSpaceDN/>
              <w:bidi w:val="0"/>
              <w:snapToGrid/>
              <w:spacing w:line="240" w:lineRule="auto"/>
              <w:ind w:right="3" w:rightChars="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kern w:val="2"/>
                <w:sz w:val="21"/>
                <w:szCs w:val="21"/>
                <w:highlight w:val="none"/>
                <w:lang w:val="en-US" w:eastAsia="zh-CN" w:bidi="ar-SA"/>
              </w:rPr>
              <w:t>①</w:t>
            </w:r>
            <w:r>
              <w:rPr>
                <w:rFonts w:hint="eastAsia" w:ascii="宋体" w:hAnsi="宋体" w:eastAsia="宋体" w:cs="宋体"/>
                <w:b w:val="0"/>
                <w:bCs/>
                <w:color w:val="auto"/>
                <w:sz w:val="21"/>
                <w:szCs w:val="21"/>
                <w:highlight w:val="none"/>
                <w:lang w:eastAsia="zh-CN"/>
              </w:rPr>
              <w:t>配备合理科学，满足采购要求的，</w:t>
            </w:r>
            <w:r>
              <w:rPr>
                <w:rFonts w:hint="eastAsia" w:ascii="宋体" w:hAnsi="宋体" w:eastAsia="宋体" w:cs="宋体"/>
                <w:b w:val="0"/>
                <w:bCs/>
                <w:color w:val="auto"/>
                <w:sz w:val="21"/>
                <w:szCs w:val="21"/>
                <w:highlight w:val="none"/>
                <w:lang w:val="en-US" w:eastAsia="zh-CN"/>
              </w:rPr>
              <w:t>得</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eastAsia="zh-CN"/>
              </w:rPr>
              <w:t>分；</w:t>
            </w:r>
          </w:p>
          <w:p>
            <w:pPr>
              <w:keepNext w:val="0"/>
              <w:keepLines w:val="0"/>
              <w:pageBreakBefore w:val="0"/>
              <w:numPr>
                <w:ilvl w:val="0"/>
                <w:numId w:val="0"/>
              </w:numPr>
              <w:kinsoku/>
              <w:wordWrap/>
              <w:overflowPunct/>
              <w:topLinePunct w:val="0"/>
              <w:autoSpaceDE/>
              <w:autoSpaceDN/>
              <w:bidi w:val="0"/>
              <w:snapToGrid/>
              <w:spacing w:line="240" w:lineRule="auto"/>
              <w:ind w:right="3" w:rightChars="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kern w:val="2"/>
                <w:sz w:val="21"/>
                <w:szCs w:val="21"/>
                <w:highlight w:val="none"/>
                <w:lang w:val="en-US" w:eastAsia="zh-CN" w:bidi="ar-SA"/>
              </w:rPr>
              <w:t>②</w:t>
            </w:r>
            <w:r>
              <w:rPr>
                <w:rFonts w:hint="eastAsia" w:ascii="宋体" w:hAnsi="宋体" w:eastAsia="宋体" w:cs="宋体"/>
                <w:b w:val="0"/>
                <w:bCs/>
                <w:color w:val="auto"/>
                <w:sz w:val="21"/>
                <w:szCs w:val="21"/>
                <w:highlight w:val="none"/>
                <w:lang w:eastAsia="zh-CN"/>
              </w:rPr>
              <w:t>配备基本合理，基本满足采购要求的，</w:t>
            </w:r>
            <w:r>
              <w:rPr>
                <w:rFonts w:hint="eastAsia" w:ascii="宋体" w:hAnsi="宋体" w:eastAsia="宋体" w:cs="宋体"/>
                <w:b w:val="0"/>
                <w:bCs/>
                <w:color w:val="auto"/>
                <w:sz w:val="21"/>
                <w:szCs w:val="21"/>
                <w:highlight w:val="none"/>
                <w:lang w:val="en-US" w:eastAsia="zh-CN"/>
              </w:rPr>
              <w:t>得</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eastAsia="zh-CN"/>
              </w:rPr>
              <w:t>分；</w:t>
            </w:r>
          </w:p>
          <w:p>
            <w:pPr>
              <w:numPr>
                <w:ilvl w:val="0"/>
                <w:numId w:val="0"/>
              </w:numPr>
              <w:ind w:right="3" w:rightChars="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③</w:t>
            </w:r>
            <w:r>
              <w:rPr>
                <w:rFonts w:hint="eastAsia" w:ascii="宋体" w:hAnsi="宋体" w:eastAsia="宋体" w:cs="宋体"/>
                <w:b w:val="0"/>
                <w:bCs/>
                <w:color w:val="auto"/>
                <w:sz w:val="21"/>
                <w:szCs w:val="21"/>
                <w:highlight w:val="none"/>
                <w:lang w:eastAsia="zh-CN"/>
              </w:rPr>
              <w:t>配备较为简单或存在缺漏的，</w:t>
            </w:r>
            <w:r>
              <w:rPr>
                <w:rFonts w:hint="eastAsia" w:ascii="宋体" w:hAnsi="宋体" w:eastAsia="宋体" w:cs="宋体"/>
                <w:b w:val="0"/>
                <w:bCs/>
                <w:color w:val="auto"/>
                <w:sz w:val="21"/>
                <w:szCs w:val="21"/>
                <w:highlight w:val="none"/>
                <w:lang w:val="en-US" w:eastAsia="zh-CN"/>
              </w:rPr>
              <w:t>得1</w:t>
            </w:r>
            <w:r>
              <w:rPr>
                <w:rFonts w:hint="eastAsia" w:ascii="宋体" w:hAnsi="宋体" w:eastAsia="宋体" w:cs="宋体"/>
                <w:b w:val="0"/>
                <w:bCs/>
                <w:color w:val="auto"/>
                <w:sz w:val="21"/>
                <w:szCs w:val="21"/>
                <w:highlight w:val="none"/>
                <w:lang w:eastAsia="zh-CN"/>
              </w:rPr>
              <w:t>分</w:t>
            </w:r>
            <w:r>
              <w:rPr>
                <w:rFonts w:hint="eastAsia" w:ascii="宋体" w:hAnsi="宋体" w:eastAsia="宋体" w:cs="宋体"/>
                <w:b w:val="0"/>
                <w:bCs/>
                <w:color w:val="auto"/>
                <w:sz w:val="21"/>
                <w:szCs w:val="21"/>
                <w:highlight w:val="none"/>
                <w:lang w:val="en-US" w:eastAsia="zh-CN"/>
              </w:rPr>
              <w:t>；</w:t>
            </w:r>
          </w:p>
          <w:p>
            <w:pPr>
              <w:keepNext w:val="0"/>
              <w:keepLines w:val="0"/>
              <w:pageBreakBefore w:val="0"/>
              <w:numPr>
                <w:ilvl w:val="0"/>
                <w:numId w:val="0"/>
              </w:numPr>
              <w:kinsoku/>
              <w:wordWrap/>
              <w:overflowPunct/>
              <w:topLinePunct w:val="0"/>
              <w:autoSpaceDE/>
              <w:autoSpaceDN/>
              <w:bidi w:val="0"/>
              <w:snapToGrid/>
              <w:spacing w:line="240" w:lineRule="auto"/>
              <w:ind w:right="3" w:rightChars="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④未提供内容的，不得分。</w:t>
            </w:r>
          </w:p>
          <w:p>
            <w:pPr>
              <w:pStyle w:val="56"/>
              <w:keepNext w:val="0"/>
              <w:keepLines w:val="0"/>
              <w:pageBreakBefore w:val="0"/>
              <w:kinsoku/>
              <w:wordWrap/>
              <w:overflowPunct/>
              <w:topLinePunct w:val="0"/>
              <w:autoSpaceDE/>
              <w:autoSpaceDN/>
              <w:bidi w:val="0"/>
              <w:snapToGrid/>
              <w:spacing w:line="240" w:lineRule="auto"/>
              <w:ind w:firstLine="0" w:firstLineChars="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注：</w:t>
            </w:r>
            <w:r>
              <w:rPr>
                <w:rFonts w:hint="eastAsia" w:ascii="宋体" w:hAnsi="宋体" w:eastAsia="宋体" w:cs="宋体"/>
                <w:b w:val="0"/>
                <w:bCs/>
                <w:color w:val="auto"/>
                <w:sz w:val="21"/>
                <w:szCs w:val="21"/>
                <w:highlight w:val="none"/>
              </w:rPr>
              <w:t>需提供</w:t>
            </w:r>
            <w:r>
              <w:rPr>
                <w:rFonts w:hint="eastAsia" w:ascii="宋体" w:hAnsi="宋体" w:eastAsia="宋体" w:cs="宋体"/>
                <w:b w:val="0"/>
                <w:bCs/>
                <w:color w:val="auto"/>
                <w:sz w:val="21"/>
                <w:szCs w:val="21"/>
                <w:highlight w:val="none"/>
                <w:lang w:eastAsia="zh-CN"/>
              </w:rPr>
              <w:t>工作评价表、其他</w:t>
            </w:r>
            <w:r>
              <w:rPr>
                <w:rFonts w:hint="eastAsia" w:ascii="宋体" w:hAnsi="宋体" w:eastAsia="宋体" w:cs="宋体"/>
                <w:b w:val="0"/>
                <w:bCs/>
                <w:color w:val="auto"/>
                <w:sz w:val="21"/>
                <w:szCs w:val="21"/>
                <w:highlight w:val="none"/>
              </w:rPr>
              <w:t>相关证明资料</w:t>
            </w:r>
            <w:r>
              <w:rPr>
                <w:rFonts w:hint="eastAsia" w:ascii="宋体" w:hAnsi="宋体" w:eastAsia="宋体" w:cs="宋体"/>
                <w:b w:val="0"/>
                <w:bCs/>
                <w:color w:val="auto"/>
                <w:sz w:val="21"/>
                <w:szCs w:val="21"/>
                <w:highlight w:val="none"/>
                <w:lang w:eastAsia="zh-CN"/>
              </w:rPr>
              <w:t>及</w:t>
            </w:r>
            <w:r>
              <w:rPr>
                <w:rFonts w:hint="eastAsia" w:ascii="宋体" w:hAnsi="宋体" w:eastAsia="宋体" w:cs="宋体"/>
                <w:b w:val="0"/>
                <w:bCs/>
                <w:sz w:val="21"/>
                <w:szCs w:val="21"/>
                <w:lang w:val="en-US" w:eastAsia="zh-CN"/>
              </w:rPr>
              <w:t>在本单位2024年06</w:t>
            </w:r>
            <w:bookmarkStart w:id="238" w:name="_GoBack"/>
            <w:bookmarkEnd w:id="238"/>
            <w:r>
              <w:rPr>
                <w:rFonts w:hint="eastAsia" w:ascii="宋体" w:hAnsi="宋体" w:eastAsia="宋体" w:cs="宋体"/>
                <w:b w:val="0"/>
                <w:bCs/>
                <w:sz w:val="21"/>
                <w:szCs w:val="21"/>
                <w:lang w:val="en-US" w:eastAsia="zh-CN"/>
              </w:rPr>
              <w:t>月01日至投标截止时间为止任意一月的社保缴纳情况证明（个人参保证明以到账为准、单位参保证明以养老保险参保为准）</w:t>
            </w:r>
            <w:r>
              <w:rPr>
                <w:rFonts w:hint="eastAsia" w:ascii="宋体" w:hAnsi="宋体" w:eastAsia="宋体" w:cs="宋体"/>
                <w:b w:val="0"/>
                <w:bCs/>
                <w:color w:val="auto"/>
                <w:sz w:val="21"/>
                <w:szCs w:val="21"/>
                <w:highlight w:val="none"/>
                <w:lang w:eastAsia="zh-CN"/>
              </w:rPr>
              <w:t>扫描件加盖供应商公章。若公司成立不满</w:t>
            </w:r>
            <w:r>
              <w:rPr>
                <w:rFonts w:hint="eastAsia" w:ascii="宋体" w:hAnsi="宋体" w:eastAsia="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lang w:eastAsia="zh-CN"/>
              </w:rPr>
              <w:t>个月的，则提供</w:t>
            </w:r>
            <w:r>
              <w:rPr>
                <w:rFonts w:hint="eastAsia" w:ascii="宋体" w:hAnsi="宋体" w:eastAsia="宋体" w:cs="宋体"/>
                <w:b w:val="0"/>
                <w:bCs/>
                <w:color w:val="auto"/>
                <w:sz w:val="21"/>
                <w:szCs w:val="21"/>
                <w:highlight w:val="none"/>
                <w:lang w:val="en-US" w:eastAsia="zh-CN"/>
              </w:rPr>
              <w:t>相关人员</w:t>
            </w:r>
            <w:r>
              <w:rPr>
                <w:rFonts w:hint="eastAsia" w:ascii="宋体" w:hAnsi="宋体" w:eastAsia="宋体" w:cs="宋体"/>
                <w:b w:val="0"/>
                <w:bCs/>
                <w:color w:val="auto"/>
                <w:sz w:val="21"/>
                <w:szCs w:val="21"/>
                <w:highlight w:val="none"/>
                <w:lang w:eastAsia="zh-CN"/>
              </w:rPr>
              <w:t>公司成立起至今的社保证明材料扫描件。</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主观分</w:t>
            </w:r>
          </w:p>
        </w:tc>
        <w:tc>
          <w:tcPr>
            <w:tcW w:w="543" w:type="pct"/>
            <w:noWrap w:val="0"/>
            <w:vAlign w:val="center"/>
          </w:tcPr>
          <w:p>
            <w:pPr>
              <w:jc w:val="center"/>
              <w:rPr>
                <w:rFonts w:hint="eastAsia" w:ascii="宋体" w:hAnsi="宋体" w:eastAsia="宋体" w:cs="宋体"/>
                <w:snapToGrid w:val="0"/>
                <w:kern w:val="2"/>
                <w:sz w:val="21"/>
                <w:szCs w:val="21"/>
                <w:highlight w:val="none"/>
                <w:lang w:val="en-US" w:eastAsia="zh-CN" w:bidi="ar-SA"/>
              </w:rPr>
            </w:pPr>
            <w:r>
              <w:rPr>
                <w:rFonts w:hint="eastAsia" w:ascii="宋体" w:hAnsi="宋体" w:cs="宋体"/>
                <w:snapToGrid w:val="0"/>
                <w:sz w:val="21"/>
                <w:szCs w:val="21"/>
                <w:highlight w:val="none"/>
                <w:lang w:val="en-US" w:eastAsia="zh-CN"/>
              </w:rPr>
              <w:t>5</w:t>
            </w:r>
            <w:r>
              <w:rPr>
                <w:rFonts w:hint="eastAsia" w:ascii="宋体" w:hAnsi="宋体" w:eastAsia="宋体" w:cs="宋体"/>
                <w:snapToGrid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2</w:t>
            </w:r>
          </w:p>
        </w:tc>
        <w:tc>
          <w:tcPr>
            <w:tcW w:w="3350" w:type="pct"/>
            <w:noWrap w:val="0"/>
            <w:vAlign w:val="center"/>
          </w:tcPr>
          <w:p>
            <w:pPr>
              <w:pStyle w:val="56"/>
              <w:keepNext w:val="0"/>
              <w:keepLines w:val="0"/>
              <w:pageBreakBefore w:val="0"/>
              <w:kinsoku/>
              <w:wordWrap/>
              <w:overflowPunct/>
              <w:topLinePunct w:val="0"/>
              <w:autoSpaceDE/>
              <w:autoSpaceDN/>
              <w:bidi w:val="0"/>
              <w:snapToGrid/>
              <w:spacing w:line="240" w:lineRule="auto"/>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车辆保管人员</w:t>
            </w:r>
            <w:r>
              <w:rPr>
                <w:rFonts w:hint="eastAsia" w:ascii="宋体" w:hAnsi="宋体" w:eastAsia="宋体" w:cs="宋体"/>
                <w:color w:val="auto"/>
                <w:highlight w:val="none"/>
                <w:lang w:eastAsia="zh-CN"/>
              </w:rPr>
              <w:t>：</w:t>
            </w:r>
          </w:p>
          <w:p>
            <w:pPr>
              <w:keepNext w:val="0"/>
              <w:keepLines w:val="0"/>
              <w:pageBreakBefore w:val="0"/>
              <w:numPr>
                <w:ilvl w:val="0"/>
                <w:numId w:val="0"/>
              </w:numPr>
              <w:kinsoku/>
              <w:wordWrap/>
              <w:overflowPunct/>
              <w:topLinePunct w:val="0"/>
              <w:autoSpaceDE/>
              <w:autoSpaceDN/>
              <w:bidi w:val="0"/>
              <w:snapToGrid/>
              <w:spacing w:line="240" w:lineRule="auto"/>
              <w:ind w:left="0" w:leftChars="0" w:right="3" w:rightChars="0" w:firstLine="0" w:firstLineChars="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根据车辆保管人员的数量、年龄、工作年限、专业素质及技术能力等情况，由专家打分：</w:t>
            </w:r>
          </w:p>
          <w:p>
            <w:pPr>
              <w:keepNext w:val="0"/>
              <w:keepLines w:val="0"/>
              <w:pageBreakBefore w:val="0"/>
              <w:numPr>
                <w:ilvl w:val="0"/>
                <w:numId w:val="0"/>
              </w:numPr>
              <w:kinsoku/>
              <w:wordWrap/>
              <w:overflowPunct/>
              <w:topLinePunct w:val="0"/>
              <w:autoSpaceDE/>
              <w:autoSpaceDN/>
              <w:bidi w:val="0"/>
              <w:snapToGrid/>
              <w:spacing w:line="240" w:lineRule="auto"/>
              <w:ind w:right="3" w:rightChars="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kern w:val="2"/>
                <w:sz w:val="21"/>
                <w:szCs w:val="21"/>
                <w:highlight w:val="none"/>
                <w:lang w:val="en-US" w:eastAsia="zh-CN" w:bidi="ar-SA"/>
              </w:rPr>
              <w:t>①</w:t>
            </w:r>
            <w:r>
              <w:rPr>
                <w:rFonts w:hint="eastAsia" w:ascii="宋体" w:hAnsi="宋体" w:eastAsia="宋体" w:cs="宋体"/>
                <w:b w:val="0"/>
                <w:bCs/>
                <w:color w:val="auto"/>
                <w:sz w:val="21"/>
                <w:szCs w:val="21"/>
                <w:highlight w:val="none"/>
                <w:lang w:eastAsia="zh-CN"/>
              </w:rPr>
              <w:t>配备合理科学，满足采购要求的，</w:t>
            </w:r>
            <w:r>
              <w:rPr>
                <w:rFonts w:hint="eastAsia" w:ascii="宋体" w:hAnsi="宋体" w:eastAsia="宋体" w:cs="宋体"/>
                <w:b w:val="0"/>
                <w:bCs/>
                <w:color w:val="auto"/>
                <w:sz w:val="21"/>
                <w:szCs w:val="21"/>
                <w:highlight w:val="none"/>
                <w:lang w:val="en-US" w:eastAsia="zh-CN"/>
              </w:rPr>
              <w:t>得5</w:t>
            </w:r>
            <w:r>
              <w:rPr>
                <w:rFonts w:hint="eastAsia" w:ascii="宋体" w:hAnsi="宋体" w:eastAsia="宋体" w:cs="宋体"/>
                <w:b w:val="0"/>
                <w:bCs/>
                <w:color w:val="auto"/>
                <w:sz w:val="21"/>
                <w:szCs w:val="21"/>
                <w:highlight w:val="none"/>
                <w:lang w:eastAsia="zh-CN"/>
              </w:rPr>
              <w:t>分；</w:t>
            </w:r>
          </w:p>
          <w:p>
            <w:pPr>
              <w:keepNext w:val="0"/>
              <w:keepLines w:val="0"/>
              <w:pageBreakBefore w:val="0"/>
              <w:numPr>
                <w:ilvl w:val="0"/>
                <w:numId w:val="0"/>
              </w:numPr>
              <w:kinsoku/>
              <w:wordWrap/>
              <w:overflowPunct/>
              <w:topLinePunct w:val="0"/>
              <w:autoSpaceDE/>
              <w:autoSpaceDN/>
              <w:bidi w:val="0"/>
              <w:snapToGrid/>
              <w:spacing w:line="240" w:lineRule="auto"/>
              <w:ind w:right="3" w:rightChars="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kern w:val="2"/>
                <w:sz w:val="21"/>
                <w:szCs w:val="21"/>
                <w:highlight w:val="none"/>
                <w:lang w:val="en-US" w:eastAsia="zh-CN" w:bidi="ar-SA"/>
              </w:rPr>
              <w:t>②</w:t>
            </w:r>
            <w:r>
              <w:rPr>
                <w:rFonts w:hint="eastAsia" w:ascii="宋体" w:hAnsi="宋体" w:eastAsia="宋体" w:cs="宋体"/>
                <w:b w:val="0"/>
                <w:bCs/>
                <w:color w:val="auto"/>
                <w:sz w:val="21"/>
                <w:szCs w:val="21"/>
                <w:highlight w:val="none"/>
                <w:lang w:eastAsia="zh-CN"/>
              </w:rPr>
              <w:t>配备基本合理，基本满足采购要求的，</w:t>
            </w:r>
            <w:r>
              <w:rPr>
                <w:rFonts w:hint="eastAsia" w:ascii="宋体" w:hAnsi="宋体" w:eastAsia="宋体" w:cs="宋体"/>
                <w:b w:val="0"/>
                <w:bCs/>
                <w:color w:val="auto"/>
                <w:sz w:val="21"/>
                <w:szCs w:val="21"/>
                <w:highlight w:val="none"/>
                <w:lang w:val="en-US" w:eastAsia="zh-CN"/>
              </w:rPr>
              <w:t>得3</w:t>
            </w:r>
            <w:r>
              <w:rPr>
                <w:rFonts w:hint="eastAsia" w:ascii="宋体" w:hAnsi="宋体" w:eastAsia="宋体" w:cs="宋体"/>
                <w:b w:val="0"/>
                <w:bCs/>
                <w:color w:val="auto"/>
                <w:sz w:val="21"/>
                <w:szCs w:val="21"/>
                <w:highlight w:val="none"/>
                <w:lang w:eastAsia="zh-CN"/>
              </w:rPr>
              <w:t>分；</w:t>
            </w:r>
          </w:p>
          <w:p>
            <w:pPr>
              <w:numPr>
                <w:ilvl w:val="0"/>
                <w:numId w:val="0"/>
              </w:numPr>
              <w:ind w:right="3" w:rightChars="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③</w:t>
            </w:r>
            <w:r>
              <w:rPr>
                <w:rFonts w:hint="eastAsia" w:ascii="宋体" w:hAnsi="宋体" w:eastAsia="宋体" w:cs="宋体"/>
                <w:b w:val="0"/>
                <w:bCs/>
                <w:color w:val="auto"/>
                <w:sz w:val="21"/>
                <w:szCs w:val="21"/>
                <w:highlight w:val="none"/>
                <w:lang w:eastAsia="zh-CN"/>
              </w:rPr>
              <w:t>配备较为简单或存在缺漏的，</w:t>
            </w:r>
            <w:r>
              <w:rPr>
                <w:rFonts w:hint="eastAsia" w:ascii="宋体" w:hAnsi="宋体" w:eastAsia="宋体" w:cs="宋体"/>
                <w:b w:val="0"/>
                <w:bCs/>
                <w:color w:val="auto"/>
                <w:sz w:val="21"/>
                <w:szCs w:val="21"/>
                <w:highlight w:val="none"/>
                <w:lang w:val="en-US" w:eastAsia="zh-CN"/>
              </w:rPr>
              <w:t>得1</w:t>
            </w:r>
            <w:r>
              <w:rPr>
                <w:rFonts w:hint="eastAsia" w:ascii="宋体" w:hAnsi="宋体" w:eastAsia="宋体" w:cs="宋体"/>
                <w:b w:val="0"/>
                <w:bCs/>
                <w:color w:val="auto"/>
                <w:sz w:val="21"/>
                <w:szCs w:val="21"/>
                <w:highlight w:val="none"/>
                <w:lang w:eastAsia="zh-CN"/>
              </w:rPr>
              <w:t>分</w:t>
            </w:r>
            <w:r>
              <w:rPr>
                <w:rFonts w:hint="eastAsia" w:ascii="宋体" w:hAnsi="宋体" w:eastAsia="宋体" w:cs="宋体"/>
                <w:b w:val="0"/>
                <w:bCs/>
                <w:color w:val="auto"/>
                <w:sz w:val="21"/>
                <w:szCs w:val="21"/>
                <w:highlight w:val="none"/>
                <w:lang w:val="en-US" w:eastAsia="zh-CN"/>
              </w:rPr>
              <w:t>；</w:t>
            </w:r>
          </w:p>
          <w:p>
            <w:pPr>
              <w:keepNext w:val="0"/>
              <w:keepLines w:val="0"/>
              <w:pageBreakBefore w:val="0"/>
              <w:numPr>
                <w:ilvl w:val="0"/>
                <w:numId w:val="0"/>
              </w:numPr>
              <w:kinsoku/>
              <w:wordWrap/>
              <w:overflowPunct/>
              <w:topLinePunct w:val="0"/>
              <w:autoSpaceDE/>
              <w:autoSpaceDN/>
              <w:bidi w:val="0"/>
              <w:snapToGrid/>
              <w:spacing w:line="240" w:lineRule="auto"/>
              <w:ind w:right="3" w:rightChars="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④未提供内容的，不得分。</w:t>
            </w:r>
          </w:p>
          <w:p>
            <w:pPr>
              <w:pStyle w:val="56"/>
              <w:keepNext w:val="0"/>
              <w:keepLines w:val="0"/>
              <w:pageBreakBefore w:val="0"/>
              <w:kinsoku/>
              <w:wordWrap/>
              <w:overflowPunct/>
              <w:topLinePunct w:val="0"/>
              <w:autoSpaceDE/>
              <w:autoSpaceDN/>
              <w:bidi w:val="0"/>
              <w:snapToGrid/>
              <w:spacing w:line="240" w:lineRule="auto"/>
              <w:ind w:firstLine="0" w:firstLineChars="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注：</w:t>
            </w:r>
            <w:r>
              <w:rPr>
                <w:rFonts w:hint="eastAsia" w:ascii="宋体" w:hAnsi="宋体" w:eastAsia="宋体" w:cs="宋体"/>
                <w:b w:val="0"/>
                <w:bCs/>
                <w:color w:val="auto"/>
                <w:sz w:val="21"/>
                <w:szCs w:val="21"/>
                <w:highlight w:val="none"/>
              </w:rPr>
              <w:t>需提供相关证明资料</w:t>
            </w:r>
            <w:r>
              <w:rPr>
                <w:rFonts w:hint="eastAsia" w:ascii="宋体" w:hAnsi="宋体" w:eastAsia="宋体" w:cs="宋体"/>
                <w:b w:val="0"/>
                <w:bCs/>
                <w:color w:val="auto"/>
                <w:sz w:val="21"/>
                <w:szCs w:val="21"/>
                <w:highlight w:val="none"/>
                <w:lang w:eastAsia="zh-CN"/>
              </w:rPr>
              <w:t>扫描件加盖供应商公章。</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主观分</w:t>
            </w:r>
          </w:p>
        </w:tc>
        <w:tc>
          <w:tcPr>
            <w:tcW w:w="543" w:type="pct"/>
            <w:noWrap w:val="0"/>
            <w:vAlign w:val="center"/>
          </w:tcPr>
          <w:p>
            <w:pPr>
              <w:jc w:val="center"/>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sz w:val="21"/>
                <w:szCs w:val="21"/>
                <w:highlight w:val="none"/>
                <w:lang w:val="en-US" w:eastAsia="zh-CN"/>
              </w:rPr>
              <w:t>5</w:t>
            </w:r>
            <w:r>
              <w:rPr>
                <w:rFonts w:hint="eastAsia" w:ascii="宋体" w:hAnsi="宋体" w:eastAsia="宋体" w:cs="宋体"/>
                <w:snapToGrid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3350" w:type="pct"/>
            <w:noWrap w:val="0"/>
            <w:vAlign w:val="center"/>
          </w:tcPr>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对项目的理解：</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针对本项目的现状分析、需求分析、及本项目的重点难点分析及解决方案等，由专家打分：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①描述全面、合理，具有针对性的，得5分；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②描述基本全面、合理，针对性较弱的，得3分；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③描述较为简单或存在缺漏的，得1分；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④未提供内容的，不得分。</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主观分</w:t>
            </w:r>
          </w:p>
        </w:tc>
        <w:tc>
          <w:tcPr>
            <w:tcW w:w="543" w:type="pct"/>
            <w:noWrap w:val="0"/>
            <w:vAlign w:val="center"/>
          </w:tcPr>
          <w:p>
            <w:pPr>
              <w:jc w:val="center"/>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sz w:val="21"/>
                <w:szCs w:val="21"/>
                <w:highlight w:val="none"/>
                <w:lang w:val="en-US" w:eastAsia="zh-CN"/>
              </w:rPr>
              <w:t>5</w:t>
            </w:r>
            <w:r>
              <w:rPr>
                <w:rFonts w:hint="eastAsia" w:ascii="宋体" w:hAnsi="宋体" w:eastAsia="宋体" w:cs="宋体"/>
                <w:snapToGrid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6</w:t>
            </w:r>
          </w:p>
        </w:tc>
        <w:tc>
          <w:tcPr>
            <w:tcW w:w="3350" w:type="pct"/>
            <w:noWrap w:val="0"/>
            <w:vAlign w:val="center"/>
          </w:tcPr>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车辆拖曳方案</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sz w:val="21"/>
                <w:szCs w:val="21"/>
                <w:highlight w:val="none"/>
              </w:rPr>
            </w:pPr>
          </w:p>
        </w:tc>
        <w:tc>
          <w:tcPr>
            <w:tcW w:w="543" w:type="pct"/>
            <w:noWrap w:val="0"/>
            <w:vAlign w:val="center"/>
          </w:tcPr>
          <w:p>
            <w:pPr>
              <w:jc w:val="center"/>
              <w:rPr>
                <w:rFonts w:hint="eastAsia" w:ascii="宋体" w:hAnsi="宋体" w:eastAsia="宋体" w:cs="宋体"/>
                <w:snapToGrid w:val="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.1</w:t>
            </w:r>
          </w:p>
        </w:tc>
        <w:tc>
          <w:tcPr>
            <w:tcW w:w="3350" w:type="pct"/>
            <w:noWrap w:val="0"/>
            <w:vAlign w:val="center"/>
          </w:tcPr>
          <w:p>
            <w:pPr>
              <w:ind w:right="3" w:rightChars="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违法暂扣、</w:t>
            </w:r>
            <w:r>
              <w:rPr>
                <w:rFonts w:hint="eastAsia" w:ascii="宋体" w:hAnsi="宋体" w:eastAsia="宋体" w:cs="宋体"/>
                <w:szCs w:val="21"/>
                <w:highlight w:val="none"/>
                <w:lang w:eastAsia="zh-CN"/>
              </w:rPr>
              <w:t>违停车辆拖曳方案：</w:t>
            </w:r>
          </w:p>
          <w:p>
            <w:pPr>
              <w:ind w:right="3" w:right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根据投标人针对</w:t>
            </w:r>
            <w:r>
              <w:rPr>
                <w:rFonts w:hint="eastAsia" w:ascii="宋体" w:hAnsi="宋体" w:eastAsia="宋体" w:cs="宋体"/>
                <w:szCs w:val="21"/>
                <w:highlight w:val="none"/>
                <w:lang w:val="en-US" w:eastAsia="zh-CN"/>
              </w:rPr>
              <w:t>违法暂扣、</w:t>
            </w:r>
            <w:r>
              <w:rPr>
                <w:rFonts w:hint="eastAsia" w:ascii="宋体" w:hAnsi="宋体" w:eastAsia="宋体" w:cs="宋体"/>
                <w:szCs w:val="21"/>
                <w:highlight w:val="none"/>
                <w:lang w:eastAsia="zh-CN"/>
              </w:rPr>
              <w:t>违停车辆拖曳方案（</w:t>
            </w:r>
            <w:r>
              <w:rPr>
                <w:rFonts w:hint="eastAsia" w:ascii="宋体" w:hAnsi="宋体" w:eastAsia="宋体" w:cs="宋体"/>
                <w:szCs w:val="21"/>
                <w:highlight w:val="none"/>
                <w:lang w:val="en-US" w:eastAsia="zh-CN"/>
              </w:rPr>
              <w:t>响应时间、人员方案、出车方案、拖曳方案等</w:t>
            </w:r>
            <w:r>
              <w:rPr>
                <w:rFonts w:hint="eastAsia" w:ascii="宋体" w:hAnsi="宋体" w:eastAsia="宋体" w:cs="宋体"/>
                <w:szCs w:val="21"/>
                <w:highlight w:val="none"/>
                <w:lang w:eastAsia="zh-CN"/>
              </w:rPr>
              <w:t>）的全面性、满足性、合理性等，由专家打分：</w:t>
            </w:r>
          </w:p>
          <w:p>
            <w:pPr>
              <w:ind w:right="3" w:right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①方案全面、合理，针对性强的，得5分；</w:t>
            </w:r>
          </w:p>
          <w:p>
            <w:pPr>
              <w:ind w:right="3" w:right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②方案基本全面、合理，针对性一般的，得3分；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③方案较为简单或存在缺漏的，得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分</w:t>
            </w:r>
            <w:r>
              <w:rPr>
                <w:rFonts w:hint="eastAsia" w:ascii="宋体" w:hAnsi="宋体" w:eastAsia="宋体" w:cs="宋体"/>
                <w:szCs w:val="21"/>
                <w:highlight w:val="none"/>
                <w:lang w:val="en-US" w:eastAsia="zh-CN"/>
              </w:rPr>
              <w:t>；</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④未提供内容的，不得分。</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主观分</w:t>
            </w:r>
          </w:p>
        </w:tc>
        <w:tc>
          <w:tcPr>
            <w:tcW w:w="543" w:type="pct"/>
            <w:noWrap w:val="0"/>
            <w:vAlign w:val="center"/>
          </w:tcPr>
          <w:p>
            <w:pPr>
              <w:jc w:val="center"/>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sz w:val="21"/>
                <w:szCs w:val="21"/>
                <w:highlight w:val="none"/>
                <w:lang w:val="en-US" w:eastAsia="zh-CN"/>
              </w:rPr>
              <w:t>5</w:t>
            </w:r>
            <w:r>
              <w:rPr>
                <w:rFonts w:hint="eastAsia" w:ascii="宋体" w:hAnsi="宋体" w:eastAsia="宋体" w:cs="宋体"/>
                <w:snapToGrid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.2</w:t>
            </w:r>
          </w:p>
        </w:tc>
        <w:tc>
          <w:tcPr>
            <w:tcW w:w="3350" w:type="pct"/>
            <w:noWrap w:val="0"/>
            <w:vAlign w:val="center"/>
          </w:tcPr>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事故车辆拖曳方案：</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根据投标人针对事故车辆拖曳方案</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响应时间、人员方案、出车方案、拖曳方案等</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的全面性、满足性、合理性等，由专家打分：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①方案全面、合理，针对性强的，得5分；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②方案基本全面、合理，针对性一般的，得3分；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③方案较为简单或存在缺漏的，得1分；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④未提供内容的，不得分。</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主观分</w:t>
            </w:r>
          </w:p>
        </w:tc>
        <w:tc>
          <w:tcPr>
            <w:tcW w:w="543" w:type="pct"/>
            <w:noWrap w:val="0"/>
            <w:vAlign w:val="center"/>
          </w:tcPr>
          <w:p>
            <w:pPr>
              <w:jc w:val="center"/>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sz w:val="21"/>
                <w:szCs w:val="21"/>
                <w:highlight w:val="none"/>
                <w:lang w:val="en-US" w:eastAsia="zh-CN"/>
              </w:rPr>
              <w:t>5</w:t>
            </w:r>
            <w:r>
              <w:rPr>
                <w:rFonts w:hint="eastAsia" w:ascii="宋体" w:hAnsi="宋体" w:eastAsia="宋体" w:cs="宋体"/>
                <w:snapToGrid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7</w:t>
            </w:r>
          </w:p>
        </w:tc>
        <w:tc>
          <w:tcPr>
            <w:tcW w:w="3350" w:type="pct"/>
            <w:noWrap w:val="0"/>
            <w:vAlign w:val="center"/>
          </w:tcPr>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车辆存放保管方案</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sz w:val="21"/>
                <w:szCs w:val="21"/>
                <w:highlight w:val="none"/>
              </w:rPr>
            </w:pPr>
          </w:p>
        </w:tc>
        <w:tc>
          <w:tcPr>
            <w:tcW w:w="543" w:type="pct"/>
            <w:noWrap w:val="0"/>
            <w:vAlign w:val="center"/>
          </w:tcPr>
          <w:p>
            <w:pPr>
              <w:jc w:val="center"/>
              <w:rPr>
                <w:rFonts w:hint="eastAsia" w:ascii="宋体" w:hAnsi="宋体" w:eastAsia="宋体" w:cs="宋体"/>
                <w:snapToGrid w:val="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.1</w:t>
            </w:r>
          </w:p>
        </w:tc>
        <w:tc>
          <w:tcPr>
            <w:tcW w:w="3350" w:type="pct"/>
            <w:noWrap w:val="0"/>
            <w:vAlign w:val="center"/>
          </w:tcPr>
          <w:p>
            <w:pPr>
              <w:ind w:right="3" w:right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车辆进出场方案：</w:t>
            </w:r>
          </w:p>
          <w:p>
            <w:pPr>
              <w:ind w:right="3" w:right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根据投标人车辆进出场方案（</w:t>
            </w:r>
            <w:r>
              <w:rPr>
                <w:rFonts w:hint="eastAsia" w:ascii="宋体" w:hAnsi="宋体" w:eastAsia="宋体" w:cs="宋体"/>
                <w:szCs w:val="21"/>
                <w:highlight w:val="none"/>
                <w:lang w:val="en-US" w:eastAsia="zh-CN"/>
              </w:rPr>
              <w:t>危化品车辆、事故车辆、违法暂扣、违停车辆等</w:t>
            </w:r>
            <w:r>
              <w:rPr>
                <w:rFonts w:hint="eastAsia" w:ascii="宋体" w:hAnsi="宋体" w:eastAsia="宋体" w:cs="宋体"/>
                <w:szCs w:val="21"/>
                <w:highlight w:val="none"/>
                <w:lang w:eastAsia="zh-CN"/>
              </w:rPr>
              <w:t>）的全面性、满足性、合理性等，由专家打分：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①方案全面、合理，针对性强的，得5分；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②方案基本全面、合理，针对性一般的，得3分；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③方案较为简单或存在缺漏的，得1分；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④未提供内容的，不得分。</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主观分</w:t>
            </w:r>
          </w:p>
        </w:tc>
        <w:tc>
          <w:tcPr>
            <w:tcW w:w="543" w:type="pct"/>
            <w:noWrap w:val="0"/>
            <w:vAlign w:val="center"/>
          </w:tcPr>
          <w:p>
            <w:pPr>
              <w:jc w:val="center"/>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5</w:t>
            </w:r>
            <w:r>
              <w:rPr>
                <w:rFonts w:hint="eastAsia" w:ascii="宋体" w:hAnsi="宋体" w:eastAsia="宋体" w:cs="宋体"/>
                <w:snapToGrid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.2</w:t>
            </w:r>
          </w:p>
        </w:tc>
        <w:tc>
          <w:tcPr>
            <w:tcW w:w="3350" w:type="pct"/>
            <w:noWrap w:val="0"/>
            <w:vAlign w:val="center"/>
          </w:tcPr>
          <w:p>
            <w:pPr>
              <w:ind w:right="3" w:right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车辆保管方案：</w:t>
            </w:r>
          </w:p>
          <w:p>
            <w:pPr>
              <w:ind w:right="3" w:right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根据投标人车辆保管方案（</w:t>
            </w:r>
            <w:r>
              <w:rPr>
                <w:rFonts w:hint="eastAsia" w:ascii="宋体" w:hAnsi="宋体" w:eastAsia="宋体" w:cs="宋体"/>
                <w:szCs w:val="21"/>
                <w:highlight w:val="none"/>
                <w:lang w:val="en-US" w:eastAsia="zh-CN"/>
              </w:rPr>
              <w:t>车辆保管、台账保管等</w:t>
            </w:r>
            <w:r>
              <w:rPr>
                <w:rFonts w:hint="eastAsia" w:ascii="宋体" w:hAnsi="宋体" w:eastAsia="宋体" w:cs="宋体"/>
                <w:szCs w:val="21"/>
                <w:highlight w:val="none"/>
                <w:lang w:eastAsia="zh-CN"/>
              </w:rPr>
              <w:t>）的全面性、满足性、合理性等，由专家打分：</w:t>
            </w:r>
          </w:p>
          <w:p>
            <w:pPr>
              <w:ind w:right="3" w:right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①方案全面、合理，针对性强的，得5分；</w:t>
            </w:r>
          </w:p>
          <w:p>
            <w:pPr>
              <w:ind w:right="3" w:right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②方案基本全面、合理，针对性一般的，得3分；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③方案较为简单或存在缺漏的，得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分</w:t>
            </w:r>
            <w:r>
              <w:rPr>
                <w:rFonts w:hint="eastAsia" w:ascii="宋体" w:hAnsi="宋体" w:eastAsia="宋体" w:cs="宋体"/>
                <w:szCs w:val="21"/>
                <w:highlight w:val="none"/>
                <w:lang w:val="en-US" w:eastAsia="zh-CN"/>
              </w:rPr>
              <w:t>；</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④未提供内容的，不得分。</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主观分</w:t>
            </w:r>
          </w:p>
        </w:tc>
        <w:tc>
          <w:tcPr>
            <w:tcW w:w="543" w:type="pct"/>
            <w:noWrap w:val="0"/>
            <w:vAlign w:val="center"/>
          </w:tcPr>
          <w:p>
            <w:pPr>
              <w:jc w:val="center"/>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5</w:t>
            </w:r>
            <w:r>
              <w:rPr>
                <w:rFonts w:hint="eastAsia" w:ascii="宋体" w:hAnsi="宋体" w:eastAsia="宋体" w:cs="宋体"/>
                <w:snapToGrid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c>
          <w:tcPr>
            <w:tcW w:w="3350" w:type="pct"/>
            <w:noWrap w:val="0"/>
            <w:vAlign w:val="center"/>
          </w:tcPr>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管理制度</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sz w:val="21"/>
                <w:szCs w:val="21"/>
                <w:highlight w:val="none"/>
              </w:rPr>
            </w:pPr>
          </w:p>
        </w:tc>
        <w:tc>
          <w:tcPr>
            <w:tcW w:w="543" w:type="pct"/>
            <w:noWrap w:val="0"/>
            <w:vAlign w:val="center"/>
          </w:tcPr>
          <w:p>
            <w:pPr>
              <w:jc w:val="center"/>
              <w:rPr>
                <w:rFonts w:hint="eastAsia" w:ascii="宋体" w:hAnsi="宋体" w:eastAsia="宋体" w:cs="宋体"/>
                <w:snapToGrid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.1</w:t>
            </w:r>
          </w:p>
        </w:tc>
        <w:tc>
          <w:tcPr>
            <w:tcW w:w="3350" w:type="pct"/>
            <w:noWrap w:val="0"/>
            <w:vAlign w:val="center"/>
          </w:tcPr>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相关拖曳及车辆保管管理制度，由专家打分：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①内容合理、科学，可行性强的，得</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②内容较为合理、科学，可行性一般的，得</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③内容简单或存在缺陷的，得1分；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④未提供内容的，不得分。</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主观分</w:t>
            </w:r>
          </w:p>
        </w:tc>
        <w:tc>
          <w:tcPr>
            <w:tcW w:w="543" w:type="pct"/>
            <w:noWrap w:val="0"/>
            <w:vAlign w:val="center"/>
          </w:tcPr>
          <w:p>
            <w:pPr>
              <w:jc w:val="center"/>
              <w:rPr>
                <w:rFonts w:hint="eastAsia" w:ascii="宋体" w:hAnsi="宋体" w:eastAsia="宋体" w:cs="宋体"/>
                <w:snapToGrid w:val="0"/>
                <w:sz w:val="21"/>
                <w:szCs w:val="21"/>
                <w:highlight w:val="none"/>
                <w:lang w:val="en-US" w:eastAsia="zh-CN"/>
              </w:rPr>
            </w:pPr>
            <w:r>
              <w:rPr>
                <w:rFonts w:hint="eastAsia" w:ascii="宋体" w:hAnsi="宋体" w:cs="宋体"/>
                <w:snapToGrid w:val="0"/>
                <w:color w:val="auto"/>
                <w:sz w:val="21"/>
                <w:szCs w:val="21"/>
                <w:highlight w:val="none"/>
                <w:lang w:val="en-US" w:eastAsia="zh-CN"/>
              </w:rPr>
              <w:t>5</w:t>
            </w:r>
            <w:r>
              <w:rPr>
                <w:rFonts w:hint="eastAsia" w:ascii="宋体" w:hAnsi="宋体" w:eastAsia="宋体" w:cs="宋体"/>
                <w:snapToGrid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.2</w:t>
            </w:r>
          </w:p>
        </w:tc>
        <w:tc>
          <w:tcPr>
            <w:tcW w:w="3350" w:type="pct"/>
            <w:noWrap w:val="0"/>
            <w:vAlign w:val="center"/>
          </w:tcPr>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其他管理制度（如安全、服务人员管理、内部考核等），由专家打分：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①内容合理、科学，可行性强的，得</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②内容较为合理、科学，可行性一般的，得</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③内容简单或存在缺陷的，得1分；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④未提供内容的，不得分。</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主观分</w:t>
            </w:r>
          </w:p>
        </w:tc>
        <w:tc>
          <w:tcPr>
            <w:tcW w:w="543" w:type="pct"/>
            <w:noWrap w:val="0"/>
            <w:vAlign w:val="center"/>
          </w:tcPr>
          <w:p>
            <w:pPr>
              <w:jc w:val="center"/>
              <w:rPr>
                <w:rFonts w:hint="eastAsia" w:ascii="宋体" w:hAnsi="宋体" w:eastAsia="宋体" w:cs="宋体"/>
                <w:snapToGrid w:val="0"/>
                <w:sz w:val="21"/>
                <w:szCs w:val="21"/>
                <w:highlight w:val="none"/>
                <w:lang w:val="en-US" w:eastAsia="zh-CN"/>
              </w:rPr>
            </w:pPr>
            <w:r>
              <w:rPr>
                <w:rFonts w:hint="eastAsia" w:ascii="宋体" w:hAnsi="宋体" w:cs="宋体"/>
                <w:snapToGrid w:val="0"/>
                <w:color w:val="auto"/>
                <w:sz w:val="21"/>
                <w:szCs w:val="21"/>
                <w:highlight w:val="none"/>
                <w:lang w:val="en-US" w:eastAsia="zh-CN"/>
              </w:rPr>
              <w:t>5</w:t>
            </w:r>
            <w:r>
              <w:rPr>
                <w:rFonts w:hint="eastAsia" w:ascii="宋体" w:hAnsi="宋体" w:eastAsia="宋体" w:cs="宋体"/>
                <w:snapToGrid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w:t>
            </w:r>
          </w:p>
        </w:tc>
        <w:tc>
          <w:tcPr>
            <w:tcW w:w="3350" w:type="pct"/>
            <w:noWrap w:val="0"/>
            <w:vAlign w:val="center"/>
          </w:tcPr>
          <w:p>
            <w:pPr>
              <w:numPr>
                <w:ilvl w:val="0"/>
                <w:numId w:val="0"/>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应急处理方案：</w:t>
            </w:r>
          </w:p>
          <w:p>
            <w:pPr>
              <w:numPr>
                <w:ilvl w:val="0"/>
                <w:numId w:val="0"/>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根据投标人针对车辆拖曳及保管服务过程中可能会出现的紧急或异常情况的应急处理方案，由专家打分：</w:t>
            </w:r>
          </w:p>
          <w:p>
            <w:pPr>
              <w:numPr>
                <w:ilvl w:val="0"/>
                <w:numId w:val="0"/>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①内容合理、科学，可行性强的，得5分；</w:t>
            </w:r>
          </w:p>
          <w:p>
            <w:pPr>
              <w:numPr>
                <w:ilvl w:val="0"/>
                <w:numId w:val="0"/>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②内容较为合理、科学，可行性一般的，得3分；</w:t>
            </w:r>
          </w:p>
          <w:p>
            <w:pPr>
              <w:numPr>
                <w:ilvl w:val="0"/>
                <w:numId w:val="0"/>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③内容简单或存在缺陷的，得1分；</w:t>
            </w:r>
          </w:p>
          <w:p>
            <w:pPr>
              <w:numPr>
                <w:ilvl w:val="0"/>
                <w:numId w:val="0"/>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④未提供内容的，不得分。</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主观分</w:t>
            </w:r>
          </w:p>
        </w:tc>
        <w:tc>
          <w:tcPr>
            <w:tcW w:w="543" w:type="pct"/>
            <w:noWrap w:val="0"/>
            <w:vAlign w:val="center"/>
          </w:tcPr>
          <w:p>
            <w:pPr>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rPr>
              <w:t>5</w:t>
            </w:r>
            <w:r>
              <w:rPr>
                <w:rFonts w:hint="eastAsia" w:ascii="宋体" w:hAnsi="宋体" w:eastAsia="宋体" w:cs="宋体"/>
                <w:snapToGrid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0</w:t>
            </w:r>
          </w:p>
        </w:tc>
        <w:tc>
          <w:tcPr>
            <w:tcW w:w="3350" w:type="pct"/>
            <w:noWrap w:val="0"/>
            <w:vAlign w:val="center"/>
          </w:tcPr>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培训方案：</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投标人在项目实施过程中对相关人员进行专业培训情况，根据培训内容、培训频次、培训目标、培训效果评估等各方面内容，由专家打分：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①内容合理、科学，可行性强的，得</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②内容较为合理、科学，可行性一般的，得</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③内容简单或存在缺陷的，得1分；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④未提供内容的，不得分。</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主观分</w:t>
            </w:r>
          </w:p>
        </w:tc>
        <w:tc>
          <w:tcPr>
            <w:tcW w:w="543" w:type="pct"/>
            <w:noWrap w:val="0"/>
            <w:vAlign w:val="center"/>
          </w:tcPr>
          <w:p>
            <w:pPr>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sz w:val="21"/>
                <w:szCs w:val="21"/>
                <w:highlight w:val="none"/>
                <w:lang w:val="en-US" w:eastAsia="zh-CN"/>
              </w:rPr>
              <w:t>5</w:t>
            </w:r>
            <w:r>
              <w:rPr>
                <w:rFonts w:hint="eastAsia" w:ascii="宋体" w:hAnsi="宋体" w:eastAsia="宋体" w:cs="宋体"/>
                <w:snapToGrid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3"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1</w:t>
            </w:r>
          </w:p>
        </w:tc>
        <w:tc>
          <w:tcPr>
            <w:tcW w:w="3350" w:type="pct"/>
            <w:noWrap w:val="0"/>
            <w:vAlign w:val="center"/>
          </w:tcPr>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服务质量保证措施：</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服务质量保证措施符合招标人需求：</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①内容合理、科学，可行性强的，得</w:t>
            </w: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②内容较为合理、科学，可行性一般的，得</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③内容简单或存在缺陷的，得1分；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④未提供内容的，不得分。</w:t>
            </w:r>
          </w:p>
          <w:p>
            <w:pPr>
              <w:ind w:right="3" w:right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注：如所提出的合理化建设和措施，经专家认定无实际意义的不得分。</w:t>
            </w:r>
          </w:p>
        </w:tc>
        <w:tc>
          <w:tcPr>
            <w:tcW w:w="602" w:type="pct"/>
            <w:noWrap w:val="0"/>
            <w:vAlign w:val="center"/>
          </w:tcPr>
          <w:p>
            <w:pPr>
              <w:keepNext w:val="0"/>
              <w:keepLines w:val="0"/>
              <w:pageBreakBefore w:val="0"/>
              <w:widowControl w:val="0"/>
              <w:kinsoku/>
              <w:overflowPunct/>
              <w:topLinePunct w:val="0"/>
              <w:autoSpaceDE/>
              <w:autoSpaceDN/>
              <w:bidi w:val="0"/>
              <w:adjustRightInd w:val="0"/>
              <w:snapToGrid/>
              <w:spacing w:line="240" w:lineRule="auto"/>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主观分</w:t>
            </w:r>
          </w:p>
        </w:tc>
        <w:tc>
          <w:tcPr>
            <w:tcW w:w="543" w:type="pct"/>
            <w:noWrap w:val="0"/>
            <w:vAlign w:val="center"/>
          </w:tcPr>
          <w:p>
            <w:pPr>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rPr>
              <w:t>分</w:t>
            </w:r>
          </w:p>
        </w:tc>
      </w:tr>
    </w:tbl>
    <w:p>
      <w:pPr>
        <w:spacing w:line="460" w:lineRule="exact"/>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注</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业绩评分项：对省级以上主管部门认定的首台套产品,自纳入《省推广应用指导目录》起三年内参加政府采购活动,视同已具备相应销售业绩,业绩分为满分。</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节能环保评分项：《节能（环境标志）产品政府采购品目清单》见</w:t>
      </w:r>
      <w:r>
        <w:rPr>
          <w:rFonts w:hint="eastAsia" w:ascii="宋体" w:hAnsi="宋体" w:eastAsia="宋体" w:cs="宋体"/>
          <w:color w:val="auto"/>
          <w:sz w:val="22"/>
          <w:highlight w:val="none"/>
        </w:rPr>
        <w:fldChar w:fldCharType="begin"/>
      </w:r>
      <w:r>
        <w:rPr>
          <w:rFonts w:hint="eastAsia" w:ascii="宋体" w:hAnsi="宋体" w:eastAsia="宋体" w:cs="宋体"/>
          <w:color w:val="auto"/>
          <w:sz w:val="22"/>
          <w:highlight w:val="none"/>
        </w:rPr>
        <w:instrText xml:space="preserve"> HYPERLINK "http://www.ccgp.gov.cn/jnhb/jnhbqd/" </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t>http://</w:t>
      </w:r>
      <w:r>
        <w:rPr>
          <w:rFonts w:hint="eastAsia" w:ascii="宋体" w:hAnsi="宋体" w:eastAsia="宋体" w:cs="宋体"/>
          <w:color w:val="auto"/>
          <w:sz w:val="22"/>
          <w:highlight w:val="none"/>
          <w:lang w:val="en-US" w:eastAsia="zh-CN"/>
        </w:rPr>
        <w:t>www</w:t>
      </w:r>
      <w:r>
        <w:rPr>
          <w:rFonts w:hint="eastAsia" w:ascii="宋体" w:hAnsi="宋体" w:eastAsia="宋体" w:cs="宋体"/>
          <w:color w:val="auto"/>
          <w:sz w:val="22"/>
          <w:highlight w:val="none"/>
        </w:rPr>
        <w:t>.ccgp.gov.cn/jnhb/jnhbqd/</w:t>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每个供应商最终得分=技术资信部分分值（所有评标委员会成员打分的算术平均值）＋商务报价部分分值。</w:t>
      </w:r>
    </w:p>
    <w:p>
      <w:pPr>
        <w:widowControl/>
        <w:autoSpaceDE w:val="0"/>
        <w:autoSpaceDN w:val="0"/>
        <w:adjustRightInd w:val="0"/>
        <w:spacing w:line="460" w:lineRule="atLeast"/>
        <w:ind w:firstLine="420" w:firstLineChars="200"/>
        <w:textAlignment w:val="bottom"/>
        <w:rPr>
          <w:rFonts w:hint="eastAsia" w:ascii="宋体" w:hAnsi="宋体" w:cs="宋体"/>
          <w:color w:val="auto"/>
          <w:sz w:val="22"/>
          <w:highlight w:val="none"/>
        </w:rPr>
      </w:pPr>
      <w:r>
        <w:rPr>
          <w:rFonts w:hint="eastAsia" w:ascii="宋体" w:hAnsi="宋体" w:cs="宋体"/>
          <w:color w:val="auto"/>
          <w:szCs w:val="21"/>
          <w:highlight w:val="none"/>
        </w:rPr>
        <w:t>三</w:t>
      </w:r>
      <w:r>
        <w:rPr>
          <w:rFonts w:hint="eastAsia" w:ascii="宋体" w:hAnsi="宋体" w:cs="宋体"/>
          <w:color w:val="auto"/>
          <w:sz w:val="22"/>
          <w:highlight w:val="none"/>
        </w:rPr>
        <w:t>、注意事项</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highlight w:val="none"/>
        </w:rPr>
      </w:pPr>
      <w:r>
        <w:rPr>
          <w:rFonts w:hint="eastAsia" w:ascii="宋体" w:hAnsi="宋体" w:cs="宋体"/>
          <w:color w:val="auto"/>
          <w:sz w:val="22"/>
          <w:highlight w:val="none"/>
        </w:rPr>
        <w:t>为确保评标工作的顺利进行,防止因泄密或其它意外而造成不良后果及影响,凡参加评标工作的人员都必须认真执行下面规定：</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highlight w:val="none"/>
        </w:rPr>
      </w:pPr>
      <w:r>
        <w:rPr>
          <w:rFonts w:hint="eastAsia" w:ascii="宋体" w:hAnsi="宋体" w:cs="宋体"/>
          <w:color w:val="auto"/>
          <w:sz w:val="22"/>
          <w:highlight w:val="none"/>
        </w:rPr>
        <w:t>1． 在评标工作期间,所有分发的投标文件、资料等仅限于在评标场所中使用,不得带往其它地方。</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highlight w:val="none"/>
        </w:rPr>
      </w:pPr>
      <w:r>
        <w:rPr>
          <w:rFonts w:hint="eastAsia" w:ascii="宋体" w:hAnsi="宋体" w:cs="宋体"/>
          <w:color w:val="auto"/>
          <w:sz w:val="22"/>
          <w:highlight w:val="none"/>
        </w:rPr>
        <w:t>2． 评标人员及工作人员不得在公共场合谈论有关评标内容。</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highlight w:val="none"/>
        </w:rPr>
      </w:pPr>
      <w:r>
        <w:rPr>
          <w:rFonts w:hint="eastAsia" w:ascii="宋体" w:hAnsi="宋体" w:cs="宋体"/>
          <w:color w:val="auto"/>
          <w:sz w:val="22"/>
          <w:highlight w:val="none"/>
        </w:rPr>
        <w:t>3． 评标人员及工作人员不得以书信、电讯、口述等方式将有关评标内容（如资料、投标文件、报价、评标方式、评标委员会的决定、评标人员名单等）披露给未参加评标的任何无关人员,包括上级领导、同级和下级人员,任何与评标无关的人员（包括亲朋好友和同事）不得进入评标场所。</w:t>
      </w:r>
    </w:p>
    <w:p>
      <w:pPr>
        <w:widowControl/>
        <w:autoSpaceDE w:val="0"/>
        <w:autoSpaceDN w:val="0"/>
        <w:adjustRightInd w:val="0"/>
        <w:spacing w:line="460" w:lineRule="atLeast"/>
        <w:ind w:firstLine="440" w:firstLineChars="200"/>
        <w:textAlignment w:val="bottom"/>
        <w:rPr>
          <w:rFonts w:hint="eastAsia" w:ascii="宋体" w:hAnsi="宋体" w:cs="宋体"/>
          <w:color w:val="auto"/>
          <w:sz w:val="22"/>
          <w:highlight w:val="none"/>
        </w:rPr>
      </w:pPr>
      <w:r>
        <w:rPr>
          <w:rFonts w:hint="eastAsia" w:ascii="宋体" w:hAnsi="宋体" w:cs="宋体"/>
          <w:color w:val="auto"/>
          <w:sz w:val="22"/>
          <w:highlight w:val="none"/>
        </w:rPr>
        <w:t>4． 任何需要向投标供应商进行询标的问题必须经评标委员会成员签字并由主询标人提出。在询标期间,对于涉及本规定保密范畴的所有内容,主询标人不得向投标供应商透露。</w:t>
      </w:r>
    </w:p>
    <w:p>
      <w:pPr>
        <w:widowControl/>
        <w:autoSpaceDE w:val="0"/>
        <w:autoSpaceDN w:val="0"/>
        <w:adjustRightInd w:val="0"/>
        <w:spacing w:line="460" w:lineRule="atLeast"/>
        <w:ind w:firstLine="440" w:firstLineChars="200"/>
        <w:textAlignment w:val="bottom"/>
        <w:rPr>
          <w:rFonts w:hint="eastAsia" w:ascii="宋体" w:hAnsi="宋体" w:cs="宋体"/>
          <w:color w:val="auto"/>
          <w:szCs w:val="21"/>
          <w:highlight w:val="none"/>
        </w:rPr>
      </w:pPr>
      <w:r>
        <w:rPr>
          <w:rFonts w:hint="eastAsia" w:ascii="宋体" w:hAnsi="宋体" w:cs="宋体"/>
          <w:color w:val="auto"/>
          <w:sz w:val="22"/>
          <w:highlight w:val="none"/>
        </w:rPr>
        <w:t>5． 任何评标人员和工作人员不得对外公布评标的一切内容。</w:t>
      </w:r>
    </w:p>
    <w:sectPr>
      <w:pgSz w:w="11906" w:h="16838"/>
      <w:pgMar w:top="1134" w:right="1134" w:bottom="1134" w:left="1134"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rFonts w:hint="eastAsia"/>
      </w:rPr>
      <w:t>温州市中概工程管理咨询有限公司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896582"/>
      <w:showingPlcHdr/>
    </w:sdtPr>
    <w:sdtContent>
      <w:p>
        <w:pPr>
          <w:pStyle w:val="29"/>
          <w:jc w:val="center"/>
        </w:pPr>
      </w:p>
    </w:sdtContent>
  </w:sdt>
  <w:p>
    <w:pPr>
      <w:pStyle w:val="29"/>
      <w:ind w:right="720"/>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separate"/>
    </w:r>
    <w:r>
      <w:rPr>
        <w:rStyle w:val="49"/>
      </w:rPr>
      <w:t>12</w:t>
    </w:r>
    <w:r>
      <w:fldChar w:fldCharType="end"/>
    </w:r>
  </w:p>
  <w:p>
    <w:pPr>
      <w:pStyle w:val="29"/>
      <w:tabs>
        <w:tab w:val="left" w:pos="5820"/>
        <w:tab w:val="clear" w:pos="4153"/>
        <w:tab w:val="clear" w:pos="8306"/>
      </w:tabs>
      <w:ind w:right="990"/>
      <w:jc w:val="right"/>
    </w:pPr>
    <w:r>
      <w:rPr>
        <w:rFonts w:hint="eastAsia"/>
      </w:rPr>
      <w:t>温州市中概工程管理咨询有限公司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400974"/>
    </w:sdtPr>
    <w:sdtContent>
      <w:p>
        <w:pPr>
          <w:pStyle w:val="2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9"/>
      <w:ind w:right="720"/>
      <w:jc w:val="right"/>
      <w:rPr>
        <w:rFonts w:ascii="宋体"/>
      </w:rPr>
    </w:pPr>
    <w:r>
      <w:rPr>
        <w:rFonts w:ascii="宋体"/>
      </w:rPr>
      <w:t>温州市中概工程管理咨询有限公司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page" w:x="5719" w:y="18"/>
      <w:rPr>
        <w:rStyle w:val="49"/>
        <w:rFonts w:ascii="宋体"/>
      </w:rPr>
    </w:pPr>
    <w:r>
      <w:rPr>
        <w:rFonts w:ascii="宋体"/>
      </w:rPr>
      <w:fldChar w:fldCharType="begin"/>
    </w:r>
    <w:r>
      <w:rPr>
        <w:rStyle w:val="49"/>
        <w:rFonts w:ascii="宋体"/>
      </w:rPr>
      <w:instrText xml:space="preserve">PAGE  </w:instrText>
    </w:r>
    <w:r>
      <w:rPr>
        <w:rFonts w:ascii="宋体"/>
      </w:rPr>
      <w:fldChar w:fldCharType="separate"/>
    </w:r>
    <w:r>
      <w:rPr>
        <w:rStyle w:val="49"/>
        <w:rFonts w:ascii="宋体"/>
      </w:rPr>
      <w:t>48</w:t>
    </w:r>
    <w:r>
      <w:rPr>
        <w:rFonts w:ascii="宋体"/>
      </w:rPr>
      <w:fldChar w:fldCharType="end"/>
    </w:r>
  </w:p>
  <w:p>
    <w:pPr>
      <w:pStyle w:val="29"/>
      <w:ind w:right="720"/>
      <w:rPr>
        <w:rFonts w:ascii="宋体"/>
      </w:rPr>
    </w:pPr>
    <w:r>
      <w:rPr>
        <w:rFonts w:ascii="宋体"/>
      </w:rPr>
      <w:t>温州市中概工程管理咨询有限公司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page" w:x="5719" w:y="18"/>
      <w:rPr>
        <w:rStyle w:val="49"/>
        <w:rFonts w:ascii="宋体"/>
      </w:rPr>
    </w:pPr>
    <w:r>
      <w:rPr>
        <w:rFonts w:ascii="宋体"/>
      </w:rPr>
      <w:fldChar w:fldCharType="begin"/>
    </w:r>
    <w:r>
      <w:rPr>
        <w:rStyle w:val="49"/>
        <w:rFonts w:ascii="宋体"/>
      </w:rPr>
      <w:instrText xml:space="preserve">PAGE  </w:instrText>
    </w:r>
    <w:r>
      <w:rPr>
        <w:rFonts w:ascii="宋体"/>
      </w:rPr>
      <w:fldChar w:fldCharType="separate"/>
    </w:r>
    <w:r>
      <w:rPr>
        <w:rStyle w:val="49"/>
        <w:rFonts w:ascii="宋体"/>
      </w:rPr>
      <w:t>53</w:t>
    </w:r>
    <w:r>
      <w:rPr>
        <w:rFonts w:ascii="宋体"/>
      </w:rPr>
      <w:fldChar w:fldCharType="end"/>
    </w:r>
  </w:p>
  <w:p>
    <w:pPr>
      <w:pStyle w:val="29"/>
      <w:ind w:right="720"/>
      <w:jc w:val="right"/>
      <w:rPr>
        <w:rFonts w:ascii="宋体"/>
      </w:rPr>
    </w:pPr>
    <w:r>
      <w:rPr>
        <w:rFonts w:ascii="宋体"/>
      </w:rPr>
      <w:t>温州市中概工程管理咨询有限公司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r>
      <w:rPr>
        <w:rFonts w:hint="eastAsia"/>
      </w:rPr>
      <w:t>政府</w:t>
    </w:r>
    <w:r>
      <w:rPr>
        <w:rFonts w:hint="eastAsia"/>
        <w:lang w:eastAsia="zh-CN"/>
      </w:rPr>
      <w:t>采购公开</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r>
      <w:rPr>
        <w:rFonts w:hint="eastAsia"/>
      </w:rPr>
      <w:t>政府</w:t>
    </w:r>
    <w:r>
      <w:rPr>
        <w:rFonts w:hint="eastAsia"/>
        <w:lang w:eastAsia="zh-CN"/>
      </w:rPr>
      <w:t>采购公开</w:t>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ascii="宋体"/>
        <w:b/>
      </w:rPr>
    </w:pPr>
    <w:r>
      <w:rPr>
        <w:rFonts w:hint="eastAsia" w:ascii="宋体"/>
      </w:rPr>
      <w:t>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ascii="宋体"/>
        <w:b/>
      </w:rPr>
    </w:pPr>
    <w:r>
      <w:rPr>
        <w:rFonts w:hint="eastAsia" w:ascii="宋体"/>
        <w:b/>
      </w:rPr>
      <w:t>政府采购招标文件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ascii="宋体"/>
        <w:b/>
      </w:rPr>
    </w:pPr>
    <w:r>
      <w:rPr>
        <w:rFonts w:hint="eastAsia" w:ascii="宋体"/>
        <w:b/>
      </w:rPr>
      <w:t>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3">
    <w:nsid w:val="0D1875C4"/>
    <w:multiLevelType w:val="multilevel"/>
    <w:tmpl w:val="0D1875C4"/>
    <w:lvl w:ilvl="0" w:tentative="0">
      <w:start w:val="1"/>
      <w:numFmt w:val="decimalEnclosedCircleChinese"/>
      <w:lvlText w:val="%1　"/>
      <w:lvlJc w:val="left"/>
      <w:pPr>
        <w:ind w:left="420" w:hanging="420"/>
      </w:pPr>
    </w:lvl>
    <w:lvl w:ilvl="1" w:tentative="0">
      <w:start w:val="1"/>
      <w:numFmt w:val="decimal"/>
      <w:lvlText w:val="%2."/>
      <w:lvlJc w:val="left"/>
      <w:pPr>
        <w:tabs>
          <w:tab w:val="left" w:pos="1440"/>
        </w:tabs>
        <w:ind w:left="1440" w:hanging="360"/>
      </w:pPr>
    </w:lvl>
    <w:lvl w:ilvl="2" w:tentative="0">
      <w:start w:val="1"/>
      <w:numFmt w:val="decimalEnclosedCircleChinese"/>
      <w:lvlText w:val="%3　"/>
      <w:lvlJc w:val="left"/>
      <w:pPr>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B919D6"/>
    <w:multiLevelType w:val="multilevel"/>
    <w:tmpl w:val="27B919D6"/>
    <w:lvl w:ilvl="0" w:tentative="0">
      <w:start w:val="1"/>
      <w:numFmt w:val="decimal"/>
      <w:lvlText w:val="（%1）"/>
      <w:lvlJc w:val="left"/>
      <w:pPr>
        <w:ind w:left="860" w:hanging="4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5">
    <w:nsid w:val="5AEFEA09"/>
    <w:multiLevelType w:val="singleLevel"/>
    <w:tmpl w:val="5AEFEA09"/>
    <w:lvl w:ilvl="0" w:tentative="0">
      <w:start w:val="1"/>
      <w:numFmt w:val="decimal"/>
      <w:lvlText w:val="%1."/>
      <w:lvlJc w:val="left"/>
      <w:pPr>
        <w:tabs>
          <w:tab w:val="left" w:pos="312"/>
        </w:tabs>
      </w:pPr>
    </w:lvl>
  </w:abstractNum>
  <w:abstractNum w:abstractNumId="6">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6"/>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MmVlMjVlZDgxOWRjNDhkNDQ1ODA0ODFhMGMyOTEifQ=="/>
    <w:docVar w:name="KSO_WPS_MARK_KEY" w:val="337f4695-3ccd-4c5b-a01b-58cd78923835"/>
  </w:docVars>
  <w:rsids>
    <w:rsidRoot w:val="00AF6227"/>
    <w:rsid w:val="0000005C"/>
    <w:rsid w:val="00002061"/>
    <w:rsid w:val="000020A8"/>
    <w:rsid w:val="000025D0"/>
    <w:rsid w:val="00002BDA"/>
    <w:rsid w:val="0000311A"/>
    <w:rsid w:val="0000333D"/>
    <w:rsid w:val="0000391E"/>
    <w:rsid w:val="00005613"/>
    <w:rsid w:val="00005A48"/>
    <w:rsid w:val="00006A42"/>
    <w:rsid w:val="00007907"/>
    <w:rsid w:val="00007A30"/>
    <w:rsid w:val="0001039F"/>
    <w:rsid w:val="00011410"/>
    <w:rsid w:val="0001323D"/>
    <w:rsid w:val="00013DE8"/>
    <w:rsid w:val="0001559D"/>
    <w:rsid w:val="000163FB"/>
    <w:rsid w:val="00017269"/>
    <w:rsid w:val="00017C20"/>
    <w:rsid w:val="00021D1D"/>
    <w:rsid w:val="0002415E"/>
    <w:rsid w:val="00024C7A"/>
    <w:rsid w:val="00024FDE"/>
    <w:rsid w:val="00025079"/>
    <w:rsid w:val="00026E94"/>
    <w:rsid w:val="00027072"/>
    <w:rsid w:val="00027A5C"/>
    <w:rsid w:val="00030140"/>
    <w:rsid w:val="00030435"/>
    <w:rsid w:val="00030615"/>
    <w:rsid w:val="00030C19"/>
    <w:rsid w:val="00030C61"/>
    <w:rsid w:val="0003197C"/>
    <w:rsid w:val="000335A6"/>
    <w:rsid w:val="0003410A"/>
    <w:rsid w:val="000352D7"/>
    <w:rsid w:val="000356EA"/>
    <w:rsid w:val="00037F27"/>
    <w:rsid w:val="000410B8"/>
    <w:rsid w:val="00041F1F"/>
    <w:rsid w:val="00042A65"/>
    <w:rsid w:val="00042F61"/>
    <w:rsid w:val="000430D7"/>
    <w:rsid w:val="0004325C"/>
    <w:rsid w:val="00043D81"/>
    <w:rsid w:val="00044563"/>
    <w:rsid w:val="00044A09"/>
    <w:rsid w:val="0004559B"/>
    <w:rsid w:val="00046E9A"/>
    <w:rsid w:val="00050219"/>
    <w:rsid w:val="00051F29"/>
    <w:rsid w:val="0005220E"/>
    <w:rsid w:val="00053BE2"/>
    <w:rsid w:val="00053D63"/>
    <w:rsid w:val="00054613"/>
    <w:rsid w:val="00054A1A"/>
    <w:rsid w:val="00054CDE"/>
    <w:rsid w:val="0005556E"/>
    <w:rsid w:val="0005578B"/>
    <w:rsid w:val="000605C8"/>
    <w:rsid w:val="00060FB3"/>
    <w:rsid w:val="00061B13"/>
    <w:rsid w:val="00061EBD"/>
    <w:rsid w:val="00062A47"/>
    <w:rsid w:val="0006310B"/>
    <w:rsid w:val="000634EC"/>
    <w:rsid w:val="0006355C"/>
    <w:rsid w:val="00064919"/>
    <w:rsid w:val="00064B20"/>
    <w:rsid w:val="00064C44"/>
    <w:rsid w:val="00064C6E"/>
    <w:rsid w:val="00065845"/>
    <w:rsid w:val="000676E6"/>
    <w:rsid w:val="0006788E"/>
    <w:rsid w:val="0007127B"/>
    <w:rsid w:val="00072943"/>
    <w:rsid w:val="00073DCC"/>
    <w:rsid w:val="00074EF5"/>
    <w:rsid w:val="00075082"/>
    <w:rsid w:val="000776B7"/>
    <w:rsid w:val="00077E2F"/>
    <w:rsid w:val="00080672"/>
    <w:rsid w:val="00080BE8"/>
    <w:rsid w:val="00081438"/>
    <w:rsid w:val="0008180F"/>
    <w:rsid w:val="00082ACA"/>
    <w:rsid w:val="0008321E"/>
    <w:rsid w:val="000836EA"/>
    <w:rsid w:val="000842D2"/>
    <w:rsid w:val="000843FA"/>
    <w:rsid w:val="00084586"/>
    <w:rsid w:val="00084844"/>
    <w:rsid w:val="00085C2F"/>
    <w:rsid w:val="00085E61"/>
    <w:rsid w:val="00086538"/>
    <w:rsid w:val="00086C22"/>
    <w:rsid w:val="00086C2A"/>
    <w:rsid w:val="00086C38"/>
    <w:rsid w:val="00087389"/>
    <w:rsid w:val="00087781"/>
    <w:rsid w:val="00090BDC"/>
    <w:rsid w:val="00091BE1"/>
    <w:rsid w:val="00092AB7"/>
    <w:rsid w:val="00093339"/>
    <w:rsid w:val="000938BC"/>
    <w:rsid w:val="00093AE4"/>
    <w:rsid w:val="00093C07"/>
    <w:rsid w:val="000941F0"/>
    <w:rsid w:val="0009444B"/>
    <w:rsid w:val="000944AD"/>
    <w:rsid w:val="000945AF"/>
    <w:rsid w:val="00094AAF"/>
    <w:rsid w:val="000953C4"/>
    <w:rsid w:val="00095548"/>
    <w:rsid w:val="00095570"/>
    <w:rsid w:val="000956DF"/>
    <w:rsid w:val="0009590D"/>
    <w:rsid w:val="00095E6A"/>
    <w:rsid w:val="0009608E"/>
    <w:rsid w:val="00096711"/>
    <w:rsid w:val="00097189"/>
    <w:rsid w:val="000A0293"/>
    <w:rsid w:val="000A1491"/>
    <w:rsid w:val="000A1E95"/>
    <w:rsid w:val="000A23C6"/>
    <w:rsid w:val="000A24D9"/>
    <w:rsid w:val="000A26E7"/>
    <w:rsid w:val="000A318D"/>
    <w:rsid w:val="000A3745"/>
    <w:rsid w:val="000A4FB6"/>
    <w:rsid w:val="000A533B"/>
    <w:rsid w:val="000A596D"/>
    <w:rsid w:val="000A5A41"/>
    <w:rsid w:val="000A5EBC"/>
    <w:rsid w:val="000A7AB5"/>
    <w:rsid w:val="000B02A3"/>
    <w:rsid w:val="000B0393"/>
    <w:rsid w:val="000B0648"/>
    <w:rsid w:val="000B096D"/>
    <w:rsid w:val="000B1353"/>
    <w:rsid w:val="000B3313"/>
    <w:rsid w:val="000B44B5"/>
    <w:rsid w:val="000B5045"/>
    <w:rsid w:val="000B52ED"/>
    <w:rsid w:val="000B6938"/>
    <w:rsid w:val="000B7114"/>
    <w:rsid w:val="000B7352"/>
    <w:rsid w:val="000B7A57"/>
    <w:rsid w:val="000C0973"/>
    <w:rsid w:val="000C0AF8"/>
    <w:rsid w:val="000C0E8E"/>
    <w:rsid w:val="000C139D"/>
    <w:rsid w:val="000C1A09"/>
    <w:rsid w:val="000C2BB1"/>
    <w:rsid w:val="000C2ED9"/>
    <w:rsid w:val="000C3605"/>
    <w:rsid w:val="000C3931"/>
    <w:rsid w:val="000C3F83"/>
    <w:rsid w:val="000C5181"/>
    <w:rsid w:val="000C568A"/>
    <w:rsid w:val="000C59AC"/>
    <w:rsid w:val="000C5C41"/>
    <w:rsid w:val="000C783C"/>
    <w:rsid w:val="000C7DFA"/>
    <w:rsid w:val="000D0CE1"/>
    <w:rsid w:val="000D1234"/>
    <w:rsid w:val="000D12CD"/>
    <w:rsid w:val="000D139B"/>
    <w:rsid w:val="000D1D8D"/>
    <w:rsid w:val="000D1E63"/>
    <w:rsid w:val="000D26C8"/>
    <w:rsid w:val="000D3854"/>
    <w:rsid w:val="000D3866"/>
    <w:rsid w:val="000D4569"/>
    <w:rsid w:val="000D4B9A"/>
    <w:rsid w:val="000D5398"/>
    <w:rsid w:val="000D5EB4"/>
    <w:rsid w:val="000D6053"/>
    <w:rsid w:val="000D64E5"/>
    <w:rsid w:val="000E024B"/>
    <w:rsid w:val="000E09BF"/>
    <w:rsid w:val="000E118B"/>
    <w:rsid w:val="000E1253"/>
    <w:rsid w:val="000E1A2A"/>
    <w:rsid w:val="000E21CE"/>
    <w:rsid w:val="000E24CD"/>
    <w:rsid w:val="000E3977"/>
    <w:rsid w:val="000E3B25"/>
    <w:rsid w:val="000E4034"/>
    <w:rsid w:val="000E4481"/>
    <w:rsid w:val="000E4776"/>
    <w:rsid w:val="000E4C02"/>
    <w:rsid w:val="000E4EF2"/>
    <w:rsid w:val="000E50E0"/>
    <w:rsid w:val="000E63BA"/>
    <w:rsid w:val="000E6A7B"/>
    <w:rsid w:val="000E6E6A"/>
    <w:rsid w:val="000F088D"/>
    <w:rsid w:val="000F115A"/>
    <w:rsid w:val="000F188F"/>
    <w:rsid w:val="000F2120"/>
    <w:rsid w:val="000F2200"/>
    <w:rsid w:val="000F35E2"/>
    <w:rsid w:val="000F39AA"/>
    <w:rsid w:val="000F3C69"/>
    <w:rsid w:val="000F4740"/>
    <w:rsid w:val="000F61EC"/>
    <w:rsid w:val="0010035B"/>
    <w:rsid w:val="0010063E"/>
    <w:rsid w:val="001007F1"/>
    <w:rsid w:val="001014AF"/>
    <w:rsid w:val="0010229C"/>
    <w:rsid w:val="0010279A"/>
    <w:rsid w:val="00104584"/>
    <w:rsid w:val="00107410"/>
    <w:rsid w:val="001103F5"/>
    <w:rsid w:val="001108DE"/>
    <w:rsid w:val="00110F7D"/>
    <w:rsid w:val="00111825"/>
    <w:rsid w:val="001124B3"/>
    <w:rsid w:val="00112BF0"/>
    <w:rsid w:val="00112E48"/>
    <w:rsid w:val="0011301B"/>
    <w:rsid w:val="0011326C"/>
    <w:rsid w:val="00113862"/>
    <w:rsid w:val="00113DEA"/>
    <w:rsid w:val="0011494F"/>
    <w:rsid w:val="00114D55"/>
    <w:rsid w:val="00115FCC"/>
    <w:rsid w:val="00116893"/>
    <w:rsid w:val="001178CF"/>
    <w:rsid w:val="00123CC4"/>
    <w:rsid w:val="00123D6A"/>
    <w:rsid w:val="00125555"/>
    <w:rsid w:val="00125B54"/>
    <w:rsid w:val="00126530"/>
    <w:rsid w:val="00127130"/>
    <w:rsid w:val="00127AB3"/>
    <w:rsid w:val="00130065"/>
    <w:rsid w:val="00133381"/>
    <w:rsid w:val="0013430F"/>
    <w:rsid w:val="00135824"/>
    <w:rsid w:val="001361BD"/>
    <w:rsid w:val="00140B8B"/>
    <w:rsid w:val="0014129F"/>
    <w:rsid w:val="00141F27"/>
    <w:rsid w:val="001428D6"/>
    <w:rsid w:val="00143C54"/>
    <w:rsid w:val="00144918"/>
    <w:rsid w:val="001455C9"/>
    <w:rsid w:val="00145A19"/>
    <w:rsid w:val="00146232"/>
    <w:rsid w:val="001463A9"/>
    <w:rsid w:val="00146555"/>
    <w:rsid w:val="00146D9B"/>
    <w:rsid w:val="00146EE0"/>
    <w:rsid w:val="001502BC"/>
    <w:rsid w:val="00151F6C"/>
    <w:rsid w:val="001542FA"/>
    <w:rsid w:val="0015469B"/>
    <w:rsid w:val="001546D2"/>
    <w:rsid w:val="001550AC"/>
    <w:rsid w:val="0015553F"/>
    <w:rsid w:val="00155860"/>
    <w:rsid w:val="00155BCA"/>
    <w:rsid w:val="00155E47"/>
    <w:rsid w:val="00155F48"/>
    <w:rsid w:val="00156EEE"/>
    <w:rsid w:val="001575D4"/>
    <w:rsid w:val="001579B6"/>
    <w:rsid w:val="00161E2A"/>
    <w:rsid w:val="0016216C"/>
    <w:rsid w:val="00163794"/>
    <w:rsid w:val="00163B70"/>
    <w:rsid w:val="00163D03"/>
    <w:rsid w:val="001655BA"/>
    <w:rsid w:val="00165673"/>
    <w:rsid w:val="001660B2"/>
    <w:rsid w:val="00166F8C"/>
    <w:rsid w:val="001673E0"/>
    <w:rsid w:val="00167C28"/>
    <w:rsid w:val="001705F9"/>
    <w:rsid w:val="00171516"/>
    <w:rsid w:val="001721E5"/>
    <w:rsid w:val="001727E7"/>
    <w:rsid w:val="00173674"/>
    <w:rsid w:val="00173B7B"/>
    <w:rsid w:val="001748DC"/>
    <w:rsid w:val="001758C8"/>
    <w:rsid w:val="00175D42"/>
    <w:rsid w:val="00175D54"/>
    <w:rsid w:val="00175DAB"/>
    <w:rsid w:val="00176208"/>
    <w:rsid w:val="00176D09"/>
    <w:rsid w:val="00176E72"/>
    <w:rsid w:val="00177960"/>
    <w:rsid w:val="00177B64"/>
    <w:rsid w:val="00180A3A"/>
    <w:rsid w:val="00183061"/>
    <w:rsid w:val="001832A3"/>
    <w:rsid w:val="00184681"/>
    <w:rsid w:val="001848B8"/>
    <w:rsid w:val="001851AB"/>
    <w:rsid w:val="0018525E"/>
    <w:rsid w:val="00185510"/>
    <w:rsid w:val="00185DDD"/>
    <w:rsid w:val="00185E0D"/>
    <w:rsid w:val="0018678B"/>
    <w:rsid w:val="00190D79"/>
    <w:rsid w:val="001910E8"/>
    <w:rsid w:val="0019112F"/>
    <w:rsid w:val="00191735"/>
    <w:rsid w:val="00191910"/>
    <w:rsid w:val="0019298D"/>
    <w:rsid w:val="00192EA7"/>
    <w:rsid w:val="001931EF"/>
    <w:rsid w:val="0019325A"/>
    <w:rsid w:val="0019385C"/>
    <w:rsid w:val="00193BBC"/>
    <w:rsid w:val="00194588"/>
    <w:rsid w:val="0019461A"/>
    <w:rsid w:val="00194D56"/>
    <w:rsid w:val="00194DEA"/>
    <w:rsid w:val="00196A61"/>
    <w:rsid w:val="001970B6"/>
    <w:rsid w:val="00197329"/>
    <w:rsid w:val="001974F3"/>
    <w:rsid w:val="001976DD"/>
    <w:rsid w:val="001A00A1"/>
    <w:rsid w:val="001A0831"/>
    <w:rsid w:val="001A101C"/>
    <w:rsid w:val="001A25E3"/>
    <w:rsid w:val="001A3847"/>
    <w:rsid w:val="001A3AD5"/>
    <w:rsid w:val="001A3B9E"/>
    <w:rsid w:val="001A3DEA"/>
    <w:rsid w:val="001A458D"/>
    <w:rsid w:val="001A4DC0"/>
    <w:rsid w:val="001A66A6"/>
    <w:rsid w:val="001A6700"/>
    <w:rsid w:val="001A6E87"/>
    <w:rsid w:val="001A77A5"/>
    <w:rsid w:val="001B0428"/>
    <w:rsid w:val="001B0C6B"/>
    <w:rsid w:val="001B13D3"/>
    <w:rsid w:val="001B1E03"/>
    <w:rsid w:val="001B2DC1"/>
    <w:rsid w:val="001B3A4C"/>
    <w:rsid w:val="001B3DF5"/>
    <w:rsid w:val="001B3F00"/>
    <w:rsid w:val="001B41FD"/>
    <w:rsid w:val="001B4216"/>
    <w:rsid w:val="001B4971"/>
    <w:rsid w:val="001B4AC5"/>
    <w:rsid w:val="001B515D"/>
    <w:rsid w:val="001B66E0"/>
    <w:rsid w:val="001B7574"/>
    <w:rsid w:val="001B75D2"/>
    <w:rsid w:val="001B7FBF"/>
    <w:rsid w:val="001C04C5"/>
    <w:rsid w:val="001C0E2E"/>
    <w:rsid w:val="001C0E81"/>
    <w:rsid w:val="001C13F5"/>
    <w:rsid w:val="001C1D62"/>
    <w:rsid w:val="001C29CC"/>
    <w:rsid w:val="001C2B4B"/>
    <w:rsid w:val="001C2CC4"/>
    <w:rsid w:val="001C3F18"/>
    <w:rsid w:val="001C4B16"/>
    <w:rsid w:val="001C58B5"/>
    <w:rsid w:val="001C6427"/>
    <w:rsid w:val="001C6925"/>
    <w:rsid w:val="001C7031"/>
    <w:rsid w:val="001C7C9F"/>
    <w:rsid w:val="001D0546"/>
    <w:rsid w:val="001D1380"/>
    <w:rsid w:val="001D2104"/>
    <w:rsid w:val="001D2233"/>
    <w:rsid w:val="001D2488"/>
    <w:rsid w:val="001D3075"/>
    <w:rsid w:val="001D3321"/>
    <w:rsid w:val="001D3ADD"/>
    <w:rsid w:val="001D3D60"/>
    <w:rsid w:val="001D4502"/>
    <w:rsid w:val="001D50BA"/>
    <w:rsid w:val="001D53C4"/>
    <w:rsid w:val="001D563E"/>
    <w:rsid w:val="001D7588"/>
    <w:rsid w:val="001D75F5"/>
    <w:rsid w:val="001D7EF1"/>
    <w:rsid w:val="001E0B75"/>
    <w:rsid w:val="001E0EEA"/>
    <w:rsid w:val="001E131D"/>
    <w:rsid w:val="001E1A7A"/>
    <w:rsid w:val="001E1ECF"/>
    <w:rsid w:val="001E2150"/>
    <w:rsid w:val="001E26AE"/>
    <w:rsid w:val="001E2C3D"/>
    <w:rsid w:val="001E35B8"/>
    <w:rsid w:val="001E6581"/>
    <w:rsid w:val="001F064C"/>
    <w:rsid w:val="001F1178"/>
    <w:rsid w:val="001F1448"/>
    <w:rsid w:val="001F1850"/>
    <w:rsid w:val="001F27BC"/>
    <w:rsid w:val="001F2D5C"/>
    <w:rsid w:val="001F3285"/>
    <w:rsid w:val="001F3595"/>
    <w:rsid w:val="001F38AA"/>
    <w:rsid w:val="001F3CFB"/>
    <w:rsid w:val="001F40CC"/>
    <w:rsid w:val="001F5246"/>
    <w:rsid w:val="001F52BF"/>
    <w:rsid w:val="001F5456"/>
    <w:rsid w:val="001F6574"/>
    <w:rsid w:val="001F6BE3"/>
    <w:rsid w:val="001F6C53"/>
    <w:rsid w:val="001F795D"/>
    <w:rsid w:val="00200A92"/>
    <w:rsid w:val="00202344"/>
    <w:rsid w:val="002039DA"/>
    <w:rsid w:val="00203D45"/>
    <w:rsid w:val="002044FE"/>
    <w:rsid w:val="002048BB"/>
    <w:rsid w:val="00204F27"/>
    <w:rsid w:val="00205404"/>
    <w:rsid w:val="0020556E"/>
    <w:rsid w:val="002118CB"/>
    <w:rsid w:val="00211B42"/>
    <w:rsid w:val="00213484"/>
    <w:rsid w:val="0021379B"/>
    <w:rsid w:val="00214C24"/>
    <w:rsid w:val="00215318"/>
    <w:rsid w:val="00215A0E"/>
    <w:rsid w:val="0021694E"/>
    <w:rsid w:val="00216EDF"/>
    <w:rsid w:val="0022107C"/>
    <w:rsid w:val="00222052"/>
    <w:rsid w:val="0022246D"/>
    <w:rsid w:val="0022377D"/>
    <w:rsid w:val="00224C16"/>
    <w:rsid w:val="00224E41"/>
    <w:rsid w:val="0022580B"/>
    <w:rsid w:val="00226D48"/>
    <w:rsid w:val="00226D76"/>
    <w:rsid w:val="0022799E"/>
    <w:rsid w:val="00227F94"/>
    <w:rsid w:val="002343C2"/>
    <w:rsid w:val="00234FB0"/>
    <w:rsid w:val="0023544B"/>
    <w:rsid w:val="002357FE"/>
    <w:rsid w:val="00235F5D"/>
    <w:rsid w:val="00236429"/>
    <w:rsid w:val="00236A21"/>
    <w:rsid w:val="00236DD9"/>
    <w:rsid w:val="00237FDB"/>
    <w:rsid w:val="00240521"/>
    <w:rsid w:val="00241202"/>
    <w:rsid w:val="002418CB"/>
    <w:rsid w:val="002419B0"/>
    <w:rsid w:val="00241C9A"/>
    <w:rsid w:val="00241EBD"/>
    <w:rsid w:val="00242B92"/>
    <w:rsid w:val="00244B1A"/>
    <w:rsid w:val="00245A31"/>
    <w:rsid w:val="002462DE"/>
    <w:rsid w:val="0025070E"/>
    <w:rsid w:val="0025102F"/>
    <w:rsid w:val="002510AD"/>
    <w:rsid w:val="00252F1B"/>
    <w:rsid w:val="00254AFB"/>
    <w:rsid w:val="00254DCA"/>
    <w:rsid w:val="0025508A"/>
    <w:rsid w:val="002552B5"/>
    <w:rsid w:val="00255F2D"/>
    <w:rsid w:val="002567F1"/>
    <w:rsid w:val="0025792B"/>
    <w:rsid w:val="00261544"/>
    <w:rsid w:val="0026190B"/>
    <w:rsid w:val="0026209E"/>
    <w:rsid w:val="00262587"/>
    <w:rsid w:val="00262BFB"/>
    <w:rsid w:val="00263FCC"/>
    <w:rsid w:val="00264182"/>
    <w:rsid w:val="002649EE"/>
    <w:rsid w:val="002652A5"/>
    <w:rsid w:val="002654EC"/>
    <w:rsid w:val="002658CC"/>
    <w:rsid w:val="00265F89"/>
    <w:rsid w:val="00266F39"/>
    <w:rsid w:val="00267060"/>
    <w:rsid w:val="00270316"/>
    <w:rsid w:val="002715F0"/>
    <w:rsid w:val="00272A41"/>
    <w:rsid w:val="00272FFF"/>
    <w:rsid w:val="00273952"/>
    <w:rsid w:val="00274171"/>
    <w:rsid w:val="0027463A"/>
    <w:rsid w:val="002747E3"/>
    <w:rsid w:val="002749FC"/>
    <w:rsid w:val="00274C2E"/>
    <w:rsid w:val="00274D82"/>
    <w:rsid w:val="002752AA"/>
    <w:rsid w:val="002757B8"/>
    <w:rsid w:val="00277D43"/>
    <w:rsid w:val="002803EA"/>
    <w:rsid w:val="00280C3F"/>
    <w:rsid w:val="00280F86"/>
    <w:rsid w:val="00281241"/>
    <w:rsid w:val="0028162F"/>
    <w:rsid w:val="002817C5"/>
    <w:rsid w:val="002821F9"/>
    <w:rsid w:val="00282DFA"/>
    <w:rsid w:val="00282F30"/>
    <w:rsid w:val="002833A3"/>
    <w:rsid w:val="00283984"/>
    <w:rsid w:val="002839D9"/>
    <w:rsid w:val="002854D7"/>
    <w:rsid w:val="002868E1"/>
    <w:rsid w:val="00286AA5"/>
    <w:rsid w:val="00286D89"/>
    <w:rsid w:val="00287140"/>
    <w:rsid w:val="0029108F"/>
    <w:rsid w:val="002913B3"/>
    <w:rsid w:val="0029163F"/>
    <w:rsid w:val="00292CD5"/>
    <w:rsid w:val="00292E14"/>
    <w:rsid w:val="00293572"/>
    <w:rsid w:val="00293E4F"/>
    <w:rsid w:val="00295FC9"/>
    <w:rsid w:val="00296A1F"/>
    <w:rsid w:val="00296F17"/>
    <w:rsid w:val="00297482"/>
    <w:rsid w:val="002A0150"/>
    <w:rsid w:val="002A08F7"/>
    <w:rsid w:val="002A0F48"/>
    <w:rsid w:val="002A1279"/>
    <w:rsid w:val="002A1FE0"/>
    <w:rsid w:val="002A2269"/>
    <w:rsid w:val="002A288B"/>
    <w:rsid w:val="002A2C24"/>
    <w:rsid w:val="002A3871"/>
    <w:rsid w:val="002A3A37"/>
    <w:rsid w:val="002A3E40"/>
    <w:rsid w:val="002B00E3"/>
    <w:rsid w:val="002B0164"/>
    <w:rsid w:val="002B0D95"/>
    <w:rsid w:val="002B0ECA"/>
    <w:rsid w:val="002B1E6E"/>
    <w:rsid w:val="002B27F7"/>
    <w:rsid w:val="002B2F4B"/>
    <w:rsid w:val="002B3A38"/>
    <w:rsid w:val="002B5E20"/>
    <w:rsid w:val="002B66AB"/>
    <w:rsid w:val="002B6B1C"/>
    <w:rsid w:val="002B6BF9"/>
    <w:rsid w:val="002C0551"/>
    <w:rsid w:val="002C10E0"/>
    <w:rsid w:val="002C2865"/>
    <w:rsid w:val="002C3114"/>
    <w:rsid w:val="002C3C04"/>
    <w:rsid w:val="002C4499"/>
    <w:rsid w:val="002C6660"/>
    <w:rsid w:val="002C6AEB"/>
    <w:rsid w:val="002C6CA3"/>
    <w:rsid w:val="002C7435"/>
    <w:rsid w:val="002D1361"/>
    <w:rsid w:val="002D1B96"/>
    <w:rsid w:val="002D2822"/>
    <w:rsid w:val="002D3325"/>
    <w:rsid w:val="002D3756"/>
    <w:rsid w:val="002D4143"/>
    <w:rsid w:val="002D422C"/>
    <w:rsid w:val="002D6BA2"/>
    <w:rsid w:val="002E1783"/>
    <w:rsid w:val="002E25CE"/>
    <w:rsid w:val="002E35CA"/>
    <w:rsid w:val="002E41C8"/>
    <w:rsid w:val="002E5C2C"/>
    <w:rsid w:val="002E5C70"/>
    <w:rsid w:val="002E6B46"/>
    <w:rsid w:val="002E7A62"/>
    <w:rsid w:val="002E7C35"/>
    <w:rsid w:val="002F02FF"/>
    <w:rsid w:val="002F1C1D"/>
    <w:rsid w:val="002F1F75"/>
    <w:rsid w:val="002F1FF4"/>
    <w:rsid w:val="002F2172"/>
    <w:rsid w:val="002F2DE3"/>
    <w:rsid w:val="002F3831"/>
    <w:rsid w:val="002F3A07"/>
    <w:rsid w:val="002F4334"/>
    <w:rsid w:val="002F45F4"/>
    <w:rsid w:val="002F5525"/>
    <w:rsid w:val="002F658E"/>
    <w:rsid w:val="002F7003"/>
    <w:rsid w:val="002F7173"/>
    <w:rsid w:val="00302B0A"/>
    <w:rsid w:val="00303B36"/>
    <w:rsid w:val="00303C5B"/>
    <w:rsid w:val="00304A9F"/>
    <w:rsid w:val="00304C12"/>
    <w:rsid w:val="00305BD3"/>
    <w:rsid w:val="00306B04"/>
    <w:rsid w:val="0030757E"/>
    <w:rsid w:val="003075D2"/>
    <w:rsid w:val="0031039B"/>
    <w:rsid w:val="00310FF5"/>
    <w:rsid w:val="0031105D"/>
    <w:rsid w:val="00311692"/>
    <w:rsid w:val="00311B27"/>
    <w:rsid w:val="00311FAA"/>
    <w:rsid w:val="003121BE"/>
    <w:rsid w:val="003130D6"/>
    <w:rsid w:val="00313ED0"/>
    <w:rsid w:val="003141E7"/>
    <w:rsid w:val="003156AC"/>
    <w:rsid w:val="003163F6"/>
    <w:rsid w:val="003167A9"/>
    <w:rsid w:val="003168A3"/>
    <w:rsid w:val="003169C0"/>
    <w:rsid w:val="00317845"/>
    <w:rsid w:val="00317A4E"/>
    <w:rsid w:val="003200B5"/>
    <w:rsid w:val="00321148"/>
    <w:rsid w:val="00322AC4"/>
    <w:rsid w:val="00323034"/>
    <w:rsid w:val="003233C6"/>
    <w:rsid w:val="00323ABA"/>
    <w:rsid w:val="00325FD8"/>
    <w:rsid w:val="003268B5"/>
    <w:rsid w:val="003268FA"/>
    <w:rsid w:val="00326E13"/>
    <w:rsid w:val="00334E12"/>
    <w:rsid w:val="00334FA2"/>
    <w:rsid w:val="0033578E"/>
    <w:rsid w:val="00335F8B"/>
    <w:rsid w:val="0033688B"/>
    <w:rsid w:val="003368AF"/>
    <w:rsid w:val="00340F8B"/>
    <w:rsid w:val="00343641"/>
    <w:rsid w:val="003436F0"/>
    <w:rsid w:val="003439E0"/>
    <w:rsid w:val="00343C36"/>
    <w:rsid w:val="00344703"/>
    <w:rsid w:val="003458DD"/>
    <w:rsid w:val="00346353"/>
    <w:rsid w:val="003467E9"/>
    <w:rsid w:val="00346859"/>
    <w:rsid w:val="003474A7"/>
    <w:rsid w:val="00350476"/>
    <w:rsid w:val="00351589"/>
    <w:rsid w:val="0035198D"/>
    <w:rsid w:val="00351CC3"/>
    <w:rsid w:val="00351F6A"/>
    <w:rsid w:val="00352953"/>
    <w:rsid w:val="0035342E"/>
    <w:rsid w:val="00354A41"/>
    <w:rsid w:val="0035533C"/>
    <w:rsid w:val="00355384"/>
    <w:rsid w:val="003558A4"/>
    <w:rsid w:val="00356F95"/>
    <w:rsid w:val="003575E6"/>
    <w:rsid w:val="003604A2"/>
    <w:rsid w:val="00360B48"/>
    <w:rsid w:val="00360D82"/>
    <w:rsid w:val="00361431"/>
    <w:rsid w:val="003623B6"/>
    <w:rsid w:val="003638C6"/>
    <w:rsid w:val="00363DE7"/>
    <w:rsid w:val="00364189"/>
    <w:rsid w:val="00364798"/>
    <w:rsid w:val="00364BED"/>
    <w:rsid w:val="00364C9D"/>
    <w:rsid w:val="00365E49"/>
    <w:rsid w:val="0036606D"/>
    <w:rsid w:val="003663CE"/>
    <w:rsid w:val="00366A4D"/>
    <w:rsid w:val="00366DBC"/>
    <w:rsid w:val="00367D64"/>
    <w:rsid w:val="0037085D"/>
    <w:rsid w:val="003710F6"/>
    <w:rsid w:val="003712C1"/>
    <w:rsid w:val="003720AC"/>
    <w:rsid w:val="0037282B"/>
    <w:rsid w:val="00375132"/>
    <w:rsid w:val="0037514E"/>
    <w:rsid w:val="00375D27"/>
    <w:rsid w:val="00375DCC"/>
    <w:rsid w:val="00376C1A"/>
    <w:rsid w:val="00377DD3"/>
    <w:rsid w:val="00380332"/>
    <w:rsid w:val="003809C8"/>
    <w:rsid w:val="00382AC2"/>
    <w:rsid w:val="003841DF"/>
    <w:rsid w:val="00384245"/>
    <w:rsid w:val="0038439F"/>
    <w:rsid w:val="0038453E"/>
    <w:rsid w:val="003851F7"/>
    <w:rsid w:val="00385569"/>
    <w:rsid w:val="003859D0"/>
    <w:rsid w:val="003862ED"/>
    <w:rsid w:val="00386C5E"/>
    <w:rsid w:val="003875EB"/>
    <w:rsid w:val="00387CAB"/>
    <w:rsid w:val="0039054A"/>
    <w:rsid w:val="00390E91"/>
    <w:rsid w:val="00390FB3"/>
    <w:rsid w:val="00390FD5"/>
    <w:rsid w:val="00392D36"/>
    <w:rsid w:val="00392FD4"/>
    <w:rsid w:val="00393019"/>
    <w:rsid w:val="00394173"/>
    <w:rsid w:val="0039451A"/>
    <w:rsid w:val="00394CFD"/>
    <w:rsid w:val="003954D8"/>
    <w:rsid w:val="00395916"/>
    <w:rsid w:val="00396E09"/>
    <w:rsid w:val="003970CC"/>
    <w:rsid w:val="00397B29"/>
    <w:rsid w:val="00397EB8"/>
    <w:rsid w:val="003A0B8B"/>
    <w:rsid w:val="003A1709"/>
    <w:rsid w:val="003A22C0"/>
    <w:rsid w:val="003A4855"/>
    <w:rsid w:val="003A54FF"/>
    <w:rsid w:val="003A5529"/>
    <w:rsid w:val="003A5D1D"/>
    <w:rsid w:val="003A5FBE"/>
    <w:rsid w:val="003A6911"/>
    <w:rsid w:val="003A7276"/>
    <w:rsid w:val="003B012F"/>
    <w:rsid w:val="003B0131"/>
    <w:rsid w:val="003B035A"/>
    <w:rsid w:val="003B064A"/>
    <w:rsid w:val="003B0D42"/>
    <w:rsid w:val="003B2124"/>
    <w:rsid w:val="003B5167"/>
    <w:rsid w:val="003B5953"/>
    <w:rsid w:val="003B5A30"/>
    <w:rsid w:val="003B5D5A"/>
    <w:rsid w:val="003B5F7E"/>
    <w:rsid w:val="003C00AD"/>
    <w:rsid w:val="003C0445"/>
    <w:rsid w:val="003C088F"/>
    <w:rsid w:val="003C0D38"/>
    <w:rsid w:val="003C114A"/>
    <w:rsid w:val="003C1736"/>
    <w:rsid w:val="003C198E"/>
    <w:rsid w:val="003C1D34"/>
    <w:rsid w:val="003C2743"/>
    <w:rsid w:val="003C3387"/>
    <w:rsid w:val="003C363F"/>
    <w:rsid w:val="003C5550"/>
    <w:rsid w:val="003C6034"/>
    <w:rsid w:val="003C6925"/>
    <w:rsid w:val="003C7F75"/>
    <w:rsid w:val="003D114D"/>
    <w:rsid w:val="003D1BA8"/>
    <w:rsid w:val="003D2060"/>
    <w:rsid w:val="003D2A01"/>
    <w:rsid w:val="003D3420"/>
    <w:rsid w:val="003D35D8"/>
    <w:rsid w:val="003D400D"/>
    <w:rsid w:val="003D4995"/>
    <w:rsid w:val="003D4AA5"/>
    <w:rsid w:val="003D5A9F"/>
    <w:rsid w:val="003D5F9E"/>
    <w:rsid w:val="003D630C"/>
    <w:rsid w:val="003D6E96"/>
    <w:rsid w:val="003D6F6E"/>
    <w:rsid w:val="003D70D7"/>
    <w:rsid w:val="003D7DCB"/>
    <w:rsid w:val="003E07DA"/>
    <w:rsid w:val="003E1EC3"/>
    <w:rsid w:val="003E2505"/>
    <w:rsid w:val="003E3046"/>
    <w:rsid w:val="003E4957"/>
    <w:rsid w:val="003E4C4B"/>
    <w:rsid w:val="003E5300"/>
    <w:rsid w:val="003E58CA"/>
    <w:rsid w:val="003E6165"/>
    <w:rsid w:val="003E7070"/>
    <w:rsid w:val="003E7798"/>
    <w:rsid w:val="003E7A0A"/>
    <w:rsid w:val="003E7B27"/>
    <w:rsid w:val="003F084E"/>
    <w:rsid w:val="003F08CE"/>
    <w:rsid w:val="003F17E1"/>
    <w:rsid w:val="003F1C4E"/>
    <w:rsid w:val="003F25F9"/>
    <w:rsid w:val="003F3EFC"/>
    <w:rsid w:val="003F4043"/>
    <w:rsid w:val="003F724B"/>
    <w:rsid w:val="004007EE"/>
    <w:rsid w:val="0040239C"/>
    <w:rsid w:val="00402C80"/>
    <w:rsid w:val="00402D26"/>
    <w:rsid w:val="00402DBC"/>
    <w:rsid w:val="00403FC1"/>
    <w:rsid w:val="00404429"/>
    <w:rsid w:val="00404591"/>
    <w:rsid w:val="00404AB1"/>
    <w:rsid w:val="004052C7"/>
    <w:rsid w:val="00405CA0"/>
    <w:rsid w:val="004061DE"/>
    <w:rsid w:val="00407A3C"/>
    <w:rsid w:val="00407CB8"/>
    <w:rsid w:val="00407EF3"/>
    <w:rsid w:val="004101A6"/>
    <w:rsid w:val="004103A5"/>
    <w:rsid w:val="004109E6"/>
    <w:rsid w:val="00411175"/>
    <w:rsid w:val="00413181"/>
    <w:rsid w:val="004139E1"/>
    <w:rsid w:val="00413F04"/>
    <w:rsid w:val="004154AD"/>
    <w:rsid w:val="0041632D"/>
    <w:rsid w:val="00416E66"/>
    <w:rsid w:val="00421264"/>
    <w:rsid w:val="00421E01"/>
    <w:rsid w:val="004222DB"/>
    <w:rsid w:val="00422C7B"/>
    <w:rsid w:val="004234C0"/>
    <w:rsid w:val="00424125"/>
    <w:rsid w:val="00424E11"/>
    <w:rsid w:val="00424E85"/>
    <w:rsid w:val="0042736A"/>
    <w:rsid w:val="00427AA3"/>
    <w:rsid w:val="0043028B"/>
    <w:rsid w:val="00430841"/>
    <w:rsid w:val="00430C3C"/>
    <w:rsid w:val="004314CE"/>
    <w:rsid w:val="004318B4"/>
    <w:rsid w:val="00431C5E"/>
    <w:rsid w:val="00432ADD"/>
    <w:rsid w:val="004330F7"/>
    <w:rsid w:val="004341D5"/>
    <w:rsid w:val="0043437F"/>
    <w:rsid w:val="004348F1"/>
    <w:rsid w:val="00434A7E"/>
    <w:rsid w:val="0043629F"/>
    <w:rsid w:val="004367CC"/>
    <w:rsid w:val="00436F17"/>
    <w:rsid w:val="00437D2D"/>
    <w:rsid w:val="0044125C"/>
    <w:rsid w:val="004422A7"/>
    <w:rsid w:val="00442D1D"/>
    <w:rsid w:val="00443261"/>
    <w:rsid w:val="004449E6"/>
    <w:rsid w:val="004454D6"/>
    <w:rsid w:val="00450AEB"/>
    <w:rsid w:val="00452B9A"/>
    <w:rsid w:val="00454701"/>
    <w:rsid w:val="0045477E"/>
    <w:rsid w:val="0045479B"/>
    <w:rsid w:val="00454CE9"/>
    <w:rsid w:val="00454E63"/>
    <w:rsid w:val="00455FBB"/>
    <w:rsid w:val="00456139"/>
    <w:rsid w:val="00456594"/>
    <w:rsid w:val="00456840"/>
    <w:rsid w:val="004571E4"/>
    <w:rsid w:val="00460A1F"/>
    <w:rsid w:val="00462FA8"/>
    <w:rsid w:val="00463024"/>
    <w:rsid w:val="004633BC"/>
    <w:rsid w:val="004637D5"/>
    <w:rsid w:val="004639D4"/>
    <w:rsid w:val="00463A7A"/>
    <w:rsid w:val="004642F9"/>
    <w:rsid w:val="00464D73"/>
    <w:rsid w:val="00465919"/>
    <w:rsid w:val="00465B99"/>
    <w:rsid w:val="00466BDD"/>
    <w:rsid w:val="00467203"/>
    <w:rsid w:val="004674D6"/>
    <w:rsid w:val="00467EA5"/>
    <w:rsid w:val="00467EC9"/>
    <w:rsid w:val="00467FC0"/>
    <w:rsid w:val="00470525"/>
    <w:rsid w:val="00471849"/>
    <w:rsid w:val="0047193E"/>
    <w:rsid w:val="004721A8"/>
    <w:rsid w:val="004725D1"/>
    <w:rsid w:val="00472FBD"/>
    <w:rsid w:val="004732A8"/>
    <w:rsid w:val="00473DAB"/>
    <w:rsid w:val="004746E4"/>
    <w:rsid w:val="00475035"/>
    <w:rsid w:val="00476152"/>
    <w:rsid w:val="00477296"/>
    <w:rsid w:val="004779BF"/>
    <w:rsid w:val="004802E9"/>
    <w:rsid w:val="0048033F"/>
    <w:rsid w:val="0048062E"/>
    <w:rsid w:val="0048139F"/>
    <w:rsid w:val="0048207C"/>
    <w:rsid w:val="004902D0"/>
    <w:rsid w:val="00490F10"/>
    <w:rsid w:val="004913B0"/>
    <w:rsid w:val="00491484"/>
    <w:rsid w:val="00492644"/>
    <w:rsid w:val="0049418F"/>
    <w:rsid w:val="0049467D"/>
    <w:rsid w:val="00494FFB"/>
    <w:rsid w:val="004969C5"/>
    <w:rsid w:val="004A14A8"/>
    <w:rsid w:val="004A1E94"/>
    <w:rsid w:val="004A21DB"/>
    <w:rsid w:val="004A6B85"/>
    <w:rsid w:val="004A7708"/>
    <w:rsid w:val="004A7A2B"/>
    <w:rsid w:val="004B18D5"/>
    <w:rsid w:val="004B1D36"/>
    <w:rsid w:val="004B40DA"/>
    <w:rsid w:val="004B43EC"/>
    <w:rsid w:val="004B4654"/>
    <w:rsid w:val="004B5676"/>
    <w:rsid w:val="004B5A55"/>
    <w:rsid w:val="004B5DE9"/>
    <w:rsid w:val="004B63EF"/>
    <w:rsid w:val="004B686D"/>
    <w:rsid w:val="004B6EA1"/>
    <w:rsid w:val="004B73D5"/>
    <w:rsid w:val="004C1EA0"/>
    <w:rsid w:val="004C2F2D"/>
    <w:rsid w:val="004C3F1A"/>
    <w:rsid w:val="004C48B6"/>
    <w:rsid w:val="004C49C1"/>
    <w:rsid w:val="004C4DC0"/>
    <w:rsid w:val="004C55AD"/>
    <w:rsid w:val="004C5905"/>
    <w:rsid w:val="004C60C0"/>
    <w:rsid w:val="004C78AD"/>
    <w:rsid w:val="004D0999"/>
    <w:rsid w:val="004D0AFC"/>
    <w:rsid w:val="004D162E"/>
    <w:rsid w:val="004D1FE2"/>
    <w:rsid w:val="004D2067"/>
    <w:rsid w:val="004D2ED1"/>
    <w:rsid w:val="004D39DA"/>
    <w:rsid w:val="004D3C71"/>
    <w:rsid w:val="004D3CD2"/>
    <w:rsid w:val="004D4458"/>
    <w:rsid w:val="004D489A"/>
    <w:rsid w:val="004D4F35"/>
    <w:rsid w:val="004D601B"/>
    <w:rsid w:val="004D60A9"/>
    <w:rsid w:val="004D651B"/>
    <w:rsid w:val="004D69A0"/>
    <w:rsid w:val="004E0F73"/>
    <w:rsid w:val="004E13A8"/>
    <w:rsid w:val="004E2611"/>
    <w:rsid w:val="004E2DC7"/>
    <w:rsid w:val="004E3AF3"/>
    <w:rsid w:val="004E3FA7"/>
    <w:rsid w:val="004E44D8"/>
    <w:rsid w:val="004E524B"/>
    <w:rsid w:val="004E6919"/>
    <w:rsid w:val="004E6EB1"/>
    <w:rsid w:val="004E6FA9"/>
    <w:rsid w:val="004F0318"/>
    <w:rsid w:val="004F044B"/>
    <w:rsid w:val="004F0D46"/>
    <w:rsid w:val="004F19E3"/>
    <w:rsid w:val="004F2445"/>
    <w:rsid w:val="004F2A83"/>
    <w:rsid w:val="004F44D5"/>
    <w:rsid w:val="004F480A"/>
    <w:rsid w:val="004F4A10"/>
    <w:rsid w:val="004F5236"/>
    <w:rsid w:val="004F5617"/>
    <w:rsid w:val="004F5ACD"/>
    <w:rsid w:val="004F666B"/>
    <w:rsid w:val="005003B5"/>
    <w:rsid w:val="00503096"/>
    <w:rsid w:val="005038A5"/>
    <w:rsid w:val="00504588"/>
    <w:rsid w:val="00504FB2"/>
    <w:rsid w:val="005053F4"/>
    <w:rsid w:val="00505E13"/>
    <w:rsid w:val="00506436"/>
    <w:rsid w:val="00506E07"/>
    <w:rsid w:val="00506E80"/>
    <w:rsid w:val="005072EE"/>
    <w:rsid w:val="00507AF2"/>
    <w:rsid w:val="0051027B"/>
    <w:rsid w:val="00510EA8"/>
    <w:rsid w:val="00511360"/>
    <w:rsid w:val="0051180C"/>
    <w:rsid w:val="00511EE1"/>
    <w:rsid w:val="00512721"/>
    <w:rsid w:val="00513303"/>
    <w:rsid w:val="00514D42"/>
    <w:rsid w:val="00514E83"/>
    <w:rsid w:val="00516410"/>
    <w:rsid w:val="00516A40"/>
    <w:rsid w:val="00517267"/>
    <w:rsid w:val="005172F3"/>
    <w:rsid w:val="0051763A"/>
    <w:rsid w:val="005203DA"/>
    <w:rsid w:val="0052049C"/>
    <w:rsid w:val="0052112B"/>
    <w:rsid w:val="00521283"/>
    <w:rsid w:val="005217F0"/>
    <w:rsid w:val="005219BD"/>
    <w:rsid w:val="005231C2"/>
    <w:rsid w:val="0052346C"/>
    <w:rsid w:val="0052383A"/>
    <w:rsid w:val="005238FD"/>
    <w:rsid w:val="00523AB0"/>
    <w:rsid w:val="00523F0C"/>
    <w:rsid w:val="00525079"/>
    <w:rsid w:val="00526243"/>
    <w:rsid w:val="00526B3D"/>
    <w:rsid w:val="0052731C"/>
    <w:rsid w:val="00527770"/>
    <w:rsid w:val="00530FCA"/>
    <w:rsid w:val="00531F98"/>
    <w:rsid w:val="005328B2"/>
    <w:rsid w:val="005329C9"/>
    <w:rsid w:val="00533ECD"/>
    <w:rsid w:val="00533F42"/>
    <w:rsid w:val="005347F8"/>
    <w:rsid w:val="00534FAA"/>
    <w:rsid w:val="00535017"/>
    <w:rsid w:val="00535285"/>
    <w:rsid w:val="00535628"/>
    <w:rsid w:val="005358A0"/>
    <w:rsid w:val="00535DEE"/>
    <w:rsid w:val="00540690"/>
    <w:rsid w:val="00540DB0"/>
    <w:rsid w:val="00541BEB"/>
    <w:rsid w:val="005426DF"/>
    <w:rsid w:val="005430F4"/>
    <w:rsid w:val="005439BE"/>
    <w:rsid w:val="00543B1F"/>
    <w:rsid w:val="00543DEA"/>
    <w:rsid w:val="005443B9"/>
    <w:rsid w:val="005457A5"/>
    <w:rsid w:val="00546C38"/>
    <w:rsid w:val="00546D55"/>
    <w:rsid w:val="00546FAB"/>
    <w:rsid w:val="005504B6"/>
    <w:rsid w:val="005506FE"/>
    <w:rsid w:val="00550A00"/>
    <w:rsid w:val="005510B0"/>
    <w:rsid w:val="00551E0D"/>
    <w:rsid w:val="00554418"/>
    <w:rsid w:val="005547E9"/>
    <w:rsid w:val="005554B9"/>
    <w:rsid w:val="00555822"/>
    <w:rsid w:val="00556479"/>
    <w:rsid w:val="00556B66"/>
    <w:rsid w:val="00556E29"/>
    <w:rsid w:val="00557051"/>
    <w:rsid w:val="005577F1"/>
    <w:rsid w:val="00560D19"/>
    <w:rsid w:val="00561119"/>
    <w:rsid w:val="00561CD5"/>
    <w:rsid w:val="005622BB"/>
    <w:rsid w:val="0056304C"/>
    <w:rsid w:val="0057003B"/>
    <w:rsid w:val="0057059B"/>
    <w:rsid w:val="00571844"/>
    <w:rsid w:val="00571BF4"/>
    <w:rsid w:val="0057267E"/>
    <w:rsid w:val="00573536"/>
    <w:rsid w:val="00573CC5"/>
    <w:rsid w:val="00574B59"/>
    <w:rsid w:val="005752F4"/>
    <w:rsid w:val="00575808"/>
    <w:rsid w:val="00576444"/>
    <w:rsid w:val="00576BB8"/>
    <w:rsid w:val="00577587"/>
    <w:rsid w:val="005775C8"/>
    <w:rsid w:val="0058174A"/>
    <w:rsid w:val="00581DD5"/>
    <w:rsid w:val="0058356C"/>
    <w:rsid w:val="00583E5F"/>
    <w:rsid w:val="005862BF"/>
    <w:rsid w:val="00586672"/>
    <w:rsid w:val="005868AB"/>
    <w:rsid w:val="00586AE2"/>
    <w:rsid w:val="00587712"/>
    <w:rsid w:val="00587797"/>
    <w:rsid w:val="00587C4A"/>
    <w:rsid w:val="00590A35"/>
    <w:rsid w:val="005920D4"/>
    <w:rsid w:val="005930AA"/>
    <w:rsid w:val="00593577"/>
    <w:rsid w:val="005937CB"/>
    <w:rsid w:val="00593E98"/>
    <w:rsid w:val="00594458"/>
    <w:rsid w:val="00594F7D"/>
    <w:rsid w:val="00595524"/>
    <w:rsid w:val="00595FA4"/>
    <w:rsid w:val="005A0A06"/>
    <w:rsid w:val="005A1A49"/>
    <w:rsid w:val="005A2236"/>
    <w:rsid w:val="005A34B7"/>
    <w:rsid w:val="005A3E3D"/>
    <w:rsid w:val="005A3E93"/>
    <w:rsid w:val="005A5899"/>
    <w:rsid w:val="005A67E6"/>
    <w:rsid w:val="005A6D9F"/>
    <w:rsid w:val="005A75ED"/>
    <w:rsid w:val="005B050D"/>
    <w:rsid w:val="005B05AA"/>
    <w:rsid w:val="005B1182"/>
    <w:rsid w:val="005B19DF"/>
    <w:rsid w:val="005B1E4A"/>
    <w:rsid w:val="005B2421"/>
    <w:rsid w:val="005B2A71"/>
    <w:rsid w:val="005B4B55"/>
    <w:rsid w:val="005B565E"/>
    <w:rsid w:val="005B7482"/>
    <w:rsid w:val="005B7C6F"/>
    <w:rsid w:val="005C0056"/>
    <w:rsid w:val="005C0777"/>
    <w:rsid w:val="005C0D41"/>
    <w:rsid w:val="005C1B1A"/>
    <w:rsid w:val="005C2775"/>
    <w:rsid w:val="005C3211"/>
    <w:rsid w:val="005C3977"/>
    <w:rsid w:val="005C3AB1"/>
    <w:rsid w:val="005C521C"/>
    <w:rsid w:val="005C5462"/>
    <w:rsid w:val="005C5A78"/>
    <w:rsid w:val="005C6106"/>
    <w:rsid w:val="005C73CC"/>
    <w:rsid w:val="005D0522"/>
    <w:rsid w:val="005D1524"/>
    <w:rsid w:val="005D31F1"/>
    <w:rsid w:val="005D36A0"/>
    <w:rsid w:val="005D37B6"/>
    <w:rsid w:val="005D3889"/>
    <w:rsid w:val="005D469F"/>
    <w:rsid w:val="005D475C"/>
    <w:rsid w:val="005D47F7"/>
    <w:rsid w:val="005D483E"/>
    <w:rsid w:val="005D4B41"/>
    <w:rsid w:val="005D70B2"/>
    <w:rsid w:val="005D7334"/>
    <w:rsid w:val="005D77E0"/>
    <w:rsid w:val="005D7CCF"/>
    <w:rsid w:val="005E0836"/>
    <w:rsid w:val="005E0B9F"/>
    <w:rsid w:val="005E0EF5"/>
    <w:rsid w:val="005E0F5D"/>
    <w:rsid w:val="005E1A33"/>
    <w:rsid w:val="005E2BD3"/>
    <w:rsid w:val="005E31A3"/>
    <w:rsid w:val="005E3D0B"/>
    <w:rsid w:val="005E3D62"/>
    <w:rsid w:val="005E59CD"/>
    <w:rsid w:val="005E5B1C"/>
    <w:rsid w:val="005E7F55"/>
    <w:rsid w:val="005F091B"/>
    <w:rsid w:val="005F1444"/>
    <w:rsid w:val="005F2161"/>
    <w:rsid w:val="005F229D"/>
    <w:rsid w:val="005F2724"/>
    <w:rsid w:val="005F293F"/>
    <w:rsid w:val="005F2E07"/>
    <w:rsid w:val="005F325B"/>
    <w:rsid w:val="005F35C2"/>
    <w:rsid w:val="005F3EE7"/>
    <w:rsid w:val="005F4EE2"/>
    <w:rsid w:val="005F54C9"/>
    <w:rsid w:val="005F56A2"/>
    <w:rsid w:val="005F65CB"/>
    <w:rsid w:val="005F6FB6"/>
    <w:rsid w:val="005F7408"/>
    <w:rsid w:val="005F774A"/>
    <w:rsid w:val="00600D7A"/>
    <w:rsid w:val="006013E3"/>
    <w:rsid w:val="006026AF"/>
    <w:rsid w:val="00602815"/>
    <w:rsid w:val="00602CE6"/>
    <w:rsid w:val="00603292"/>
    <w:rsid w:val="006039A7"/>
    <w:rsid w:val="0060440E"/>
    <w:rsid w:val="00604BB0"/>
    <w:rsid w:val="006050C3"/>
    <w:rsid w:val="00605D26"/>
    <w:rsid w:val="006064E3"/>
    <w:rsid w:val="00607AB9"/>
    <w:rsid w:val="00607E5B"/>
    <w:rsid w:val="00611267"/>
    <w:rsid w:val="00611F8B"/>
    <w:rsid w:val="0061224E"/>
    <w:rsid w:val="0061295E"/>
    <w:rsid w:val="00612C74"/>
    <w:rsid w:val="00612CE7"/>
    <w:rsid w:val="00612F99"/>
    <w:rsid w:val="0061320B"/>
    <w:rsid w:val="006135D5"/>
    <w:rsid w:val="00613729"/>
    <w:rsid w:val="006156E6"/>
    <w:rsid w:val="006162ED"/>
    <w:rsid w:val="006165BB"/>
    <w:rsid w:val="00616E90"/>
    <w:rsid w:val="00617C71"/>
    <w:rsid w:val="0062088B"/>
    <w:rsid w:val="006209E1"/>
    <w:rsid w:val="00620CF0"/>
    <w:rsid w:val="0062273F"/>
    <w:rsid w:val="0062286E"/>
    <w:rsid w:val="00622E40"/>
    <w:rsid w:val="00622FEE"/>
    <w:rsid w:val="00623172"/>
    <w:rsid w:val="006234AE"/>
    <w:rsid w:val="0062367B"/>
    <w:rsid w:val="0062367D"/>
    <w:rsid w:val="00624889"/>
    <w:rsid w:val="00626864"/>
    <w:rsid w:val="00630278"/>
    <w:rsid w:val="00630786"/>
    <w:rsid w:val="00631B80"/>
    <w:rsid w:val="006322F9"/>
    <w:rsid w:val="006327EB"/>
    <w:rsid w:val="0063323E"/>
    <w:rsid w:val="006338CB"/>
    <w:rsid w:val="00633C03"/>
    <w:rsid w:val="006346AD"/>
    <w:rsid w:val="00634B93"/>
    <w:rsid w:val="00634C5A"/>
    <w:rsid w:val="00636DF7"/>
    <w:rsid w:val="006400E7"/>
    <w:rsid w:val="00640883"/>
    <w:rsid w:val="00640A10"/>
    <w:rsid w:val="00640DF1"/>
    <w:rsid w:val="00641242"/>
    <w:rsid w:val="00641DB3"/>
    <w:rsid w:val="00643B1D"/>
    <w:rsid w:val="00645629"/>
    <w:rsid w:val="006458E1"/>
    <w:rsid w:val="00645EBF"/>
    <w:rsid w:val="0064611C"/>
    <w:rsid w:val="006461A0"/>
    <w:rsid w:val="006475D8"/>
    <w:rsid w:val="00647DC3"/>
    <w:rsid w:val="0065074F"/>
    <w:rsid w:val="0065112C"/>
    <w:rsid w:val="00651E01"/>
    <w:rsid w:val="0065248B"/>
    <w:rsid w:val="00652CE6"/>
    <w:rsid w:val="00655EED"/>
    <w:rsid w:val="006567CE"/>
    <w:rsid w:val="00660785"/>
    <w:rsid w:val="00660859"/>
    <w:rsid w:val="00660863"/>
    <w:rsid w:val="00661102"/>
    <w:rsid w:val="006611C4"/>
    <w:rsid w:val="00661304"/>
    <w:rsid w:val="00661709"/>
    <w:rsid w:val="00662108"/>
    <w:rsid w:val="00662983"/>
    <w:rsid w:val="00662E05"/>
    <w:rsid w:val="006648F7"/>
    <w:rsid w:val="006651C8"/>
    <w:rsid w:val="00665835"/>
    <w:rsid w:val="00665B86"/>
    <w:rsid w:val="00666143"/>
    <w:rsid w:val="00666149"/>
    <w:rsid w:val="006661B8"/>
    <w:rsid w:val="006669CB"/>
    <w:rsid w:val="00666B10"/>
    <w:rsid w:val="00666CC0"/>
    <w:rsid w:val="0066738A"/>
    <w:rsid w:val="006675A7"/>
    <w:rsid w:val="0066797C"/>
    <w:rsid w:val="006706D8"/>
    <w:rsid w:val="006711FF"/>
    <w:rsid w:val="00671AA6"/>
    <w:rsid w:val="00672506"/>
    <w:rsid w:val="00672858"/>
    <w:rsid w:val="006731F0"/>
    <w:rsid w:val="00674409"/>
    <w:rsid w:val="00677617"/>
    <w:rsid w:val="00680BAF"/>
    <w:rsid w:val="00681466"/>
    <w:rsid w:val="006818D2"/>
    <w:rsid w:val="00682332"/>
    <w:rsid w:val="00682A44"/>
    <w:rsid w:val="0068320A"/>
    <w:rsid w:val="00684615"/>
    <w:rsid w:val="00684EA0"/>
    <w:rsid w:val="006853A5"/>
    <w:rsid w:val="00685992"/>
    <w:rsid w:val="00685AFF"/>
    <w:rsid w:val="00686237"/>
    <w:rsid w:val="00686994"/>
    <w:rsid w:val="0069237A"/>
    <w:rsid w:val="0069256A"/>
    <w:rsid w:val="006925BB"/>
    <w:rsid w:val="00692D45"/>
    <w:rsid w:val="00693623"/>
    <w:rsid w:val="00693C64"/>
    <w:rsid w:val="00693FA7"/>
    <w:rsid w:val="00694488"/>
    <w:rsid w:val="006960E0"/>
    <w:rsid w:val="0069659B"/>
    <w:rsid w:val="00696B03"/>
    <w:rsid w:val="006973AE"/>
    <w:rsid w:val="00697515"/>
    <w:rsid w:val="00697B29"/>
    <w:rsid w:val="00697F9F"/>
    <w:rsid w:val="006A094E"/>
    <w:rsid w:val="006A0D2E"/>
    <w:rsid w:val="006A1E72"/>
    <w:rsid w:val="006A2060"/>
    <w:rsid w:val="006A233F"/>
    <w:rsid w:val="006A2DF1"/>
    <w:rsid w:val="006A3151"/>
    <w:rsid w:val="006A3C61"/>
    <w:rsid w:val="006A3F9D"/>
    <w:rsid w:val="006A4DBB"/>
    <w:rsid w:val="006A56E8"/>
    <w:rsid w:val="006A688A"/>
    <w:rsid w:val="006A69CA"/>
    <w:rsid w:val="006A6FA0"/>
    <w:rsid w:val="006B1054"/>
    <w:rsid w:val="006B1223"/>
    <w:rsid w:val="006B1368"/>
    <w:rsid w:val="006B3C23"/>
    <w:rsid w:val="006B3E6C"/>
    <w:rsid w:val="006B3E74"/>
    <w:rsid w:val="006B5A32"/>
    <w:rsid w:val="006B6371"/>
    <w:rsid w:val="006B6ADD"/>
    <w:rsid w:val="006B78EB"/>
    <w:rsid w:val="006C0553"/>
    <w:rsid w:val="006C0A48"/>
    <w:rsid w:val="006C141F"/>
    <w:rsid w:val="006C163C"/>
    <w:rsid w:val="006C1796"/>
    <w:rsid w:val="006C1CE3"/>
    <w:rsid w:val="006C3DFB"/>
    <w:rsid w:val="006C4655"/>
    <w:rsid w:val="006C5007"/>
    <w:rsid w:val="006C5253"/>
    <w:rsid w:val="006C673C"/>
    <w:rsid w:val="006C703E"/>
    <w:rsid w:val="006C793B"/>
    <w:rsid w:val="006D0C35"/>
    <w:rsid w:val="006D1CEF"/>
    <w:rsid w:val="006D252E"/>
    <w:rsid w:val="006D3B5D"/>
    <w:rsid w:val="006D4EA8"/>
    <w:rsid w:val="006D50B9"/>
    <w:rsid w:val="006D5334"/>
    <w:rsid w:val="006D69A8"/>
    <w:rsid w:val="006D6A05"/>
    <w:rsid w:val="006D7A89"/>
    <w:rsid w:val="006D7BB3"/>
    <w:rsid w:val="006E0F48"/>
    <w:rsid w:val="006E110F"/>
    <w:rsid w:val="006E1689"/>
    <w:rsid w:val="006E30B4"/>
    <w:rsid w:val="006E3F96"/>
    <w:rsid w:val="006E4B24"/>
    <w:rsid w:val="006E66CC"/>
    <w:rsid w:val="006E789E"/>
    <w:rsid w:val="006F0536"/>
    <w:rsid w:val="006F165C"/>
    <w:rsid w:val="006F216A"/>
    <w:rsid w:val="006F2FE2"/>
    <w:rsid w:val="006F32F5"/>
    <w:rsid w:val="006F3EB5"/>
    <w:rsid w:val="006F498F"/>
    <w:rsid w:val="006F49CA"/>
    <w:rsid w:val="006F4A6A"/>
    <w:rsid w:val="006F5185"/>
    <w:rsid w:val="006F5A65"/>
    <w:rsid w:val="006F6464"/>
    <w:rsid w:val="006F66B1"/>
    <w:rsid w:val="006F7816"/>
    <w:rsid w:val="00701088"/>
    <w:rsid w:val="0070188F"/>
    <w:rsid w:val="00701B4D"/>
    <w:rsid w:val="007029C1"/>
    <w:rsid w:val="00702CC6"/>
    <w:rsid w:val="00703D3E"/>
    <w:rsid w:val="00705B4D"/>
    <w:rsid w:val="00705B9C"/>
    <w:rsid w:val="00706276"/>
    <w:rsid w:val="007104CA"/>
    <w:rsid w:val="007106F9"/>
    <w:rsid w:val="0071185F"/>
    <w:rsid w:val="00711B5B"/>
    <w:rsid w:val="00711C7B"/>
    <w:rsid w:val="0071332E"/>
    <w:rsid w:val="00714F03"/>
    <w:rsid w:val="0071501F"/>
    <w:rsid w:val="007154E4"/>
    <w:rsid w:val="0071688F"/>
    <w:rsid w:val="007177BA"/>
    <w:rsid w:val="00717901"/>
    <w:rsid w:val="00717A1F"/>
    <w:rsid w:val="0072030E"/>
    <w:rsid w:val="007209A0"/>
    <w:rsid w:val="00720B87"/>
    <w:rsid w:val="00721422"/>
    <w:rsid w:val="00721BB0"/>
    <w:rsid w:val="00721EB4"/>
    <w:rsid w:val="00722110"/>
    <w:rsid w:val="00722DCF"/>
    <w:rsid w:val="007240EE"/>
    <w:rsid w:val="007241E2"/>
    <w:rsid w:val="00725EBD"/>
    <w:rsid w:val="007262F0"/>
    <w:rsid w:val="007264D5"/>
    <w:rsid w:val="0072671C"/>
    <w:rsid w:val="007267CA"/>
    <w:rsid w:val="00726F62"/>
    <w:rsid w:val="007278C4"/>
    <w:rsid w:val="00730B41"/>
    <w:rsid w:val="007314DB"/>
    <w:rsid w:val="00732BDD"/>
    <w:rsid w:val="007340FE"/>
    <w:rsid w:val="007348F8"/>
    <w:rsid w:val="00735238"/>
    <w:rsid w:val="0073578A"/>
    <w:rsid w:val="007363AF"/>
    <w:rsid w:val="007365B7"/>
    <w:rsid w:val="00737A25"/>
    <w:rsid w:val="007401A4"/>
    <w:rsid w:val="00741685"/>
    <w:rsid w:val="007419ED"/>
    <w:rsid w:val="00742A2F"/>
    <w:rsid w:val="00744978"/>
    <w:rsid w:val="00745021"/>
    <w:rsid w:val="007456E0"/>
    <w:rsid w:val="00746B41"/>
    <w:rsid w:val="007478C0"/>
    <w:rsid w:val="00747F08"/>
    <w:rsid w:val="00750080"/>
    <w:rsid w:val="00750DB0"/>
    <w:rsid w:val="00751970"/>
    <w:rsid w:val="00752FE3"/>
    <w:rsid w:val="00753212"/>
    <w:rsid w:val="0075374D"/>
    <w:rsid w:val="00753B55"/>
    <w:rsid w:val="00753FAC"/>
    <w:rsid w:val="007553A2"/>
    <w:rsid w:val="0075549C"/>
    <w:rsid w:val="00755B5F"/>
    <w:rsid w:val="00755C54"/>
    <w:rsid w:val="00755CCF"/>
    <w:rsid w:val="00757B46"/>
    <w:rsid w:val="00757EED"/>
    <w:rsid w:val="00760322"/>
    <w:rsid w:val="00760D19"/>
    <w:rsid w:val="00761B12"/>
    <w:rsid w:val="00763BCF"/>
    <w:rsid w:val="00764168"/>
    <w:rsid w:val="00764D34"/>
    <w:rsid w:val="00765652"/>
    <w:rsid w:val="00765A19"/>
    <w:rsid w:val="00765D05"/>
    <w:rsid w:val="007661F3"/>
    <w:rsid w:val="007700DA"/>
    <w:rsid w:val="00770330"/>
    <w:rsid w:val="00770CB2"/>
    <w:rsid w:val="0077196D"/>
    <w:rsid w:val="0077252E"/>
    <w:rsid w:val="00774030"/>
    <w:rsid w:val="007749A2"/>
    <w:rsid w:val="00774C4F"/>
    <w:rsid w:val="00775050"/>
    <w:rsid w:val="00775167"/>
    <w:rsid w:val="00775CCD"/>
    <w:rsid w:val="00780161"/>
    <w:rsid w:val="00780939"/>
    <w:rsid w:val="007816A5"/>
    <w:rsid w:val="00781C33"/>
    <w:rsid w:val="00781E62"/>
    <w:rsid w:val="00782E75"/>
    <w:rsid w:val="00784E62"/>
    <w:rsid w:val="00784F0C"/>
    <w:rsid w:val="00786833"/>
    <w:rsid w:val="007872E3"/>
    <w:rsid w:val="00790B41"/>
    <w:rsid w:val="00790E39"/>
    <w:rsid w:val="00790F4E"/>
    <w:rsid w:val="00791483"/>
    <w:rsid w:val="00791954"/>
    <w:rsid w:val="007922DA"/>
    <w:rsid w:val="0079411F"/>
    <w:rsid w:val="00794181"/>
    <w:rsid w:val="007948C0"/>
    <w:rsid w:val="007948D9"/>
    <w:rsid w:val="00795E13"/>
    <w:rsid w:val="0079699C"/>
    <w:rsid w:val="007A1658"/>
    <w:rsid w:val="007A22A2"/>
    <w:rsid w:val="007A2750"/>
    <w:rsid w:val="007A278E"/>
    <w:rsid w:val="007A2C42"/>
    <w:rsid w:val="007A3D24"/>
    <w:rsid w:val="007A4E10"/>
    <w:rsid w:val="007A58DC"/>
    <w:rsid w:val="007A5B63"/>
    <w:rsid w:val="007A638E"/>
    <w:rsid w:val="007B1681"/>
    <w:rsid w:val="007B19FC"/>
    <w:rsid w:val="007B3091"/>
    <w:rsid w:val="007B3116"/>
    <w:rsid w:val="007B32BF"/>
    <w:rsid w:val="007B499E"/>
    <w:rsid w:val="007B5A59"/>
    <w:rsid w:val="007B5D96"/>
    <w:rsid w:val="007B5F02"/>
    <w:rsid w:val="007B6C90"/>
    <w:rsid w:val="007B6CC4"/>
    <w:rsid w:val="007B76A1"/>
    <w:rsid w:val="007B791C"/>
    <w:rsid w:val="007C00B7"/>
    <w:rsid w:val="007C0A8E"/>
    <w:rsid w:val="007C0C17"/>
    <w:rsid w:val="007C0D41"/>
    <w:rsid w:val="007C0FE0"/>
    <w:rsid w:val="007C1B1F"/>
    <w:rsid w:val="007C2BF3"/>
    <w:rsid w:val="007C32B1"/>
    <w:rsid w:val="007C3631"/>
    <w:rsid w:val="007C38F2"/>
    <w:rsid w:val="007C418C"/>
    <w:rsid w:val="007C42BD"/>
    <w:rsid w:val="007C573F"/>
    <w:rsid w:val="007C586B"/>
    <w:rsid w:val="007C5D12"/>
    <w:rsid w:val="007C655E"/>
    <w:rsid w:val="007C6AC9"/>
    <w:rsid w:val="007C7043"/>
    <w:rsid w:val="007C717F"/>
    <w:rsid w:val="007C79A1"/>
    <w:rsid w:val="007C7A15"/>
    <w:rsid w:val="007D0D81"/>
    <w:rsid w:val="007D15CB"/>
    <w:rsid w:val="007D17E7"/>
    <w:rsid w:val="007D30E0"/>
    <w:rsid w:val="007D3898"/>
    <w:rsid w:val="007D3B6B"/>
    <w:rsid w:val="007D4F98"/>
    <w:rsid w:val="007D5B19"/>
    <w:rsid w:val="007D5D84"/>
    <w:rsid w:val="007D659D"/>
    <w:rsid w:val="007D6CD7"/>
    <w:rsid w:val="007D6F0F"/>
    <w:rsid w:val="007D790F"/>
    <w:rsid w:val="007D7C8B"/>
    <w:rsid w:val="007E0630"/>
    <w:rsid w:val="007E0BCC"/>
    <w:rsid w:val="007E19FB"/>
    <w:rsid w:val="007E1FB8"/>
    <w:rsid w:val="007E2ED5"/>
    <w:rsid w:val="007E3658"/>
    <w:rsid w:val="007E45D3"/>
    <w:rsid w:val="007E4B62"/>
    <w:rsid w:val="007E4BE8"/>
    <w:rsid w:val="007E5431"/>
    <w:rsid w:val="007E5B06"/>
    <w:rsid w:val="007E657B"/>
    <w:rsid w:val="007E6C91"/>
    <w:rsid w:val="007F1D58"/>
    <w:rsid w:val="007F2D71"/>
    <w:rsid w:val="007F3B11"/>
    <w:rsid w:val="007F4274"/>
    <w:rsid w:val="007F4A5D"/>
    <w:rsid w:val="007F5651"/>
    <w:rsid w:val="007F7D14"/>
    <w:rsid w:val="00800183"/>
    <w:rsid w:val="00800BCF"/>
    <w:rsid w:val="0080160F"/>
    <w:rsid w:val="00801D88"/>
    <w:rsid w:val="00803F1D"/>
    <w:rsid w:val="0080409B"/>
    <w:rsid w:val="00804658"/>
    <w:rsid w:val="00804AD8"/>
    <w:rsid w:val="008050C1"/>
    <w:rsid w:val="00805255"/>
    <w:rsid w:val="00805EC4"/>
    <w:rsid w:val="00806402"/>
    <w:rsid w:val="00806841"/>
    <w:rsid w:val="00806B0D"/>
    <w:rsid w:val="00810321"/>
    <w:rsid w:val="00810821"/>
    <w:rsid w:val="008108EF"/>
    <w:rsid w:val="0081157E"/>
    <w:rsid w:val="008120C6"/>
    <w:rsid w:val="00813E27"/>
    <w:rsid w:val="0081426D"/>
    <w:rsid w:val="00814385"/>
    <w:rsid w:val="0081560A"/>
    <w:rsid w:val="00815927"/>
    <w:rsid w:val="00815AA4"/>
    <w:rsid w:val="00815E3A"/>
    <w:rsid w:val="0081647D"/>
    <w:rsid w:val="0081693A"/>
    <w:rsid w:val="00816BE7"/>
    <w:rsid w:val="00816F54"/>
    <w:rsid w:val="00817574"/>
    <w:rsid w:val="00821AE1"/>
    <w:rsid w:val="00821B7B"/>
    <w:rsid w:val="0082236A"/>
    <w:rsid w:val="008228AA"/>
    <w:rsid w:val="00822A64"/>
    <w:rsid w:val="00822CCA"/>
    <w:rsid w:val="008235A7"/>
    <w:rsid w:val="008236E5"/>
    <w:rsid w:val="008239F0"/>
    <w:rsid w:val="0082461B"/>
    <w:rsid w:val="008252C2"/>
    <w:rsid w:val="00825510"/>
    <w:rsid w:val="0082578E"/>
    <w:rsid w:val="00826749"/>
    <w:rsid w:val="008275F3"/>
    <w:rsid w:val="00827B3E"/>
    <w:rsid w:val="00830B95"/>
    <w:rsid w:val="0083127C"/>
    <w:rsid w:val="008316A5"/>
    <w:rsid w:val="008317D1"/>
    <w:rsid w:val="00831DD5"/>
    <w:rsid w:val="0083262E"/>
    <w:rsid w:val="00833762"/>
    <w:rsid w:val="008337C3"/>
    <w:rsid w:val="0083454A"/>
    <w:rsid w:val="008346F6"/>
    <w:rsid w:val="00834A29"/>
    <w:rsid w:val="00834EB5"/>
    <w:rsid w:val="008350D3"/>
    <w:rsid w:val="00835327"/>
    <w:rsid w:val="00835723"/>
    <w:rsid w:val="00841213"/>
    <w:rsid w:val="00841F8B"/>
    <w:rsid w:val="00842CB6"/>
    <w:rsid w:val="0084336E"/>
    <w:rsid w:val="00844F26"/>
    <w:rsid w:val="00845656"/>
    <w:rsid w:val="008457B4"/>
    <w:rsid w:val="0084630D"/>
    <w:rsid w:val="0085007C"/>
    <w:rsid w:val="00850218"/>
    <w:rsid w:val="00850544"/>
    <w:rsid w:val="00850F79"/>
    <w:rsid w:val="008527A7"/>
    <w:rsid w:val="008530D9"/>
    <w:rsid w:val="008530DA"/>
    <w:rsid w:val="008533C7"/>
    <w:rsid w:val="0085366F"/>
    <w:rsid w:val="00853CE1"/>
    <w:rsid w:val="0085474F"/>
    <w:rsid w:val="008548C6"/>
    <w:rsid w:val="008565C0"/>
    <w:rsid w:val="00856798"/>
    <w:rsid w:val="00860FBA"/>
    <w:rsid w:val="00861D93"/>
    <w:rsid w:val="00863547"/>
    <w:rsid w:val="0086354E"/>
    <w:rsid w:val="00863596"/>
    <w:rsid w:val="008648A5"/>
    <w:rsid w:val="0086604D"/>
    <w:rsid w:val="00866487"/>
    <w:rsid w:val="008664F7"/>
    <w:rsid w:val="0086675B"/>
    <w:rsid w:val="00866FB2"/>
    <w:rsid w:val="008710D3"/>
    <w:rsid w:val="00871209"/>
    <w:rsid w:val="00872327"/>
    <w:rsid w:val="00874EC7"/>
    <w:rsid w:val="00876489"/>
    <w:rsid w:val="00876E3B"/>
    <w:rsid w:val="0087740C"/>
    <w:rsid w:val="00877EC2"/>
    <w:rsid w:val="00880669"/>
    <w:rsid w:val="00880C07"/>
    <w:rsid w:val="008818DD"/>
    <w:rsid w:val="00881C25"/>
    <w:rsid w:val="00881ECB"/>
    <w:rsid w:val="008820F9"/>
    <w:rsid w:val="008821F9"/>
    <w:rsid w:val="0088241E"/>
    <w:rsid w:val="008838D5"/>
    <w:rsid w:val="00883C52"/>
    <w:rsid w:val="00884583"/>
    <w:rsid w:val="00885A1C"/>
    <w:rsid w:val="0088685B"/>
    <w:rsid w:val="00886F39"/>
    <w:rsid w:val="00890ED3"/>
    <w:rsid w:val="0089204E"/>
    <w:rsid w:val="0089230F"/>
    <w:rsid w:val="0089248E"/>
    <w:rsid w:val="008925C6"/>
    <w:rsid w:val="00893398"/>
    <w:rsid w:val="00893B43"/>
    <w:rsid w:val="00893D30"/>
    <w:rsid w:val="00895B6A"/>
    <w:rsid w:val="0089610F"/>
    <w:rsid w:val="0089651B"/>
    <w:rsid w:val="00896A1B"/>
    <w:rsid w:val="00896FE9"/>
    <w:rsid w:val="008973DE"/>
    <w:rsid w:val="00897521"/>
    <w:rsid w:val="00897CAF"/>
    <w:rsid w:val="008A02E5"/>
    <w:rsid w:val="008A099F"/>
    <w:rsid w:val="008A119A"/>
    <w:rsid w:val="008A1E19"/>
    <w:rsid w:val="008A3DC3"/>
    <w:rsid w:val="008A4E24"/>
    <w:rsid w:val="008A4FEB"/>
    <w:rsid w:val="008A5EAE"/>
    <w:rsid w:val="008A684F"/>
    <w:rsid w:val="008A7675"/>
    <w:rsid w:val="008A7D2B"/>
    <w:rsid w:val="008B1A7F"/>
    <w:rsid w:val="008B21A9"/>
    <w:rsid w:val="008B256C"/>
    <w:rsid w:val="008B31CC"/>
    <w:rsid w:val="008B3E35"/>
    <w:rsid w:val="008B4159"/>
    <w:rsid w:val="008B43F6"/>
    <w:rsid w:val="008B4857"/>
    <w:rsid w:val="008B4AE6"/>
    <w:rsid w:val="008B4C8D"/>
    <w:rsid w:val="008B53BA"/>
    <w:rsid w:val="008B5485"/>
    <w:rsid w:val="008B663A"/>
    <w:rsid w:val="008B70AD"/>
    <w:rsid w:val="008C03DE"/>
    <w:rsid w:val="008C04D9"/>
    <w:rsid w:val="008C12C5"/>
    <w:rsid w:val="008C157C"/>
    <w:rsid w:val="008C16FD"/>
    <w:rsid w:val="008C19A5"/>
    <w:rsid w:val="008C1C4F"/>
    <w:rsid w:val="008C2580"/>
    <w:rsid w:val="008C3025"/>
    <w:rsid w:val="008C332B"/>
    <w:rsid w:val="008C3672"/>
    <w:rsid w:val="008C3A73"/>
    <w:rsid w:val="008C3AF8"/>
    <w:rsid w:val="008C5926"/>
    <w:rsid w:val="008C6394"/>
    <w:rsid w:val="008C66CD"/>
    <w:rsid w:val="008C70DA"/>
    <w:rsid w:val="008C797D"/>
    <w:rsid w:val="008D09DF"/>
    <w:rsid w:val="008D1FE9"/>
    <w:rsid w:val="008D2B77"/>
    <w:rsid w:val="008D33BE"/>
    <w:rsid w:val="008D42BD"/>
    <w:rsid w:val="008D441A"/>
    <w:rsid w:val="008D52B7"/>
    <w:rsid w:val="008D55ED"/>
    <w:rsid w:val="008D76B0"/>
    <w:rsid w:val="008E1555"/>
    <w:rsid w:val="008E1A32"/>
    <w:rsid w:val="008E1E5B"/>
    <w:rsid w:val="008E2057"/>
    <w:rsid w:val="008E20E9"/>
    <w:rsid w:val="008E2E44"/>
    <w:rsid w:val="008E3783"/>
    <w:rsid w:val="008E37E7"/>
    <w:rsid w:val="008E46F9"/>
    <w:rsid w:val="008E5FE3"/>
    <w:rsid w:val="008E70F6"/>
    <w:rsid w:val="008E7904"/>
    <w:rsid w:val="008E79C1"/>
    <w:rsid w:val="008F0381"/>
    <w:rsid w:val="008F0A3D"/>
    <w:rsid w:val="008F103F"/>
    <w:rsid w:val="008F1CFA"/>
    <w:rsid w:val="008F254B"/>
    <w:rsid w:val="008F30B8"/>
    <w:rsid w:val="008F3AAF"/>
    <w:rsid w:val="008F464C"/>
    <w:rsid w:val="008F5CE6"/>
    <w:rsid w:val="008F71A8"/>
    <w:rsid w:val="008F73EB"/>
    <w:rsid w:val="008F7B14"/>
    <w:rsid w:val="00901691"/>
    <w:rsid w:val="00901B8F"/>
    <w:rsid w:val="00901E73"/>
    <w:rsid w:val="00902E1E"/>
    <w:rsid w:val="00903400"/>
    <w:rsid w:val="009042EF"/>
    <w:rsid w:val="0090440D"/>
    <w:rsid w:val="0090496B"/>
    <w:rsid w:val="00904AD4"/>
    <w:rsid w:val="0090564E"/>
    <w:rsid w:val="00905C08"/>
    <w:rsid w:val="009061E8"/>
    <w:rsid w:val="00906448"/>
    <w:rsid w:val="00906EB3"/>
    <w:rsid w:val="00907243"/>
    <w:rsid w:val="009129AF"/>
    <w:rsid w:val="00912ACF"/>
    <w:rsid w:val="00912D61"/>
    <w:rsid w:val="00914486"/>
    <w:rsid w:val="009152E6"/>
    <w:rsid w:val="009152F8"/>
    <w:rsid w:val="00915D2A"/>
    <w:rsid w:val="009160D9"/>
    <w:rsid w:val="009164DA"/>
    <w:rsid w:val="00920141"/>
    <w:rsid w:val="009208FB"/>
    <w:rsid w:val="00920EBD"/>
    <w:rsid w:val="0092197F"/>
    <w:rsid w:val="00922206"/>
    <w:rsid w:val="0092253A"/>
    <w:rsid w:val="00922A08"/>
    <w:rsid w:val="00923A92"/>
    <w:rsid w:val="00923CF2"/>
    <w:rsid w:val="00924400"/>
    <w:rsid w:val="009251AF"/>
    <w:rsid w:val="00933606"/>
    <w:rsid w:val="009338B1"/>
    <w:rsid w:val="00934809"/>
    <w:rsid w:val="0093524E"/>
    <w:rsid w:val="00936664"/>
    <w:rsid w:val="00937A41"/>
    <w:rsid w:val="00940404"/>
    <w:rsid w:val="00942152"/>
    <w:rsid w:val="00942307"/>
    <w:rsid w:val="00942953"/>
    <w:rsid w:val="00943202"/>
    <w:rsid w:val="00943DCB"/>
    <w:rsid w:val="0094577A"/>
    <w:rsid w:val="00946087"/>
    <w:rsid w:val="00946122"/>
    <w:rsid w:val="00946D44"/>
    <w:rsid w:val="00947034"/>
    <w:rsid w:val="00947F3A"/>
    <w:rsid w:val="00951CB2"/>
    <w:rsid w:val="00952AB7"/>
    <w:rsid w:val="00952EF7"/>
    <w:rsid w:val="00952F2B"/>
    <w:rsid w:val="00953B2E"/>
    <w:rsid w:val="00953C54"/>
    <w:rsid w:val="00954FAE"/>
    <w:rsid w:val="009558D4"/>
    <w:rsid w:val="00955D64"/>
    <w:rsid w:val="00955FE6"/>
    <w:rsid w:val="009576F3"/>
    <w:rsid w:val="009608EF"/>
    <w:rsid w:val="00960C90"/>
    <w:rsid w:val="00960ECD"/>
    <w:rsid w:val="009612CB"/>
    <w:rsid w:val="0096281D"/>
    <w:rsid w:val="00963F09"/>
    <w:rsid w:val="00964272"/>
    <w:rsid w:val="0096517D"/>
    <w:rsid w:val="0096590B"/>
    <w:rsid w:val="00966B1B"/>
    <w:rsid w:val="009674E8"/>
    <w:rsid w:val="009676B8"/>
    <w:rsid w:val="00970414"/>
    <w:rsid w:val="00970D1F"/>
    <w:rsid w:val="00971386"/>
    <w:rsid w:val="00971513"/>
    <w:rsid w:val="0097170E"/>
    <w:rsid w:val="009735FC"/>
    <w:rsid w:val="0097421B"/>
    <w:rsid w:val="00974333"/>
    <w:rsid w:val="00974810"/>
    <w:rsid w:val="00975597"/>
    <w:rsid w:val="00981846"/>
    <w:rsid w:val="00981AD9"/>
    <w:rsid w:val="00982518"/>
    <w:rsid w:val="009830ED"/>
    <w:rsid w:val="009835F3"/>
    <w:rsid w:val="009836BB"/>
    <w:rsid w:val="0098578A"/>
    <w:rsid w:val="00985834"/>
    <w:rsid w:val="00985E27"/>
    <w:rsid w:val="0098680E"/>
    <w:rsid w:val="009903CD"/>
    <w:rsid w:val="009905C9"/>
    <w:rsid w:val="009909CE"/>
    <w:rsid w:val="00991A1B"/>
    <w:rsid w:val="00992193"/>
    <w:rsid w:val="00992431"/>
    <w:rsid w:val="00993D19"/>
    <w:rsid w:val="009948E2"/>
    <w:rsid w:val="0099494C"/>
    <w:rsid w:val="009949ED"/>
    <w:rsid w:val="00994AD9"/>
    <w:rsid w:val="00994D84"/>
    <w:rsid w:val="009954D2"/>
    <w:rsid w:val="00995876"/>
    <w:rsid w:val="009959EB"/>
    <w:rsid w:val="00995C86"/>
    <w:rsid w:val="009961EC"/>
    <w:rsid w:val="009964D6"/>
    <w:rsid w:val="009A163F"/>
    <w:rsid w:val="009A2324"/>
    <w:rsid w:val="009A245D"/>
    <w:rsid w:val="009A32B8"/>
    <w:rsid w:val="009A4176"/>
    <w:rsid w:val="009A4265"/>
    <w:rsid w:val="009A4295"/>
    <w:rsid w:val="009A42A3"/>
    <w:rsid w:val="009A66DC"/>
    <w:rsid w:val="009A6E23"/>
    <w:rsid w:val="009B1FD4"/>
    <w:rsid w:val="009B2177"/>
    <w:rsid w:val="009B38F7"/>
    <w:rsid w:val="009B4422"/>
    <w:rsid w:val="009B4694"/>
    <w:rsid w:val="009B4790"/>
    <w:rsid w:val="009B4838"/>
    <w:rsid w:val="009B4D03"/>
    <w:rsid w:val="009B550D"/>
    <w:rsid w:val="009B611B"/>
    <w:rsid w:val="009B633B"/>
    <w:rsid w:val="009B66B7"/>
    <w:rsid w:val="009B7587"/>
    <w:rsid w:val="009C0280"/>
    <w:rsid w:val="009C09FC"/>
    <w:rsid w:val="009C0D90"/>
    <w:rsid w:val="009C0FDF"/>
    <w:rsid w:val="009C2466"/>
    <w:rsid w:val="009C33CC"/>
    <w:rsid w:val="009C4D33"/>
    <w:rsid w:val="009C6B9F"/>
    <w:rsid w:val="009C6BAE"/>
    <w:rsid w:val="009C74DE"/>
    <w:rsid w:val="009C7790"/>
    <w:rsid w:val="009C7A40"/>
    <w:rsid w:val="009C7F13"/>
    <w:rsid w:val="009D0392"/>
    <w:rsid w:val="009D1886"/>
    <w:rsid w:val="009D1BA8"/>
    <w:rsid w:val="009D2489"/>
    <w:rsid w:val="009D29D7"/>
    <w:rsid w:val="009D3049"/>
    <w:rsid w:val="009D590B"/>
    <w:rsid w:val="009D5C0C"/>
    <w:rsid w:val="009D6A38"/>
    <w:rsid w:val="009D73EF"/>
    <w:rsid w:val="009E016A"/>
    <w:rsid w:val="009E266E"/>
    <w:rsid w:val="009E289D"/>
    <w:rsid w:val="009E3F9E"/>
    <w:rsid w:val="009E40F8"/>
    <w:rsid w:val="009E559C"/>
    <w:rsid w:val="009E69A9"/>
    <w:rsid w:val="009F19AF"/>
    <w:rsid w:val="009F2BA4"/>
    <w:rsid w:val="009F32F8"/>
    <w:rsid w:val="009F344D"/>
    <w:rsid w:val="009F5116"/>
    <w:rsid w:val="009F6C2B"/>
    <w:rsid w:val="009F6F03"/>
    <w:rsid w:val="00A002A5"/>
    <w:rsid w:val="00A00631"/>
    <w:rsid w:val="00A010BF"/>
    <w:rsid w:val="00A0148D"/>
    <w:rsid w:val="00A03578"/>
    <w:rsid w:val="00A03832"/>
    <w:rsid w:val="00A048B1"/>
    <w:rsid w:val="00A057FB"/>
    <w:rsid w:val="00A05DEF"/>
    <w:rsid w:val="00A0728C"/>
    <w:rsid w:val="00A07DE8"/>
    <w:rsid w:val="00A10611"/>
    <w:rsid w:val="00A111B8"/>
    <w:rsid w:val="00A1123D"/>
    <w:rsid w:val="00A12B1E"/>
    <w:rsid w:val="00A13120"/>
    <w:rsid w:val="00A138C5"/>
    <w:rsid w:val="00A13DF3"/>
    <w:rsid w:val="00A14581"/>
    <w:rsid w:val="00A15144"/>
    <w:rsid w:val="00A15828"/>
    <w:rsid w:val="00A1741B"/>
    <w:rsid w:val="00A17668"/>
    <w:rsid w:val="00A208C5"/>
    <w:rsid w:val="00A214A0"/>
    <w:rsid w:val="00A247C6"/>
    <w:rsid w:val="00A24D9C"/>
    <w:rsid w:val="00A257CF"/>
    <w:rsid w:val="00A25C99"/>
    <w:rsid w:val="00A26293"/>
    <w:rsid w:val="00A26AEB"/>
    <w:rsid w:val="00A27BDC"/>
    <w:rsid w:val="00A307C7"/>
    <w:rsid w:val="00A31003"/>
    <w:rsid w:val="00A3146F"/>
    <w:rsid w:val="00A3180C"/>
    <w:rsid w:val="00A3291C"/>
    <w:rsid w:val="00A32C9D"/>
    <w:rsid w:val="00A364B9"/>
    <w:rsid w:val="00A37418"/>
    <w:rsid w:val="00A4005F"/>
    <w:rsid w:val="00A4017E"/>
    <w:rsid w:val="00A42526"/>
    <w:rsid w:val="00A435D3"/>
    <w:rsid w:val="00A44DC2"/>
    <w:rsid w:val="00A44E88"/>
    <w:rsid w:val="00A45C92"/>
    <w:rsid w:val="00A463AE"/>
    <w:rsid w:val="00A46AE8"/>
    <w:rsid w:val="00A471C1"/>
    <w:rsid w:val="00A47587"/>
    <w:rsid w:val="00A4766E"/>
    <w:rsid w:val="00A47A2A"/>
    <w:rsid w:val="00A47DA5"/>
    <w:rsid w:val="00A47DB2"/>
    <w:rsid w:val="00A528F0"/>
    <w:rsid w:val="00A52CA9"/>
    <w:rsid w:val="00A52D17"/>
    <w:rsid w:val="00A546E0"/>
    <w:rsid w:val="00A5559F"/>
    <w:rsid w:val="00A566F9"/>
    <w:rsid w:val="00A56AC8"/>
    <w:rsid w:val="00A56D1E"/>
    <w:rsid w:val="00A56E84"/>
    <w:rsid w:val="00A57101"/>
    <w:rsid w:val="00A57152"/>
    <w:rsid w:val="00A5789C"/>
    <w:rsid w:val="00A57AFC"/>
    <w:rsid w:val="00A60C73"/>
    <w:rsid w:val="00A61355"/>
    <w:rsid w:val="00A615F9"/>
    <w:rsid w:val="00A62A84"/>
    <w:rsid w:val="00A62E98"/>
    <w:rsid w:val="00A637F0"/>
    <w:rsid w:val="00A64FCF"/>
    <w:rsid w:val="00A65D59"/>
    <w:rsid w:val="00A65E4B"/>
    <w:rsid w:val="00A667FF"/>
    <w:rsid w:val="00A66B6F"/>
    <w:rsid w:val="00A66D69"/>
    <w:rsid w:val="00A704F4"/>
    <w:rsid w:val="00A70904"/>
    <w:rsid w:val="00A71601"/>
    <w:rsid w:val="00A71EFC"/>
    <w:rsid w:val="00A72EF1"/>
    <w:rsid w:val="00A732EC"/>
    <w:rsid w:val="00A7392A"/>
    <w:rsid w:val="00A74927"/>
    <w:rsid w:val="00A74963"/>
    <w:rsid w:val="00A7498D"/>
    <w:rsid w:val="00A7507D"/>
    <w:rsid w:val="00A757CD"/>
    <w:rsid w:val="00A76081"/>
    <w:rsid w:val="00A77189"/>
    <w:rsid w:val="00A777C1"/>
    <w:rsid w:val="00A77A04"/>
    <w:rsid w:val="00A822EC"/>
    <w:rsid w:val="00A82D74"/>
    <w:rsid w:val="00A82FFC"/>
    <w:rsid w:val="00A83F6D"/>
    <w:rsid w:val="00A83FDC"/>
    <w:rsid w:val="00A84339"/>
    <w:rsid w:val="00A84C69"/>
    <w:rsid w:val="00A85A26"/>
    <w:rsid w:val="00A86143"/>
    <w:rsid w:val="00A86154"/>
    <w:rsid w:val="00A8696A"/>
    <w:rsid w:val="00A86F4B"/>
    <w:rsid w:val="00A8790C"/>
    <w:rsid w:val="00A90F1A"/>
    <w:rsid w:val="00A91558"/>
    <w:rsid w:val="00A91764"/>
    <w:rsid w:val="00A92EB3"/>
    <w:rsid w:val="00A9338C"/>
    <w:rsid w:val="00A93C5F"/>
    <w:rsid w:val="00A93FE0"/>
    <w:rsid w:val="00A95744"/>
    <w:rsid w:val="00A95E1B"/>
    <w:rsid w:val="00A96127"/>
    <w:rsid w:val="00A96BB9"/>
    <w:rsid w:val="00AA1CD6"/>
    <w:rsid w:val="00AA1E0B"/>
    <w:rsid w:val="00AA2492"/>
    <w:rsid w:val="00AA3659"/>
    <w:rsid w:val="00AA37BA"/>
    <w:rsid w:val="00AA494E"/>
    <w:rsid w:val="00AA517D"/>
    <w:rsid w:val="00AA544C"/>
    <w:rsid w:val="00AA749D"/>
    <w:rsid w:val="00AA7988"/>
    <w:rsid w:val="00AA79FF"/>
    <w:rsid w:val="00AB0147"/>
    <w:rsid w:val="00AB21C4"/>
    <w:rsid w:val="00AB522E"/>
    <w:rsid w:val="00AB54EF"/>
    <w:rsid w:val="00AB54F7"/>
    <w:rsid w:val="00AB6291"/>
    <w:rsid w:val="00AB6520"/>
    <w:rsid w:val="00AB7663"/>
    <w:rsid w:val="00AB7E21"/>
    <w:rsid w:val="00AC0621"/>
    <w:rsid w:val="00AC0DC5"/>
    <w:rsid w:val="00AC22E3"/>
    <w:rsid w:val="00AC287B"/>
    <w:rsid w:val="00AC2EA8"/>
    <w:rsid w:val="00AC340C"/>
    <w:rsid w:val="00AC3B6D"/>
    <w:rsid w:val="00AC41B8"/>
    <w:rsid w:val="00AC470D"/>
    <w:rsid w:val="00AC4D06"/>
    <w:rsid w:val="00AC4D2F"/>
    <w:rsid w:val="00AC55B5"/>
    <w:rsid w:val="00AC5639"/>
    <w:rsid w:val="00AC67EE"/>
    <w:rsid w:val="00AC6966"/>
    <w:rsid w:val="00AC769C"/>
    <w:rsid w:val="00AC7887"/>
    <w:rsid w:val="00AD05D2"/>
    <w:rsid w:val="00AD0976"/>
    <w:rsid w:val="00AD0EF1"/>
    <w:rsid w:val="00AD10BA"/>
    <w:rsid w:val="00AD126E"/>
    <w:rsid w:val="00AD175A"/>
    <w:rsid w:val="00AD1F00"/>
    <w:rsid w:val="00AD2CF2"/>
    <w:rsid w:val="00AD2EF1"/>
    <w:rsid w:val="00AD5B85"/>
    <w:rsid w:val="00AD5D2E"/>
    <w:rsid w:val="00AD5ECB"/>
    <w:rsid w:val="00AD6027"/>
    <w:rsid w:val="00AD66DC"/>
    <w:rsid w:val="00AD693E"/>
    <w:rsid w:val="00AD7FEF"/>
    <w:rsid w:val="00AE0378"/>
    <w:rsid w:val="00AE0784"/>
    <w:rsid w:val="00AE10C3"/>
    <w:rsid w:val="00AE1810"/>
    <w:rsid w:val="00AE1DE8"/>
    <w:rsid w:val="00AE2193"/>
    <w:rsid w:val="00AE21C1"/>
    <w:rsid w:val="00AE39F6"/>
    <w:rsid w:val="00AE3C67"/>
    <w:rsid w:val="00AE4205"/>
    <w:rsid w:val="00AE4F93"/>
    <w:rsid w:val="00AE7561"/>
    <w:rsid w:val="00AE768F"/>
    <w:rsid w:val="00AE79B4"/>
    <w:rsid w:val="00AE7CE4"/>
    <w:rsid w:val="00AF047D"/>
    <w:rsid w:val="00AF0836"/>
    <w:rsid w:val="00AF0C81"/>
    <w:rsid w:val="00AF188B"/>
    <w:rsid w:val="00AF1E04"/>
    <w:rsid w:val="00AF1E22"/>
    <w:rsid w:val="00AF24DE"/>
    <w:rsid w:val="00AF2C49"/>
    <w:rsid w:val="00AF31EF"/>
    <w:rsid w:val="00AF3465"/>
    <w:rsid w:val="00AF3B18"/>
    <w:rsid w:val="00AF4516"/>
    <w:rsid w:val="00AF474C"/>
    <w:rsid w:val="00AF4B84"/>
    <w:rsid w:val="00AF4E85"/>
    <w:rsid w:val="00AF6227"/>
    <w:rsid w:val="00AF688A"/>
    <w:rsid w:val="00AF6A0E"/>
    <w:rsid w:val="00B00ED4"/>
    <w:rsid w:val="00B012AA"/>
    <w:rsid w:val="00B01524"/>
    <w:rsid w:val="00B01B3D"/>
    <w:rsid w:val="00B02398"/>
    <w:rsid w:val="00B0246C"/>
    <w:rsid w:val="00B02AFC"/>
    <w:rsid w:val="00B0402C"/>
    <w:rsid w:val="00B04F80"/>
    <w:rsid w:val="00B0596C"/>
    <w:rsid w:val="00B0653E"/>
    <w:rsid w:val="00B067F9"/>
    <w:rsid w:val="00B06E28"/>
    <w:rsid w:val="00B06F29"/>
    <w:rsid w:val="00B07391"/>
    <w:rsid w:val="00B07A9D"/>
    <w:rsid w:val="00B10CE1"/>
    <w:rsid w:val="00B114BB"/>
    <w:rsid w:val="00B135AA"/>
    <w:rsid w:val="00B13B22"/>
    <w:rsid w:val="00B13EEB"/>
    <w:rsid w:val="00B14C61"/>
    <w:rsid w:val="00B14E9A"/>
    <w:rsid w:val="00B16707"/>
    <w:rsid w:val="00B17357"/>
    <w:rsid w:val="00B17B3E"/>
    <w:rsid w:val="00B17B4B"/>
    <w:rsid w:val="00B17BA1"/>
    <w:rsid w:val="00B20AC0"/>
    <w:rsid w:val="00B21C60"/>
    <w:rsid w:val="00B21DC0"/>
    <w:rsid w:val="00B22C97"/>
    <w:rsid w:val="00B23AE5"/>
    <w:rsid w:val="00B242D9"/>
    <w:rsid w:val="00B24F6F"/>
    <w:rsid w:val="00B252F5"/>
    <w:rsid w:val="00B25717"/>
    <w:rsid w:val="00B25BE0"/>
    <w:rsid w:val="00B25DC8"/>
    <w:rsid w:val="00B2603B"/>
    <w:rsid w:val="00B2641C"/>
    <w:rsid w:val="00B268A6"/>
    <w:rsid w:val="00B277ED"/>
    <w:rsid w:val="00B278E2"/>
    <w:rsid w:val="00B278FC"/>
    <w:rsid w:val="00B30D63"/>
    <w:rsid w:val="00B30FEA"/>
    <w:rsid w:val="00B31110"/>
    <w:rsid w:val="00B33919"/>
    <w:rsid w:val="00B33B31"/>
    <w:rsid w:val="00B34135"/>
    <w:rsid w:val="00B3429D"/>
    <w:rsid w:val="00B35394"/>
    <w:rsid w:val="00B35563"/>
    <w:rsid w:val="00B35B92"/>
    <w:rsid w:val="00B36320"/>
    <w:rsid w:val="00B36934"/>
    <w:rsid w:val="00B36D69"/>
    <w:rsid w:val="00B400BD"/>
    <w:rsid w:val="00B40399"/>
    <w:rsid w:val="00B404D1"/>
    <w:rsid w:val="00B4079A"/>
    <w:rsid w:val="00B40833"/>
    <w:rsid w:val="00B40902"/>
    <w:rsid w:val="00B41EFC"/>
    <w:rsid w:val="00B42840"/>
    <w:rsid w:val="00B42979"/>
    <w:rsid w:val="00B431E9"/>
    <w:rsid w:val="00B439F8"/>
    <w:rsid w:val="00B44DE8"/>
    <w:rsid w:val="00B454A9"/>
    <w:rsid w:val="00B459C2"/>
    <w:rsid w:val="00B47CBA"/>
    <w:rsid w:val="00B51310"/>
    <w:rsid w:val="00B513BE"/>
    <w:rsid w:val="00B515AA"/>
    <w:rsid w:val="00B5199A"/>
    <w:rsid w:val="00B51EE1"/>
    <w:rsid w:val="00B52D05"/>
    <w:rsid w:val="00B540C1"/>
    <w:rsid w:val="00B540D4"/>
    <w:rsid w:val="00B54380"/>
    <w:rsid w:val="00B543FE"/>
    <w:rsid w:val="00B545DE"/>
    <w:rsid w:val="00B5660D"/>
    <w:rsid w:val="00B5684E"/>
    <w:rsid w:val="00B57981"/>
    <w:rsid w:val="00B60A34"/>
    <w:rsid w:val="00B61175"/>
    <w:rsid w:val="00B614FB"/>
    <w:rsid w:val="00B618C2"/>
    <w:rsid w:val="00B6194E"/>
    <w:rsid w:val="00B61950"/>
    <w:rsid w:val="00B6295A"/>
    <w:rsid w:val="00B634E3"/>
    <w:rsid w:val="00B6419B"/>
    <w:rsid w:val="00B644AE"/>
    <w:rsid w:val="00B646C0"/>
    <w:rsid w:val="00B65941"/>
    <w:rsid w:val="00B65CFD"/>
    <w:rsid w:val="00B660F5"/>
    <w:rsid w:val="00B66986"/>
    <w:rsid w:val="00B67E1D"/>
    <w:rsid w:val="00B708DC"/>
    <w:rsid w:val="00B71963"/>
    <w:rsid w:val="00B71F7F"/>
    <w:rsid w:val="00B72360"/>
    <w:rsid w:val="00B74426"/>
    <w:rsid w:val="00B7587A"/>
    <w:rsid w:val="00B76019"/>
    <w:rsid w:val="00B76445"/>
    <w:rsid w:val="00B765BA"/>
    <w:rsid w:val="00B76797"/>
    <w:rsid w:val="00B76D1B"/>
    <w:rsid w:val="00B80335"/>
    <w:rsid w:val="00B80B44"/>
    <w:rsid w:val="00B83E08"/>
    <w:rsid w:val="00B85885"/>
    <w:rsid w:val="00B85BB8"/>
    <w:rsid w:val="00B8646B"/>
    <w:rsid w:val="00B872D2"/>
    <w:rsid w:val="00B901A4"/>
    <w:rsid w:val="00B9092A"/>
    <w:rsid w:val="00B90FDF"/>
    <w:rsid w:val="00B91C8A"/>
    <w:rsid w:val="00B91DFB"/>
    <w:rsid w:val="00B920D1"/>
    <w:rsid w:val="00B925BE"/>
    <w:rsid w:val="00B93061"/>
    <w:rsid w:val="00B933CF"/>
    <w:rsid w:val="00B93A48"/>
    <w:rsid w:val="00B945F5"/>
    <w:rsid w:val="00B9529A"/>
    <w:rsid w:val="00B9681A"/>
    <w:rsid w:val="00B971E9"/>
    <w:rsid w:val="00B97F29"/>
    <w:rsid w:val="00BA0662"/>
    <w:rsid w:val="00BA0723"/>
    <w:rsid w:val="00BA0ED2"/>
    <w:rsid w:val="00BA11CB"/>
    <w:rsid w:val="00BA1AC3"/>
    <w:rsid w:val="00BA1C54"/>
    <w:rsid w:val="00BA2D33"/>
    <w:rsid w:val="00BA3E65"/>
    <w:rsid w:val="00BA3F82"/>
    <w:rsid w:val="00BA4468"/>
    <w:rsid w:val="00BA5B14"/>
    <w:rsid w:val="00BA6BE4"/>
    <w:rsid w:val="00BA7461"/>
    <w:rsid w:val="00BB01B5"/>
    <w:rsid w:val="00BB08B2"/>
    <w:rsid w:val="00BB29AA"/>
    <w:rsid w:val="00BB35DF"/>
    <w:rsid w:val="00BB3EC0"/>
    <w:rsid w:val="00BB4A0D"/>
    <w:rsid w:val="00BB4A5B"/>
    <w:rsid w:val="00BB5336"/>
    <w:rsid w:val="00BB5538"/>
    <w:rsid w:val="00BB554E"/>
    <w:rsid w:val="00BB5B81"/>
    <w:rsid w:val="00BB5E21"/>
    <w:rsid w:val="00BB611E"/>
    <w:rsid w:val="00BB62D4"/>
    <w:rsid w:val="00BB6BD5"/>
    <w:rsid w:val="00BB6D39"/>
    <w:rsid w:val="00BB7152"/>
    <w:rsid w:val="00BB71A8"/>
    <w:rsid w:val="00BB7792"/>
    <w:rsid w:val="00BB7A3C"/>
    <w:rsid w:val="00BB7C2D"/>
    <w:rsid w:val="00BC092A"/>
    <w:rsid w:val="00BC0BCA"/>
    <w:rsid w:val="00BC1C49"/>
    <w:rsid w:val="00BC22D7"/>
    <w:rsid w:val="00BC2AD6"/>
    <w:rsid w:val="00BC3756"/>
    <w:rsid w:val="00BC4D9A"/>
    <w:rsid w:val="00BC5602"/>
    <w:rsid w:val="00BC56FA"/>
    <w:rsid w:val="00BC719C"/>
    <w:rsid w:val="00BC7D17"/>
    <w:rsid w:val="00BD3603"/>
    <w:rsid w:val="00BD400A"/>
    <w:rsid w:val="00BD425A"/>
    <w:rsid w:val="00BD45B0"/>
    <w:rsid w:val="00BD4B3A"/>
    <w:rsid w:val="00BD4DBD"/>
    <w:rsid w:val="00BD7328"/>
    <w:rsid w:val="00BD7498"/>
    <w:rsid w:val="00BD7EE7"/>
    <w:rsid w:val="00BE039B"/>
    <w:rsid w:val="00BE0BA8"/>
    <w:rsid w:val="00BE189B"/>
    <w:rsid w:val="00BE4793"/>
    <w:rsid w:val="00BE59EF"/>
    <w:rsid w:val="00BE6BD1"/>
    <w:rsid w:val="00BE7BA2"/>
    <w:rsid w:val="00BF0966"/>
    <w:rsid w:val="00BF19CA"/>
    <w:rsid w:val="00BF1B16"/>
    <w:rsid w:val="00BF2FF1"/>
    <w:rsid w:val="00BF3302"/>
    <w:rsid w:val="00BF3697"/>
    <w:rsid w:val="00BF3DAB"/>
    <w:rsid w:val="00BF4ED4"/>
    <w:rsid w:val="00BF4FD6"/>
    <w:rsid w:val="00BF569C"/>
    <w:rsid w:val="00BF62FC"/>
    <w:rsid w:val="00BF6563"/>
    <w:rsid w:val="00BF6A65"/>
    <w:rsid w:val="00BF6ACE"/>
    <w:rsid w:val="00BF7356"/>
    <w:rsid w:val="00BF79ED"/>
    <w:rsid w:val="00BF7F1C"/>
    <w:rsid w:val="00C00D0F"/>
    <w:rsid w:val="00C0177B"/>
    <w:rsid w:val="00C01827"/>
    <w:rsid w:val="00C0250D"/>
    <w:rsid w:val="00C03F7B"/>
    <w:rsid w:val="00C0482C"/>
    <w:rsid w:val="00C04F0C"/>
    <w:rsid w:val="00C04FB6"/>
    <w:rsid w:val="00C0518A"/>
    <w:rsid w:val="00C05C58"/>
    <w:rsid w:val="00C0754D"/>
    <w:rsid w:val="00C07667"/>
    <w:rsid w:val="00C10295"/>
    <w:rsid w:val="00C10C4D"/>
    <w:rsid w:val="00C11961"/>
    <w:rsid w:val="00C13A51"/>
    <w:rsid w:val="00C1476B"/>
    <w:rsid w:val="00C16160"/>
    <w:rsid w:val="00C169C7"/>
    <w:rsid w:val="00C16FC8"/>
    <w:rsid w:val="00C1746A"/>
    <w:rsid w:val="00C20039"/>
    <w:rsid w:val="00C20CD5"/>
    <w:rsid w:val="00C2110E"/>
    <w:rsid w:val="00C2119A"/>
    <w:rsid w:val="00C2190E"/>
    <w:rsid w:val="00C226E6"/>
    <w:rsid w:val="00C22CBC"/>
    <w:rsid w:val="00C22E85"/>
    <w:rsid w:val="00C236D1"/>
    <w:rsid w:val="00C24CAC"/>
    <w:rsid w:val="00C2517F"/>
    <w:rsid w:val="00C25815"/>
    <w:rsid w:val="00C26A45"/>
    <w:rsid w:val="00C26B29"/>
    <w:rsid w:val="00C273EB"/>
    <w:rsid w:val="00C31018"/>
    <w:rsid w:val="00C313BF"/>
    <w:rsid w:val="00C31432"/>
    <w:rsid w:val="00C31EAE"/>
    <w:rsid w:val="00C322CE"/>
    <w:rsid w:val="00C323A5"/>
    <w:rsid w:val="00C32750"/>
    <w:rsid w:val="00C32BBA"/>
    <w:rsid w:val="00C3342D"/>
    <w:rsid w:val="00C33450"/>
    <w:rsid w:val="00C3426B"/>
    <w:rsid w:val="00C35CFB"/>
    <w:rsid w:val="00C36B6B"/>
    <w:rsid w:val="00C37071"/>
    <w:rsid w:val="00C37D32"/>
    <w:rsid w:val="00C37F3E"/>
    <w:rsid w:val="00C40C4C"/>
    <w:rsid w:val="00C41586"/>
    <w:rsid w:val="00C42902"/>
    <w:rsid w:val="00C429CF"/>
    <w:rsid w:val="00C42C94"/>
    <w:rsid w:val="00C4353C"/>
    <w:rsid w:val="00C43C45"/>
    <w:rsid w:val="00C43FE2"/>
    <w:rsid w:val="00C44118"/>
    <w:rsid w:val="00C444CE"/>
    <w:rsid w:val="00C505E4"/>
    <w:rsid w:val="00C51DBB"/>
    <w:rsid w:val="00C52061"/>
    <w:rsid w:val="00C522E9"/>
    <w:rsid w:val="00C524A3"/>
    <w:rsid w:val="00C52681"/>
    <w:rsid w:val="00C53095"/>
    <w:rsid w:val="00C5317F"/>
    <w:rsid w:val="00C53680"/>
    <w:rsid w:val="00C55D51"/>
    <w:rsid w:val="00C57C43"/>
    <w:rsid w:val="00C611D9"/>
    <w:rsid w:val="00C617D4"/>
    <w:rsid w:val="00C61F61"/>
    <w:rsid w:val="00C620A7"/>
    <w:rsid w:val="00C62342"/>
    <w:rsid w:val="00C634A0"/>
    <w:rsid w:val="00C645F9"/>
    <w:rsid w:val="00C6482B"/>
    <w:rsid w:val="00C64967"/>
    <w:rsid w:val="00C65456"/>
    <w:rsid w:val="00C65AA3"/>
    <w:rsid w:val="00C679ED"/>
    <w:rsid w:val="00C71151"/>
    <w:rsid w:val="00C715E1"/>
    <w:rsid w:val="00C72544"/>
    <w:rsid w:val="00C734E9"/>
    <w:rsid w:val="00C7590D"/>
    <w:rsid w:val="00C76765"/>
    <w:rsid w:val="00C76FBB"/>
    <w:rsid w:val="00C777A9"/>
    <w:rsid w:val="00C80455"/>
    <w:rsid w:val="00C8114F"/>
    <w:rsid w:val="00C84E62"/>
    <w:rsid w:val="00C86DAC"/>
    <w:rsid w:val="00C87C55"/>
    <w:rsid w:val="00C92596"/>
    <w:rsid w:val="00C92FD1"/>
    <w:rsid w:val="00C93576"/>
    <w:rsid w:val="00C937E1"/>
    <w:rsid w:val="00C93BB7"/>
    <w:rsid w:val="00C94281"/>
    <w:rsid w:val="00C954E6"/>
    <w:rsid w:val="00C955A6"/>
    <w:rsid w:val="00C96353"/>
    <w:rsid w:val="00C97369"/>
    <w:rsid w:val="00C97628"/>
    <w:rsid w:val="00C97CCB"/>
    <w:rsid w:val="00C97F5E"/>
    <w:rsid w:val="00CA020D"/>
    <w:rsid w:val="00CA0D6F"/>
    <w:rsid w:val="00CA0D7D"/>
    <w:rsid w:val="00CA1147"/>
    <w:rsid w:val="00CA2ACA"/>
    <w:rsid w:val="00CA3407"/>
    <w:rsid w:val="00CA41E9"/>
    <w:rsid w:val="00CA4A3C"/>
    <w:rsid w:val="00CA4FEC"/>
    <w:rsid w:val="00CA50E5"/>
    <w:rsid w:val="00CA6044"/>
    <w:rsid w:val="00CA645C"/>
    <w:rsid w:val="00CA650E"/>
    <w:rsid w:val="00CA6F45"/>
    <w:rsid w:val="00CA7473"/>
    <w:rsid w:val="00CB0D7D"/>
    <w:rsid w:val="00CB0F13"/>
    <w:rsid w:val="00CB151B"/>
    <w:rsid w:val="00CB30B8"/>
    <w:rsid w:val="00CB36C1"/>
    <w:rsid w:val="00CB4258"/>
    <w:rsid w:val="00CB42EF"/>
    <w:rsid w:val="00CB45BC"/>
    <w:rsid w:val="00CB4609"/>
    <w:rsid w:val="00CB4B74"/>
    <w:rsid w:val="00CB636A"/>
    <w:rsid w:val="00CC0176"/>
    <w:rsid w:val="00CC0D33"/>
    <w:rsid w:val="00CC16ED"/>
    <w:rsid w:val="00CC29FD"/>
    <w:rsid w:val="00CC311F"/>
    <w:rsid w:val="00CC3DCF"/>
    <w:rsid w:val="00CC50E3"/>
    <w:rsid w:val="00CC5511"/>
    <w:rsid w:val="00CC6048"/>
    <w:rsid w:val="00CC6147"/>
    <w:rsid w:val="00CC66AF"/>
    <w:rsid w:val="00CC69B2"/>
    <w:rsid w:val="00CC6A11"/>
    <w:rsid w:val="00CC7450"/>
    <w:rsid w:val="00CC7AC1"/>
    <w:rsid w:val="00CD139A"/>
    <w:rsid w:val="00CD209F"/>
    <w:rsid w:val="00CD31CD"/>
    <w:rsid w:val="00CD35CA"/>
    <w:rsid w:val="00CD368F"/>
    <w:rsid w:val="00CD3CB8"/>
    <w:rsid w:val="00CD4F11"/>
    <w:rsid w:val="00CD592C"/>
    <w:rsid w:val="00CD5AD0"/>
    <w:rsid w:val="00CD6665"/>
    <w:rsid w:val="00CD70F8"/>
    <w:rsid w:val="00CE02D2"/>
    <w:rsid w:val="00CE32D5"/>
    <w:rsid w:val="00CE4537"/>
    <w:rsid w:val="00CE588D"/>
    <w:rsid w:val="00CE6528"/>
    <w:rsid w:val="00CE75EF"/>
    <w:rsid w:val="00CF1638"/>
    <w:rsid w:val="00CF17FD"/>
    <w:rsid w:val="00CF1B4B"/>
    <w:rsid w:val="00CF1C7F"/>
    <w:rsid w:val="00CF288F"/>
    <w:rsid w:val="00CF2921"/>
    <w:rsid w:val="00CF4100"/>
    <w:rsid w:val="00CF50E5"/>
    <w:rsid w:val="00CF5EFF"/>
    <w:rsid w:val="00CF62D6"/>
    <w:rsid w:val="00CF721B"/>
    <w:rsid w:val="00CF75F9"/>
    <w:rsid w:val="00D0122B"/>
    <w:rsid w:val="00D01FEC"/>
    <w:rsid w:val="00D02196"/>
    <w:rsid w:val="00D027D9"/>
    <w:rsid w:val="00D04130"/>
    <w:rsid w:val="00D054E8"/>
    <w:rsid w:val="00D06E18"/>
    <w:rsid w:val="00D0715E"/>
    <w:rsid w:val="00D0731C"/>
    <w:rsid w:val="00D074E2"/>
    <w:rsid w:val="00D07950"/>
    <w:rsid w:val="00D11C1F"/>
    <w:rsid w:val="00D12D81"/>
    <w:rsid w:val="00D12D97"/>
    <w:rsid w:val="00D136A0"/>
    <w:rsid w:val="00D13A8F"/>
    <w:rsid w:val="00D15073"/>
    <w:rsid w:val="00D15407"/>
    <w:rsid w:val="00D166CB"/>
    <w:rsid w:val="00D178CE"/>
    <w:rsid w:val="00D20490"/>
    <w:rsid w:val="00D205D3"/>
    <w:rsid w:val="00D213D1"/>
    <w:rsid w:val="00D214EF"/>
    <w:rsid w:val="00D22F72"/>
    <w:rsid w:val="00D2371B"/>
    <w:rsid w:val="00D23A8C"/>
    <w:rsid w:val="00D24F9D"/>
    <w:rsid w:val="00D254F0"/>
    <w:rsid w:val="00D25899"/>
    <w:rsid w:val="00D276A0"/>
    <w:rsid w:val="00D27B6B"/>
    <w:rsid w:val="00D31C8A"/>
    <w:rsid w:val="00D325B3"/>
    <w:rsid w:val="00D33370"/>
    <w:rsid w:val="00D33A16"/>
    <w:rsid w:val="00D33AAF"/>
    <w:rsid w:val="00D348C5"/>
    <w:rsid w:val="00D356F9"/>
    <w:rsid w:val="00D35B97"/>
    <w:rsid w:val="00D362C3"/>
    <w:rsid w:val="00D36426"/>
    <w:rsid w:val="00D36C4E"/>
    <w:rsid w:val="00D36D9A"/>
    <w:rsid w:val="00D402B0"/>
    <w:rsid w:val="00D402EB"/>
    <w:rsid w:val="00D4076E"/>
    <w:rsid w:val="00D41484"/>
    <w:rsid w:val="00D42135"/>
    <w:rsid w:val="00D445BA"/>
    <w:rsid w:val="00D45206"/>
    <w:rsid w:val="00D46A00"/>
    <w:rsid w:val="00D46F74"/>
    <w:rsid w:val="00D47132"/>
    <w:rsid w:val="00D47BC0"/>
    <w:rsid w:val="00D50391"/>
    <w:rsid w:val="00D50839"/>
    <w:rsid w:val="00D5124C"/>
    <w:rsid w:val="00D512D2"/>
    <w:rsid w:val="00D5165D"/>
    <w:rsid w:val="00D517D4"/>
    <w:rsid w:val="00D51C36"/>
    <w:rsid w:val="00D529B1"/>
    <w:rsid w:val="00D55330"/>
    <w:rsid w:val="00D55558"/>
    <w:rsid w:val="00D566E1"/>
    <w:rsid w:val="00D56989"/>
    <w:rsid w:val="00D5740A"/>
    <w:rsid w:val="00D57410"/>
    <w:rsid w:val="00D6095E"/>
    <w:rsid w:val="00D621E0"/>
    <w:rsid w:val="00D622DA"/>
    <w:rsid w:val="00D6316B"/>
    <w:rsid w:val="00D632B5"/>
    <w:rsid w:val="00D63E6D"/>
    <w:rsid w:val="00D64301"/>
    <w:rsid w:val="00D64E04"/>
    <w:rsid w:val="00D652F2"/>
    <w:rsid w:val="00D66AF8"/>
    <w:rsid w:val="00D66CD0"/>
    <w:rsid w:val="00D70D04"/>
    <w:rsid w:val="00D70FD0"/>
    <w:rsid w:val="00D7100F"/>
    <w:rsid w:val="00D72429"/>
    <w:rsid w:val="00D73260"/>
    <w:rsid w:val="00D73F2A"/>
    <w:rsid w:val="00D75048"/>
    <w:rsid w:val="00D7543F"/>
    <w:rsid w:val="00D75CC6"/>
    <w:rsid w:val="00D7644F"/>
    <w:rsid w:val="00D76C5B"/>
    <w:rsid w:val="00D7730C"/>
    <w:rsid w:val="00D8068A"/>
    <w:rsid w:val="00D818FC"/>
    <w:rsid w:val="00D81B34"/>
    <w:rsid w:val="00D81E5D"/>
    <w:rsid w:val="00D8268A"/>
    <w:rsid w:val="00D82BAE"/>
    <w:rsid w:val="00D83916"/>
    <w:rsid w:val="00D844CC"/>
    <w:rsid w:val="00D8479E"/>
    <w:rsid w:val="00D848D0"/>
    <w:rsid w:val="00D84EF5"/>
    <w:rsid w:val="00D84F0E"/>
    <w:rsid w:val="00D85A22"/>
    <w:rsid w:val="00D872E5"/>
    <w:rsid w:val="00D90081"/>
    <w:rsid w:val="00D901B4"/>
    <w:rsid w:val="00D91AA3"/>
    <w:rsid w:val="00D91DE7"/>
    <w:rsid w:val="00D91EE4"/>
    <w:rsid w:val="00D92005"/>
    <w:rsid w:val="00D92312"/>
    <w:rsid w:val="00D92C18"/>
    <w:rsid w:val="00D970D3"/>
    <w:rsid w:val="00D974D9"/>
    <w:rsid w:val="00D9784A"/>
    <w:rsid w:val="00D97F26"/>
    <w:rsid w:val="00DA1553"/>
    <w:rsid w:val="00DA2AE9"/>
    <w:rsid w:val="00DA3AFC"/>
    <w:rsid w:val="00DA3ED6"/>
    <w:rsid w:val="00DA4326"/>
    <w:rsid w:val="00DA562E"/>
    <w:rsid w:val="00DA6F73"/>
    <w:rsid w:val="00DB1531"/>
    <w:rsid w:val="00DB2067"/>
    <w:rsid w:val="00DB4212"/>
    <w:rsid w:val="00DB4C26"/>
    <w:rsid w:val="00DB4D1E"/>
    <w:rsid w:val="00DB516B"/>
    <w:rsid w:val="00DB5ED6"/>
    <w:rsid w:val="00DB6910"/>
    <w:rsid w:val="00DC0546"/>
    <w:rsid w:val="00DC0622"/>
    <w:rsid w:val="00DC24DE"/>
    <w:rsid w:val="00DC56C0"/>
    <w:rsid w:val="00DC5A39"/>
    <w:rsid w:val="00DC6707"/>
    <w:rsid w:val="00DC6F4B"/>
    <w:rsid w:val="00DC75FE"/>
    <w:rsid w:val="00DD0BF1"/>
    <w:rsid w:val="00DD364F"/>
    <w:rsid w:val="00DD3B77"/>
    <w:rsid w:val="00DD4069"/>
    <w:rsid w:val="00DD418A"/>
    <w:rsid w:val="00DD43CA"/>
    <w:rsid w:val="00DD494B"/>
    <w:rsid w:val="00DD514D"/>
    <w:rsid w:val="00DD59AB"/>
    <w:rsid w:val="00DD5AB8"/>
    <w:rsid w:val="00DD789E"/>
    <w:rsid w:val="00DE01D1"/>
    <w:rsid w:val="00DE0839"/>
    <w:rsid w:val="00DE14E5"/>
    <w:rsid w:val="00DE1BC4"/>
    <w:rsid w:val="00DE5C64"/>
    <w:rsid w:val="00DE6304"/>
    <w:rsid w:val="00DE6410"/>
    <w:rsid w:val="00DE77C9"/>
    <w:rsid w:val="00DF17AE"/>
    <w:rsid w:val="00DF1C40"/>
    <w:rsid w:val="00DF359C"/>
    <w:rsid w:val="00DF3A46"/>
    <w:rsid w:val="00DF4163"/>
    <w:rsid w:val="00DF56FC"/>
    <w:rsid w:val="00DF589D"/>
    <w:rsid w:val="00DF66B5"/>
    <w:rsid w:val="00DF6D21"/>
    <w:rsid w:val="00DF6E0F"/>
    <w:rsid w:val="00DF724E"/>
    <w:rsid w:val="00DF75AF"/>
    <w:rsid w:val="00E00704"/>
    <w:rsid w:val="00E00743"/>
    <w:rsid w:val="00E010F8"/>
    <w:rsid w:val="00E013F0"/>
    <w:rsid w:val="00E01EAB"/>
    <w:rsid w:val="00E020D0"/>
    <w:rsid w:val="00E025C3"/>
    <w:rsid w:val="00E02DF8"/>
    <w:rsid w:val="00E034E0"/>
    <w:rsid w:val="00E04CA7"/>
    <w:rsid w:val="00E05823"/>
    <w:rsid w:val="00E05C48"/>
    <w:rsid w:val="00E05C89"/>
    <w:rsid w:val="00E066F3"/>
    <w:rsid w:val="00E075A5"/>
    <w:rsid w:val="00E075EF"/>
    <w:rsid w:val="00E07D2A"/>
    <w:rsid w:val="00E10F9D"/>
    <w:rsid w:val="00E11270"/>
    <w:rsid w:val="00E115B4"/>
    <w:rsid w:val="00E11A15"/>
    <w:rsid w:val="00E12D5D"/>
    <w:rsid w:val="00E13A1E"/>
    <w:rsid w:val="00E14BC1"/>
    <w:rsid w:val="00E150D0"/>
    <w:rsid w:val="00E15F47"/>
    <w:rsid w:val="00E16563"/>
    <w:rsid w:val="00E167ED"/>
    <w:rsid w:val="00E171C2"/>
    <w:rsid w:val="00E20542"/>
    <w:rsid w:val="00E21914"/>
    <w:rsid w:val="00E234BE"/>
    <w:rsid w:val="00E24C40"/>
    <w:rsid w:val="00E2615F"/>
    <w:rsid w:val="00E26AE7"/>
    <w:rsid w:val="00E278F8"/>
    <w:rsid w:val="00E303F1"/>
    <w:rsid w:val="00E305AA"/>
    <w:rsid w:val="00E30C0D"/>
    <w:rsid w:val="00E311FE"/>
    <w:rsid w:val="00E31D2D"/>
    <w:rsid w:val="00E31DEB"/>
    <w:rsid w:val="00E323DF"/>
    <w:rsid w:val="00E32A0A"/>
    <w:rsid w:val="00E345F3"/>
    <w:rsid w:val="00E3480F"/>
    <w:rsid w:val="00E34A0B"/>
    <w:rsid w:val="00E35066"/>
    <w:rsid w:val="00E353D2"/>
    <w:rsid w:val="00E35A74"/>
    <w:rsid w:val="00E35E78"/>
    <w:rsid w:val="00E363BF"/>
    <w:rsid w:val="00E365C0"/>
    <w:rsid w:val="00E365FA"/>
    <w:rsid w:val="00E36F35"/>
    <w:rsid w:val="00E42736"/>
    <w:rsid w:val="00E43517"/>
    <w:rsid w:val="00E43C40"/>
    <w:rsid w:val="00E44630"/>
    <w:rsid w:val="00E44D75"/>
    <w:rsid w:val="00E44E70"/>
    <w:rsid w:val="00E45955"/>
    <w:rsid w:val="00E46572"/>
    <w:rsid w:val="00E46635"/>
    <w:rsid w:val="00E4685E"/>
    <w:rsid w:val="00E47046"/>
    <w:rsid w:val="00E47580"/>
    <w:rsid w:val="00E47E99"/>
    <w:rsid w:val="00E508D0"/>
    <w:rsid w:val="00E50A06"/>
    <w:rsid w:val="00E511BD"/>
    <w:rsid w:val="00E5207C"/>
    <w:rsid w:val="00E523B3"/>
    <w:rsid w:val="00E54065"/>
    <w:rsid w:val="00E545CD"/>
    <w:rsid w:val="00E554AF"/>
    <w:rsid w:val="00E57340"/>
    <w:rsid w:val="00E6017F"/>
    <w:rsid w:val="00E60A7B"/>
    <w:rsid w:val="00E60D48"/>
    <w:rsid w:val="00E611CC"/>
    <w:rsid w:val="00E6227E"/>
    <w:rsid w:val="00E626B6"/>
    <w:rsid w:val="00E63E2D"/>
    <w:rsid w:val="00E6456B"/>
    <w:rsid w:val="00E64D54"/>
    <w:rsid w:val="00E64F29"/>
    <w:rsid w:val="00E663BA"/>
    <w:rsid w:val="00E66932"/>
    <w:rsid w:val="00E67881"/>
    <w:rsid w:val="00E70033"/>
    <w:rsid w:val="00E70135"/>
    <w:rsid w:val="00E70461"/>
    <w:rsid w:val="00E7069A"/>
    <w:rsid w:val="00E70A57"/>
    <w:rsid w:val="00E71351"/>
    <w:rsid w:val="00E714BE"/>
    <w:rsid w:val="00E71728"/>
    <w:rsid w:val="00E740A7"/>
    <w:rsid w:val="00E748F1"/>
    <w:rsid w:val="00E74A55"/>
    <w:rsid w:val="00E75202"/>
    <w:rsid w:val="00E75DF2"/>
    <w:rsid w:val="00E7616F"/>
    <w:rsid w:val="00E7702F"/>
    <w:rsid w:val="00E775D4"/>
    <w:rsid w:val="00E7769F"/>
    <w:rsid w:val="00E77756"/>
    <w:rsid w:val="00E77ACA"/>
    <w:rsid w:val="00E77B8F"/>
    <w:rsid w:val="00E8141A"/>
    <w:rsid w:val="00E81EC5"/>
    <w:rsid w:val="00E825ED"/>
    <w:rsid w:val="00E82F28"/>
    <w:rsid w:val="00E835AC"/>
    <w:rsid w:val="00E84027"/>
    <w:rsid w:val="00E850B8"/>
    <w:rsid w:val="00E850FE"/>
    <w:rsid w:val="00E85D1F"/>
    <w:rsid w:val="00E86059"/>
    <w:rsid w:val="00E86F0B"/>
    <w:rsid w:val="00E87877"/>
    <w:rsid w:val="00E879C9"/>
    <w:rsid w:val="00E87F29"/>
    <w:rsid w:val="00E90016"/>
    <w:rsid w:val="00E905A4"/>
    <w:rsid w:val="00E914ED"/>
    <w:rsid w:val="00E928C6"/>
    <w:rsid w:val="00E9341F"/>
    <w:rsid w:val="00E93D37"/>
    <w:rsid w:val="00E93DB4"/>
    <w:rsid w:val="00E93DD4"/>
    <w:rsid w:val="00E94CA8"/>
    <w:rsid w:val="00E94F0B"/>
    <w:rsid w:val="00E956D4"/>
    <w:rsid w:val="00E95CB2"/>
    <w:rsid w:val="00E968D7"/>
    <w:rsid w:val="00E96C9B"/>
    <w:rsid w:val="00EA08B1"/>
    <w:rsid w:val="00EA0AE5"/>
    <w:rsid w:val="00EA147D"/>
    <w:rsid w:val="00EA1875"/>
    <w:rsid w:val="00EA18AF"/>
    <w:rsid w:val="00EA192A"/>
    <w:rsid w:val="00EA289A"/>
    <w:rsid w:val="00EA30AA"/>
    <w:rsid w:val="00EA30F5"/>
    <w:rsid w:val="00EA44A9"/>
    <w:rsid w:val="00EA5016"/>
    <w:rsid w:val="00EA5310"/>
    <w:rsid w:val="00EA5E0C"/>
    <w:rsid w:val="00EA5F60"/>
    <w:rsid w:val="00EA69A1"/>
    <w:rsid w:val="00EA6E93"/>
    <w:rsid w:val="00EA71FA"/>
    <w:rsid w:val="00EA7A2A"/>
    <w:rsid w:val="00EB1807"/>
    <w:rsid w:val="00EB1995"/>
    <w:rsid w:val="00EB21BE"/>
    <w:rsid w:val="00EB27CC"/>
    <w:rsid w:val="00EB2EFD"/>
    <w:rsid w:val="00EB49DB"/>
    <w:rsid w:val="00EB6299"/>
    <w:rsid w:val="00EB632A"/>
    <w:rsid w:val="00EB6B8D"/>
    <w:rsid w:val="00EB6CF1"/>
    <w:rsid w:val="00EB6EFB"/>
    <w:rsid w:val="00EB78EA"/>
    <w:rsid w:val="00EB7BF1"/>
    <w:rsid w:val="00EC01D8"/>
    <w:rsid w:val="00EC06F0"/>
    <w:rsid w:val="00EC0912"/>
    <w:rsid w:val="00EC0DB5"/>
    <w:rsid w:val="00EC17BB"/>
    <w:rsid w:val="00EC1977"/>
    <w:rsid w:val="00EC2088"/>
    <w:rsid w:val="00EC2111"/>
    <w:rsid w:val="00EC274D"/>
    <w:rsid w:val="00EC38FD"/>
    <w:rsid w:val="00EC3D3E"/>
    <w:rsid w:val="00EC517B"/>
    <w:rsid w:val="00EC576A"/>
    <w:rsid w:val="00EC5816"/>
    <w:rsid w:val="00EC5838"/>
    <w:rsid w:val="00EC5BD1"/>
    <w:rsid w:val="00EC5BFC"/>
    <w:rsid w:val="00EC615B"/>
    <w:rsid w:val="00EC6798"/>
    <w:rsid w:val="00EC6A81"/>
    <w:rsid w:val="00EC6B30"/>
    <w:rsid w:val="00EC6E05"/>
    <w:rsid w:val="00EC7929"/>
    <w:rsid w:val="00ED1A6D"/>
    <w:rsid w:val="00ED1F06"/>
    <w:rsid w:val="00ED321E"/>
    <w:rsid w:val="00ED440A"/>
    <w:rsid w:val="00ED460F"/>
    <w:rsid w:val="00ED4E3A"/>
    <w:rsid w:val="00ED56D0"/>
    <w:rsid w:val="00ED5E8C"/>
    <w:rsid w:val="00ED63EB"/>
    <w:rsid w:val="00ED675F"/>
    <w:rsid w:val="00ED6831"/>
    <w:rsid w:val="00ED7330"/>
    <w:rsid w:val="00ED741D"/>
    <w:rsid w:val="00EE0AB4"/>
    <w:rsid w:val="00EE16D2"/>
    <w:rsid w:val="00EE2FB1"/>
    <w:rsid w:val="00EE3A42"/>
    <w:rsid w:val="00EE3BBD"/>
    <w:rsid w:val="00EE4499"/>
    <w:rsid w:val="00EE4D99"/>
    <w:rsid w:val="00EE5110"/>
    <w:rsid w:val="00EE62DF"/>
    <w:rsid w:val="00EE65BC"/>
    <w:rsid w:val="00EE686E"/>
    <w:rsid w:val="00EE70D3"/>
    <w:rsid w:val="00EE754D"/>
    <w:rsid w:val="00EF00B8"/>
    <w:rsid w:val="00EF0E19"/>
    <w:rsid w:val="00EF16A3"/>
    <w:rsid w:val="00EF254D"/>
    <w:rsid w:val="00EF44F7"/>
    <w:rsid w:val="00EF471A"/>
    <w:rsid w:val="00EF60A0"/>
    <w:rsid w:val="00EF663A"/>
    <w:rsid w:val="00EF6829"/>
    <w:rsid w:val="00EF692E"/>
    <w:rsid w:val="00EF6F41"/>
    <w:rsid w:val="00F005AC"/>
    <w:rsid w:val="00F008F6"/>
    <w:rsid w:val="00F00A4D"/>
    <w:rsid w:val="00F02DE5"/>
    <w:rsid w:val="00F02EE3"/>
    <w:rsid w:val="00F0418B"/>
    <w:rsid w:val="00F04CA3"/>
    <w:rsid w:val="00F052FF"/>
    <w:rsid w:val="00F0673C"/>
    <w:rsid w:val="00F06A67"/>
    <w:rsid w:val="00F06C34"/>
    <w:rsid w:val="00F0740E"/>
    <w:rsid w:val="00F106A3"/>
    <w:rsid w:val="00F10826"/>
    <w:rsid w:val="00F10D50"/>
    <w:rsid w:val="00F10DDE"/>
    <w:rsid w:val="00F10E4D"/>
    <w:rsid w:val="00F11688"/>
    <w:rsid w:val="00F11B72"/>
    <w:rsid w:val="00F138A3"/>
    <w:rsid w:val="00F14554"/>
    <w:rsid w:val="00F14629"/>
    <w:rsid w:val="00F1615C"/>
    <w:rsid w:val="00F162CA"/>
    <w:rsid w:val="00F16779"/>
    <w:rsid w:val="00F16BE9"/>
    <w:rsid w:val="00F2049E"/>
    <w:rsid w:val="00F20DB1"/>
    <w:rsid w:val="00F21545"/>
    <w:rsid w:val="00F2190D"/>
    <w:rsid w:val="00F22060"/>
    <w:rsid w:val="00F22200"/>
    <w:rsid w:val="00F23A7E"/>
    <w:rsid w:val="00F2491D"/>
    <w:rsid w:val="00F25301"/>
    <w:rsid w:val="00F25480"/>
    <w:rsid w:val="00F26691"/>
    <w:rsid w:val="00F27430"/>
    <w:rsid w:val="00F27BB8"/>
    <w:rsid w:val="00F30A19"/>
    <w:rsid w:val="00F30BB1"/>
    <w:rsid w:val="00F323A9"/>
    <w:rsid w:val="00F32453"/>
    <w:rsid w:val="00F34D23"/>
    <w:rsid w:val="00F34FD0"/>
    <w:rsid w:val="00F359B9"/>
    <w:rsid w:val="00F35CCB"/>
    <w:rsid w:val="00F35CD9"/>
    <w:rsid w:val="00F405B9"/>
    <w:rsid w:val="00F40605"/>
    <w:rsid w:val="00F40765"/>
    <w:rsid w:val="00F41169"/>
    <w:rsid w:val="00F419E3"/>
    <w:rsid w:val="00F41AD9"/>
    <w:rsid w:val="00F41B9E"/>
    <w:rsid w:val="00F426D5"/>
    <w:rsid w:val="00F430C7"/>
    <w:rsid w:val="00F440E1"/>
    <w:rsid w:val="00F44B4E"/>
    <w:rsid w:val="00F457B3"/>
    <w:rsid w:val="00F45B8B"/>
    <w:rsid w:val="00F45C66"/>
    <w:rsid w:val="00F4620C"/>
    <w:rsid w:val="00F51C4C"/>
    <w:rsid w:val="00F53E6C"/>
    <w:rsid w:val="00F5446A"/>
    <w:rsid w:val="00F54B69"/>
    <w:rsid w:val="00F54C45"/>
    <w:rsid w:val="00F55248"/>
    <w:rsid w:val="00F552C7"/>
    <w:rsid w:val="00F55396"/>
    <w:rsid w:val="00F55587"/>
    <w:rsid w:val="00F55B70"/>
    <w:rsid w:val="00F578DE"/>
    <w:rsid w:val="00F605F5"/>
    <w:rsid w:val="00F60D73"/>
    <w:rsid w:val="00F6138D"/>
    <w:rsid w:val="00F61ECE"/>
    <w:rsid w:val="00F62C41"/>
    <w:rsid w:val="00F64389"/>
    <w:rsid w:val="00F64891"/>
    <w:rsid w:val="00F64B64"/>
    <w:rsid w:val="00F64FDE"/>
    <w:rsid w:val="00F65221"/>
    <w:rsid w:val="00F654EA"/>
    <w:rsid w:val="00F654FA"/>
    <w:rsid w:val="00F65BB8"/>
    <w:rsid w:val="00F65E49"/>
    <w:rsid w:val="00F65FFA"/>
    <w:rsid w:val="00F66B02"/>
    <w:rsid w:val="00F66C21"/>
    <w:rsid w:val="00F67102"/>
    <w:rsid w:val="00F67EDB"/>
    <w:rsid w:val="00F70758"/>
    <w:rsid w:val="00F7152E"/>
    <w:rsid w:val="00F74B24"/>
    <w:rsid w:val="00F752B3"/>
    <w:rsid w:val="00F75E9C"/>
    <w:rsid w:val="00F7607D"/>
    <w:rsid w:val="00F76393"/>
    <w:rsid w:val="00F76DA4"/>
    <w:rsid w:val="00F76F8A"/>
    <w:rsid w:val="00F8019B"/>
    <w:rsid w:val="00F80488"/>
    <w:rsid w:val="00F80843"/>
    <w:rsid w:val="00F80AD3"/>
    <w:rsid w:val="00F8144C"/>
    <w:rsid w:val="00F81F51"/>
    <w:rsid w:val="00F8267D"/>
    <w:rsid w:val="00F84851"/>
    <w:rsid w:val="00F84D46"/>
    <w:rsid w:val="00F85A80"/>
    <w:rsid w:val="00F86697"/>
    <w:rsid w:val="00F86801"/>
    <w:rsid w:val="00F869F0"/>
    <w:rsid w:val="00F86AED"/>
    <w:rsid w:val="00F90224"/>
    <w:rsid w:val="00F9113D"/>
    <w:rsid w:val="00F912CC"/>
    <w:rsid w:val="00F91FA5"/>
    <w:rsid w:val="00F92AD7"/>
    <w:rsid w:val="00F92CF0"/>
    <w:rsid w:val="00F94D61"/>
    <w:rsid w:val="00F95556"/>
    <w:rsid w:val="00F95C26"/>
    <w:rsid w:val="00F96D2A"/>
    <w:rsid w:val="00F96F23"/>
    <w:rsid w:val="00F97198"/>
    <w:rsid w:val="00F977B9"/>
    <w:rsid w:val="00F97DEF"/>
    <w:rsid w:val="00FA0350"/>
    <w:rsid w:val="00FA3F4F"/>
    <w:rsid w:val="00FA40B1"/>
    <w:rsid w:val="00FA46F8"/>
    <w:rsid w:val="00FA693F"/>
    <w:rsid w:val="00FA69EB"/>
    <w:rsid w:val="00FA7600"/>
    <w:rsid w:val="00FA7745"/>
    <w:rsid w:val="00FA7DEA"/>
    <w:rsid w:val="00FB0862"/>
    <w:rsid w:val="00FB0896"/>
    <w:rsid w:val="00FB09F0"/>
    <w:rsid w:val="00FB0AC1"/>
    <w:rsid w:val="00FB17ED"/>
    <w:rsid w:val="00FB19BB"/>
    <w:rsid w:val="00FB41C7"/>
    <w:rsid w:val="00FB4658"/>
    <w:rsid w:val="00FB50BC"/>
    <w:rsid w:val="00FB5274"/>
    <w:rsid w:val="00FB587C"/>
    <w:rsid w:val="00FB58A9"/>
    <w:rsid w:val="00FB681C"/>
    <w:rsid w:val="00FB71D2"/>
    <w:rsid w:val="00FB72BB"/>
    <w:rsid w:val="00FB7C04"/>
    <w:rsid w:val="00FC11FC"/>
    <w:rsid w:val="00FC1E2D"/>
    <w:rsid w:val="00FC2B66"/>
    <w:rsid w:val="00FC352A"/>
    <w:rsid w:val="00FC359D"/>
    <w:rsid w:val="00FC40D8"/>
    <w:rsid w:val="00FC41BD"/>
    <w:rsid w:val="00FC487C"/>
    <w:rsid w:val="00FC4D2D"/>
    <w:rsid w:val="00FC4E69"/>
    <w:rsid w:val="00FC5412"/>
    <w:rsid w:val="00FC5C2A"/>
    <w:rsid w:val="00FC5F08"/>
    <w:rsid w:val="00FC5F5D"/>
    <w:rsid w:val="00FC61F9"/>
    <w:rsid w:val="00FC622E"/>
    <w:rsid w:val="00FC66E0"/>
    <w:rsid w:val="00FD0437"/>
    <w:rsid w:val="00FD051E"/>
    <w:rsid w:val="00FD0688"/>
    <w:rsid w:val="00FD0BD6"/>
    <w:rsid w:val="00FD12CD"/>
    <w:rsid w:val="00FD1309"/>
    <w:rsid w:val="00FD14DE"/>
    <w:rsid w:val="00FD28F1"/>
    <w:rsid w:val="00FD44C2"/>
    <w:rsid w:val="00FD452A"/>
    <w:rsid w:val="00FD4FFA"/>
    <w:rsid w:val="00FD705E"/>
    <w:rsid w:val="00FD76AA"/>
    <w:rsid w:val="00FE0A16"/>
    <w:rsid w:val="00FE0C04"/>
    <w:rsid w:val="00FE1437"/>
    <w:rsid w:val="00FE1529"/>
    <w:rsid w:val="00FE1A12"/>
    <w:rsid w:val="00FE2D54"/>
    <w:rsid w:val="00FE2F3C"/>
    <w:rsid w:val="00FE43BE"/>
    <w:rsid w:val="00FE4710"/>
    <w:rsid w:val="00FE4736"/>
    <w:rsid w:val="00FE4898"/>
    <w:rsid w:val="00FE5304"/>
    <w:rsid w:val="00FE592B"/>
    <w:rsid w:val="00FE740A"/>
    <w:rsid w:val="00FE7866"/>
    <w:rsid w:val="00FE7C19"/>
    <w:rsid w:val="00FF06D9"/>
    <w:rsid w:val="00FF0849"/>
    <w:rsid w:val="00FF0A08"/>
    <w:rsid w:val="00FF1647"/>
    <w:rsid w:val="00FF22B8"/>
    <w:rsid w:val="00FF2F76"/>
    <w:rsid w:val="00FF3F2D"/>
    <w:rsid w:val="00FF4025"/>
    <w:rsid w:val="00FF4A63"/>
    <w:rsid w:val="00FF4F57"/>
    <w:rsid w:val="00FF54B8"/>
    <w:rsid w:val="00FF7497"/>
    <w:rsid w:val="00FF7835"/>
    <w:rsid w:val="00FF784D"/>
    <w:rsid w:val="0104458B"/>
    <w:rsid w:val="011949CD"/>
    <w:rsid w:val="012A6BDB"/>
    <w:rsid w:val="0133758F"/>
    <w:rsid w:val="01347A59"/>
    <w:rsid w:val="01352B1D"/>
    <w:rsid w:val="0143352B"/>
    <w:rsid w:val="015B6D94"/>
    <w:rsid w:val="01640518"/>
    <w:rsid w:val="01657C13"/>
    <w:rsid w:val="016D57FA"/>
    <w:rsid w:val="017A6055"/>
    <w:rsid w:val="01891B53"/>
    <w:rsid w:val="019329D2"/>
    <w:rsid w:val="01956F93"/>
    <w:rsid w:val="019B53E2"/>
    <w:rsid w:val="01A90312"/>
    <w:rsid w:val="01B11056"/>
    <w:rsid w:val="01BE73EC"/>
    <w:rsid w:val="01C41113"/>
    <w:rsid w:val="01DF1D31"/>
    <w:rsid w:val="01E847E5"/>
    <w:rsid w:val="01F86CD9"/>
    <w:rsid w:val="01F92D80"/>
    <w:rsid w:val="01F954D4"/>
    <w:rsid w:val="01FD4042"/>
    <w:rsid w:val="02005B8D"/>
    <w:rsid w:val="020458F6"/>
    <w:rsid w:val="020B07BA"/>
    <w:rsid w:val="020C68B4"/>
    <w:rsid w:val="021A27AB"/>
    <w:rsid w:val="02244181"/>
    <w:rsid w:val="02306364"/>
    <w:rsid w:val="026003DA"/>
    <w:rsid w:val="02641C78"/>
    <w:rsid w:val="02691984"/>
    <w:rsid w:val="026D0521"/>
    <w:rsid w:val="027D02FE"/>
    <w:rsid w:val="028326FA"/>
    <w:rsid w:val="0284056C"/>
    <w:rsid w:val="028A2F6D"/>
    <w:rsid w:val="028A629F"/>
    <w:rsid w:val="02A0618D"/>
    <w:rsid w:val="02AB5AF9"/>
    <w:rsid w:val="02AD7AC3"/>
    <w:rsid w:val="02B83F1D"/>
    <w:rsid w:val="02BB2561"/>
    <w:rsid w:val="02C40969"/>
    <w:rsid w:val="02C92423"/>
    <w:rsid w:val="02F23728"/>
    <w:rsid w:val="03026A0B"/>
    <w:rsid w:val="030516AD"/>
    <w:rsid w:val="03067F7A"/>
    <w:rsid w:val="030D0562"/>
    <w:rsid w:val="03186D24"/>
    <w:rsid w:val="032B3844"/>
    <w:rsid w:val="03373831"/>
    <w:rsid w:val="03395FEA"/>
    <w:rsid w:val="034C72DC"/>
    <w:rsid w:val="03522419"/>
    <w:rsid w:val="036F2FCB"/>
    <w:rsid w:val="0388410D"/>
    <w:rsid w:val="03A43FBF"/>
    <w:rsid w:val="03C70711"/>
    <w:rsid w:val="03C76963"/>
    <w:rsid w:val="03FD22A7"/>
    <w:rsid w:val="04006A2B"/>
    <w:rsid w:val="0409276C"/>
    <w:rsid w:val="0410030A"/>
    <w:rsid w:val="04180F6C"/>
    <w:rsid w:val="04185410"/>
    <w:rsid w:val="04387860"/>
    <w:rsid w:val="04421144"/>
    <w:rsid w:val="045836F1"/>
    <w:rsid w:val="04642403"/>
    <w:rsid w:val="04675A50"/>
    <w:rsid w:val="046E5030"/>
    <w:rsid w:val="047C5040"/>
    <w:rsid w:val="047C599F"/>
    <w:rsid w:val="047D5273"/>
    <w:rsid w:val="04940FE9"/>
    <w:rsid w:val="04BE6F64"/>
    <w:rsid w:val="04C11604"/>
    <w:rsid w:val="04C335CE"/>
    <w:rsid w:val="04C50D6B"/>
    <w:rsid w:val="04CA1CB8"/>
    <w:rsid w:val="04CD7FA9"/>
    <w:rsid w:val="04D255BF"/>
    <w:rsid w:val="04F902ED"/>
    <w:rsid w:val="04FF037E"/>
    <w:rsid w:val="05092FAB"/>
    <w:rsid w:val="05197ACC"/>
    <w:rsid w:val="051C683A"/>
    <w:rsid w:val="053718C6"/>
    <w:rsid w:val="054B3988"/>
    <w:rsid w:val="054D2E98"/>
    <w:rsid w:val="0553688F"/>
    <w:rsid w:val="057924EC"/>
    <w:rsid w:val="057D4BD1"/>
    <w:rsid w:val="05886E77"/>
    <w:rsid w:val="058A3C4A"/>
    <w:rsid w:val="05AF5900"/>
    <w:rsid w:val="05C555C6"/>
    <w:rsid w:val="05CE6C7E"/>
    <w:rsid w:val="05F31C91"/>
    <w:rsid w:val="05FB7DDB"/>
    <w:rsid w:val="060043AE"/>
    <w:rsid w:val="06055520"/>
    <w:rsid w:val="060F2843"/>
    <w:rsid w:val="06147D26"/>
    <w:rsid w:val="0620408A"/>
    <w:rsid w:val="063B53E6"/>
    <w:rsid w:val="063D0ACC"/>
    <w:rsid w:val="064424ED"/>
    <w:rsid w:val="064F2C3F"/>
    <w:rsid w:val="06606FF0"/>
    <w:rsid w:val="06667525"/>
    <w:rsid w:val="066F6E3E"/>
    <w:rsid w:val="067D1B0C"/>
    <w:rsid w:val="069468A4"/>
    <w:rsid w:val="069D1BFD"/>
    <w:rsid w:val="06A57F8E"/>
    <w:rsid w:val="06AA5E40"/>
    <w:rsid w:val="06B405F7"/>
    <w:rsid w:val="06B85605"/>
    <w:rsid w:val="06BA4742"/>
    <w:rsid w:val="06BD5DFB"/>
    <w:rsid w:val="06C453DB"/>
    <w:rsid w:val="06C5167C"/>
    <w:rsid w:val="06C76C7A"/>
    <w:rsid w:val="06CE625A"/>
    <w:rsid w:val="06D06DE3"/>
    <w:rsid w:val="06DF2215"/>
    <w:rsid w:val="06FF01C2"/>
    <w:rsid w:val="071F6AB6"/>
    <w:rsid w:val="073432EC"/>
    <w:rsid w:val="0744651C"/>
    <w:rsid w:val="0748600C"/>
    <w:rsid w:val="075637EA"/>
    <w:rsid w:val="075C60BF"/>
    <w:rsid w:val="07634D60"/>
    <w:rsid w:val="076520D3"/>
    <w:rsid w:val="076E75D8"/>
    <w:rsid w:val="077614EF"/>
    <w:rsid w:val="07AA637F"/>
    <w:rsid w:val="07C02047"/>
    <w:rsid w:val="07C04B38"/>
    <w:rsid w:val="07D42E58"/>
    <w:rsid w:val="07D72EA9"/>
    <w:rsid w:val="07D84DD9"/>
    <w:rsid w:val="07D937B8"/>
    <w:rsid w:val="07E472F9"/>
    <w:rsid w:val="07E51AAD"/>
    <w:rsid w:val="07FA5809"/>
    <w:rsid w:val="080839BA"/>
    <w:rsid w:val="080A1A38"/>
    <w:rsid w:val="080D3087"/>
    <w:rsid w:val="08187E7F"/>
    <w:rsid w:val="08236132"/>
    <w:rsid w:val="084542FA"/>
    <w:rsid w:val="084C7436"/>
    <w:rsid w:val="08584549"/>
    <w:rsid w:val="08585DDB"/>
    <w:rsid w:val="086D61BC"/>
    <w:rsid w:val="08721009"/>
    <w:rsid w:val="08752171"/>
    <w:rsid w:val="089B4E12"/>
    <w:rsid w:val="089F7BB5"/>
    <w:rsid w:val="08D03634"/>
    <w:rsid w:val="08E77122"/>
    <w:rsid w:val="09043970"/>
    <w:rsid w:val="09045F63"/>
    <w:rsid w:val="09216B15"/>
    <w:rsid w:val="09220E03"/>
    <w:rsid w:val="09235FAE"/>
    <w:rsid w:val="093F343F"/>
    <w:rsid w:val="09440A55"/>
    <w:rsid w:val="094E5E8B"/>
    <w:rsid w:val="095424DF"/>
    <w:rsid w:val="09542615"/>
    <w:rsid w:val="09565B9A"/>
    <w:rsid w:val="09570B83"/>
    <w:rsid w:val="097053A7"/>
    <w:rsid w:val="097D2199"/>
    <w:rsid w:val="097D6385"/>
    <w:rsid w:val="0980144C"/>
    <w:rsid w:val="098B2F1A"/>
    <w:rsid w:val="099B2686"/>
    <w:rsid w:val="099B5EB2"/>
    <w:rsid w:val="09AE6375"/>
    <w:rsid w:val="09B636BF"/>
    <w:rsid w:val="09BF1E8A"/>
    <w:rsid w:val="09C736B1"/>
    <w:rsid w:val="09CB155C"/>
    <w:rsid w:val="09D12691"/>
    <w:rsid w:val="09D678FF"/>
    <w:rsid w:val="09DA7976"/>
    <w:rsid w:val="09DE7D03"/>
    <w:rsid w:val="09E3201C"/>
    <w:rsid w:val="09E667D0"/>
    <w:rsid w:val="09EB2C7F"/>
    <w:rsid w:val="09ED4C49"/>
    <w:rsid w:val="0A14667A"/>
    <w:rsid w:val="0A165F4E"/>
    <w:rsid w:val="0A1B7489"/>
    <w:rsid w:val="0A1E12A6"/>
    <w:rsid w:val="0A2A52A4"/>
    <w:rsid w:val="0A2A7C4B"/>
    <w:rsid w:val="0A3057D5"/>
    <w:rsid w:val="0A3208AE"/>
    <w:rsid w:val="0A425AE5"/>
    <w:rsid w:val="0A571CAD"/>
    <w:rsid w:val="0A704241"/>
    <w:rsid w:val="0A7371AF"/>
    <w:rsid w:val="0A7F444C"/>
    <w:rsid w:val="0A8B48B0"/>
    <w:rsid w:val="0A8E1F88"/>
    <w:rsid w:val="0AAF72EA"/>
    <w:rsid w:val="0AB67731"/>
    <w:rsid w:val="0AB74923"/>
    <w:rsid w:val="0AC4542D"/>
    <w:rsid w:val="0AC7549A"/>
    <w:rsid w:val="0AF0679F"/>
    <w:rsid w:val="0AF41A11"/>
    <w:rsid w:val="0B0405DA"/>
    <w:rsid w:val="0B0A3CE5"/>
    <w:rsid w:val="0B3138BD"/>
    <w:rsid w:val="0B435FC5"/>
    <w:rsid w:val="0B4827D7"/>
    <w:rsid w:val="0B4C466E"/>
    <w:rsid w:val="0B54287F"/>
    <w:rsid w:val="0B5C10FD"/>
    <w:rsid w:val="0B7D1FFD"/>
    <w:rsid w:val="0B815649"/>
    <w:rsid w:val="0B8F4F60"/>
    <w:rsid w:val="0BAD28E2"/>
    <w:rsid w:val="0BAF665A"/>
    <w:rsid w:val="0BB772BD"/>
    <w:rsid w:val="0BBA0B5B"/>
    <w:rsid w:val="0BBC0D77"/>
    <w:rsid w:val="0BC15C42"/>
    <w:rsid w:val="0BCE4DC7"/>
    <w:rsid w:val="0BD22349"/>
    <w:rsid w:val="0BE502CE"/>
    <w:rsid w:val="0BE5207C"/>
    <w:rsid w:val="0BF476EA"/>
    <w:rsid w:val="0BFF2A12"/>
    <w:rsid w:val="0C085D6A"/>
    <w:rsid w:val="0C0C5967"/>
    <w:rsid w:val="0C17492A"/>
    <w:rsid w:val="0C2E67E4"/>
    <w:rsid w:val="0C3A2011"/>
    <w:rsid w:val="0C3C77C2"/>
    <w:rsid w:val="0C406AA1"/>
    <w:rsid w:val="0C430B50"/>
    <w:rsid w:val="0C442326"/>
    <w:rsid w:val="0C545FE7"/>
    <w:rsid w:val="0C60081E"/>
    <w:rsid w:val="0C623C90"/>
    <w:rsid w:val="0C6754D4"/>
    <w:rsid w:val="0C6805B7"/>
    <w:rsid w:val="0C692CAD"/>
    <w:rsid w:val="0C6939A6"/>
    <w:rsid w:val="0C786AA5"/>
    <w:rsid w:val="0C8E2713"/>
    <w:rsid w:val="0C8F3D96"/>
    <w:rsid w:val="0C991939"/>
    <w:rsid w:val="0CAE6E4A"/>
    <w:rsid w:val="0CAF0F6A"/>
    <w:rsid w:val="0CB16402"/>
    <w:rsid w:val="0CB40839"/>
    <w:rsid w:val="0CB41A4E"/>
    <w:rsid w:val="0CB63A18"/>
    <w:rsid w:val="0CC2164E"/>
    <w:rsid w:val="0CC23113"/>
    <w:rsid w:val="0CCA1272"/>
    <w:rsid w:val="0CD12600"/>
    <w:rsid w:val="0CDF41BF"/>
    <w:rsid w:val="0CEE6D0E"/>
    <w:rsid w:val="0CF85DDF"/>
    <w:rsid w:val="0CFA74C1"/>
    <w:rsid w:val="0CFE4347"/>
    <w:rsid w:val="0D006A41"/>
    <w:rsid w:val="0D0316DE"/>
    <w:rsid w:val="0D0B0DAD"/>
    <w:rsid w:val="0D1A404E"/>
    <w:rsid w:val="0D1A7B4B"/>
    <w:rsid w:val="0D1F511A"/>
    <w:rsid w:val="0D254B47"/>
    <w:rsid w:val="0D3910D6"/>
    <w:rsid w:val="0D557EF2"/>
    <w:rsid w:val="0D630547"/>
    <w:rsid w:val="0D8078F8"/>
    <w:rsid w:val="0DA63A8D"/>
    <w:rsid w:val="0DAE15DF"/>
    <w:rsid w:val="0DB00467"/>
    <w:rsid w:val="0DB77A48"/>
    <w:rsid w:val="0DC108C7"/>
    <w:rsid w:val="0DE011D7"/>
    <w:rsid w:val="0DED6C3C"/>
    <w:rsid w:val="0DF77E44"/>
    <w:rsid w:val="0DFA67E4"/>
    <w:rsid w:val="0E356BBF"/>
    <w:rsid w:val="0E461E6E"/>
    <w:rsid w:val="0E572FD9"/>
    <w:rsid w:val="0E5A03D3"/>
    <w:rsid w:val="0E6757EE"/>
    <w:rsid w:val="0E686F94"/>
    <w:rsid w:val="0E951E2D"/>
    <w:rsid w:val="0EA5010B"/>
    <w:rsid w:val="0EAC6E81"/>
    <w:rsid w:val="0EB04C1D"/>
    <w:rsid w:val="0EC64E71"/>
    <w:rsid w:val="0ED32755"/>
    <w:rsid w:val="0ED60439"/>
    <w:rsid w:val="0F0F7EFA"/>
    <w:rsid w:val="0F1113DA"/>
    <w:rsid w:val="0F2036E7"/>
    <w:rsid w:val="0F2B6B14"/>
    <w:rsid w:val="0F2C7FC2"/>
    <w:rsid w:val="0F4939F6"/>
    <w:rsid w:val="0F4E7F38"/>
    <w:rsid w:val="0F565086"/>
    <w:rsid w:val="0F572DAE"/>
    <w:rsid w:val="0F5825A4"/>
    <w:rsid w:val="0F584B92"/>
    <w:rsid w:val="0F5E0835"/>
    <w:rsid w:val="0F840E19"/>
    <w:rsid w:val="0F890D17"/>
    <w:rsid w:val="0F9C6460"/>
    <w:rsid w:val="0FA27879"/>
    <w:rsid w:val="0FBB3336"/>
    <w:rsid w:val="0FCC044D"/>
    <w:rsid w:val="0FED709C"/>
    <w:rsid w:val="0FF214BE"/>
    <w:rsid w:val="0FF87EA4"/>
    <w:rsid w:val="0FFC53D4"/>
    <w:rsid w:val="100162AE"/>
    <w:rsid w:val="10090303"/>
    <w:rsid w:val="101051ED"/>
    <w:rsid w:val="101C0036"/>
    <w:rsid w:val="10216377"/>
    <w:rsid w:val="102B0279"/>
    <w:rsid w:val="1030066E"/>
    <w:rsid w:val="1041184B"/>
    <w:rsid w:val="104A131B"/>
    <w:rsid w:val="106F460A"/>
    <w:rsid w:val="107E65FB"/>
    <w:rsid w:val="109F6901"/>
    <w:rsid w:val="10A84EED"/>
    <w:rsid w:val="10BC7123"/>
    <w:rsid w:val="10BF31E5"/>
    <w:rsid w:val="10C84048"/>
    <w:rsid w:val="10D206F5"/>
    <w:rsid w:val="10DA157D"/>
    <w:rsid w:val="111223B7"/>
    <w:rsid w:val="11124A42"/>
    <w:rsid w:val="111D7BC2"/>
    <w:rsid w:val="112847B9"/>
    <w:rsid w:val="11401B02"/>
    <w:rsid w:val="114809B7"/>
    <w:rsid w:val="1156394B"/>
    <w:rsid w:val="11585C54"/>
    <w:rsid w:val="11692E07"/>
    <w:rsid w:val="1178129C"/>
    <w:rsid w:val="117B74D9"/>
    <w:rsid w:val="118C2F9A"/>
    <w:rsid w:val="11951E4E"/>
    <w:rsid w:val="11AB4C56"/>
    <w:rsid w:val="11AD0C25"/>
    <w:rsid w:val="11AE4CBE"/>
    <w:rsid w:val="11B36778"/>
    <w:rsid w:val="11B61DC5"/>
    <w:rsid w:val="11C20769"/>
    <w:rsid w:val="11CD3B0E"/>
    <w:rsid w:val="11CD49CA"/>
    <w:rsid w:val="11D230A2"/>
    <w:rsid w:val="11F27D13"/>
    <w:rsid w:val="11F373CA"/>
    <w:rsid w:val="12110C5C"/>
    <w:rsid w:val="122B27B2"/>
    <w:rsid w:val="12372F05"/>
    <w:rsid w:val="124014D7"/>
    <w:rsid w:val="12641821"/>
    <w:rsid w:val="12704669"/>
    <w:rsid w:val="12772755"/>
    <w:rsid w:val="127E0301"/>
    <w:rsid w:val="127E7DA5"/>
    <w:rsid w:val="1288773D"/>
    <w:rsid w:val="12B20382"/>
    <w:rsid w:val="12B63044"/>
    <w:rsid w:val="12BD132F"/>
    <w:rsid w:val="12CE0564"/>
    <w:rsid w:val="12D60970"/>
    <w:rsid w:val="12E615C9"/>
    <w:rsid w:val="12E82452"/>
    <w:rsid w:val="12F059D1"/>
    <w:rsid w:val="12FF0932"/>
    <w:rsid w:val="130A0F96"/>
    <w:rsid w:val="130C4392"/>
    <w:rsid w:val="130F5C30"/>
    <w:rsid w:val="131B6383"/>
    <w:rsid w:val="1332191F"/>
    <w:rsid w:val="133348AD"/>
    <w:rsid w:val="13356583"/>
    <w:rsid w:val="134346B1"/>
    <w:rsid w:val="13511DA5"/>
    <w:rsid w:val="13525B1D"/>
    <w:rsid w:val="1356179D"/>
    <w:rsid w:val="135D4BEE"/>
    <w:rsid w:val="13634405"/>
    <w:rsid w:val="13696028"/>
    <w:rsid w:val="13893C35"/>
    <w:rsid w:val="138D6C9B"/>
    <w:rsid w:val="139115A2"/>
    <w:rsid w:val="139934F3"/>
    <w:rsid w:val="13AA30B7"/>
    <w:rsid w:val="13B642FE"/>
    <w:rsid w:val="13CB5055"/>
    <w:rsid w:val="13E64BE3"/>
    <w:rsid w:val="13FA6AA2"/>
    <w:rsid w:val="13FD1F2D"/>
    <w:rsid w:val="140D2A59"/>
    <w:rsid w:val="14103664"/>
    <w:rsid w:val="14121EBF"/>
    <w:rsid w:val="141D4A12"/>
    <w:rsid w:val="141E3874"/>
    <w:rsid w:val="142851FC"/>
    <w:rsid w:val="143E00CE"/>
    <w:rsid w:val="143E4A1F"/>
    <w:rsid w:val="143F42F3"/>
    <w:rsid w:val="144B713C"/>
    <w:rsid w:val="145853B5"/>
    <w:rsid w:val="145A112D"/>
    <w:rsid w:val="14664623"/>
    <w:rsid w:val="146A6E8E"/>
    <w:rsid w:val="14720225"/>
    <w:rsid w:val="147B791F"/>
    <w:rsid w:val="148E372C"/>
    <w:rsid w:val="14AD3953"/>
    <w:rsid w:val="14B4083D"/>
    <w:rsid w:val="14BE1DE8"/>
    <w:rsid w:val="14D26371"/>
    <w:rsid w:val="14D507B4"/>
    <w:rsid w:val="14E279DF"/>
    <w:rsid w:val="14F1162B"/>
    <w:rsid w:val="14F909E9"/>
    <w:rsid w:val="150342CB"/>
    <w:rsid w:val="150F7544"/>
    <w:rsid w:val="15141771"/>
    <w:rsid w:val="151E6F20"/>
    <w:rsid w:val="15263142"/>
    <w:rsid w:val="153214E5"/>
    <w:rsid w:val="15341106"/>
    <w:rsid w:val="15350B13"/>
    <w:rsid w:val="153962AD"/>
    <w:rsid w:val="15477660"/>
    <w:rsid w:val="154D7DE4"/>
    <w:rsid w:val="1562473D"/>
    <w:rsid w:val="15662480"/>
    <w:rsid w:val="15857097"/>
    <w:rsid w:val="15953F29"/>
    <w:rsid w:val="15AB60E4"/>
    <w:rsid w:val="15C42D02"/>
    <w:rsid w:val="15F15AC1"/>
    <w:rsid w:val="15FB43EF"/>
    <w:rsid w:val="15FD6214"/>
    <w:rsid w:val="15FE270B"/>
    <w:rsid w:val="1606497D"/>
    <w:rsid w:val="161A15E1"/>
    <w:rsid w:val="1635775C"/>
    <w:rsid w:val="1647748F"/>
    <w:rsid w:val="165322D8"/>
    <w:rsid w:val="165F21A3"/>
    <w:rsid w:val="16621CA4"/>
    <w:rsid w:val="16647696"/>
    <w:rsid w:val="1694557E"/>
    <w:rsid w:val="16976668"/>
    <w:rsid w:val="16A4068F"/>
    <w:rsid w:val="16A50D85"/>
    <w:rsid w:val="16AB2114"/>
    <w:rsid w:val="16B15171"/>
    <w:rsid w:val="16B72867"/>
    <w:rsid w:val="16E20651"/>
    <w:rsid w:val="16E55626"/>
    <w:rsid w:val="16E80C72"/>
    <w:rsid w:val="170D0C8A"/>
    <w:rsid w:val="170F44C1"/>
    <w:rsid w:val="171239AF"/>
    <w:rsid w:val="171C6B6E"/>
    <w:rsid w:val="1720665E"/>
    <w:rsid w:val="1726591C"/>
    <w:rsid w:val="17283764"/>
    <w:rsid w:val="173E4D36"/>
    <w:rsid w:val="17430134"/>
    <w:rsid w:val="174F2482"/>
    <w:rsid w:val="175B58E8"/>
    <w:rsid w:val="177C13BA"/>
    <w:rsid w:val="17824C23"/>
    <w:rsid w:val="178C5750"/>
    <w:rsid w:val="17966920"/>
    <w:rsid w:val="17BB6387"/>
    <w:rsid w:val="17D905BB"/>
    <w:rsid w:val="17E46A32"/>
    <w:rsid w:val="17E757B5"/>
    <w:rsid w:val="17EA65A4"/>
    <w:rsid w:val="17EE22B8"/>
    <w:rsid w:val="17FD5C86"/>
    <w:rsid w:val="180247C3"/>
    <w:rsid w:val="182932F0"/>
    <w:rsid w:val="182B791A"/>
    <w:rsid w:val="18343FFF"/>
    <w:rsid w:val="183744C0"/>
    <w:rsid w:val="184B0F97"/>
    <w:rsid w:val="1876171F"/>
    <w:rsid w:val="187A1186"/>
    <w:rsid w:val="188744BB"/>
    <w:rsid w:val="188C387F"/>
    <w:rsid w:val="18975489"/>
    <w:rsid w:val="18A70D35"/>
    <w:rsid w:val="18AD19F9"/>
    <w:rsid w:val="18B53599"/>
    <w:rsid w:val="18BE1C4A"/>
    <w:rsid w:val="18C272A1"/>
    <w:rsid w:val="18E90CD1"/>
    <w:rsid w:val="18E91F2A"/>
    <w:rsid w:val="18F2149D"/>
    <w:rsid w:val="18FE07FD"/>
    <w:rsid w:val="1904793D"/>
    <w:rsid w:val="190F4E12"/>
    <w:rsid w:val="191F65A2"/>
    <w:rsid w:val="19227A34"/>
    <w:rsid w:val="19230F50"/>
    <w:rsid w:val="19297320"/>
    <w:rsid w:val="19304014"/>
    <w:rsid w:val="19375EE1"/>
    <w:rsid w:val="193C7053"/>
    <w:rsid w:val="194221BD"/>
    <w:rsid w:val="19526877"/>
    <w:rsid w:val="19540841"/>
    <w:rsid w:val="195B397D"/>
    <w:rsid w:val="195C76F5"/>
    <w:rsid w:val="19603515"/>
    <w:rsid w:val="196A4749"/>
    <w:rsid w:val="196D1903"/>
    <w:rsid w:val="19706CFD"/>
    <w:rsid w:val="1977008B"/>
    <w:rsid w:val="198253AE"/>
    <w:rsid w:val="199D0935"/>
    <w:rsid w:val="199D3F96"/>
    <w:rsid w:val="19B347F6"/>
    <w:rsid w:val="19B77F9F"/>
    <w:rsid w:val="19D071CC"/>
    <w:rsid w:val="19D85199"/>
    <w:rsid w:val="19DF187E"/>
    <w:rsid w:val="19E75211"/>
    <w:rsid w:val="19EF40C6"/>
    <w:rsid w:val="1A02204B"/>
    <w:rsid w:val="1A2B1DC2"/>
    <w:rsid w:val="1A381F10"/>
    <w:rsid w:val="1A3A7D14"/>
    <w:rsid w:val="1A3D7527"/>
    <w:rsid w:val="1A4C30F8"/>
    <w:rsid w:val="1A5E5688"/>
    <w:rsid w:val="1A69031C"/>
    <w:rsid w:val="1A705206"/>
    <w:rsid w:val="1A7E7A87"/>
    <w:rsid w:val="1A827FFE"/>
    <w:rsid w:val="1A892C6A"/>
    <w:rsid w:val="1A8C7994"/>
    <w:rsid w:val="1A8F413B"/>
    <w:rsid w:val="1A976C37"/>
    <w:rsid w:val="1A9A3794"/>
    <w:rsid w:val="1AB6217A"/>
    <w:rsid w:val="1ACA0F29"/>
    <w:rsid w:val="1AE17EB2"/>
    <w:rsid w:val="1AE259D8"/>
    <w:rsid w:val="1AEE25CF"/>
    <w:rsid w:val="1AEF58C2"/>
    <w:rsid w:val="1B0F3D40"/>
    <w:rsid w:val="1B171B26"/>
    <w:rsid w:val="1B1C6848"/>
    <w:rsid w:val="1B216501"/>
    <w:rsid w:val="1B2D23AB"/>
    <w:rsid w:val="1B3A3A66"/>
    <w:rsid w:val="1B430B6D"/>
    <w:rsid w:val="1B434E49"/>
    <w:rsid w:val="1B466A2A"/>
    <w:rsid w:val="1B5C1C2F"/>
    <w:rsid w:val="1B682381"/>
    <w:rsid w:val="1B754A9E"/>
    <w:rsid w:val="1B7927E1"/>
    <w:rsid w:val="1B813443"/>
    <w:rsid w:val="1B8265A5"/>
    <w:rsid w:val="1B852F33"/>
    <w:rsid w:val="1B8913EB"/>
    <w:rsid w:val="1BAA299A"/>
    <w:rsid w:val="1BCE681B"/>
    <w:rsid w:val="1BD347AA"/>
    <w:rsid w:val="1BD619E1"/>
    <w:rsid w:val="1BDA0C95"/>
    <w:rsid w:val="1BE258E0"/>
    <w:rsid w:val="1BE340FE"/>
    <w:rsid w:val="1BF43FD9"/>
    <w:rsid w:val="1C055E22"/>
    <w:rsid w:val="1C12322B"/>
    <w:rsid w:val="1C124AEB"/>
    <w:rsid w:val="1C1450E3"/>
    <w:rsid w:val="1C2965BA"/>
    <w:rsid w:val="1C2C4884"/>
    <w:rsid w:val="1C2E35CB"/>
    <w:rsid w:val="1C2E4DFD"/>
    <w:rsid w:val="1C342BD7"/>
    <w:rsid w:val="1C480375"/>
    <w:rsid w:val="1C4F709D"/>
    <w:rsid w:val="1C60574F"/>
    <w:rsid w:val="1C62492D"/>
    <w:rsid w:val="1C6C6C7A"/>
    <w:rsid w:val="1C6E7571"/>
    <w:rsid w:val="1C784846"/>
    <w:rsid w:val="1C83589C"/>
    <w:rsid w:val="1C8431EB"/>
    <w:rsid w:val="1C8C6544"/>
    <w:rsid w:val="1CB91563"/>
    <w:rsid w:val="1CCB1C2E"/>
    <w:rsid w:val="1CCE3EB2"/>
    <w:rsid w:val="1CD001DE"/>
    <w:rsid w:val="1CDB1FF0"/>
    <w:rsid w:val="1CE97DD2"/>
    <w:rsid w:val="1CF77E61"/>
    <w:rsid w:val="1CFD4D4B"/>
    <w:rsid w:val="1D047631"/>
    <w:rsid w:val="1D0E751C"/>
    <w:rsid w:val="1D120D0E"/>
    <w:rsid w:val="1D187D1E"/>
    <w:rsid w:val="1D1E5006"/>
    <w:rsid w:val="1D281406"/>
    <w:rsid w:val="1D2F75FB"/>
    <w:rsid w:val="1D676DE3"/>
    <w:rsid w:val="1D725739"/>
    <w:rsid w:val="1D74500E"/>
    <w:rsid w:val="1D7B2840"/>
    <w:rsid w:val="1DAA5AEB"/>
    <w:rsid w:val="1DAB6F5C"/>
    <w:rsid w:val="1DAC4008"/>
    <w:rsid w:val="1DAD0520"/>
    <w:rsid w:val="1DC3043A"/>
    <w:rsid w:val="1DDE692B"/>
    <w:rsid w:val="1DE066DE"/>
    <w:rsid w:val="1DE52654"/>
    <w:rsid w:val="1DF95513"/>
    <w:rsid w:val="1E157496"/>
    <w:rsid w:val="1E2A1B70"/>
    <w:rsid w:val="1E3A5066"/>
    <w:rsid w:val="1E3F7864"/>
    <w:rsid w:val="1E4C7D38"/>
    <w:rsid w:val="1E51415D"/>
    <w:rsid w:val="1E65046E"/>
    <w:rsid w:val="1E6E4862"/>
    <w:rsid w:val="1E8474D2"/>
    <w:rsid w:val="1E8C2BD6"/>
    <w:rsid w:val="1E960FB4"/>
    <w:rsid w:val="1E9F430C"/>
    <w:rsid w:val="1EA638ED"/>
    <w:rsid w:val="1EB32B16"/>
    <w:rsid w:val="1EB37DB8"/>
    <w:rsid w:val="1EB547B3"/>
    <w:rsid w:val="1EB853CE"/>
    <w:rsid w:val="1EBA2EF4"/>
    <w:rsid w:val="1ECD1BD7"/>
    <w:rsid w:val="1ECE2E43"/>
    <w:rsid w:val="1EDE362D"/>
    <w:rsid w:val="1EDE3910"/>
    <w:rsid w:val="1EE118D6"/>
    <w:rsid w:val="1EE77A61"/>
    <w:rsid w:val="1EE91A2B"/>
    <w:rsid w:val="1EF36406"/>
    <w:rsid w:val="1EF53F2C"/>
    <w:rsid w:val="1F070103"/>
    <w:rsid w:val="1F1D16D5"/>
    <w:rsid w:val="1F243E64"/>
    <w:rsid w:val="1F390DB9"/>
    <w:rsid w:val="1F3A7674"/>
    <w:rsid w:val="1F82718D"/>
    <w:rsid w:val="1F841754"/>
    <w:rsid w:val="1F8F25D3"/>
    <w:rsid w:val="1F953961"/>
    <w:rsid w:val="1F9C7AC0"/>
    <w:rsid w:val="1FBB2005"/>
    <w:rsid w:val="1FDE0E64"/>
    <w:rsid w:val="1FEA3F52"/>
    <w:rsid w:val="200417AB"/>
    <w:rsid w:val="20041933"/>
    <w:rsid w:val="201C6984"/>
    <w:rsid w:val="202C46B2"/>
    <w:rsid w:val="20490FBC"/>
    <w:rsid w:val="204F4450"/>
    <w:rsid w:val="208179AB"/>
    <w:rsid w:val="209634ED"/>
    <w:rsid w:val="20A01D1D"/>
    <w:rsid w:val="20AB4C76"/>
    <w:rsid w:val="20B147CB"/>
    <w:rsid w:val="20EC75B1"/>
    <w:rsid w:val="20F63F8C"/>
    <w:rsid w:val="21285A05"/>
    <w:rsid w:val="21371955"/>
    <w:rsid w:val="21440FAC"/>
    <w:rsid w:val="21486EDD"/>
    <w:rsid w:val="216534CC"/>
    <w:rsid w:val="216F7B6E"/>
    <w:rsid w:val="217F21D3"/>
    <w:rsid w:val="21864FA7"/>
    <w:rsid w:val="219016C0"/>
    <w:rsid w:val="21932BE4"/>
    <w:rsid w:val="219B4C15"/>
    <w:rsid w:val="21B955C6"/>
    <w:rsid w:val="21CF24C2"/>
    <w:rsid w:val="21D17CB7"/>
    <w:rsid w:val="21D94230"/>
    <w:rsid w:val="21DF0EC4"/>
    <w:rsid w:val="21E07116"/>
    <w:rsid w:val="21E704CA"/>
    <w:rsid w:val="22146DBF"/>
    <w:rsid w:val="221E379A"/>
    <w:rsid w:val="222C10C5"/>
    <w:rsid w:val="224105FB"/>
    <w:rsid w:val="2243400C"/>
    <w:rsid w:val="225B679C"/>
    <w:rsid w:val="22792042"/>
    <w:rsid w:val="22836B71"/>
    <w:rsid w:val="2294503F"/>
    <w:rsid w:val="229C034F"/>
    <w:rsid w:val="22A76527"/>
    <w:rsid w:val="22B10AB2"/>
    <w:rsid w:val="22B3545D"/>
    <w:rsid w:val="22BB3E3B"/>
    <w:rsid w:val="22C2681B"/>
    <w:rsid w:val="22DC2DB3"/>
    <w:rsid w:val="22FE2E0C"/>
    <w:rsid w:val="23006217"/>
    <w:rsid w:val="232D1C8D"/>
    <w:rsid w:val="23356FED"/>
    <w:rsid w:val="233B037C"/>
    <w:rsid w:val="234E3856"/>
    <w:rsid w:val="23517B9F"/>
    <w:rsid w:val="23563407"/>
    <w:rsid w:val="23671921"/>
    <w:rsid w:val="23810484"/>
    <w:rsid w:val="23841BD9"/>
    <w:rsid w:val="238C0BD7"/>
    <w:rsid w:val="239A7798"/>
    <w:rsid w:val="239F04F3"/>
    <w:rsid w:val="23A010F0"/>
    <w:rsid w:val="23A67EEB"/>
    <w:rsid w:val="23B1063E"/>
    <w:rsid w:val="23B95E70"/>
    <w:rsid w:val="23C0016F"/>
    <w:rsid w:val="23C12F77"/>
    <w:rsid w:val="23CE47E7"/>
    <w:rsid w:val="23DE6AC8"/>
    <w:rsid w:val="23F61D9C"/>
    <w:rsid w:val="23F724F4"/>
    <w:rsid w:val="23F738D7"/>
    <w:rsid w:val="23FC5D5D"/>
    <w:rsid w:val="241906BD"/>
    <w:rsid w:val="2423153B"/>
    <w:rsid w:val="24264886"/>
    <w:rsid w:val="24280900"/>
    <w:rsid w:val="24286B52"/>
    <w:rsid w:val="243279D1"/>
    <w:rsid w:val="243E6375"/>
    <w:rsid w:val="2446410F"/>
    <w:rsid w:val="24737CB9"/>
    <w:rsid w:val="248B037D"/>
    <w:rsid w:val="248F40F9"/>
    <w:rsid w:val="24961D0D"/>
    <w:rsid w:val="24963554"/>
    <w:rsid w:val="249656F3"/>
    <w:rsid w:val="24A80610"/>
    <w:rsid w:val="24AD135D"/>
    <w:rsid w:val="24B4047D"/>
    <w:rsid w:val="24C12374"/>
    <w:rsid w:val="24D97E4C"/>
    <w:rsid w:val="24F627AC"/>
    <w:rsid w:val="25010A26"/>
    <w:rsid w:val="25034EC9"/>
    <w:rsid w:val="25190D81"/>
    <w:rsid w:val="252217F3"/>
    <w:rsid w:val="252C1A2E"/>
    <w:rsid w:val="25315EDA"/>
    <w:rsid w:val="253C026C"/>
    <w:rsid w:val="253D7410"/>
    <w:rsid w:val="256C6F12"/>
    <w:rsid w:val="25865660"/>
    <w:rsid w:val="25886BE3"/>
    <w:rsid w:val="258C1362"/>
    <w:rsid w:val="25956469"/>
    <w:rsid w:val="25A16BBC"/>
    <w:rsid w:val="25B07A26"/>
    <w:rsid w:val="25B214B7"/>
    <w:rsid w:val="25B508B9"/>
    <w:rsid w:val="25C16051"/>
    <w:rsid w:val="25C205B6"/>
    <w:rsid w:val="25CE197B"/>
    <w:rsid w:val="25E46AA9"/>
    <w:rsid w:val="25ED2172"/>
    <w:rsid w:val="25ED5825"/>
    <w:rsid w:val="25FD7B6A"/>
    <w:rsid w:val="25FF65CF"/>
    <w:rsid w:val="26034647"/>
    <w:rsid w:val="261E5379"/>
    <w:rsid w:val="262275D1"/>
    <w:rsid w:val="265359DC"/>
    <w:rsid w:val="26865DB2"/>
    <w:rsid w:val="268B33C8"/>
    <w:rsid w:val="26A928BC"/>
    <w:rsid w:val="26A96E8E"/>
    <w:rsid w:val="26C67CB0"/>
    <w:rsid w:val="26D63D39"/>
    <w:rsid w:val="26D7489C"/>
    <w:rsid w:val="26D7660D"/>
    <w:rsid w:val="26DD1E76"/>
    <w:rsid w:val="26EA27E4"/>
    <w:rsid w:val="26EA4592"/>
    <w:rsid w:val="26FD46E9"/>
    <w:rsid w:val="27012EBF"/>
    <w:rsid w:val="27041955"/>
    <w:rsid w:val="27096950"/>
    <w:rsid w:val="270D202F"/>
    <w:rsid w:val="270E6D97"/>
    <w:rsid w:val="27105E71"/>
    <w:rsid w:val="271C092F"/>
    <w:rsid w:val="272730F1"/>
    <w:rsid w:val="27277595"/>
    <w:rsid w:val="27321A96"/>
    <w:rsid w:val="273870AC"/>
    <w:rsid w:val="274B54E9"/>
    <w:rsid w:val="27512250"/>
    <w:rsid w:val="275E7BEE"/>
    <w:rsid w:val="2768006F"/>
    <w:rsid w:val="2776664F"/>
    <w:rsid w:val="277D1DB1"/>
    <w:rsid w:val="27984878"/>
    <w:rsid w:val="279E23E0"/>
    <w:rsid w:val="27AA4769"/>
    <w:rsid w:val="27B23302"/>
    <w:rsid w:val="27B32BD6"/>
    <w:rsid w:val="27BF77CD"/>
    <w:rsid w:val="27CC1EEA"/>
    <w:rsid w:val="27ED64B9"/>
    <w:rsid w:val="27F31232"/>
    <w:rsid w:val="280653FC"/>
    <w:rsid w:val="282817BD"/>
    <w:rsid w:val="282835C4"/>
    <w:rsid w:val="282B7E08"/>
    <w:rsid w:val="284D4DD9"/>
    <w:rsid w:val="285E50E5"/>
    <w:rsid w:val="287A5D4B"/>
    <w:rsid w:val="2891170D"/>
    <w:rsid w:val="28A075FF"/>
    <w:rsid w:val="28AA6DA0"/>
    <w:rsid w:val="28B910ED"/>
    <w:rsid w:val="28CB5BE0"/>
    <w:rsid w:val="28EA0C9D"/>
    <w:rsid w:val="28F03F58"/>
    <w:rsid w:val="28FF2BF1"/>
    <w:rsid w:val="29115E06"/>
    <w:rsid w:val="29135029"/>
    <w:rsid w:val="291746DE"/>
    <w:rsid w:val="291E64FD"/>
    <w:rsid w:val="29296364"/>
    <w:rsid w:val="292A336C"/>
    <w:rsid w:val="29567CBD"/>
    <w:rsid w:val="295D58CD"/>
    <w:rsid w:val="29622B06"/>
    <w:rsid w:val="296323DA"/>
    <w:rsid w:val="29662022"/>
    <w:rsid w:val="29677EAC"/>
    <w:rsid w:val="296E1BA6"/>
    <w:rsid w:val="2972448D"/>
    <w:rsid w:val="2973086F"/>
    <w:rsid w:val="29763EBB"/>
    <w:rsid w:val="29777B12"/>
    <w:rsid w:val="29883BEF"/>
    <w:rsid w:val="29A42A73"/>
    <w:rsid w:val="29A62ABE"/>
    <w:rsid w:val="29B41ABF"/>
    <w:rsid w:val="29CA2C4E"/>
    <w:rsid w:val="2A021BF3"/>
    <w:rsid w:val="2A1B7E77"/>
    <w:rsid w:val="2A21651D"/>
    <w:rsid w:val="2A224043"/>
    <w:rsid w:val="2A264090"/>
    <w:rsid w:val="2A4027BC"/>
    <w:rsid w:val="2A5E59F7"/>
    <w:rsid w:val="2A6E697C"/>
    <w:rsid w:val="2A73208C"/>
    <w:rsid w:val="2A7725E1"/>
    <w:rsid w:val="2A84085A"/>
    <w:rsid w:val="2A8D5961"/>
    <w:rsid w:val="2AAF56F4"/>
    <w:rsid w:val="2AB0092A"/>
    <w:rsid w:val="2AD06D94"/>
    <w:rsid w:val="2AD74E2E"/>
    <w:rsid w:val="2AE02C51"/>
    <w:rsid w:val="2AE5126F"/>
    <w:rsid w:val="2AE64466"/>
    <w:rsid w:val="2B0E16D2"/>
    <w:rsid w:val="2B125E66"/>
    <w:rsid w:val="2B1E480B"/>
    <w:rsid w:val="2B277B63"/>
    <w:rsid w:val="2B2D0EF2"/>
    <w:rsid w:val="2B2F07C6"/>
    <w:rsid w:val="2B38542D"/>
    <w:rsid w:val="2B43781E"/>
    <w:rsid w:val="2B6C52CA"/>
    <w:rsid w:val="2B75215F"/>
    <w:rsid w:val="2B7663F5"/>
    <w:rsid w:val="2B782CC2"/>
    <w:rsid w:val="2B990335"/>
    <w:rsid w:val="2BA4331E"/>
    <w:rsid w:val="2BA72EB6"/>
    <w:rsid w:val="2BB331A5"/>
    <w:rsid w:val="2BB62C95"/>
    <w:rsid w:val="2BBA79DF"/>
    <w:rsid w:val="2BBD5701"/>
    <w:rsid w:val="2BBF5FEE"/>
    <w:rsid w:val="2BC2163A"/>
    <w:rsid w:val="2BC773D1"/>
    <w:rsid w:val="2BFD2DC5"/>
    <w:rsid w:val="2C19523E"/>
    <w:rsid w:val="2C550700"/>
    <w:rsid w:val="2C5C01D0"/>
    <w:rsid w:val="2C701096"/>
    <w:rsid w:val="2C7072E8"/>
    <w:rsid w:val="2C77792C"/>
    <w:rsid w:val="2C7F3BA9"/>
    <w:rsid w:val="2C844B41"/>
    <w:rsid w:val="2C99686D"/>
    <w:rsid w:val="2CA85A95"/>
    <w:rsid w:val="2CA945A8"/>
    <w:rsid w:val="2CB91342"/>
    <w:rsid w:val="2CE455E0"/>
    <w:rsid w:val="2CE81574"/>
    <w:rsid w:val="2CF30EC0"/>
    <w:rsid w:val="2CFA5C0F"/>
    <w:rsid w:val="2D016192"/>
    <w:rsid w:val="2D154990"/>
    <w:rsid w:val="2D202ABC"/>
    <w:rsid w:val="2D2D342B"/>
    <w:rsid w:val="2D371BB4"/>
    <w:rsid w:val="2D3A16A4"/>
    <w:rsid w:val="2D3F3BA4"/>
    <w:rsid w:val="2D460049"/>
    <w:rsid w:val="2D521FE4"/>
    <w:rsid w:val="2D5664DE"/>
    <w:rsid w:val="2D7D7F0E"/>
    <w:rsid w:val="2D83129D"/>
    <w:rsid w:val="2D886C00"/>
    <w:rsid w:val="2D8A3D5B"/>
    <w:rsid w:val="2D962D7E"/>
    <w:rsid w:val="2D9B0395"/>
    <w:rsid w:val="2DA57B8D"/>
    <w:rsid w:val="2DAF5059"/>
    <w:rsid w:val="2DBF2B4A"/>
    <w:rsid w:val="2DC72F38"/>
    <w:rsid w:val="2DCA6ECC"/>
    <w:rsid w:val="2E0917A2"/>
    <w:rsid w:val="2E1710A5"/>
    <w:rsid w:val="2E1F2D74"/>
    <w:rsid w:val="2E33681F"/>
    <w:rsid w:val="2E374561"/>
    <w:rsid w:val="2E397741"/>
    <w:rsid w:val="2E3D2F06"/>
    <w:rsid w:val="2E41718E"/>
    <w:rsid w:val="2E53220A"/>
    <w:rsid w:val="2E5C5D76"/>
    <w:rsid w:val="2E621503"/>
    <w:rsid w:val="2E695DB6"/>
    <w:rsid w:val="2E6E3CFB"/>
    <w:rsid w:val="2E72456E"/>
    <w:rsid w:val="2E755089"/>
    <w:rsid w:val="2E786928"/>
    <w:rsid w:val="2E80159B"/>
    <w:rsid w:val="2E8250B1"/>
    <w:rsid w:val="2EAE40F8"/>
    <w:rsid w:val="2EB43687"/>
    <w:rsid w:val="2EBA6F40"/>
    <w:rsid w:val="2EBF4557"/>
    <w:rsid w:val="2ECC1D1F"/>
    <w:rsid w:val="2ECF17F6"/>
    <w:rsid w:val="2ED81174"/>
    <w:rsid w:val="2ED95C04"/>
    <w:rsid w:val="2F01457E"/>
    <w:rsid w:val="2F01691D"/>
    <w:rsid w:val="2F0244B3"/>
    <w:rsid w:val="2F0F1490"/>
    <w:rsid w:val="2F2627FA"/>
    <w:rsid w:val="2F436F36"/>
    <w:rsid w:val="2F462582"/>
    <w:rsid w:val="2F8209AE"/>
    <w:rsid w:val="2F904AFB"/>
    <w:rsid w:val="2F9C0964"/>
    <w:rsid w:val="2F9E043D"/>
    <w:rsid w:val="2FB27C17"/>
    <w:rsid w:val="2FB85027"/>
    <w:rsid w:val="2FB86D15"/>
    <w:rsid w:val="2FC11C09"/>
    <w:rsid w:val="2FCA31B3"/>
    <w:rsid w:val="2FE52EA6"/>
    <w:rsid w:val="2FEB0BD7"/>
    <w:rsid w:val="2FEC4ED7"/>
    <w:rsid w:val="2FF03353"/>
    <w:rsid w:val="30201025"/>
    <w:rsid w:val="30263F63"/>
    <w:rsid w:val="30313B07"/>
    <w:rsid w:val="30494055"/>
    <w:rsid w:val="30645C10"/>
    <w:rsid w:val="30702C3E"/>
    <w:rsid w:val="308D1AEC"/>
    <w:rsid w:val="308E1D3F"/>
    <w:rsid w:val="308E41E1"/>
    <w:rsid w:val="309C4B4F"/>
    <w:rsid w:val="309F63EE"/>
    <w:rsid w:val="30B04157"/>
    <w:rsid w:val="30B40550"/>
    <w:rsid w:val="30DA7865"/>
    <w:rsid w:val="30DD2C99"/>
    <w:rsid w:val="30E166B5"/>
    <w:rsid w:val="30E4479C"/>
    <w:rsid w:val="30ED7376"/>
    <w:rsid w:val="30FF0C3A"/>
    <w:rsid w:val="311724AB"/>
    <w:rsid w:val="311F214E"/>
    <w:rsid w:val="31216F79"/>
    <w:rsid w:val="313F54DB"/>
    <w:rsid w:val="31491327"/>
    <w:rsid w:val="3152478A"/>
    <w:rsid w:val="31532D34"/>
    <w:rsid w:val="31864EB8"/>
    <w:rsid w:val="319513A0"/>
    <w:rsid w:val="31AB45BC"/>
    <w:rsid w:val="31BA18BC"/>
    <w:rsid w:val="31CC3BDF"/>
    <w:rsid w:val="31DC0F7C"/>
    <w:rsid w:val="31E56E8B"/>
    <w:rsid w:val="31F42E08"/>
    <w:rsid w:val="31FC33CC"/>
    <w:rsid w:val="31FE0EF2"/>
    <w:rsid w:val="31FE2D9B"/>
    <w:rsid w:val="3200110E"/>
    <w:rsid w:val="32024E86"/>
    <w:rsid w:val="32193F7E"/>
    <w:rsid w:val="32284277"/>
    <w:rsid w:val="32317519"/>
    <w:rsid w:val="3233692D"/>
    <w:rsid w:val="323F0ED4"/>
    <w:rsid w:val="32516607"/>
    <w:rsid w:val="325B2F08"/>
    <w:rsid w:val="3267118D"/>
    <w:rsid w:val="32756EAC"/>
    <w:rsid w:val="329267C1"/>
    <w:rsid w:val="32934090"/>
    <w:rsid w:val="329B0E37"/>
    <w:rsid w:val="329C2479"/>
    <w:rsid w:val="32AF622C"/>
    <w:rsid w:val="32B06690"/>
    <w:rsid w:val="32B62DBE"/>
    <w:rsid w:val="32EB7DAF"/>
    <w:rsid w:val="32F16EDE"/>
    <w:rsid w:val="32FC7B27"/>
    <w:rsid w:val="33030EB6"/>
    <w:rsid w:val="331D35FA"/>
    <w:rsid w:val="332130EA"/>
    <w:rsid w:val="332812F8"/>
    <w:rsid w:val="33323549"/>
    <w:rsid w:val="33576B0C"/>
    <w:rsid w:val="3368435D"/>
    <w:rsid w:val="33807805"/>
    <w:rsid w:val="339414D9"/>
    <w:rsid w:val="339E1C11"/>
    <w:rsid w:val="339E3C85"/>
    <w:rsid w:val="33A45AC9"/>
    <w:rsid w:val="33A87367"/>
    <w:rsid w:val="33B813EE"/>
    <w:rsid w:val="33D50207"/>
    <w:rsid w:val="33D765B5"/>
    <w:rsid w:val="33E365F1"/>
    <w:rsid w:val="33EB3C29"/>
    <w:rsid w:val="33EC7DBB"/>
    <w:rsid w:val="33F702EF"/>
    <w:rsid w:val="33FD0799"/>
    <w:rsid w:val="34007F6D"/>
    <w:rsid w:val="34062ABA"/>
    <w:rsid w:val="340746AC"/>
    <w:rsid w:val="341E39AA"/>
    <w:rsid w:val="341E7629"/>
    <w:rsid w:val="34241386"/>
    <w:rsid w:val="342B30BF"/>
    <w:rsid w:val="343155AF"/>
    <w:rsid w:val="343B04AE"/>
    <w:rsid w:val="34425A0E"/>
    <w:rsid w:val="34433534"/>
    <w:rsid w:val="34577FF5"/>
    <w:rsid w:val="345C0BF7"/>
    <w:rsid w:val="345C4C50"/>
    <w:rsid w:val="34655258"/>
    <w:rsid w:val="3470421E"/>
    <w:rsid w:val="34763909"/>
    <w:rsid w:val="347831DE"/>
    <w:rsid w:val="34784F8C"/>
    <w:rsid w:val="347A51A8"/>
    <w:rsid w:val="348F6779"/>
    <w:rsid w:val="34993154"/>
    <w:rsid w:val="349A66C0"/>
    <w:rsid w:val="34AC65B3"/>
    <w:rsid w:val="34AC732B"/>
    <w:rsid w:val="34BC6025"/>
    <w:rsid w:val="34C8321F"/>
    <w:rsid w:val="34CB66B6"/>
    <w:rsid w:val="34CE11CA"/>
    <w:rsid w:val="34E55D94"/>
    <w:rsid w:val="34F333CE"/>
    <w:rsid w:val="34F85D6A"/>
    <w:rsid w:val="350726D6"/>
    <w:rsid w:val="350727B3"/>
    <w:rsid w:val="35245113"/>
    <w:rsid w:val="35305866"/>
    <w:rsid w:val="353448B6"/>
    <w:rsid w:val="353F287E"/>
    <w:rsid w:val="35485BFC"/>
    <w:rsid w:val="35624C0F"/>
    <w:rsid w:val="3589141A"/>
    <w:rsid w:val="358F2980"/>
    <w:rsid w:val="35A85D44"/>
    <w:rsid w:val="35A9672A"/>
    <w:rsid w:val="35B778E1"/>
    <w:rsid w:val="35B960E0"/>
    <w:rsid w:val="35BE7497"/>
    <w:rsid w:val="35CC3135"/>
    <w:rsid w:val="35DA1C76"/>
    <w:rsid w:val="35DE3514"/>
    <w:rsid w:val="35EC7188"/>
    <w:rsid w:val="35F42522"/>
    <w:rsid w:val="35F42D38"/>
    <w:rsid w:val="35FB40C6"/>
    <w:rsid w:val="3608233F"/>
    <w:rsid w:val="36097CCC"/>
    <w:rsid w:val="3633380E"/>
    <w:rsid w:val="36364358"/>
    <w:rsid w:val="36511F38"/>
    <w:rsid w:val="36546526"/>
    <w:rsid w:val="365550E2"/>
    <w:rsid w:val="36575075"/>
    <w:rsid w:val="365E7EE1"/>
    <w:rsid w:val="365F6999"/>
    <w:rsid w:val="36616A90"/>
    <w:rsid w:val="366413ED"/>
    <w:rsid w:val="3679148F"/>
    <w:rsid w:val="367C4ADB"/>
    <w:rsid w:val="36883480"/>
    <w:rsid w:val="36980C13"/>
    <w:rsid w:val="36B14785"/>
    <w:rsid w:val="36BB3856"/>
    <w:rsid w:val="36E14E00"/>
    <w:rsid w:val="36EF52AD"/>
    <w:rsid w:val="36F5703C"/>
    <w:rsid w:val="36FC4E07"/>
    <w:rsid w:val="37054AD1"/>
    <w:rsid w:val="37160A8C"/>
    <w:rsid w:val="37170FFE"/>
    <w:rsid w:val="371C7A49"/>
    <w:rsid w:val="373C412D"/>
    <w:rsid w:val="373E256E"/>
    <w:rsid w:val="374B4BD9"/>
    <w:rsid w:val="375A306E"/>
    <w:rsid w:val="376637C1"/>
    <w:rsid w:val="376932B2"/>
    <w:rsid w:val="3784633D"/>
    <w:rsid w:val="37906A90"/>
    <w:rsid w:val="37920A5A"/>
    <w:rsid w:val="37923071"/>
    <w:rsid w:val="37AB38CA"/>
    <w:rsid w:val="37AE5168"/>
    <w:rsid w:val="37B3277F"/>
    <w:rsid w:val="37B87D95"/>
    <w:rsid w:val="37C02717"/>
    <w:rsid w:val="37C309D9"/>
    <w:rsid w:val="37D921E5"/>
    <w:rsid w:val="37DA5F5D"/>
    <w:rsid w:val="37DC3A83"/>
    <w:rsid w:val="37E011F8"/>
    <w:rsid w:val="37E27C1A"/>
    <w:rsid w:val="37EA59D4"/>
    <w:rsid w:val="37EC117D"/>
    <w:rsid w:val="37EF6DC8"/>
    <w:rsid w:val="380134EA"/>
    <w:rsid w:val="38094CF1"/>
    <w:rsid w:val="382830B0"/>
    <w:rsid w:val="383C2774"/>
    <w:rsid w:val="3845395B"/>
    <w:rsid w:val="384C6E5B"/>
    <w:rsid w:val="384F24A7"/>
    <w:rsid w:val="385176F1"/>
    <w:rsid w:val="38621FBC"/>
    <w:rsid w:val="3865335C"/>
    <w:rsid w:val="38691B28"/>
    <w:rsid w:val="386B4E07"/>
    <w:rsid w:val="388A1731"/>
    <w:rsid w:val="389425B0"/>
    <w:rsid w:val="389C1A37"/>
    <w:rsid w:val="38BD38B5"/>
    <w:rsid w:val="38CB6280"/>
    <w:rsid w:val="38D40BFF"/>
    <w:rsid w:val="38D96215"/>
    <w:rsid w:val="38E76B84"/>
    <w:rsid w:val="38EF2B10"/>
    <w:rsid w:val="390613FE"/>
    <w:rsid w:val="39070FD4"/>
    <w:rsid w:val="390D4393"/>
    <w:rsid w:val="390F050A"/>
    <w:rsid w:val="392003CC"/>
    <w:rsid w:val="392512E2"/>
    <w:rsid w:val="39386A66"/>
    <w:rsid w:val="39441387"/>
    <w:rsid w:val="39477622"/>
    <w:rsid w:val="3949409C"/>
    <w:rsid w:val="396A50BF"/>
    <w:rsid w:val="39704507"/>
    <w:rsid w:val="398268AC"/>
    <w:rsid w:val="39936F54"/>
    <w:rsid w:val="39B50A30"/>
    <w:rsid w:val="39C26CA9"/>
    <w:rsid w:val="39CE564E"/>
    <w:rsid w:val="39D864CC"/>
    <w:rsid w:val="39E44E71"/>
    <w:rsid w:val="39EF620D"/>
    <w:rsid w:val="39F23A32"/>
    <w:rsid w:val="39F5707E"/>
    <w:rsid w:val="3A056A4A"/>
    <w:rsid w:val="3A090F25"/>
    <w:rsid w:val="3A097F9A"/>
    <w:rsid w:val="3A1C460B"/>
    <w:rsid w:val="3A20601D"/>
    <w:rsid w:val="3A2B2AA0"/>
    <w:rsid w:val="3A4373AE"/>
    <w:rsid w:val="3A4D0973"/>
    <w:rsid w:val="3A523F1C"/>
    <w:rsid w:val="3A7C328C"/>
    <w:rsid w:val="3A946E8C"/>
    <w:rsid w:val="3A954F9A"/>
    <w:rsid w:val="3AA82343"/>
    <w:rsid w:val="3AB111F7"/>
    <w:rsid w:val="3AB55C26"/>
    <w:rsid w:val="3ACF167E"/>
    <w:rsid w:val="3AD0536F"/>
    <w:rsid w:val="3AD323E9"/>
    <w:rsid w:val="3AD43EBF"/>
    <w:rsid w:val="3AE325E1"/>
    <w:rsid w:val="3AEA2D04"/>
    <w:rsid w:val="3AF52CD2"/>
    <w:rsid w:val="3AF61300"/>
    <w:rsid w:val="3B0B173D"/>
    <w:rsid w:val="3B0C4E1B"/>
    <w:rsid w:val="3B201ED9"/>
    <w:rsid w:val="3B2C3DF2"/>
    <w:rsid w:val="3B352FF6"/>
    <w:rsid w:val="3B4445BF"/>
    <w:rsid w:val="3B4E75A1"/>
    <w:rsid w:val="3B5A3220"/>
    <w:rsid w:val="3B646596"/>
    <w:rsid w:val="3B8A472A"/>
    <w:rsid w:val="3B8D09A8"/>
    <w:rsid w:val="3B903503"/>
    <w:rsid w:val="3B911029"/>
    <w:rsid w:val="3B943D76"/>
    <w:rsid w:val="3B9F4191"/>
    <w:rsid w:val="3BAC0F6E"/>
    <w:rsid w:val="3BB755D2"/>
    <w:rsid w:val="3BC16DB3"/>
    <w:rsid w:val="3BC7787A"/>
    <w:rsid w:val="3BCB453B"/>
    <w:rsid w:val="3BE50B73"/>
    <w:rsid w:val="3BF64EA9"/>
    <w:rsid w:val="3BF770DE"/>
    <w:rsid w:val="3C070B8D"/>
    <w:rsid w:val="3C0B2B4A"/>
    <w:rsid w:val="3C1D2992"/>
    <w:rsid w:val="3C1F03E3"/>
    <w:rsid w:val="3C1F267C"/>
    <w:rsid w:val="3C293E83"/>
    <w:rsid w:val="3C2B322B"/>
    <w:rsid w:val="3C3C71E7"/>
    <w:rsid w:val="3C574020"/>
    <w:rsid w:val="3C7A1ABD"/>
    <w:rsid w:val="3C830CE7"/>
    <w:rsid w:val="3C8A61A4"/>
    <w:rsid w:val="3CA20B6B"/>
    <w:rsid w:val="3CA62DA2"/>
    <w:rsid w:val="3CB2486A"/>
    <w:rsid w:val="3CB672C1"/>
    <w:rsid w:val="3CBA041E"/>
    <w:rsid w:val="3CC4148B"/>
    <w:rsid w:val="3CD03E9B"/>
    <w:rsid w:val="3CDD2778"/>
    <w:rsid w:val="3CEA4510"/>
    <w:rsid w:val="3CEC6C0D"/>
    <w:rsid w:val="3CF74F4B"/>
    <w:rsid w:val="3CF80C64"/>
    <w:rsid w:val="3CF96CED"/>
    <w:rsid w:val="3CFE48DA"/>
    <w:rsid w:val="3D0A244D"/>
    <w:rsid w:val="3D0C4E0B"/>
    <w:rsid w:val="3D1C7B5A"/>
    <w:rsid w:val="3D1F3DEE"/>
    <w:rsid w:val="3D22018A"/>
    <w:rsid w:val="3D257C7B"/>
    <w:rsid w:val="3D2C725B"/>
    <w:rsid w:val="3D324146"/>
    <w:rsid w:val="3D3B749E"/>
    <w:rsid w:val="3D4715A7"/>
    <w:rsid w:val="3D4D5D93"/>
    <w:rsid w:val="3D51402B"/>
    <w:rsid w:val="3D5E2E2E"/>
    <w:rsid w:val="3D60183D"/>
    <w:rsid w:val="3D673DEF"/>
    <w:rsid w:val="3D6913B0"/>
    <w:rsid w:val="3D727210"/>
    <w:rsid w:val="3D7B3D3F"/>
    <w:rsid w:val="3D8250CD"/>
    <w:rsid w:val="3D8C4073"/>
    <w:rsid w:val="3D8E705B"/>
    <w:rsid w:val="3D9170BE"/>
    <w:rsid w:val="3DB72499"/>
    <w:rsid w:val="3DB8289D"/>
    <w:rsid w:val="3DBA3D0B"/>
    <w:rsid w:val="3DC90816"/>
    <w:rsid w:val="3DCA52CA"/>
    <w:rsid w:val="3DCE0312"/>
    <w:rsid w:val="3DD0386E"/>
    <w:rsid w:val="3DE3072F"/>
    <w:rsid w:val="3DED2C8D"/>
    <w:rsid w:val="3DF064DB"/>
    <w:rsid w:val="3DF24F78"/>
    <w:rsid w:val="3DFD109C"/>
    <w:rsid w:val="3E12768D"/>
    <w:rsid w:val="3E210C82"/>
    <w:rsid w:val="3E371A14"/>
    <w:rsid w:val="3E3D60E3"/>
    <w:rsid w:val="3E4F6D06"/>
    <w:rsid w:val="3E546A69"/>
    <w:rsid w:val="3E55686A"/>
    <w:rsid w:val="3E5C3666"/>
    <w:rsid w:val="3E5F361D"/>
    <w:rsid w:val="3E67244F"/>
    <w:rsid w:val="3E6D18D9"/>
    <w:rsid w:val="3E6D3687"/>
    <w:rsid w:val="3E7569E0"/>
    <w:rsid w:val="3E7F7A0E"/>
    <w:rsid w:val="3E826293"/>
    <w:rsid w:val="3E9230EE"/>
    <w:rsid w:val="3E942E80"/>
    <w:rsid w:val="3E9B5E9B"/>
    <w:rsid w:val="3E9F1815"/>
    <w:rsid w:val="3EA11583"/>
    <w:rsid w:val="3EB94B24"/>
    <w:rsid w:val="3ECC2AA4"/>
    <w:rsid w:val="3ED40779"/>
    <w:rsid w:val="3ED420B9"/>
    <w:rsid w:val="3EDA6843"/>
    <w:rsid w:val="3EF400E7"/>
    <w:rsid w:val="3EFA2362"/>
    <w:rsid w:val="3EFA48AF"/>
    <w:rsid w:val="3EFC29D4"/>
    <w:rsid w:val="3F0619C1"/>
    <w:rsid w:val="3F0B211E"/>
    <w:rsid w:val="3F1C3FB7"/>
    <w:rsid w:val="3F21410E"/>
    <w:rsid w:val="3F3B19D7"/>
    <w:rsid w:val="3F3D2C02"/>
    <w:rsid w:val="3F4563B2"/>
    <w:rsid w:val="3F7253E7"/>
    <w:rsid w:val="3F7C7255"/>
    <w:rsid w:val="3F8247ED"/>
    <w:rsid w:val="3F8E13A9"/>
    <w:rsid w:val="3F93536F"/>
    <w:rsid w:val="3FA02BC6"/>
    <w:rsid w:val="3FA1306F"/>
    <w:rsid w:val="3FA656C4"/>
    <w:rsid w:val="3FB13A48"/>
    <w:rsid w:val="3FC02349"/>
    <w:rsid w:val="3FC77876"/>
    <w:rsid w:val="3FD339BE"/>
    <w:rsid w:val="3FEA0D08"/>
    <w:rsid w:val="3FEC0F24"/>
    <w:rsid w:val="3FFF76D2"/>
    <w:rsid w:val="40041DC9"/>
    <w:rsid w:val="400C0A52"/>
    <w:rsid w:val="40112588"/>
    <w:rsid w:val="40133C95"/>
    <w:rsid w:val="40210BCD"/>
    <w:rsid w:val="40220EF1"/>
    <w:rsid w:val="40226A7B"/>
    <w:rsid w:val="4025625C"/>
    <w:rsid w:val="403446F2"/>
    <w:rsid w:val="405F16F6"/>
    <w:rsid w:val="406E1939"/>
    <w:rsid w:val="407A652F"/>
    <w:rsid w:val="40842613"/>
    <w:rsid w:val="409273D5"/>
    <w:rsid w:val="40987ACF"/>
    <w:rsid w:val="40A50367"/>
    <w:rsid w:val="40B12ADB"/>
    <w:rsid w:val="40C258A9"/>
    <w:rsid w:val="40D53E95"/>
    <w:rsid w:val="40ED2269"/>
    <w:rsid w:val="40F462E2"/>
    <w:rsid w:val="40F91A2C"/>
    <w:rsid w:val="4111695C"/>
    <w:rsid w:val="4128018D"/>
    <w:rsid w:val="412C5F91"/>
    <w:rsid w:val="412E12DF"/>
    <w:rsid w:val="412E1B74"/>
    <w:rsid w:val="412F3401"/>
    <w:rsid w:val="413A1AE8"/>
    <w:rsid w:val="41403D2A"/>
    <w:rsid w:val="41436921"/>
    <w:rsid w:val="417E7959"/>
    <w:rsid w:val="41847666"/>
    <w:rsid w:val="41853732"/>
    <w:rsid w:val="419158DF"/>
    <w:rsid w:val="41A2189A"/>
    <w:rsid w:val="41A5318D"/>
    <w:rsid w:val="41AB16C2"/>
    <w:rsid w:val="41B31CF9"/>
    <w:rsid w:val="41BE41FA"/>
    <w:rsid w:val="41BF3DDD"/>
    <w:rsid w:val="41C2147E"/>
    <w:rsid w:val="41CE6B33"/>
    <w:rsid w:val="41D0160D"/>
    <w:rsid w:val="41E33C60"/>
    <w:rsid w:val="41F379CF"/>
    <w:rsid w:val="4223547E"/>
    <w:rsid w:val="42333CEE"/>
    <w:rsid w:val="42366486"/>
    <w:rsid w:val="42467CB9"/>
    <w:rsid w:val="424B3CDF"/>
    <w:rsid w:val="425012F6"/>
    <w:rsid w:val="42551D91"/>
    <w:rsid w:val="42613503"/>
    <w:rsid w:val="426F60F8"/>
    <w:rsid w:val="427C4B65"/>
    <w:rsid w:val="42860B55"/>
    <w:rsid w:val="42A6360C"/>
    <w:rsid w:val="42AD12C9"/>
    <w:rsid w:val="42BE051E"/>
    <w:rsid w:val="42C41CE4"/>
    <w:rsid w:val="42C817D4"/>
    <w:rsid w:val="42DB107E"/>
    <w:rsid w:val="42DB6C41"/>
    <w:rsid w:val="42DE523E"/>
    <w:rsid w:val="42F223AD"/>
    <w:rsid w:val="430D7573"/>
    <w:rsid w:val="431448C1"/>
    <w:rsid w:val="43184F08"/>
    <w:rsid w:val="4320516C"/>
    <w:rsid w:val="43234C5C"/>
    <w:rsid w:val="43234D8B"/>
    <w:rsid w:val="4335673E"/>
    <w:rsid w:val="435A40A4"/>
    <w:rsid w:val="435D300A"/>
    <w:rsid w:val="43706CDA"/>
    <w:rsid w:val="437F266B"/>
    <w:rsid w:val="438976E2"/>
    <w:rsid w:val="438D0328"/>
    <w:rsid w:val="439A4563"/>
    <w:rsid w:val="43AB585F"/>
    <w:rsid w:val="43AD6999"/>
    <w:rsid w:val="43AF029E"/>
    <w:rsid w:val="43B23EDE"/>
    <w:rsid w:val="43B37EA1"/>
    <w:rsid w:val="43B43B06"/>
    <w:rsid w:val="43BE3CB6"/>
    <w:rsid w:val="43CC2BFE"/>
    <w:rsid w:val="43F43652"/>
    <w:rsid w:val="4412446A"/>
    <w:rsid w:val="44147B34"/>
    <w:rsid w:val="441C59BD"/>
    <w:rsid w:val="44226CC2"/>
    <w:rsid w:val="442B137D"/>
    <w:rsid w:val="444B5EFF"/>
    <w:rsid w:val="445D199D"/>
    <w:rsid w:val="44650BB7"/>
    <w:rsid w:val="44822E8A"/>
    <w:rsid w:val="449B3345"/>
    <w:rsid w:val="44BC27B9"/>
    <w:rsid w:val="44C24D59"/>
    <w:rsid w:val="44C45FCB"/>
    <w:rsid w:val="44D65DD4"/>
    <w:rsid w:val="44DC3315"/>
    <w:rsid w:val="44E421C9"/>
    <w:rsid w:val="44EE6DE0"/>
    <w:rsid w:val="44F3065E"/>
    <w:rsid w:val="44F41C55"/>
    <w:rsid w:val="44FC5765"/>
    <w:rsid w:val="45094B99"/>
    <w:rsid w:val="45097E04"/>
    <w:rsid w:val="450D1A35"/>
    <w:rsid w:val="45181E73"/>
    <w:rsid w:val="451E56DB"/>
    <w:rsid w:val="45315DA4"/>
    <w:rsid w:val="453F4F0D"/>
    <w:rsid w:val="45486BFC"/>
    <w:rsid w:val="454D6A28"/>
    <w:rsid w:val="45576E3F"/>
    <w:rsid w:val="456F23DB"/>
    <w:rsid w:val="456F4189"/>
    <w:rsid w:val="45833790"/>
    <w:rsid w:val="458614D2"/>
    <w:rsid w:val="4588524B"/>
    <w:rsid w:val="458A4B1F"/>
    <w:rsid w:val="45961954"/>
    <w:rsid w:val="45A656D1"/>
    <w:rsid w:val="45A66A4B"/>
    <w:rsid w:val="45AE4F0C"/>
    <w:rsid w:val="45B95404"/>
    <w:rsid w:val="45BA187A"/>
    <w:rsid w:val="45C73FC5"/>
    <w:rsid w:val="45CD0EAF"/>
    <w:rsid w:val="45CD7101"/>
    <w:rsid w:val="45E701C3"/>
    <w:rsid w:val="45F9568D"/>
    <w:rsid w:val="45FB5A1D"/>
    <w:rsid w:val="45FE618C"/>
    <w:rsid w:val="46020B59"/>
    <w:rsid w:val="46083505"/>
    <w:rsid w:val="46123BE6"/>
    <w:rsid w:val="4631143E"/>
    <w:rsid w:val="463B27EE"/>
    <w:rsid w:val="46455223"/>
    <w:rsid w:val="46535111"/>
    <w:rsid w:val="465A6BE7"/>
    <w:rsid w:val="46756481"/>
    <w:rsid w:val="469255FF"/>
    <w:rsid w:val="46CE4EDF"/>
    <w:rsid w:val="46DE0FD7"/>
    <w:rsid w:val="46E14C12"/>
    <w:rsid w:val="46E548C9"/>
    <w:rsid w:val="46EA2791"/>
    <w:rsid w:val="46EE10DD"/>
    <w:rsid w:val="46FA3FF7"/>
    <w:rsid w:val="46FE5343"/>
    <w:rsid w:val="471A6376"/>
    <w:rsid w:val="471D6E2E"/>
    <w:rsid w:val="47227E01"/>
    <w:rsid w:val="47234D7D"/>
    <w:rsid w:val="473505D7"/>
    <w:rsid w:val="47363011"/>
    <w:rsid w:val="47393594"/>
    <w:rsid w:val="473A029C"/>
    <w:rsid w:val="47462987"/>
    <w:rsid w:val="47524B93"/>
    <w:rsid w:val="476B0980"/>
    <w:rsid w:val="47723ABC"/>
    <w:rsid w:val="477B5067"/>
    <w:rsid w:val="47BB49AE"/>
    <w:rsid w:val="47C52DB3"/>
    <w:rsid w:val="47D43FC2"/>
    <w:rsid w:val="47F21BE5"/>
    <w:rsid w:val="47FB124E"/>
    <w:rsid w:val="480677D8"/>
    <w:rsid w:val="480A1F47"/>
    <w:rsid w:val="480C3F11"/>
    <w:rsid w:val="48102173"/>
    <w:rsid w:val="481870DA"/>
    <w:rsid w:val="48233009"/>
    <w:rsid w:val="482C010F"/>
    <w:rsid w:val="482F19AD"/>
    <w:rsid w:val="483356D8"/>
    <w:rsid w:val="4838231B"/>
    <w:rsid w:val="48456649"/>
    <w:rsid w:val="485618D3"/>
    <w:rsid w:val="48621A3D"/>
    <w:rsid w:val="486779BC"/>
    <w:rsid w:val="486F26F2"/>
    <w:rsid w:val="486F624E"/>
    <w:rsid w:val="48776E4A"/>
    <w:rsid w:val="487C58DA"/>
    <w:rsid w:val="48803767"/>
    <w:rsid w:val="488A31DA"/>
    <w:rsid w:val="48902F30"/>
    <w:rsid w:val="489857A5"/>
    <w:rsid w:val="48A10BBA"/>
    <w:rsid w:val="48AF1CF1"/>
    <w:rsid w:val="48AF2AEE"/>
    <w:rsid w:val="48AF3822"/>
    <w:rsid w:val="48B00D40"/>
    <w:rsid w:val="48B56357"/>
    <w:rsid w:val="48B84099"/>
    <w:rsid w:val="48B87C04"/>
    <w:rsid w:val="48CC544E"/>
    <w:rsid w:val="48D16758"/>
    <w:rsid w:val="48D2744C"/>
    <w:rsid w:val="48D72771"/>
    <w:rsid w:val="48E75D4F"/>
    <w:rsid w:val="48E76D9A"/>
    <w:rsid w:val="48EC3ED9"/>
    <w:rsid w:val="48F549A5"/>
    <w:rsid w:val="48F609CD"/>
    <w:rsid w:val="48FA645F"/>
    <w:rsid w:val="4907292A"/>
    <w:rsid w:val="490746D8"/>
    <w:rsid w:val="490E5A67"/>
    <w:rsid w:val="491958D5"/>
    <w:rsid w:val="492B486B"/>
    <w:rsid w:val="492F25D6"/>
    <w:rsid w:val="493011FD"/>
    <w:rsid w:val="49326680"/>
    <w:rsid w:val="493A3472"/>
    <w:rsid w:val="49463A85"/>
    <w:rsid w:val="494871CB"/>
    <w:rsid w:val="495D66C7"/>
    <w:rsid w:val="49627B61"/>
    <w:rsid w:val="496A19B4"/>
    <w:rsid w:val="496C0591"/>
    <w:rsid w:val="497F6965"/>
    <w:rsid w:val="49862ABB"/>
    <w:rsid w:val="498F5A6D"/>
    <w:rsid w:val="49997A26"/>
    <w:rsid w:val="49D80369"/>
    <w:rsid w:val="49DA40B8"/>
    <w:rsid w:val="49F652BE"/>
    <w:rsid w:val="4A0A0924"/>
    <w:rsid w:val="4A0B00B8"/>
    <w:rsid w:val="4A214220"/>
    <w:rsid w:val="4A286FFC"/>
    <w:rsid w:val="4A31496B"/>
    <w:rsid w:val="4A34774F"/>
    <w:rsid w:val="4A424BAD"/>
    <w:rsid w:val="4A443E36"/>
    <w:rsid w:val="4A5B2F2E"/>
    <w:rsid w:val="4A5D3C7D"/>
    <w:rsid w:val="4A6710C0"/>
    <w:rsid w:val="4A712751"/>
    <w:rsid w:val="4A8A3813"/>
    <w:rsid w:val="4A8E50B1"/>
    <w:rsid w:val="4A952B26"/>
    <w:rsid w:val="4AA30431"/>
    <w:rsid w:val="4AAA1398"/>
    <w:rsid w:val="4AC00FE3"/>
    <w:rsid w:val="4AC42881"/>
    <w:rsid w:val="4AD351BA"/>
    <w:rsid w:val="4AF37EA9"/>
    <w:rsid w:val="4AFC12FE"/>
    <w:rsid w:val="4B057E38"/>
    <w:rsid w:val="4B0B4954"/>
    <w:rsid w:val="4B1D6435"/>
    <w:rsid w:val="4B1F5D09"/>
    <w:rsid w:val="4B24732B"/>
    <w:rsid w:val="4B284B27"/>
    <w:rsid w:val="4B35462A"/>
    <w:rsid w:val="4B4025BF"/>
    <w:rsid w:val="4B433C2A"/>
    <w:rsid w:val="4B4A03C6"/>
    <w:rsid w:val="4B4E4840"/>
    <w:rsid w:val="4B5A4F93"/>
    <w:rsid w:val="4B810772"/>
    <w:rsid w:val="4B8769F6"/>
    <w:rsid w:val="4B8D35BB"/>
    <w:rsid w:val="4B9009B5"/>
    <w:rsid w:val="4B926799"/>
    <w:rsid w:val="4B93411F"/>
    <w:rsid w:val="4B9C1BF1"/>
    <w:rsid w:val="4B9D37C0"/>
    <w:rsid w:val="4BAB3A41"/>
    <w:rsid w:val="4BB07945"/>
    <w:rsid w:val="4BB73AF0"/>
    <w:rsid w:val="4BB95FA3"/>
    <w:rsid w:val="4BBD05CA"/>
    <w:rsid w:val="4BBE3774"/>
    <w:rsid w:val="4BC82845"/>
    <w:rsid w:val="4BD101F9"/>
    <w:rsid w:val="4BD307BA"/>
    <w:rsid w:val="4BE43E1D"/>
    <w:rsid w:val="4BE753D1"/>
    <w:rsid w:val="4BF26924"/>
    <w:rsid w:val="4C0106E5"/>
    <w:rsid w:val="4C05738B"/>
    <w:rsid w:val="4C076AAD"/>
    <w:rsid w:val="4C184F1F"/>
    <w:rsid w:val="4C1C493F"/>
    <w:rsid w:val="4C1F37E3"/>
    <w:rsid w:val="4C3C131C"/>
    <w:rsid w:val="4C511B02"/>
    <w:rsid w:val="4C5F3EA9"/>
    <w:rsid w:val="4C8D5F79"/>
    <w:rsid w:val="4C9427CE"/>
    <w:rsid w:val="4CA126E0"/>
    <w:rsid w:val="4CAD5597"/>
    <w:rsid w:val="4CAE078C"/>
    <w:rsid w:val="4CC831FD"/>
    <w:rsid w:val="4CCC0176"/>
    <w:rsid w:val="4CCE2910"/>
    <w:rsid w:val="4CD174D7"/>
    <w:rsid w:val="4CD63FE8"/>
    <w:rsid w:val="4CDC3072"/>
    <w:rsid w:val="4CE10AA7"/>
    <w:rsid w:val="4CE35F38"/>
    <w:rsid w:val="4CE52275"/>
    <w:rsid w:val="4CF5766A"/>
    <w:rsid w:val="4CFB6302"/>
    <w:rsid w:val="4D061A05"/>
    <w:rsid w:val="4D0734FD"/>
    <w:rsid w:val="4D0E3CC7"/>
    <w:rsid w:val="4D0E4287"/>
    <w:rsid w:val="4D111FCA"/>
    <w:rsid w:val="4D1537E9"/>
    <w:rsid w:val="4D1548CE"/>
    <w:rsid w:val="4D16138E"/>
    <w:rsid w:val="4D330192"/>
    <w:rsid w:val="4D3F2DD8"/>
    <w:rsid w:val="4D4025AD"/>
    <w:rsid w:val="4D491763"/>
    <w:rsid w:val="4D57223F"/>
    <w:rsid w:val="4D583754"/>
    <w:rsid w:val="4D647C72"/>
    <w:rsid w:val="4D754306"/>
    <w:rsid w:val="4D83633C"/>
    <w:rsid w:val="4D897DB2"/>
    <w:rsid w:val="4DAD3A24"/>
    <w:rsid w:val="4DAE320A"/>
    <w:rsid w:val="4DB766CD"/>
    <w:rsid w:val="4DC1754C"/>
    <w:rsid w:val="4DCC14D7"/>
    <w:rsid w:val="4DE1374A"/>
    <w:rsid w:val="4E1966D8"/>
    <w:rsid w:val="4E201A58"/>
    <w:rsid w:val="4E415D30"/>
    <w:rsid w:val="4E4A4E6B"/>
    <w:rsid w:val="4E4A5793"/>
    <w:rsid w:val="4E4D7F30"/>
    <w:rsid w:val="4E537272"/>
    <w:rsid w:val="4E550D53"/>
    <w:rsid w:val="4E5B4824"/>
    <w:rsid w:val="4E5C13E7"/>
    <w:rsid w:val="4E807407"/>
    <w:rsid w:val="4E834801"/>
    <w:rsid w:val="4E976CD4"/>
    <w:rsid w:val="4E9D1D67"/>
    <w:rsid w:val="4EB470B0"/>
    <w:rsid w:val="4EDD6607"/>
    <w:rsid w:val="4EFF0DFE"/>
    <w:rsid w:val="4F07613E"/>
    <w:rsid w:val="4F0F2A9A"/>
    <w:rsid w:val="4F342BFF"/>
    <w:rsid w:val="4F5F701C"/>
    <w:rsid w:val="4F7F321A"/>
    <w:rsid w:val="4F8145E8"/>
    <w:rsid w:val="4F876573"/>
    <w:rsid w:val="4FA233AD"/>
    <w:rsid w:val="4FA32D35"/>
    <w:rsid w:val="4FA5792F"/>
    <w:rsid w:val="4FBF0074"/>
    <w:rsid w:val="4FC2414C"/>
    <w:rsid w:val="4FD00F08"/>
    <w:rsid w:val="4FD51E3B"/>
    <w:rsid w:val="4FE030B4"/>
    <w:rsid w:val="4FF9623B"/>
    <w:rsid w:val="4FFA0AF3"/>
    <w:rsid w:val="4FFC2F7B"/>
    <w:rsid w:val="50096F88"/>
    <w:rsid w:val="50116D86"/>
    <w:rsid w:val="50320DEC"/>
    <w:rsid w:val="503329A9"/>
    <w:rsid w:val="50406E4E"/>
    <w:rsid w:val="504F4060"/>
    <w:rsid w:val="50604A09"/>
    <w:rsid w:val="50612488"/>
    <w:rsid w:val="5065585D"/>
    <w:rsid w:val="506C625F"/>
    <w:rsid w:val="5077175A"/>
    <w:rsid w:val="507A1C34"/>
    <w:rsid w:val="507E1183"/>
    <w:rsid w:val="50884351"/>
    <w:rsid w:val="50AA4F92"/>
    <w:rsid w:val="50C308A5"/>
    <w:rsid w:val="50D43A3A"/>
    <w:rsid w:val="50EC0D83"/>
    <w:rsid w:val="50F53763"/>
    <w:rsid w:val="5106484C"/>
    <w:rsid w:val="5109070F"/>
    <w:rsid w:val="510A120A"/>
    <w:rsid w:val="51165F8B"/>
    <w:rsid w:val="511A0490"/>
    <w:rsid w:val="512322CB"/>
    <w:rsid w:val="512E1C9C"/>
    <w:rsid w:val="51312C3A"/>
    <w:rsid w:val="51323452"/>
    <w:rsid w:val="513B7615"/>
    <w:rsid w:val="513E2CF8"/>
    <w:rsid w:val="51493AE0"/>
    <w:rsid w:val="514C4A3C"/>
    <w:rsid w:val="51585B51"/>
    <w:rsid w:val="515C6C71"/>
    <w:rsid w:val="51622426"/>
    <w:rsid w:val="51656440"/>
    <w:rsid w:val="516A0329"/>
    <w:rsid w:val="516A0C92"/>
    <w:rsid w:val="519B00B4"/>
    <w:rsid w:val="519D7CD0"/>
    <w:rsid w:val="51AE1DA2"/>
    <w:rsid w:val="51B82208"/>
    <w:rsid w:val="51C03390"/>
    <w:rsid w:val="51DC0DF8"/>
    <w:rsid w:val="51E657D3"/>
    <w:rsid w:val="51E73BF5"/>
    <w:rsid w:val="51F64AEC"/>
    <w:rsid w:val="51FE4265"/>
    <w:rsid w:val="520D7203"/>
    <w:rsid w:val="520E6AD8"/>
    <w:rsid w:val="521045FE"/>
    <w:rsid w:val="522312C4"/>
    <w:rsid w:val="522A5FFD"/>
    <w:rsid w:val="522B762E"/>
    <w:rsid w:val="52461A35"/>
    <w:rsid w:val="524644C3"/>
    <w:rsid w:val="5248023B"/>
    <w:rsid w:val="5255455C"/>
    <w:rsid w:val="52563B54"/>
    <w:rsid w:val="525D3376"/>
    <w:rsid w:val="525E177A"/>
    <w:rsid w:val="52641AC3"/>
    <w:rsid w:val="52662470"/>
    <w:rsid w:val="52720E14"/>
    <w:rsid w:val="528B7FD0"/>
    <w:rsid w:val="52B8621F"/>
    <w:rsid w:val="52BB3C0E"/>
    <w:rsid w:val="52BB4E21"/>
    <w:rsid w:val="52C13B4A"/>
    <w:rsid w:val="52C24F44"/>
    <w:rsid w:val="52DC2732"/>
    <w:rsid w:val="52DF1D77"/>
    <w:rsid w:val="52E736B3"/>
    <w:rsid w:val="52EA12F3"/>
    <w:rsid w:val="52EF3C34"/>
    <w:rsid w:val="52F27DE3"/>
    <w:rsid w:val="52F5095B"/>
    <w:rsid w:val="53194FC4"/>
    <w:rsid w:val="53241C21"/>
    <w:rsid w:val="532B6FE0"/>
    <w:rsid w:val="53365767"/>
    <w:rsid w:val="53394028"/>
    <w:rsid w:val="534E48C4"/>
    <w:rsid w:val="5352666A"/>
    <w:rsid w:val="535F632A"/>
    <w:rsid w:val="53656A50"/>
    <w:rsid w:val="537529C3"/>
    <w:rsid w:val="537627F1"/>
    <w:rsid w:val="539D1AC3"/>
    <w:rsid w:val="53AE30FB"/>
    <w:rsid w:val="53B678B6"/>
    <w:rsid w:val="53B71B25"/>
    <w:rsid w:val="53D42E46"/>
    <w:rsid w:val="53DC3678"/>
    <w:rsid w:val="53DF24DA"/>
    <w:rsid w:val="53E113BC"/>
    <w:rsid w:val="53E93358"/>
    <w:rsid w:val="53F51CFD"/>
    <w:rsid w:val="54053B0A"/>
    <w:rsid w:val="54163ED2"/>
    <w:rsid w:val="54187B75"/>
    <w:rsid w:val="541E7821"/>
    <w:rsid w:val="5423464B"/>
    <w:rsid w:val="54302D35"/>
    <w:rsid w:val="54332825"/>
    <w:rsid w:val="543D456B"/>
    <w:rsid w:val="543F741C"/>
    <w:rsid w:val="5455279C"/>
    <w:rsid w:val="54554E92"/>
    <w:rsid w:val="54624EB9"/>
    <w:rsid w:val="54684B80"/>
    <w:rsid w:val="54702962"/>
    <w:rsid w:val="54784D46"/>
    <w:rsid w:val="547C41CC"/>
    <w:rsid w:val="54801B99"/>
    <w:rsid w:val="54870E62"/>
    <w:rsid w:val="549238A7"/>
    <w:rsid w:val="54A82158"/>
    <w:rsid w:val="54BF1B49"/>
    <w:rsid w:val="54C55B73"/>
    <w:rsid w:val="54D33C51"/>
    <w:rsid w:val="54E51D72"/>
    <w:rsid w:val="54EA306C"/>
    <w:rsid w:val="54F41FB5"/>
    <w:rsid w:val="54FB26AF"/>
    <w:rsid w:val="550C3B72"/>
    <w:rsid w:val="551C543A"/>
    <w:rsid w:val="55284354"/>
    <w:rsid w:val="55417049"/>
    <w:rsid w:val="554E07EC"/>
    <w:rsid w:val="5559450E"/>
    <w:rsid w:val="556348BE"/>
    <w:rsid w:val="55791CB7"/>
    <w:rsid w:val="559913F9"/>
    <w:rsid w:val="559D43FA"/>
    <w:rsid w:val="55A0038E"/>
    <w:rsid w:val="55B654BC"/>
    <w:rsid w:val="55C71477"/>
    <w:rsid w:val="55D1679A"/>
    <w:rsid w:val="55DB79C3"/>
    <w:rsid w:val="55DD6EED"/>
    <w:rsid w:val="55E92BAA"/>
    <w:rsid w:val="55ED54EA"/>
    <w:rsid w:val="55F5614A"/>
    <w:rsid w:val="55F81F79"/>
    <w:rsid w:val="55FF51A1"/>
    <w:rsid w:val="56044479"/>
    <w:rsid w:val="56257F68"/>
    <w:rsid w:val="567A0CA1"/>
    <w:rsid w:val="568217A8"/>
    <w:rsid w:val="56847368"/>
    <w:rsid w:val="56884901"/>
    <w:rsid w:val="569357FD"/>
    <w:rsid w:val="56942611"/>
    <w:rsid w:val="56A14FF8"/>
    <w:rsid w:val="56AF0889"/>
    <w:rsid w:val="56B7773E"/>
    <w:rsid w:val="56B978B9"/>
    <w:rsid w:val="56BF46DA"/>
    <w:rsid w:val="56E7290C"/>
    <w:rsid w:val="56FD0316"/>
    <w:rsid w:val="5700041A"/>
    <w:rsid w:val="570E6F78"/>
    <w:rsid w:val="571037CE"/>
    <w:rsid w:val="57233C18"/>
    <w:rsid w:val="572A6162"/>
    <w:rsid w:val="57323E10"/>
    <w:rsid w:val="573A62BB"/>
    <w:rsid w:val="574236E7"/>
    <w:rsid w:val="574472CC"/>
    <w:rsid w:val="5753751A"/>
    <w:rsid w:val="575C3988"/>
    <w:rsid w:val="575C50AB"/>
    <w:rsid w:val="576D3B2F"/>
    <w:rsid w:val="576D5CAA"/>
    <w:rsid w:val="576E3B6D"/>
    <w:rsid w:val="5784103C"/>
    <w:rsid w:val="57855CC0"/>
    <w:rsid w:val="579B705F"/>
    <w:rsid w:val="57AA1051"/>
    <w:rsid w:val="57AC4DC9"/>
    <w:rsid w:val="57C2639A"/>
    <w:rsid w:val="57D83E10"/>
    <w:rsid w:val="57E00F16"/>
    <w:rsid w:val="57E3171A"/>
    <w:rsid w:val="57E445EB"/>
    <w:rsid w:val="57EE7D63"/>
    <w:rsid w:val="57F458FB"/>
    <w:rsid w:val="580D6A27"/>
    <w:rsid w:val="58160C42"/>
    <w:rsid w:val="582C6358"/>
    <w:rsid w:val="5838665C"/>
    <w:rsid w:val="585B5F51"/>
    <w:rsid w:val="5877457A"/>
    <w:rsid w:val="588640B5"/>
    <w:rsid w:val="58955049"/>
    <w:rsid w:val="58A61818"/>
    <w:rsid w:val="58C846E4"/>
    <w:rsid w:val="58CE0955"/>
    <w:rsid w:val="58D26AB1"/>
    <w:rsid w:val="58D66C1E"/>
    <w:rsid w:val="58DC7930"/>
    <w:rsid w:val="58EC1008"/>
    <w:rsid w:val="58F44C79"/>
    <w:rsid w:val="58FA064D"/>
    <w:rsid w:val="58FB73D6"/>
    <w:rsid w:val="590F1AB3"/>
    <w:rsid w:val="591C5F7E"/>
    <w:rsid w:val="592E0EB8"/>
    <w:rsid w:val="59410FB8"/>
    <w:rsid w:val="594B0611"/>
    <w:rsid w:val="59534CCC"/>
    <w:rsid w:val="59582FD5"/>
    <w:rsid w:val="595876CA"/>
    <w:rsid w:val="596F2552"/>
    <w:rsid w:val="597F00FA"/>
    <w:rsid w:val="59830B4C"/>
    <w:rsid w:val="59941F3D"/>
    <w:rsid w:val="59957B7A"/>
    <w:rsid w:val="59964DD9"/>
    <w:rsid w:val="59A65848"/>
    <w:rsid w:val="59A80C50"/>
    <w:rsid w:val="59B461B6"/>
    <w:rsid w:val="59B91A1F"/>
    <w:rsid w:val="59BD150F"/>
    <w:rsid w:val="59BE5287"/>
    <w:rsid w:val="59C236A3"/>
    <w:rsid w:val="59D52CBB"/>
    <w:rsid w:val="59E52C79"/>
    <w:rsid w:val="59EC3BA2"/>
    <w:rsid w:val="59F42A57"/>
    <w:rsid w:val="5A0A1AD1"/>
    <w:rsid w:val="5A0E58C7"/>
    <w:rsid w:val="5A1D1000"/>
    <w:rsid w:val="5A1F5D26"/>
    <w:rsid w:val="5A22506D"/>
    <w:rsid w:val="5A3A2ED4"/>
    <w:rsid w:val="5A3B68D8"/>
    <w:rsid w:val="5A4A2677"/>
    <w:rsid w:val="5A5328C5"/>
    <w:rsid w:val="5A586636"/>
    <w:rsid w:val="5A6D6FE8"/>
    <w:rsid w:val="5A737E20"/>
    <w:rsid w:val="5A751DEA"/>
    <w:rsid w:val="5A7E01E4"/>
    <w:rsid w:val="5A7E694C"/>
    <w:rsid w:val="5A805270"/>
    <w:rsid w:val="5AA61FA3"/>
    <w:rsid w:val="5AA955EF"/>
    <w:rsid w:val="5AB350AA"/>
    <w:rsid w:val="5ABC2DC1"/>
    <w:rsid w:val="5ABD109B"/>
    <w:rsid w:val="5AC959C2"/>
    <w:rsid w:val="5AE64A95"/>
    <w:rsid w:val="5AF173B1"/>
    <w:rsid w:val="5AFE6AD9"/>
    <w:rsid w:val="5B0E68CE"/>
    <w:rsid w:val="5B21787C"/>
    <w:rsid w:val="5B335BF8"/>
    <w:rsid w:val="5B445318"/>
    <w:rsid w:val="5B5A4B3C"/>
    <w:rsid w:val="5B5E63DA"/>
    <w:rsid w:val="5B631C42"/>
    <w:rsid w:val="5B6360E6"/>
    <w:rsid w:val="5B6B6D49"/>
    <w:rsid w:val="5B6F05E7"/>
    <w:rsid w:val="5B7A6F8C"/>
    <w:rsid w:val="5B8E7FDE"/>
    <w:rsid w:val="5B955B74"/>
    <w:rsid w:val="5BA069F2"/>
    <w:rsid w:val="5BA47EBB"/>
    <w:rsid w:val="5BA87F9D"/>
    <w:rsid w:val="5BC052E6"/>
    <w:rsid w:val="5BC77D93"/>
    <w:rsid w:val="5BD26DC8"/>
    <w:rsid w:val="5BEA572B"/>
    <w:rsid w:val="5BF3062B"/>
    <w:rsid w:val="5BFD3E45"/>
    <w:rsid w:val="5BFE7BBD"/>
    <w:rsid w:val="5C33727A"/>
    <w:rsid w:val="5C3E758A"/>
    <w:rsid w:val="5C4936E2"/>
    <w:rsid w:val="5C5F065B"/>
    <w:rsid w:val="5C6A3DF7"/>
    <w:rsid w:val="5C771355"/>
    <w:rsid w:val="5C806824"/>
    <w:rsid w:val="5C857A7E"/>
    <w:rsid w:val="5C864B6C"/>
    <w:rsid w:val="5C8C4FDA"/>
    <w:rsid w:val="5C9137E1"/>
    <w:rsid w:val="5C984F1C"/>
    <w:rsid w:val="5CA97FED"/>
    <w:rsid w:val="5CAC7D41"/>
    <w:rsid w:val="5CB93BD4"/>
    <w:rsid w:val="5CBD1826"/>
    <w:rsid w:val="5CBF559E"/>
    <w:rsid w:val="5CD8118E"/>
    <w:rsid w:val="5CDD7AE2"/>
    <w:rsid w:val="5CEB7286"/>
    <w:rsid w:val="5D017965"/>
    <w:rsid w:val="5D1B2968"/>
    <w:rsid w:val="5D1F42BD"/>
    <w:rsid w:val="5D221689"/>
    <w:rsid w:val="5D2B6790"/>
    <w:rsid w:val="5D315141"/>
    <w:rsid w:val="5D327B1E"/>
    <w:rsid w:val="5D375134"/>
    <w:rsid w:val="5D547D2E"/>
    <w:rsid w:val="5D577585"/>
    <w:rsid w:val="5D69161B"/>
    <w:rsid w:val="5D7A51C0"/>
    <w:rsid w:val="5D923F2C"/>
    <w:rsid w:val="5D995DEF"/>
    <w:rsid w:val="5DBA7B13"/>
    <w:rsid w:val="5DC42740"/>
    <w:rsid w:val="5DC84336"/>
    <w:rsid w:val="5DD54F2A"/>
    <w:rsid w:val="5DD7245D"/>
    <w:rsid w:val="5DD961EC"/>
    <w:rsid w:val="5DE80B25"/>
    <w:rsid w:val="5E14191A"/>
    <w:rsid w:val="5E2D3E9D"/>
    <w:rsid w:val="5E4426FE"/>
    <w:rsid w:val="5E471E25"/>
    <w:rsid w:val="5E4E6BDA"/>
    <w:rsid w:val="5E635121"/>
    <w:rsid w:val="5E8935E1"/>
    <w:rsid w:val="5E8E6FD6"/>
    <w:rsid w:val="5EBF6DE9"/>
    <w:rsid w:val="5EC2139F"/>
    <w:rsid w:val="5EC90ECF"/>
    <w:rsid w:val="5EE50BC0"/>
    <w:rsid w:val="5EE66E12"/>
    <w:rsid w:val="5EEB60C5"/>
    <w:rsid w:val="5EEE216B"/>
    <w:rsid w:val="5EF23FAE"/>
    <w:rsid w:val="5EF82F37"/>
    <w:rsid w:val="5F025C16"/>
    <w:rsid w:val="5F030E0F"/>
    <w:rsid w:val="5F061262"/>
    <w:rsid w:val="5F0C25F1"/>
    <w:rsid w:val="5F125E59"/>
    <w:rsid w:val="5F1E1789"/>
    <w:rsid w:val="5F203499"/>
    <w:rsid w:val="5F271312"/>
    <w:rsid w:val="5F2B789F"/>
    <w:rsid w:val="5F4E2C09"/>
    <w:rsid w:val="5F50072F"/>
    <w:rsid w:val="5F69359F"/>
    <w:rsid w:val="5F885B31"/>
    <w:rsid w:val="5F8C21A0"/>
    <w:rsid w:val="5F8F1CC4"/>
    <w:rsid w:val="5FA32F55"/>
    <w:rsid w:val="5FA34D03"/>
    <w:rsid w:val="5FA46905"/>
    <w:rsid w:val="5FB962D5"/>
    <w:rsid w:val="5FBE3344"/>
    <w:rsid w:val="5FCC560E"/>
    <w:rsid w:val="5FD17AC2"/>
    <w:rsid w:val="5FD57237"/>
    <w:rsid w:val="5FDC7E02"/>
    <w:rsid w:val="5FE80968"/>
    <w:rsid w:val="5FF27A39"/>
    <w:rsid w:val="5FF4730D"/>
    <w:rsid w:val="60202B79"/>
    <w:rsid w:val="6025396A"/>
    <w:rsid w:val="60256AF3"/>
    <w:rsid w:val="60433DF0"/>
    <w:rsid w:val="60435A6B"/>
    <w:rsid w:val="604674A6"/>
    <w:rsid w:val="60483C8B"/>
    <w:rsid w:val="604F6C39"/>
    <w:rsid w:val="605379AE"/>
    <w:rsid w:val="60791C44"/>
    <w:rsid w:val="607F41FF"/>
    <w:rsid w:val="608C62A2"/>
    <w:rsid w:val="609E5A0A"/>
    <w:rsid w:val="609F3F51"/>
    <w:rsid w:val="60AA3E6F"/>
    <w:rsid w:val="60C1038F"/>
    <w:rsid w:val="60CE4002"/>
    <w:rsid w:val="60D042C3"/>
    <w:rsid w:val="60E514BE"/>
    <w:rsid w:val="60F4333C"/>
    <w:rsid w:val="60F63F7B"/>
    <w:rsid w:val="60FB12D6"/>
    <w:rsid w:val="611C241C"/>
    <w:rsid w:val="612D17BE"/>
    <w:rsid w:val="613320B7"/>
    <w:rsid w:val="61425571"/>
    <w:rsid w:val="614371A1"/>
    <w:rsid w:val="6166423A"/>
    <w:rsid w:val="61952D71"/>
    <w:rsid w:val="619863BE"/>
    <w:rsid w:val="619B1E3A"/>
    <w:rsid w:val="61B825BC"/>
    <w:rsid w:val="61C86CA3"/>
    <w:rsid w:val="61C96E10"/>
    <w:rsid w:val="61ED1E4C"/>
    <w:rsid w:val="61F30701"/>
    <w:rsid w:val="62051CA5"/>
    <w:rsid w:val="621736D8"/>
    <w:rsid w:val="621E2D67"/>
    <w:rsid w:val="621E5A12"/>
    <w:rsid w:val="622868A5"/>
    <w:rsid w:val="622A5268"/>
    <w:rsid w:val="622F6D22"/>
    <w:rsid w:val="623F2739"/>
    <w:rsid w:val="624E2E3B"/>
    <w:rsid w:val="62606EDB"/>
    <w:rsid w:val="627E7362"/>
    <w:rsid w:val="62821AAC"/>
    <w:rsid w:val="6291178B"/>
    <w:rsid w:val="62A12E77"/>
    <w:rsid w:val="62A55DAB"/>
    <w:rsid w:val="62A911E5"/>
    <w:rsid w:val="62AF3EB1"/>
    <w:rsid w:val="62DC255D"/>
    <w:rsid w:val="62E458D7"/>
    <w:rsid w:val="62ED3873"/>
    <w:rsid w:val="630713BC"/>
    <w:rsid w:val="63161C90"/>
    <w:rsid w:val="63201103"/>
    <w:rsid w:val="63255DA8"/>
    <w:rsid w:val="63422A85"/>
    <w:rsid w:val="63473BF7"/>
    <w:rsid w:val="635118DB"/>
    <w:rsid w:val="637D1D0F"/>
    <w:rsid w:val="63842425"/>
    <w:rsid w:val="6388493C"/>
    <w:rsid w:val="63A731D6"/>
    <w:rsid w:val="63B96071"/>
    <w:rsid w:val="63CB65D6"/>
    <w:rsid w:val="63D02A49"/>
    <w:rsid w:val="63DA7C6F"/>
    <w:rsid w:val="63F773CC"/>
    <w:rsid w:val="63F920C0"/>
    <w:rsid w:val="63FE69AC"/>
    <w:rsid w:val="640577EE"/>
    <w:rsid w:val="641C6E32"/>
    <w:rsid w:val="643028DD"/>
    <w:rsid w:val="644840CB"/>
    <w:rsid w:val="64567A00"/>
    <w:rsid w:val="64590086"/>
    <w:rsid w:val="645B2C5D"/>
    <w:rsid w:val="645C7FB4"/>
    <w:rsid w:val="647B4B25"/>
    <w:rsid w:val="648A4AD6"/>
    <w:rsid w:val="648D1ADE"/>
    <w:rsid w:val="648F3AA8"/>
    <w:rsid w:val="649225A4"/>
    <w:rsid w:val="64941A25"/>
    <w:rsid w:val="64994927"/>
    <w:rsid w:val="64B31F24"/>
    <w:rsid w:val="64BE458F"/>
    <w:rsid w:val="64DD3BD7"/>
    <w:rsid w:val="64DE52EF"/>
    <w:rsid w:val="64EE1A20"/>
    <w:rsid w:val="65016B7F"/>
    <w:rsid w:val="65024685"/>
    <w:rsid w:val="6509385A"/>
    <w:rsid w:val="650E0E71"/>
    <w:rsid w:val="65133218"/>
    <w:rsid w:val="651C30F1"/>
    <w:rsid w:val="65523170"/>
    <w:rsid w:val="655A5E64"/>
    <w:rsid w:val="655D0E08"/>
    <w:rsid w:val="655F0227"/>
    <w:rsid w:val="65684063"/>
    <w:rsid w:val="657E4B86"/>
    <w:rsid w:val="65907EAF"/>
    <w:rsid w:val="659A6BA8"/>
    <w:rsid w:val="65B57A1A"/>
    <w:rsid w:val="65C315DD"/>
    <w:rsid w:val="65C778A0"/>
    <w:rsid w:val="65CC4888"/>
    <w:rsid w:val="65D5738F"/>
    <w:rsid w:val="65D774B5"/>
    <w:rsid w:val="65EF17FA"/>
    <w:rsid w:val="65F852DD"/>
    <w:rsid w:val="65FC7799"/>
    <w:rsid w:val="66016333"/>
    <w:rsid w:val="66020E24"/>
    <w:rsid w:val="66044022"/>
    <w:rsid w:val="66086618"/>
    <w:rsid w:val="660A20B4"/>
    <w:rsid w:val="660A43EF"/>
    <w:rsid w:val="660C035B"/>
    <w:rsid w:val="660D737A"/>
    <w:rsid w:val="66145180"/>
    <w:rsid w:val="661736F4"/>
    <w:rsid w:val="66195D1F"/>
    <w:rsid w:val="66291CDA"/>
    <w:rsid w:val="66342B59"/>
    <w:rsid w:val="66344CC4"/>
    <w:rsid w:val="66362933"/>
    <w:rsid w:val="663743F7"/>
    <w:rsid w:val="664F2AA1"/>
    <w:rsid w:val="66595519"/>
    <w:rsid w:val="665C14BD"/>
    <w:rsid w:val="665E3732"/>
    <w:rsid w:val="66671218"/>
    <w:rsid w:val="66680A54"/>
    <w:rsid w:val="667B3714"/>
    <w:rsid w:val="668C3A51"/>
    <w:rsid w:val="668D04BB"/>
    <w:rsid w:val="6695111E"/>
    <w:rsid w:val="66A96593"/>
    <w:rsid w:val="66B14497"/>
    <w:rsid w:val="66BF4DB0"/>
    <w:rsid w:val="66EA3294"/>
    <w:rsid w:val="66EA76BB"/>
    <w:rsid w:val="66F057E5"/>
    <w:rsid w:val="6703077D"/>
    <w:rsid w:val="67053946"/>
    <w:rsid w:val="67060CBC"/>
    <w:rsid w:val="671B1623"/>
    <w:rsid w:val="67380427"/>
    <w:rsid w:val="673F7A07"/>
    <w:rsid w:val="674476A9"/>
    <w:rsid w:val="674820EA"/>
    <w:rsid w:val="674A0B72"/>
    <w:rsid w:val="67586998"/>
    <w:rsid w:val="6764121C"/>
    <w:rsid w:val="676A25AA"/>
    <w:rsid w:val="676E12F3"/>
    <w:rsid w:val="67880D3F"/>
    <w:rsid w:val="67917B37"/>
    <w:rsid w:val="67962A44"/>
    <w:rsid w:val="679B2F67"/>
    <w:rsid w:val="67A45ABC"/>
    <w:rsid w:val="67B209F7"/>
    <w:rsid w:val="67B215EE"/>
    <w:rsid w:val="67B33F51"/>
    <w:rsid w:val="67BC73CD"/>
    <w:rsid w:val="67C00F56"/>
    <w:rsid w:val="67C717AB"/>
    <w:rsid w:val="67D6379C"/>
    <w:rsid w:val="67D66760"/>
    <w:rsid w:val="67DF4184"/>
    <w:rsid w:val="67F17E02"/>
    <w:rsid w:val="68012F0F"/>
    <w:rsid w:val="68071BA7"/>
    <w:rsid w:val="68190258"/>
    <w:rsid w:val="68195C76"/>
    <w:rsid w:val="68242759"/>
    <w:rsid w:val="68307350"/>
    <w:rsid w:val="68477C15"/>
    <w:rsid w:val="685C7C97"/>
    <w:rsid w:val="686D72B9"/>
    <w:rsid w:val="687314E7"/>
    <w:rsid w:val="6879367D"/>
    <w:rsid w:val="68794EC1"/>
    <w:rsid w:val="68860257"/>
    <w:rsid w:val="689A183F"/>
    <w:rsid w:val="689E250C"/>
    <w:rsid w:val="68CC7889"/>
    <w:rsid w:val="68D0643D"/>
    <w:rsid w:val="68D22588"/>
    <w:rsid w:val="68EC149F"/>
    <w:rsid w:val="68F81D58"/>
    <w:rsid w:val="69073A8D"/>
    <w:rsid w:val="6908207B"/>
    <w:rsid w:val="69154FC4"/>
    <w:rsid w:val="691F746E"/>
    <w:rsid w:val="692844CB"/>
    <w:rsid w:val="692E0D63"/>
    <w:rsid w:val="693D50F1"/>
    <w:rsid w:val="693D525A"/>
    <w:rsid w:val="694B23CE"/>
    <w:rsid w:val="69545C1F"/>
    <w:rsid w:val="6967264B"/>
    <w:rsid w:val="698A09A5"/>
    <w:rsid w:val="69AC0C58"/>
    <w:rsid w:val="69B10589"/>
    <w:rsid w:val="69B47BD4"/>
    <w:rsid w:val="69BB1F5B"/>
    <w:rsid w:val="69D33024"/>
    <w:rsid w:val="69D81A4D"/>
    <w:rsid w:val="69E20D3E"/>
    <w:rsid w:val="69E25F8C"/>
    <w:rsid w:val="69E95A08"/>
    <w:rsid w:val="69F87D41"/>
    <w:rsid w:val="69F92A72"/>
    <w:rsid w:val="69FC1BE0"/>
    <w:rsid w:val="6A08639F"/>
    <w:rsid w:val="6A0E4E80"/>
    <w:rsid w:val="6A140B24"/>
    <w:rsid w:val="6A2627B9"/>
    <w:rsid w:val="6A362315"/>
    <w:rsid w:val="6A477115"/>
    <w:rsid w:val="6A766A86"/>
    <w:rsid w:val="6A7872EA"/>
    <w:rsid w:val="6A7A0D56"/>
    <w:rsid w:val="6A7A48B2"/>
    <w:rsid w:val="6A9C6FE9"/>
    <w:rsid w:val="6AA302AD"/>
    <w:rsid w:val="6AAB03F6"/>
    <w:rsid w:val="6AB04778"/>
    <w:rsid w:val="6AB73049"/>
    <w:rsid w:val="6ABF703F"/>
    <w:rsid w:val="6AD90201"/>
    <w:rsid w:val="6AE12B6B"/>
    <w:rsid w:val="6AF15103"/>
    <w:rsid w:val="6AF2613C"/>
    <w:rsid w:val="6AFE6DF4"/>
    <w:rsid w:val="6B123CE2"/>
    <w:rsid w:val="6B1271E1"/>
    <w:rsid w:val="6B17420F"/>
    <w:rsid w:val="6B2A658B"/>
    <w:rsid w:val="6B3453A9"/>
    <w:rsid w:val="6B38493B"/>
    <w:rsid w:val="6B48686A"/>
    <w:rsid w:val="6B875591"/>
    <w:rsid w:val="6B9D6AAA"/>
    <w:rsid w:val="6BCF6F7E"/>
    <w:rsid w:val="6BD9335E"/>
    <w:rsid w:val="6BEC5C84"/>
    <w:rsid w:val="6BF1329A"/>
    <w:rsid w:val="6BFF1AC2"/>
    <w:rsid w:val="6C0B55A7"/>
    <w:rsid w:val="6C154B37"/>
    <w:rsid w:val="6C1C5C19"/>
    <w:rsid w:val="6C20148A"/>
    <w:rsid w:val="6C21592D"/>
    <w:rsid w:val="6C2169EF"/>
    <w:rsid w:val="6C250EBE"/>
    <w:rsid w:val="6C2E3D59"/>
    <w:rsid w:val="6C337C4D"/>
    <w:rsid w:val="6C3C6DF4"/>
    <w:rsid w:val="6C427652"/>
    <w:rsid w:val="6C49456A"/>
    <w:rsid w:val="6C4E5FF7"/>
    <w:rsid w:val="6C4F2F8E"/>
    <w:rsid w:val="6C501D6F"/>
    <w:rsid w:val="6C601343"/>
    <w:rsid w:val="6C87517B"/>
    <w:rsid w:val="6C8B724B"/>
    <w:rsid w:val="6C9C1724"/>
    <w:rsid w:val="6CAE2847"/>
    <w:rsid w:val="6CB71DEE"/>
    <w:rsid w:val="6CBC5B45"/>
    <w:rsid w:val="6CBF3BA0"/>
    <w:rsid w:val="6CBF4421"/>
    <w:rsid w:val="6CD01102"/>
    <w:rsid w:val="6CD57DDC"/>
    <w:rsid w:val="6CD938B8"/>
    <w:rsid w:val="6CDB1F80"/>
    <w:rsid w:val="6CDB65B5"/>
    <w:rsid w:val="6CE001C5"/>
    <w:rsid w:val="6CE626D3"/>
    <w:rsid w:val="6CEC305A"/>
    <w:rsid w:val="6CF14736"/>
    <w:rsid w:val="6CF23940"/>
    <w:rsid w:val="6D050DAB"/>
    <w:rsid w:val="6D0B038C"/>
    <w:rsid w:val="6D0D7C60"/>
    <w:rsid w:val="6D20348C"/>
    <w:rsid w:val="6D246EEC"/>
    <w:rsid w:val="6D2620AE"/>
    <w:rsid w:val="6D282CEC"/>
    <w:rsid w:val="6D2B6338"/>
    <w:rsid w:val="6D34343E"/>
    <w:rsid w:val="6D3A6B13"/>
    <w:rsid w:val="6D4A0EB4"/>
    <w:rsid w:val="6D611392"/>
    <w:rsid w:val="6D6431B8"/>
    <w:rsid w:val="6D763A57"/>
    <w:rsid w:val="6D836174"/>
    <w:rsid w:val="6D846E13"/>
    <w:rsid w:val="6D85569A"/>
    <w:rsid w:val="6D9A1ED1"/>
    <w:rsid w:val="6DA06D26"/>
    <w:rsid w:val="6DAC56CB"/>
    <w:rsid w:val="6DB06846"/>
    <w:rsid w:val="6DBF419D"/>
    <w:rsid w:val="6DC325BF"/>
    <w:rsid w:val="6DCC3677"/>
    <w:rsid w:val="6DE035C6"/>
    <w:rsid w:val="6DFA6436"/>
    <w:rsid w:val="6E05286F"/>
    <w:rsid w:val="6E070B53"/>
    <w:rsid w:val="6E080427"/>
    <w:rsid w:val="6E1374F8"/>
    <w:rsid w:val="6E166FE8"/>
    <w:rsid w:val="6E18375C"/>
    <w:rsid w:val="6E53312C"/>
    <w:rsid w:val="6E565636"/>
    <w:rsid w:val="6E57131F"/>
    <w:rsid w:val="6E602011"/>
    <w:rsid w:val="6E676007"/>
    <w:rsid w:val="6E695932"/>
    <w:rsid w:val="6E6C09B6"/>
    <w:rsid w:val="6E6E0BD2"/>
    <w:rsid w:val="6E7000A8"/>
    <w:rsid w:val="6E7C0D21"/>
    <w:rsid w:val="6E7F06E9"/>
    <w:rsid w:val="6E9817AB"/>
    <w:rsid w:val="6E994887"/>
    <w:rsid w:val="6E9E233E"/>
    <w:rsid w:val="6EA27044"/>
    <w:rsid w:val="6EA506C4"/>
    <w:rsid w:val="6EAC5256"/>
    <w:rsid w:val="6EAD0B08"/>
    <w:rsid w:val="6EBF31DC"/>
    <w:rsid w:val="6EC16F54"/>
    <w:rsid w:val="6ECC76A7"/>
    <w:rsid w:val="6ED578C8"/>
    <w:rsid w:val="6ED7333A"/>
    <w:rsid w:val="6EF56BFD"/>
    <w:rsid w:val="6F17502C"/>
    <w:rsid w:val="6F1A48B6"/>
    <w:rsid w:val="6F3C27DD"/>
    <w:rsid w:val="6F6A1399"/>
    <w:rsid w:val="6F753DC4"/>
    <w:rsid w:val="6F836956"/>
    <w:rsid w:val="6F906926"/>
    <w:rsid w:val="6F92269E"/>
    <w:rsid w:val="6FCE14E4"/>
    <w:rsid w:val="6FD364B6"/>
    <w:rsid w:val="6FD602A2"/>
    <w:rsid w:val="6FDB2297"/>
    <w:rsid w:val="6FDB4045"/>
    <w:rsid w:val="6FE442B3"/>
    <w:rsid w:val="700E32C7"/>
    <w:rsid w:val="70123F1D"/>
    <w:rsid w:val="7016507D"/>
    <w:rsid w:val="70207CAA"/>
    <w:rsid w:val="702E0619"/>
    <w:rsid w:val="702F13E2"/>
    <w:rsid w:val="70405B5C"/>
    <w:rsid w:val="70407FC9"/>
    <w:rsid w:val="704D10EC"/>
    <w:rsid w:val="704F058F"/>
    <w:rsid w:val="70532E88"/>
    <w:rsid w:val="7073427E"/>
    <w:rsid w:val="707B3132"/>
    <w:rsid w:val="70904E30"/>
    <w:rsid w:val="70915616"/>
    <w:rsid w:val="70972D4C"/>
    <w:rsid w:val="70B34FC2"/>
    <w:rsid w:val="70B56644"/>
    <w:rsid w:val="70C66AA3"/>
    <w:rsid w:val="70C74F52"/>
    <w:rsid w:val="70D30931"/>
    <w:rsid w:val="70DE203F"/>
    <w:rsid w:val="70EC7415"/>
    <w:rsid w:val="70F87E64"/>
    <w:rsid w:val="70F90889"/>
    <w:rsid w:val="712D4800"/>
    <w:rsid w:val="714670E7"/>
    <w:rsid w:val="715259A5"/>
    <w:rsid w:val="715E4F2E"/>
    <w:rsid w:val="716F0649"/>
    <w:rsid w:val="71804EA4"/>
    <w:rsid w:val="718A11B3"/>
    <w:rsid w:val="7191181C"/>
    <w:rsid w:val="71A10A4C"/>
    <w:rsid w:val="71A67EED"/>
    <w:rsid w:val="71AB7A47"/>
    <w:rsid w:val="71AC0833"/>
    <w:rsid w:val="71B07F9A"/>
    <w:rsid w:val="71B20DD6"/>
    <w:rsid w:val="71B73BED"/>
    <w:rsid w:val="71C27D3A"/>
    <w:rsid w:val="71F94E9C"/>
    <w:rsid w:val="71FA3967"/>
    <w:rsid w:val="72192C03"/>
    <w:rsid w:val="721B2713"/>
    <w:rsid w:val="721E46BD"/>
    <w:rsid w:val="72230E8C"/>
    <w:rsid w:val="724F0D1A"/>
    <w:rsid w:val="725C373A"/>
    <w:rsid w:val="72760055"/>
    <w:rsid w:val="72782995"/>
    <w:rsid w:val="728E1DDE"/>
    <w:rsid w:val="72987FCC"/>
    <w:rsid w:val="72997E60"/>
    <w:rsid w:val="72AC1CC9"/>
    <w:rsid w:val="72B21613"/>
    <w:rsid w:val="72D80D10"/>
    <w:rsid w:val="72DB610A"/>
    <w:rsid w:val="72E66F89"/>
    <w:rsid w:val="72ED0140"/>
    <w:rsid w:val="7309711B"/>
    <w:rsid w:val="730B4C41"/>
    <w:rsid w:val="730D6C0C"/>
    <w:rsid w:val="731D6723"/>
    <w:rsid w:val="732E26DE"/>
    <w:rsid w:val="73335F46"/>
    <w:rsid w:val="733D3045"/>
    <w:rsid w:val="73407E70"/>
    <w:rsid w:val="73487C44"/>
    <w:rsid w:val="735269D8"/>
    <w:rsid w:val="736F3422"/>
    <w:rsid w:val="7372069C"/>
    <w:rsid w:val="73722F12"/>
    <w:rsid w:val="73867C84"/>
    <w:rsid w:val="738844E4"/>
    <w:rsid w:val="739058A3"/>
    <w:rsid w:val="73A51F17"/>
    <w:rsid w:val="73B76B77"/>
    <w:rsid w:val="73BC23E0"/>
    <w:rsid w:val="73BC5F3C"/>
    <w:rsid w:val="73C30F94"/>
    <w:rsid w:val="73C3551C"/>
    <w:rsid w:val="73D6524F"/>
    <w:rsid w:val="73E2194B"/>
    <w:rsid w:val="73EA4857"/>
    <w:rsid w:val="73EF1E6D"/>
    <w:rsid w:val="73FB6A64"/>
    <w:rsid w:val="740828A2"/>
    <w:rsid w:val="742171A7"/>
    <w:rsid w:val="7428537F"/>
    <w:rsid w:val="74405476"/>
    <w:rsid w:val="74444DB1"/>
    <w:rsid w:val="74567ED4"/>
    <w:rsid w:val="745C2421"/>
    <w:rsid w:val="747C43B9"/>
    <w:rsid w:val="748A428C"/>
    <w:rsid w:val="74950A49"/>
    <w:rsid w:val="749668CA"/>
    <w:rsid w:val="749B0247"/>
    <w:rsid w:val="749D6310"/>
    <w:rsid w:val="74A85E8F"/>
    <w:rsid w:val="74AC7D5E"/>
    <w:rsid w:val="74C43359"/>
    <w:rsid w:val="74CC78E6"/>
    <w:rsid w:val="74D6302D"/>
    <w:rsid w:val="74D973E1"/>
    <w:rsid w:val="74DA2B1D"/>
    <w:rsid w:val="74E13547"/>
    <w:rsid w:val="750C4CA1"/>
    <w:rsid w:val="752124FA"/>
    <w:rsid w:val="752E3777"/>
    <w:rsid w:val="753F6E24"/>
    <w:rsid w:val="75502DDF"/>
    <w:rsid w:val="75524DAA"/>
    <w:rsid w:val="75616D9B"/>
    <w:rsid w:val="75812F99"/>
    <w:rsid w:val="75826D11"/>
    <w:rsid w:val="75833255"/>
    <w:rsid w:val="758B3E18"/>
    <w:rsid w:val="759B5956"/>
    <w:rsid w:val="759C588F"/>
    <w:rsid w:val="75B643F3"/>
    <w:rsid w:val="75C331E2"/>
    <w:rsid w:val="75CC779E"/>
    <w:rsid w:val="75DB55A5"/>
    <w:rsid w:val="75E27A9D"/>
    <w:rsid w:val="75E31DE4"/>
    <w:rsid w:val="75F06371"/>
    <w:rsid w:val="75F748A2"/>
    <w:rsid w:val="76004806"/>
    <w:rsid w:val="761B45EA"/>
    <w:rsid w:val="7639110C"/>
    <w:rsid w:val="763B3A90"/>
    <w:rsid w:val="764212AB"/>
    <w:rsid w:val="76446FB1"/>
    <w:rsid w:val="76481D09"/>
    <w:rsid w:val="76484F6D"/>
    <w:rsid w:val="764D4B3C"/>
    <w:rsid w:val="765E152C"/>
    <w:rsid w:val="767A6C75"/>
    <w:rsid w:val="769B62DC"/>
    <w:rsid w:val="769D2EF6"/>
    <w:rsid w:val="76AF7FDA"/>
    <w:rsid w:val="76B0513E"/>
    <w:rsid w:val="76B15B00"/>
    <w:rsid w:val="76C84BF7"/>
    <w:rsid w:val="76CC0432"/>
    <w:rsid w:val="76E732D0"/>
    <w:rsid w:val="76EB7264"/>
    <w:rsid w:val="76EC08E6"/>
    <w:rsid w:val="76FF646A"/>
    <w:rsid w:val="76FF686B"/>
    <w:rsid w:val="770F2826"/>
    <w:rsid w:val="771A07B8"/>
    <w:rsid w:val="771C30BE"/>
    <w:rsid w:val="771D2658"/>
    <w:rsid w:val="774C3F3A"/>
    <w:rsid w:val="775D7D44"/>
    <w:rsid w:val="77703586"/>
    <w:rsid w:val="777B0556"/>
    <w:rsid w:val="779251BE"/>
    <w:rsid w:val="77997A68"/>
    <w:rsid w:val="77AD35E5"/>
    <w:rsid w:val="77C3681E"/>
    <w:rsid w:val="77C90C27"/>
    <w:rsid w:val="77C93705"/>
    <w:rsid w:val="77CE623E"/>
    <w:rsid w:val="77DB72D8"/>
    <w:rsid w:val="77E06906"/>
    <w:rsid w:val="77E872FF"/>
    <w:rsid w:val="77F42148"/>
    <w:rsid w:val="77FF289B"/>
    <w:rsid w:val="78014865"/>
    <w:rsid w:val="78166745"/>
    <w:rsid w:val="782D1AFA"/>
    <w:rsid w:val="783B1B25"/>
    <w:rsid w:val="78434E7D"/>
    <w:rsid w:val="78874D6A"/>
    <w:rsid w:val="788F00C3"/>
    <w:rsid w:val="78943932"/>
    <w:rsid w:val="78972AD3"/>
    <w:rsid w:val="78981D74"/>
    <w:rsid w:val="78994327"/>
    <w:rsid w:val="789D3206"/>
    <w:rsid w:val="78B421C0"/>
    <w:rsid w:val="78BD078C"/>
    <w:rsid w:val="78C338C8"/>
    <w:rsid w:val="78C45314"/>
    <w:rsid w:val="78D41F79"/>
    <w:rsid w:val="78E831B6"/>
    <w:rsid w:val="78F341AE"/>
    <w:rsid w:val="79022643"/>
    <w:rsid w:val="7922503D"/>
    <w:rsid w:val="79256CAC"/>
    <w:rsid w:val="79257675"/>
    <w:rsid w:val="792F0363"/>
    <w:rsid w:val="793A0B39"/>
    <w:rsid w:val="793D5D57"/>
    <w:rsid w:val="7949408E"/>
    <w:rsid w:val="794D70AD"/>
    <w:rsid w:val="79501600"/>
    <w:rsid w:val="79515F63"/>
    <w:rsid w:val="7951722A"/>
    <w:rsid w:val="79534C4C"/>
    <w:rsid w:val="79674B9C"/>
    <w:rsid w:val="796C0E43"/>
    <w:rsid w:val="79725A1A"/>
    <w:rsid w:val="79743091"/>
    <w:rsid w:val="797D43BF"/>
    <w:rsid w:val="7982235E"/>
    <w:rsid w:val="7982592F"/>
    <w:rsid w:val="798D4602"/>
    <w:rsid w:val="79AA0299"/>
    <w:rsid w:val="79AB780C"/>
    <w:rsid w:val="79C773E8"/>
    <w:rsid w:val="79D20267"/>
    <w:rsid w:val="79D74330"/>
    <w:rsid w:val="79DB7EA0"/>
    <w:rsid w:val="79E753EB"/>
    <w:rsid w:val="79F04B91"/>
    <w:rsid w:val="79FC7092"/>
    <w:rsid w:val="7A013C8D"/>
    <w:rsid w:val="7A1856FB"/>
    <w:rsid w:val="7A28257D"/>
    <w:rsid w:val="7A4D3D91"/>
    <w:rsid w:val="7A4E3666"/>
    <w:rsid w:val="7A4F18B8"/>
    <w:rsid w:val="7A5F681E"/>
    <w:rsid w:val="7A6D7D87"/>
    <w:rsid w:val="7A721A4A"/>
    <w:rsid w:val="7A7C03CF"/>
    <w:rsid w:val="7A856E51"/>
    <w:rsid w:val="7A910027"/>
    <w:rsid w:val="7A9B2D4F"/>
    <w:rsid w:val="7A9C35F5"/>
    <w:rsid w:val="7AA634A2"/>
    <w:rsid w:val="7AAB2866"/>
    <w:rsid w:val="7ABD2CC5"/>
    <w:rsid w:val="7AC3408E"/>
    <w:rsid w:val="7AC83418"/>
    <w:rsid w:val="7AC9361E"/>
    <w:rsid w:val="7ACA5B43"/>
    <w:rsid w:val="7AD85D51"/>
    <w:rsid w:val="7ADB2D85"/>
    <w:rsid w:val="7AE77D42"/>
    <w:rsid w:val="7AF5419F"/>
    <w:rsid w:val="7B046089"/>
    <w:rsid w:val="7B0A533F"/>
    <w:rsid w:val="7B19768A"/>
    <w:rsid w:val="7B203E54"/>
    <w:rsid w:val="7B3B6FC0"/>
    <w:rsid w:val="7B4909FD"/>
    <w:rsid w:val="7B5E37AE"/>
    <w:rsid w:val="7B5F3D7C"/>
    <w:rsid w:val="7B6A44CF"/>
    <w:rsid w:val="7B933A26"/>
    <w:rsid w:val="7B9361A0"/>
    <w:rsid w:val="7B9C5216"/>
    <w:rsid w:val="7BA67BFD"/>
    <w:rsid w:val="7BB5352B"/>
    <w:rsid w:val="7BB77852"/>
    <w:rsid w:val="7BC41AE3"/>
    <w:rsid w:val="7BCA7E8D"/>
    <w:rsid w:val="7BE23358"/>
    <w:rsid w:val="7C0C660D"/>
    <w:rsid w:val="7C431520"/>
    <w:rsid w:val="7C4953F6"/>
    <w:rsid w:val="7C646D0F"/>
    <w:rsid w:val="7C941BC3"/>
    <w:rsid w:val="7CB400F8"/>
    <w:rsid w:val="7CD97B5E"/>
    <w:rsid w:val="7CDD3624"/>
    <w:rsid w:val="7CE04A49"/>
    <w:rsid w:val="7CE56503"/>
    <w:rsid w:val="7CED53B8"/>
    <w:rsid w:val="7CEF4DF8"/>
    <w:rsid w:val="7CEF7382"/>
    <w:rsid w:val="7CF92E67"/>
    <w:rsid w:val="7CFC39CF"/>
    <w:rsid w:val="7D0C7F34"/>
    <w:rsid w:val="7D1E420E"/>
    <w:rsid w:val="7D430BB9"/>
    <w:rsid w:val="7D6E474B"/>
    <w:rsid w:val="7D7A30EF"/>
    <w:rsid w:val="7D7B6E68"/>
    <w:rsid w:val="7D871368"/>
    <w:rsid w:val="7D8E26F7"/>
    <w:rsid w:val="7D92777B"/>
    <w:rsid w:val="7D965A4F"/>
    <w:rsid w:val="7D9F4FAC"/>
    <w:rsid w:val="7DAC4A5D"/>
    <w:rsid w:val="7DB61C4E"/>
    <w:rsid w:val="7DD40F9F"/>
    <w:rsid w:val="7DD722F0"/>
    <w:rsid w:val="7DDA7250"/>
    <w:rsid w:val="7DDD367E"/>
    <w:rsid w:val="7DF307B0"/>
    <w:rsid w:val="7DFB6865"/>
    <w:rsid w:val="7E092BAE"/>
    <w:rsid w:val="7E1153D2"/>
    <w:rsid w:val="7E1448F8"/>
    <w:rsid w:val="7E1D3874"/>
    <w:rsid w:val="7E290672"/>
    <w:rsid w:val="7E385DD8"/>
    <w:rsid w:val="7E523AE3"/>
    <w:rsid w:val="7E6A6551"/>
    <w:rsid w:val="7E7066E2"/>
    <w:rsid w:val="7E7E09BD"/>
    <w:rsid w:val="7E8D1EC8"/>
    <w:rsid w:val="7E9006F1"/>
    <w:rsid w:val="7E9A0244"/>
    <w:rsid w:val="7EA515B5"/>
    <w:rsid w:val="7EAB552B"/>
    <w:rsid w:val="7EAC0F2D"/>
    <w:rsid w:val="7EAF15B4"/>
    <w:rsid w:val="7EB22415"/>
    <w:rsid w:val="7EB77A2B"/>
    <w:rsid w:val="7ED72E9F"/>
    <w:rsid w:val="7EDE320A"/>
    <w:rsid w:val="7EEF65DD"/>
    <w:rsid w:val="7EF23159"/>
    <w:rsid w:val="7F193382"/>
    <w:rsid w:val="7F3948E4"/>
    <w:rsid w:val="7F4A4D43"/>
    <w:rsid w:val="7F732964"/>
    <w:rsid w:val="7F8A3392"/>
    <w:rsid w:val="7F9D088D"/>
    <w:rsid w:val="7FAD6673"/>
    <w:rsid w:val="7FAF12A9"/>
    <w:rsid w:val="7FB65F35"/>
    <w:rsid w:val="7FCA19E0"/>
    <w:rsid w:val="7FD75309"/>
    <w:rsid w:val="7FDC1E3F"/>
    <w:rsid w:val="7FDD5BB8"/>
    <w:rsid w:val="7FE24F7C"/>
    <w:rsid w:val="7FE742F3"/>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qFormat="1" w:unhideWhenUsed="0" w:uiPriority="0" w:semiHidden="0" w:name="HTML Keyboard"/>
    <w:lsdException w:qFormat="1" w:unhideWhenUsed="0" w:uiPriority="0" w:semiHidden="0" w:name="HTML Preformatted"/>
    <w:lsdException w:qFormat="1" w:uiPriority="99"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6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63"/>
    <w:qFormat/>
    <w:uiPriority w:val="0"/>
    <w:pPr>
      <w:keepNext/>
      <w:keepLines/>
      <w:tabs>
        <w:tab w:val="left" w:pos="720"/>
      </w:tabs>
      <w:spacing w:before="260" w:afterLines="50" w:line="416" w:lineRule="auto"/>
      <w:ind w:left="720" w:hanging="720"/>
      <w:outlineLvl w:val="2"/>
    </w:pPr>
    <w:rPr>
      <w:rFonts w:ascii="Arial" w:hAnsi="Arial" w:eastAsia="黑体" w:cs="宋体"/>
      <w:color w:val="000000"/>
      <w:spacing w:val="20"/>
      <w:kern w:val="0"/>
      <w:sz w:val="30"/>
      <w:szCs w:val="32"/>
    </w:rPr>
  </w:style>
  <w:style w:type="paragraph" w:styleId="8">
    <w:name w:val="heading 4"/>
    <w:basedOn w:val="1"/>
    <w:next w:val="1"/>
    <w:link w:val="64"/>
    <w:qFormat/>
    <w:uiPriority w:val="0"/>
    <w:pPr>
      <w:keepNext/>
      <w:keepLines/>
      <w:tabs>
        <w:tab w:val="left" w:pos="1079"/>
      </w:tabs>
      <w:spacing w:before="280" w:afterLines="50" w:line="377" w:lineRule="auto"/>
      <w:ind w:left="1077" w:hanging="1077"/>
      <w:outlineLvl w:val="3"/>
    </w:pPr>
    <w:rPr>
      <w:rFonts w:ascii="Arial" w:hAnsi="Arial" w:eastAsia="黑体" w:cs="宋体"/>
      <w:color w:val="000000"/>
      <w:spacing w:val="10"/>
      <w:kern w:val="0"/>
      <w:sz w:val="28"/>
      <w:szCs w:val="28"/>
    </w:rPr>
  </w:style>
  <w:style w:type="paragraph" w:styleId="9">
    <w:name w:val="heading 5"/>
    <w:basedOn w:val="1"/>
    <w:next w:val="10"/>
    <w:link w:val="65"/>
    <w:qFormat/>
    <w:uiPriority w:val="0"/>
    <w:pPr>
      <w:keepNext/>
      <w:keepLines/>
      <w:tabs>
        <w:tab w:val="left" w:pos="1260"/>
      </w:tabs>
      <w:spacing w:before="280" w:afterLines="50" w:line="377" w:lineRule="auto"/>
      <w:ind w:left="1259" w:hanging="1259"/>
      <w:outlineLvl w:val="4"/>
    </w:pPr>
    <w:rPr>
      <w:rFonts w:ascii="Arial" w:hAnsi="Arial" w:eastAsia="黑体" w:cs="宋体"/>
      <w:color w:val="000000"/>
      <w:spacing w:val="10"/>
      <w:kern w:val="0"/>
      <w:sz w:val="28"/>
      <w:szCs w:val="28"/>
    </w:rPr>
  </w:style>
  <w:style w:type="paragraph" w:styleId="11">
    <w:name w:val="heading 6"/>
    <w:basedOn w:val="1"/>
    <w:next w:val="10"/>
    <w:link w:val="66"/>
    <w:qFormat/>
    <w:uiPriority w:val="0"/>
    <w:pPr>
      <w:keepNext/>
      <w:keepLines/>
      <w:tabs>
        <w:tab w:val="left" w:pos="1428"/>
      </w:tabs>
      <w:spacing w:before="240" w:afterLines="50" w:line="319" w:lineRule="auto"/>
      <w:ind w:left="550" w:hanging="550" w:hangingChars="550"/>
      <w:outlineLvl w:val="5"/>
    </w:pPr>
    <w:rPr>
      <w:rFonts w:ascii="Arial" w:hAnsi="Arial" w:eastAsia="黑体" w:cs="宋体"/>
      <w:color w:val="000000"/>
      <w:spacing w:val="10"/>
      <w:kern w:val="0"/>
      <w:sz w:val="24"/>
      <w:szCs w:val="21"/>
    </w:rPr>
  </w:style>
  <w:style w:type="paragraph" w:styleId="12">
    <w:name w:val="heading 7"/>
    <w:basedOn w:val="1"/>
    <w:next w:val="10"/>
    <w:link w:val="67"/>
    <w:qFormat/>
    <w:uiPriority w:val="0"/>
    <w:pPr>
      <w:keepNext/>
      <w:keepLines/>
      <w:tabs>
        <w:tab w:val="left" w:pos="1638"/>
      </w:tabs>
      <w:spacing w:before="240" w:afterLines="50" w:line="319" w:lineRule="auto"/>
      <w:ind w:left="1633" w:hanging="1633"/>
      <w:outlineLvl w:val="6"/>
    </w:pPr>
    <w:rPr>
      <w:rFonts w:ascii="Arial" w:hAnsi="Arial" w:eastAsia="黑体" w:cs="宋体"/>
      <w:color w:val="000000"/>
      <w:kern w:val="0"/>
      <w:sz w:val="24"/>
      <w:szCs w:val="21"/>
    </w:rPr>
  </w:style>
  <w:style w:type="paragraph" w:styleId="13">
    <w:name w:val="heading 8"/>
    <w:basedOn w:val="1"/>
    <w:next w:val="10"/>
    <w:link w:val="68"/>
    <w:qFormat/>
    <w:uiPriority w:val="0"/>
    <w:pPr>
      <w:keepNext/>
      <w:keepLines/>
      <w:tabs>
        <w:tab w:val="left" w:pos="1800"/>
      </w:tabs>
      <w:spacing w:before="240" w:afterLines="50" w:line="319" w:lineRule="auto"/>
      <w:ind w:left="1797" w:hanging="1797"/>
      <w:outlineLvl w:val="7"/>
    </w:pPr>
    <w:rPr>
      <w:rFonts w:ascii="Arial" w:hAnsi="Arial" w:eastAsia="黑体" w:cs="宋体"/>
      <w:b/>
      <w:bCs/>
      <w:color w:val="000000"/>
      <w:kern w:val="0"/>
      <w:sz w:val="24"/>
      <w:szCs w:val="21"/>
    </w:rPr>
  </w:style>
  <w:style w:type="paragraph" w:styleId="14">
    <w:name w:val="heading 9"/>
    <w:basedOn w:val="1"/>
    <w:next w:val="10"/>
    <w:link w:val="69"/>
    <w:qFormat/>
    <w:uiPriority w:val="0"/>
    <w:pPr>
      <w:keepNext/>
      <w:keepLines/>
      <w:tabs>
        <w:tab w:val="left" w:pos="1980"/>
      </w:tabs>
      <w:spacing w:before="240" w:afterLines="50" w:line="319" w:lineRule="auto"/>
      <w:ind w:left="1979" w:hanging="1979"/>
      <w:outlineLvl w:val="8"/>
    </w:pPr>
    <w:rPr>
      <w:rFonts w:ascii="Arial" w:hAnsi="Arial" w:eastAsia="黑体" w:cs="宋体"/>
      <w:b/>
      <w:bCs/>
      <w:color w:val="000000"/>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1"/>
    <w:next w:val="4"/>
    <w:qFormat/>
    <w:uiPriority w:val="0"/>
    <w:pPr>
      <w:ind w:firstLine="420" w:firstLineChars="100"/>
    </w:pPr>
  </w:style>
  <w:style w:type="paragraph" w:styleId="4">
    <w:name w:val="toc 6"/>
    <w:basedOn w:val="1"/>
    <w:next w:val="1"/>
    <w:qFormat/>
    <w:uiPriority w:val="0"/>
    <w:pPr>
      <w:ind w:left="2100" w:leftChars="1000"/>
    </w:pPr>
    <w:rPr>
      <w:rFonts w:ascii="仿宋_GB2312" w:hAnsi="宋体" w:eastAsia="仿宋_GB2312" w:cs="宋体"/>
      <w:b/>
      <w:bCs/>
      <w:color w:val="000000"/>
      <w:kern w:val="0"/>
      <w:szCs w:val="21"/>
    </w:rPr>
  </w:style>
  <w:style w:type="paragraph" w:styleId="10">
    <w:name w:val="Normal Indent"/>
    <w:basedOn w:val="1"/>
    <w:next w:val="1"/>
    <w:link w:val="62"/>
    <w:qFormat/>
    <w:uiPriority w:val="0"/>
    <w:pPr>
      <w:ind w:firstLine="420" w:firstLineChars="200"/>
    </w:pPr>
    <w:rPr>
      <w:rFonts w:ascii="仿宋_GB2312" w:hAnsi="宋体" w:eastAsia="仿宋_GB2312" w:cs="宋体"/>
      <w:b/>
      <w:bCs/>
      <w:color w:val="000000"/>
      <w:kern w:val="0"/>
      <w:szCs w:val="21"/>
    </w:rPr>
  </w:style>
  <w:style w:type="paragraph" w:styleId="15">
    <w:name w:val="caption"/>
    <w:basedOn w:val="1"/>
    <w:next w:val="1"/>
    <w:qFormat/>
    <w:uiPriority w:val="0"/>
    <w:rPr>
      <w:rFonts w:ascii="Arial" w:hAnsi="Arial" w:eastAsia="黑体" w:cs="Arial"/>
      <w:color w:val="000000"/>
      <w:kern w:val="1"/>
      <w:sz w:val="20"/>
      <w:szCs w:val="20"/>
    </w:rPr>
  </w:style>
  <w:style w:type="paragraph" w:styleId="16">
    <w:name w:val="List Bullet"/>
    <w:basedOn w:val="1"/>
    <w:qFormat/>
    <w:uiPriority w:val="0"/>
    <w:pPr>
      <w:spacing w:line="360" w:lineRule="auto"/>
    </w:pPr>
    <w:rPr>
      <w:rFonts w:ascii="宋体" w:hAnsi="宋体"/>
      <w:sz w:val="20"/>
      <w:szCs w:val="20"/>
    </w:rPr>
  </w:style>
  <w:style w:type="paragraph" w:styleId="17">
    <w:name w:val="Document Map"/>
    <w:basedOn w:val="1"/>
    <w:link w:val="99"/>
    <w:semiHidden/>
    <w:qFormat/>
    <w:uiPriority w:val="0"/>
    <w:pPr>
      <w:shd w:val="clear" w:color="auto" w:fill="000080"/>
    </w:pPr>
  </w:style>
  <w:style w:type="paragraph" w:styleId="18">
    <w:name w:val="annotation text"/>
    <w:basedOn w:val="1"/>
    <w:link w:val="70"/>
    <w:unhideWhenUsed/>
    <w:qFormat/>
    <w:uiPriority w:val="0"/>
    <w:pPr>
      <w:jc w:val="left"/>
    </w:pPr>
  </w:style>
  <w:style w:type="paragraph" w:styleId="19">
    <w:name w:val="Body Text 3"/>
    <w:basedOn w:val="1"/>
    <w:link w:val="178"/>
    <w:unhideWhenUsed/>
    <w:qFormat/>
    <w:uiPriority w:val="0"/>
    <w:pPr>
      <w:spacing w:after="120"/>
    </w:pPr>
    <w:rPr>
      <w:sz w:val="16"/>
      <w:szCs w:val="16"/>
    </w:rPr>
  </w:style>
  <w:style w:type="paragraph" w:styleId="20">
    <w:name w:val="Body Text Indent"/>
    <w:basedOn w:val="1"/>
    <w:qFormat/>
    <w:uiPriority w:val="0"/>
    <w:pPr>
      <w:ind w:left="480" w:hanging="480" w:hangingChars="200"/>
    </w:pPr>
    <w:rPr>
      <w:sz w:val="24"/>
    </w:rPr>
  </w:style>
  <w:style w:type="paragraph" w:styleId="21">
    <w:name w:val="List Number 3"/>
    <w:basedOn w:val="1"/>
    <w:qFormat/>
    <w:uiPriority w:val="0"/>
    <w:pPr>
      <w:widowControl/>
      <w:tabs>
        <w:tab w:val="left" w:pos="2260"/>
      </w:tabs>
      <w:spacing w:afterLines="50"/>
      <w:ind w:left="2260" w:hanging="340"/>
      <w:jc w:val="left"/>
    </w:pPr>
    <w:rPr>
      <w:kern w:val="0"/>
      <w:sz w:val="24"/>
      <w:szCs w:val="20"/>
    </w:rPr>
  </w:style>
  <w:style w:type="paragraph" w:styleId="22">
    <w:name w:val="List Continue"/>
    <w:basedOn w:val="1"/>
    <w:qFormat/>
    <w:uiPriority w:val="0"/>
    <w:pPr>
      <w:spacing w:after="120"/>
      <w:ind w:left="420"/>
    </w:pPr>
    <w:rPr>
      <w:rFonts w:eastAsia="楷体_GB2312"/>
      <w:sz w:val="32"/>
      <w:szCs w:val="20"/>
    </w:rPr>
  </w:style>
  <w:style w:type="paragraph" w:styleId="23">
    <w:name w:val="Block Text"/>
    <w:basedOn w:val="1"/>
    <w:qFormat/>
    <w:uiPriority w:val="0"/>
    <w:pPr>
      <w:spacing w:after="120"/>
      <w:ind w:left="1440" w:leftChars="700" w:right="1440" w:rightChars="700"/>
    </w:pPr>
    <w:rPr>
      <w:szCs w:val="22"/>
    </w:rPr>
  </w:style>
  <w:style w:type="paragraph" w:styleId="24">
    <w:name w:val="toc 3"/>
    <w:basedOn w:val="1"/>
    <w:next w:val="1"/>
    <w:semiHidden/>
    <w:qFormat/>
    <w:uiPriority w:val="0"/>
    <w:pPr>
      <w:tabs>
        <w:tab w:val="right" w:leader="dot" w:pos="8777"/>
      </w:tabs>
      <w:spacing w:line="500" w:lineRule="atLeast"/>
      <w:ind w:left="540" w:leftChars="257"/>
    </w:pPr>
  </w:style>
  <w:style w:type="paragraph" w:styleId="25">
    <w:name w:val="Plain Text"/>
    <w:basedOn w:val="1"/>
    <w:next w:val="1"/>
    <w:link w:val="7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6">
    <w:name w:val="Date"/>
    <w:basedOn w:val="1"/>
    <w:next w:val="1"/>
    <w:link w:val="100"/>
    <w:qFormat/>
    <w:uiPriority w:val="0"/>
    <w:pPr>
      <w:ind w:left="100" w:leftChars="2500"/>
    </w:pPr>
    <w:rPr>
      <w:rFonts w:ascii="仿宋_GB2312" w:hAnsi="宋体" w:eastAsia="仿宋_GB2312" w:cs="宋体"/>
      <w:b/>
      <w:bCs/>
      <w:color w:val="000000"/>
      <w:kern w:val="0"/>
      <w:sz w:val="24"/>
      <w:szCs w:val="21"/>
    </w:rPr>
  </w:style>
  <w:style w:type="paragraph" w:styleId="27">
    <w:name w:val="Body Text Indent 2"/>
    <w:basedOn w:val="1"/>
    <w:link w:val="72"/>
    <w:qFormat/>
    <w:uiPriority w:val="0"/>
    <w:pPr>
      <w:widowControl/>
      <w:spacing w:line="480" w:lineRule="atLeast"/>
      <w:ind w:firstLine="480"/>
    </w:pPr>
    <w:rPr>
      <w:rFonts w:ascii="宋体" w:hAnsi="宋体" w:eastAsia="仿宋_GB2312"/>
      <w:b/>
      <w:bCs/>
      <w:color w:val="000000"/>
      <w:kern w:val="0"/>
      <w:sz w:val="24"/>
      <w:szCs w:val="20"/>
    </w:rPr>
  </w:style>
  <w:style w:type="paragraph" w:styleId="28">
    <w:name w:val="Balloon Text"/>
    <w:basedOn w:val="1"/>
    <w:semiHidden/>
    <w:qFormat/>
    <w:uiPriority w:val="0"/>
    <w:rPr>
      <w:sz w:val="18"/>
      <w:szCs w:val="18"/>
    </w:rPr>
  </w:style>
  <w:style w:type="paragraph" w:styleId="29">
    <w:name w:val="footer"/>
    <w:basedOn w:val="1"/>
    <w:link w:val="73"/>
    <w:qFormat/>
    <w:uiPriority w:val="0"/>
    <w:pPr>
      <w:tabs>
        <w:tab w:val="center" w:pos="4153"/>
        <w:tab w:val="right" w:pos="8306"/>
      </w:tabs>
      <w:snapToGrid w:val="0"/>
      <w:jc w:val="left"/>
    </w:pPr>
    <w:rPr>
      <w:sz w:val="18"/>
      <w:szCs w:val="18"/>
    </w:rPr>
  </w:style>
  <w:style w:type="paragraph" w:styleId="30">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right" w:leader="dot" w:pos="8777"/>
      </w:tabs>
      <w:spacing w:line="500" w:lineRule="exact"/>
      <w:jc w:val="left"/>
    </w:pPr>
  </w:style>
  <w:style w:type="paragraph" w:styleId="32">
    <w:name w:val="toc 4"/>
    <w:basedOn w:val="1"/>
    <w:next w:val="1"/>
    <w:unhideWhenUsed/>
    <w:qFormat/>
    <w:uiPriority w:val="39"/>
    <w:pPr>
      <w:ind w:left="1260" w:leftChars="600"/>
    </w:pPr>
    <w:rPr>
      <w:rFonts w:ascii="Calibri" w:hAnsi="Calibri"/>
      <w:szCs w:val="22"/>
    </w:rPr>
  </w:style>
  <w:style w:type="paragraph" w:styleId="33">
    <w:name w:val="Subtitle"/>
    <w:basedOn w:val="1"/>
    <w:next w:val="1"/>
    <w:link w:val="75"/>
    <w:qFormat/>
    <w:uiPriority w:val="0"/>
    <w:pPr>
      <w:spacing w:before="240" w:after="60" w:line="312" w:lineRule="auto"/>
      <w:jc w:val="center"/>
      <w:outlineLvl w:val="1"/>
    </w:pPr>
    <w:rPr>
      <w:rFonts w:ascii="Cambria" w:hAnsi="Cambria"/>
      <w:b/>
      <w:bCs/>
      <w:kern w:val="28"/>
      <w:sz w:val="32"/>
      <w:szCs w:val="32"/>
    </w:rPr>
  </w:style>
  <w:style w:type="paragraph" w:styleId="34">
    <w:name w:val="List"/>
    <w:basedOn w:val="1"/>
    <w:qFormat/>
    <w:uiPriority w:val="0"/>
    <w:pPr>
      <w:ind w:left="420" w:hanging="420"/>
    </w:pPr>
    <w:rPr>
      <w:rFonts w:eastAsia="楷体_GB2312"/>
      <w:sz w:val="32"/>
      <w:szCs w:val="20"/>
    </w:rPr>
  </w:style>
  <w:style w:type="paragraph" w:styleId="35">
    <w:name w:val="footnote text"/>
    <w:basedOn w:val="1"/>
    <w:link w:val="101"/>
    <w:qFormat/>
    <w:uiPriority w:val="0"/>
    <w:pPr>
      <w:snapToGrid w:val="0"/>
      <w:jc w:val="left"/>
    </w:pPr>
    <w:rPr>
      <w:sz w:val="18"/>
    </w:rPr>
  </w:style>
  <w:style w:type="paragraph" w:styleId="36">
    <w:name w:val="Body Text Indent 3"/>
    <w:basedOn w:val="1"/>
    <w:link w:val="102"/>
    <w:qFormat/>
    <w:uiPriority w:val="0"/>
    <w:pPr>
      <w:spacing w:after="120"/>
      <w:ind w:left="420" w:leftChars="200"/>
    </w:pPr>
    <w:rPr>
      <w:rFonts w:ascii="仿宋_GB2312" w:hAnsi="宋体" w:eastAsia="仿宋_GB2312" w:cs="宋体"/>
      <w:b/>
      <w:bCs/>
      <w:color w:val="000000"/>
      <w:kern w:val="0"/>
      <w:sz w:val="16"/>
      <w:szCs w:val="16"/>
    </w:rPr>
  </w:style>
  <w:style w:type="paragraph" w:styleId="37">
    <w:name w:val="index 7"/>
    <w:basedOn w:val="1"/>
    <w:next w:val="1"/>
    <w:qFormat/>
    <w:uiPriority w:val="0"/>
    <w:pPr>
      <w:ind w:left="1200" w:leftChars="1200"/>
    </w:pPr>
  </w:style>
  <w:style w:type="paragraph" w:styleId="38">
    <w:name w:val="toc 2"/>
    <w:basedOn w:val="1"/>
    <w:next w:val="1"/>
    <w:qFormat/>
    <w:uiPriority w:val="39"/>
    <w:pPr>
      <w:tabs>
        <w:tab w:val="right" w:leader="dot" w:pos="8777"/>
      </w:tabs>
      <w:spacing w:line="500" w:lineRule="atLeast"/>
      <w:ind w:left="420" w:leftChars="200" w:firstLine="120" w:firstLineChars="50"/>
    </w:pPr>
  </w:style>
  <w:style w:type="paragraph" w:styleId="39">
    <w:name w:val="Body Text 2"/>
    <w:basedOn w:val="1"/>
    <w:next w:val="1"/>
    <w:link w:val="103"/>
    <w:qFormat/>
    <w:uiPriority w:val="0"/>
    <w:pPr>
      <w:spacing w:after="120" w:line="480" w:lineRule="auto"/>
    </w:pPr>
  </w:style>
  <w:style w:type="paragraph" w:styleId="40">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1">
    <w:name w:val="Normal (Web)"/>
    <w:basedOn w:val="1"/>
    <w:link w:val="76"/>
    <w:unhideWhenUsed/>
    <w:qFormat/>
    <w:uiPriority w:val="99"/>
    <w:pPr>
      <w:widowControl/>
      <w:spacing w:before="100" w:beforeAutospacing="1" w:after="100" w:afterAutospacing="1"/>
      <w:jc w:val="left"/>
    </w:pPr>
    <w:rPr>
      <w:rFonts w:ascii="宋体" w:hAnsi="宋体" w:cs="宋体"/>
      <w:kern w:val="0"/>
      <w:sz w:val="24"/>
    </w:rPr>
  </w:style>
  <w:style w:type="paragraph" w:styleId="42">
    <w:name w:val="Title"/>
    <w:basedOn w:val="1"/>
    <w:next w:val="1"/>
    <w:link w:val="77"/>
    <w:qFormat/>
    <w:uiPriority w:val="0"/>
    <w:pPr>
      <w:spacing w:before="240" w:after="60"/>
      <w:jc w:val="center"/>
      <w:outlineLvl w:val="0"/>
    </w:pPr>
    <w:rPr>
      <w:rFonts w:ascii="Cambria" w:hAnsi="Cambria"/>
      <w:b/>
      <w:bCs/>
      <w:sz w:val="32"/>
      <w:szCs w:val="32"/>
    </w:rPr>
  </w:style>
  <w:style w:type="paragraph" w:styleId="43">
    <w:name w:val="annotation subject"/>
    <w:basedOn w:val="18"/>
    <w:next w:val="18"/>
    <w:link w:val="78"/>
    <w:semiHidden/>
    <w:unhideWhenUsed/>
    <w:qFormat/>
    <w:uiPriority w:val="0"/>
    <w:rPr>
      <w:b/>
      <w:bCs/>
    </w:rPr>
  </w:style>
  <w:style w:type="paragraph" w:styleId="44">
    <w:name w:val="Body Text First Indent 2"/>
    <w:basedOn w:val="20"/>
    <w:next w:val="1"/>
    <w:qFormat/>
    <w:uiPriority w:val="0"/>
    <w:pPr>
      <w:spacing w:after="120"/>
      <w:ind w:firstLine="420" w:firstLineChars="200"/>
    </w:pPr>
  </w:style>
  <w:style w:type="table" w:styleId="46">
    <w:name w:val="Table Grid"/>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basedOn w:val="47"/>
    <w:qFormat/>
    <w:uiPriority w:val="0"/>
    <w:rPr>
      <w:i/>
      <w:iCs/>
    </w:rPr>
  </w:style>
  <w:style w:type="character" w:styleId="52">
    <w:name w:val="Hyperlink"/>
    <w:basedOn w:val="47"/>
    <w:qFormat/>
    <w:uiPriority w:val="99"/>
    <w:rPr>
      <w:color w:val="0000FF"/>
      <w:u w:val="single"/>
    </w:rPr>
  </w:style>
  <w:style w:type="character" w:styleId="53">
    <w:name w:val="annotation reference"/>
    <w:basedOn w:val="47"/>
    <w:semiHidden/>
    <w:unhideWhenUsed/>
    <w:qFormat/>
    <w:uiPriority w:val="0"/>
    <w:rPr>
      <w:sz w:val="21"/>
      <w:szCs w:val="21"/>
    </w:rPr>
  </w:style>
  <w:style w:type="character" w:styleId="54">
    <w:name w:val="HTML Keyboard"/>
    <w:qFormat/>
    <w:uiPriority w:val="0"/>
    <w:rPr>
      <w:rFonts w:ascii="monospace" w:hAnsi="monospace" w:eastAsia="monospace" w:cs="monospace"/>
      <w:sz w:val="21"/>
      <w:szCs w:val="21"/>
    </w:rPr>
  </w:style>
  <w:style w:type="character" w:styleId="55">
    <w:name w:val="HTML Sample"/>
    <w:basedOn w:val="47"/>
    <w:semiHidden/>
    <w:unhideWhenUsed/>
    <w:qFormat/>
    <w:uiPriority w:val="99"/>
    <w:rPr>
      <w:rFonts w:ascii="宋体" w:hAnsi="宋体" w:eastAsia="宋体" w:cs="宋体"/>
    </w:rPr>
  </w:style>
  <w:style w:type="paragraph" w:customStyle="1" w:styleId="56">
    <w:name w:val="表格文字"/>
    <w:basedOn w:val="25"/>
    <w:next w:val="2"/>
    <w:qFormat/>
    <w:uiPriority w:val="0"/>
    <w:pPr>
      <w:widowControl/>
      <w:adjustRightInd w:val="0"/>
      <w:spacing w:line="420" w:lineRule="atLeast"/>
      <w:jc w:val="left"/>
      <w:textAlignment w:val="baseline"/>
    </w:pPr>
  </w:style>
  <w:style w:type="paragraph" w:customStyle="1" w:styleId="57">
    <w:name w:val="TOC 标题1"/>
    <w:basedOn w:val="5"/>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5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9">
    <w:name w:val="文档正文"/>
    <w:basedOn w:val="1"/>
    <w:qFormat/>
    <w:uiPriority w:val="0"/>
    <w:pPr>
      <w:adjustRightInd w:val="0"/>
      <w:spacing w:line="300" w:lineRule="auto"/>
      <w:ind w:firstLine="567"/>
      <w:textAlignment w:val="baseline"/>
    </w:pPr>
    <w:rPr>
      <w:kern w:val="0"/>
      <w:sz w:val="24"/>
      <w:szCs w:val="20"/>
    </w:rPr>
  </w:style>
  <w:style w:type="character" w:customStyle="1" w:styleId="60">
    <w:name w:val="标题 1 字符"/>
    <w:link w:val="5"/>
    <w:qFormat/>
    <w:uiPriority w:val="0"/>
    <w:rPr>
      <w:b/>
      <w:bCs/>
      <w:kern w:val="44"/>
      <w:sz w:val="44"/>
      <w:szCs w:val="44"/>
    </w:rPr>
  </w:style>
  <w:style w:type="character" w:customStyle="1" w:styleId="61">
    <w:name w:val="标题 2 字符"/>
    <w:basedOn w:val="47"/>
    <w:link w:val="6"/>
    <w:qFormat/>
    <w:uiPriority w:val="0"/>
    <w:rPr>
      <w:rFonts w:ascii="Arial" w:hAnsi="Arial" w:eastAsia="黑体"/>
      <w:b/>
      <w:bCs/>
      <w:kern w:val="2"/>
      <w:sz w:val="32"/>
      <w:szCs w:val="32"/>
    </w:rPr>
  </w:style>
  <w:style w:type="character" w:customStyle="1" w:styleId="62">
    <w:name w:val="正文缩进 字符"/>
    <w:link w:val="10"/>
    <w:qFormat/>
    <w:uiPriority w:val="0"/>
    <w:rPr>
      <w:rFonts w:ascii="仿宋_GB2312" w:hAnsi="宋体" w:eastAsia="仿宋_GB2312" w:cs="宋体"/>
      <w:b/>
      <w:bCs/>
      <w:color w:val="000000"/>
      <w:sz w:val="21"/>
      <w:szCs w:val="21"/>
      <w:lang w:val="en-US" w:eastAsia="zh-CN" w:bidi="ar-SA"/>
    </w:rPr>
  </w:style>
  <w:style w:type="character" w:customStyle="1" w:styleId="63">
    <w:name w:val="标题 3 字符"/>
    <w:basedOn w:val="47"/>
    <w:link w:val="7"/>
    <w:qFormat/>
    <w:uiPriority w:val="0"/>
    <w:rPr>
      <w:rFonts w:ascii="Arial" w:hAnsi="Arial" w:eastAsia="黑体" w:cs="宋体"/>
      <w:color w:val="000000"/>
      <w:spacing w:val="20"/>
      <w:sz w:val="30"/>
      <w:szCs w:val="32"/>
    </w:rPr>
  </w:style>
  <w:style w:type="character" w:customStyle="1" w:styleId="64">
    <w:name w:val="标题 4 字符"/>
    <w:basedOn w:val="47"/>
    <w:link w:val="8"/>
    <w:qFormat/>
    <w:uiPriority w:val="0"/>
    <w:rPr>
      <w:rFonts w:ascii="Arial" w:hAnsi="Arial" w:eastAsia="黑体" w:cs="宋体"/>
      <w:color w:val="000000"/>
      <w:spacing w:val="10"/>
      <w:sz w:val="28"/>
      <w:szCs w:val="28"/>
    </w:rPr>
  </w:style>
  <w:style w:type="character" w:customStyle="1" w:styleId="65">
    <w:name w:val="标题 5 字符"/>
    <w:basedOn w:val="47"/>
    <w:link w:val="9"/>
    <w:qFormat/>
    <w:uiPriority w:val="0"/>
    <w:rPr>
      <w:rFonts w:ascii="Arial" w:hAnsi="Arial" w:eastAsia="黑体" w:cs="宋体"/>
      <w:color w:val="000000"/>
      <w:spacing w:val="10"/>
      <w:sz w:val="28"/>
      <w:szCs w:val="28"/>
    </w:rPr>
  </w:style>
  <w:style w:type="character" w:customStyle="1" w:styleId="66">
    <w:name w:val="标题 6 字符"/>
    <w:basedOn w:val="47"/>
    <w:link w:val="11"/>
    <w:qFormat/>
    <w:uiPriority w:val="0"/>
    <w:rPr>
      <w:rFonts w:ascii="Arial" w:hAnsi="Arial" w:eastAsia="黑体" w:cs="宋体"/>
      <w:color w:val="000000"/>
      <w:spacing w:val="10"/>
      <w:sz w:val="24"/>
      <w:szCs w:val="21"/>
    </w:rPr>
  </w:style>
  <w:style w:type="character" w:customStyle="1" w:styleId="67">
    <w:name w:val="标题 7 字符"/>
    <w:basedOn w:val="47"/>
    <w:link w:val="12"/>
    <w:qFormat/>
    <w:uiPriority w:val="0"/>
    <w:rPr>
      <w:rFonts w:ascii="Arial" w:hAnsi="Arial" w:eastAsia="黑体" w:cs="宋体"/>
      <w:color w:val="000000"/>
      <w:sz w:val="24"/>
      <w:szCs w:val="21"/>
    </w:rPr>
  </w:style>
  <w:style w:type="character" w:customStyle="1" w:styleId="68">
    <w:name w:val="标题 8 字符"/>
    <w:basedOn w:val="47"/>
    <w:link w:val="13"/>
    <w:qFormat/>
    <w:uiPriority w:val="0"/>
    <w:rPr>
      <w:rFonts w:ascii="Arial" w:hAnsi="Arial" w:eastAsia="黑体" w:cs="宋体"/>
      <w:b/>
      <w:bCs/>
      <w:color w:val="000000"/>
      <w:sz w:val="24"/>
      <w:szCs w:val="21"/>
    </w:rPr>
  </w:style>
  <w:style w:type="character" w:customStyle="1" w:styleId="69">
    <w:name w:val="标题 9 字符"/>
    <w:basedOn w:val="47"/>
    <w:link w:val="14"/>
    <w:qFormat/>
    <w:uiPriority w:val="0"/>
    <w:rPr>
      <w:rFonts w:ascii="Arial" w:hAnsi="Arial" w:eastAsia="黑体" w:cs="宋体"/>
      <w:b/>
      <w:bCs/>
      <w:color w:val="000000"/>
      <w:sz w:val="21"/>
      <w:szCs w:val="21"/>
    </w:rPr>
  </w:style>
  <w:style w:type="character" w:customStyle="1" w:styleId="70">
    <w:name w:val="批注文字 字符"/>
    <w:basedOn w:val="47"/>
    <w:link w:val="18"/>
    <w:qFormat/>
    <w:uiPriority w:val="0"/>
    <w:rPr>
      <w:kern w:val="2"/>
      <w:sz w:val="21"/>
      <w:szCs w:val="24"/>
    </w:rPr>
  </w:style>
  <w:style w:type="character" w:customStyle="1" w:styleId="71">
    <w:name w:val="纯文本 字符"/>
    <w:link w:val="25"/>
    <w:qFormat/>
    <w:uiPriority w:val="0"/>
    <w:rPr>
      <w:rFonts w:ascii="宋体" w:hAnsi="Courier New" w:eastAsia="宋体"/>
      <w:sz w:val="21"/>
      <w:szCs w:val="21"/>
      <w:lang w:val="en-US" w:eastAsia="zh-CN" w:bidi="ar-SA"/>
    </w:rPr>
  </w:style>
  <w:style w:type="character" w:customStyle="1" w:styleId="72">
    <w:name w:val="正文文本缩进 2 字符"/>
    <w:link w:val="27"/>
    <w:qFormat/>
    <w:uiPriority w:val="0"/>
    <w:rPr>
      <w:rFonts w:ascii="宋体" w:hAnsi="宋体" w:eastAsia="仿宋_GB2312"/>
      <w:b/>
      <w:bCs/>
      <w:color w:val="000000"/>
      <w:sz w:val="24"/>
      <w:lang w:bidi="ar-SA"/>
    </w:rPr>
  </w:style>
  <w:style w:type="character" w:customStyle="1" w:styleId="73">
    <w:name w:val="页脚 字符"/>
    <w:link w:val="29"/>
    <w:qFormat/>
    <w:uiPriority w:val="0"/>
    <w:rPr>
      <w:kern w:val="2"/>
      <w:sz w:val="18"/>
      <w:szCs w:val="18"/>
    </w:rPr>
  </w:style>
  <w:style w:type="character" w:customStyle="1" w:styleId="74">
    <w:name w:val="页眉 字符"/>
    <w:link w:val="30"/>
    <w:qFormat/>
    <w:uiPriority w:val="0"/>
    <w:rPr>
      <w:kern w:val="2"/>
      <w:sz w:val="18"/>
      <w:szCs w:val="18"/>
    </w:rPr>
  </w:style>
  <w:style w:type="character" w:customStyle="1" w:styleId="75">
    <w:name w:val="副标题 字符"/>
    <w:basedOn w:val="47"/>
    <w:link w:val="33"/>
    <w:qFormat/>
    <w:uiPriority w:val="0"/>
    <w:rPr>
      <w:rFonts w:ascii="Cambria" w:hAnsi="Cambria" w:cs="Times New Roman"/>
      <w:b/>
      <w:bCs/>
      <w:kern w:val="28"/>
      <w:sz w:val="32"/>
      <w:szCs w:val="32"/>
    </w:rPr>
  </w:style>
  <w:style w:type="character" w:customStyle="1" w:styleId="76">
    <w:name w:val="普通(网站) 字符"/>
    <w:link w:val="41"/>
    <w:qFormat/>
    <w:uiPriority w:val="0"/>
    <w:rPr>
      <w:rFonts w:ascii="宋体" w:hAnsi="宋体" w:cs="宋体"/>
      <w:sz w:val="24"/>
      <w:szCs w:val="24"/>
    </w:rPr>
  </w:style>
  <w:style w:type="character" w:customStyle="1" w:styleId="77">
    <w:name w:val="标题 字符"/>
    <w:basedOn w:val="47"/>
    <w:link w:val="42"/>
    <w:qFormat/>
    <w:uiPriority w:val="0"/>
    <w:rPr>
      <w:rFonts w:ascii="Cambria" w:hAnsi="Cambria" w:cs="Times New Roman"/>
      <w:b/>
      <w:bCs/>
      <w:kern w:val="2"/>
      <w:sz w:val="32"/>
      <w:szCs w:val="32"/>
    </w:rPr>
  </w:style>
  <w:style w:type="character" w:customStyle="1" w:styleId="78">
    <w:name w:val="批注主题 字符"/>
    <w:basedOn w:val="70"/>
    <w:link w:val="43"/>
    <w:semiHidden/>
    <w:qFormat/>
    <w:uiPriority w:val="0"/>
    <w:rPr>
      <w:b/>
      <w:bCs/>
      <w:kern w:val="2"/>
      <w:sz w:val="21"/>
      <w:szCs w:val="24"/>
    </w:rPr>
  </w:style>
  <w:style w:type="character" w:customStyle="1" w:styleId="79">
    <w:name w:val="Char Char5"/>
    <w:qFormat/>
    <w:uiPriority w:val="0"/>
    <w:rPr>
      <w:rFonts w:ascii="Arial" w:hAnsi="Arial" w:eastAsia="宋体" w:cs="Arial"/>
      <w:b/>
      <w:bCs/>
      <w:color w:val="000000"/>
      <w:sz w:val="32"/>
      <w:szCs w:val="32"/>
      <w:lang w:val="en-US" w:eastAsia="zh-CN" w:bidi="ar-SA"/>
    </w:rPr>
  </w:style>
  <w:style w:type="paragraph" w:customStyle="1" w:styleId="80">
    <w:name w:val="p16"/>
    <w:basedOn w:val="1"/>
    <w:qFormat/>
    <w:uiPriority w:val="0"/>
    <w:pPr>
      <w:widowControl/>
    </w:pPr>
    <w:rPr>
      <w:rFonts w:ascii="Calibri" w:hAnsi="Calibri" w:cs="宋体"/>
      <w:kern w:val="0"/>
      <w:szCs w:val="21"/>
    </w:rPr>
  </w:style>
  <w:style w:type="paragraph" w:styleId="8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Char Char Char Char Char Char Char"/>
    <w:basedOn w:val="1"/>
    <w:qFormat/>
    <w:uiPriority w:val="0"/>
    <w:rPr>
      <w:rFonts w:ascii="仿宋_GB2312" w:eastAsia="仿宋_GB2312"/>
      <w:b/>
      <w:sz w:val="32"/>
      <w:szCs w:val="32"/>
    </w:rPr>
  </w:style>
  <w:style w:type="paragraph" w:customStyle="1" w:styleId="83">
    <w:name w:val="p15"/>
    <w:basedOn w:val="1"/>
    <w:qFormat/>
    <w:uiPriority w:val="0"/>
    <w:pPr>
      <w:widowControl/>
      <w:ind w:firstLine="420"/>
    </w:pPr>
    <w:rPr>
      <w:rFonts w:ascii="Calibri" w:hAnsi="Calibri" w:cs="宋体"/>
      <w:kern w:val="0"/>
      <w:szCs w:val="21"/>
    </w:rPr>
  </w:style>
  <w:style w:type="paragraph" w:customStyle="1" w:styleId="84">
    <w:name w:val="Char Char"/>
    <w:basedOn w:val="1"/>
    <w:qFormat/>
    <w:uiPriority w:val="0"/>
    <w:pPr>
      <w:spacing w:line="360" w:lineRule="auto"/>
    </w:pPr>
    <w:rPr>
      <w:rFonts w:ascii="Tahoma" w:hAnsi="Tahoma"/>
      <w:sz w:val="24"/>
      <w:szCs w:val="20"/>
    </w:rPr>
  </w:style>
  <w:style w:type="paragraph" w:customStyle="1" w:styleId="8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86">
    <w:name w:val="[Normal]"/>
    <w:qFormat/>
    <w:uiPriority w:val="0"/>
    <w:rPr>
      <w:rFonts w:ascii="宋体" w:hAnsi="宋体" w:eastAsia="宋体" w:cs="Times New Roman"/>
      <w:sz w:val="24"/>
      <w:szCs w:val="22"/>
      <w:lang w:val="zh-CN" w:eastAsia="zh-CN" w:bidi="ar-SA"/>
    </w:rPr>
  </w:style>
  <w:style w:type="paragraph" w:styleId="87">
    <w:name w:val="List Paragraph"/>
    <w:basedOn w:val="1"/>
    <w:qFormat/>
    <w:uiPriority w:val="34"/>
    <w:pPr>
      <w:ind w:firstLine="420" w:firstLineChars="200"/>
    </w:pPr>
  </w:style>
  <w:style w:type="paragraph" w:customStyle="1" w:styleId="88">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89">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Table Paragraph"/>
    <w:basedOn w:val="1"/>
    <w:qFormat/>
    <w:uiPriority w:val="1"/>
    <w:pPr>
      <w:widowControl/>
      <w:autoSpaceDE w:val="0"/>
      <w:autoSpaceDN w:val="0"/>
      <w:spacing w:line="360" w:lineRule="auto"/>
      <w:jc w:val="left"/>
    </w:pPr>
    <w:rPr>
      <w:rFonts w:ascii="宋体" w:hAnsi="宋体" w:cs="宋体"/>
      <w:kern w:val="0"/>
      <w:sz w:val="22"/>
      <w:szCs w:val="22"/>
      <w:lang w:val="zh-CN" w:bidi="zh-CN"/>
    </w:rPr>
  </w:style>
  <w:style w:type="character" w:customStyle="1" w:styleId="91">
    <w:name w:val="纯文本 Char2"/>
    <w:qFormat/>
    <w:uiPriority w:val="0"/>
    <w:rPr>
      <w:rFonts w:ascii="宋体" w:hAnsi="Courier New" w:eastAsia="仿宋_GB2312" w:cs="宋体"/>
      <w:b/>
      <w:bCs/>
      <w:color w:val="000000"/>
      <w:sz w:val="21"/>
      <w:lang w:val="en-US" w:eastAsia="zh-CN" w:bidi="ar-SA"/>
    </w:rPr>
  </w:style>
  <w:style w:type="character" w:customStyle="1" w:styleId="92">
    <w:name w:val="NormalCharacter"/>
    <w:qFormat/>
    <w:uiPriority w:val="0"/>
  </w:style>
  <w:style w:type="paragraph" w:customStyle="1" w:styleId="93">
    <w:name w:val="列出段落3"/>
    <w:basedOn w:val="1"/>
    <w:qFormat/>
    <w:uiPriority w:val="0"/>
    <w:pPr>
      <w:spacing w:line="360" w:lineRule="auto"/>
      <w:ind w:firstLine="420" w:firstLineChars="200"/>
    </w:pPr>
    <w:rPr>
      <w:rFonts w:ascii="Calibri" w:hAnsi="Calibri"/>
      <w:sz w:val="24"/>
      <w:szCs w:val="22"/>
    </w:rPr>
  </w:style>
  <w:style w:type="character" w:customStyle="1" w:styleId="94">
    <w:name w:val="纯文本 Char1"/>
    <w:qFormat/>
    <w:uiPriority w:val="0"/>
    <w:rPr>
      <w:rFonts w:ascii="宋体" w:hAnsi="Courier New" w:eastAsia="仿宋_GB2312" w:cs="宋体"/>
      <w:b/>
      <w:bCs/>
      <w:color w:val="000000"/>
    </w:rPr>
  </w:style>
  <w:style w:type="character" w:customStyle="1" w:styleId="95">
    <w:name w:val="skancount"/>
    <w:basedOn w:val="47"/>
    <w:qFormat/>
    <w:uiPriority w:val="0"/>
  </w:style>
  <w:style w:type="character" w:customStyle="1" w:styleId="96">
    <w:name w:val="bookmark-item"/>
    <w:basedOn w:val="47"/>
    <w:qFormat/>
    <w:uiPriority w:val="0"/>
  </w:style>
  <w:style w:type="paragraph" w:customStyle="1" w:styleId="97">
    <w:name w:val="正文文本首行缩进1"/>
    <w:basedOn w:val="2"/>
    <w:qFormat/>
    <w:uiPriority w:val="0"/>
    <w:pPr>
      <w:spacing w:line="360" w:lineRule="auto"/>
      <w:ind w:firstLine="200" w:firstLineChars="200"/>
    </w:pPr>
    <w:rPr>
      <w:rFonts w:ascii="宋体" w:hAnsi="宋体"/>
      <w:bCs/>
      <w:sz w:val="24"/>
      <w:szCs w:val="21"/>
    </w:rPr>
  </w:style>
  <w:style w:type="paragraph" w:customStyle="1" w:styleId="98">
    <w:name w:val="列表段落1"/>
    <w:basedOn w:val="1"/>
    <w:qFormat/>
    <w:uiPriority w:val="0"/>
    <w:pPr>
      <w:ind w:firstLine="420" w:firstLineChars="200"/>
    </w:pPr>
    <w:rPr>
      <w:rFonts w:asciiTheme="minorHAnsi" w:hAnsiTheme="minorHAnsi" w:eastAsiaTheme="minorEastAsia" w:cstheme="minorBidi"/>
      <w:sz w:val="24"/>
    </w:rPr>
  </w:style>
  <w:style w:type="character" w:customStyle="1" w:styleId="99">
    <w:name w:val="文档结构图 字符"/>
    <w:basedOn w:val="47"/>
    <w:link w:val="17"/>
    <w:semiHidden/>
    <w:qFormat/>
    <w:uiPriority w:val="0"/>
    <w:rPr>
      <w:kern w:val="2"/>
      <w:sz w:val="21"/>
      <w:szCs w:val="24"/>
      <w:shd w:val="clear" w:color="auto" w:fill="000080"/>
    </w:rPr>
  </w:style>
  <w:style w:type="character" w:customStyle="1" w:styleId="100">
    <w:name w:val="日期 字符"/>
    <w:basedOn w:val="47"/>
    <w:link w:val="26"/>
    <w:qFormat/>
    <w:uiPriority w:val="0"/>
    <w:rPr>
      <w:rFonts w:ascii="仿宋_GB2312" w:hAnsi="宋体" w:eastAsia="仿宋_GB2312" w:cs="宋体"/>
      <w:b/>
      <w:bCs/>
      <w:color w:val="000000"/>
      <w:sz w:val="24"/>
      <w:szCs w:val="21"/>
    </w:rPr>
  </w:style>
  <w:style w:type="character" w:customStyle="1" w:styleId="101">
    <w:name w:val="脚注文本 字符"/>
    <w:basedOn w:val="47"/>
    <w:link w:val="35"/>
    <w:qFormat/>
    <w:uiPriority w:val="0"/>
    <w:rPr>
      <w:kern w:val="2"/>
      <w:sz w:val="18"/>
      <w:szCs w:val="24"/>
    </w:rPr>
  </w:style>
  <w:style w:type="character" w:customStyle="1" w:styleId="102">
    <w:name w:val="正文文本缩进 3 字符"/>
    <w:basedOn w:val="47"/>
    <w:link w:val="36"/>
    <w:qFormat/>
    <w:uiPriority w:val="0"/>
    <w:rPr>
      <w:rFonts w:ascii="仿宋_GB2312" w:hAnsi="宋体" w:eastAsia="仿宋_GB2312" w:cs="宋体"/>
      <w:b/>
      <w:bCs/>
      <w:color w:val="000000"/>
      <w:sz w:val="16"/>
      <w:szCs w:val="16"/>
    </w:rPr>
  </w:style>
  <w:style w:type="character" w:customStyle="1" w:styleId="103">
    <w:name w:val="正文文本 2 字符"/>
    <w:basedOn w:val="47"/>
    <w:link w:val="39"/>
    <w:qFormat/>
    <w:uiPriority w:val="0"/>
    <w:rPr>
      <w:kern w:val="2"/>
      <w:sz w:val="21"/>
      <w:szCs w:val="24"/>
    </w:rPr>
  </w:style>
  <w:style w:type="character" w:customStyle="1" w:styleId="104">
    <w:name w:val="HTML 预设格式 字符"/>
    <w:basedOn w:val="47"/>
    <w:link w:val="40"/>
    <w:qFormat/>
    <w:uiPriority w:val="0"/>
    <w:rPr>
      <w:rFonts w:ascii="黑体" w:hAnsi="Courier New" w:eastAsia="黑体"/>
    </w:rPr>
  </w:style>
  <w:style w:type="character" w:customStyle="1" w:styleId="105">
    <w:name w:val="style11"/>
    <w:qFormat/>
    <w:uiPriority w:val="0"/>
    <w:rPr>
      <w:sz w:val="18"/>
      <w:szCs w:val="18"/>
    </w:rPr>
  </w:style>
  <w:style w:type="character" w:customStyle="1" w:styleId="106">
    <w:name w:val="Char Char2"/>
    <w:qFormat/>
    <w:uiPriority w:val="0"/>
    <w:rPr>
      <w:rFonts w:eastAsia="宋体"/>
      <w:kern w:val="2"/>
      <w:sz w:val="18"/>
      <w:szCs w:val="18"/>
      <w:lang w:val="en-US" w:eastAsia="zh-CN" w:bidi="ar-SA"/>
    </w:rPr>
  </w:style>
  <w:style w:type="character" w:customStyle="1" w:styleId="107">
    <w:name w:val="ca-6"/>
    <w:basedOn w:val="47"/>
    <w:qFormat/>
    <w:uiPriority w:val="0"/>
  </w:style>
  <w:style w:type="character" w:customStyle="1" w:styleId="108">
    <w:name w:val="unnamed11"/>
    <w:qFormat/>
    <w:uiPriority w:val="0"/>
    <w:rPr>
      <w:color w:val="000000"/>
      <w:sz w:val="20"/>
      <w:szCs w:val="20"/>
    </w:rPr>
  </w:style>
  <w:style w:type="character" w:customStyle="1" w:styleId="109">
    <w:name w:val="Texte Char Char"/>
    <w:qFormat/>
    <w:uiPriority w:val="0"/>
    <w:rPr>
      <w:rFonts w:ascii="宋体" w:hAnsi="Courier New" w:eastAsia="仿宋_GB2312" w:cs="宋体"/>
      <w:b/>
      <w:bCs/>
      <w:color w:val="000000"/>
      <w:sz w:val="21"/>
      <w:lang w:val="en-US" w:eastAsia="zh-CN" w:bidi="ar-SA"/>
    </w:rPr>
  </w:style>
  <w:style w:type="character" w:customStyle="1" w:styleId="110">
    <w:name w:val="f10"/>
    <w:basedOn w:val="47"/>
    <w:qFormat/>
    <w:uiPriority w:val="0"/>
  </w:style>
  <w:style w:type="character" w:customStyle="1" w:styleId="111">
    <w:name w:val="ca-2"/>
    <w:basedOn w:val="47"/>
    <w:qFormat/>
    <w:uiPriority w:val="0"/>
  </w:style>
  <w:style w:type="character" w:customStyle="1" w:styleId="112">
    <w:name w:val="缩进2字符 Char"/>
    <w:link w:val="113"/>
    <w:qFormat/>
    <w:locked/>
    <w:uiPriority w:val="0"/>
    <w:rPr>
      <w:rFonts w:ascii="仿宋_GB2312" w:hAnsi="仿宋_GB2312" w:eastAsia="仿宋_GB2312" w:cs="Arial"/>
      <w:snapToGrid w:val="0"/>
      <w:color w:val="000000"/>
      <w:sz w:val="28"/>
      <w:szCs w:val="28"/>
    </w:rPr>
  </w:style>
  <w:style w:type="paragraph" w:customStyle="1" w:styleId="113">
    <w:name w:val="缩进2字符"/>
    <w:basedOn w:val="1"/>
    <w:link w:val="112"/>
    <w:qFormat/>
    <w:uiPriority w:val="0"/>
    <w:pPr>
      <w:widowControl/>
      <w:ind w:firstLine="200" w:firstLineChars="200"/>
      <w:jc w:val="left"/>
    </w:pPr>
    <w:rPr>
      <w:rFonts w:ascii="仿宋_GB2312" w:hAnsi="仿宋_GB2312" w:eastAsia="仿宋_GB2312" w:cs="Arial"/>
      <w:snapToGrid w:val="0"/>
      <w:color w:val="000000"/>
      <w:kern w:val="0"/>
      <w:sz w:val="28"/>
      <w:szCs w:val="28"/>
    </w:rPr>
  </w:style>
  <w:style w:type="character" w:customStyle="1" w:styleId="114">
    <w:name w:val="ca-11"/>
    <w:qFormat/>
    <w:uiPriority w:val="0"/>
    <w:rPr>
      <w:rFonts w:hint="eastAsia" w:ascii="宋体" w:hAnsi="宋体" w:eastAsia="宋体"/>
      <w:sz w:val="18"/>
      <w:szCs w:val="18"/>
    </w:rPr>
  </w:style>
  <w:style w:type="character" w:customStyle="1" w:styleId="115">
    <w:name w:val="标题 Char1"/>
    <w:qFormat/>
    <w:locked/>
    <w:uiPriority w:val="0"/>
    <w:rPr>
      <w:rFonts w:ascii="Arial" w:hAnsi="Arial" w:cs="Arial"/>
      <w:b/>
      <w:bCs/>
      <w:color w:val="000000"/>
      <w:sz w:val="32"/>
      <w:szCs w:val="32"/>
    </w:rPr>
  </w:style>
  <w:style w:type="character" w:customStyle="1" w:styleId="116">
    <w:name w:val="ca-3"/>
    <w:basedOn w:val="47"/>
    <w:qFormat/>
    <w:uiPriority w:val="0"/>
  </w:style>
  <w:style w:type="character" w:customStyle="1" w:styleId="117">
    <w:name w:val="para"/>
    <w:basedOn w:val="47"/>
    <w:qFormat/>
    <w:uiPriority w:val="0"/>
  </w:style>
  <w:style w:type="character" w:customStyle="1" w:styleId="118">
    <w:name w:val="表格文本 Char"/>
    <w:link w:val="119"/>
    <w:qFormat/>
    <w:locked/>
    <w:uiPriority w:val="0"/>
    <w:rPr>
      <w:rFonts w:ascii="宋体" w:hAnsi="宋体" w:cs="Arial"/>
      <w:snapToGrid w:val="0"/>
      <w:szCs w:val="21"/>
    </w:rPr>
  </w:style>
  <w:style w:type="paragraph" w:customStyle="1" w:styleId="119">
    <w:name w:val="表格文本"/>
    <w:basedOn w:val="1"/>
    <w:link w:val="118"/>
    <w:qFormat/>
    <w:uiPriority w:val="0"/>
    <w:pPr>
      <w:snapToGrid w:val="0"/>
      <w:jc w:val="left"/>
    </w:pPr>
    <w:rPr>
      <w:rFonts w:ascii="宋体" w:hAnsi="宋体" w:cs="Arial"/>
      <w:snapToGrid w:val="0"/>
      <w:kern w:val="0"/>
      <w:sz w:val="20"/>
      <w:szCs w:val="21"/>
    </w:rPr>
  </w:style>
  <w:style w:type="character" w:customStyle="1" w:styleId="120">
    <w:name w:val="ca-8"/>
    <w:basedOn w:val="47"/>
    <w:qFormat/>
    <w:uiPriority w:val="0"/>
  </w:style>
  <w:style w:type="character" w:customStyle="1" w:styleId="121">
    <w:name w:val="smalltxt1"/>
    <w:qFormat/>
    <w:uiPriority w:val="0"/>
    <w:rPr>
      <w:rFonts w:hint="default" w:ascii="ˎ̥" w:hAnsi="ˎ̥" w:eastAsia="仿宋_GB2312"/>
      <w:b/>
      <w:sz w:val="24"/>
      <w:szCs w:val="24"/>
    </w:rPr>
  </w:style>
  <w:style w:type="character" w:customStyle="1" w:styleId="122">
    <w:name w:val="Char Char1"/>
    <w:qFormat/>
    <w:uiPriority w:val="0"/>
    <w:rPr>
      <w:rFonts w:ascii="宋体" w:hAnsi="Courier New" w:eastAsia="仿宋_GB2312" w:cs="宋体"/>
      <w:b/>
      <w:bCs/>
      <w:color w:val="000000"/>
      <w:sz w:val="21"/>
      <w:lang w:val="en-US" w:eastAsia="zh-CN" w:bidi="ar-SA"/>
    </w:rPr>
  </w:style>
  <w:style w:type="character" w:customStyle="1" w:styleId="123">
    <w:name w:val="apple-converted-space"/>
    <w:basedOn w:val="47"/>
    <w:qFormat/>
    <w:uiPriority w:val="0"/>
  </w:style>
  <w:style w:type="character" w:customStyle="1" w:styleId="124">
    <w:name w:val="bigtitle1"/>
    <w:qFormat/>
    <w:uiPriority w:val="0"/>
    <w:rPr>
      <w:sz w:val="28"/>
      <w:szCs w:val="28"/>
    </w:rPr>
  </w:style>
  <w:style w:type="character" w:customStyle="1" w:styleId="125">
    <w:name w:val="Char Char4"/>
    <w:qFormat/>
    <w:uiPriority w:val="0"/>
    <w:rPr>
      <w:rFonts w:eastAsia="宋体"/>
      <w:sz w:val="18"/>
      <w:szCs w:val="18"/>
      <w:lang w:val="en-US" w:eastAsia="zh-CN" w:bidi="ar-SA"/>
    </w:rPr>
  </w:style>
  <w:style w:type="character" w:customStyle="1" w:styleId="126">
    <w:name w:val="样式3 Char"/>
    <w:link w:val="127"/>
    <w:qFormat/>
    <w:uiPriority w:val="0"/>
    <w:rPr>
      <w:rFonts w:eastAsia="黑体"/>
      <w:kern w:val="2"/>
      <w:sz w:val="28"/>
      <w:szCs w:val="21"/>
    </w:rPr>
  </w:style>
  <w:style w:type="paragraph" w:customStyle="1" w:styleId="127">
    <w:name w:val="样式3"/>
    <w:basedOn w:val="1"/>
    <w:link w:val="126"/>
    <w:qFormat/>
    <w:uiPriority w:val="0"/>
    <w:pPr>
      <w:snapToGrid w:val="0"/>
      <w:outlineLvl w:val="2"/>
    </w:pPr>
    <w:rPr>
      <w:rFonts w:eastAsia="黑体"/>
      <w:sz w:val="28"/>
      <w:szCs w:val="21"/>
    </w:rPr>
  </w:style>
  <w:style w:type="character" w:customStyle="1" w:styleId="128">
    <w:name w:val="unnamed51"/>
    <w:qFormat/>
    <w:uiPriority w:val="0"/>
    <w:rPr>
      <w:sz w:val="22"/>
      <w:szCs w:val="22"/>
    </w:rPr>
  </w:style>
  <w:style w:type="paragraph" w:customStyle="1" w:styleId="129">
    <w:name w:val="默认段落字体 Para Char"/>
    <w:basedOn w:val="1"/>
    <w:qFormat/>
    <w:uiPriority w:val="0"/>
    <w:pPr>
      <w:adjustRightInd w:val="0"/>
      <w:spacing w:line="360" w:lineRule="auto"/>
    </w:pPr>
    <w:rPr>
      <w:kern w:val="0"/>
      <w:sz w:val="24"/>
      <w:szCs w:val="20"/>
    </w:rPr>
  </w:style>
  <w:style w:type="paragraph" w:customStyle="1" w:styleId="130">
    <w:name w:val="Char Char Char Char Char Char Char Char Char Char Char Char"/>
    <w:basedOn w:val="1"/>
    <w:qFormat/>
    <w:uiPriority w:val="0"/>
    <w:pPr>
      <w:spacing w:line="300" w:lineRule="auto"/>
    </w:pPr>
    <w:rPr>
      <w:rFonts w:ascii="宋体" w:hAnsi="宋体"/>
      <w:b/>
      <w:bCs/>
      <w:color w:val="000000"/>
      <w:spacing w:val="8"/>
      <w:kern w:val="0"/>
      <w:sz w:val="24"/>
    </w:rPr>
  </w:style>
  <w:style w:type="paragraph" w:customStyle="1" w:styleId="131">
    <w:name w:val="Char Char Char Char"/>
    <w:basedOn w:val="17"/>
    <w:qFormat/>
    <w:uiPriority w:val="0"/>
    <w:rPr>
      <w:rFonts w:ascii="Tahoma" w:hAnsi="Tahoma"/>
      <w:sz w:val="24"/>
    </w:rPr>
  </w:style>
  <w:style w:type="paragraph" w:customStyle="1" w:styleId="132">
    <w:name w:val="Char"/>
    <w:basedOn w:val="1"/>
    <w:qFormat/>
    <w:uiPriority w:val="0"/>
    <w:rPr>
      <w:rFonts w:ascii="仿宋_GB2312" w:eastAsia="仿宋_GB2312"/>
      <w:b/>
      <w:sz w:val="32"/>
      <w:szCs w:val="32"/>
    </w:rPr>
  </w:style>
  <w:style w:type="paragraph" w:customStyle="1" w:styleId="133">
    <w:name w:val="Char2"/>
    <w:basedOn w:val="1"/>
    <w:qFormat/>
    <w:uiPriority w:val="0"/>
    <w:rPr>
      <w:rFonts w:ascii="仿宋_GB2312" w:hAnsi="宋体" w:eastAsia="仿宋_GB2312" w:cs="宋体"/>
      <w:bCs/>
      <w:color w:val="000000"/>
      <w:kern w:val="0"/>
      <w:sz w:val="32"/>
      <w:szCs w:val="32"/>
    </w:rPr>
  </w:style>
  <w:style w:type="paragraph" w:customStyle="1" w:styleId="134">
    <w:name w:val="默认段落字体 Para Char Char Char Char"/>
    <w:basedOn w:val="1"/>
    <w:qFormat/>
    <w:uiPriority w:val="0"/>
  </w:style>
  <w:style w:type="paragraph" w:customStyle="1" w:styleId="135">
    <w:name w:val="样式1"/>
    <w:basedOn w:val="6"/>
    <w:qFormat/>
    <w:uiPriority w:val="0"/>
    <w:pPr>
      <w:tabs>
        <w:tab w:val="left" w:pos="432"/>
        <w:tab w:val="left" w:pos="576"/>
        <w:tab w:val="left" w:pos="2340"/>
        <w:tab w:val="left" w:pos="2700"/>
        <w:tab w:val="left" w:pos="2880"/>
        <w:tab w:val="left" w:pos="3060"/>
        <w:tab w:val="left" w:pos="3240"/>
        <w:tab w:val="left" w:pos="3420"/>
        <w:tab w:val="left" w:pos="3780"/>
      </w:tabs>
      <w:spacing w:before="120" w:after="0" w:line="360" w:lineRule="auto"/>
    </w:pPr>
    <w:rPr>
      <w:rFonts w:eastAsia="Arial"/>
      <w:color w:val="000000"/>
    </w:rPr>
  </w:style>
  <w:style w:type="paragraph" w:customStyle="1" w:styleId="136">
    <w:name w:val="pa-2"/>
    <w:basedOn w:val="1"/>
    <w:qFormat/>
    <w:uiPriority w:val="0"/>
    <w:pPr>
      <w:widowControl/>
      <w:spacing w:line="240" w:lineRule="atLeast"/>
      <w:ind w:firstLine="440"/>
    </w:pPr>
    <w:rPr>
      <w:rFonts w:ascii="宋体" w:hAnsi="宋体" w:cs="宋体"/>
      <w:kern w:val="0"/>
      <w:sz w:val="24"/>
    </w:rPr>
  </w:style>
  <w:style w:type="paragraph" w:customStyle="1" w:styleId="13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8">
    <w:name w:val="Char1 Char Char Char"/>
    <w:basedOn w:val="1"/>
    <w:qFormat/>
    <w:uiPriority w:val="0"/>
    <w:rPr>
      <w:rFonts w:ascii="仿宋_GB2312" w:eastAsia="仿宋_GB2312"/>
      <w:b/>
      <w:sz w:val="32"/>
      <w:szCs w:val="32"/>
    </w:rPr>
  </w:style>
  <w:style w:type="paragraph" w:customStyle="1" w:styleId="139">
    <w:name w:val="Body Text(ch)"/>
    <w:basedOn w:val="1"/>
    <w:next w:val="2"/>
    <w:qFormat/>
    <w:uiPriority w:val="0"/>
    <w:pPr>
      <w:spacing w:line="500" w:lineRule="exact"/>
      <w:jc w:val="center"/>
    </w:pPr>
  </w:style>
  <w:style w:type="paragraph" w:customStyle="1" w:styleId="140">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141">
    <w:name w:val="Char Char1 Char Char Char Char Char Char Char Char Char Char"/>
    <w:basedOn w:val="1"/>
    <w:qFormat/>
    <w:uiPriority w:val="0"/>
    <w:rPr>
      <w:rFonts w:ascii="Tahoma" w:hAnsi="Tahoma" w:eastAsia="仿宋_GB2312" w:cs="宋体"/>
      <w:b/>
      <w:bCs/>
      <w:color w:val="000000"/>
      <w:kern w:val="0"/>
      <w:sz w:val="24"/>
      <w:szCs w:val="20"/>
    </w:rPr>
  </w:style>
  <w:style w:type="paragraph" w:customStyle="1" w:styleId="142">
    <w:name w:val="小点说明"/>
    <w:basedOn w:val="1"/>
    <w:qFormat/>
    <w:uiPriority w:val="0"/>
    <w:pPr>
      <w:tabs>
        <w:tab w:val="left" w:pos="0"/>
      </w:tabs>
      <w:adjustRightInd w:val="0"/>
      <w:snapToGrid w:val="0"/>
      <w:spacing w:line="340" w:lineRule="atLeast"/>
    </w:pPr>
    <w:rPr>
      <w:rFonts w:ascii="宋体" w:hAnsi="宋体"/>
      <w:bCs/>
      <w:kern w:val="0"/>
      <w:lang w:val="eu-ES"/>
    </w:rPr>
  </w:style>
  <w:style w:type="paragraph" w:customStyle="1" w:styleId="143">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44">
    <w:name w:val="Char Char Char"/>
    <w:basedOn w:val="1"/>
    <w:qFormat/>
    <w:uiPriority w:val="0"/>
    <w:rPr>
      <w:rFonts w:ascii="Tahoma" w:hAnsi="Tahoma"/>
      <w:sz w:val="24"/>
      <w:szCs w:val="20"/>
    </w:rPr>
  </w:style>
  <w:style w:type="paragraph" w:customStyle="1" w:styleId="145">
    <w:name w:val="List Paragraph1"/>
    <w:basedOn w:val="1"/>
    <w:qFormat/>
    <w:uiPriority w:val="0"/>
    <w:pPr>
      <w:ind w:firstLine="420" w:firstLineChars="200"/>
    </w:pPr>
    <w:rPr>
      <w:rFonts w:ascii="仿宋_GB2312" w:hAnsi="宋体" w:eastAsia="仿宋_GB2312" w:cs="仿宋_GB2312"/>
      <w:b/>
      <w:bCs/>
      <w:color w:val="000000"/>
      <w:kern w:val="0"/>
      <w:szCs w:val="21"/>
    </w:rPr>
  </w:style>
  <w:style w:type="paragraph" w:customStyle="1" w:styleId="146">
    <w:name w:val="默认段落字体 Para Char Char Char Char Char Char Char Char Char1 Char Char Char Char Char Char Char"/>
    <w:basedOn w:val="17"/>
    <w:qFormat/>
    <w:uiPriority w:val="0"/>
    <w:rPr>
      <w:rFonts w:ascii="Tahoma" w:hAnsi="Tahoma"/>
      <w:sz w:val="24"/>
    </w:rPr>
  </w:style>
  <w:style w:type="paragraph" w:customStyle="1" w:styleId="147">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148">
    <w:name w:val="Numbered list 2.3"/>
    <w:basedOn w:val="7"/>
    <w:next w:val="1"/>
    <w:qFormat/>
    <w:uiPriority w:val="0"/>
    <w:pPr>
      <w:keepLines w:val="0"/>
      <w:widowControl/>
      <w:tabs>
        <w:tab w:val="left" w:pos="360"/>
        <w:tab w:val="left" w:pos="705"/>
        <w:tab w:val="left" w:pos="1080"/>
        <w:tab w:val="clear" w:pos="720"/>
      </w:tabs>
      <w:spacing w:before="240" w:afterLines="0" w:line="240" w:lineRule="auto"/>
      <w:jc w:val="left"/>
    </w:pPr>
    <w:rPr>
      <w:rFonts w:eastAsia="宋体" w:cs="Times New Roman"/>
      <w:bCs/>
      <w:iCs/>
      <w:color w:val="auto"/>
      <w:spacing w:val="0"/>
      <w:sz w:val="28"/>
      <w:szCs w:val="24"/>
    </w:rPr>
  </w:style>
  <w:style w:type="paragraph" w:customStyle="1" w:styleId="149">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150">
    <w:name w:val="样式 宋体 小四 首行缩进:  0.93 厘米 段前: 11.15 磅 段后: 11.15 磅1"/>
    <w:basedOn w:val="1"/>
    <w:qFormat/>
    <w:uiPriority w:val="0"/>
    <w:pPr>
      <w:adjustRightInd w:val="0"/>
      <w:snapToGrid w:val="0"/>
      <w:ind w:left="200" w:leftChars="200"/>
    </w:pPr>
    <w:rPr>
      <w:rFonts w:ascii="宋体"/>
      <w:sz w:val="24"/>
      <w:szCs w:val="20"/>
    </w:rPr>
  </w:style>
  <w:style w:type="paragraph" w:customStyle="1" w:styleId="15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2">
    <w:name w:val="Char3"/>
    <w:basedOn w:val="1"/>
    <w:qFormat/>
    <w:uiPriority w:val="0"/>
    <w:rPr>
      <w:szCs w:val="20"/>
    </w:rPr>
  </w:style>
  <w:style w:type="paragraph" w:customStyle="1" w:styleId="153">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正文段"/>
    <w:basedOn w:val="1"/>
    <w:qFormat/>
    <w:uiPriority w:val="0"/>
    <w:pPr>
      <w:widowControl/>
      <w:snapToGrid w:val="0"/>
      <w:spacing w:afterLines="50"/>
      <w:ind w:firstLine="200" w:firstLineChars="200"/>
    </w:pPr>
    <w:rPr>
      <w:kern w:val="0"/>
      <w:sz w:val="24"/>
      <w:szCs w:val="20"/>
    </w:rPr>
  </w:style>
  <w:style w:type="paragraph" w:customStyle="1" w:styleId="15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56">
    <w:name w:val="正文－恩普"/>
    <w:basedOn w:val="10"/>
    <w:qFormat/>
    <w:uiPriority w:val="0"/>
    <w:pPr>
      <w:widowControl/>
      <w:spacing w:before="100" w:beforeAutospacing="1" w:afterLines="50" w:afterAutospacing="1" w:line="360" w:lineRule="auto"/>
      <w:ind w:firstLine="480"/>
      <w:jc w:val="left"/>
    </w:pPr>
    <w:rPr>
      <w:sz w:val="24"/>
      <w:szCs w:val="20"/>
    </w:rPr>
  </w:style>
  <w:style w:type="paragraph" w:customStyle="1" w:styleId="157">
    <w:name w:val="Char1 Char Char Char Char Char"/>
    <w:basedOn w:val="1"/>
    <w:qFormat/>
    <w:uiPriority w:val="0"/>
  </w:style>
  <w:style w:type="paragraph" w:customStyle="1" w:styleId="158">
    <w:name w:val="Char Char Char1"/>
    <w:basedOn w:val="17"/>
    <w:qFormat/>
    <w:uiPriority w:val="0"/>
    <w:rPr>
      <w:rFonts w:ascii="Tahoma" w:hAnsi="Tahoma"/>
      <w:sz w:val="24"/>
    </w:rPr>
  </w:style>
  <w:style w:type="paragraph" w:customStyle="1" w:styleId="159">
    <w:name w:val="Char1 Char Char Char Char Char Char"/>
    <w:basedOn w:val="1"/>
    <w:qFormat/>
    <w:uiPriority w:val="0"/>
    <w:rPr>
      <w:rFonts w:ascii="Tahoma" w:hAnsi="Tahoma"/>
      <w:sz w:val="24"/>
      <w:szCs w:val="20"/>
    </w:rPr>
  </w:style>
  <w:style w:type="paragraph" w:customStyle="1" w:styleId="160">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161">
    <w:name w:val="表内文字"/>
    <w:basedOn w:val="1"/>
    <w:qFormat/>
    <w:uiPriority w:val="0"/>
    <w:pPr>
      <w:spacing w:line="500" w:lineRule="atLeast"/>
      <w:jc w:val="center"/>
    </w:pPr>
    <w:rPr>
      <w:rFonts w:ascii="Arial" w:hAnsi="Arial" w:eastAsia="楷体_GB2312" w:cs="Arial"/>
      <w:sz w:val="28"/>
    </w:rPr>
  </w:style>
  <w:style w:type="character" w:customStyle="1" w:styleId="162">
    <w:name w:val="标题 4 Char1"/>
    <w:qFormat/>
    <w:uiPriority w:val="0"/>
    <w:rPr>
      <w:rFonts w:ascii="Arial" w:hAnsi="Arial" w:eastAsia="黑体"/>
      <w:b/>
      <w:bCs/>
      <w:kern w:val="2"/>
      <w:sz w:val="28"/>
      <w:szCs w:val="28"/>
      <w:lang w:val="en-US" w:eastAsia="zh-CN" w:bidi="ar-SA"/>
    </w:rPr>
  </w:style>
  <w:style w:type="paragraph" w:customStyle="1" w:styleId="163">
    <w:name w:val="正文缩进1"/>
    <w:basedOn w:val="1"/>
    <w:qFormat/>
    <w:uiPriority w:val="0"/>
    <w:pPr>
      <w:spacing w:line="360" w:lineRule="auto"/>
      <w:ind w:firstLine="454"/>
      <w:jc w:val="left"/>
    </w:pPr>
    <w:rPr>
      <w:sz w:val="24"/>
    </w:rPr>
  </w:style>
  <w:style w:type="paragraph" w:customStyle="1" w:styleId="164">
    <w:name w:val="列出段落1"/>
    <w:basedOn w:val="1"/>
    <w:qFormat/>
    <w:uiPriority w:val="0"/>
    <w:pPr>
      <w:ind w:firstLine="420" w:firstLineChars="200"/>
    </w:pPr>
    <w:rPr>
      <w:sz w:val="36"/>
      <w:szCs w:val="20"/>
    </w:rPr>
  </w:style>
  <w:style w:type="character" w:customStyle="1" w:styleId="165">
    <w:name w:val="无"/>
    <w:qFormat/>
    <w:uiPriority w:val="0"/>
  </w:style>
  <w:style w:type="paragraph" w:customStyle="1" w:styleId="166">
    <w:name w:val="Other|1"/>
    <w:basedOn w:val="1"/>
    <w:qFormat/>
    <w:uiPriority w:val="0"/>
    <w:pPr>
      <w:spacing w:line="311" w:lineRule="exact"/>
    </w:pPr>
    <w:rPr>
      <w:rFonts w:ascii="宋体" w:hAnsi="宋体" w:cs="宋体"/>
      <w:sz w:val="20"/>
      <w:szCs w:val="20"/>
      <w:lang w:val="zh-TW" w:eastAsia="zh-TW" w:bidi="zh-TW"/>
    </w:rPr>
  </w:style>
  <w:style w:type="character" w:customStyle="1" w:styleId="167">
    <w:name w:val="font21"/>
    <w:basedOn w:val="47"/>
    <w:qFormat/>
    <w:uiPriority w:val="0"/>
    <w:rPr>
      <w:rFonts w:hint="eastAsia" w:ascii="宋体" w:hAnsi="宋体" w:eastAsia="宋体"/>
      <w:color w:val="000000"/>
      <w:sz w:val="21"/>
      <w:szCs w:val="21"/>
      <w:u w:val="none"/>
    </w:rPr>
  </w:style>
  <w:style w:type="paragraph" w:customStyle="1" w:styleId="168">
    <w:name w:val="章正文"/>
    <w:basedOn w:val="1"/>
    <w:qFormat/>
    <w:uiPriority w:val="99"/>
    <w:pPr>
      <w:spacing w:beforeLines="50" w:after="120" w:line="300" w:lineRule="auto"/>
      <w:ind w:firstLine="480"/>
    </w:pPr>
    <w:rPr>
      <w:rFonts w:ascii="Helvetica" w:hAnsi="Helvetica"/>
      <w:kern w:val="0"/>
      <w:sz w:val="24"/>
    </w:rPr>
  </w:style>
  <w:style w:type="paragraph" w:customStyle="1" w:styleId="169">
    <w:name w:val="引用1"/>
    <w:basedOn w:val="1"/>
    <w:next w:val="1"/>
    <w:qFormat/>
    <w:uiPriority w:val="29"/>
    <w:rPr>
      <w:i/>
      <w:iCs/>
      <w:color w:val="000000"/>
    </w:rPr>
  </w:style>
  <w:style w:type="paragraph" w:customStyle="1" w:styleId="170">
    <w:name w:val="正文首行缩进2字符"/>
    <w:basedOn w:val="1"/>
    <w:qFormat/>
    <w:uiPriority w:val="0"/>
    <w:pPr>
      <w:widowControl/>
    </w:pPr>
  </w:style>
  <w:style w:type="paragraph" w:customStyle="1" w:styleId="17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2">
    <w:name w:val="_Style 167"/>
    <w:basedOn w:val="2"/>
    <w:next w:val="4"/>
    <w:qFormat/>
    <w:uiPriority w:val="0"/>
    <w:pPr>
      <w:adjustRightInd w:val="0"/>
      <w:snapToGrid w:val="0"/>
      <w:spacing w:after="120" w:line="288" w:lineRule="auto"/>
      <w:ind w:firstLine="420" w:firstLineChars="100"/>
    </w:pPr>
    <w:rPr>
      <w:rFonts w:hAnsi="Calibri"/>
      <w:szCs w:val="20"/>
    </w:rPr>
  </w:style>
  <w:style w:type="paragraph" w:customStyle="1" w:styleId="17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74">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176">
    <w:name w:val="标题 Char2"/>
    <w:qFormat/>
    <w:uiPriority w:val="0"/>
    <w:rPr>
      <w:rFonts w:ascii="Arial" w:hAnsi="Arial" w:cs="Arial"/>
      <w:b/>
      <w:bCs/>
      <w:color w:val="000000"/>
      <w:sz w:val="32"/>
      <w:szCs w:val="32"/>
    </w:rPr>
  </w:style>
  <w:style w:type="character" w:customStyle="1" w:styleId="177">
    <w:name w:val="纯文本 Char3"/>
    <w:qFormat/>
    <w:uiPriority w:val="0"/>
    <w:rPr>
      <w:rFonts w:ascii="宋体" w:hAnsi="Courier New" w:eastAsia="仿宋_GB2312" w:cs="宋体"/>
      <w:b/>
      <w:bCs/>
      <w:color w:val="000000"/>
      <w:sz w:val="21"/>
      <w:lang w:val="en-US" w:eastAsia="zh-CN" w:bidi="ar-SA"/>
    </w:rPr>
  </w:style>
  <w:style w:type="character" w:customStyle="1" w:styleId="178">
    <w:name w:val="正文文本 3 字符"/>
    <w:basedOn w:val="47"/>
    <w:link w:val="19"/>
    <w:qFormat/>
    <w:uiPriority w:val="0"/>
    <w:rPr>
      <w:kern w:val="2"/>
      <w:sz w:val="16"/>
      <w:szCs w:val="16"/>
    </w:rPr>
  </w:style>
  <w:style w:type="paragraph" w:customStyle="1" w:styleId="179">
    <w:name w:val="null3"/>
    <w:qFormat/>
    <w:uiPriority w:val="0"/>
    <w:rPr>
      <w:rFonts w:hint="eastAsia" w:ascii="Calibri" w:hAnsi="Calibri" w:eastAsia="宋体" w:cs="Times New Roman"/>
      <w:lang w:val="en-US" w:eastAsia="zh-Hans" w:bidi="ar-SA"/>
    </w:rPr>
  </w:style>
  <w:style w:type="paragraph" w:customStyle="1" w:styleId="180">
    <w:name w:val="段"/>
    <w:next w:val="1"/>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paragraph" w:customStyle="1" w:styleId="181">
    <w:name w:val="表格"/>
    <w:basedOn w:val="1"/>
    <w:qFormat/>
    <w:uiPriority w:val="0"/>
    <w:rPr>
      <w:rFonts w:ascii="宋体" w:hAnsi="宋体" w:eastAsia="仿宋" w:cs="宋体"/>
      <w:sz w:val="24"/>
      <w:szCs w:val="22"/>
    </w:rPr>
  </w:style>
  <w:style w:type="paragraph" w:customStyle="1" w:styleId="182">
    <w:name w:val="Body text|1"/>
    <w:basedOn w:val="1"/>
    <w:qFormat/>
    <w:uiPriority w:val="0"/>
    <w:pPr>
      <w:spacing w:line="480" w:lineRule="auto"/>
      <w:ind w:firstLine="40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tuxin</Company>
  <Pages>63</Pages>
  <Words>8808</Words>
  <Characters>9541</Characters>
  <Lines>419</Lines>
  <Paragraphs>117</Paragraphs>
  <TotalTime>0</TotalTime>
  <ScaleCrop>false</ScaleCrop>
  <LinksUpToDate>false</LinksUpToDate>
  <CharactersWithSpaces>10009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2023-12-13T03:58:00Z</dcterms:created>
  <dc:creator>雨林木风</dc:creator>
  <cp:lastModifiedBy>Administrator</cp:lastModifiedBy>
  <cp:lastPrinted>2024-10-22T03:49:00Z</cp:lastPrinted>
  <dcterms:modified xsi:type="dcterms:W3CDTF">2024-12-06T08:53:09Z</dcterms:modified>
  <dc:title>投标须知前附表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2A3B9CA3C3BE4B549706984F85514994_13</vt:lpwstr>
  </property>
</Properties>
</file>