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00B4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030" w:type="dxa"/>
          </w:tcPr>
          <w:p w14:paraId="298A56E8">
            <w:pPr>
              <w:pStyle w:val="83"/>
              <w:rPr>
                <w:rFonts w:hint="eastAsia" w:cs="宋体"/>
                <w:color w:val="auto"/>
                <w:highlight w:val="none"/>
              </w:rPr>
            </w:pPr>
          </w:p>
          <w:p w14:paraId="107BADCB">
            <w:pPr>
              <w:autoSpaceDE w:val="0"/>
              <w:autoSpaceDN w:val="0"/>
              <w:adjustRightInd w:val="0"/>
              <w:snapToGrid w:val="0"/>
              <w:spacing w:line="500" w:lineRule="atLeast"/>
              <w:jc w:val="center"/>
              <w:rPr>
                <w:rFonts w:hint="eastAsia" w:ascii="宋体" w:hAnsi="宋体" w:cs="宋体"/>
                <w:color w:val="auto"/>
                <w:sz w:val="32"/>
                <w:szCs w:val="32"/>
                <w:highlight w:val="none"/>
                <w:lang w:val="zh-CN"/>
              </w:rPr>
            </w:pPr>
          </w:p>
          <w:p w14:paraId="44ACBACF">
            <w:pPr>
              <w:spacing w:line="48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永 嘉 县 政 府 采 购</w:t>
            </w:r>
          </w:p>
          <w:p w14:paraId="68F86095">
            <w:pPr>
              <w:spacing w:line="48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招 标 文 件</w:t>
            </w:r>
          </w:p>
          <w:p w14:paraId="23DE1313">
            <w:pPr>
              <w:spacing w:line="460" w:lineRule="atLeast"/>
              <w:ind w:left="2846" w:leftChars="710" w:hanging="1355" w:hangingChars="450"/>
              <w:rPr>
                <w:rFonts w:hint="eastAsia" w:ascii="宋体" w:hAnsi="宋体" w:cs="宋体"/>
                <w:b/>
                <w:color w:val="auto"/>
                <w:sz w:val="30"/>
                <w:szCs w:val="30"/>
                <w:highlight w:val="none"/>
              </w:rPr>
            </w:pPr>
          </w:p>
          <w:p w14:paraId="3E5B3B56">
            <w:pPr>
              <w:pStyle w:val="18"/>
              <w:ind w:firstLine="210"/>
              <w:rPr>
                <w:rFonts w:hint="eastAsia" w:ascii="宋体" w:hAnsi="宋体" w:cs="宋体"/>
                <w:color w:val="auto"/>
                <w:highlight w:val="none"/>
              </w:rPr>
            </w:pPr>
          </w:p>
          <w:p w14:paraId="49676646">
            <w:pPr>
              <w:pStyle w:val="18"/>
              <w:ind w:firstLine="210"/>
              <w:rPr>
                <w:rFonts w:hint="eastAsia" w:ascii="宋体" w:hAnsi="宋体" w:cs="宋体"/>
                <w:color w:val="auto"/>
                <w:highlight w:val="none"/>
              </w:rPr>
            </w:pPr>
          </w:p>
          <w:p w14:paraId="5428A927">
            <w:pPr>
              <w:pStyle w:val="18"/>
              <w:ind w:firstLine="210"/>
              <w:rPr>
                <w:rFonts w:hint="eastAsia" w:ascii="宋体" w:hAnsi="宋体" w:cs="宋体"/>
                <w:color w:val="auto"/>
                <w:highlight w:val="none"/>
              </w:rPr>
            </w:pPr>
          </w:p>
          <w:p w14:paraId="2337FB81">
            <w:pPr>
              <w:spacing w:line="460" w:lineRule="atLeast"/>
              <w:ind w:left="3565" w:leftChars="726" w:hanging="2040" w:hangingChars="68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ZGCG-20241226</w:t>
            </w:r>
          </w:p>
          <w:p w14:paraId="2DD2EDFD">
            <w:pPr>
              <w:spacing w:line="460" w:lineRule="atLeast"/>
              <w:ind w:left="3565" w:leftChars="726" w:hanging="2040" w:hangingChars="68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2025年度永嘉县农产品质量安全抽样及定量检测服务项目</w:t>
            </w:r>
          </w:p>
          <w:p w14:paraId="01E9FEC2">
            <w:pPr>
              <w:spacing w:line="500" w:lineRule="atLeast"/>
              <w:ind w:left="3565" w:leftChars="726" w:hanging="2040" w:hangingChars="680"/>
              <w:rPr>
                <w:rFonts w:hint="eastAsia" w:ascii="宋体" w:hAnsi="宋体" w:cs="宋体"/>
                <w:color w:val="auto"/>
                <w:sz w:val="30"/>
                <w:szCs w:val="30"/>
                <w:highlight w:val="none"/>
              </w:rPr>
            </w:pPr>
            <w:r>
              <w:rPr>
                <w:rFonts w:hint="eastAsia" w:ascii="宋体" w:hAnsi="宋体" w:cs="宋体"/>
                <w:color w:val="auto"/>
                <w:sz w:val="30"/>
                <w:szCs w:val="30"/>
                <w:highlight w:val="none"/>
              </w:rPr>
              <w:t>采购方式：公开招标</w:t>
            </w:r>
          </w:p>
          <w:p w14:paraId="57790FCB">
            <w:pPr>
              <w:pStyle w:val="18"/>
              <w:ind w:firstLine="210"/>
              <w:rPr>
                <w:rFonts w:hint="eastAsia" w:ascii="宋体" w:hAnsi="宋体" w:cs="宋体"/>
                <w:color w:val="auto"/>
                <w:highlight w:val="none"/>
              </w:rPr>
            </w:pPr>
          </w:p>
          <w:p w14:paraId="20940785">
            <w:pPr>
              <w:pStyle w:val="18"/>
              <w:ind w:firstLine="210"/>
              <w:rPr>
                <w:rFonts w:hint="eastAsia" w:ascii="宋体" w:hAnsi="宋体" w:cs="宋体"/>
                <w:color w:val="auto"/>
                <w:highlight w:val="none"/>
              </w:rPr>
            </w:pPr>
          </w:p>
          <w:p w14:paraId="51A5ECF1">
            <w:pPr>
              <w:pStyle w:val="18"/>
              <w:ind w:firstLine="210"/>
              <w:rPr>
                <w:rFonts w:hint="eastAsia" w:ascii="宋体" w:hAnsi="宋体" w:cs="宋体"/>
                <w:color w:val="auto"/>
                <w:highlight w:val="none"/>
              </w:rPr>
            </w:pPr>
          </w:p>
          <w:p w14:paraId="2BB8DCED">
            <w:pPr>
              <w:pStyle w:val="18"/>
              <w:ind w:firstLine="210"/>
              <w:rPr>
                <w:rFonts w:hint="eastAsia" w:ascii="宋体" w:hAnsi="宋体" w:cs="宋体"/>
                <w:color w:val="auto"/>
                <w:highlight w:val="none"/>
              </w:rPr>
            </w:pPr>
          </w:p>
          <w:p w14:paraId="25C68B8A">
            <w:pPr>
              <w:pStyle w:val="18"/>
              <w:ind w:firstLine="210"/>
              <w:rPr>
                <w:rFonts w:hint="eastAsia" w:ascii="宋体" w:hAnsi="宋体" w:cs="宋体"/>
                <w:color w:val="auto"/>
                <w:highlight w:val="none"/>
              </w:rPr>
            </w:pPr>
          </w:p>
          <w:p w14:paraId="3029FA12">
            <w:pPr>
              <w:pStyle w:val="18"/>
              <w:ind w:firstLine="210"/>
              <w:rPr>
                <w:rFonts w:hint="eastAsia" w:ascii="宋体" w:hAnsi="宋体" w:cs="宋体"/>
                <w:color w:val="auto"/>
                <w:highlight w:val="none"/>
              </w:rPr>
            </w:pPr>
          </w:p>
          <w:p w14:paraId="1B263F6A">
            <w:pPr>
              <w:pStyle w:val="18"/>
              <w:ind w:firstLine="210"/>
              <w:rPr>
                <w:rFonts w:hint="eastAsia" w:ascii="宋体" w:hAnsi="宋体" w:cs="宋体"/>
                <w:color w:val="auto"/>
                <w:highlight w:val="none"/>
              </w:rPr>
            </w:pPr>
          </w:p>
          <w:p w14:paraId="7D57AD9E">
            <w:pPr>
              <w:spacing w:line="460" w:lineRule="atLeast"/>
              <w:ind w:left="2841" w:leftChars="710" w:hanging="1350" w:hangingChars="45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采 购 人：</w:t>
            </w:r>
            <w:r>
              <w:rPr>
                <w:rFonts w:hint="eastAsia" w:ascii="宋体" w:hAnsi="宋体" w:cs="宋体"/>
                <w:color w:val="auto"/>
                <w:sz w:val="30"/>
                <w:szCs w:val="30"/>
                <w:highlight w:val="none"/>
                <w:lang w:eastAsia="zh-CN"/>
              </w:rPr>
              <w:t>永嘉县农业农村局</w:t>
            </w:r>
          </w:p>
          <w:p w14:paraId="678BFFCC">
            <w:pPr>
              <w:spacing w:line="460" w:lineRule="atLeast"/>
              <w:ind w:left="2841" w:leftChars="710" w:hanging="1350" w:hangingChars="450"/>
              <w:rPr>
                <w:rFonts w:hint="eastAsia" w:ascii="宋体" w:hAnsi="宋体" w:cs="宋体"/>
                <w:color w:val="auto"/>
                <w:sz w:val="30"/>
                <w:szCs w:val="30"/>
                <w:highlight w:val="none"/>
              </w:rPr>
            </w:pPr>
            <w:r>
              <w:rPr>
                <w:rFonts w:hint="eastAsia" w:ascii="宋体" w:hAnsi="宋体" w:cs="宋体"/>
                <w:color w:val="auto"/>
                <w:sz w:val="30"/>
                <w:szCs w:val="30"/>
                <w:highlight w:val="none"/>
              </w:rPr>
              <w:t>代理机构：温州市中概工程管理咨询有限公司</w:t>
            </w:r>
          </w:p>
          <w:p w14:paraId="76449DB1">
            <w:pPr>
              <w:spacing w:line="500" w:lineRule="atLeast"/>
              <w:ind w:left="3565" w:leftChars="726" w:hanging="2040" w:hangingChars="680"/>
              <w:rPr>
                <w:rFonts w:hint="eastAsia" w:ascii="宋体" w:hAnsi="宋体" w:cs="宋体"/>
                <w:color w:val="auto"/>
                <w:sz w:val="30"/>
                <w:szCs w:val="30"/>
                <w:highlight w:val="none"/>
              </w:rPr>
            </w:pPr>
          </w:p>
          <w:p w14:paraId="7704DB83">
            <w:pPr>
              <w:autoSpaceDE w:val="0"/>
              <w:autoSpaceDN w:val="0"/>
              <w:adjustRightInd w:val="0"/>
              <w:snapToGrid w:val="0"/>
              <w:spacing w:line="500" w:lineRule="atLeast"/>
              <w:jc w:val="center"/>
              <w:rPr>
                <w:rFonts w:hint="eastAsia" w:ascii="宋体" w:hAnsi="宋体" w:cs="宋体"/>
                <w:color w:val="auto"/>
                <w:sz w:val="32"/>
                <w:szCs w:val="32"/>
                <w:highlight w:val="none"/>
              </w:rPr>
            </w:pPr>
            <w:r>
              <w:rPr>
                <w:rFonts w:hint="eastAsia" w:ascii="宋体" w:hAnsi="宋体" w:cs="宋体"/>
                <w:color w:val="auto"/>
                <w:sz w:val="30"/>
                <w:szCs w:val="30"/>
                <w:highlight w:val="none"/>
              </w:rPr>
              <w:t>二○二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highlight w:val="none"/>
              </w:rPr>
              <w:t>月</w:t>
            </w:r>
          </w:p>
        </w:tc>
      </w:tr>
    </w:tbl>
    <w:p w14:paraId="6B423FAF">
      <w:pPr>
        <w:spacing w:line="500" w:lineRule="atLeast"/>
        <w:rPr>
          <w:rFonts w:hint="eastAsia"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850" w:gutter="0"/>
          <w:pgNumType w:start="1"/>
          <w:cols w:space="720" w:num="1"/>
          <w:titlePg/>
          <w:docGrid w:type="lines" w:linePitch="312" w:charSpace="0"/>
        </w:sectPr>
      </w:pPr>
    </w:p>
    <w:p w14:paraId="77503A1B">
      <w:pPr>
        <w:widowControl/>
        <w:spacing w:line="500" w:lineRule="atLeast"/>
        <w:jc w:val="center"/>
        <w:rPr>
          <w:rFonts w:hint="eastAsia" w:ascii="宋体" w:hAnsi="宋体" w:cs="宋体"/>
          <w:b/>
          <w:color w:val="auto"/>
          <w:sz w:val="32"/>
          <w:szCs w:val="32"/>
          <w:highlight w:val="none"/>
        </w:rPr>
      </w:pPr>
      <w:bookmarkStart w:id="0" w:name="_Toc496116237"/>
      <w:bookmarkStart w:id="1" w:name="_Toc293038713"/>
      <w:r>
        <w:rPr>
          <w:rFonts w:hint="eastAsia" w:ascii="宋体" w:hAnsi="宋体" w:cs="宋体"/>
          <w:b/>
          <w:color w:val="auto"/>
          <w:sz w:val="32"/>
          <w:szCs w:val="32"/>
          <w:highlight w:val="none"/>
        </w:rPr>
        <w:t>招标文件目录</w:t>
      </w:r>
    </w:p>
    <w:p w14:paraId="4DD18A2E">
      <w:pPr>
        <w:pStyle w:val="30"/>
        <w:tabs>
          <w:tab w:val="right" w:leader="dot" w:pos="9638"/>
          <w:tab w:val="clear" w:pos="8777"/>
        </w:tabs>
        <w:spacing w:line="48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"_Toc11853" </w:instrText>
      </w:r>
      <w:r>
        <w:rPr>
          <w:color w:val="auto"/>
          <w:highlight w:val="none"/>
        </w:rPr>
        <w:fldChar w:fldCharType="separate"/>
      </w:r>
      <w:r>
        <w:rPr>
          <w:rFonts w:hint="eastAsia" w:ascii="宋体" w:hAnsi="宋体" w:cs="宋体"/>
          <w:color w:val="auto"/>
          <w:szCs w:val="32"/>
          <w:highlight w:val="none"/>
        </w:rPr>
        <w:t>温州市中概工程管理咨询有限公司关于</w:t>
      </w:r>
      <w:r>
        <w:rPr>
          <w:rFonts w:hint="eastAsia" w:ascii="宋体" w:hAnsi="宋体" w:cs="宋体"/>
          <w:color w:val="auto"/>
          <w:szCs w:val="32"/>
          <w:highlight w:val="none"/>
          <w:lang w:eastAsia="zh-CN"/>
        </w:rPr>
        <w:t>2025年度永嘉县农产品质量安全抽样及定量检测服务项目</w:t>
      </w:r>
      <w:r>
        <w:rPr>
          <w:rFonts w:hint="eastAsia" w:ascii="宋体" w:hAnsi="宋体" w:cs="宋体"/>
          <w:color w:val="auto"/>
          <w:szCs w:val="32"/>
          <w:highlight w:val="none"/>
        </w:rPr>
        <w:t>的公开招标公告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_Toc11853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0FF62C5">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"_Toc17480" </w:instrText>
      </w:r>
      <w:r>
        <w:rPr>
          <w:color w:val="auto"/>
          <w:highlight w:val="none"/>
        </w:rPr>
        <w:fldChar w:fldCharType="separate"/>
      </w:r>
      <w:r>
        <w:rPr>
          <w:rFonts w:hint="eastAsia" w:ascii="宋体" w:hAnsi="宋体" w:cs="宋体"/>
          <w:color w:val="auto"/>
          <w:szCs w:val="30"/>
          <w:highlight w:val="none"/>
        </w:rPr>
        <w:t>第一部分  投标通知(邀请)书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_Toc17480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7983CB">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"_Toc13266" </w:instrText>
      </w:r>
      <w:r>
        <w:rPr>
          <w:color w:val="auto"/>
          <w:highlight w:val="none"/>
        </w:rPr>
        <w:fldChar w:fldCharType="separate"/>
      </w:r>
      <w:r>
        <w:rPr>
          <w:rFonts w:hint="eastAsia" w:ascii="宋体" w:hAnsi="宋体" w:cs="宋体"/>
          <w:color w:val="auto"/>
          <w:szCs w:val="30"/>
          <w:highlight w:val="none"/>
        </w:rPr>
        <w:t>第二部分 招标内容及要求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_Toc13266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7D1CF6">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"_Toc15919" </w:instrText>
      </w:r>
      <w:r>
        <w:rPr>
          <w:color w:val="auto"/>
          <w:highlight w:val="none"/>
        </w:rPr>
        <w:fldChar w:fldCharType="separate"/>
      </w:r>
      <w:r>
        <w:rPr>
          <w:rFonts w:hint="eastAsia" w:ascii="宋体" w:hAnsi="宋体" w:cs="宋体"/>
          <w:color w:val="auto"/>
          <w:szCs w:val="30"/>
          <w:highlight w:val="none"/>
        </w:rPr>
        <w:t>第三部分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_Toc15919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D80D1C">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ascii="宋体" w:hAnsi="宋体" w:cs="宋体"/>
          <w:bCs/>
          <w:color w:val="auto"/>
          <w:szCs w:val="22"/>
          <w:highlight w:val="none"/>
        </w:rPr>
        <w:t>一、说明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_Toc3034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B0FEA5F">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"_Toc13701" </w:instrText>
      </w:r>
      <w:r>
        <w:rPr>
          <w:color w:val="auto"/>
          <w:highlight w:val="none"/>
        </w:rPr>
        <w:fldChar w:fldCharType="separate"/>
      </w:r>
      <w:r>
        <w:rPr>
          <w:rFonts w:hint="eastAsia" w:ascii="宋体" w:hAnsi="宋体" w:cs="宋体"/>
          <w:bCs/>
          <w:color w:val="auto"/>
          <w:szCs w:val="22"/>
          <w:highlight w:val="none"/>
        </w:rPr>
        <w:t>二、供应商资格条件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_Toc13701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6D42767">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"_Toc13744" </w:instrText>
      </w:r>
      <w:r>
        <w:rPr>
          <w:color w:val="auto"/>
          <w:highlight w:val="none"/>
        </w:rPr>
        <w:fldChar w:fldCharType="separate"/>
      </w:r>
      <w:r>
        <w:rPr>
          <w:rFonts w:hint="eastAsia" w:ascii="宋体" w:hAnsi="宋体" w:cs="宋体"/>
          <w:bCs/>
          <w:color w:val="auto"/>
          <w:szCs w:val="22"/>
          <w:highlight w:val="none"/>
        </w:rPr>
        <w:t>三、招标文件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_Toc13744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A1D868E">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"_Toc24086" </w:instrText>
      </w:r>
      <w:r>
        <w:rPr>
          <w:color w:val="auto"/>
          <w:highlight w:val="none"/>
        </w:rPr>
        <w:fldChar w:fldCharType="separate"/>
      </w:r>
      <w:r>
        <w:rPr>
          <w:rFonts w:hint="eastAsia" w:ascii="宋体" w:hAnsi="宋体" w:cs="宋体"/>
          <w:bCs/>
          <w:color w:val="auto"/>
          <w:szCs w:val="22"/>
          <w:highlight w:val="none"/>
        </w:rPr>
        <w:t>四、投标文件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_Toc24086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B4A8F5E">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"_Toc18653" </w:instrText>
      </w:r>
      <w:r>
        <w:rPr>
          <w:color w:val="auto"/>
          <w:highlight w:val="none"/>
        </w:rPr>
        <w:fldChar w:fldCharType="separate"/>
      </w:r>
      <w:r>
        <w:rPr>
          <w:rFonts w:hint="eastAsia" w:ascii="宋体" w:hAnsi="宋体" w:cs="宋体"/>
          <w:bCs/>
          <w:color w:val="auto"/>
          <w:szCs w:val="22"/>
          <w:highlight w:val="none"/>
        </w:rPr>
        <w:t>五、投标文件的密封</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_Toc18653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7859C27">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"_Toc144" </w:instrText>
      </w:r>
      <w:r>
        <w:rPr>
          <w:color w:val="auto"/>
          <w:highlight w:val="none"/>
        </w:rPr>
        <w:fldChar w:fldCharType="separate"/>
      </w:r>
      <w:r>
        <w:rPr>
          <w:rFonts w:hint="eastAsia" w:ascii="宋体" w:hAnsi="宋体" w:cs="宋体"/>
          <w:bCs/>
          <w:color w:val="auto"/>
          <w:szCs w:val="22"/>
          <w:highlight w:val="none"/>
        </w:rPr>
        <w:t>六、开标和评标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_Toc144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F879718">
      <w:pPr>
        <w:pStyle w:val="36"/>
        <w:tabs>
          <w:tab w:val="right" w:leader="dot" w:pos="9638"/>
          <w:tab w:val="clear" w:pos="8777"/>
        </w:tabs>
        <w:spacing w:line="480" w:lineRule="auto"/>
        <w:ind w:firstLine="105"/>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"_Toc17810" </w:instrText>
      </w:r>
      <w:r>
        <w:rPr>
          <w:color w:val="auto"/>
          <w:highlight w:val="none"/>
        </w:rPr>
        <w:fldChar w:fldCharType="separate"/>
      </w:r>
      <w:r>
        <w:rPr>
          <w:rFonts w:hint="eastAsia" w:ascii="宋体" w:hAnsi="宋体" w:cs="宋体"/>
          <w:bCs/>
          <w:color w:val="auto"/>
          <w:szCs w:val="22"/>
          <w:highlight w:val="none"/>
        </w:rPr>
        <w:t>七、授予合同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_Toc17810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CE1843">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"_Toc30125" </w:instrText>
      </w:r>
      <w:r>
        <w:rPr>
          <w:color w:val="auto"/>
          <w:highlight w:val="none"/>
        </w:rPr>
        <w:fldChar w:fldCharType="separate"/>
      </w:r>
      <w:r>
        <w:rPr>
          <w:rFonts w:hint="eastAsia" w:ascii="宋体" w:hAnsi="宋体" w:cs="宋体"/>
          <w:color w:val="auto"/>
          <w:szCs w:val="30"/>
          <w:highlight w:val="none"/>
        </w:rPr>
        <w:t>第四部分  政府采购政策功能相关说明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_Toc30125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906D10">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"_Toc23974" </w:instrText>
      </w:r>
      <w:r>
        <w:rPr>
          <w:color w:val="auto"/>
          <w:highlight w:val="none"/>
        </w:rPr>
        <w:fldChar w:fldCharType="separate"/>
      </w:r>
      <w:r>
        <w:rPr>
          <w:rFonts w:hint="eastAsia" w:ascii="宋体" w:hAnsi="宋体" w:cs="宋体"/>
          <w:color w:val="auto"/>
          <w:szCs w:val="30"/>
          <w:highlight w:val="none"/>
        </w:rPr>
        <w:t>第五部分  合同主要条款（参考格式）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_Toc23974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46B8975">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"_Toc21992" </w:instrText>
      </w:r>
      <w:r>
        <w:rPr>
          <w:color w:val="auto"/>
          <w:highlight w:val="none"/>
        </w:rPr>
        <w:fldChar w:fldCharType="separate"/>
      </w:r>
      <w:r>
        <w:rPr>
          <w:rFonts w:hint="eastAsia" w:ascii="宋体" w:hAnsi="宋体" w:cs="宋体"/>
          <w:color w:val="auto"/>
          <w:szCs w:val="30"/>
          <w:highlight w:val="none"/>
        </w:rPr>
        <w:t>第六部分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_Toc21992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498E56E">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"_Toc3026" </w:instrText>
      </w:r>
      <w:r>
        <w:rPr>
          <w:color w:val="auto"/>
          <w:highlight w:val="none"/>
        </w:rPr>
        <w:fldChar w:fldCharType="separate"/>
      </w:r>
      <w:r>
        <w:rPr>
          <w:rFonts w:hint="eastAsia" w:ascii="宋体" w:hAnsi="宋体" w:cs="宋体"/>
          <w:color w:val="auto"/>
          <w:highlight w:val="none"/>
        </w:rPr>
        <w:t>一、资格文件部分格式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_Toc3026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84F337D">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宋体" w:hAnsi="宋体" w:cs="宋体"/>
          <w:color w:val="auto"/>
          <w:highlight w:val="none"/>
        </w:rPr>
        <w:t>二、报价文件部分格式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_Toc3526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24C9A03">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"_Toc6383" </w:instrText>
      </w:r>
      <w:r>
        <w:rPr>
          <w:color w:val="auto"/>
          <w:highlight w:val="none"/>
        </w:rPr>
        <w:fldChar w:fldCharType="separate"/>
      </w:r>
      <w:r>
        <w:rPr>
          <w:rFonts w:hint="eastAsia" w:ascii="宋体" w:hAnsi="宋体" w:cs="宋体"/>
          <w:color w:val="auto"/>
          <w:highlight w:val="none"/>
        </w:rPr>
        <w:t>三、商务技术文件部分格式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_Toc6383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38BA70">
      <w:pPr>
        <w:pStyle w:val="30"/>
        <w:tabs>
          <w:tab w:val="right" w:leader="dot" w:pos="9638"/>
          <w:tab w:val="clear" w:pos="8777"/>
        </w:tabs>
        <w:spacing w:line="480" w:lineRule="auto"/>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"_Toc5132" </w:instrText>
      </w:r>
      <w:r>
        <w:rPr>
          <w:color w:val="auto"/>
          <w:highlight w:val="none"/>
        </w:rPr>
        <w:fldChar w:fldCharType="separate"/>
      </w:r>
      <w:r>
        <w:rPr>
          <w:rFonts w:hint="eastAsia" w:ascii="宋体" w:hAnsi="宋体" w:cs="宋体"/>
          <w:color w:val="auto"/>
          <w:szCs w:val="30"/>
          <w:highlight w:val="none"/>
        </w:rPr>
        <w:t>第七部分 评标定标办法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_Toc5132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45A8468">
      <w:pPr>
        <w:spacing w:line="480" w:lineRule="auto"/>
        <w:rPr>
          <w:rFonts w:hint="eastAsia" w:ascii="宋体" w:hAnsi="宋体" w:cs="宋体"/>
          <w:color w:val="auto"/>
          <w:highlight w:val="none"/>
        </w:rPr>
      </w:pPr>
      <w:r>
        <w:rPr>
          <w:rFonts w:hint="eastAsia" w:ascii="宋体" w:hAnsi="宋体" w:cs="宋体"/>
          <w:color w:val="auto"/>
          <w:highlight w:val="none"/>
        </w:rPr>
        <w:fldChar w:fldCharType="end"/>
      </w:r>
      <w:bookmarkStart w:id="2" w:name="_Toc498343162"/>
      <w:r>
        <w:rPr>
          <w:rFonts w:hint="eastAsia" w:ascii="宋体" w:hAnsi="宋体" w:cs="宋体"/>
          <w:b/>
          <w:bCs/>
          <w:color w:val="auto"/>
          <w:sz w:val="22"/>
          <w:szCs w:val="22"/>
          <w:highlight w:val="none"/>
        </w:rPr>
        <w:t>注：招标文件中部分加“▲”的条款，为招标的实质性要求和条件，着重提醒各投标供应商注意，并认真查看招标文件中的每一个条款及要求，因误读招标文件而造成的后果，招标人概不负责。</w:t>
      </w:r>
    </w:p>
    <w:p w14:paraId="29EE75D0">
      <w:pPr>
        <w:spacing w:line="480" w:lineRule="auto"/>
        <w:rPr>
          <w:rFonts w:hint="eastAsia" w:ascii="宋体" w:hAnsi="宋体" w:cs="宋体"/>
          <w:color w:val="auto"/>
          <w:sz w:val="30"/>
          <w:szCs w:val="30"/>
          <w:highlight w:val="none"/>
        </w:rPr>
      </w:pPr>
    </w:p>
    <w:bookmarkEnd w:id="0"/>
    <w:bookmarkEnd w:id="2"/>
    <w:p w14:paraId="1BC4639C">
      <w:pPr>
        <w:spacing w:line="360" w:lineRule="auto"/>
        <w:jc w:val="center"/>
        <w:rPr>
          <w:rFonts w:hint="eastAsia" w:ascii="宋体" w:hAnsi="宋体" w:cs="宋体"/>
          <w:b/>
          <w:color w:val="auto"/>
          <w:sz w:val="32"/>
          <w:szCs w:val="32"/>
          <w:highlight w:val="none"/>
        </w:rPr>
      </w:pPr>
      <w:bookmarkStart w:id="3" w:name="_Toc496116239"/>
      <w:bookmarkStart w:id="4" w:name="_Toc498343164"/>
      <w:r>
        <w:rPr>
          <w:rFonts w:hint="eastAsia" w:ascii="宋体" w:hAnsi="宋体" w:cs="宋体"/>
          <w:color w:val="auto"/>
          <w:sz w:val="30"/>
          <w:szCs w:val="30"/>
          <w:highlight w:val="none"/>
        </w:rPr>
        <w:br w:type="page"/>
      </w:r>
      <w:bookmarkStart w:id="5" w:name="_Toc11853"/>
      <w:r>
        <w:rPr>
          <w:rFonts w:hint="eastAsia" w:ascii="宋体" w:hAnsi="宋体" w:cs="宋体"/>
          <w:b/>
          <w:color w:val="auto"/>
          <w:sz w:val="32"/>
          <w:szCs w:val="32"/>
          <w:highlight w:val="none"/>
        </w:rPr>
        <w:t>温州市中概工程管理咨询有限公司关于</w:t>
      </w:r>
      <w:r>
        <w:rPr>
          <w:rFonts w:hint="eastAsia" w:ascii="宋体" w:hAnsi="宋体" w:cs="宋体"/>
          <w:b/>
          <w:color w:val="auto"/>
          <w:sz w:val="32"/>
          <w:szCs w:val="32"/>
          <w:highlight w:val="none"/>
          <w:lang w:eastAsia="zh-CN"/>
        </w:rPr>
        <w:t>2025年度永嘉县农产品质量安全抽样及定量检测服务项目</w:t>
      </w:r>
      <w:r>
        <w:rPr>
          <w:rFonts w:hint="eastAsia" w:ascii="宋体" w:hAnsi="宋体" w:cs="宋体"/>
          <w:b/>
          <w:color w:val="auto"/>
          <w:sz w:val="32"/>
          <w:szCs w:val="32"/>
          <w:highlight w:val="none"/>
        </w:rPr>
        <w:t>的公开招标公告</w:t>
      </w:r>
      <w:bookmarkEnd w:id="5"/>
    </w:p>
    <w:p w14:paraId="0DCD80EF">
      <w:pPr>
        <w:pStyle w:val="39"/>
        <w:rPr>
          <w:rFonts w:hint="eastAsia"/>
          <w:color w:val="auto"/>
          <w:sz w:val="22"/>
          <w:szCs w:val="22"/>
          <w:highlight w:val="none"/>
        </w:rPr>
      </w:pPr>
      <w:r>
        <w:rPr>
          <w:rFonts w:hint="eastAsia"/>
          <w:color w:val="auto"/>
          <w:sz w:val="22"/>
          <w:szCs w:val="22"/>
          <w:highlight w:val="none"/>
        </w:rPr>
        <w:t>项目概况  </w:t>
      </w:r>
    </w:p>
    <w:p w14:paraId="7E451CE0">
      <w:pPr>
        <w:pStyle w:val="39"/>
        <w:spacing w:line="360" w:lineRule="auto"/>
        <w:rPr>
          <w:rFonts w:hint="eastAsia"/>
          <w:color w:val="auto"/>
          <w:sz w:val="22"/>
          <w:szCs w:val="22"/>
          <w:highlight w:val="none"/>
        </w:rPr>
      </w:pPr>
      <w:r>
        <w:rPr>
          <w:rFonts w:hint="eastAsia"/>
          <w:color w:val="auto"/>
          <w:sz w:val="22"/>
          <w:szCs w:val="22"/>
          <w:highlight w:val="none"/>
          <w:lang w:eastAsia="zh-CN"/>
        </w:rPr>
        <w:t>2025年度永嘉县农产品质量安全抽样及定量检测服务</w:t>
      </w:r>
      <w:r>
        <w:rPr>
          <w:rFonts w:hint="eastAsia"/>
          <w:color w:val="auto"/>
          <w:sz w:val="22"/>
          <w:szCs w:val="22"/>
          <w:highlight w:val="none"/>
        </w:rPr>
        <w:t>招标项目的潜在投标供应商应在政采云平台线上获取（下载）招标文件，并于 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1</w:t>
      </w:r>
      <w:r>
        <w:rPr>
          <w:rFonts w:hint="eastAsia"/>
          <w:color w:val="auto"/>
          <w:sz w:val="22"/>
          <w:szCs w:val="22"/>
          <w:highlight w:val="none"/>
        </w:rPr>
        <w:t>月</w:t>
      </w:r>
      <w:r>
        <w:rPr>
          <w:rFonts w:hint="eastAsia"/>
          <w:color w:val="auto"/>
          <w:sz w:val="22"/>
          <w:szCs w:val="22"/>
          <w:highlight w:val="none"/>
          <w:lang w:val="en-US" w:eastAsia="zh-CN"/>
        </w:rPr>
        <w:t>16</w:t>
      </w:r>
      <w:r>
        <w:rPr>
          <w:rFonts w:hint="eastAsia"/>
          <w:color w:val="auto"/>
          <w:sz w:val="22"/>
          <w:szCs w:val="22"/>
          <w:highlight w:val="none"/>
        </w:rPr>
        <w:t>日 09:30（北京时间）前递交（上传）投标文件。</w:t>
      </w:r>
    </w:p>
    <w:p w14:paraId="4DBF7235">
      <w:pPr>
        <w:widowControl/>
        <w:spacing w:before="225" w:after="225" w:line="360" w:lineRule="auto"/>
        <w:jc w:val="left"/>
        <w:rPr>
          <w:rFonts w:hint="eastAsia" w:ascii="宋体" w:hAnsi="宋体" w:cs="宋体"/>
          <w:color w:val="auto"/>
          <w:sz w:val="22"/>
          <w:szCs w:val="22"/>
          <w:highlight w:val="none"/>
        </w:rPr>
      </w:pPr>
      <w:r>
        <w:rPr>
          <w:rStyle w:val="46"/>
          <w:rFonts w:hint="eastAsia" w:ascii="宋体" w:hAnsi="宋体" w:cs="宋体"/>
          <w:color w:val="auto"/>
          <w:sz w:val="22"/>
          <w:szCs w:val="22"/>
          <w:highlight w:val="none"/>
        </w:rPr>
        <w:t>一、项目</w:t>
      </w:r>
      <w:r>
        <w:rPr>
          <w:rFonts w:hint="eastAsia" w:ascii="宋体" w:hAnsi="宋体" w:cs="宋体"/>
          <w:b/>
          <w:color w:val="auto"/>
          <w:kern w:val="0"/>
          <w:sz w:val="22"/>
          <w:szCs w:val="22"/>
          <w:highlight w:val="none"/>
        </w:rPr>
        <w:t>基本</w:t>
      </w:r>
      <w:r>
        <w:rPr>
          <w:rStyle w:val="46"/>
          <w:rFonts w:hint="eastAsia" w:ascii="宋体" w:hAnsi="宋体" w:cs="宋体"/>
          <w:color w:val="auto"/>
          <w:sz w:val="22"/>
          <w:szCs w:val="22"/>
          <w:highlight w:val="none"/>
        </w:rPr>
        <w:t>情况</w:t>
      </w:r>
      <w:r>
        <w:rPr>
          <w:rFonts w:hint="eastAsia" w:ascii="宋体" w:hAnsi="宋体" w:cs="宋体"/>
          <w:color w:val="auto"/>
          <w:sz w:val="22"/>
          <w:szCs w:val="22"/>
          <w:highlight w:val="none"/>
        </w:rPr>
        <w:t>                                            </w:t>
      </w:r>
    </w:p>
    <w:p w14:paraId="25FE2950">
      <w:pPr>
        <w:pStyle w:val="39"/>
        <w:spacing w:before="75" w:beforeAutospacing="0" w:after="75" w:afterAutospacing="0" w:line="300" w:lineRule="atLeast"/>
        <w:rPr>
          <w:rFonts w:hint="eastAsia"/>
          <w:color w:val="auto"/>
          <w:sz w:val="22"/>
          <w:szCs w:val="22"/>
          <w:highlight w:val="none"/>
        </w:rPr>
      </w:pPr>
      <w:r>
        <w:rPr>
          <w:rFonts w:hint="eastAsia"/>
          <w:color w:val="auto"/>
          <w:sz w:val="22"/>
          <w:szCs w:val="22"/>
          <w:highlight w:val="none"/>
        </w:rPr>
        <w:t>   项目编号：</w:t>
      </w:r>
      <w:r>
        <w:rPr>
          <w:rFonts w:hint="eastAsia"/>
          <w:color w:val="auto"/>
          <w:sz w:val="22"/>
          <w:szCs w:val="22"/>
          <w:highlight w:val="none"/>
          <w:lang w:eastAsia="zh-CN"/>
        </w:rPr>
        <w:t>ZGCG-20241226</w:t>
      </w:r>
      <w:r>
        <w:rPr>
          <w:rFonts w:hint="eastAsia"/>
          <w:color w:val="auto"/>
          <w:sz w:val="22"/>
          <w:szCs w:val="22"/>
          <w:highlight w:val="none"/>
        </w:rPr>
        <w:t> </w:t>
      </w:r>
    </w:p>
    <w:p w14:paraId="56FD5D8D">
      <w:pPr>
        <w:widowControl/>
        <w:spacing w:before="75" w:after="75" w:line="300" w:lineRule="atLeas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项目名称：</w:t>
      </w:r>
      <w:r>
        <w:rPr>
          <w:rFonts w:hint="eastAsia" w:ascii="宋体" w:hAnsi="宋体" w:cs="宋体"/>
          <w:color w:val="auto"/>
          <w:kern w:val="0"/>
          <w:sz w:val="22"/>
          <w:szCs w:val="22"/>
          <w:highlight w:val="none"/>
          <w:lang w:eastAsia="zh-CN"/>
        </w:rPr>
        <w:t>2025年度永嘉县农产品质量安全抽样及定量检测服务项目</w:t>
      </w:r>
    </w:p>
    <w:p w14:paraId="6AAD22C6">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预算金额（元）</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600</w:t>
      </w:r>
      <w:r>
        <w:rPr>
          <w:rFonts w:hint="eastAsia" w:ascii="宋体" w:hAnsi="宋体" w:cs="宋体"/>
          <w:color w:val="auto"/>
          <w:kern w:val="0"/>
          <w:sz w:val="22"/>
          <w:szCs w:val="22"/>
          <w:highlight w:val="none"/>
        </w:rPr>
        <w:t>000 </w:t>
      </w:r>
      <w:r>
        <w:rPr>
          <w:rFonts w:hint="eastAsia" w:ascii="宋体" w:hAnsi="宋体" w:cs="宋体"/>
          <w:color w:val="auto"/>
          <w:kern w:val="0"/>
          <w:sz w:val="22"/>
          <w:szCs w:val="22"/>
          <w:highlight w:val="none"/>
        </w:rPr>
        <w:t> </w:t>
      </w:r>
    </w:p>
    <w:p w14:paraId="1BDCF075">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最高限价（元）：/ </w:t>
      </w:r>
    </w:p>
    <w:p w14:paraId="4664B87E">
      <w:pPr>
        <w:widowControl/>
        <w:spacing w:before="75" w:after="75" w:line="30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采购需求：</w:t>
      </w:r>
    </w:p>
    <w:p w14:paraId="70720488">
      <w:pPr>
        <w:widowControl/>
        <w:shd w:val="clear" w:color="auto" w:fill="F7F7F7"/>
        <w:spacing w:before="75" w:after="75" w:line="36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标项名称: </w:t>
      </w:r>
      <w:r>
        <w:rPr>
          <w:rFonts w:hint="eastAsia" w:ascii="宋体" w:hAnsi="宋体" w:cs="宋体"/>
          <w:color w:val="auto"/>
          <w:kern w:val="0"/>
          <w:sz w:val="22"/>
          <w:szCs w:val="22"/>
          <w:highlight w:val="none"/>
          <w:lang w:eastAsia="zh-CN"/>
        </w:rPr>
        <w:t>2025年度永嘉县农产品质量安全抽样及定量检测服务项目</w:t>
      </w:r>
      <w:r>
        <w:rPr>
          <w:rFonts w:hint="eastAsia" w:ascii="宋体" w:hAnsi="宋体" w:cs="宋体"/>
          <w:color w:val="auto"/>
          <w:kern w:val="0"/>
          <w:sz w:val="22"/>
          <w:szCs w:val="22"/>
          <w:highlight w:val="none"/>
        </w:rPr>
        <w:t> </w:t>
      </w:r>
    </w:p>
    <w:p w14:paraId="23332EB1">
      <w:pPr>
        <w:widowControl/>
        <w:shd w:val="clear" w:color="auto" w:fill="F7F7F7"/>
        <w:spacing w:before="75" w:after="75" w:line="36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数量: </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 </w:t>
      </w:r>
    </w:p>
    <w:p w14:paraId="29D1D987">
      <w:pPr>
        <w:widowControl/>
        <w:shd w:val="clear" w:color="auto" w:fill="F7F7F7"/>
        <w:spacing w:before="75" w:after="75" w:line="36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预算金额（元）: </w:t>
      </w:r>
      <w:r>
        <w:rPr>
          <w:rFonts w:hint="eastAsia" w:ascii="宋体" w:hAnsi="宋体" w:cs="宋体"/>
          <w:color w:val="auto"/>
          <w:kern w:val="0"/>
          <w:sz w:val="22"/>
          <w:szCs w:val="22"/>
          <w:highlight w:val="none"/>
          <w:lang w:val="en-US" w:eastAsia="zh-CN"/>
        </w:rPr>
        <w:t>600</w:t>
      </w:r>
      <w:r>
        <w:rPr>
          <w:rFonts w:hint="eastAsia" w:ascii="宋体" w:hAnsi="宋体" w:cs="宋体"/>
          <w:color w:val="auto"/>
          <w:kern w:val="0"/>
          <w:sz w:val="22"/>
          <w:szCs w:val="22"/>
          <w:highlight w:val="none"/>
        </w:rPr>
        <w:t>000 </w:t>
      </w:r>
    </w:p>
    <w:p w14:paraId="4C6C8FFD">
      <w:pPr>
        <w:widowControl/>
        <w:shd w:val="clear" w:color="auto" w:fill="F7F7F7"/>
        <w:spacing w:before="75" w:after="75" w:line="360" w:lineRule="atLeast"/>
        <w:jc w:val="left"/>
        <w:rPr>
          <w:rFonts w:hint="eastAsia" w:ascii="宋体" w:hAnsi="宋体" w:cs="宋体"/>
          <w:color w:val="auto"/>
          <w:highlight w:val="none"/>
        </w:rPr>
      </w:pPr>
      <w:r>
        <w:rPr>
          <w:rFonts w:hint="eastAsia" w:ascii="宋体" w:hAnsi="宋体" w:cs="宋体"/>
          <w:color w:val="auto"/>
          <w:kern w:val="0"/>
          <w:sz w:val="22"/>
          <w:szCs w:val="22"/>
          <w:highlight w:val="none"/>
        </w:rPr>
        <w:t>    简要规格描述或项目基本概况介绍、用途：</w:t>
      </w:r>
      <w:r>
        <w:rPr>
          <w:rFonts w:hint="eastAsia" w:ascii="宋体" w:hAnsi="宋体" w:cs="宋体"/>
          <w:color w:val="auto"/>
          <w:kern w:val="0"/>
          <w:sz w:val="22"/>
          <w:szCs w:val="22"/>
          <w:highlight w:val="none"/>
          <w:lang w:eastAsia="zh-CN"/>
        </w:rPr>
        <w:t>2025年度永嘉县农产品质量安全抽样及定量检测服务项目</w:t>
      </w:r>
      <w:r>
        <w:rPr>
          <w:rFonts w:hint="eastAsia" w:ascii="宋体" w:hAnsi="宋体" w:cs="宋体"/>
          <w:color w:val="auto"/>
          <w:kern w:val="0"/>
          <w:sz w:val="22"/>
          <w:szCs w:val="22"/>
          <w:highlight w:val="none"/>
        </w:rPr>
        <w:t>，详见招标文件 </w:t>
      </w:r>
    </w:p>
    <w:p w14:paraId="34EBBE8E">
      <w:pPr>
        <w:widowControl/>
        <w:shd w:val="clear" w:color="auto" w:fill="F7F7F7"/>
        <w:spacing w:before="75" w:after="75" w:line="36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备注： </w:t>
      </w:r>
    </w:p>
    <w:p w14:paraId="18E19889">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合同履约期限：标项 1，详见招标文件</w:t>
      </w:r>
    </w:p>
    <w:p w14:paraId="4D46A1DF">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本项目（否）接受联合体投标。</w:t>
      </w:r>
    </w:p>
    <w:p w14:paraId="7EB0C069">
      <w:pPr>
        <w:widowControl/>
        <w:spacing w:before="225" w:after="225" w:line="300" w:lineRule="atLeast"/>
        <w:jc w:val="lef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二、申请人的资格要求：</w:t>
      </w:r>
    </w:p>
    <w:p w14:paraId="291128F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kern w:val="0"/>
          <w:sz w:val="22"/>
          <w:szCs w:val="22"/>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6B3494C2">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2.落实政府采购政策需满足的资格要求：</w:t>
      </w:r>
      <w:r>
        <w:rPr>
          <w:rFonts w:hint="eastAsia" w:ascii="宋体" w:hAnsi="宋体" w:cs="宋体"/>
          <w:color w:val="auto"/>
          <w:kern w:val="0"/>
          <w:sz w:val="22"/>
          <w:szCs w:val="22"/>
          <w:highlight w:val="none"/>
          <w:lang w:val="en-US" w:eastAsia="zh-CN"/>
        </w:rPr>
        <w:t>无</w:t>
      </w:r>
      <w:r>
        <w:rPr>
          <w:rFonts w:hint="eastAsia" w:cs="Arial" w:asciiTheme="majorEastAsia" w:hAnsiTheme="majorEastAsia" w:eastAsiaTheme="majorEastAsia"/>
          <w:color w:val="auto"/>
          <w:kern w:val="0"/>
          <w:sz w:val="22"/>
          <w:szCs w:val="22"/>
          <w:highlight w:val="none"/>
        </w:rPr>
        <w:t>。</w:t>
      </w:r>
      <w:r>
        <w:rPr>
          <w:rFonts w:hint="eastAsia" w:ascii="宋体" w:hAnsi="宋体" w:cs="宋体"/>
          <w:color w:val="auto"/>
          <w:kern w:val="0"/>
          <w:sz w:val="22"/>
          <w:szCs w:val="22"/>
          <w:highlight w:val="none"/>
        </w:rPr>
        <w:t> </w:t>
      </w:r>
    </w:p>
    <w:p w14:paraId="4656ACC6">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3.本项目的特定资格要求：无 </w:t>
      </w:r>
    </w:p>
    <w:p w14:paraId="3238B31B">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三、获取招标文件</w:t>
      </w:r>
      <w:r>
        <w:rPr>
          <w:rFonts w:hint="eastAsia" w:ascii="宋体" w:hAnsi="宋体" w:cs="宋体"/>
          <w:color w:val="auto"/>
          <w:kern w:val="0"/>
          <w:sz w:val="22"/>
          <w:szCs w:val="22"/>
          <w:highlight w:val="none"/>
        </w:rPr>
        <w:t> </w:t>
      </w:r>
    </w:p>
    <w:p w14:paraId="5407A769">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时间：/至</w:t>
      </w:r>
      <w:r>
        <w:rPr>
          <w:rFonts w:hint="eastAsia"/>
          <w:color w:val="auto"/>
          <w:sz w:val="22"/>
          <w:szCs w:val="22"/>
          <w:highlight w:val="none"/>
        </w:rPr>
        <w:t xml:space="preserve"> 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1</w:t>
      </w:r>
      <w:r>
        <w:rPr>
          <w:rFonts w:hint="eastAsia"/>
          <w:color w:val="auto"/>
          <w:sz w:val="22"/>
          <w:szCs w:val="22"/>
          <w:highlight w:val="none"/>
        </w:rPr>
        <w:t>月</w:t>
      </w:r>
      <w:r>
        <w:rPr>
          <w:rFonts w:hint="eastAsia"/>
          <w:color w:val="auto"/>
          <w:sz w:val="22"/>
          <w:szCs w:val="22"/>
          <w:highlight w:val="none"/>
          <w:lang w:val="en-US" w:eastAsia="zh-CN"/>
        </w:rPr>
        <w:t>16</w:t>
      </w:r>
      <w:r>
        <w:rPr>
          <w:rFonts w:hint="eastAsia"/>
          <w:color w:val="auto"/>
          <w:sz w:val="22"/>
          <w:szCs w:val="22"/>
          <w:highlight w:val="none"/>
        </w:rPr>
        <w:t>日</w:t>
      </w:r>
      <w:r>
        <w:rPr>
          <w:rFonts w:hint="eastAsia" w:ascii="宋体" w:hAnsi="宋体" w:cs="宋体"/>
          <w:color w:val="auto"/>
          <w:kern w:val="0"/>
          <w:sz w:val="22"/>
          <w:szCs w:val="22"/>
          <w:highlight w:val="none"/>
        </w:rPr>
        <w:t> ，每天上午00:00至12:00 ，下午12:00至23:59（北京时间，线上获取法定节假日均可，线下获取文件法定节假日除外）</w:t>
      </w:r>
    </w:p>
    <w:p w14:paraId="10CCB06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地点（网址）：政采云平台线上获取 </w:t>
      </w:r>
    </w:p>
    <w:p w14:paraId="6E2156BB">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方式：供应商登录政采云平台https://www.zcygov.cn/在线申请获取采购文件（进入“项目采购”应用，在获取采购文件菜单中选择项目，申请获取采购文件） </w:t>
      </w:r>
    </w:p>
    <w:p w14:paraId="494DAE48">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售价（元）：0 </w:t>
      </w:r>
    </w:p>
    <w:p w14:paraId="34E104D7">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558D4080">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提交投标文件截止时间：</w:t>
      </w:r>
      <w:r>
        <w:rPr>
          <w:rFonts w:hint="eastAsia"/>
          <w:color w:val="auto"/>
          <w:sz w:val="22"/>
          <w:szCs w:val="22"/>
          <w:highlight w:val="none"/>
        </w:rPr>
        <w:t xml:space="preserve"> 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1</w:t>
      </w:r>
      <w:r>
        <w:rPr>
          <w:rFonts w:hint="eastAsia"/>
          <w:color w:val="auto"/>
          <w:sz w:val="22"/>
          <w:szCs w:val="22"/>
          <w:highlight w:val="none"/>
        </w:rPr>
        <w:t>月</w:t>
      </w:r>
      <w:r>
        <w:rPr>
          <w:rFonts w:hint="eastAsia"/>
          <w:color w:val="auto"/>
          <w:sz w:val="22"/>
          <w:szCs w:val="22"/>
          <w:highlight w:val="none"/>
          <w:lang w:val="en-US" w:eastAsia="zh-CN"/>
        </w:rPr>
        <w:t>16</w:t>
      </w:r>
      <w:r>
        <w:rPr>
          <w:rFonts w:hint="eastAsia"/>
          <w:color w:val="auto"/>
          <w:sz w:val="22"/>
          <w:szCs w:val="22"/>
          <w:highlight w:val="none"/>
        </w:rPr>
        <w:t>日</w:t>
      </w:r>
      <w:r>
        <w:rPr>
          <w:rFonts w:hint="eastAsia" w:ascii="宋体" w:hAnsi="宋体" w:cs="宋体"/>
          <w:color w:val="auto"/>
          <w:kern w:val="0"/>
          <w:sz w:val="22"/>
          <w:szCs w:val="22"/>
          <w:highlight w:val="none"/>
        </w:rPr>
        <w:t xml:space="preserve"> 09:30（北京时间）</w:t>
      </w:r>
    </w:p>
    <w:p w14:paraId="1780477C">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投标地点（网址）：请登录政采云投标客户端投标 </w:t>
      </w:r>
    </w:p>
    <w:p w14:paraId="074EADA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开标时间：</w:t>
      </w:r>
      <w:r>
        <w:rPr>
          <w:rFonts w:hint="eastAsia"/>
          <w:color w:val="auto"/>
          <w:sz w:val="22"/>
          <w:szCs w:val="22"/>
          <w:highlight w:val="none"/>
        </w:rPr>
        <w:t xml:space="preserve"> 202</w:t>
      </w:r>
      <w:r>
        <w:rPr>
          <w:rFonts w:hint="eastAsia"/>
          <w:color w:val="auto"/>
          <w:sz w:val="22"/>
          <w:szCs w:val="22"/>
          <w:highlight w:val="none"/>
          <w:lang w:val="en-US" w:eastAsia="zh-CN"/>
        </w:rPr>
        <w:t>5</w:t>
      </w:r>
      <w:r>
        <w:rPr>
          <w:rFonts w:hint="eastAsia"/>
          <w:color w:val="auto"/>
          <w:sz w:val="22"/>
          <w:szCs w:val="22"/>
          <w:highlight w:val="none"/>
        </w:rPr>
        <w:t>年</w:t>
      </w:r>
      <w:r>
        <w:rPr>
          <w:rFonts w:hint="eastAsia"/>
          <w:color w:val="auto"/>
          <w:sz w:val="22"/>
          <w:szCs w:val="22"/>
          <w:highlight w:val="none"/>
          <w:lang w:val="en-US" w:eastAsia="zh-CN"/>
        </w:rPr>
        <w:t>1</w:t>
      </w:r>
      <w:r>
        <w:rPr>
          <w:rFonts w:hint="eastAsia"/>
          <w:color w:val="auto"/>
          <w:sz w:val="22"/>
          <w:szCs w:val="22"/>
          <w:highlight w:val="none"/>
        </w:rPr>
        <w:t>月</w:t>
      </w:r>
      <w:r>
        <w:rPr>
          <w:rFonts w:hint="eastAsia"/>
          <w:color w:val="auto"/>
          <w:sz w:val="22"/>
          <w:szCs w:val="22"/>
          <w:highlight w:val="none"/>
          <w:lang w:val="en-US" w:eastAsia="zh-CN"/>
        </w:rPr>
        <w:t>16</w:t>
      </w:r>
      <w:r>
        <w:rPr>
          <w:rFonts w:hint="eastAsia"/>
          <w:color w:val="auto"/>
          <w:sz w:val="22"/>
          <w:szCs w:val="22"/>
          <w:highlight w:val="none"/>
        </w:rPr>
        <w:t>日</w:t>
      </w:r>
      <w:r>
        <w:rPr>
          <w:rFonts w:hint="eastAsia" w:ascii="宋体" w:hAnsi="宋体" w:cs="宋体"/>
          <w:color w:val="auto"/>
          <w:kern w:val="0"/>
          <w:sz w:val="22"/>
          <w:szCs w:val="22"/>
          <w:highlight w:val="none"/>
        </w:rPr>
        <w:t xml:space="preserve"> 09:30 </w:t>
      </w:r>
    </w:p>
    <w:p w14:paraId="6AFA0067">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开标地点（网址）：https://www.zcygov.cn/  </w:t>
      </w:r>
    </w:p>
    <w:p w14:paraId="287A9C35">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五、公告期限</w:t>
      </w:r>
      <w:r>
        <w:rPr>
          <w:rFonts w:hint="eastAsia" w:ascii="宋体" w:hAnsi="宋体" w:cs="宋体"/>
          <w:color w:val="auto"/>
          <w:kern w:val="0"/>
          <w:sz w:val="22"/>
          <w:szCs w:val="22"/>
          <w:highlight w:val="none"/>
        </w:rPr>
        <w:t> </w:t>
      </w:r>
    </w:p>
    <w:p w14:paraId="2956F1F5">
      <w:pPr>
        <w:widowControl/>
        <w:spacing w:before="75" w:after="7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自本公告发布之日起5个工作日。</w:t>
      </w:r>
    </w:p>
    <w:p w14:paraId="348A8682">
      <w:pPr>
        <w:widowControl/>
        <w:spacing w:before="255" w:after="255" w:line="30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六、其他补充事宜</w:t>
      </w:r>
    </w:p>
    <w:p w14:paraId="265DD31D">
      <w:pPr>
        <w:widowControl/>
        <w:spacing w:before="255" w:after="255" w:line="300" w:lineRule="atLeas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129CFE6">
      <w:pPr>
        <w:widowControl/>
        <w:spacing w:before="255" w:after="255" w:line="300" w:lineRule="atLeast"/>
        <w:ind w:firstLine="48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46FDE73">
      <w:pPr>
        <w:widowControl/>
        <w:spacing w:before="75" w:after="75" w:line="360" w:lineRule="atLeast"/>
        <w:ind w:firstLine="48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“政采云电子交易客户端”请自行前往“浙江政府采购网-下载专区-电子交易客户端”进行下载；通过“政府采购云平台”参与在线投标时如遇平台技术问题详询95763。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14:paraId="1338816C">
      <w:pPr>
        <w:widowControl/>
        <w:spacing w:before="255" w:after="255" w:line="480" w:lineRule="atLeast"/>
        <w:rPr>
          <w:rFonts w:hint="eastAsia" w:ascii="宋体" w:hAnsi="宋体" w:cs="宋体"/>
          <w:color w:val="auto"/>
          <w:kern w:val="0"/>
          <w:sz w:val="22"/>
          <w:szCs w:val="22"/>
          <w:highlight w:val="none"/>
        </w:rPr>
      </w:pPr>
      <w:r>
        <w:rPr>
          <w:rFonts w:hint="eastAsia" w:ascii="宋体" w:hAnsi="宋体" w:cs="宋体"/>
          <w:b/>
          <w:bCs/>
          <w:color w:val="auto"/>
          <w:kern w:val="0"/>
          <w:sz w:val="22"/>
          <w:szCs w:val="22"/>
          <w:highlight w:val="none"/>
        </w:rPr>
        <w:t>七、对本次采购提出询问、质疑、投诉，请按以下方式联系</w:t>
      </w:r>
    </w:p>
    <w:p w14:paraId="68E73B86">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eastAsia="宋体" w:cs="宋体"/>
          <w:i w:val="0"/>
          <w:iCs w:val="0"/>
          <w:caps w:val="0"/>
          <w:color w:val="auto"/>
          <w:spacing w:val="0"/>
          <w:sz w:val="22"/>
          <w:szCs w:val="22"/>
          <w:highlight w:val="none"/>
        </w:rPr>
        <w:t xml:space="preserve">  </w:t>
      </w:r>
      <w:r>
        <w:rPr>
          <w:rFonts w:hint="eastAsia" w:ascii="宋体" w:hAnsi="宋体" w:cs="宋体"/>
          <w:color w:val="auto"/>
          <w:kern w:val="0"/>
          <w:sz w:val="22"/>
          <w:szCs w:val="22"/>
          <w:highlight w:val="none"/>
        </w:rPr>
        <w:t> </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 xml:space="preserve"> .采购人信息</w:t>
      </w:r>
    </w:p>
    <w:p w14:paraId="05697277">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称：永嘉县农业农村局 </w:t>
      </w:r>
    </w:p>
    <w:p w14:paraId="0C766A40">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    址：永嘉县东城街道屿后巷198号 </w:t>
      </w:r>
    </w:p>
    <w:p w14:paraId="1EFD5DF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传    真：  </w:t>
      </w:r>
    </w:p>
    <w:p w14:paraId="6DB8B21F">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项目联系人（询问）：陈先生  </w:t>
      </w:r>
    </w:p>
    <w:p w14:paraId="1AD70FC8">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项目联系方式（询问）：13567727470 </w:t>
      </w:r>
    </w:p>
    <w:p w14:paraId="70474CFF">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质疑联系人：陈先生    </w:t>
      </w:r>
    </w:p>
    <w:p w14:paraId="198CC581">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质疑联系方式：13567727470</w:t>
      </w:r>
    </w:p>
    <w:p w14:paraId="2B220FD5">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005F065C">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6BC14814">
      <w:pPr>
        <w:pStyle w:val="2"/>
        <w:ind w:firstLine="422"/>
        <w:rPr>
          <w:rFonts w:hint="eastAsia" w:ascii="宋体" w:eastAsia="宋体"/>
          <w:color w:val="auto"/>
          <w:highlight w:val="none"/>
        </w:rPr>
      </w:pPr>
    </w:p>
    <w:p w14:paraId="2F0692FC">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2.采购代理机构信息            </w:t>
      </w:r>
    </w:p>
    <w:p w14:paraId="453EACF1">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称：温州市中概工程管理咨询有限公司             </w:t>
      </w:r>
    </w:p>
    <w:p w14:paraId="421F22FB">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    址：温州市永嘉县南城街道环城北路618号云碓大厦503室             </w:t>
      </w:r>
    </w:p>
    <w:p w14:paraId="0EC7D1B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传    真：             </w:t>
      </w:r>
    </w:p>
    <w:p w14:paraId="79B8D50E">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项目联系人（询问）：胡可可              </w:t>
      </w:r>
    </w:p>
    <w:p w14:paraId="3E267F7C">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项目联系方式（询问）：15258683545 </w:t>
      </w:r>
    </w:p>
    <w:p w14:paraId="24DE2CB8">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质疑联系人：余茜茜             </w:t>
      </w:r>
    </w:p>
    <w:p w14:paraId="1FD56746">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质疑联系方式：13567723502 　　　　　　     </w:t>
      </w:r>
    </w:p>
    <w:p w14:paraId="1A048DBD">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19D8A5E0">
      <w:pPr>
        <w:pStyle w:val="2"/>
        <w:ind w:firstLine="422"/>
        <w:rPr>
          <w:rFonts w:hint="eastAsia" w:ascii="宋体" w:eastAsia="宋体"/>
          <w:color w:val="auto"/>
          <w:highlight w:val="none"/>
        </w:rPr>
      </w:pPr>
    </w:p>
    <w:p w14:paraId="7E5058BA">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3.同级政府采购监督管理部门</w:t>
      </w:r>
    </w:p>
    <w:p w14:paraId="3E127342">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名    称：永嘉县财政局</w:t>
      </w:r>
    </w:p>
    <w:p w14:paraId="587EC587">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地    址：</w:t>
      </w:r>
    </w:p>
    <w:p w14:paraId="4E8D6DB5">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传    真：</w:t>
      </w:r>
    </w:p>
    <w:p w14:paraId="2065B9B6">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联 系 人：沈女士</w:t>
      </w:r>
    </w:p>
    <w:p w14:paraId="30291005">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监督投诉电话：0577-67230257</w:t>
      </w:r>
    </w:p>
    <w:p w14:paraId="2C396364">
      <w:pPr>
        <w:widowControl/>
        <w:spacing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p>
    <w:p w14:paraId="5441CBA4">
      <w:pPr>
        <w:widowControl/>
        <w:spacing w:before="75" w:after="75" w:line="300" w:lineRule="atLeas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w:t>
      </w:r>
      <w:bookmarkStart w:id="202" w:name="_GoBack"/>
      <w:bookmarkEnd w:id="202"/>
    </w:p>
    <w:p w14:paraId="4E3EA967">
      <w:pPr>
        <w:widowControl/>
        <w:spacing w:before="75" w:after="75"/>
        <w:jc w:val="left"/>
        <w:rPr>
          <w:rFonts w:hint="eastAsia" w:ascii="宋体" w:hAnsi="宋体" w:cs="宋体"/>
          <w:color w:val="auto"/>
          <w:kern w:val="0"/>
          <w:sz w:val="22"/>
          <w:szCs w:val="22"/>
          <w:highlight w:val="none"/>
        </w:rPr>
      </w:pPr>
    </w:p>
    <w:p w14:paraId="4F3DB235">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074B2C3D">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CA问题联系电话（人工）：汇信CA 400-888-4636；天谷CA 400-087-8198。</w:t>
      </w:r>
    </w:p>
    <w:p w14:paraId="54EFB7B8">
      <w:pPr>
        <w:widowControl/>
        <w:spacing w:before="75" w:after="75" w:line="360" w:lineRule="auto"/>
        <w:jc w:val="left"/>
        <w:rPr>
          <w:rFonts w:hint="eastAsia" w:ascii="宋体" w:hAnsi="宋体" w:cs="宋体"/>
          <w:color w:val="auto"/>
          <w:kern w:val="0"/>
          <w:sz w:val="22"/>
          <w:szCs w:val="22"/>
          <w:highlight w:val="none"/>
        </w:rPr>
      </w:pPr>
    </w:p>
    <w:p w14:paraId="4FE8CB7A">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0CE06CE">
      <w:pPr>
        <w:pStyle w:val="40"/>
        <w:rPr>
          <w:rFonts w:hint="eastAsia" w:ascii="宋体" w:hAnsi="宋体" w:cs="宋体"/>
          <w:color w:val="auto"/>
          <w:sz w:val="30"/>
          <w:szCs w:val="30"/>
          <w:highlight w:val="none"/>
        </w:rPr>
      </w:pPr>
      <w:bookmarkStart w:id="6" w:name="_Toc17480"/>
      <w:r>
        <w:rPr>
          <w:rFonts w:hint="eastAsia" w:ascii="宋体" w:hAnsi="宋体" w:cs="宋体"/>
          <w:color w:val="auto"/>
          <w:sz w:val="30"/>
          <w:szCs w:val="30"/>
          <w:highlight w:val="none"/>
        </w:rPr>
        <w:t>第一部分  投标通知(邀请)书</w:t>
      </w:r>
      <w:bookmarkEnd w:id="3"/>
      <w:bookmarkEnd w:id="4"/>
      <w:bookmarkEnd w:id="6"/>
    </w:p>
    <w:tbl>
      <w:tblPr>
        <w:tblStyle w:val="43"/>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14:paraId="77CD6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7BB0395D">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715" w:type="dxa"/>
            <w:vAlign w:val="center"/>
          </w:tcPr>
          <w:p w14:paraId="0567D944">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内容</w:t>
            </w:r>
          </w:p>
        </w:tc>
        <w:tc>
          <w:tcPr>
            <w:tcW w:w="7821" w:type="dxa"/>
            <w:vAlign w:val="center"/>
          </w:tcPr>
          <w:p w14:paraId="2AE178CB">
            <w:pPr>
              <w:spacing w:line="400" w:lineRule="atLeas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72BC2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vAlign w:val="center"/>
          </w:tcPr>
          <w:p w14:paraId="59B4ED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715" w:type="dxa"/>
            <w:vAlign w:val="center"/>
          </w:tcPr>
          <w:p w14:paraId="54E4697B">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821" w:type="dxa"/>
            <w:vAlign w:val="center"/>
          </w:tcPr>
          <w:p w14:paraId="0E2D0957">
            <w:pPr>
              <w:adjustRightInd w:val="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名称：</w:t>
            </w:r>
            <w:r>
              <w:rPr>
                <w:rFonts w:hint="eastAsia" w:ascii="宋体" w:hAnsi="宋体" w:cs="宋体"/>
                <w:color w:val="auto"/>
                <w:sz w:val="22"/>
                <w:szCs w:val="22"/>
                <w:highlight w:val="none"/>
                <w:lang w:eastAsia="zh-CN"/>
              </w:rPr>
              <w:t>永嘉县农业农村局</w:t>
            </w:r>
          </w:p>
          <w:p w14:paraId="1AF14DEB">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val="en-US" w:eastAsia="zh-CN"/>
              </w:rPr>
              <w:t>陈</w:t>
            </w:r>
            <w:r>
              <w:rPr>
                <w:rFonts w:hint="eastAsia" w:ascii="宋体" w:hAnsi="宋体" w:cs="宋体"/>
                <w:color w:val="auto"/>
                <w:sz w:val="22"/>
                <w:szCs w:val="22"/>
                <w:highlight w:val="none"/>
              </w:rPr>
              <w:t>先生  </w:t>
            </w:r>
          </w:p>
          <w:p w14:paraId="77D4CE8E">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联系方式：</w:t>
            </w:r>
            <w:r>
              <w:rPr>
                <w:rFonts w:hint="eastAsia" w:ascii="宋体" w:hAnsi="宋体" w:cs="宋体"/>
                <w:color w:val="auto"/>
                <w:kern w:val="0"/>
                <w:sz w:val="22"/>
                <w:szCs w:val="22"/>
                <w:highlight w:val="none"/>
              </w:rPr>
              <w:t>13567727470</w:t>
            </w:r>
            <w:r>
              <w:rPr>
                <w:rFonts w:hint="eastAsia" w:ascii="宋体" w:hAnsi="宋体" w:cs="宋体"/>
                <w:color w:val="auto"/>
                <w:sz w:val="22"/>
                <w:szCs w:val="22"/>
                <w:highlight w:val="none"/>
              </w:rPr>
              <w:t> </w:t>
            </w:r>
          </w:p>
        </w:tc>
      </w:tr>
      <w:tr w14:paraId="5906F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78B09E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715" w:type="dxa"/>
            <w:vAlign w:val="center"/>
          </w:tcPr>
          <w:p w14:paraId="2DEAFF0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821" w:type="dxa"/>
            <w:vAlign w:val="center"/>
          </w:tcPr>
          <w:p w14:paraId="68B45FC5">
            <w:pPr>
              <w:adjustRightInd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采购代理机构名称：温州市中概工程管理咨询有限公司</w:t>
            </w:r>
          </w:p>
          <w:p w14:paraId="3E1C0EB8">
            <w:pPr>
              <w:adjustRightInd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地点：温州市永嘉县南城街道环城北路云碓大厦503室</w:t>
            </w:r>
          </w:p>
          <w:p w14:paraId="505A2F48">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联 系 人：胡可可</w:t>
            </w:r>
          </w:p>
          <w:p w14:paraId="1A0BD268">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联系电话：15258683545</w:t>
            </w:r>
          </w:p>
        </w:tc>
      </w:tr>
      <w:tr w14:paraId="25EC1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E47C7A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715" w:type="dxa"/>
            <w:vAlign w:val="center"/>
          </w:tcPr>
          <w:p w14:paraId="31ADFFC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项目名称及项目编号</w:t>
            </w:r>
          </w:p>
        </w:tc>
        <w:tc>
          <w:tcPr>
            <w:tcW w:w="7821" w:type="dxa"/>
            <w:vAlign w:val="center"/>
          </w:tcPr>
          <w:p w14:paraId="0C8A859F">
            <w:pP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项目名称：</w:t>
            </w:r>
            <w:r>
              <w:rPr>
                <w:rFonts w:hint="eastAsia" w:ascii="宋体" w:hAnsi="宋体" w:cs="宋体"/>
                <w:bCs/>
                <w:color w:val="auto"/>
                <w:sz w:val="22"/>
                <w:szCs w:val="22"/>
                <w:highlight w:val="none"/>
                <w:lang w:eastAsia="zh-CN"/>
              </w:rPr>
              <w:t>2025年度永嘉县农产品质量安全抽样及定量检测服务项目</w:t>
            </w:r>
          </w:p>
          <w:p w14:paraId="25B524A7">
            <w:pP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rPr>
              <w:t>项目编号：</w:t>
            </w:r>
            <w:r>
              <w:rPr>
                <w:rFonts w:hint="eastAsia" w:ascii="宋体" w:hAnsi="宋体" w:cs="宋体"/>
                <w:color w:val="auto"/>
                <w:sz w:val="22"/>
                <w:szCs w:val="22"/>
                <w:highlight w:val="none"/>
                <w:lang w:eastAsia="zh-CN"/>
              </w:rPr>
              <w:t>ZGCG-20241226</w:t>
            </w:r>
          </w:p>
        </w:tc>
      </w:tr>
      <w:tr w14:paraId="040B0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766222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715" w:type="dxa"/>
            <w:vAlign w:val="center"/>
          </w:tcPr>
          <w:p w14:paraId="794C1C2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tc>
        <w:tc>
          <w:tcPr>
            <w:tcW w:w="7821" w:type="dxa"/>
            <w:vAlign w:val="center"/>
          </w:tcPr>
          <w:p w14:paraId="76372F68">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见招标公告</w:t>
            </w:r>
          </w:p>
        </w:tc>
      </w:tr>
      <w:tr w14:paraId="23A83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0745F8A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715" w:type="dxa"/>
            <w:vAlign w:val="center"/>
          </w:tcPr>
          <w:p w14:paraId="323BA23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821" w:type="dxa"/>
            <w:vAlign w:val="center"/>
          </w:tcPr>
          <w:p w14:paraId="57899930">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2181C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22559B5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715" w:type="dxa"/>
            <w:vAlign w:val="center"/>
          </w:tcPr>
          <w:p w14:paraId="2C56863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821" w:type="dxa"/>
            <w:vAlign w:val="center"/>
          </w:tcPr>
          <w:p w14:paraId="34ADE495">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具体内容见招标文件。</w:t>
            </w:r>
          </w:p>
        </w:tc>
      </w:tr>
      <w:tr w14:paraId="22B85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E7665E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715" w:type="dxa"/>
            <w:vAlign w:val="center"/>
          </w:tcPr>
          <w:p w14:paraId="225C2C7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供应商资格要求</w:t>
            </w:r>
          </w:p>
        </w:tc>
        <w:tc>
          <w:tcPr>
            <w:tcW w:w="7821" w:type="dxa"/>
            <w:vAlign w:val="center"/>
          </w:tcPr>
          <w:p w14:paraId="788E727D">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见招标公告</w:t>
            </w:r>
          </w:p>
        </w:tc>
      </w:tr>
      <w:tr w14:paraId="565BF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3684DA5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715" w:type="dxa"/>
            <w:vAlign w:val="center"/>
          </w:tcPr>
          <w:p w14:paraId="1CAAEF8F">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821" w:type="dxa"/>
            <w:vAlign w:val="center"/>
          </w:tcPr>
          <w:p w14:paraId="04195D9E">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14:paraId="6AA9168E">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□接受，应满足下列要求：</w:t>
            </w:r>
          </w:p>
        </w:tc>
      </w:tr>
      <w:tr w14:paraId="6554E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14:paraId="68B673C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715" w:type="dxa"/>
            <w:vAlign w:val="center"/>
          </w:tcPr>
          <w:p w14:paraId="64E9CCB7">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821" w:type="dxa"/>
            <w:vAlign w:val="center"/>
          </w:tcPr>
          <w:p w14:paraId="66C3F57A">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150C02E6">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□组织   </w:t>
            </w:r>
          </w:p>
        </w:tc>
      </w:tr>
      <w:tr w14:paraId="6F209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2BF3C25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715" w:type="dxa"/>
            <w:vAlign w:val="center"/>
          </w:tcPr>
          <w:p w14:paraId="4710FD96">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821" w:type="dxa"/>
            <w:vAlign w:val="center"/>
          </w:tcPr>
          <w:p w14:paraId="6C71E725">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不允许</w:t>
            </w:r>
          </w:p>
          <w:p w14:paraId="3B2F1488">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允许</w:t>
            </w:r>
          </w:p>
        </w:tc>
      </w:tr>
      <w:tr w14:paraId="46796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4923284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715" w:type="dxa"/>
            <w:vAlign w:val="center"/>
          </w:tcPr>
          <w:p w14:paraId="13DA3B7F">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分包</w:t>
            </w:r>
          </w:p>
        </w:tc>
        <w:tc>
          <w:tcPr>
            <w:tcW w:w="7821" w:type="dxa"/>
            <w:vAlign w:val="center"/>
          </w:tcPr>
          <w:p w14:paraId="7E0C6FA0">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 允许</w:t>
            </w:r>
          </w:p>
          <w:p w14:paraId="71787322">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不允许</w:t>
            </w:r>
          </w:p>
        </w:tc>
      </w:tr>
      <w:tr w14:paraId="35D22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2F19056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715" w:type="dxa"/>
            <w:vAlign w:val="center"/>
          </w:tcPr>
          <w:p w14:paraId="0FAD02DD">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报价货币</w:t>
            </w:r>
          </w:p>
        </w:tc>
        <w:tc>
          <w:tcPr>
            <w:tcW w:w="7821" w:type="dxa"/>
            <w:vAlign w:val="center"/>
          </w:tcPr>
          <w:p w14:paraId="1A143B5F">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14:paraId="30821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28334E3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1715" w:type="dxa"/>
            <w:vAlign w:val="center"/>
          </w:tcPr>
          <w:p w14:paraId="10B464B4">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报价语言</w:t>
            </w:r>
          </w:p>
        </w:tc>
        <w:tc>
          <w:tcPr>
            <w:tcW w:w="7821" w:type="dxa"/>
            <w:vAlign w:val="center"/>
          </w:tcPr>
          <w:p w14:paraId="6360E230">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14:paraId="48A13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315FDA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1715" w:type="dxa"/>
            <w:vAlign w:val="center"/>
          </w:tcPr>
          <w:p w14:paraId="31DB715E">
            <w:pPr>
              <w:jc w:val="center"/>
              <w:rPr>
                <w:rFonts w:hint="eastAsia" w:ascii="宋体" w:hAnsi="宋体" w:cs="宋体"/>
                <w:b/>
                <w:color w:val="auto"/>
                <w:sz w:val="22"/>
                <w:szCs w:val="22"/>
                <w:highlight w:val="none"/>
              </w:rPr>
            </w:pPr>
            <w:r>
              <w:rPr>
                <w:rFonts w:hint="eastAsia" w:ascii="宋体" w:hAnsi="宋体" w:cs="宋体"/>
                <w:bCs/>
                <w:color w:val="auto"/>
                <w:sz w:val="22"/>
                <w:szCs w:val="22"/>
                <w:highlight w:val="none"/>
              </w:rPr>
              <w:t>是否允许进口</w:t>
            </w:r>
          </w:p>
        </w:tc>
        <w:tc>
          <w:tcPr>
            <w:tcW w:w="7821" w:type="dxa"/>
            <w:vAlign w:val="center"/>
          </w:tcPr>
          <w:p w14:paraId="46F42116">
            <w:pPr>
              <w:adjustRightInd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sym w:font="Wingdings" w:char="00A8"/>
            </w:r>
            <w:r>
              <w:rPr>
                <w:rFonts w:hint="eastAsia" w:ascii="宋体" w:hAnsi="宋体" w:cs="宋体"/>
                <w:bCs/>
                <w:color w:val="auto"/>
                <w:sz w:val="22"/>
                <w:szCs w:val="22"/>
                <w:highlight w:val="none"/>
              </w:rPr>
              <w:t>允许</w:t>
            </w:r>
          </w:p>
          <w:p w14:paraId="267606FB">
            <w:pPr>
              <w:rPr>
                <w:rFonts w:hint="eastAsia" w:ascii="宋体" w:hAnsi="宋体" w:cs="宋体"/>
                <w:b/>
                <w:color w:val="auto"/>
                <w:sz w:val="22"/>
                <w:szCs w:val="22"/>
                <w:highlight w:val="none"/>
              </w:rPr>
            </w:pPr>
            <w:r>
              <w:rPr>
                <w:rFonts w:hint="eastAsia" w:ascii="宋体" w:hAnsi="宋体" w:cs="宋体"/>
                <w:bCs/>
                <w:color w:val="auto"/>
                <w:sz w:val="22"/>
                <w:szCs w:val="22"/>
                <w:highlight w:val="none"/>
              </w:rPr>
              <w:t>☑不允许</w:t>
            </w:r>
          </w:p>
        </w:tc>
      </w:tr>
      <w:tr w14:paraId="54290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6E195DF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715" w:type="dxa"/>
            <w:vAlign w:val="center"/>
          </w:tcPr>
          <w:p w14:paraId="3B68561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821" w:type="dxa"/>
            <w:vAlign w:val="center"/>
          </w:tcPr>
          <w:p w14:paraId="2EA26C1B">
            <w:pPr>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59CB7CFF">
            <w:pPr>
              <w:rPr>
                <w:rFonts w:hint="eastAsia" w:ascii="宋体" w:hAnsi="宋体" w:cs="宋体"/>
                <w:color w:val="auto"/>
                <w:sz w:val="22"/>
                <w:szCs w:val="22"/>
                <w:highlight w:val="none"/>
              </w:rPr>
            </w:pPr>
            <w:r>
              <w:rPr>
                <w:rFonts w:hint="eastAsia" w:ascii="宋体" w:hAnsi="宋体" w:cs="宋体"/>
                <w:color w:val="auto"/>
                <w:sz w:val="22"/>
                <w:szCs w:val="22"/>
                <w:highlight w:val="none"/>
              </w:rPr>
              <w:t>□需要</w:t>
            </w:r>
          </w:p>
        </w:tc>
      </w:tr>
      <w:tr w14:paraId="43C0A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8E1951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16</w:t>
            </w:r>
          </w:p>
        </w:tc>
        <w:tc>
          <w:tcPr>
            <w:tcW w:w="1715" w:type="dxa"/>
            <w:vAlign w:val="center"/>
          </w:tcPr>
          <w:p w14:paraId="7A72A017">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821" w:type="dxa"/>
            <w:vAlign w:val="center"/>
          </w:tcPr>
          <w:p w14:paraId="10B4C134">
            <w:pPr>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391DFE89">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需要 </w:t>
            </w:r>
            <w:r>
              <w:rPr>
                <w:rFonts w:hint="eastAsia" w:ascii="宋体" w:hAnsi="宋体" w:cs="宋体"/>
                <w:bCs/>
                <w:color w:val="auto"/>
                <w:sz w:val="22"/>
                <w:szCs w:val="22"/>
                <w:highlight w:val="none"/>
              </w:rPr>
              <w:t xml:space="preserve"> 合同签订后成交供应商应提供合同总金额1%的履约保证金至采购人指定账户，履约保证金可以以银行或保险公司出具的保函作为履约保函。</w:t>
            </w:r>
          </w:p>
        </w:tc>
      </w:tr>
      <w:tr w14:paraId="32D0B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7E6069A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17</w:t>
            </w:r>
          </w:p>
        </w:tc>
        <w:tc>
          <w:tcPr>
            <w:tcW w:w="1715" w:type="dxa"/>
            <w:vAlign w:val="center"/>
          </w:tcPr>
          <w:p w14:paraId="331F5CF3">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投标文件递交截止时间及开标时间</w:t>
            </w:r>
          </w:p>
        </w:tc>
        <w:tc>
          <w:tcPr>
            <w:tcW w:w="7821" w:type="dxa"/>
            <w:vAlign w:val="center"/>
          </w:tcPr>
          <w:p w14:paraId="632CB10D">
            <w:pPr>
              <w:rPr>
                <w:rFonts w:hint="eastAsia" w:ascii="宋体" w:hAnsi="宋体" w:cs="宋体"/>
                <w:b/>
                <w:color w:val="auto"/>
                <w:sz w:val="22"/>
                <w:szCs w:val="22"/>
                <w:highlight w:val="none"/>
              </w:rPr>
            </w:pPr>
            <w:r>
              <w:rPr>
                <w:rFonts w:hint="eastAsia" w:ascii="宋体" w:hAnsi="宋体" w:cs="宋体"/>
                <w:b/>
                <w:i/>
                <w:color w:val="auto"/>
                <w:sz w:val="22"/>
                <w:szCs w:val="22"/>
                <w:highlight w:val="none"/>
              </w:rPr>
              <w:t xml:space="preserve"> 2025年1月16日09:30 截</w:t>
            </w:r>
            <w:r>
              <w:rPr>
                <w:rFonts w:hint="eastAsia" w:ascii="宋体" w:hAnsi="宋体" w:cs="宋体"/>
                <w:b/>
                <w:color w:val="auto"/>
                <w:sz w:val="22"/>
                <w:szCs w:val="22"/>
                <w:highlight w:val="none"/>
              </w:rPr>
              <w:t>止(北京时间)。</w:t>
            </w:r>
          </w:p>
        </w:tc>
      </w:tr>
      <w:tr w14:paraId="354BE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10230F8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18</w:t>
            </w:r>
          </w:p>
        </w:tc>
        <w:tc>
          <w:tcPr>
            <w:tcW w:w="1715" w:type="dxa"/>
            <w:vAlign w:val="center"/>
          </w:tcPr>
          <w:p w14:paraId="289A865C">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lang w:bidi="ar"/>
              </w:rPr>
              <w:t>评标地址</w:t>
            </w:r>
          </w:p>
        </w:tc>
        <w:tc>
          <w:tcPr>
            <w:tcW w:w="7821" w:type="dxa"/>
            <w:vAlign w:val="center"/>
          </w:tcPr>
          <w:p w14:paraId="007411A7">
            <w:pPr>
              <w:rPr>
                <w:rStyle w:val="93"/>
                <w:rFonts w:hint="eastAsia" w:ascii="宋体" w:hAnsi="宋体" w:cs="宋体"/>
                <w:b/>
                <w:color w:val="auto"/>
                <w:sz w:val="22"/>
                <w:szCs w:val="22"/>
                <w:highlight w:val="none"/>
              </w:rPr>
            </w:pPr>
            <w:r>
              <w:rPr>
                <w:rFonts w:hint="eastAsia" w:ascii="宋体" w:hAnsi="宋体" w:cs="宋体"/>
                <w:b/>
                <w:color w:val="auto"/>
                <w:sz w:val="22"/>
                <w:szCs w:val="22"/>
                <w:highlight w:val="none"/>
              </w:rPr>
              <w:t>温州市永嘉县南城街道环城北路云碓大厦503室</w:t>
            </w:r>
          </w:p>
        </w:tc>
      </w:tr>
      <w:tr w14:paraId="066D1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14:paraId="6881ADC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715" w:type="dxa"/>
            <w:vAlign w:val="center"/>
          </w:tcPr>
          <w:p w14:paraId="0C048176">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821" w:type="dxa"/>
            <w:vAlign w:val="center"/>
          </w:tcPr>
          <w:p w14:paraId="1E804735">
            <w:pPr>
              <w:adjustRightInd w:val="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供应商应先安装“政采云电子交易客户端”，并按照本招标文件和“政采云平台”的要求，通过“政采云电子交易客户端”编制并加密投标文件。</w:t>
            </w:r>
          </w:p>
        </w:tc>
      </w:tr>
      <w:tr w14:paraId="40D7E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14:paraId="2F6809B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715" w:type="dxa"/>
            <w:vAlign w:val="center"/>
          </w:tcPr>
          <w:p w14:paraId="2277F7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报价有效期</w:t>
            </w:r>
          </w:p>
        </w:tc>
        <w:tc>
          <w:tcPr>
            <w:tcW w:w="7821" w:type="dxa"/>
            <w:vAlign w:val="center"/>
          </w:tcPr>
          <w:p w14:paraId="5E8016EF">
            <w:pPr>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提交投标文件截止时间起90天内</w:t>
            </w:r>
          </w:p>
        </w:tc>
      </w:tr>
      <w:tr w14:paraId="27C5F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14:paraId="71DC352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715" w:type="dxa"/>
            <w:vAlign w:val="center"/>
          </w:tcPr>
          <w:p w14:paraId="5D8923C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821" w:type="dxa"/>
            <w:vAlign w:val="center"/>
          </w:tcPr>
          <w:p w14:paraId="304C1A6B">
            <w:pP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投标文件的相应位置应加盖：电子签章。</w:t>
            </w:r>
          </w:p>
          <w:p w14:paraId="2E2BE4F8">
            <w:pPr>
              <w:pStyle w:val="18"/>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注：本项目电子招投标活动中的签字与电子签章具有同等法律效应。</w:t>
            </w:r>
          </w:p>
        </w:tc>
      </w:tr>
      <w:tr w14:paraId="3713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14:paraId="2EDB0AB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1715" w:type="dxa"/>
            <w:vAlign w:val="center"/>
          </w:tcPr>
          <w:p w14:paraId="2E1189EA">
            <w:pP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投标文件的形式、制作及组成</w:t>
            </w:r>
          </w:p>
        </w:tc>
        <w:tc>
          <w:tcPr>
            <w:tcW w:w="7821" w:type="dxa"/>
            <w:vAlign w:val="center"/>
          </w:tcPr>
          <w:p w14:paraId="3E026217">
            <w:pPr>
              <w:rPr>
                <w:rFonts w:hint="eastAsia" w:ascii="宋体" w:hAnsi="宋体" w:cs="宋体"/>
                <w:color w:val="auto"/>
                <w:sz w:val="22"/>
                <w:szCs w:val="22"/>
                <w:highlight w:val="none"/>
              </w:rPr>
            </w:pPr>
            <w:r>
              <w:rPr>
                <w:rFonts w:hint="eastAsia" w:ascii="宋体" w:hAnsi="宋体" w:cs="宋体"/>
                <w:color w:val="auto"/>
                <w:sz w:val="22"/>
                <w:szCs w:val="22"/>
                <w:highlight w:val="none"/>
              </w:rPr>
              <w:t>本项目实行在线投标响应（电子投标）。</w:t>
            </w:r>
          </w:p>
          <w:p w14:paraId="6E6AF56C">
            <w:pP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投标供应商准备电子投标文件（包括“电子加密投标文件”和“备份投标文件”两类，在投标文件编制完成后同时生成）。</w:t>
            </w:r>
          </w:p>
          <w:p w14:paraId="7EC78EE6">
            <w:pPr>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23B0CA44">
            <w:pPr>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（2）“备份投标文件”是指与“电子加密投标文件”同时生成的数据电文形式的电子文件（备份标书），其他方式编制的备份投标文件视为无效备份投标文件。</w:t>
            </w:r>
          </w:p>
          <w:p w14:paraId="294A1323">
            <w:pPr>
              <w:rPr>
                <w:rFonts w:hint="eastAsia" w:ascii="宋体" w:hAnsi="宋体" w:cs="宋体"/>
                <w:color w:val="auto"/>
                <w:sz w:val="22"/>
                <w:szCs w:val="22"/>
                <w:highlight w:val="none"/>
              </w:rPr>
            </w:pPr>
            <w:r>
              <w:rPr>
                <w:rFonts w:hint="eastAsia" w:ascii="宋体" w:hAnsi="宋体" w:cs="宋体"/>
                <w:color w:val="auto"/>
                <w:sz w:val="22"/>
                <w:szCs w:val="22"/>
                <w:highlight w:val="none"/>
              </w:rPr>
              <w:t>以上两类投标文件均由资格文件、报价文件、商务技术文件三部分组成。</w:t>
            </w:r>
          </w:p>
        </w:tc>
      </w:tr>
      <w:tr w14:paraId="57EE8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14:paraId="6FAAC1D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1715" w:type="dxa"/>
            <w:vAlign w:val="center"/>
          </w:tcPr>
          <w:p w14:paraId="39C5384C">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821" w:type="dxa"/>
            <w:vAlign w:val="center"/>
          </w:tcPr>
          <w:p w14:paraId="711EC555">
            <w:pPr>
              <w:adjustRightInd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w:t>
            </w:r>
          </w:p>
          <w:p w14:paraId="5923968C">
            <w:pPr>
              <w:adjustRightInd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以U盘存储，密封包装后（顺丰快递形式）在投标文件递交截止时间及开标时间前递交，送达时间以签收人签收时间为准，一份，邮寄地址：温州市永嘉县南城街道环城北路云碓大厦503室，胡先生收，联系电话：15258683545。</w:t>
            </w:r>
          </w:p>
          <w:p w14:paraId="6BE9B706">
            <w:pPr>
              <w:pStyle w:val="18"/>
              <w:ind w:firstLine="221"/>
              <w:rPr>
                <w:rFonts w:hint="eastAsia" w:ascii="宋体" w:hAnsi="宋体" w:cs="宋体"/>
                <w:b/>
                <w:color w:val="auto"/>
                <w:sz w:val="22"/>
                <w:szCs w:val="22"/>
                <w:highlight w:val="none"/>
              </w:rPr>
            </w:pPr>
            <w:r>
              <w:rPr>
                <w:rFonts w:hint="eastAsia" w:ascii="宋体" w:hAnsi="宋体" w:cs="宋体"/>
                <w:b/>
                <w:color w:val="auto"/>
                <w:sz w:val="22"/>
                <w:szCs w:val="22"/>
                <w:highlight w:val="none"/>
              </w:rPr>
              <w:t>注：“备份投标文件”不强制要求提供，由供应商自行选择是否提供。</w:t>
            </w:r>
          </w:p>
        </w:tc>
      </w:tr>
      <w:tr w14:paraId="1847F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2762A2D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24</w:t>
            </w:r>
          </w:p>
        </w:tc>
        <w:tc>
          <w:tcPr>
            <w:tcW w:w="1715" w:type="dxa"/>
            <w:vAlign w:val="center"/>
          </w:tcPr>
          <w:p w14:paraId="6FD46A48">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投标文件的上传和递交</w:t>
            </w:r>
          </w:p>
        </w:tc>
        <w:tc>
          <w:tcPr>
            <w:tcW w:w="7821" w:type="dxa"/>
            <w:vAlign w:val="center"/>
          </w:tcPr>
          <w:p w14:paraId="6ABBE204">
            <w:pPr>
              <w:pStyle w:val="83"/>
              <w:autoSpaceDE w:val="0"/>
              <w:autoSpaceDN w:val="0"/>
              <w:adjustRightInd w:val="0"/>
              <w:spacing w:line="300" w:lineRule="atLeast"/>
              <w:jc w:val="both"/>
              <w:rPr>
                <w:rFonts w:hint="eastAsia" w:cs="宋体"/>
                <w:color w:val="auto"/>
                <w:sz w:val="22"/>
                <w:highlight w:val="none"/>
              </w:rPr>
            </w:pPr>
            <w:r>
              <w:rPr>
                <w:rFonts w:hint="eastAsia" w:cs="宋体"/>
                <w:color w:val="auto"/>
                <w:sz w:val="22"/>
                <w:highlight w:val="none"/>
              </w:rPr>
              <w:t>一、“电子加密投标文件”的上传、递交：</w:t>
            </w:r>
          </w:p>
          <w:p w14:paraId="32114DE7">
            <w:pPr>
              <w:pStyle w:val="83"/>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a.投标供应商应在投标文件递交截止时间前将“电子加密投标文件”成功上传递交至“政采云平台”，否则投标无效。</w:t>
            </w:r>
          </w:p>
          <w:p w14:paraId="29710A55">
            <w:pPr>
              <w:pStyle w:val="83"/>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14:paraId="106C8A3E">
            <w:pPr>
              <w:pStyle w:val="83"/>
              <w:autoSpaceDE w:val="0"/>
              <w:autoSpaceDN w:val="0"/>
              <w:adjustRightInd w:val="0"/>
              <w:spacing w:line="300" w:lineRule="atLeast"/>
              <w:jc w:val="both"/>
              <w:rPr>
                <w:rFonts w:hint="eastAsia" w:cs="宋体"/>
                <w:color w:val="auto"/>
                <w:sz w:val="22"/>
                <w:highlight w:val="none"/>
              </w:rPr>
            </w:pPr>
            <w:r>
              <w:rPr>
                <w:rFonts w:hint="eastAsia" w:cs="宋体"/>
                <w:color w:val="auto"/>
                <w:sz w:val="22"/>
                <w:highlight w:val="none"/>
              </w:rPr>
              <w:t>二、“备份投标文件”的密封包装、递交：</w:t>
            </w:r>
          </w:p>
          <w:p w14:paraId="71EA0626">
            <w:pPr>
              <w:pStyle w:val="83"/>
              <w:autoSpaceDE w:val="0"/>
              <w:autoSpaceDN w:val="0"/>
              <w:adjustRightInd w:val="0"/>
              <w:spacing w:line="300" w:lineRule="atLeast"/>
              <w:ind w:firstLine="440" w:firstLineChars="200"/>
              <w:jc w:val="both"/>
              <w:rPr>
                <w:rFonts w:hint="eastAsia" w:cs="宋体"/>
                <w:color w:val="auto"/>
                <w:sz w:val="22"/>
                <w:highlight w:val="none"/>
              </w:rPr>
            </w:pPr>
            <w:r>
              <w:rPr>
                <w:rFonts w:hint="eastAsia" w:cs="宋体"/>
                <w:color w:val="auto"/>
                <w:sz w:val="22"/>
                <w:highlight w:val="none"/>
              </w:rPr>
              <w:t>a.投标供应商在“政采云平台”完成“电子加密投标文件”的上传递交后，还可以（建议顺丰快递形式）递交以介质（U盘）存储的 “备份投标文件”（一份）；顺丰快递形式快递至采购代理机构地址（地址详见招标招标文件）；</w:t>
            </w:r>
            <w:r>
              <w:rPr>
                <w:rFonts w:hint="eastAsia" w:cs="宋体"/>
                <w:b/>
                <w:color w:val="auto"/>
                <w:sz w:val="22"/>
                <w:highlight w:val="none"/>
              </w:rPr>
              <w:t>解密CA必须是上传并制作电子投标文件CA锁</w:t>
            </w:r>
            <w:r>
              <w:rPr>
                <w:rFonts w:hint="eastAsia" w:cs="宋体"/>
                <w:color w:val="auto"/>
                <w:sz w:val="22"/>
                <w:highlight w:val="none"/>
              </w:rPr>
              <w:t>。</w:t>
            </w:r>
          </w:p>
          <w:p w14:paraId="0FA35979">
            <w:pPr>
              <w:autoSpaceDE w:val="0"/>
              <w:autoSpaceDN w:val="0"/>
              <w:adjustRightInd w:val="0"/>
              <w:spacing w:line="30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72D4838C">
            <w:pPr>
              <w:autoSpaceDE w:val="0"/>
              <w:autoSpaceDN w:val="0"/>
              <w:adjustRightInd w:val="0"/>
              <w:spacing w:line="30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c.通过“政采云平台”成功上传递交的“电子加密投标文件”已按时解密的，“备份投标文件”自动失效。投标文件递交截止时间前，投标供应商仅递交了“备份投标文件”而未将“电子加密投标文件”成功上传至“政采云平台”的，投标无效。</w:t>
            </w:r>
          </w:p>
          <w:p w14:paraId="5F0BBE45">
            <w:pPr>
              <w:autoSpaceDE w:val="0"/>
              <w:autoSpaceDN w:val="0"/>
              <w:adjustRightInd w:val="0"/>
              <w:spacing w:line="300" w:lineRule="atLeast"/>
              <w:ind w:firstLine="440" w:firstLineChars="200"/>
              <w:rPr>
                <w:rFonts w:hint="eastAsia" w:ascii="宋体" w:hAnsi="宋体" w:cs="宋体"/>
                <w:color w:val="auto"/>
                <w:highlight w:val="none"/>
                <w:lang w:val="zh-CN"/>
              </w:rPr>
            </w:pPr>
            <w:r>
              <w:rPr>
                <w:rFonts w:hint="eastAsia" w:ascii="宋体" w:hAnsi="宋体" w:cs="宋体"/>
                <w:color w:val="auto"/>
                <w:sz w:val="22"/>
                <w:szCs w:val="22"/>
                <w:highlight w:val="none"/>
                <w:lang w:val="zh-CN"/>
              </w:rPr>
              <w:t>d.供应商应加强U盘的包装与保护，因包装不当而造成“备份投标文件”损坏或不能在开评标现场设备上正确读取的责任由供应商自负。</w:t>
            </w:r>
          </w:p>
        </w:tc>
      </w:tr>
      <w:tr w14:paraId="728DE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14:paraId="7269FCA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715" w:type="dxa"/>
            <w:vAlign w:val="center"/>
          </w:tcPr>
          <w:p w14:paraId="68205534">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电子加密投标文件的解密和异常情况处理</w:t>
            </w:r>
          </w:p>
        </w:tc>
        <w:tc>
          <w:tcPr>
            <w:tcW w:w="7821" w:type="dxa"/>
            <w:vAlign w:val="center"/>
          </w:tcPr>
          <w:p w14:paraId="3A75C6B7">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（1）开标后，采购组织机构将向各投标供应商发出“电子加密投标文件”的解密通知，各投标供应商代表应当在接到解密通知后30分钟内自行完成“电子加密投标文件”的在线解密。</w:t>
            </w:r>
          </w:p>
          <w:p w14:paraId="0CC496B1">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150D8680">
            <w:pPr>
              <w:autoSpaceDE w:val="0"/>
              <w:autoSpaceDN w:val="0"/>
              <w:adjustRightInd w:val="0"/>
              <w:spacing w:line="30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（3）投标文件递交截止时间前，投标供应商仅递交了“备份投标文件”而未将电子加密投标文件上传至“政采云平台”的，投标无效。</w:t>
            </w:r>
          </w:p>
        </w:tc>
      </w:tr>
      <w:tr w14:paraId="778E2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14:paraId="7800ACB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26</w:t>
            </w:r>
          </w:p>
        </w:tc>
        <w:tc>
          <w:tcPr>
            <w:tcW w:w="1715" w:type="dxa"/>
            <w:vAlign w:val="center"/>
          </w:tcPr>
          <w:p w14:paraId="131E970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评标委员会成员的组建</w:t>
            </w:r>
          </w:p>
        </w:tc>
        <w:tc>
          <w:tcPr>
            <w:tcW w:w="7821" w:type="dxa"/>
            <w:vAlign w:val="center"/>
          </w:tcPr>
          <w:p w14:paraId="69EDDA45">
            <w:pPr>
              <w:rPr>
                <w:rFonts w:hint="eastAsia" w:ascii="宋体" w:hAnsi="宋体" w:cs="宋体"/>
                <w:color w:val="auto"/>
                <w:sz w:val="22"/>
                <w:szCs w:val="22"/>
                <w:highlight w:val="none"/>
              </w:rPr>
            </w:pPr>
            <w:r>
              <w:rPr>
                <w:rFonts w:hint="eastAsia" w:ascii="宋体" w:hAnsi="宋体" w:cs="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48641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14:paraId="5365B64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27</w:t>
            </w:r>
          </w:p>
        </w:tc>
        <w:tc>
          <w:tcPr>
            <w:tcW w:w="1715" w:type="dxa"/>
            <w:vAlign w:val="center"/>
          </w:tcPr>
          <w:p w14:paraId="26FA25B6">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w:t>
            </w:r>
          </w:p>
          <w:p w14:paraId="0717873E">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821" w:type="dxa"/>
            <w:vAlign w:val="center"/>
          </w:tcPr>
          <w:p w14:paraId="7707CAA1">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1.本项目对符合财政扶持政策的中小企业（小型、微型）、监狱企业、残疾人福利性单位给予价格优惠扶持，价格优惠扶持见《评分办法》。</w:t>
            </w:r>
          </w:p>
          <w:p w14:paraId="3AEB645D">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2.满足财政部 工业和信息化部关于印发《政府采购促进中小企业发展管理办法》的通知（财库〔2020〕46号）的规定的中小企业可享受优惠扶持。</w:t>
            </w:r>
          </w:p>
          <w:p w14:paraId="05893EDE">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64D90E8A">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6CE66197">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r>
              <w:rPr>
                <w:rFonts w:hint="eastAsia" w:ascii="宋体" w:hAnsi="宋体" w:cs="宋体"/>
                <w:color w:val="auto"/>
                <w:highlight w:val="none"/>
              </w:rPr>
              <w:t xml:space="preserve"> </w:t>
            </w:r>
            <w:r>
              <w:rPr>
                <w:rFonts w:hint="eastAsia" w:ascii="宋体" w:hAnsi="宋体" w:cs="宋体"/>
                <w:bCs/>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p w14:paraId="069B59B2">
            <w:pPr>
              <w:rPr>
                <w:rFonts w:hint="eastAsia" w:ascii="宋体" w:hAnsi="宋体" w:cs="宋体"/>
                <w:color w:val="auto"/>
                <w:sz w:val="22"/>
                <w:szCs w:val="22"/>
                <w:highlight w:val="none"/>
              </w:rPr>
            </w:pPr>
            <w:r>
              <w:rPr>
                <w:rFonts w:hint="eastAsia" w:ascii="宋体" w:hAnsi="宋体" w:cs="宋体"/>
                <w:bCs/>
                <w:color w:val="auto"/>
                <w:sz w:val="22"/>
                <w:szCs w:val="22"/>
                <w:highlight w:val="none"/>
              </w:rPr>
              <w:t>6.对节能、环保产品优先采购。</w:t>
            </w:r>
          </w:p>
        </w:tc>
      </w:tr>
      <w:tr w14:paraId="301AF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14:paraId="0BC549E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28</w:t>
            </w:r>
          </w:p>
        </w:tc>
        <w:tc>
          <w:tcPr>
            <w:tcW w:w="1715" w:type="dxa"/>
            <w:vAlign w:val="center"/>
          </w:tcPr>
          <w:p w14:paraId="020BF42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w:t>
            </w:r>
          </w:p>
          <w:p w14:paraId="30E8592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查询</w:t>
            </w:r>
          </w:p>
        </w:tc>
        <w:tc>
          <w:tcPr>
            <w:tcW w:w="7821" w:type="dxa"/>
            <w:vAlign w:val="center"/>
          </w:tcPr>
          <w:p w14:paraId="758D950B">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lang w:eastAsia="zh-CN"/>
              </w:rPr>
              <w:t>（</w:t>
            </w:r>
            <w:r>
              <w:rPr>
                <w:rFonts w:cs="Arial" w:asciiTheme="majorEastAsia" w:hAnsiTheme="majorEastAsia" w:eastAsiaTheme="majorEastAsia"/>
                <w:color w:val="auto"/>
                <w:kern w:val="0"/>
                <w:sz w:val="22"/>
                <w:szCs w:val="22"/>
                <w:highlight w:val="none"/>
              </w:rPr>
              <w:t>www.creditchina.gov.cn</w:t>
            </w:r>
            <w:r>
              <w:rPr>
                <w:rFonts w:hint="eastAsia" w:ascii="新宋体" w:hAnsi="新宋体" w:eastAsia="新宋体" w:cs="新宋体"/>
                <w:bCs/>
                <w:color w:val="auto"/>
                <w:sz w:val="22"/>
                <w:szCs w:val="22"/>
                <w:highlight w:val="none"/>
              </w:rPr>
              <w:t>)；“中国政府采购网”（http://www.ccgp.gov.cn/）；</w:t>
            </w:r>
          </w:p>
          <w:p w14:paraId="1679EC0B">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1681ADE5">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159A995D">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0F36D88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①在“信用中国”具有负面记录：列入失信被执行人、重大税收违法案件当事人名单、政府采购严重违法失信行为名单；</w:t>
            </w:r>
          </w:p>
          <w:p w14:paraId="10E1A8DF">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www.ccgp.gov.cn</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列入政府采购严重违法失信行为记录名单。</w:t>
            </w:r>
          </w:p>
          <w:p w14:paraId="20F7EAC1">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w:t>
            </w:r>
            <w:r>
              <w:rPr>
                <w:rFonts w:hint="eastAsia" w:ascii="新宋体" w:hAnsi="新宋体" w:eastAsia="新宋体" w:cs="新宋体"/>
                <w:bCs/>
                <w:color w:val="auto"/>
                <w:sz w:val="22"/>
                <w:szCs w:val="22"/>
                <w:highlight w:val="none"/>
                <w:lang w:eastAsia="zh-CN"/>
              </w:rPr>
              <w:t>作</w:t>
            </w:r>
            <w:r>
              <w:rPr>
                <w:rFonts w:hint="eastAsia" w:ascii="新宋体" w:hAnsi="新宋体" w:eastAsia="新宋体" w:cs="新宋体"/>
                <w:bCs/>
                <w:color w:val="auto"/>
                <w:sz w:val="22"/>
                <w:szCs w:val="22"/>
                <w:highlight w:val="none"/>
              </w:rPr>
              <w:t>无效投标处理。</w:t>
            </w:r>
          </w:p>
          <w:p w14:paraId="0AF49ED8">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w:t>
            </w:r>
            <w:r>
              <w:rPr>
                <w:rFonts w:hint="eastAsia" w:ascii="新宋体" w:hAnsi="新宋体" w:eastAsia="新宋体" w:cs="新宋体"/>
                <w:bCs/>
                <w:color w:val="auto"/>
                <w:sz w:val="22"/>
                <w:szCs w:val="22"/>
                <w:highlight w:val="none"/>
                <w:lang w:eastAsia="zh-CN"/>
              </w:rPr>
              <w:t>投标供应商</w:t>
            </w:r>
            <w:r>
              <w:rPr>
                <w:rFonts w:hint="eastAsia" w:ascii="新宋体" w:hAnsi="新宋体" w:eastAsia="新宋体" w:cs="新宋体"/>
                <w:bCs/>
                <w:color w:val="auto"/>
                <w:sz w:val="22"/>
                <w:szCs w:val="22"/>
                <w:highlight w:val="none"/>
              </w:rPr>
              <w:t>信用查询网页的查询结果为准。</w:t>
            </w:r>
          </w:p>
          <w:p w14:paraId="380AB2D3">
            <w:pPr>
              <w:rPr>
                <w:rFonts w:hint="eastAsia" w:ascii="宋体" w:hAnsi="宋体" w:cs="宋体"/>
                <w:color w:val="auto"/>
                <w:sz w:val="22"/>
                <w:szCs w:val="22"/>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4BE69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14:paraId="760FB29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29</w:t>
            </w:r>
          </w:p>
        </w:tc>
        <w:tc>
          <w:tcPr>
            <w:tcW w:w="1715" w:type="dxa"/>
            <w:vAlign w:val="center"/>
          </w:tcPr>
          <w:p w14:paraId="39FEF92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821" w:type="dxa"/>
            <w:vAlign w:val="center"/>
          </w:tcPr>
          <w:p w14:paraId="213EAB8D">
            <w:pPr>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1、中标供应商须在发出中标通知书之日起30日历天内与采购人签订合同。</w:t>
            </w:r>
          </w:p>
          <w:p w14:paraId="4508633C">
            <w:pPr>
              <w:rPr>
                <w:rFonts w:hint="eastAsia" w:ascii="宋体" w:hAnsi="宋体" w:cs="宋体"/>
                <w:color w:val="auto"/>
                <w:sz w:val="22"/>
                <w:szCs w:val="22"/>
                <w:highlight w:val="none"/>
              </w:rPr>
            </w:pPr>
            <w:r>
              <w:rPr>
                <w:rFonts w:hint="eastAsia" w:ascii="宋体" w:hAnsi="宋体" w:cs="宋体"/>
                <w:color w:val="auto"/>
                <w:sz w:val="22"/>
                <w:szCs w:val="22"/>
                <w:highlight w:val="none"/>
              </w:rPr>
              <w:t>2、本项目政府采购合同按规定在浙江政府采购网（http://www.zjzfcg.gov.cn）予以公告。</w:t>
            </w:r>
          </w:p>
        </w:tc>
      </w:tr>
      <w:tr w14:paraId="4E7F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14:paraId="4190498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w:t>
            </w:r>
          </w:p>
        </w:tc>
        <w:tc>
          <w:tcPr>
            <w:tcW w:w="1715" w:type="dxa"/>
            <w:vAlign w:val="center"/>
          </w:tcPr>
          <w:p w14:paraId="3E94222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821" w:type="dxa"/>
            <w:vAlign w:val="center"/>
          </w:tcPr>
          <w:p w14:paraId="30CF3768">
            <w:pPr>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14:paraId="39028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14:paraId="5AE0EAE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715" w:type="dxa"/>
            <w:vAlign w:val="center"/>
          </w:tcPr>
          <w:p w14:paraId="715D209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821" w:type="dxa"/>
            <w:vAlign w:val="center"/>
          </w:tcPr>
          <w:p w14:paraId="0F9BA1F3">
            <w:pPr>
              <w:rPr>
                <w:rFonts w:hint="eastAsia" w:ascii="宋体" w:hAnsi="宋体" w:cs="宋体"/>
                <w:color w:val="auto"/>
                <w:sz w:val="22"/>
                <w:szCs w:val="22"/>
                <w:highlight w:val="none"/>
              </w:rPr>
            </w:pPr>
            <w:r>
              <w:rPr>
                <w:rFonts w:hint="eastAsia" w:ascii="宋体" w:hAnsi="宋体" w:cs="宋体"/>
                <w:color w:val="auto"/>
                <w:sz w:val="22"/>
                <w:szCs w:val="22"/>
                <w:highlight w:val="none"/>
              </w:rPr>
              <w:t>1、供应商自行承担投标过程中产生的费用。无论何种因素导致采购项目延期开标、废标（流标）、供应商未成交、项目终止采购的，采购人与代理机构均不承担供应商投标费用。</w:t>
            </w:r>
          </w:p>
          <w:p w14:paraId="2CBA4577">
            <w:pPr>
              <w:rPr>
                <w:rFonts w:hint="eastAsia" w:ascii="宋体" w:hAnsi="宋体" w:cs="宋体"/>
                <w:color w:val="auto"/>
                <w:sz w:val="22"/>
                <w:szCs w:val="22"/>
                <w:highlight w:val="none"/>
              </w:rPr>
            </w:pPr>
            <w:r>
              <w:rPr>
                <w:rFonts w:hint="eastAsia" w:ascii="宋体" w:hAnsi="宋体" w:cs="宋体"/>
                <w:color w:val="auto"/>
                <w:sz w:val="22"/>
                <w:szCs w:val="22"/>
                <w:highlight w:val="none"/>
              </w:rPr>
              <w:t>2、供应商在投标、合同履行过程中必须做好安全保障工作，不因项目实施而危及自身及第三方人员、财产安全。若发生任何安全事故，由成交供应商自行承担一切责任并赔偿损失。</w:t>
            </w:r>
          </w:p>
        </w:tc>
      </w:tr>
      <w:tr w14:paraId="222F5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6" w:hRule="atLeast"/>
          <w:jc w:val="center"/>
        </w:trPr>
        <w:tc>
          <w:tcPr>
            <w:tcW w:w="694" w:type="dxa"/>
            <w:vAlign w:val="center"/>
          </w:tcPr>
          <w:p w14:paraId="339D5E9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1715" w:type="dxa"/>
            <w:vAlign w:val="center"/>
          </w:tcPr>
          <w:p w14:paraId="76252B6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821" w:type="dxa"/>
            <w:vAlign w:val="center"/>
          </w:tcPr>
          <w:p w14:paraId="220AAE39">
            <w:pPr>
              <w:rPr>
                <w:rFonts w:hint="eastAsia" w:ascii="宋体" w:hAnsi="宋体" w:cs="宋体"/>
                <w:color w:val="auto"/>
                <w:sz w:val="22"/>
                <w:szCs w:val="22"/>
                <w:highlight w:val="none"/>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D6CC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vAlign w:val="center"/>
          </w:tcPr>
          <w:p w14:paraId="5C3E6D8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33</w:t>
            </w:r>
          </w:p>
        </w:tc>
        <w:tc>
          <w:tcPr>
            <w:tcW w:w="1715" w:type="dxa"/>
            <w:vAlign w:val="center"/>
          </w:tcPr>
          <w:p w14:paraId="4B2DAE1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项目类型</w:t>
            </w:r>
          </w:p>
        </w:tc>
        <w:tc>
          <w:tcPr>
            <w:tcW w:w="7821" w:type="dxa"/>
            <w:vAlign w:val="center"/>
          </w:tcPr>
          <w:p w14:paraId="09E71645">
            <w:pPr>
              <w:adjustRightInd w:val="0"/>
              <w:rPr>
                <w:rFonts w:hint="eastAsia" w:ascii="宋体" w:hAnsi="宋体" w:cs="宋体"/>
                <w:color w:val="auto"/>
                <w:sz w:val="22"/>
                <w:szCs w:val="22"/>
                <w:highlight w:val="none"/>
              </w:rPr>
            </w:pPr>
            <w:r>
              <w:rPr>
                <w:rFonts w:hint="eastAsia" w:ascii="宋体" w:hAnsi="宋体" w:cs="宋体"/>
                <w:b/>
                <w:color w:val="auto"/>
                <w:sz w:val="22"/>
                <w:szCs w:val="22"/>
                <w:highlight w:val="none"/>
              </w:rPr>
              <w:fldChar w:fldCharType="begin"/>
            </w:r>
            <w:r>
              <w:rPr>
                <w:rFonts w:hint="eastAsia" w:ascii="宋体" w:hAnsi="宋体" w:cs="宋体"/>
                <w:b/>
                <w:color w:val="auto"/>
                <w:sz w:val="22"/>
                <w:szCs w:val="22"/>
                <w:highlight w:val="none"/>
              </w:rPr>
              <w:instrText xml:space="preserve">eq \o\ac(□)</w:instrText>
            </w:r>
            <w:r>
              <w:rPr>
                <w:rFonts w:hint="eastAsia" w:ascii="宋体" w:hAnsi="宋体" w:cs="宋体"/>
                <w:b/>
                <w:color w:val="auto"/>
                <w:sz w:val="22"/>
                <w:szCs w:val="22"/>
                <w:highlight w:val="none"/>
              </w:rPr>
              <w:fldChar w:fldCharType="end"/>
            </w:r>
            <w:r>
              <w:rPr>
                <w:rFonts w:hint="eastAsia" w:ascii="宋体" w:hAnsi="宋体" w:cs="宋体"/>
                <w:color w:val="auto"/>
                <w:sz w:val="22"/>
                <w:szCs w:val="22"/>
                <w:highlight w:val="none"/>
              </w:rPr>
              <w:t>A</w:t>
            </w:r>
            <w:r>
              <w:rPr>
                <w:rFonts w:hint="eastAsia" w:ascii="宋体" w:hAnsi="宋体" w:cs="宋体"/>
                <w:b/>
                <w:color w:val="auto"/>
                <w:sz w:val="22"/>
                <w:szCs w:val="22"/>
                <w:highlight w:val="none"/>
              </w:rPr>
              <w:t>货物类</w:t>
            </w:r>
            <w:r>
              <w:rPr>
                <w:rFonts w:hint="eastAsia" w:ascii="宋体" w:hAnsi="宋体" w:cs="宋体"/>
                <w:color w:val="auto"/>
                <w:sz w:val="22"/>
                <w:szCs w:val="22"/>
                <w:highlight w:val="none"/>
              </w:rPr>
              <w:t>，单一产品或核心产品为：</w:t>
            </w:r>
            <w:r>
              <w:rPr>
                <w:rFonts w:hint="eastAsia" w:ascii="宋体" w:hAnsi="宋体" w:cs="宋体"/>
                <w:color w:val="auto"/>
                <w:kern w:val="0"/>
                <w:sz w:val="22"/>
                <w:szCs w:val="22"/>
                <w:highlight w:val="none"/>
                <w:lang w:val="en-US" w:eastAsia="zh-CN"/>
              </w:rPr>
              <w:t>/</w:t>
            </w:r>
            <w:r>
              <w:rPr>
                <w:rFonts w:hint="eastAsia" w:ascii="宋体" w:hAnsi="宋体" w:cs="宋体"/>
                <w:color w:val="auto"/>
                <w:sz w:val="22"/>
                <w:highlight w:val="none"/>
              </w:rPr>
              <w:t>。</w:t>
            </w:r>
          </w:p>
          <w:p w14:paraId="0B1D6A61">
            <w:pPr>
              <w:rPr>
                <w:rFonts w:hint="eastAsia" w:ascii="宋体" w:hAnsi="宋体" w:cs="宋体"/>
                <w:b/>
                <w:color w:val="auto"/>
                <w:sz w:val="22"/>
                <w:szCs w:val="22"/>
                <w:highlight w:val="none"/>
              </w:rPr>
            </w:pPr>
            <w:r>
              <w:rPr>
                <w:rFonts w:hint="eastAsia" w:ascii="宋体" w:hAnsi="宋体" w:cs="宋体"/>
                <w:b/>
                <w:color w:val="auto"/>
                <w:sz w:val="22"/>
                <w:szCs w:val="22"/>
                <w:highlight w:val="none"/>
              </w:rPr>
              <w:sym w:font="Wingdings 2" w:char="0052"/>
            </w:r>
            <w:r>
              <w:rPr>
                <w:rFonts w:hint="eastAsia" w:ascii="宋体" w:hAnsi="宋体" w:cs="宋体"/>
                <w:b/>
                <w:color w:val="auto"/>
                <w:sz w:val="22"/>
                <w:szCs w:val="22"/>
                <w:highlight w:val="none"/>
              </w:rPr>
              <w:t>B服务类。</w:t>
            </w:r>
          </w:p>
          <w:p w14:paraId="38071FB4">
            <w:pP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采购标的对应的中小企业划分标准所属行业：</w:t>
            </w:r>
            <w:r>
              <w:rPr>
                <w:rFonts w:hint="eastAsia" w:ascii="宋体" w:hAnsi="宋体" w:cs="宋体"/>
                <w:b/>
                <w:bCs/>
                <w:color w:val="auto"/>
                <w:sz w:val="22"/>
                <w:szCs w:val="22"/>
                <w:highlight w:val="none"/>
              </w:rPr>
              <w:t>其他未列明行业</w:t>
            </w:r>
          </w:p>
        </w:tc>
      </w:tr>
    </w:tbl>
    <w:p w14:paraId="6B7EDEAA">
      <w:pPr>
        <w:rPr>
          <w:rFonts w:hint="eastAsia" w:ascii="宋体" w:hAnsi="宋体" w:cs="宋体"/>
          <w:color w:val="auto"/>
          <w:highlight w:val="none"/>
        </w:rPr>
      </w:pPr>
    </w:p>
    <w:p w14:paraId="3907C468">
      <w:pPr>
        <w:pStyle w:val="18"/>
        <w:ind w:firstLine="210"/>
        <w:rPr>
          <w:rFonts w:hint="eastAsia" w:ascii="宋体" w:hAnsi="宋体" w:cs="宋体"/>
          <w:color w:val="auto"/>
          <w:highlight w:val="none"/>
        </w:rPr>
      </w:pPr>
    </w:p>
    <w:p w14:paraId="2BB050DF">
      <w:pPr>
        <w:pStyle w:val="18"/>
        <w:ind w:firstLine="210"/>
        <w:rPr>
          <w:rFonts w:hint="eastAsia" w:ascii="宋体" w:hAnsi="宋体" w:cs="宋体"/>
          <w:color w:val="auto"/>
          <w:highlight w:val="none"/>
        </w:rPr>
      </w:pPr>
    </w:p>
    <w:p w14:paraId="4EE1438C">
      <w:pPr>
        <w:pStyle w:val="18"/>
        <w:ind w:firstLine="210"/>
        <w:rPr>
          <w:rFonts w:hint="eastAsia" w:ascii="宋体" w:hAnsi="宋体" w:cs="宋体"/>
          <w:color w:val="auto"/>
          <w:highlight w:val="none"/>
        </w:rPr>
      </w:pPr>
    </w:p>
    <w:p w14:paraId="31FBC511">
      <w:pPr>
        <w:pStyle w:val="40"/>
        <w:rPr>
          <w:rFonts w:hint="eastAsia" w:ascii="宋体" w:hAnsi="宋体" w:cs="宋体"/>
          <w:color w:val="auto"/>
          <w:sz w:val="30"/>
          <w:szCs w:val="30"/>
          <w:highlight w:val="none"/>
        </w:rPr>
      </w:pPr>
      <w:bookmarkStart w:id="7" w:name="_Toc498343165"/>
      <w:bookmarkStart w:id="8" w:name="_Toc461563840"/>
      <w:r>
        <w:rPr>
          <w:rFonts w:hint="eastAsia" w:ascii="宋体" w:hAnsi="宋体" w:cs="宋体"/>
          <w:color w:val="auto"/>
          <w:sz w:val="30"/>
          <w:szCs w:val="30"/>
          <w:highlight w:val="none"/>
        </w:rPr>
        <w:br w:type="page"/>
      </w:r>
      <w:bookmarkStart w:id="9" w:name="_Toc13266"/>
      <w:r>
        <w:rPr>
          <w:rFonts w:hint="eastAsia" w:ascii="宋体" w:hAnsi="宋体" w:cs="宋体"/>
          <w:color w:val="auto"/>
          <w:sz w:val="30"/>
          <w:szCs w:val="30"/>
          <w:highlight w:val="none"/>
        </w:rPr>
        <w:t xml:space="preserve">第二部分 </w:t>
      </w:r>
      <w:bookmarkEnd w:id="7"/>
      <w:bookmarkEnd w:id="8"/>
      <w:r>
        <w:rPr>
          <w:rFonts w:hint="eastAsia" w:ascii="宋体" w:hAnsi="宋体" w:cs="宋体"/>
          <w:color w:val="auto"/>
          <w:sz w:val="30"/>
          <w:szCs w:val="30"/>
          <w:highlight w:val="none"/>
        </w:rPr>
        <w:t>招标内容及要求</w:t>
      </w:r>
      <w:bookmarkEnd w:id="9"/>
    </w:p>
    <w:p w14:paraId="411DBA81">
      <w:pPr>
        <w:widowControl/>
        <w:tabs>
          <w:tab w:val="left" w:pos="210"/>
        </w:tabs>
        <w:autoSpaceDE w:val="0"/>
        <w:autoSpaceDN w:val="0"/>
        <w:adjustRightInd w:val="0"/>
        <w:spacing w:line="360" w:lineRule="auto"/>
        <w:ind w:firstLine="442" w:firstLineChars="200"/>
        <w:textAlignment w:val="bottom"/>
        <w:rPr>
          <w:rFonts w:hint="eastAsia" w:ascii="宋体" w:hAnsi="宋体" w:eastAsia="宋体" w:cs="宋体"/>
          <w:b/>
          <w:bCs/>
          <w:color w:val="auto"/>
          <w:sz w:val="22"/>
          <w:szCs w:val="22"/>
          <w:highlight w:val="none"/>
        </w:rPr>
      </w:pPr>
      <w:bookmarkStart w:id="10" w:name="_Toc461563851"/>
      <w:bookmarkStart w:id="11" w:name="_Toc498343168"/>
      <w:r>
        <w:rPr>
          <w:rFonts w:hint="eastAsia" w:ascii="宋体" w:hAnsi="宋体" w:eastAsia="宋体" w:cs="宋体"/>
          <w:b/>
          <w:bCs/>
          <w:color w:val="auto"/>
          <w:sz w:val="22"/>
          <w:szCs w:val="22"/>
          <w:highlight w:val="none"/>
        </w:rPr>
        <w:t>（一）、项目内容</w:t>
      </w:r>
    </w:p>
    <w:p w14:paraId="714CF6D5">
      <w:pPr>
        <w:widowControl/>
        <w:tabs>
          <w:tab w:val="left" w:pos="210"/>
        </w:tabs>
        <w:autoSpaceDE w:val="0"/>
        <w:autoSpaceDN w:val="0"/>
        <w:adjustRightInd w:val="0"/>
        <w:spacing w:line="360" w:lineRule="auto"/>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1、采购内容：</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年度永嘉县农产品质量安全抽样及定量检测服务。</w:t>
      </w:r>
    </w:p>
    <w:p w14:paraId="3CE9E6A1">
      <w:pPr>
        <w:widowControl/>
        <w:tabs>
          <w:tab w:val="left" w:pos="210"/>
        </w:tabs>
        <w:autoSpaceDE w:val="0"/>
        <w:autoSpaceDN w:val="0"/>
        <w:adjustRightInd w:val="0"/>
        <w:spacing w:line="360" w:lineRule="auto"/>
        <w:ind w:firstLine="442" w:firstLineChars="200"/>
        <w:textAlignment w:val="bottom"/>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2、抽检范围：</w:t>
      </w:r>
      <w:r>
        <w:rPr>
          <w:rFonts w:hint="eastAsia" w:ascii="宋体" w:hAnsi="宋体" w:eastAsia="宋体" w:cs="宋体"/>
          <w:color w:val="auto"/>
          <w:sz w:val="22"/>
          <w:szCs w:val="22"/>
          <w:highlight w:val="none"/>
        </w:rPr>
        <w:t>覆盖永嘉县行政辖区内的所有农产品（含种植业产品、畜禽产品、水产品、豆芽等，以下统称农产品）生产经营者。</w:t>
      </w:r>
    </w:p>
    <w:p w14:paraId="1AEF6771">
      <w:pPr>
        <w:widowControl/>
        <w:tabs>
          <w:tab w:val="left" w:pos="210"/>
        </w:tabs>
        <w:autoSpaceDE w:val="0"/>
        <w:autoSpaceDN w:val="0"/>
        <w:adjustRightInd w:val="0"/>
        <w:spacing w:line="360" w:lineRule="auto"/>
        <w:ind w:firstLine="442" w:firstLineChars="200"/>
        <w:textAlignment w:val="bottom"/>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3、抽检品种与数量：</w:t>
      </w:r>
    </w:p>
    <w:tbl>
      <w:tblPr>
        <w:tblStyle w:val="44"/>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4884"/>
        <w:gridCol w:w="3525"/>
      </w:tblGrid>
      <w:tr w14:paraId="705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Align w:val="center"/>
          </w:tcPr>
          <w:p w14:paraId="25750B3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4884" w:type="dxa"/>
            <w:vAlign w:val="center"/>
          </w:tcPr>
          <w:p w14:paraId="6713B952">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抽检品种</w:t>
            </w:r>
          </w:p>
        </w:tc>
        <w:tc>
          <w:tcPr>
            <w:tcW w:w="3525" w:type="dxa"/>
            <w:vAlign w:val="center"/>
          </w:tcPr>
          <w:p w14:paraId="3B0C29A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批次数</w:t>
            </w:r>
          </w:p>
        </w:tc>
      </w:tr>
      <w:tr w14:paraId="4E53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Align w:val="center"/>
          </w:tcPr>
          <w:p w14:paraId="3EA2C13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4884" w:type="dxa"/>
            <w:vAlign w:val="center"/>
          </w:tcPr>
          <w:p w14:paraId="0D40703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种植业产品</w:t>
            </w:r>
          </w:p>
        </w:tc>
        <w:tc>
          <w:tcPr>
            <w:tcW w:w="3525" w:type="dxa"/>
            <w:vAlign w:val="center"/>
          </w:tcPr>
          <w:p w14:paraId="542A6F40">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800</w:t>
            </w:r>
          </w:p>
        </w:tc>
      </w:tr>
      <w:tr w14:paraId="3633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Align w:val="center"/>
          </w:tcPr>
          <w:p w14:paraId="2B5EF6B1">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884" w:type="dxa"/>
            <w:vAlign w:val="center"/>
          </w:tcPr>
          <w:p w14:paraId="7D686A0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畜禽产品</w:t>
            </w:r>
          </w:p>
        </w:tc>
        <w:tc>
          <w:tcPr>
            <w:tcW w:w="3525" w:type="dxa"/>
            <w:vAlign w:val="center"/>
          </w:tcPr>
          <w:p w14:paraId="57B276B2">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w:t>
            </w:r>
          </w:p>
        </w:tc>
      </w:tr>
      <w:tr w14:paraId="1272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Align w:val="center"/>
          </w:tcPr>
          <w:p w14:paraId="073107D8">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884" w:type="dxa"/>
            <w:vAlign w:val="center"/>
          </w:tcPr>
          <w:p w14:paraId="77C1D575">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水产品</w:t>
            </w:r>
          </w:p>
        </w:tc>
        <w:tc>
          <w:tcPr>
            <w:tcW w:w="3525" w:type="dxa"/>
            <w:vAlign w:val="center"/>
          </w:tcPr>
          <w:p w14:paraId="66297F9C">
            <w:pPr>
              <w:jc w:val="center"/>
              <w:rPr>
                <w:rFonts w:hint="default" w:ascii="宋体" w:hAnsi="宋体" w:eastAsia="宋体" w:cs="宋体"/>
                <w:color w:val="auto"/>
                <w:kern w:val="0"/>
                <w:sz w:val="22"/>
                <w:szCs w:val="22"/>
                <w:highlight w:val="none"/>
                <w:lang w:val="en-US"/>
              </w:rPr>
            </w:pPr>
            <w:r>
              <w:rPr>
                <w:rFonts w:hint="eastAsia" w:ascii="宋体" w:hAnsi="宋体" w:cs="宋体"/>
                <w:color w:val="auto"/>
                <w:kern w:val="0"/>
                <w:sz w:val="22"/>
                <w:szCs w:val="22"/>
                <w:highlight w:val="none"/>
                <w:lang w:val="en-US" w:eastAsia="zh-CN"/>
              </w:rPr>
              <w:t>100</w:t>
            </w:r>
          </w:p>
        </w:tc>
      </w:tr>
      <w:tr w14:paraId="6757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35" w:type="dxa"/>
            <w:vAlign w:val="center"/>
          </w:tcPr>
          <w:p w14:paraId="621DDFD6">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4884" w:type="dxa"/>
            <w:vAlign w:val="center"/>
          </w:tcPr>
          <w:p w14:paraId="41943A0A">
            <w:pPr>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风险隐患排查</w:t>
            </w:r>
          </w:p>
        </w:tc>
        <w:tc>
          <w:tcPr>
            <w:tcW w:w="3525" w:type="dxa"/>
            <w:vAlign w:val="center"/>
          </w:tcPr>
          <w:p w14:paraId="41430AA7">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200</w:t>
            </w:r>
          </w:p>
        </w:tc>
      </w:tr>
      <w:tr w14:paraId="0967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019" w:type="dxa"/>
            <w:gridSpan w:val="2"/>
            <w:vAlign w:val="center"/>
          </w:tcPr>
          <w:p w14:paraId="776654C8">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  计</w:t>
            </w:r>
          </w:p>
        </w:tc>
        <w:tc>
          <w:tcPr>
            <w:tcW w:w="3525" w:type="dxa"/>
            <w:vAlign w:val="center"/>
          </w:tcPr>
          <w:p w14:paraId="6863A959">
            <w:pPr>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1200</w:t>
            </w:r>
          </w:p>
        </w:tc>
      </w:tr>
    </w:tbl>
    <w:p w14:paraId="29BFFCC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采购方可根据实际需要调整各抽检品种批次数，以上批次含例行抽检和监督抽检部分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其中监督抽检</w:t>
      </w:r>
      <w:r>
        <w:rPr>
          <w:rFonts w:hint="eastAsia" w:ascii="宋体" w:hAnsi="宋体" w:cs="宋体"/>
          <w:color w:val="auto"/>
          <w:sz w:val="22"/>
          <w:szCs w:val="22"/>
          <w:highlight w:val="none"/>
          <w:lang w:val="en-US" w:eastAsia="zh-CN"/>
        </w:rPr>
        <w:t>500批次，</w:t>
      </w:r>
      <w:r>
        <w:rPr>
          <w:rFonts w:hint="eastAsia" w:ascii="宋体" w:hAnsi="宋体" w:eastAsia="宋体" w:cs="宋体"/>
          <w:color w:val="auto"/>
          <w:sz w:val="22"/>
          <w:szCs w:val="22"/>
          <w:highlight w:val="none"/>
        </w:rPr>
        <w:t>样品要求一式三份（正样、备样和留样）。</w:t>
      </w:r>
    </w:p>
    <w:p w14:paraId="5FAB1A5A">
      <w:pPr>
        <w:numPr>
          <w:ilvl w:val="0"/>
          <w:numId w:val="1"/>
        </w:num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监测项目和检测依据：</w:t>
      </w:r>
    </w:p>
    <w:tbl>
      <w:tblPr>
        <w:tblStyle w:val="4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85"/>
        <w:gridCol w:w="5063"/>
        <w:gridCol w:w="2582"/>
      </w:tblGrid>
      <w:tr w14:paraId="6310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6" w:type="dxa"/>
            <w:vAlign w:val="center"/>
          </w:tcPr>
          <w:p w14:paraId="5603CC5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185" w:type="dxa"/>
            <w:vAlign w:val="center"/>
          </w:tcPr>
          <w:p w14:paraId="3F00B28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样品种类</w:t>
            </w:r>
          </w:p>
        </w:tc>
        <w:tc>
          <w:tcPr>
            <w:tcW w:w="5063" w:type="dxa"/>
            <w:vAlign w:val="center"/>
          </w:tcPr>
          <w:p w14:paraId="311E5A6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基础检测项目</w:t>
            </w:r>
          </w:p>
        </w:tc>
        <w:tc>
          <w:tcPr>
            <w:tcW w:w="2582" w:type="dxa"/>
            <w:vAlign w:val="center"/>
          </w:tcPr>
          <w:p w14:paraId="5F6D317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检测依据</w:t>
            </w:r>
          </w:p>
        </w:tc>
      </w:tr>
      <w:tr w14:paraId="1388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CD10BE4">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1185" w:type="dxa"/>
            <w:vAlign w:val="center"/>
          </w:tcPr>
          <w:p w14:paraId="685A0843">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rPr>
              <w:t>蔬菜、水果、食用菌</w:t>
            </w:r>
            <w:r>
              <w:rPr>
                <w:rFonts w:hint="eastAsia" w:ascii="宋体" w:hAnsi="宋体" w:cs="宋体"/>
                <w:color w:val="auto"/>
                <w:kern w:val="0"/>
                <w:sz w:val="22"/>
                <w:szCs w:val="22"/>
                <w:highlight w:val="none"/>
                <w:lang w:eastAsia="zh-CN"/>
              </w:rPr>
              <w:t>、稻谷、玉米等种植业产品</w:t>
            </w:r>
          </w:p>
        </w:tc>
        <w:tc>
          <w:tcPr>
            <w:tcW w:w="5063" w:type="dxa"/>
            <w:vAlign w:val="center"/>
          </w:tcPr>
          <w:p w14:paraId="11984868">
            <w:pPr>
              <w:snapToGrid w:val="0"/>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甲胺磷、对硫磷、甲基对硫磷、六六六；</w:t>
            </w:r>
          </w:p>
          <w:p w14:paraId="6FC979DA">
            <w:pPr>
              <w:snapToGrid w:val="0"/>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拌磷（包括甲拌磷砜和甲拌磷亚砜）、氧乐果、水胺硫磷、甲基异柳磷、克百威（包括3拌羟基克百威）、涕灭威（包括涕灭威砜和涕灭威亚砜）、毒死蜱、三唑磷；氟虫腈（包括氟甲腈、氟虫腈硫醚、氟虫腈砜）、</w:t>
            </w:r>
          </w:p>
          <w:p w14:paraId="1CA9A946">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乐果、乙酰甲胺磷、灭多威、氰戊菊酯、敌敌畏、丙溴磷、杀螟硫磷、二嗪磷、马拉硫磷、亚胺硫磷、伏杀硫磷、辛硫磷、氯氰菊酯、甲氰菊酯、氯氟氰菊酯、氟氯氰菊酯、溴氰菊酯、联苯菊酯、氟胺氰菊酯、氟氰戊菊酯、三唑酮、百菌清、异菌脲、甲萘威、三氯杀螨醇、腐霉利、五氯硝基苯、乙烯菌核利、多菌灵、吡虫啉、啶虫脒、哒螨灵、苯醚甲环唑、嘧霉胺、甲氨基阿维菌素苯甲酸盐、烯酰吗啉、虫螨腈、咪鲜胺、嘧菌酯、二甲戊乐灵、噻虫嗪、氟啶脲、灭幼脲、灭蝇胺、甲霜灵、霜霉威、多效唑、氯吡脲、氯虫苯甲酰胺、氯菊酯（异构体之和）、醚菊酯、虫酰肼、吡唑醚菌酯、阿维菌素、除虫脲、戊唑醇、茚虫威、丙环唑、腈菌唑</w:t>
            </w:r>
          </w:p>
          <w:p w14:paraId="240F2B61">
            <w:pPr>
              <w:pStyle w:val="2"/>
              <w:ind w:left="0" w:leftChars="0" w:firstLine="0" w:firstLine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其中：杨梅加测甜蜜素、糖精钠、三氯蔗糖</w:t>
            </w:r>
          </w:p>
          <w:p w14:paraId="66687CC0">
            <w:pPr>
              <w:pStyle w:val="2"/>
              <w:rPr>
                <w:rStyle w:val="177"/>
                <w:rFonts w:hint="default" w:ascii="宋体" w:hAnsi="宋体" w:eastAsia="宋体" w:cs="宋体"/>
                <w:b/>
                <w:bCs/>
                <w:color w:val="auto"/>
                <w:sz w:val="21"/>
                <w:szCs w:val="21"/>
                <w:highlight w:val="none"/>
                <w:lang w:val="en-US" w:eastAsia="zh-CN" w:bidi="ar"/>
              </w:rPr>
            </w:pPr>
            <w:r>
              <w:rPr>
                <w:rFonts w:hint="eastAsia" w:ascii="宋体" w:hAnsi="宋体" w:eastAsia="宋体" w:cs="宋体"/>
                <w:b w:val="0"/>
                <w:bCs w:val="0"/>
                <w:color w:val="auto"/>
                <w:kern w:val="0"/>
                <w:sz w:val="22"/>
                <w:szCs w:val="22"/>
                <w:highlight w:val="none"/>
                <w:lang w:val="en-US" w:eastAsia="zh-CN" w:bidi="ar-SA"/>
              </w:rPr>
              <w:t xml:space="preserve">  水果加测噻苯隆</w:t>
            </w:r>
          </w:p>
        </w:tc>
        <w:tc>
          <w:tcPr>
            <w:tcW w:w="2582" w:type="dxa"/>
            <w:vAlign w:val="center"/>
          </w:tcPr>
          <w:p w14:paraId="2994D31D">
            <w:pPr>
              <w:snapToGrid w:val="0"/>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NY/T 761—2008、</w:t>
            </w:r>
          </w:p>
          <w:p w14:paraId="56C4C561">
            <w:pPr>
              <w:snapToGrid w:val="0"/>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 23200.8—2016、GB/T 20769—2008、</w:t>
            </w:r>
          </w:p>
          <w:p w14:paraId="4123E078">
            <w:pPr>
              <w:snapToGrid w:val="0"/>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 23200.113—2018、GB 23200.8—2016</w:t>
            </w:r>
          </w:p>
          <w:p w14:paraId="13B78534">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GB/T 20769—2008、</w:t>
            </w:r>
            <w:r>
              <w:rPr>
                <w:rFonts w:hint="eastAsia" w:ascii="宋体" w:hAnsi="宋体" w:eastAsia="宋体" w:cs="宋体"/>
                <w:color w:val="auto"/>
                <w:kern w:val="0"/>
                <w:sz w:val="22"/>
                <w:szCs w:val="22"/>
                <w:highlight w:val="none"/>
                <w:lang w:val="fr-FR" w:eastAsia="fr-FR"/>
              </w:rPr>
              <w:t>GB 23200.19</w:t>
            </w:r>
            <w:r>
              <w:rPr>
                <w:rFonts w:hint="eastAsia" w:ascii="宋体" w:hAnsi="宋体" w:eastAsia="宋体" w:cs="宋体"/>
                <w:color w:val="auto"/>
                <w:kern w:val="0"/>
                <w:sz w:val="22"/>
                <w:szCs w:val="22"/>
                <w:highlight w:val="none"/>
                <w:lang w:val="fr-FR"/>
              </w:rPr>
              <w:t>、</w:t>
            </w:r>
            <w:r>
              <w:rPr>
                <w:rFonts w:hint="eastAsia" w:ascii="宋体" w:hAnsi="宋体" w:eastAsia="宋体" w:cs="宋体"/>
                <w:color w:val="auto"/>
                <w:kern w:val="0"/>
                <w:sz w:val="22"/>
                <w:szCs w:val="22"/>
                <w:highlight w:val="none"/>
              </w:rPr>
              <w:t>GB/T 5009.147</w:t>
            </w:r>
          </w:p>
        </w:tc>
      </w:tr>
      <w:tr w14:paraId="0FA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716" w:type="dxa"/>
            <w:vAlign w:val="center"/>
          </w:tcPr>
          <w:p w14:paraId="7A4E6E9E">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185" w:type="dxa"/>
            <w:vAlign w:val="center"/>
          </w:tcPr>
          <w:p w14:paraId="45B7D21B">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茶叶</w:t>
            </w:r>
          </w:p>
        </w:tc>
        <w:tc>
          <w:tcPr>
            <w:tcW w:w="5063" w:type="dxa"/>
            <w:vAlign w:val="center"/>
          </w:tcPr>
          <w:p w14:paraId="4686334A">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乙酰甲胺磷、莠去津、乙螨唑、西玛津、毒死蜱、氯氟氰菊酯、杀螟硫磷、甲胺磷、吡唑醚菌酯、硫丹、氟虫脲、氟氰戊菊酯、虫螨腈、噻虫啉、吡蚜酮、醚菊酯、茚虫威、唑虫酰胺、啶虫脒、杀螟丹、辛硫磷、甲氨基阿维菌素苯甲酸盐、甲基硫环磷、敌百虫、百菌清、噻螨酮、草甘膦、百草枯、灭多威、克百威、六六六、滴滴涕(DDT)、甲基对硫磷、氰戊菊酯、水胺硫磷、氯唑磷、甲拌磷、氯氰菊酯、溴氰菊酯、氯菊酯、氟氯氰菊酯、灭线磷、内吸磷、喹螨醚、甲萘威、三氯杀螨醇、联苯菊酯、氯氟氰菊脂、甲氰菊酯、噻虫嗪、呋虫胺、除虫脲、氧乐果、硫环磷、丙溴磷、多菌灵、吡虫啉、苯醚甲环唑、哒螨灵、噻虫胺、噻嗪酮</w:t>
            </w:r>
          </w:p>
        </w:tc>
        <w:tc>
          <w:tcPr>
            <w:tcW w:w="2582" w:type="dxa"/>
            <w:vAlign w:val="center"/>
          </w:tcPr>
          <w:p w14:paraId="5B88A6BC">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GB/T 5009或GB/T 23204或GB 23200等</w:t>
            </w:r>
          </w:p>
        </w:tc>
      </w:tr>
      <w:tr w14:paraId="3875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6" w:type="dxa"/>
            <w:vAlign w:val="center"/>
          </w:tcPr>
          <w:p w14:paraId="44C26B8B">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185" w:type="dxa"/>
            <w:vAlign w:val="center"/>
          </w:tcPr>
          <w:p w14:paraId="161C9E31">
            <w:pPr>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猪肉、猪肝、牛肉、羊肉</w:t>
            </w:r>
            <w:r>
              <w:rPr>
                <w:rFonts w:hint="eastAsia" w:ascii="宋体" w:hAnsi="宋体" w:cs="宋体"/>
                <w:color w:val="auto"/>
                <w:kern w:val="0"/>
                <w:sz w:val="22"/>
                <w:szCs w:val="22"/>
                <w:highlight w:val="none"/>
                <w:lang w:eastAsia="zh-CN"/>
              </w:rPr>
              <w:t>、猪尿、牛尿</w:t>
            </w:r>
          </w:p>
        </w:tc>
        <w:tc>
          <w:tcPr>
            <w:tcW w:w="5063" w:type="dxa"/>
            <w:vAlign w:val="center"/>
          </w:tcPr>
          <w:p w14:paraId="0B2EE83B">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瘦肉精类（克伦特罗、莱克多巴胺、沙丁胺醇、</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"https://baike.baidu.com/item/%E7%A1%AB%E9%85%B8%E7%89%B9%E5%B8%83%E4%BB%96%E6%9E%97/1100540" \t "https://baike.baidu.com/item/%E7%98%A6%E8%82%89%E7%B2%BE/_blank"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kern w:val="0"/>
                <w:sz w:val="22"/>
                <w:szCs w:val="22"/>
                <w:highlight w:val="none"/>
              </w:rPr>
              <w:t>特布他林</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、西马特罗等）、磺胺类十六项</w:t>
            </w:r>
          </w:p>
        </w:tc>
        <w:tc>
          <w:tcPr>
            <w:tcW w:w="2582" w:type="dxa"/>
            <w:vAlign w:val="center"/>
          </w:tcPr>
          <w:p w14:paraId="64BAA97D">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（农业部 1025公告-18-2008）、农质发〔2014〕5 号文件附件8、GB/T 20759-2006、GB/T 21317-2007</w:t>
            </w:r>
          </w:p>
        </w:tc>
      </w:tr>
      <w:tr w14:paraId="7BFD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16" w:type="dxa"/>
            <w:vAlign w:val="center"/>
          </w:tcPr>
          <w:p w14:paraId="60F174BB">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185" w:type="dxa"/>
            <w:vAlign w:val="center"/>
          </w:tcPr>
          <w:p w14:paraId="3EA09795">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禽肉、禽蛋</w:t>
            </w:r>
          </w:p>
        </w:tc>
        <w:tc>
          <w:tcPr>
            <w:tcW w:w="5063" w:type="dxa"/>
            <w:vAlign w:val="center"/>
          </w:tcPr>
          <w:p w14:paraId="6C20A6F8">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氟喹诺酮类药物（恩诺沙星、环丙沙星、沙拉沙星、达氟沙星）、酰胺醇类（氟苯尼考、氟苯尼考胺、甲砜霉素）</w:t>
            </w:r>
          </w:p>
          <w:p w14:paraId="1B23CADD">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氟喹诺酮类药物（氧氟沙星、培氟沙星、诺氟沙星、洛美沙星）</w:t>
            </w:r>
          </w:p>
          <w:p w14:paraId="2C7AFE6D">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氯霉素、金刚烷胺、四环素类</w:t>
            </w:r>
          </w:p>
        </w:tc>
        <w:tc>
          <w:tcPr>
            <w:tcW w:w="2582" w:type="dxa"/>
            <w:vAlign w:val="center"/>
          </w:tcPr>
          <w:p w14:paraId="1F4BF4F3">
            <w:pPr>
              <w:spacing w:line="276"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禽蛋和禽肉中氟喹诺酮类药物及金刚烷胺残留量的测定 液相色谱-串联质谱法操作细则（中国农业科学院农业质量标准与检测技术研究所自建方法）（农质发[2019]1号 附表6）</w:t>
            </w:r>
          </w:p>
        </w:tc>
      </w:tr>
      <w:tr w14:paraId="46C4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6" w:type="dxa"/>
            <w:vAlign w:val="center"/>
          </w:tcPr>
          <w:p w14:paraId="53093D44">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185" w:type="dxa"/>
            <w:vAlign w:val="center"/>
          </w:tcPr>
          <w:p w14:paraId="522F7B13">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养殖虾、养殖鱼（包括鳖、小龙虾）、养殖牛蛙</w:t>
            </w:r>
          </w:p>
        </w:tc>
        <w:tc>
          <w:tcPr>
            <w:tcW w:w="5063" w:type="dxa"/>
            <w:vAlign w:val="center"/>
          </w:tcPr>
          <w:p w14:paraId="75FF3F74">
            <w:pPr>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氟喹诺酮类药物（恩诺沙星、环丙沙星）、</w:t>
            </w:r>
            <w:r>
              <w:rPr>
                <w:rFonts w:hint="eastAsia" w:ascii="宋体" w:hAnsi="宋体" w:cs="宋体"/>
                <w:color w:val="auto"/>
                <w:kern w:val="0"/>
                <w:sz w:val="22"/>
                <w:szCs w:val="22"/>
                <w:highlight w:val="none"/>
                <w:lang w:eastAsia="zh-CN"/>
              </w:rPr>
              <w:t>地西泮</w:t>
            </w:r>
          </w:p>
          <w:p w14:paraId="0C043A61">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孔雀石绿（包括有色孔雀石绿和无色孔雀石绿）、氯霉素、硝基呋喃类代谢物（呋喃唑酮代谢物（AOZ）、呋喃西林代谢物（SEM）、呋喃它酮代谢物（AMOZ）、呋喃妥因代谢物（AHD））</w:t>
            </w:r>
          </w:p>
          <w:p w14:paraId="0C7F56DE">
            <w:pPr>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氟喹诺酮类药物（诺氟沙星、氧氟沙星、培氟沙星和洛美沙星）</w:t>
            </w:r>
          </w:p>
        </w:tc>
        <w:tc>
          <w:tcPr>
            <w:tcW w:w="2582" w:type="dxa"/>
            <w:vAlign w:val="center"/>
          </w:tcPr>
          <w:p w14:paraId="1FD72022">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GB/T 20756-2006、</w:t>
            </w:r>
          </w:p>
          <w:p w14:paraId="1B3E10FA">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GB/T 19857-2005、</w:t>
            </w:r>
          </w:p>
          <w:p w14:paraId="23576CB6">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农业部公告第783公告-1-2006、</w:t>
            </w:r>
          </w:p>
          <w:p w14:paraId="063E7AFC">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农业部公告第1077号公告-1-2008</w:t>
            </w:r>
          </w:p>
        </w:tc>
      </w:tr>
      <w:tr w14:paraId="1DCB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16" w:type="dxa"/>
            <w:vAlign w:val="center"/>
          </w:tcPr>
          <w:p w14:paraId="2ED4AC10">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185" w:type="dxa"/>
            <w:vAlign w:val="center"/>
          </w:tcPr>
          <w:p w14:paraId="640078C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豆芽</w:t>
            </w:r>
          </w:p>
        </w:tc>
        <w:tc>
          <w:tcPr>
            <w:tcW w:w="5063" w:type="dxa"/>
            <w:vAlign w:val="center"/>
          </w:tcPr>
          <w:p w14:paraId="2A9B4AFA">
            <w:pPr>
              <w:rPr>
                <w:rStyle w:val="178"/>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赤霉素、6苄基腺漂呤、4氯苯氧乙酸钠等</w:t>
            </w:r>
          </w:p>
        </w:tc>
        <w:tc>
          <w:tcPr>
            <w:tcW w:w="2582" w:type="dxa"/>
            <w:vAlign w:val="center"/>
          </w:tcPr>
          <w:p w14:paraId="4E9600CA">
            <w:pPr>
              <w:pStyle w:val="2"/>
              <w:ind w:firstLine="0" w:firstLineChars="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【国家食品药品监督管理总局 农业部 国家卫生和计划生育委员会关于豆芽生产过程中禁止使用 6-苄基腺嘌呤等物质的公告(2015 年第11 号)要求】。</w:t>
            </w:r>
          </w:p>
        </w:tc>
      </w:tr>
      <w:tr w14:paraId="39E3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16" w:type="dxa"/>
            <w:vAlign w:val="center"/>
          </w:tcPr>
          <w:p w14:paraId="5F4FE81C">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185" w:type="dxa"/>
            <w:vAlign w:val="center"/>
          </w:tcPr>
          <w:p w14:paraId="4B9E60EB">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蜂蜜</w:t>
            </w:r>
          </w:p>
        </w:tc>
        <w:tc>
          <w:tcPr>
            <w:tcW w:w="5063" w:type="dxa"/>
            <w:vAlign w:val="center"/>
          </w:tcPr>
          <w:p w14:paraId="2CC6D592">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氯霉素、氟喹诺酮类（诺氟沙星、氧氟沙星、培氟沙星、洛美沙星）、硝基咪唑类（甲硝唑、地美硝唑）、硝基呋喃类（呋喃西林代谢物、呋喃妥因代谢物、呋喃它酮代谢物、呋喃唑酮代谢物）</w:t>
            </w:r>
          </w:p>
        </w:tc>
        <w:tc>
          <w:tcPr>
            <w:tcW w:w="2582" w:type="dxa"/>
            <w:vAlign w:val="center"/>
          </w:tcPr>
          <w:p w14:paraId="2306027D">
            <w:pPr>
              <w:pStyle w:val="2"/>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农业农村部公告第250号、农业部公告第2292号、GB 31650-2019</w:t>
            </w:r>
          </w:p>
        </w:tc>
      </w:tr>
      <w:tr w14:paraId="037F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16" w:type="dxa"/>
            <w:vAlign w:val="center"/>
          </w:tcPr>
          <w:p w14:paraId="6DA41DDB">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w:t>
            </w:r>
          </w:p>
        </w:tc>
        <w:tc>
          <w:tcPr>
            <w:tcW w:w="1185" w:type="dxa"/>
            <w:vAlign w:val="center"/>
          </w:tcPr>
          <w:p w14:paraId="03F2F505">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风险隐患排查项目</w:t>
            </w:r>
          </w:p>
        </w:tc>
        <w:tc>
          <w:tcPr>
            <w:tcW w:w="5063" w:type="dxa"/>
            <w:vAlign w:val="center"/>
          </w:tcPr>
          <w:p w14:paraId="4E80F83E">
            <w:pPr>
              <w:keepNext w:val="0"/>
              <w:keepLines w:val="0"/>
              <w:widowControl/>
              <w:suppressLineNumbers w:val="0"/>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除检测以上</w:t>
            </w:r>
            <w:r>
              <w:rPr>
                <w:rFonts w:hint="eastAsia" w:ascii="宋体" w:hAnsi="宋体" w:cs="宋体"/>
                <w:color w:val="auto"/>
                <w:kern w:val="0"/>
                <w:sz w:val="22"/>
                <w:szCs w:val="22"/>
                <w:highlight w:val="none"/>
                <w:lang w:val="en-US" w:eastAsia="zh-CN"/>
              </w:rPr>
              <w:t>1-7产品对应的项目，根据需要测农产品重金属：</w:t>
            </w:r>
            <w:r>
              <w:rPr>
                <w:rFonts w:hint="eastAsia" w:ascii="宋体" w:hAnsi="宋体" w:eastAsia="宋体" w:cs="宋体"/>
                <w:color w:val="auto"/>
                <w:kern w:val="0"/>
                <w:sz w:val="21"/>
                <w:szCs w:val="21"/>
                <w:highlight w:val="none"/>
                <w:lang w:val="en-US" w:eastAsia="zh-CN" w:bidi="ar"/>
              </w:rPr>
              <w:t>铁、锌、硒、镉、砷、汞、铅、铬</w:t>
            </w:r>
            <w:r>
              <w:rPr>
                <w:rFonts w:hint="eastAsia" w:ascii="宋体" w:hAnsi="宋体" w:cs="宋体"/>
                <w:color w:val="auto"/>
                <w:kern w:val="0"/>
                <w:sz w:val="21"/>
                <w:szCs w:val="21"/>
                <w:highlight w:val="none"/>
                <w:lang w:val="en-US" w:eastAsia="zh-CN" w:bidi="ar"/>
              </w:rPr>
              <w:t>、铜</w:t>
            </w:r>
            <w:r>
              <w:rPr>
                <w:rFonts w:hint="eastAsia" w:ascii="宋体" w:hAnsi="宋体" w:eastAsia="宋体" w:cs="宋体"/>
                <w:color w:val="auto"/>
                <w:kern w:val="0"/>
                <w:sz w:val="21"/>
                <w:szCs w:val="21"/>
                <w:highlight w:val="none"/>
                <w:lang w:val="en-US" w:eastAsia="zh-CN" w:bidi="ar"/>
              </w:rPr>
              <w:t>。</w:t>
            </w:r>
          </w:p>
        </w:tc>
        <w:tc>
          <w:tcPr>
            <w:tcW w:w="2582" w:type="dxa"/>
            <w:vAlign w:val="center"/>
          </w:tcPr>
          <w:p w14:paraId="6D611180">
            <w:pPr>
              <w:pStyle w:val="2"/>
              <w:ind w:firstLine="0" w:firstLineChars="0"/>
              <w:rPr>
                <w:rFonts w:hint="eastAsia" w:ascii="宋体" w:hAnsi="宋体" w:eastAsia="宋体" w:cs="宋体"/>
                <w:b w:val="0"/>
                <w:bCs w:val="0"/>
                <w:color w:val="auto"/>
                <w:sz w:val="22"/>
                <w:szCs w:val="22"/>
                <w:highlight w:val="none"/>
              </w:rPr>
            </w:pPr>
          </w:p>
        </w:tc>
      </w:tr>
    </w:tbl>
    <w:p w14:paraId="1F8DEFC4">
      <w:pPr>
        <w:spacing w:line="360" w:lineRule="auto"/>
        <w:ind w:firstLine="440" w:firstLineChars="200"/>
        <w:jc w:val="left"/>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rPr>
        <w:t>注:采购方要求按照国家相关标准或上级有关部门规定调整样品的具体检测项目和检测依据时，</w:t>
      </w:r>
      <w:r>
        <w:rPr>
          <w:rFonts w:hint="eastAsia" w:ascii="宋体" w:hAnsi="宋体" w:eastAsia="宋体" w:cs="宋体"/>
          <w:bCs/>
          <w:color w:val="auto"/>
          <w:sz w:val="22"/>
          <w:szCs w:val="22"/>
          <w:highlight w:val="none"/>
        </w:rPr>
        <w:t>供应商应无条件执行。任何</w:t>
      </w:r>
      <w:r>
        <w:rPr>
          <w:rFonts w:hint="eastAsia" w:ascii="宋体" w:hAnsi="宋体" w:eastAsia="宋体" w:cs="宋体"/>
          <w:bCs/>
          <w:color w:val="auto"/>
          <w:sz w:val="22"/>
          <w:szCs w:val="22"/>
          <w:highlight w:val="none"/>
          <w:lang w:val="en-US" w:eastAsia="zh-CN"/>
        </w:rPr>
        <w:t>202</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年</w:t>
      </w:r>
      <w:r>
        <w:rPr>
          <w:rFonts w:hint="eastAsia" w:ascii="宋体" w:hAnsi="宋体" w:eastAsia="宋体" w:cs="宋体"/>
          <w:bCs/>
          <w:color w:val="auto"/>
          <w:sz w:val="22"/>
          <w:szCs w:val="22"/>
          <w:highlight w:val="none"/>
        </w:rPr>
        <w:t>国家相关标准或上级有关部门规定新增的检测项目均视为已包括在本项目检测内容和报价中，供应商在报价时应考虑此因素。豆芽根据需要时增加检测恩诺沙星、诺氟沙星、氧氟沙星、洛美沙星、培氟沙星、沙拉沙星、甲硝唑，但检测报告不加盖CMA或CATL检测章。</w:t>
      </w:r>
      <w:r>
        <w:rPr>
          <w:rFonts w:hint="eastAsia" w:ascii="宋体" w:hAnsi="宋体" w:cs="宋体"/>
          <w:bCs/>
          <w:color w:val="auto"/>
          <w:sz w:val="22"/>
          <w:szCs w:val="22"/>
          <w:highlight w:val="none"/>
          <w:lang w:eastAsia="zh-CN"/>
        </w:rPr>
        <w:t>检测结果全部完成后需提供</w:t>
      </w:r>
      <w:r>
        <w:rPr>
          <w:rFonts w:hint="eastAsia" w:ascii="宋体" w:hAnsi="宋体" w:eastAsia="宋体" w:cs="宋体"/>
          <w:bCs/>
          <w:color w:val="auto"/>
          <w:sz w:val="22"/>
          <w:szCs w:val="22"/>
          <w:highlight w:val="none"/>
        </w:rPr>
        <w:t>检测结果分析</w:t>
      </w:r>
      <w:r>
        <w:rPr>
          <w:rFonts w:hint="eastAsia" w:ascii="宋体" w:hAnsi="宋体" w:eastAsia="宋体" w:cs="宋体"/>
          <w:bCs/>
          <w:color w:val="auto"/>
          <w:sz w:val="22"/>
          <w:szCs w:val="22"/>
          <w:highlight w:val="none"/>
          <w:lang w:eastAsia="zh-CN"/>
        </w:rPr>
        <w:t>评估</w:t>
      </w:r>
      <w:r>
        <w:rPr>
          <w:rFonts w:hint="eastAsia" w:ascii="宋体" w:hAnsi="宋体" w:eastAsia="宋体" w:cs="宋体"/>
          <w:bCs/>
          <w:color w:val="auto"/>
          <w:sz w:val="22"/>
          <w:szCs w:val="22"/>
          <w:highlight w:val="none"/>
        </w:rPr>
        <w:t>报告</w:t>
      </w:r>
      <w:r>
        <w:rPr>
          <w:rFonts w:hint="eastAsia" w:ascii="宋体" w:hAnsi="宋体" w:eastAsia="宋体" w:cs="宋体"/>
          <w:bCs/>
          <w:color w:val="auto"/>
          <w:sz w:val="22"/>
          <w:szCs w:val="22"/>
          <w:highlight w:val="none"/>
          <w:lang w:eastAsia="zh-CN"/>
        </w:rPr>
        <w:t>。</w:t>
      </w:r>
    </w:p>
    <w:p w14:paraId="36142171">
      <w:pPr>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（二）服务要求</w:t>
      </w:r>
    </w:p>
    <w:p w14:paraId="5C7AAD61">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1、服务期限：</w:t>
      </w:r>
      <w:r>
        <w:rPr>
          <w:rFonts w:hint="eastAsia" w:ascii="宋体" w:hAnsi="宋体" w:eastAsia="宋体" w:cs="宋体"/>
          <w:color w:val="auto"/>
          <w:sz w:val="22"/>
          <w:szCs w:val="22"/>
          <w:highlight w:val="none"/>
        </w:rPr>
        <w:t>服务期自202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年1月1日起至</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12月31日止（截止日以实际抽样日期为准）。</w:t>
      </w:r>
    </w:p>
    <w:p w14:paraId="54C9CCCB">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2、抽样保障：</w:t>
      </w:r>
      <w:r>
        <w:rPr>
          <w:rFonts w:hint="eastAsia" w:ascii="宋体" w:hAnsi="宋体" w:eastAsia="宋体" w:cs="宋体"/>
          <w:color w:val="auto"/>
          <w:sz w:val="22"/>
          <w:szCs w:val="22"/>
          <w:highlight w:val="none"/>
        </w:rPr>
        <w:t>供应商需在温州市合理安排抽检人员，以及时满足采购方抽检及售后需求。</w:t>
      </w:r>
      <w:r>
        <w:rPr>
          <w:rFonts w:hint="eastAsia" w:ascii="宋体" w:hAnsi="宋体" w:cs="宋体"/>
          <w:color w:val="auto"/>
          <w:sz w:val="22"/>
          <w:szCs w:val="22"/>
          <w:highlight w:val="none"/>
          <w:lang w:val="en-US" w:eastAsia="zh-CN"/>
        </w:rPr>
        <w:t>同时，</w:t>
      </w:r>
      <w:r>
        <w:rPr>
          <w:rFonts w:hint="eastAsia" w:ascii="宋体" w:hAnsi="宋体" w:eastAsia="宋体" w:cs="宋体"/>
          <w:color w:val="auto"/>
          <w:sz w:val="22"/>
          <w:szCs w:val="22"/>
          <w:highlight w:val="none"/>
        </w:rPr>
        <w:t>根据采购方应急抽检需要，供应商需在收到通知之日起2天内到位开展抽样，当年抽样任务需要当年11月底前完成抽样。投标报价时应考虑全部的风险因素。</w:t>
      </w:r>
    </w:p>
    <w:p w14:paraId="37FD2915">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3、抽样对象：</w:t>
      </w:r>
      <w:r>
        <w:rPr>
          <w:rFonts w:hint="eastAsia" w:ascii="宋体" w:hAnsi="宋体" w:eastAsia="宋体" w:cs="宋体"/>
          <w:color w:val="auto"/>
          <w:sz w:val="22"/>
          <w:szCs w:val="22"/>
          <w:highlight w:val="none"/>
        </w:rPr>
        <w:t>抽样对象由采购方根据工作实际自行确定，供应商应无条件服从采购方的安排开展采样工作。</w:t>
      </w:r>
      <w:r>
        <w:rPr>
          <w:rFonts w:hint="eastAsia" w:ascii="宋体" w:hAnsi="宋体" w:cs="宋体"/>
          <w:color w:val="auto"/>
          <w:sz w:val="22"/>
          <w:szCs w:val="22"/>
          <w:highlight w:val="none"/>
          <w:lang w:eastAsia="zh-CN"/>
        </w:rPr>
        <w:t>风险监测由供应商抽样人员与永嘉县</w:t>
      </w:r>
      <w:r>
        <w:rPr>
          <w:rFonts w:hint="eastAsia" w:ascii="宋体" w:hAnsi="宋体" w:cs="宋体"/>
          <w:color w:val="auto"/>
          <w:sz w:val="22"/>
          <w:szCs w:val="22"/>
          <w:highlight w:val="none"/>
          <w:lang w:val="en-US" w:eastAsia="zh-CN"/>
        </w:rPr>
        <w:t>22个乡镇（街道）农业服务中心工作人员联系，根据县农业农村局安排的任务数到乡镇所在地进行抽样。</w:t>
      </w:r>
      <w:r>
        <w:rPr>
          <w:rFonts w:hint="eastAsia" w:ascii="宋体" w:hAnsi="宋体" w:eastAsia="宋体" w:cs="宋体"/>
          <w:color w:val="auto"/>
          <w:sz w:val="22"/>
          <w:szCs w:val="22"/>
          <w:highlight w:val="none"/>
        </w:rPr>
        <w:t>投标报价时应考虑全部的风险因素。</w:t>
      </w:r>
    </w:p>
    <w:p w14:paraId="021AE210">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4、抽样方法：</w:t>
      </w:r>
      <w:r>
        <w:rPr>
          <w:rFonts w:hint="eastAsia" w:ascii="宋体" w:hAnsi="宋体" w:eastAsia="宋体" w:cs="宋体"/>
          <w:color w:val="auto"/>
          <w:sz w:val="22"/>
          <w:szCs w:val="22"/>
          <w:highlight w:val="none"/>
        </w:rPr>
        <w:t>蔬菜、水果采样按《农药残留分析样本的采样方法》（NY/T 789-2004）执行；猪尿、猪肉、猪肝、羊肉、禽肉、禽蛋等畜禽产品采样按《动物及动物产品兽药残留监控抽样规范》（NY/T 1897-2010）执行；茶叶采样按《茶 取样》（GB/T 8302-2013）执行；水产品采样按照《水产品抽样规范》（GB/T 30891-2014）执行。</w:t>
      </w:r>
    </w:p>
    <w:p w14:paraId="648BEFC0">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5、样品费支付：</w:t>
      </w:r>
      <w:r>
        <w:rPr>
          <w:rFonts w:hint="eastAsia" w:ascii="宋体" w:hAnsi="宋体" w:eastAsia="宋体" w:cs="宋体"/>
          <w:color w:val="auto"/>
          <w:sz w:val="22"/>
          <w:szCs w:val="22"/>
          <w:highlight w:val="none"/>
        </w:rPr>
        <w:t>供应商安排的抽样人员应按规定向被抽检对象支付样品购买费。样品费包含在采够预算金额内，供应商应充分考虑样品的价格差异风险。</w:t>
      </w:r>
    </w:p>
    <w:p w14:paraId="041040F9">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6、样品运输与保存：</w:t>
      </w:r>
      <w:r>
        <w:rPr>
          <w:rFonts w:hint="eastAsia" w:ascii="宋体" w:hAnsi="宋体" w:eastAsia="宋体" w:cs="宋体"/>
          <w:color w:val="auto"/>
          <w:sz w:val="22"/>
          <w:szCs w:val="22"/>
          <w:highlight w:val="none"/>
        </w:rPr>
        <w:t>供应商必须配合采购方做好技术支持，到现场采样、取样，不另收取费用。样品运输与保存均由供应商负责，采样后及时送达供应商实验室进行检验检测，运输过程需采取相应措施，确保样品的新鲜度和安全，不发生影响检验结论的变化。供应商要建立抽检样品的管理规范，应有样品登记、编号等流转记录，配备必要的设备设施，在规定条件下保存备样，确保备样的有效性。对检验结论为不合格的产品，其备样应保留至被抽查农产品生产经营单位不合格后处理工作结束后方可处置。</w:t>
      </w:r>
    </w:p>
    <w:p w14:paraId="14C12D3D">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7、检验及结果报告：</w:t>
      </w:r>
    </w:p>
    <w:p w14:paraId="0B85105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（1）检验实验室：样品必须在投标文件中明确的承担本项目检测的实验室中进行检测。未经采购方同意擅自分包或者转包检验任务的，将取消其检测服务资格。</w:t>
      </w:r>
    </w:p>
    <w:p w14:paraId="24F04C9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检验依据：供应商应按照招标文件规定的技术要求对样品进行检验检测，若同一标准已颁发新标准，则按最新标准执行。对农产品中非法添加其它违禁药物的检测，经采购方同意，可以采用其它法律规定的方检测方法检测残留实测值，以进一步掌握农、兽药非法使用和添加的违法行为。</w:t>
      </w:r>
    </w:p>
    <w:p w14:paraId="2CFF901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（3）结果判定：供应商应根据国家相关标准进行判定检测项目是否合格并出具检测结果，同时要对检测结果进行综合评价和原因分析，完成相应的数据汇总、总结报告等。</w:t>
      </w:r>
    </w:p>
    <w:p w14:paraId="09689DA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出具报告：供应商须在自收到样品之日起10个工作日内出具检测报告，检测合格的报告提交一式二份(经采购方同意，允许以电子版检测报告代替)，检测不合格的报告提交一式三份。出具的检验报告应具有相关执法效力，检验结论不合格的，供应商应当在检验结论作出后2个工作日内报告采购方；检验结论合格的，供应商应当在出具检测报告后3个工作日内报告采购方。供应商出具的抽样单和检验报告盖章落款单位名称必须与其投标时所用单位名称一致，检验报告数据必须真实有效，否则招标人将取消其中标资格，并终止合同及没收履约保证金。</w:t>
      </w:r>
    </w:p>
    <w:p w14:paraId="40B4A12D">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8、样品复检：</w:t>
      </w:r>
      <w:r>
        <w:rPr>
          <w:rFonts w:hint="eastAsia" w:ascii="宋体" w:hAnsi="宋体" w:eastAsia="宋体" w:cs="宋体"/>
          <w:color w:val="auto"/>
          <w:sz w:val="22"/>
          <w:szCs w:val="22"/>
          <w:highlight w:val="none"/>
        </w:rPr>
        <w:t>若需要复检的，应由采购方指定第三方检测机构进行复检，供应商应配合复检机构完成复检，及时做好复检样品交接工作，并承担合理的备样寄送费用。若提交的报告经复检后，更改结果的，由供应商支付并承担相应的复检费用，并记一次不合格。一个季度内不合格累计次数达到2次以上的采购方有权扣除检测费尾款的10%作为处罚。</w:t>
      </w:r>
    </w:p>
    <w:p w14:paraId="598A787E">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9、质量保证：</w:t>
      </w:r>
      <w:r>
        <w:rPr>
          <w:rFonts w:hint="eastAsia" w:ascii="宋体" w:hAnsi="宋体" w:eastAsia="宋体" w:cs="宋体"/>
          <w:color w:val="auto"/>
          <w:sz w:val="22"/>
          <w:szCs w:val="22"/>
          <w:highlight w:val="none"/>
        </w:rPr>
        <w:t>供应商主动向采购人汇报项目进度，及时向采购方提供检验结果分析，全年任务完成后，应向采购方提交年度分析报告。采购方提出查看原始数据的，供应商需2天内提供原始数据供采购方查看。为保证项目质量，采购方有权到承检方实验室现场审查原始数据，也可委派专家人员到供应商实验室审查。</w:t>
      </w:r>
    </w:p>
    <w:p w14:paraId="53BD61B4">
      <w:pPr>
        <w:pStyle w:val="40"/>
        <w:tabs>
          <w:tab w:val="center" w:pos="540"/>
        </w:tabs>
        <w:jc w:val="left"/>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val="0"/>
          <w:bCs w:val="0"/>
          <w:color w:val="auto"/>
          <w:sz w:val="22"/>
          <w:szCs w:val="22"/>
          <w:highlight w:val="none"/>
        </w:rPr>
        <w:t xml:space="preserve">  </w:t>
      </w:r>
      <w:bookmarkStart w:id="12" w:name="_Toc25284"/>
      <w:bookmarkStart w:id="13" w:name="_Toc96954529"/>
      <w:bookmarkStart w:id="14" w:name="_Toc58932704"/>
      <w:r>
        <w:rPr>
          <w:rFonts w:hint="eastAsia" w:ascii="宋体" w:hAnsi="宋体" w:eastAsia="宋体" w:cs="宋体"/>
          <w:b w:val="0"/>
          <w:bCs w:val="0"/>
          <w:color w:val="auto"/>
          <w:sz w:val="22"/>
          <w:szCs w:val="22"/>
          <w:highlight w:val="none"/>
        </w:rPr>
        <w:t>10、</w:t>
      </w:r>
      <w:r>
        <w:rPr>
          <w:rFonts w:hint="eastAsia" w:ascii="宋体" w:hAnsi="宋体" w:eastAsia="宋体" w:cs="宋体"/>
          <w:b/>
          <w:bCs/>
          <w:color w:val="auto"/>
          <w:kern w:val="2"/>
          <w:sz w:val="22"/>
          <w:szCs w:val="22"/>
          <w:highlight w:val="none"/>
          <w:lang w:val="en-US" w:eastAsia="zh-CN" w:bidi="ar-SA"/>
        </w:rPr>
        <w:t>其他事项。</w:t>
      </w:r>
      <w:r>
        <w:rPr>
          <w:rFonts w:hint="eastAsia" w:ascii="宋体" w:hAnsi="宋体" w:eastAsia="宋体" w:cs="宋体"/>
          <w:b w:val="0"/>
          <w:bCs w:val="0"/>
          <w:color w:val="auto"/>
          <w:sz w:val="22"/>
          <w:szCs w:val="22"/>
          <w:highlight w:val="none"/>
        </w:rPr>
        <w:t>供应商需承当采购方的温州市农业农村局抽检样品的运送服务，样品由县农业农村局送达至温州市农产品检验测试中心，全年运送次数在30次以内。投标报价时应考虑全部的风险因素。</w:t>
      </w:r>
      <w:bookmarkEnd w:id="12"/>
      <w:bookmarkEnd w:id="13"/>
      <w:bookmarkEnd w:id="14"/>
    </w:p>
    <w:p w14:paraId="52BF0162">
      <w:pPr>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（三）商务条款</w:t>
      </w:r>
    </w:p>
    <w:p w14:paraId="4D9CA3C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1、供应商需以银行支票/银行转账/银行汇票等形式向采购方缴纳合同价款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%的履约保证金。在服务期限结束并验收合格后10个工作日内，采购方退还供应商全部履约保证金。</w:t>
      </w:r>
    </w:p>
    <w:p w14:paraId="35F33813">
      <w:pPr>
        <w:spacing w:line="360" w:lineRule="auto"/>
        <w:ind w:firstLine="440" w:firstLineChars="200"/>
        <w:rPr>
          <w:rFonts w:hint="eastAsia" w:ascii="宋体" w:hAnsi="宋体" w:eastAsia="宋体" w:cs="宋体"/>
          <w:color w:val="auto"/>
          <w:sz w:val="22"/>
          <w:szCs w:val="22"/>
          <w:highlight w:val="none"/>
        </w:rPr>
      </w:pPr>
      <w:r>
        <w:rPr>
          <w:rFonts w:hint="eastAsia" w:cs="宋体" w:asciiTheme="minorEastAsia" w:hAnsiTheme="minorEastAsia" w:eastAsiaTheme="minorEastAsia"/>
          <w:color w:val="auto"/>
          <w:sz w:val="22"/>
          <w:szCs w:val="22"/>
          <w:highlight w:val="none"/>
        </w:rPr>
        <w:t>2</w:t>
      </w:r>
      <w:r>
        <w:rPr>
          <w:rFonts w:hint="eastAsia" w:cs="宋体" w:asciiTheme="minorEastAsia" w:hAnsiTheme="minorEastAsia" w:eastAsiaTheme="minorEastAsia"/>
          <w:color w:val="auto"/>
          <w:sz w:val="22"/>
          <w:szCs w:val="22"/>
          <w:highlight w:val="none"/>
        </w:rPr>
        <w:t>、</w:t>
      </w:r>
      <w:r>
        <w:rPr>
          <w:rFonts w:hint="eastAsia" w:ascii="宋体" w:hAnsi="宋体" w:eastAsia="宋体" w:cs="宋体"/>
          <w:color w:val="auto"/>
          <w:sz w:val="22"/>
          <w:szCs w:val="22"/>
          <w:highlight w:val="none"/>
        </w:rPr>
        <w:t>在合同签订后7个工作日内支付合同总额的40%（具体以财政部门资金拨付情况而定）。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甲乙双方约定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年8月30日前支付中标价一半检测费，剩余一半检测费于任务结束后结算付清；或完成检测</w:t>
      </w:r>
      <w:r>
        <w:rPr>
          <w:rFonts w:hint="eastAsia" w:ascii="宋体" w:hAnsi="宋体" w:cs="宋体"/>
          <w:color w:val="auto"/>
          <w:sz w:val="22"/>
          <w:szCs w:val="22"/>
          <w:highlight w:val="none"/>
          <w:lang w:val="en-US" w:eastAsia="zh-CN"/>
        </w:rPr>
        <w:t>700</w:t>
      </w:r>
      <w:r>
        <w:rPr>
          <w:rFonts w:hint="eastAsia" w:ascii="宋体" w:hAnsi="宋体" w:eastAsia="宋体" w:cs="宋体"/>
          <w:color w:val="auto"/>
          <w:sz w:val="22"/>
          <w:szCs w:val="22"/>
          <w:highlight w:val="none"/>
        </w:rPr>
        <w:t>批次样品后甲方支付中标价</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%检测费，剩余</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%检测费于任务结束后结算付清</w:t>
      </w:r>
      <w:r>
        <w:rPr>
          <w:rFonts w:hint="eastAsia" w:ascii="宋体" w:hAnsi="宋体" w:eastAsia="宋体" w:cs="宋体"/>
          <w:color w:val="auto"/>
          <w:sz w:val="22"/>
          <w:szCs w:val="22"/>
          <w:highlight w:val="none"/>
          <w:lang w:eastAsia="zh-CN"/>
        </w:rPr>
        <w:t>。最终结算金额为完成检测批次乘以中</w:t>
      </w:r>
      <w:r>
        <w:rPr>
          <w:rFonts w:hint="eastAsia" w:ascii="宋体" w:hAnsi="宋体" w:eastAsia="宋体" w:cs="宋体"/>
          <w:color w:val="auto"/>
          <w:sz w:val="22"/>
          <w:szCs w:val="22"/>
          <w:highlight w:val="none"/>
        </w:rPr>
        <w:t>标单</w:t>
      </w:r>
      <w:r>
        <w:rPr>
          <w:rFonts w:hint="eastAsia" w:ascii="宋体" w:hAnsi="宋体" w:eastAsia="宋体" w:cs="宋体"/>
          <w:color w:val="auto"/>
          <w:sz w:val="22"/>
          <w:szCs w:val="22"/>
          <w:highlight w:val="none"/>
          <w:lang w:eastAsia="zh-CN"/>
        </w:rPr>
        <w:t>批次均</w:t>
      </w:r>
      <w:r>
        <w:rPr>
          <w:rFonts w:hint="eastAsia" w:ascii="宋体" w:hAnsi="宋体" w:eastAsia="宋体" w:cs="宋体"/>
          <w:color w:val="auto"/>
          <w:sz w:val="22"/>
          <w:szCs w:val="22"/>
          <w:highlight w:val="none"/>
        </w:rPr>
        <w:t>价。（根据《浙江省财政厅关于进一步发挥政府采购政策功能全力推动经济稳进提质的通知》（浙财采监[2022]3号）的规定，双方协商决定付款比例，如采购人无法按上述约定期限支付对应款项的，采购人与中标供应商根据实际情况另行协商确定付款时间，中标供应商确认不因采购人延期付款的情形要求采购人承担逾期付款利息等违约责任。）</w:t>
      </w:r>
    </w:p>
    <w:p w14:paraId="04C0154A">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3、采购方因事故调查、应急处置等工作需要，可以增加检验批次数并指定检验项目，供应商应按照有关规定和本合同的约定保质保量地完成检验工作，该增加部分的费用按具体委托增加的检测批次和</w:t>
      </w:r>
      <w:r>
        <w:rPr>
          <w:rFonts w:hint="eastAsia" w:cs="宋体" w:asciiTheme="minorEastAsia" w:hAnsiTheme="minorEastAsia" w:eastAsiaTheme="minorEastAsia"/>
          <w:color w:val="auto"/>
          <w:sz w:val="22"/>
          <w:szCs w:val="22"/>
          <w:highlight w:val="none"/>
          <w:lang w:eastAsia="zh-CN"/>
        </w:rPr>
        <w:t>中</w:t>
      </w:r>
      <w:r>
        <w:rPr>
          <w:rFonts w:hint="eastAsia" w:cs="宋体" w:asciiTheme="minorEastAsia" w:hAnsiTheme="minorEastAsia" w:eastAsiaTheme="minorEastAsia"/>
          <w:color w:val="auto"/>
          <w:sz w:val="22"/>
          <w:szCs w:val="22"/>
          <w:highlight w:val="none"/>
        </w:rPr>
        <w:t>标单</w:t>
      </w:r>
      <w:r>
        <w:rPr>
          <w:rFonts w:hint="eastAsia" w:cs="宋体" w:asciiTheme="minorEastAsia" w:hAnsiTheme="minorEastAsia" w:eastAsiaTheme="minorEastAsia"/>
          <w:color w:val="auto"/>
          <w:sz w:val="22"/>
          <w:szCs w:val="22"/>
          <w:highlight w:val="none"/>
          <w:lang w:eastAsia="zh-CN"/>
        </w:rPr>
        <w:t>批次均</w:t>
      </w:r>
      <w:r>
        <w:rPr>
          <w:rFonts w:hint="eastAsia" w:cs="宋体" w:asciiTheme="minorEastAsia" w:hAnsiTheme="minorEastAsia" w:eastAsiaTheme="minorEastAsia"/>
          <w:color w:val="auto"/>
          <w:sz w:val="22"/>
          <w:szCs w:val="22"/>
          <w:highlight w:val="none"/>
        </w:rPr>
        <w:t>价另行结算。</w:t>
      </w:r>
    </w:p>
    <w:p w14:paraId="7A031523">
      <w:pPr>
        <w:spacing w:line="360" w:lineRule="auto"/>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（四）、其他要求</w:t>
      </w:r>
    </w:p>
    <w:p w14:paraId="601B4C67">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 供应商应保证所受托检测项目能提供计量认证标识，保证检测结果的合法性、科学性、公正性和有效性。</w:t>
      </w:r>
    </w:p>
    <w:p w14:paraId="4BD4C007">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2、保密责任：涉及抽样的全部情况包括数据及结果，供应商必须保密，不得向除采购方外的任何单位与个人透露情况。</w:t>
      </w:r>
    </w:p>
    <w:p w14:paraId="7FBAE443">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失误责任：供应商对检验结果的真实性负责，不得故意隐瞒、修改检验结果，由于虚假、错误检验数据和结论而给被检验人造成损失的，或者给社会带来不良影响的，供应商应当负责赔偿，并承担相应法律责任。</w:t>
      </w:r>
    </w:p>
    <w:p w14:paraId="3D0AAD8A">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 本项目投标以合计总价形式进行报价，合同款按照具体委托检测品种的检测批次和投标批次单价进行结算。</w:t>
      </w:r>
    </w:p>
    <w:p w14:paraId="0224FC70">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5、项目实施过程中项目组负责人发生变动的，需提前通知采购方，更换后的人员专业素质、技术能力及经验等情况不能低于原先水准。如采购方对项目组人员服务能力或态度不满意的，供应商必须及时更换。</w:t>
      </w:r>
    </w:p>
    <w:p w14:paraId="06BE7A0C">
      <w:pPr>
        <w:spacing w:line="360" w:lineRule="auto"/>
        <w:ind w:firstLine="440" w:firstLineChars="200"/>
        <w:rPr>
          <w:rFonts w:hint="eastAsia" w:ascii="宋体" w:eastAsia="宋体"/>
          <w:color w:val="auto"/>
          <w:highlight w:val="none"/>
        </w:rPr>
      </w:pPr>
      <w:r>
        <w:rPr>
          <w:rFonts w:hint="eastAsia" w:cs="宋体" w:asciiTheme="minorEastAsia" w:hAnsiTheme="minorEastAsia" w:eastAsiaTheme="minorEastAsia"/>
          <w:color w:val="auto"/>
          <w:sz w:val="22"/>
          <w:szCs w:val="22"/>
          <w:highlight w:val="none"/>
        </w:rPr>
        <w:t>6、如某一批次或某一品种，供应商无法检测的，必须经采购方同意后委托具有检测能力的第三方检测，费用由供应商承担。未经采购方同意擅自分包或者转包检验任务的，将取消其检测服务资格。</w:t>
      </w:r>
    </w:p>
    <w:p w14:paraId="40A93A5C">
      <w:pPr>
        <w:pStyle w:val="40"/>
        <w:rPr>
          <w:rFonts w:hint="eastAsia" w:ascii="宋体" w:hAnsi="宋体" w:cs="宋体"/>
          <w:color w:val="auto"/>
          <w:sz w:val="30"/>
          <w:szCs w:val="30"/>
          <w:highlight w:val="none"/>
        </w:rPr>
      </w:pPr>
    </w:p>
    <w:p w14:paraId="5C76BAC2">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860652F">
      <w:pPr>
        <w:pStyle w:val="40"/>
        <w:rPr>
          <w:rFonts w:hint="eastAsia" w:ascii="宋体" w:hAnsi="宋体" w:cs="宋体"/>
          <w:color w:val="auto"/>
          <w:sz w:val="30"/>
          <w:szCs w:val="30"/>
          <w:highlight w:val="none"/>
        </w:rPr>
      </w:pPr>
      <w:bookmarkStart w:id="15" w:name="_Toc15919"/>
      <w:r>
        <w:rPr>
          <w:rFonts w:hint="eastAsia" w:ascii="宋体" w:hAnsi="宋体" w:cs="宋体"/>
          <w:color w:val="auto"/>
          <w:sz w:val="30"/>
          <w:szCs w:val="30"/>
          <w:highlight w:val="none"/>
        </w:rPr>
        <w:t>第三部分 供应商须知</w:t>
      </w:r>
      <w:bookmarkEnd w:id="10"/>
      <w:bookmarkEnd w:id="11"/>
      <w:bookmarkEnd w:id="15"/>
    </w:p>
    <w:p w14:paraId="28ABA044">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16" w:name="_Toc461563852"/>
      <w:bookmarkStart w:id="17" w:name="_Toc3034"/>
      <w:r>
        <w:rPr>
          <w:rFonts w:hint="eastAsia" w:ascii="宋体" w:hAnsi="宋体" w:cs="宋体"/>
          <w:b/>
          <w:bCs/>
          <w:color w:val="auto"/>
          <w:sz w:val="28"/>
          <w:szCs w:val="28"/>
          <w:highlight w:val="none"/>
        </w:rPr>
        <w:t>一、说明</w:t>
      </w:r>
      <w:bookmarkEnd w:id="16"/>
      <w:bookmarkEnd w:id="17"/>
    </w:p>
    <w:p w14:paraId="3EC1FBA7">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1、本次采购工作是按照《中华人民共和国政府采购法》、《中华人民共和国政府采购法实施条例》、《政府采购货物和服务招标投标管理办法》及相关法律规章组织和实施。</w:t>
      </w:r>
    </w:p>
    <w:p w14:paraId="7A2F1B2C">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2、供应商必须对全部内容进行投标报价，只对部分内容进行投标报价的供应商将按无效投标处理。</w:t>
      </w:r>
    </w:p>
    <w:p w14:paraId="41F9D582">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3、无论投标过程中的作法和结果如何，供应商自行承担投标活动中所发生的全部费用。</w:t>
      </w:r>
    </w:p>
    <w:p w14:paraId="0F1AC5D8">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14:paraId="5D3259CD">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5、本项目采购预算见采购公告。</w:t>
      </w:r>
    </w:p>
    <w:p w14:paraId="00B2E1B7">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rPr>
        <w:t>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14:paraId="2A03EB07">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7、采用最低评标价法的采购项目，提供相同品牌产品的不同投标供应商参加同一合同项下投标的，以其中通过资格审查、符合性审查且报价最低的参加评标；报价相同的，采取随机抽取方式确定，其他投标无效。</w:t>
      </w:r>
    </w:p>
    <w:p w14:paraId="11A2B298">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011B7A0E">
      <w:pPr>
        <w:widowControl/>
        <w:autoSpaceDE w:val="0"/>
        <w:autoSpaceDN w:val="0"/>
        <w:adjustRightInd w:val="0"/>
        <w:spacing w:line="460" w:lineRule="atLeast"/>
        <w:ind w:firstLine="464" w:firstLineChars="200"/>
        <w:textAlignment w:val="bottom"/>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r>
        <w:rPr>
          <w:rFonts w:hint="eastAsia" w:ascii="宋体" w:hAnsi="宋体" w:cs="宋体"/>
          <w:color w:val="auto"/>
          <w:sz w:val="22"/>
          <w:szCs w:val="22"/>
          <w:highlight w:val="none"/>
        </w:rPr>
        <w:t>。</w:t>
      </w:r>
    </w:p>
    <w:p w14:paraId="2DD30BEF">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8、本项目对符合财政扶持政策的中小企业（小型、微型）、监狱企业、残疾人福利性单位给予价格优惠扶持，执行节能产品政府强制采购和优先采购政策，执行环境标志产品政府优先采购政策；</w:t>
      </w:r>
    </w:p>
    <w:p w14:paraId="1FD41320">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9、“政采金融服务：政采云平台目前为供应商提供政采贷、履约保函、预付款保函等相关金融服务，相关操作帮助及情况介绍见以下链接：https://jinrong.zcygov.cn/finance-service/#/help”。</w:t>
      </w:r>
    </w:p>
    <w:p w14:paraId="666D6114">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10、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0F36EBA0">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14:paraId="6BBA304A">
      <w:pPr>
        <w:widowControl/>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投标供应商代表指全权代表投标供应商参加投标活动并签署投标文件的人。如果投标供应商代表是法定代表人的，仅须提供身份证扫描件；如果投标供应商代表不是法定代表人，须持有《法定代表人授权书》。</w:t>
      </w:r>
    </w:p>
    <w:p w14:paraId="2127C7F6">
      <w:pPr>
        <w:widowControl/>
        <w:autoSpaceDE w:val="0"/>
        <w:autoSpaceDN w:val="0"/>
        <w:adjustRightInd w:val="0"/>
        <w:spacing w:line="460" w:lineRule="atLeast"/>
        <w:ind w:firstLine="420" w:firstLineChars="200"/>
        <w:textAlignment w:val="bottom"/>
        <w:rPr>
          <w:rFonts w:hint="eastAsia" w:ascii="宋体" w:hAnsi="宋体" w:cs="宋体"/>
          <w:color w:val="auto"/>
          <w:highlight w:val="none"/>
        </w:rPr>
      </w:pPr>
      <w:r>
        <w:rPr>
          <w:rFonts w:hint="eastAsia" w:ascii="宋体" w:hAnsi="宋体" w:cs="宋体"/>
          <w:color w:val="auto"/>
          <w:highlight w:val="none"/>
        </w:rPr>
        <w:t>13、</w:t>
      </w:r>
      <w:r>
        <w:rPr>
          <w:rFonts w:hint="eastAsia" w:ascii="宋体" w:hAnsi="宋体" w:cs="宋体"/>
          <w:color w:val="auto"/>
          <w:sz w:val="22"/>
          <w:szCs w:val="22"/>
          <w:highlight w:val="none"/>
        </w:rPr>
        <w:t>《浙江省财政厅关于进一步加大政府采购支持中小企业力度助力扎实稳住经济的通知》（浙财采监（2022）8号）已于2022年7月1日开始实施，此前有关规定与上述文件内容不一致的，按上述文件要求执行。</w:t>
      </w:r>
    </w:p>
    <w:p w14:paraId="2A1359CA">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18" w:name="_Toc461563853"/>
      <w:bookmarkStart w:id="19" w:name="_Toc13701"/>
      <w:r>
        <w:rPr>
          <w:rFonts w:hint="eastAsia" w:ascii="宋体" w:hAnsi="宋体" w:cs="宋体"/>
          <w:b/>
          <w:bCs/>
          <w:color w:val="auto"/>
          <w:sz w:val="28"/>
          <w:szCs w:val="28"/>
          <w:highlight w:val="none"/>
        </w:rPr>
        <w:t>二、供应商资格条件</w:t>
      </w:r>
      <w:bookmarkEnd w:id="18"/>
      <w:bookmarkEnd w:id="19"/>
    </w:p>
    <w:p w14:paraId="4CFDD15D">
      <w:pPr>
        <w:autoSpaceDE w:val="0"/>
        <w:autoSpaceDN w:val="0"/>
        <w:adjustRightInd w:val="0"/>
        <w:spacing w:line="45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按招标公告要求。</w:t>
      </w:r>
    </w:p>
    <w:p w14:paraId="0D4BBD0E">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20" w:name="_Toc13744"/>
      <w:bookmarkStart w:id="21" w:name="_Toc461563854"/>
      <w:r>
        <w:rPr>
          <w:rFonts w:hint="eastAsia" w:ascii="宋体" w:hAnsi="宋体" w:cs="宋体"/>
          <w:b/>
          <w:bCs/>
          <w:color w:val="auto"/>
          <w:sz w:val="28"/>
          <w:szCs w:val="28"/>
          <w:highlight w:val="none"/>
        </w:rPr>
        <w:t>三、招标文件</w:t>
      </w:r>
      <w:bookmarkEnd w:id="20"/>
      <w:bookmarkEnd w:id="21"/>
    </w:p>
    <w:p w14:paraId="6918A0F0">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1、招标文件</w:t>
      </w:r>
    </w:p>
    <w:p w14:paraId="5FCA4F7E">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1.1招标文件约束力</w:t>
      </w:r>
    </w:p>
    <w:p w14:paraId="7E148AEB">
      <w:pPr>
        <w:autoSpaceDE w:val="0"/>
        <w:autoSpaceDN w:val="0"/>
        <w:adjustRightInd w:val="0"/>
        <w:spacing w:line="460" w:lineRule="atLeast"/>
        <w:ind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b/>
          <w:color w:val="auto"/>
          <w:sz w:val="22"/>
          <w:szCs w:val="22"/>
          <w:highlight w:val="none"/>
          <w:u w:val="single"/>
        </w:rPr>
        <w:t>供应商一旦获取了本招标文件并参加投标，即被认为接受了本招标文件中所有条款和规定。</w:t>
      </w:r>
    </w:p>
    <w:p w14:paraId="5D50F936">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1.2招标文件的组成</w:t>
      </w:r>
    </w:p>
    <w:p w14:paraId="6C24F757">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14:paraId="71071562">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2、质疑</w:t>
      </w:r>
    </w:p>
    <w:p w14:paraId="6F9A792F">
      <w:pPr>
        <w:autoSpaceDE w:val="0"/>
        <w:autoSpaceDN w:val="0"/>
        <w:adjustRightInd w:val="0"/>
        <w:spacing w:line="460" w:lineRule="atLeas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2.1供应商认为采购文件、采购过程、中标或者成交结果使自己的权益受到损害的，可以在知道或者应知其权益受到损害之日起7个工作日内，以书面形式（包括信函、传真，下同）或政采云系统向采购人、采购代理机构提出质疑。逾期提出的，采购组织机构将不予受理、答复。</w:t>
      </w:r>
      <w:r>
        <w:rPr>
          <w:rFonts w:hint="eastAsia" w:ascii="宋体" w:hAnsi="宋体" w:cs="宋体"/>
          <w:b/>
          <w:color w:val="auto"/>
          <w:sz w:val="22"/>
          <w:szCs w:val="22"/>
          <w:highlight w:val="none"/>
        </w:rPr>
        <w:t>任何口头答复均不作为投标依据。</w:t>
      </w:r>
    </w:p>
    <w:p w14:paraId="23EDF543">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2.2供应商提出质疑应当提交质疑函和必要的证明材料，质疑函范本请到“浙江政府采购网下载专区”下载，质疑函内容及签署等相关要求请参看《政府采购质疑和投诉办法》相关规定。</w:t>
      </w:r>
    </w:p>
    <w:p w14:paraId="0B8E0C37">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2.3提出质疑的供应商应当是参与本项目招标活动的供应商。供应商在法定质疑期内一次性提出针对同一采购程序环节的质疑。</w:t>
      </w:r>
    </w:p>
    <w:p w14:paraId="040B261B">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2.4根据《政府采购质疑和投诉办法》第三十七条的规定，投诉人在全国范围12个月内三次以上投诉查无实据的，由财政部门列入不良行为记录名单。</w:t>
      </w:r>
    </w:p>
    <w:p w14:paraId="4F81EC20">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3、投诉</w:t>
      </w:r>
    </w:p>
    <w:p w14:paraId="21CB06AE">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72F5A92C">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4、招标文件的澄清或修改</w:t>
      </w:r>
    </w:p>
    <w:p w14:paraId="051AB21B">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采购人或者采购代理机构可以对已发出的采购文件进行必要的澄清或者修改。澄清或者修改在浙江政府采购网上发布公告，同时政采云系统会向所有已按采购文件规定方式获取采购文件的潜在投标供应商发送更正提醒信息，潜在投标供应商请自行到浙江省政府采购网上查看更正（澄清或补充）公告，潜在投标供应商在收到该公告后应于1日内，以书面或传真形式（签署意见并加盖公章）向采购代理机构回函给予确认。过期未回复的，视为默认接受。澄清或者修改的内容为采购文件的组成部分，对所有投标供应商均有约束力。</w:t>
      </w:r>
    </w:p>
    <w:p w14:paraId="095214CD">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78BA8072">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4.3补充、更正文件在浙江政府采购网（http://www.zjzfcg.gov.cn/）予以公告公布。</w:t>
      </w:r>
      <w:bookmarkEnd w:id="1"/>
      <w:r>
        <w:rPr>
          <w:rFonts w:hint="eastAsia" w:ascii="宋体" w:hAnsi="宋体" w:cs="宋体"/>
          <w:b/>
          <w:bCs/>
          <w:color w:val="auto"/>
          <w:sz w:val="22"/>
          <w:szCs w:val="22"/>
          <w:highlight w:val="none"/>
        </w:rPr>
        <w:t>供应商须在开标前一日自行查看是否有补充更正文件，并按补充更正文件要求响应，否则责任自负。</w:t>
      </w:r>
    </w:p>
    <w:p w14:paraId="36B646B7">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22" w:name="_Toc496116252"/>
      <w:bookmarkStart w:id="23" w:name="_Toc24086"/>
      <w:r>
        <w:rPr>
          <w:rFonts w:hint="eastAsia" w:ascii="宋体" w:hAnsi="宋体" w:cs="宋体"/>
          <w:b/>
          <w:bCs/>
          <w:color w:val="auto"/>
          <w:sz w:val="28"/>
          <w:szCs w:val="28"/>
          <w:highlight w:val="none"/>
        </w:rPr>
        <w:t>四、投标文件</w:t>
      </w:r>
      <w:bookmarkEnd w:id="22"/>
      <w:bookmarkEnd w:id="23"/>
    </w:p>
    <w:p w14:paraId="5345D4C9">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14:paraId="4F16C50F">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1.1供应商提交的投标文件以及供应商与采购人就有关投标的所有来往函电均应使用中文。供应商可以提交用其它语言印制的资料，但必须译成中文，在有差异和矛盾时以中文为准。</w:t>
      </w:r>
    </w:p>
    <w:p w14:paraId="346B3943">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1.2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70D9A548">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1.3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FE55FC2">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1.4供应商应仔细阅读招标文件中的所有内容，按照招标文件要求，详细编制投标文件，所有文件资料必须是针对本次投标。不按招标文件的要求提供的投标文件可能导致被拒绝。</w:t>
      </w:r>
    </w:p>
    <w:p w14:paraId="2079CF91">
      <w:pPr>
        <w:autoSpaceDE w:val="0"/>
        <w:autoSpaceDN w:val="0"/>
        <w:adjustRightInd w:val="0"/>
        <w:spacing w:line="460" w:lineRule="atLeas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2、投标文件的组成</w:t>
      </w:r>
    </w:p>
    <w:p w14:paraId="0AE5460E">
      <w:pPr>
        <w:autoSpaceDE w:val="0"/>
        <w:autoSpaceDN w:val="0"/>
        <w:adjustRightInd w:val="0"/>
        <w:spacing w:line="460" w:lineRule="atLeast"/>
        <w:ind w:firstLine="442" w:firstLineChars="200"/>
        <w:rPr>
          <w:rFonts w:hint="eastAsia" w:ascii="宋体" w:hAnsi="宋体" w:cs="宋体"/>
          <w:b/>
          <w:color w:val="auto"/>
          <w:sz w:val="22"/>
          <w:szCs w:val="22"/>
          <w:highlight w:val="none"/>
          <w:lang w:val="zh-CN"/>
        </w:rPr>
      </w:pPr>
      <w:r>
        <w:rPr>
          <w:rFonts w:hint="eastAsia" w:ascii="宋体" w:hAnsi="宋体" w:cs="宋体"/>
          <w:b/>
          <w:bCs/>
          <w:color w:val="auto"/>
          <w:sz w:val="22"/>
          <w:szCs w:val="22"/>
          <w:highlight w:val="none"/>
          <w:u w:val="single"/>
        </w:rPr>
        <w:t>投标文件由资格证明文件、报价文件部分和技术资信部分三部分组成。</w:t>
      </w:r>
    </w:p>
    <w:p w14:paraId="50B96612">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bookmarkStart w:id="24" w:name="_Toc132122115"/>
      <w:bookmarkStart w:id="25" w:name="_Toc132122412"/>
      <w:r>
        <w:rPr>
          <w:rFonts w:hint="eastAsia" w:ascii="宋体" w:hAnsi="宋体" w:cs="宋体"/>
          <w:b/>
          <w:color w:val="auto"/>
          <w:sz w:val="22"/>
          <w:szCs w:val="22"/>
          <w:highlight w:val="none"/>
          <w:u w:val="single"/>
          <w:lang w:val="zh-CN"/>
        </w:rPr>
        <w:t>2.1资格证明文件部分组成</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57"/>
        <w:gridCol w:w="1100"/>
      </w:tblGrid>
      <w:tr w14:paraId="6167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1176A9AC">
            <w:pPr>
              <w:autoSpaceDE w:val="0"/>
              <w:autoSpaceDN w:val="0"/>
              <w:adjustRightInd w:val="0"/>
              <w:snapToGrid w:val="0"/>
              <w:spacing w:line="430" w:lineRule="atLeast"/>
              <w:jc w:val="center"/>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lang w:val="zh-CN"/>
              </w:rPr>
              <w:t>序号</w:t>
            </w:r>
          </w:p>
        </w:tc>
        <w:tc>
          <w:tcPr>
            <w:tcW w:w="4036" w:type="pct"/>
            <w:tcBorders>
              <w:top w:val="single" w:color="auto" w:sz="4" w:space="0"/>
              <w:left w:val="single" w:color="auto" w:sz="4" w:space="0"/>
              <w:bottom w:val="single" w:color="auto" w:sz="4" w:space="0"/>
              <w:right w:val="single" w:color="auto" w:sz="4" w:space="0"/>
            </w:tcBorders>
          </w:tcPr>
          <w:p w14:paraId="0D467B68">
            <w:pPr>
              <w:autoSpaceDE w:val="0"/>
              <w:autoSpaceDN w:val="0"/>
              <w:adjustRightInd w:val="0"/>
              <w:snapToGrid w:val="0"/>
              <w:spacing w:line="430" w:lineRule="atLeast"/>
              <w:jc w:val="center"/>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u w:val="single"/>
                <w:lang w:val="zh-CN"/>
              </w:rPr>
              <w:t>内容（▲以下资格证明文件必须提供，否则不能通过资格审查的，责任自负</w:t>
            </w:r>
            <w:r>
              <w:rPr>
                <w:rFonts w:hint="eastAsia" w:ascii="宋体" w:hAnsi="宋体" w:cs="宋体"/>
                <w:color w:val="auto"/>
                <w:sz w:val="22"/>
                <w:szCs w:val="22"/>
                <w:highlight w:val="none"/>
                <w:lang w:val="zh-CN"/>
              </w:rPr>
              <w:t>）</w:t>
            </w:r>
          </w:p>
        </w:tc>
        <w:tc>
          <w:tcPr>
            <w:tcW w:w="558" w:type="pct"/>
            <w:tcBorders>
              <w:top w:val="single" w:color="auto" w:sz="4" w:space="0"/>
              <w:left w:val="single" w:color="auto" w:sz="4" w:space="0"/>
              <w:bottom w:val="single" w:color="auto" w:sz="4" w:space="0"/>
              <w:right w:val="single" w:color="auto" w:sz="4" w:space="0"/>
            </w:tcBorders>
          </w:tcPr>
          <w:p w14:paraId="514C49C4">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14:paraId="5001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vAlign w:val="center"/>
          </w:tcPr>
          <w:p w14:paraId="53E49138">
            <w:pPr>
              <w:tabs>
                <w:tab w:val="left" w:pos="4140"/>
              </w:tabs>
              <w:adjustRightInd w:val="0"/>
              <w:snapToGrid w:val="0"/>
              <w:spacing w:line="32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w:t>
            </w:r>
          </w:p>
        </w:tc>
        <w:tc>
          <w:tcPr>
            <w:tcW w:w="4036" w:type="pct"/>
            <w:tcBorders>
              <w:top w:val="single" w:color="auto" w:sz="4" w:space="0"/>
              <w:left w:val="single" w:color="auto" w:sz="4" w:space="0"/>
              <w:bottom w:val="single" w:color="auto" w:sz="4" w:space="0"/>
              <w:right w:val="single" w:color="auto" w:sz="4" w:space="0"/>
            </w:tcBorders>
          </w:tcPr>
          <w:p w14:paraId="493456E1">
            <w:pPr>
              <w:tabs>
                <w:tab w:val="left" w:pos="4140"/>
              </w:tabs>
              <w:adjustRightInd w:val="0"/>
              <w:snapToGrid w:val="0"/>
              <w:spacing w:line="320" w:lineRule="atLeas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资格条件承诺函</w:t>
            </w:r>
          </w:p>
        </w:tc>
        <w:tc>
          <w:tcPr>
            <w:tcW w:w="558" w:type="pct"/>
            <w:tcBorders>
              <w:top w:val="single" w:color="auto" w:sz="4" w:space="0"/>
              <w:left w:val="single" w:color="auto" w:sz="4" w:space="0"/>
              <w:bottom w:val="single" w:color="auto" w:sz="4" w:space="0"/>
              <w:right w:val="single" w:color="auto" w:sz="4" w:space="0"/>
            </w:tcBorders>
          </w:tcPr>
          <w:p w14:paraId="3E2BB212">
            <w:pPr>
              <w:tabs>
                <w:tab w:val="left" w:pos="4140"/>
              </w:tabs>
              <w:adjustRightInd w:val="0"/>
              <w:snapToGrid w:val="0"/>
              <w:spacing w:line="320" w:lineRule="atLeas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附件一</w:t>
            </w:r>
          </w:p>
        </w:tc>
      </w:tr>
    </w:tbl>
    <w:p w14:paraId="1688B620">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lang w:val="zh-CN"/>
        </w:rPr>
        <w:t>2.2报价文件部分组成</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14:paraId="5D13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14:paraId="4A6B5FA3">
            <w:pPr>
              <w:autoSpaceDE w:val="0"/>
              <w:autoSpaceDN w:val="0"/>
              <w:adjustRightInd w:val="0"/>
              <w:snapToGrid w:val="0"/>
              <w:spacing w:line="430" w:lineRule="atLeast"/>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序号</w:t>
            </w:r>
          </w:p>
        </w:tc>
        <w:tc>
          <w:tcPr>
            <w:tcW w:w="8080" w:type="dxa"/>
          </w:tcPr>
          <w:p w14:paraId="57AF2E5D">
            <w:pPr>
              <w:autoSpaceDE w:val="0"/>
              <w:autoSpaceDN w:val="0"/>
              <w:adjustRightInd w:val="0"/>
              <w:snapToGrid w:val="0"/>
              <w:spacing w:line="430" w:lineRule="atLeast"/>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内容（▲</w:t>
            </w:r>
            <w:r>
              <w:rPr>
                <w:rFonts w:hint="eastAsia" w:ascii="宋体" w:hAnsi="宋体" w:cs="宋体"/>
                <w:color w:val="auto"/>
                <w:sz w:val="22"/>
                <w:szCs w:val="22"/>
                <w:highlight w:val="none"/>
                <w:u w:val="single"/>
                <w:lang w:val="zh-CN"/>
              </w:rPr>
              <w:t>序号1、</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u w:val="single"/>
                <w:lang w:val="zh-CN"/>
              </w:rPr>
              <w:t>项供应商必须提供，否则不能通过符合性审查的，责任自负</w:t>
            </w:r>
            <w:r>
              <w:rPr>
                <w:rFonts w:hint="eastAsia" w:ascii="宋体" w:hAnsi="宋体" w:cs="宋体"/>
                <w:color w:val="auto"/>
                <w:sz w:val="22"/>
                <w:szCs w:val="22"/>
                <w:highlight w:val="none"/>
                <w:lang w:val="zh-CN"/>
              </w:rPr>
              <w:t>）</w:t>
            </w:r>
          </w:p>
        </w:tc>
        <w:tc>
          <w:tcPr>
            <w:tcW w:w="1099" w:type="dxa"/>
          </w:tcPr>
          <w:p w14:paraId="7E55BC49">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14:paraId="0D16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381590A">
            <w:pPr>
              <w:autoSpaceDE w:val="0"/>
              <w:autoSpaceDN w:val="0"/>
              <w:adjustRightInd w:val="0"/>
              <w:snapToGrid w:val="0"/>
              <w:spacing w:line="430" w:lineRule="atLeast"/>
              <w:jc w:val="center"/>
              <w:rPr>
                <w:rFonts w:hint="eastAsia" w:ascii="宋体" w:hAnsi="宋体" w:cs="宋体"/>
                <w:b/>
                <w:bCs/>
                <w:color w:val="auto"/>
                <w:sz w:val="22"/>
                <w:highlight w:val="none"/>
                <w:lang w:val="zh-CN"/>
              </w:rPr>
            </w:pPr>
            <w:r>
              <w:rPr>
                <w:rFonts w:hint="eastAsia" w:ascii="宋体" w:hAnsi="宋体" w:cs="宋体"/>
                <w:color w:val="auto"/>
                <w:sz w:val="22"/>
                <w:szCs w:val="22"/>
                <w:highlight w:val="none"/>
                <w:lang w:val="zh-CN"/>
              </w:rPr>
              <w:t>1</w:t>
            </w:r>
          </w:p>
        </w:tc>
        <w:tc>
          <w:tcPr>
            <w:tcW w:w="8080" w:type="dxa"/>
          </w:tcPr>
          <w:p w14:paraId="106218FC">
            <w:pPr>
              <w:autoSpaceDE w:val="0"/>
              <w:autoSpaceDN w:val="0"/>
              <w:adjustRightInd w:val="0"/>
              <w:spacing w:line="430" w:lineRule="atLeast"/>
              <w:textAlignment w:val="bottom"/>
              <w:rPr>
                <w:rFonts w:hint="eastAsia" w:ascii="宋体" w:hAnsi="宋体" w:cs="宋体"/>
                <w:b/>
                <w:bCs/>
                <w:color w:val="auto"/>
                <w:sz w:val="22"/>
                <w:highlight w:val="none"/>
              </w:rPr>
            </w:pPr>
            <w:r>
              <w:rPr>
                <w:rFonts w:hint="eastAsia" w:ascii="宋体" w:hAnsi="宋体" w:cs="宋体"/>
                <w:color w:val="auto"/>
                <w:sz w:val="22"/>
                <w:szCs w:val="22"/>
                <w:highlight w:val="none"/>
              </w:rPr>
              <w:t>报价一览表</w:t>
            </w:r>
          </w:p>
        </w:tc>
        <w:tc>
          <w:tcPr>
            <w:tcW w:w="1099" w:type="dxa"/>
          </w:tcPr>
          <w:p w14:paraId="6AF73923">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二</w:t>
            </w:r>
          </w:p>
        </w:tc>
      </w:tr>
      <w:tr w14:paraId="3D49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4F57B13">
            <w:pPr>
              <w:autoSpaceDE w:val="0"/>
              <w:autoSpaceDN w:val="0"/>
              <w:adjustRightInd w:val="0"/>
              <w:snapToGrid w:val="0"/>
              <w:spacing w:line="430" w:lineRule="atLeas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8080" w:type="dxa"/>
          </w:tcPr>
          <w:p w14:paraId="4279ABED">
            <w:pPr>
              <w:autoSpaceDE w:val="0"/>
              <w:autoSpaceDN w:val="0"/>
              <w:adjustRightInd w:val="0"/>
              <w:spacing w:line="430" w:lineRule="atLeast"/>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分项报价表</w:t>
            </w:r>
          </w:p>
        </w:tc>
        <w:tc>
          <w:tcPr>
            <w:tcW w:w="1099" w:type="dxa"/>
          </w:tcPr>
          <w:p w14:paraId="7EA3ECD6">
            <w:pPr>
              <w:autoSpaceDE w:val="0"/>
              <w:autoSpaceDN w:val="0"/>
              <w:adjustRightInd w:val="0"/>
              <w:spacing w:line="430" w:lineRule="atLeast"/>
              <w:jc w:val="center"/>
              <w:textAlignment w:val="bottom"/>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三</w:t>
            </w:r>
          </w:p>
        </w:tc>
      </w:tr>
      <w:tr w14:paraId="4646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5F2ABB">
            <w:pPr>
              <w:autoSpaceDE w:val="0"/>
              <w:autoSpaceDN w:val="0"/>
              <w:adjustRightInd w:val="0"/>
              <w:snapToGrid w:val="0"/>
              <w:spacing w:line="430" w:lineRule="atLeast"/>
              <w:jc w:val="center"/>
              <w:rPr>
                <w:rFonts w:hint="eastAsia" w:ascii="宋体" w:hAnsi="宋体" w:eastAsia="宋体" w:cs="宋体"/>
                <w:bCs/>
                <w:color w:val="auto"/>
                <w:sz w:val="22"/>
                <w:szCs w:val="22"/>
                <w:highlight w:val="none"/>
                <w:lang w:val="en-US" w:eastAsia="zh-CN"/>
              </w:rPr>
            </w:pPr>
            <w:bookmarkStart w:id="26" w:name="_Toc132122113"/>
            <w:bookmarkStart w:id="27" w:name="_Toc132122410"/>
            <w:r>
              <w:rPr>
                <w:rFonts w:hint="eastAsia" w:ascii="宋体" w:hAnsi="宋体" w:cs="宋体"/>
                <w:bCs/>
                <w:color w:val="auto"/>
                <w:sz w:val="22"/>
                <w:szCs w:val="22"/>
                <w:highlight w:val="none"/>
                <w:lang w:val="en-US" w:eastAsia="zh-CN"/>
              </w:rPr>
              <w:t>3</w:t>
            </w:r>
          </w:p>
        </w:tc>
        <w:tc>
          <w:tcPr>
            <w:tcW w:w="8080" w:type="dxa"/>
          </w:tcPr>
          <w:p w14:paraId="7E691463">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享受小微企业（含监狱企业、残疾人福利性单位）价格折扣须按供应商单位性质提供以下相关的证明材料：</w:t>
            </w:r>
          </w:p>
          <w:p w14:paraId="5ABE3B38">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（1）《中小企业声明函》（原件，加盖供应商公章，格式见招标文件第四部分）</w:t>
            </w:r>
          </w:p>
          <w:p w14:paraId="2E77CFAB">
            <w:pPr>
              <w:autoSpaceDE w:val="0"/>
              <w:autoSpaceDN w:val="0"/>
              <w:adjustRightInd w:val="0"/>
              <w:snapToGrid w:val="0"/>
              <w:spacing w:line="430" w:lineRule="atLeast"/>
              <w:rPr>
                <w:rFonts w:cs="宋体" w:asciiTheme="majorEastAsia" w:hAnsiTheme="majorEastAsia" w:eastAsiaTheme="majorEastAsia"/>
                <w:color w:val="auto"/>
                <w:sz w:val="22"/>
                <w:highlight w:val="none"/>
              </w:rPr>
            </w:pPr>
            <w:r>
              <w:rPr>
                <w:rFonts w:hint="eastAsia" w:cs="宋体" w:asciiTheme="majorEastAsia" w:hAnsiTheme="majorEastAsia" w:eastAsiaTheme="majorEastAsia"/>
                <w:color w:val="auto"/>
                <w:sz w:val="22"/>
                <w:szCs w:val="22"/>
                <w:highlight w:val="none"/>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14:paraId="62AA94AA">
            <w:pPr>
              <w:autoSpaceDE w:val="0"/>
              <w:autoSpaceDN w:val="0"/>
              <w:adjustRightInd w:val="0"/>
              <w:spacing w:line="430" w:lineRule="atLeast"/>
              <w:textAlignment w:val="bottom"/>
              <w:rPr>
                <w:rFonts w:hint="eastAsia" w:ascii="宋体" w:hAnsi="宋体" w:cs="宋体"/>
                <w:bCs/>
                <w:color w:val="auto"/>
                <w:sz w:val="22"/>
                <w:szCs w:val="22"/>
                <w:highlight w:val="none"/>
                <w:lang w:val="zh-CN"/>
              </w:rPr>
            </w:pPr>
            <w:r>
              <w:rPr>
                <w:rFonts w:hint="eastAsia" w:cs="宋体" w:asciiTheme="majorEastAsia" w:hAnsiTheme="majorEastAsia" w:eastAsiaTheme="majorEastAsia"/>
                <w:color w:val="auto"/>
                <w:sz w:val="22"/>
                <w:szCs w:val="22"/>
                <w:highlight w:val="none"/>
              </w:rPr>
              <w:t>（3）残疾人福利性单位声明函（原件，加盖供应商公章，格式见招标文件第四部分）在政府采购活动中，残疾人福利性单位视同小型、微型企业，享受评审中价格扣除政策。</w:t>
            </w:r>
          </w:p>
        </w:tc>
        <w:tc>
          <w:tcPr>
            <w:tcW w:w="1099" w:type="dxa"/>
          </w:tcPr>
          <w:p w14:paraId="7D98EDDE">
            <w:pPr>
              <w:autoSpaceDE w:val="0"/>
              <w:autoSpaceDN w:val="0"/>
              <w:adjustRightInd w:val="0"/>
              <w:spacing w:line="430" w:lineRule="atLeast"/>
              <w:jc w:val="center"/>
              <w:textAlignment w:val="bottom"/>
              <w:rPr>
                <w:rFonts w:hint="eastAsia" w:ascii="宋体" w:hAnsi="宋体" w:cs="宋体"/>
                <w:color w:val="auto"/>
                <w:sz w:val="22"/>
                <w:szCs w:val="22"/>
                <w:highlight w:val="none"/>
              </w:rPr>
            </w:pPr>
          </w:p>
        </w:tc>
      </w:tr>
    </w:tbl>
    <w:p w14:paraId="586B959B">
      <w:pPr>
        <w:autoSpaceDE w:val="0"/>
        <w:autoSpaceDN w:val="0"/>
        <w:adjustRightInd w:val="0"/>
        <w:spacing w:line="450" w:lineRule="atLeast"/>
        <w:ind w:firstLine="442" w:firstLineChars="200"/>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lang w:val="zh-CN"/>
        </w:rPr>
        <w:t>2.3商务技术文件部分组成</w:t>
      </w:r>
    </w:p>
    <w:bookmarkEnd w:id="26"/>
    <w:bookmarkEnd w:id="27"/>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8"/>
        <w:gridCol w:w="7342"/>
        <w:gridCol w:w="1099"/>
      </w:tblGrid>
      <w:tr w14:paraId="053DF9DE">
        <w:tblPrEx>
          <w:tblCellMar>
            <w:top w:w="0" w:type="dxa"/>
            <w:left w:w="108" w:type="dxa"/>
            <w:bottom w:w="0" w:type="dxa"/>
            <w:right w:w="108" w:type="dxa"/>
          </w:tblCellMar>
        </w:tblPrEx>
        <w:tc>
          <w:tcPr>
            <w:tcW w:w="1413" w:type="dxa"/>
            <w:gridSpan w:val="2"/>
          </w:tcPr>
          <w:p w14:paraId="004B81BE">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序号</w:t>
            </w:r>
          </w:p>
        </w:tc>
        <w:tc>
          <w:tcPr>
            <w:tcW w:w="7342" w:type="dxa"/>
          </w:tcPr>
          <w:p w14:paraId="37F3A5E9">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内容</w:t>
            </w:r>
          </w:p>
        </w:tc>
        <w:tc>
          <w:tcPr>
            <w:tcW w:w="1099" w:type="dxa"/>
          </w:tcPr>
          <w:p w14:paraId="276D1DD6">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备注</w:t>
            </w:r>
          </w:p>
        </w:tc>
      </w:tr>
      <w:tr w14:paraId="5174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14:paraId="2164A7C3">
            <w:pPr>
              <w:autoSpaceDE w:val="0"/>
              <w:autoSpaceDN w:val="0"/>
              <w:adjustRightInd w:val="0"/>
              <w:snapToGrid w:val="0"/>
              <w:spacing w:line="430" w:lineRule="atLeast"/>
              <w:rPr>
                <w:rFonts w:hint="eastAsia" w:ascii="宋体" w:hAnsi="宋体" w:cs="宋体"/>
                <w:b/>
                <w:color w:val="auto"/>
                <w:sz w:val="22"/>
                <w:highlight w:val="none"/>
                <w:lang w:val="zh-CN"/>
              </w:rPr>
            </w:pPr>
            <w:r>
              <w:rPr>
                <w:rFonts w:hint="eastAsia" w:ascii="宋体" w:hAnsi="宋体" w:cs="宋体"/>
                <w:color w:val="auto"/>
                <w:sz w:val="22"/>
                <w:szCs w:val="22"/>
                <w:highlight w:val="none"/>
                <w:lang w:val="zh-CN"/>
              </w:rPr>
              <w:t>资信部分（▲</w:t>
            </w:r>
            <w:r>
              <w:rPr>
                <w:rFonts w:hint="eastAsia" w:ascii="宋体" w:hAnsi="宋体" w:cs="宋体"/>
                <w:color w:val="auto"/>
                <w:sz w:val="22"/>
                <w:szCs w:val="22"/>
                <w:highlight w:val="none"/>
                <w:u w:val="single"/>
                <w:lang w:val="zh-CN"/>
              </w:rPr>
              <w:t>序号1-</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lang w:val="zh-CN"/>
              </w:rPr>
              <w:t>项供应商必须提供，否则不能通过符合性审查的，责任自负。</w:t>
            </w:r>
            <w:r>
              <w:rPr>
                <w:rFonts w:hint="eastAsia" w:ascii="宋体" w:hAnsi="宋体" w:cs="宋体"/>
                <w:color w:val="auto"/>
                <w:sz w:val="22"/>
                <w:szCs w:val="22"/>
                <w:highlight w:val="none"/>
                <w:lang w:val="zh-CN"/>
              </w:rPr>
              <w:t>）</w:t>
            </w:r>
          </w:p>
        </w:tc>
        <w:tc>
          <w:tcPr>
            <w:tcW w:w="1099" w:type="dxa"/>
          </w:tcPr>
          <w:p w14:paraId="4B22928B">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p>
        </w:tc>
      </w:tr>
      <w:tr w14:paraId="147C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14:paraId="31D62819">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1</w:t>
            </w:r>
          </w:p>
        </w:tc>
        <w:tc>
          <w:tcPr>
            <w:tcW w:w="8080" w:type="dxa"/>
            <w:gridSpan w:val="2"/>
          </w:tcPr>
          <w:p w14:paraId="357E4400">
            <w:pPr>
              <w:autoSpaceDE w:val="0"/>
              <w:autoSpaceDN w:val="0"/>
              <w:adjustRightInd w:val="0"/>
              <w:snapToGrid w:val="0"/>
              <w:spacing w:line="430" w:lineRule="atLeast"/>
              <w:rPr>
                <w:rFonts w:hint="eastAsia" w:ascii="宋体" w:hAnsi="宋体" w:cs="宋体"/>
                <w:b/>
                <w:color w:val="auto"/>
                <w:sz w:val="22"/>
                <w:highlight w:val="none"/>
                <w:lang w:val="zh-CN"/>
              </w:rPr>
            </w:pPr>
            <w:r>
              <w:rPr>
                <w:rFonts w:hint="eastAsia" w:ascii="宋体" w:hAnsi="宋体" w:cs="宋体"/>
                <w:color w:val="auto"/>
                <w:sz w:val="22"/>
                <w:szCs w:val="22"/>
                <w:highlight w:val="none"/>
              </w:rPr>
              <w:t>投标函</w:t>
            </w:r>
          </w:p>
        </w:tc>
        <w:tc>
          <w:tcPr>
            <w:tcW w:w="1099" w:type="dxa"/>
          </w:tcPr>
          <w:p w14:paraId="75857547">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四</w:t>
            </w:r>
          </w:p>
        </w:tc>
      </w:tr>
      <w:tr w14:paraId="7EB2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13A0463">
            <w:pPr>
              <w:autoSpaceDE w:val="0"/>
              <w:autoSpaceDN w:val="0"/>
              <w:adjustRightInd w:val="0"/>
              <w:snapToGrid w:val="0"/>
              <w:spacing w:line="430" w:lineRule="atLeast"/>
              <w:jc w:val="center"/>
              <w:rPr>
                <w:rFonts w:hint="eastAsia" w:ascii="宋体" w:hAnsi="宋体" w:cs="宋体"/>
                <w:b/>
                <w:color w:val="auto"/>
                <w:sz w:val="22"/>
                <w:highlight w:val="none"/>
              </w:rPr>
            </w:pPr>
            <w:r>
              <w:rPr>
                <w:rFonts w:hint="eastAsia" w:ascii="宋体" w:hAnsi="宋体" w:cs="宋体"/>
                <w:color w:val="auto"/>
                <w:sz w:val="22"/>
                <w:szCs w:val="22"/>
                <w:highlight w:val="none"/>
              </w:rPr>
              <w:t>2</w:t>
            </w:r>
          </w:p>
        </w:tc>
        <w:tc>
          <w:tcPr>
            <w:tcW w:w="8080" w:type="dxa"/>
            <w:gridSpan w:val="2"/>
          </w:tcPr>
          <w:p w14:paraId="70AB0767">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法定代表人诚信投标承诺书</w:t>
            </w:r>
          </w:p>
        </w:tc>
        <w:tc>
          <w:tcPr>
            <w:tcW w:w="1099" w:type="dxa"/>
          </w:tcPr>
          <w:p w14:paraId="78C9FEC0">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五</w:t>
            </w:r>
          </w:p>
        </w:tc>
      </w:tr>
      <w:tr w14:paraId="7EDF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7254DE8E">
            <w:pPr>
              <w:autoSpaceDE w:val="0"/>
              <w:autoSpaceDN w:val="0"/>
              <w:adjustRightInd w:val="0"/>
              <w:snapToGrid w:val="0"/>
              <w:spacing w:line="430" w:lineRule="atLeast"/>
              <w:jc w:val="center"/>
              <w:rPr>
                <w:rFonts w:hint="eastAsia" w:ascii="宋体" w:hAnsi="宋体" w:eastAsia="宋体" w:cs="宋体"/>
                <w:b/>
                <w:color w:val="auto"/>
                <w:kern w:val="2"/>
                <w:sz w:val="22"/>
                <w:szCs w:val="24"/>
                <w:highlight w:val="none"/>
                <w:lang w:val="en-US" w:eastAsia="zh-CN" w:bidi="ar-SA"/>
              </w:rPr>
            </w:pPr>
            <w:r>
              <w:rPr>
                <w:rFonts w:hint="eastAsia" w:ascii="宋体" w:hAnsi="宋体" w:cs="宋体"/>
                <w:color w:val="auto"/>
                <w:sz w:val="22"/>
                <w:szCs w:val="22"/>
                <w:highlight w:val="none"/>
              </w:rPr>
              <w:t>3</w:t>
            </w:r>
          </w:p>
        </w:tc>
        <w:tc>
          <w:tcPr>
            <w:tcW w:w="8080" w:type="dxa"/>
            <w:gridSpan w:val="2"/>
            <w:vAlign w:val="top"/>
          </w:tcPr>
          <w:p w14:paraId="1D571652">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供应商法定代表人授权书（</w:t>
            </w:r>
            <w:r>
              <w:rPr>
                <w:rFonts w:hint="eastAsia" w:cs="宋体" w:asciiTheme="majorEastAsia" w:hAnsiTheme="majorEastAsia" w:eastAsiaTheme="majorEastAsia"/>
                <w:color w:val="auto"/>
                <w:sz w:val="22"/>
                <w:szCs w:val="22"/>
                <w:highlight w:val="none"/>
              </w:rPr>
              <w:t>如果投标供应商代表是法定代表人的，仅</w:t>
            </w:r>
            <w:r>
              <w:rPr>
                <w:rFonts w:hint="eastAsia" w:cs="宋体" w:asciiTheme="majorEastAsia" w:hAnsiTheme="majorEastAsia" w:eastAsiaTheme="majorEastAsia"/>
                <w:color w:val="auto"/>
                <w:sz w:val="22"/>
                <w:szCs w:val="22"/>
                <w:highlight w:val="none"/>
                <w:lang w:eastAsia="zh-CN"/>
              </w:rPr>
              <w:t>需</w:t>
            </w:r>
            <w:r>
              <w:rPr>
                <w:rFonts w:hint="eastAsia" w:cs="宋体" w:asciiTheme="majorEastAsia" w:hAnsiTheme="majorEastAsia" w:eastAsiaTheme="majorEastAsia"/>
                <w:color w:val="auto"/>
                <w:sz w:val="22"/>
                <w:szCs w:val="22"/>
                <w:highlight w:val="none"/>
              </w:rPr>
              <w:t>提供身份证扫描件；如果投标供应商代表不是法定代表人，须持有《法定代表人授权书》</w:t>
            </w:r>
          </w:p>
        </w:tc>
        <w:tc>
          <w:tcPr>
            <w:tcW w:w="1099" w:type="dxa"/>
          </w:tcPr>
          <w:p w14:paraId="110AA5F9">
            <w:pPr>
              <w:autoSpaceDE w:val="0"/>
              <w:autoSpaceDN w:val="0"/>
              <w:adjustRightInd w:val="0"/>
              <w:snapToGrid w:val="0"/>
              <w:spacing w:line="430" w:lineRule="atLeas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附件六</w:t>
            </w:r>
          </w:p>
        </w:tc>
      </w:tr>
      <w:tr w14:paraId="7261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31801F78">
            <w:pPr>
              <w:autoSpaceDE w:val="0"/>
              <w:autoSpaceDN w:val="0"/>
              <w:adjustRightInd w:val="0"/>
              <w:snapToGrid w:val="0"/>
              <w:spacing w:line="430" w:lineRule="atLeast"/>
              <w:jc w:val="center"/>
              <w:rPr>
                <w:rFonts w:hint="eastAsia" w:ascii="宋体" w:hAnsi="宋体" w:eastAsia="宋体" w:cs="宋体"/>
                <w:b/>
                <w:color w:val="auto"/>
                <w:kern w:val="2"/>
                <w:sz w:val="22"/>
                <w:szCs w:val="24"/>
                <w:highlight w:val="none"/>
                <w:lang w:val="en-US" w:eastAsia="zh-CN" w:bidi="ar-SA"/>
              </w:rPr>
            </w:pPr>
            <w:r>
              <w:rPr>
                <w:rFonts w:hint="eastAsia" w:ascii="宋体" w:hAnsi="宋体" w:cs="宋体"/>
                <w:color w:val="auto"/>
                <w:sz w:val="22"/>
                <w:szCs w:val="22"/>
                <w:highlight w:val="none"/>
              </w:rPr>
              <w:t>4</w:t>
            </w:r>
          </w:p>
        </w:tc>
        <w:tc>
          <w:tcPr>
            <w:tcW w:w="8080" w:type="dxa"/>
            <w:gridSpan w:val="2"/>
            <w:vAlign w:val="top"/>
          </w:tcPr>
          <w:p w14:paraId="6F10C2B8">
            <w:pPr>
              <w:autoSpaceDE w:val="0"/>
              <w:autoSpaceDN w:val="0"/>
              <w:adjustRightInd w:val="0"/>
              <w:snapToGrid w:val="0"/>
              <w:spacing w:line="43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投标供应商的营业执照（或事业法人登记证书或</w:t>
            </w:r>
            <w:r>
              <w:rPr>
                <w:rFonts w:hint="eastAsia" w:ascii="宋体" w:hAnsi="宋体" w:cs="宋体"/>
                <w:color w:val="auto"/>
                <w:sz w:val="22"/>
                <w:szCs w:val="22"/>
                <w:highlight w:val="none"/>
                <w:lang w:eastAsia="zh-CN"/>
              </w:rPr>
              <w:t>其他</w:t>
            </w:r>
            <w:r>
              <w:rPr>
                <w:rFonts w:hint="eastAsia" w:ascii="宋体" w:hAnsi="宋体" w:cs="宋体"/>
                <w:color w:val="auto"/>
                <w:sz w:val="22"/>
                <w:szCs w:val="22"/>
                <w:highlight w:val="none"/>
              </w:rPr>
              <w:t>工商等登记证明材料）、税务登记证（如为多证合一仅需提供营业执照（或事业法人登记证书或</w:t>
            </w:r>
            <w:r>
              <w:rPr>
                <w:rFonts w:hint="eastAsia" w:ascii="宋体" w:hAnsi="宋体" w:cs="宋体"/>
                <w:color w:val="auto"/>
                <w:sz w:val="22"/>
                <w:szCs w:val="22"/>
                <w:highlight w:val="none"/>
                <w:lang w:eastAsia="zh-CN"/>
              </w:rPr>
              <w:t>其他</w:t>
            </w:r>
            <w:r>
              <w:rPr>
                <w:rFonts w:hint="eastAsia" w:ascii="宋体" w:hAnsi="宋体" w:cs="宋体"/>
                <w:color w:val="auto"/>
                <w:sz w:val="22"/>
                <w:szCs w:val="22"/>
                <w:highlight w:val="none"/>
              </w:rPr>
              <w:t>工商等登记证明材料），扫描件加盖公章）</w:t>
            </w:r>
          </w:p>
        </w:tc>
        <w:tc>
          <w:tcPr>
            <w:tcW w:w="1099" w:type="dxa"/>
          </w:tcPr>
          <w:p w14:paraId="7A75F4C1">
            <w:pPr>
              <w:autoSpaceDE w:val="0"/>
              <w:autoSpaceDN w:val="0"/>
              <w:adjustRightInd w:val="0"/>
              <w:snapToGrid w:val="0"/>
              <w:spacing w:line="430" w:lineRule="atLeast"/>
              <w:jc w:val="center"/>
              <w:rPr>
                <w:rFonts w:hint="eastAsia" w:ascii="宋体" w:hAnsi="宋体" w:cs="宋体"/>
                <w:color w:val="auto"/>
                <w:sz w:val="22"/>
                <w:szCs w:val="22"/>
                <w:highlight w:val="none"/>
                <w:lang w:val="en-US" w:eastAsia="zh-CN"/>
              </w:rPr>
            </w:pPr>
          </w:p>
        </w:tc>
      </w:tr>
      <w:tr w14:paraId="0A7B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4F77A8A7">
            <w:pPr>
              <w:autoSpaceDE w:val="0"/>
              <w:autoSpaceDN w:val="0"/>
              <w:adjustRightInd w:val="0"/>
              <w:snapToGrid w:val="0"/>
              <w:spacing w:line="430" w:lineRule="atLeast"/>
              <w:jc w:val="center"/>
              <w:rPr>
                <w:rFonts w:hint="eastAsia" w:ascii="宋体" w:hAnsi="宋体" w:eastAsia="宋体" w:cs="宋体"/>
                <w:b/>
                <w:color w:val="auto"/>
                <w:kern w:val="2"/>
                <w:sz w:val="22"/>
                <w:szCs w:val="24"/>
                <w:highlight w:val="none"/>
                <w:lang w:val="en-US" w:eastAsia="zh-CN" w:bidi="ar-SA"/>
              </w:rPr>
            </w:pPr>
            <w:r>
              <w:rPr>
                <w:rFonts w:hint="eastAsia" w:ascii="宋体" w:hAnsi="宋体" w:cs="宋体"/>
                <w:color w:val="auto"/>
                <w:sz w:val="22"/>
                <w:szCs w:val="22"/>
                <w:highlight w:val="none"/>
              </w:rPr>
              <w:t>5</w:t>
            </w:r>
          </w:p>
        </w:tc>
        <w:tc>
          <w:tcPr>
            <w:tcW w:w="8080" w:type="dxa"/>
            <w:gridSpan w:val="2"/>
          </w:tcPr>
          <w:p w14:paraId="687D5A7F">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供应商相关资质、资信或信用证书、获奖证书等（如有则提供，扫描件加盖有效公章）</w:t>
            </w:r>
          </w:p>
        </w:tc>
        <w:tc>
          <w:tcPr>
            <w:tcW w:w="1099" w:type="dxa"/>
          </w:tcPr>
          <w:p w14:paraId="6D6F15EB">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1C76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1664DB">
            <w:pPr>
              <w:autoSpaceDE w:val="0"/>
              <w:autoSpaceDN w:val="0"/>
              <w:adjustRightInd w:val="0"/>
              <w:snapToGrid w:val="0"/>
              <w:spacing w:line="430" w:lineRule="atLeast"/>
              <w:jc w:val="center"/>
              <w:rPr>
                <w:rFonts w:hint="eastAsia" w:ascii="宋体" w:hAnsi="宋体" w:eastAsia="宋体" w:cs="宋体"/>
                <w:b w:val="0"/>
                <w:bCs/>
                <w:color w:val="auto"/>
                <w:sz w:val="22"/>
                <w:highlight w:val="none"/>
                <w:lang w:val="en-US" w:eastAsia="zh-CN"/>
              </w:rPr>
            </w:pPr>
            <w:r>
              <w:rPr>
                <w:rFonts w:hint="eastAsia" w:ascii="宋体" w:hAnsi="宋体" w:cs="宋体"/>
                <w:b w:val="0"/>
                <w:bCs/>
                <w:color w:val="auto"/>
                <w:sz w:val="22"/>
                <w:highlight w:val="none"/>
                <w:lang w:val="en-US" w:eastAsia="zh-CN"/>
              </w:rPr>
              <w:t>6</w:t>
            </w:r>
          </w:p>
        </w:tc>
        <w:tc>
          <w:tcPr>
            <w:tcW w:w="8080" w:type="dxa"/>
            <w:gridSpan w:val="2"/>
          </w:tcPr>
          <w:p w14:paraId="764FBC61">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rPr>
              <w:t>类似业绩（如有，具体以评分细则中的要求为准）</w:t>
            </w:r>
          </w:p>
        </w:tc>
        <w:tc>
          <w:tcPr>
            <w:tcW w:w="1099" w:type="dxa"/>
          </w:tcPr>
          <w:p w14:paraId="75FADDDD">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七</w:t>
            </w:r>
          </w:p>
        </w:tc>
      </w:tr>
      <w:tr w14:paraId="5973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4CA6256">
            <w:pPr>
              <w:autoSpaceDE w:val="0"/>
              <w:autoSpaceDN w:val="0"/>
              <w:adjustRightInd w:val="0"/>
              <w:snapToGrid w:val="0"/>
              <w:spacing w:line="430" w:lineRule="atLeast"/>
              <w:jc w:val="center"/>
              <w:rPr>
                <w:rFonts w:hint="eastAsia" w:ascii="宋体" w:hAnsi="宋体" w:eastAsia="宋体" w:cs="宋体"/>
                <w:b w:val="0"/>
                <w:bCs/>
                <w:color w:val="auto"/>
                <w:sz w:val="22"/>
                <w:highlight w:val="none"/>
                <w:lang w:val="en-US" w:eastAsia="zh-CN"/>
              </w:rPr>
            </w:pPr>
            <w:r>
              <w:rPr>
                <w:rFonts w:hint="eastAsia" w:ascii="宋体" w:hAnsi="宋体" w:cs="宋体"/>
                <w:b w:val="0"/>
                <w:bCs/>
                <w:color w:val="auto"/>
                <w:sz w:val="22"/>
                <w:highlight w:val="none"/>
                <w:lang w:val="en-US" w:eastAsia="zh-CN"/>
              </w:rPr>
              <w:t>7</w:t>
            </w:r>
          </w:p>
        </w:tc>
        <w:tc>
          <w:tcPr>
            <w:tcW w:w="8080" w:type="dxa"/>
            <w:gridSpan w:val="2"/>
            <w:vAlign w:val="center"/>
          </w:tcPr>
          <w:p w14:paraId="55C0CDC8">
            <w:pPr>
              <w:tabs>
                <w:tab w:val="left" w:pos="4140"/>
              </w:tabs>
              <w:adjustRightInd w:val="0"/>
              <w:snapToGrid w:val="0"/>
              <w:spacing w:line="320" w:lineRule="atLeast"/>
              <w:rPr>
                <w:rFonts w:hint="eastAsia" w:ascii="宋体" w:hAnsi="宋体" w:cs="宋体"/>
                <w:b/>
                <w:color w:val="auto"/>
                <w:sz w:val="22"/>
                <w:highlight w:val="none"/>
              </w:rPr>
            </w:pPr>
            <w:r>
              <w:rPr>
                <w:rFonts w:hint="eastAsia" w:ascii="宋体" w:hAnsi="宋体" w:cs="宋体"/>
                <w:color w:val="auto"/>
                <w:sz w:val="22"/>
                <w:szCs w:val="22"/>
                <w:highlight w:val="none"/>
              </w:rPr>
              <w:t>其它须说明的资料（如有则提供）</w:t>
            </w:r>
          </w:p>
        </w:tc>
        <w:tc>
          <w:tcPr>
            <w:tcW w:w="1099" w:type="dxa"/>
            <w:vAlign w:val="center"/>
          </w:tcPr>
          <w:p w14:paraId="0A85A67D">
            <w:pPr>
              <w:tabs>
                <w:tab w:val="left" w:pos="4140"/>
              </w:tabs>
              <w:adjustRightInd w:val="0"/>
              <w:snapToGrid w:val="0"/>
              <w:spacing w:line="320" w:lineRule="atLeast"/>
              <w:jc w:val="center"/>
              <w:rPr>
                <w:rFonts w:hint="eastAsia" w:ascii="宋体" w:hAnsi="宋体" w:cs="宋体"/>
                <w:color w:val="auto"/>
                <w:sz w:val="22"/>
                <w:szCs w:val="22"/>
                <w:highlight w:val="none"/>
                <w:lang w:val="zh-CN"/>
              </w:rPr>
            </w:pPr>
          </w:p>
        </w:tc>
      </w:tr>
      <w:tr w14:paraId="53EC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Pr>
          <w:p w14:paraId="6813083E">
            <w:pPr>
              <w:autoSpaceDE w:val="0"/>
              <w:autoSpaceDN w:val="0"/>
              <w:adjustRightInd w:val="0"/>
              <w:snapToGrid w:val="0"/>
              <w:spacing w:line="430" w:lineRule="atLeast"/>
              <w:rPr>
                <w:rFonts w:hint="eastAsia" w:ascii="宋体" w:hAnsi="宋体" w:cs="宋体"/>
                <w:b/>
                <w:color w:val="auto"/>
                <w:sz w:val="22"/>
                <w:highlight w:val="none"/>
              </w:rPr>
            </w:pPr>
            <w:r>
              <w:rPr>
                <w:rFonts w:hint="eastAsia" w:ascii="宋体" w:hAnsi="宋体" w:cs="宋体"/>
                <w:color w:val="auto"/>
                <w:sz w:val="22"/>
                <w:szCs w:val="22"/>
                <w:highlight w:val="none"/>
                <w:lang w:val="zh-CN"/>
              </w:rPr>
              <w:t>技术部分（如资料提供不齐全，将可能导致不利的评定）</w:t>
            </w:r>
          </w:p>
        </w:tc>
        <w:tc>
          <w:tcPr>
            <w:tcW w:w="1099" w:type="dxa"/>
          </w:tcPr>
          <w:p w14:paraId="450DB825">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p>
        </w:tc>
      </w:tr>
      <w:tr w14:paraId="2D3E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488D8E31">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8</w:t>
            </w:r>
          </w:p>
        </w:tc>
        <w:tc>
          <w:tcPr>
            <w:tcW w:w="8080" w:type="dxa"/>
            <w:gridSpan w:val="2"/>
            <w:shd w:val="clear" w:color="auto" w:fill="auto"/>
            <w:vAlign w:val="top"/>
          </w:tcPr>
          <w:p w14:paraId="64BBD8E8">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商务、技术偏离表</w:t>
            </w:r>
          </w:p>
        </w:tc>
        <w:tc>
          <w:tcPr>
            <w:tcW w:w="1099" w:type="dxa"/>
          </w:tcPr>
          <w:p w14:paraId="23488BC0">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八</w:t>
            </w:r>
          </w:p>
        </w:tc>
      </w:tr>
      <w:tr w14:paraId="4151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0A5502E6">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9</w:t>
            </w:r>
          </w:p>
        </w:tc>
        <w:tc>
          <w:tcPr>
            <w:tcW w:w="8080" w:type="dxa"/>
            <w:gridSpan w:val="2"/>
            <w:shd w:val="clear" w:color="auto" w:fill="auto"/>
            <w:vAlign w:val="center"/>
          </w:tcPr>
          <w:p w14:paraId="68F92128">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针对本项目的实施方案</w:t>
            </w:r>
          </w:p>
        </w:tc>
        <w:tc>
          <w:tcPr>
            <w:tcW w:w="1099" w:type="dxa"/>
          </w:tcPr>
          <w:p w14:paraId="645564BC">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4CD1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7727E9C4">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10</w:t>
            </w:r>
          </w:p>
        </w:tc>
        <w:tc>
          <w:tcPr>
            <w:tcW w:w="8080" w:type="dxa"/>
            <w:gridSpan w:val="2"/>
            <w:shd w:val="clear" w:color="auto" w:fill="auto"/>
            <w:vAlign w:val="center"/>
          </w:tcPr>
          <w:p w14:paraId="4108C8FB">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针对本项目拟投入的项目组成员情况</w:t>
            </w:r>
          </w:p>
        </w:tc>
        <w:tc>
          <w:tcPr>
            <w:tcW w:w="1099" w:type="dxa"/>
          </w:tcPr>
          <w:p w14:paraId="7D0D51EC">
            <w:pPr>
              <w:autoSpaceDE w:val="0"/>
              <w:autoSpaceDN w:val="0"/>
              <w:adjustRightInd w:val="0"/>
              <w:snapToGrid w:val="0"/>
              <w:spacing w:line="430" w:lineRule="atLeas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附件九</w:t>
            </w:r>
          </w:p>
        </w:tc>
      </w:tr>
      <w:tr w14:paraId="50F9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74CCF893">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11</w:t>
            </w:r>
          </w:p>
        </w:tc>
        <w:tc>
          <w:tcPr>
            <w:tcW w:w="8080" w:type="dxa"/>
            <w:gridSpan w:val="2"/>
            <w:shd w:val="clear" w:color="auto" w:fill="auto"/>
            <w:vAlign w:val="center"/>
          </w:tcPr>
          <w:p w14:paraId="47F35923">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项目实施周期计划、技术支持及服务力量</w:t>
            </w:r>
          </w:p>
        </w:tc>
        <w:tc>
          <w:tcPr>
            <w:tcW w:w="1099" w:type="dxa"/>
          </w:tcPr>
          <w:p w14:paraId="51B05637">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5DF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46CA49DA">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12</w:t>
            </w:r>
          </w:p>
        </w:tc>
        <w:tc>
          <w:tcPr>
            <w:tcW w:w="8080" w:type="dxa"/>
            <w:gridSpan w:val="2"/>
            <w:shd w:val="clear" w:color="auto" w:fill="auto"/>
            <w:vAlign w:val="center"/>
          </w:tcPr>
          <w:p w14:paraId="7C8234DB">
            <w:pPr>
              <w:autoSpaceDE w:val="0"/>
              <w:autoSpaceDN w:val="0"/>
              <w:adjustRightInd w:val="0"/>
              <w:textAlignment w:val="bottom"/>
              <w:rPr>
                <w:rFonts w:hint="eastAsia" w:ascii="宋体" w:hAnsi="Times New Roman" w:eastAsia="宋体" w:cs="新宋体"/>
                <w:color w:val="auto"/>
                <w:kern w:val="2"/>
                <w:sz w:val="22"/>
                <w:szCs w:val="24"/>
                <w:highlight w:val="none"/>
                <w:lang w:val="zh-CN" w:eastAsia="zh-CN" w:bidi="ar-SA"/>
              </w:rPr>
            </w:pPr>
            <w:r>
              <w:rPr>
                <w:rFonts w:hint="eastAsia" w:ascii="宋体" w:cs="新宋体"/>
                <w:color w:val="auto"/>
                <w:sz w:val="22"/>
                <w:szCs w:val="22"/>
                <w:highlight w:val="none"/>
                <w:lang w:val="zh-CN"/>
              </w:rPr>
              <w:t>售后服务承诺：技术服务和售后服务的内容、措施、承诺，包括质保期、距采购人最近的服务网点的详细介绍，资质资格、技术力量、成立时间</w:t>
            </w:r>
          </w:p>
        </w:tc>
        <w:tc>
          <w:tcPr>
            <w:tcW w:w="1099" w:type="dxa"/>
          </w:tcPr>
          <w:p w14:paraId="080631ED">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5606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3F705347">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13</w:t>
            </w:r>
          </w:p>
        </w:tc>
        <w:tc>
          <w:tcPr>
            <w:tcW w:w="8080" w:type="dxa"/>
            <w:gridSpan w:val="2"/>
            <w:shd w:val="clear" w:color="auto" w:fill="auto"/>
            <w:vAlign w:val="top"/>
          </w:tcPr>
          <w:p w14:paraId="404C988C">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s="新宋体"/>
                <w:color w:val="auto"/>
                <w:sz w:val="22"/>
                <w:szCs w:val="22"/>
                <w:highlight w:val="none"/>
                <w:lang w:val="zh-CN"/>
              </w:rPr>
              <w:t>技术服务、培训、质量保证、惩罚保证、优惠条件及其他承诺</w:t>
            </w:r>
          </w:p>
        </w:tc>
        <w:tc>
          <w:tcPr>
            <w:tcW w:w="1099" w:type="dxa"/>
          </w:tcPr>
          <w:p w14:paraId="1B7335D9">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4265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2F6EE71D">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14</w:t>
            </w:r>
          </w:p>
        </w:tc>
        <w:tc>
          <w:tcPr>
            <w:tcW w:w="8080" w:type="dxa"/>
            <w:gridSpan w:val="2"/>
            <w:shd w:val="clear" w:color="auto" w:fill="auto"/>
            <w:vAlign w:val="top"/>
          </w:tcPr>
          <w:p w14:paraId="527592E3">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根据</w:t>
            </w:r>
            <w:r>
              <w:rPr>
                <w:rFonts w:hint="eastAsia" w:ascii="宋体"/>
                <w:color w:val="auto"/>
                <w:sz w:val="22"/>
                <w:szCs w:val="22"/>
                <w:highlight w:val="none"/>
                <w:lang w:eastAsia="zh-CN"/>
              </w:rPr>
              <w:t>招标文件</w:t>
            </w:r>
            <w:r>
              <w:rPr>
                <w:rFonts w:hint="eastAsia" w:ascii="宋体"/>
                <w:color w:val="auto"/>
                <w:sz w:val="22"/>
                <w:szCs w:val="22"/>
                <w:highlight w:val="none"/>
              </w:rPr>
              <w:t>中的采购内容与技术要求、评标细则，需要提供的其它文件和资料。</w:t>
            </w:r>
          </w:p>
        </w:tc>
        <w:tc>
          <w:tcPr>
            <w:tcW w:w="1099" w:type="dxa"/>
          </w:tcPr>
          <w:p w14:paraId="72459CA5">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3EC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top"/>
          </w:tcPr>
          <w:p w14:paraId="23CAF1A4">
            <w:pPr>
              <w:autoSpaceDE w:val="0"/>
              <w:autoSpaceDN w:val="0"/>
              <w:adjustRightInd w:val="0"/>
              <w:snapToGrid w:val="0"/>
              <w:spacing w:line="430" w:lineRule="atLeast"/>
              <w:jc w:val="center"/>
              <w:rPr>
                <w:rFonts w:hint="eastAsia" w:ascii="宋体" w:hAnsi="宋体" w:eastAsia="宋体" w:cs="宋体"/>
                <w:bCs/>
                <w:color w:val="auto"/>
                <w:kern w:val="2"/>
                <w:sz w:val="22"/>
                <w:szCs w:val="24"/>
                <w:highlight w:val="none"/>
                <w:lang w:val="en-US" w:eastAsia="zh-CN" w:bidi="ar-SA"/>
              </w:rPr>
            </w:pPr>
            <w:r>
              <w:rPr>
                <w:rFonts w:hint="eastAsia" w:ascii="宋体" w:hAnsi="宋体" w:cs="宋体"/>
                <w:bCs/>
                <w:color w:val="auto"/>
                <w:sz w:val="22"/>
                <w:highlight w:val="none"/>
              </w:rPr>
              <w:t>15</w:t>
            </w:r>
          </w:p>
        </w:tc>
        <w:tc>
          <w:tcPr>
            <w:tcW w:w="8080" w:type="dxa"/>
            <w:gridSpan w:val="2"/>
            <w:shd w:val="clear" w:color="auto" w:fill="auto"/>
            <w:vAlign w:val="top"/>
          </w:tcPr>
          <w:p w14:paraId="1B339464">
            <w:pPr>
              <w:autoSpaceDE w:val="0"/>
              <w:autoSpaceDN w:val="0"/>
              <w:adjustRightInd w:val="0"/>
              <w:snapToGrid w:val="0"/>
              <w:spacing w:line="430" w:lineRule="atLeast"/>
              <w:rPr>
                <w:rFonts w:hint="eastAsia" w:ascii="宋体" w:hAnsi="Times New Roman" w:eastAsia="宋体" w:cs="Times New Roman"/>
                <w:color w:val="auto"/>
                <w:kern w:val="2"/>
                <w:sz w:val="22"/>
                <w:szCs w:val="24"/>
                <w:highlight w:val="none"/>
                <w:lang w:val="en-US" w:eastAsia="zh-CN" w:bidi="ar-SA"/>
              </w:rPr>
            </w:pPr>
            <w:r>
              <w:rPr>
                <w:rFonts w:hint="eastAsia" w:ascii="宋体"/>
                <w:color w:val="auto"/>
                <w:sz w:val="22"/>
                <w:szCs w:val="22"/>
                <w:highlight w:val="none"/>
              </w:rPr>
              <w:t>其它供应商须说明的资料（如有则提供）</w:t>
            </w:r>
          </w:p>
        </w:tc>
        <w:tc>
          <w:tcPr>
            <w:tcW w:w="1099" w:type="dxa"/>
          </w:tcPr>
          <w:p w14:paraId="7F7A59D2">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bl>
    <w:p w14:paraId="544490C5">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p w14:paraId="7BA26EA9">
      <w:pPr>
        <w:numPr>
          <w:ilvl w:val="0"/>
          <w:numId w:val="2"/>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889ABCC">
      <w:pPr>
        <w:numPr>
          <w:ilvl w:val="0"/>
          <w:numId w:val="2"/>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35BC2251">
      <w:pPr>
        <w:numPr>
          <w:ilvl w:val="0"/>
          <w:numId w:val="2"/>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以上所需的各种证书、证件、证明等若系复印件、扫描件，须加盖供应商有效的公章。</w:t>
      </w:r>
    </w:p>
    <w:p w14:paraId="7CF866CF">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3、投标文件编制</w:t>
      </w:r>
    </w:p>
    <w:p w14:paraId="74BA95B5">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3.1本项目通过“政采云平台（www.zcygov.cn）”实行在线投标响应（电子投标）。供应商应通过“政采云电子交易客户端”，并按照本招标文件和“政采云平台”的要求编制并加密投标文件。</w:t>
      </w:r>
    </w:p>
    <w:p w14:paraId="02FD29F5">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 “技术资信文件”中不得出现本项目投标报价，如因投标供应商原因提前泄露投标报价，是投标供应商的责任。</w:t>
      </w:r>
    </w:p>
    <w:p w14:paraId="4C9C6731">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3.3本招标文件“投标文件格式”中有提供格式的，投标供应商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14:paraId="5A61B641">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3.4投标文件内容不完整、编排混乱导致投标文件被误读、漏读或者查找不到相关内容的，是投标供应商的责任。</w:t>
      </w:r>
    </w:p>
    <w:p w14:paraId="3BAE5331">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3.5投标文件因字迹潦草或表达不清所引起的后果由投标供应商负责。</w:t>
      </w:r>
    </w:p>
    <w:p w14:paraId="251FE44F">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2BCCCF05">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4、投标文件的签章</w:t>
      </w:r>
    </w:p>
    <w:p w14:paraId="3E7EE3AE">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4.1投标文件的签章要求：投标供应商须知前附表；</w:t>
      </w:r>
    </w:p>
    <w:p w14:paraId="60E2C64B">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4.2投标文件应由投标供应商法定代表人或其授权代表签章，并加盖投标供应商公章。</w:t>
      </w:r>
    </w:p>
    <w:p w14:paraId="2F8154D4">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4.3电子签章操作指南详见采购公告附件《供应商项目采购-电子招投标操作指南》。</w:t>
      </w:r>
    </w:p>
    <w:p w14:paraId="24B21EB5">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5、投标文件的形式</w:t>
      </w:r>
    </w:p>
    <w:p w14:paraId="05DE48C1">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5.1投标文件的形式：见投标供应商须知前附表；</w:t>
      </w:r>
    </w:p>
    <w:p w14:paraId="68E16B2E">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5.2“电子加密投标文件”：“电子加密投标文件”是指通过“政采云电子交易客户端”完成投标文件编制后生成并加密的数据电文形式的投标文件。</w:t>
      </w:r>
    </w:p>
    <w:p w14:paraId="1FAB1F0D">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5.3“备份投标文件”：“备份投标文件”是指与“电子加密投标文件”同时生成的数据电文形式的电子文件（备份标书），其他方式编制的“备份投标文件”视为无效的“备份投标文件”。</w:t>
      </w:r>
    </w:p>
    <w:p w14:paraId="716AE24E">
      <w:pPr>
        <w:autoSpaceDE w:val="0"/>
        <w:autoSpaceDN w:val="0"/>
        <w:adjustRightInd w:val="0"/>
        <w:spacing w:line="460" w:lineRule="atLeas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6、投标文件的份数</w:t>
      </w:r>
    </w:p>
    <w:p w14:paraId="6E902149">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6.1投标文件的份数：见投标供应商须知前附表。</w:t>
      </w:r>
    </w:p>
    <w:p w14:paraId="4A98F54A">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7、投标报价</w:t>
      </w:r>
      <w:bookmarkEnd w:id="24"/>
      <w:bookmarkEnd w:id="25"/>
    </w:p>
    <w:p w14:paraId="7D5EF1F1">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bookmarkStart w:id="28" w:name="_Toc132122116"/>
      <w:bookmarkStart w:id="29" w:name="_Toc132122413"/>
      <w:r>
        <w:rPr>
          <w:rFonts w:hint="eastAsia" w:ascii="宋体" w:hAnsi="宋体" w:cs="宋体"/>
          <w:bCs/>
          <w:color w:val="auto"/>
          <w:sz w:val="22"/>
          <w:szCs w:val="22"/>
          <w:highlight w:val="none"/>
        </w:rPr>
        <w:t>7.1供应商应按招标文件中《开标一览表》及《投标分项报价表》（如有）填写投标总价及分项报价。</w:t>
      </w:r>
    </w:p>
    <w:p w14:paraId="42641916">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7.2本次招标只允许有一个报价，有选择的报价将不予接受。</w:t>
      </w:r>
    </w:p>
    <w:p w14:paraId="42390FA0">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7.3投标报价应按包含以下费用。</w:t>
      </w:r>
    </w:p>
    <w:p w14:paraId="6860B4D0">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color w:val="auto"/>
          <w:sz w:val="22"/>
          <w:szCs w:val="22"/>
          <w:highlight w:val="none"/>
        </w:rPr>
        <w:t>投标报价包括运杂费、保险费、增值税、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全部费用。</w:t>
      </w:r>
    </w:p>
    <w:p w14:paraId="7C4E1AFD">
      <w:pPr>
        <w:autoSpaceDE w:val="0"/>
        <w:autoSpaceDN w:val="0"/>
        <w:adjustRightInd w:val="0"/>
        <w:spacing w:line="460" w:lineRule="atLeast"/>
        <w:ind w:firstLine="442" w:firstLineChars="200"/>
        <w:textAlignment w:val="bottom"/>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供应商在投标报价中应充分考虑所有可能发生的费用，否则采购人将视投标总价中已包括所有费用。</w:t>
      </w:r>
    </w:p>
    <w:p w14:paraId="11D03C42">
      <w:pPr>
        <w:autoSpaceDE w:val="0"/>
        <w:autoSpaceDN w:val="0"/>
        <w:adjustRightInd w:val="0"/>
        <w:spacing w:line="460" w:lineRule="atLeast"/>
        <w:ind w:firstLine="442" w:firstLineChars="200"/>
        <w:textAlignment w:val="bottom"/>
        <w:rPr>
          <w:rFonts w:hint="eastAsia" w:ascii="宋体" w:hAnsi="宋体" w:cs="宋体"/>
          <w:bCs/>
          <w:color w:val="auto"/>
          <w:sz w:val="22"/>
          <w:szCs w:val="22"/>
          <w:highlight w:val="none"/>
          <w:u w:val="single"/>
        </w:rPr>
      </w:pPr>
      <w:r>
        <w:rPr>
          <w:rFonts w:hint="eastAsia" w:ascii="宋体" w:hAnsi="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14:paraId="31CACC48">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填写报价表格时，各项费用应如实填写。</w:t>
      </w:r>
    </w:p>
    <w:p w14:paraId="750B3DBD">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8、采购人要求分类报价是为了方便评标，但在任何情况下不限制采购人以其认为最合适的条款签订合同的权利。</w:t>
      </w:r>
    </w:p>
    <w:bookmarkEnd w:id="28"/>
    <w:bookmarkEnd w:id="29"/>
    <w:p w14:paraId="0348048D">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bookmarkStart w:id="30" w:name="_Toc132122414"/>
      <w:bookmarkStart w:id="31" w:name="_Toc132122117"/>
      <w:bookmarkStart w:id="32" w:name="_Toc132122120"/>
      <w:bookmarkStart w:id="33" w:name="_Toc132123440"/>
      <w:bookmarkStart w:id="34" w:name="_Toc132122417"/>
      <w:bookmarkStart w:id="35" w:name="_Toc132125152"/>
      <w:bookmarkStart w:id="36" w:name="_Toc132126155"/>
      <w:bookmarkStart w:id="37" w:name="_Toc132125096"/>
      <w:bookmarkStart w:id="38" w:name="_Toc132123882"/>
      <w:bookmarkStart w:id="39" w:name="_Toc132125984"/>
      <w:bookmarkStart w:id="40" w:name="_Toc332809833"/>
      <w:bookmarkStart w:id="41" w:name="_Toc132123548"/>
      <w:bookmarkStart w:id="42" w:name="_Toc132123635"/>
      <w:bookmarkStart w:id="43" w:name="_Toc132125575"/>
      <w:bookmarkStart w:id="44" w:name="_Toc132124595"/>
      <w:bookmarkStart w:id="45" w:name="_Toc132655777"/>
      <w:bookmarkStart w:id="46" w:name="_Toc132125038"/>
      <w:bookmarkStart w:id="47" w:name="_Toc132123839"/>
      <w:r>
        <w:rPr>
          <w:rFonts w:hint="eastAsia" w:ascii="宋体" w:hAnsi="宋体" w:cs="宋体"/>
          <w:bCs/>
          <w:color w:val="auto"/>
          <w:sz w:val="22"/>
          <w:szCs w:val="22"/>
          <w:highlight w:val="none"/>
        </w:rPr>
        <w:t>9、投标文件的有效期</w:t>
      </w:r>
      <w:bookmarkEnd w:id="30"/>
      <w:bookmarkEnd w:id="31"/>
    </w:p>
    <w:p w14:paraId="0BBC3441">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9.1 自投标截止时间起90天内，投标文件应保持有效。有效期短于这个规定期限的投标将被拒绝。</w:t>
      </w:r>
    </w:p>
    <w:p w14:paraId="6EC811BD">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9.2 在特殊情况下，采购人可与供应商协商延长投标文件的有效期，这种要求和答复均应以书面形式进行。</w:t>
      </w:r>
    </w:p>
    <w:p w14:paraId="79FB1FF3">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9.3 供应商可拒绝接受延期要求。同意延长有效期的供应商不能修改投标文件。</w:t>
      </w:r>
    </w:p>
    <w:p w14:paraId="0426AB4F">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10、投标供应商如发生下列情况之一，将上报同级政府采购监督管理部门，追究其责任：</w:t>
      </w:r>
    </w:p>
    <w:p w14:paraId="1925724D">
      <w:pPr>
        <w:pStyle w:val="84"/>
        <w:numPr>
          <w:ilvl w:val="0"/>
          <w:numId w:val="3"/>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投标供应商在招标文件规定的投标有效期内撤回投标；</w:t>
      </w:r>
    </w:p>
    <w:p w14:paraId="06FF61A6">
      <w:pPr>
        <w:pStyle w:val="84"/>
        <w:numPr>
          <w:ilvl w:val="0"/>
          <w:numId w:val="3"/>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中标人未按中标通知书中规定的时间与采购人签订合同；</w:t>
      </w:r>
    </w:p>
    <w:p w14:paraId="63E64E39">
      <w:pPr>
        <w:pStyle w:val="84"/>
        <w:numPr>
          <w:ilvl w:val="0"/>
          <w:numId w:val="3"/>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投标供应商在招标文件中提供虚假技术指标及参数，经评标委员会确认属实的。</w:t>
      </w:r>
    </w:p>
    <w:p w14:paraId="41CC383E">
      <w:pPr>
        <w:pStyle w:val="84"/>
        <w:numPr>
          <w:ilvl w:val="0"/>
          <w:numId w:val="3"/>
        </w:numPr>
        <w:autoSpaceDE w:val="0"/>
        <w:autoSpaceDN w:val="0"/>
        <w:adjustRightInd w:val="0"/>
        <w:spacing w:line="460" w:lineRule="atLeast"/>
        <w:ind w:firstLineChars="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经同级政府采购监督管理部门审查认定投标供应商有违反《中华人民共和国政府采购法》等有关法律法规的行为。</w:t>
      </w:r>
    </w:p>
    <w:p w14:paraId="670A8253">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48" w:name="_Toc18653"/>
      <w:bookmarkStart w:id="49" w:name="_Toc132655776"/>
      <w:bookmarkStart w:id="50" w:name="_Toc132123881"/>
      <w:bookmarkStart w:id="51" w:name="_Toc132126154"/>
      <w:bookmarkStart w:id="52" w:name="_Toc132123634"/>
      <w:bookmarkStart w:id="53" w:name="_Toc132123547"/>
      <w:bookmarkStart w:id="54" w:name="_Toc132124594"/>
      <w:bookmarkStart w:id="55" w:name="_Toc132125151"/>
      <w:bookmarkStart w:id="56" w:name="_Toc132125983"/>
      <w:bookmarkStart w:id="57" w:name="_Toc496116253"/>
      <w:bookmarkStart w:id="58" w:name="_Toc132122119"/>
      <w:bookmarkStart w:id="59" w:name="_Toc132125037"/>
      <w:bookmarkStart w:id="60" w:name="_Toc132125095"/>
      <w:bookmarkStart w:id="61" w:name="_Toc132123838"/>
      <w:bookmarkStart w:id="62" w:name="_Toc132123439"/>
      <w:bookmarkStart w:id="63" w:name="_Toc132125574"/>
      <w:bookmarkStart w:id="64" w:name="_Toc132122416"/>
      <w:r>
        <w:rPr>
          <w:rFonts w:hint="eastAsia" w:ascii="宋体" w:hAnsi="宋体" w:cs="宋体"/>
          <w:b/>
          <w:bCs/>
          <w:color w:val="auto"/>
          <w:sz w:val="28"/>
          <w:szCs w:val="28"/>
          <w:highlight w:val="none"/>
        </w:rPr>
        <w:t>五、投标文件的</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s="宋体"/>
          <w:b/>
          <w:bCs/>
          <w:color w:val="auto"/>
          <w:sz w:val="28"/>
          <w:szCs w:val="28"/>
          <w:highlight w:val="none"/>
        </w:rPr>
        <w:t>递交</w:t>
      </w:r>
    </w:p>
    <w:p w14:paraId="02321B72">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1、投标文件的递交</w:t>
      </w:r>
    </w:p>
    <w:p w14:paraId="615BA708">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sz w:val="22"/>
          <w:szCs w:val="22"/>
          <w:highlight w:val="none"/>
        </w:rPr>
        <w:t>1.1投标文件的上传、递交：见投标供应商须知前附表。</w:t>
      </w:r>
    </w:p>
    <w:p w14:paraId="0522CD7E">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2、 “电子加密投标文件”解密和异常情况处理。</w:t>
      </w:r>
    </w:p>
    <w:p w14:paraId="496946E5">
      <w:pPr>
        <w:autoSpaceDE w:val="0"/>
        <w:autoSpaceDN w:val="0"/>
        <w:adjustRightInd w:val="0"/>
        <w:spacing w:line="460" w:lineRule="atLeast"/>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2.1“电子加密投标文件”解密：见投标供应商须知前附表。</w:t>
      </w:r>
    </w:p>
    <w:p w14:paraId="2D11CE4D">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 投标文件的补充、修改或撤回</w:t>
      </w:r>
    </w:p>
    <w:p w14:paraId="101073FB">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B317C5C">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3.2投标文件递交截止时间后，投标供应商不得撤回、修改投标文件。</w:t>
      </w:r>
    </w:p>
    <w:p w14:paraId="0CDED905">
      <w:pPr>
        <w:autoSpaceDE w:val="0"/>
        <w:autoSpaceDN w:val="0"/>
        <w:adjustRightInd w:val="0"/>
        <w:spacing w:line="460" w:lineRule="atLeast"/>
        <w:ind w:firstLine="442" w:firstLineChars="200"/>
        <w:textAlignment w:val="bottom"/>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4、投标文件的备选方案</w:t>
      </w:r>
    </w:p>
    <w:p w14:paraId="666310EB">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4.1投标供应商不得递交任何的投标备选（替代）方案，否则其投标文件将作无效标处理。与“电子加密投标文件”同时生成的“备份投标文件”不是投标备选（替代）方案。</w:t>
      </w:r>
    </w:p>
    <w:p w14:paraId="0A333888">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2"/>
          <w:szCs w:val="22"/>
          <w:highlight w:val="none"/>
        </w:rPr>
      </w:pPr>
      <w:bookmarkStart w:id="65" w:name="_Toc496116254"/>
      <w:bookmarkStart w:id="66" w:name="_Toc144"/>
      <w:r>
        <w:rPr>
          <w:rFonts w:hint="eastAsia" w:ascii="宋体" w:hAnsi="宋体" w:cs="宋体"/>
          <w:b/>
          <w:bCs/>
          <w:color w:val="auto"/>
          <w:sz w:val="28"/>
          <w:szCs w:val="28"/>
          <w:highlight w:val="none"/>
        </w:rPr>
        <w:t>六、开标和评标</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65"/>
      <w:bookmarkEnd w:id="66"/>
    </w:p>
    <w:p w14:paraId="69F3809B">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1、开标形式</w:t>
      </w:r>
    </w:p>
    <w:p w14:paraId="6FC4E492">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1.1 采购组织机构将按照招标文件规定的时间通过“政采云平台”组织开标、开启投标文件，所有供应商均应当准时在线参加。</w:t>
      </w:r>
    </w:p>
    <w:p w14:paraId="1030C376">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 开标准备</w:t>
      </w:r>
    </w:p>
    <w:p w14:paraId="75A4084F">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2.1开标的准备工作由采购组织机构负责落实。</w:t>
      </w:r>
    </w:p>
    <w:p w14:paraId="27DAF6D9">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采购组织机构将按照招标文件规定的时间通过“政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3820C53">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3、开标流程（两阶段）</w:t>
      </w:r>
    </w:p>
    <w:p w14:paraId="2FDBF30E">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3.1开标第一阶段</w:t>
      </w:r>
    </w:p>
    <w:p w14:paraId="02B6CE4C">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供应商发出电子加密投标文件【开始解密】通知，由供应商按招标文件规定的时间内自行进行投标文件解密。投标供应商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14:paraId="081D4C91">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（2）开启投标文件，进入资格审查；</w:t>
      </w:r>
    </w:p>
    <w:p w14:paraId="2C9E5622">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（3）资格审查通过的投标供应商的技术资信文件进入符合性审查、技术评审；</w:t>
      </w:r>
    </w:p>
    <w:p w14:paraId="1CBC2EE8">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（4）第一阶段开标结束。</w:t>
      </w:r>
    </w:p>
    <w:p w14:paraId="55E29F6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备注：开标大会的第一阶段结束后，采购人或采购代理机构将对依法对投标供应商的资格进行审查，资格审查结束后进入符合性审查和技术资信文件的评审工作，具体见本章节“投标供应商资格审查”相关规定。</w:t>
      </w:r>
    </w:p>
    <w:p w14:paraId="26BB6BD6">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3.2开标第二阶段</w:t>
      </w:r>
    </w:p>
    <w:p w14:paraId="09B4B683">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技术资信文件的评审结束后，举行开标大会第二阶段会议。首先在“政采云平台”系统平台上公布符合性审查、技术资信评审无效供应商名称及理由；公布经技术资信评审后有效投标供应商的名单，同时公布其技术资信部分得分情况。</w:t>
      </w:r>
    </w:p>
    <w:p w14:paraId="27E3A562">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技术资信文件评审有效投标供应商的商务（报价）文件，在“政采云平台”系统平台上公布开标一览表有关内容，同时当场制作开标记录。开标结束后，由评标委员会对报价的合理性、准确性等进行审查核实。</w:t>
      </w:r>
    </w:p>
    <w:p w14:paraId="300330FA">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14:paraId="57EB1361">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A5BD4EB">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24EF8C7C">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3F798A05">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1E23A349">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z w:val="22"/>
          <w:szCs w:val="22"/>
          <w:highlight w:val="none"/>
        </w:rPr>
        <w:t>投标供应商在政采云客户端填写的报价与以pdf格式上传文件中的报价不一致的，应以Pdf格式上传文件中的报价为准，修正客户端的报价。</w:t>
      </w:r>
    </w:p>
    <w:p w14:paraId="2A4EDC0F">
      <w:pPr>
        <w:spacing w:line="460" w:lineRule="exact"/>
        <w:ind w:firstLine="420" w:firstLineChars="190"/>
        <w:rPr>
          <w:rFonts w:hint="eastAsia" w:ascii="宋体" w:hAnsi="宋体" w:cs="宋体"/>
          <w:b/>
          <w:bCs/>
          <w:color w:val="auto"/>
          <w:sz w:val="22"/>
          <w:szCs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34DEE5E4">
      <w:pPr>
        <w:tabs>
          <w:tab w:val="left" w:pos="540"/>
        </w:tabs>
        <w:spacing w:line="460" w:lineRule="exact"/>
        <w:ind w:firstLine="325" w:firstLineChars="147"/>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14:paraId="5FF5FAB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7E232BD4">
      <w:pPr>
        <w:autoSpaceDE w:val="0"/>
        <w:autoSpaceDN w:val="0"/>
        <w:adjustRightInd w:val="0"/>
        <w:spacing w:line="460" w:lineRule="atLeast"/>
        <w:ind w:firstLine="442" w:firstLineChars="200"/>
        <w:textAlignment w:val="bottom"/>
        <w:rPr>
          <w:rFonts w:hint="eastAsia" w:ascii="宋体" w:hAnsi="宋体" w:cs="宋体"/>
          <w:b/>
          <w:bCs/>
          <w:color w:val="auto"/>
          <w:kern w:val="0"/>
          <w:sz w:val="22"/>
          <w:szCs w:val="22"/>
          <w:highlight w:val="none"/>
        </w:rPr>
      </w:pPr>
      <w:bookmarkStart w:id="67" w:name="_Toc33194393"/>
      <w:bookmarkStart w:id="68" w:name="_Toc24550037"/>
      <w:r>
        <w:rPr>
          <w:rFonts w:hint="eastAsia" w:ascii="宋体" w:hAnsi="宋体" w:cs="宋体"/>
          <w:b/>
          <w:bCs/>
          <w:color w:val="auto"/>
          <w:kern w:val="0"/>
          <w:sz w:val="22"/>
          <w:szCs w:val="22"/>
          <w:highlight w:val="none"/>
        </w:rPr>
        <w:t>4、 投标供应商资格审查</w:t>
      </w:r>
      <w:bookmarkEnd w:id="67"/>
      <w:bookmarkEnd w:id="68"/>
    </w:p>
    <w:p w14:paraId="7AC0B515">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审查材料仅负审核的责任。如发现投标供应商所提交的资格审查材料不合法或与事实不符，采购人可取消其中标资格并追究投标供应商的法律责任。</w:t>
      </w:r>
    </w:p>
    <w:p w14:paraId="11EB48DE">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4.2投标供应商提交的资格审查材料无法证明其符合招标文件规定的“投标供应商资格要求”的，采购人或采购代理机构将对其作资格审查不通过处理（无效投标），并不再将其投标提交评标委员会进行后续评审。</w:t>
      </w:r>
    </w:p>
    <w:p w14:paraId="6144CED9">
      <w:pPr>
        <w:autoSpaceDE w:val="0"/>
        <w:autoSpaceDN w:val="0"/>
        <w:adjustRightInd w:val="0"/>
        <w:spacing w:line="460" w:lineRule="atLeast"/>
        <w:ind w:firstLine="440" w:firstLineChars="200"/>
        <w:textAlignment w:val="bottom"/>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4.3单位负责人为同一人或者存在直接控股、管理关系的不同供应商参加同一合同项下的政府采购活动的，相关投标供应商均作资格无效处理。</w:t>
      </w:r>
    </w:p>
    <w:p w14:paraId="496C2BEA">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5、评标</w:t>
      </w:r>
    </w:p>
    <w:p w14:paraId="7ED0B4DD">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5.1评标由采购人依法组建的评标委员会负责，并独立履行下列职责：</w:t>
      </w:r>
    </w:p>
    <w:p w14:paraId="52CCF8C0">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1）审查投标文件是否符合招标文件要求，并做出评价；</w:t>
      </w:r>
    </w:p>
    <w:p w14:paraId="1DFCF21D">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2）要求供应商对投标文件有关事项做出解释或者澄清；</w:t>
      </w:r>
    </w:p>
    <w:p w14:paraId="179072C7">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3）按照招标文件确定的评标办法确定中标人，并对其排序；综合得分最高的供应商推荐为中标人；</w:t>
      </w:r>
    </w:p>
    <w:p w14:paraId="20F10368">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4）向采购人或者有关部门报告非法干预评标工作的行为。</w:t>
      </w:r>
    </w:p>
    <w:p w14:paraId="1EC27031">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5）根据采购人的授权确定中标人名单；</w:t>
      </w:r>
    </w:p>
    <w:p w14:paraId="5AFD3196">
      <w:pPr>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5.2评标应当遵循下列工作程序：</w:t>
      </w:r>
    </w:p>
    <w:p w14:paraId="753B037A">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1）投标文件初审。初审为符合性检查。</w:t>
      </w:r>
    </w:p>
    <w:p w14:paraId="759F5B63">
      <w:pPr>
        <w:snapToGrid w:val="0"/>
        <w:spacing w:line="460" w:lineRule="atLeast"/>
        <w:ind w:firstLine="323" w:firstLineChars="147"/>
        <w:rPr>
          <w:rFonts w:hint="eastAsia" w:ascii="宋体" w:hAnsi="宋体" w:cs="宋体"/>
          <w:color w:val="auto"/>
          <w:sz w:val="22"/>
          <w:szCs w:val="22"/>
          <w:highlight w:val="none"/>
        </w:rPr>
      </w:pPr>
      <w:r>
        <w:rPr>
          <w:rFonts w:hint="eastAsia" w:ascii="宋体" w:hAnsi="宋体" w:cs="宋体"/>
          <w:color w:val="auto"/>
          <w:sz w:val="22"/>
          <w:szCs w:val="22"/>
          <w:highlight w:val="none"/>
        </w:rPr>
        <w:t>（1)符合性检查。依据招标文件的规定，从投标文件的有效性、完整性和对招标文件的响应程度进行审查，以确定是否对招标文件的实质性要求做出响应。</w:t>
      </w:r>
    </w:p>
    <w:p w14:paraId="74D86D62">
      <w:pPr>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7969657A">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实质上没有响应招标文件要求的投标将被拒绝。供应商不得通过修正或撤消不合要求的偏离从而使其投标成为实质上响应的投标。</w:t>
      </w:r>
    </w:p>
    <w:p w14:paraId="33CBFC6B">
      <w:pPr>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评标委员会对投标文件的判定，只依据投标文件内容本身，不依靠开标后的任何外来证明。</w:t>
      </w:r>
    </w:p>
    <w:p w14:paraId="357B768E">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3）比较与评价。按招标文件中规定的评标方法和标准，对资格性检查和符合性检查合格的投标文件进行商务和技术评估，综合比较与评价。</w:t>
      </w:r>
    </w:p>
    <w:p w14:paraId="7AF8A756">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4）推荐中标人候选人名单，并根据采购人的授权确定中标人。</w:t>
      </w:r>
    </w:p>
    <w:p w14:paraId="2133BC4F">
      <w:pPr>
        <w:pStyle w:val="24"/>
        <w:snapToGrid w:val="0"/>
        <w:spacing w:line="460" w:lineRule="atLeast"/>
        <w:ind w:firstLine="435" w:firstLineChars="197"/>
        <w:rPr>
          <w:rFonts w:hint="eastAsia" w:hAnsi="宋体" w:cs="宋体"/>
          <w:b/>
          <w:color w:val="auto"/>
          <w:sz w:val="22"/>
          <w:szCs w:val="22"/>
          <w:highlight w:val="none"/>
          <w:u w:val="single"/>
        </w:rPr>
      </w:pPr>
      <w:r>
        <w:rPr>
          <w:rFonts w:hint="eastAsia" w:hAnsi="宋体" w:cs="宋体"/>
          <w:b/>
          <w:color w:val="auto"/>
          <w:sz w:val="22"/>
          <w:szCs w:val="22"/>
          <w:highlight w:val="none"/>
        </w:rPr>
        <w:t xml:space="preserve">5.3 </w:t>
      </w:r>
      <w:r>
        <w:rPr>
          <w:rFonts w:hint="eastAsia" w:hAnsi="宋体" w:cs="宋体"/>
          <w:b/>
          <w:color w:val="auto"/>
          <w:sz w:val="22"/>
          <w:szCs w:val="22"/>
          <w:highlight w:val="none"/>
          <w:u w:val="single"/>
        </w:rPr>
        <w:t>▲投标供应商存在下列情况之一的，投标无效:</w:t>
      </w:r>
    </w:p>
    <w:p w14:paraId="733F9DE7">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1）投标文件未按招标文件要求签署、盖章的；</w:t>
      </w:r>
    </w:p>
    <w:p w14:paraId="0C382E0C">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2）不具备招标文件中规定的资格要求的；</w:t>
      </w:r>
    </w:p>
    <w:p w14:paraId="20DC4CE1">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3）报价超过招标文件中规定的预算金额或者最高限价的；</w:t>
      </w:r>
    </w:p>
    <w:p w14:paraId="44B6DDF6">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4）投标文件含有采购人不能接受的附加条件的（包括招标文件中明确要求不得偏离的招标要求，存在负偏离的）;</w:t>
      </w:r>
    </w:p>
    <w:p w14:paraId="34D12528">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5）仅提交“备份投标文件”的；</w:t>
      </w:r>
    </w:p>
    <w:p w14:paraId="12CE5854">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6）对关键条文的偏离、保留或反对，例如关于付款方式、完工期、免费质保期、适用法律法规、标准、税费等其他内容；</w:t>
      </w:r>
    </w:p>
    <w:p w14:paraId="45AAA2E1">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7）存在串标、抬标或弄虚作假情况的；</w:t>
      </w:r>
    </w:p>
    <w:p w14:paraId="14F95AFB">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8）法律、法规和招标文件规定的其他无效情形（或出现重大偏差）。</w:t>
      </w:r>
    </w:p>
    <w:p w14:paraId="32027F69">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5.4 ▲</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14:paraId="1A2CD9F7">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1）未按招标文件要求编制或字迹模糊、辨认不清的投标文件；</w:t>
      </w:r>
    </w:p>
    <w:p w14:paraId="68E323A0">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2）供应商技术资信投标文件中出现投标报价；</w:t>
      </w:r>
    </w:p>
    <w:p w14:paraId="25C3401A">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3）除5.3条款以外，出现其它明显不符合技术规格、技术标准的要求或不满足招标文件技术规格书中的主要参数的投标文件；</w:t>
      </w:r>
    </w:p>
    <w:p w14:paraId="149092B1">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4）除5.3条款以外，出现投标服务内容与招标文件对比出现较大偏差；商务报价明细表计算错误，出现较大差错；</w:t>
      </w:r>
    </w:p>
    <w:p w14:paraId="515743D2">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5）除5.3条款以外，出现其它不符合招标文件中规定的实质性要求的投标文件，是否为偏离实质性要求由评标委员会认定。</w:t>
      </w:r>
    </w:p>
    <w:p w14:paraId="134FEBDC">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5.5 开启供应商商务报价文件后发现价格、数量有误，其投标价将按下述原则处理：</w:t>
      </w:r>
    </w:p>
    <w:p w14:paraId="6AB17899">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1) 任何有漏去一些小项货物或服务的投标将被视为其费用已包含在投标总价中，投标价格不予调整。如果供应商不接受上述处理方式，将作为无效投标。</w:t>
      </w:r>
    </w:p>
    <w:p w14:paraId="73C9629D">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 任何有多报一些小项工程或服务的投标其投标价不予调整，如果该供应商中标，则合同价格必须为核减掉多报的一些小项工程或服务后的价格。如果供应商不接受上述处理方式，将作为无效投标。</w:t>
      </w:r>
    </w:p>
    <w:p w14:paraId="4E88EF98">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3）对于计算错误的其投标价不予调整，如果该供应商中标，如其投标价格计算错误导致多报者合同价格予以据实核减，少报者合同价格不予调整。如果供应商不接受上述处理方式，将作为无效投标。</w:t>
      </w:r>
    </w:p>
    <w:p w14:paraId="321AC28D">
      <w:pPr>
        <w:adjustRightInd w:val="0"/>
        <w:snapToGrid w:val="0"/>
        <w:spacing w:line="460" w:lineRule="atLeast"/>
        <w:ind w:firstLine="433" w:firstLineChars="197"/>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color w:val="auto"/>
          <w:sz w:val="22"/>
          <w:szCs w:val="22"/>
          <w:highlight w:val="none"/>
          <w:u w:val="single"/>
        </w:rPr>
        <w:t>如认定为重大偏差的，做无效投标处理。</w:t>
      </w:r>
    </w:p>
    <w:p w14:paraId="76EC17B5">
      <w:pPr>
        <w:adjustRightInd w:val="0"/>
        <w:snapToGrid w:val="0"/>
        <w:spacing w:line="460" w:lineRule="atLeast"/>
        <w:ind w:firstLine="435" w:firstLineChars="197"/>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5.6▲评标委员会认为投标供应商的报价明显低于其他通过符合性审查投标供应商的报价，有可能影响产品质量或者不能诚信履约的，将要求其在合理时间内在“政采云平台”上作出在线澄清并提供书面说明，必要时提交相关证明材料；投标供应商不能证明其报价合理性的，评标委员会应当将其作为无效投标处理。</w:t>
      </w:r>
    </w:p>
    <w:p w14:paraId="15C4C106">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u w:val="single"/>
        </w:rPr>
        <w:t>5.7如果投标供应商代表拒绝按评标委员会要求在“政采云平台”作出在线回复且无其他有效回复方式的，评标委员会可以对其作出否决投标处理。</w:t>
      </w:r>
    </w:p>
    <w:p w14:paraId="7EC1BB87">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5.8 经澄清后，若偏差仍存在，且不可接受，则投标文件将被认定为“没有实质性响应招标文件要求”，按无效投标处理，不再进入下一步评审。评标委员会在评标中，不得改变招标文件中规定的评标标准、方法和中标条件。</w:t>
      </w:r>
    </w:p>
    <w:p w14:paraId="5B8E3CF2">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5.9 评标时如遇到招标文件未规定的特殊情况，由评标委员会按少数服从多数原则集体决定处理。</w:t>
      </w:r>
    </w:p>
    <w:p w14:paraId="22BE569F">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6、投标文件的澄清</w:t>
      </w:r>
    </w:p>
    <w:p w14:paraId="5BF5E705">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cs="宋体"/>
          <w:b/>
          <w:bCs/>
          <w:color w:val="auto"/>
          <w:sz w:val="22"/>
          <w:szCs w:val="22"/>
          <w:highlight w:val="none"/>
        </w:rPr>
        <w:t>为有助于投标文件的审查、评价和比较，评标小组可以在“政采云平台”在线询标或其他有效形式要求投标供应商对同一份投标文件含义不明确或同类问题表述不一致的内容（招标文件其它地方有规定处理方法的除外）作必要的澄清或说明，投标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color w:val="auto"/>
          <w:sz w:val="22"/>
          <w:szCs w:val="22"/>
          <w:highlight w:val="none"/>
        </w:rPr>
        <w:t>。</w:t>
      </w:r>
    </w:p>
    <w:p w14:paraId="73D4DC05">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6.2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14:paraId="1EBFAE14">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6.3 供应商对投标文件的澄清不得寻求、提供或允许改变投标价格等实质性内容。 </w:t>
      </w:r>
    </w:p>
    <w:p w14:paraId="45F5533E">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7、禁止供应商相互串通投标。</w:t>
      </w:r>
    </w:p>
    <w:p w14:paraId="1357B505">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7.1、有下列情形之一的，视为供应商相互串通投标：</w:t>
      </w:r>
    </w:p>
    <w:p w14:paraId="183A513E">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（一）不同供应商的投标文件由同一单位或者个人编制；</w:t>
      </w:r>
    </w:p>
    <w:p w14:paraId="16A0CBC0">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（二）不同供应商委托同一单位或者个人办理投标事宜；</w:t>
      </w:r>
    </w:p>
    <w:p w14:paraId="06111E1C">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（三）不同供应商的投标文件载明的项目管理成员为同一人；</w:t>
      </w:r>
    </w:p>
    <w:p w14:paraId="0002B047">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（四）不同供应商的投标文件异常一致或者投标报价呈规律性差异；</w:t>
      </w:r>
    </w:p>
    <w:p w14:paraId="74166E77">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（五）不同供应商的投标文件相互混装；</w:t>
      </w:r>
    </w:p>
    <w:p w14:paraId="070DB0F0">
      <w:pPr>
        <w:adjustRightInd w:val="0"/>
        <w:snapToGrid w:val="0"/>
        <w:spacing w:line="460" w:lineRule="atLeast"/>
        <w:ind w:left="414" w:left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7.2、经评标委员会认定供应商进行串通投标的，评标委员会可以对相关供应商做出无效投标处理，并上报政府采购管理部门进行进一步处理。</w:t>
      </w:r>
    </w:p>
    <w:p w14:paraId="4B70413B">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8、评标原则</w:t>
      </w:r>
    </w:p>
    <w:p w14:paraId="0CD0C258">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8.1 ▲</w:t>
      </w:r>
      <w:r>
        <w:rPr>
          <w:rFonts w:hint="eastAsia" w:hAnsi="宋体" w:cs="宋体"/>
          <w:b/>
          <w:color w:val="auto"/>
          <w:sz w:val="22"/>
          <w:szCs w:val="22"/>
          <w:highlight w:val="none"/>
          <w:u w:val="single"/>
        </w:rPr>
        <w:t>投标截止时或评审过程中有效投标供应商不足三家的，不予开标或评标。</w:t>
      </w:r>
    </w:p>
    <w:p w14:paraId="21C5E548">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9、确定中标候选人</w:t>
      </w:r>
    </w:p>
    <w:p w14:paraId="237D8ED5">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9.1本次招标由评标委员会推荐中标候选人，采购人根据评标委员会的推荐结果进行最终确认。</w:t>
      </w:r>
    </w:p>
    <w:p w14:paraId="2A79CB1F">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9.2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7A4699E1">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9.3若出现以下情形之一，采购人可视具体情况确定是否由下一候选人为中标人或重新组织招标：</w:t>
      </w:r>
    </w:p>
    <w:p w14:paraId="55CC66D4">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05A9B441">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1D131844">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13CD1911">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5CB0320C">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9.4采购人、采购代理机构及评标委员会对未中标的供应商不作解释。</w:t>
      </w:r>
    </w:p>
    <w:p w14:paraId="6FEFE8C3">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10、评标细则详见“评标原则及方法”。</w:t>
      </w:r>
    </w:p>
    <w:p w14:paraId="2A541E15">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 可中止电子交易活动的情形</w:t>
      </w:r>
    </w:p>
    <w:p w14:paraId="3B14D3D0">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11.1采购过程中出现以下情形，导致电子交易平台无法正常运行，或者无法保证电子交易的公平、公正和安全时，采购组织机构可中止电子交易活动：</w:t>
      </w:r>
    </w:p>
    <w:p w14:paraId="6F247234">
      <w:pPr>
        <w:numPr>
          <w:ilvl w:val="2"/>
          <w:numId w:val="4"/>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417213DF">
      <w:pPr>
        <w:numPr>
          <w:ilvl w:val="2"/>
          <w:numId w:val="4"/>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5EB309AC">
      <w:pPr>
        <w:numPr>
          <w:ilvl w:val="2"/>
          <w:numId w:val="4"/>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0C5A59E8">
      <w:pPr>
        <w:numPr>
          <w:ilvl w:val="2"/>
          <w:numId w:val="4"/>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FD7BE80">
      <w:pPr>
        <w:numPr>
          <w:ilvl w:val="2"/>
          <w:numId w:val="4"/>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2EA315BB">
      <w:pPr>
        <w:adjustRightInd w:val="0"/>
        <w:snapToGrid w:val="0"/>
        <w:spacing w:line="460" w:lineRule="atLeast"/>
        <w:ind w:left="414" w:leftChars="197"/>
        <w:rPr>
          <w:rFonts w:hint="eastAsia" w:ascii="宋体" w:hAnsi="宋体" w:cs="宋体"/>
          <w:color w:val="auto"/>
          <w:sz w:val="22"/>
          <w:szCs w:val="22"/>
          <w:highlight w:val="none"/>
        </w:rPr>
      </w:pPr>
      <w:r>
        <w:rPr>
          <w:rFonts w:hint="eastAsia" w:ascii="宋体" w:hAnsi="宋体" w:cs="宋体"/>
          <w:color w:val="auto"/>
          <w:sz w:val="22"/>
          <w:szCs w:val="22"/>
          <w:highlight w:val="none"/>
        </w:rPr>
        <w:t>11.2出现前款规定情形，不影响采购公平、公正性的，采购组织机构可以待上述情形消除后继续组织电子交易活动；影响或可能影响采购公平、公正性的，应当重新采购。</w:t>
      </w:r>
    </w:p>
    <w:p w14:paraId="68ACB921">
      <w:pPr>
        <w:autoSpaceDE w:val="0"/>
        <w:autoSpaceDN w:val="0"/>
        <w:adjustRightInd w:val="0"/>
        <w:snapToGrid w:val="0"/>
        <w:spacing w:line="440" w:lineRule="exact"/>
        <w:ind w:firstLine="422" w:firstLineChars="150"/>
        <w:jc w:val="center"/>
        <w:textAlignment w:val="bottom"/>
        <w:outlineLvl w:val="1"/>
        <w:rPr>
          <w:rFonts w:hint="eastAsia" w:ascii="宋体" w:hAnsi="宋体" w:cs="宋体"/>
          <w:b/>
          <w:bCs/>
          <w:color w:val="auto"/>
          <w:sz w:val="28"/>
          <w:szCs w:val="28"/>
          <w:highlight w:val="none"/>
        </w:rPr>
      </w:pPr>
      <w:bookmarkStart w:id="69" w:name="_Toc496116255"/>
      <w:bookmarkStart w:id="70" w:name="_Toc17810"/>
      <w:r>
        <w:rPr>
          <w:rFonts w:hint="eastAsia" w:ascii="宋体" w:hAnsi="宋体" w:cs="宋体"/>
          <w:b/>
          <w:bCs/>
          <w:color w:val="auto"/>
          <w:sz w:val="28"/>
          <w:szCs w:val="28"/>
          <w:highlight w:val="none"/>
        </w:rPr>
        <w:t>七、授予合同</w:t>
      </w:r>
      <w:bookmarkEnd w:id="69"/>
      <w:bookmarkEnd w:id="70"/>
    </w:p>
    <w:p w14:paraId="0B44DA6C">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1、决标</w:t>
      </w:r>
    </w:p>
    <w:p w14:paraId="00EB7152">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1.1、评标结束后，评标委员会按照招标文件确定的评标办法推荐中标供应商。</w:t>
      </w:r>
    </w:p>
    <w:p w14:paraId="3CC50B28">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2、中标通知书</w:t>
      </w:r>
    </w:p>
    <w:p w14:paraId="4A02CF25">
      <w:pPr>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2.1、采购人依法确认中标供应商后，代理机构在浙江省政府采购网上公告中标结果，公告期限为1个工作日。同时向中标供应商发出中标通知书。</w:t>
      </w:r>
    </w:p>
    <w:p w14:paraId="2E76E1A1">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2.2、中标通知书对采购人和中标人具有法律约束力。中标通知书发出后，采购人改变中标结果或者中标人放弃中标的，应当承担法律责任。</w:t>
      </w:r>
    </w:p>
    <w:p w14:paraId="0DFD96ED">
      <w:pPr>
        <w:adjustRightInd w:val="0"/>
        <w:snapToGrid w:val="0"/>
        <w:spacing w:line="460" w:lineRule="atLeast"/>
        <w:ind w:firstLine="435" w:firstLineChars="197"/>
        <w:rPr>
          <w:rFonts w:hint="eastAsia" w:ascii="宋体" w:hAnsi="宋体" w:cs="宋体"/>
          <w:b/>
          <w:color w:val="auto"/>
          <w:sz w:val="22"/>
          <w:szCs w:val="22"/>
          <w:highlight w:val="none"/>
        </w:rPr>
      </w:pPr>
      <w:r>
        <w:rPr>
          <w:rFonts w:hint="eastAsia" w:ascii="宋体" w:hAnsi="宋体" w:cs="宋体"/>
          <w:b/>
          <w:color w:val="auto"/>
          <w:sz w:val="22"/>
          <w:szCs w:val="22"/>
          <w:highlight w:val="none"/>
        </w:rPr>
        <w:t>2.3、中标无效</w:t>
      </w:r>
    </w:p>
    <w:p w14:paraId="05AD1172">
      <w:pPr>
        <w:adjustRightInd w:val="0"/>
        <w:snapToGrid w:val="0"/>
        <w:spacing w:line="460" w:lineRule="atLeast"/>
        <w:ind w:firstLine="433" w:firstLineChars="197"/>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14:paraId="09C9CC4D">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2）有《中华人民共和国政府采购法实施条例》第七十一条、第七十二条、第七十三条、第七十四条规定的违法行为之一，由政府采购监管部门依法处理。</w:t>
      </w:r>
    </w:p>
    <w:p w14:paraId="07B60346">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14:paraId="67F2EAA4">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14:paraId="3DF53499">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4.2 招标文件、中标供应商的投标文件及投标修改文件、评标过程中有关澄清文件及经双方签字的询标纪要（承诺）和中标通知书均作为合同附件。</w:t>
      </w:r>
    </w:p>
    <w:p w14:paraId="106A8BD3">
      <w:pPr>
        <w:adjustRightInd w:val="0"/>
        <w:snapToGrid w:val="0"/>
        <w:spacing w:line="460" w:lineRule="atLeast"/>
        <w:ind w:firstLine="433" w:firstLineChars="19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249D5EF0">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中标供应商在规定时间内（30日历天）借故否认已经承诺的条件、拒签合同或拒交履约保证金者，以投标违约处理，赔偿采购人由此造成的直接经济损失；采购人重新组织招标的，所需费用由原中标供应商承担。</w:t>
      </w:r>
    </w:p>
    <w:p w14:paraId="01015E16">
      <w:pPr>
        <w:pStyle w:val="24"/>
        <w:snapToGrid w:val="0"/>
        <w:spacing w:line="460" w:lineRule="atLeast"/>
        <w:ind w:firstLine="433" w:firstLineChars="197"/>
        <w:rPr>
          <w:rFonts w:hint="eastAsia" w:hAnsi="宋体" w:cs="宋体"/>
          <w:color w:val="auto"/>
          <w:sz w:val="22"/>
          <w:szCs w:val="22"/>
          <w:highlight w:val="none"/>
        </w:rPr>
      </w:pPr>
      <w:r>
        <w:rPr>
          <w:rFonts w:hint="eastAsia" w:hAnsi="宋体" w:cs="宋体"/>
          <w:color w:val="auto"/>
          <w:sz w:val="22"/>
          <w:szCs w:val="22"/>
          <w:highlight w:val="none"/>
        </w:rPr>
        <w:t>4.4 采购人在授予合同时有权对采购的服务予以增加或减少，但不得对单价或其他的条款和条件做任何改变。</w:t>
      </w:r>
    </w:p>
    <w:p w14:paraId="49F50E07">
      <w:pPr>
        <w:pStyle w:val="24"/>
        <w:snapToGrid w:val="0"/>
        <w:spacing w:line="460" w:lineRule="atLeast"/>
        <w:ind w:firstLine="435" w:firstLineChars="197"/>
        <w:rPr>
          <w:rFonts w:hint="eastAsia" w:hAnsi="宋体" w:cs="宋体"/>
          <w:b/>
          <w:color w:val="auto"/>
          <w:sz w:val="22"/>
          <w:szCs w:val="22"/>
          <w:highlight w:val="none"/>
        </w:rPr>
      </w:pPr>
      <w:r>
        <w:rPr>
          <w:rFonts w:hint="eastAsia" w:hAnsi="宋体" w:cs="宋体"/>
          <w:b/>
          <w:color w:val="auto"/>
          <w:sz w:val="22"/>
          <w:szCs w:val="22"/>
          <w:highlight w:val="none"/>
        </w:rPr>
        <w:t>5、履约保证金</w:t>
      </w:r>
    </w:p>
    <w:p w14:paraId="782F5BDA">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履约保证金按招标文件规定，在中标人与采购人签订合同后递交。</w:t>
      </w:r>
    </w:p>
    <w:p w14:paraId="112A0157">
      <w:pPr>
        <w:pStyle w:val="2"/>
        <w:ind w:firstLine="422"/>
        <w:rPr>
          <w:rFonts w:hint="eastAsia" w:ascii="宋体" w:eastAsia="宋体"/>
          <w:color w:val="auto"/>
          <w:highlight w:val="none"/>
        </w:rPr>
      </w:pPr>
      <w:r>
        <w:rPr>
          <w:rFonts w:hint="eastAsia" w:ascii="宋体" w:eastAsia="宋体"/>
          <w:color w:val="auto"/>
          <w:highlight w:val="none"/>
        </w:rPr>
        <w:t>6、</w:t>
      </w:r>
      <w:r>
        <w:rPr>
          <w:rFonts w:hint="eastAsia" w:ascii="宋体" w:eastAsia="宋体"/>
          <w:color w:val="auto"/>
          <w:sz w:val="22"/>
          <w:szCs w:val="22"/>
          <w:highlight w:val="none"/>
        </w:rPr>
        <w:t>招标代理服务费</w:t>
      </w:r>
    </w:p>
    <w:p w14:paraId="5C7C2A8A">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本次项目招标代理服务费按固定金额人民币</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000元收取（含前期介绍、洽谈、论证等费用）。采购人不负责任何招标代理服务费用。招标代理服务费由中标人支付，请报价人在报价时予以考虑。招标代理服务费汇入以下帐户：</w:t>
      </w:r>
    </w:p>
    <w:p w14:paraId="511E3A55">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开户银行：中国建设银行永嘉广场支行</w:t>
      </w:r>
    </w:p>
    <w:p w14:paraId="30D0ED5A">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开户名称：温州市中概工程管理咨询有限公司</w:t>
      </w:r>
    </w:p>
    <w:p w14:paraId="65F61B03">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开户帐号：33050162766300000011</w:t>
      </w:r>
    </w:p>
    <w:p w14:paraId="5FD5C24D">
      <w:pPr>
        <w:autoSpaceDE w:val="0"/>
        <w:autoSpaceDN w:val="0"/>
        <w:adjustRightInd w:val="0"/>
        <w:snapToGrid w:val="0"/>
        <w:spacing w:line="460" w:lineRule="atLeast"/>
        <w:ind w:firstLine="433" w:firstLineChars="197"/>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招标代理服务费须在领取《中标通知书》前付清。</w:t>
      </w:r>
    </w:p>
    <w:p w14:paraId="5DF84DD9">
      <w:pPr>
        <w:spacing w:line="360" w:lineRule="auto"/>
        <w:ind w:left="480" w:hanging="480" w:hangingChars="200"/>
        <w:rPr>
          <w:rFonts w:hint="eastAsia" w:ascii="宋体" w:hAnsi="宋体" w:cs="宋体"/>
          <w:color w:val="auto"/>
          <w:sz w:val="24"/>
          <w:highlight w:val="none"/>
        </w:rPr>
      </w:pPr>
      <w:bookmarkStart w:id="71" w:name="_Toc293038718"/>
    </w:p>
    <w:bookmarkEnd w:id="71"/>
    <w:p w14:paraId="250F6587">
      <w:pPr>
        <w:spacing w:line="360" w:lineRule="auto"/>
        <w:ind w:left="480" w:hanging="480" w:hangingChars="200"/>
        <w:rPr>
          <w:rFonts w:hint="eastAsia"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1134" w:right="1134" w:bottom="1134" w:left="1134" w:header="851" w:footer="850" w:gutter="0"/>
          <w:pgNumType w:start="1"/>
          <w:cols w:space="720" w:num="1"/>
          <w:titlePg/>
          <w:docGrid w:type="lines" w:linePitch="312" w:charSpace="0"/>
        </w:sectPr>
      </w:pPr>
    </w:p>
    <w:p w14:paraId="6DD8378E">
      <w:pPr>
        <w:pStyle w:val="40"/>
        <w:rPr>
          <w:rFonts w:hint="eastAsia" w:ascii="宋体" w:hAnsi="宋体" w:cs="宋体"/>
          <w:color w:val="auto"/>
          <w:sz w:val="30"/>
          <w:szCs w:val="30"/>
          <w:highlight w:val="none"/>
        </w:rPr>
      </w:pPr>
      <w:bookmarkStart w:id="72" w:name="_Toc30125"/>
      <w:bookmarkStart w:id="73" w:name="_Toc498343170"/>
      <w:bookmarkStart w:id="74" w:name="_Toc293038719"/>
      <w:r>
        <w:rPr>
          <w:rFonts w:hint="eastAsia" w:ascii="宋体" w:hAnsi="宋体" w:cs="宋体"/>
          <w:color w:val="auto"/>
          <w:sz w:val="30"/>
          <w:szCs w:val="30"/>
          <w:highlight w:val="none"/>
        </w:rPr>
        <w:t>第四部分  政府采购政策功能相关说明</w:t>
      </w:r>
      <w:bookmarkEnd w:id="72"/>
    </w:p>
    <w:p w14:paraId="7ADE071C">
      <w:pPr>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一、小、微企业（含监狱企业、残疾人福利性单位）扶持政策说明</w:t>
      </w:r>
    </w:p>
    <w:p w14:paraId="2BB2C7BC">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1、文件依据</w:t>
      </w:r>
    </w:p>
    <w:p w14:paraId="1D08B65B">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（1）关于印发《政府采购促进中小企业发展管理办法》的通知（财库〔2020〕46号）</w:t>
      </w:r>
    </w:p>
    <w:p w14:paraId="7E776403">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（2）浙江省省财政厅《关于开展政府采购投标供应商网上注册登记和诚信管理工作的通知》（浙财采监〔2010〕8号)</w:t>
      </w:r>
    </w:p>
    <w:p w14:paraId="1F880B12">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（3）《工业和信息化部、国家统计局、国家发展和改革委员会、财政部关于印发中小企业划型标准规定的通知》（工信部联企业[2011]300号）</w:t>
      </w:r>
    </w:p>
    <w:p w14:paraId="67EB4494">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（4）财政部、司法部《关于政府采购支持监狱企业发展有关问题的通知》（财库〔2014〕68号）</w:t>
      </w:r>
    </w:p>
    <w:p w14:paraId="6834B0B1">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（5）《财政部 民政部 中国残疾人联合会关于促进残疾人就业政府采购政策的通知》（财库〔2017〕 141号）</w:t>
      </w:r>
    </w:p>
    <w:p w14:paraId="25A700E9">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（6）《浙江省财政厅  浙江省经济和信息化委员会关于简化中小企业类别确认流程有关事项的通知》（浙财采监〔2018〕2号)</w:t>
      </w:r>
    </w:p>
    <w:p w14:paraId="4FF3B3FA">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（7）《浙江省财政厅关于进一步发挥政府采购政策功能全力推动经济稳进提质的通知》（浙财采监〔2022〕3号）</w:t>
      </w:r>
    </w:p>
    <w:p w14:paraId="701D7CED">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（8）《浙江省财政厅关于进一步加大政府采购支持中小企业力度 助力扎实稳住经济的通知》（浙财采监〔2022〕8号）</w:t>
      </w:r>
    </w:p>
    <w:p w14:paraId="2E76028D">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2、享受小微企业价格折扣应具备的条件与价格折扣比例</w:t>
      </w:r>
    </w:p>
    <w:p w14:paraId="59B40D19">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（1）在货物采购项目中，货物由中小企业制造，即货物由中小企业生产且使用该中小企业商号或者注册商标；</w:t>
      </w:r>
    </w:p>
    <w:p w14:paraId="6D1A2B8E">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（2）在工程采购项目中，工程由中小企业承建，即工程施工单位为中小企业；</w:t>
      </w:r>
    </w:p>
    <w:p w14:paraId="6B82BF12">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（3）在服务采购项目中，服务由中小企业承接，即提供服务的人员为中小企业依照《中华人民共和国劳动合同法》订立劳动合同的从业人员。</w:t>
      </w:r>
    </w:p>
    <w:p w14:paraId="3B2B9976">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在货物采购项目中，供应商提供的货物既有中小企业制造货物，也有大型企业制造货物的，不享受本办法规定的中小企业扶持政策。</w:t>
      </w:r>
    </w:p>
    <w:p w14:paraId="2289FCA2">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以联合体形式参加政府采购活动，联合体各方均为中小企业的，联合体视同中小企业。其中，联合体各方均为小微企业的，联合体视同小微企业。</w:t>
      </w:r>
    </w:p>
    <w:p w14:paraId="47CEE82D">
      <w:pPr>
        <w:spacing w:line="440" w:lineRule="atLeas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（4）本项目对小型和微型企业产品的价格给予10%的扣除，用扣除后的价格参与评审</w:t>
      </w:r>
      <w:r>
        <w:rPr>
          <w:rFonts w:hint="eastAsia" w:ascii="宋体" w:hAnsi="宋体" w:cs="宋体"/>
          <w:color w:val="auto"/>
          <w:sz w:val="22"/>
          <w:szCs w:val="22"/>
          <w:highlight w:val="none"/>
        </w:rPr>
        <w:t>。</w:t>
      </w:r>
    </w:p>
    <w:p w14:paraId="3564D170">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3、享受小微企业价格折扣投标文件中应提供以下证明材料</w:t>
      </w:r>
      <w:r>
        <w:rPr>
          <w:rFonts w:hint="eastAsia" w:ascii="宋体" w:hAnsi="宋体" w:cs="宋体"/>
          <w:color w:val="auto"/>
          <w:sz w:val="22"/>
          <w:szCs w:val="22"/>
          <w:highlight w:val="none"/>
        </w:rPr>
        <w:t>：</w:t>
      </w:r>
    </w:p>
    <w:p w14:paraId="74161DD4">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（1）《中小企业声明函》（原件，加盖投标供应商公章，格式见附件1）</w:t>
      </w:r>
    </w:p>
    <w:p w14:paraId="7F46377A">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享受监狱企业价格折扣应提供以下证明材料（投标文件中，不提供的不享受价格折扣或政策扶持）</w:t>
      </w:r>
      <w:r>
        <w:rPr>
          <w:rFonts w:hint="eastAsia" w:ascii="宋体" w:hAnsi="宋体" w:cs="宋体"/>
          <w:color w:val="auto"/>
          <w:sz w:val="22"/>
          <w:szCs w:val="22"/>
          <w:highlight w:val="none"/>
        </w:rPr>
        <w:t>：</w:t>
      </w:r>
    </w:p>
    <w:p w14:paraId="4FB97E2D">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参加政府采购活动时，应当提供由省级以上监狱管理局、戒毒管理局(含新疆生产建设兵团)出具的属于监狱企业的证明文件（原件或扫描件加盖公章）。在政府采购活动中，监狱企业视同小型、微型企业，享受价格折扣或政策扶持。</w:t>
      </w:r>
    </w:p>
    <w:p w14:paraId="106EE71B">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享受残疾人福利性单位格折扣应提供以下证明材料（投标文件中，不提供的不享受价格折扣或政策扶持）</w:t>
      </w:r>
      <w:r>
        <w:rPr>
          <w:rFonts w:hint="eastAsia" w:ascii="宋体" w:hAnsi="宋体" w:cs="宋体"/>
          <w:color w:val="auto"/>
          <w:sz w:val="22"/>
          <w:szCs w:val="22"/>
          <w:highlight w:val="none"/>
        </w:rPr>
        <w:t>：</w:t>
      </w:r>
    </w:p>
    <w:p w14:paraId="4C2D0A54">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（1）残疾人福利性单位声明函（附件2）；</w:t>
      </w:r>
    </w:p>
    <w:p w14:paraId="21C8769A">
      <w:pPr>
        <w:spacing w:line="440"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或政策扶持。</w:t>
      </w:r>
    </w:p>
    <w:p w14:paraId="42A91654">
      <w:pPr>
        <w:spacing w:line="440" w:lineRule="atLeast"/>
        <w:jc w:val="left"/>
        <w:rPr>
          <w:rFonts w:hint="eastAsia" w:ascii="宋体" w:hAnsi="宋体" w:cs="宋体"/>
          <w:b/>
          <w:bCs/>
          <w:color w:val="auto"/>
          <w:sz w:val="22"/>
          <w:szCs w:val="22"/>
          <w:highlight w:val="none"/>
        </w:rPr>
      </w:pPr>
    </w:p>
    <w:p w14:paraId="6AA0AF46">
      <w:pPr>
        <w:spacing w:line="440" w:lineRule="atLeast"/>
        <w:jc w:val="left"/>
        <w:rPr>
          <w:rFonts w:hint="eastAsia" w:ascii="宋体" w:hAnsi="宋体" w:cs="宋体"/>
          <w:b/>
          <w:bCs/>
          <w:color w:val="auto"/>
          <w:sz w:val="22"/>
          <w:szCs w:val="22"/>
          <w:highlight w:val="none"/>
        </w:rPr>
      </w:pPr>
    </w:p>
    <w:p w14:paraId="0C355BA4">
      <w:pPr>
        <w:spacing w:line="440" w:lineRule="atLeast"/>
        <w:jc w:val="left"/>
        <w:rPr>
          <w:rFonts w:hint="eastAsia" w:ascii="宋体" w:hAnsi="宋体" w:cs="宋体"/>
          <w:b/>
          <w:bCs/>
          <w:color w:val="auto"/>
          <w:sz w:val="22"/>
          <w:szCs w:val="22"/>
          <w:highlight w:val="none"/>
        </w:rPr>
      </w:pPr>
    </w:p>
    <w:p w14:paraId="59E7437C">
      <w:pPr>
        <w:spacing w:line="440" w:lineRule="atLeast"/>
        <w:jc w:val="left"/>
        <w:rPr>
          <w:rFonts w:hint="eastAsia" w:ascii="宋体" w:hAnsi="宋体" w:cs="宋体"/>
          <w:b/>
          <w:bCs/>
          <w:color w:val="auto"/>
          <w:sz w:val="22"/>
          <w:szCs w:val="22"/>
          <w:highlight w:val="none"/>
        </w:rPr>
      </w:pPr>
    </w:p>
    <w:p w14:paraId="15882DE0">
      <w:pPr>
        <w:spacing w:line="440" w:lineRule="atLeast"/>
        <w:jc w:val="left"/>
        <w:rPr>
          <w:rFonts w:hint="eastAsia" w:ascii="宋体" w:hAnsi="宋体" w:cs="宋体"/>
          <w:b/>
          <w:bCs/>
          <w:color w:val="auto"/>
          <w:sz w:val="22"/>
          <w:szCs w:val="22"/>
          <w:highlight w:val="none"/>
        </w:rPr>
      </w:pPr>
    </w:p>
    <w:p w14:paraId="2934FEFC">
      <w:pPr>
        <w:spacing w:line="440" w:lineRule="atLeast"/>
        <w:jc w:val="left"/>
        <w:rPr>
          <w:rFonts w:hint="eastAsia" w:ascii="宋体" w:hAnsi="宋体" w:cs="宋体"/>
          <w:b/>
          <w:bCs/>
          <w:color w:val="auto"/>
          <w:sz w:val="22"/>
          <w:szCs w:val="22"/>
          <w:highlight w:val="none"/>
        </w:rPr>
      </w:pPr>
    </w:p>
    <w:p w14:paraId="1EF139D0">
      <w:pPr>
        <w:spacing w:line="440" w:lineRule="atLeast"/>
        <w:jc w:val="left"/>
        <w:rPr>
          <w:rFonts w:hint="eastAsia" w:ascii="宋体" w:hAnsi="宋体" w:cs="宋体"/>
          <w:b/>
          <w:bCs/>
          <w:color w:val="auto"/>
          <w:sz w:val="22"/>
          <w:szCs w:val="22"/>
          <w:highlight w:val="none"/>
        </w:rPr>
      </w:pPr>
    </w:p>
    <w:p w14:paraId="0130D02E">
      <w:pPr>
        <w:spacing w:line="440" w:lineRule="atLeast"/>
        <w:jc w:val="left"/>
        <w:rPr>
          <w:rFonts w:hint="eastAsia" w:ascii="宋体" w:hAnsi="宋体" w:cs="宋体"/>
          <w:b/>
          <w:bCs/>
          <w:color w:val="auto"/>
          <w:sz w:val="22"/>
          <w:szCs w:val="22"/>
          <w:highlight w:val="none"/>
        </w:rPr>
      </w:pPr>
    </w:p>
    <w:p w14:paraId="3CED96FF">
      <w:pPr>
        <w:spacing w:line="440" w:lineRule="atLeast"/>
        <w:jc w:val="left"/>
        <w:rPr>
          <w:rFonts w:hint="eastAsia" w:ascii="宋体" w:hAnsi="宋体" w:cs="宋体"/>
          <w:b/>
          <w:bCs/>
          <w:color w:val="auto"/>
          <w:sz w:val="22"/>
          <w:szCs w:val="22"/>
          <w:highlight w:val="none"/>
        </w:rPr>
      </w:pPr>
    </w:p>
    <w:p w14:paraId="522FD016">
      <w:pPr>
        <w:spacing w:line="440" w:lineRule="atLeast"/>
        <w:jc w:val="left"/>
        <w:rPr>
          <w:rFonts w:hint="eastAsia" w:ascii="宋体" w:hAnsi="宋体" w:cs="宋体"/>
          <w:b/>
          <w:bCs/>
          <w:color w:val="auto"/>
          <w:sz w:val="22"/>
          <w:szCs w:val="22"/>
          <w:highlight w:val="none"/>
        </w:rPr>
      </w:pPr>
    </w:p>
    <w:p w14:paraId="1DEB1D9E">
      <w:pPr>
        <w:spacing w:line="440" w:lineRule="atLeast"/>
        <w:jc w:val="left"/>
        <w:rPr>
          <w:rFonts w:hint="eastAsia" w:ascii="宋体" w:hAnsi="宋体" w:cs="宋体"/>
          <w:b/>
          <w:bCs/>
          <w:color w:val="auto"/>
          <w:sz w:val="22"/>
          <w:szCs w:val="22"/>
          <w:highlight w:val="none"/>
        </w:rPr>
      </w:pPr>
    </w:p>
    <w:p w14:paraId="1C27D05C">
      <w:pPr>
        <w:widowControl/>
        <w:spacing w:before="100" w:beforeAutospacing="1" w:after="100" w:afterAutospacing="1" w:line="440" w:lineRule="atLeast"/>
        <w:jc w:val="left"/>
        <w:rPr>
          <w:rFonts w:hint="eastAsia" w:ascii="宋体" w:hAnsi="宋体" w:cs="宋体"/>
          <w:b/>
          <w:bCs/>
          <w:color w:val="auto"/>
          <w:sz w:val="24"/>
          <w:highlight w:val="none"/>
        </w:rPr>
      </w:pPr>
    </w:p>
    <w:p w14:paraId="24CC473A">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43709C4">
      <w:pPr>
        <w:widowControl/>
        <w:spacing w:before="100" w:beforeAutospacing="1" w:after="100" w:afterAutospacing="1" w:line="440" w:lineRule="atLeast"/>
        <w:jc w:val="left"/>
        <w:rPr>
          <w:rFonts w:hint="eastAsia" w:ascii="宋体" w:hAnsi="宋体" w:cs="宋体"/>
          <w:b/>
          <w:bCs/>
          <w:color w:val="auto"/>
          <w:sz w:val="24"/>
          <w:highlight w:val="none"/>
        </w:rPr>
      </w:pPr>
      <w:r>
        <w:rPr>
          <w:rFonts w:hint="eastAsia" w:ascii="宋体" w:hAnsi="宋体" w:cs="宋体"/>
          <w:b/>
          <w:bCs/>
          <w:color w:val="auto"/>
          <w:sz w:val="24"/>
          <w:highlight w:val="none"/>
        </w:rPr>
        <w:t>附件1：</w:t>
      </w:r>
    </w:p>
    <w:p w14:paraId="79C88E9E">
      <w:pPr>
        <w:widowControl/>
        <w:jc w:val="left"/>
        <w:rPr>
          <w:rFonts w:hint="eastAsia" w:ascii="宋体" w:hAnsi="宋体" w:cs="宋体"/>
          <w:color w:val="auto"/>
          <w:sz w:val="22"/>
          <w:szCs w:val="22"/>
          <w:highlight w:val="none"/>
        </w:rPr>
      </w:pPr>
    </w:p>
    <w:p w14:paraId="754D19E2">
      <w:pPr>
        <w:pStyle w:val="40"/>
        <w:rPr>
          <w:rFonts w:ascii="宋体" w:hAnsi="宋体" w:cs="宋体"/>
          <w:color w:val="auto"/>
          <w:highlight w:val="none"/>
        </w:rPr>
      </w:pPr>
      <w:bookmarkStart w:id="75" w:name="_Toc31622"/>
      <w:bookmarkStart w:id="76" w:name="_Toc61276420"/>
      <w:r>
        <w:rPr>
          <w:rFonts w:hint="eastAsia" w:ascii="宋体" w:hAnsi="宋体" w:cs="宋体"/>
          <w:color w:val="auto"/>
          <w:highlight w:val="none"/>
        </w:rPr>
        <w:t>中小企业声明函（工程、服务）</w:t>
      </w:r>
      <w:bookmarkEnd w:id="75"/>
      <w:bookmarkEnd w:id="76"/>
    </w:p>
    <w:p w14:paraId="6BA522C3">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本公司（联合体）郑重声明，根据《政府采购促进中小企业发展管理办法》（财库﹝2020﹞46 号）的规定，本公司（联合体）参加</w:t>
      </w:r>
      <w:r>
        <w:rPr>
          <w:rFonts w:hint="eastAsia" w:ascii="宋体"/>
          <w:color w:val="auto"/>
          <w:sz w:val="22"/>
          <w:szCs w:val="22"/>
          <w:highlight w:val="none"/>
          <w:u w:val="single"/>
        </w:rPr>
        <w:t xml:space="preserve"> （单位名称）</w:t>
      </w:r>
      <w:r>
        <w:rPr>
          <w:rFonts w:hint="eastAsia" w:ascii="宋体"/>
          <w:color w:val="auto"/>
          <w:sz w:val="22"/>
          <w:szCs w:val="22"/>
          <w:highlight w:val="none"/>
        </w:rPr>
        <w:t xml:space="preserve"> 的 </w:t>
      </w:r>
      <w:r>
        <w:rPr>
          <w:rFonts w:hint="eastAsia" w:ascii="宋体"/>
          <w:color w:val="auto"/>
          <w:sz w:val="22"/>
          <w:szCs w:val="22"/>
          <w:highlight w:val="none"/>
          <w:u w:val="single"/>
        </w:rPr>
        <w:t>（项目名称）</w:t>
      </w:r>
      <w:r>
        <w:rPr>
          <w:rFonts w:hint="eastAsia" w:ascii="宋体"/>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A3992C5">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1. </w:t>
      </w:r>
      <w:r>
        <w:rPr>
          <w:rFonts w:hint="eastAsia" w:ascii="宋体"/>
          <w:color w:val="auto"/>
          <w:sz w:val="22"/>
          <w:szCs w:val="22"/>
          <w:highlight w:val="none"/>
          <w:u w:val="single"/>
        </w:rPr>
        <w:t xml:space="preserve">（标的名称） </w:t>
      </w:r>
      <w:r>
        <w:rPr>
          <w:rFonts w:hint="eastAsia" w:ascii="宋体"/>
          <w:color w:val="auto"/>
          <w:sz w:val="22"/>
          <w:szCs w:val="22"/>
          <w:highlight w:val="none"/>
        </w:rPr>
        <w:t>，属于</w:t>
      </w:r>
      <w:r>
        <w:rPr>
          <w:rFonts w:hint="eastAsia" w:ascii="宋体"/>
          <w:color w:val="auto"/>
          <w:sz w:val="22"/>
          <w:szCs w:val="22"/>
          <w:highlight w:val="none"/>
          <w:u w:val="single"/>
        </w:rPr>
        <w:t>其他未列明行业</w:t>
      </w:r>
      <w:r>
        <w:rPr>
          <w:rFonts w:hint="eastAsia" w:ascii="宋体"/>
          <w:color w:val="auto"/>
          <w:sz w:val="22"/>
          <w:szCs w:val="22"/>
          <w:highlight w:val="none"/>
        </w:rPr>
        <w:t xml:space="preserve"> ；承建（承接）企业为 </w:t>
      </w:r>
      <w:r>
        <w:rPr>
          <w:rFonts w:hint="eastAsia" w:ascii="宋体"/>
          <w:color w:val="auto"/>
          <w:sz w:val="22"/>
          <w:szCs w:val="22"/>
          <w:highlight w:val="none"/>
          <w:u w:val="single"/>
        </w:rPr>
        <w:t xml:space="preserve">（企业名称） </w:t>
      </w:r>
      <w:r>
        <w:rPr>
          <w:rFonts w:hint="eastAsia" w:ascii="宋体"/>
          <w:color w:val="auto"/>
          <w:sz w:val="22"/>
          <w:szCs w:val="22"/>
          <w:highlight w:val="none"/>
        </w:rPr>
        <w:t>，从业人员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万元 ，属于</w:t>
      </w:r>
      <w:r>
        <w:rPr>
          <w:rFonts w:hint="eastAsia" w:ascii="宋体"/>
          <w:color w:val="auto"/>
          <w:sz w:val="22"/>
          <w:szCs w:val="22"/>
          <w:highlight w:val="none"/>
          <w:u w:val="single"/>
        </w:rPr>
        <w:t xml:space="preserve">       （中型企业、小型企业、微型企业） </w:t>
      </w:r>
      <w:r>
        <w:rPr>
          <w:rFonts w:hint="eastAsia" w:ascii="宋体"/>
          <w:color w:val="auto"/>
          <w:sz w:val="22"/>
          <w:szCs w:val="22"/>
          <w:highlight w:val="none"/>
        </w:rPr>
        <w:t>；</w:t>
      </w:r>
    </w:p>
    <w:p w14:paraId="6AD16F22">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 xml:space="preserve">2. </w:t>
      </w:r>
      <w:r>
        <w:rPr>
          <w:rFonts w:hint="eastAsia" w:ascii="宋体"/>
          <w:color w:val="auto"/>
          <w:sz w:val="22"/>
          <w:szCs w:val="22"/>
          <w:highlight w:val="none"/>
          <w:u w:val="single"/>
        </w:rPr>
        <w:t>（标的名称）</w:t>
      </w:r>
      <w:r>
        <w:rPr>
          <w:rFonts w:hint="eastAsia" w:ascii="宋体"/>
          <w:color w:val="auto"/>
          <w:sz w:val="22"/>
          <w:szCs w:val="22"/>
          <w:highlight w:val="none"/>
        </w:rPr>
        <w:t xml:space="preserve"> ，属于</w:t>
      </w:r>
      <w:r>
        <w:rPr>
          <w:rFonts w:hint="eastAsia" w:ascii="宋体"/>
          <w:color w:val="auto"/>
          <w:sz w:val="22"/>
          <w:szCs w:val="22"/>
          <w:highlight w:val="none"/>
          <w:u w:val="single"/>
        </w:rPr>
        <w:t xml:space="preserve">其他未列明行业 </w:t>
      </w:r>
      <w:r>
        <w:rPr>
          <w:rFonts w:hint="eastAsia" w:ascii="宋体"/>
          <w:color w:val="auto"/>
          <w:sz w:val="22"/>
          <w:szCs w:val="22"/>
          <w:highlight w:val="none"/>
        </w:rPr>
        <w:t>；承建（承接）企业为</w:t>
      </w:r>
      <w:r>
        <w:rPr>
          <w:rFonts w:hint="eastAsia" w:ascii="宋体"/>
          <w:color w:val="auto"/>
          <w:sz w:val="22"/>
          <w:szCs w:val="22"/>
          <w:highlight w:val="none"/>
          <w:u w:val="single"/>
        </w:rPr>
        <w:t xml:space="preserve"> （企业名称）</w:t>
      </w:r>
      <w:r>
        <w:rPr>
          <w:rFonts w:hint="eastAsia" w:ascii="宋体"/>
          <w:color w:val="auto"/>
          <w:sz w:val="22"/>
          <w:szCs w:val="22"/>
          <w:highlight w:val="none"/>
        </w:rPr>
        <w:t xml:space="preserve"> ，从业人员</w:t>
      </w:r>
      <w:r>
        <w:rPr>
          <w:rFonts w:hint="eastAsia" w:ascii="宋体"/>
          <w:color w:val="auto"/>
          <w:sz w:val="22"/>
          <w:szCs w:val="22"/>
          <w:highlight w:val="none"/>
          <w:u w:val="single"/>
        </w:rPr>
        <w:t xml:space="preserve">        </w:t>
      </w:r>
      <w:r>
        <w:rPr>
          <w:rFonts w:hint="eastAsia" w:ascii="宋体"/>
          <w:color w:val="auto"/>
          <w:sz w:val="22"/>
          <w:szCs w:val="22"/>
          <w:highlight w:val="none"/>
        </w:rPr>
        <w:t>人，营业收入为</w:t>
      </w:r>
      <w:r>
        <w:rPr>
          <w:rFonts w:hint="eastAsia" w:ascii="宋体"/>
          <w:color w:val="auto"/>
          <w:sz w:val="22"/>
          <w:szCs w:val="22"/>
          <w:highlight w:val="none"/>
          <w:u w:val="single"/>
        </w:rPr>
        <w:t xml:space="preserve">        </w:t>
      </w:r>
      <w:r>
        <w:rPr>
          <w:rFonts w:hint="eastAsia" w:ascii="宋体"/>
          <w:color w:val="auto"/>
          <w:sz w:val="22"/>
          <w:szCs w:val="22"/>
          <w:highlight w:val="none"/>
        </w:rPr>
        <w:t>万元，资产总额为</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万元，属于 </w:t>
      </w:r>
      <w:r>
        <w:rPr>
          <w:rFonts w:hint="eastAsia" w:ascii="宋体"/>
          <w:color w:val="auto"/>
          <w:sz w:val="22"/>
          <w:szCs w:val="22"/>
          <w:highlight w:val="none"/>
          <w:u w:val="single"/>
        </w:rPr>
        <w:t xml:space="preserve">       （中型企业、小型企业、微型企业）</w:t>
      </w:r>
      <w:r>
        <w:rPr>
          <w:rFonts w:hint="eastAsia" w:ascii="宋体"/>
          <w:color w:val="auto"/>
          <w:sz w:val="22"/>
          <w:szCs w:val="22"/>
          <w:highlight w:val="none"/>
        </w:rPr>
        <w:t xml:space="preserve"> ；</w:t>
      </w:r>
    </w:p>
    <w:p w14:paraId="4F0C40F6">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w:t>
      </w:r>
    </w:p>
    <w:p w14:paraId="2F5284DD">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以上企业，不属于大企业的分支机构，不存在控股股东为大企业的情形，也不存在与大企业的负责人为同一人的情形。</w:t>
      </w:r>
    </w:p>
    <w:p w14:paraId="61220EF5">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本企业对上述声明内容的真实性负责。如有虚假，将依法承担相应责任。</w:t>
      </w:r>
    </w:p>
    <w:p w14:paraId="0A87858F">
      <w:pPr>
        <w:widowControl/>
        <w:spacing w:before="100" w:beforeAutospacing="1" w:after="100" w:afterAutospacing="1" w:line="440" w:lineRule="atLeast"/>
        <w:ind w:firstLine="440" w:firstLineChars="200"/>
        <w:jc w:val="left"/>
        <w:rPr>
          <w:rFonts w:ascii="宋体"/>
          <w:color w:val="auto"/>
          <w:sz w:val="22"/>
          <w:szCs w:val="22"/>
          <w:highlight w:val="none"/>
        </w:rPr>
      </w:pPr>
      <w:r>
        <w:rPr>
          <w:rFonts w:hint="eastAsia" w:ascii="宋体" w:hAnsi="宋体" w:cs="宋体"/>
          <w:color w:val="auto"/>
          <w:sz w:val="22"/>
          <w:szCs w:val="22"/>
          <w:highlight w:val="none"/>
        </w:rPr>
        <w:t>　</w:t>
      </w:r>
      <w:r>
        <w:rPr>
          <w:rFonts w:hint="eastAsia" w:ascii="宋体"/>
          <w:color w:val="auto"/>
          <w:sz w:val="22"/>
          <w:szCs w:val="22"/>
          <w:highlight w:val="none"/>
        </w:rPr>
        <w:t>企业名称（盖章）：</w:t>
      </w:r>
    </w:p>
    <w:p w14:paraId="38D0C911">
      <w:pPr>
        <w:widowControl/>
        <w:spacing w:before="100" w:beforeAutospacing="1" w:after="100" w:afterAutospacing="1" w:line="440" w:lineRule="atLeast"/>
        <w:ind w:firstLine="440" w:firstLineChars="200"/>
        <w:jc w:val="left"/>
        <w:rPr>
          <w:rFonts w:cs="宋体" w:asciiTheme="majorEastAsia" w:hAnsiTheme="majorEastAsia" w:eastAsiaTheme="majorEastAsia"/>
          <w:b/>
          <w:bCs/>
          <w:color w:val="auto"/>
          <w:sz w:val="24"/>
          <w:highlight w:val="none"/>
        </w:rPr>
      </w:pPr>
      <w:r>
        <w:rPr>
          <w:rFonts w:hint="eastAsia" w:ascii="宋体"/>
          <w:color w:val="auto"/>
          <w:sz w:val="22"/>
          <w:szCs w:val="22"/>
          <w:highlight w:val="none"/>
        </w:rPr>
        <w:t>日 期：     </w:t>
      </w:r>
      <w:r>
        <w:rPr>
          <w:rFonts w:hint="eastAsia" w:cs="宋体" w:asciiTheme="majorEastAsia" w:hAnsiTheme="majorEastAsia" w:eastAsiaTheme="majorEastAsia"/>
          <w:color w:val="auto"/>
          <w:sz w:val="22"/>
          <w:szCs w:val="22"/>
          <w:highlight w:val="none"/>
        </w:rPr>
        <w:t>         　　　　</w:t>
      </w:r>
      <w:r>
        <w:rPr>
          <w:rFonts w:hint="eastAsia" w:cs="宋体" w:asciiTheme="majorEastAsia" w:hAnsiTheme="majorEastAsia" w:eastAsiaTheme="majorEastAsia"/>
          <w:b/>
          <w:bCs/>
          <w:color w:val="auto"/>
          <w:sz w:val="24"/>
          <w:highlight w:val="none"/>
        </w:rPr>
        <w:t>　</w:t>
      </w:r>
    </w:p>
    <w:p w14:paraId="529F4D90">
      <w:pPr>
        <w:spacing w:line="440" w:lineRule="atLeast"/>
        <w:rPr>
          <w:rFonts w:cs="宋体" w:asciiTheme="majorEastAsia" w:hAnsiTheme="majorEastAsia" w:eastAsiaTheme="majorEastAsia"/>
          <w:b/>
          <w:bCs/>
          <w:color w:val="auto"/>
          <w:sz w:val="24"/>
          <w:highlight w:val="none"/>
        </w:rPr>
      </w:pPr>
    </w:p>
    <w:p w14:paraId="20E1528D">
      <w:pPr>
        <w:widowControl/>
        <w:spacing w:before="100" w:beforeAutospacing="1" w:after="100" w:afterAutospacing="1" w:line="440" w:lineRule="atLeast"/>
        <w:jc w:val="left"/>
        <w:rPr>
          <w:rFonts w:hint="eastAsia" w:ascii="宋体" w:hAnsi="宋体" w:cs="宋体"/>
          <w:b/>
          <w:bCs/>
          <w:color w:val="auto"/>
          <w:sz w:val="24"/>
          <w:highlight w:val="none"/>
        </w:rPr>
      </w:pPr>
      <w:r>
        <w:rPr>
          <w:rFonts w:hint="eastAsia" w:cs="宋体" w:asciiTheme="majorEastAsia" w:hAnsiTheme="majorEastAsia" w:eastAsiaTheme="majorEastAsia"/>
          <w:b/>
          <w:bCs/>
          <w:color w:val="auto"/>
          <w:sz w:val="24"/>
          <w:highlight w:val="none"/>
        </w:rPr>
        <w:t>注：1 从业人员、营业收入、资产总额填报上一年度数据，无上一年度数据的新成立企业可不填报。</w:t>
      </w:r>
      <w:r>
        <w:rPr>
          <w:rFonts w:hint="eastAsia" w:cs="宋体" w:asciiTheme="majorEastAsia" w:hAnsiTheme="majorEastAsia" w:eastAsiaTheme="majorEastAsia"/>
          <w:color w:val="auto"/>
          <w:sz w:val="22"/>
          <w:szCs w:val="22"/>
          <w:highlight w:val="none"/>
        </w:rPr>
        <w:t> </w:t>
      </w:r>
      <w:r>
        <w:rPr>
          <w:rFonts w:hint="eastAsia" w:ascii="宋体" w:hAnsi="宋体" w:cs="宋体"/>
          <w:color w:val="auto"/>
          <w:sz w:val="22"/>
          <w:szCs w:val="22"/>
          <w:highlight w:val="none"/>
        </w:rPr>
        <w:t>                 　　　　</w:t>
      </w:r>
      <w:r>
        <w:rPr>
          <w:rFonts w:hint="eastAsia" w:ascii="宋体" w:hAnsi="宋体" w:cs="宋体"/>
          <w:b/>
          <w:bCs/>
          <w:color w:val="auto"/>
          <w:sz w:val="24"/>
          <w:highlight w:val="none"/>
        </w:rPr>
        <w:t>　</w:t>
      </w:r>
    </w:p>
    <w:p w14:paraId="6B3065B7">
      <w:pPr>
        <w:widowControl/>
        <w:spacing w:before="100" w:beforeAutospacing="1" w:after="100" w:afterAutospacing="1" w:line="440" w:lineRule="atLeast"/>
        <w:jc w:val="left"/>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附件2</w:t>
      </w:r>
    </w:p>
    <w:p w14:paraId="5E9A239A">
      <w:pPr>
        <w:widowControl/>
        <w:spacing w:before="100" w:beforeAutospacing="1" w:after="100" w:afterAutospacing="1" w:line="440" w:lineRule="atLeast"/>
        <w:jc w:val="center"/>
        <w:rPr>
          <w:rFonts w:hint="eastAsia" w:ascii="宋体" w:hAnsi="宋体" w:cs="宋体"/>
          <w:b/>
          <w:bCs/>
          <w:color w:val="auto"/>
          <w:sz w:val="24"/>
          <w:highlight w:val="none"/>
        </w:rPr>
      </w:pPr>
      <w:bookmarkStart w:id="77" w:name="OLE_LINK13"/>
      <w:bookmarkStart w:id="78" w:name="OLE_LINK14"/>
      <w:r>
        <w:rPr>
          <w:rFonts w:hint="eastAsia" w:ascii="宋体" w:hAnsi="宋体" w:cs="宋体"/>
          <w:b/>
          <w:bCs/>
          <w:color w:val="auto"/>
          <w:sz w:val="24"/>
          <w:highlight w:val="none"/>
        </w:rPr>
        <w:t>残疾人福利性单位声明函</w:t>
      </w:r>
    </w:p>
    <w:bookmarkEnd w:id="77"/>
    <w:bookmarkEnd w:id="78"/>
    <w:p w14:paraId="5581B7A8">
      <w:pPr>
        <w:spacing w:line="588" w:lineRule="exact"/>
        <w:rPr>
          <w:rFonts w:hint="eastAsia" w:ascii="宋体" w:hAnsi="宋体" w:cs="宋体"/>
          <w:b/>
          <w:bCs/>
          <w:color w:val="auto"/>
          <w:spacing w:val="6"/>
          <w:sz w:val="30"/>
          <w:szCs w:val="30"/>
          <w:highlight w:val="none"/>
        </w:rPr>
      </w:pPr>
    </w:p>
    <w:p w14:paraId="532FB8E4">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33EF5F">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3005A8BA">
      <w:pPr>
        <w:spacing w:line="588" w:lineRule="exact"/>
        <w:ind w:firstLine="464" w:firstLineChars="200"/>
        <w:rPr>
          <w:rFonts w:hint="eastAsia" w:ascii="宋体" w:hAnsi="宋体" w:cs="宋体"/>
          <w:color w:val="auto"/>
          <w:spacing w:val="6"/>
          <w:sz w:val="22"/>
          <w:szCs w:val="22"/>
          <w:highlight w:val="none"/>
        </w:rPr>
      </w:pPr>
    </w:p>
    <w:p w14:paraId="7E5D0366">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59766FFC">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投标供应商全称（盖章）：</w:t>
      </w:r>
    </w:p>
    <w:p w14:paraId="4E0D1B42">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4F4FD19B">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3C1E1BB5">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5D9B975A">
      <w:pPr>
        <w:tabs>
          <w:tab w:val="left" w:pos="4860"/>
        </w:tabs>
        <w:spacing w:line="588" w:lineRule="exact"/>
        <w:ind w:right="156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备注说明：</w:t>
      </w:r>
    </w:p>
    <w:p w14:paraId="64F6B709">
      <w:pPr>
        <w:tabs>
          <w:tab w:val="left" w:pos="4860"/>
        </w:tabs>
        <w:spacing w:line="588" w:lineRule="exact"/>
        <w:ind w:right="156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1、如中标，将在中标公示中将此声明函予以公示，接受社会监督；</w:t>
      </w:r>
    </w:p>
    <w:p w14:paraId="605B6239">
      <w:pPr>
        <w:autoSpaceDE w:val="0"/>
        <w:autoSpaceDN w:val="0"/>
        <w:adjustRightInd w:val="0"/>
        <w:spacing w:line="460" w:lineRule="atLeast"/>
        <w:textAlignment w:val="bottom"/>
        <w:rPr>
          <w:rFonts w:hint="eastAsia" w:ascii="宋体" w:hAnsi="宋体" w:cs="宋体"/>
          <w:color w:val="auto"/>
          <w:sz w:val="22"/>
          <w:szCs w:val="22"/>
          <w:highlight w:val="none"/>
        </w:rPr>
      </w:pPr>
      <w:r>
        <w:rPr>
          <w:rFonts w:hint="eastAsia" w:ascii="宋体" w:hAnsi="宋体" w:cs="宋体"/>
          <w:b/>
          <w:bCs/>
          <w:color w:val="auto"/>
          <w:sz w:val="22"/>
          <w:szCs w:val="22"/>
          <w:highlight w:val="none"/>
        </w:rPr>
        <w:t>2、投标供应商提供的《残疾人福利性单位声明函》与事实不符的，依照《政府采购法》第七十七条第一款的规定追究法律责任。</w:t>
      </w:r>
    </w:p>
    <w:p w14:paraId="4A8C3C44">
      <w:pPr>
        <w:spacing w:line="360" w:lineRule="auto"/>
        <w:outlineLvl w:val="0"/>
        <w:rPr>
          <w:rFonts w:hint="eastAsia" w:ascii="宋体" w:hAnsi="宋体" w:cs="宋体"/>
          <w:b/>
          <w:bCs/>
          <w:color w:val="auto"/>
          <w:sz w:val="28"/>
          <w:szCs w:val="28"/>
          <w:highlight w:val="none"/>
        </w:rPr>
      </w:pPr>
    </w:p>
    <w:p w14:paraId="6FC9B659">
      <w:pPr>
        <w:pStyle w:val="40"/>
        <w:rPr>
          <w:rFonts w:hint="eastAsia" w:ascii="宋体" w:hAnsi="宋体" w:cs="宋体"/>
          <w:color w:val="auto"/>
          <w:sz w:val="30"/>
          <w:szCs w:val="30"/>
          <w:highlight w:val="none"/>
        </w:rPr>
      </w:pPr>
    </w:p>
    <w:p w14:paraId="4C456D13">
      <w:pPr>
        <w:widowControl/>
        <w:jc w:val="left"/>
        <w:rPr>
          <w:rFonts w:hint="eastAsia" w:ascii="宋体" w:hAnsi="宋体" w:cs="宋体"/>
          <w:b/>
          <w:bCs/>
          <w:color w:val="auto"/>
          <w:sz w:val="30"/>
          <w:szCs w:val="30"/>
          <w:highlight w:val="none"/>
        </w:rPr>
      </w:pPr>
      <w:r>
        <w:rPr>
          <w:rFonts w:hint="eastAsia" w:ascii="宋体" w:hAnsi="宋体" w:cs="宋体"/>
          <w:color w:val="auto"/>
          <w:sz w:val="30"/>
          <w:szCs w:val="30"/>
          <w:highlight w:val="none"/>
        </w:rPr>
        <w:br w:type="page"/>
      </w:r>
    </w:p>
    <w:p w14:paraId="4F522213">
      <w:pPr>
        <w:spacing w:line="360" w:lineRule="auto"/>
        <w:jc w:val="center"/>
        <w:outlineLvl w:val="0"/>
        <w:rPr>
          <w:rFonts w:hint="eastAsia" w:ascii="宋体" w:hAnsi="宋体" w:cs="宋体"/>
          <w:b/>
          <w:color w:val="auto"/>
          <w:sz w:val="36"/>
          <w:szCs w:val="36"/>
          <w:highlight w:val="none"/>
        </w:rPr>
      </w:pPr>
      <w:bookmarkStart w:id="79" w:name="_Toc23974"/>
      <w:r>
        <w:rPr>
          <w:rFonts w:hint="eastAsia" w:ascii="宋体" w:hAnsi="宋体" w:cs="宋体"/>
          <w:color w:val="auto"/>
          <w:sz w:val="30"/>
          <w:szCs w:val="30"/>
          <w:highlight w:val="none"/>
        </w:rPr>
        <w:t xml:space="preserve">第五部分  </w:t>
      </w:r>
      <w:bookmarkEnd w:id="73"/>
      <w:bookmarkEnd w:id="74"/>
      <w:r>
        <w:rPr>
          <w:rFonts w:hint="eastAsia" w:ascii="宋体" w:hAnsi="宋体" w:cs="宋体"/>
          <w:color w:val="auto"/>
          <w:sz w:val="30"/>
          <w:szCs w:val="30"/>
          <w:highlight w:val="none"/>
        </w:rPr>
        <w:t>合同格式（参考格式）</w:t>
      </w:r>
      <w:bookmarkEnd w:id="79"/>
      <w:r>
        <w:rPr>
          <w:rFonts w:hint="eastAsia" w:ascii="宋体" w:hAnsi="宋体" w:cs="宋体"/>
          <w:color w:val="auto"/>
          <w:sz w:val="30"/>
          <w:szCs w:val="30"/>
          <w:highlight w:val="none"/>
        </w:rPr>
        <w:t xml:space="preserve">  </w:t>
      </w:r>
    </w:p>
    <w:p w14:paraId="5BAA8078">
      <w:pPr>
        <w:pStyle w:val="40"/>
        <w:rPr>
          <w:rFonts w:ascii="宋体" w:hAnsi="宋体"/>
          <w:color w:val="auto"/>
          <w:highlight w:val="none"/>
        </w:rPr>
      </w:pPr>
      <w:bookmarkStart w:id="80" w:name="_Toc96954532"/>
      <w:bookmarkStart w:id="81" w:name="_Toc58932708"/>
      <w:bookmarkStart w:id="82" w:name="_Toc29196"/>
      <w:bookmarkStart w:id="83" w:name="_Toc498343172"/>
      <w:bookmarkStart w:id="84" w:name="_Toc496116263"/>
      <w:bookmarkStart w:id="85" w:name="_Toc293038721"/>
      <w:r>
        <w:rPr>
          <w:rFonts w:hint="eastAsia" w:ascii="宋体" w:hAnsi="宋体"/>
          <w:b w:val="0"/>
          <w:color w:val="auto"/>
          <w:sz w:val="22"/>
          <w:szCs w:val="22"/>
          <w:highlight w:val="none"/>
        </w:rPr>
        <w:t>合同编号  ：</w:t>
      </w:r>
      <w:bookmarkEnd w:id="80"/>
      <w:bookmarkEnd w:id="81"/>
      <w:bookmarkEnd w:id="82"/>
    </w:p>
    <w:p w14:paraId="5639272E">
      <w:pPr>
        <w:rPr>
          <w:rFonts w:ascii="宋体" w:cs="Arial"/>
          <w:color w:val="auto"/>
          <w:sz w:val="36"/>
          <w:highlight w:val="none"/>
        </w:rPr>
      </w:pPr>
    </w:p>
    <w:p w14:paraId="02CE234A">
      <w:pPr>
        <w:spacing w:line="440" w:lineRule="exact"/>
        <w:ind w:firstLine="440" w:firstLineChars="200"/>
        <w:rPr>
          <w:rFonts w:ascii="宋体" w:cs="新宋体"/>
          <w:color w:val="auto"/>
          <w:sz w:val="22"/>
          <w:szCs w:val="22"/>
          <w:highlight w:val="none"/>
        </w:rPr>
      </w:pPr>
      <w:r>
        <w:rPr>
          <w:rFonts w:hint="eastAsia" w:ascii="宋体" w:cs="新宋体"/>
          <w:color w:val="auto"/>
          <w:sz w:val="22"/>
          <w:szCs w:val="22"/>
          <w:highlight w:val="none"/>
        </w:rPr>
        <w:t>说明：如甲、乙双方同意，合同格式也可以按照其他形式。但合同条款的基本内容应与《中标合同》要求的内容相一致。</w:t>
      </w:r>
    </w:p>
    <w:p w14:paraId="7595878D">
      <w:pPr>
        <w:rPr>
          <w:rFonts w:ascii="宋体" w:cs="新宋体"/>
          <w:color w:val="auto"/>
          <w:highlight w:val="none"/>
        </w:rPr>
      </w:pPr>
    </w:p>
    <w:p w14:paraId="5489B40A">
      <w:pPr>
        <w:autoSpaceDE w:val="0"/>
        <w:autoSpaceDN w:val="0"/>
        <w:spacing w:line="440" w:lineRule="exact"/>
        <w:jc w:val="center"/>
        <w:textAlignment w:val="bottom"/>
        <w:rPr>
          <w:rFonts w:ascii="宋体" w:cs="新宋体"/>
          <w:color w:val="auto"/>
          <w:sz w:val="44"/>
          <w:highlight w:val="none"/>
        </w:rPr>
      </w:pPr>
    </w:p>
    <w:p w14:paraId="6EA3953E">
      <w:pPr>
        <w:autoSpaceDE w:val="0"/>
        <w:autoSpaceDN w:val="0"/>
        <w:spacing w:line="500" w:lineRule="atLeast"/>
        <w:jc w:val="center"/>
        <w:textAlignment w:val="bottom"/>
        <w:rPr>
          <w:rFonts w:ascii="宋体" w:cs="新宋体"/>
          <w:color w:val="auto"/>
          <w:sz w:val="24"/>
          <w:highlight w:val="none"/>
        </w:rPr>
      </w:pPr>
      <w:r>
        <w:rPr>
          <w:rFonts w:hint="eastAsia" w:ascii="宋体" w:cs="新宋体"/>
          <w:color w:val="auto"/>
          <w:sz w:val="24"/>
          <w:highlight w:val="none"/>
        </w:rPr>
        <w:t>中标合同</w:t>
      </w:r>
    </w:p>
    <w:p w14:paraId="4DC52013">
      <w:pPr>
        <w:autoSpaceDE w:val="0"/>
        <w:autoSpaceDN w:val="0"/>
        <w:spacing w:line="500" w:lineRule="atLeast"/>
        <w:jc w:val="center"/>
        <w:textAlignment w:val="bottom"/>
        <w:rPr>
          <w:rFonts w:ascii="宋体" w:cs="新宋体"/>
          <w:color w:val="auto"/>
          <w:sz w:val="24"/>
          <w:highlight w:val="none"/>
        </w:rPr>
      </w:pPr>
    </w:p>
    <w:p w14:paraId="6F0363BC">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项目名称：</w:t>
      </w:r>
      <w:r>
        <w:rPr>
          <w:rFonts w:hint="eastAsia" w:ascii="宋体" w:cs="新宋体"/>
          <w:color w:val="auto"/>
          <w:sz w:val="24"/>
          <w:highlight w:val="none"/>
          <w:u w:val="single"/>
        </w:rPr>
        <w:t xml:space="preserve">                      </w:t>
      </w:r>
    </w:p>
    <w:p w14:paraId="016E2BA1">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合同编号：</w:t>
      </w:r>
      <w:r>
        <w:rPr>
          <w:rFonts w:hint="eastAsia" w:ascii="宋体" w:cs="新宋体"/>
          <w:color w:val="auto"/>
          <w:sz w:val="24"/>
          <w:highlight w:val="none"/>
          <w:u w:val="single"/>
        </w:rPr>
        <w:t xml:space="preserve">                      </w:t>
      </w:r>
    </w:p>
    <w:p w14:paraId="78DED88E">
      <w:pPr>
        <w:autoSpaceDE w:val="0"/>
        <w:autoSpaceDN w:val="0"/>
        <w:spacing w:line="580" w:lineRule="atLeast"/>
        <w:textAlignment w:val="bottom"/>
        <w:rPr>
          <w:rFonts w:ascii="宋体" w:cs="新宋体"/>
          <w:color w:val="auto"/>
          <w:sz w:val="24"/>
          <w:highlight w:val="none"/>
        </w:rPr>
      </w:pPr>
    </w:p>
    <w:p w14:paraId="199E924E">
      <w:pPr>
        <w:autoSpaceDE w:val="0"/>
        <w:autoSpaceDN w:val="0"/>
        <w:spacing w:line="580" w:lineRule="atLeast"/>
        <w:textAlignment w:val="bottom"/>
        <w:rPr>
          <w:rFonts w:ascii="宋体" w:cs="新宋体"/>
          <w:color w:val="auto"/>
          <w:sz w:val="24"/>
          <w:highlight w:val="none"/>
        </w:rPr>
      </w:pPr>
    </w:p>
    <w:p w14:paraId="4A09829B">
      <w:pPr>
        <w:autoSpaceDE w:val="0"/>
        <w:autoSpaceDN w:val="0"/>
        <w:spacing w:line="580" w:lineRule="atLeast"/>
        <w:textAlignment w:val="bottom"/>
        <w:rPr>
          <w:rFonts w:ascii="宋体" w:cs="新宋体"/>
          <w:color w:val="auto"/>
          <w:sz w:val="24"/>
          <w:highlight w:val="none"/>
        </w:rPr>
      </w:pPr>
    </w:p>
    <w:p w14:paraId="58ED923C">
      <w:pPr>
        <w:autoSpaceDE w:val="0"/>
        <w:autoSpaceDN w:val="0"/>
        <w:spacing w:line="580" w:lineRule="atLeast"/>
        <w:textAlignment w:val="bottom"/>
        <w:rPr>
          <w:rFonts w:ascii="宋体" w:cs="新宋体"/>
          <w:color w:val="auto"/>
          <w:sz w:val="24"/>
          <w:highlight w:val="none"/>
        </w:rPr>
      </w:pPr>
    </w:p>
    <w:p w14:paraId="1D2611BE">
      <w:pPr>
        <w:autoSpaceDE w:val="0"/>
        <w:autoSpaceDN w:val="0"/>
        <w:spacing w:line="580" w:lineRule="atLeast"/>
        <w:textAlignment w:val="bottom"/>
        <w:rPr>
          <w:rFonts w:ascii="宋体" w:cs="新宋体"/>
          <w:color w:val="auto"/>
          <w:sz w:val="24"/>
          <w:highlight w:val="none"/>
          <w:u w:val="singl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甲    方：</w:t>
      </w:r>
      <w:r>
        <w:rPr>
          <w:rFonts w:hint="eastAsia" w:ascii="宋体" w:cs="新宋体"/>
          <w:color w:val="auto"/>
          <w:sz w:val="24"/>
          <w:highlight w:val="none"/>
          <w:u w:val="single"/>
        </w:rPr>
        <w:t xml:space="preserve">                      </w:t>
      </w:r>
    </w:p>
    <w:p w14:paraId="2E564266">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乙    方：</w:t>
      </w:r>
      <w:r>
        <w:rPr>
          <w:rFonts w:hint="eastAsia" w:ascii="宋体" w:cs="新宋体"/>
          <w:color w:val="auto"/>
          <w:sz w:val="24"/>
          <w:highlight w:val="none"/>
          <w:u w:val="single"/>
        </w:rPr>
        <w:t xml:space="preserve">                      </w:t>
      </w:r>
    </w:p>
    <w:p w14:paraId="3C8CAE67">
      <w:pPr>
        <w:spacing w:line="460" w:lineRule="exact"/>
        <w:rPr>
          <w:rFonts w:ascii="宋体" w:cs="新宋体"/>
          <w:color w:val="auto"/>
          <w:sz w:val="24"/>
          <w:highlight w:val="none"/>
          <w:u w:val="singl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签署日期：</w:t>
      </w:r>
      <w:r>
        <w:rPr>
          <w:rFonts w:hint="eastAsia" w:ascii="宋体" w:cs="新宋体"/>
          <w:color w:val="auto"/>
          <w:sz w:val="24"/>
          <w:highlight w:val="none"/>
          <w:u w:val="single"/>
        </w:rPr>
        <w:t xml:space="preserve">                      </w:t>
      </w:r>
    </w:p>
    <w:p w14:paraId="0AEB69F9">
      <w:pPr>
        <w:spacing w:line="360" w:lineRule="exact"/>
        <w:rPr>
          <w:rFonts w:ascii="宋体" w:cs="新宋体"/>
          <w:color w:val="auto"/>
          <w:sz w:val="32"/>
          <w:highlight w:val="none"/>
        </w:rPr>
      </w:pPr>
    </w:p>
    <w:p w14:paraId="609C195A">
      <w:pPr>
        <w:spacing w:line="430" w:lineRule="atLeast"/>
        <w:rPr>
          <w:rFonts w:ascii="宋体"/>
          <w:color w:val="auto"/>
          <w:sz w:val="22"/>
          <w:szCs w:val="22"/>
          <w:highlight w:val="none"/>
        </w:rPr>
      </w:pPr>
      <w:r>
        <w:rPr>
          <w:rFonts w:hint="eastAsia" w:ascii="宋体"/>
          <w:color w:val="auto"/>
          <w:sz w:val="22"/>
          <w:szCs w:val="22"/>
          <w:highlight w:val="none"/>
        </w:rPr>
        <w:t xml:space="preserve">  </w:t>
      </w:r>
    </w:p>
    <w:p w14:paraId="4AB2C6C0">
      <w:pPr>
        <w:pStyle w:val="24"/>
        <w:spacing w:line="420" w:lineRule="atLeast"/>
        <w:jc w:val="center"/>
        <w:rPr>
          <w:rFonts w:hint="eastAsia" w:hAnsi="宋体" w:cs="宋体"/>
          <w:color w:val="auto"/>
          <w:sz w:val="22"/>
          <w:szCs w:val="22"/>
          <w:highlight w:val="none"/>
        </w:rPr>
      </w:pPr>
    </w:p>
    <w:p w14:paraId="6B44804C">
      <w:pPr>
        <w:pStyle w:val="24"/>
        <w:spacing w:line="420" w:lineRule="atLeast"/>
        <w:jc w:val="center"/>
        <w:rPr>
          <w:rFonts w:hint="eastAsia" w:hAnsi="宋体" w:cs="宋体"/>
          <w:color w:val="auto"/>
          <w:sz w:val="22"/>
          <w:szCs w:val="22"/>
          <w:highlight w:val="none"/>
        </w:rPr>
      </w:pPr>
    </w:p>
    <w:p w14:paraId="0DBDFE98">
      <w:pPr>
        <w:pStyle w:val="24"/>
        <w:spacing w:line="420" w:lineRule="atLeast"/>
        <w:jc w:val="center"/>
        <w:rPr>
          <w:rFonts w:hint="eastAsia" w:hAnsi="宋体" w:cs="宋体"/>
          <w:color w:val="auto"/>
          <w:sz w:val="22"/>
          <w:szCs w:val="22"/>
          <w:highlight w:val="none"/>
        </w:rPr>
      </w:pPr>
    </w:p>
    <w:p w14:paraId="5D2971A0">
      <w:pPr>
        <w:rPr>
          <w:rFonts w:hint="eastAsia" w:hAnsi="宋体" w:cs="宋体"/>
          <w:color w:val="auto"/>
          <w:sz w:val="22"/>
          <w:szCs w:val="22"/>
          <w:highlight w:val="none"/>
        </w:rPr>
      </w:pPr>
      <w:r>
        <w:rPr>
          <w:rFonts w:hint="eastAsia" w:hAnsi="宋体" w:cs="宋体"/>
          <w:color w:val="auto"/>
          <w:sz w:val="22"/>
          <w:szCs w:val="22"/>
          <w:highlight w:val="none"/>
        </w:rPr>
        <w:br w:type="page"/>
      </w:r>
    </w:p>
    <w:p w14:paraId="403D4BAA">
      <w:pPr>
        <w:pStyle w:val="40"/>
        <w:rPr>
          <w:rFonts w:ascii="宋体" w:hAnsi="宋体"/>
          <w:color w:val="auto"/>
          <w:highlight w:val="none"/>
        </w:rPr>
      </w:pPr>
      <w:bookmarkStart w:id="86" w:name="_Toc58932709"/>
      <w:bookmarkStart w:id="87" w:name="_Toc22892521"/>
      <w:r>
        <w:rPr>
          <w:rFonts w:hint="eastAsia" w:ascii="宋体" w:hAnsi="宋体" w:cs="宋体"/>
          <w:color w:val="auto"/>
          <w:sz w:val="30"/>
          <w:szCs w:val="30"/>
          <w:highlight w:val="none"/>
        </w:rPr>
        <w:t xml:space="preserve">  </w:t>
      </w:r>
      <w:bookmarkStart w:id="88" w:name="_Toc9218"/>
      <w:r>
        <w:rPr>
          <w:rFonts w:hint="eastAsia" w:ascii="宋体" w:hAnsi="宋体"/>
          <w:color w:val="auto"/>
          <w:highlight w:val="none"/>
        </w:rPr>
        <w:t>合同主要条款</w:t>
      </w:r>
      <w:bookmarkEnd w:id="86"/>
      <w:bookmarkEnd w:id="87"/>
      <w:bookmarkEnd w:id="88"/>
    </w:p>
    <w:p w14:paraId="2A9E22CB">
      <w:pPr>
        <w:spacing w:line="360" w:lineRule="auto"/>
        <w:ind w:left="686" w:hanging="686" w:hangingChars="312"/>
        <w:rPr>
          <w:rFonts w:ascii="宋体" w:cs="新宋体"/>
          <w:color w:val="auto"/>
          <w:sz w:val="22"/>
          <w:szCs w:val="22"/>
          <w:highlight w:val="none"/>
        </w:rPr>
      </w:pPr>
      <w:r>
        <w:rPr>
          <w:rFonts w:hint="eastAsia" w:ascii="宋体" w:cs="新宋体"/>
          <w:color w:val="auto"/>
          <w:sz w:val="22"/>
          <w:szCs w:val="22"/>
          <w:highlight w:val="none"/>
        </w:rPr>
        <w:t>甲方：采购人</w:t>
      </w:r>
    </w:p>
    <w:p w14:paraId="0DE63AB5">
      <w:pPr>
        <w:spacing w:line="360" w:lineRule="auto"/>
        <w:ind w:left="686" w:hanging="686" w:hangingChars="312"/>
        <w:rPr>
          <w:rFonts w:ascii="宋体" w:cs="新宋体"/>
          <w:color w:val="auto"/>
          <w:sz w:val="22"/>
          <w:szCs w:val="22"/>
          <w:highlight w:val="none"/>
        </w:rPr>
      </w:pPr>
      <w:r>
        <w:rPr>
          <w:rFonts w:hint="eastAsia" w:ascii="宋体" w:cs="新宋体"/>
          <w:color w:val="auto"/>
          <w:sz w:val="22"/>
          <w:szCs w:val="22"/>
          <w:highlight w:val="none"/>
        </w:rPr>
        <w:t>乙方：本次招标的中标供应商</w:t>
      </w:r>
    </w:p>
    <w:p w14:paraId="7B92716F">
      <w:pPr>
        <w:spacing w:line="460" w:lineRule="exact"/>
        <w:ind w:firstLine="440" w:firstLineChars="200"/>
        <w:rPr>
          <w:rFonts w:ascii="宋体"/>
          <w:color w:val="auto"/>
          <w:sz w:val="22"/>
          <w:highlight w:val="none"/>
        </w:rPr>
      </w:pPr>
    </w:p>
    <w:p w14:paraId="68D67A8B">
      <w:pPr>
        <w:spacing w:line="440" w:lineRule="exact"/>
        <w:ind w:firstLine="440" w:firstLineChars="200"/>
        <w:rPr>
          <w:rFonts w:ascii="宋体"/>
          <w:color w:val="auto"/>
          <w:sz w:val="22"/>
          <w:szCs w:val="22"/>
          <w:highlight w:val="none"/>
        </w:rPr>
      </w:pPr>
      <w:r>
        <w:rPr>
          <w:rFonts w:hint="eastAsia" w:ascii="宋体"/>
          <w:color w:val="auto"/>
          <w:sz w:val="22"/>
          <w:szCs w:val="22"/>
          <w:highlight w:val="none"/>
        </w:rPr>
        <w:t>甲、乙双方根据有关法律规定，本着友好合作、协商一致的原则，就乙方承包甲方</w:t>
      </w:r>
      <w:r>
        <w:rPr>
          <w:rFonts w:hint="eastAsia" w:ascii="宋体"/>
          <w:color w:val="auto"/>
          <w:sz w:val="22"/>
          <w:szCs w:val="22"/>
          <w:highlight w:val="none"/>
          <w:u w:val="single"/>
        </w:rPr>
        <w:t xml:space="preserve">       </w:t>
      </w:r>
      <w:r>
        <w:rPr>
          <w:rFonts w:hint="eastAsia" w:ascii="宋体"/>
          <w:color w:val="auto"/>
          <w:sz w:val="22"/>
          <w:szCs w:val="22"/>
          <w:highlight w:val="none"/>
        </w:rPr>
        <w:t>项目的有关事宜达成协议如下：</w:t>
      </w:r>
    </w:p>
    <w:p w14:paraId="659CF259">
      <w:pPr>
        <w:spacing w:line="440" w:lineRule="exact"/>
        <w:rPr>
          <w:rFonts w:ascii="宋体"/>
          <w:b/>
          <w:color w:val="auto"/>
          <w:sz w:val="22"/>
          <w:szCs w:val="22"/>
          <w:highlight w:val="none"/>
        </w:rPr>
      </w:pPr>
      <w:r>
        <w:rPr>
          <w:rFonts w:hint="eastAsia" w:ascii="宋体"/>
          <w:b/>
          <w:color w:val="auto"/>
          <w:sz w:val="22"/>
          <w:szCs w:val="22"/>
          <w:highlight w:val="none"/>
        </w:rPr>
        <w:t>1、合同内容：</w:t>
      </w:r>
      <w:r>
        <w:rPr>
          <w:rFonts w:hint="eastAsia" w:ascii="宋体"/>
          <w:color w:val="auto"/>
          <w:sz w:val="22"/>
          <w:szCs w:val="22"/>
          <w:highlight w:val="none"/>
        </w:rPr>
        <w:t>依据招标文件及</w:t>
      </w:r>
      <w:r>
        <w:rPr>
          <w:rFonts w:hint="eastAsia" w:ascii="宋体"/>
          <w:color w:val="auto"/>
          <w:sz w:val="22"/>
          <w:szCs w:val="22"/>
          <w:highlight w:val="none"/>
          <w:lang w:val="zh-CN"/>
        </w:rPr>
        <w:t>招标人</w:t>
      </w:r>
      <w:r>
        <w:rPr>
          <w:rFonts w:hint="eastAsia" w:ascii="宋体"/>
          <w:color w:val="auto"/>
          <w:sz w:val="22"/>
          <w:szCs w:val="22"/>
          <w:highlight w:val="none"/>
        </w:rPr>
        <w:t>规定的服务内容。</w:t>
      </w:r>
    </w:p>
    <w:p w14:paraId="0CFBBE6C">
      <w:pPr>
        <w:spacing w:line="440" w:lineRule="exact"/>
        <w:rPr>
          <w:rFonts w:ascii="宋体"/>
          <w:b/>
          <w:color w:val="auto"/>
          <w:sz w:val="22"/>
          <w:szCs w:val="22"/>
          <w:highlight w:val="none"/>
        </w:rPr>
      </w:pPr>
      <w:r>
        <w:rPr>
          <w:rFonts w:hint="eastAsia" w:ascii="宋体"/>
          <w:b/>
          <w:color w:val="auto"/>
          <w:sz w:val="22"/>
          <w:szCs w:val="22"/>
          <w:highlight w:val="none"/>
        </w:rPr>
        <w:t>2、合同价格</w:t>
      </w:r>
    </w:p>
    <w:p w14:paraId="4B11B117">
      <w:pPr>
        <w:spacing w:line="440" w:lineRule="exact"/>
        <w:ind w:left="105" w:leftChars="50" w:firstLine="220" w:firstLineChars="100"/>
        <w:rPr>
          <w:rFonts w:ascii="宋体"/>
          <w:color w:val="auto"/>
          <w:sz w:val="22"/>
          <w:szCs w:val="22"/>
          <w:highlight w:val="none"/>
        </w:rPr>
      </w:pPr>
      <w:r>
        <w:rPr>
          <w:rFonts w:hint="eastAsia" w:ascii="宋体"/>
          <w:color w:val="auto"/>
          <w:sz w:val="22"/>
          <w:szCs w:val="22"/>
          <w:highlight w:val="none"/>
        </w:rPr>
        <w:t>人民币</w:t>
      </w:r>
      <w:r>
        <w:rPr>
          <w:rFonts w:hint="eastAsia" w:ascii="宋体"/>
          <w:color w:val="auto"/>
          <w:sz w:val="22"/>
          <w:szCs w:val="22"/>
          <w:highlight w:val="none"/>
          <w:u w:val="single"/>
        </w:rPr>
        <w:t xml:space="preserve">       </w:t>
      </w:r>
      <w:r>
        <w:rPr>
          <w:rFonts w:hint="eastAsia" w:ascii="宋体"/>
          <w:color w:val="auto"/>
          <w:sz w:val="22"/>
          <w:szCs w:val="22"/>
          <w:highlight w:val="none"/>
        </w:rPr>
        <w:t>元，大写：</w:t>
      </w:r>
      <w:r>
        <w:rPr>
          <w:rFonts w:hint="eastAsia" w:ascii="宋体"/>
          <w:color w:val="auto"/>
          <w:sz w:val="22"/>
          <w:szCs w:val="22"/>
          <w:highlight w:val="none"/>
          <w:u w:val="single"/>
        </w:rPr>
        <w:t xml:space="preserve">       </w:t>
      </w:r>
      <w:r>
        <w:rPr>
          <w:rFonts w:hint="eastAsia" w:ascii="宋体"/>
          <w:color w:val="auto"/>
          <w:sz w:val="22"/>
          <w:szCs w:val="22"/>
          <w:highlight w:val="none"/>
        </w:rPr>
        <w:t>元整（已含税）</w:t>
      </w:r>
    </w:p>
    <w:p w14:paraId="216812DD">
      <w:pPr>
        <w:spacing w:line="440" w:lineRule="exact"/>
        <w:rPr>
          <w:rFonts w:ascii="宋体"/>
          <w:b/>
          <w:color w:val="auto"/>
          <w:sz w:val="22"/>
          <w:szCs w:val="22"/>
          <w:highlight w:val="none"/>
        </w:rPr>
      </w:pPr>
      <w:r>
        <w:rPr>
          <w:rFonts w:hint="eastAsia" w:ascii="宋体"/>
          <w:b/>
          <w:color w:val="auto"/>
          <w:sz w:val="22"/>
          <w:szCs w:val="22"/>
          <w:highlight w:val="none"/>
        </w:rPr>
        <w:t xml:space="preserve">3、承包合同期限： </w:t>
      </w:r>
    </w:p>
    <w:p w14:paraId="01146EE4">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本次招标合同服务为：</w:t>
      </w:r>
      <w:r>
        <w:rPr>
          <w:rFonts w:hint="eastAsia" w:cs="宋体" w:asciiTheme="minorEastAsia" w:hAnsiTheme="minorEastAsia" w:eastAsiaTheme="minorEastAsia"/>
          <w:color w:val="auto"/>
          <w:sz w:val="22"/>
          <w:szCs w:val="22"/>
          <w:highlight w:val="none"/>
        </w:rPr>
        <w:t>服务期自202</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年1月1日起至202</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年12月31日止（截止日以实际抽样日期为准）</w:t>
      </w:r>
    </w:p>
    <w:p w14:paraId="52C2DEEA">
      <w:pPr>
        <w:spacing w:line="440" w:lineRule="exact"/>
        <w:rPr>
          <w:rFonts w:ascii="宋体"/>
          <w:b/>
          <w:color w:val="auto"/>
          <w:sz w:val="22"/>
          <w:szCs w:val="22"/>
          <w:highlight w:val="none"/>
        </w:rPr>
      </w:pPr>
      <w:r>
        <w:rPr>
          <w:rFonts w:hint="eastAsia" w:ascii="宋体"/>
          <w:b/>
          <w:color w:val="auto"/>
          <w:sz w:val="22"/>
          <w:szCs w:val="22"/>
          <w:highlight w:val="none"/>
        </w:rPr>
        <w:t>4、工作条件和要求</w:t>
      </w:r>
    </w:p>
    <w:p w14:paraId="68E0310D">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4.1.乙方必须对样品的一切检测数据和检测技术要求保密，未经甲方书面同意不得泄露给任何第三方，也不得将与样品有关的技术资料用于任何经营及开发活动。</w:t>
      </w:r>
    </w:p>
    <w:p w14:paraId="340EA94E">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4.2.乙方应具备合作项目样品的检测能力和资质，甲方应按照乙方要求提交与检测有关的材料及必要的检测依据或文本。</w:t>
      </w:r>
    </w:p>
    <w:p w14:paraId="733666FA">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4.3.乙方在样品到达实验室后7-10个工作日内完成检测数据。</w:t>
      </w:r>
    </w:p>
    <w:p w14:paraId="0D1F76F0">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4.4.甲方指定</w:t>
      </w:r>
      <w:r>
        <w:rPr>
          <w:rFonts w:hint="eastAsia" w:ascii="宋体"/>
          <w:color w:val="auto"/>
          <w:sz w:val="22"/>
          <w:szCs w:val="22"/>
          <w:highlight w:val="none"/>
          <w:u w:val="single"/>
        </w:rPr>
        <w:t xml:space="preserve">            </w:t>
      </w:r>
      <w:r>
        <w:rPr>
          <w:rFonts w:hint="eastAsia" w:ascii="宋体"/>
          <w:color w:val="auto"/>
          <w:sz w:val="22"/>
          <w:szCs w:val="22"/>
          <w:highlight w:val="none"/>
        </w:rPr>
        <w:t>共</w:t>
      </w:r>
      <w:r>
        <w:rPr>
          <w:rFonts w:hint="eastAsia" w:ascii="宋体"/>
          <w:color w:val="auto"/>
          <w:sz w:val="22"/>
          <w:szCs w:val="22"/>
          <w:highlight w:val="none"/>
          <w:u w:val="single"/>
        </w:rPr>
        <w:t xml:space="preserve">   </w:t>
      </w:r>
      <w:r>
        <w:rPr>
          <w:rFonts w:hint="eastAsia" w:ascii="宋体"/>
          <w:color w:val="auto"/>
          <w:sz w:val="22"/>
          <w:szCs w:val="22"/>
          <w:highlight w:val="none"/>
        </w:rPr>
        <w:t>人作为本协议项目联系人，项目联系人签署的《委托检测协议书》代表甲方的真实意思表示，具有法律效力。该项目联系人如发生变更等情况，甲方应于变更前3日将变更情况书面或电子邮件形式通知乙方，乙方将作出相应客户记录变更，否则，甲方项目联系人签署或指定的委托检测视为订单生成有效，如由此产生的不利后果均由甲方承担。</w:t>
      </w:r>
    </w:p>
    <w:p w14:paraId="0305745F">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4.5. 乙方应按照专业操守尽其所能，按甲方的要求完成分析测试任务，并向甲方出具检测报告。在甲方与未签署长期协议的第三方同等的条件下，乙方应优先完成对甲方的测试任务。</w:t>
      </w:r>
    </w:p>
    <w:p w14:paraId="1D1E7E42">
      <w:pPr>
        <w:spacing w:line="360" w:lineRule="auto"/>
        <w:ind w:firstLine="440" w:firstLineChars="200"/>
        <w:rPr>
          <w:rFonts w:ascii="宋体"/>
          <w:color w:val="auto"/>
          <w:spacing w:val="20"/>
          <w:sz w:val="22"/>
          <w:szCs w:val="22"/>
          <w:highlight w:val="none"/>
        </w:rPr>
      </w:pPr>
      <w:r>
        <w:rPr>
          <w:rFonts w:hint="eastAsia" w:ascii="宋体"/>
          <w:color w:val="auto"/>
          <w:sz w:val="22"/>
          <w:szCs w:val="22"/>
          <w:highlight w:val="none"/>
        </w:rPr>
        <w:t>4.6.甲方对提供样品资料的真实性和样品的代表性负责。甲方</w:t>
      </w:r>
      <w:r>
        <w:rPr>
          <w:rFonts w:hint="eastAsia" w:ascii="宋体"/>
          <w:color w:val="auto"/>
          <w:spacing w:val="20"/>
          <w:sz w:val="22"/>
          <w:szCs w:val="22"/>
          <w:highlight w:val="none"/>
        </w:rPr>
        <w:t>对检测结果若有异议，可于收到《检测报告》之日起十五日内向乙方提出复检</w:t>
      </w:r>
      <w:r>
        <w:rPr>
          <w:rFonts w:hint="eastAsia" w:ascii="宋体"/>
          <w:color w:val="auto"/>
          <w:sz w:val="22"/>
          <w:szCs w:val="22"/>
          <w:highlight w:val="none"/>
        </w:rPr>
        <w:t>，复检费用另行结算，样品因客观特性不能复检的或双方已约定不复检的除外。如甲方未在十五日内提出复检要求，视为甲方已经认可乙方的检测结果。乙方可不再保留甲方的检测合格样品，并可自行合理处置，</w:t>
      </w:r>
      <w:r>
        <w:rPr>
          <w:rFonts w:hint="eastAsia" w:ascii="宋体"/>
          <w:color w:val="auto"/>
          <w:spacing w:val="20"/>
          <w:sz w:val="22"/>
          <w:szCs w:val="22"/>
          <w:highlight w:val="none"/>
        </w:rPr>
        <w:t>对检验结论为不合格的产品，其备样应保留至被抽查农产品生产经营单位不合格后处理工作结束后方可处置。如有其他约定的，按双方约定办理。</w:t>
      </w:r>
    </w:p>
    <w:p w14:paraId="7B5871B4">
      <w:pPr>
        <w:spacing w:before="50" w:after="50" w:line="440" w:lineRule="exact"/>
        <w:ind w:firstLine="440" w:firstLineChars="200"/>
        <w:rPr>
          <w:rFonts w:ascii="宋体"/>
          <w:color w:val="auto"/>
          <w:sz w:val="22"/>
          <w:szCs w:val="22"/>
          <w:highlight w:val="none"/>
        </w:rPr>
      </w:pPr>
    </w:p>
    <w:p w14:paraId="08C5C572">
      <w:pPr>
        <w:spacing w:line="440" w:lineRule="exact"/>
        <w:rPr>
          <w:rFonts w:ascii="宋体"/>
          <w:b/>
          <w:color w:val="auto"/>
          <w:sz w:val="22"/>
          <w:szCs w:val="22"/>
          <w:highlight w:val="none"/>
        </w:rPr>
      </w:pPr>
      <w:r>
        <w:rPr>
          <w:rFonts w:hint="eastAsia" w:ascii="宋体"/>
          <w:b/>
          <w:color w:val="auto"/>
          <w:sz w:val="22"/>
          <w:szCs w:val="22"/>
          <w:highlight w:val="none"/>
        </w:rPr>
        <w:t>5、检测费用及其支付方式</w:t>
      </w:r>
    </w:p>
    <w:p w14:paraId="25CF232D">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5.1.</w:t>
      </w:r>
      <w:r>
        <w:rPr>
          <w:rFonts w:hint="eastAsia" w:ascii="宋体"/>
          <w:color w:val="auto"/>
          <w:sz w:val="22"/>
          <w:szCs w:val="22"/>
          <w:highlight w:val="none"/>
        </w:rPr>
        <w:t>供应商需以银行支票/银行转账/银行汇票等形式向采购方缴纳合同价款</w:t>
      </w:r>
      <w:r>
        <w:rPr>
          <w:rFonts w:hint="eastAsia" w:ascii="宋体"/>
          <w:color w:val="auto"/>
          <w:sz w:val="22"/>
          <w:szCs w:val="22"/>
          <w:highlight w:val="none"/>
          <w:lang w:eastAsia="zh-CN"/>
        </w:rPr>
        <w:t>1%</w:t>
      </w:r>
      <w:r>
        <w:rPr>
          <w:rFonts w:hint="eastAsia" w:ascii="宋体"/>
          <w:color w:val="auto"/>
          <w:sz w:val="22"/>
          <w:szCs w:val="22"/>
          <w:highlight w:val="none"/>
        </w:rPr>
        <w:t>的履约保证金。在服务期限结束并验收合格后10个工作日内，采购方退还供应商全部履约保证金。</w:t>
      </w:r>
    </w:p>
    <w:p w14:paraId="519B7129">
      <w:pPr>
        <w:spacing w:line="360" w:lineRule="auto"/>
        <w:ind w:firstLine="440" w:firstLineChars="200"/>
        <w:rPr>
          <w:rFonts w:cs="宋体" w:asciiTheme="minorEastAsia" w:hAnsiTheme="minorEastAsia" w:eastAsiaTheme="minorEastAsia"/>
          <w:color w:val="auto"/>
          <w:sz w:val="22"/>
          <w:szCs w:val="22"/>
          <w:highlight w:val="none"/>
        </w:rPr>
      </w:pPr>
      <w:r>
        <w:rPr>
          <w:rFonts w:hint="eastAsia" w:ascii="宋体"/>
          <w:color w:val="auto"/>
          <w:sz w:val="22"/>
          <w:szCs w:val="22"/>
          <w:highlight w:val="none"/>
        </w:rPr>
        <w:t>5.2.</w:t>
      </w:r>
      <w:r>
        <w:rPr>
          <w:rFonts w:hint="eastAsia" w:asciiTheme="majorEastAsia" w:hAnsiTheme="majorEastAsia" w:eastAsiaTheme="majorEastAsia"/>
          <w:color w:val="auto"/>
          <w:spacing w:val="6"/>
          <w:kern w:val="16"/>
          <w:highlight w:val="none"/>
        </w:rPr>
        <w:t xml:space="preserve"> 在合同签订后</w:t>
      </w:r>
      <w:r>
        <w:rPr>
          <w:rFonts w:asciiTheme="majorEastAsia" w:hAnsiTheme="majorEastAsia" w:eastAsiaTheme="majorEastAsia"/>
          <w:color w:val="auto"/>
          <w:spacing w:val="6"/>
          <w:kern w:val="16"/>
          <w:highlight w:val="none"/>
        </w:rPr>
        <w:t>7</w:t>
      </w:r>
      <w:r>
        <w:rPr>
          <w:rFonts w:hint="eastAsia" w:asciiTheme="majorEastAsia" w:hAnsiTheme="majorEastAsia" w:eastAsiaTheme="majorEastAsia"/>
          <w:color w:val="auto"/>
          <w:spacing w:val="6"/>
          <w:kern w:val="16"/>
          <w:highlight w:val="none"/>
        </w:rPr>
        <w:t>个工作日内支付合同总额的</w:t>
      </w:r>
      <w:r>
        <w:rPr>
          <w:rFonts w:asciiTheme="majorEastAsia" w:hAnsiTheme="majorEastAsia" w:eastAsiaTheme="majorEastAsia"/>
          <w:color w:val="auto"/>
          <w:spacing w:val="6"/>
          <w:kern w:val="16"/>
          <w:highlight w:val="none"/>
        </w:rPr>
        <w:t>4</w:t>
      </w:r>
      <w:r>
        <w:rPr>
          <w:rFonts w:hint="eastAsia" w:asciiTheme="majorEastAsia" w:hAnsiTheme="majorEastAsia" w:eastAsiaTheme="majorEastAsia"/>
          <w:color w:val="auto"/>
          <w:spacing w:val="6"/>
          <w:kern w:val="16"/>
          <w:highlight w:val="none"/>
        </w:rPr>
        <w:t>0%（具体以财政部门资金拨付情况而定）。在签订合同时，供应商明确表示无需预付款或者主动要求降低预付款比例的，采购人可不适用前述规定。采购人可根据项目特点、供应商信用等情况，决定是否要求供应商提交银行、</w:t>
      </w:r>
      <w:r>
        <w:rPr>
          <w:rFonts w:hint="eastAsia" w:asciiTheme="majorEastAsia" w:hAnsiTheme="majorEastAsia" w:eastAsiaTheme="majorEastAsia"/>
          <w:color w:val="auto"/>
          <w:highlight w:val="none"/>
        </w:rPr>
        <w:t>保险公司等金融机构出具的预付款保函或其他担保措施。</w:t>
      </w:r>
      <w:r>
        <w:rPr>
          <w:rFonts w:hint="eastAsia" w:cs="宋体" w:asciiTheme="minorEastAsia" w:hAnsiTheme="minorEastAsia" w:eastAsiaTheme="minorEastAsia"/>
          <w:color w:val="auto"/>
          <w:sz w:val="22"/>
          <w:szCs w:val="22"/>
          <w:highlight w:val="none"/>
        </w:rPr>
        <w:t>甲乙双方约定202</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年8月30日前支付中标价一半检测费，剩余一半检测费于任务结束后结算付清；或完成检测</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00批次样品后甲方支付中标价</w:t>
      </w:r>
      <w:r>
        <w:rPr>
          <w:rFonts w:hint="eastAsia" w:cs="宋体" w:asciiTheme="minorEastAsia" w:hAnsiTheme="minorEastAsia" w:eastAsiaTheme="minorEastAsia"/>
          <w:color w:val="auto"/>
          <w:sz w:val="22"/>
          <w:szCs w:val="22"/>
          <w:highlight w:val="none"/>
          <w:lang w:val="en-US" w:eastAsia="zh-CN"/>
        </w:rPr>
        <w:t>70</w:t>
      </w:r>
      <w:r>
        <w:rPr>
          <w:rFonts w:hint="eastAsia" w:cs="宋体" w:asciiTheme="minorEastAsia" w:hAnsiTheme="minorEastAsia" w:eastAsiaTheme="minorEastAsia"/>
          <w:color w:val="auto"/>
          <w:sz w:val="22"/>
          <w:szCs w:val="22"/>
          <w:highlight w:val="none"/>
        </w:rPr>
        <w:t>%检测费，剩余</w:t>
      </w:r>
      <w:r>
        <w:rPr>
          <w:rFonts w:hint="eastAsia" w:cs="宋体" w:asciiTheme="minorEastAsia" w:hAnsiTheme="minorEastAsia" w:eastAsiaTheme="minorEastAsia"/>
          <w:color w:val="auto"/>
          <w:sz w:val="22"/>
          <w:szCs w:val="22"/>
          <w:highlight w:val="none"/>
          <w:lang w:val="en-US" w:eastAsia="zh-CN"/>
        </w:rPr>
        <w:t>30</w:t>
      </w:r>
      <w:r>
        <w:rPr>
          <w:rFonts w:hint="eastAsia" w:cs="宋体" w:asciiTheme="minorEastAsia" w:hAnsiTheme="minorEastAsia" w:eastAsiaTheme="minorEastAsia"/>
          <w:color w:val="auto"/>
          <w:sz w:val="22"/>
          <w:szCs w:val="22"/>
          <w:highlight w:val="none"/>
        </w:rPr>
        <w:t>%检测费于任务结束后结算付清</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eastAsia="zh-CN"/>
        </w:rPr>
        <w:t>最终结算金额为完成检测批次乘以中</w:t>
      </w:r>
      <w:r>
        <w:rPr>
          <w:rFonts w:hint="eastAsia" w:cs="宋体" w:asciiTheme="minorEastAsia" w:hAnsiTheme="minorEastAsia" w:eastAsiaTheme="minorEastAsia"/>
          <w:color w:val="auto"/>
          <w:sz w:val="22"/>
          <w:szCs w:val="22"/>
          <w:highlight w:val="none"/>
        </w:rPr>
        <w:t>标单</w:t>
      </w:r>
      <w:r>
        <w:rPr>
          <w:rFonts w:hint="eastAsia" w:cs="宋体" w:asciiTheme="minorEastAsia" w:hAnsiTheme="minorEastAsia" w:eastAsiaTheme="minorEastAsia"/>
          <w:color w:val="auto"/>
          <w:sz w:val="22"/>
          <w:szCs w:val="22"/>
          <w:highlight w:val="none"/>
          <w:lang w:eastAsia="zh-CN"/>
        </w:rPr>
        <w:t>批次均</w:t>
      </w:r>
      <w:r>
        <w:rPr>
          <w:rFonts w:hint="eastAsia" w:cs="宋体" w:asciiTheme="minorEastAsia" w:hAnsiTheme="minorEastAsia" w:eastAsiaTheme="minorEastAsia"/>
          <w:color w:val="auto"/>
          <w:sz w:val="22"/>
          <w:szCs w:val="22"/>
          <w:highlight w:val="none"/>
        </w:rPr>
        <w:t>价</w:t>
      </w:r>
      <w:r>
        <w:rPr>
          <w:rFonts w:hint="eastAsia" w:cs="宋体" w:asciiTheme="minorEastAsia" w:hAnsiTheme="minorEastAsia" w:eastAsiaTheme="minorEastAsia"/>
          <w:color w:val="auto"/>
          <w:sz w:val="22"/>
          <w:szCs w:val="22"/>
          <w:highlight w:val="none"/>
        </w:rPr>
        <w:t>。</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sz w:val="22"/>
          <w:szCs w:val="22"/>
          <w:highlight w:val="none"/>
        </w:rPr>
        <w:t>根据《浙江省财政厅关于进一步发挥政府采购政策功能全力推动经济稳进提质的通知》（浙财采监[202</w:t>
      </w:r>
      <w:r>
        <w:rPr>
          <w:rFonts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rPr>
        <w:t>]3号）的规定，双方协商决定付款比例，具体每笔款项支付视财政部门资金拨付情况而定。</w:t>
      </w:r>
      <w:r>
        <w:rPr>
          <w:rFonts w:hint="eastAsia" w:asciiTheme="majorEastAsia" w:hAnsiTheme="majorEastAsia" w:eastAsiaTheme="majorEastAsia"/>
          <w:color w:val="auto"/>
          <w:highlight w:val="none"/>
        </w:rPr>
        <w:t>）</w:t>
      </w:r>
    </w:p>
    <w:p w14:paraId="220716EA">
      <w:pPr>
        <w:spacing w:line="360" w:lineRule="auto"/>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rPr>
        <w:t>3采购方因事故调查、应急处置等工作需要，可以增加检验批次数并指定检验项目，供应商应按照有关规定和本合同的约定保质保量地完成检验工作，该增加部分的费用按具体委托增加的检测批次和</w:t>
      </w:r>
      <w:r>
        <w:rPr>
          <w:rFonts w:hint="eastAsia" w:cs="宋体" w:asciiTheme="minorEastAsia" w:hAnsiTheme="minorEastAsia" w:eastAsiaTheme="minorEastAsia"/>
          <w:color w:val="auto"/>
          <w:sz w:val="22"/>
          <w:szCs w:val="22"/>
          <w:highlight w:val="none"/>
          <w:lang w:eastAsia="zh-CN"/>
        </w:rPr>
        <w:t>中</w:t>
      </w:r>
      <w:r>
        <w:rPr>
          <w:rFonts w:hint="eastAsia" w:cs="宋体" w:asciiTheme="minorEastAsia" w:hAnsiTheme="minorEastAsia" w:eastAsiaTheme="minorEastAsia"/>
          <w:color w:val="auto"/>
          <w:sz w:val="22"/>
          <w:szCs w:val="22"/>
          <w:highlight w:val="none"/>
        </w:rPr>
        <w:t>标单</w:t>
      </w:r>
      <w:r>
        <w:rPr>
          <w:rFonts w:hint="eastAsia" w:cs="宋体" w:asciiTheme="minorEastAsia" w:hAnsiTheme="minorEastAsia" w:eastAsiaTheme="minorEastAsia"/>
          <w:color w:val="auto"/>
          <w:sz w:val="22"/>
          <w:szCs w:val="22"/>
          <w:highlight w:val="none"/>
          <w:lang w:eastAsia="zh-CN"/>
        </w:rPr>
        <w:t>批次均</w:t>
      </w:r>
      <w:r>
        <w:rPr>
          <w:rFonts w:hint="eastAsia" w:cs="宋体" w:asciiTheme="minorEastAsia" w:hAnsiTheme="minorEastAsia" w:eastAsiaTheme="minorEastAsia"/>
          <w:color w:val="auto"/>
          <w:sz w:val="22"/>
          <w:szCs w:val="22"/>
          <w:highlight w:val="none"/>
        </w:rPr>
        <w:t>价</w:t>
      </w:r>
      <w:r>
        <w:rPr>
          <w:rFonts w:hint="eastAsia" w:cs="宋体" w:asciiTheme="minorEastAsia" w:hAnsiTheme="minorEastAsia" w:eastAsiaTheme="minorEastAsia"/>
          <w:color w:val="auto"/>
          <w:sz w:val="22"/>
          <w:szCs w:val="22"/>
          <w:highlight w:val="none"/>
        </w:rPr>
        <w:t>另行结算。</w:t>
      </w:r>
    </w:p>
    <w:p w14:paraId="15CC8E67">
      <w:pPr>
        <w:spacing w:before="50" w:after="50" w:line="440" w:lineRule="exact"/>
        <w:ind w:firstLine="442" w:firstLineChars="200"/>
        <w:rPr>
          <w:rFonts w:ascii="宋体"/>
          <w:b/>
          <w:color w:val="auto"/>
          <w:sz w:val="22"/>
          <w:szCs w:val="22"/>
          <w:highlight w:val="none"/>
        </w:rPr>
      </w:pPr>
      <w:r>
        <w:rPr>
          <w:rFonts w:hint="eastAsia" w:ascii="宋体"/>
          <w:b/>
          <w:color w:val="auto"/>
          <w:sz w:val="22"/>
          <w:szCs w:val="22"/>
          <w:highlight w:val="none"/>
        </w:rPr>
        <w:t>6、甲乙双方的责任与义务</w:t>
      </w:r>
    </w:p>
    <w:p w14:paraId="4F422D82">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6.1.乙方现告知甲方，乙方与其雇员已经签有知识产权及商业秘密保护、竞业禁止协议的事实，因此甲方同意绝不直接或间接引诱、帮助或促使乙方的雇员违反前述协议的应有法律真意，否则，甲方与乙方的雇员共同向乙方承担连带责任。</w:t>
      </w:r>
    </w:p>
    <w:p w14:paraId="45912545">
      <w:pPr>
        <w:spacing w:before="50" w:after="50" w:line="440" w:lineRule="exact"/>
        <w:ind w:firstLine="440" w:firstLineChars="200"/>
        <w:rPr>
          <w:rFonts w:hint="eastAsia" w:ascii="宋体"/>
          <w:color w:val="auto"/>
          <w:sz w:val="22"/>
          <w:szCs w:val="22"/>
          <w:highlight w:val="none"/>
        </w:rPr>
      </w:pPr>
      <w:r>
        <w:rPr>
          <w:rFonts w:hint="eastAsia" w:ascii="宋体"/>
          <w:color w:val="auto"/>
          <w:sz w:val="22"/>
          <w:szCs w:val="22"/>
          <w:highlight w:val="none"/>
        </w:rPr>
        <w:t>6.2．基于乙方所属行业所需的技术和保密等特殊性，甲方同意在本协议有效期内至协议终止后的一年内，不直接或间接聘用乙方雇员、或介绍乙方雇员到第三方任职、或诱使乙方雇员直接或间接投资、经营与乙方经营范围相同或近似的业务，否则，甲方在此期间因此员工所得全部收益归乙方所有，同时乙方有权要求甲方支付不低于壹拾万元的违约金。</w:t>
      </w:r>
    </w:p>
    <w:p w14:paraId="0F061CE3">
      <w:pPr>
        <w:spacing w:before="50" w:after="50" w:line="440" w:lineRule="exact"/>
        <w:ind w:firstLine="440" w:firstLineChars="200"/>
        <w:rPr>
          <w:rFonts w:hint="eastAsia" w:ascii="宋体"/>
          <w:color w:val="auto"/>
          <w:sz w:val="22"/>
          <w:szCs w:val="22"/>
          <w:highlight w:val="none"/>
          <w:lang w:val="en-US" w:eastAsia="zh-CN"/>
        </w:rPr>
      </w:pPr>
      <w:r>
        <w:rPr>
          <w:rFonts w:hint="eastAsia" w:ascii="宋体"/>
          <w:color w:val="auto"/>
          <w:sz w:val="22"/>
          <w:szCs w:val="22"/>
          <w:highlight w:val="none"/>
          <w:lang w:val="en-US" w:eastAsia="zh-CN"/>
        </w:rPr>
        <w:t xml:space="preserve">6.3 </w:t>
      </w:r>
      <w:r>
        <w:rPr>
          <w:rFonts w:hint="eastAsia" w:cs="宋体" w:asciiTheme="minorEastAsia" w:hAnsiTheme="minorEastAsia" w:eastAsiaTheme="minorEastAsia"/>
          <w:color w:val="auto"/>
          <w:sz w:val="22"/>
          <w:szCs w:val="22"/>
          <w:highlight w:val="none"/>
        </w:rPr>
        <w:t>、</w:t>
      </w:r>
      <w:r>
        <w:rPr>
          <w:rFonts w:hint="eastAsia" w:ascii="宋体"/>
          <w:color w:val="auto"/>
          <w:sz w:val="22"/>
          <w:szCs w:val="22"/>
          <w:highlight w:val="none"/>
          <w:lang w:eastAsia="zh-CN"/>
        </w:rPr>
        <w:t>风险监测由供应商抽样人员与永嘉县</w:t>
      </w:r>
      <w:r>
        <w:rPr>
          <w:rFonts w:hint="eastAsia" w:ascii="宋体"/>
          <w:color w:val="auto"/>
          <w:sz w:val="22"/>
          <w:szCs w:val="22"/>
          <w:highlight w:val="none"/>
          <w:lang w:val="en-US" w:eastAsia="zh-CN"/>
        </w:rPr>
        <w:t>22个乡镇（街道）农业服务中心工作人员联系，根据县农业农村局安排的任务数到乡镇所在地进行抽样；供应商需承当采购方的温州市农业农村局的抽检样品的运送服务，样品由县农业农村局送达至温州市农产品检验测试中心，全年运送次数在30次以内。</w:t>
      </w:r>
    </w:p>
    <w:p w14:paraId="01E2A3EC">
      <w:pPr>
        <w:spacing w:before="50" w:after="50" w:line="440" w:lineRule="exact"/>
        <w:ind w:firstLine="442" w:firstLineChars="200"/>
        <w:rPr>
          <w:rFonts w:hint="eastAsia" w:ascii="宋体"/>
          <w:b/>
          <w:color w:val="auto"/>
          <w:sz w:val="22"/>
          <w:szCs w:val="22"/>
          <w:highlight w:val="none"/>
        </w:rPr>
      </w:pPr>
      <w:r>
        <w:rPr>
          <w:rFonts w:hint="eastAsia" w:ascii="宋体"/>
          <w:b/>
          <w:color w:val="auto"/>
          <w:sz w:val="22"/>
          <w:szCs w:val="22"/>
          <w:highlight w:val="none"/>
        </w:rPr>
        <w:t>7、违约责任</w:t>
      </w:r>
    </w:p>
    <w:p w14:paraId="067FE1FD">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7.1．各方应当认真履行本协议下的各项义务。</w:t>
      </w:r>
    </w:p>
    <w:p w14:paraId="5AFA8092">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7.2．甲方如连续两次以上未按照双方约定的天/月/季等时限条件付款，甲方再次送检则付款方式自动变更为按次结算，先付费后检测。甲方说明后，经乙方书面或电子邮件确认可恢复本协议约定付款方式，否则，按次结算的付款方式长期有效。</w:t>
      </w:r>
    </w:p>
    <w:p w14:paraId="1EDC7AF1">
      <w:pPr>
        <w:spacing w:before="50" w:after="50" w:line="440" w:lineRule="exact"/>
        <w:ind w:firstLine="440" w:firstLineChars="200"/>
        <w:rPr>
          <w:rFonts w:ascii="宋体"/>
          <w:color w:val="auto"/>
          <w:sz w:val="22"/>
          <w:szCs w:val="22"/>
          <w:highlight w:val="none"/>
        </w:rPr>
      </w:pPr>
      <w:r>
        <w:rPr>
          <w:rFonts w:hint="eastAsia" w:ascii="宋体"/>
          <w:bCs/>
          <w:color w:val="auto"/>
          <w:sz w:val="22"/>
          <w:szCs w:val="22"/>
          <w:highlight w:val="none"/>
        </w:rPr>
        <w:t>7.3．</w:t>
      </w:r>
      <w:r>
        <w:rPr>
          <w:rFonts w:hint="eastAsia" w:ascii="宋体"/>
          <w:color w:val="auto"/>
          <w:sz w:val="22"/>
          <w:szCs w:val="22"/>
          <w:highlight w:val="none"/>
        </w:rPr>
        <w:t>乙方只对甲方送检的样品自身的检测结果负责，由于样品的检测结果与样品所代表的同种产品物质真实情况存在的客观误差,所引发的一切法律后果由甲方自行承担；如因乙方过错导致样品的检测结果与样品的真实情况超过正常的客观误差范围，乙方承担此样品此检测项目的3倍检测费用的赔偿责任,如项目验收不合格的，并上报上级主管单位，并计入不良行为记录，不得再参加投标。</w:t>
      </w:r>
    </w:p>
    <w:p w14:paraId="6E121F73">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除此之外，乙方对其它任何原因导致的检测结果误差及检测结果的使用不承担任何法律责任。</w:t>
      </w:r>
    </w:p>
    <w:p w14:paraId="41183A91">
      <w:pPr>
        <w:spacing w:line="440" w:lineRule="exact"/>
        <w:rPr>
          <w:rFonts w:ascii="宋体"/>
          <w:b/>
          <w:color w:val="auto"/>
          <w:sz w:val="22"/>
          <w:szCs w:val="22"/>
          <w:highlight w:val="none"/>
        </w:rPr>
      </w:pPr>
      <w:r>
        <w:rPr>
          <w:rFonts w:hint="eastAsia" w:ascii="宋体"/>
          <w:b/>
          <w:color w:val="auto"/>
          <w:sz w:val="22"/>
          <w:szCs w:val="22"/>
          <w:highlight w:val="none"/>
        </w:rPr>
        <w:t>8、适用法律及仲裁</w:t>
      </w:r>
    </w:p>
    <w:p w14:paraId="689BB9C3">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本协议适用中华人民共和国法律和法规。如双方约定之内容与国家法律相抵触时，可依法经协商一致后变更本协议。</w:t>
      </w:r>
    </w:p>
    <w:p w14:paraId="207A4682">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在履行本协议的过程中，双方当事人因本协议或其附件发生任何争议，双方应尽最大努力友好协商解决。如协商未果，应向温州仲裁委员会(“仲裁委”)提出申请，请求根据仲裁委的仲裁规则进行仲裁。</w:t>
      </w:r>
    </w:p>
    <w:p w14:paraId="3DEB89F2">
      <w:pPr>
        <w:spacing w:line="440" w:lineRule="exact"/>
        <w:rPr>
          <w:rFonts w:ascii="宋体"/>
          <w:b/>
          <w:color w:val="auto"/>
          <w:sz w:val="22"/>
          <w:szCs w:val="22"/>
          <w:highlight w:val="none"/>
        </w:rPr>
      </w:pPr>
      <w:r>
        <w:rPr>
          <w:rFonts w:hint="eastAsia" w:ascii="宋体"/>
          <w:b/>
          <w:color w:val="auto"/>
          <w:sz w:val="22"/>
          <w:szCs w:val="22"/>
          <w:highlight w:val="none"/>
        </w:rPr>
        <w:t>9、协议的生效、变更</w:t>
      </w:r>
    </w:p>
    <w:p w14:paraId="32F9F234">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本协议自双方正式签订时生效，有效期 一年。有效期内双方不得单方面改变或终止协议的执行。</w:t>
      </w:r>
    </w:p>
    <w:p w14:paraId="2AED1843">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任何一方对于由以下不可控制的原因造成的延迟交付或履行不能均不负有法律责任，双方应共同协商变更或者解除本协议；</w:t>
      </w:r>
    </w:p>
    <w:p w14:paraId="6730B40E">
      <w:pPr>
        <w:spacing w:before="50" w:after="50" w:line="440" w:lineRule="exact"/>
        <w:rPr>
          <w:rFonts w:ascii="宋体"/>
          <w:color w:val="auto"/>
          <w:sz w:val="22"/>
          <w:szCs w:val="22"/>
          <w:highlight w:val="none"/>
        </w:rPr>
      </w:pPr>
      <w:r>
        <w:rPr>
          <w:rFonts w:hint="eastAsia" w:ascii="宋体"/>
          <w:color w:val="auto"/>
          <w:sz w:val="22"/>
          <w:szCs w:val="22"/>
          <w:highlight w:val="none"/>
        </w:rPr>
        <w:t>（1）战争或军事行为；</w:t>
      </w:r>
    </w:p>
    <w:p w14:paraId="07D64E9D">
      <w:pPr>
        <w:spacing w:before="50" w:after="50" w:line="440" w:lineRule="exact"/>
        <w:rPr>
          <w:rFonts w:ascii="宋体"/>
          <w:color w:val="auto"/>
          <w:sz w:val="22"/>
          <w:szCs w:val="22"/>
          <w:highlight w:val="none"/>
        </w:rPr>
      </w:pPr>
      <w:r>
        <w:rPr>
          <w:rFonts w:hint="eastAsia" w:ascii="宋体"/>
          <w:color w:val="auto"/>
          <w:sz w:val="22"/>
          <w:szCs w:val="22"/>
          <w:highlight w:val="none"/>
        </w:rPr>
        <w:t>（2）自然灾害，包括但不限于洪水、旱灾、台风、地震、火灾等；</w:t>
      </w:r>
    </w:p>
    <w:p w14:paraId="1F2E1B29">
      <w:pPr>
        <w:spacing w:before="50" w:after="50" w:line="440" w:lineRule="exact"/>
        <w:rPr>
          <w:rFonts w:ascii="宋体"/>
          <w:color w:val="auto"/>
          <w:sz w:val="22"/>
          <w:szCs w:val="22"/>
          <w:highlight w:val="none"/>
        </w:rPr>
      </w:pPr>
      <w:r>
        <w:rPr>
          <w:rFonts w:hint="eastAsia" w:ascii="宋体"/>
          <w:color w:val="auto"/>
          <w:sz w:val="22"/>
          <w:szCs w:val="22"/>
          <w:highlight w:val="none"/>
        </w:rPr>
        <w:t>（3）集体罢工或暴乱；</w:t>
      </w:r>
    </w:p>
    <w:p w14:paraId="0E04D46E">
      <w:pPr>
        <w:spacing w:before="50" w:after="50" w:line="440" w:lineRule="exact"/>
        <w:rPr>
          <w:rFonts w:ascii="宋体"/>
          <w:color w:val="auto"/>
          <w:sz w:val="22"/>
          <w:szCs w:val="22"/>
          <w:highlight w:val="none"/>
        </w:rPr>
      </w:pPr>
      <w:r>
        <w:rPr>
          <w:rFonts w:hint="eastAsia" w:ascii="宋体"/>
          <w:color w:val="auto"/>
          <w:sz w:val="22"/>
          <w:szCs w:val="22"/>
          <w:highlight w:val="none"/>
        </w:rPr>
        <w:t>（4）国际制裁。</w:t>
      </w:r>
    </w:p>
    <w:p w14:paraId="57995A94">
      <w:pPr>
        <w:spacing w:line="440" w:lineRule="exact"/>
        <w:rPr>
          <w:rFonts w:ascii="宋体"/>
          <w:b/>
          <w:color w:val="auto"/>
          <w:sz w:val="22"/>
          <w:szCs w:val="22"/>
          <w:highlight w:val="none"/>
        </w:rPr>
      </w:pPr>
      <w:r>
        <w:rPr>
          <w:rFonts w:hint="eastAsia" w:ascii="宋体"/>
          <w:b/>
          <w:color w:val="auto"/>
          <w:sz w:val="22"/>
          <w:szCs w:val="22"/>
          <w:highlight w:val="none"/>
        </w:rPr>
        <w:t>10、协议的终止</w:t>
      </w:r>
    </w:p>
    <w:p w14:paraId="6FF3BFE3">
      <w:pPr>
        <w:spacing w:before="50" w:after="50" w:line="440" w:lineRule="exact"/>
        <w:ind w:firstLine="440" w:firstLineChars="200"/>
        <w:rPr>
          <w:rFonts w:ascii="宋体"/>
          <w:color w:val="auto"/>
          <w:sz w:val="22"/>
          <w:szCs w:val="22"/>
          <w:highlight w:val="none"/>
        </w:rPr>
      </w:pPr>
      <w:r>
        <w:rPr>
          <w:rFonts w:hint="eastAsia" w:ascii="宋体"/>
          <w:color w:val="auto"/>
          <w:sz w:val="22"/>
          <w:szCs w:val="22"/>
          <w:highlight w:val="none"/>
        </w:rPr>
        <w:t>本协议于期满或经双方协商一致解除后终止。本协议的终止将不影响双方之间已有的其它协议/合同的效力。</w:t>
      </w:r>
    </w:p>
    <w:p w14:paraId="47B757EF">
      <w:pPr>
        <w:spacing w:line="440" w:lineRule="exact"/>
        <w:rPr>
          <w:rFonts w:ascii="宋体"/>
          <w:b/>
          <w:color w:val="auto"/>
          <w:sz w:val="22"/>
          <w:szCs w:val="22"/>
          <w:highlight w:val="none"/>
        </w:rPr>
      </w:pPr>
      <w:r>
        <w:rPr>
          <w:rFonts w:hint="eastAsia" w:ascii="宋体"/>
          <w:b/>
          <w:color w:val="auto"/>
          <w:sz w:val="22"/>
          <w:szCs w:val="22"/>
          <w:highlight w:val="none"/>
        </w:rPr>
        <w:t>11、争议解决</w:t>
      </w:r>
    </w:p>
    <w:p w14:paraId="19F6B09F">
      <w:pPr>
        <w:tabs>
          <w:tab w:val="left" w:pos="1080"/>
        </w:tabs>
        <w:spacing w:line="440" w:lineRule="exact"/>
        <w:ind w:left="328" w:leftChars="156"/>
        <w:rPr>
          <w:rFonts w:ascii="宋体"/>
          <w:color w:val="auto"/>
          <w:sz w:val="22"/>
          <w:szCs w:val="22"/>
          <w:highlight w:val="none"/>
        </w:rPr>
      </w:pPr>
      <w:r>
        <w:rPr>
          <w:rFonts w:hint="eastAsia" w:ascii="宋体"/>
          <w:color w:val="auto"/>
          <w:sz w:val="22"/>
          <w:szCs w:val="22"/>
          <w:highlight w:val="none"/>
        </w:rPr>
        <w:t>凡由本合同引起的或与解释或执行本合同有关的任何争议，双方应首先通过友好协商或调解解决。若协商或调解不成，双方约定：向温州仲裁委员会申请仲裁，仲裁应依据该委员会当时的仲裁规则进行；仲裁裁决是终局的，对双方都有约束力；仲裁费用应由败诉方承担，除非仲裁裁决另有裁定。</w:t>
      </w:r>
    </w:p>
    <w:p w14:paraId="6C4D2BB0">
      <w:pPr>
        <w:spacing w:line="440" w:lineRule="exact"/>
        <w:rPr>
          <w:rFonts w:ascii="宋体"/>
          <w:b/>
          <w:color w:val="auto"/>
          <w:sz w:val="22"/>
          <w:szCs w:val="22"/>
          <w:highlight w:val="none"/>
        </w:rPr>
      </w:pPr>
      <w:r>
        <w:rPr>
          <w:rFonts w:hint="eastAsia" w:ascii="宋体"/>
          <w:b/>
          <w:color w:val="auto"/>
          <w:sz w:val="22"/>
          <w:szCs w:val="22"/>
          <w:highlight w:val="none"/>
        </w:rPr>
        <w:t>12、合同生效及其他</w:t>
      </w:r>
    </w:p>
    <w:p w14:paraId="5F292163">
      <w:pPr>
        <w:spacing w:line="440" w:lineRule="exact"/>
        <w:ind w:firstLine="539" w:firstLineChars="245"/>
        <w:rPr>
          <w:rFonts w:ascii="宋体"/>
          <w:color w:val="auto"/>
          <w:sz w:val="22"/>
          <w:szCs w:val="22"/>
          <w:highlight w:val="none"/>
        </w:rPr>
      </w:pPr>
      <w:r>
        <w:rPr>
          <w:rFonts w:hint="eastAsia" w:ascii="宋体"/>
          <w:color w:val="auto"/>
          <w:sz w:val="22"/>
          <w:szCs w:val="22"/>
          <w:highlight w:val="none"/>
        </w:rPr>
        <w:t>13.1  合同在双方签字并盖章后开始生效。</w:t>
      </w:r>
    </w:p>
    <w:p w14:paraId="7533626A">
      <w:pPr>
        <w:spacing w:line="440" w:lineRule="exact"/>
        <w:ind w:firstLine="539" w:firstLineChars="245"/>
        <w:rPr>
          <w:rFonts w:ascii="宋体"/>
          <w:color w:val="auto"/>
          <w:sz w:val="22"/>
          <w:szCs w:val="22"/>
          <w:highlight w:val="none"/>
        </w:rPr>
      </w:pPr>
      <w:r>
        <w:rPr>
          <w:rFonts w:hint="eastAsia" w:ascii="宋体"/>
          <w:color w:val="auto"/>
          <w:sz w:val="22"/>
          <w:szCs w:val="22"/>
          <w:highlight w:val="none"/>
        </w:rPr>
        <w:t>13.2  本合同一式肆份，双方各执贰份，具有同等效力。</w:t>
      </w:r>
    </w:p>
    <w:p w14:paraId="7676D84D">
      <w:pPr>
        <w:spacing w:line="440" w:lineRule="exact"/>
        <w:ind w:firstLine="539" w:firstLineChars="245"/>
        <w:rPr>
          <w:rFonts w:ascii="宋体"/>
          <w:color w:val="auto"/>
          <w:sz w:val="22"/>
          <w:szCs w:val="22"/>
          <w:highlight w:val="none"/>
        </w:rPr>
      </w:pPr>
      <w:r>
        <w:rPr>
          <w:rFonts w:hint="eastAsia" w:ascii="宋体"/>
          <w:color w:val="auto"/>
          <w:sz w:val="22"/>
          <w:szCs w:val="22"/>
          <w:highlight w:val="none"/>
        </w:rPr>
        <w:t>13.3  如需修改或补充合同内容，经协商，双方应签署书面修改或补充协议，该协议将作为本合同的一个组成部分。</w:t>
      </w:r>
    </w:p>
    <w:p w14:paraId="580546E4">
      <w:pPr>
        <w:spacing w:line="440" w:lineRule="exact"/>
        <w:ind w:firstLine="539" w:firstLineChars="245"/>
        <w:rPr>
          <w:rFonts w:ascii="宋体"/>
          <w:color w:val="auto"/>
          <w:sz w:val="22"/>
          <w:szCs w:val="22"/>
          <w:highlight w:val="none"/>
        </w:rPr>
      </w:pPr>
      <w:r>
        <w:rPr>
          <w:rFonts w:hint="eastAsia" w:ascii="宋体"/>
          <w:color w:val="auto"/>
          <w:sz w:val="22"/>
          <w:szCs w:val="22"/>
          <w:highlight w:val="none"/>
        </w:rPr>
        <w:t>13.4  下列文件构成本合同的组成部分：</w:t>
      </w:r>
    </w:p>
    <w:p w14:paraId="6699A88D">
      <w:pPr>
        <w:spacing w:line="440" w:lineRule="exact"/>
        <w:ind w:firstLine="440" w:firstLineChars="200"/>
        <w:rPr>
          <w:rFonts w:ascii="宋体"/>
          <w:color w:val="auto"/>
          <w:sz w:val="22"/>
          <w:highlight w:val="none"/>
        </w:rPr>
      </w:pPr>
      <w:r>
        <w:rPr>
          <w:rFonts w:hint="eastAsia" w:ascii="宋体"/>
          <w:color w:val="auto"/>
          <w:sz w:val="22"/>
          <w:highlight w:val="none"/>
        </w:rPr>
        <w:t xml:space="preserve">  （1）合同主要条款                （2）合同特殊条款（如有）</w:t>
      </w:r>
    </w:p>
    <w:p w14:paraId="4AECDCFC">
      <w:pPr>
        <w:spacing w:line="440" w:lineRule="exact"/>
        <w:ind w:firstLine="440" w:firstLineChars="200"/>
        <w:rPr>
          <w:rFonts w:ascii="宋体"/>
          <w:color w:val="auto"/>
          <w:sz w:val="22"/>
          <w:highlight w:val="none"/>
        </w:rPr>
      </w:pPr>
      <w:r>
        <w:rPr>
          <w:rFonts w:hint="eastAsia" w:ascii="宋体"/>
          <w:color w:val="auto"/>
          <w:sz w:val="22"/>
          <w:highlight w:val="none"/>
        </w:rPr>
        <w:t xml:space="preserve">  （3）售后服务条款（如有）        （4）中标通知书</w:t>
      </w:r>
    </w:p>
    <w:p w14:paraId="76B1088B">
      <w:pPr>
        <w:spacing w:line="440" w:lineRule="exact"/>
        <w:ind w:firstLine="440" w:firstLineChars="200"/>
        <w:rPr>
          <w:rFonts w:ascii="宋体"/>
          <w:color w:val="auto"/>
          <w:sz w:val="22"/>
          <w:highlight w:val="none"/>
        </w:rPr>
      </w:pPr>
      <w:r>
        <w:rPr>
          <w:rFonts w:hint="eastAsia" w:ascii="宋体"/>
          <w:color w:val="auto"/>
          <w:sz w:val="22"/>
          <w:highlight w:val="none"/>
        </w:rPr>
        <w:t xml:space="preserve">  （5）投标分项报价表              （6）技术规格、商务条款偏离表</w:t>
      </w:r>
    </w:p>
    <w:p w14:paraId="7D3451C7">
      <w:pPr>
        <w:spacing w:line="440" w:lineRule="exact"/>
        <w:ind w:firstLine="440" w:firstLineChars="200"/>
        <w:rPr>
          <w:rFonts w:ascii="宋体"/>
          <w:color w:val="auto"/>
          <w:sz w:val="22"/>
          <w:highlight w:val="none"/>
        </w:rPr>
      </w:pPr>
      <w:r>
        <w:rPr>
          <w:rFonts w:hint="eastAsia" w:ascii="宋体"/>
          <w:color w:val="auto"/>
          <w:sz w:val="22"/>
          <w:highlight w:val="none"/>
        </w:rPr>
        <w:t xml:space="preserve">  （7）招标内容及要求              （8）合同补充条款或说明（如有的话）</w:t>
      </w:r>
    </w:p>
    <w:p w14:paraId="595392C6">
      <w:pPr>
        <w:spacing w:line="440" w:lineRule="exact"/>
        <w:ind w:firstLine="440" w:firstLineChars="200"/>
        <w:rPr>
          <w:rFonts w:ascii="宋体"/>
          <w:color w:val="auto"/>
          <w:sz w:val="22"/>
          <w:highlight w:val="none"/>
        </w:rPr>
      </w:pPr>
      <w:r>
        <w:rPr>
          <w:rFonts w:hint="eastAsia" w:ascii="宋体"/>
          <w:color w:val="auto"/>
          <w:sz w:val="22"/>
          <w:highlight w:val="none"/>
        </w:rPr>
        <w:t xml:space="preserve">  （9）履约保证金                  （10）承诺书（含询标记录和优惠条件）</w:t>
      </w:r>
    </w:p>
    <w:p w14:paraId="381C2ED4">
      <w:pPr>
        <w:spacing w:line="440" w:lineRule="exact"/>
        <w:ind w:firstLine="440" w:firstLineChars="200"/>
        <w:rPr>
          <w:rFonts w:ascii="宋体"/>
          <w:color w:val="auto"/>
          <w:sz w:val="22"/>
          <w:highlight w:val="none"/>
        </w:rPr>
      </w:pPr>
    </w:p>
    <w:p w14:paraId="08203A25">
      <w:pPr>
        <w:spacing w:line="440" w:lineRule="exact"/>
        <w:ind w:firstLine="440" w:firstLineChars="200"/>
        <w:rPr>
          <w:rFonts w:ascii="宋体"/>
          <w:color w:val="auto"/>
          <w:sz w:val="22"/>
          <w:highlight w:val="none"/>
        </w:rPr>
      </w:pPr>
    </w:p>
    <w:p w14:paraId="06266C9A">
      <w:pPr>
        <w:spacing w:line="440" w:lineRule="exact"/>
        <w:ind w:firstLine="440" w:firstLineChars="200"/>
        <w:rPr>
          <w:rFonts w:ascii="宋体"/>
          <w:color w:val="auto"/>
          <w:sz w:val="22"/>
          <w:highlight w:val="none"/>
        </w:rPr>
      </w:pPr>
    </w:p>
    <w:p w14:paraId="47FDDA61">
      <w:pPr>
        <w:ind w:firstLine="1210" w:firstLineChars="550"/>
        <w:rPr>
          <w:rFonts w:ascii="宋体"/>
          <w:color w:val="auto"/>
          <w:sz w:val="22"/>
          <w:szCs w:val="22"/>
          <w:highlight w:val="none"/>
        </w:rPr>
      </w:pPr>
      <w:r>
        <w:rPr>
          <w:rFonts w:hint="eastAsia" w:ascii="宋体"/>
          <w:color w:val="auto"/>
          <w:sz w:val="22"/>
          <w:szCs w:val="22"/>
          <w:highlight w:val="none"/>
        </w:rPr>
        <w:t>甲方：（印章）   　　　　　　　　　　 乙方：（印章）</w:t>
      </w:r>
    </w:p>
    <w:p w14:paraId="39C4234C">
      <w:pPr>
        <w:ind w:firstLine="1210" w:firstLineChars="550"/>
        <w:rPr>
          <w:rFonts w:ascii="宋体"/>
          <w:color w:val="auto"/>
          <w:sz w:val="22"/>
          <w:szCs w:val="22"/>
          <w:highlight w:val="none"/>
        </w:rPr>
      </w:pPr>
      <w:r>
        <w:rPr>
          <w:rFonts w:hint="eastAsia" w:ascii="宋体"/>
          <w:color w:val="auto"/>
          <w:sz w:val="22"/>
          <w:szCs w:val="22"/>
          <w:highlight w:val="none"/>
        </w:rPr>
        <w:t>全权代表:（签字）                    全权代表:（签字）</w:t>
      </w:r>
    </w:p>
    <w:p w14:paraId="0A5C8447">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地址：                               地址：</w:t>
      </w:r>
    </w:p>
    <w:p w14:paraId="4407C477">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邮政编码：                           邮政编码：</w:t>
      </w:r>
    </w:p>
    <w:p w14:paraId="2F9293F5">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电话：                               电话：</w:t>
      </w:r>
    </w:p>
    <w:p w14:paraId="0787F496">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传真：                               传真：</w:t>
      </w:r>
    </w:p>
    <w:p w14:paraId="251C8E5F">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开户银行：                           开户银行：</w:t>
      </w:r>
    </w:p>
    <w:p w14:paraId="1DA8EBBF">
      <w:pPr>
        <w:spacing w:line="360" w:lineRule="auto"/>
        <w:ind w:firstLine="1210" w:firstLineChars="550"/>
        <w:rPr>
          <w:rFonts w:ascii="宋体"/>
          <w:b/>
          <w:color w:val="auto"/>
          <w:sz w:val="22"/>
          <w:szCs w:val="22"/>
          <w:highlight w:val="none"/>
        </w:rPr>
      </w:pPr>
      <w:r>
        <w:rPr>
          <w:rFonts w:hint="eastAsia" w:ascii="宋体"/>
          <w:color w:val="auto"/>
          <w:sz w:val="22"/>
          <w:szCs w:val="22"/>
          <w:highlight w:val="none"/>
        </w:rPr>
        <w:t>帐号：                               帐号：</w:t>
      </w:r>
    </w:p>
    <w:p w14:paraId="3D4BA267">
      <w:pPr>
        <w:spacing w:line="360" w:lineRule="auto"/>
        <w:ind w:left="688" w:leftChars="275" w:hanging="110" w:hangingChars="50"/>
        <w:rPr>
          <w:rFonts w:hint="eastAsia" w:ascii="宋体" w:hAnsi="宋体" w:cs="宋体"/>
          <w:color w:val="auto"/>
          <w:sz w:val="22"/>
          <w:szCs w:val="22"/>
          <w:highlight w:val="none"/>
        </w:rPr>
      </w:pPr>
    </w:p>
    <w:p w14:paraId="35A41E27">
      <w:pPr>
        <w:pStyle w:val="40"/>
        <w:jc w:val="both"/>
        <w:rPr>
          <w:rFonts w:hint="eastAsia" w:ascii="宋体" w:hAnsi="宋体" w:cs="宋体"/>
          <w:color w:val="auto"/>
          <w:sz w:val="30"/>
          <w:szCs w:val="30"/>
          <w:highlight w:val="none"/>
        </w:rPr>
        <w:sectPr>
          <w:headerReference r:id="rId12" w:type="default"/>
          <w:footerReference r:id="rId13" w:type="default"/>
          <w:pgSz w:w="11906" w:h="16838"/>
          <w:pgMar w:top="1440" w:right="1701" w:bottom="1440" w:left="1701" w:header="851" w:footer="992" w:gutter="0"/>
          <w:cols w:space="720" w:num="1"/>
          <w:docGrid w:linePitch="312" w:charSpace="0"/>
        </w:sectPr>
      </w:pPr>
    </w:p>
    <w:p w14:paraId="0DD7FF3F">
      <w:pPr>
        <w:pStyle w:val="40"/>
        <w:rPr>
          <w:rFonts w:hint="eastAsia" w:ascii="宋体" w:hAnsi="宋体" w:cs="宋体"/>
          <w:color w:val="auto"/>
          <w:sz w:val="30"/>
          <w:szCs w:val="30"/>
          <w:highlight w:val="none"/>
        </w:rPr>
      </w:pPr>
      <w:bookmarkStart w:id="89" w:name="_Toc21992"/>
      <w:r>
        <w:rPr>
          <w:rFonts w:hint="eastAsia" w:ascii="宋体" w:hAnsi="宋体" w:cs="宋体"/>
          <w:color w:val="auto"/>
          <w:sz w:val="30"/>
          <w:szCs w:val="30"/>
          <w:highlight w:val="none"/>
        </w:rPr>
        <w:t>第六部分 投标文件格式</w:t>
      </w:r>
      <w:bookmarkEnd w:id="83"/>
      <w:bookmarkEnd w:id="84"/>
      <w:bookmarkEnd w:id="89"/>
    </w:p>
    <w:bookmarkEnd w:id="85"/>
    <w:p w14:paraId="0B64FFF2">
      <w:pPr>
        <w:pStyle w:val="40"/>
        <w:rPr>
          <w:rFonts w:hint="eastAsia" w:ascii="宋体" w:hAnsi="宋体" w:cs="宋体"/>
          <w:color w:val="auto"/>
          <w:highlight w:val="none"/>
        </w:rPr>
      </w:pPr>
      <w:bookmarkStart w:id="90" w:name="_Toc42678689"/>
      <w:bookmarkStart w:id="91" w:name="_Toc65590090"/>
      <w:bookmarkStart w:id="92" w:name="_Toc96970922"/>
      <w:bookmarkStart w:id="93" w:name="_Toc3026"/>
      <w:bookmarkStart w:id="94" w:name="_Toc65830018"/>
      <w:bookmarkStart w:id="95" w:name="_Toc496116282"/>
      <w:bookmarkStart w:id="96" w:name="_Toc161563051"/>
      <w:bookmarkStart w:id="97" w:name="_Toc498343176"/>
      <w:bookmarkStart w:id="98" w:name="_Toc293038733"/>
      <w:r>
        <w:rPr>
          <w:rFonts w:hint="eastAsia" w:ascii="宋体" w:hAnsi="宋体" w:cs="宋体"/>
          <w:color w:val="auto"/>
          <w:highlight w:val="none"/>
        </w:rPr>
        <w:t>一、资格文件部分格式</w:t>
      </w:r>
      <w:bookmarkEnd w:id="90"/>
      <w:bookmarkEnd w:id="91"/>
      <w:bookmarkEnd w:id="92"/>
      <w:bookmarkEnd w:id="93"/>
      <w:bookmarkEnd w:id="94"/>
    </w:p>
    <w:p w14:paraId="2E78E853">
      <w:pPr>
        <w:widowControl/>
        <w:spacing w:line="460" w:lineRule="atLeast"/>
        <w:jc w:val="lef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附件一</w:t>
      </w:r>
    </w:p>
    <w:p w14:paraId="07A07565">
      <w:pPr>
        <w:pStyle w:val="40"/>
        <w:rPr>
          <w:rFonts w:cs="宋体" w:asciiTheme="majorEastAsia" w:hAnsiTheme="majorEastAsia" w:eastAsiaTheme="majorEastAsia"/>
          <w:color w:val="auto"/>
          <w:highlight w:val="none"/>
          <w:lang w:val="zh-CN"/>
        </w:rPr>
      </w:pPr>
      <w:bookmarkStart w:id="99" w:name="_Toc23773"/>
      <w:bookmarkStart w:id="100" w:name="_Toc61444213"/>
      <w:bookmarkStart w:id="101" w:name="_Toc56004404"/>
      <w:r>
        <w:rPr>
          <w:rFonts w:hint="eastAsia" w:cs="宋体" w:asciiTheme="majorEastAsia" w:hAnsiTheme="majorEastAsia" w:eastAsiaTheme="majorEastAsia"/>
          <w:color w:val="auto"/>
          <w:highlight w:val="none"/>
          <w:lang w:val="zh-CN"/>
        </w:rPr>
        <w:t>资格条件承诺函</w:t>
      </w:r>
      <w:bookmarkEnd w:id="99"/>
    </w:p>
    <w:p w14:paraId="7705F748">
      <w:pPr>
        <w:spacing w:line="420" w:lineRule="exact"/>
        <w:rPr>
          <w:rFonts w:ascii="宋体" w:hAnsi="宋体"/>
          <w:color w:val="auto"/>
          <w:sz w:val="22"/>
          <w:szCs w:val="22"/>
          <w:highlight w:val="none"/>
        </w:rPr>
      </w:pPr>
      <w:r>
        <w:rPr>
          <w:rFonts w:hint="eastAsia" w:ascii="宋体" w:hAnsi="宋体"/>
          <w:color w:val="auto"/>
          <w:sz w:val="22"/>
          <w:szCs w:val="22"/>
          <w:highlight w:val="none"/>
        </w:rPr>
        <w:t>永嘉县农业农村局：</w:t>
      </w:r>
    </w:p>
    <w:p w14:paraId="1DC54E99">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温州市中概工程管理咨询有限公司：</w:t>
      </w:r>
    </w:p>
    <w:p w14:paraId="0842E14B">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（采购项目名称、编号）项目投标，现郑重承诺：</w:t>
      </w:r>
    </w:p>
    <w:p w14:paraId="4944AF35">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6969FC1D">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28A1C990">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DF212B5">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49BED654">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7D1E03C">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596DF54">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0"/>
          <w:rFonts w:hint="eastAsia" w:ascii="宋体" w:hAnsi="宋体" w:cs="宋体"/>
          <w:color w:val="auto"/>
          <w:kern w:val="0"/>
          <w:sz w:val="22"/>
          <w:szCs w:val="22"/>
          <w:highlight w:val="none"/>
        </w:rPr>
        <w:t>www.creditchina.gov.cn）、</w:t>
      </w:r>
      <w:r>
        <w:rPr>
          <w:rStyle w:val="50"/>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3B128758">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14:paraId="668EA0FE">
      <w:pPr>
        <w:widowControl/>
        <w:snapToGrid w:val="0"/>
        <w:spacing w:line="440" w:lineRule="exact"/>
        <w:ind w:firstLine="440" w:firstLineChars="200"/>
        <w:jc w:val="left"/>
        <w:rPr>
          <w:rFonts w:ascii="宋体" w:hAnsi="宋体" w:cs="宋体"/>
          <w:color w:val="auto"/>
          <w:kern w:val="0"/>
          <w:sz w:val="22"/>
          <w:szCs w:val="22"/>
          <w:highlight w:val="none"/>
        </w:rPr>
      </w:pPr>
    </w:p>
    <w:p w14:paraId="18BFF97D">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2B43F0DB">
      <w:pPr>
        <w:spacing w:line="400" w:lineRule="exact"/>
        <w:ind w:firstLine="770" w:firstLineChars="350"/>
        <w:rPr>
          <w:rFonts w:ascii="宋体" w:hAnsi="宋体" w:cs="宋体"/>
          <w:color w:val="auto"/>
          <w:sz w:val="22"/>
          <w:szCs w:val="22"/>
          <w:highlight w:val="none"/>
        </w:rPr>
      </w:pPr>
    </w:p>
    <w:p w14:paraId="48231B69">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全称（盖章）：</w:t>
      </w:r>
    </w:p>
    <w:p w14:paraId="3327C99C">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代表（签名或盖章）：</w:t>
      </w:r>
    </w:p>
    <w:p w14:paraId="5C912F2A">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A0C8346">
      <w:pPr>
        <w:widowControl/>
        <w:snapToGrid w:val="0"/>
        <w:spacing w:line="460" w:lineRule="exact"/>
        <w:ind w:firstLine="442" w:firstLineChars="200"/>
        <w:jc w:val="left"/>
        <w:rPr>
          <w:rFonts w:hint="eastAsia" w:ascii="宋体" w:hAnsi="宋体" w:cs="宋体"/>
          <w:b/>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75A16E7E">
      <w:pPr>
        <w:pStyle w:val="40"/>
        <w:rPr>
          <w:rFonts w:hint="eastAsia" w:ascii="宋体" w:hAnsi="宋体" w:cs="宋体"/>
          <w:color w:val="auto"/>
          <w:highlight w:val="none"/>
        </w:rPr>
      </w:pPr>
      <w:r>
        <w:rPr>
          <w:rFonts w:hint="eastAsia" w:ascii="宋体" w:hAnsi="宋体" w:cs="宋体"/>
          <w:color w:val="auto"/>
          <w:sz w:val="36"/>
          <w:szCs w:val="32"/>
          <w:highlight w:val="none"/>
        </w:rPr>
        <w:br w:type="page"/>
      </w:r>
      <w:bookmarkEnd w:id="100"/>
      <w:bookmarkEnd w:id="101"/>
      <w:bookmarkStart w:id="102" w:name="_Toc65590095"/>
      <w:bookmarkStart w:id="103" w:name="_Toc42243285"/>
      <w:bookmarkStart w:id="104" w:name="_Toc3526"/>
      <w:bookmarkStart w:id="105" w:name="_Toc65830023"/>
      <w:bookmarkStart w:id="106" w:name="_Toc42678693"/>
      <w:r>
        <w:rPr>
          <w:rFonts w:hint="eastAsia" w:ascii="宋体" w:hAnsi="宋体" w:cs="宋体"/>
          <w:color w:val="auto"/>
          <w:highlight w:val="none"/>
        </w:rPr>
        <w:t>二、报价文件部分格式</w:t>
      </w:r>
      <w:bookmarkEnd w:id="102"/>
      <w:bookmarkEnd w:id="103"/>
      <w:bookmarkEnd w:id="104"/>
      <w:bookmarkEnd w:id="105"/>
      <w:bookmarkEnd w:id="106"/>
    </w:p>
    <w:p w14:paraId="0CB492DF">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cs="宋体"/>
          <w:b/>
          <w:color w:val="auto"/>
          <w:sz w:val="22"/>
          <w:szCs w:val="22"/>
          <w:highlight w:val="none"/>
        </w:rPr>
        <w:t>附</w:t>
      </w:r>
      <w:bookmarkStart w:id="107" w:name="_Toc413747701"/>
      <w:r>
        <w:rPr>
          <w:rFonts w:hint="eastAsia" w:ascii="宋体" w:hAnsi="宋体" w:cs="宋体"/>
          <w:b/>
          <w:color w:val="auto"/>
          <w:sz w:val="22"/>
          <w:szCs w:val="22"/>
          <w:highlight w:val="none"/>
        </w:rPr>
        <w:t>件</w:t>
      </w:r>
      <w:bookmarkEnd w:id="107"/>
      <w:r>
        <w:rPr>
          <w:rFonts w:hint="eastAsia" w:ascii="宋体" w:hAnsi="宋体" w:cs="宋体"/>
          <w:b/>
          <w:color w:val="auto"/>
          <w:sz w:val="22"/>
          <w:szCs w:val="22"/>
          <w:highlight w:val="none"/>
          <w:lang w:val="en-US" w:eastAsia="zh-CN"/>
        </w:rPr>
        <w:t>二</w:t>
      </w:r>
    </w:p>
    <w:p w14:paraId="2FF02E41">
      <w:pPr>
        <w:pStyle w:val="40"/>
        <w:rPr>
          <w:rFonts w:hint="eastAsia" w:ascii="宋体" w:hAnsi="宋体" w:cs="宋体"/>
          <w:color w:val="auto"/>
          <w:sz w:val="22"/>
          <w:szCs w:val="22"/>
          <w:highlight w:val="none"/>
        </w:rPr>
      </w:pPr>
      <w:bookmarkStart w:id="108" w:name="_Toc42243286"/>
      <w:bookmarkStart w:id="109" w:name="_Toc20005"/>
      <w:bookmarkStart w:id="110" w:name="_Toc61444215"/>
      <w:bookmarkStart w:id="111" w:name="_Toc522469114"/>
      <w:bookmarkStart w:id="112" w:name="_Toc96970930"/>
      <w:bookmarkStart w:id="113" w:name="_Toc87518594"/>
      <w:bookmarkStart w:id="114" w:name="_Toc22422"/>
      <w:bookmarkStart w:id="115" w:name="_Toc496618930"/>
      <w:bookmarkStart w:id="116" w:name="_Toc10399"/>
      <w:bookmarkStart w:id="117" w:name="_Toc9334945"/>
      <w:bookmarkStart w:id="118" w:name="_Toc511045476"/>
      <w:bookmarkStart w:id="119" w:name="_Toc97033072"/>
      <w:bookmarkStart w:id="120" w:name="_Toc68188791"/>
      <w:bookmarkStart w:id="121" w:name="_Toc42678183"/>
      <w:bookmarkStart w:id="122" w:name="_Toc19204519"/>
      <w:bookmarkStart w:id="123" w:name="_Toc68187555"/>
      <w:bookmarkStart w:id="124" w:name="_Toc68189105"/>
      <w:bookmarkStart w:id="125" w:name="_Toc42678694"/>
      <w:bookmarkStart w:id="126" w:name="_Toc7030"/>
      <w:bookmarkStart w:id="127" w:name="_Toc518512529"/>
      <w:bookmarkStart w:id="128" w:name="_Toc87518417"/>
      <w:bookmarkStart w:id="129" w:name="_Toc65590096"/>
      <w:bookmarkStart w:id="130" w:name="_Toc65830024"/>
      <w:bookmarkStart w:id="131" w:name="_Toc42678615"/>
      <w:bookmarkStart w:id="132" w:name="_Toc42678028"/>
      <w:r>
        <w:rPr>
          <w:rFonts w:hint="eastAsia" w:ascii="宋体" w:hAnsi="宋体" w:cs="宋体"/>
          <w:color w:val="auto"/>
          <w:sz w:val="22"/>
          <w:szCs w:val="22"/>
          <w:highlight w:val="none"/>
        </w:rPr>
        <w:t>报价一览表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4734F32">
      <w:pPr>
        <w:autoSpaceDE w:val="0"/>
        <w:autoSpaceDN w:val="0"/>
        <w:adjustRightInd w:val="0"/>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投标供应商名称：采购编号：  报价单位：</w:t>
      </w:r>
      <w:r>
        <w:rPr>
          <w:rFonts w:hint="eastAsia" w:ascii="宋体" w:hAnsi="宋体" w:cs="宋体"/>
          <w:color w:val="auto"/>
          <w:sz w:val="22"/>
          <w:szCs w:val="22"/>
          <w:highlight w:val="none"/>
          <w:u w:val="single"/>
          <w:lang w:val="zh-CN"/>
        </w:rPr>
        <w:t>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3422"/>
        <w:gridCol w:w="2117"/>
      </w:tblGrid>
      <w:tr w14:paraId="2F1A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824" w:type="pct"/>
            <w:tcBorders>
              <w:right w:val="single" w:color="000000" w:sz="6" w:space="0"/>
            </w:tcBorders>
            <w:vAlign w:val="center"/>
          </w:tcPr>
          <w:p w14:paraId="0648495D">
            <w:pPr>
              <w:pStyle w:val="24"/>
              <w:snapToGrid w:val="0"/>
              <w:spacing w:line="460" w:lineRule="atLeast"/>
              <w:jc w:val="center"/>
              <w:rPr>
                <w:rFonts w:hint="eastAsia" w:hAnsi="宋体" w:cs="宋体"/>
                <w:b/>
                <w:color w:val="auto"/>
                <w:sz w:val="22"/>
                <w:szCs w:val="22"/>
                <w:highlight w:val="none"/>
              </w:rPr>
            </w:pPr>
            <w:r>
              <w:rPr>
                <w:rFonts w:hint="eastAsia" w:hAnsi="宋体" w:cs="宋体"/>
                <w:color w:val="auto"/>
                <w:sz w:val="22"/>
                <w:szCs w:val="22"/>
                <w:highlight w:val="none"/>
              </w:rPr>
              <w:t>项目名称</w:t>
            </w:r>
          </w:p>
        </w:tc>
        <w:tc>
          <w:tcPr>
            <w:tcW w:w="1962" w:type="pct"/>
            <w:tcBorders>
              <w:left w:val="single" w:color="auto" w:sz="4" w:space="0"/>
              <w:right w:val="single" w:color="000000" w:sz="4" w:space="0"/>
            </w:tcBorders>
            <w:vAlign w:val="center"/>
          </w:tcPr>
          <w:p w14:paraId="7ADA152A">
            <w:pPr>
              <w:pStyle w:val="24"/>
              <w:snapToGrid w:val="0"/>
              <w:spacing w:line="460" w:lineRule="atLeast"/>
              <w:jc w:val="center"/>
              <w:rPr>
                <w:rFonts w:hint="eastAsia" w:hAnsi="宋体" w:cs="宋体"/>
                <w:b/>
                <w:color w:val="auto"/>
                <w:sz w:val="22"/>
                <w:szCs w:val="22"/>
                <w:highlight w:val="none"/>
              </w:rPr>
            </w:pPr>
            <w:r>
              <w:rPr>
                <w:rFonts w:hint="eastAsia" w:hAnsi="宋体" w:cs="宋体"/>
                <w:color w:val="auto"/>
                <w:sz w:val="22"/>
                <w:szCs w:val="22"/>
                <w:highlight w:val="none"/>
              </w:rPr>
              <w:t>投标总价</w:t>
            </w:r>
          </w:p>
          <w:p w14:paraId="085A3D89">
            <w:pPr>
              <w:pStyle w:val="24"/>
              <w:snapToGrid w:val="0"/>
              <w:spacing w:line="460" w:lineRule="atLeast"/>
              <w:jc w:val="center"/>
              <w:rPr>
                <w:rFonts w:hint="eastAsia" w:hAnsi="宋体" w:cs="宋体"/>
                <w:b/>
                <w:color w:val="auto"/>
                <w:sz w:val="22"/>
                <w:szCs w:val="22"/>
                <w:highlight w:val="none"/>
              </w:rPr>
            </w:pPr>
            <w:r>
              <w:rPr>
                <w:rFonts w:hint="eastAsia" w:hAnsi="宋体" w:cs="宋体"/>
                <w:color w:val="auto"/>
                <w:sz w:val="22"/>
                <w:szCs w:val="22"/>
                <w:highlight w:val="none"/>
              </w:rPr>
              <w:t>（元人民币）</w:t>
            </w:r>
          </w:p>
        </w:tc>
        <w:tc>
          <w:tcPr>
            <w:tcW w:w="1214" w:type="pct"/>
            <w:tcBorders>
              <w:left w:val="single" w:color="000000" w:sz="4" w:space="0"/>
              <w:right w:val="single" w:color="000000" w:sz="4" w:space="0"/>
            </w:tcBorders>
            <w:vAlign w:val="center"/>
          </w:tcPr>
          <w:p w14:paraId="54E246AE">
            <w:pPr>
              <w:pStyle w:val="24"/>
              <w:jc w:val="center"/>
              <w:rPr>
                <w:rFonts w:hint="eastAsia" w:hAnsi="宋体" w:cs="宋体"/>
                <w:b/>
                <w:color w:val="auto"/>
                <w:sz w:val="22"/>
                <w:szCs w:val="22"/>
                <w:highlight w:val="none"/>
              </w:rPr>
            </w:pPr>
            <w:r>
              <w:rPr>
                <w:rFonts w:hint="eastAsia" w:hAnsi="宋体" w:cs="宋体"/>
                <w:color w:val="auto"/>
                <w:sz w:val="22"/>
                <w:szCs w:val="22"/>
                <w:highlight w:val="none"/>
              </w:rPr>
              <w:t>备注</w:t>
            </w:r>
          </w:p>
        </w:tc>
      </w:tr>
      <w:tr w14:paraId="3CDB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trPr>
        <w:tc>
          <w:tcPr>
            <w:tcW w:w="1824" w:type="pct"/>
            <w:tcBorders>
              <w:right w:val="single" w:color="000000" w:sz="6" w:space="0"/>
            </w:tcBorders>
            <w:vAlign w:val="center"/>
          </w:tcPr>
          <w:p w14:paraId="567B71B6">
            <w:pPr>
              <w:pStyle w:val="24"/>
              <w:snapToGrid w:val="0"/>
              <w:spacing w:line="460" w:lineRule="atLeast"/>
              <w:jc w:val="center"/>
              <w:rPr>
                <w:rFonts w:hint="eastAsia" w:hAnsi="宋体" w:eastAsia="宋体" w:cs="宋体"/>
                <w:b/>
                <w:color w:val="auto"/>
                <w:sz w:val="22"/>
                <w:szCs w:val="22"/>
                <w:highlight w:val="none"/>
                <w:lang w:eastAsia="zh-CN"/>
              </w:rPr>
            </w:pPr>
            <w:r>
              <w:rPr>
                <w:rFonts w:hint="eastAsia" w:hAnsi="宋体" w:cs="宋体"/>
                <w:color w:val="auto"/>
                <w:sz w:val="22"/>
                <w:szCs w:val="22"/>
                <w:highlight w:val="none"/>
                <w:lang w:eastAsia="zh-CN"/>
              </w:rPr>
              <w:t>2025年度永嘉县农产品质量安全抽样及定量检测服务项目</w:t>
            </w:r>
          </w:p>
        </w:tc>
        <w:tc>
          <w:tcPr>
            <w:tcW w:w="1962" w:type="pct"/>
            <w:tcBorders>
              <w:left w:val="single" w:color="auto" w:sz="4" w:space="0"/>
              <w:right w:val="single" w:color="000000" w:sz="4" w:space="0"/>
            </w:tcBorders>
            <w:vAlign w:val="center"/>
          </w:tcPr>
          <w:p w14:paraId="6E4F9429">
            <w:pPr>
              <w:pStyle w:val="24"/>
              <w:spacing w:line="460" w:lineRule="atLeast"/>
              <w:rPr>
                <w:rFonts w:hint="eastAsia" w:hAnsi="宋体" w:cs="宋体"/>
                <w:b/>
                <w:color w:val="auto"/>
                <w:sz w:val="22"/>
                <w:szCs w:val="22"/>
                <w:highlight w:val="none"/>
              </w:rPr>
            </w:pPr>
            <w:r>
              <w:rPr>
                <w:rFonts w:hint="eastAsia" w:hAnsi="宋体" w:cs="宋体"/>
                <w:color w:val="auto"/>
                <w:sz w:val="22"/>
                <w:szCs w:val="22"/>
                <w:highlight w:val="none"/>
              </w:rPr>
              <w:t>大写：</w:t>
            </w:r>
          </w:p>
          <w:p w14:paraId="50A6A093">
            <w:pPr>
              <w:pStyle w:val="24"/>
              <w:spacing w:line="460" w:lineRule="atLeast"/>
              <w:rPr>
                <w:rFonts w:hint="eastAsia" w:hAnsi="宋体" w:cs="宋体"/>
                <w:b/>
                <w:color w:val="auto"/>
                <w:sz w:val="22"/>
                <w:szCs w:val="22"/>
                <w:highlight w:val="none"/>
              </w:rPr>
            </w:pPr>
            <w:r>
              <w:rPr>
                <w:rFonts w:hint="eastAsia" w:hAnsi="宋体" w:cs="宋体"/>
                <w:color w:val="auto"/>
                <w:sz w:val="22"/>
                <w:szCs w:val="22"/>
                <w:highlight w:val="none"/>
              </w:rPr>
              <w:t>小写：</w:t>
            </w:r>
          </w:p>
        </w:tc>
        <w:tc>
          <w:tcPr>
            <w:tcW w:w="1214" w:type="pct"/>
            <w:tcBorders>
              <w:left w:val="single" w:color="000000" w:sz="4" w:space="0"/>
              <w:right w:val="single" w:color="000000" w:sz="4" w:space="0"/>
            </w:tcBorders>
            <w:vAlign w:val="center"/>
          </w:tcPr>
          <w:p w14:paraId="74894279">
            <w:pPr>
              <w:pStyle w:val="24"/>
              <w:jc w:val="center"/>
              <w:rPr>
                <w:rFonts w:hint="eastAsia" w:hAnsi="宋体" w:cs="宋体"/>
                <w:b/>
                <w:color w:val="auto"/>
                <w:sz w:val="22"/>
                <w:szCs w:val="22"/>
                <w:highlight w:val="none"/>
              </w:rPr>
            </w:pPr>
          </w:p>
        </w:tc>
      </w:tr>
    </w:tbl>
    <w:p w14:paraId="1CD875C3">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14:paraId="00A61D33">
      <w:pPr>
        <w:autoSpaceDE w:val="0"/>
        <w:autoSpaceDN w:val="0"/>
        <w:adjustRightInd w:val="0"/>
        <w:spacing w:line="400" w:lineRule="atLeast"/>
        <w:ind w:left="400"/>
        <w:rPr>
          <w:rFonts w:hint="eastAsia" w:ascii="宋体" w:hAnsi="宋体" w:cs="宋体"/>
          <w:b/>
          <w:bCs/>
          <w:color w:val="auto"/>
          <w:kern w:val="0"/>
          <w:sz w:val="22"/>
          <w:szCs w:val="22"/>
          <w:highlight w:val="none"/>
          <w:lang w:val="zh-CN"/>
        </w:rPr>
      </w:pPr>
    </w:p>
    <w:p w14:paraId="757323C4">
      <w:pPr>
        <w:numPr>
          <w:ilvl w:val="0"/>
          <w:numId w:val="5"/>
        </w:numPr>
        <w:autoSpaceDE w:val="0"/>
        <w:autoSpaceDN w:val="0"/>
        <w:adjustRightInd w:val="0"/>
        <w:spacing w:line="400" w:lineRule="atLeast"/>
        <w:rPr>
          <w:rFonts w:hint="eastAsia" w:ascii="宋体" w:hAnsi="宋体" w:cs="宋体"/>
          <w:b/>
          <w:bCs/>
          <w:color w:val="auto"/>
          <w:kern w:val="0"/>
          <w:sz w:val="22"/>
          <w:szCs w:val="22"/>
          <w:highlight w:val="none"/>
          <w:u w:val="wav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不提供此表格将被视为没有实质性响应招标文件。</w:t>
      </w:r>
    </w:p>
    <w:p w14:paraId="62193579">
      <w:pPr>
        <w:numPr>
          <w:ilvl w:val="0"/>
          <w:numId w:val="5"/>
        </w:numPr>
        <w:autoSpaceDE w:val="0"/>
        <w:autoSpaceDN w:val="0"/>
        <w:adjustRightInd w:val="0"/>
        <w:spacing w:line="400" w:lineRule="atLeast"/>
        <w:rPr>
          <w:rFonts w:hint="eastAsia" w:ascii="宋体" w:hAnsi="宋体" w:cs="宋体"/>
          <w:b/>
          <w:bCs/>
          <w:color w:val="auto"/>
          <w:kern w:val="0"/>
          <w:sz w:val="22"/>
          <w:szCs w:val="22"/>
          <w:highlight w:val="none"/>
          <w:u w:val="single"/>
          <w:lang w:val="zh-CN"/>
        </w:rPr>
      </w:pPr>
      <w:r>
        <w:rPr>
          <w:rFonts w:hint="eastAsia" w:ascii="宋体" w:hAnsi="宋体" w:cs="宋体"/>
          <w:b/>
          <w:color w:val="auto"/>
          <w:sz w:val="22"/>
          <w:szCs w:val="22"/>
          <w:highlight w:val="none"/>
          <w:u w:val="single"/>
        </w:rPr>
        <w:t>▲</w:t>
      </w:r>
      <w:r>
        <w:rPr>
          <w:rFonts w:hint="eastAsia" w:ascii="宋体" w:hAnsi="宋体" w:cs="宋体"/>
          <w:b/>
          <w:bCs/>
          <w:color w:val="auto"/>
          <w:sz w:val="22"/>
          <w:szCs w:val="22"/>
          <w:highlight w:val="none"/>
          <w:u w:val="single"/>
        </w:rPr>
        <w:t>投标总价须与投标分项报价表中的总计价相一致。</w:t>
      </w:r>
    </w:p>
    <w:p w14:paraId="62E112C4">
      <w:pPr>
        <w:autoSpaceDE w:val="0"/>
        <w:autoSpaceDN w:val="0"/>
        <w:adjustRightInd w:val="0"/>
        <w:spacing w:line="500" w:lineRule="atLeast"/>
        <w:rPr>
          <w:rFonts w:hint="eastAsia" w:ascii="宋体" w:hAnsi="宋体" w:cs="宋体"/>
          <w:color w:val="auto"/>
          <w:sz w:val="30"/>
          <w:szCs w:val="30"/>
          <w:highlight w:val="none"/>
        </w:rPr>
      </w:pPr>
    </w:p>
    <w:p w14:paraId="223D1EBD">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 ：</w:t>
      </w:r>
    </w:p>
    <w:p w14:paraId="232524AB">
      <w:pPr>
        <w:spacing w:line="460" w:lineRule="atLeast"/>
        <w:ind w:firstLine="440"/>
        <w:rPr>
          <w:rFonts w:hint="eastAsia" w:ascii="宋体" w:hAnsi="宋体" w:cs="宋体"/>
          <w:color w:val="auto"/>
          <w:sz w:val="36"/>
          <w:highlight w:val="none"/>
        </w:rPr>
      </w:pPr>
      <w:r>
        <w:rPr>
          <w:rFonts w:hint="eastAsia" w:ascii="宋体" w:hAnsi="宋体" w:cs="宋体"/>
          <w:color w:val="auto"/>
          <w:sz w:val="22"/>
          <w:szCs w:val="22"/>
          <w:highlight w:val="none"/>
        </w:rPr>
        <w:t>日期：</w:t>
      </w:r>
    </w:p>
    <w:p w14:paraId="694B1144">
      <w:pPr>
        <w:pStyle w:val="18"/>
        <w:ind w:firstLine="210"/>
        <w:rPr>
          <w:rFonts w:hint="eastAsia" w:ascii="宋体" w:hAnsi="宋体" w:cs="宋体"/>
          <w:color w:val="auto"/>
          <w:highlight w:val="none"/>
        </w:rPr>
      </w:pPr>
      <w:r>
        <w:rPr>
          <w:rFonts w:hint="eastAsia" w:ascii="宋体" w:hAnsi="宋体" w:cs="宋体"/>
          <w:color w:val="auto"/>
          <w:highlight w:val="none"/>
        </w:rPr>
        <w:br w:type="page"/>
      </w:r>
    </w:p>
    <w:p w14:paraId="5DDD93EF">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三</w:t>
      </w:r>
    </w:p>
    <w:p w14:paraId="16C5B263">
      <w:pPr>
        <w:autoSpaceDE w:val="0"/>
        <w:autoSpaceDN w:val="0"/>
        <w:adjustRightInd w:val="0"/>
        <w:spacing w:line="360" w:lineRule="atLeast"/>
        <w:ind w:right="220"/>
        <w:jc w:val="center"/>
        <w:textAlignment w:val="baseline"/>
        <w:rPr>
          <w:rFonts w:hint="eastAsia" w:ascii="宋体" w:hAnsi="宋体" w:cs="宋体"/>
          <w:b/>
          <w:color w:val="auto"/>
          <w:sz w:val="22"/>
          <w:highlight w:val="none"/>
        </w:rPr>
      </w:pPr>
      <w:r>
        <w:rPr>
          <w:rFonts w:hint="eastAsia" w:ascii="宋体" w:hAnsi="宋体" w:cs="宋体"/>
          <w:b/>
          <w:bCs/>
          <w:color w:val="auto"/>
          <w:kern w:val="0"/>
          <w:sz w:val="28"/>
          <w:szCs w:val="28"/>
          <w:highlight w:val="none"/>
          <w:lang w:val="zh-CN"/>
        </w:rPr>
        <w:t>投标分项报价表</w:t>
      </w:r>
    </w:p>
    <w:p w14:paraId="0D548660">
      <w:pPr>
        <w:spacing w:line="360" w:lineRule="exact"/>
        <w:jc w:val="right"/>
        <w:rPr>
          <w:rFonts w:hint="eastAsia" w:ascii="宋体" w:hAnsi="宋体" w:cs="宋体"/>
          <w:color w:val="auto"/>
          <w:sz w:val="22"/>
          <w:highlight w:val="none"/>
        </w:rPr>
      </w:pPr>
      <w:r>
        <w:rPr>
          <w:rFonts w:hint="eastAsia" w:ascii="宋体" w:hAnsi="宋体" w:cs="宋体"/>
          <w:color w:val="auto"/>
          <w:sz w:val="22"/>
          <w:highlight w:val="none"/>
        </w:rPr>
        <w:t>（单位价格：元）</w:t>
      </w:r>
    </w:p>
    <w:tbl>
      <w:tblPr>
        <w:tblStyle w:val="43"/>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5"/>
        <w:gridCol w:w="3690"/>
        <w:gridCol w:w="968"/>
        <w:gridCol w:w="914"/>
        <w:gridCol w:w="1214"/>
        <w:gridCol w:w="1186"/>
      </w:tblGrid>
      <w:tr w14:paraId="03A90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28" w:type="pct"/>
            <w:tcBorders>
              <w:top w:val="single" w:color="auto" w:sz="2" w:space="0"/>
              <w:left w:val="single" w:color="auto" w:sz="2" w:space="0"/>
              <w:bottom w:val="single" w:color="auto" w:sz="2" w:space="0"/>
              <w:right w:val="single" w:color="auto" w:sz="2" w:space="0"/>
            </w:tcBorders>
            <w:vAlign w:val="center"/>
          </w:tcPr>
          <w:p w14:paraId="70205936">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序号</w:t>
            </w:r>
          </w:p>
        </w:tc>
        <w:tc>
          <w:tcPr>
            <w:tcW w:w="2115" w:type="pct"/>
            <w:tcBorders>
              <w:top w:val="single" w:color="auto" w:sz="2" w:space="0"/>
              <w:left w:val="single" w:color="auto" w:sz="2" w:space="0"/>
              <w:bottom w:val="single" w:color="auto" w:sz="2" w:space="0"/>
              <w:right w:val="single" w:color="auto" w:sz="2" w:space="0"/>
            </w:tcBorders>
            <w:vAlign w:val="center"/>
          </w:tcPr>
          <w:p w14:paraId="15322494">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项目</w:t>
            </w:r>
          </w:p>
        </w:tc>
        <w:tc>
          <w:tcPr>
            <w:tcW w:w="555" w:type="pct"/>
            <w:tcBorders>
              <w:top w:val="single" w:color="auto" w:sz="2" w:space="0"/>
              <w:left w:val="single" w:color="auto" w:sz="2" w:space="0"/>
              <w:bottom w:val="single" w:color="auto" w:sz="2" w:space="0"/>
              <w:right w:val="single" w:color="auto" w:sz="4" w:space="0"/>
            </w:tcBorders>
            <w:vAlign w:val="center"/>
          </w:tcPr>
          <w:p w14:paraId="74F96A61">
            <w:pPr>
              <w:spacing w:line="360" w:lineRule="exact"/>
              <w:ind w:right="-11"/>
              <w:jc w:val="center"/>
              <w:rPr>
                <w:rFonts w:ascii="宋体"/>
                <w:color w:val="auto"/>
                <w:sz w:val="22"/>
                <w:highlight w:val="none"/>
              </w:rPr>
            </w:pPr>
            <w:r>
              <w:rPr>
                <w:rFonts w:hint="eastAsia" w:ascii="宋体"/>
                <w:color w:val="auto"/>
                <w:sz w:val="22"/>
                <w:szCs w:val="22"/>
                <w:highlight w:val="none"/>
              </w:rPr>
              <w:t>单价</w:t>
            </w:r>
          </w:p>
          <w:p w14:paraId="37E58A01">
            <w:pPr>
              <w:spacing w:line="360" w:lineRule="exact"/>
              <w:ind w:right="-11"/>
              <w:jc w:val="center"/>
              <w:rPr>
                <w:rFonts w:ascii="宋体" w:cs="Arial"/>
                <w:color w:val="auto"/>
                <w:sz w:val="22"/>
                <w:highlight w:val="none"/>
              </w:rPr>
            </w:pPr>
            <w:r>
              <w:rPr>
                <w:rFonts w:hint="eastAsia" w:ascii="宋体"/>
                <w:color w:val="auto"/>
                <w:sz w:val="22"/>
                <w:szCs w:val="22"/>
                <w:highlight w:val="none"/>
              </w:rPr>
              <w:t>（元）</w:t>
            </w:r>
          </w:p>
        </w:tc>
        <w:tc>
          <w:tcPr>
            <w:tcW w:w="524" w:type="pct"/>
            <w:tcBorders>
              <w:top w:val="single" w:color="auto" w:sz="2" w:space="0"/>
              <w:left w:val="single" w:color="auto" w:sz="2" w:space="0"/>
              <w:bottom w:val="single" w:color="auto" w:sz="2" w:space="0"/>
              <w:right w:val="single" w:color="auto" w:sz="4" w:space="0"/>
            </w:tcBorders>
            <w:vAlign w:val="center"/>
          </w:tcPr>
          <w:p w14:paraId="76ADBB11">
            <w:pPr>
              <w:spacing w:line="360" w:lineRule="exact"/>
              <w:ind w:right="-11"/>
              <w:jc w:val="center"/>
              <w:rPr>
                <w:rFonts w:ascii="宋体" w:cs="Arial"/>
                <w:color w:val="auto"/>
                <w:sz w:val="22"/>
                <w:highlight w:val="none"/>
              </w:rPr>
            </w:pPr>
            <w:r>
              <w:rPr>
                <w:rFonts w:hint="eastAsia" w:ascii="宋体" w:cs="Arial"/>
                <w:color w:val="auto"/>
                <w:sz w:val="22"/>
                <w:szCs w:val="22"/>
                <w:highlight w:val="none"/>
              </w:rPr>
              <w:t>数量</w:t>
            </w:r>
          </w:p>
        </w:tc>
        <w:tc>
          <w:tcPr>
            <w:tcW w:w="695" w:type="pct"/>
            <w:tcBorders>
              <w:top w:val="single" w:color="auto" w:sz="2" w:space="0"/>
              <w:left w:val="single" w:color="auto" w:sz="2" w:space="0"/>
              <w:bottom w:val="single" w:color="auto" w:sz="2" w:space="0"/>
              <w:right w:val="single" w:color="auto" w:sz="4" w:space="0"/>
            </w:tcBorders>
            <w:vAlign w:val="center"/>
          </w:tcPr>
          <w:p w14:paraId="6442FCEA">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总价</w:t>
            </w:r>
          </w:p>
          <w:p w14:paraId="077F4443">
            <w:pPr>
              <w:spacing w:line="360" w:lineRule="exact"/>
              <w:ind w:right="-11"/>
              <w:jc w:val="center"/>
              <w:rPr>
                <w:rFonts w:ascii="宋体" w:cs="Arial"/>
                <w:color w:val="auto"/>
                <w:sz w:val="22"/>
                <w:highlight w:val="none"/>
              </w:rPr>
            </w:pPr>
            <w:r>
              <w:rPr>
                <w:rFonts w:hint="eastAsia" w:ascii="宋体" w:cs="Arial"/>
                <w:color w:val="auto"/>
                <w:sz w:val="22"/>
                <w:szCs w:val="22"/>
                <w:highlight w:val="none"/>
              </w:rPr>
              <w:t>（含税）</w:t>
            </w:r>
          </w:p>
        </w:tc>
        <w:tc>
          <w:tcPr>
            <w:tcW w:w="679" w:type="pct"/>
            <w:tcBorders>
              <w:top w:val="single" w:color="auto" w:sz="2" w:space="0"/>
              <w:left w:val="single" w:color="auto" w:sz="4" w:space="0"/>
              <w:bottom w:val="single" w:color="auto" w:sz="2" w:space="0"/>
              <w:right w:val="single" w:color="auto" w:sz="2" w:space="0"/>
            </w:tcBorders>
            <w:vAlign w:val="center"/>
          </w:tcPr>
          <w:p w14:paraId="267C59DE">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备注</w:t>
            </w:r>
          </w:p>
        </w:tc>
      </w:tr>
      <w:tr w14:paraId="3B803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5" w:hRule="atLeast"/>
        </w:trPr>
        <w:tc>
          <w:tcPr>
            <w:tcW w:w="428" w:type="pct"/>
            <w:tcBorders>
              <w:top w:val="single" w:color="auto" w:sz="2" w:space="0"/>
              <w:left w:val="single" w:color="auto" w:sz="2" w:space="0"/>
              <w:bottom w:val="single" w:color="auto" w:sz="2" w:space="0"/>
              <w:right w:val="single" w:color="auto" w:sz="2" w:space="0"/>
            </w:tcBorders>
            <w:vAlign w:val="center"/>
          </w:tcPr>
          <w:p w14:paraId="0F0EF838">
            <w:pPr>
              <w:spacing w:line="400" w:lineRule="exact"/>
              <w:jc w:val="center"/>
              <w:rPr>
                <w:rFonts w:ascii="宋体"/>
                <w:color w:val="auto"/>
                <w:sz w:val="22"/>
                <w:highlight w:val="none"/>
              </w:rPr>
            </w:pPr>
            <w:r>
              <w:rPr>
                <w:rFonts w:hint="eastAsia" w:ascii="宋体"/>
                <w:color w:val="auto"/>
                <w:sz w:val="22"/>
                <w:szCs w:val="22"/>
                <w:highlight w:val="none"/>
              </w:rPr>
              <w:t>1</w:t>
            </w:r>
          </w:p>
        </w:tc>
        <w:tc>
          <w:tcPr>
            <w:tcW w:w="2115" w:type="pct"/>
            <w:tcBorders>
              <w:top w:val="single" w:color="auto" w:sz="2" w:space="0"/>
              <w:left w:val="single" w:color="auto" w:sz="2" w:space="0"/>
              <w:bottom w:val="single" w:color="auto" w:sz="2" w:space="0"/>
              <w:right w:val="single" w:color="auto" w:sz="2" w:space="0"/>
            </w:tcBorders>
            <w:vAlign w:val="center"/>
          </w:tcPr>
          <w:p w14:paraId="6E395D4F">
            <w:pPr>
              <w:spacing w:line="400" w:lineRule="exact"/>
              <w:jc w:val="center"/>
              <w:rPr>
                <w:rFonts w:ascii="宋体"/>
                <w:color w:val="auto"/>
                <w:sz w:val="22"/>
                <w:highlight w:val="none"/>
              </w:rPr>
            </w:pPr>
          </w:p>
        </w:tc>
        <w:tc>
          <w:tcPr>
            <w:tcW w:w="555" w:type="pct"/>
            <w:tcBorders>
              <w:top w:val="single" w:color="auto" w:sz="2" w:space="0"/>
              <w:left w:val="single" w:color="auto" w:sz="2" w:space="0"/>
              <w:bottom w:val="single" w:color="auto" w:sz="2" w:space="0"/>
              <w:right w:val="single" w:color="auto" w:sz="4" w:space="0"/>
            </w:tcBorders>
          </w:tcPr>
          <w:p w14:paraId="713047B8">
            <w:pPr>
              <w:spacing w:before="156" w:beforeLines="50" w:after="156" w:afterLines="50" w:line="360" w:lineRule="exact"/>
              <w:jc w:val="center"/>
              <w:rPr>
                <w:rFonts w:ascii="宋体" w:cs="Arial"/>
                <w:color w:val="auto"/>
                <w:sz w:val="22"/>
                <w:highlight w:val="none"/>
              </w:rPr>
            </w:pPr>
          </w:p>
        </w:tc>
        <w:tc>
          <w:tcPr>
            <w:tcW w:w="524" w:type="pct"/>
            <w:tcBorders>
              <w:top w:val="single" w:color="auto" w:sz="2" w:space="0"/>
              <w:left w:val="single" w:color="auto" w:sz="2" w:space="0"/>
              <w:bottom w:val="single" w:color="auto" w:sz="2" w:space="0"/>
              <w:right w:val="single" w:color="auto" w:sz="4" w:space="0"/>
            </w:tcBorders>
          </w:tcPr>
          <w:p w14:paraId="18CF3B9C">
            <w:pPr>
              <w:spacing w:before="156" w:beforeLines="50" w:after="156" w:afterLines="50" w:line="360" w:lineRule="exact"/>
              <w:jc w:val="center"/>
              <w:rPr>
                <w:rFonts w:ascii="宋体" w:cs="Arial"/>
                <w:color w:val="auto"/>
                <w:sz w:val="22"/>
                <w:highlight w:val="none"/>
              </w:rPr>
            </w:pPr>
          </w:p>
        </w:tc>
        <w:tc>
          <w:tcPr>
            <w:tcW w:w="695" w:type="pct"/>
            <w:tcBorders>
              <w:top w:val="single" w:color="auto" w:sz="2" w:space="0"/>
              <w:left w:val="single" w:color="auto" w:sz="2" w:space="0"/>
              <w:bottom w:val="single" w:color="auto" w:sz="2" w:space="0"/>
              <w:right w:val="single" w:color="auto" w:sz="4" w:space="0"/>
            </w:tcBorders>
          </w:tcPr>
          <w:p w14:paraId="70AB4BDD">
            <w:pPr>
              <w:spacing w:before="156" w:beforeLines="50" w:after="156" w:afterLines="50" w:line="360" w:lineRule="exact"/>
              <w:jc w:val="center"/>
              <w:rPr>
                <w:rFonts w:ascii="宋体" w:cs="Arial"/>
                <w:color w:val="auto"/>
                <w:sz w:val="22"/>
                <w:highlight w:val="none"/>
              </w:rPr>
            </w:pPr>
          </w:p>
        </w:tc>
        <w:tc>
          <w:tcPr>
            <w:tcW w:w="679" w:type="pct"/>
            <w:tcBorders>
              <w:top w:val="single" w:color="auto" w:sz="2" w:space="0"/>
              <w:left w:val="single" w:color="auto" w:sz="4" w:space="0"/>
              <w:bottom w:val="single" w:color="auto" w:sz="2" w:space="0"/>
              <w:right w:val="single" w:color="auto" w:sz="2" w:space="0"/>
            </w:tcBorders>
          </w:tcPr>
          <w:p w14:paraId="6B187760">
            <w:pPr>
              <w:spacing w:before="156" w:beforeLines="50" w:after="156" w:afterLines="50" w:line="360" w:lineRule="exact"/>
              <w:jc w:val="center"/>
              <w:rPr>
                <w:rFonts w:ascii="宋体" w:cs="Arial"/>
                <w:color w:val="auto"/>
                <w:sz w:val="22"/>
                <w:highlight w:val="none"/>
              </w:rPr>
            </w:pPr>
          </w:p>
        </w:tc>
      </w:tr>
      <w:tr w14:paraId="3417C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5" w:hRule="atLeast"/>
        </w:trPr>
        <w:tc>
          <w:tcPr>
            <w:tcW w:w="428" w:type="pct"/>
            <w:tcBorders>
              <w:top w:val="single" w:color="auto" w:sz="2" w:space="0"/>
              <w:left w:val="single" w:color="auto" w:sz="2" w:space="0"/>
              <w:bottom w:val="single" w:color="auto" w:sz="2" w:space="0"/>
              <w:right w:val="single" w:color="auto" w:sz="2" w:space="0"/>
            </w:tcBorders>
            <w:vAlign w:val="center"/>
          </w:tcPr>
          <w:p w14:paraId="43B6C351">
            <w:pPr>
              <w:spacing w:line="400" w:lineRule="exact"/>
              <w:jc w:val="center"/>
              <w:rPr>
                <w:rFonts w:ascii="宋体"/>
                <w:color w:val="auto"/>
                <w:sz w:val="22"/>
                <w:highlight w:val="none"/>
              </w:rPr>
            </w:pPr>
            <w:r>
              <w:rPr>
                <w:rFonts w:hint="eastAsia" w:ascii="宋体"/>
                <w:color w:val="auto"/>
                <w:sz w:val="22"/>
                <w:szCs w:val="22"/>
                <w:highlight w:val="none"/>
              </w:rPr>
              <w:t>2</w:t>
            </w:r>
          </w:p>
        </w:tc>
        <w:tc>
          <w:tcPr>
            <w:tcW w:w="2115" w:type="pct"/>
            <w:tcBorders>
              <w:top w:val="single" w:color="auto" w:sz="2" w:space="0"/>
              <w:left w:val="single" w:color="auto" w:sz="2" w:space="0"/>
              <w:bottom w:val="single" w:color="auto" w:sz="2" w:space="0"/>
              <w:right w:val="single" w:color="auto" w:sz="2" w:space="0"/>
            </w:tcBorders>
            <w:vAlign w:val="center"/>
          </w:tcPr>
          <w:p w14:paraId="45BCEC23">
            <w:pPr>
              <w:spacing w:line="400" w:lineRule="exact"/>
              <w:jc w:val="center"/>
              <w:rPr>
                <w:rFonts w:ascii="宋体"/>
                <w:color w:val="auto"/>
                <w:sz w:val="22"/>
                <w:highlight w:val="none"/>
              </w:rPr>
            </w:pPr>
          </w:p>
        </w:tc>
        <w:tc>
          <w:tcPr>
            <w:tcW w:w="1775" w:type="pct"/>
            <w:gridSpan w:val="3"/>
            <w:tcBorders>
              <w:top w:val="single" w:color="auto" w:sz="2" w:space="0"/>
              <w:left w:val="single" w:color="auto" w:sz="2" w:space="0"/>
              <w:bottom w:val="single" w:color="auto" w:sz="2" w:space="0"/>
              <w:right w:val="single" w:color="auto" w:sz="4" w:space="0"/>
            </w:tcBorders>
          </w:tcPr>
          <w:p w14:paraId="505FE065">
            <w:pPr>
              <w:spacing w:before="156" w:beforeLines="50" w:after="156" w:afterLines="50" w:line="360" w:lineRule="exact"/>
              <w:jc w:val="center"/>
              <w:rPr>
                <w:rFonts w:ascii="宋体" w:cs="Arial"/>
                <w:color w:val="auto"/>
                <w:sz w:val="22"/>
                <w:highlight w:val="none"/>
              </w:rPr>
            </w:pPr>
          </w:p>
        </w:tc>
        <w:tc>
          <w:tcPr>
            <w:tcW w:w="679" w:type="pct"/>
            <w:tcBorders>
              <w:top w:val="single" w:color="auto" w:sz="2" w:space="0"/>
              <w:left w:val="single" w:color="auto" w:sz="4" w:space="0"/>
              <w:bottom w:val="single" w:color="auto" w:sz="2" w:space="0"/>
              <w:right w:val="single" w:color="auto" w:sz="2" w:space="0"/>
            </w:tcBorders>
          </w:tcPr>
          <w:p w14:paraId="7C65FAC5">
            <w:pPr>
              <w:spacing w:before="156" w:beforeLines="50" w:after="156" w:afterLines="50" w:line="360" w:lineRule="exact"/>
              <w:jc w:val="center"/>
              <w:rPr>
                <w:rFonts w:ascii="宋体" w:cs="Arial"/>
                <w:color w:val="auto"/>
                <w:sz w:val="22"/>
                <w:highlight w:val="none"/>
              </w:rPr>
            </w:pPr>
          </w:p>
        </w:tc>
      </w:tr>
      <w:tr w14:paraId="13637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5" w:hRule="atLeast"/>
        </w:trPr>
        <w:tc>
          <w:tcPr>
            <w:tcW w:w="428" w:type="pct"/>
            <w:tcBorders>
              <w:top w:val="single" w:color="auto" w:sz="2" w:space="0"/>
              <w:left w:val="single" w:color="auto" w:sz="2" w:space="0"/>
              <w:bottom w:val="single" w:color="auto" w:sz="2" w:space="0"/>
              <w:right w:val="single" w:color="auto" w:sz="2" w:space="0"/>
            </w:tcBorders>
            <w:vAlign w:val="center"/>
          </w:tcPr>
          <w:p w14:paraId="2DC96E0A">
            <w:pPr>
              <w:spacing w:line="400" w:lineRule="exact"/>
              <w:jc w:val="center"/>
              <w:rPr>
                <w:rFonts w:ascii="宋体"/>
                <w:color w:val="auto"/>
                <w:sz w:val="22"/>
                <w:highlight w:val="none"/>
              </w:rPr>
            </w:pPr>
            <w:r>
              <w:rPr>
                <w:rFonts w:hint="eastAsia" w:ascii="宋体"/>
                <w:color w:val="auto"/>
                <w:sz w:val="22"/>
                <w:szCs w:val="22"/>
                <w:highlight w:val="none"/>
              </w:rPr>
              <w:t>3</w:t>
            </w:r>
          </w:p>
        </w:tc>
        <w:tc>
          <w:tcPr>
            <w:tcW w:w="2115" w:type="pct"/>
            <w:tcBorders>
              <w:top w:val="single" w:color="auto" w:sz="2" w:space="0"/>
              <w:left w:val="single" w:color="auto" w:sz="2" w:space="0"/>
              <w:bottom w:val="single" w:color="auto" w:sz="2" w:space="0"/>
              <w:right w:val="single" w:color="auto" w:sz="2" w:space="0"/>
            </w:tcBorders>
            <w:vAlign w:val="center"/>
          </w:tcPr>
          <w:p w14:paraId="1BF504D2">
            <w:pPr>
              <w:spacing w:line="400" w:lineRule="exact"/>
              <w:jc w:val="center"/>
              <w:rPr>
                <w:rFonts w:ascii="宋体"/>
                <w:color w:val="auto"/>
                <w:sz w:val="22"/>
                <w:highlight w:val="none"/>
              </w:rPr>
            </w:pPr>
            <w:r>
              <w:rPr>
                <w:rFonts w:hint="eastAsia" w:ascii="宋体"/>
                <w:color w:val="auto"/>
                <w:sz w:val="22"/>
                <w:szCs w:val="22"/>
                <w:highlight w:val="none"/>
              </w:rPr>
              <w:t>... ...</w:t>
            </w:r>
          </w:p>
        </w:tc>
        <w:tc>
          <w:tcPr>
            <w:tcW w:w="1775" w:type="pct"/>
            <w:gridSpan w:val="3"/>
            <w:tcBorders>
              <w:top w:val="single" w:color="auto" w:sz="2" w:space="0"/>
              <w:left w:val="single" w:color="auto" w:sz="2" w:space="0"/>
              <w:bottom w:val="single" w:color="auto" w:sz="2" w:space="0"/>
              <w:right w:val="single" w:color="auto" w:sz="4" w:space="0"/>
            </w:tcBorders>
          </w:tcPr>
          <w:p w14:paraId="7AC96AB7">
            <w:pPr>
              <w:spacing w:before="156" w:beforeLines="50" w:after="156" w:afterLines="50" w:line="360" w:lineRule="exact"/>
              <w:jc w:val="center"/>
              <w:rPr>
                <w:rFonts w:ascii="宋体" w:cs="Arial"/>
                <w:color w:val="auto"/>
                <w:sz w:val="22"/>
                <w:highlight w:val="none"/>
              </w:rPr>
            </w:pPr>
          </w:p>
        </w:tc>
        <w:tc>
          <w:tcPr>
            <w:tcW w:w="679" w:type="pct"/>
            <w:tcBorders>
              <w:top w:val="single" w:color="auto" w:sz="2" w:space="0"/>
              <w:left w:val="single" w:color="auto" w:sz="4" w:space="0"/>
              <w:bottom w:val="single" w:color="auto" w:sz="2" w:space="0"/>
              <w:right w:val="single" w:color="auto" w:sz="2" w:space="0"/>
            </w:tcBorders>
          </w:tcPr>
          <w:p w14:paraId="169D8552">
            <w:pPr>
              <w:spacing w:before="156" w:beforeLines="50" w:after="156" w:afterLines="50" w:line="360" w:lineRule="exact"/>
              <w:jc w:val="center"/>
              <w:rPr>
                <w:rFonts w:ascii="宋体" w:cs="Arial"/>
                <w:color w:val="auto"/>
                <w:sz w:val="22"/>
                <w:highlight w:val="none"/>
              </w:rPr>
            </w:pPr>
          </w:p>
        </w:tc>
      </w:tr>
      <w:tr w14:paraId="027B2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428" w:type="pct"/>
            <w:tcBorders>
              <w:top w:val="single" w:color="auto" w:sz="2" w:space="0"/>
              <w:left w:val="single" w:color="auto" w:sz="2" w:space="0"/>
              <w:bottom w:val="single" w:color="auto" w:sz="2" w:space="0"/>
              <w:right w:val="single" w:color="auto" w:sz="2" w:space="0"/>
            </w:tcBorders>
            <w:vAlign w:val="center"/>
          </w:tcPr>
          <w:p w14:paraId="49D6ADFC">
            <w:pPr>
              <w:spacing w:line="400" w:lineRule="exact"/>
              <w:jc w:val="center"/>
              <w:rPr>
                <w:rFonts w:ascii="宋体"/>
                <w:color w:val="auto"/>
                <w:sz w:val="22"/>
                <w:highlight w:val="none"/>
              </w:rPr>
            </w:pPr>
            <w:r>
              <w:rPr>
                <w:rFonts w:hint="eastAsia" w:ascii="宋体"/>
                <w:color w:val="auto"/>
                <w:sz w:val="22"/>
                <w:szCs w:val="22"/>
                <w:highlight w:val="none"/>
              </w:rPr>
              <w:t>4</w:t>
            </w:r>
          </w:p>
        </w:tc>
        <w:tc>
          <w:tcPr>
            <w:tcW w:w="2115" w:type="pct"/>
            <w:tcBorders>
              <w:top w:val="single" w:color="auto" w:sz="2" w:space="0"/>
              <w:left w:val="single" w:color="auto" w:sz="2" w:space="0"/>
              <w:bottom w:val="single" w:color="auto" w:sz="2" w:space="0"/>
              <w:right w:val="single" w:color="auto" w:sz="2" w:space="0"/>
            </w:tcBorders>
            <w:vAlign w:val="center"/>
          </w:tcPr>
          <w:p w14:paraId="3B255EF0">
            <w:pPr>
              <w:spacing w:line="400" w:lineRule="exact"/>
              <w:jc w:val="center"/>
              <w:rPr>
                <w:rFonts w:ascii="宋体"/>
                <w:color w:val="auto"/>
                <w:sz w:val="22"/>
                <w:highlight w:val="none"/>
              </w:rPr>
            </w:pPr>
            <w:r>
              <w:rPr>
                <w:rFonts w:hint="eastAsia" w:ascii="宋体"/>
                <w:color w:val="auto"/>
                <w:sz w:val="22"/>
                <w:szCs w:val="22"/>
                <w:highlight w:val="none"/>
              </w:rPr>
              <w:t>易损件、专用工具</w:t>
            </w:r>
          </w:p>
        </w:tc>
        <w:tc>
          <w:tcPr>
            <w:tcW w:w="1775" w:type="pct"/>
            <w:gridSpan w:val="3"/>
            <w:tcBorders>
              <w:top w:val="single" w:color="auto" w:sz="2" w:space="0"/>
              <w:left w:val="single" w:color="auto" w:sz="2" w:space="0"/>
              <w:bottom w:val="single" w:color="auto" w:sz="2" w:space="0"/>
              <w:right w:val="single" w:color="auto" w:sz="4" w:space="0"/>
            </w:tcBorders>
          </w:tcPr>
          <w:p w14:paraId="0A2F5374">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679" w:type="pct"/>
            <w:tcBorders>
              <w:top w:val="single" w:color="auto" w:sz="2" w:space="0"/>
              <w:left w:val="single" w:color="auto" w:sz="4" w:space="0"/>
              <w:bottom w:val="single" w:color="auto" w:sz="2" w:space="0"/>
              <w:right w:val="single" w:color="auto" w:sz="2" w:space="0"/>
            </w:tcBorders>
          </w:tcPr>
          <w:p w14:paraId="1AF7AB1B">
            <w:pPr>
              <w:spacing w:before="156" w:beforeLines="50" w:after="156" w:afterLines="50" w:line="360" w:lineRule="exact"/>
              <w:jc w:val="center"/>
              <w:rPr>
                <w:rFonts w:ascii="宋体" w:cs="Arial"/>
                <w:color w:val="auto"/>
                <w:sz w:val="22"/>
                <w:highlight w:val="none"/>
              </w:rPr>
            </w:pPr>
          </w:p>
        </w:tc>
      </w:tr>
      <w:tr w14:paraId="088F8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428" w:type="pct"/>
            <w:tcBorders>
              <w:top w:val="single" w:color="auto" w:sz="2" w:space="0"/>
              <w:left w:val="single" w:color="auto" w:sz="2" w:space="0"/>
              <w:bottom w:val="single" w:color="auto" w:sz="2" w:space="0"/>
              <w:right w:val="single" w:color="auto" w:sz="2" w:space="0"/>
            </w:tcBorders>
            <w:vAlign w:val="center"/>
          </w:tcPr>
          <w:p w14:paraId="73DEFE5E">
            <w:pPr>
              <w:spacing w:line="400" w:lineRule="exact"/>
              <w:jc w:val="center"/>
              <w:rPr>
                <w:rFonts w:ascii="宋体"/>
                <w:color w:val="auto"/>
                <w:sz w:val="22"/>
                <w:highlight w:val="none"/>
              </w:rPr>
            </w:pPr>
            <w:r>
              <w:rPr>
                <w:rFonts w:hint="eastAsia" w:ascii="宋体"/>
                <w:color w:val="auto"/>
                <w:sz w:val="22"/>
                <w:szCs w:val="22"/>
                <w:highlight w:val="none"/>
              </w:rPr>
              <w:t>5</w:t>
            </w:r>
          </w:p>
        </w:tc>
        <w:tc>
          <w:tcPr>
            <w:tcW w:w="2115" w:type="pct"/>
            <w:tcBorders>
              <w:top w:val="single" w:color="auto" w:sz="2" w:space="0"/>
              <w:left w:val="single" w:color="auto" w:sz="2" w:space="0"/>
              <w:bottom w:val="single" w:color="auto" w:sz="2" w:space="0"/>
              <w:right w:val="single" w:color="auto" w:sz="2" w:space="0"/>
            </w:tcBorders>
            <w:vAlign w:val="center"/>
          </w:tcPr>
          <w:p w14:paraId="545129F0">
            <w:pPr>
              <w:spacing w:line="400" w:lineRule="exact"/>
              <w:jc w:val="center"/>
              <w:rPr>
                <w:rFonts w:ascii="宋体"/>
                <w:color w:val="auto"/>
                <w:sz w:val="22"/>
                <w:highlight w:val="none"/>
              </w:rPr>
            </w:pPr>
            <w:r>
              <w:rPr>
                <w:rFonts w:hint="eastAsia" w:ascii="宋体"/>
                <w:color w:val="auto"/>
                <w:sz w:val="22"/>
                <w:szCs w:val="22"/>
                <w:highlight w:val="none"/>
              </w:rPr>
              <w:t>安装、检验费（含第三方检验费）</w:t>
            </w:r>
          </w:p>
        </w:tc>
        <w:tc>
          <w:tcPr>
            <w:tcW w:w="1775" w:type="pct"/>
            <w:gridSpan w:val="3"/>
            <w:tcBorders>
              <w:top w:val="single" w:color="auto" w:sz="2" w:space="0"/>
              <w:left w:val="single" w:color="auto" w:sz="2" w:space="0"/>
              <w:bottom w:val="single" w:color="auto" w:sz="2" w:space="0"/>
              <w:right w:val="single" w:color="auto" w:sz="4" w:space="0"/>
            </w:tcBorders>
          </w:tcPr>
          <w:p w14:paraId="0A8EAFCA">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679" w:type="pct"/>
            <w:tcBorders>
              <w:top w:val="single" w:color="auto" w:sz="2" w:space="0"/>
              <w:left w:val="single" w:color="auto" w:sz="4" w:space="0"/>
              <w:bottom w:val="single" w:color="auto" w:sz="2" w:space="0"/>
              <w:right w:val="single" w:color="auto" w:sz="2" w:space="0"/>
            </w:tcBorders>
          </w:tcPr>
          <w:p w14:paraId="7F077A15">
            <w:pPr>
              <w:spacing w:before="156" w:beforeLines="50" w:after="156" w:afterLines="50" w:line="360" w:lineRule="exact"/>
              <w:jc w:val="center"/>
              <w:rPr>
                <w:rFonts w:ascii="宋体" w:cs="Arial"/>
                <w:color w:val="auto"/>
                <w:sz w:val="22"/>
                <w:highlight w:val="none"/>
              </w:rPr>
            </w:pPr>
          </w:p>
        </w:tc>
      </w:tr>
      <w:tr w14:paraId="4409A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428" w:type="pct"/>
            <w:tcBorders>
              <w:top w:val="single" w:color="auto" w:sz="2" w:space="0"/>
              <w:left w:val="single" w:color="auto" w:sz="2" w:space="0"/>
              <w:bottom w:val="single" w:color="auto" w:sz="2" w:space="0"/>
              <w:right w:val="single" w:color="auto" w:sz="2" w:space="0"/>
            </w:tcBorders>
            <w:vAlign w:val="center"/>
          </w:tcPr>
          <w:p w14:paraId="5B87334E">
            <w:pPr>
              <w:spacing w:line="400" w:lineRule="exact"/>
              <w:jc w:val="center"/>
              <w:rPr>
                <w:rFonts w:ascii="宋体"/>
                <w:color w:val="auto"/>
                <w:sz w:val="22"/>
                <w:highlight w:val="none"/>
              </w:rPr>
            </w:pPr>
            <w:r>
              <w:rPr>
                <w:rFonts w:hint="eastAsia" w:ascii="宋体"/>
                <w:color w:val="auto"/>
                <w:sz w:val="22"/>
                <w:szCs w:val="22"/>
                <w:highlight w:val="none"/>
              </w:rPr>
              <w:t>6</w:t>
            </w:r>
          </w:p>
        </w:tc>
        <w:tc>
          <w:tcPr>
            <w:tcW w:w="2115" w:type="pct"/>
            <w:tcBorders>
              <w:top w:val="single" w:color="auto" w:sz="2" w:space="0"/>
              <w:left w:val="single" w:color="auto" w:sz="2" w:space="0"/>
              <w:bottom w:val="single" w:color="auto" w:sz="2" w:space="0"/>
              <w:right w:val="single" w:color="auto" w:sz="2" w:space="0"/>
            </w:tcBorders>
            <w:vAlign w:val="center"/>
          </w:tcPr>
          <w:p w14:paraId="72870AF7">
            <w:pPr>
              <w:spacing w:line="400" w:lineRule="exact"/>
              <w:jc w:val="center"/>
              <w:rPr>
                <w:rFonts w:ascii="宋体"/>
                <w:color w:val="auto"/>
                <w:sz w:val="22"/>
                <w:highlight w:val="none"/>
              </w:rPr>
            </w:pPr>
            <w:r>
              <w:rPr>
                <w:rFonts w:hint="eastAsia" w:ascii="宋体"/>
                <w:color w:val="auto"/>
                <w:sz w:val="22"/>
                <w:szCs w:val="22"/>
                <w:highlight w:val="none"/>
              </w:rPr>
              <w:t>至最终目的地的运费、保险费</w:t>
            </w:r>
          </w:p>
        </w:tc>
        <w:tc>
          <w:tcPr>
            <w:tcW w:w="1775" w:type="pct"/>
            <w:gridSpan w:val="3"/>
            <w:tcBorders>
              <w:top w:val="single" w:color="auto" w:sz="2" w:space="0"/>
              <w:left w:val="single" w:color="auto" w:sz="2" w:space="0"/>
              <w:bottom w:val="single" w:color="auto" w:sz="2" w:space="0"/>
              <w:right w:val="single" w:color="auto" w:sz="4" w:space="0"/>
            </w:tcBorders>
          </w:tcPr>
          <w:p w14:paraId="03B5B90A">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679" w:type="pct"/>
            <w:tcBorders>
              <w:top w:val="single" w:color="auto" w:sz="2" w:space="0"/>
              <w:left w:val="single" w:color="auto" w:sz="4" w:space="0"/>
              <w:bottom w:val="single" w:color="auto" w:sz="2" w:space="0"/>
              <w:right w:val="single" w:color="auto" w:sz="2" w:space="0"/>
            </w:tcBorders>
          </w:tcPr>
          <w:p w14:paraId="2C8B3C52">
            <w:pPr>
              <w:spacing w:before="156" w:beforeLines="50" w:after="156" w:afterLines="50" w:line="360" w:lineRule="exact"/>
              <w:jc w:val="center"/>
              <w:rPr>
                <w:rFonts w:ascii="宋体" w:cs="Arial"/>
                <w:color w:val="auto"/>
                <w:sz w:val="22"/>
                <w:highlight w:val="none"/>
              </w:rPr>
            </w:pPr>
          </w:p>
        </w:tc>
      </w:tr>
      <w:tr w14:paraId="4CD67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428" w:type="pct"/>
            <w:tcBorders>
              <w:top w:val="single" w:color="auto" w:sz="2" w:space="0"/>
              <w:left w:val="single" w:color="auto" w:sz="2" w:space="0"/>
              <w:bottom w:val="single" w:color="auto" w:sz="2" w:space="0"/>
              <w:right w:val="single" w:color="auto" w:sz="2" w:space="0"/>
            </w:tcBorders>
            <w:vAlign w:val="center"/>
          </w:tcPr>
          <w:p w14:paraId="34D753A6">
            <w:pPr>
              <w:spacing w:line="400" w:lineRule="exact"/>
              <w:jc w:val="center"/>
              <w:rPr>
                <w:rFonts w:ascii="宋体"/>
                <w:color w:val="auto"/>
                <w:sz w:val="22"/>
                <w:highlight w:val="none"/>
              </w:rPr>
            </w:pPr>
            <w:r>
              <w:rPr>
                <w:rFonts w:hint="eastAsia" w:ascii="宋体"/>
                <w:color w:val="auto"/>
                <w:sz w:val="22"/>
                <w:szCs w:val="22"/>
                <w:highlight w:val="none"/>
              </w:rPr>
              <w:t>7</w:t>
            </w:r>
          </w:p>
        </w:tc>
        <w:tc>
          <w:tcPr>
            <w:tcW w:w="2115" w:type="pct"/>
            <w:tcBorders>
              <w:top w:val="single" w:color="auto" w:sz="2" w:space="0"/>
              <w:left w:val="single" w:color="auto" w:sz="2" w:space="0"/>
              <w:bottom w:val="single" w:color="auto" w:sz="2" w:space="0"/>
              <w:right w:val="single" w:color="auto" w:sz="2" w:space="0"/>
            </w:tcBorders>
            <w:vAlign w:val="center"/>
          </w:tcPr>
          <w:p w14:paraId="247C70B6">
            <w:pPr>
              <w:spacing w:line="400" w:lineRule="exact"/>
              <w:jc w:val="center"/>
              <w:rPr>
                <w:rFonts w:ascii="宋体"/>
                <w:color w:val="auto"/>
                <w:sz w:val="22"/>
                <w:highlight w:val="none"/>
              </w:rPr>
            </w:pPr>
            <w:r>
              <w:rPr>
                <w:rFonts w:hint="eastAsia" w:ascii="宋体"/>
                <w:color w:val="auto"/>
                <w:sz w:val="22"/>
                <w:szCs w:val="22"/>
                <w:highlight w:val="none"/>
              </w:rPr>
              <w:t>招标代理服务费</w:t>
            </w:r>
          </w:p>
        </w:tc>
        <w:tc>
          <w:tcPr>
            <w:tcW w:w="1775" w:type="pct"/>
            <w:gridSpan w:val="3"/>
            <w:tcBorders>
              <w:top w:val="single" w:color="auto" w:sz="2" w:space="0"/>
              <w:left w:val="single" w:color="auto" w:sz="2" w:space="0"/>
              <w:bottom w:val="single" w:color="auto" w:sz="2" w:space="0"/>
              <w:right w:val="single" w:color="auto" w:sz="4" w:space="0"/>
            </w:tcBorders>
          </w:tcPr>
          <w:p w14:paraId="668A736D">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679" w:type="pct"/>
            <w:tcBorders>
              <w:top w:val="single" w:color="auto" w:sz="2" w:space="0"/>
              <w:left w:val="single" w:color="auto" w:sz="4" w:space="0"/>
              <w:bottom w:val="single" w:color="auto" w:sz="2" w:space="0"/>
              <w:right w:val="single" w:color="auto" w:sz="2" w:space="0"/>
            </w:tcBorders>
          </w:tcPr>
          <w:p w14:paraId="3111923E">
            <w:pPr>
              <w:spacing w:before="156" w:beforeLines="50" w:after="156" w:afterLines="50" w:line="360" w:lineRule="exact"/>
              <w:jc w:val="center"/>
              <w:rPr>
                <w:rFonts w:ascii="宋体" w:cs="Arial"/>
                <w:color w:val="auto"/>
                <w:sz w:val="22"/>
                <w:highlight w:val="none"/>
              </w:rPr>
            </w:pPr>
          </w:p>
        </w:tc>
      </w:tr>
      <w:tr w14:paraId="0CD4E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428" w:type="pct"/>
            <w:tcBorders>
              <w:top w:val="single" w:color="auto" w:sz="2" w:space="0"/>
              <w:left w:val="single" w:color="auto" w:sz="2" w:space="0"/>
              <w:bottom w:val="single" w:color="auto" w:sz="2" w:space="0"/>
              <w:right w:val="single" w:color="auto" w:sz="2" w:space="0"/>
            </w:tcBorders>
            <w:vAlign w:val="center"/>
          </w:tcPr>
          <w:p w14:paraId="1589F838">
            <w:pPr>
              <w:spacing w:line="400" w:lineRule="exact"/>
              <w:jc w:val="center"/>
              <w:rPr>
                <w:rFonts w:ascii="宋体"/>
                <w:color w:val="auto"/>
                <w:sz w:val="22"/>
                <w:highlight w:val="none"/>
              </w:rPr>
            </w:pPr>
            <w:r>
              <w:rPr>
                <w:rFonts w:hint="eastAsia" w:ascii="宋体"/>
                <w:color w:val="auto"/>
                <w:sz w:val="22"/>
                <w:szCs w:val="22"/>
                <w:highlight w:val="none"/>
              </w:rPr>
              <w:t>8</w:t>
            </w:r>
          </w:p>
        </w:tc>
        <w:tc>
          <w:tcPr>
            <w:tcW w:w="2115" w:type="pct"/>
            <w:tcBorders>
              <w:top w:val="single" w:color="auto" w:sz="2" w:space="0"/>
              <w:left w:val="single" w:color="auto" w:sz="2" w:space="0"/>
              <w:bottom w:val="single" w:color="auto" w:sz="2" w:space="0"/>
              <w:right w:val="single" w:color="auto" w:sz="2" w:space="0"/>
            </w:tcBorders>
            <w:vAlign w:val="center"/>
          </w:tcPr>
          <w:p w14:paraId="519D193A">
            <w:pPr>
              <w:spacing w:line="400" w:lineRule="exact"/>
              <w:jc w:val="center"/>
              <w:rPr>
                <w:rFonts w:ascii="宋体"/>
                <w:color w:val="auto"/>
                <w:sz w:val="22"/>
                <w:highlight w:val="none"/>
              </w:rPr>
            </w:pPr>
            <w:r>
              <w:rPr>
                <w:rFonts w:hint="eastAsia" w:ascii="宋体"/>
                <w:color w:val="auto"/>
                <w:sz w:val="22"/>
                <w:szCs w:val="22"/>
                <w:highlight w:val="none"/>
              </w:rPr>
              <w:t>其他</w:t>
            </w:r>
          </w:p>
        </w:tc>
        <w:tc>
          <w:tcPr>
            <w:tcW w:w="1775" w:type="pct"/>
            <w:gridSpan w:val="3"/>
            <w:tcBorders>
              <w:top w:val="single" w:color="auto" w:sz="2" w:space="0"/>
              <w:left w:val="single" w:color="auto" w:sz="2" w:space="0"/>
              <w:bottom w:val="single" w:color="auto" w:sz="2" w:space="0"/>
              <w:right w:val="single" w:color="auto" w:sz="4" w:space="0"/>
            </w:tcBorders>
          </w:tcPr>
          <w:p w14:paraId="01E0CDE2">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679" w:type="pct"/>
            <w:tcBorders>
              <w:top w:val="single" w:color="auto" w:sz="2" w:space="0"/>
              <w:left w:val="single" w:color="auto" w:sz="4" w:space="0"/>
              <w:bottom w:val="single" w:color="auto" w:sz="2" w:space="0"/>
              <w:right w:val="single" w:color="auto" w:sz="2" w:space="0"/>
            </w:tcBorders>
          </w:tcPr>
          <w:p w14:paraId="2BBAE06F">
            <w:pPr>
              <w:spacing w:before="156" w:beforeLines="50" w:after="156" w:afterLines="50" w:line="360" w:lineRule="exact"/>
              <w:jc w:val="center"/>
              <w:rPr>
                <w:rFonts w:ascii="宋体" w:cs="Arial"/>
                <w:color w:val="auto"/>
                <w:sz w:val="22"/>
                <w:highlight w:val="none"/>
              </w:rPr>
            </w:pPr>
          </w:p>
        </w:tc>
      </w:tr>
      <w:tr w14:paraId="148F9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5" w:hRule="atLeast"/>
        </w:trPr>
        <w:tc>
          <w:tcPr>
            <w:tcW w:w="2544" w:type="pct"/>
            <w:gridSpan w:val="2"/>
            <w:tcBorders>
              <w:top w:val="single" w:color="auto" w:sz="2" w:space="0"/>
              <w:left w:val="single" w:color="auto" w:sz="2" w:space="0"/>
              <w:bottom w:val="single" w:color="auto" w:sz="2" w:space="0"/>
              <w:right w:val="single" w:color="auto" w:sz="2" w:space="0"/>
            </w:tcBorders>
          </w:tcPr>
          <w:p w14:paraId="17CF1018">
            <w:pPr>
              <w:spacing w:before="156" w:beforeLines="50" w:after="156" w:afterLines="50" w:line="360" w:lineRule="exact"/>
              <w:jc w:val="center"/>
              <w:rPr>
                <w:rFonts w:ascii="宋体" w:cs="Arial"/>
                <w:color w:val="auto"/>
                <w:sz w:val="22"/>
                <w:highlight w:val="none"/>
              </w:rPr>
            </w:pPr>
            <w:r>
              <w:rPr>
                <w:rFonts w:hint="eastAsia" w:ascii="宋体" w:cs="Arial"/>
                <w:color w:val="auto"/>
                <w:sz w:val="22"/>
                <w:szCs w:val="22"/>
                <w:highlight w:val="none"/>
              </w:rPr>
              <w:t>总计价</w:t>
            </w:r>
          </w:p>
        </w:tc>
        <w:tc>
          <w:tcPr>
            <w:tcW w:w="2455" w:type="pct"/>
            <w:gridSpan w:val="4"/>
            <w:tcBorders>
              <w:top w:val="single" w:color="auto" w:sz="2" w:space="0"/>
              <w:left w:val="single" w:color="auto" w:sz="2" w:space="0"/>
              <w:bottom w:val="single" w:color="auto" w:sz="2" w:space="0"/>
              <w:right w:val="single" w:color="auto" w:sz="2" w:space="0"/>
            </w:tcBorders>
          </w:tcPr>
          <w:p w14:paraId="7A1EAD39">
            <w:pPr>
              <w:spacing w:before="156" w:beforeLines="50" w:after="156" w:afterLines="50" w:line="360" w:lineRule="exact"/>
              <w:rPr>
                <w:rFonts w:ascii="宋体" w:cs="Arial"/>
                <w:color w:val="auto"/>
                <w:sz w:val="22"/>
                <w:highlight w:val="none"/>
              </w:rPr>
            </w:pPr>
            <w:r>
              <w:rPr>
                <w:rFonts w:hint="eastAsia" w:ascii="宋体" w:cs="Arial"/>
                <w:color w:val="auto"/>
                <w:sz w:val="22"/>
                <w:szCs w:val="22"/>
                <w:highlight w:val="none"/>
              </w:rPr>
              <w:t>¥：</w:t>
            </w:r>
          </w:p>
        </w:tc>
      </w:tr>
    </w:tbl>
    <w:p w14:paraId="01BEB655">
      <w:pPr>
        <w:pStyle w:val="24"/>
        <w:spacing w:line="440" w:lineRule="atLeast"/>
        <w:rPr>
          <w:rFonts w:hint="eastAsia" w:hAnsi="宋体" w:cs="宋体"/>
          <w:color w:val="auto"/>
          <w:highlight w:val="none"/>
        </w:rPr>
      </w:pPr>
      <w:r>
        <w:rPr>
          <w:rFonts w:hint="eastAsia" w:hAnsi="宋体" w:cs="宋体"/>
          <w:b/>
          <w:color w:val="auto"/>
          <w:sz w:val="22"/>
          <w:szCs w:val="22"/>
          <w:highlight w:val="none"/>
        </w:rPr>
        <w:t>说明：</w:t>
      </w:r>
      <w:r>
        <w:rPr>
          <w:rFonts w:hint="eastAsia" w:hAnsi="宋体" w:cs="宋体"/>
          <w:color w:val="auto"/>
          <w:highlight w:val="none"/>
        </w:rPr>
        <w:t xml:space="preserve"> </w:t>
      </w:r>
    </w:p>
    <w:p w14:paraId="786E737E">
      <w:pPr>
        <w:spacing w:line="40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1、总计价应与“开标一览表”中投标总价对应相一致。</w:t>
      </w:r>
    </w:p>
    <w:p w14:paraId="70324FF5">
      <w:pPr>
        <w:spacing w:line="400" w:lineRule="exact"/>
        <w:ind w:left="42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2、各项费用如已包含在产品价格中请注明“含”，若免费请注明“免”，若没有请注明“无”。</w:t>
      </w:r>
    </w:p>
    <w:p w14:paraId="27ABD85E">
      <w:pPr>
        <w:spacing w:line="400" w:lineRule="exact"/>
        <w:ind w:left="420" w:firstLine="210" w:firstLineChars="1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szCs w:val="21"/>
          <w:highlight w:val="none"/>
        </w:rPr>
        <w:t>本表</w:t>
      </w:r>
      <w:r>
        <w:rPr>
          <w:rFonts w:hint="eastAsia" w:ascii="宋体" w:hAnsi="宋体" w:cs="宋体"/>
          <w:color w:val="auto"/>
          <w:highlight w:val="none"/>
        </w:rPr>
        <w:t>可在不改变格式的情况下根据具体需要自行增减。</w:t>
      </w:r>
    </w:p>
    <w:p w14:paraId="65BF0EFC">
      <w:pPr>
        <w:spacing w:line="400" w:lineRule="exact"/>
        <w:ind w:left="420" w:firstLine="221" w:firstLineChars="100"/>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4、▲ </w:t>
      </w:r>
      <w:r>
        <w:rPr>
          <w:rFonts w:hint="eastAsia" w:ascii="宋体" w:hAnsi="宋体" w:cs="宋体"/>
          <w:b/>
          <w:color w:val="auto"/>
          <w:sz w:val="22"/>
          <w:szCs w:val="22"/>
          <w:highlight w:val="none"/>
          <w:u w:val="single"/>
        </w:rPr>
        <w:t>不提供此表格的将视为没有实质性响应招标文件。</w:t>
      </w:r>
    </w:p>
    <w:p w14:paraId="441F1391">
      <w:pPr>
        <w:widowControl/>
        <w:spacing w:line="460" w:lineRule="exact"/>
        <w:ind w:firstLine="44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 ：</w:t>
      </w:r>
    </w:p>
    <w:p w14:paraId="03FF20F4">
      <w:pPr>
        <w:spacing w:line="460" w:lineRule="atLeast"/>
        <w:ind w:firstLine="440"/>
        <w:rPr>
          <w:rFonts w:hint="eastAsia" w:ascii="宋体" w:hAnsi="宋体" w:cs="宋体"/>
          <w:color w:val="auto"/>
          <w:sz w:val="36"/>
          <w:highlight w:val="none"/>
        </w:rPr>
      </w:pPr>
      <w:r>
        <w:rPr>
          <w:rFonts w:hint="eastAsia" w:ascii="宋体" w:hAnsi="宋体" w:cs="宋体"/>
          <w:color w:val="auto"/>
          <w:sz w:val="22"/>
          <w:szCs w:val="22"/>
          <w:highlight w:val="none"/>
        </w:rPr>
        <w:t>日期：</w:t>
      </w:r>
    </w:p>
    <w:p w14:paraId="1C889C58">
      <w:pPr>
        <w:snapToGrid w:val="0"/>
        <w:spacing w:line="500" w:lineRule="atLeast"/>
        <w:ind w:firstLine="4367" w:firstLineChars="1450"/>
        <w:rPr>
          <w:rFonts w:hint="eastAsia" w:ascii="宋体" w:hAnsi="宋体" w:cs="宋体"/>
          <w:b/>
          <w:color w:val="auto"/>
          <w:sz w:val="30"/>
          <w:highlight w:val="none"/>
        </w:rPr>
        <w:sectPr>
          <w:pgSz w:w="11906" w:h="16838"/>
          <w:pgMar w:top="1440" w:right="1701" w:bottom="1440" w:left="1701" w:header="851" w:footer="992" w:gutter="0"/>
          <w:cols w:space="720" w:num="1"/>
          <w:docGrid w:linePitch="312" w:charSpace="0"/>
        </w:sectPr>
      </w:pPr>
    </w:p>
    <w:p w14:paraId="52947659">
      <w:pPr>
        <w:pStyle w:val="40"/>
        <w:rPr>
          <w:rFonts w:hint="eastAsia" w:ascii="宋体" w:hAnsi="宋体" w:cs="宋体"/>
          <w:color w:val="auto"/>
          <w:highlight w:val="none"/>
        </w:rPr>
      </w:pPr>
      <w:bookmarkStart w:id="133" w:name="_Toc65830025"/>
      <w:bookmarkStart w:id="134" w:name="_Toc42243287"/>
      <w:bookmarkStart w:id="135" w:name="_Toc6383"/>
      <w:bookmarkStart w:id="136" w:name="_Toc42678695"/>
      <w:bookmarkStart w:id="137" w:name="_Toc65590097"/>
      <w:r>
        <w:rPr>
          <w:rFonts w:hint="eastAsia" w:ascii="宋体" w:hAnsi="宋体" w:cs="宋体"/>
          <w:color w:val="auto"/>
          <w:highlight w:val="none"/>
        </w:rPr>
        <w:t>三、商务技术文件部分格式</w:t>
      </w:r>
      <w:bookmarkEnd w:id="133"/>
      <w:bookmarkEnd w:id="134"/>
      <w:bookmarkEnd w:id="135"/>
      <w:bookmarkEnd w:id="136"/>
      <w:bookmarkEnd w:id="137"/>
    </w:p>
    <w:p w14:paraId="25BA87BE">
      <w:pPr>
        <w:widowControl/>
        <w:spacing w:line="460" w:lineRule="atLeast"/>
        <w:jc w:val="left"/>
        <w:rPr>
          <w:rFonts w:hint="eastAsia" w:ascii="宋体" w:hAnsi="宋体" w:eastAsia="宋体" w:cs="宋体"/>
          <w:b/>
          <w:bCs/>
          <w:color w:val="auto"/>
          <w:sz w:val="22"/>
          <w:szCs w:val="22"/>
          <w:highlight w:val="none"/>
          <w:lang w:eastAsia="zh-CN"/>
        </w:rPr>
      </w:pPr>
      <w:bookmarkStart w:id="138" w:name="_Toc493530215"/>
      <w:r>
        <w:rPr>
          <w:rFonts w:hint="eastAsia" w:ascii="宋体" w:hAnsi="宋体" w:cs="宋体"/>
          <w:b/>
          <w:color w:val="auto"/>
          <w:sz w:val="22"/>
          <w:szCs w:val="22"/>
          <w:highlight w:val="none"/>
        </w:rPr>
        <w:t>附件</w:t>
      </w:r>
      <w:bookmarkEnd w:id="138"/>
      <w:r>
        <w:rPr>
          <w:rFonts w:hint="eastAsia" w:ascii="宋体" w:hAnsi="宋体" w:cs="宋体"/>
          <w:b/>
          <w:color w:val="auto"/>
          <w:sz w:val="22"/>
          <w:szCs w:val="22"/>
          <w:highlight w:val="none"/>
          <w:lang w:val="en-US" w:eastAsia="zh-CN"/>
        </w:rPr>
        <w:t>四</w:t>
      </w:r>
    </w:p>
    <w:p w14:paraId="42499B56">
      <w:pPr>
        <w:pStyle w:val="40"/>
        <w:rPr>
          <w:rFonts w:hint="eastAsia" w:ascii="宋体" w:hAnsi="宋体" w:cs="宋体"/>
          <w:color w:val="auto"/>
          <w:highlight w:val="none"/>
        </w:rPr>
      </w:pPr>
      <w:bookmarkStart w:id="139" w:name="_Toc65830026"/>
      <w:bookmarkStart w:id="140" w:name="_Toc42243288"/>
      <w:bookmarkStart w:id="141" w:name="_Toc97033074"/>
      <w:bookmarkStart w:id="142" w:name="_Toc87518419"/>
      <w:bookmarkStart w:id="143" w:name="_Toc42678030"/>
      <w:bookmarkStart w:id="144" w:name="_Toc21520"/>
      <w:bookmarkStart w:id="145" w:name="_Toc68187557"/>
      <w:bookmarkStart w:id="146" w:name="_Toc87518596"/>
      <w:bookmarkStart w:id="147" w:name="_Toc29259"/>
      <w:bookmarkStart w:id="148" w:name="_Toc18949"/>
      <w:bookmarkStart w:id="149" w:name="_Toc42678696"/>
      <w:bookmarkStart w:id="150" w:name="_Toc511045481"/>
      <w:bookmarkStart w:id="151" w:name="_Toc518512534"/>
      <w:bookmarkStart w:id="152" w:name="_Toc42678617"/>
      <w:bookmarkStart w:id="153" w:name="_Toc68188793"/>
      <w:bookmarkStart w:id="154" w:name="_Toc42678185"/>
      <w:bookmarkStart w:id="155" w:name="_Toc96970932"/>
      <w:bookmarkStart w:id="156" w:name="_Toc68189107"/>
      <w:bookmarkStart w:id="157" w:name="_Toc19204521"/>
      <w:bookmarkStart w:id="158" w:name="_Toc9334949"/>
      <w:bookmarkStart w:id="159" w:name="_Toc522469119"/>
      <w:bookmarkStart w:id="160" w:name="_Toc61444217"/>
      <w:bookmarkStart w:id="161" w:name="_Toc65590098"/>
      <w:r>
        <w:rPr>
          <w:rFonts w:hint="eastAsia" w:ascii="宋体" w:hAnsi="宋体" w:cs="宋体"/>
          <w:color w:val="auto"/>
          <w:highlight w:val="none"/>
        </w:rPr>
        <w:t>投 标 函</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DEB635D">
      <w:pPr>
        <w:autoSpaceDE w:val="0"/>
        <w:autoSpaceDN w:val="0"/>
        <w:adjustRightInd w:val="0"/>
        <w:snapToGrid w:val="0"/>
        <w:spacing w:line="480" w:lineRule="atLeast"/>
        <w:rPr>
          <w:rFonts w:hint="eastAsia" w:ascii="宋体" w:hAnsi="宋体" w:cs="宋体"/>
          <w:b/>
          <w:color w:val="auto"/>
          <w:sz w:val="22"/>
          <w:highlight w:val="none"/>
          <w:u w:val="single"/>
        </w:rPr>
      </w:pPr>
      <w:r>
        <w:rPr>
          <w:rFonts w:hint="eastAsia" w:ascii="宋体" w:hAnsi="宋体" w:cs="宋体"/>
          <w:b/>
          <w:color w:val="auto"/>
          <w:sz w:val="22"/>
          <w:highlight w:val="none"/>
          <w:u w:val="single"/>
          <w:lang w:val="zh-CN"/>
        </w:rPr>
        <w:t xml:space="preserve">  （采购人）   ：</w:t>
      </w:r>
    </w:p>
    <w:p w14:paraId="2D911756">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16A5053B">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14:paraId="2F5B924B">
      <w:pPr>
        <w:numPr>
          <w:ilvl w:val="0"/>
          <w:numId w:val="6"/>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按“供应商须知”要求编制的投标文件资格审查资料 ；</w:t>
      </w:r>
    </w:p>
    <w:p w14:paraId="5E4A660B">
      <w:pPr>
        <w:numPr>
          <w:ilvl w:val="0"/>
          <w:numId w:val="6"/>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按“供应商须知”要求编制的投标文件商务技术文件 ；</w:t>
      </w:r>
    </w:p>
    <w:p w14:paraId="24DEE5A6">
      <w:pPr>
        <w:numPr>
          <w:ilvl w:val="0"/>
          <w:numId w:val="6"/>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按“供应商须知”要求编制的投标文件报价文件 。</w:t>
      </w:r>
    </w:p>
    <w:p w14:paraId="21358234">
      <w:pPr>
        <w:autoSpaceDE w:val="0"/>
        <w:autoSpaceDN w:val="0"/>
        <w:adjustRightInd w:val="0"/>
        <w:spacing w:line="420" w:lineRule="atLeast"/>
        <w:ind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我方己完全明白采购文件的所有条款要求，并重申以下几点：</w:t>
      </w:r>
    </w:p>
    <w:p w14:paraId="42168608">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483952B0">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14:paraId="2F4498A3">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14:paraId="3B585C23">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14:paraId="7E95BE05">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14:paraId="191A10EC">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14:paraId="0156B3E4">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）或（没有因违法经营受到刑事处罚或者责令停产停业、吊销许可证或者执照、较大数额罚款等行政处罚或处罚）或（在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至</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期间禁止参加政府采购活动但是期限届满，须附相关证明文件）</w:t>
      </w:r>
    </w:p>
    <w:p w14:paraId="38AEBCE1">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14:paraId="2B410F16">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14:paraId="58B00A42">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0C8240B5">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391D1074">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14:paraId="33622B3F">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14:paraId="4F396996">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0B5A430D">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1CEEEDE4">
      <w:pPr>
        <w:numPr>
          <w:ilvl w:val="0"/>
          <w:numId w:val="7"/>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14:paraId="685867F8">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54F9F69C">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0C9004B9">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2A824709">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59F486D">
      <w:pPr>
        <w:autoSpaceDE w:val="0"/>
        <w:autoSpaceDN w:val="0"/>
        <w:adjustRightInd w:val="0"/>
        <w:spacing w:line="440" w:lineRule="atLeast"/>
        <w:rPr>
          <w:rFonts w:hint="eastAsia" w:ascii="宋体" w:hAnsi="宋体" w:cs="宋体"/>
          <w:color w:val="auto"/>
          <w:sz w:val="22"/>
          <w:szCs w:val="22"/>
          <w:highlight w:val="none"/>
        </w:rPr>
      </w:pPr>
    </w:p>
    <w:p w14:paraId="2A803F9B">
      <w:pPr>
        <w:autoSpaceDE w:val="0"/>
        <w:autoSpaceDN w:val="0"/>
        <w:adjustRightInd w:val="0"/>
        <w:spacing w:line="440" w:lineRule="atLeast"/>
        <w:ind w:firstLine="1980" w:firstLineChars="900"/>
        <w:rPr>
          <w:rFonts w:hint="eastAsia" w:ascii="宋体" w:hAnsi="宋体" w:cs="宋体"/>
          <w:color w:val="auto"/>
          <w:sz w:val="22"/>
          <w:szCs w:val="22"/>
          <w:highlight w:val="none"/>
          <w:lang w:val="zh-CN"/>
        </w:rPr>
      </w:pPr>
    </w:p>
    <w:p w14:paraId="3A0CDB01">
      <w:pPr>
        <w:autoSpaceDE w:val="0"/>
        <w:autoSpaceDN w:val="0"/>
        <w:adjustRightInd w:val="0"/>
        <w:spacing w:line="440" w:lineRule="atLeast"/>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14:paraId="70D4D21B">
      <w:pPr>
        <w:autoSpaceDE w:val="0"/>
        <w:autoSpaceDN w:val="0"/>
        <w:adjustRightInd w:val="0"/>
        <w:spacing w:line="440" w:lineRule="atLeast"/>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2AA5F73B">
      <w:pPr>
        <w:autoSpaceDE w:val="0"/>
        <w:autoSpaceDN w:val="0"/>
        <w:adjustRightInd w:val="0"/>
        <w:snapToGrid w:val="0"/>
        <w:spacing w:line="480" w:lineRule="atLeast"/>
        <w:ind w:firstLine="440" w:firstLineChars="200"/>
        <w:jc w:val="left"/>
        <w:rPr>
          <w:rFonts w:hint="eastAsia" w:ascii="宋体" w:hAnsi="宋体" w:cs="宋体"/>
          <w:color w:val="auto"/>
          <w:sz w:val="22"/>
          <w:highlight w:val="none"/>
          <w:lang w:val="zh-CN"/>
        </w:rPr>
      </w:pPr>
    </w:p>
    <w:p w14:paraId="57CE01FD">
      <w:pPr>
        <w:rPr>
          <w:rFonts w:hint="eastAsia" w:ascii="宋体" w:hAnsi="宋体" w:cs="宋体"/>
          <w:b/>
          <w:bCs/>
          <w:color w:val="auto"/>
          <w:sz w:val="22"/>
          <w:szCs w:val="22"/>
          <w:highlight w:val="none"/>
        </w:rPr>
      </w:pPr>
      <w:bookmarkStart w:id="162" w:name="_Toc493530219"/>
      <w:r>
        <w:rPr>
          <w:rFonts w:hint="eastAsia" w:ascii="宋体" w:hAnsi="宋体" w:cs="宋体"/>
          <w:b/>
          <w:bCs/>
          <w:color w:val="auto"/>
          <w:sz w:val="22"/>
          <w:szCs w:val="22"/>
          <w:highlight w:val="none"/>
        </w:rPr>
        <w:br w:type="page"/>
      </w:r>
    </w:p>
    <w:p w14:paraId="483067F6">
      <w:pPr>
        <w:widowControl/>
        <w:spacing w:line="460" w:lineRule="atLeast"/>
        <w:jc w:val="lef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附件</w:t>
      </w:r>
      <w:bookmarkEnd w:id="162"/>
      <w:r>
        <w:rPr>
          <w:rFonts w:hint="eastAsia" w:ascii="宋体" w:hAnsi="宋体" w:cs="宋体"/>
          <w:b/>
          <w:bCs/>
          <w:color w:val="auto"/>
          <w:sz w:val="22"/>
          <w:szCs w:val="22"/>
          <w:highlight w:val="none"/>
          <w:lang w:val="en-US" w:eastAsia="zh-CN"/>
        </w:rPr>
        <w:t>五</w:t>
      </w:r>
    </w:p>
    <w:p w14:paraId="1B1A6017">
      <w:pPr>
        <w:tabs>
          <w:tab w:val="left" w:pos="1080"/>
        </w:tabs>
        <w:autoSpaceDE w:val="0"/>
        <w:autoSpaceDN w:val="0"/>
        <w:adjustRightInd w:val="0"/>
        <w:spacing w:line="440" w:lineRule="atLeast"/>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法定代表人诚信投标承诺书</w:t>
      </w:r>
    </w:p>
    <w:p w14:paraId="24B18016">
      <w:pPr>
        <w:spacing w:line="360" w:lineRule="auto"/>
        <w:jc w:val="left"/>
        <w:rPr>
          <w:rFonts w:hint="eastAsia" w:ascii="宋体" w:hAnsi="宋体" w:cs="宋体"/>
          <w:b/>
          <w:color w:val="auto"/>
          <w:sz w:val="24"/>
          <w:highlight w:val="none"/>
        </w:rPr>
      </w:pPr>
    </w:p>
    <w:p w14:paraId="1B8B33F1">
      <w:pPr>
        <w:spacing w:line="460" w:lineRule="atLeas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本人以企业法定代表人的身份郑重承诺：</w:t>
      </w:r>
    </w:p>
    <w:p w14:paraId="22F99453">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将遵循公开、公平、公正和诚信信用的原则参加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rPr>
        <w:t>的投标；</w:t>
      </w:r>
    </w:p>
    <w:p w14:paraId="3C8B26BC">
      <w:pPr>
        <w:spacing w:line="460" w:lineRule="atLeas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8DA0F82">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二、投标文件所提供的一切材料都是真实、有效、合法的。</w:t>
      </w:r>
    </w:p>
    <w:p w14:paraId="55C0C1CC">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三、不与其他投标供应商相互串通投标报价，不排挤其他投标供应商的公平竞争，不损害招标人或其他投标供应商的合法权益。</w:t>
      </w:r>
    </w:p>
    <w:p w14:paraId="57670966">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四、不与采购人或采购代理机构串通投标，不损害国家利益，社会公共利益或其他人的合法权益。</w:t>
      </w:r>
    </w:p>
    <w:p w14:paraId="6E35CADA">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五、不向采购人或者评标委员会成员行贿以牟取中标。</w:t>
      </w:r>
    </w:p>
    <w:p w14:paraId="423B5244">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六、不以其他人名义投标或者以其他方式弄虚作假，骗取中标。</w:t>
      </w:r>
    </w:p>
    <w:p w14:paraId="526B7E00">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七、不在开标后进行虚假恶意投诉。</w:t>
      </w:r>
    </w:p>
    <w:p w14:paraId="3FFD4A3C">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7CF5528D">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九、没有被各地、各级财政部门禁止参加政府采购活动，且在限制期限内：    </w:t>
      </w:r>
    </w:p>
    <w:p w14:paraId="34E1CD82">
      <w:pPr>
        <w:spacing w:line="460" w:lineRule="atLeas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十、参与本项目政府采购活动3年内没有重大违法记录情况。</w:t>
      </w:r>
    </w:p>
    <w:p w14:paraId="03987AEA">
      <w:pPr>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1EF67735">
      <w:pPr>
        <w:spacing w:line="460" w:lineRule="atLeast"/>
        <w:ind w:right="1120" w:firstLine="2970" w:firstLineChars="135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1923D308">
      <w:pPr>
        <w:spacing w:line="460" w:lineRule="atLeast"/>
        <w:ind w:right="1120" w:firstLine="2970" w:firstLineChars="1350"/>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投标供应商（盖章）</w:t>
      </w:r>
    </w:p>
    <w:p w14:paraId="65B3F055">
      <w:pPr>
        <w:spacing w:line="460" w:lineRule="atLeast"/>
        <w:ind w:right="1120" w:firstLine="2970" w:firstLineChars="1350"/>
        <w:rPr>
          <w:rFonts w:hint="eastAsia" w:ascii="宋体" w:hAnsi="宋体" w:cs="宋体"/>
          <w:color w:val="auto"/>
          <w:highlight w:val="none"/>
        </w:rPr>
      </w:pPr>
      <w:r>
        <w:rPr>
          <w:rFonts w:hint="eastAsia" w:ascii="宋体" w:hAnsi="宋体" w:cs="宋体"/>
          <w:color w:val="auto"/>
          <w:sz w:val="22"/>
          <w:szCs w:val="22"/>
          <w:highlight w:val="none"/>
        </w:rPr>
        <w:t>承诺书签署日期：         年  月  日</w:t>
      </w:r>
    </w:p>
    <w:p w14:paraId="2CFB6EBE">
      <w:pPr>
        <w:spacing w:line="360" w:lineRule="exact"/>
        <w:jc w:val="left"/>
        <w:rPr>
          <w:rFonts w:hint="eastAsia" w:ascii="宋体" w:hAnsi="宋体" w:cs="宋体"/>
          <w:b/>
          <w:bCs/>
          <w:color w:val="auto"/>
          <w:sz w:val="22"/>
          <w:szCs w:val="22"/>
          <w:highlight w:val="none"/>
          <w:u w:val="single"/>
        </w:rPr>
      </w:pPr>
    </w:p>
    <w:p w14:paraId="58979A5A">
      <w:pPr>
        <w:spacing w:line="360" w:lineRule="exact"/>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备注：▲投标供应商必须提供本承诺书，不提供按无效投标处理。</w:t>
      </w:r>
    </w:p>
    <w:p w14:paraId="36EF8729">
      <w:pPr>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br w:type="page"/>
      </w:r>
    </w:p>
    <w:p w14:paraId="4E1B9F7A">
      <w:pPr>
        <w:widowControl/>
        <w:spacing w:line="460" w:lineRule="atLeast"/>
        <w:jc w:val="left"/>
        <w:rPr>
          <w:rFonts w:hint="eastAsia" w:asciiTheme="majorEastAsia" w:hAnsiTheme="majorEastAsia" w:eastAsiaTheme="majorEastAsia"/>
          <w:b/>
          <w:bCs/>
          <w:color w:val="auto"/>
          <w:sz w:val="22"/>
          <w:szCs w:val="22"/>
          <w:highlight w:val="none"/>
          <w:lang w:eastAsia="zh-CN"/>
        </w:rPr>
      </w:pPr>
      <w:bookmarkStart w:id="163" w:name="_Toc509485354"/>
      <w:r>
        <w:rPr>
          <w:rFonts w:hint="eastAsia" w:asciiTheme="majorEastAsia" w:hAnsiTheme="majorEastAsia" w:eastAsiaTheme="majorEastAsia"/>
          <w:b/>
          <w:color w:val="auto"/>
          <w:sz w:val="22"/>
          <w:szCs w:val="22"/>
          <w:highlight w:val="none"/>
        </w:rPr>
        <w:t>附件</w:t>
      </w:r>
      <w:bookmarkEnd w:id="163"/>
      <w:r>
        <w:rPr>
          <w:rFonts w:hint="eastAsia" w:asciiTheme="majorEastAsia" w:hAnsiTheme="majorEastAsia" w:eastAsiaTheme="majorEastAsia"/>
          <w:b/>
          <w:color w:val="auto"/>
          <w:sz w:val="22"/>
          <w:szCs w:val="22"/>
          <w:highlight w:val="none"/>
          <w:lang w:val="en-US" w:eastAsia="zh-CN"/>
        </w:rPr>
        <w:t>六</w:t>
      </w:r>
    </w:p>
    <w:p w14:paraId="024351CB">
      <w:pPr>
        <w:pStyle w:val="40"/>
        <w:rPr>
          <w:rFonts w:asciiTheme="majorEastAsia" w:hAnsiTheme="majorEastAsia" w:eastAsiaTheme="majorEastAsia"/>
          <w:color w:val="auto"/>
          <w:highlight w:val="none"/>
        </w:rPr>
      </w:pPr>
      <w:bookmarkStart w:id="164" w:name="_Toc97033070"/>
      <w:bookmarkStart w:id="165" w:name="_Toc427581337"/>
      <w:bookmarkStart w:id="166" w:name="_Toc68187558"/>
      <w:bookmarkStart w:id="167" w:name="_Toc96970928"/>
      <w:bookmarkStart w:id="168" w:name="_Toc65830027"/>
      <w:bookmarkStart w:id="169" w:name="_Toc42678697"/>
      <w:bookmarkStart w:id="170" w:name="_Toc7382"/>
      <w:bookmarkStart w:id="171" w:name="_Toc42243289"/>
      <w:bookmarkStart w:id="172" w:name="_Toc522469121"/>
      <w:bookmarkStart w:id="173" w:name="_Toc404262445"/>
      <w:bookmarkStart w:id="174" w:name="_Toc19204522"/>
      <w:bookmarkStart w:id="175" w:name="_Toc518512536"/>
      <w:bookmarkStart w:id="176" w:name="_Toc65590099"/>
      <w:bookmarkStart w:id="177" w:name="_Toc430717503"/>
      <w:bookmarkStart w:id="178" w:name="_Toc459361857"/>
      <w:bookmarkStart w:id="179" w:name="_Toc15893"/>
      <w:bookmarkStart w:id="180" w:name="_Toc42678186"/>
      <w:bookmarkStart w:id="181" w:name="_Toc402360964"/>
      <w:bookmarkStart w:id="182" w:name="_Toc42678031"/>
      <w:bookmarkStart w:id="183" w:name="_Toc511045483"/>
      <w:bookmarkStart w:id="184" w:name="_Toc9334951"/>
      <w:bookmarkStart w:id="185" w:name="_Toc496618934"/>
      <w:bookmarkStart w:id="186" w:name="_Toc61444218"/>
      <w:bookmarkStart w:id="187" w:name="_Toc402361081"/>
      <w:bookmarkStart w:id="188" w:name="_Toc855"/>
      <w:bookmarkStart w:id="189" w:name="_Toc459450868"/>
      <w:bookmarkStart w:id="190" w:name="_Toc42678618"/>
      <w:bookmarkStart w:id="191" w:name="_Toc26971"/>
      <w:bookmarkStart w:id="192" w:name="_Toc87518592"/>
      <w:bookmarkStart w:id="193" w:name="_Toc87518415"/>
      <w:bookmarkStart w:id="194" w:name="_Toc491606420"/>
      <w:bookmarkStart w:id="195" w:name="_Toc410055446"/>
      <w:bookmarkStart w:id="196" w:name="_Toc68188794"/>
      <w:bookmarkStart w:id="197" w:name="_Toc68189108"/>
      <w:bookmarkStart w:id="198" w:name="_Toc438150553"/>
      <w:r>
        <w:rPr>
          <w:rFonts w:hint="eastAsia" w:asciiTheme="majorEastAsia" w:hAnsiTheme="majorEastAsia" w:eastAsiaTheme="majorEastAsia"/>
          <w:color w:val="auto"/>
          <w:highlight w:val="none"/>
        </w:rPr>
        <w:t>法定代表人授权书</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F515CB5">
      <w:pPr>
        <w:spacing w:line="480" w:lineRule="auto"/>
        <w:rPr>
          <w:rFonts w:asciiTheme="majorEastAsia" w:hAnsiTheme="majorEastAsia" w:eastAsiaTheme="majorEastAsia"/>
          <w:b/>
          <w:color w:val="auto"/>
          <w:sz w:val="22"/>
          <w:szCs w:val="22"/>
          <w:highlight w:val="none"/>
        </w:rPr>
      </w:pPr>
      <w:r>
        <w:rPr>
          <w:rFonts w:hint="eastAsia" w:asciiTheme="majorEastAsia" w:hAnsiTheme="majorEastAsia" w:eastAsiaTheme="majorEastAsia"/>
          <w:b/>
          <w:color w:val="auto"/>
          <w:sz w:val="22"/>
          <w:szCs w:val="22"/>
          <w:highlight w:val="none"/>
          <w:u w:val="single"/>
        </w:rPr>
        <w:t>（采购人名称）</w:t>
      </w:r>
      <w:r>
        <w:rPr>
          <w:rFonts w:hint="eastAsia" w:asciiTheme="majorEastAsia" w:hAnsiTheme="majorEastAsia" w:eastAsiaTheme="majorEastAsia"/>
          <w:b/>
          <w:color w:val="auto"/>
          <w:sz w:val="22"/>
          <w:szCs w:val="22"/>
          <w:highlight w:val="none"/>
          <w:lang w:val="zh-CN"/>
        </w:rPr>
        <w:t>：</w:t>
      </w:r>
    </w:p>
    <w:p w14:paraId="4A555F4E">
      <w:pPr>
        <w:spacing w:line="48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本授权委托书声明：我</w:t>
      </w:r>
      <w:r>
        <w:rPr>
          <w:rFonts w:hint="eastAsia" w:asciiTheme="majorEastAsia" w:hAnsiTheme="majorEastAsia" w:eastAsiaTheme="majorEastAsia"/>
          <w:color w:val="auto"/>
          <w:sz w:val="22"/>
          <w:szCs w:val="22"/>
          <w:highlight w:val="none"/>
          <w:u w:val="single"/>
        </w:rPr>
        <w:t xml:space="preserve">   （法定代表人姓名）   </w:t>
      </w:r>
      <w:r>
        <w:rPr>
          <w:rFonts w:hint="eastAsia" w:asciiTheme="majorEastAsia" w:hAnsiTheme="majorEastAsia" w:eastAsiaTheme="majorEastAsia"/>
          <w:color w:val="auto"/>
          <w:sz w:val="22"/>
          <w:szCs w:val="22"/>
          <w:highlight w:val="none"/>
        </w:rPr>
        <w:t>系</w:t>
      </w:r>
      <w:r>
        <w:rPr>
          <w:rFonts w:hint="eastAsia" w:asciiTheme="majorEastAsia" w:hAnsiTheme="majorEastAsia" w:eastAsiaTheme="majorEastAsia"/>
          <w:color w:val="auto"/>
          <w:sz w:val="22"/>
          <w:szCs w:val="22"/>
          <w:highlight w:val="none"/>
          <w:u w:val="single"/>
        </w:rPr>
        <w:t xml:space="preserve">   （供 应 商 名 称）  </w:t>
      </w:r>
      <w:r>
        <w:rPr>
          <w:rFonts w:hint="eastAsia" w:asciiTheme="majorEastAsia" w:hAnsiTheme="majorEastAsia" w:eastAsiaTheme="majorEastAsia"/>
          <w:color w:val="auto"/>
          <w:sz w:val="22"/>
          <w:szCs w:val="22"/>
          <w:highlight w:val="none"/>
        </w:rPr>
        <w:t>的法定代表人，现授权委托</w:t>
      </w:r>
      <w:r>
        <w:rPr>
          <w:rFonts w:hint="eastAsia" w:asciiTheme="majorEastAsia" w:hAnsiTheme="majorEastAsia" w:eastAsiaTheme="majorEastAsia"/>
          <w:color w:val="auto"/>
          <w:sz w:val="22"/>
          <w:szCs w:val="22"/>
          <w:highlight w:val="none"/>
          <w:u w:val="single"/>
        </w:rPr>
        <w:t xml:space="preserve">  （单 位 名 称）   </w:t>
      </w:r>
      <w:r>
        <w:rPr>
          <w:rFonts w:hint="eastAsia" w:asciiTheme="majorEastAsia" w:hAnsiTheme="majorEastAsia" w:eastAsiaTheme="majorEastAsia"/>
          <w:color w:val="auto"/>
          <w:sz w:val="22"/>
          <w:szCs w:val="22"/>
          <w:highlight w:val="none"/>
        </w:rPr>
        <w:t>的</w:t>
      </w:r>
      <w:r>
        <w:rPr>
          <w:rFonts w:hint="eastAsia" w:asciiTheme="majorEastAsia" w:hAnsiTheme="majorEastAsia" w:eastAsiaTheme="majorEastAsia"/>
          <w:color w:val="auto"/>
          <w:sz w:val="22"/>
          <w:szCs w:val="22"/>
          <w:highlight w:val="none"/>
          <w:u w:val="single"/>
        </w:rPr>
        <w:t xml:space="preserve">  （授权代表姓名）  </w:t>
      </w:r>
      <w:r>
        <w:rPr>
          <w:rFonts w:hint="eastAsia" w:asciiTheme="majorEastAsia" w:hAnsiTheme="majorEastAsia" w:eastAsiaTheme="majorEastAsia"/>
          <w:color w:val="auto"/>
          <w:sz w:val="22"/>
          <w:szCs w:val="22"/>
          <w:highlight w:val="none"/>
        </w:rPr>
        <w:t>为我公司法定代表人授权代表，参加贵处组织的</w:t>
      </w:r>
      <w:r>
        <w:rPr>
          <w:rFonts w:hint="eastAsia" w:asciiTheme="majorEastAsia" w:hAnsiTheme="majorEastAsia" w:eastAsiaTheme="majorEastAsia"/>
          <w:color w:val="auto"/>
          <w:sz w:val="22"/>
          <w:szCs w:val="22"/>
          <w:highlight w:val="none"/>
          <w:u w:val="single"/>
        </w:rPr>
        <w:t xml:space="preserve">  （招标项目名称，括号中填写项目编号）  </w:t>
      </w:r>
      <w:r>
        <w:rPr>
          <w:rFonts w:hint="eastAsia" w:asciiTheme="majorEastAsia" w:hAnsiTheme="majorEastAsia" w:eastAsiaTheme="majorEastAsia"/>
          <w:color w:val="auto"/>
          <w:sz w:val="22"/>
          <w:szCs w:val="22"/>
          <w:highlight w:val="none"/>
        </w:rPr>
        <w:t>项目投标，全权处理本次招投标活动中的一切事宜，我承认授权代表全权代表我所签署的本项目的投标文件的内容。</w:t>
      </w:r>
    </w:p>
    <w:p w14:paraId="2247A205">
      <w:pPr>
        <w:spacing w:line="480" w:lineRule="auto"/>
        <w:ind w:firstLine="440" w:firstLineChars="20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授权代表无转授权，特此授权</w:t>
      </w:r>
    </w:p>
    <w:p w14:paraId="1ED49185">
      <w:pPr>
        <w:spacing w:line="360" w:lineRule="auto"/>
        <w:ind w:left="1260"/>
        <w:rPr>
          <w:rFonts w:asciiTheme="majorEastAsia" w:hAnsiTheme="majorEastAsia" w:eastAsiaTheme="majorEastAsia"/>
          <w:color w:val="auto"/>
          <w:sz w:val="22"/>
          <w:szCs w:val="22"/>
          <w:highlight w:val="none"/>
        </w:rPr>
      </w:pPr>
    </w:p>
    <w:p w14:paraId="04CD9633">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授权代表： 性别 ：</w:t>
      </w:r>
    </w:p>
    <w:p w14:paraId="5766396B">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职务：年龄：</w:t>
      </w:r>
    </w:p>
    <w:p w14:paraId="036F926F">
      <w:pPr>
        <w:spacing w:line="480" w:lineRule="auto"/>
        <w:ind w:left="2100" w:leftChars="1000" w:firstLine="440" w:firstLineChars="200"/>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详细通讯地址： 邮政编码：</w:t>
      </w:r>
    </w:p>
    <w:p w14:paraId="42CECB91">
      <w:pPr>
        <w:spacing w:line="480" w:lineRule="auto"/>
        <w:ind w:left="1" w:firstLine="2510" w:firstLineChars="1141"/>
        <w:rPr>
          <w:rFonts w:asciiTheme="majorEastAsia" w:hAnsiTheme="majorEastAsia" w:eastAsiaTheme="majorEastAsia"/>
          <w:color w:val="auto"/>
          <w:sz w:val="22"/>
          <w:szCs w:val="22"/>
          <w:highlight w:val="none"/>
          <w:u w:val="single"/>
        </w:rPr>
      </w:pPr>
      <w:r>
        <w:rPr>
          <w:rFonts w:hint="eastAsia" w:asciiTheme="majorEastAsia" w:hAnsiTheme="majorEastAsia" w:eastAsiaTheme="majorEastAsia"/>
          <w:color w:val="auto"/>
          <w:sz w:val="22"/>
          <w:szCs w:val="22"/>
          <w:highlight w:val="none"/>
        </w:rPr>
        <w:t>电话： 传真：</w:t>
      </w:r>
    </w:p>
    <w:p w14:paraId="075275D3">
      <w:pPr>
        <w:spacing w:line="480" w:lineRule="auto"/>
        <w:ind w:left="1" w:firstLine="422" w:firstLineChars="192"/>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投标供应商：</w:t>
      </w:r>
      <w:r>
        <w:rPr>
          <w:rFonts w:hint="eastAsia" w:asciiTheme="majorEastAsia" w:hAnsiTheme="majorEastAsia" w:eastAsiaTheme="majorEastAsia"/>
          <w:color w:val="auto"/>
          <w:sz w:val="22"/>
          <w:szCs w:val="22"/>
          <w:highlight w:val="none"/>
          <w:u w:val="single"/>
        </w:rPr>
        <w:t xml:space="preserve">                              （盖章）</w:t>
      </w:r>
    </w:p>
    <w:p w14:paraId="549AB8A0">
      <w:pPr>
        <w:spacing w:line="480" w:lineRule="auto"/>
        <w:ind w:left="2100" w:right="44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 xml:space="preserve">   法定代表人：</w:t>
      </w:r>
      <w:r>
        <w:rPr>
          <w:rFonts w:hint="eastAsia" w:asciiTheme="majorEastAsia" w:hAnsiTheme="majorEastAsia" w:eastAsiaTheme="majorEastAsia"/>
          <w:color w:val="auto"/>
          <w:sz w:val="22"/>
          <w:szCs w:val="22"/>
          <w:highlight w:val="none"/>
          <w:u w:val="single"/>
        </w:rPr>
        <w:t xml:space="preserve">                        （签字或盖章）</w:t>
      </w:r>
    </w:p>
    <w:p w14:paraId="3B65A986">
      <w:pPr>
        <w:spacing w:line="480" w:lineRule="auto"/>
        <w:ind w:right="440" w:firstLine="3300" w:firstLineChars="1500"/>
        <w:jc w:val="righ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授权委托日期：年 月日</w:t>
      </w:r>
    </w:p>
    <w:tbl>
      <w:tblPr>
        <w:tblStyle w:val="43"/>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14:paraId="550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tcPr>
          <w:p w14:paraId="40EC51DE">
            <w:pPr>
              <w:pStyle w:val="24"/>
              <w:spacing w:line="440" w:lineRule="atLeast"/>
              <w:rPr>
                <w:rFonts w:asciiTheme="majorEastAsia" w:hAnsiTheme="majorEastAsia" w:eastAsiaTheme="majorEastAsia"/>
                <w:b/>
                <w:color w:val="auto"/>
                <w:sz w:val="36"/>
                <w:highlight w:val="none"/>
              </w:rPr>
            </w:pPr>
          </w:p>
          <w:p w14:paraId="31A6E62F">
            <w:pPr>
              <w:pStyle w:val="24"/>
              <w:spacing w:line="440" w:lineRule="atLeast"/>
              <w:jc w:val="center"/>
              <w:rPr>
                <w:rFonts w:asciiTheme="majorEastAsia" w:hAnsiTheme="majorEastAsia" w:eastAsiaTheme="majorEastAsia"/>
                <w:b/>
                <w:color w:val="auto"/>
                <w:sz w:val="36"/>
                <w:highlight w:val="none"/>
              </w:rPr>
            </w:pPr>
          </w:p>
          <w:p w14:paraId="5DBFF30A">
            <w:pPr>
              <w:pStyle w:val="24"/>
              <w:spacing w:line="440" w:lineRule="atLeast"/>
              <w:jc w:val="center"/>
              <w:rPr>
                <w:rFonts w:asciiTheme="majorEastAsia" w:hAnsiTheme="majorEastAsia" w:eastAsiaTheme="majorEastAsia"/>
                <w:b/>
                <w:color w:val="auto"/>
                <w:sz w:val="36"/>
                <w:highlight w:val="none"/>
              </w:rPr>
            </w:pPr>
          </w:p>
          <w:p w14:paraId="3927ECFF">
            <w:pPr>
              <w:pStyle w:val="24"/>
              <w:spacing w:line="440" w:lineRule="atLeast"/>
              <w:jc w:val="center"/>
              <w:rPr>
                <w:rFonts w:asciiTheme="majorEastAsia" w:hAnsiTheme="majorEastAsia" w:eastAsiaTheme="majorEastAsia"/>
                <w:b/>
                <w:color w:val="auto"/>
                <w:sz w:val="36"/>
                <w:highlight w:val="none"/>
              </w:rPr>
            </w:pPr>
          </w:p>
          <w:p w14:paraId="17B22CB1">
            <w:pPr>
              <w:pStyle w:val="24"/>
              <w:spacing w:line="440" w:lineRule="atLeast"/>
              <w:jc w:val="center"/>
              <w:rPr>
                <w:rFonts w:asciiTheme="majorEastAsia" w:hAnsiTheme="majorEastAsia" w:eastAsiaTheme="majorEastAsia"/>
                <w:b/>
                <w:color w:val="auto"/>
                <w:sz w:val="36"/>
                <w:highlight w:val="none"/>
              </w:rPr>
            </w:pPr>
            <w:r>
              <w:rPr>
                <w:rFonts w:hint="eastAsia" w:asciiTheme="majorEastAsia" w:hAnsiTheme="majorEastAsia" w:eastAsiaTheme="majorEastAsia"/>
                <w:color w:val="auto"/>
                <w:sz w:val="36"/>
                <w:highlight w:val="none"/>
              </w:rPr>
              <w:t>（授权代表身份证扫描件或影印件）</w:t>
            </w:r>
          </w:p>
          <w:p w14:paraId="35925FBE">
            <w:pPr>
              <w:pStyle w:val="24"/>
              <w:spacing w:line="440" w:lineRule="atLeast"/>
              <w:ind w:left="5271" w:firstLine="1084" w:firstLineChars="300"/>
              <w:rPr>
                <w:rFonts w:asciiTheme="majorEastAsia" w:hAnsiTheme="majorEastAsia" w:eastAsiaTheme="majorEastAsia"/>
                <w:b/>
                <w:color w:val="auto"/>
                <w:sz w:val="36"/>
                <w:highlight w:val="none"/>
              </w:rPr>
            </w:pPr>
          </w:p>
        </w:tc>
      </w:tr>
    </w:tbl>
    <w:p w14:paraId="47A35CA3">
      <w:pPr>
        <w:rPr>
          <w:rFonts w:asciiTheme="majorEastAsia" w:hAnsiTheme="majorEastAsia" w:eastAsiaTheme="majorEastAsia"/>
          <w:color w:val="auto"/>
          <w:sz w:val="22"/>
          <w:szCs w:val="22"/>
          <w:highlight w:val="none"/>
        </w:rPr>
      </w:pPr>
    </w:p>
    <w:p w14:paraId="27671AA2">
      <w:pPr>
        <w:spacing w:line="360" w:lineRule="exact"/>
        <w:jc w:val="left"/>
        <w:rPr>
          <w:rFonts w:hint="eastAsia" w:ascii="宋体" w:hAnsi="宋体" w:eastAsia="宋体" w:cs="宋体"/>
          <w:b/>
          <w:bCs/>
          <w:color w:val="auto"/>
          <w:sz w:val="22"/>
          <w:szCs w:val="22"/>
          <w:highlight w:val="none"/>
          <w:lang w:eastAsia="zh-CN"/>
        </w:rPr>
      </w:pPr>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七</w:t>
      </w:r>
    </w:p>
    <w:p w14:paraId="2200E2D6">
      <w:pPr>
        <w:tabs>
          <w:tab w:val="left" w:pos="1080"/>
        </w:tabs>
        <w:autoSpaceDE w:val="0"/>
        <w:autoSpaceDN w:val="0"/>
        <w:adjustRightInd w:val="0"/>
        <w:spacing w:line="440" w:lineRule="atLeast"/>
        <w:jc w:val="center"/>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类似业绩（时间以签订的时间为准）</w:t>
      </w:r>
    </w:p>
    <w:p w14:paraId="3AECCD2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项目名称：                                              项目编号：</w:t>
      </w:r>
    </w:p>
    <w:tbl>
      <w:tblPr>
        <w:tblStyle w:val="43"/>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7B48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3CF98E32">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序号</w:t>
            </w:r>
          </w:p>
        </w:tc>
        <w:tc>
          <w:tcPr>
            <w:tcW w:w="1285" w:type="dxa"/>
            <w:vAlign w:val="center"/>
          </w:tcPr>
          <w:p w14:paraId="0D795ACB">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采购单位</w:t>
            </w:r>
          </w:p>
        </w:tc>
        <w:tc>
          <w:tcPr>
            <w:tcW w:w="1299" w:type="dxa"/>
            <w:vAlign w:val="center"/>
          </w:tcPr>
          <w:p w14:paraId="10EEFAB9">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项目名称</w:t>
            </w:r>
          </w:p>
        </w:tc>
        <w:tc>
          <w:tcPr>
            <w:tcW w:w="1355" w:type="dxa"/>
            <w:vAlign w:val="center"/>
          </w:tcPr>
          <w:p w14:paraId="6C9A2763">
            <w:pPr>
              <w:tabs>
                <w:tab w:val="left" w:pos="4140"/>
              </w:tabs>
              <w:adjustRightInd w:val="0"/>
              <w:snapToGrid w:val="0"/>
              <w:spacing w:line="320" w:lineRule="atLeast"/>
              <w:jc w:val="center"/>
              <w:rPr>
                <w:rFonts w:hint="eastAsia" w:ascii="宋体" w:hAnsi="宋体" w:cs="宋体"/>
                <w:caps/>
                <w:color w:val="auto"/>
                <w:spacing w:val="20"/>
                <w:sz w:val="22"/>
                <w:highlight w:val="none"/>
              </w:rPr>
            </w:pPr>
            <w:r>
              <w:rPr>
                <w:rFonts w:hint="eastAsia" w:ascii="宋体" w:hAnsi="宋体" w:cs="宋体"/>
                <w:caps/>
                <w:color w:val="auto"/>
                <w:spacing w:val="20"/>
                <w:sz w:val="22"/>
                <w:szCs w:val="22"/>
                <w:highlight w:val="none"/>
              </w:rPr>
              <w:t>合同金额</w:t>
            </w:r>
          </w:p>
        </w:tc>
        <w:tc>
          <w:tcPr>
            <w:tcW w:w="1296" w:type="dxa"/>
            <w:vAlign w:val="center"/>
          </w:tcPr>
          <w:p w14:paraId="4DAFEDBA">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签约日期</w:t>
            </w:r>
          </w:p>
        </w:tc>
        <w:tc>
          <w:tcPr>
            <w:tcW w:w="1064" w:type="dxa"/>
            <w:vAlign w:val="center"/>
          </w:tcPr>
          <w:p w14:paraId="00A7D904">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联系人</w:t>
            </w:r>
          </w:p>
        </w:tc>
        <w:tc>
          <w:tcPr>
            <w:tcW w:w="1271" w:type="dxa"/>
            <w:vAlign w:val="center"/>
          </w:tcPr>
          <w:p w14:paraId="2AD5006B">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联系电话</w:t>
            </w:r>
          </w:p>
        </w:tc>
        <w:tc>
          <w:tcPr>
            <w:tcW w:w="1064" w:type="dxa"/>
            <w:vAlign w:val="center"/>
          </w:tcPr>
          <w:p w14:paraId="7A6721D7">
            <w:pPr>
              <w:tabs>
                <w:tab w:val="left" w:pos="4140"/>
              </w:tabs>
              <w:adjustRightInd w:val="0"/>
              <w:snapToGrid w:val="0"/>
              <w:spacing w:line="320" w:lineRule="atLeast"/>
              <w:jc w:val="center"/>
              <w:rPr>
                <w:rFonts w:hint="eastAsia" w:ascii="宋体" w:hAnsi="宋体" w:cs="宋体"/>
                <w:color w:val="auto"/>
                <w:spacing w:val="20"/>
                <w:sz w:val="22"/>
                <w:highlight w:val="none"/>
              </w:rPr>
            </w:pPr>
            <w:r>
              <w:rPr>
                <w:rFonts w:hint="eastAsia" w:ascii="宋体" w:hAnsi="宋体" w:cs="宋体"/>
                <w:color w:val="auto"/>
                <w:spacing w:val="20"/>
                <w:sz w:val="22"/>
                <w:szCs w:val="22"/>
                <w:highlight w:val="none"/>
              </w:rPr>
              <w:t>备注</w:t>
            </w:r>
          </w:p>
        </w:tc>
      </w:tr>
      <w:tr w14:paraId="262A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B389C1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561CF29D">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06E2792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26A646D7">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739735E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4256631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7CEA5E4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324169A5">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4288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1E861D96">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369BF19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1A082D3B">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11AB10C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6F8B17D7">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2AA314C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688ED21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7295CE45">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743C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0332690E">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427761D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28C775F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1E49A9B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6E782BE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2595293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335FA256">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7CF355F8">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081D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A7FE30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09EDCF5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25E2064B">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3329653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323B4F6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5039F77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14C32F4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1F325E9C">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1635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CBFB12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2B4AB27E">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00F3AF08">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1E28F4F7">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5315F6F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38FAAE7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4DEFF5A8">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743F0C2A">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60EA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CC5D80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4F7031C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64F9228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57D7331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25255878">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62387CE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44C37A2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104E9CA4">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03AA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7772B97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6D18D38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615C778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5C6E38F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6D98524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55D822D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5AA057D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5DA3B961">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772A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26AC7E6">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5F01B0E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6792707E">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48D0161E">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5CAFACEB">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72E35586">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12C22E7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082090E9">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45BE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D08340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461D570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56C2D2D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1FCD060A">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31D78AEC">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3903BD17">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399058FC">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47501C9A">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4A53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68AA2D7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17D7A71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2ACB79CC">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180ED608">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69F93D2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5898522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2562DF63">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515560EF">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7599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2C59917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1AE41DDD">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6D188AED">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0F720349">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53DE25F3">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2F7F4C4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602E908D">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7E4614A2">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3024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14:paraId="5DA83B70">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40F36D4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70759F6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2C4A6F34">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4CD6C65B">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64757F43">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1339A01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2B320973">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r w14:paraId="64F8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14:paraId="7918CD8F">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85" w:type="dxa"/>
            <w:vAlign w:val="center"/>
          </w:tcPr>
          <w:p w14:paraId="5F441C28">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9" w:type="dxa"/>
            <w:vAlign w:val="center"/>
          </w:tcPr>
          <w:p w14:paraId="013E4523">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355" w:type="dxa"/>
            <w:vAlign w:val="center"/>
          </w:tcPr>
          <w:p w14:paraId="691C103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96" w:type="dxa"/>
            <w:vAlign w:val="center"/>
          </w:tcPr>
          <w:p w14:paraId="791C0E81">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4CE26335">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271" w:type="dxa"/>
            <w:vAlign w:val="center"/>
          </w:tcPr>
          <w:p w14:paraId="60B32332">
            <w:pPr>
              <w:tabs>
                <w:tab w:val="left" w:pos="4140"/>
              </w:tabs>
              <w:adjustRightInd w:val="0"/>
              <w:snapToGrid w:val="0"/>
              <w:spacing w:line="320" w:lineRule="atLeast"/>
              <w:jc w:val="center"/>
              <w:rPr>
                <w:rFonts w:hint="eastAsia" w:ascii="宋体" w:hAnsi="宋体" w:cs="宋体"/>
                <w:color w:val="auto"/>
                <w:spacing w:val="20"/>
                <w:sz w:val="22"/>
                <w:highlight w:val="none"/>
              </w:rPr>
            </w:pPr>
          </w:p>
        </w:tc>
        <w:tc>
          <w:tcPr>
            <w:tcW w:w="1064" w:type="dxa"/>
            <w:vAlign w:val="center"/>
          </w:tcPr>
          <w:p w14:paraId="643412CE">
            <w:pPr>
              <w:tabs>
                <w:tab w:val="left" w:pos="4140"/>
              </w:tabs>
              <w:adjustRightInd w:val="0"/>
              <w:snapToGrid w:val="0"/>
              <w:spacing w:line="320" w:lineRule="atLeast"/>
              <w:jc w:val="center"/>
              <w:rPr>
                <w:rFonts w:hint="eastAsia" w:ascii="宋体" w:hAnsi="宋体" w:cs="宋体"/>
                <w:color w:val="auto"/>
                <w:spacing w:val="20"/>
                <w:sz w:val="22"/>
                <w:highlight w:val="none"/>
              </w:rPr>
            </w:pPr>
          </w:p>
        </w:tc>
      </w:tr>
    </w:tbl>
    <w:p w14:paraId="02DCC416">
      <w:pPr>
        <w:spacing w:line="460" w:lineRule="exact"/>
        <w:ind w:left="755" w:hanging="754" w:hangingChars="343"/>
        <w:rPr>
          <w:rFonts w:hint="eastAsia" w:ascii="宋体" w:hAnsi="宋体" w:cs="宋体"/>
          <w:bCs/>
          <w:color w:val="auto"/>
          <w:sz w:val="22"/>
          <w:szCs w:val="22"/>
          <w:highlight w:val="none"/>
        </w:rPr>
      </w:pPr>
      <w:r>
        <w:rPr>
          <w:rFonts w:hint="eastAsia" w:ascii="宋体" w:hAnsi="宋体" w:cs="宋体"/>
          <w:color w:val="auto"/>
          <w:sz w:val="22"/>
          <w:szCs w:val="22"/>
          <w:highlight w:val="none"/>
        </w:rPr>
        <w:t>注：投标供应商可按此表格式复制，需后附合同扫描件加盖公章。</w:t>
      </w:r>
    </w:p>
    <w:p w14:paraId="0C3D31AB">
      <w:pPr>
        <w:spacing w:line="460" w:lineRule="exact"/>
        <w:ind w:left="755" w:hanging="754" w:hangingChars="343"/>
        <w:rPr>
          <w:rFonts w:hint="eastAsia" w:ascii="宋体" w:hAnsi="宋体" w:cs="宋体"/>
          <w:bCs/>
          <w:color w:val="auto"/>
          <w:sz w:val="22"/>
          <w:szCs w:val="22"/>
          <w:highlight w:val="none"/>
        </w:rPr>
      </w:pPr>
    </w:p>
    <w:p w14:paraId="6D0E7A03">
      <w:pPr>
        <w:spacing w:line="44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A57EA4D">
      <w:pPr>
        <w:autoSpaceDE w:val="0"/>
        <w:autoSpaceDN w:val="0"/>
        <w:adjustRightInd w:val="0"/>
        <w:spacing w:line="46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6B7AB6FD">
      <w:pPr>
        <w:autoSpaceDE w:val="0"/>
        <w:autoSpaceDN w:val="0"/>
        <w:adjustRightInd w:val="0"/>
        <w:spacing w:line="460" w:lineRule="atLeast"/>
        <w:rPr>
          <w:rFonts w:hint="eastAsia" w:ascii="宋体" w:hAnsi="宋体" w:cs="宋体"/>
          <w:color w:val="auto"/>
          <w:sz w:val="22"/>
          <w:highlight w:val="none"/>
        </w:rPr>
      </w:pPr>
    </w:p>
    <w:p w14:paraId="016DC49B">
      <w:pPr>
        <w:autoSpaceDE w:val="0"/>
        <w:autoSpaceDN w:val="0"/>
        <w:adjustRightInd w:val="0"/>
        <w:spacing w:line="460" w:lineRule="atLeast"/>
        <w:rPr>
          <w:rFonts w:hint="eastAsia" w:ascii="宋体" w:hAnsi="宋体" w:cs="宋体"/>
          <w:color w:val="auto"/>
          <w:sz w:val="22"/>
          <w:highlight w:val="none"/>
        </w:rPr>
      </w:pPr>
    </w:p>
    <w:p w14:paraId="0BEF510F">
      <w:pPr>
        <w:pStyle w:val="40"/>
        <w:rPr>
          <w:rFonts w:hint="eastAsia" w:ascii="宋体" w:hAnsi="宋体" w:cs="宋体"/>
          <w:color w:val="auto"/>
          <w:highlight w:val="none"/>
        </w:rPr>
      </w:pPr>
      <w:bookmarkStart w:id="199" w:name="_Toc493530220"/>
    </w:p>
    <w:p w14:paraId="7AAE16EE">
      <w:pPr>
        <w:rPr>
          <w:rFonts w:hint="eastAsia" w:ascii="宋体" w:hAnsi="宋体" w:cs="宋体"/>
          <w:color w:val="auto"/>
          <w:highlight w:val="none"/>
        </w:rPr>
      </w:pPr>
    </w:p>
    <w:bookmarkEnd w:id="199"/>
    <w:p w14:paraId="28319D39">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692C0E13">
      <w:pPr>
        <w:widowControl/>
        <w:jc w:val="left"/>
        <w:rPr>
          <w:rFonts w:hint="eastAsia" w:ascii="宋体" w:hAnsi="宋体" w:eastAsia="宋体" w:cs="宋体"/>
          <w:b/>
          <w:bCs/>
          <w:color w:val="auto"/>
          <w:sz w:val="22"/>
          <w:szCs w:val="22"/>
          <w:highlight w:val="none"/>
          <w:lang w:eastAsia="zh-CN"/>
        </w:rPr>
      </w:pPr>
      <w:r>
        <w:rPr>
          <w:rFonts w:hint="eastAsia" w:ascii="宋体" w:hAnsi="宋体" w:cs="宋体"/>
          <w:b/>
          <w:color w:val="auto"/>
          <w:sz w:val="22"/>
          <w:szCs w:val="22"/>
          <w:highlight w:val="none"/>
        </w:rPr>
        <w:t>附件</w:t>
      </w:r>
      <w:r>
        <w:rPr>
          <w:rFonts w:hint="eastAsia" w:ascii="宋体" w:hAnsi="宋体" w:cs="宋体"/>
          <w:b/>
          <w:color w:val="auto"/>
          <w:sz w:val="22"/>
          <w:szCs w:val="22"/>
          <w:highlight w:val="none"/>
          <w:lang w:val="en-US" w:eastAsia="zh-CN"/>
        </w:rPr>
        <w:t>八</w:t>
      </w:r>
    </w:p>
    <w:p w14:paraId="737C82EE">
      <w:pPr>
        <w:pStyle w:val="40"/>
        <w:rPr>
          <w:rFonts w:hint="eastAsia" w:ascii="宋体" w:hAnsi="宋体" w:cs="宋体"/>
          <w:color w:val="auto"/>
          <w:highlight w:val="none"/>
        </w:rPr>
      </w:pPr>
      <w:r>
        <w:rPr>
          <w:rFonts w:hint="eastAsia" w:ascii="宋体" w:hAnsi="宋体" w:cs="宋体"/>
          <w:color w:val="auto"/>
          <w:highlight w:val="none"/>
        </w:rPr>
        <w:t>商务、技术偏离表</w:t>
      </w:r>
    </w:p>
    <w:p w14:paraId="75AB440B">
      <w:pPr>
        <w:spacing w:line="560" w:lineRule="exact"/>
        <w:ind w:firstLine="431" w:firstLineChars="196"/>
        <w:rPr>
          <w:rFonts w:hint="eastAsia" w:ascii="宋体" w:hAnsi="宋体" w:cs="宋体"/>
          <w:bCs/>
          <w:color w:val="auto"/>
          <w:sz w:val="22"/>
          <w:szCs w:val="22"/>
          <w:highlight w:val="none"/>
        </w:rPr>
      </w:pPr>
      <w:r>
        <w:rPr>
          <w:rFonts w:hint="eastAsia" w:ascii="宋体" w:hAnsi="宋体" w:cs="宋体"/>
          <w:color w:val="auto"/>
          <w:sz w:val="22"/>
          <w:szCs w:val="22"/>
          <w:highlight w:val="none"/>
        </w:rPr>
        <w:t>项目名称：                                       项目编号：</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14:paraId="04F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14:paraId="0DB606D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内   容</w:t>
            </w:r>
          </w:p>
        </w:tc>
        <w:tc>
          <w:tcPr>
            <w:tcW w:w="1434" w:type="dxa"/>
            <w:vAlign w:val="center"/>
          </w:tcPr>
          <w:p w14:paraId="5EF91A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招标文件</w:t>
            </w:r>
          </w:p>
          <w:p w14:paraId="2DAEB9E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条目</w:t>
            </w:r>
          </w:p>
        </w:tc>
        <w:tc>
          <w:tcPr>
            <w:tcW w:w="2743" w:type="dxa"/>
            <w:vAlign w:val="center"/>
          </w:tcPr>
          <w:p w14:paraId="3E9B3E1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招标文件</w:t>
            </w:r>
          </w:p>
          <w:p w14:paraId="381C12C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规格要求</w:t>
            </w:r>
          </w:p>
        </w:tc>
        <w:tc>
          <w:tcPr>
            <w:tcW w:w="3023" w:type="dxa"/>
            <w:vAlign w:val="center"/>
          </w:tcPr>
          <w:p w14:paraId="7A087E4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w:t>
            </w:r>
          </w:p>
          <w:p w14:paraId="1A3FAAE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对应规格</w:t>
            </w:r>
          </w:p>
        </w:tc>
        <w:tc>
          <w:tcPr>
            <w:tcW w:w="1260" w:type="dxa"/>
            <w:vAlign w:val="center"/>
          </w:tcPr>
          <w:p w14:paraId="2553C1A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6153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33058264">
            <w:pPr>
              <w:rPr>
                <w:rFonts w:hint="eastAsia" w:ascii="宋体" w:hAnsi="宋体" w:cs="宋体"/>
                <w:color w:val="auto"/>
                <w:sz w:val="22"/>
                <w:szCs w:val="22"/>
                <w:highlight w:val="none"/>
              </w:rPr>
            </w:pPr>
            <w:r>
              <w:rPr>
                <w:rFonts w:hint="eastAsia" w:ascii="宋体" w:hAnsi="宋体" w:cs="宋体"/>
                <w:color w:val="auto"/>
                <w:sz w:val="22"/>
                <w:szCs w:val="22"/>
                <w:highlight w:val="none"/>
              </w:rPr>
              <w:t>技术偏离</w:t>
            </w:r>
          </w:p>
        </w:tc>
        <w:tc>
          <w:tcPr>
            <w:tcW w:w="1434" w:type="dxa"/>
            <w:vAlign w:val="center"/>
          </w:tcPr>
          <w:p w14:paraId="7477DA29">
            <w:pPr>
              <w:jc w:val="center"/>
              <w:rPr>
                <w:rFonts w:hint="eastAsia" w:ascii="宋体" w:hAnsi="宋体" w:cs="宋体"/>
                <w:color w:val="auto"/>
                <w:sz w:val="22"/>
                <w:szCs w:val="22"/>
                <w:highlight w:val="none"/>
              </w:rPr>
            </w:pPr>
          </w:p>
        </w:tc>
        <w:tc>
          <w:tcPr>
            <w:tcW w:w="2743" w:type="dxa"/>
            <w:vAlign w:val="center"/>
          </w:tcPr>
          <w:p w14:paraId="2AAFF42D">
            <w:pPr>
              <w:jc w:val="center"/>
              <w:rPr>
                <w:rFonts w:hint="eastAsia" w:ascii="宋体" w:hAnsi="宋体" w:cs="宋体"/>
                <w:color w:val="auto"/>
                <w:sz w:val="22"/>
                <w:szCs w:val="22"/>
                <w:highlight w:val="none"/>
              </w:rPr>
            </w:pPr>
          </w:p>
        </w:tc>
        <w:tc>
          <w:tcPr>
            <w:tcW w:w="3023" w:type="dxa"/>
            <w:vAlign w:val="center"/>
          </w:tcPr>
          <w:p w14:paraId="769A30EF">
            <w:pPr>
              <w:jc w:val="center"/>
              <w:rPr>
                <w:rFonts w:hint="eastAsia" w:ascii="宋体" w:hAnsi="宋体" w:cs="宋体"/>
                <w:color w:val="auto"/>
                <w:sz w:val="22"/>
                <w:szCs w:val="22"/>
                <w:highlight w:val="none"/>
              </w:rPr>
            </w:pPr>
          </w:p>
        </w:tc>
        <w:tc>
          <w:tcPr>
            <w:tcW w:w="1260" w:type="dxa"/>
            <w:vAlign w:val="center"/>
          </w:tcPr>
          <w:p w14:paraId="1A4EE520">
            <w:pPr>
              <w:jc w:val="center"/>
              <w:rPr>
                <w:rFonts w:hint="eastAsia" w:ascii="宋体" w:hAnsi="宋体" w:cs="宋体"/>
                <w:color w:val="auto"/>
                <w:sz w:val="22"/>
                <w:szCs w:val="22"/>
                <w:highlight w:val="none"/>
              </w:rPr>
            </w:pPr>
          </w:p>
        </w:tc>
      </w:tr>
      <w:tr w14:paraId="32FB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4548634F">
            <w:pPr>
              <w:jc w:val="center"/>
              <w:rPr>
                <w:rFonts w:hint="eastAsia" w:ascii="宋体" w:hAnsi="宋体" w:cs="宋体"/>
                <w:color w:val="auto"/>
                <w:sz w:val="22"/>
                <w:szCs w:val="22"/>
                <w:highlight w:val="none"/>
              </w:rPr>
            </w:pPr>
          </w:p>
        </w:tc>
        <w:tc>
          <w:tcPr>
            <w:tcW w:w="1434" w:type="dxa"/>
            <w:vAlign w:val="center"/>
          </w:tcPr>
          <w:p w14:paraId="3FADAB8C">
            <w:pPr>
              <w:jc w:val="center"/>
              <w:rPr>
                <w:rFonts w:hint="eastAsia" w:ascii="宋体" w:hAnsi="宋体" w:cs="宋体"/>
                <w:color w:val="auto"/>
                <w:sz w:val="22"/>
                <w:szCs w:val="22"/>
                <w:highlight w:val="none"/>
              </w:rPr>
            </w:pPr>
          </w:p>
        </w:tc>
        <w:tc>
          <w:tcPr>
            <w:tcW w:w="2743" w:type="dxa"/>
            <w:vAlign w:val="center"/>
          </w:tcPr>
          <w:p w14:paraId="1B3A7E9D">
            <w:pPr>
              <w:jc w:val="center"/>
              <w:rPr>
                <w:rFonts w:hint="eastAsia" w:ascii="宋体" w:hAnsi="宋体" w:cs="宋体"/>
                <w:color w:val="auto"/>
                <w:sz w:val="22"/>
                <w:szCs w:val="22"/>
                <w:highlight w:val="none"/>
              </w:rPr>
            </w:pPr>
          </w:p>
        </w:tc>
        <w:tc>
          <w:tcPr>
            <w:tcW w:w="3023" w:type="dxa"/>
            <w:vAlign w:val="center"/>
          </w:tcPr>
          <w:p w14:paraId="5C9F7222">
            <w:pPr>
              <w:jc w:val="center"/>
              <w:rPr>
                <w:rFonts w:hint="eastAsia" w:ascii="宋体" w:hAnsi="宋体" w:cs="宋体"/>
                <w:color w:val="auto"/>
                <w:sz w:val="22"/>
                <w:szCs w:val="22"/>
                <w:highlight w:val="none"/>
              </w:rPr>
            </w:pPr>
          </w:p>
        </w:tc>
        <w:tc>
          <w:tcPr>
            <w:tcW w:w="1260" w:type="dxa"/>
            <w:vAlign w:val="center"/>
          </w:tcPr>
          <w:p w14:paraId="69468B8D">
            <w:pPr>
              <w:jc w:val="center"/>
              <w:rPr>
                <w:rFonts w:hint="eastAsia" w:ascii="宋体" w:hAnsi="宋体" w:cs="宋体"/>
                <w:color w:val="auto"/>
                <w:sz w:val="22"/>
                <w:szCs w:val="22"/>
                <w:highlight w:val="none"/>
              </w:rPr>
            </w:pPr>
          </w:p>
        </w:tc>
      </w:tr>
      <w:tr w14:paraId="2395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61990C8">
            <w:pPr>
              <w:jc w:val="center"/>
              <w:rPr>
                <w:rFonts w:hint="eastAsia" w:ascii="宋体" w:hAnsi="宋体" w:cs="宋体"/>
                <w:color w:val="auto"/>
                <w:sz w:val="22"/>
                <w:szCs w:val="22"/>
                <w:highlight w:val="none"/>
              </w:rPr>
            </w:pPr>
          </w:p>
        </w:tc>
        <w:tc>
          <w:tcPr>
            <w:tcW w:w="1434" w:type="dxa"/>
            <w:vAlign w:val="center"/>
          </w:tcPr>
          <w:p w14:paraId="722E0F2D">
            <w:pPr>
              <w:jc w:val="center"/>
              <w:rPr>
                <w:rFonts w:hint="eastAsia" w:ascii="宋体" w:hAnsi="宋体" w:cs="宋体"/>
                <w:color w:val="auto"/>
                <w:sz w:val="22"/>
                <w:szCs w:val="22"/>
                <w:highlight w:val="none"/>
              </w:rPr>
            </w:pPr>
          </w:p>
        </w:tc>
        <w:tc>
          <w:tcPr>
            <w:tcW w:w="2743" w:type="dxa"/>
            <w:vAlign w:val="center"/>
          </w:tcPr>
          <w:p w14:paraId="3EE34BF2">
            <w:pPr>
              <w:jc w:val="center"/>
              <w:rPr>
                <w:rFonts w:hint="eastAsia" w:ascii="宋体" w:hAnsi="宋体" w:cs="宋体"/>
                <w:color w:val="auto"/>
                <w:sz w:val="22"/>
                <w:szCs w:val="22"/>
                <w:highlight w:val="none"/>
              </w:rPr>
            </w:pPr>
          </w:p>
        </w:tc>
        <w:tc>
          <w:tcPr>
            <w:tcW w:w="3023" w:type="dxa"/>
            <w:vAlign w:val="center"/>
          </w:tcPr>
          <w:p w14:paraId="6918F229">
            <w:pPr>
              <w:jc w:val="center"/>
              <w:rPr>
                <w:rFonts w:hint="eastAsia" w:ascii="宋体" w:hAnsi="宋体" w:cs="宋体"/>
                <w:color w:val="auto"/>
                <w:sz w:val="22"/>
                <w:szCs w:val="22"/>
                <w:highlight w:val="none"/>
              </w:rPr>
            </w:pPr>
          </w:p>
        </w:tc>
        <w:tc>
          <w:tcPr>
            <w:tcW w:w="1260" w:type="dxa"/>
            <w:vAlign w:val="center"/>
          </w:tcPr>
          <w:p w14:paraId="04B51CA3">
            <w:pPr>
              <w:jc w:val="center"/>
              <w:rPr>
                <w:rFonts w:hint="eastAsia" w:ascii="宋体" w:hAnsi="宋体" w:cs="宋体"/>
                <w:color w:val="auto"/>
                <w:sz w:val="22"/>
                <w:szCs w:val="22"/>
                <w:highlight w:val="none"/>
              </w:rPr>
            </w:pPr>
          </w:p>
        </w:tc>
      </w:tr>
      <w:tr w14:paraId="22E7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1713A8C2">
            <w:pPr>
              <w:jc w:val="center"/>
              <w:rPr>
                <w:rFonts w:hint="eastAsia" w:ascii="宋体" w:hAnsi="宋体" w:cs="宋体"/>
                <w:color w:val="auto"/>
                <w:sz w:val="22"/>
                <w:szCs w:val="22"/>
                <w:highlight w:val="none"/>
              </w:rPr>
            </w:pPr>
          </w:p>
        </w:tc>
        <w:tc>
          <w:tcPr>
            <w:tcW w:w="1434" w:type="dxa"/>
            <w:vAlign w:val="center"/>
          </w:tcPr>
          <w:p w14:paraId="4AF82FE9">
            <w:pPr>
              <w:jc w:val="center"/>
              <w:rPr>
                <w:rFonts w:hint="eastAsia" w:ascii="宋体" w:hAnsi="宋体" w:cs="宋体"/>
                <w:color w:val="auto"/>
                <w:sz w:val="22"/>
                <w:szCs w:val="22"/>
                <w:highlight w:val="none"/>
              </w:rPr>
            </w:pPr>
          </w:p>
        </w:tc>
        <w:tc>
          <w:tcPr>
            <w:tcW w:w="2743" w:type="dxa"/>
            <w:vAlign w:val="center"/>
          </w:tcPr>
          <w:p w14:paraId="677923EC">
            <w:pPr>
              <w:jc w:val="center"/>
              <w:rPr>
                <w:rFonts w:hint="eastAsia" w:ascii="宋体" w:hAnsi="宋体" w:cs="宋体"/>
                <w:color w:val="auto"/>
                <w:sz w:val="22"/>
                <w:szCs w:val="22"/>
                <w:highlight w:val="none"/>
              </w:rPr>
            </w:pPr>
          </w:p>
        </w:tc>
        <w:tc>
          <w:tcPr>
            <w:tcW w:w="3023" w:type="dxa"/>
            <w:vAlign w:val="center"/>
          </w:tcPr>
          <w:p w14:paraId="558F0283">
            <w:pPr>
              <w:jc w:val="center"/>
              <w:rPr>
                <w:rFonts w:hint="eastAsia" w:ascii="宋体" w:hAnsi="宋体" w:cs="宋体"/>
                <w:color w:val="auto"/>
                <w:sz w:val="22"/>
                <w:szCs w:val="22"/>
                <w:highlight w:val="none"/>
              </w:rPr>
            </w:pPr>
          </w:p>
        </w:tc>
        <w:tc>
          <w:tcPr>
            <w:tcW w:w="1260" w:type="dxa"/>
            <w:vAlign w:val="center"/>
          </w:tcPr>
          <w:p w14:paraId="5B1D6D85">
            <w:pPr>
              <w:jc w:val="center"/>
              <w:rPr>
                <w:rFonts w:hint="eastAsia" w:ascii="宋体" w:hAnsi="宋体" w:cs="宋体"/>
                <w:color w:val="auto"/>
                <w:sz w:val="22"/>
                <w:szCs w:val="22"/>
                <w:highlight w:val="none"/>
              </w:rPr>
            </w:pPr>
          </w:p>
        </w:tc>
      </w:tr>
      <w:tr w14:paraId="05FD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4C7305C0">
            <w:pPr>
              <w:jc w:val="center"/>
              <w:rPr>
                <w:rFonts w:hint="eastAsia" w:ascii="宋体" w:hAnsi="宋体" w:cs="宋体"/>
                <w:color w:val="auto"/>
                <w:sz w:val="22"/>
                <w:szCs w:val="22"/>
                <w:highlight w:val="none"/>
              </w:rPr>
            </w:pPr>
          </w:p>
        </w:tc>
        <w:tc>
          <w:tcPr>
            <w:tcW w:w="1434" w:type="dxa"/>
            <w:vAlign w:val="center"/>
          </w:tcPr>
          <w:p w14:paraId="05AC14EA">
            <w:pPr>
              <w:jc w:val="center"/>
              <w:rPr>
                <w:rFonts w:hint="eastAsia" w:ascii="宋体" w:hAnsi="宋体" w:cs="宋体"/>
                <w:color w:val="auto"/>
                <w:sz w:val="22"/>
                <w:szCs w:val="22"/>
                <w:highlight w:val="none"/>
              </w:rPr>
            </w:pPr>
          </w:p>
        </w:tc>
        <w:tc>
          <w:tcPr>
            <w:tcW w:w="2743" w:type="dxa"/>
            <w:vAlign w:val="center"/>
          </w:tcPr>
          <w:p w14:paraId="4DF2F184">
            <w:pPr>
              <w:jc w:val="center"/>
              <w:rPr>
                <w:rFonts w:hint="eastAsia" w:ascii="宋体" w:hAnsi="宋体" w:cs="宋体"/>
                <w:color w:val="auto"/>
                <w:sz w:val="22"/>
                <w:szCs w:val="22"/>
                <w:highlight w:val="none"/>
              </w:rPr>
            </w:pPr>
          </w:p>
        </w:tc>
        <w:tc>
          <w:tcPr>
            <w:tcW w:w="3023" w:type="dxa"/>
            <w:vAlign w:val="center"/>
          </w:tcPr>
          <w:p w14:paraId="7B2F45D8">
            <w:pPr>
              <w:jc w:val="center"/>
              <w:rPr>
                <w:rFonts w:hint="eastAsia" w:ascii="宋体" w:hAnsi="宋体" w:cs="宋体"/>
                <w:color w:val="auto"/>
                <w:sz w:val="22"/>
                <w:szCs w:val="22"/>
                <w:highlight w:val="none"/>
              </w:rPr>
            </w:pPr>
          </w:p>
        </w:tc>
        <w:tc>
          <w:tcPr>
            <w:tcW w:w="1260" w:type="dxa"/>
            <w:vAlign w:val="center"/>
          </w:tcPr>
          <w:p w14:paraId="1FD2BE2A">
            <w:pPr>
              <w:jc w:val="center"/>
              <w:rPr>
                <w:rFonts w:hint="eastAsia" w:ascii="宋体" w:hAnsi="宋体" w:cs="宋体"/>
                <w:color w:val="auto"/>
                <w:sz w:val="22"/>
                <w:szCs w:val="22"/>
                <w:highlight w:val="none"/>
              </w:rPr>
            </w:pPr>
          </w:p>
        </w:tc>
      </w:tr>
      <w:tr w14:paraId="61F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14:paraId="4DDACEBB">
            <w:pPr>
              <w:rPr>
                <w:rFonts w:hint="eastAsia" w:ascii="宋体" w:hAnsi="宋体" w:cs="宋体"/>
                <w:color w:val="auto"/>
                <w:sz w:val="22"/>
                <w:szCs w:val="22"/>
                <w:highlight w:val="none"/>
              </w:rPr>
            </w:pPr>
            <w:r>
              <w:rPr>
                <w:rFonts w:hint="eastAsia" w:ascii="宋体" w:hAnsi="宋体" w:cs="宋体"/>
                <w:color w:val="auto"/>
                <w:sz w:val="22"/>
                <w:szCs w:val="22"/>
                <w:highlight w:val="none"/>
              </w:rPr>
              <w:t>商务偏离</w:t>
            </w:r>
          </w:p>
        </w:tc>
        <w:tc>
          <w:tcPr>
            <w:tcW w:w="1434" w:type="dxa"/>
            <w:vAlign w:val="center"/>
          </w:tcPr>
          <w:p w14:paraId="04EB6AB3">
            <w:pPr>
              <w:jc w:val="center"/>
              <w:rPr>
                <w:rFonts w:hint="eastAsia" w:ascii="宋体" w:hAnsi="宋体" w:cs="宋体"/>
                <w:color w:val="auto"/>
                <w:sz w:val="22"/>
                <w:szCs w:val="22"/>
                <w:highlight w:val="none"/>
              </w:rPr>
            </w:pPr>
          </w:p>
        </w:tc>
        <w:tc>
          <w:tcPr>
            <w:tcW w:w="2743" w:type="dxa"/>
            <w:vAlign w:val="center"/>
          </w:tcPr>
          <w:p w14:paraId="08346F7C">
            <w:pPr>
              <w:jc w:val="center"/>
              <w:rPr>
                <w:rFonts w:hint="eastAsia" w:ascii="宋体" w:hAnsi="宋体" w:cs="宋体"/>
                <w:color w:val="auto"/>
                <w:sz w:val="22"/>
                <w:szCs w:val="22"/>
                <w:highlight w:val="none"/>
              </w:rPr>
            </w:pPr>
          </w:p>
        </w:tc>
        <w:tc>
          <w:tcPr>
            <w:tcW w:w="3023" w:type="dxa"/>
            <w:vAlign w:val="center"/>
          </w:tcPr>
          <w:p w14:paraId="71BEFFCA">
            <w:pPr>
              <w:jc w:val="center"/>
              <w:rPr>
                <w:rFonts w:hint="eastAsia" w:ascii="宋体" w:hAnsi="宋体" w:cs="宋体"/>
                <w:color w:val="auto"/>
                <w:sz w:val="22"/>
                <w:szCs w:val="22"/>
                <w:highlight w:val="none"/>
              </w:rPr>
            </w:pPr>
          </w:p>
        </w:tc>
        <w:tc>
          <w:tcPr>
            <w:tcW w:w="1260" w:type="dxa"/>
            <w:vAlign w:val="center"/>
          </w:tcPr>
          <w:p w14:paraId="3669F595">
            <w:pPr>
              <w:jc w:val="center"/>
              <w:rPr>
                <w:rFonts w:hint="eastAsia" w:ascii="宋体" w:hAnsi="宋体" w:cs="宋体"/>
                <w:color w:val="auto"/>
                <w:sz w:val="22"/>
                <w:szCs w:val="22"/>
                <w:highlight w:val="none"/>
              </w:rPr>
            </w:pPr>
          </w:p>
        </w:tc>
      </w:tr>
      <w:tr w14:paraId="5B12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254F0DD5">
            <w:pPr>
              <w:jc w:val="center"/>
              <w:rPr>
                <w:rFonts w:hint="eastAsia" w:ascii="宋体" w:hAnsi="宋体" w:cs="宋体"/>
                <w:color w:val="auto"/>
                <w:sz w:val="22"/>
                <w:szCs w:val="22"/>
                <w:highlight w:val="none"/>
              </w:rPr>
            </w:pPr>
          </w:p>
        </w:tc>
        <w:tc>
          <w:tcPr>
            <w:tcW w:w="1434" w:type="dxa"/>
            <w:vAlign w:val="center"/>
          </w:tcPr>
          <w:p w14:paraId="4AF8B240">
            <w:pPr>
              <w:jc w:val="center"/>
              <w:rPr>
                <w:rFonts w:hint="eastAsia" w:ascii="宋体" w:hAnsi="宋体" w:cs="宋体"/>
                <w:color w:val="auto"/>
                <w:sz w:val="22"/>
                <w:szCs w:val="22"/>
                <w:highlight w:val="none"/>
              </w:rPr>
            </w:pPr>
          </w:p>
        </w:tc>
        <w:tc>
          <w:tcPr>
            <w:tcW w:w="2743" w:type="dxa"/>
            <w:vAlign w:val="center"/>
          </w:tcPr>
          <w:p w14:paraId="1C6E9511">
            <w:pPr>
              <w:jc w:val="center"/>
              <w:rPr>
                <w:rFonts w:hint="eastAsia" w:ascii="宋体" w:hAnsi="宋体" w:cs="宋体"/>
                <w:color w:val="auto"/>
                <w:sz w:val="22"/>
                <w:szCs w:val="22"/>
                <w:highlight w:val="none"/>
              </w:rPr>
            </w:pPr>
          </w:p>
        </w:tc>
        <w:tc>
          <w:tcPr>
            <w:tcW w:w="3023" w:type="dxa"/>
            <w:vAlign w:val="center"/>
          </w:tcPr>
          <w:p w14:paraId="769BDE83">
            <w:pPr>
              <w:jc w:val="center"/>
              <w:rPr>
                <w:rFonts w:hint="eastAsia" w:ascii="宋体" w:hAnsi="宋体" w:cs="宋体"/>
                <w:color w:val="auto"/>
                <w:sz w:val="22"/>
                <w:szCs w:val="22"/>
                <w:highlight w:val="none"/>
              </w:rPr>
            </w:pPr>
          </w:p>
        </w:tc>
        <w:tc>
          <w:tcPr>
            <w:tcW w:w="1260" w:type="dxa"/>
            <w:vAlign w:val="center"/>
          </w:tcPr>
          <w:p w14:paraId="0F82B0A2">
            <w:pPr>
              <w:jc w:val="center"/>
              <w:rPr>
                <w:rFonts w:hint="eastAsia" w:ascii="宋体" w:hAnsi="宋体" w:cs="宋体"/>
                <w:color w:val="auto"/>
                <w:sz w:val="22"/>
                <w:szCs w:val="22"/>
                <w:highlight w:val="none"/>
              </w:rPr>
            </w:pPr>
          </w:p>
        </w:tc>
      </w:tr>
      <w:tr w14:paraId="24E7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D9703FD">
            <w:pPr>
              <w:jc w:val="center"/>
              <w:rPr>
                <w:rFonts w:hint="eastAsia" w:ascii="宋体" w:hAnsi="宋体" w:cs="宋体"/>
                <w:color w:val="auto"/>
                <w:sz w:val="22"/>
                <w:szCs w:val="22"/>
                <w:highlight w:val="none"/>
              </w:rPr>
            </w:pPr>
          </w:p>
        </w:tc>
        <w:tc>
          <w:tcPr>
            <w:tcW w:w="1434" w:type="dxa"/>
            <w:vAlign w:val="center"/>
          </w:tcPr>
          <w:p w14:paraId="24A6AAD8">
            <w:pPr>
              <w:jc w:val="center"/>
              <w:rPr>
                <w:rFonts w:hint="eastAsia" w:ascii="宋体" w:hAnsi="宋体" w:cs="宋体"/>
                <w:color w:val="auto"/>
                <w:sz w:val="22"/>
                <w:szCs w:val="22"/>
                <w:highlight w:val="none"/>
              </w:rPr>
            </w:pPr>
          </w:p>
        </w:tc>
        <w:tc>
          <w:tcPr>
            <w:tcW w:w="2743" w:type="dxa"/>
            <w:vAlign w:val="center"/>
          </w:tcPr>
          <w:p w14:paraId="5F7AA560">
            <w:pPr>
              <w:jc w:val="center"/>
              <w:rPr>
                <w:rFonts w:hint="eastAsia" w:ascii="宋体" w:hAnsi="宋体" w:cs="宋体"/>
                <w:color w:val="auto"/>
                <w:sz w:val="22"/>
                <w:szCs w:val="22"/>
                <w:highlight w:val="none"/>
              </w:rPr>
            </w:pPr>
          </w:p>
        </w:tc>
        <w:tc>
          <w:tcPr>
            <w:tcW w:w="3023" w:type="dxa"/>
            <w:vAlign w:val="center"/>
          </w:tcPr>
          <w:p w14:paraId="241D1FFD">
            <w:pPr>
              <w:jc w:val="center"/>
              <w:rPr>
                <w:rFonts w:hint="eastAsia" w:ascii="宋体" w:hAnsi="宋体" w:cs="宋体"/>
                <w:color w:val="auto"/>
                <w:sz w:val="22"/>
                <w:szCs w:val="22"/>
                <w:highlight w:val="none"/>
              </w:rPr>
            </w:pPr>
          </w:p>
        </w:tc>
        <w:tc>
          <w:tcPr>
            <w:tcW w:w="1260" w:type="dxa"/>
            <w:vAlign w:val="center"/>
          </w:tcPr>
          <w:p w14:paraId="45AE1443">
            <w:pPr>
              <w:jc w:val="center"/>
              <w:rPr>
                <w:rFonts w:hint="eastAsia" w:ascii="宋体" w:hAnsi="宋体" w:cs="宋体"/>
                <w:color w:val="auto"/>
                <w:sz w:val="22"/>
                <w:szCs w:val="22"/>
                <w:highlight w:val="none"/>
              </w:rPr>
            </w:pPr>
          </w:p>
        </w:tc>
      </w:tr>
      <w:tr w14:paraId="6BDE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5AD4E6D6">
            <w:pPr>
              <w:jc w:val="center"/>
              <w:rPr>
                <w:rFonts w:hint="eastAsia" w:ascii="宋体" w:hAnsi="宋体" w:cs="宋体"/>
                <w:color w:val="auto"/>
                <w:sz w:val="22"/>
                <w:szCs w:val="22"/>
                <w:highlight w:val="none"/>
              </w:rPr>
            </w:pPr>
          </w:p>
        </w:tc>
        <w:tc>
          <w:tcPr>
            <w:tcW w:w="1434" w:type="dxa"/>
            <w:vAlign w:val="center"/>
          </w:tcPr>
          <w:p w14:paraId="5C9390C5">
            <w:pPr>
              <w:jc w:val="center"/>
              <w:rPr>
                <w:rFonts w:hint="eastAsia" w:ascii="宋体" w:hAnsi="宋体" w:cs="宋体"/>
                <w:color w:val="auto"/>
                <w:sz w:val="22"/>
                <w:szCs w:val="22"/>
                <w:highlight w:val="none"/>
              </w:rPr>
            </w:pPr>
          </w:p>
        </w:tc>
        <w:tc>
          <w:tcPr>
            <w:tcW w:w="2743" w:type="dxa"/>
            <w:vAlign w:val="center"/>
          </w:tcPr>
          <w:p w14:paraId="34183EE9">
            <w:pPr>
              <w:jc w:val="center"/>
              <w:rPr>
                <w:rFonts w:hint="eastAsia" w:ascii="宋体" w:hAnsi="宋体" w:cs="宋体"/>
                <w:color w:val="auto"/>
                <w:sz w:val="22"/>
                <w:szCs w:val="22"/>
                <w:highlight w:val="none"/>
              </w:rPr>
            </w:pPr>
          </w:p>
        </w:tc>
        <w:tc>
          <w:tcPr>
            <w:tcW w:w="3023" w:type="dxa"/>
            <w:vAlign w:val="center"/>
          </w:tcPr>
          <w:p w14:paraId="494341E1">
            <w:pPr>
              <w:jc w:val="center"/>
              <w:rPr>
                <w:rFonts w:hint="eastAsia" w:ascii="宋体" w:hAnsi="宋体" w:cs="宋体"/>
                <w:color w:val="auto"/>
                <w:sz w:val="22"/>
                <w:szCs w:val="22"/>
                <w:highlight w:val="none"/>
              </w:rPr>
            </w:pPr>
          </w:p>
        </w:tc>
        <w:tc>
          <w:tcPr>
            <w:tcW w:w="1260" w:type="dxa"/>
            <w:vAlign w:val="center"/>
          </w:tcPr>
          <w:p w14:paraId="5B9D98AD">
            <w:pPr>
              <w:jc w:val="center"/>
              <w:rPr>
                <w:rFonts w:hint="eastAsia" w:ascii="宋体" w:hAnsi="宋体" w:cs="宋体"/>
                <w:color w:val="auto"/>
                <w:sz w:val="22"/>
                <w:szCs w:val="22"/>
                <w:highlight w:val="none"/>
              </w:rPr>
            </w:pPr>
          </w:p>
        </w:tc>
      </w:tr>
      <w:tr w14:paraId="55F0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14:paraId="61773FF0">
            <w:pPr>
              <w:jc w:val="center"/>
              <w:rPr>
                <w:rFonts w:hint="eastAsia" w:ascii="宋体" w:hAnsi="宋体" w:cs="宋体"/>
                <w:color w:val="auto"/>
                <w:sz w:val="22"/>
                <w:szCs w:val="22"/>
                <w:highlight w:val="none"/>
              </w:rPr>
            </w:pPr>
          </w:p>
        </w:tc>
        <w:tc>
          <w:tcPr>
            <w:tcW w:w="1434" w:type="dxa"/>
            <w:vAlign w:val="center"/>
          </w:tcPr>
          <w:p w14:paraId="3C6ACC72">
            <w:pPr>
              <w:jc w:val="center"/>
              <w:rPr>
                <w:rFonts w:hint="eastAsia" w:ascii="宋体" w:hAnsi="宋体" w:cs="宋体"/>
                <w:color w:val="auto"/>
                <w:sz w:val="22"/>
                <w:szCs w:val="22"/>
                <w:highlight w:val="none"/>
              </w:rPr>
            </w:pPr>
          </w:p>
        </w:tc>
        <w:tc>
          <w:tcPr>
            <w:tcW w:w="2743" w:type="dxa"/>
            <w:vAlign w:val="center"/>
          </w:tcPr>
          <w:p w14:paraId="5D880930">
            <w:pPr>
              <w:jc w:val="center"/>
              <w:rPr>
                <w:rFonts w:hint="eastAsia" w:ascii="宋体" w:hAnsi="宋体" w:cs="宋体"/>
                <w:color w:val="auto"/>
                <w:sz w:val="22"/>
                <w:szCs w:val="22"/>
                <w:highlight w:val="none"/>
              </w:rPr>
            </w:pPr>
          </w:p>
        </w:tc>
        <w:tc>
          <w:tcPr>
            <w:tcW w:w="3023" w:type="dxa"/>
            <w:vAlign w:val="center"/>
          </w:tcPr>
          <w:p w14:paraId="51E24A36">
            <w:pPr>
              <w:jc w:val="center"/>
              <w:rPr>
                <w:rFonts w:hint="eastAsia" w:ascii="宋体" w:hAnsi="宋体" w:cs="宋体"/>
                <w:color w:val="auto"/>
                <w:sz w:val="22"/>
                <w:szCs w:val="22"/>
                <w:highlight w:val="none"/>
              </w:rPr>
            </w:pPr>
          </w:p>
        </w:tc>
        <w:tc>
          <w:tcPr>
            <w:tcW w:w="1260" w:type="dxa"/>
            <w:vAlign w:val="center"/>
          </w:tcPr>
          <w:p w14:paraId="34414FCE">
            <w:pPr>
              <w:jc w:val="center"/>
              <w:rPr>
                <w:rFonts w:hint="eastAsia" w:ascii="宋体" w:hAnsi="宋体" w:cs="宋体"/>
                <w:color w:val="auto"/>
                <w:sz w:val="22"/>
                <w:szCs w:val="22"/>
                <w:highlight w:val="none"/>
              </w:rPr>
            </w:pPr>
          </w:p>
        </w:tc>
      </w:tr>
    </w:tbl>
    <w:p w14:paraId="754178F9">
      <w:pPr>
        <w:pStyle w:val="24"/>
        <w:spacing w:line="340" w:lineRule="exact"/>
        <w:rPr>
          <w:rFonts w:hint="eastAsia" w:hAnsi="宋体" w:cs="宋体"/>
          <w:color w:val="auto"/>
          <w:sz w:val="22"/>
          <w:szCs w:val="22"/>
          <w:highlight w:val="none"/>
        </w:rPr>
      </w:pPr>
      <w:r>
        <w:rPr>
          <w:rFonts w:hint="eastAsia" w:hAnsi="宋体" w:cs="宋体"/>
          <w:b/>
          <w:color w:val="auto"/>
          <w:sz w:val="22"/>
          <w:szCs w:val="22"/>
          <w:highlight w:val="none"/>
        </w:rPr>
        <w:t>注：1、偏离表中进行如实填写详细对比说明并注明无偏离、正偏离和负偏离。</w:t>
      </w:r>
    </w:p>
    <w:p w14:paraId="65288F01">
      <w:pPr>
        <w:pStyle w:val="24"/>
        <w:spacing w:line="3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2、不填写此表视作完全响应采购文件要求。</w:t>
      </w:r>
    </w:p>
    <w:p w14:paraId="51789A66">
      <w:pPr>
        <w:pStyle w:val="24"/>
        <w:spacing w:line="340" w:lineRule="exact"/>
        <w:ind w:firstLine="442" w:firstLineChars="200"/>
        <w:rPr>
          <w:rFonts w:hint="eastAsia" w:hAnsi="宋体" w:cs="宋体"/>
          <w:b/>
          <w:bCs/>
          <w:color w:val="auto"/>
          <w:sz w:val="22"/>
          <w:szCs w:val="22"/>
          <w:highlight w:val="none"/>
          <w:u w:val="single"/>
        </w:rPr>
      </w:pPr>
      <w:r>
        <w:rPr>
          <w:rFonts w:hint="eastAsia" w:hAnsi="宋体" w:cs="宋体"/>
          <w:b/>
          <w:bCs/>
          <w:color w:val="auto"/>
          <w:sz w:val="22"/>
          <w:szCs w:val="22"/>
          <w:highlight w:val="none"/>
        </w:rPr>
        <w:t>3、▲</w:t>
      </w:r>
      <w:r>
        <w:rPr>
          <w:rFonts w:hint="eastAsia" w:hAnsi="宋体" w:cs="宋体"/>
          <w:b/>
          <w:bCs/>
          <w:color w:val="auto"/>
          <w:sz w:val="22"/>
          <w:szCs w:val="22"/>
          <w:highlight w:val="none"/>
          <w:u w:val="single"/>
          <w:lang w:val="zh-CN"/>
        </w:rPr>
        <w:t>不提供此表的视为没有实质性响应采购文件，其投标将被拒绝。</w:t>
      </w:r>
    </w:p>
    <w:p w14:paraId="1D36A904">
      <w:pPr>
        <w:pStyle w:val="24"/>
        <w:spacing w:line="340" w:lineRule="exact"/>
        <w:rPr>
          <w:rFonts w:hint="eastAsia" w:hAnsi="宋体" w:cs="宋体"/>
          <w:b/>
          <w:color w:val="auto"/>
          <w:sz w:val="22"/>
          <w:highlight w:val="none"/>
        </w:rPr>
      </w:pPr>
    </w:p>
    <w:p w14:paraId="05CBB68B">
      <w:pPr>
        <w:pStyle w:val="24"/>
        <w:spacing w:line="340" w:lineRule="exact"/>
        <w:ind w:left="657" w:leftChars="313" w:firstLine="4196" w:firstLineChars="1900"/>
        <w:rPr>
          <w:rFonts w:hint="eastAsia" w:hAnsi="宋体" w:cs="宋体"/>
          <w:b/>
          <w:color w:val="auto"/>
          <w:sz w:val="22"/>
          <w:highlight w:val="none"/>
        </w:rPr>
      </w:pPr>
    </w:p>
    <w:p w14:paraId="011FD387">
      <w:pPr>
        <w:pStyle w:val="24"/>
        <w:spacing w:line="360" w:lineRule="auto"/>
        <w:rPr>
          <w:rFonts w:hint="eastAsia" w:hAnsi="宋体" w:cs="宋体"/>
          <w:color w:val="auto"/>
          <w:sz w:val="22"/>
          <w:szCs w:val="22"/>
          <w:highlight w:val="none"/>
        </w:rPr>
      </w:pPr>
      <w:r>
        <w:rPr>
          <w:rFonts w:hint="eastAsia" w:hAnsi="宋体" w:cs="宋体"/>
          <w:color w:val="auto"/>
          <w:sz w:val="22"/>
          <w:szCs w:val="22"/>
          <w:highlight w:val="none"/>
        </w:rPr>
        <w:t>投标供应商全称（盖章）：</w:t>
      </w:r>
    </w:p>
    <w:p w14:paraId="7D01C201">
      <w:pPr>
        <w:pStyle w:val="24"/>
        <w:spacing w:line="360" w:lineRule="auto"/>
        <w:rPr>
          <w:rFonts w:hint="eastAsia" w:hAnsi="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cs="宋体"/>
          <w:color w:val="auto"/>
          <w:sz w:val="22"/>
          <w:szCs w:val="22"/>
          <w:highlight w:val="none"/>
        </w:rPr>
        <w:t>日 期：       年      月      日</w:t>
      </w:r>
    </w:p>
    <w:p w14:paraId="43F18846">
      <w:pPr>
        <w:pStyle w:val="40"/>
        <w:jc w:val="left"/>
        <w:rPr>
          <w:rFonts w:hint="eastAsia" w:ascii="宋体" w:hAnsi="宋体" w:eastAsia="宋体" w:cs="宋体"/>
          <w:b w:val="0"/>
          <w:bCs w:val="0"/>
          <w:color w:val="auto"/>
          <w:kern w:val="0"/>
          <w:sz w:val="22"/>
          <w:szCs w:val="22"/>
          <w:highlight w:val="none"/>
          <w:lang w:val="en-US" w:eastAsia="zh-CN"/>
        </w:rPr>
      </w:pPr>
      <w:bookmarkStart w:id="200" w:name="_Toc5132"/>
      <w:r>
        <w:rPr>
          <w:rFonts w:hint="eastAsia" w:ascii="宋体" w:hAnsi="宋体" w:cs="宋体"/>
          <w:b w:val="0"/>
          <w:bCs w:val="0"/>
          <w:color w:val="auto"/>
          <w:kern w:val="0"/>
          <w:sz w:val="22"/>
          <w:szCs w:val="22"/>
          <w:highlight w:val="none"/>
        </w:rPr>
        <w:t>附件</w:t>
      </w:r>
      <w:r>
        <w:rPr>
          <w:rFonts w:hint="eastAsia" w:ascii="宋体" w:hAnsi="宋体" w:cs="宋体"/>
          <w:b w:val="0"/>
          <w:bCs w:val="0"/>
          <w:color w:val="auto"/>
          <w:kern w:val="0"/>
          <w:sz w:val="22"/>
          <w:szCs w:val="22"/>
          <w:highlight w:val="none"/>
          <w:lang w:val="en-US" w:eastAsia="zh-CN"/>
        </w:rPr>
        <w:t>九</w:t>
      </w:r>
    </w:p>
    <w:p w14:paraId="29200626">
      <w:pPr>
        <w:spacing w:after="240" w:line="360" w:lineRule="exact"/>
        <w:jc w:val="center"/>
        <w:rPr>
          <w:rFonts w:ascii="宋体"/>
          <w:b/>
          <w:color w:val="auto"/>
          <w:sz w:val="28"/>
          <w:szCs w:val="28"/>
          <w:highlight w:val="none"/>
        </w:rPr>
      </w:pPr>
      <w:r>
        <w:rPr>
          <w:rFonts w:hint="eastAsia" w:ascii="宋体"/>
          <w:b/>
          <w:color w:val="auto"/>
          <w:sz w:val="28"/>
          <w:szCs w:val="28"/>
          <w:highlight w:val="none"/>
        </w:rPr>
        <w:t>（1）项目负责人情况表</w:t>
      </w:r>
    </w:p>
    <w:p w14:paraId="6B014A03">
      <w:pPr>
        <w:spacing w:line="360" w:lineRule="exact"/>
        <w:rPr>
          <w:rFonts w:ascii="宋体"/>
          <w:color w:val="auto"/>
          <w:sz w:val="22"/>
          <w:highlight w:val="none"/>
        </w:rPr>
      </w:pPr>
      <w:r>
        <w:rPr>
          <w:rFonts w:hint="eastAsia" w:ascii="宋体"/>
          <w:color w:val="auto"/>
          <w:sz w:val="22"/>
          <w:highlight w:val="none"/>
        </w:rPr>
        <w:t>项目名称：                                         项目编号：</w:t>
      </w:r>
    </w:p>
    <w:tbl>
      <w:tblPr>
        <w:tblStyle w:val="43"/>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0606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4B121D7E">
            <w:pPr>
              <w:spacing w:line="360" w:lineRule="exact"/>
              <w:jc w:val="center"/>
              <w:rPr>
                <w:rFonts w:ascii="宋体"/>
                <w:color w:val="auto"/>
                <w:highlight w:val="none"/>
              </w:rPr>
            </w:pPr>
            <w:r>
              <w:rPr>
                <w:rFonts w:hint="eastAsia" w:ascii="宋体"/>
                <w:color w:val="auto"/>
                <w:highlight w:val="none"/>
              </w:rPr>
              <w:t>1、一般情况</w:t>
            </w:r>
          </w:p>
        </w:tc>
      </w:tr>
      <w:tr w14:paraId="1FAB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44CBEA30">
            <w:pPr>
              <w:spacing w:line="360" w:lineRule="exact"/>
              <w:jc w:val="center"/>
              <w:rPr>
                <w:rFonts w:ascii="宋体"/>
                <w:color w:val="auto"/>
                <w:highlight w:val="none"/>
              </w:rPr>
            </w:pPr>
            <w:r>
              <w:rPr>
                <w:rFonts w:hint="eastAsia" w:ascii="宋体"/>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206A8860">
            <w:pPr>
              <w:spacing w:line="360" w:lineRule="exact"/>
              <w:jc w:val="center"/>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5CA2C3BB">
            <w:pPr>
              <w:spacing w:line="360" w:lineRule="exact"/>
              <w:jc w:val="center"/>
              <w:rPr>
                <w:rFonts w:ascii="宋体"/>
                <w:color w:val="auto"/>
                <w:highlight w:val="none"/>
              </w:rPr>
            </w:pPr>
            <w:r>
              <w:rPr>
                <w:rFonts w:hint="eastAsia" w:ascii="宋体"/>
                <w:color w:val="auto"/>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2DD64604">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D4D8DB8">
            <w:pPr>
              <w:spacing w:line="360" w:lineRule="exact"/>
              <w:jc w:val="center"/>
              <w:rPr>
                <w:rFonts w:ascii="宋体"/>
                <w:color w:val="auto"/>
                <w:highlight w:val="none"/>
              </w:rPr>
            </w:pPr>
            <w:r>
              <w:rPr>
                <w:rFonts w:hint="eastAsia" w:ascii="宋体"/>
                <w:color w:val="auto"/>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14:paraId="55F001C1">
            <w:pPr>
              <w:spacing w:line="360" w:lineRule="exact"/>
              <w:jc w:val="center"/>
              <w:rPr>
                <w:rFonts w:ascii="宋体"/>
                <w:color w:val="auto"/>
                <w:highlight w:val="none"/>
              </w:rPr>
            </w:pPr>
          </w:p>
        </w:tc>
      </w:tr>
      <w:tr w14:paraId="5123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7A1293C">
            <w:pPr>
              <w:spacing w:line="360" w:lineRule="exact"/>
              <w:jc w:val="center"/>
              <w:rPr>
                <w:rFonts w:ascii="宋体"/>
                <w:color w:val="auto"/>
                <w:highlight w:val="none"/>
              </w:rPr>
            </w:pPr>
            <w:r>
              <w:rPr>
                <w:rFonts w:hint="eastAsia" w:ascii="宋体"/>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34FE0009">
            <w:pPr>
              <w:spacing w:line="360" w:lineRule="exact"/>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38F4E489">
            <w:pPr>
              <w:spacing w:line="360" w:lineRule="exact"/>
              <w:jc w:val="center"/>
              <w:rPr>
                <w:rFonts w:ascii="宋体"/>
                <w:color w:val="auto"/>
                <w:highlight w:val="none"/>
              </w:rPr>
            </w:pPr>
            <w:r>
              <w:rPr>
                <w:rFonts w:hint="eastAsia" w:ascii="宋体"/>
                <w:color w:val="auto"/>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5FAB1B6E">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D4EC2BD">
            <w:pPr>
              <w:spacing w:line="360" w:lineRule="exact"/>
              <w:jc w:val="center"/>
              <w:rPr>
                <w:rFonts w:ascii="宋体"/>
                <w:color w:val="auto"/>
                <w:highlight w:val="none"/>
              </w:rPr>
            </w:pPr>
            <w:r>
              <w:rPr>
                <w:rFonts w:hint="eastAsia" w:ascii="宋体"/>
                <w:color w:val="auto"/>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14:paraId="35187943">
            <w:pPr>
              <w:spacing w:line="360" w:lineRule="exact"/>
              <w:jc w:val="center"/>
              <w:rPr>
                <w:rFonts w:ascii="宋体"/>
                <w:color w:val="auto"/>
                <w:highlight w:val="none"/>
              </w:rPr>
            </w:pPr>
          </w:p>
        </w:tc>
      </w:tr>
      <w:tr w14:paraId="0088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4D37442">
            <w:pPr>
              <w:spacing w:line="260" w:lineRule="exact"/>
              <w:jc w:val="center"/>
              <w:rPr>
                <w:rFonts w:ascii="宋体"/>
                <w:color w:val="auto"/>
                <w:highlight w:val="none"/>
              </w:rPr>
            </w:pPr>
            <w:r>
              <w:rPr>
                <w:rFonts w:hint="eastAsia" w:ascii="宋体"/>
                <w:color w:val="auto"/>
                <w:highlight w:val="none"/>
              </w:rPr>
              <w:t>职  称</w:t>
            </w:r>
          </w:p>
          <w:p w14:paraId="76BAEB82">
            <w:pPr>
              <w:spacing w:line="260" w:lineRule="exact"/>
              <w:jc w:val="center"/>
              <w:rPr>
                <w:rFonts w:ascii="宋体"/>
                <w:color w:val="auto"/>
                <w:highlight w:val="none"/>
              </w:rPr>
            </w:pPr>
            <w:r>
              <w:rPr>
                <w:rFonts w:hint="eastAsia" w:ascii="宋体"/>
                <w:color w:val="auto"/>
                <w:highlight w:val="none"/>
              </w:rPr>
              <w:t>（或资格）</w:t>
            </w:r>
          </w:p>
        </w:tc>
        <w:tc>
          <w:tcPr>
            <w:tcW w:w="1822" w:type="dxa"/>
            <w:tcBorders>
              <w:top w:val="single" w:color="auto" w:sz="4" w:space="0"/>
              <w:left w:val="single" w:color="auto" w:sz="4" w:space="0"/>
              <w:bottom w:val="single" w:color="auto" w:sz="4" w:space="0"/>
              <w:right w:val="single" w:color="auto" w:sz="4" w:space="0"/>
            </w:tcBorders>
            <w:vAlign w:val="center"/>
          </w:tcPr>
          <w:p w14:paraId="23E90C02">
            <w:pPr>
              <w:spacing w:line="360" w:lineRule="exact"/>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7DC8730A">
            <w:pPr>
              <w:spacing w:line="360" w:lineRule="exact"/>
              <w:jc w:val="center"/>
              <w:rPr>
                <w:rFonts w:ascii="宋体"/>
                <w:color w:val="auto"/>
                <w:highlight w:val="none"/>
              </w:rPr>
            </w:pPr>
            <w:r>
              <w:rPr>
                <w:rFonts w:hint="eastAsia" w:ascii="宋体"/>
                <w:color w:val="auto"/>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639C75C9">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7261046">
            <w:pPr>
              <w:spacing w:line="280" w:lineRule="exact"/>
              <w:jc w:val="center"/>
              <w:rPr>
                <w:rFonts w:ascii="宋体"/>
                <w:color w:val="auto"/>
                <w:highlight w:val="none"/>
              </w:rPr>
            </w:pPr>
            <w:r>
              <w:rPr>
                <w:rFonts w:hint="eastAsia" w:ascii="宋体"/>
                <w:color w:val="auto"/>
                <w:highlight w:val="none"/>
              </w:rPr>
              <w:t>参加工作</w:t>
            </w:r>
          </w:p>
          <w:p w14:paraId="444D854B">
            <w:pPr>
              <w:spacing w:line="280" w:lineRule="exact"/>
              <w:jc w:val="center"/>
              <w:rPr>
                <w:rFonts w:ascii="宋体"/>
                <w:color w:val="auto"/>
                <w:highlight w:val="none"/>
              </w:rPr>
            </w:pPr>
            <w:r>
              <w:rPr>
                <w:rFonts w:hint="eastAsia" w:ascii="宋体"/>
                <w:color w:val="auto"/>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14:paraId="1324EC66">
            <w:pPr>
              <w:spacing w:line="360" w:lineRule="exact"/>
              <w:jc w:val="center"/>
              <w:rPr>
                <w:rFonts w:ascii="宋体"/>
                <w:color w:val="auto"/>
                <w:highlight w:val="none"/>
              </w:rPr>
            </w:pPr>
          </w:p>
        </w:tc>
      </w:tr>
      <w:tr w14:paraId="7C61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5A3F2924">
            <w:pPr>
              <w:spacing w:line="360" w:lineRule="exact"/>
              <w:jc w:val="center"/>
              <w:rPr>
                <w:rFonts w:ascii="宋体"/>
                <w:color w:val="auto"/>
                <w:highlight w:val="none"/>
              </w:rPr>
            </w:pPr>
            <w:r>
              <w:rPr>
                <w:rFonts w:hint="eastAsia" w:ascii="宋体"/>
                <w:color w:val="auto"/>
                <w:highlight w:val="none"/>
              </w:rPr>
              <w:t>2、个人简历</w:t>
            </w:r>
          </w:p>
        </w:tc>
      </w:tr>
      <w:tr w14:paraId="79D1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F23BE49">
            <w:pPr>
              <w:spacing w:line="360" w:lineRule="exact"/>
              <w:jc w:val="center"/>
              <w:rPr>
                <w:rFonts w:ascii="宋体"/>
                <w:color w:val="auto"/>
                <w:highlight w:val="none"/>
              </w:rPr>
            </w:pPr>
            <w:r>
              <w:rPr>
                <w:rFonts w:hint="eastAsia" w:ascii="宋体"/>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71B6209A">
            <w:pPr>
              <w:spacing w:line="360" w:lineRule="exact"/>
              <w:jc w:val="center"/>
              <w:rPr>
                <w:rFonts w:ascii="宋体"/>
                <w:color w:val="auto"/>
                <w:highlight w:val="none"/>
              </w:rPr>
            </w:pPr>
            <w:r>
              <w:rPr>
                <w:rFonts w:hint="eastAsia" w:ascii="宋体"/>
                <w:color w:val="auto"/>
                <w:highlight w:val="none"/>
              </w:rPr>
              <w:t>专业工作经历</w:t>
            </w:r>
          </w:p>
        </w:tc>
      </w:tr>
      <w:tr w14:paraId="4445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D245FB7">
            <w:pPr>
              <w:spacing w:line="360" w:lineRule="exact"/>
              <w:rPr>
                <w:rFonts w:ascii="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1A0BACF5">
            <w:pPr>
              <w:spacing w:line="360" w:lineRule="exact"/>
              <w:rPr>
                <w:rFonts w:ascii="宋体"/>
                <w:color w:val="auto"/>
                <w:highlight w:val="none"/>
              </w:rPr>
            </w:pPr>
          </w:p>
        </w:tc>
      </w:tr>
      <w:tr w14:paraId="4F71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5C73575C">
            <w:pPr>
              <w:spacing w:line="360" w:lineRule="exact"/>
              <w:rPr>
                <w:rFonts w:ascii="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788AE0DD">
            <w:pPr>
              <w:spacing w:line="360" w:lineRule="exact"/>
              <w:rPr>
                <w:rFonts w:ascii="宋体"/>
                <w:color w:val="auto"/>
                <w:highlight w:val="none"/>
              </w:rPr>
            </w:pPr>
          </w:p>
        </w:tc>
      </w:tr>
      <w:tr w14:paraId="6536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1C62B8B2">
            <w:pPr>
              <w:spacing w:line="360" w:lineRule="exact"/>
              <w:jc w:val="center"/>
              <w:rPr>
                <w:rFonts w:ascii="宋体"/>
                <w:color w:val="auto"/>
                <w:highlight w:val="none"/>
              </w:rPr>
            </w:pPr>
            <w:r>
              <w:rPr>
                <w:rFonts w:hint="eastAsia" w:ascii="宋体"/>
                <w:color w:val="auto"/>
                <w:highlight w:val="none"/>
              </w:rPr>
              <w:t>3、负责类似项目业绩</w:t>
            </w:r>
          </w:p>
        </w:tc>
      </w:tr>
      <w:tr w14:paraId="4E5C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A4FB24F">
            <w:pPr>
              <w:spacing w:line="360" w:lineRule="exact"/>
              <w:jc w:val="center"/>
              <w:rPr>
                <w:rFonts w:ascii="宋体"/>
                <w:color w:val="auto"/>
                <w:highlight w:val="none"/>
              </w:rPr>
            </w:pPr>
            <w:r>
              <w:rPr>
                <w:rFonts w:hint="eastAsia" w:ascii="宋体"/>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F39A125">
            <w:pPr>
              <w:spacing w:line="360" w:lineRule="exact"/>
              <w:jc w:val="center"/>
              <w:rPr>
                <w:rFonts w:ascii="宋体"/>
                <w:color w:val="auto"/>
                <w:highlight w:val="none"/>
              </w:rPr>
            </w:pPr>
            <w:r>
              <w:rPr>
                <w:rFonts w:hint="eastAsia" w:ascii="宋体"/>
                <w:color w:val="auto"/>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B3C8314">
            <w:pPr>
              <w:spacing w:line="360" w:lineRule="exact"/>
              <w:jc w:val="center"/>
              <w:rPr>
                <w:rFonts w:ascii="宋体"/>
                <w:color w:val="auto"/>
                <w:highlight w:val="none"/>
              </w:rPr>
            </w:pPr>
            <w:r>
              <w:rPr>
                <w:rFonts w:hint="eastAsia" w:ascii="宋体"/>
                <w:color w:val="auto"/>
                <w:highlight w:val="none"/>
              </w:rPr>
              <w:t>该项目中任何职</w:t>
            </w:r>
          </w:p>
        </w:tc>
      </w:tr>
      <w:tr w14:paraId="1FBA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1CC2A832">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4ABD4FBE">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0BBA924">
            <w:pPr>
              <w:spacing w:line="360" w:lineRule="exact"/>
              <w:rPr>
                <w:rFonts w:ascii="宋体"/>
                <w:color w:val="auto"/>
                <w:highlight w:val="none"/>
              </w:rPr>
            </w:pPr>
          </w:p>
        </w:tc>
      </w:tr>
      <w:tr w14:paraId="13FE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724078A">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84E170B">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9268E20">
            <w:pPr>
              <w:spacing w:line="360" w:lineRule="exact"/>
              <w:rPr>
                <w:rFonts w:ascii="宋体"/>
                <w:color w:val="auto"/>
                <w:highlight w:val="none"/>
              </w:rPr>
            </w:pPr>
          </w:p>
        </w:tc>
      </w:tr>
      <w:tr w14:paraId="376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0476BB5">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186A39F">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4D1A3F1D">
            <w:pPr>
              <w:spacing w:line="360" w:lineRule="exact"/>
              <w:rPr>
                <w:rFonts w:ascii="宋体"/>
                <w:color w:val="auto"/>
                <w:highlight w:val="none"/>
              </w:rPr>
            </w:pPr>
          </w:p>
        </w:tc>
      </w:tr>
      <w:tr w14:paraId="363D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35C13DF">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3A15982">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0D5A78D2">
            <w:pPr>
              <w:spacing w:line="360" w:lineRule="exact"/>
              <w:rPr>
                <w:rFonts w:ascii="宋体"/>
                <w:color w:val="auto"/>
                <w:highlight w:val="none"/>
              </w:rPr>
            </w:pPr>
          </w:p>
        </w:tc>
      </w:tr>
      <w:tr w14:paraId="0E70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0861D8C">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2D77327F">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72D865A">
            <w:pPr>
              <w:spacing w:line="360" w:lineRule="exact"/>
              <w:rPr>
                <w:rFonts w:ascii="宋体"/>
                <w:color w:val="auto"/>
                <w:highlight w:val="none"/>
              </w:rPr>
            </w:pPr>
          </w:p>
        </w:tc>
      </w:tr>
      <w:tr w14:paraId="733B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23B1411C">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8DB4136">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61DB926">
            <w:pPr>
              <w:spacing w:line="360" w:lineRule="exact"/>
              <w:rPr>
                <w:rFonts w:ascii="宋体"/>
                <w:color w:val="auto"/>
                <w:highlight w:val="none"/>
              </w:rPr>
            </w:pPr>
          </w:p>
        </w:tc>
      </w:tr>
      <w:tr w14:paraId="344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14:paraId="23AE867B">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14:paraId="4FD13FE2">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14:paraId="4991E4EB">
            <w:pPr>
              <w:spacing w:line="360" w:lineRule="exact"/>
              <w:rPr>
                <w:rFonts w:ascii="宋体"/>
                <w:color w:val="auto"/>
                <w:highlight w:val="none"/>
              </w:rPr>
            </w:pPr>
          </w:p>
        </w:tc>
      </w:tr>
    </w:tbl>
    <w:p w14:paraId="6EC21BC8">
      <w:pPr>
        <w:spacing w:line="360" w:lineRule="exact"/>
        <w:ind w:left="770" w:hanging="770" w:hangingChars="350"/>
        <w:rPr>
          <w:rFonts w:ascii="宋体"/>
          <w:color w:val="auto"/>
          <w:sz w:val="22"/>
          <w:highlight w:val="none"/>
        </w:rPr>
      </w:pPr>
      <w:r>
        <w:rPr>
          <w:rFonts w:hint="eastAsia" w:ascii="宋体"/>
          <w:color w:val="auto"/>
          <w:sz w:val="22"/>
          <w:highlight w:val="none"/>
        </w:rPr>
        <w:t>注：1、本表应附相关证书、社保等证明。</w:t>
      </w:r>
    </w:p>
    <w:p w14:paraId="72EA773F">
      <w:pPr>
        <w:pStyle w:val="24"/>
        <w:spacing w:line="400" w:lineRule="atLeast"/>
        <w:ind w:left="4618" w:leftChars="156" w:hanging="4290" w:hangingChars="1950"/>
        <w:rPr>
          <w:rFonts w:hAnsi="宋体"/>
          <w:color w:val="auto"/>
          <w:sz w:val="22"/>
          <w:highlight w:val="none"/>
        </w:rPr>
      </w:pPr>
      <w:r>
        <w:rPr>
          <w:rFonts w:hint="eastAsia" w:hAnsi="宋体"/>
          <w:color w:val="auto"/>
          <w:sz w:val="22"/>
          <w:highlight w:val="none"/>
        </w:rPr>
        <w:t xml:space="preserve">2、本表可在不改变格式的情况下根据具体需要自行增减。 </w:t>
      </w:r>
    </w:p>
    <w:p w14:paraId="5BFEC3A8">
      <w:pPr>
        <w:pStyle w:val="24"/>
        <w:spacing w:line="360" w:lineRule="auto"/>
        <w:rPr>
          <w:rFonts w:hint="eastAsia" w:hAnsi="宋体" w:cs="宋体"/>
          <w:color w:val="auto"/>
          <w:sz w:val="22"/>
          <w:szCs w:val="22"/>
          <w:highlight w:val="none"/>
        </w:rPr>
      </w:pPr>
      <w:r>
        <w:rPr>
          <w:rFonts w:hint="eastAsia" w:hAnsi="宋体" w:cs="宋体"/>
          <w:color w:val="auto"/>
          <w:sz w:val="22"/>
          <w:szCs w:val="22"/>
          <w:highlight w:val="none"/>
        </w:rPr>
        <w:t>投标供应商全称（盖章）：</w:t>
      </w:r>
    </w:p>
    <w:p w14:paraId="04F3CD91">
      <w:pPr>
        <w:pStyle w:val="24"/>
        <w:spacing w:line="360" w:lineRule="auto"/>
        <w:rPr>
          <w:rFonts w:hint="eastAsia" w:hAnsi="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cs="宋体"/>
          <w:color w:val="auto"/>
          <w:sz w:val="22"/>
          <w:szCs w:val="22"/>
          <w:highlight w:val="none"/>
        </w:rPr>
        <w:t>日 期：       年      月      日</w:t>
      </w:r>
    </w:p>
    <w:p w14:paraId="43B37EA1">
      <w:pPr>
        <w:widowControl/>
        <w:jc w:val="center"/>
        <w:rPr>
          <w:rFonts w:ascii="宋体"/>
          <w:b/>
          <w:color w:val="auto"/>
          <w:sz w:val="28"/>
          <w:szCs w:val="28"/>
          <w:highlight w:val="none"/>
        </w:rPr>
      </w:pPr>
      <w:r>
        <w:rPr>
          <w:rFonts w:hint="eastAsia" w:ascii="宋体"/>
          <w:color w:val="auto"/>
          <w:sz w:val="28"/>
          <w:szCs w:val="28"/>
          <w:highlight w:val="none"/>
        </w:rPr>
        <w:t>（2）项目组人员一览表</w:t>
      </w:r>
    </w:p>
    <w:p w14:paraId="79338E08">
      <w:pPr>
        <w:rPr>
          <w:rFonts w:ascii="宋体"/>
          <w:color w:val="auto"/>
          <w:highlight w:val="none"/>
        </w:rPr>
      </w:pPr>
    </w:p>
    <w:p w14:paraId="146022BE">
      <w:pPr>
        <w:spacing w:line="360" w:lineRule="exact"/>
        <w:rPr>
          <w:rFonts w:ascii="宋体"/>
          <w:color w:val="auto"/>
          <w:highlight w:val="none"/>
        </w:rPr>
      </w:pPr>
      <w:r>
        <w:rPr>
          <w:rFonts w:hint="eastAsia" w:ascii="宋体"/>
          <w:color w:val="auto"/>
          <w:sz w:val="22"/>
          <w:highlight w:val="none"/>
        </w:rPr>
        <w:t>项目名称：                                        项目编号：</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013"/>
        <w:gridCol w:w="1013"/>
        <w:gridCol w:w="1340"/>
        <w:gridCol w:w="1317"/>
        <w:gridCol w:w="1392"/>
        <w:gridCol w:w="1435"/>
        <w:gridCol w:w="1435"/>
      </w:tblGrid>
      <w:tr w14:paraId="28EA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461" w:type="pct"/>
            <w:tcBorders>
              <w:top w:val="single" w:color="auto" w:sz="12" w:space="0"/>
              <w:left w:val="single" w:color="auto" w:sz="12" w:space="0"/>
              <w:bottom w:val="single" w:color="auto" w:sz="4" w:space="0"/>
              <w:right w:val="single" w:color="auto" w:sz="4" w:space="0"/>
            </w:tcBorders>
            <w:vAlign w:val="center"/>
          </w:tcPr>
          <w:p w14:paraId="53E87EDA">
            <w:pPr>
              <w:spacing w:line="300" w:lineRule="exact"/>
              <w:jc w:val="center"/>
              <w:rPr>
                <w:rFonts w:ascii="宋体"/>
                <w:color w:val="auto"/>
                <w:sz w:val="22"/>
                <w:highlight w:val="none"/>
              </w:rPr>
            </w:pPr>
            <w:r>
              <w:rPr>
                <w:rFonts w:hint="eastAsia" w:ascii="宋体"/>
                <w:color w:val="auto"/>
                <w:sz w:val="22"/>
                <w:szCs w:val="22"/>
                <w:highlight w:val="none"/>
              </w:rPr>
              <w:t>姓名</w:t>
            </w:r>
          </w:p>
        </w:tc>
        <w:tc>
          <w:tcPr>
            <w:tcW w:w="514" w:type="pct"/>
            <w:tcBorders>
              <w:top w:val="single" w:color="auto" w:sz="12" w:space="0"/>
              <w:left w:val="single" w:color="auto" w:sz="4" w:space="0"/>
              <w:bottom w:val="single" w:color="auto" w:sz="4" w:space="0"/>
              <w:right w:val="single" w:color="auto" w:sz="4" w:space="0"/>
            </w:tcBorders>
            <w:vAlign w:val="center"/>
          </w:tcPr>
          <w:p w14:paraId="5BFF2DB7">
            <w:pPr>
              <w:spacing w:line="300" w:lineRule="exact"/>
              <w:jc w:val="center"/>
              <w:rPr>
                <w:rFonts w:ascii="宋体"/>
                <w:color w:val="auto"/>
                <w:sz w:val="22"/>
                <w:highlight w:val="none"/>
              </w:rPr>
            </w:pPr>
            <w:r>
              <w:rPr>
                <w:rFonts w:hint="eastAsia" w:ascii="宋体"/>
                <w:color w:val="auto"/>
                <w:sz w:val="22"/>
                <w:szCs w:val="22"/>
                <w:highlight w:val="none"/>
              </w:rPr>
              <w:t>性别</w:t>
            </w:r>
          </w:p>
        </w:tc>
        <w:tc>
          <w:tcPr>
            <w:tcW w:w="514" w:type="pct"/>
            <w:tcBorders>
              <w:top w:val="single" w:color="auto" w:sz="12" w:space="0"/>
              <w:left w:val="single" w:color="auto" w:sz="4" w:space="0"/>
              <w:bottom w:val="single" w:color="auto" w:sz="4" w:space="0"/>
              <w:right w:val="single" w:color="auto" w:sz="4" w:space="0"/>
            </w:tcBorders>
            <w:vAlign w:val="center"/>
          </w:tcPr>
          <w:p w14:paraId="11A5595E">
            <w:pPr>
              <w:spacing w:line="300" w:lineRule="exact"/>
              <w:jc w:val="center"/>
              <w:rPr>
                <w:rFonts w:ascii="宋体"/>
                <w:color w:val="auto"/>
                <w:sz w:val="22"/>
                <w:highlight w:val="none"/>
              </w:rPr>
            </w:pPr>
            <w:r>
              <w:rPr>
                <w:rFonts w:hint="eastAsia" w:ascii="宋体"/>
                <w:color w:val="auto"/>
                <w:sz w:val="22"/>
                <w:szCs w:val="22"/>
                <w:highlight w:val="none"/>
              </w:rPr>
              <w:t>年龄</w:t>
            </w:r>
          </w:p>
        </w:tc>
        <w:tc>
          <w:tcPr>
            <w:tcW w:w="680" w:type="pct"/>
            <w:tcBorders>
              <w:top w:val="single" w:color="auto" w:sz="12" w:space="0"/>
              <w:left w:val="single" w:color="auto" w:sz="4" w:space="0"/>
              <w:bottom w:val="single" w:color="auto" w:sz="4" w:space="0"/>
              <w:right w:val="single" w:color="auto" w:sz="4" w:space="0"/>
            </w:tcBorders>
            <w:vAlign w:val="center"/>
          </w:tcPr>
          <w:p w14:paraId="2AC8230C">
            <w:pPr>
              <w:spacing w:line="300" w:lineRule="exact"/>
              <w:jc w:val="center"/>
              <w:rPr>
                <w:rFonts w:ascii="宋体"/>
                <w:color w:val="auto"/>
                <w:sz w:val="22"/>
                <w:highlight w:val="none"/>
              </w:rPr>
            </w:pPr>
            <w:r>
              <w:rPr>
                <w:rFonts w:hint="eastAsia" w:ascii="宋体"/>
                <w:color w:val="auto"/>
                <w:sz w:val="22"/>
                <w:szCs w:val="22"/>
                <w:highlight w:val="none"/>
              </w:rPr>
              <w:t>学历/职称</w:t>
            </w:r>
          </w:p>
        </w:tc>
        <w:tc>
          <w:tcPr>
            <w:tcW w:w="668" w:type="pct"/>
            <w:tcBorders>
              <w:top w:val="single" w:color="auto" w:sz="12" w:space="0"/>
              <w:left w:val="single" w:color="auto" w:sz="4" w:space="0"/>
              <w:bottom w:val="single" w:color="auto" w:sz="4" w:space="0"/>
              <w:right w:val="single" w:color="auto" w:sz="4" w:space="0"/>
            </w:tcBorders>
            <w:vAlign w:val="center"/>
          </w:tcPr>
          <w:p w14:paraId="74D089AB">
            <w:pPr>
              <w:spacing w:line="300" w:lineRule="exact"/>
              <w:jc w:val="center"/>
              <w:rPr>
                <w:rFonts w:ascii="宋体"/>
                <w:color w:val="auto"/>
                <w:sz w:val="22"/>
                <w:highlight w:val="none"/>
              </w:rPr>
            </w:pPr>
            <w:r>
              <w:rPr>
                <w:rFonts w:hint="eastAsia" w:ascii="宋体"/>
                <w:color w:val="auto"/>
                <w:sz w:val="22"/>
                <w:szCs w:val="22"/>
                <w:highlight w:val="none"/>
              </w:rPr>
              <w:t>专业</w:t>
            </w:r>
          </w:p>
        </w:tc>
        <w:tc>
          <w:tcPr>
            <w:tcW w:w="706" w:type="pct"/>
            <w:tcBorders>
              <w:top w:val="single" w:color="auto" w:sz="12" w:space="0"/>
              <w:left w:val="single" w:color="auto" w:sz="4" w:space="0"/>
              <w:bottom w:val="single" w:color="auto" w:sz="4" w:space="0"/>
              <w:right w:val="single" w:color="auto" w:sz="4" w:space="0"/>
            </w:tcBorders>
            <w:vAlign w:val="center"/>
          </w:tcPr>
          <w:p w14:paraId="5876B16C">
            <w:pPr>
              <w:spacing w:line="300" w:lineRule="exact"/>
              <w:rPr>
                <w:rFonts w:ascii="宋体"/>
                <w:color w:val="auto"/>
                <w:sz w:val="22"/>
                <w:highlight w:val="none"/>
              </w:rPr>
            </w:pPr>
            <w:r>
              <w:rPr>
                <w:rFonts w:hint="eastAsia" w:ascii="宋体"/>
                <w:color w:val="auto"/>
                <w:sz w:val="22"/>
                <w:szCs w:val="22"/>
                <w:highlight w:val="none"/>
              </w:rPr>
              <w:t>专业工作年限</w:t>
            </w:r>
          </w:p>
        </w:tc>
        <w:tc>
          <w:tcPr>
            <w:tcW w:w="728" w:type="pct"/>
            <w:tcBorders>
              <w:top w:val="single" w:color="auto" w:sz="12" w:space="0"/>
              <w:left w:val="single" w:color="auto" w:sz="4" w:space="0"/>
              <w:bottom w:val="single" w:color="auto" w:sz="4" w:space="0"/>
              <w:right w:val="single" w:color="auto" w:sz="4" w:space="0"/>
            </w:tcBorders>
            <w:vAlign w:val="center"/>
          </w:tcPr>
          <w:p w14:paraId="3D0F98EA">
            <w:pPr>
              <w:spacing w:line="300" w:lineRule="exact"/>
              <w:jc w:val="center"/>
              <w:rPr>
                <w:rFonts w:ascii="宋体"/>
                <w:color w:val="auto"/>
                <w:sz w:val="22"/>
                <w:highlight w:val="none"/>
              </w:rPr>
            </w:pPr>
            <w:r>
              <w:rPr>
                <w:rFonts w:hint="eastAsia" w:ascii="宋体"/>
                <w:color w:val="auto"/>
                <w:sz w:val="22"/>
                <w:szCs w:val="22"/>
                <w:highlight w:val="none"/>
              </w:rPr>
              <w:t>拟任何职</w:t>
            </w:r>
          </w:p>
        </w:tc>
        <w:tc>
          <w:tcPr>
            <w:tcW w:w="728" w:type="pct"/>
            <w:tcBorders>
              <w:top w:val="single" w:color="auto" w:sz="12" w:space="0"/>
              <w:left w:val="single" w:color="auto" w:sz="4" w:space="0"/>
              <w:bottom w:val="single" w:color="auto" w:sz="4" w:space="0"/>
              <w:right w:val="single" w:color="auto" w:sz="12" w:space="0"/>
            </w:tcBorders>
            <w:vAlign w:val="center"/>
          </w:tcPr>
          <w:p w14:paraId="073F2EEF">
            <w:pPr>
              <w:spacing w:line="300" w:lineRule="exact"/>
              <w:jc w:val="center"/>
              <w:rPr>
                <w:rFonts w:ascii="宋体"/>
                <w:color w:val="auto"/>
                <w:sz w:val="22"/>
                <w:highlight w:val="none"/>
              </w:rPr>
            </w:pPr>
            <w:r>
              <w:rPr>
                <w:rFonts w:ascii="宋体"/>
                <w:color w:val="auto"/>
                <w:sz w:val="22"/>
                <w:szCs w:val="22"/>
                <w:highlight w:val="none"/>
              </w:rPr>
              <w:t>是否常驻</w:t>
            </w:r>
            <w:r>
              <w:rPr>
                <w:rFonts w:hint="eastAsia" w:ascii="宋体"/>
                <w:color w:val="auto"/>
                <w:sz w:val="22"/>
                <w:szCs w:val="22"/>
                <w:highlight w:val="none"/>
              </w:rPr>
              <w:t>（填：是或否）</w:t>
            </w:r>
          </w:p>
        </w:tc>
      </w:tr>
      <w:tr w14:paraId="79894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75D4F5DC">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364AD6F9">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38294AE4">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536EAA1C">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5C514AFE">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2F4B37AD">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026148F9">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5BB60AD7">
            <w:pPr>
              <w:spacing w:line="360" w:lineRule="exact"/>
              <w:jc w:val="center"/>
              <w:rPr>
                <w:rFonts w:ascii="宋体"/>
                <w:color w:val="auto"/>
                <w:sz w:val="22"/>
                <w:highlight w:val="none"/>
              </w:rPr>
            </w:pPr>
          </w:p>
        </w:tc>
      </w:tr>
      <w:tr w14:paraId="3A219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681CC4CD">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53168062">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3FC03C7B">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7EC0FDB0">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6013FA5">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5221AC45">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68EFC1FC">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32E233A0">
            <w:pPr>
              <w:spacing w:line="360" w:lineRule="exact"/>
              <w:jc w:val="center"/>
              <w:rPr>
                <w:rFonts w:ascii="宋体"/>
                <w:color w:val="auto"/>
                <w:sz w:val="22"/>
                <w:highlight w:val="none"/>
              </w:rPr>
            </w:pPr>
          </w:p>
        </w:tc>
      </w:tr>
      <w:tr w14:paraId="02C92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02943038">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72A20ACA">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0ECE8DF8">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751E2350">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3B559CB8">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36659B66">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3F08613E">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4784EEC1">
            <w:pPr>
              <w:spacing w:line="360" w:lineRule="exact"/>
              <w:jc w:val="center"/>
              <w:rPr>
                <w:rFonts w:ascii="宋体"/>
                <w:color w:val="auto"/>
                <w:sz w:val="22"/>
                <w:highlight w:val="none"/>
              </w:rPr>
            </w:pPr>
          </w:p>
        </w:tc>
      </w:tr>
      <w:tr w14:paraId="4A221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39E8CF5F">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023439EF">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474BD068">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61CC31CF">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58D26F61">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4CD3D6B4">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688B7309">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2403DC5A">
            <w:pPr>
              <w:spacing w:line="360" w:lineRule="exact"/>
              <w:jc w:val="center"/>
              <w:rPr>
                <w:rFonts w:ascii="宋体"/>
                <w:color w:val="auto"/>
                <w:sz w:val="22"/>
                <w:highlight w:val="none"/>
              </w:rPr>
            </w:pPr>
          </w:p>
        </w:tc>
      </w:tr>
      <w:tr w14:paraId="291FB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7CB7382F">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4AC7ED43">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644DC5A4">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03EC95FB">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47C64B98">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5D81AECF">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7686D089">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77B4E2C0">
            <w:pPr>
              <w:spacing w:line="360" w:lineRule="exact"/>
              <w:jc w:val="center"/>
              <w:rPr>
                <w:rFonts w:ascii="宋体"/>
                <w:color w:val="auto"/>
                <w:sz w:val="22"/>
                <w:highlight w:val="none"/>
              </w:rPr>
            </w:pPr>
          </w:p>
        </w:tc>
      </w:tr>
      <w:tr w14:paraId="57CA5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4CD97B5A">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2503205B">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21A028C5">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3FBDFB1B">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11954932">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330C2058">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75E110E6">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250E417E">
            <w:pPr>
              <w:spacing w:line="360" w:lineRule="exact"/>
              <w:jc w:val="center"/>
              <w:rPr>
                <w:rFonts w:ascii="宋体"/>
                <w:color w:val="auto"/>
                <w:sz w:val="22"/>
                <w:highlight w:val="none"/>
              </w:rPr>
            </w:pPr>
          </w:p>
        </w:tc>
      </w:tr>
      <w:tr w14:paraId="385F3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12CB38E0">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22FA97A8">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4AD2FC2F">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2A539C6B">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38B0507B">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2E286044">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08BA4915">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17855BFB">
            <w:pPr>
              <w:spacing w:line="360" w:lineRule="exact"/>
              <w:jc w:val="center"/>
              <w:rPr>
                <w:rFonts w:ascii="宋体"/>
                <w:color w:val="auto"/>
                <w:sz w:val="22"/>
                <w:highlight w:val="none"/>
              </w:rPr>
            </w:pPr>
          </w:p>
        </w:tc>
      </w:tr>
      <w:tr w14:paraId="334D9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52441545">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5CAA2D9D">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74AF17E5">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5E444B4C">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27EC5D10">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116D3490">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1B36B03E">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3D0A7CB5">
            <w:pPr>
              <w:spacing w:line="360" w:lineRule="exact"/>
              <w:jc w:val="center"/>
              <w:rPr>
                <w:rFonts w:ascii="宋体"/>
                <w:color w:val="auto"/>
                <w:sz w:val="22"/>
                <w:highlight w:val="none"/>
              </w:rPr>
            </w:pPr>
          </w:p>
        </w:tc>
      </w:tr>
      <w:tr w14:paraId="7F774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1936FB1B">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59967FF5">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242A6338">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31FD0157">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0B6822C0">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2735FE1C">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7228F496">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3C14DB6F">
            <w:pPr>
              <w:spacing w:line="360" w:lineRule="exact"/>
              <w:jc w:val="center"/>
              <w:rPr>
                <w:rFonts w:ascii="宋体"/>
                <w:color w:val="auto"/>
                <w:sz w:val="22"/>
                <w:highlight w:val="none"/>
              </w:rPr>
            </w:pPr>
          </w:p>
        </w:tc>
      </w:tr>
      <w:tr w14:paraId="01552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24BB443D">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350B86F3">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55DA1CB8">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6466E108">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18FBD24">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261084A0">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40E6443C">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5A334AB7">
            <w:pPr>
              <w:spacing w:line="360" w:lineRule="exact"/>
              <w:jc w:val="center"/>
              <w:rPr>
                <w:rFonts w:ascii="宋体"/>
                <w:color w:val="auto"/>
                <w:sz w:val="22"/>
                <w:highlight w:val="none"/>
              </w:rPr>
            </w:pPr>
          </w:p>
        </w:tc>
      </w:tr>
      <w:tr w14:paraId="380E6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4" w:space="0"/>
              <w:right w:val="single" w:color="auto" w:sz="4" w:space="0"/>
            </w:tcBorders>
            <w:vAlign w:val="center"/>
          </w:tcPr>
          <w:p w14:paraId="48BFDD39">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773D216C">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4" w:space="0"/>
              <w:right w:val="single" w:color="auto" w:sz="4" w:space="0"/>
            </w:tcBorders>
            <w:vAlign w:val="center"/>
          </w:tcPr>
          <w:p w14:paraId="52FC6B4A">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4" w:space="0"/>
              <w:right w:val="single" w:color="auto" w:sz="4" w:space="0"/>
            </w:tcBorders>
            <w:vAlign w:val="center"/>
          </w:tcPr>
          <w:p w14:paraId="01235C48">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FA28DF1">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4" w:space="0"/>
              <w:right w:val="single" w:color="auto" w:sz="4" w:space="0"/>
            </w:tcBorders>
            <w:vAlign w:val="center"/>
          </w:tcPr>
          <w:p w14:paraId="396BD1BD">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4" w:space="0"/>
            </w:tcBorders>
            <w:vAlign w:val="center"/>
          </w:tcPr>
          <w:p w14:paraId="7E33CE85">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4" w:space="0"/>
              <w:right w:val="single" w:color="auto" w:sz="12" w:space="0"/>
            </w:tcBorders>
            <w:vAlign w:val="center"/>
          </w:tcPr>
          <w:p w14:paraId="6F964B40">
            <w:pPr>
              <w:spacing w:line="360" w:lineRule="exact"/>
              <w:jc w:val="center"/>
              <w:rPr>
                <w:rFonts w:ascii="宋体"/>
                <w:color w:val="auto"/>
                <w:sz w:val="22"/>
                <w:highlight w:val="none"/>
              </w:rPr>
            </w:pPr>
          </w:p>
        </w:tc>
      </w:tr>
      <w:tr w14:paraId="07086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461" w:type="pct"/>
            <w:tcBorders>
              <w:top w:val="single" w:color="auto" w:sz="4" w:space="0"/>
              <w:left w:val="single" w:color="auto" w:sz="12" w:space="0"/>
              <w:bottom w:val="single" w:color="auto" w:sz="12" w:space="0"/>
              <w:right w:val="single" w:color="auto" w:sz="4" w:space="0"/>
            </w:tcBorders>
            <w:vAlign w:val="center"/>
          </w:tcPr>
          <w:p w14:paraId="0B9E4343">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12" w:space="0"/>
              <w:right w:val="single" w:color="auto" w:sz="4" w:space="0"/>
            </w:tcBorders>
            <w:vAlign w:val="center"/>
          </w:tcPr>
          <w:p w14:paraId="62D50A04">
            <w:pPr>
              <w:spacing w:line="360" w:lineRule="exact"/>
              <w:jc w:val="center"/>
              <w:rPr>
                <w:rFonts w:ascii="宋体"/>
                <w:color w:val="auto"/>
                <w:sz w:val="22"/>
                <w:highlight w:val="none"/>
              </w:rPr>
            </w:pPr>
          </w:p>
        </w:tc>
        <w:tc>
          <w:tcPr>
            <w:tcW w:w="514" w:type="pct"/>
            <w:tcBorders>
              <w:top w:val="single" w:color="auto" w:sz="4" w:space="0"/>
              <w:left w:val="single" w:color="auto" w:sz="4" w:space="0"/>
              <w:bottom w:val="single" w:color="auto" w:sz="12" w:space="0"/>
              <w:right w:val="single" w:color="auto" w:sz="4" w:space="0"/>
            </w:tcBorders>
            <w:vAlign w:val="center"/>
          </w:tcPr>
          <w:p w14:paraId="33A7A154">
            <w:pPr>
              <w:spacing w:line="360" w:lineRule="exact"/>
              <w:jc w:val="center"/>
              <w:rPr>
                <w:rFonts w:ascii="宋体"/>
                <w:color w:val="auto"/>
                <w:sz w:val="22"/>
                <w:highlight w:val="none"/>
              </w:rPr>
            </w:pPr>
          </w:p>
        </w:tc>
        <w:tc>
          <w:tcPr>
            <w:tcW w:w="680" w:type="pct"/>
            <w:tcBorders>
              <w:top w:val="single" w:color="auto" w:sz="4" w:space="0"/>
              <w:left w:val="single" w:color="auto" w:sz="4" w:space="0"/>
              <w:bottom w:val="single" w:color="auto" w:sz="12" w:space="0"/>
              <w:right w:val="single" w:color="auto" w:sz="4" w:space="0"/>
            </w:tcBorders>
            <w:vAlign w:val="center"/>
          </w:tcPr>
          <w:p w14:paraId="69ADF3CB">
            <w:pPr>
              <w:spacing w:line="360" w:lineRule="exact"/>
              <w:jc w:val="center"/>
              <w:rPr>
                <w:rFonts w:ascii="宋体"/>
                <w:color w:val="auto"/>
                <w:sz w:val="22"/>
                <w:highlight w:val="none"/>
              </w:rPr>
            </w:pPr>
          </w:p>
        </w:tc>
        <w:tc>
          <w:tcPr>
            <w:tcW w:w="668" w:type="pct"/>
            <w:tcBorders>
              <w:top w:val="single" w:color="auto" w:sz="4" w:space="0"/>
              <w:left w:val="single" w:color="auto" w:sz="4" w:space="0"/>
              <w:bottom w:val="single" w:color="auto" w:sz="12" w:space="0"/>
              <w:right w:val="single" w:color="auto" w:sz="4" w:space="0"/>
            </w:tcBorders>
            <w:vAlign w:val="center"/>
          </w:tcPr>
          <w:p w14:paraId="0AF83BB5">
            <w:pPr>
              <w:spacing w:line="360" w:lineRule="exact"/>
              <w:jc w:val="center"/>
              <w:rPr>
                <w:rFonts w:ascii="宋体"/>
                <w:color w:val="auto"/>
                <w:sz w:val="22"/>
                <w:highlight w:val="none"/>
              </w:rPr>
            </w:pPr>
          </w:p>
        </w:tc>
        <w:tc>
          <w:tcPr>
            <w:tcW w:w="706" w:type="pct"/>
            <w:tcBorders>
              <w:top w:val="single" w:color="auto" w:sz="4" w:space="0"/>
              <w:left w:val="single" w:color="auto" w:sz="4" w:space="0"/>
              <w:bottom w:val="single" w:color="auto" w:sz="12" w:space="0"/>
              <w:right w:val="single" w:color="auto" w:sz="4" w:space="0"/>
            </w:tcBorders>
            <w:vAlign w:val="center"/>
          </w:tcPr>
          <w:p w14:paraId="15F38F0D">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12" w:space="0"/>
              <w:right w:val="single" w:color="auto" w:sz="4" w:space="0"/>
            </w:tcBorders>
            <w:vAlign w:val="center"/>
          </w:tcPr>
          <w:p w14:paraId="42D09CD9">
            <w:pPr>
              <w:spacing w:line="360" w:lineRule="exact"/>
              <w:jc w:val="center"/>
              <w:rPr>
                <w:rFonts w:ascii="宋体"/>
                <w:color w:val="auto"/>
                <w:sz w:val="22"/>
                <w:highlight w:val="none"/>
              </w:rPr>
            </w:pPr>
          </w:p>
        </w:tc>
        <w:tc>
          <w:tcPr>
            <w:tcW w:w="728" w:type="pct"/>
            <w:tcBorders>
              <w:top w:val="single" w:color="auto" w:sz="4" w:space="0"/>
              <w:left w:val="single" w:color="auto" w:sz="4" w:space="0"/>
              <w:bottom w:val="single" w:color="auto" w:sz="12" w:space="0"/>
              <w:right w:val="single" w:color="auto" w:sz="12" w:space="0"/>
            </w:tcBorders>
            <w:vAlign w:val="center"/>
          </w:tcPr>
          <w:p w14:paraId="3FD8ACA1">
            <w:pPr>
              <w:spacing w:line="360" w:lineRule="exact"/>
              <w:jc w:val="center"/>
              <w:rPr>
                <w:rFonts w:ascii="宋体"/>
                <w:color w:val="auto"/>
                <w:sz w:val="22"/>
                <w:highlight w:val="none"/>
              </w:rPr>
            </w:pPr>
          </w:p>
        </w:tc>
      </w:tr>
    </w:tbl>
    <w:p w14:paraId="0B387BCD">
      <w:pPr>
        <w:spacing w:line="360" w:lineRule="exact"/>
        <w:ind w:left="660" w:hanging="660" w:hangingChars="300"/>
        <w:rPr>
          <w:rFonts w:ascii="宋体"/>
          <w:color w:val="auto"/>
          <w:sz w:val="22"/>
          <w:highlight w:val="none"/>
        </w:rPr>
      </w:pPr>
      <w:r>
        <w:rPr>
          <w:rFonts w:hint="eastAsia" w:ascii="宋体"/>
          <w:color w:val="auto"/>
          <w:sz w:val="22"/>
          <w:highlight w:val="none"/>
        </w:rPr>
        <w:t>注：1、本表应附所列项目组成员相关证书、社保等证明。</w:t>
      </w:r>
    </w:p>
    <w:p w14:paraId="55C29A5D">
      <w:pPr>
        <w:pStyle w:val="24"/>
        <w:tabs>
          <w:tab w:val="left" w:pos="0"/>
          <w:tab w:val="left" w:pos="540"/>
        </w:tabs>
        <w:spacing w:line="300" w:lineRule="auto"/>
        <w:ind w:left="438" w:leftChars="156" w:hanging="110" w:hangingChars="50"/>
        <w:rPr>
          <w:rFonts w:hAnsi="宋体"/>
          <w:color w:val="auto"/>
          <w:sz w:val="22"/>
          <w:szCs w:val="22"/>
          <w:highlight w:val="none"/>
        </w:rPr>
      </w:pPr>
      <w:r>
        <w:rPr>
          <w:rFonts w:hint="eastAsia" w:hAnsi="宋体"/>
          <w:color w:val="auto"/>
          <w:sz w:val="22"/>
          <w:szCs w:val="22"/>
          <w:highlight w:val="none"/>
        </w:rPr>
        <w:t>2、此表仅提供了表格形式，可按此表格复制。</w:t>
      </w:r>
    </w:p>
    <w:p w14:paraId="7C58FAD6">
      <w:pPr>
        <w:pStyle w:val="24"/>
        <w:spacing w:line="360" w:lineRule="auto"/>
        <w:rPr>
          <w:rFonts w:hint="eastAsia" w:hAnsi="宋体" w:cs="宋体"/>
          <w:color w:val="auto"/>
          <w:sz w:val="22"/>
          <w:szCs w:val="22"/>
          <w:highlight w:val="none"/>
        </w:rPr>
      </w:pPr>
      <w:r>
        <w:rPr>
          <w:rFonts w:hint="eastAsia" w:hAnsi="宋体" w:cs="宋体"/>
          <w:color w:val="auto"/>
          <w:sz w:val="22"/>
          <w:szCs w:val="22"/>
          <w:highlight w:val="none"/>
        </w:rPr>
        <w:t>投标供应商全称（盖章）：</w:t>
      </w:r>
    </w:p>
    <w:p w14:paraId="121F2EFE">
      <w:pPr>
        <w:pStyle w:val="24"/>
        <w:spacing w:line="360" w:lineRule="auto"/>
        <w:rPr>
          <w:rFonts w:hint="eastAsia" w:hAnsi="宋体" w:cs="宋体"/>
          <w:color w:val="auto"/>
          <w:sz w:val="22"/>
          <w:szCs w:val="22"/>
          <w:highlight w:val="none"/>
        </w:rPr>
        <w:sectPr>
          <w:pgSz w:w="11906" w:h="16838"/>
          <w:pgMar w:top="1134" w:right="1134" w:bottom="1134" w:left="1134" w:header="851" w:footer="850" w:gutter="0"/>
          <w:cols w:space="720" w:num="1"/>
          <w:titlePg/>
          <w:docGrid w:type="lines" w:linePitch="312" w:charSpace="0"/>
        </w:sectPr>
      </w:pPr>
      <w:r>
        <w:rPr>
          <w:rFonts w:hint="eastAsia" w:hAnsi="宋体" w:cs="宋体"/>
          <w:color w:val="auto"/>
          <w:sz w:val="22"/>
          <w:szCs w:val="22"/>
          <w:highlight w:val="none"/>
        </w:rPr>
        <w:t>日 期：       年      月      日</w:t>
      </w:r>
    </w:p>
    <w:p w14:paraId="34E7ED0B">
      <w:pPr>
        <w:pStyle w:val="40"/>
        <w:rPr>
          <w:rFonts w:hint="eastAsia" w:ascii="宋体" w:hAnsi="宋体" w:cs="宋体"/>
          <w:color w:val="auto"/>
          <w:sz w:val="30"/>
          <w:szCs w:val="30"/>
          <w:highlight w:val="none"/>
        </w:rPr>
      </w:pPr>
      <w:r>
        <w:rPr>
          <w:rFonts w:hint="eastAsia" w:ascii="宋体" w:hAnsi="宋体" w:cs="宋体"/>
          <w:color w:val="auto"/>
          <w:sz w:val="30"/>
          <w:szCs w:val="30"/>
          <w:highlight w:val="none"/>
        </w:rPr>
        <w:t>第七部分 评标定标办法</w:t>
      </w:r>
      <w:bookmarkEnd w:id="95"/>
      <w:bookmarkEnd w:id="96"/>
      <w:bookmarkEnd w:id="97"/>
      <w:bookmarkEnd w:id="200"/>
    </w:p>
    <w:p w14:paraId="0FFE0F89">
      <w:pPr>
        <w:tabs>
          <w:tab w:val="left" w:pos="8820"/>
        </w:tabs>
        <w:adjustRightInd w:val="0"/>
        <w:snapToGrid w:val="0"/>
        <w:spacing w:before="100" w:after="50"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14:paraId="2B22CBF8">
      <w:pPr>
        <w:adjustRightInd w:val="0"/>
        <w:snapToGrid w:val="0"/>
        <w:spacing w:before="156" w:beforeLines="5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一、总则</w:t>
      </w:r>
    </w:p>
    <w:p w14:paraId="67FCF1EA">
      <w:pPr>
        <w:pStyle w:val="26"/>
        <w:adjustRightInd w:val="0"/>
        <w:snapToGrid w:val="0"/>
        <w:spacing w:before="100" w:after="50" w:line="460" w:lineRule="atLeast"/>
        <w:rPr>
          <w:rFonts w:hint="eastAsia" w:eastAsia="宋体" w:cs="宋体"/>
          <w:b w:val="0"/>
          <w:color w:val="auto"/>
          <w:sz w:val="22"/>
          <w:szCs w:val="22"/>
          <w:highlight w:val="none"/>
        </w:rPr>
      </w:pPr>
      <w:r>
        <w:rPr>
          <w:rFonts w:hint="eastAsia" w:eastAsia="宋体" w:cs="宋体"/>
          <w:b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97254FF">
      <w:pPr>
        <w:adjustRightInd w:val="0"/>
        <w:snapToGrid w:val="0"/>
        <w:spacing w:before="156" w:beforeLines="5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二、评标组织</w:t>
      </w:r>
    </w:p>
    <w:p w14:paraId="5FC92711">
      <w:pPr>
        <w:pStyle w:val="26"/>
        <w:adjustRightInd w:val="0"/>
        <w:snapToGrid w:val="0"/>
        <w:spacing w:before="100" w:after="50" w:line="460" w:lineRule="atLeast"/>
        <w:rPr>
          <w:rFonts w:hint="eastAsia" w:eastAsia="宋体" w:cs="宋体"/>
          <w:b w:val="0"/>
          <w:color w:val="auto"/>
          <w:sz w:val="22"/>
          <w:szCs w:val="22"/>
          <w:highlight w:val="none"/>
        </w:rPr>
      </w:pPr>
      <w:r>
        <w:rPr>
          <w:rFonts w:hint="eastAsia" w:eastAsia="宋体" w:cs="宋体"/>
          <w:b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54443C3D">
      <w:pPr>
        <w:pStyle w:val="8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三、评标程序</w:t>
      </w:r>
    </w:p>
    <w:p w14:paraId="548D3223">
      <w:pPr>
        <w:adjustRightInd w:val="0"/>
        <w:snapToGrid w:val="0"/>
        <w:spacing w:before="100" w:after="50"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人或采购代理机构对各投标供应商的资格进行审查；然后评标委员会对合格投标供应商的进行符合性审查，按照招标文件中规定的评标方法和标准，对符合性审查合格的投标文件进行商务和技术评估，综合比较与评价。</w:t>
      </w:r>
    </w:p>
    <w:p w14:paraId="30612DA2">
      <w:pPr>
        <w:pStyle w:val="2"/>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2、由评标委员会依据法律、法规及招标文件有关规定在有效标中按投标供应商的最终得分（即技术分与商务分之和）高低进行排序，得分前二名的投标供应商推荐为第一中标候选人与第二中标候选人（得分相同投标报价低的排序第一；得分且投标报价相同的，由评标委员会成员抽签决定排序）。</w:t>
      </w:r>
    </w:p>
    <w:p w14:paraId="29494022">
      <w:pPr>
        <w:pStyle w:val="2"/>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1F1CE756">
      <w:pPr>
        <w:pStyle w:val="2"/>
        <w:adjustRightInd w:val="0"/>
        <w:snapToGrid w:val="0"/>
        <w:spacing w:before="156" w:beforeLines="50" w:after="50" w:line="460" w:lineRule="atLeast"/>
        <w:ind w:firstLine="440"/>
        <w:rPr>
          <w:rFonts w:hint="eastAsia" w:ascii="宋体" w:eastAsia="宋体"/>
          <w:b w:val="0"/>
          <w:color w:val="auto"/>
          <w:sz w:val="22"/>
          <w:szCs w:val="22"/>
          <w:highlight w:val="none"/>
        </w:rPr>
      </w:pPr>
      <w:r>
        <w:rPr>
          <w:rFonts w:hint="eastAsia" w:ascii="宋体" w:eastAsia="宋体"/>
          <w:b w:val="0"/>
          <w:color w:val="auto"/>
          <w:sz w:val="22"/>
          <w:szCs w:val="22"/>
          <w:highlight w:val="none"/>
        </w:rPr>
        <w:t>4、其它参见本招标文件第三部分：“供应商须知” 中的相关内容。</w:t>
      </w:r>
    </w:p>
    <w:bookmarkEnd w:id="98"/>
    <w:p w14:paraId="31D491F9">
      <w:pPr>
        <w:spacing w:line="400" w:lineRule="exact"/>
        <w:rPr>
          <w:rFonts w:hint="eastAsia" w:ascii="宋体" w:hAnsi="宋体" w:cs="宋体"/>
          <w:color w:val="auto"/>
          <w:szCs w:val="21"/>
          <w:highlight w:val="none"/>
        </w:rPr>
      </w:pPr>
    </w:p>
    <w:p w14:paraId="51534258">
      <w:pPr>
        <w:adjustRightInd w:val="0"/>
        <w:spacing w:before="100" w:after="50" w:line="460" w:lineRule="atLeas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四、评分细则</w:t>
      </w:r>
    </w:p>
    <w:p w14:paraId="34CFFBA8">
      <w:pPr>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一、商务报价评分</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0分</w:t>
      </w:r>
    </w:p>
    <w:p w14:paraId="7BFD67CB">
      <w:pPr>
        <w:widowControl/>
        <w:autoSpaceDE w:val="0"/>
        <w:autoSpaceDN w:val="0"/>
        <w:adjustRightInd w:val="0"/>
        <w:spacing w:line="460" w:lineRule="atLeas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1、以供应商有效投标价中的最低报价为评标基准价，得满分</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0分。商务报价评分结算公式为:投标报价得分=</w:t>
      </w:r>
      <w:bookmarkStart w:id="201" w:name="OLE_LINK1"/>
      <w:r>
        <w:rPr>
          <w:rFonts w:hint="eastAsia" w:ascii="宋体" w:hAnsi="宋体" w:cs="宋体"/>
          <w:b/>
          <w:bCs/>
          <w:color w:val="auto"/>
          <w:sz w:val="22"/>
          <w:szCs w:val="22"/>
          <w:highlight w:val="none"/>
        </w:rPr>
        <w:t>(评标基准价／投标报价)×</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0%×100</w:t>
      </w:r>
      <w:bookmarkEnd w:id="201"/>
      <w:r>
        <w:rPr>
          <w:rFonts w:hint="eastAsia" w:ascii="宋体" w:hAnsi="宋体" w:cs="宋体"/>
          <w:b/>
          <w:bCs/>
          <w:color w:val="auto"/>
          <w:sz w:val="22"/>
          <w:szCs w:val="22"/>
          <w:highlight w:val="none"/>
        </w:rPr>
        <w:t>。</w:t>
      </w:r>
    </w:p>
    <w:p w14:paraId="5B4F6D9E">
      <w:pPr>
        <w:widowControl/>
        <w:autoSpaceDE w:val="0"/>
        <w:autoSpaceDN w:val="0"/>
        <w:adjustRightInd w:val="0"/>
        <w:spacing w:line="460" w:lineRule="atLeast"/>
        <w:ind w:firstLine="442" w:firstLineChars="200"/>
        <w:textAlignment w:val="bottom"/>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2、符合招标文件规定条件的小、微企业（或监狱企业、残疾人企业），给予评标价格折扣（10%）。</w:t>
      </w:r>
    </w:p>
    <w:p w14:paraId="3ED6AD5A">
      <w:pPr>
        <w:autoSpaceDE w:val="0"/>
        <w:autoSpaceDN w:val="0"/>
        <w:adjustRightInd w:val="0"/>
        <w:spacing w:line="460" w:lineRule="atLeast"/>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u w:val="single"/>
        </w:rPr>
        <w:t>3、</w:t>
      </w:r>
      <w:r>
        <w:rPr>
          <w:rFonts w:hint="eastAsia" w:ascii="宋体" w:hAnsi="宋体" w:cs="宋体"/>
          <w:b/>
          <w:color w:val="auto"/>
          <w:sz w:val="22"/>
          <w:highlight w:val="none"/>
          <w:u w:val="single"/>
        </w:rPr>
        <w:t>本项目</w:t>
      </w:r>
      <w:r>
        <w:rPr>
          <w:rFonts w:hint="eastAsia" w:ascii="宋体" w:hAnsi="宋体" w:cs="宋体"/>
          <w:b/>
          <w:color w:val="auto"/>
          <w:sz w:val="22"/>
          <w:szCs w:val="22"/>
          <w:highlight w:val="none"/>
          <w:u w:val="single"/>
        </w:rPr>
        <w:t>采购预算见采购公告。</w:t>
      </w:r>
      <w:r>
        <w:rPr>
          <w:rFonts w:hint="eastAsia" w:ascii="宋体" w:hAnsi="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14:paraId="2A411C6C">
      <w:pPr>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二、技术、服务、资信业绩综合评分</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0分</w:t>
      </w:r>
    </w:p>
    <w:p w14:paraId="65C56E96">
      <w:pPr>
        <w:autoSpaceDE w:val="0"/>
        <w:autoSpaceDN w:val="0"/>
        <w:adjustRightInd w:val="0"/>
        <w:spacing w:line="460" w:lineRule="atLeas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商务技术文件的最终得分（四舍五入，保留小数点后二位）。</w:t>
      </w:r>
    </w:p>
    <w:tbl>
      <w:tblPr>
        <w:tblStyle w:val="43"/>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588"/>
        <w:gridCol w:w="930"/>
        <w:gridCol w:w="6628"/>
      </w:tblGrid>
      <w:tr w14:paraId="720C603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59" w:type="pct"/>
            <w:vAlign w:val="center"/>
          </w:tcPr>
          <w:p w14:paraId="464CB9E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06" w:type="pct"/>
            <w:vAlign w:val="center"/>
          </w:tcPr>
          <w:p w14:paraId="411A660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472" w:type="pct"/>
            <w:vAlign w:val="center"/>
          </w:tcPr>
          <w:p w14:paraId="7AEB26F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3363" w:type="pct"/>
            <w:vAlign w:val="center"/>
          </w:tcPr>
          <w:p w14:paraId="287A931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46A0CC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59" w:type="pct"/>
            <w:vMerge w:val="restart"/>
            <w:shd w:val="clear" w:color="auto" w:fill="auto"/>
            <w:vAlign w:val="center"/>
          </w:tcPr>
          <w:p w14:paraId="34FE887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06" w:type="pct"/>
            <w:vMerge w:val="restart"/>
            <w:shd w:val="clear" w:color="auto" w:fill="auto"/>
            <w:vAlign w:val="center"/>
          </w:tcPr>
          <w:p w14:paraId="0746BEF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针对本项目提出的详细项目实施方案</w:t>
            </w:r>
          </w:p>
        </w:tc>
        <w:tc>
          <w:tcPr>
            <w:tcW w:w="472" w:type="pct"/>
            <w:shd w:val="clear" w:color="auto" w:fill="FFFFFF"/>
            <w:vAlign w:val="center"/>
          </w:tcPr>
          <w:p w14:paraId="082784F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0-5分</w:t>
            </w:r>
          </w:p>
        </w:tc>
        <w:tc>
          <w:tcPr>
            <w:tcW w:w="3363" w:type="pct"/>
            <w:vAlign w:val="center"/>
          </w:tcPr>
          <w:p w14:paraId="1FF51BE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根据投标人对本项目采购需求的分析理解是否深入、全面，重点和难点把握是否准确，并提出合理有益的建设性意见，</w:t>
            </w:r>
            <w:r>
              <w:rPr>
                <w:rFonts w:hint="eastAsia" w:ascii="宋体" w:hAnsi="宋体" w:eastAsia="宋体" w:cs="宋体"/>
                <w:color w:val="auto"/>
                <w:sz w:val="22"/>
                <w:szCs w:val="22"/>
                <w:highlight w:val="none"/>
              </w:rPr>
              <w:t>综合评分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满分5分（评分范围：5,4,3,2,1,0）</w:t>
            </w:r>
            <w:r>
              <w:rPr>
                <w:rFonts w:hint="eastAsia" w:ascii="宋体" w:hAnsi="宋体" w:eastAsia="宋体" w:cs="宋体"/>
                <w:color w:val="auto"/>
                <w:sz w:val="22"/>
                <w:szCs w:val="22"/>
                <w:highlight w:val="none"/>
              </w:rPr>
              <w:t>。</w:t>
            </w:r>
          </w:p>
        </w:tc>
      </w:tr>
      <w:tr w14:paraId="036ABC0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59" w:type="pct"/>
            <w:vMerge w:val="continue"/>
            <w:shd w:val="clear" w:color="auto" w:fill="auto"/>
            <w:vAlign w:val="center"/>
          </w:tcPr>
          <w:p w14:paraId="458E2C0C">
            <w:pPr>
              <w:jc w:val="center"/>
              <w:rPr>
                <w:rFonts w:hint="eastAsia" w:ascii="宋体" w:hAnsi="宋体" w:eastAsia="宋体" w:cs="宋体"/>
                <w:color w:val="auto"/>
                <w:sz w:val="22"/>
                <w:szCs w:val="22"/>
                <w:highlight w:val="none"/>
              </w:rPr>
            </w:pPr>
          </w:p>
        </w:tc>
        <w:tc>
          <w:tcPr>
            <w:tcW w:w="806" w:type="pct"/>
            <w:vMerge w:val="continue"/>
            <w:shd w:val="clear" w:color="auto" w:fill="auto"/>
            <w:vAlign w:val="center"/>
          </w:tcPr>
          <w:p w14:paraId="50CF542C">
            <w:pPr>
              <w:rPr>
                <w:rFonts w:hint="eastAsia" w:ascii="宋体" w:hAnsi="宋体" w:eastAsia="宋体" w:cs="宋体"/>
                <w:color w:val="auto"/>
                <w:sz w:val="22"/>
                <w:szCs w:val="22"/>
                <w:highlight w:val="none"/>
              </w:rPr>
            </w:pPr>
          </w:p>
        </w:tc>
        <w:tc>
          <w:tcPr>
            <w:tcW w:w="472" w:type="pct"/>
            <w:tcBorders>
              <w:bottom w:val="single" w:color="auto" w:sz="4" w:space="0"/>
            </w:tcBorders>
            <w:shd w:val="clear" w:color="auto" w:fill="FFFFFF"/>
            <w:vAlign w:val="center"/>
          </w:tcPr>
          <w:p w14:paraId="4E15730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0-16分</w:t>
            </w:r>
          </w:p>
        </w:tc>
        <w:tc>
          <w:tcPr>
            <w:tcW w:w="3363" w:type="pct"/>
            <w:vAlign w:val="center"/>
          </w:tcPr>
          <w:p w14:paraId="6F981B1C">
            <w:p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根据</w:t>
            </w:r>
            <w:r>
              <w:rPr>
                <w:rFonts w:hint="eastAsia" w:ascii="宋体" w:hAnsi="宋体" w:eastAsia="宋体" w:cs="宋体"/>
                <w:color w:val="auto"/>
                <w:sz w:val="22"/>
                <w:szCs w:val="22"/>
                <w:highlight w:val="none"/>
              </w:rPr>
              <w:t>投标人提出抽样检测工作计划（包括抽检计划安排、人员分工、任务实施等）、具体流程、各工作环节重点、应急预案等技术方案，综合评分：</w:t>
            </w:r>
          </w:p>
          <w:p w14:paraId="35990D14">
            <w:pPr>
              <w:pStyle w:val="84"/>
              <w:numPr>
                <w:ilvl w:val="0"/>
                <w:numId w:val="8"/>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技术方案的科学性，</w:t>
            </w:r>
            <w:r>
              <w:rPr>
                <w:rFonts w:hint="eastAsia" w:ascii="宋体" w:hAnsi="宋体" w:eastAsia="宋体" w:cs="宋体"/>
                <w:color w:val="auto"/>
                <w:sz w:val="22"/>
                <w:szCs w:val="22"/>
                <w:highlight w:val="none"/>
                <w:lang w:val="en-US" w:eastAsia="zh-CN"/>
              </w:rPr>
              <w:t>满分4分（评分范围：4,3,2,1,0）</w:t>
            </w:r>
            <w:r>
              <w:rPr>
                <w:rFonts w:hint="eastAsia" w:ascii="宋体" w:hAnsi="宋体" w:eastAsia="宋体" w:cs="宋体"/>
                <w:color w:val="auto"/>
                <w:sz w:val="22"/>
                <w:szCs w:val="22"/>
                <w:highlight w:val="none"/>
              </w:rPr>
              <w:t>；</w:t>
            </w:r>
          </w:p>
          <w:p w14:paraId="3C8D8AA4">
            <w:pPr>
              <w:pStyle w:val="84"/>
              <w:numPr>
                <w:ilvl w:val="0"/>
                <w:numId w:val="8"/>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技术方案的完整性，</w:t>
            </w:r>
            <w:r>
              <w:rPr>
                <w:rFonts w:hint="eastAsia" w:ascii="宋体" w:hAnsi="宋体" w:eastAsia="宋体" w:cs="宋体"/>
                <w:color w:val="auto"/>
                <w:sz w:val="22"/>
                <w:szCs w:val="22"/>
                <w:highlight w:val="none"/>
                <w:lang w:val="en-US" w:eastAsia="zh-CN"/>
              </w:rPr>
              <w:t>满分4分（评分范围：4,3,2,1,0）</w:t>
            </w:r>
            <w:r>
              <w:rPr>
                <w:rFonts w:hint="eastAsia" w:ascii="宋体" w:hAnsi="宋体" w:eastAsia="宋体" w:cs="宋体"/>
                <w:color w:val="auto"/>
                <w:sz w:val="22"/>
                <w:szCs w:val="22"/>
                <w:highlight w:val="none"/>
              </w:rPr>
              <w:t>；</w:t>
            </w:r>
          </w:p>
          <w:p w14:paraId="30BAC106">
            <w:pPr>
              <w:pStyle w:val="84"/>
              <w:numPr>
                <w:ilvl w:val="0"/>
                <w:numId w:val="8"/>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技术方案的合理性，</w:t>
            </w:r>
            <w:r>
              <w:rPr>
                <w:rFonts w:hint="eastAsia" w:ascii="宋体" w:hAnsi="宋体" w:eastAsia="宋体" w:cs="宋体"/>
                <w:color w:val="auto"/>
                <w:sz w:val="22"/>
                <w:szCs w:val="22"/>
                <w:highlight w:val="none"/>
                <w:lang w:val="en-US" w:eastAsia="zh-CN"/>
              </w:rPr>
              <w:t>满分4分（评分范围：4,3,2,1,0）</w:t>
            </w:r>
            <w:r>
              <w:rPr>
                <w:rFonts w:hint="eastAsia" w:ascii="宋体" w:hAnsi="宋体" w:eastAsia="宋体" w:cs="宋体"/>
                <w:color w:val="auto"/>
                <w:sz w:val="22"/>
                <w:szCs w:val="22"/>
                <w:highlight w:val="none"/>
              </w:rPr>
              <w:t>；</w:t>
            </w:r>
          </w:p>
          <w:p w14:paraId="0941FACD">
            <w:pPr>
              <w:pStyle w:val="84"/>
              <w:numPr>
                <w:ilvl w:val="0"/>
                <w:numId w:val="8"/>
              </w:numPr>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技术方案的可操作性，</w:t>
            </w:r>
            <w:r>
              <w:rPr>
                <w:rFonts w:hint="eastAsia" w:ascii="宋体" w:hAnsi="宋体" w:eastAsia="宋体" w:cs="宋体"/>
                <w:color w:val="auto"/>
                <w:sz w:val="22"/>
                <w:szCs w:val="22"/>
                <w:highlight w:val="none"/>
                <w:lang w:val="en-US" w:eastAsia="zh-CN"/>
              </w:rPr>
              <w:t>满分4分（评分范围：4,3,2,1,0）</w:t>
            </w:r>
            <w:r>
              <w:rPr>
                <w:rFonts w:hint="eastAsia" w:ascii="宋体" w:hAnsi="宋体" w:eastAsia="宋体" w:cs="宋体"/>
                <w:color w:val="auto"/>
                <w:sz w:val="22"/>
                <w:szCs w:val="22"/>
                <w:highlight w:val="none"/>
              </w:rPr>
              <w:t>。</w:t>
            </w:r>
          </w:p>
        </w:tc>
      </w:tr>
      <w:tr w14:paraId="43BAF02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59" w:type="pct"/>
            <w:vAlign w:val="center"/>
          </w:tcPr>
          <w:p w14:paraId="06C72CF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06" w:type="pct"/>
            <w:vAlign w:val="center"/>
          </w:tcPr>
          <w:p w14:paraId="3207CD3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检测项目覆盖率</w:t>
            </w:r>
          </w:p>
        </w:tc>
        <w:tc>
          <w:tcPr>
            <w:tcW w:w="472" w:type="pct"/>
            <w:tcBorders>
              <w:top w:val="single" w:color="auto" w:sz="4" w:space="0"/>
              <w:bottom w:val="single" w:color="auto" w:sz="4" w:space="0"/>
            </w:tcBorders>
            <w:vAlign w:val="center"/>
          </w:tcPr>
          <w:p w14:paraId="056351A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0-8分</w:t>
            </w:r>
          </w:p>
        </w:tc>
        <w:tc>
          <w:tcPr>
            <w:tcW w:w="3363" w:type="pct"/>
            <w:vAlign w:val="center"/>
          </w:tcPr>
          <w:p w14:paraId="4DFFB6BC">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根据投标人CATL能力附表参数针对本项目的覆盖率情况进行评定，覆盖率100%得8分，覆盖率97%以上得6分，覆盖率95%以上得4分；95%以下不得分。投标人需如实提供本项目检测参数与资质能力附表参数对照偏离表。</w:t>
            </w:r>
          </w:p>
        </w:tc>
      </w:tr>
      <w:tr w14:paraId="21D8C70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59" w:type="pct"/>
            <w:vMerge w:val="restart"/>
            <w:vAlign w:val="center"/>
          </w:tcPr>
          <w:p w14:paraId="639E73E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06" w:type="pct"/>
            <w:vMerge w:val="restart"/>
            <w:vAlign w:val="center"/>
          </w:tcPr>
          <w:p w14:paraId="2F76B92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服务响应能力</w:t>
            </w:r>
          </w:p>
        </w:tc>
        <w:tc>
          <w:tcPr>
            <w:tcW w:w="472" w:type="pct"/>
            <w:tcBorders>
              <w:top w:val="single" w:color="auto" w:sz="4" w:space="0"/>
              <w:bottom w:val="single" w:color="auto" w:sz="4" w:space="0"/>
            </w:tcBorders>
            <w:vAlign w:val="center"/>
          </w:tcPr>
          <w:p w14:paraId="545E835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0-5分</w:t>
            </w:r>
          </w:p>
        </w:tc>
        <w:tc>
          <w:tcPr>
            <w:tcW w:w="3363" w:type="pct"/>
            <w:vAlign w:val="center"/>
          </w:tcPr>
          <w:p w14:paraId="7F9D373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根据投标人对于本地突发事件的应急响应时间、应急响应到达能力、应急响应力量投入能力、实际响应实施能力由评标综合评分，并提供承诺书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满分5分（评分范围：5,4,3,2,1,0）</w:t>
            </w:r>
            <w:r>
              <w:rPr>
                <w:rFonts w:hint="eastAsia" w:ascii="宋体" w:hAnsi="宋体" w:eastAsia="宋体" w:cs="宋体"/>
                <w:color w:val="auto"/>
                <w:sz w:val="22"/>
                <w:szCs w:val="22"/>
                <w:highlight w:val="none"/>
              </w:rPr>
              <w:t>。</w:t>
            </w:r>
          </w:p>
        </w:tc>
      </w:tr>
      <w:tr w14:paraId="00B092F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59" w:type="pct"/>
            <w:vMerge w:val="continue"/>
            <w:vAlign w:val="center"/>
          </w:tcPr>
          <w:p w14:paraId="468693C2">
            <w:pPr>
              <w:jc w:val="center"/>
              <w:rPr>
                <w:rFonts w:hint="eastAsia" w:ascii="宋体" w:hAnsi="宋体" w:eastAsia="宋体" w:cs="宋体"/>
                <w:color w:val="auto"/>
                <w:sz w:val="22"/>
                <w:szCs w:val="22"/>
                <w:highlight w:val="none"/>
              </w:rPr>
            </w:pPr>
          </w:p>
        </w:tc>
        <w:tc>
          <w:tcPr>
            <w:tcW w:w="806" w:type="pct"/>
            <w:vMerge w:val="continue"/>
            <w:vAlign w:val="center"/>
          </w:tcPr>
          <w:p w14:paraId="2CA002F0">
            <w:pPr>
              <w:rPr>
                <w:rFonts w:hint="eastAsia" w:ascii="宋体" w:hAnsi="宋体" w:eastAsia="宋体" w:cs="宋体"/>
                <w:color w:val="auto"/>
                <w:sz w:val="22"/>
                <w:szCs w:val="22"/>
                <w:highlight w:val="none"/>
              </w:rPr>
            </w:pPr>
          </w:p>
        </w:tc>
        <w:tc>
          <w:tcPr>
            <w:tcW w:w="472" w:type="pct"/>
            <w:tcBorders>
              <w:top w:val="single" w:color="auto" w:sz="4" w:space="0"/>
              <w:bottom w:val="single" w:color="auto" w:sz="4" w:space="0"/>
            </w:tcBorders>
            <w:vAlign w:val="center"/>
          </w:tcPr>
          <w:p w14:paraId="7C14DFA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0-5分</w:t>
            </w:r>
          </w:p>
        </w:tc>
        <w:tc>
          <w:tcPr>
            <w:tcW w:w="3363" w:type="pct"/>
            <w:vAlign w:val="center"/>
          </w:tcPr>
          <w:p w14:paraId="041D1831">
            <w:p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根据</w:t>
            </w:r>
            <w:r>
              <w:rPr>
                <w:rFonts w:hint="eastAsia" w:ascii="宋体" w:hAnsi="宋体" w:eastAsia="宋体" w:cs="宋体"/>
                <w:color w:val="auto"/>
                <w:sz w:val="22"/>
                <w:szCs w:val="22"/>
                <w:highlight w:val="none"/>
              </w:rPr>
              <w:t>投标人样品完成后能及时送至投标人实验室，以确保采用样品的新鲜度，</w:t>
            </w:r>
            <w:r>
              <w:rPr>
                <w:rFonts w:hint="eastAsia" w:ascii="宋体" w:hAnsi="宋体" w:eastAsia="宋体" w:cs="宋体"/>
                <w:color w:val="auto"/>
                <w:sz w:val="22"/>
                <w:szCs w:val="22"/>
                <w:highlight w:val="none"/>
              </w:rPr>
              <w:t>专家根据服务网点</w:t>
            </w:r>
            <w:r>
              <w:rPr>
                <w:rFonts w:hint="eastAsia" w:ascii="宋体" w:hAnsi="宋体" w:eastAsia="宋体" w:cs="宋体"/>
                <w:color w:val="auto"/>
                <w:sz w:val="22"/>
                <w:szCs w:val="22"/>
                <w:highlight w:val="none"/>
                <w:lang w:eastAsia="zh-CN"/>
              </w:rPr>
              <w:t>、送达响应速度等情况</w:t>
            </w:r>
            <w:r>
              <w:rPr>
                <w:rFonts w:hint="eastAsia" w:ascii="宋体" w:hAnsi="宋体" w:eastAsia="宋体" w:cs="宋体"/>
                <w:color w:val="auto"/>
                <w:sz w:val="22"/>
                <w:szCs w:val="22"/>
                <w:highlight w:val="none"/>
              </w:rPr>
              <w:t>酌情打分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满分5分（评分范围：5,4,3,2,1,0）</w:t>
            </w:r>
            <w:r>
              <w:rPr>
                <w:rFonts w:hint="eastAsia" w:ascii="宋体" w:hAnsi="宋体" w:eastAsia="宋体" w:cs="宋体"/>
                <w:color w:val="auto"/>
                <w:sz w:val="22"/>
                <w:szCs w:val="22"/>
                <w:highlight w:val="none"/>
              </w:rPr>
              <w:t>。</w:t>
            </w:r>
          </w:p>
        </w:tc>
      </w:tr>
      <w:tr w14:paraId="1656992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9" w:type="pct"/>
            <w:vMerge w:val="restart"/>
            <w:vAlign w:val="center"/>
          </w:tcPr>
          <w:p w14:paraId="6192CD5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06" w:type="pct"/>
            <w:vMerge w:val="restart"/>
            <w:vAlign w:val="center"/>
          </w:tcPr>
          <w:p w14:paraId="6321F963">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投标人综合实力</w:t>
            </w:r>
          </w:p>
        </w:tc>
        <w:tc>
          <w:tcPr>
            <w:tcW w:w="472" w:type="pct"/>
            <w:vAlign w:val="center"/>
          </w:tcPr>
          <w:p w14:paraId="07D9406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0-6分</w:t>
            </w:r>
          </w:p>
        </w:tc>
        <w:tc>
          <w:tcPr>
            <w:tcW w:w="3363" w:type="pct"/>
            <w:vAlign w:val="center"/>
          </w:tcPr>
          <w:p w14:paraId="27B8587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1.具有满足检测工作需要的、独立、固定的食品检测场地，场地独立、固定、布局合理，根据投标方提供的实验室检验区布局图进行打分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满分3分（评分范围：3,2,1,0）</w:t>
            </w:r>
            <w:r>
              <w:rPr>
                <w:rFonts w:hint="eastAsia" w:ascii="宋体" w:hAnsi="宋体" w:eastAsia="宋体" w:cs="宋体"/>
                <w:color w:val="auto"/>
                <w:sz w:val="22"/>
                <w:szCs w:val="22"/>
                <w:highlight w:val="none"/>
              </w:rPr>
              <w:t>。</w:t>
            </w:r>
          </w:p>
          <w:p w14:paraId="18748CB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2.具备足够开展农产品检测工作的场地面积，根据投标方提供的房产证明或相关场地的租赁合同进行评判：在2000平方米以上的得3分，1000平方米以上的得2分，1000平方米以下得1分。</w:t>
            </w:r>
          </w:p>
        </w:tc>
      </w:tr>
      <w:tr w14:paraId="7C53821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59" w:type="pct"/>
            <w:vMerge w:val="continue"/>
            <w:vAlign w:val="center"/>
          </w:tcPr>
          <w:p w14:paraId="2EBE7642">
            <w:pPr>
              <w:rPr>
                <w:rFonts w:hint="eastAsia" w:ascii="宋体" w:hAnsi="宋体" w:eastAsia="宋体" w:cs="宋体"/>
                <w:color w:val="auto"/>
                <w:sz w:val="22"/>
                <w:szCs w:val="22"/>
                <w:highlight w:val="none"/>
              </w:rPr>
            </w:pPr>
          </w:p>
        </w:tc>
        <w:tc>
          <w:tcPr>
            <w:tcW w:w="806" w:type="pct"/>
            <w:vMerge w:val="continue"/>
            <w:vAlign w:val="center"/>
          </w:tcPr>
          <w:p w14:paraId="5E95CF2B">
            <w:pPr>
              <w:rPr>
                <w:rFonts w:hint="eastAsia" w:ascii="宋体" w:hAnsi="宋体" w:eastAsia="宋体" w:cs="宋体"/>
                <w:color w:val="auto"/>
                <w:sz w:val="22"/>
                <w:szCs w:val="22"/>
                <w:highlight w:val="none"/>
              </w:rPr>
            </w:pPr>
          </w:p>
        </w:tc>
        <w:tc>
          <w:tcPr>
            <w:tcW w:w="472" w:type="pct"/>
            <w:vAlign w:val="center"/>
          </w:tcPr>
          <w:p w14:paraId="47E59F1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0-6分</w:t>
            </w:r>
          </w:p>
        </w:tc>
        <w:tc>
          <w:tcPr>
            <w:tcW w:w="3363" w:type="pct"/>
            <w:vAlign w:val="center"/>
          </w:tcPr>
          <w:p w14:paraId="0BE4191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bCs/>
                <w:color w:val="auto"/>
                <w:kern w:val="28"/>
                <w:sz w:val="22"/>
                <w:szCs w:val="22"/>
                <w:highlight w:val="none"/>
              </w:rPr>
              <w:t>针对本项目投入的检测仪器设备（气质联用仪、电感耦合等离子体质谱仪、高效液相色谱仪、质谱仪、原子吸收、原子荧光等检测仪器），每提供一</w:t>
            </w:r>
            <w:r>
              <w:rPr>
                <w:rFonts w:hint="eastAsia" w:ascii="宋体" w:hAnsi="宋体" w:eastAsia="宋体" w:cs="宋体"/>
                <w:bCs/>
                <w:color w:val="auto"/>
                <w:kern w:val="28"/>
                <w:sz w:val="22"/>
                <w:szCs w:val="22"/>
                <w:highlight w:val="none"/>
                <w:lang w:eastAsia="zh-CN"/>
              </w:rPr>
              <w:t>类仪器设备的</w:t>
            </w:r>
            <w:r>
              <w:rPr>
                <w:rFonts w:hint="eastAsia" w:ascii="宋体" w:hAnsi="宋体" w:eastAsia="宋体" w:cs="宋体"/>
                <w:bCs/>
                <w:color w:val="auto"/>
                <w:kern w:val="28"/>
                <w:sz w:val="22"/>
                <w:szCs w:val="22"/>
                <w:highlight w:val="none"/>
              </w:rPr>
              <w:t>得1分，最高6分。（同时提供设备清单、图片和购置发票等相关证明材料扫描件加盖公章。</w:t>
            </w:r>
          </w:p>
        </w:tc>
      </w:tr>
      <w:tr w14:paraId="40CFF4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59" w:type="pct"/>
            <w:vMerge w:val="continue"/>
            <w:vAlign w:val="center"/>
          </w:tcPr>
          <w:p w14:paraId="77D19E46">
            <w:pPr>
              <w:rPr>
                <w:rFonts w:hint="eastAsia" w:ascii="宋体" w:hAnsi="宋体" w:eastAsia="宋体" w:cs="宋体"/>
                <w:color w:val="auto"/>
                <w:sz w:val="22"/>
                <w:szCs w:val="22"/>
                <w:highlight w:val="none"/>
              </w:rPr>
            </w:pPr>
          </w:p>
        </w:tc>
        <w:tc>
          <w:tcPr>
            <w:tcW w:w="806" w:type="pct"/>
            <w:vMerge w:val="continue"/>
            <w:vAlign w:val="center"/>
          </w:tcPr>
          <w:p w14:paraId="51B4409C">
            <w:pPr>
              <w:rPr>
                <w:rFonts w:hint="eastAsia" w:ascii="宋体" w:hAnsi="宋体" w:eastAsia="宋体" w:cs="宋体"/>
                <w:color w:val="auto"/>
                <w:sz w:val="22"/>
                <w:szCs w:val="22"/>
                <w:highlight w:val="none"/>
              </w:rPr>
            </w:pPr>
          </w:p>
        </w:tc>
        <w:tc>
          <w:tcPr>
            <w:tcW w:w="472" w:type="pct"/>
            <w:vAlign w:val="center"/>
          </w:tcPr>
          <w:p w14:paraId="3B033CA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0-4分</w:t>
            </w:r>
          </w:p>
        </w:tc>
        <w:tc>
          <w:tcPr>
            <w:tcW w:w="3363" w:type="pct"/>
            <w:vAlign w:val="center"/>
          </w:tcPr>
          <w:p w14:paraId="38CCB1B1">
            <w:pPr>
              <w:rPr>
                <w:rFonts w:hint="eastAsia" w:ascii="宋体" w:hAnsi="宋体" w:eastAsia="宋体" w:cs="宋体"/>
                <w:bCs/>
                <w:color w:val="auto"/>
                <w:kern w:val="28"/>
                <w:sz w:val="22"/>
                <w:szCs w:val="22"/>
                <w:highlight w:val="none"/>
              </w:rPr>
            </w:pPr>
            <w:r>
              <w:rPr>
                <w:rFonts w:hint="eastAsia" w:ascii="宋体" w:hAnsi="宋体" w:eastAsia="宋体" w:cs="宋体"/>
                <w:bCs/>
                <w:color w:val="auto"/>
                <w:kern w:val="28"/>
                <w:sz w:val="22"/>
                <w:szCs w:val="22"/>
                <w:highlight w:val="none"/>
              </w:rPr>
              <w:t>投标人建有冷藏食品、农产品保存专用冷库情况：建有冷藏食品、农产品保存专用冷库的得4分，没有的不得分（需提供冷库照片及装修合同发票或其他证明材料）</w:t>
            </w:r>
          </w:p>
        </w:tc>
      </w:tr>
      <w:tr w14:paraId="546FC55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59" w:type="pct"/>
            <w:vMerge w:val="continue"/>
            <w:vAlign w:val="center"/>
          </w:tcPr>
          <w:p w14:paraId="4E31EC21">
            <w:pPr>
              <w:rPr>
                <w:rFonts w:hint="eastAsia" w:ascii="宋体" w:hAnsi="宋体" w:eastAsia="宋体" w:cs="宋体"/>
                <w:color w:val="auto"/>
                <w:sz w:val="22"/>
                <w:szCs w:val="22"/>
                <w:highlight w:val="none"/>
              </w:rPr>
            </w:pPr>
          </w:p>
        </w:tc>
        <w:tc>
          <w:tcPr>
            <w:tcW w:w="806" w:type="pct"/>
            <w:vMerge w:val="continue"/>
            <w:vAlign w:val="center"/>
          </w:tcPr>
          <w:p w14:paraId="01D51247">
            <w:pPr>
              <w:rPr>
                <w:rFonts w:hint="eastAsia" w:ascii="宋体" w:hAnsi="宋体" w:eastAsia="宋体" w:cs="宋体"/>
                <w:color w:val="auto"/>
                <w:sz w:val="22"/>
                <w:szCs w:val="22"/>
                <w:highlight w:val="none"/>
              </w:rPr>
            </w:pPr>
          </w:p>
        </w:tc>
        <w:tc>
          <w:tcPr>
            <w:tcW w:w="472" w:type="pct"/>
            <w:vAlign w:val="center"/>
          </w:tcPr>
          <w:p w14:paraId="5CF3011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0-4分</w:t>
            </w:r>
          </w:p>
        </w:tc>
        <w:tc>
          <w:tcPr>
            <w:tcW w:w="3363" w:type="pct"/>
            <w:vAlign w:val="center"/>
          </w:tcPr>
          <w:p w14:paraId="3EBBA4F7">
            <w:pPr>
              <w:rPr>
                <w:rFonts w:hint="eastAsia" w:ascii="宋体" w:hAnsi="宋体" w:eastAsia="宋体" w:cs="宋体"/>
                <w:bCs/>
                <w:color w:val="auto"/>
                <w:kern w:val="28"/>
                <w:sz w:val="22"/>
                <w:szCs w:val="22"/>
                <w:highlight w:val="none"/>
              </w:rPr>
            </w:pPr>
            <w:r>
              <w:rPr>
                <w:rFonts w:hint="eastAsia" w:ascii="宋体" w:hAnsi="宋体" w:eastAsia="宋体" w:cs="宋体"/>
                <w:bCs/>
                <w:color w:val="auto"/>
                <w:kern w:val="28"/>
                <w:sz w:val="22"/>
                <w:szCs w:val="22"/>
                <w:highlight w:val="none"/>
              </w:rPr>
              <w:t>投标人具有专用采样冷链车或采样车及车载冰箱，有则得4分，没有的不得分。（需提供相关图片和相关发票）</w:t>
            </w:r>
          </w:p>
        </w:tc>
      </w:tr>
      <w:tr w14:paraId="203E270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59" w:type="pct"/>
            <w:vMerge w:val="continue"/>
            <w:vAlign w:val="center"/>
          </w:tcPr>
          <w:p w14:paraId="4EC3A043">
            <w:pPr>
              <w:rPr>
                <w:rFonts w:hint="eastAsia" w:ascii="宋体" w:hAnsi="宋体" w:eastAsia="宋体" w:cs="宋体"/>
                <w:color w:val="auto"/>
                <w:sz w:val="22"/>
                <w:szCs w:val="22"/>
                <w:highlight w:val="none"/>
              </w:rPr>
            </w:pPr>
          </w:p>
        </w:tc>
        <w:tc>
          <w:tcPr>
            <w:tcW w:w="806" w:type="pct"/>
            <w:vMerge w:val="continue"/>
            <w:vAlign w:val="center"/>
          </w:tcPr>
          <w:p w14:paraId="04A449C7">
            <w:pPr>
              <w:rPr>
                <w:rFonts w:hint="eastAsia" w:ascii="宋体" w:hAnsi="宋体" w:eastAsia="宋体" w:cs="宋体"/>
                <w:color w:val="auto"/>
                <w:sz w:val="22"/>
                <w:szCs w:val="22"/>
                <w:highlight w:val="none"/>
              </w:rPr>
            </w:pPr>
          </w:p>
        </w:tc>
        <w:tc>
          <w:tcPr>
            <w:tcW w:w="472" w:type="pct"/>
            <w:vAlign w:val="center"/>
          </w:tcPr>
          <w:p w14:paraId="26A3723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tc>
        <w:tc>
          <w:tcPr>
            <w:tcW w:w="3363" w:type="pct"/>
            <w:vAlign w:val="center"/>
          </w:tcPr>
          <w:p w14:paraId="719D1779">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（1）项目负责人：具有相关专业高级职称得3分。（提供职称证书扫描件并加盖公章及</w:t>
            </w:r>
            <w:r>
              <w:rPr>
                <w:rFonts w:hint="eastAsia" w:ascii="宋体" w:hAnsi="宋体" w:eastAsia="宋体" w:cs="宋体"/>
                <w:color w:val="auto"/>
                <w:sz w:val="22"/>
                <w:szCs w:val="22"/>
                <w:highlight w:val="none"/>
              </w:rPr>
              <w:t>最近</w:t>
            </w:r>
            <w:r>
              <w:rPr>
                <w:rFonts w:hint="eastAsia" w:ascii="宋体" w:hAnsi="宋体" w:eastAsia="宋体" w:cs="宋体"/>
                <w:color w:val="auto"/>
                <w:sz w:val="22"/>
                <w:szCs w:val="22"/>
                <w:highlight w:val="none"/>
                <w:lang w:val="en-US" w:eastAsia="zh-CN"/>
              </w:rPr>
              <w:t>三个月</w:t>
            </w:r>
            <w:r>
              <w:rPr>
                <w:rFonts w:hint="eastAsia" w:ascii="宋体" w:hAnsi="宋体" w:eastAsia="宋体" w:cs="宋体"/>
                <w:color w:val="auto"/>
                <w:sz w:val="22"/>
                <w:szCs w:val="22"/>
                <w:highlight w:val="none"/>
              </w:rPr>
              <w:t>的社保缴费证明扫描件，否则不得分）</w:t>
            </w:r>
          </w:p>
          <w:p w14:paraId="79FD700F">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（2）检测人员：具有相关专业高级职称（不包含项目负责人）1名得1分，最高得3分；相关专业中级职称1名得0.5分，最高得4分。（提供职称证书扫描件并加盖公章及</w:t>
            </w:r>
            <w:r>
              <w:rPr>
                <w:rFonts w:hint="eastAsia" w:ascii="宋体" w:hAnsi="宋体" w:eastAsia="宋体" w:cs="宋体"/>
                <w:color w:val="auto"/>
                <w:sz w:val="22"/>
                <w:szCs w:val="22"/>
                <w:highlight w:val="none"/>
              </w:rPr>
              <w:t>最近</w:t>
            </w:r>
            <w:r>
              <w:rPr>
                <w:rFonts w:hint="eastAsia" w:ascii="宋体" w:hAnsi="宋体" w:eastAsia="宋体" w:cs="宋体"/>
                <w:color w:val="auto"/>
                <w:sz w:val="22"/>
                <w:szCs w:val="22"/>
                <w:highlight w:val="none"/>
                <w:lang w:val="en-US" w:eastAsia="zh-CN"/>
              </w:rPr>
              <w:t>三个月</w:t>
            </w:r>
            <w:r>
              <w:rPr>
                <w:rFonts w:hint="eastAsia" w:ascii="宋体" w:hAnsi="宋体" w:eastAsia="宋体" w:cs="宋体"/>
                <w:color w:val="auto"/>
                <w:sz w:val="22"/>
                <w:szCs w:val="22"/>
                <w:highlight w:val="none"/>
              </w:rPr>
              <w:t>的社保缴费证明扫描件，否则不得分）</w:t>
            </w:r>
          </w:p>
          <w:p w14:paraId="4192E873">
            <w:pPr>
              <w:pStyle w:val="18"/>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（3）采样人员：采样人员数量在6人及以上的得2分，少于6人不得分。（提供相关证书扫描件并加盖公章及最近三个月的社保缴费证明扫描件，否则不得分）</w:t>
            </w:r>
          </w:p>
        </w:tc>
      </w:tr>
      <w:tr w14:paraId="78B4607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59" w:type="pct"/>
            <w:vMerge w:val="continue"/>
            <w:vAlign w:val="center"/>
          </w:tcPr>
          <w:p w14:paraId="4172A3F0">
            <w:pPr>
              <w:rPr>
                <w:rFonts w:hint="eastAsia" w:ascii="宋体" w:hAnsi="宋体" w:eastAsia="宋体" w:cs="宋体"/>
                <w:color w:val="auto"/>
                <w:sz w:val="22"/>
                <w:szCs w:val="22"/>
                <w:highlight w:val="none"/>
              </w:rPr>
            </w:pPr>
          </w:p>
        </w:tc>
        <w:tc>
          <w:tcPr>
            <w:tcW w:w="806" w:type="pct"/>
            <w:vMerge w:val="continue"/>
            <w:vAlign w:val="center"/>
          </w:tcPr>
          <w:p w14:paraId="58683DA1">
            <w:pPr>
              <w:rPr>
                <w:rFonts w:hint="eastAsia" w:ascii="宋体" w:hAnsi="宋体" w:eastAsia="宋体" w:cs="宋体"/>
                <w:color w:val="auto"/>
                <w:sz w:val="22"/>
                <w:szCs w:val="22"/>
                <w:highlight w:val="none"/>
              </w:rPr>
            </w:pPr>
          </w:p>
        </w:tc>
        <w:tc>
          <w:tcPr>
            <w:tcW w:w="472" w:type="pct"/>
            <w:vAlign w:val="center"/>
          </w:tcPr>
          <w:p w14:paraId="497B01C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3363" w:type="pct"/>
            <w:vAlign w:val="center"/>
          </w:tcPr>
          <w:p w14:paraId="462F5E1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2023</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rPr>
              <w:t>1月1日</w:t>
            </w:r>
            <w:r>
              <w:rPr>
                <w:rFonts w:hint="eastAsia" w:ascii="宋体" w:hAnsi="宋体" w:eastAsia="宋体" w:cs="宋体"/>
                <w:color w:val="auto"/>
                <w:sz w:val="22"/>
                <w:szCs w:val="22"/>
                <w:highlight w:val="none"/>
                <w:lang w:val="zh-CN"/>
              </w:rPr>
              <w:t>以来承担过国家级或部级农业行政主管部门农产品类似项目，得</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分；承担过省级农业行政主管部门农产品类似项目，</w:t>
            </w:r>
            <w:r>
              <w:rPr>
                <w:rFonts w:hint="eastAsia" w:ascii="宋体" w:hAnsi="宋体" w:eastAsia="宋体" w:cs="宋体"/>
                <w:color w:val="auto"/>
                <w:sz w:val="22"/>
                <w:szCs w:val="22"/>
                <w:highlight w:val="none"/>
                <w:lang w:val="zh-CN" w:eastAsia="zh-CN"/>
              </w:rPr>
              <w:t>每个</w:t>
            </w:r>
            <w:r>
              <w:rPr>
                <w:rFonts w:hint="eastAsia" w:ascii="宋体" w:hAnsi="宋体" w:eastAsia="宋体" w:cs="宋体"/>
                <w:color w:val="auto"/>
                <w:sz w:val="22"/>
                <w:szCs w:val="22"/>
                <w:highlight w:val="none"/>
                <w:lang w:val="zh-CN"/>
              </w:rPr>
              <w:t>得</w:t>
            </w:r>
            <w:r>
              <w:rPr>
                <w:rFonts w:hint="eastAsia" w:ascii="宋体" w:hAnsi="宋体" w:eastAsia="宋体" w:cs="宋体"/>
                <w:color w:val="auto"/>
                <w:sz w:val="22"/>
                <w:szCs w:val="22"/>
                <w:highlight w:val="none"/>
                <w:lang w:val="en-US" w:eastAsia="zh-CN"/>
              </w:rPr>
              <w:t>0.8</w:t>
            </w:r>
            <w:r>
              <w:rPr>
                <w:rFonts w:hint="eastAsia" w:ascii="宋体" w:hAnsi="宋体" w:eastAsia="宋体" w:cs="宋体"/>
                <w:color w:val="auto"/>
                <w:sz w:val="22"/>
                <w:szCs w:val="22"/>
                <w:highlight w:val="none"/>
                <w:lang w:val="zh-CN"/>
              </w:rPr>
              <w:t>分；承担过地市级农业行政主管部门农产品类似项目，每个得</w:t>
            </w:r>
            <w:r>
              <w:rPr>
                <w:rFonts w:hint="eastAsia" w:ascii="宋体" w:hAnsi="宋体" w:eastAsia="宋体" w:cs="宋体"/>
                <w:color w:val="auto"/>
                <w:sz w:val="22"/>
                <w:szCs w:val="22"/>
                <w:highlight w:val="none"/>
                <w:lang w:val="en-US" w:eastAsia="zh-CN"/>
              </w:rPr>
              <w:t>0.6</w:t>
            </w:r>
            <w:r>
              <w:rPr>
                <w:rFonts w:hint="eastAsia" w:ascii="宋体" w:hAnsi="宋体" w:eastAsia="宋体" w:cs="宋体"/>
                <w:color w:val="auto"/>
                <w:sz w:val="22"/>
                <w:szCs w:val="22"/>
                <w:highlight w:val="none"/>
                <w:lang w:val="zh-CN"/>
              </w:rPr>
              <w:t>分。本项最高得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zh-CN"/>
              </w:rPr>
              <w:t>（提供项目合同等证明材料的复印件并加盖公章，否则不得分）。</w:t>
            </w:r>
          </w:p>
        </w:tc>
      </w:tr>
      <w:tr w14:paraId="1EB9188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59" w:type="pct"/>
            <w:vMerge w:val="continue"/>
            <w:vAlign w:val="center"/>
          </w:tcPr>
          <w:p w14:paraId="768CED57">
            <w:pPr>
              <w:rPr>
                <w:rFonts w:hint="eastAsia" w:ascii="宋体" w:hAnsi="宋体" w:eastAsia="宋体" w:cs="宋体"/>
                <w:color w:val="auto"/>
                <w:sz w:val="22"/>
                <w:szCs w:val="22"/>
                <w:highlight w:val="none"/>
              </w:rPr>
            </w:pPr>
          </w:p>
        </w:tc>
        <w:tc>
          <w:tcPr>
            <w:tcW w:w="806" w:type="pct"/>
            <w:vMerge w:val="continue"/>
            <w:vAlign w:val="center"/>
          </w:tcPr>
          <w:p w14:paraId="1F31483D">
            <w:pPr>
              <w:rPr>
                <w:rFonts w:hint="eastAsia" w:ascii="宋体" w:hAnsi="宋体" w:eastAsia="宋体" w:cs="宋体"/>
                <w:color w:val="auto"/>
                <w:sz w:val="22"/>
                <w:szCs w:val="22"/>
                <w:highlight w:val="none"/>
              </w:rPr>
            </w:pPr>
          </w:p>
        </w:tc>
        <w:tc>
          <w:tcPr>
            <w:tcW w:w="472" w:type="pct"/>
            <w:vAlign w:val="center"/>
          </w:tcPr>
          <w:p w14:paraId="3208974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0-3分</w:t>
            </w:r>
          </w:p>
        </w:tc>
        <w:tc>
          <w:tcPr>
            <w:tcW w:w="3363" w:type="pct"/>
            <w:vAlign w:val="center"/>
          </w:tcPr>
          <w:p w14:paraId="446049C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2"/>
                <w:szCs w:val="22"/>
                <w:highlight w:val="none"/>
                <w:lang w:val="en-US" w:eastAsia="zh-CN"/>
              </w:rPr>
              <w:t>2023</w:t>
            </w:r>
            <w:r>
              <w:rPr>
                <w:rFonts w:hint="eastAsia" w:ascii="宋体" w:hAnsi="宋体" w:eastAsia="宋体" w:cs="宋体"/>
                <w:color w:val="auto"/>
                <w:sz w:val="22"/>
                <w:szCs w:val="22"/>
                <w:highlight w:val="none"/>
              </w:rPr>
              <w:t>年1月1日至今连续</w:t>
            </w:r>
            <w:r>
              <w:rPr>
                <w:rFonts w:hint="eastAsia" w:ascii="宋体" w:hAnsi="宋体" w:eastAsia="宋体" w:cs="宋体"/>
                <w:color w:val="auto"/>
                <w:sz w:val="22"/>
                <w:szCs w:val="22"/>
                <w:highlight w:val="none"/>
                <w:lang w:eastAsia="zh-CN"/>
              </w:rPr>
              <w:t>二</w:t>
            </w:r>
            <w:r>
              <w:rPr>
                <w:rFonts w:hint="eastAsia" w:ascii="宋体" w:hAnsi="宋体" w:eastAsia="宋体" w:cs="宋体"/>
                <w:color w:val="auto"/>
                <w:sz w:val="22"/>
                <w:szCs w:val="22"/>
                <w:highlight w:val="none"/>
              </w:rPr>
              <w:t>年，参加农业部或</w:t>
            </w:r>
            <w:r>
              <w:rPr>
                <w:rFonts w:hint="eastAsia" w:ascii="宋体" w:hAnsi="宋体" w:eastAsia="宋体" w:cs="宋体"/>
                <w:color w:val="auto"/>
                <w:sz w:val="22"/>
                <w:szCs w:val="22"/>
                <w:highlight w:val="none"/>
                <w:lang w:eastAsia="zh-CN"/>
              </w:rPr>
              <w:t>浙江</w:t>
            </w:r>
            <w:r>
              <w:rPr>
                <w:rFonts w:hint="eastAsia" w:ascii="宋体" w:hAnsi="宋体" w:eastAsia="宋体" w:cs="宋体"/>
                <w:color w:val="auto"/>
                <w:sz w:val="22"/>
                <w:szCs w:val="22"/>
                <w:highlight w:val="none"/>
              </w:rPr>
              <w:t>省农药残留、兽药残留能力验证，结果全部合格的得3分，任一不合格或未参加不得分，此项最高得3分。（提供证明材料，不提供或证明材料显示为不合格的不得分）</w:t>
            </w:r>
          </w:p>
        </w:tc>
      </w:tr>
      <w:tr w14:paraId="05AF292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59" w:type="pct"/>
            <w:vMerge w:val="continue"/>
            <w:vAlign w:val="center"/>
          </w:tcPr>
          <w:p w14:paraId="37EB0BC7">
            <w:pPr>
              <w:rPr>
                <w:rFonts w:hint="eastAsia" w:ascii="宋体" w:hAnsi="宋体" w:eastAsia="宋体" w:cs="宋体"/>
                <w:color w:val="auto"/>
                <w:sz w:val="22"/>
                <w:szCs w:val="22"/>
                <w:highlight w:val="none"/>
              </w:rPr>
            </w:pPr>
          </w:p>
        </w:tc>
        <w:tc>
          <w:tcPr>
            <w:tcW w:w="806" w:type="pct"/>
            <w:vMerge w:val="continue"/>
            <w:vAlign w:val="center"/>
          </w:tcPr>
          <w:p w14:paraId="309D0303">
            <w:pPr>
              <w:rPr>
                <w:rFonts w:hint="eastAsia" w:ascii="宋体" w:hAnsi="宋体" w:eastAsia="宋体" w:cs="宋体"/>
                <w:color w:val="auto"/>
                <w:sz w:val="22"/>
                <w:szCs w:val="22"/>
                <w:highlight w:val="none"/>
              </w:rPr>
            </w:pPr>
          </w:p>
        </w:tc>
        <w:tc>
          <w:tcPr>
            <w:tcW w:w="472" w:type="pct"/>
            <w:vAlign w:val="center"/>
          </w:tcPr>
          <w:p w14:paraId="5466F95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3363" w:type="pct"/>
            <w:vAlign w:val="center"/>
          </w:tcPr>
          <w:p w14:paraId="56CC4771">
            <w:pPr>
              <w:pStyle w:val="24"/>
              <w:snapToGrid w:val="0"/>
              <w:spacing w:line="3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投标人具有国家实验室认可(CNAS)的，得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分；（提供证明材料，不提供的不得分。</w:t>
            </w:r>
          </w:p>
        </w:tc>
      </w:tr>
      <w:tr w14:paraId="30C86E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59" w:type="pct"/>
            <w:shd w:val="clear" w:color="auto" w:fill="auto"/>
            <w:vAlign w:val="center"/>
          </w:tcPr>
          <w:p w14:paraId="636618A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06" w:type="pct"/>
            <w:shd w:val="clear" w:color="auto" w:fill="auto"/>
            <w:vAlign w:val="center"/>
          </w:tcPr>
          <w:p w14:paraId="0318F74A">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项目质量管理保证及安全保证措施方案</w:t>
            </w:r>
          </w:p>
        </w:tc>
        <w:tc>
          <w:tcPr>
            <w:tcW w:w="472" w:type="pct"/>
            <w:shd w:val="clear" w:color="auto" w:fill="FFFFFF"/>
            <w:vAlign w:val="center"/>
          </w:tcPr>
          <w:p w14:paraId="7F5260B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0-10分</w:t>
            </w:r>
          </w:p>
        </w:tc>
        <w:tc>
          <w:tcPr>
            <w:tcW w:w="3363" w:type="pct"/>
            <w:vAlign w:val="center"/>
          </w:tcPr>
          <w:p w14:paraId="204CC97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1、根据供应商的项目质量管理保证、安全保证措施方案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满分5分（评分范围：5,4,3,2,1,0）；</w:t>
            </w:r>
          </w:p>
          <w:p w14:paraId="2533E64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2、针对本项目制定的紧急预案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满分5分（评分范围：5,4,3,2,1,0）</w:t>
            </w:r>
            <w:r>
              <w:rPr>
                <w:rFonts w:hint="eastAsia" w:ascii="宋体" w:hAnsi="宋体" w:eastAsia="宋体" w:cs="宋体"/>
                <w:color w:val="auto"/>
                <w:sz w:val="22"/>
                <w:szCs w:val="22"/>
                <w:highlight w:val="none"/>
              </w:rPr>
              <w:t>。</w:t>
            </w:r>
          </w:p>
        </w:tc>
      </w:tr>
      <w:tr w14:paraId="64BEA3F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59" w:type="pct"/>
            <w:shd w:val="clear" w:color="auto" w:fill="auto"/>
            <w:vAlign w:val="center"/>
          </w:tcPr>
          <w:p w14:paraId="03EFF92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06" w:type="pct"/>
            <w:shd w:val="clear" w:color="auto" w:fill="auto"/>
            <w:vAlign w:val="center"/>
          </w:tcPr>
          <w:p w14:paraId="4D502A4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增值或者配套技术服务</w:t>
            </w:r>
          </w:p>
        </w:tc>
        <w:tc>
          <w:tcPr>
            <w:tcW w:w="472" w:type="pct"/>
            <w:shd w:val="clear" w:color="auto" w:fill="FFFFFF"/>
            <w:vAlign w:val="center"/>
          </w:tcPr>
          <w:p w14:paraId="6A505F3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c>
          <w:tcPr>
            <w:tcW w:w="3363" w:type="pct"/>
            <w:vAlign w:val="center"/>
          </w:tcPr>
          <w:p w14:paraId="31296FD4">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根据投标人能提供检测结果分析报告及提供培训技术服务情况打分</w:t>
            </w:r>
            <w:r>
              <w:rPr>
                <w:rFonts w:hint="eastAsia" w:ascii="宋体" w:hAnsi="宋体" w:eastAsia="宋体" w:cs="宋体"/>
                <w:color w:val="auto"/>
                <w:sz w:val="22"/>
                <w:szCs w:val="22"/>
                <w:highlight w:val="none"/>
                <w:lang w:eastAsia="zh-CN"/>
              </w:rPr>
              <w:t>：</w:t>
            </w:r>
          </w:p>
          <w:p w14:paraId="636CAE3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提供检测结果分析报告</w:t>
            </w:r>
            <w:r>
              <w:rPr>
                <w:rFonts w:hint="eastAsia" w:ascii="宋体" w:hAnsi="宋体" w:eastAsia="宋体" w:cs="宋体"/>
                <w:color w:val="auto"/>
                <w:sz w:val="22"/>
                <w:szCs w:val="22"/>
                <w:highlight w:val="none"/>
                <w:lang w:eastAsia="zh-CN"/>
              </w:rPr>
              <w:t>范例</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D24F64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2.如能提供培训技术服务相关证明的得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分，此项最高得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分。（需提供合同等证明材料复印件并加盖公章）。</w:t>
            </w:r>
          </w:p>
        </w:tc>
      </w:tr>
    </w:tbl>
    <w:p w14:paraId="7B07DCD9">
      <w:pPr>
        <w:spacing w:line="46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注</w:t>
      </w:r>
    </w:p>
    <w:p w14:paraId="22F45B82">
      <w:pPr>
        <w:numPr>
          <w:ilvl w:val="0"/>
          <w:numId w:val="9"/>
        </w:numPr>
        <w:spacing w:line="460" w:lineRule="exact"/>
        <w:ind w:firstLine="331" w:firstLineChars="150"/>
        <w:rPr>
          <w:rFonts w:hint="eastAsia" w:ascii="宋体" w:hAnsi="宋体" w:cs="宋体"/>
          <w:b/>
          <w:bCs/>
          <w:color w:val="auto"/>
          <w:kern w:val="0"/>
          <w:sz w:val="22"/>
          <w:szCs w:val="22"/>
          <w:highlight w:val="none"/>
        </w:rPr>
      </w:pPr>
      <w:r>
        <w:rPr>
          <w:rFonts w:hint="eastAsia" w:ascii="宋体" w:hAnsi="宋体" w:cs="宋体"/>
          <w:b/>
          <w:color w:val="auto"/>
          <w:kern w:val="0"/>
          <w:sz w:val="22"/>
          <w:szCs w:val="22"/>
          <w:highlight w:val="none"/>
        </w:rPr>
        <w:t>业绩评分项：</w:t>
      </w:r>
      <w:r>
        <w:rPr>
          <w:rFonts w:hint="eastAsia" w:ascii="宋体" w:hAnsi="宋体" w:cs="宋体"/>
          <w:b/>
          <w:bCs/>
          <w:color w:val="auto"/>
          <w:kern w:val="0"/>
          <w:sz w:val="22"/>
          <w:szCs w:val="22"/>
          <w:highlight w:val="none"/>
        </w:rPr>
        <w:t>对省级以上主管部门认定的首台套产品，自纳入《省推广应用指导目录》起三年内参加政府采购活动，视同已具备相应销售业绩，业绩分为满分。</w:t>
      </w:r>
    </w:p>
    <w:p w14:paraId="7BF07095">
      <w:pPr>
        <w:pStyle w:val="84"/>
        <w:numPr>
          <w:ilvl w:val="0"/>
          <w:numId w:val="9"/>
        </w:numPr>
        <w:ind w:firstLineChars="0"/>
        <w:rPr>
          <w:rFonts w:hint="eastAsia" w:ascii="宋体" w:hAnsi="宋体" w:cs="宋体"/>
          <w:b/>
          <w:color w:val="auto"/>
          <w:highlight w:val="none"/>
        </w:rPr>
      </w:pPr>
      <w:r>
        <w:rPr>
          <w:rFonts w:hint="eastAsia" w:ascii="宋体" w:hAnsi="宋体" w:cs="宋体"/>
          <w:b/>
          <w:color w:val="auto"/>
          <w:sz w:val="22"/>
          <w:szCs w:val="22"/>
          <w:highlight w:val="none"/>
          <w:lang w:bidi="ar"/>
        </w:rPr>
        <w:t>节能环保评分项：</w:t>
      </w:r>
      <w:r>
        <w:rPr>
          <w:rFonts w:hint="eastAsia" w:ascii="宋体" w:hAnsi="宋体" w:cs="宋体"/>
          <w:b/>
          <w:color w:val="auto"/>
          <w:kern w:val="0"/>
          <w:sz w:val="22"/>
          <w:szCs w:val="22"/>
          <w:highlight w:val="none"/>
          <w:lang w:bidi="ar"/>
        </w:rPr>
        <w:t>《节能（环境标志）产品政府采购品目清单</w:t>
      </w:r>
      <w:r>
        <w:rPr>
          <w:rFonts w:hint="eastAsia" w:ascii="宋体" w:hAnsi="宋体" w:cs="宋体"/>
          <w:color w:val="auto"/>
          <w:kern w:val="0"/>
          <w:sz w:val="22"/>
          <w:szCs w:val="22"/>
          <w:highlight w:val="none"/>
          <w:lang w:bidi="ar"/>
        </w:rPr>
        <w:t>》</w:t>
      </w:r>
      <w:r>
        <w:rPr>
          <w:rFonts w:hint="eastAsia" w:ascii="宋体" w:hAnsi="宋体" w:cs="宋体"/>
          <w:b/>
          <w:color w:val="auto"/>
          <w:kern w:val="0"/>
          <w:sz w:val="22"/>
          <w:szCs w:val="22"/>
          <w:highlight w:val="none"/>
          <w:lang w:bidi="ar"/>
        </w:rPr>
        <w:t>见</w:t>
      </w:r>
      <w:r>
        <w:rPr>
          <w:color w:val="auto"/>
          <w:highlight w:val="none"/>
        </w:rPr>
        <w:fldChar w:fldCharType="begin"/>
      </w:r>
      <w:r>
        <w:rPr>
          <w:color w:val="auto"/>
          <w:highlight w:val="none"/>
        </w:rPr>
        <w:instrText xml:space="preserve"> HYPERLINK "http://www.ccgp.gov.cn/jnhb/jnhbqd/" </w:instrText>
      </w:r>
      <w:r>
        <w:rPr>
          <w:color w:val="auto"/>
          <w:highlight w:val="none"/>
        </w:rPr>
        <w:fldChar w:fldCharType="separate"/>
      </w:r>
      <w:r>
        <w:rPr>
          <w:rStyle w:val="50"/>
          <w:rFonts w:hint="eastAsia" w:ascii="宋体" w:hAnsi="宋体" w:cs="宋体"/>
          <w:b/>
          <w:color w:val="auto"/>
          <w:highlight w:val="none"/>
        </w:rPr>
        <w:t>http://www.ccgp.gov.cn/jnhb/jnhbqd/</w:t>
      </w:r>
      <w:r>
        <w:rPr>
          <w:rStyle w:val="50"/>
          <w:rFonts w:hint="eastAsia" w:ascii="宋体" w:hAnsi="宋体" w:cs="宋体"/>
          <w:b/>
          <w:color w:val="auto"/>
          <w:highlight w:val="none"/>
        </w:rPr>
        <w:fldChar w:fldCharType="end"/>
      </w:r>
      <w:r>
        <w:rPr>
          <w:rFonts w:hint="eastAsia" w:ascii="宋体" w:hAnsi="宋体" w:cs="宋体"/>
          <w:b/>
          <w:color w:val="auto"/>
          <w:highlight w:val="none"/>
        </w:rPr>
        <w:t>。</w:t>
      </w:r>
    </w:p>
    <w:p w14:paraId="1B29A727">
      <w:pPr>
        <w:pStyle w:val="84"/>
        <w:numPr>
          <w:ilvl w:val="0"/>
          <w:numId w:val="9"/>
        </w:numPr>
        <w:ind w:firstLineChars="0"/>
        <w:rPr>
          <w:rFonts w:hint="eastAsia" w:ascii="宋体" w:hAnsi="宋体" w:cs="宋体"/>
          <w:b/>
          <w:color w:val="auto"/>
          <w:sz w:val="22"/>
          <w:highlight w:val="none"/>
        </w:rPr>
      </w:pPr>
      <w:r>
        <w:rPr>
          <w:rFonts w:hint="eastAsia" w:ascii="宋体" w:hAnsi="宋体" w:cs="宋体"/>
          <w:b/>
          <w:color w:val="auto"/>
          <w:sz w:val="22"/>
          <w:highlight w:val="none"/>
        </w:rPr>
        <w:t>每个供应商最终得分=技术资信部分分值（所有评标委员会成员打分的算术平均值）＋商务报价部分分值。</w:t>
      </w:r>
    </w:p>
    <w:p w14:paraId="1A432FE9">
      <w:pPr>
        <w:widowControl/>
        <w:autoSpaceDE w:val="0"/>
        <w:autoSpaceDN w:val="0"/>
        <w:adjustRightInd w:val="0"/>
        <w:spacing w:line="460" w:lineRule="atLeast"/>
        <w:ind w:firstLine="420" w:firstLineChars="200"/>
        <w:textAlignment w:val="bottom"/>
        <w:rPr>
          <w:rFonts w:hint="eastAsia" w:ascii="宋体" w:hAnsi="宋体" w:cs="宋体"/>
          <w:color w:val="auto"/>
          <w:sz w:val="22"/>
          <w:highlight w:val="none"/>
        </w:rPr>
      </w:pPr>
      <w:r>
        <w:rPr>
          <w:rFonts w:hint="eastAsia" w:ascii="宋体" w:hAnsi="宋体" w:cs="宋体"/>
          <w:color w:val="auto"/>
          <w:szCs w:val="21"/>
          <w:highlight w:val="none"/>
        </w:rPr>
        <w:t>三</w:t>
      </w:r>
      <w:r>
        <w:rPr>
          <w:rFonts w:hint="eastAsia" w:ascii="宋体" w:hAnsi="宋体" w:cs="宋体"/>
          <w:color w:val="auto"/>
          <w:sz w:val="22"/>
          <w:highlight w:val="none"/>
        </w:rPr>
        <w:t>、注意事项</w:t>
      </w:r>
    </w:p>
    <w:p w14:paraId="10A99A13">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为确保评标工作的顺利进行，防止因泄密或其它意外而造成不良后果及影响，凡参加评标工作的人员都必须认真执行下面规定：</w:t>
      </w:r>
    </w:p>
    <w:p w14:paraId="127EC691">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1． 在评标工作期间，所有分发的投标文件、资料等仅限于在评标场所中使用，不得带往其它地方。</w:t>
      </w:r>
    </w:p>
    <w:p w14:paraId="50187367">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2． 评标人员及工作人员不得在公共场合谈论有关评标内容。</w:t>
      </w:r>
    </w:p>
    <w:p w14:paraId="62826F1B">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14:paraId="00B72DD2">
      <w:pPr>
        <w:widowControl/>
        <w:autoSpaceDE w:val="0"/>
        <w:autoSpaceDN w:val="0"/>
        <w:adjustRightInd w:val="0"/>
        <w:spacing w:line="460" w:lineRule="atLeast"/>
        <w:ind w:firstLine="440"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4． 任何需要向投标供应商进行询标的问题必须经评标委员会成员签字并由主询标人提出。在询标期间，对于涉及本规定保密范畴的所有内容，主询标人不得向投标供应商透露。</w:t>
      </w:r>
    </w:p>
    <w:p w14:paraId="57F754FD">
      <w:pPr>
        <w:widowControl/>
        <w:autoSpaceDE w:val="0"/>
        <w:autoSpaceDN w:val="0"/>
        <w:adjustRightInd w:val="0"/>
        <w:spacing w:line="460" w:lineRule="atLeast"/>
        <w:ind w:firstLine="440" w:firstLineChars="200"/>
        <w:textAlignment w:val="bottom"/>
        <w:rPr>
          <w:rFonts w:hint="eastAsia" w:ascii="宋体" w:hAnsi="宋体" w:cs="宋体"/>
          <w:color w:val="auto"/>
          <w:szCs w:val="21"/>
          <w:highlight w:val="none"/>
        </w:rPr>
      </w:pPr>
      <w:r>
        <w:rPr>
          <w:rFonts w:hint="eastAsia" w:ascii="宋体" w:hAnsi="宋体" w:cs="宋体"/>
          <w:color w:val="auto"/>
          <w:sz w:val="22"/>
          <w:highlight w:val="none"/>
        </w:rPr>
        <w:t>5． 任何评标人员和工作人员不得对外公布评标的一切内容。</w:t>
      </w:r>
    </w:p>
    <w:sectPr>
      <w:headerReference r:id="rId15" w:type="first"/>
      <w:headerReference r:id="rId14" w:type="default"/>
      <w:footerReference r:id="rId16" w:type="defaul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295D">
    <w:pPr>
      <w:pStyle w:val="28"/>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0125">
    <w:pPr>
      <w:pStyle w:val="28"/>
      <w:framePr w:wrap="around" w:vAnchor="text" w:hAnchor="margin" w:xAlign="center" w:y="1"/>
      <w:rPr>
        <w:rStyle w:val="47"/>
      </w:rPr>
    </w:pPr>
    <w:r>
      <w:fldChar w:fldCharType="begin"/>
    </w:r>
    <w:r>
      <w:rPr>
        <w:rStyle w:val="47"/>
      </w:rPr>
      <w:instrText xml:space="preserve">PAGE  </w:instrText>
    </w:r>
    <w:r>
      <w:fldChar w:fldCharType="end"/>
    </w:r>
  </w:p>
  <w:p w14:paraId="0BE61DA2">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96582"/>
      <w:showingPlcHdr/>
    </w:sdtPr>
    <w:sdtContent>
      <w:p w14:paraId="3A84091F">
        <w:pPr>
          <w:pStyle w:val="28"/>
          <w:jc w:val="center"/>
        </w:pPr>
      </w:p>
    </w:sdtContent>
  </w:sdt>
  <w:p w14:paraId="3353629C">
    <w:pPr>
      <w:pStyle w:val="28"/>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05A3">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12</w:t>
    </w:r>
    <w:r>
      <w:fldChar w:fldCharType="end"/>
    </w:r>
  </w:p>
  <w:p w14:paraId="14E564B0">
    <w:pPr>
      <w:pStyle w:val="28"/>
      <w:tabs>
        <w:tab w:val="left" w:pos="5820"/>
        <w:tab w:val="clear" w:pos="4153"/>
        <w:tab w:val="clear" w:pos="8306"/>
      </w:tabs>
      <w:ind w:right="990"/>
      <w:jc w:val="right"/>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400974"/>
    </w:sdtPr>
    <w:sdtContent>
      <w:p w14:paraId="789810F4">
        <w:pPr>
          <w:pStyle w:val="28"/>
          <w:jc w:val="center"/>
        </w:pPr>
        <w:r>
          <w:fldChar w:fldCharType="begin"/>
        </w:r>
        <w:r>
          <w:instrText xml:space="preserve"> PAGE   \* MERGEFORMAT </w:instrText>
        </w:r>
        <w:r>
          <w:fldChar w:fldCharType="separate"/>
        </w:r>
        <w:r>
          <w:rPr>
            <w:lang w:val="zh-CN"/>
          </w:rPr>
          <w:t>1</w:t>
        </w:r>
        <w:r>
          <w:rPr>
            <w:lang w:val="zh-CN"/>
          </w:rPr>
          <w:fldChar w:fldCharType="end"/>
        </w:r>
      </w:p>
    </w:sdtContent>
  </w:sdt>
  <w:p w14:paraId="59857FCD">
    <w:pPr>
      <w:pStyle w:val="28"/>
      <w:ind w:right="720"/>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F1E1">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48</w:t>
    </w:r>
    <w:r>
      <w:rPr>
        <w:rFonts w:ascii="宋体"/>
      </w:rPr>
      <w:fldChar w:fldCharType="end"/>
    </w:r>
  </w:p>
  <w:p w14:paraId="7AD0CA03">
    <w:pPr>
      <w:pStyle w:val="28"/>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C3AB">
    <w:pPr>
      <w:pStyle w:val="28"/>
      <w:framePr w:wrap="around" w:vAnchor="text" w:hAnchor="page" w:x="5719" w:y="18"/>
      <w:rPr>
        <w:rStyle w:val="47"/>
        <w:rFonts w:ascii="宋体"/>
      </w:rPr>
    </w:pPr>
    <w:r>
      <w:rPr>
        <w:rFonts w:ascii="宋体"/>
      </w:rPr>
      <w:fldChar w:fldCharType="begin"/>
    </w:r>
    <w:r>
      <w:rPr>
        <w:rStyle w:val="47"/>
        <w:rFonts w:ascii="宋体"/>
      </w:rPr>
      <w:instrText xml:space="preserve">PAGE  </w:instrText>
    </w:r>
    <w:r>
      <w:rPr>
        <w:rFonts w:ascii="宋体"/>
      </w:rPr>
      <w:fldChar w:fldCharType="separate"/>
    </w:r>
    <w:r>
      <w:rPr>
        <w:rStyle w:val="47"/>
        <w:rFonts w:ascii="宋体"/>
      </w:rPr>
      <w:t>53</w:t>
    </w:r>
    <w:r>
      <w:rPr>
        <w:rFonts w:ascii="宋体"/>
      </w:rPr>
      <w:fldChar w:fldCharType="end"/>
    </w:r>
  </w:p>
  <w:p w14:paraId="19112E17">
    <w:pPr>
      <w:pStyle w:val="28"/>
      <w:ind w:right="720"/>
      <w:jc w:val="right"/>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64CB">
    <w:pPr>
      <w:pStyle w:val="29"/>
      <w:jc w:val="both"/>
    </w:pPr>
    <w:r>
      <w:rPr>
        <w:rFonts w:hint="eastAsia"/>
      </w:rPr>
      <w:t>政府招标文件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4957">
    <w:pPr>
      <w:pStyle w:val="29"/>
      <w:jc w:val="both"/>
    </w:pPr>
    <w:r>
      <w:rPr>
        <w:rFonts w:hint="eastAsia"/>
      </w:rPr>
      <w:t>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6DE3">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C0F5">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B206">
    <w:pPr>
      <w:pStyle w:val="29"/>
      <w:jc w:val="both"/>
      <w:rPr>
        <w:rFonts w:ascii="宋体"/>
        <w:b/>
      </w:rPr>
    </w:pPr>
    <w:r>
      <w:rPr>
        <w:rFonts w:hint="eastAsia" w:ascii="宋体"/>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8E5C">
    <w:pPr>
      <w:pStyle w:val="29"/>
      <w:jc w:val="both"/>
      <w:rPr>
        <w:rFonts w:ascii="宋体"/>
        <w:b/>
      </w:rPr>
    </w:pPr>
    <w:r>
      <w:rPr>
        <w:rFonts w:hint="eastAsia" w:ascii="宋体"/>
        <w:b/>
      </w:rPr>
      <w:t>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3950A">
    <w:pPr>
      <w:pStyle w:val="29"/>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DDA8F5F"/>
    <w:multiLevelType w:val="singleLevel"/>
    <w:tmpl w:val="1DDA8F5F"/>
    <w:lvl w:ilvl="0" w:tentative="0">
      <w:start w:val="4"/>
      <w:numFmt w:val="decimal"/>
      <w:suff w:val="nothing"/>
      <w:lvlText w:val="%1、"/>
      <w:lvlJc w:val="left"/>
    </w:lvl>
  </w:abstractNum>
  <w:abstractNum w:abstractNumId="5">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6C07C839"/>
    <w:multiLevelType w:val="singleLevel"/>
    <w:tmpl w:val="6C07C839"/>
    <w:lvl w:ilvl="0" w:tentative="0">
      <w:start w:val="1"/>
      <w:numFmt w:val="decimal"/>
      <w:suff w:val="nothing"/>
      <w:lvlText w:val="（%1）"/>
      <w:lvlJc w:val="left"/>
    </w:lvl>
  </w:abstractNum>
  <w:abstractNum w:abstractNumId="7">
    <w:nsid w:val="773750BF"/>
    <w:multiLevelType w:val="multilevel"/>
    <w:tmpl w:val="773750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MzRhNGU0YTJiZGQzZDEyM2Q3ZGQ2YTc1YTRjNGEifQ=="/>
  </w:docVars>
  <w:rsids>
    <w:rsidRoot w:val="00AF6227"/>
    <w:rsid w:val="0000005C"/>
    <w:rsid w:val="00002061"/>
    <w:rsid w:val="000020A8"/>
    <w:rsid w:val="000025D0"/>
    <w:rsid w:val="0000311A"/>
    <w:rsid w:val="0000333D"/>
    <w:rsid w:val="0000391E"/>
    <w:rsid w:val="00005613"/>
    <w:rsid w:val="00005A48"/>
    <w:rsid w:val="00006A42"/>
    <w:rsid w:val="00007907"/>
    <w:rsid w:val="00007A30"/>
    <w:rsid w:val="0001039F"/>
    <w:rsid w:val="00011410"/>
    <w:rsid w:val="0001323D"/>
    <w:rsid w:val="00013DE8"/>
    <w:rsid w:val="0001559D"/>
    <w:rsid w:val="000163FB"/>
    <w:rsid w:val="00017269"/>
    <w:rsid w:val="00017C20"/>
    <w:rsid w:val="00021D1D"/>
    <w:rsid w:val="00024C7A"/>
    <w:rsid w:val="00024FDE"/>
    <w:rsid w:val="00025079"/>
    <w:rsid w:val="00026E94"/>
    <w:rsid w:val="00027072"/>
    <w:rsid w:val="00027A5C"/>
    <w:rsid w:val="00030140"/>
    <w:rsid w:val="00030435"/>
    <w:rsid w:val="00030615"/>
    <w:rsid w:val="00030C19"/>
    <w:rsid w:val="00030C61"/>
    <w:rsid w:val="0003197C"/>
    <w:rsid w:val="000335A6"/>
    <w:rsid w:val="000352D7"/>
    <w:rsid w:val="000356EA"/>
    <w:rsid w:val="00037F27"/>
    <w:rsid w:val="000410B8"/>
    <w:rsid w:val="00041F1F"/>
    <w:rsid w:val="00042A65"/>
    <w:rsid w:val="00042F61"/>
    <w:rsid w:val="000430D7"/>
    <w:rsid w:val="0004325C"/>
    <w:rsid w:val="00043D81"/>
    <w:rsid w:val="00044563"/>
    <w:rsid w:val="00044A09"/>
    <w:rsid w:val="0004559B"/>
    <w:rsid w:val="00046E9A"/>
    <w:rsid w:val="00050219"/>
    <w:rsid w:val="00051F29"/>
    <w:rsid w:val="0005220E"/>
    <w:rsid w:val="00053BE2"/>
    <w:rsid w:val="00053D63"/>
    <w:rsid w:val="00054613"/>
    <w:rsid w:val="00054A1A"/>
    <w:rsid w:val="00054CDE"/>
    <w:rsid w:val="0005556E"/>
    <w:rsid w:val="000605C8"/>
    <w:rsid w:val="00060FB3"/>
    <w:rsid w:val="00061B13"/>
    <w:rsid w:val="00062A47"/>
    <w:rsid w:val="0006310B"/>
    <w:rsid w:val="000634EC"/>
    <w:rsid w:val="0006355C"/>
    <w:rsid w:val="00064919"/>
    <w:rsid w:val="00064B20"/>
    <w:rsid w:val="00064C44"/>
    <w:rsid w:val="00064C6E"/>
    <w:rsid w:val="00065845"/>
    <w:rsid w:val="000676E6"/>
    <w:rsid w:val="0006788E"/>
    <w:rsid w:val="0007127B"/>
    <w:rsid w:val="00072943"/>
    <w:rsid w:val="00073DCC"/>
    <w:rsid w:val="00074EF5"/>
    <w:rsid w:val="00075082"/>
    <w:rsid w:val="000776B7"/>
    <w:rsid w:val="00077E2F"/>
    <w:rsid w:val="00080672"/>
    <w:rsid w:val="00080BE8"/>
    <w:rsid w:val="00081438"/>
    <w:rsid w:val="0008180F"/>
    <w:rsid w:val="00082ACA"/>
    <w:rsid w:val="0008321E"/>
    <w:rsid w:val="000836EA"/>
    <w:rsid w:val="000842D2"/>
    <w:rsid w:val="000843FA"/>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3C07"/>
    <w:rsid w:val="000941F0"/>
    <w:rsid w:val="0009444B"/>
    <w:rsid w:val="000944AD"/>
    <w:rsid w:val="000945AF"/>
    <w:rsid w:val="00094AAF"/>
    <w:rsid w:val="000953C4"/>
    <w:rsid w:val="00095548"/>
    <w:rsid w:val="00095570"/>
    <w:rsid w:val="000956DF"/>
    <w:rsid w:val="0009590D"/>
    <w:rsid w:val="00095E6A"/>
    <w:rsid w:val="0009608E"/>
    <w:rsid w:val="00096711"/>
    <w:rsid w:val="00097189"/>
    <w:rsid w:val="000A0293"/>
    <w:rsid w:val="000A1491"/>
    <w:rsid w:val="000A1E95"/>
    <w:rsid w:val="000A23C6"/>
    <w:rsid w:val="000A24D9"/>
    <w:rsid w:val="000A26E7"/>
    <w:rsid w:val="000A318D"/>
    <w:rsid w:val="000A3745"/>
    <w:rsid w:val="000A4FB6"/>
    <w:rsid w:val="000A533B"/>
    <w:rsid w:val="000A596D"/>
    <w:rsid w:val="000A5A41"/>
    <w:rsid w:val="000A5EBC"/>
    <w:rsid w:val="000A7AB5"/>
    <w:rsid w:val="000B02A3"/>
    <w:rsid w:val="000B0393"/>
    <w:rsid w:val="000B0648"/>
    <w:rsid w:val="000B096D"/>
    <w:rsid w:val="000B1353"/>
    <w:rsid w:val="000B3313"/>
    <w:rsid w:val="000B44B5"/>
    <w:rsid w:val="000B5045"/>
    <w:rsid w:val="000B52ED"/>
    <w:rsid w:val="000B6938"/>
    <w:rsid w:val="000B7114"/>
    <w:rsid w:val="000B7352"/>
    <w:rsid w:val="000B7A57"/>
    <w:rsid w:val="000C0973"/>
    <w:rsid w:val="000C0AF8"/>
    <w:rsid w:val="000C0E8E"/>
    <w:rsid w:val="000C139D"/>
    <w:rsid w:val="000C1A09"/>
    <w:rsid w:val="000C2BB1"/>
    <w:rsid w:val="000C2ED9"/>
    <w:rsid w:val="000C3605"/>
    <w:rsid w:val="000C3931"/>
    <w:rsid w:val="000C3F83"/>
    <w:rsid w:val="000C5181"/>
    <w:rsid w:val="000C568A"/>
    <w:rsid w:val="000C59AC"/>
    <w:rsid w:val="000C5C41"/>
    <w:rsid w:val="000C783C"/>
    <w:rsid w:val="000C7DFA"/>
    <w:rsid w:val="000D0CE1"/>
    <w:rsid w:val="000D1234"/>
    <w:rsid w:val="000D12CD"/>
    <w:rsid w:val="000D139B"/>
    <w:rsid w:val="000D1D8D"/>
    <w:rsid w:val="000D1E63"/>
    <w:rsid w:val="000D26C8"/>
    <w:rsid w:val="000D3854"/>
    <w:rsid w:val="000D3866"/>
    <w:rsid w:val="000D4569"/>
    <w:rsid w:val="000D4B9A"/>
    <w:rsid w:val="000D5398"/>
    <w:rsid w:val="000D5EB4"/>
    <w:rsid w:val="000D6053"/>
    <w:rsid w:val="000D64E5"/>
    <w:rsid w:val="000E024B"/>
    <w:rsid w:val="000E09BF"/>
    <w:rsid w:val="000E118B"/>
    <w:rsid w:val="000E1253"/>
    <w:rsid w:val="000E1A2A"/>
    <w:rsid w:val="000E21CE"/>
    <w:rsid w:val="000E24CD"/>
    <w:rsid w:val="000E3977"/>
    <w:rsid w:val="000E3B25"/>
    <w:rsid w:val="000E4034"/>
    <w:rsid w:val="000E4481"/>
    <w:rsid w:val="000E4776"/>
    <w:rsid w:val="000E4C02"/>
    <w:rsid w:val="000E4EF2"/>
    <w:rsid w:val="000E50E0"/>
    <w:rsid w:val="000E63BA"/>
    <w:rsid w:val="000E6A7B"/>
    <w:rsid w:val="000E6E6A"/>
    <w:rsid w:val="000F088D"/>
    <w:rsid w:val="000F115A"/>
    <w:rsid w:val="000F188F"/>
    <w:rsid w:val="000F2120"/>
    <w:rsid w:val="000F2200"/>
    <w:rsid w:val="000F2B22"/>
    <w:rsid w:val="000F35E2"/>
    <w:rsid w:val="000F39AA"/>
    <w:rsid w:val="000F3C69"/>
    <w:rsid w:val="000F4740"/>
    <w:rsid w:val="000F61EC"/>
    <w:rsid w:val="0010035B"/>
    <w:rsid w:val="0010063E"/>
    <w:rsid w:val="001007F1"/>
    <w:rsid w:val="001014AF"/>
    <w:rsid w:val="0010229C"/>
    <w:rsid w:val="0010279A"/>
    <w:rsid w:val="00104584"/>
    <w:rsid w:val="00107410"/>
    <w:rsid w:val="001103F5"/>
    <w:rsid w:val="001108DE"/>
    <w:rsid w:val="00110F7D"/>
    <w:rsid w:val="00111825"/>
    <w:rsid w:val="001124B3"/>
    <w:rsid w:val="00112BF0"/>
    <w:rsid w:val="00112E48"/>
    <w:rsid w:val="0011301B"/>
    <w:rsid w:val="0011326C"/>
    <w:rsid w:val="00113862"/>
    <w:rsid w:val="00113DEA"/>
    <w:rsid w:val="0011494F"/>
    <w:rsid w:val="00114D55"/>
    <w:rsid w:val="00115FCC"/>
    <w:rsid w:val="00116893"/>
    <w:rsid w:val="001178CF"/>
    <w:rsid w:val="00123CC4"/>
    <w:rsid w:val="00123D6A"/>
    <w:rsid w:val="00125555"/>
    <w:rsid w:val="00125B54"/>
    <w:rsid w:val="00126530"/>
    <w:rsid w:val="00127130"/>
    <w:rsid w:val="00127AB3"/>
    <w:rsid w:val="00130065"/>
    <w:rsid w:val="00133381"/>
    <w:rsid w:val="0013430F"/>
    <w:rsid w:val="00135824"/>
    <w:rsid w:val="001361BD"/>
    <w:rsid w:val="00140B8B"/>
    <w:rsid w:val="0014129F"/>
    <w:rsid w:val="00141F27"/>
    <w:rsid w:val="00143C54"/>
    <w:rsid w:val="00144918"/>
    <w:rsid w:val="001455C9"/>
    <w:rsid w:val="00145A19"/>
    <w:rsid w:val="00146232"/>
    <w:rsid w:val="001463A9"/>
    <w:rsid w:val="00146555"/>
    <w:rsid w:val="00146D9B"/>
    <w:rsid w:val="00146EE0"/>
    <w:rsid w:val="001502BC"/>
    <w:rsid w:val="00151F6C"/>
    <w:rsid w:val="001542FA"/>
    <w:rsid w:val="0015469B"/>
    <w:rsid w:val="001546D2"/>
    <w:rsid w:val="001550AC"/>
    <w:rsid w:val="0015553F"/>
    <w:rsid w:val="00155860"/>
    <w:rsid w:val="00155BCA"/>
    <w:rsid w:val="00155E47"/>
    <w:rsid w:val="00155F48"/>
    <w:rsid w:val="00156EEE"/>
    <w:rsid w:val="001575D4"/>
    <w:rsid w:val="001579B6"/>
    <w:rsid w:val="00161E2A"/>
    <w:rsid w:val="0016216C"/>
    <w:rsid w:val="00163794"/>
    <w:rsid w:val="00163B70"/>
    <w:rsid w:val="00163D03"/>
    <w:rsid w:val="001655BA"/>
    <w:rsid w:val="00165673"/>
    <w:rsid w:val="001660B2"/>
    <w:rsid w:val="00166F8C"/>
    <w:rsid w:val="001673E0"/>
    <w:rsid w:val="00167C28"/>
    <w:rsid w:val="001705F9"/>
    <w:rsid w:val="00171516"/>
    <w:rsid w:val="001721E5"/>
    <w:rsid w:val="001727E7"/>
    <w:rsid w:val="00173674"/>
    <w:rsid w:val="00173B7B"/>
    <w:rsid w:val="001748DC"/>
    <w:rsid w:val="001758C8"/>
    <w:rsid w:val="00175D42"/>
    <w:rsid w:val="00175D54"/>
    <w:rsid w:val="00175DAB"/>
    <w:rsid w:val="00176208"/>
    <w:rsid w:val="00176D09"/>
    <w:rsid w:val="00176E72"/>
    <w:rsid w:val="00177960"/>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735"/>
    <w:rsid w:val="00191910"/>
    <w:rsid w:val="0019298D"/>
    <w:rsid w:val="00192EA7"/>
    <w:rsid w:val="001931EF"/>
    <w:rsid w:val="0019325A"/>
    <w:rsid w:val="0019385C"/>
    <w:rsid w:val="00193BBC"/>
    <w:rsid w:val="00194588"/>
    <w:rsid w:val="0019461A"/>
    <w:rsid w:val="00194D56"/>
    <w:rsid w:val="00194DEA"/>
    <w:rsid w:val="00196A61"/>
    <w:rsid w:val="001970B6"/>
    <w:rsid w:val="00197329"/>
    <w:rsid w:val="001974F3"/>
    <w:rsid w:val="001976DD"/>
    <w:rsid w:val="001A0831"/>
    <w:rsid w:val="001A101C"/>
    <w:rsid w:val="001A25E3"/>
    <w:rsid w:val="001A3847"/>
    <w:rsid w:val="001A3AD5"/>
    <w:rsid w:val="001A3B9E"/>
    <w:rsid w:val="001A3DEA"/>
    <w:rsid w:val="001A458D"/>
    <w:rsid w:val="001A4DC0"/>
    <w:rsid w:val="001A66A6"/>
    <w:rsid w:val="001A6700"/>
    <w:rsid w:val="001A6E87"/>
    <w:rsid w:val="001A77A5"/>
    <w:rsid w:val="001B0428"/>
    <w:rsid w:val="001B0C6B"/>
    <w:rsid w:val="001B13D3"/>
    <w:rsid w:val="001B1E03"/>
    <w:rsid w:val="001B2DC1"/>
    <w:rsid w:val="001B3A4C"/>
    <w:rsid w:val="001B3DF5"/>
    <w:rsid w:val="001B3F00"/>
    <w:rsid w:val="001B41FD"/>
    <w:rsid w:val="001B4216"/>
    <w:rsid w:val="001B4971"/>
    <w:rsid w:val="001B4AC5"/>
    <w:rsid w:val="001B515D"/>
    <w:rsid w:val="001B66E0"/>
    <w:rsid w:val="001B7574"/>
    <w:rsid w:val="001B75D2"/>
    <w:rsid w:val="001B7FBF"/>
    <w:rsid w:val="001C04C5"/>
    <w:rsid w:val="001C0E2E"/>
    <w:rsid w:val="001C0E81"/>
    <w:rsid w:val="001C13F5"/>
    <w:rsid w:val="001C1D62"/>
    <w:rsid w:val="001C29CC"/>
    <w:rsid w:val="001C2B4B"/>
    <w:rsid w:val="001C2CC4"/>
    <w:rsid w:val="001C3F18"/>
    <w:rsid w:val="001C4B16"/>
    <w:rsid w:val="001C58B5"/>
    <w:rsid w:val="001C6427"/>
    <w:rsid w:val="001C6925"/>
    <w:rsid w:val="001C7031"/>
    <w:rsid w:val="001C7C9F"/>
    <w:rsid w:val="001D0546"/>
    <w:rsid w:val="001D1380"/>
    <w:rsid w:val="001D2104"/>
    <w:rsid w:val="001D2233"/>
    <w:rsid w:val="001D2488"/>
    <w:rsid w:val="001D3075"/>
    <w:rsid w:val="001D3321"/>
    <w:rsid w:val="001D3ADD"/>
    <w:rsid w:val="001D3D60"/>
    <w:rsid w:val="001D4502"/>
    <w:rsid w:val="001D50BA"/>
    <w:rsid w:val="001D53C4"/>
    <w:rsid w:val="001D563E"/>
    <w:rsid w:val="001D7588"/>
    <w:rsid w:val="001D75F5"/>
    <w:rsid w:val="001D7EF1"/>
    <w:rsid w:val="001E0B75"/>
    <w:rsid w:val="001E0EEA"/>
    <w:rsid w:val="001E131D"/>
    <w:rsid w:val="001E1A7A"/>
    <w:rsid w:val="001E1ECF"/>
    <w:rsid w:val="001E2150"/>
    <w:rsid w:val="001E26AE"/>
    <w:rsid w:val="001E2C3D"/>
    <w:rsid w:val="001E35B8"/>
    <w:rsid w:val="001E6581"/>
    <w:rsid w:val="001F064C"/>
    <w:rsid w:val="001F1178"/>
    <w:rsid w:val="001F1448"/>
    <w:rsid w:val="001F1850"/>
    <w:rsid w:val="001F27BC"/>
    <w:rsid w:val="001F2D5C"/>
    <w:rsid w:val="001F3285"/>
    <w:rsid w:val="001F3595"/>
    <w:rsid w:val="001F38AA"/>
    <w:rsid w:val="001F3CFB"/>
    <w:rsid w:val="001F40CC"/>
    <w:rsid w:val="001F5246"/>
    <w:rsid w:val="001F52BF"/>
    <w:rsid w:val="001F5456"/>
    <w:rsid w:val="001F6574"/>
    <w:rsid w:val="001F6BE3"/>
    <w:rsid w:val="001F6C53"/>
    <w:rsid w:val="001F795D"/>
    <w:rsid w:val="00200A92"/>
    <w:rsid w:val="00202344"/>
    <w:rsid w:val="002039DA"/>
    <w:rsid w:val="00203D45"/>
    <w:rsid w:val="002044FE"/>
    <w:rsid w:val="002048BB"/>
    <w:rsid w:val="00204F27"/>
    <w:rsid w:val="00205404"/>
    <w:rsid w:val="0020556E"/>
    <w:rsid w:val="002118CB"/>
    <w:rsid w:val="00211B42"/>
    <w:rsid w:val="00213484"/>
    <w:rsid w:val="0021379B"/>
    <w:rsid w:val="00214C24"/>
    <w:rsid w:val="00215318"/>
    <w:rsid w:val="00215A0E"/>
    <w:rsid w:val="0021694E"/>
    <w:rsid w:val="00216EDF"/>
    <w:rsid w:val="0022107C"/>
    <w:rsid w:val="00222052"/>
    <w:rsid w:val="0022246D"/>
    <w:rsid w:val="0022377D"/>
    <w:rsid w:val="00224C16"/>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0521"/>
    <w:rsid w:val="00241202"/>
    <w:rsid w:val="002418CB"/>
    <w:rsid w:val="002419B0"/>
    <w:rsid w:val="00241C9A"/>
    <w:rsid w:val="00241EBD"/>
    <w:rsid w:val="00242B92"/>
    <w:rsid w:val="00244B1A"/>
    <w:rsid w:val="00245A31"/>
    <w:rsid w:val="002462DE"/>
    <w:rsid w:val="0025070E"/>
    <w:rsid w:val="0025102F"/>
    <w:rsid w:val="002510AD"/>
    <w:rsid w:val="00252F1B"/>
    <w:rsid w:val="00254AFB"/>
    <w:rsid w:val="00254DCA"/>
    <w:rsid w:val="0025508A"/>
    <w:rsid w:val="002552B5"/>
    <w:rsid w:val="00255F2D"/>
    <w:rsid w:val="002567F1"/>
    <w:rsid w:val="0025792B"/>
    <w:rsid w:val="00261544"/>
    <w:rsid w:val="0026190B"/>
    <w:rsid w:val="0026209E"/>
    <w:rsid w:val="00262587"/>
    <w:rsid w:val="00262BFB"/>
    <w:rsid w:val="00263FCC"/>
    <w:rsid w:val="00264182"/>
    <w:rsid w:val="002649EE"/>
    <w:rsid w:val="002652A5"/>
    <w:rsid w:val="002654EC"/>
    <w:rsid w:val="002658CC"/>
    <w:rsid w:val="00265F89"/>
    <w:rsid w:val="00266F39"/>
    <w:rsid w:val="00267060"/>
    <w:rsid w:val="00270316"/>
    <w:rsid w:val="002715F0"/>
    <w:rsid w:val="00272A41"/>
    <w:rsid w:val="00272FFF"/>
    <w:rsid w:val="00273952"/>
    <w:rsid w:val="00274171"/>
    <w:rsid w:val="0027463A"/>
    <w:rsid w:val="002747E3"/>
    <w:rsid w:val="002749FC"/>
    <w:rsid w:val="00274C2E"/>
    <w:rsid w:val="002752AA"/>
    <w:rsid w:val="002757B8"/>
    <w:rsid w:val="00277D43"/>
    <w:rsid w:val="002803EA"/>
    <w:rsid w:val="00280C3F"/>
    <w:rsid w:val="00280F86"/>
    <w:rsid w:val="00281241"/>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163F"/>
    <w:rsid w:val="00292CD5"/>
    <w:rsid w:val="00292E14"/>
    <w:rsid w:val="00293572"/>
    <w:rsid w:val="00293E4F"/>
    <w:rsid w:val="00295FC9"/>
    <w:rsid w:val="00296A1F"/>
    <w:rsid w:val="00296F17"/>
    <w:rsid w:val="00297482"/>
    <w:rsid w:val="002A0150"/>
    <w:rsid w:val="002A08F7"/>
    <w:rsid w:val="002A0F48"/>
    <w:rsid w:val="002A1279"/>
    <w:rsid w:val="002A1FE0"/>
    <w:rsid w:val="002A2269"/>
    <w:rsid w:val="002A288B"/>
    <w:rsid w:val="002A2C24"/>
    <w:rsid w:val="002A3871"/>
    <w:rsid w:val="002A3E40"/>
    <w:rsid w:val="002B00E3"/>
    <w:rsid w:val="002B0164"/>
    <w:rsid w:val="002B0D95"/>
    <w:rsid w:val="002B0ECA"/>
    <w:rsid w:val="002B1E6E"/>
    <w:rsid w:val="002B27F7"/>
    <w:rsid w:val="002B2F4B"/>
    <w:rsid w:val="002B3A38"/>
    <w:rsid w:val="002B5E20"/>
    <w:rsid w:val="002B66AB"/>
    <w:rsid w:val="002B6B1C"/>
    <w:rsid w:val="002B6BF9"/>
    <w:rsid w:val="002C0551"/>
    <w:rsid w:val="002C10E0"/>
    <w:rsid w:val="002C2865"/>
    <w:rsid w:val="002C3114"/>
    <w:rsid w:val="002C3C04"/>
    <w:rsid w:val="002C4499"/>
    <w:rsid w:val="002C6660"/>
    <w:rsid w:val="002C6AEB"/>
    <w:rsid w:val="002C6CA3"/>
    <w:rsid w:val="002C7435"/>
    <w:rsid w:val="002D1361"/>
    <w:rsid w:val="002D1B96"/>
    <w:rsid w:val="002D2822"/>
    <w:rsid w:val="002D3325"/>
    <w:rsid w:val="002D3756"/>
    <w:rsid w:val="002D4143"/>
    <w:rsid w:val="002D422C"/>
    <w:rsid w:val="002D6BA2"/>
    <w:rsid w:val="002E1783"/>
    <w:rsid w:val="002E25CE"/>
    <w:rsid w:val="002E35CA"/>
    <w:rsid w:val="002E41C8"/>
    <w:rsid w:val="002E5C2C"/>
    <w:rsid w:val="002E5C70"/>
    <w:rsid w:val="002E6B46"/>
    <w:rsid w:val="002E7A62"/>
    <w:rsid w:val="002E7C35"/>
    <w:rsid w:val="002F02FF"/>
    <w:rsid w:val="002F1C1D"/>
    <w:rsid w:val="002F1F75"/>
    <w:rsid w:val="002F1FF4"/>
    <w:rsid w:val="002F2172"/>
    <w:rsid w:val="002F2DE3"/>
    <w:rsid w:val="002F3831"/>
    <w:rsid w:val="002F3A07"/>
    <w:rsid w:val="002F4334"/>
    <w:rsid w:val="002F45F4"/>
    <w:rsid w:val="002F5525"/>
    <w:rsid w:val="002F658E"/>
    <w:rsid w:val="002F7003"/>
    <w:rsid w:val="002F7173"/>
    <w:rsid w:val="00302B0A"/>
    <w:rsid w:val="00303B36"/>
    <w:rsid w:val="00303C5B"/>
    <w:rsid w:val="00304A9F"/>
    <w:rsid w:val="00304C12"/>
    <w:rsid w:val="00305BD3"/>
    <w:rsid w:val="00306B04"/>
    <w:rsid w:val="0030757E"/>
    <w:rsid w:val="003075D2"/>
    <w:rsid w:val="0031039B"/>
    <w:rsid w:val="00310FF5"/>
    <w:rsid w:val="0031105D"/>
    <w:rsid w:val="00311692"/>
    <w:rsid w:val="00311B27"/>
    <w:rsid w:val="00311FAA"/>
    <w:rsid w:val="003121BE"/>
    <w:rsid w:val="003130D6"/>
    <w:rsid w:val="00313ED0"/>
    <w:rsid w:val="003141E7"/>
    <w:rsid w:val="003156AC"/>
    <w:rsid w:val="003163F6"/>
    <w:rsid w:val="003167A9"/>
    <w:rsid w:val="003168A3"/>
    <w:rsid w:val="003169C0"/>
    <w:rsid w:val="00317845"/>
    <w:rsid w:val="00317A4E"/>
    <w:rsid w:val="003200B5"/>
    <w:rsid w:val="00321148"/>
    <w:rsid w:val="00322AC4"/>
    <w:rsid w:val="00323034"/>
    <w:rsid w:val="003233C6"/>
    <w:rsid w:val="00323ABA"/>
    <w:rsid w:val="00325FD8"/>
    <w:rsid w:val="003268B5"/>
    <w:rsid w:val="003268FA"/>
    <w:rsid w:val="00326E13"/>
    <w:rsid w:val="00334E12"/>
    <w:rsid w:val="00334FA2"/>
    <w:rsid w:val="0033578E"/>
    <w:rsid w:val="00335F8B"/>
    <w:rsid w:val="0033688B"/>
    <w:rsid w:val="003368AF"/>
    <w:rsid w:val="00340F8B"/>
    <w:rsid w:val="00343641"/>
    <w:rsid w:val="003436F0"/>
    <w:rsid w:val="003439E0"/>
    <w:rsid w:val="00343C36"/>
    <w:rsid w:val="00344703"/>
    <w:rsid w:val="003458DD"/>
    <w:rsid w:val="00346353"/>
    <w:rsid w:val="003467E9"/>
    <w:rsid w:val="00346859"/>
    <w:rsid w:val="003474A7"/>
    <w:rsid w:val="00350476"/>
    <w:rsid w:val="0035198D"/>
    <w:rsid w:val="00351CC3"/>
    <w:rsid w:val="00351F6A"/>
    <w:rsid w:val="00352953"/>
    <w:rsid w:val="0035342E"/>
    <w:rsid w:val="00354A41"/>
    <w:rsid w:val="0035533C"/>
    <w:rsid w:val="00355384"/>
    <w:rsid w:val="003558A4"/>
    <w:rsid w:val="00356F95"/>
    <w:rsid w:val="003575E6"/>
    <w:rsid w:val="003604A2"/>
    <w:rsid w:val="00360B48"/>
    <w:rsid w:val="00360D82"/>
    <w:rsid w:val="00361431"/>
    <w:rsid w:val="003623B6"/>
    <w:rsid w:val="003638C6"/>
    <w:rsid w:val="00363DE7"/>
    <w:rsid w:val="00364189"/>
    <w:rsid w:val="00364798"/>
    <w:rsid w:val="00364BED"/>
    <w:rsid w:val="00364C9D"/>
    <w:rsid w:val="00365E49"/>
    <w:rsid w:val="0036606D"/>
    <w:rsid w:val="003663CE"/>
    <w:rsid w:val="00366A4D"/>
    <w:rsid w:val="00366DBC"/>
    <w:rsid w:val="00367D64"/>
    <w:rsid w:val="0037085D"/>
    <w:rsid w:val="003710F6"/>
    <w:rsid w:val="003712C1"/>
    <w:rsid w:val="003720AC"/>
    <w:rsid w:val="0037282B"/>
    <w:rsid w:val="00375132"/>
    <w:rsid w:val="0037514E"/>
    <w:rsid w:val="00375D27"/>
    <w:rsid w:val="00375DCC"/>
    <w:rsid w:val="00376C1A"/>
    <w:rsid w:val="00377DD3"/>
    <w:rsid w:val="00380332"/>
    <w:rsid w:val="003809C8"/>
    <w:rsid w:val="00382AC2"/>
    <w:rsid w:val="003841DF"/>
    <w:rsid w:val="00384245"/>
    <w:rsid w:val="0038439F"/>
    <w:rsid w:val="0038453E"/>
    <w:rsid w:val="003851F7"/>
    <w:rsid w:val="003859D0"/>
    <w:rsid w:val="003862ED"/>
    <w:rsid w:val="00386C5E"/>
    <w:rsid w:val="003875EB"/>
    <w:rsid w:val="00387CAB"/>
    <w:rsid w:val="0039054A"/>
    <w:rsid w:val="00390E91"/>
    <w:rsid w:val="00390FB3"/>
    <w:rsid w:val="00390FD5"/>
    <w:rsid w:val="00392D36"/>
    <w:rsid w:val="00392FD4"/>
    <w:rsid w:val="00393019"/>
    <w:rsid w:val="00394173"/>
    <w:rsid w:val="0039451A"/>
    <w:rsid w:val="00394CFD"/>
    <w:rsid w:val="003954D8"/>
    <w:rsid w:val="00395916"/>
    <w:rsid w:val="00396E09"/>
    <w:rsid w:val="003970CC"/>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35A"/>
    <w:rsid w:val="003B064A"/>
    <w:rsid w:val="003B0D42"/>
    <w:rsid w:val="003B2124"/>
    <w:rsid w:val="003B5167"/>
    <w:rsid w:val="003B5953"/>
    <w:rsid w:val="003B5A30"/>
    <w:rsid w:val="003B5D5A"/>
    <w:rsid w:val="003B5F7E"/>
    <w:rsid w:val="003C00AD"/>
    <w:rsid w:val="003C0445"/>
    <w:rsid w:val="003C088F"/>
    <w:rsid w:val="003C0D38"/>
    <w:rsid w:val="003C114A"/>
    <w:rsid w:val="003C1736"/>
    <w:rsid w:val="003C198E"/>
    <w:rsid w:val="003C1D34"/>
    <w:rsid w:val="003C2743"/>
    <w:rsid w:val="003C3387"/>
    <w:rsid w:val="003C363F"/>
    <w:rsid w:val="003C5550"/>
    <w:rsid w:val="003C6925"/>
    <w:rsid w:val="003C7F75"/>
    <w:rsid w:val="003D114D"/>
    <w:rsid w:val="003D1BA8"/>
    <w:rsid w:val="003D2060"/>
    <w:rsid w:val="003D2A01"/>
    <w:rsid w:val="003D3420"/>
    <w:rsid w:val="003D35D8"/>
    <w:rsid w:val="003D400D"/>
    <w:rsid w:val="003D4995"/>
    <w:rsid w:val="003D4AA5"/>
    <w:rsid w:val="003D5A9F"/>
    <w:rsid w:val="003D5F9E"/>
    <w:rsid w:val="003D630C"/>
    <w:rsid w:val="003D6E96"/>
    <w:rsid w:val="003D6F6E"/>
    <w:rsid w:val="003D70D7"/>
    <w:rsid w:val="003D7DCB"/>
    <w:rsid w:val="003E07DA"/>
    <w:rsid w:val="003E1EC3"/>
    <w:rsid w:val="003E2505"/>
    <w:rsid w:val="003E3046"/>
    <w:rsid w:val="003E4957"/>
    <w:rsid w:val="003E4C4B"/>
    <w:rsid w:val="003E5300"/>
    <w:rsid w:val="003E58CA"/>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A3C"/>
    <w:rsid w:val="00407CB8"/>
    <w:rsid w:val="00407EF3"/>
    <w:rsid w:val="004101A6"/>
    <w:rsid w:val="004103A5"/>
    <w:rsid w:val="004109E6"/>
    <w:rsid w:val="00411175"/>
    <w:rsid w:val="00413181"/>
    <w:rsid w:val="004139E1"/>
    <w:rsid w:val="00413F04"/>
    <w:rsid w:val="004154AD"/>
    <w:rsid w:val="0041632D"/>
    <w:rsid w:val="00416E66"/>
    <w:rsid w:val="00421264"/>
    <w:rsid w:val="00421E01"/>
    <w:rsid w:val="004222DB"/>
    <w:rsid w:val="00422C7B"/>
    <w:rsid w:val="004234C0"/>
    <w:rsid w:val="00424125"/>
    <w:rsid w:val="00424E11"/>
    <w:rsid w:val="00424E85"/>
    <w:rsid w:val="0042736A"/>
    <w:rsid w:val="00427AA3"/>
    <w:rsid w:val="0043028B"/>
    <w:rsid w:val="00430841"/>
    <w:rsid w:val="004314CE"/>
    <w:rsid w:val="004318B4"/>
    <w:rsid w:val="00431C5E"/>
    <w:rsid w:val="00432ADD"/>
    <w:rsid w:val="004330F7"/>
    <w:rsid w:val="004341D5"/>
    <w:rsid w:val="0043437F"/>
    <w:rsid w:val="004348F1"/>
    <w:rsid w:val="00434A7E"/>
    <w:rsid w:val="0043629F"/>
    <w:rsid w:val="004367CC"/>
    <w:rsid w:val="00436F17"/>
    <w:rsid w:val="00437D2D"/>
    <w:rsid w:val="0044125C"/>
    <w:rsid w:val="004422A7"/>
    <w:rsid w:val="00442D1D"/>
    <w:rsid w:val="00443261"/>
    <w:rsid w:val="004449E6"/>
    <w:rsid w:val="004454D6"/>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7D5"/>
    <w:rsid w:val="004639D4"/>
    <w:rsid w:val="00463A7A"/>
    <w:rsid w:val="004642F9"/>
    <w:rsid w:val="00464D73"/>
    <w:rsid w:val="00465919"/>
    <w:rsid w:val="00465B99"/>
    <w:rsid w:val="00466BDD"/>
    <w:rsid w:val="00467203"/>
    <w:rsid w:val="004674D6"/>
    <w:rsid w:val="00467EA5"/>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8139F"/>
    <w:rsid w:val="0048207C"/>
    <w:rsid w:val="004902D0"/>
    <w:rsid w:val="00490F10"/>
    <w:rsid w:val="004913B0"/>
    <w:rsid w:val="00491484"/>
    <w:rsid w:val="00492644"/>
    <w:rsid w:val="0049418F"/>
    <w:rsid w:val="0049467D"/>
    <w:rsid w:val="004969C5"/>
    <w:rsid w:val="004A14A8"/>
    <w:rsid w:val="004A1E94"/>
    <w:rsid w:val="004A21DB"/>
    <w:rsid w:val="004A6B85"/>
    <w:rsid w:val="004A7708"/>
    <w:rsid w:val="004A7A2B"/>
    <w:rsid w:val="004B18D5"/>
    <w:rsid w:val="004B1D36"/>
    <w:rsid w:val="004B40DA"/>
    <w:rsid w:val="004B43EC"/>
    <w:rsid w:val="004B4654"/>
    <w:rsid w:val="004B5676"/>
    <w:rsid w:val="004B5A55"/>
    <w:rsid w:val="004B5DE9"/>
    <w:rsid w:val="004B63EF"/>
    <w:rsid w:val="004B686D"/>
    <w:rsid w:val="004B6EA1"/>
    <w:rsid w:val="004B73D5"/>
    <w:rsid w:val="004C1EA0"/>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458"/>
    <w:rsid w:val="004D489A"/>
    <w:rsid w:val="004D4F35"/>
    <w:rsid w:val="004D601B"/>
    <w:rsid w:val="004D60A9"/>
    <w:rsid w:val="004D651B"/>
    <w:rsid w:val="004D69A0"/>
    <w:rsid w:val="004E0F73"/>
    <w:rsid w:val="004E13A8"/>
    <w:rsid w:val="004E2DC7"/>
    <w:rsid w:val="004E3AF3"/>
    <w:rsid w:val="004E3FA7"/>
    <w:rsid w:val="004E44D8"/>
    <w:rsid w:val="004E524B"/>
    <w:rsid w:val="004E6919"/>
    <w:rsid w:val="004E6EB1"/>
    <w:rsid w:val="004E6FA9"/>
    <w:rsid w:val="004F0318"/>
    <w:rsid w:val="004F044B"/>
    <w:rsid w:val="004F0D46"/>
    <w:rsid w:val="004F19E3"/>
    <w:rsid w:val="004F2445"/>
    <w:rsid w:val="004F2A83"/>
    <w:rsid w:val="004F44D5"/>
    <w:rsid w:val="004F480A"/>
    <w:rsid w:val="004F4A10"/>
    <w:rsid w:val="004F5236"/>
    <w:rsid w:val="004F5617"/>
    <w:rsid w:val="004F5ACD"/>
    <w:rsid w:val="004F666B"/>
    <w:rsid w:val="005003B5"/>
    <w:rsid w:val="00503096"/>
    <w:rsid w:val="00504588"/>
    <w:rsid w:val="00504FB2"/>
    <w:rsid w:val="005053F4"/>
    <w:rsid w:val="00505E13"/>
    <w:rsid w:val="00506436"/>
    <w:rsid w:val="00506E07"/>
    <w:rsid w:val="00506E80"/>
    <w:rsid w:val="005072EE"/>
    <w:rsid w:val="00507AF2"/>
    <w:rsid w:val="0051027B"/>
    <w:rsid w:val="00510EA8"/>
    <w:rsid w:val="00511360"/>
    <w:rsid w:val="0051180C"/>
    <w:rsid w:val="00511EE1"/>
    <w:rsid w:val="00512721"/>
    <w:rsid w:val="00513303"/>
    <w:rsid w:val="00514D42"/>
    <w:rsid w:val="00514E83"/>
    <w:rsid w:val="00516410"/>
    <w:rsid w:val="00516A40"/>
    <w:rsid w:val="00517267"/>
    <w:rsid w:val="005172F3"/>
    <w:rsid w:val="0051763A"/>
    <w:rsid w:val="005203DA"/>
    <w:rsid w:val="0052049C"/>
    <w:rsid w:val="0052112B"/>
    <w:rsid w:val="00521283"/>
    <w:rsid w:val="005217F0"/>
    <w:rsid w:val="005219BD"/>
    <w:rsid w:val="005231C2"/>
    <w:rsid w:val="0052346C"/>
    <w:rsid w:val="0052383A"/>
    <w:rsid w:val="005238FD"/>
    <w:rsid w:val="00523AB0"/>
    <w:rsid w:val="00523F0C"/>
    <w:rsid w:val="00525079"/>
    <w:rsid w:val="00526243"/>
    <w:rsid w:val="00526B3D"/>
    <w:rsid w:val="0052731C"/>
    <w:rsid w:val="00527770"/>
    <w:rsid w:val="00530FCA"/>
    <w:rsid w:val="00531F98"/>
    <w:rsid w:val="005328B2"/>
    <w:rsid w:val="005329C9"/>
    <w:rsid w:val="00533ECD"/>
    <w:rsid w:val="00533F42"/>
    <w:rsid w:val="005347F8"/>
    <w:rsid w:val="00534FAA"/>
    <w:rsid w:val="00535017"/>
    <w:rsid w:val="00535285"/>
    <w:rsid w:val="00535628"/>
    <w:rsid w:val="005358A0"/>
    <w:rsid w:val="00535DEE"/>
    <w:rsid w:val="00540690"/>
    <w:rsid w:val="00540DB0"/>
    <w:rsid w:val="00541BEB"/>
    <w:rsid w:val="005426DF"/>
    <w:rsid w:val="005430F4"/>
    <w:rsid w:val="005439BE"/>
    <w:rsid w:val="00543B1F"/>
    <w:rsid w:val="00543DEA"/>
    <w:rsid w:val="005443B9"/>
    <w:rsid w:val="005457A5"/>
    <w:rsid w:val="00546C38"/>
    <w:rsid w:val="00546D55"/>
    <w:rsid w:val="00546FAB"/>
    <w:rsid w:val="005504B6"/>
    <w:rsid w:val="005506FE"/>
    <w:rsid w:val="00550A00"/>
    <w:rsid w:val="005510B0"/>
    <w:rsid w:val="00551E0D"/>
    <w:rsid w:val="00554418"/>
    <w:rsid w:val="005547E9"/>
    <w:rsid w:val="005554B9"/>
    <w:rsid w:val="00555822"/>
    <w:rsid w:val="00556479"/>
    <w:rsid w:val="00556B66"/>
    <w:rsid w:val="00556E29"/>
    <w:rsid w:val="00557051"/>
    <w:rsid w:val="005577F1"/>
    <w:rsid w:val="00560D19"/>
    <w:rsid w:val="00561119"/>
    <w:rsid w:val="00561CD5"/>
    <w:rsid w:val="005622BB"/>
    <w:rsid w:val="0056304C"/>
    <w:rsid w:val="0057003B"/>
    <w:rsid w:val="0057059B"/>
    <w:rsid w:val="00571844"/>
    <w:rsid w:val="00571BF4"/>
    <w:rsid w:val="0057267E"/>
    <w:rsid w:val="00573536"/>
    <w:rsid w:val="00573CC5"/>
    <w:rsid w:val="00574B59"/>
    <w:rsid w:val="005752F4"/>
    <w:rsid w:val="00575808"/>
    <w:rsid w:val="00576444"/>
    <w:rsid w:val="00576BB8"/>
    <w:rsid w:val="00577587"/>
    <w:rsid w:val="005775C8"/>
    <w:rsid w:val="0058174A"/>
    <w:rsid w:val="00581DD5"/>
    <w:rsid w:val="0058356C"/>
    <w:rsid w:val="00583E5F"/>
    <w:rsid w:val="005862BF"/>
    <w:rsid w:val="00586672"/>
    <w:rsid w:val="005868AB"/>
    <w:rsid w:val="00586AE2"/>
    <w:rsid w:val="00587712"/>
    <w:rsid w:val="00587797"/>
    <w:rsid w:val="00587C4A"/>
    <w:rsid w:val="00590A35"/>
    <w:rsid w:val="005920D4"/>
    <w:rsid w:val="005930AA"/>
    <w:rsid w:val="00593577"/>
    <w:rsid w:val="00593E98"/>
    <w:rsid w:val="00594458"/>
    <w:rsid w:val="00594F7D"/>
    <w:rsid w:val="00595524"/>
    <w:rsid w:val="00595FA4"/>
    <w:rsid w:val="005A0A06"/>
    <w:rsid w:val="005A1A49"/>
    <w:rsid w:val="005A2236"/>
    <w:rsid w:val="005A34B7"/>
    <w:rsid w:val="005A3E3D"/>
    <w:rsid w:val="005A3E93"/>
    <w:rsid w:val="005A5899"/>
    <w:rsid w:val="005A67E6"/>
    <w:rsid w:val="005A6D9F"/>
    <w:rsid w:val="005A75ED"/>
    <w:rsid w:val="005B050D"/>
    <w:rsid w:val="005B05AA"/>
    <w:rsid w:val="005B1182"/>
    <w:rsid w:val="005B19DF"/>
    <w:rsid w:val="005B1E4A"/>
    <w:rsid w:val="005B2421"/>
    <w:rsid w:val="005B2A71"/>
    <w:rsid w:val="005B4B55"/>
    <w:rsid w:val="005B565E"/>
    <w:rsid w:val="005B7482"/>
    <w:rsid w:val="005B7C6F"/>
    <w:rsid w:val="005C0056"/>
    <w:rsid w:val="005C0777"/>
    <w:rsid w:val="005C0D41"/>
    <w:rsid w:val="005C1B1A"/>
    <w:rsid w:val="005C2775"/>
    <w:rsid w:val="005C3211"/>
    <w:rsid w:val="005C3977"/>
    <w:rsid w:val="005C3AB1"/>
    <w:rsid w:val="005C521C"/>
    <w:rsid w:val="005C5462"/>
    <w:rsid w:val="005C5A78"/>
    <w:rsid w:val="005C6106"/>
    <w:rsid w:val="005C73CC"/>
    <w:rsid w:val="005D0522"/>
    <w:rsid w:val="005D1524"/>
    <w:rsid w:val="005D31F1"/>
    <w:rsid w:val="005D36A0"/>
    <w:rsid w:val="005D37B6"/>
    <w:rsid w:val="005D3889"/>
    <w:rsid w:val="005D469F"/>
    <w:rsid w:val="005D475C"/>
    <w:rsid w:val="005D47F7"/>
    <w:rsid w:val="005D483E"/>
    <w:rsid w:val="005D4B41"/>
    <w:rsid w:val="005D70B2"/>
    <w:rsid w:val="005D7334"/>
    <w:rsid w:val="005D77E0"/>
    <w:rsid w:val="005D7CCF"/>
    <w:rsid w:val="005E0836"/>
    <w:rsid w:val="005E0B9F"/>
    <w:rsid w:val="005E0EF5"/>
    <w:rsid w:val="005E0F5D"/>
    <w:rsid w:val="005E1A33"/>
    <w:rsid w:val="005E2BD3"/>
    <w:rsid w:val="005E31A3"/>
    <w:rsid w:val="005E3D0B"/>
    <w:rsid w:val="005E3D62"/>
    <w:rsid w:val="005E59CD"/>
    <w:rsid w:val="005E5B1C"/>
    <w:rsid w:val="005E7F55"/>
    <w:rsid w:val="005F091B"/>
    <w:rsid w:val="005F1444"/>
    <w:rsid w:val="005F2161"/>
    <w:rsid w:val="005F229D"/>
    <w:rsid w:val="005F2724"/>
    <w:rsid w:val="005F293F"/>
    <w:rsid w:val="005F2E07"/>
    <w:rsid w:val="005F325B"/>
    <w:rsid w:val="005F35C2"/>
    <w:rsid w:val="005F3EE7"/>
    <w:rsid w:val="005F4EE2"/>
    <w:rsid w:val="005F54C9"/>
    <w:rsid w:val="005F56A2"/>
    <w:rsid w:val="005F65CB"/>
    <w:rsid w:val="005F6FB6"/>
    <w:rsid w:val="005F7408"/>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F8B"/>
    <w:rsid w:val="0061224E"/>
    <w:rsid w:val="0061295E"/>
    <w:rsid w:val="00612C74"/>
    <w:rsid w:val="00612CE7"/>
    <w:rsid w:val="00612F99"/>
    <w:rsid w:val="0061320B"/>
    <w:rsid w:val="006135D5"/>
    <w:rsid w:val="00613729"/>
    <w:rsid w:val="006156E6"/>
    <w:rsid w:val="006162ED"/>
    <w:rsid w:val="006165BB"/>
    <w:rsid w:val="00616E90"/>
    <w:rsid w:val="00617C71"/>
    <w:rsid w:val="0062088B"/>
    <w:rsid w:val="006209E1"/>
    <w:rsid w:val="00620CF0"/>
    <w:rsid w:val="0062273F"/>
    <w:rsid w:val="0062286E"/>
    <w:rsid w:val="00622E40"/>
    <w:rsid w:val="00622FEE"/>
    <w:rsid w:val="00623172"/>
    <w:rsid w:val="006234AE"/>
    <w:rsid w:val="0062367B"/>
    <w:rsid w:val="0062367D"/>
    <w:rsid w:val="00624889"/>
    <w:rsid w:val="00626864"/>
    <w:rsid w:val="00630278"/>
    <w:rsid w:val="00630786"/>
    <w:rsid w:val="00631B80"/>
    <w:rsid w:val="006322F9"/>
    <w:rsid w:val="006327EB"/>
    <w:rsid w:val="0063323E"/>
    <w:rsid w:val="006338CB"/>
    <w:rsid w:val="00633C03"/>
    <w:rsid w:val="006346AD"/>
    <w:rsid w:val="00634B93"/>
    <w:rsid w:val="00634C5A"/>
    <w:rsid w:val="00636DF7"/>
    <w:rsid w:val="006400E7"/>
    <w:rsid w:val="00640883"/>
    <w:rsid w:val="00640A10"/>
    <w:rsid w:val="00640DF1"/>
    <w:rsid w:val="00641242"/>
    <w:rsid w:val="00641DB3"/>
    <w:rsid w:val="00643B1D"/>
    <w:rsid w:val="00645629"/>
    <w:rsid w:val="006458E1"/>
    <w:rsid w:val="00645EBF"/>
    <w:rsid w:val="0064611C"/>
    <w:rsid w:val="006461A0"/>
    <w:rsid w:val="006475D8"/>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31F0"/>
    <w:rsid w:val="00674409"/>
    <w:rsid w:val="00677617"/>
    <w:rsid w:val="00680BAF"/>
    <w:rsid w:val="00681466"/>
    <w:rsid w:val="006818D2"/>
    <w:rsid w:val="00682332"/>
    <w:rsid w:val="00682A44"/>
    <w:rsid w:val="0068320A"/>
    <w:rsid w:val="00684615"/>
    <w:rsid w:val="00684EA0"/>
    <w:rsid w:val="006853A5"/>
    <w:rsid w:val="00685992"/>
    <w:rsid w:val="00685AFF"/>
    <w:rsid w:val="00686237"/>
    <w:rsid w:val="00686994"/>
    <w:rsid w:val="0069237A"/>
    <w:rsid w:val="0069256A"/>
    <w:rsid w:val="006925BB"/>
    <w:rsid w:val="00692D45"/>
    <w:rsid w:val="00693623"/>
    <w:rsid w:val="00693C64"/>
    <w:rsid w:val="00693FA7"/>
    <w:rsid w:val="00694488"/>
    <w:rsid w:val="006960E0"/>
    <w:rsid w:val="0069659B"/>
    <w:rsid w:val="00696B03"/>
    <w:rsid w:val="006973AE"/>
    <w:rsid w:val="00697515"/>
    <w:rsid w:val="00697B29"/>
    <w:rsid w:val="00697F9F"/>
    <w:rsid w:val="006A094E"/>
    <w:rsid w:val="006A0D2E"/>
    <w:rsid w:val="006A1E72"/>
    <w:rsid w:val="006A2060"/>
    <w:rsid w:val="006A233F"/>
    <w:rsid w:val="006A2DF1"/>
    <w:rsid w:val="006A3151"/>
    <w:rsid w:val="006A3C61"/>
    <w:rsid w:val="006A3F9D"/>
    <w:rsid w:val="006A4DBB"/>
    <w:rsid w:val="006A56E8"/>
    <w:rsid w:val="006A688A"/>
    <w:rsid w:val="006A69C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3DFB"/>
    <w:rsid w:val="006C4655"/>
    <w:rsid w:val="006C5007"/>
    <w:rsid w:val="006C5253"/>
    <w:rsid w:val="006C673C"/>
    <w:rsid w:val="006C703E"/>
    <w:rsid w:val="006C793B"/>
    <w:rsid w:val="006D0C35"/>
    <w:rsid w:val="006D1CEF"/>
    <w:rsid w:val="006D252E"/>
    <w:rsid w:val="006D3B5D"/>
    <w:rsid w:val="006D4EA8"/>
    <w:rsid w:val="006D50B9"/>
    <w:rsid w:val="006D5334"/>
    <w:rsid w:val="006D69A8"/>
    <w:rsid w:val="006D6A05"/>
    <w:rsid w:val="006D7A89"/>
    <w:rsid w:val="006D7BB3"/>
    <w:rsid w:val="006E0F48"/>
    <w:rsid w:val="006E110F"/>
    <w:rsid w:val="006E1689"/>
    <w:rsid w:val="006E30B4"/>
    <w:rsid w:val="006E3F96"/>
    <w:rsid w:val="006E66CC"/>
    <w:rsid w:val="006E789E"/>
    <w:rsid w:val="006F0536"/>
    <w:rsid w:val="006F165C"/>
    <w:rsid w:val="006F216A"/>
    <w:rsid w:val="006F2FE2"/>
    <w:rsid w:val="006F32F5"/>
    <w:rsid w:val="006F3EB5"/>
    <w:rsid w:val="006F498F"/>
    <w:rsid w:val="006F49CA"/>
    <w:rsid w:val="006F4A6A"/>
    <w:rsid w:val="006F5185"/>
    <w:rsid w:val="006F5A65"/>
    <w:rsid w:val="006F6464"/>
    <w:rsid w:val="006F66B1"/>
    <w:rsid w:val="006F7816"/>
    <w:rsid w:val="00701088"/>
    <w:rsid w:val="0070188F"/>
    <w:rsid w:val="00701B4D"/>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4E4"/>
    <w:rsid w:val="0071688F"/>
    <w:rsid w:val="007177BA"/>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1C"/>
    <w:rsid w:val="007267CA"/>
    <w:rsid w:val="00726F62"/>
    <w:rsid w:val="007278C4"/>
    <w:rsid w:val="00730B41"/>
    <w:rsid w:val="007314DB"/>
    <w:rsid w:val="00732BDD"/>
    <w:rsid w:val="007340FE"/>
    <w:rsid w:val="007348F8"/>
    <w:rsid w:val="00735238"/>
    <w:rsid w:val="0073578A"/>
    <w:rsid w:val="007363AF"/>
    <w:rsid w:val="007365B7"/>
    <w:rsid w:val="00737A25"/>
    <w:rsid w:val="007401A4"/>
    <w:rsid w:val="00741685"/>
    <w:rsid w:val="007419ED"/>
    <w:rsid w:val="00742A2F"/>
    <w:rsid w:val="00744978"/>
    <w:rsid w:val="00745021"/>
    <w:rsid w:val="007456E0"/>
    <w:rsid w:val="00746B41"/>
    <w:rsid w:val="007478C0"/>
    <w:rsid w:val="00747F08"/>
    <w:rsid w:val="00750080"/>
    <w:rsid w:val="00750DB0"/>
    <w:rsid w:val="00751970"/>
    <w:rsid w:val="00752FE3"/>
    <w:rsid w:val="00753212"/>
    <w:rsid w:val="00753B55"/>
    <w:rsid w:val="00753FAC"/>
    <w:rsid w:val="007553A2"/>
    <w:rsid w:val="0075549C"/>
    <w:rsid w:val="00755B5F"/>
    <w:rsid w:val="00755C54"/>
    <w:rsid w:val="00755CCF"/>
    <w:rsid w:val="00757B46"/>
    <w:rsid w:val="00757EED"/>
    <w:rsid w:val="00760322"/>
    <w:rsid w:val="00760D19"/>
    <w:rsid w:val="00761B12"/>
    <w:rsid w:val="00763BCF"/>
    <w:rsid w:val="00764168"/>
    <w:rsid w:val="00764D34"/>
    <w:rsid w:val="00765652"/>
    <w:rsid w:val="00765A19"/>
    <w:rsid w:val="00765D05"/>
    <w:rsid w:val="007661F3"/>
    <w:rsid w:val="007700DA"/>
    <w:rsid w:val="00770330"/>
    <w:rsid w:val="00770CB2"/>
    <w:rsid w:val="0077196D"/>
    <w:rsid w:val="0077252E"/>
    <w:rsid w:val="00774030"/>
    <w:rsid w:val="007749A2"/>
    <w:rsid w:val="00774C4F"/>
    <w:rsid w:val="00775050"/>
    <w:rsid w:val="00775167"/>
    <w:rsid w:val="00775CCD"/>
    <w:rsid w:val="00775CED"/>
    <w:rsid w:val="00780161"/>
    <w:rsid w:val="00780939"/>
    <w:rsid w:val="007816A5"/>
    <w:rsid w:val="00781C33"/>
    <w:rsid w:val="00781E62"/>
    <w:rsid w:val="00782E75"/>
    <w:rsid w:val="00784E62"/>
    <w:rsid w:val="00784F0C"/>
    <w:rsid w:val="00786833"/>
    <w:rsid w:val="007872E3"/>
    <w:rsid w:val="00790B41"/>
    <w:rsid w:val="00790E39"/>
    <w:rsid w:val="00790F4E"/>
    <w:rsid w:val="00791483"/>
    <w:rsid w:val="00791954"/>
    <w:rsid w:val="007922DA"/>
    <w:rsid w:val="0079411F"/>
    <w:rsid w:val="00794181"/>
    <w:rsid w:val="007948C0"/>
    <w:rsid w:val="007948D9"/>
    <w:rsid w:val="00795E13"/>
    <w:rsid w:val="0079699C"/>
    <w:rsid w:val="007A22A2"/>
    <w:rsid w:val="007A2750"/>
    <w:rsid w:val="007A278E"/>
    <w:rsid w:val="007A2C42"/>
    <w:rsid w:val="007A3D24"/>
    <w:rsid w:val="007A4E10"/>
    <w:rsid w:val="007A58DC"/>
    <w:rsid w:val="007A5B63"/>
    <w:rsid w:val="007A638E"/>
    <w:rsid w:val="007B1681"/>
    <w:rsid w:val="007B19FC"/>
    <w:rsid w:val="007B3091"/>
    <w:rsid w:val="007B3116"/>
    <w:rsid w:val="007B32BF"/>
    <w:rsid w:val="007B499E"/>
    <w:rsid w:val="007B5A59"/>
    <w:rsid w:val="007B5D96"/>
    <w:rsid w:val="007B5F02"/>
    <w:rsid w:val="007B6C90"/>
    <w:rsid w:val="007B6CC4"/>
    <w:rsid w:val="007B76A1"/>
    <w:rsid w:val="007B791C"/>
    <w:rsid w:val="007C00B7"/>
    <w:rsid w:val="007C0A8E"/>
    <w:rsid w:val="007C0C17"/>
    <w:rsid w:val="007C0D41"/>
    <w:rsid w:val="007C0FE0"/>
    <w:rsid w:val="007C1B1F"/>
    <w:rsid w:val="007C2BF3"/>
    <w:rsid w:val="007C32B1"/>
    <w:rsid w:val="007C3631"/>
    <w:rsid w:val="007C38F2"/>
    <w:rsid w:val="007C418C"/>
    <w:rsid w:val="007C42BD"/>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59D"/>
    <w:rsid w:val="007D6CD7"/>
    <w:rsid w:val="007D6F0F"/>
    <w:rsid w:val="007D790F"/>
    <w:rsid w:val="007D7C8B"/>
    <w:rsid w:val="007E0630"/>
    <w:rsid w:val="007E0BCC"/>
    <w:rsid w:val="007E19FB"/>
    <w:rsid w:val="007E1FB8"/>
    <w:rsid w:val="007E2ED5"/>
    <w:rsid w:val="007E3658"/>
    <w:rsid w:val="007E45D3"/>
    <w:rsid w:val="007E4B62"/>
    <w:rsid w:val="007E4BE8"/>
    <w:rsid w:val="007E5431"/>
    <w:rsid w:val="007E5B06"/>
    <w:rsid w:val="007E657B"/>
    <w:rsid w:val="007E6C91"/>
    <w:rsid w:val="007F1D58"/>
    <w:rsid w:val="007F2D71"/>
    <w:rsid w:val="007F3B11"/>
    <w:rsid w:val="007F4274"/>
    <w:rsid w:val="007F4A5D"/>
    <w:rsid w:val="007F5651"/>
    <w:rsid w:val="007F7D14"/>
    <w:rsid w:val="00800183"/>
    <w:rsid w:val="00800BCF"/>
    <w:rsid w:val="0080160F"/>
    <w:rsid w:val="00801D88"/>
    <w:rsid w:val="00803F1D"/>
    <w:rsid w:val="0080409B"/>
    <w:rsid w:val="00804658"/>
    <w:rsid w:val="00804AD8"/>
    <w:rsid w:val="008050C1"/>
    <w:rsid w:val="00805EC4"/>
    <w:rsid w:val="00806402"/>
    <w:rsid w:val="00806841"/>
    <w:rsid w:val="00806B0D"/>
    <w:rsid w:val="00810321"/>
    <w:rsid w:val="00810821"/>
    <w:rsid w:val="008108EF"/>
    <w:rsid w:val="0081157E"/>
    <w:rsid w:val="008120C6"/>
    <w:rsid w:val="00813E27"/>
    <w:rsid w:val="0081426D"/>
    <w:rsid w:val="00814385"/>
    <w:rsid w:val="0081560A"/>
    <w:rsid w:val="00815927"/>
    <w:rsid w:val="00815AA4"/>
    <w:rsid w:val="00815E3A"/>
    <w:rsid w:val="0081647D"/>
    <w:rsid w:val="0081693A"/>
    <w:rsid w:val="00816BE7"/>
    <w:rsid w:val="00816F54"/>
    <w:rsid w:val="00817574"/>
    <w:rsid w:val="00821AE1"/>
    <w:rsid w:val="00821B7B"/>
    <w:rsid w:val="0082236A"/>
    <w:rsid w:val="008228AA"/>
    <w:rsid w:val="00822A64"/>
    <w:rsid w:val="00822CCA"/>
    <w:rsid w:val="008235A7"/>
    <w:rsid w:val="008236E5"/>
    <w:rsid w:val="008239F0"/>
    <w:rsid w:val="008252C2"/>
    <w:rsid w:val="00825510"/>
    <w:rsid w:val="0082578E"/>
    <w:rsid w:val="00826749"/>
    <w:rsid w:val="008275F3"/>
    <w:rsid w:val="00827B3E"/>
    <w:rsid w:val="00830B95"/>
    <w:rsid w:val="0083127C"/>
    <w:rsid w:val="008316A5"/>
    <w:rsid w:val="008317D1"/>
    <w:rsid w:val="00831DD5"/>
    <w:rsid w:val="0083262E"/>
    <w:rsid w:val="00833762"/>
    <w:rsid w:val="008337C3"/>
    <w:rsid w:val="0083454A"/>
    <w:rsid w:val="008346F6"/>
    <w:rsid w:val="00834A29"/>
    <w:rsid w:val="00834EB5"/>
    <w:rsid w:val="008350D3"/>
    <w:rsid w:val="00835327"/>
    <w:rsid w:val="00835723"/>
    <w:rsid w:val="00841213"/>
    <w:rsid w:val="00841F8B"/>
    <w:rsid w:val="00842CB6"/>
    <w:rsid w:val="0084336E"/>
    <w:rsid w:val="00844F26"/>
    <w:rsid w:val="00845656"/>
    <w:rsid w:val="008457B4"/>
    <w:rsid w:val="0084630D"/>
    <w:rsid w:val="0085007C"/>
    <w:rsid w:val="00850218"/>
    <w:rsid w:val="00850544"/>
    <w:rsid w:val="00850F79"/>
    <w:rsid w:val="008527A7"/>
    <w:rsid w:val="008530D9"/>
    <w:rsid w:val="008530DA"/>
    <w:rsid w:val="008533C7"/>
    <w:rsid w:val="0085366F"/>
    <w:rsid w:val="00853CE1"/>
    <w:rsid w:val="0085474F"/>
    <w:rsid w:val="008548C6"/>
    <w:rsid w:val="008565C0"/>
    <w:rsid w:val="00856798"/>
    <w:rsid w:val="00860FBA"/>
    <w:rsid w:val="00861D93"/>
    <w:rsid w:val="00863547"/>
    <w:rsid w:val="0086354E"/>
    <w:rsid w:val="00863596"/>
    <w:rsid w:val="008648A5"/>
    <w:rsid w:val="0086604D"/>
    <w:rsid w:val="00866487"/>
    <w:rsid w:val="008664F7"/>
    <w:rsid w:val="0086675B"/>
    <w:rsid w:val="00866FB2"/>
    <w:rsid w:val="008710D3"/>
    <w:rsid w:val="00871209"/>
    <w:rsid w:val="00872327"/>
    <w:rsid w:val="00874EC7"/>
    <w:rsid w:val="00876489"/>
    <w:rsid w:val="00876E3B"/>
    <w:rsid w:val="0087740C"/>
    <w:rsid w:val="00877EC2"/>
    <w:rsid w:val="00880669"/>
    <w:rsid w:val="00880C07"/>
    <w:rsid w:val="008818DD"/>
    <w:rsid w:val="00881C25"/>
    <w:rsid w:val="00881ECB"/>
    <w:rsid w:val="008820F9"/>
    <w:rsid w:val="008821F9"/>
    <w:rsid w:val="0088241E"/>
    <w:rsid w:val="008838D5"/>
    <w:rsid w:val="00883C52"/>
    <w:rsid w:val="00884583"/>
    <w:rsid w:val="00885A1C"/>
    <w:rsid w:val="0088685B"/>
    <w:rsid w:val="00886F39"/>
    <w:rsid w:val="00890ED3"/>
    <w:rsid w:val="0089204E"/>
    <w:rsid w:val="0089230F"/>
    <w:rsid w:val="0089248E"/>
    <w:rsid w:val="008925C6"/>
    <w:rsid w:val="00893398"/>
    <w:rsid w:val="00893B43"/>
    <w:rsid w:val="00893D30"/>
    <w:rsid w:val="00895B6A"/>
    <w:rsid w:val="0089610F"/>
    <w:rsid w:val="0089651B"/>
    <w:rsid w:val="00896A1B"/>
    <w:rsid w:val="00896FE9"/>
    <w:rsid w:val="008973DE"/>
    <w:rsid w:val="00897521"/>
    <w:rsid w:val="00897CAF"/>
    <w:rsid w:val="008A02E5"/>
    <w:rsid w:val="008A099F"/>
    <w:rsid w:val="008A119A"/>
    <w:rsid w:val="008A1E19"/>
    <w:rsid w:val="008A3DC3"/>
    <w:rsid w:val="008A4E24"/>
    <w:rsid w:val="008A4FEB"/>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70AD"/>
    <w:rsid w:val="008C03DE"/>
    <w:rsid w:val="008C04D9"/>
    <w:rsid w:val="008C12C5"/>
    <w:rsid w:val="008C157C"/>
    <w:rsid w:val="008C16FD"/>
    <w:rsid w:val="008C19A5"/>
    <w:rsid w:val="008C1C4F"/>
    <w:rsid w:val="008C2580"/>
    <w:rsid w:val="008C3025"/>
    <w:rsid w:val="008C332B"/>
    <w:rsid w:val="008C3672"/>
    <w:rsid w:val="008C3A73"/>
    <w:rsid w:val="008C3AF8"/>
    <w:rsid w:val="008C5926"/>
    <w:rsid w:val="008C6394"/>
    <w:rsid w:val="008C66CD"/>
    <w:rsid w:val="008C70DA"/>
    <w:rsid w:val="008C797D"/>
    <w:rsid w:val="008D09DF"/>
    <w:rsid w:val="008D1FE9"/>
    <w:rsid w:val="008D2B77"/>
    <w:rsid w:val="008D33BE"/>
    <w:rsid w:val="008D42BD"/>
    <w:rsid w:val="008D441A"/>
    <w:rsid w:val="008D52B7"/>
    <w:rsid w:val="008D55ED"/>
    <w:rsid w:val="008D76B0"/>
    <w:rsid w:val="008E1555"/>
    <w:rsid w:val="008E1A32"/>
    <w:rsid w:val="008E1E5B"/>
    <w:rsid w:val="008E2057"/>
    <w:rsid w:val="008E20E9"/>
    <w:rsid w:val="008E2E44"/>
    <w:rsid w:val="008E3783"/>
    <w:rsid w:val="008E37E7"/>
    <w:rsid w:val="008E46F9"/>
    <w:rsid w:val="008E5FE3"/>
    <w:rsid w:val="008E70F6"/>
    <w:rsid w:val="008E7904"/>
    <w:rsid w:val="008E79C1"/>
    <w:rsid w:val="008F0381"/>
    <w:rsid w:val="008F0A3D"/>
    <w:rsid w:val="008F103F"/>
    <w:rsid w:val="008F1CFA"/>
    <w:rsid w:val="008F254B"/>
    <w:rsid w:val="008F30B8"/>
    <w:rsid w:val="008F3AAF"/>
    <w:rsid w:val="008F464C"/>
    <w:rsid w:val="008F5CE6"/>
    <w:rsid w:val="008F71A8"/>
    <w:rsid w:val="008F73EB"/>
    <w:rsid w:val="008F7B14"/>
    <w:rsid w:val="00901691"/>
    <w:rsid w:val="00901B8F"/>
    <w:rsid w:val="00901E73"/>
    <w:rsid w:val="00902E1E"/>
    <w:rsid w:val="00903400"/>
    <w:rsid w:val="009042EF"/>
    <w:rsid w:val="0090440D"/>
    <w:rsid w:val="0090496B"/>
    <w:rsid w:val="00904AD4"/>
    <w:rsid w:val="0090564E"/>
    <w:rsid w:val="00905C08"/>
    <w:rsid w:val="009061E8"/>
    <w:rsid w:val="00906448"/>
    <w:rsid w:val="00906EB3"/>
    <w:rsid w:val="00907243"/>
    <w:rsid w:val="00907381"/>
    <w:rsid w:val="009129AF"/>
    <w:rsid w:val="00912ACF"/>
    <w:rsid w:val="00912D61"/>
    <w:rsid w:val="00914486"/>
    <w:rsid w:val="009152E6"/>
    <w:rsid w:val="009152F8"/>
    <w:rsid w:val="00915D2A"/>
    <w:rsid w:val="009160D9"/>
    <w:rsid w:val="009164DA"/>
    <w:rsid w:val="00920141"/>
    <w:rsid w:val="009208FB"/>
    <w:rsid w:val="00920EBD"/>
    <w:rsid w:val="0092197F"/>
    <w:rsid w:val="00922206"/>
    <w:rsid w:val="0092253A"/>
    <w:rsid w:val="00922A08"/>
    <w:rsid w:val="00923A92"/>
    <w:rsid w:val="00923CF2"/>
    <w:rsid w:val="00924400"/>
    <w:rsid w:val="009251AF"/>
    <w:rsid w:val="00933606"/>
    <w:rsid w:val="009338B1"/>
    <w:rsid w:val="00934809"/>
    <w:rsid w:val="0093524E"/>
    <w:rsid w:val="00936664"/>
    <w:rsid w:val="00937A41"/>
    <w:rsid w:val="00940404"/>
    <w:rsid w:val="00942152"/>
    <w:rsid w:val="00942307"/>
    <w:rsid w:val="00942953"/>
    <w:rsid w:val="00943202"/>
    <w:rsid w:val="00943DCB"/>
    <w:rsid w:val="0094577A"/>
    <w:rsid w:val="00946087"/>
    <w:rsid w:val="00946122"/>
    <w:rsid w:val="00946D44"/>
    <w:rsid w:val="00947034"/>
    <w:rsid w:val="00947F3A"/>
    <w:rsid w:val="00951CB2"/>
    <w:rsid w:val="00952AB7"/>
    <w:rsid w:val="00952EF7"/>
    <w:rsid w:val="00952F2B"/>
    <w:rsid w:val="00953B2E"/>
    <w:rsid w:val="00953C54"/>
    <w:rsid w:val="00954FAE"/>
    <w:rsid w:val="009558D4"/>
    <w:rsid w:val="00955D64"/>
    <w:rsid w:val="00955FE6"/>
    <w:rsid w:val="009576F3"/>
    <w:rsid w:val="009608EF"/>
    <w:rsid w:val="00960C90"/>
    <w:rsid w:val="00960ECD"/>
    <w:rsid w:val="009612CB"/>
    <w:rsid w:val="0096281D"/>
    <w:rsid w:val="00963F09"/>
    <w:rsid w:val="00964272"/>
    <w:rsid w:val="0096517D"/>
    <w:rsid w:val="0096590B"/>
    <w:rsid w:val="00966B1B"/>
    <w:rsid w:val="009674E8"/>
    <w:rsid w:val="009676B8"/>
    <w:rsid w:val="00970414"/>
    <w:rsid w:val="00970D1F"/>
    <w:rsid w:val="00971386"/>
    <w:rsid w:val="00971513"/>
    <w:rsid w:val="0097170E"/>
    <w:rsid w:val="009735FC"/>
    <w:rsid w:val="0097421B"/>
    <w:rsid w:val="00974333"/>
    <w:rsid w:val="00975597"/>
    <w:rsid w:val="00981846"/>
    <w:rsid w:val="00981AD9"/>
    <w:rsid w:val="00982518"/>
    <w:rsid w:val="009830ED"/>
    <w:rsid w:val="009835F3"/>
    <w:rsid w:val="009836BB"/>
    <w:rsid w:val="0098578A"/>
    <w:rsid w:val="00985834"/>
    <w:rsid w:val="00985E27"/>
    <w:rsid w:val="0098680E"/>
    <w:rsid w:val="009903CD"/>
    <w:rsid w:val="009905C9"/>
    <w:rsid w:val="009909CE"/>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838"/>
    <w:rsid w:val="009B4D03"/>
    <w:rsid w:val="009B550D"/>
    <w:rsid w:val="009B611B"/>
    <w:rsid w:val="009B633B"/>
    <w:rsid w:val="009B66B7"/>
    <w:rsid w:val="009B7587"/>
    <w:rsid w:val="009C0280"/>
    <w:rsid w:val="009C09FC"/>
    <w:rsid w:val="009C0D90"/>
    <w:rsid w:val="009C0FDF"/>
    <w:rsid w:val="009C2466"/>
    <w:rsid w:val="009C33CC"/>
    <w:rsid w:val="009C4D33"/>
    <w:rsid w:val="009C6B9F"/>
    <w:rsid w:val="009C6BAE"/>
    <w:rsid w:val="009C74DE"/>
    <w:rsid w:val="009C7790"/>
    <w:rsid w:val="009C7A40"/>
    <w:rsid w:val="009C7F13"/>
    <w:rsid w:val="009D0392"/>
    <w:rsid w:val="009D1886"/>
    <w:rsid w:val="009D1BA8"/>
    <w:rsid w:val="009D2489"/>
    <w:rsid w:val="009D29D7"/>
    <w:rsid w:val="009D3049"/>
    <w:rsid w:val="009D590B"/>
    <w:rsid w:val="009D5C0C"/>
    <w:rsid w:val="009D6A38"/>
    <w:rsid w:val="009D73EF"/>
    <w:rsid w:val="009E016A"/>
    <w:rsid w:val="009E266E"/>
    <w:rsid w:val="009E289D"/>
    <w:rsid w:val="009E3F9E"/>
    <w:rsid w:val="009E40F8"/>
    <w:rsid w:val="009E559C"/>
    <w:rsid w:val="009E69A9"/>
    <w:rsid w:val="009F19AF"/>
    <w:rsid w:val="009F2BA4"/>
    <w:rsid w:val="009F32F8"/>
    <w:rsid w:val="009F344D"/>
    <w:rsid w:val="009F5116"/>
    <w:rsid w:val="009F6C2B"/>
    <w:rsid w:val="009F6F03"/>
    <w:rsid w:val="00A002A5"/>
    <w:rsid w:val="00A00631"/>
    <w:rsid w:val="00A0148D"/>
    <w:rsid w:val="00A03578"/>
    <w:rsid w:val="00A03832"/>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08C5"/>
    <w:rsid w:val="00A214A0"/>
    <w:rsid w:val="00A247C6"/>
    <w:rsid w:val="00A24D9C"/>
    <w:rsid w:val="00A257CF"/>
    <w:rsid w:val="00A25C99"/>
    <w:rsid w:val="00A26293"/>
    <w:rsid w:val="00A26AEB"/>
    <w:rsid w:val="00A27BDC"/>
    <w:rsid w:val="00A307C7"/>
    <w:rsid w:val="00A31003"/>
    <w:rsid w:val="00A3146F"/>
    <w:rsid w:val="00A3180C"/>
    <w:rsid w:val="00A3291C"/>
    <w:rsid w:val="00A32C9D"/>
    <w:rsid w:val="00A37418"/>
    <w:rsid w:val="00A4005F"/>
    <w:rsid w:val="00A4017E"/>
    <w:rsid w:val="00A42526"/>
    <w:rsid w:val="00A435D3"/>
    <w:rsid w:val="00A44DC2"/>
    <w:rsid w:val="00A45C92"/>
    <w:rsid w:val="00A463AE"/>
    <w:rsid w:val="00A46AE8"/>
    <w:rsid w:val="00A471C1"/>
    <w:rsid w:val="00A47587"/>
    <w:rsid w:val="00A4766E"/>
    <w:rsid w:val="00A47A2A"/>
    <w:rsid w:val="00A47DA5"/>
    <w:rsid w:val="00A47DB2"/>
    <w:rsid w:val="00A528F0"/>
    <w:rsid w:val="00A52CA9"/>
    <w:rsid w:val="00A52D17"/>
    <w:rsid w:val="00A546E0"/>
    <w:rsid w:val="00A5559F"/>
    <w:rsid w:val="00A566F9"/>
    <w:rsid w:val="00A56AC8"/>
    <w:rsid w:val="00A56D1E"/>
    <w:rsid w:val="00A56E84"/>
    <w:rsid w:val="00A57101"/>
    <w:rsid w:val="00A57152"/>
    <w:rsid w:val="00A5789C"/>
    <w:rsid w:val="00A57AFC"/>
    <w:rsid w:val="00A60C73"/>
    <w:rsid w:val="00A61355"/>
    <w:rsid w:val="00A615F9"/>
    <w:rsid w:val="00A62E98"/>
    <w:rsid w:val="00A637F0"/>
    <w:rsid w:val="00A64FCF"/>
    <w:rsid w:val="00A65D59"/>
    <w:rsid w:val="00A65E4B"/>
    <w:rsid w:val="00A667FF"/>
    <w:rsid w:val="00A66B6F"/>
    <w:rsid w:val="00A66D69"/>
    <w:rsid w:val="00A704F4"/>
    <w:rsid w:val="00A70904"/>
    <w:rsid w:val="00A71601"/>
    <w:rsid w:val="00A71EFC"/>
    <w:rsid w:val="00A72EF1"/>
    <w:rsid w:val="00A732EC"/>
    <w:rsid w:val="00A7392A"/>
    <w:rsid w:val="00A74927"/>
    <w:rsid w:val="00A74963"/>
    <w:rsid w:val="00A7498D"/>
    <w:rsid w:val="00A7507D"/>
    <w:rsid w:val="00A757CD"/>
    <w:rsid w:val="00A76081"/>
    <w:rsid w:val="00A77189"/>
    <w:rsid w:val="00A777C1"/>
    <w:rsid w:val="00A77A04"/>
    <w:rsid w:val="00A822EC"/>
    <w:rsid w:val="00A82D74"/>
    <w:rsid w:val="00A82FFC"/>
    <w:rsid w:val="00A83F6D"/>
    <w:rsid w:val="00A83FDC"/>
    <w:rsid w:val="00A84339"/>
    <w:rsid w:val="00A84C69"/>
    <w:rsid w:val="00A85A26"/>
    <w:rsid w:val="00A86143"/>
    <w:rsid w:val="00A86154"/>
    <w:rsid w:val="00A8696A"/>
    <w:rsid w:val="00A86F4B"/>
    <w:rsid w:val="00A8790C"/>
    <w:rsid w:val="00A90F1A"/>
    <w:rsid w:val="00A91558"/>
    <w:rsid w:val="00A91764"/>
    <w:rsid w:val="00A92EB3"/>
    <w:rsid w:val="00A9338C"/>
    <w:rsid w:val="00A93C5F"/>
    <w:rsid w:val="00A93FE0"/>
    <w:rsid w:val="00A95744"/>
    <w:rsid w:val="00A95E1B"/>
    <w:rsid w:val="00A96127"/>
    <w:rsid w:val="00A96BB9"/>
    <w:rsid w:val="00AA1CD6"/>
    <w:rsid w:val="00AA1E0B"/>
    <w:rsid w:val="00AA2492"/>
    <w:rsid w:val="00AA3659"/>
    <w:rsid w:val="00AA37BA"/>
    <w:rsid w:val="00AA494E"/>
    <w:rsid w:val="00AA517D"/>
    <w:rsid w:val="00AA544C"/>
    <w:rsid w:val="00AA749D"/>
    <w:rsid w:val="00AA7988"/>
    <w:rsid w:val="00AA79FF"/>
    <w:rsid w:val="00AB0147"/>
    <w:rsid w:val="00AB21C4"/>
    <w:rsid w:val="00AB522E"/>
    <w:rsid w:val="00AB54EF"/>
    <w:rsid w:val="00AB54F7"/>
    <w:rsid w:val="00AB6291"/>
    <w:rsid w:val="00AB6520"/>
    <w:rsid w:val="00AB7663"/>
    <w:rsid w:val="00AB7E21"/>
    <w:rsid w:val="00AC0621"/>
    <w:rsid w:val="00AC0DC5"/>
    <w:rsid w:val="00AC22E3"/>
    <w:rsid w:val="00AC287B"/>
    <w:rsid w:val="00AC2EA8"/>
    <w:rsid w:val="00AC340C"/>
    <w:rsid w:val="00AC3B6D"/>
    <w:rsid w:val="00AC41B8"/>
    <w:rsid w:val="00AC470D"/>
    <w:rsid w:val="00AC4D06"/>
    <w:rsid w:val="00AC4D2F"/>
    <w:rsid w:val="00AC55B5"/>
    <w:rsid w:val="00AC5639"/>
    <w:rsid w:val="00AC67EE"/>
    <w:rsid w:val="00AC6966"/>
    <w:rsid w:val="00AC7887"/>
    <w:rsid w:val="00AD05D2"/>
    <w:rsid w:val="00AD0976"/>
    <w:rsid w:val="00AD0EF1"/>
    <w:rsid w:val="00AD10BA"/>
    <w:rsid w:val="00AD126E"/>
    <w:rsid w:val="00AD175A"/>
    <w:rsid w:val="00AD1F00"/>
    <w:rsid w:val="00AD2CF2"/>
    <w:rsid w:val="00AD2EF1"/>
    <w:rsid w:val="00AD5B85"/>
    <w:rsid w:val="00AD5D2E"/>
    <w:rsid w:val="00AD5ECB"/>
    <w:rsid w:val="00AD6027"/>
    <w:rsid w:val="00AD66DC"/>
    <w:rsid w:val="00AD693E"/>
    <w:rsid w:val="00AD7FEF"/>
    <w:rsid w:val="00AE0378"/>
    <w:rsid w:val="00AE0784"/>
    <w:rsid w:val="00AE10C3"/>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2C49"/>
    <w:rsid w:val="00AF31EF"/>
    <w:rsid w:val="00AF3465"/>
    <w:rsid w:val="00AF3B18"/>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596C"/>
    <w:rsid w:val="00B0653E"/>
    <w:rsid w:val="00B06F29"/>
    <w:rsid w:val="00B07391"/>
    <w:rsid w:val="00B07A9D"/>
    <w:rsid w:val="00B10CE1"/>
    <w:rsid w:val="00B114BB"/>
    <w:rsid w:val="00B135AA"/>
    <w:rsid w:val="00B13B22"/>
    <w:rsid w:val="00B14C61"/>
    <w:rsid w:val="00B14E9A"/>
    <w:rsid w:val="00B16707"/>
    <w:rsid w:val="00B17357"/>
    <w:rsid w:val="00B17B3E"/>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278FC"/>
    <w:rsid w:val="00B30D63"/>
    <w:rsid w:val="00B30FEA"/>
    <w:rsid w:val="00B31110"/>
    <w:rsid w:val="00B33919"/>
    <w:rsid w:val="00B33B31"/>
    <w:rsid w:val="00B3429D"/>
    <w:rsid w:val="00B35394"/>
    <w:rsid w:val="00B35563"/>
    <w:rsid w:val="00B35B92"/>
    <w:rsid w:val="00B36320"/>
    <w:rsid w:val="00B36934"/>
    <w:rsid w:val="00B36D69"/>
    <w:rsid w:val="00B400BD"/>
    <w:rsid w:val="00B40399"/>
    <w:rsid w:val="00B404D1"/>
    <w:rsid w:val="00B4079A"/>
    <w:rsid w:val="00B40833"/>
    <w:rsid w:val="00B40902"/>
    <w:rsid w:val="00B41EFC"/>
    <w:rsid w:val="00B42840"/>
    <w:rsid w:val="00B42979"/>
    <w:rsid w:val="00B431E9"/>
    <w:rsid w:val="00B439F8"/>
    <w:rsid w:val="00B44DE8"/>
    <w:rsid w:val="00B454A9"/>
    <w:rsid w:val="00B459C2"/>
    <w:rsid w:val="00B47CBA"/>
    <w:rsid w:val="00B51310"/>
    <w:rsid w:val="00B513BE"/>
    <w:rsid w:val="00B515AA"/>
    <w:rsid w:val="00B5199A"/>
    <w:rsid w:val="00B51EE1"/>
    <w:rsid w:val="00B52D05"/>
    <w:rsid w:val="00B540C1"/>
    <w:rsid w:val="00B540D4"/>
    <w:rsid w:val="00B54380"/>
    <w:rsid w:val="00B543FE"/>
    <w:rsid w:val="00B545DE"/>
    <w:rsid w:val="00B5660D"/>
    <w:rsid w:val="00B5684E"/>
    <w:rsid w:val="00B57981"/>
    <w:rsid w:val="00B60A34"/>
    <w:rsid w:val="00B61175"/>
    <w:rsid w:val="00B614FB"/>
    <w:rsid w:val="00B618C2"/>
    <w:rsid w:val="00B6194E"/>
    <w:rsid w:val="00B61950"/>
    <w:rsid w:val="00B6295A"/>
    <w:rsid w:val="00B634E3"/>
    <w:rsid w:val="00B6419B"/>
    <w:rsid w:val="00B644AE"/>
    <w:rsid w:val="00B646C0"/>
    <w:rsid w:val="00B65941"/>
    <w:rsid w:val="00B65CFD"/>
    <w:rsid w:val="00B660F5"/>
    <w:rsid w:val="00B66986"/>
    <w:rsid w:val="00B67E1D"/>
    <w:rsid w:val="00B708DC"/>
    <w:rsid w:val="00B71963"/>
    <w:rsid w:val="00B71F7F"/>
    <w:rsid w:val="00B72360"/>
    <w:rsid w:val="00B74426"/>
    <w:rsid w:val="00B7587A"/>
    <w:rsid w:val="00B76019"/>
    <w:rsid w:val="00B76445"/>
    <w:rsid w:val="00B765BA"/>
    <w:rsid w:val="00B76797"/>
    <w:rsid w:val="00B76D1B"/>
    <w:rsid w:val="00B80335"/>
    <w:rsid w:val="00B80B44"/>
    <w:rsid w:val="00B83E08"/>
    <w:rsid w:val="00B85885"/>
    <w:rsid w:val="00B85BB8"/>
    <w:rsid w:val="00B8646B"/>
    <w:rsid w:val="00B872D2"/>
    <w:rsid w:val="00B901A4"/>
    <w:rsid w:val="00B9092A"/>
    <w:rsid w:val="00B90FDF"/>
    <w:rsid w:val="00B91C8A"/>
    <w:rsid w:val="00B91DFB"/>
    <w:rsid w:val="00B920D1"/>
    <w:rsid w:val="00B925BE"/>
    <w:rsid w:val="00B93061"/>
    <w:rsid w:val="00B933CF"/>
    <w:rsid w:val="00B93A48"/>
    <w:rsid w:val="00B945F5"/>
    <w:rsid w:val="00B9529A"/>
    <w:rsid w:val="00B9681A"/>
    <w:rsid w:val="00B971E9"/>
    <w:rsid w:val="00B97F29"/>
    <w:rsid w:val="00BA0662"/>
    <w:rsid w:val="00BA0723"/>
    <w:rsid w:val="00BA0ED2"/>
    <w:rsid w:val="00BA11CB"/>
    <w:rsid w:val="00BA1AC3"/>
    <w:rsid w:val="00BA1C54"/>
    <w:rsid w:val="00BA2D33"/>
    <w:rsid w:val="00BA3E65"/>
    <w:rsid w:val="00BA3F82"/>
    <w:rsid w:val="00BA4468"/>
    <w:rsid w:val="00BA5B14"/>
    <w:rsid w:val="00BA6BE4"/>
    <w:rsid w:val="00BA7461"/>
    <w:rsid w:val="00BB01B5"/>
    <w:rsid w:val="00BB08B2"/>
    <w:rsid w:val="00BB29AA"/>
    <w:rsid w:val="00BB35DF"/>
    <w:rsid w:val="00BB3EC0"/>
    <w:rsid w:val="00BB4A0D"/>
    <w:rsid w:val="00BB4A5B"/>
    <w:rsid w:val="00BB5336"/>
    <w:rsid w:val="00BB5538"/>
    <w:rsid w:val="00BB554E"/>
    <w:rsid w:val="00BB5B81"/>
    <w:rsid w:val="00BB5E21"/>
    <w:rsid w:val="00BB611E"/>
    <w:rsid w:val="00BB62D4"/>
    <w:rsid w:val="00BB6BD5"/>
    <w:rsid w:val="00BB6D39"/>
    <w:rsid w:val="00BB7152"/>
    <w:rsid w:val="00BB71A8"/>
    <w:rsid w:val="00BB7792"/>
    <w:rsid w:val="00BB7A3C"/>
    <w:rsid w:val="00BB7C2D"/>
    <w:rsid w:val="00BC092A"/>
    <w:rsid w:val="00BC0BCA"/>
    <w:rsid w:val="00BC1C49"/>
    <w:rsid w:val="00BC22D7"/>
    <w:rsid w:val="00BC2AD6"/>
    <w:rsid w:val="00BC3756"/>
    <w:rsid w:val="00BC4D9A"/>
    <w:rsid w:val="00BC5602"/>
    <w:rsid w:val="00BC56FA"/>
    <w:rsid w:val="00BC719C"/>
    <w:rsid w:val="00BC7D17"/>
    <w:rsid w:val="00BD3603"/>
    <w:rsid w:val="00BD400A"/>
    <w:rsid w:val="00BD425A"/>
    <w:rsid w:val="00BD45B0"/>
    <w:rsid w:val="00BD4B3A"/>
    <w:rsid w:val="00BD4DBD"/>
    <w:rsid w:val="00BD7328"/>
    <w:rsid w:val="00BD7498"/>
    <w:rsid w:val="00BD7EE7"/>
    <w:rsid w:val="00BE039B"/>
    <w:rsid w:val="00BE0BA8"/>
    <w:rsid w:val="00BE189B"/>
    <w:rsid w:val="00BE4793"/>
    <w:rsid w:val="00BE59EF"/>
    <w:rsid w:val="00BE6BD1"/>
    <w:rsid w:val="00BE7BA2"/>
    <w:rsid w:val="00BF0966"/>
    <w:rsid w:val="00BF19CA"/>
    <w:rsid w:val="00BF1B16"/>
    <w:rsid w:val="00BF2FF1"/>
    <w:rsid w:val="00BF3302"/>
    <w:rsid w:val="00BF3697"/>
    <w:rsid w:val="00BF3DAB"/>
    <w:rsid w:val="00BF4ED4"/>
    <w:rsid w:val="00BF4FD6"/>
    <w:rsid w:val="00BF569C"/>
    <w:rsid w:val="00BF62FC"/>
    <w:rsid w:val="00BF6563"/>
    <w:rsid w:val="00BF6A65"/>
    <w:rsid w:val="00BF6ACE"/>
    <w:rsid w:val="00BF7356"/>
    <w:rsid w:val="00BF79ED"/>
    <w:rsid w:val="00BF7F1C"/>
    <w:rsid w:val="00C00D0F"/>
    <w:rsid w:val="00C0177B"/>
    <w:rsid w:val="00C01827"/>
    <w:rsid w:val="00C0250D"/>
    <w:rsid w:val="00C03F7B"/>
    <w:rsid w:val="00C0482C"/>
    <w:rsid w:val="00C04F0C"/>
    <w:rsid w:val="00C04FB6"/>
    <w:rsid w:val="00C0518A"/>
    <w:rsid w:val="00C05C58"/>
    <w:rsid w:val="00C0754D"/>
    <w:rsid w:val="00C07667"/>
    <w:rsid w:val="00C10295"/>
    <w:rsid w:val="00C10C4D"/>
    <w:rsid w:val="00C11961"/>
    <w:rsid w:val="00C13A51"/>
    <w:rsid w:val="00C1476B"/>
    <w:rsid w:val="00C16160"/>
    <w:rsid w:val="00C169C7"/>
    <w:rsid w:val="00C16FC8"/>
    <w:rsid w:val="00C1746A"/>
    <w:rsid w:val="00C20039"/>
    <w:rsid w:val="00C20CD5"/>
    <w:rsid w:val="00C2110E"/>
    <w:rsid w:val="00C2119A"/>
    <w:rsid w:val="00C2190E"/>
    <w:rsid w:val="00C226E6"/>
    <w:rsid w:val="00C22E85"/>
    <w:rsid w:val="00C236D1"/>
    <w:rsid w:val="00C24CAC"/>
    <w:rsid w:val="00C2517F"/>
    <w:rsid w:val="00C25815"/>
    <w:rsid w:val="00C26A45"/>
    <w:rsid w:val="00C26B29"/>
    <w:rsid w:val="00C273EB"/>
    <w:rsid w:val="00C31018"/>
    <w:rsid w:val="00C313BF"/>
    <w:rsid w:val="00C31432"/>
    <w:rsid w:val="00C31EAE"/>
    <w:rsid w:val="00C322CE"/>
    <w:rsid w:val="00C323A5"/>
    <w:rsid w:val="00C32750"/>
    <w:rsid w:val="00C32BBA"/>
    <w:rsid w:val="00C3342D"/>
    <w:rsid w:val="00C33450"/>
    <w:rsid w:val="00C3426B"/>
    <w:rsid w:val="00C35CFB"/>
    <w:rsid w:val="00C36B6B"/>
    <w:rsid w:val="00C37071"/>
    <w:rsid w:val="00C37D32"/>
    <w:rsid w:val="00C37F3E"/>
    <w:rsid w:val="00C40C4C"/>
    <w:rsid w:val="00C41586"/>
    <w:rsid w:val="00C42902"/>
    <w:rsid w:val="00C429CF"/>
    <w:rsid w:val="00C42C94"/>
    <w:rsid w:val="00C4353C"/>
    <w:rsid w:val="00C43C45"/>
    <w:rsid w:val="00C43FE2"/>
    <w:rsid w:val="00C44118"/>
    <w:rsid w:val="00C444CE"/>
    <w:rsid w:val="00C505E4"/>
    <w:rsid w:val="00C51DBB"/>
    <w:rsid w:val="00C52061"/>
    <w:rsid w:val="00C522E9"/>
    <w:rsid w:val="00C524A3"/>
    <w:rsid w:val="00C52681"/>
    <w:rsid w:val="00C53095"/>
    <w:rsid w:val="00C5317F"/>
    <w:rsid w:val="00C53680"/>
    <w:rsid w:val="00C55D51"/>
    <w:rsid w:val="00C57C43"/>
    <w:rsid w:val="00C611D9"/>
    <w:rsid w:val="00C617D4"/>
    <w:rsid w:val="00C61F61"/>
    <w:rsid w:val="00C620A7"/>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FBB"/>
    <w:rsid w:val="00C777A9"/>
    <w:rsid w:val="00C80455"/>
    <w:rsid w:val="00C8114F"/>
    <w:rsid w:val="00C84E62"/>
    <w:rsid w:val="00C86DAC"/>
    <w:rsid w:val="00C87C55"/>
    <w:rsid w:val="00C92596"/>
    <w:rsid w:val="00C92FD1"/>
    <w:rsid w:val="00C93576"/>
    <w:rsid w:val="00C937E1"/>
    <w:rsid w:val="00C93BB7"/>
    <w:rsid w:val="00C94281"/>
    <w:rsid w:val="00C954E6"/>
    <w:rsid w:val="00C955A6"/>
    <w:rsid w:val="00C96353"/>
    <w:rsid w:val="00C97369"/>
    <w:rsid w:val="00C97628"/>
    <w:rsid w:val="00C97CCB"/>
    <w:rsid w:val="00C97F5E"/>
    <w:rsid w:val="00CA020D"/>
    <w:rsid w:val="00CA0D6F"/>
    <w:rsid w:val="00CA0D7D"/>
    <w:rsid w:val="00CA1147"/>
    <w:rsid w:val="00CA2ACA"/>
    <w:rsid w:val="00CA3407"/>
    <w:rsid w:val="00CA41E9"/>
    <w:rsid w:val="00CA4A3C"/>
    <w:rsid w:val="00CA4FEC"/>
    <w:rsid w:val="00CA50E5"/>
    <w:rsid w:val="00CA6044"/>
    <w:rsid w:val="00CA645C"/>
    <w:rsid w:val="00CA650E"/>
    <w:rsid w:val="00CA6F45"/>
    <w:rsid w:val="00CA7473"/>
    <w:rsid w:val="00CB0D7D"/>
    <w:rsid w:val="00CB0F13"/>
    <w:rsid w:val="00CB151B"/>
    <w:rsid w:val="00CB30B8"/>
    <w:rsid w:val="00CB36C1"/>
    <w:rsid w:val="00CB4258"/>
    <w:rsid w:val="00CB42EF"/>
    <w:rsid w:val="00CB45BC"/>
    <w:rsid w:val="00CB4609"/>
    <w:rsid w:val="00CB4B74"/>
    <w:rsid w:val="00CB636A"/>
    <w:rsid w:val="00CC0D33"/>
    <w:rsid w:val="00CC16ED"/>
    <w:rsid w:val="00CC29FD"/>
    <w:rsid w:val="00CC311F"/>
    <w:rsid w:val="00CC3DCF"/>
    <w:rsid w:val="00CC50E3"/>
    <w:rsid w:val="00CC5511"/>
    <w:rsid w:val="00CC6048"/>
    <w:rsid w:val="00CC6147"/>
    <w:rsid w:val="00CC66AF"/>
    <w:rsid w:val="00CC69B2"/>
    <w:rsid w:val="00CC6A11"/>
    <w:rsid w:val="00CC7450"/>
    <w:rsid w:val="00CC7AC1"/>
    <w:rsid w:val="00CD139A"/>
    <w:rsid w:val="00CD209F"/>
    <w:rsid w:val="00CD31CD"/>
    <w:rsid w:val="00CD35CA"/>
    <w:rsid w:val="00CD368F"/>
    <w:rsid w:val="00CD3CB8"/>
    <w:rsid w:val="00CD4F11"/>
    <w:rsid w:val="00CD592C"/>
    <w:rsid w:val="00CD5AD0"/>
    <w:rsid w:val="00CD6665"/>
    <w:rsid w:val="00CD70F8"/>
    <w:rsid w:val="00CE02D2"/>
    <w:rsid w:val="00CE32D5"/>
    <w:rsid w:val="00CE4537"/>
    <w:rsid w:val="00CE588D"/>
    <w:rsid w:val="00CE6528"/>
    <w:rsid w:val="00CE75EF"/>
    <w:rsid w:val="00CF1638"/>
    <w:rsid w:val="00CF17FD"/>
    <w:rsid w:val="00CF1B4B"/>
    <w:rsid w:val="00CF1C7F"/>
    <w:rsid w:val="00CF288F"/>
    <w:rsid w:val="00CF2921"/>
    <w:rsid w:val="00CF4100"/>
    <w:rsid w:val="00CF50E5"/>
    <w:rsid w:val="00CF5EFF"/>
    <w:rsid w:val="00CF62D6"/>
    <w:rsid w:val="00CF721B"/>
    <w:rsid w:val="00CF75F9"/>
    <w:rsid w:val="00D0122B"/>
    <w:rsid w:val="00D01FEC"/>
    <w:rsid w:val="00D027D9"/>
    <w:rsid w:val="00D04130"/>
    <w:rsid w:val="00D054E8"/>
    <w:rsid w:val="00D06E18"/>
    <w:rsid w:val="00D0715E"/>
    <w:rsid w:val="00D0731C"/>
    <w:rsid w:val="00D074E2"/>
    <w:rsid w:val="00D07950"/>
    <w:rsid w:val="00D11C1F"/>
    <w:rsid w:val="00D12D81"/>
    <w:rsid w:val="00D12D97"/>
    <w:rsid w:val="00D136A0"/>
    <w:rsid w:val="00D13A8F"/>
    <w:rsid w:val="00D15073"/>
    <w:rsid w:val="00D15407"/>
    <w:rsid w:val="00D166CB"/>
    <w:rsid w:val="00D178CE"/>
    <w:rsid w:val="00D20490"/>
    <w:rsid w:val="00D205D3"/>
    <w:rsid w:val="00D213D1"/>
    <w:rsid w:val="00D214EF"/>
    <w:rsid w:val="00D22F72"/>
    <w:rsid w:val="00D2371B"/>
    <w:rsid w:val="00D23A8C"/>
    <w:rsid w:val="00D24F9D"/>
    <w:rsid w:val="00D254F0"/>
    <w:rsid w:val="00D25899"/>
    <w:rsid w:val="00D276A0"/>
    <w:rsid w:val="00D27B6B"/>
    <w:rsid w:val="00D31C8A"/>
    <w:rsid w:val="00D325B3"/>
    <w:rsid w:val="00D33370"/>
    <w:rsid w:val="00D33A16"/>
    <w:rsid w:val="00D33AAF"/>
    <w:rsid w:val="00D356F9"/>
    <w:rsid w:val="00D35B97"/>
    <w:rsid w:val="00D362C3"/>
    <w:rsid w:val="00D36426"/>
    <w:rsid w:val="00D36C4E"/>
    <w:rsid w:val="00D36D9A"/>
    <w:rsid w:val="00D402B0"/>
    <w:rsid w:val="00D402EB"/>
    <w:rsid w:val="00D4076E"/>
    <w:rsid w:val="00D41484"/>
    <w:rsid w:val="00D42135"/>
    <w:rsid w:val="00D445BA"/>
    <w:rsid w:val="00D45206"/>
    <w:rsid w:val="00D46A00"/>
    <w:rsid w:val="00D46F74"/>
    <w:rsid w:val="00D47132"/>
    <w:rsid w:val="00D47BC0"/>
    <w:rsid w:val="00D50391"/>
    <w:rsid w:val="00D50839"/>
    <w:rsid w:val="00D5124C"/>
    <w:rsid w:val="00D512D2"/>
    <w:rsid w:val="00D5165D"/>
    <w:rsid w:val="00D517D4"/>
    <w:rsid w:val="00D51C36"/>
    <w:rsid w:val="00D529B1"/>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5048"/>
    <w:rsid w:val="00D7543F"/>
    <w:rsid w:val="00D75CC6"/>
    <w:rsid w:val="00D7644F"/>
    <w:rsid w:val="00D76C5B"/>
    <w:rsid w:val="00D7730C"/>
    <w:rsid w:val="00D8068A"/>
    <w:rsid w:val="00D818FC"/>
    <w:rsid w:val="00D81B34"/>
    <w:rsid w:val="00D81E5D"/>
    <w:rsid w:val="00D8268A"/>
    <w:rsid w:val="00D82BAE"/>
    <w:rsid w:val="00D83916"/>
    <w:rsid w:val="00D844CC"/>
    <w:rsid w:val="00D8479E"/>
    <w:rsid w:val="00D848D0"/>
    <w:rsid w:val="00D84EF5"/>
    <w:rsid w:val="00D84F0E"/>
    <w:rsid w:val="00D85A22"/>
    <w:rsid w:val="00D872E5"/>
    <w:rsid w:val="00D90081"/>
    <w:rsid w:val="00D901B4"/>
    <w:rsid w:val="00D91AA3"/>
    <w:rsid w:val="00D91DE7"/>
    <w:rsid w:val="00D91EE4"/>
    <w:rsid w:val="00D92005"/>
    <w:rsid w:val="00D92312"/>
    <w:rsid w:val="00D92C18"/>
    <w:rsid w:val="00D970D3"/>
    <w:rsid w:val="00D974D9"/>
    <w:rsid w:val="00D9784A"/>
    <w:rsid w:val="00D97F26"/>
    <w:rsid w:val="00DA1553"/>
    <w:rsid w:val="00DA2AE9"/>
    <w:rsid w:val="00DA3AFC"/>
    <w:rsid w:val="00DA3ED6"/>
    <w:rsid w:val="00DA4326"/>
    <w:rsid w:val="00DA562E"/>
    <w:rsid w:val="00DA6F73"/>
    <w:rsid w:val="00DB1531"/>
    <w:rsid w:val="00DB2067"/>
    <w:rsid w:val="00DB4212"/>
    <w:rsid w:val="00DB4C26"/>
    <w:rsid w:val="00DB4D1E"/>
    <w:rsid w:val="00DB516B"/>
    <w:rsid w:val="00DB5ED6"/>
    <w:rsid w:val="00DB6910"/>
    <w:rsid w:val="00DC0546"/>
    <w:rsid w:val="00DC0622"/>
    <w:rsid w:val="00DC24DE"/>
    <w:rsid w:val="00DC56C0"/>
    <w:rsid w:val="00DC5A39"/>
    <w:rsid w:val="00DC6707"/>
    <w:rsid w:val="00DC6F4B"/>
    <w:rsid w:val="00DC75FE"/>
    <w:rsid w:val="00DD0BF1"/>
    <w:rsid w:val="00DD364F"/>
    <w:rsid w:val="00DD3B77"/>
    <w:rsid w:val="00DD4069"/>
    <w:rsid w:val="00DD418A"/>
    <w:rsid w:val="00DD43CA"/>
    <w:rsid w:val="00DD494B"/>
    <w:rsid w:val="00DD514D"/>
    <w:rsid w:val="00DD59AB"/>
    <w:rsid w:val="00DD5AB8"/>
    <w:rsid w:val="00DD789E"/>
    <w:rsid w:val="00DE01D1"/>
    <w:rsid w:val="00DE0839"/>
    <w:rsid w:val="00DE14E5"/>
    <w:rsid w:val="00DE1BC4"/>
    <w:rsid w:val="00DE5C64"/>
    <w:rsid w:val="00DE6304"/>
    <w:rsid w:val="00DE6410"/>
    <w:rsid w:val="00DE77C9"/>
    <w:rsid w:val="00DF17AE"/>
    <w:rsid w:val="00DF1C40"/>
    <w:rsid w:val="00DF359C"/>
    <w:rsid w:val="00DF3A46"/>
    <w:rsid w:val="00DF4163"/>
    <w:rsid w:val="00DF56FC"/>
    <w:rsid w:val="00DF589D"/>
    <w:rsid w:val="00DF66B5"/>
    <w:rsid w:val="00DF6D21"/>
    <w:rsid w:val="00DF6E0F"/>
    <w:rsid w:val="00DF724E"/>
    <w:rsid w:val="00DF75AF"/>
    <w:rsid w:val="00E00704"/>
    <w:rsid w:val="00E00743"/>
    <w:rsid w:val="00E010F8"/>
    <w:rsid w:val="00E013F0"/>
    <w:rsid w:val="00E01EAB"/>
    <w:rsid w:val="00E020D0"/>
    <w:rsid w:val="00E025C3"/>
    <w:rsid w:val="00E02DF8"/>
    <w:rsid w:val="00E034E0"/>
    <w:rsid w:val="00E04CA7"/>
    <w:rsid w:val="00E05823"/>
    <w:rsid w:val="00E05C48"/>
    <w:rsid w:val="00E05C89"/>
    <w:rsid w:val="00E066F3"/>
    <w:rsid w:val="00E075A5"/>
    <w:rsid w:val="00E075EF"/>
    <w:rsid w:val="00E07D2A"/>
    <w:rsid w:val="00E10F9D"/>
    <w:rsid w:val="00E11270"/>
    <w:rsid w:val="00E115B4"/>
    <w:rsid w:val="00E11A15"/>
    <w:rsid w:val="00E12D5D"/>
    <w:rsid w:val="00E13A1E"/>
    <w:rsid w:val="00E14BC1"/>
    <w:rsid w:val="00E150D0"/>
    <w:rsid w:val="00E15F47"/>
    <w:rsid w:val="00E16563"/>
    <w:rsid w:val="00E167ED"/>
    <w:rsid w:val="00E171C2"/>
    <w:rsid w:val="00E20542"/>
    <w:rsid w:val="00E21914"/>
    <w:rsid w:val="00E234BE"/>
    <w:rsid w:val="00E24C40"/>
    <w:rsid w:val="00E2615F"/>
    <w:rsid w:val="00E26AE7"/>
    <w:rsid w:val="00E278F8"/>
    <w:rsid w:val="00E303F1"/>
    <w:rsid w:val="00E305AA"/>
    <w:rsid w:val="00E30C0D"/>
    <w:rsid w:val="00E311FE"/>
    <w:rsid w:val="00E31D2D"/>
    <w:rsid w:val="00E31DEB"/>
    <w:rsid w:val="00E323DF"/>
    <w:rsid w:val="00E32A0A"/>
    <w:rsid w:val="00E345F3"/>
    <w:rsid w:val="00E3480F"/>
    <w:rsid w:val="00E34A0B"/>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5955"/>
    <w:rsid w:val="00E46572"/>
    <w:rsid w:val="00E46635"/>
    <w:rsid w:val="00E4685E"/>
    <w:rsid w:val="00E47046"/>
    <w:rsid w:val="00E47580"/>
    <w:rsid w:val="00E47E99"/>
    <w:rsid w:val="00E508D0"/>
    <w:rsid w:val="00E50A06"/>
    <w:rsid w:val="00E511BD"/>
    <w:rsid w:val="00E5207C"/>
    <w:rsid w:val="00E523B3"/>
    <w:rsid w:val="00E54065"/>
    <w:rsid w:val="00E545CD"/>
    <w:rsid w:val="00E554AF"/>
    <w:rsid w:val="00E57340"/>
    <w:rsid w:val="00E6017F"/>
    <w:rsid w:val="00E60A7B"/>
    <w:rsid w:val="00E60D48"/>
    <w:rsid w:val="00E611B5"/>
    <w:rsid w:val="00E611CC"/>
    <w:rsid w:val="00E6227E"/>
    <w:rsid w:val="00E626B6"/>
    <w:rsid w:val="00E63E2D"/>
    <w:rsid w:val="00E6456B"/>
    <w:rsid w:val="00E64D54"/>
    <w:rsid w:val="00E64F29"/>
    <w:rsid w:val="00E663BA"/>
    <w:rsid w:val="00E66932"/>
    <w:rsid w:val="00E67881"/>
    <w:rsid w:val="00E70033"/>
    <w:rsid w:val="00E70135"/>
    <w:rsid w:val="00E70461"/>
    <w:rsid w:val="00E7069A"/>
    <w:rsid w:val="00E70A57"/>
    <w:rsid w:val="00E71351"/>
    <w:rsid w:val="00E714BE"/>
    <w:rsid w:val="00E71728"/>
    <w:rsid w:val="00E740A7"/>
    <w:rsid w:val="00E748F1"/>
    <w:rsid w:val="00E74A55"/>
    <w:rsid w:val="00E75202"/>
    <w:rsid w:val="00E75DF2"/>
    <w:rsid w:val="00E7616F"/>
    <w:rsid w:val="00E7702F"/>
    <w:rsid w:val="00E775D4"/>
    <w:rsid w:val="00E7769F"/>
    <w:rsid w:val="00E77756"/>
    <w:rsid w:val="00E77ACA"/>
    <w:rsid w:val="00E77B8F"/>
    <w:rsid w:val="00E8141A"/>
    <w:rsid w:val="00E81EC5"/>
    <w:rsid w:val="00E825ED"/>
    <w:rsid w:val="00E82F28"/>
    <w:rsid w:val="00E835AC"/>
    <w:rsid w:val="00E84027"/>
    <w:rsid w:val="00E850B8"/>
    <w:rsid w:val="00E850FE"/>
    <w:rsid w:val="00E85D1F"/>
    <w:rsid w:val="00E86059"/>
    <w:rsid w:val="00E86F0B"/>
    <w:rsid w:val="00E87877"/>
    <w:rsid w:val="00E879C9"/>
    <w:rsid w:val="00E87F29"/>
    <w:rsid w:val="00E90016"/>
    <w:rsid w:val="00E905A4"/>
    <w:rsid w:val="00E914ED"/>
    <w:rsid w:val="00E928C6"/>
    <w:rsid w:val="00E9341F"/>
    <w:rsid w:val="00E93D37"/>
    <w:rsid w:val="00E93DB4"/>
    <w:rsid w:val="00E93DD4"/>
    <w:rsid w:val="00E94CA8"/>
    <w:rsid w:val="00E94F0B"/>
    <w:rsid w:val="00E956D4"/>
    <w:rsid w:val="00E95CB2"/>
    <w:rsid w:val="00E968D7"/>
    <w:rsid w:val="00E96C9B"/>
    <w:rsid w:val="00EA08B1"/>
    <w:rsid w:val="00EA0AE5"/>
    <w:rsid w:val="00EA147D"/>
    <w:rsid w:val="00EA1875"/>
    <w:rsid w:val="00EA18AF"/>
    <w:rsid w:val="00EA192A"/>
    <w:rsid w:val="00EA289A"/>
    <w:rsid w:val="00EA30AA"/>
    <w:rsid w:val="00EA30F5"/>
    <w:rsid w:val="00EA44A9"/>
    <w:rsid w:val="00EA5016"/>
    <w:rsid w:val="00EA5310"/>
    <w:rsid w:val="00EA5E0C"/>
    <w:rsid w:val="00EA5F60"/>
    <w:rsid w:val="00EA69A1"/>
    <w:rsid w:val="00EA6E93"/>
    <w:rsid w:val="00EA71FA"/>
    <w:rsid w:val="00EA7A2A"/>
    <w:rsid w:val="00EB1807"/>
    <w:rsid w:val="00EB1995"/>
    <w:rsid w:val="00EB21BE"/>
    <w:rsid w:val="00EB27CC"/>
    <w:rsid w:val="00EB2EFD"/>
    <w:rsid w:val="00EB49DB"/>
    <w:rsid w:val="00EB6299"/>
    <w:rsid w:val="00EB632A"/>
    <w:rsid w:val="00EB6B8D"/>
    <w:rsid w:val="00EB6CF1"/>
    <w:rsid w:val="00EB6EFB"/>
    <w:rsid w:val="00EB78EA"/>
    <w:rsid w:val="00EB7BF1"/>
    <w:rsid w:val="00EC01D8"/>
    <w:rsid w:val="00EC06F0"/>
    <w:rsid w:val="00EC0912"/>
    <w:rsid w:val="00EC0DB5"/>
    <w:rsid w:val="00EC17BB"/>
    <w:rsid w:val="00EC1977"/>
    <w:rsid w:val="00EC2088"/>
    <w:rsid w:val="00EC2111"/>
    <w:rsid w:val="00EC274D"/>
    <w:rsid w:val="00EC38FD"/>
    <w:rsid w:val="00EC3D3E"/>
    <w:rsid w:val="00EC517B"/>
    <w:rsid w:val="00EC576A"/>
    <w:rsid w:val="00EC5816"/>
    <w:rsid w:val="00EC5838"/>
    <w:rsid w:val="00EC5BD1"/>
    <w:rsid w:val="00EC5BFC"/>
    <w:rsid w:val="00EC615B"/>
    <w:rsid w:val="00EC6798"/>
    <w:rsid w:val="00EC6A81"/>
    <w:rsid w:val="00EC6B30"/>
    <w:rsid w:val="00EC6E05"/>
    <w:rsid w:val="00EC7929"/>
    <w:rsid w:val="00ED1A6D"/>
    <w:rsid w:val="00ED1F06"/>
    <w:rsid w:val="00ED321E"/>
    <w:rsid w:val="00ED440A"/>
    <w:rsid w:val="00ED460F"/>
    <w:rsid w:val="00ED4E3A"/>
    <w:rsid w:val="00ED56D0"/>
    <w:rsid w:val="00ED5E8C"/>
    <w:rsid w:val="00ED63EB"/>
    <w:rsid w:val="00ED675F"/>
    <w:rsid w:val="00ED6831"/>
    <w:rsid w:val="00ED7330"/>
    <w:rsid w:val="00ED741D"/>
    <w:rsid w:val="00EE0AB4"/>
    <w:rsid w:val="00EE16D2"/>
    <w:rsid w:val="00EE2FB1"/>
    <w:rsid w:val="00EE3A42"/>
    <w:rsid w:val="00EE3BBD"/>
    <w:rsid w:val="00EE4499"/>
    <w:rsid w:val="00EE4D99"/>
    <w:rsid w:val="00EE5110"/>
    <w:rsid w:val="00EE62DF"/>
    <w:rsid w:val="00EE65BC"/>
    <w:rsid w:val="00EE686E"/>
    <w:rsid w:val="00EE70D3"/>
    <w:rsid w:val="00EE754D"/>
    <w:rsid w:val="00EF00B8"/>
    <w:rsid w:val="00EF0E19"/>
    <w:rsid w:val="00EF16A3"/>
    <w:rsid w:val="00EF254D"/>
    <w:rsid w:val="00EF44F7"/>
    <w:rsid w:val="00EF471A"/>
    <w:rsid w:val="00EF60A0"/>
    <w:rsid w:val="00EF663A"/>
    <w:rsid w:val="00EF6829"/>
    <w:rsid w:val="00EF692E"/>
    <w:rsid w:val="00EF6F41"/>
    <w:rsid w:val="00F005AC"/>
    <w:rsid w:val="00F008F6"/>
    <w:rsid w:val="00F00A4D"/>
    <w:rsid w:val="00F02DE5"/>
    <w:rsid w:val="00F02EE3"/>
    <w:rsid w:val="00F0418B"/>
    <w:rsid w:val="00F04CA3"/>
    <w:rsid w:val="00F052FF"/>
    <w:rsid w:val="00F0673C"/>
    <w:rsid w:val="00F06A67"/>
    <w:rsid w:val="00F06C34"/>
    <w:rsid w:val="00F0740E"/>
    <w:rsid w:val="00F106A3"/>
    <w:rsid w:val="00F10826"/>
    <w:rsid w:val="00F10D50"/>
    <w:rsid w:val="00F10DDE"/>
    <w:rsid w:val="00F10E4D"/>
    <w:rsid w:val="00F11688"/>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A7E"/>
    <w:rsid w:val="00F2491D"/>
    <w:rsid w:val="00F25301"/>
    <w:rsid w:val="00F25480"/>
    <w:rsid w:val="00F26691"/>
    <w:rsid w:val="00F27430"/>
    <w:rsid w:val="00F27BB8"/>
    <w:rsid w:val="00F30A19"/>
    <w:rsid w:val="00F30BB1"/>
    <w:rsid w:val="00F323A9"/>
    <w:rsid w:val="00F32453"/>
    <w:rsid w:val="00F34D23"/>
    <w:rsid w:val="00F34FD0"/>
    <w:rsid w:val="00F359B9"/>
    <w:rsid w:val="00F35CCB"/>
    <w:rsid w:val="00F35CD9"/>
    <w:rsid w:val="00F405B9"/>
    <w:rsid w:val="00F40605"/>
    <w:rsid w:val="00F40765"/>
    <w:rsid w:val="00F41169"/>
    <w:rsid w:val="00F419E3"/>
    <w:rsid w:val="00F41AD9"/>
    <w:rsid w:val="00F41B9E"/>
    <w:rsid w:val="00F426D5"/>
    <w:rsid w:val="00F430C7"/>
    <w:rsid w:val="00F440E1"/>
    <w:rsid w:val="00F44B4E"/>
    <w:rsid w:val="00F457B3"/>
    <w:rsid w:val="00F45B8B"/>
    <w:rsid w:val="00F45C66"/>
    <w:rsid w:val="00F4620C"/>
    <w:rsid w:val="00F51C4C"/>
    <w:rsid w:val="00F53E6C"/>
    <w:rsid w:val="00F5446A"/>
    <w:rsid w:val="00F54B69"/>
    <w:rsid w:val="00F54C45"/>
    <w:rsid w:val="00F55248"/>
    <w:rsid w:val="00F552C7"/>
    <w:rsid w:val="00F55396"/>
    <w:rsid w:val="00F55587"/>
    <w:rsid w:val="00F55B70"/>
    <w:rsid w:val="00F578DE"/>
    <w:rsid w:val="00F605F5"/>
    <w:rsid w:val="00F60D73"/>
    <w:rsid w:val="00F6138D"/>
    <w:rsid w:val="00F61ECE"/>
    <w:rsid w:val="00F62C41"/>
    <w:rsid w:val="00F64389"/>
    <w:rsid w:val="00F64891"/>
    <w:rsid w:val="00F64B64"/>
    <w:rsid w:val="00F64FDE"/>
    <w:rsid w:val="00F65221"/>
    <w:rsid w:val="00F654EA"/>
    <w:rsid w:val="00F654FA"/>
    <w:rsid w:val="00F65BB8"/>
    <w:rsid w:val="00F65E49"/>
    <w:rsid w:val="00F65FFA"/>
    <w:rsid w:val="00F66B02"/>
    <w:rsid w:val="00F66C21"/>
    <w:rsid w:val="00F67102"/>
    <w:rsid w:val="00F67EDB"/>
    <w:rsid w:val="00F70758"/>
    <w:rsid w:val="00F7152E"/>
    <w:rsid w:val="00F74B24"/>
    <w:rsid w:val="00F752B3"/>
    <w:rsid w:val="00F75E9C"/>
    <w:rsid w:val="00F7607D"/>
    <w:rsid w:val="00F76393"/>
    <w:rsid w:val="00F76DA4"/>
    <w:rsid w:val="00F76F8A"/>
    <w:rsid w:val="00F8019B"/>
    <w:rsid w:val="00F80488"/>
    <w:rsid w:val="00F80843"/>
    <w:rsid w:val="00F80AD3"/>
    <w:rsid w:val="00F8144C"/>
    <w:rsid w:val="00F81F51"/>
    <w:rsid w:val="00F8267D"/>
    <w:rsid w:val="00F84851"/>
    <w:rsid w:val="00F84D46"/>
    <w:rsid w:val="00F85A80"/>
    <w:rsid w:val="00F86697"/>
    <w:rsid w:val="00F86801"/>
    <w:rsid w:val="00F869F0"/>
    <w:rsid w:val="00F86AED"/>
    <w:rsid w:val="00F90224"/>
    <w:rsid w:val="00F9113D"/>
    <w:rsid w:val="00F912CC"/>
    <w:rsid w:val="00F91FA5"/>
    <w:rsid w:val="00F92AD7"/>
    <w:rsid w:val="00F92CF0"/>
    <w:rsid w:val="00F94D61"/>
    <w:rsid w:val="00F95556"/>
    <w:rsid w:val="00F95C26"/>
    <w:rsid w:val="00F96D2A"/>
    <w:rsid w:val="00F96F23"/>
    <w:rsid w:val="00F97198"/>
    <w:rsid w:val="00F977B9"/>
    <w:rsid w:val="00F97DEF"/>
    <w:rsid w:val="00FA0350"/>
    <w:rsid w:val="00FA3F4F"/>
    <w:rsid w:val="00FA40B1"/>
    <w:rsid w:val="00FA46F8"/>
    <w:rsid w:val="00FA693F"/>
    <w:rsid w:val="00FA69EB"/>
    <w:rsid w:val="00FA7600"/>
    <w:rsid w:val="00FA7745"/>
    <w:rsid w:val="00FA7DEA"/>
    <w:rsid w:val="00FB0862"/>
    <w:rsid w:val="00FB0896"/>
    <w:rsid w:val="00FB09F0"/>
    <w:rsid w:val="00FB0AC1"/>
    <w:rsid w:val="00FB17ED"/>
    <w:rsid w:val="00FB19BB"/>
    <w:rsid w:val="00FB41C7"/>
    <w:rsid w:val="00FB50BC"/>
    <w:rsid w:val="00FB5274"/>
    <w:rsid w:val="00FB587C"/>
    <w:rsid w:val="00FB58A9"/>
    <w:rsid w:val="00FB681C"/>
    <w:rsid w:val="00FB71D2"/>
    <w:rsid w:val="00FB72BB"/>
    <w:rsid w:val="00FB7C04"/>
    <w:rsid w:val="00FC11FC"/>
    <w:rsid w:val="00FC1E2D"/>
    <w:rsid w:val="00FC2B66"/>
    <w:rsid w:val="00FC352A"/>
    <w:rsid w:val="00FC359D"/>
    <w:rsid w:val="00FC40D8"/>
    <w:rsid w:val="00FC41BD"/>
    <w:rsid w:val="00FC487C"/>
    <w:rsid w:val="00FC4D2D"/>
    <w:rsid w:val="00FC4E69"/>
    <w:rsid w:val="00FC5412"/>
    <w:rsid w:val="00FC5C2A"/>
    <w:rsid w:val="00FC5F08"/>
    <w:rsid w:val="00FC5F5D"/>
    <w:rsid w:val="00FC61F9"/>
    <w:rsid w:val="00FC622E"/>
    <w:rsid w:val="00FC66E0"/>
    <w:rsid w:val="00FD0437"/>
    <w:rsid w:val="00FD051E"/>
    <w:rsid w:val="00FD0688"/>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2F3C"/>
    <w:rsid w:val="00FE43BE"/>
    <w:rsid w:val="00FE4710"/>
    <w:rsid w:val="00FE4736"/>
    <w:rsid w:val="00FE4898"/>
    <w:rsid w:val="00FE5304"/>
    <w:rsid w:val="00FE592B"/>
    <w:rsid w:val="00FE740A"/>
    <w:rsid w:val="00FE7866"/>
    <w:rsid w:val="00FE7C19"/>
    <w:rsid w:val="00FF06D9"/>
    <w:rsid w:val="00FF0849"/>
    <w:rsid w:val="00FF0A08"/>
    <w:rsid w:val="00FF1647"/>
    <w:rsid w:val="00FF22B8"/>
    <w:rsid w:val="00FF2F76"/>
    <w:rsid w:val="00FF3F2D"/>
    <w:rsid w:val="00FF4025"/>
    <w:rsid w:val="00FF4A63"/>
    <w:rsid w:val="00FF4F57"/>
    <w:rsid w:val="00FF54B8"/>
    <w:rsid w:val="00FF7497"/>
    <w:rsid w:val="00FF7835"/>
    <w:rsid w:val="00FF784D"/>
    <w:rsid w:val="0104458B"/>
    <w:rsid w:val="0133758F"/>
    <w:rsid w:val="01640518"/>
    <w:rsid w:val="016D57FA"/>
    <w:rsid w:val="017A6055"/>
    <w:rsid w:val="01956F93"/>
    <w:rsid w:val="019B53E2"/>
    <w:rsid w:val="01C41113"/>
    <w:rsid w:val="01DF1D31"/>
    <w:rsid w:val="01F92D80"/>
    <w:rsid w:val="01F954D4"/>
    <w:rsid w:val="01FD4042"/>
    <w:rsid w:val="020458F6"/>
    <w:rsid w:val="026D0521"/>
    <w:rsid w:val="027D02FE"/>
    <w:rsid w:val="028326FA"/>
    <w:rsid w:val="02B83F1D"/>
    <w:rsid w:val="03026A0B"/>
    <w:rsid w:val="03186D24"/>
    <w:rsid w:val="032B3844"/>
    <w:rsid w:val="03395FEA"/>
    <w:rsid w:val="0388410D"/>
    <w:rsid w:val="03A43FBF"/>
    <w:rsid w:val="04006A2B"/>
    <w:rsid w:val="0409276C"/>
    <w:rsid w:val="045836F1"/>
    <w:rsid w:val="04F902ED"/>
    <w:rsid w:val="054B3988"/>
    <w:rsid w:val="057D4BD1"/>
    <w:rsid w:val="05886E77"/>
    <w:rsid w:val="058A3C4A"/>
    <w:rsid w:val="05C555C6"/>
    <w:rsid w:val="05CE6C7E"/>
    <w:rsid w:val="060F2843"/>
    <w:rsid w:val="0620408A"/>
    <w:rsid w:val="063D0ACC"/>
    <w:rsid w:val="06667525"/>
    <w:rsid w:val="06700D24"/>
    <w:rsid w:val="067D1B0C"/>
    <w:rsid w:val="06B405F7"/>
    <w:rsid w:val="06B85605"/>
    <w:rsid w:val="06BA4742"/>
    <w:rsid w:val="06C5167C"/>
    <w:rsid w:val="073432EC"/>
    <w:rsid w:val="075637EA"/>
    <w:rsid w:val="075C60BF"/>
    <w:rsid w:val="076520D3"/>
    <w:rsid w:val="076E75D8"/>
    <w:rsid w:val="07C04B38"/>
    <w:rsid w:val="07D72EA9"/>
    <w:rsid w:val="07E472F9"/>
    <w:rsid w:val="07FA5809"/>
    <w:rsid w:val="080839BA"/>
    <w:rsid w:val="080D3087"/>
    <w:rsid w:val="08187E7F"/>
    <w:rsid w:val="08584549"/>
    <w:rsid w:val="08721009"/>
    <w:rsid w:val="089B4E12"/>
    <w:rsid w:val="089F7BB5"/>
    <w:rsid w:val="08D03634"/>
    <w:rsid w:val="08E77122"/>
    <w:rsid w:val="09220E03"/>
    <w:rsid w:val="09235FAE"/>
    <w:rsid w:val="09440A55"/>
    <w:rsid w:val="094E5E8B"/>
    <w:rsid w:val="09570B83"/>
    <w:rsid w:val="097D6385"/>
    <w:rsid w:val="0980144C"/>
    <w:rsid w:val="098B2F1A"/>
    <w:rsid w:val="099B2686"/>
    <w:rsid w:val="09C736B1"/>
    <w:rsid w:val="09D12691"/>
    <w:rsid w:val="09DA7976"/>
    <w:rsid w:val="09DE7D03"/>
    <w:rsid w:val="09E667D0"/>
    <w:rsid w:val="0A2A52A4"/>
    <w:rsid w:val="0A425AE5"/>
    <w:rsid w:val="0A7F444C"/>
    <w:rsid w:val="0A8B48B0"/>
    <w:rsid w:val="0AAF72EA"/>
    <w:rsid w:val="0AF41A11"/>
    <w:rsid w:val="0B0405DA"/>
    <w:rsid w:val="0B3138BD"/>
    <w:rsid w:val="0B4827D7"/>
    <w:rsid w:val="0B4C466E"/>
    <w:rsid w:val="0B54287F"/>
    <w:rsid w:val="0B5C10FD"/>
    <w:rsid w:val="0B8F4F60"/>
    <w:rsid w:val="0BC15C42"/>
    <w:rsid w:val="0BCE4DC7"/>
    <w:rsid w:val="0BF476EA"/>
    <w:rsid w:val="0C0C5967"/>
    <w:rsid w:val="0C2E67E4"/>
    <w:rsid w:val="0C442326"/>
    <w:rsid w:val="0C623C90"/>
    <w:rsid w:val="0C6939A6"/>
    <w:rsid w:val="0CAE6E4A"/>
    <w:rsid w:val="0CB40839"/>
    <w:rsid w:val="0CDF41BF"/>
    <w:rsid w:val="0CFA74C1"/>
    <w:rsid w:val="0D0316DE"/>
    <w:rsid w:val="0D0B0DAD"/>
    <w:rsid w:val="0D1A404E"/>
    <w:rsid w:val="0D1A7B4B"/>
    <w:rsid w:val="0D1B0E89"/>
    <w:rsid w:val="0D254B47"/>
    <w:rsid w:val="0D3910D6"/>
    <w:rsid w:val="0DAE15DF"/>
    <w:rsid w:val="0DE011D7"/>
    <w:rsid w:val="0DED6C3C"/>
    <w:rsid w:val="0DF77E44"/>
    <w:rsid w:val="0E461E6E"/>
    <w:rsid w:val="0E951E2D"/>
    <w:rsid w:val="0EB04C1D"/>
    <w:rsid w:val="0ED32755"/>
    <w:rsid w:val="0ED60439"/>
    <w:rsid w:val="0F0F7EFA"/>
    <w:rsid w:val="0F2036E7"/>
    <w:rsid w:val="0F4939F6"/>
    <w:rsid w:val="0F565086"/>
    <w:rsid w:val="0F572DAE"/>
    <w:rsid w:val="0F5825A4"/>
    <w:rsid w:val="0F840E19"/>
    <w:rsid w:val="0F890D17"/>
    <w:rsid w:val="0F9C6460"/>
    <w:rsid w:val="0FA27879"/>
    <w:rsid w:val="0FCC044D"/>
    <w:rsid w:val="0FED709C"/>
    <w:rsid w:val="0FFC53D4"/>
    <w:rsid w:val="100162AE"/>
    <w:rsid w:val="10216377"/>
    <w:rsid w:val="1030066E"/>
    <w:rsid w:val="104A131B"/>
    <w:rsid w:val="10DA157D"/>
    <w:rsid w:val="10E4603D"/>
    <w:rsid w:val="111223B7"/>
    <w:rsid w:val="114809B7"/>
    <w:rsid w:val="117B74D9"/>
    <w:rsid w:val="11AB4C56"/>
    <w:rsid w:val="11AD0C25"/>
    <w:rsid w:val="11CD49CA"/>
    <w:rsid w:val="11F373CA"/>
    <w:rsid w:val="12110C5C"/>
    <w:rsid w:val="12372F05"/>
    <w:rsid w:val="12772755"/>
    <w:rsid w:val="12BD132F"/>
    <w:rsid w:val="12CE0564"/>
    <w:rsid w:val="12E615C9"/>
    <w:rsid w:val="12F059D1"/>
    <w:rsid w:val="130A0F96"/>
    <w:rsid w:val="133348AD"/>
    <w:rsid w:val="13525B1D"/>
    <w:rsid w:val="13696028"/>
    <w:rsid w:val="138D6C9B"/>
    <w:rsid w:val="139934F3"/>
    <w:rsid w:val="140D2A59"/>
    <w:rsid w:val="141E3874"/>
    <w:rsid w:val="143E00CE"/>
    <w:rsid w:val="146A6E8E"/>
    <w:rsid w:val="147B791F"/>
    <w:rsid w:val="14AD3953"/>
    <w:rsid w:val="14BE1DE8"/>
    <w:rsid w:val="14CA632C"/>
    <w:rsid w:val="14D26371"/>
    <w:rsid w:val="14E279DF"/>
    <w:rsid w:val="150342CB"/>
    <w:rsid w:val="150F7544"/>
    <w:rsid w:val="15141771"/>
    <w:rsid w:val="151E6F20"/>
    <w:rsid w:val="15263142"/>
    <w:rsid w:val="153214E5"/>
    <w:rsid w:val="15341106"/>
    <w:rsid w:val="15477660"/>
    <w:rsid w:val="154D7DE4"/>
    <w:rsid w:val="15662480"/>
    <w:rsid w:val="15953F29"/>
    <w:rsid w:val="15F15AC1"/>
    <w:rsid w:val="1606497D"/>
    <w:rsid w:val="163438D4"/>
    <w:rsid w:val="165F21A3"/>
    <w:rsid w:val="16621CA4"/>
    <w:rsid w:val="16647696"/>
    <w:rsid w:val="16A4068F"/>
    <w:rsid w:val="170D0C8A"/>
    <w:rsid w:val="171239AF"/>
    <w:rsid w:val="1726591C"/>
    <w:rsid w:val="178C5750"/>
    <w:rsid w:val="17EA65A4"/>
    <w:rsid w:val="17FD5C86"/>
    <w:rsid w:val="180247C3"/>
    <w:rsid w:val="18343FFF"/>
    <w:rsid w:val="183744C0"/>
    <w:rsid w:val="184B0F97"/>
    <w:rsid w:val="1876171F"/>
    <w:rsid w:val="18975489"/>
    <w:rsid w:val="18B53599"/>
    <w:rsid w:val="190F4E12"/>
    <w:rsid w:val="19230F50"/>
    <w:rsid w:val="19304014"/>
    <w:rsid w:val="19375EE1"/>
    <w:rsid w:val="193C7053"/>
    <w:rsid w:val="199D0935"/>
    <w:rsid w:val="1A2B1DC2"/>
    <w:rsid w:val="1A827FFE"/>
    <w:rsid w:val="1A892C6A"/>
    <w:rsid w:val="1A8C7994"/>
    <w:rsid w:val="1A8F413B"/>
    <w:rsid w:val="1A9A3794"/>
    <w:rsid w:val="1AB6217A"/>
    <w:rsid w:val="1ACA0F29"/>
    <w:rsid w:val="1AEF58C2"/>
    <w:rsid w:val="1B0F3D40"/>
    <w:rsid w:val="1B1C6848"/>
    <w:rsid w:val="1B2D23AB"/>
    <w:rsid w:val="1B434E49"/>
    <w:rsid w:val="1B466A2A"/>
    <w:rsid w:val="1B8265A5"/>
    <w:rsid w:val="1B8913EB"/>
    <w:rsid w:val="1BCE681B"/>
    <w:rsid w:val="1BD347AA"/>
    <w:rsid w:val="1BDA0C95"/>
    <w:rsid w:val="1BE258E0"/>
    <w:rsid w:val="1BF43FD9"/>
    <w:rsid w:val="1C12322B"/>
    <w:rsid w:val="1C124AEB"/>
    <w:rsid w:val="1C1450E3"/>
    <w:rsid w:val="1C2C4884"/>
    <w:rsid w:val="1C2E4DFD"/>
    <w:rsid w:val="1C480375"/>
    <w:rsid w:val="1C62492D"/>
    <w:rsid w:val="1C6C6C7A"/>
    <w:rsid w:val="1C8C6544"/>
    <w:rsid w:val="1CDB1FF0"/>
    <w:rsid w:val="1D047631"/>
    <w:rsid w:val="1D187D1E"/>
    <w:rsid w:val="1D1E5006"/>
    <w:rsid w:val="1DAA5AEB"/>
    <w:rsid w:val="1DAC0B0C"/>
    <w:rsid w:val="1DAC4008"/>
    <w:rsid w:val="1DC3043A"/>
    <w:rsid w:val="1DE52654"/>
    <w:rsid w:val="1E157496"/>
    <w:rsid w:val="1E3A5066"/>
    <w:rsid w:val="1E3F7864"/>
    <w:rsid w:val="1E6E4862"/>
    <w:rsid w:val="1EB32B16"/>
    <w:rsid w:val="1ECD1BD7"/>
    <w:rsid w:val="1EDE362D"/>
    <w:rsid w:val="1EDE3910"/>
    <w:rsid w:val="1F390DB9"/>
    <w:rsid w:val="1F3A7674"/>
    <w:rsid w:val="1FEA3F52"/>
    <w:rsid w:val="200417AB"/>
    <w:rsid w:val="202C46B2"/>
    <w:rsid w:val="208179AB"/>
    <w:rsid w:val="20AB4C76"/>
    <w:rsid w:val="21285A05"/>
    <w:rsid w:val="216F7B6E"/>
    <w:rsid w:val="21864FA7"/>
    <w:rsid w:val="219016C0"/>
    <w:rsid w:val="21932BE4"/>
    <w:rsid w:val="21CF24C2"/>
    <w:rsid w:val="21D17CB7"/>
    <w:rsid w:val="21D94230"/>
    <w:rsid w:val="21E704CA"/>
    <w:rsid w:val="222C10C5"/>
    <w:rsid w:val="224105FB"/>
    <w:rsid w:val="22836B71"/>
    <w:rsid w:val="2294503F"/>
    <w:rsid w:val="22A76527"/>
    <w:rsid w:val="22DC2DB3"/>
    <w:rsid w:val="22F021C5"/>
    <w:rsid w:val="22FE2E0C"/>
    <w:rsid w:val="232D1C8D"/>
    <w:rsid w:val="23302D00"/>
    <w:rsid w:val="23671921"/>
    <w:rsid w:val="23841BD9"/>
    <w:rsid w:val="239F04F3"/>
    <w:rsid w:val="23A010F0"/>
    <w:rsid w:val="23CE47E7"/>
    <w:rsid w:val="23F61D9C"/>
    <w:rsid w:val="23F738D7"/>
    <w:rsid w:val="2446410F"/>
    <w:rsid w:val="24963554"/>
    <w:rsid w:val="249656F3"/>
    <w:rsid w:val="24A80610"/>
    <w:rsid w:val="252C1A2E"/>
    <w:rsid w:val="253C026C"/>
    <w:rsid w:val="25886BE3"/>
    <w:rsid w:val="25B07A26"/>
    <w:rsid w:val="25C16051"/>
    <w:rsid w:val="25ED2172"/>
    <w:rsid w:val="25FF65CF"/>
    <w:rsid w:val="26034647"/>
    <w:rsid w:val="261E5379"/>
    <w:rsid w:val="26A96E8E"/>
    <w:rsid w:val="26D63D39"/>
    <w:rsid w:val="26D7660D"/>
    <w:rsid w:val="27012EBF"/>
    <w:rsid w:val="2708572C"/>
    <w:rsid w:val="27096950"/>
    <w:rsid w:val="270E6D97"/>
    <w:rsid w:val="27105E71"/>
    <w:rsid w:val="271C092F"/>
    <w:rsid w:val="274B54E9"/>
    <w:rsid w:val="2768006F"/>
    <w:rsid w:val="277C4D74"/>
    <w:rsid w:val="277D1DB1"/>
    <w:rsid w:val="27AA4769"/>
    <w:rsid w:val="27ED64B9"/>
    <w:rsid w:val="27F31232"/>
    <w:rsid w:val="284D4DD9"/>
    <w:rsid w:val="285E50E5"/>
    <w:rsid w:val="287A5D4B"/>
    <w:rsid w:val="2891170D"/>
    <w:rsid w:val="28AA6DA0"/>
    <w:rsid w:val="28CB5BE0"/>
    <w:rsid w:val="28E43F35"/>
    <w:rsid w:val="28EA0C9D"/>
    <w:rsid w:val="28F03F58"/>
    <w:rsid w:val="28FF2BF1"/>
    <w:rsid w:val="29135029"/>
    <w:rsid w:val="291746DE"/>
    <w:rsid w:val="291E64FD"/>
    <w:rsid w:val="29677EAC"/>
    <w:rsid w:val="296E1BA6"/>
    <w:rsid w:val="2972448D"/>
    <w:rsid w:val="29777B12"/>
    <w:rsid w:val="29A42A73"/>
    <w:rsid w:val="29B41ABF"/>
    <w:rsid w:val="29CA2C4E"/>
    <w:rsid w:val="29CB28CE"/>
    <w:rsid w:val="2A1B7E77"/>
    <w:rsid w:val="2A4027BC"/>
    <w:rsid w:val="2AB0092A"/>
    <w:rsid w:val="2AD06D94"/>
    <w:rsid w:val="2AE02C51"/>
    <w:rsid w:val="2AE64466"/>
    <w:rsid w:val="2B0E16D2"/>
    <w:rsid w:val="2B38542D"/>
    <w:rsid w:val="2B43781E"/>
    <w:rsid w:val="2B681F2A"/>
    <w:rsid w:val="2B6C52CA"/>
    <w:rsid w:val="2B75215F"/>
    <w:rsid w:val="2B782CC2"/>
    <w:rsid w:val="2BA4331E"/>
    <w:rsid w:val="2BA72EB6"/>
    <w:rsid w:val="2BBD5701"/>
    <w:rsid w:val="2BC773D1"/>
    <w:rsid w:val="2BFD2DC5"/>
    <w:rsid w:val="2C19523E"/>
    <w:rsid w:val="2C712A0C"/>
    <w:rsid w:val="2C77792C"/>
    <w:rsid w:val="2C7F3BA9"/>
    <w:rsid w:val="2C844B41"/>
    <w:rsid w:val="2CA85A95"/>
    <w:rsid w:val="2CB91342"/>
    <w:rsid w:val="2CFA5C0F"/>
    <w:rsid w:val="2D154990"/>
    <w:rsid w:val="2D3F3BA4"/>
    <w:rsid w:val="2D521FE4"/>
    <w:rsid w:val="2D886C00"/>
    <w:rsid w:val="2D8A3D5B"/>
    <w:rsid w:val="2DAF5059"/>
    <w:rsid w:val="2DBF2B4A"/>
    <w:rsid w:val="2E397741"/>
    <w:rsid w:val="2E3D2F06"/>
    <w:rsid w:val="2E53220A"/>
    <w:rsid w:val="2E695DB6"/>
    <w:rsid w:val="2E72456E"/>
    <w:rsid w:val="2EB43687"/>
    <w:rsid w:val="2ECC1D1F"/>
    <w:rsid w:val="2ED95C04"/>
    <w:rsid w:val="2F2627FA"/>
    <w:rsid w:val="2F9C0964"/>
    <w:rsid w:val="2F9E043D"/>
    <w:rsid w:val="2FB85027"/>
    <w:rsid w:val="2FEB0BD7"/>
    <w:rsid w:val="2FF03353"/>
    <w:rsid w:val="30263F63"/>
    <w:rsid w:val="30313B07"/>
    <w:rsid w:val="30645C10"/>
    <w:rsid w:val="30702C3E"/>
    <w:rsid w:val="308D1AEC"/>
    <w:rsid w:val="308E1D3F"/>
    <w:rsid w:val="30DA7865"/>
    <w:rsid w:val="30E166B5"/>
    <w:rsid w:val="30ED7376"/>
    <w:rsid w:val="311724AB"/>
    <w:rsid w:val="311F214E"/>
    <w:rsid w:val="31216F79"/>
    <w:rsid w:val="3152478A"/>
    <w:rsid w:val="319513A0"/>
    <w:rsid w:val="31AB45BC"/>
    <w:rsid w:val="31CC3BDF"/>
    <w:rsid w:val="31E56E8B"/>
    <w:rsid w:val="31FE2D9B"/>
    <w:rsid w:val="3200110E"/>
    <w:rsid w:val="32284277"/>
    <w:rsid w:val="3233692D"/>
    <w:rsid w:val="32516607"/>
    <w:rsid w:val="329267C1"/>
    <w:rsid w:val="32934090"/>
    <w:rsid w:val="329C2479"/>
    <w:rsid w:val="32B62DBE"/>
    <w:rsid w:val="32EB7DAF"/>
    <w:rsid w:val="32F16EDE"/>
    <w:rsid w:val="3368435D"/>
    <w:rsid w:val="33807805"/>
    <w:rsid w:val="339414D9"/>
    <w:rsid w:val="339E3C85"/>
    <w:rsid w:val="33B813EE"/>
    <w:rsid w:val="33D50207"/>
    <w:rsid w:val="33D765B5"/>
    <w:rsid w:val="33EC7DBB"/>
    <w:rsid w:val="34007F6D"/>
    <w:rsid w:val="34062ABA"/>
    <w:rsid w:val="341E39AA"/>
    <w:rsid w:val="34241386"/>
    <w:rsid w:val="342B30BF"/>
    <w:rsid w:val="343B04AE"/>
    <w:rsid w:val="345C4C50"/>
    <w:rsid w:val="34655258"/>
    <w:rsid w:val="3470421E"/>
    <w:rsid w:val="349A66C0"/>
    <w:rsid w:val="34AC65B3"/>
    <w:rsid w:val="34C8321F"/>
    <w:rsid w:val="34CE11CA"/>
    <w:rsid w:val="34E55D94"/>
    <w:rsid w:val="353448B6"/>
    <w:rsid w:val="353F287E"/>
    <w:rsid w:val="35B960E0"/>
    <w:rsid w:val="35EC7188"/>
    <w:rsid w:val="35F42522"/>
    <w:rsid w:val="3633380E"/>
    <w:rsid w:val="36546526"/>
    <w:rsid w:val="365550E2"/>
    <w:rsid w:val="365E7EE1"/>
    <w:rsid w:val="365F6999"/>
    <w:rsid w:val="366413ED"/>
    <w:rsid w:val="36980C13"/>
    <w:rsid w:val="36E14E00"/>
    <w:rsid w:val="36F5703C"/>
    <w:rsid w:val="36FC4E07"/>
    <w:rsid w:val="37170FFE"/>
    <w:rsid w:val="373C412D"/>
    <w:rsid w:val="37920A5A"/>
    <w:rsid w:val="37923071"/>
    <w:rsid w:val="37C02717"/>
    <w:rsid w:val="37E011F8"/>
    <w:rsid w:val="37EF6DC8"/>
    <w:rsid w:val="38094CF1"/>
    <w:rsid w:val="382830B0"/>
    <w:rsid w:val="3845395B"/>
    <w:rsid w:val="3865335C"/>
    <w:rsid w:val="38691B28"/>
    <w:rsid w:val="389C1A37"/>
    <w:rsid w:val="390D4393"/>
    <w:rsid w:val="390F050A"/>
    <w:rsid w:val="392512E2"/>
    <w:rsid w:val="39441387"/>
    <w:rsid w:val="39936F54"/>
    <w:rsid w:val="3A090F25"/>
    <w:rsid w:val="3A20601D"/>
    <w:rsid w:val="3A4373AE"/>
    <w:rsid w:val="3A523F1C"/>
    <w:rsid w:val="3A7C328C"/>
    <w:rsid w:val="3A954F9A"/>
    <w:rsid w:val="3AD0536F"/>
    <w:rsid w:val="3AD43EBF"/>
    <w:rsid w:val="3AE325E1"/>
    <w:rsid w:val="3AEA2D04"/>
    <w:rsid w:val="3B0B173D"/>
    <w:rsid w:val="3B0C4E1B"/>
    <w:rsid w:val="3B4445BF"/>
    <w:rsid w:val="3B4E75A1"/>
    <w:rsid w:val="3B8D09A8"/>
    <w:rsid w:val="3B943D76"/>
    <w:rsid w:val="3BAC0F6E"/>
    <w:rsid w:val="3BB755D2"/>
    <w:rsid w:val="3BC16DB3"/>
    <w:rsid w:val="3BC7787A"/>
    <w:rsid w:val="3BE50B73"/>
    <w:rsid w:val="3C0B2B4A"/>
    <w:rsid w:val="3CA62DA2"/>
    <w:rsid w:val="3CB672C1"/>
    <w:rsid w:val="3CBA041E"/>
    <w:rsid w:val="3CC4148B"/>
    <w:rsid w:val="3CD03E9B"/>
    <w:rsid w:val="3CEC6C0D"/>
    <w:rsid w:val="3CF74F4B"/>
    <w:rsid w:val="3CF80C64"/>
    <w:rsid w:val="3D0A244D"/>
    <w:rsid w:val="3D4715A7"/>
    <w:rsid w:val="3D4D5D93"/>
    <w:rsid w:val="3D5E2E2E"/>
    <w:rsid w:val="3D6913B0"/>
    <w:rsid w:val="3D727210"/>
    <w:rsid w:val="3D8C4073"/>
    <w:rsid w:val="3D8E705B"/>
    <w:rsid w:val="3DB72499"/>
    <w:rsid w:val="3DC90816"/>
    <w:rsid w:val="3DE3072F"/>
    <w:rsid w:val="3DED2C8D"/>
    <w:rsid w:val="3DF24F78"/>
    <w:rsid w:val="3DFD109C"/>
    <w:rsid w:val="3E12768D"/>
    <w:rsid w:val="3E55686A"/>
    <w:rsid w:val="3E5C3666"/>
    <w:rsid w:val="3E826293"/>
    <w:rsid w:val="3E9B5E9B"/>
    <w:rsid w:val="3EB94B24"/>
    <w:rsid w:val="3ED40779"/>
    <w:rsid w:val="3EF400E7"/>
    <w:rsid w:val="3EFA2362"/>
    <w:rsid w:val="3F0B211E"/>
    <w:rsid w:val="3F21410E"/>
    <w:rsid w:val="3F8247ED"/>
    <w:rsid w:val="3F8E13A9"/>
    <w:rsid w:val="3FA02BC6"/>
    <w:rsid w:val="3FA1306F"/>
    <w:rsid w:val="3FA656C4"/>
    <w:rsid w:val="3FC77876"/>
    <w:rsid w:val="3FEC2512"/>
    <w:rsid w:val="3FFF76D2"/>
    <w:rsid w:val="40220EF1"/>
    <w:rsid w:val="409273D5"/>
    <w:rsid w:val="40A50367"/>
    <w:rsid w:val="40B12ADB"/>
    <w:rsid w:val="40C258A9"/>
    <w:rsid w:val="40D53E95"/>
    <w:rsid w:val="40ED2269"/>
    <w:rsid w:val="40F462E2"/>
    <w:rsid w:val="40F91A2C"/>
    <w:rsid w:val="4111695C"/>
    <w:rsid w:val="412F3401"/>
    <w:rsid w:val="41A5318D"/>
    <w:rsid w:val="41AB16C2"/>
    <w:rsid w:val="41BF3DDD"/>
    <w:rsid w:val="41C2147E"/>
    <w:rsid w:val="41D0160D"/>
    <w:rsid w:val="41F379CF"/>
    <w:rsid w:val="4223547E"/>
    <w:rsid w:val="42551D91"/>
    <w:rsid w:val="426F60F8"/>
    <w:rsid w:val="427C4B65"/>
    <w:rsid w:val="42AD12C9"/>
    <w:rsid w:val="42DB107E"/>
    <w:rsid w:val="42DE523E"/>
    <w:rsid w:val="42F223AD"/>
    <w:rsid w:val="43184F08"/>
    <w:rsid w:val="435A40A4"/>
    <w:rsid w:val="435D300A"/>
    <w:rsid w:val="43706CDA"/>
    <w:rsid w:val="438976E2"/>
    <w:rsid w:val="439A4563"/>
    <w:rsid w:val="43AD6999"/>
    <w:rsid w:val="43B23EDE"/>
    <w:rsid w:val="43BE3CB6"/>
    <w:rsid w:val="43F43652"/>
    <w:rsid w:val="44147B34"/>
    <w:rsid w:val="442B137D"/>
    <w:rsid w:val="444B5EFF"/>
    <w:rsid w:val="449B3345"/>
    <w:rsid w:val="44C24D59"/>
    <w:rsid w:val="44F3065E"/>
    <w:rsid w:val="45094B99"/>
    <w:rsid w:val="45097E04"/>
    <w:rsid w:val="45315DA4"/>
    <w:rsid w:val="453F4F0D"/>
    <w:rsid w:val="454D6A28"/>
    <w:rsid w:val="45961954"/>
    <w:rsid w:val="45A66A4B"/>
    <w:rsid w:val="45AE4F0C"/>
    <w:rsid w:val="45F9568D"/>
    <w:rsid w:val="46123BE6"/>
    <w:rsid w:val="46455223"/>
    <w:rsid w:val="46756481"/>
    <w:rsid w:val="469255FF"/>
    <w:rsid w:val="46E548C9"/>
    <w:rsid w:val="46FA3FF7"/>
    <w:rsid w:val="471D6E2E"/>
    <w:rsid w:val="47227E01"/>
    <w:rsid w:val="47234D7D"/>
    <w:rsid w:val="473505D7"/>
    <w:rsid w:val="47393594"/>
    <w:rsid w:val="473A029C"/>
    <w:rsid w:val="47BB49AE"/>
    <w:rsid w:val="47C52DB3"/>
    <w:rsid w:val="47D43FC2"/>
    <w:rsid w:val="47F21BE5"/>
    <w:rsid w:val="47FB124E"/>
    <w:rsid w:val="480677D8"/>
    <w:rsid w:val="48102173"/>
    <w:rsid w:val="481870DA"/>
    <w:rsid w:val="4838231B"/>
    <w:rsid w:val="485618D3"/>
    <w:rsid w:val="48621A3D"/>
    <w:rsid w:val="486779BC"/>
    <w:rsid w:val="487C58DA"/>
    <w:rsid w:val="48803767"/>
    <w:rsid w:val="488A31DA"/>
    <w:rsid w:val="48A10BBA"/>
    <w:rsid w:val="48AF1CF1"/>
    <w:rsid w:val="48AF3822"/>
    <w:rsid w:val="48B84099"/>
    <w:rsid w:val="48B87C04"/>
    <w:rsid w:val="48D72771"/>
    <w:rsid w:val="48E75D4F"/>
    <w:rsid w:val="48E76D9A"/>
    <w:rsid w:val="48EC3ED9"/>
    <w:rsid w:val="491958D5"/>
    <w:rsid w:val="49326680"/>
    <w:rsid w:val="493A3472"/>
    <w:rsid w:val="495D66C7"/>
    <w:rsid w:val="49862ABB"/>
    <w:rsid w:val="498F5A6D"/>
    <w:rsid w:val="49DA40B8"/>
    <w:rsid w:val="49F652BE"/>
    <w:rsid w:val="4A214220"/>
    <w:rsid w:val="4A31496B"/>
    <w:rsid w:val="4A424BAD"/>
    <w:rsid w:val="4A5D3C7D"/>
    <w:rsid w:val="4A952B26"/>
    <w:rsid w:val="4AAA1398"/>
    <w:rsid w:val="4AFC12FE"/>
    <w:rsid w:val="4B057E38"/>
    <w:rsid w:val="4B284B27"/>
    <w:rsid w:val="4B35462A"/>
    <w:rsid w:val="4B4025BF"/>
    <w:rsid w:val="4B433C2A"/>
    <w:rsid w:val="4B4A03C6"/>
    <w:rsid w:val="4B926799"/>
    <w:rsid w:val="4B93411F"/>
    <w:rsid w:val="4B9C1BF1"/>
    <w:rsid w:val="4BB07945"/>
    <w:rsid w:val="4C05738B"/>
    <w:rsid w:val="4C076AAD"/>
    <w:rsid w:val="4C1F37E3"/>
    <w:rsid w:val="4C511B02"/>
    <w:rsid w:val="4C5F3EA9"/>
    <w:rsid w:val="4C8D5F79"/>
    <w:rsid w:val="4CA126E0"/>
    <w:rsid w:val="4CAE078C"/>
    <w:rsid w:val="4CCE2910"/>
    <w:rsid w:val="4CD63FE8"/>
    <w:rsid w:val="4CE35F38"/>
    <w:rsid w:val="4CE52275"/>
    <w:rsid w:val="4D0E3CC7"/>
    <w:rsid w:val="4D301B4F"/>
    <w:rsid w:val="4D4025AD"/>
    <w:rsid w:val="4D647C72"/>
    <w:rsid w:val="4D83633C"/>
    <w:rsid w:val="4DAD3A24"/>
    <w:rsid w:val="4DAE320A"/>
    <w:rsid w:val="4DCC14D7"/>
    <w:rsid w:val="4E1966D8"/>
    <w:rsid w:val="4E415D30"/>
    <w:rsid w:val="4E4D7F30"/>
    <w:rsid w:val="4E537272"/>
    <w:rsid w:val="4E5C13E7"/>
    <w:rsid w:val="4E807407"/>
    <w:rsid w:val="4E834801"/>
    <w:rsid w:val="4E976CD4"/>
    <w:rsid w:val="4F342BFF"/>
    <w:rsid w:val="4F7F321A"/>
    <w:rsid w:val="4FBF0074"/>
    <w:rsid w:val="4FD00F08"/>
    <w:rsid w:val="50320DEC"/>
    <w:rsid w:val="503329A9"/>
    <w:rsid w:val="50604A09"/>
    <w:rsid w:val="50612488"/>
    <w:rsid w:val="5065585D"/>
    <w:rsid w:val="506C625F"/>
    <w:rsid w:val="5077175A"/>
    <w:rsid w:val="507E1183"/>
    <w:rsid w:val="50AA4F92"/>
    <w:rsid w:val="50F53763"/>
    <w:rsid w:val="51165F8B"/>
    <w:rsid w:val="512E1C9C"/>
    <w:rsid w:val="51323452"/>
    <w:rsid w:val="513E2CF8"/>
    <w:rsid w:val="514C4A3C"/>
    <w:rsid w:val="51585B51"/>
    <w:rsid w:val="51622426"/>
    <w:rsid w:val="516A0329"/>
    <w:rsid w:val="516A0C92"/>
    <w:rsid w:val="519D7CD0"/>
    <w:rsid w:val="51E73BF5"/>
    <w:rsid w:val="51FE4265"/>
    <w:rsid w:val="520D7203"/>
    <w:rsid w:val="522312C4"/>
    <w:rsid w:val="52461A35"/>
    <w:rsid w:val="52563B54"/>
    <w:rsid w:val="527F36C2"/>
    <w:rsid w:val="528B7FD0"/>
    <w:rsid w:val="52B8621F"/>
    <w:rsid w:val="52BB3C0E"/>
    <w:rsid w:val="52E736B3"/>
    <w:rsid w:val="53241C21"/>
    <w:rsid w:val="532B6FE0"/>
    <w:rsid w:val="534E48C4"/>
    <w:rsid w:val="5352666A"/>
    <w:rsid w:val="535F632A"/>
    <w:rsid w:val="537529C3"/>
    <w:rsid w:val="537627F1"/>
    <w:rsid w:val="539D1AC3"/>
    <w:rsid w:val="53AE30FB"/>
    <w:rsid w:val="53B678B6"/>
    <w:rsid w:val="53DC3678"/>
    <w:rsid w:val="53E113BC"/>
    <w:rsid w:val="53F801E0"/>
    <w:rsid w:val="54163ED2"/>
    <w:rsid w:val="543D456B"/>
    <w:rsid w:val="54684B80"/>
    <w:rsid w:val="54702962"/>
    <w:rsid w:val="54784D46"/>
    <w:rsid w:val="54801B99"/>
    <w:rsid w:val="549238A7"/>
    <w:rsid w:val="54A82158"/>
    <w:rsid w:val="54BF1B49"/>
    <w:rsid w:val="550C3B72"/>
    <w:rsid w:val="551C543A"/>
    <w:rsid w:val="55417049"/>
    <w:rsid w:val="556348BE"/>
    <w:rsid w:val="55791CB7"/>
    <w:rsid w:val="55A0038E"/>
    <w:rsid w:val="55B654BC"/>
    <w:rsid w:val="55C443EB"/>
    <w:rsid w:val="55F5614A"/>
    <w:rsid w:val="55FF51A1"/>
    <w:rsid w:val="56257F68"/>
    <w:rsid w:val="56B978B9"/>
    <w:rsid w:val="56BF46DA"/>
    <w:rsid w:val="56E7290C"/>
    <w:rsid w:val="570E6F78"/>
    <w:rsid w:val="571037CE"/>
    <w:rsid w:val="57323E10"/>
    <w:rsid w:val="5753751A"/>
    <w:rsid w:val="575C3988"/>
    <w:rsid w:val="575C50AB"/>
    <w:rsid w:val="576E3B6D"/>
    <w:rsid w:val="5784103C"/>
    <w:rsid w:val="57855CC0"/>
    <w:rsid w:val="57E3171A"/>
    <w:rsid w:val="57E445EB"/>
    <w:rsid w:val="57F458FB"/>
    <w:rsid w:val="580D6A27"/>
    <w:rsid w:val="58160C42"/>
    <w:rsid w:val="5877457A"/>
    <w:rsid w:val="588640B5"/>
    <w:rsid w:val="58955049"/>
    <w:rsid w:val="58C846E4"/>
    <w:rsid w:val="58CE0955"/>
    <w:rsid w:val="58D66C1E"/>
    <w:rsid w:val="58EC1008"/>
    <w:rsid w:val="59410FB8"/>
    <w:rsid w:val="59582FD5"/>
    <w:rsid w:val="595876CA"/>
    <w:rsid w:val="597F00FA"/>
    <w:rsid w:val="59941F3D"/>
    <w:rsid w:val="59C236A3"/>
    <w:rsid w:val="59E52C79"/>
    <w:rsid w:val="5A0A1AD1"/>
    <w:rsid w:val="5A1D1000"/>
    <w:rsid w:val="5A3A2ED4"/>
    <w:rsid w:val="5A4A2677"/>
    <w:rsid w:val="5A7E01E4"/>
    <w:rsid w:val="5ABC2DC1"/>
    <w:rsid w:val="5ABD109B"/>
    <w:rsid w:val="5AF173B1"/>
    <w:rsid w:val="5AFE6AD9"/>
    <w:rsid w:val="5B0E68CE"/>
    <w:rsid w:val="5B335BF8"/>
    <w:rsid w:val="5B8E7FDE"/>
    <w:rsid w:val="5BEA572B"/>
    <w:rsid w:val="5C33727A"/>
    <w:rsid w:val="5C3E758A"/>
    <w:rsid w:val="5C4936E2"/>
    <w:rsid w:val="5C5E02AA"/>
    <w:rsid w:val="5C857A7E"/>
    <w:rsid w:val="5C8D4726"/>
    <w:rsid w:val="5CA97FED"/>
    <w:rsid w:val="5CB93BD4"/>
    <w:rsid w:val="5CEB7286"/>
    <w:rsid w:val="5CF413E5"/>
    <w:rsid w:val="5D1F42BD"/>
    <w:rsid w:val="5D315141"/>
    <w:rsid w:val="5D547D2E"/>
    <w:rsid w:val="5D923F2C"/>
    <w:rsid w:val="5DC84336"/>
    <w:rsid w:val="5DD54F2A"/>
    <w:rsid w:val="5DD7245D"/>
    <w:rsid w:val="5E14191A"/>
    <w:rsid w:val="5E2D3E9D"/>
    <w:rsid w:val="5E471E25"/>
    <w:rsid w:val="5E635121"/>
    <w:rsid w:val="5E8D55B6"/>
    <w:rsid w:val="5EC2139F"/>
    <w:rsid w:val="5EC90ECF"/>
    <w:rsid w:val="5EEB60C5"/>
    <w:rsid w:val="5EF23FAE"/>
    <w:rsid w:val="5F1E1789"/>
    <w:rsid w:val="5F203499"/>
    <w:rsid w:val="5F69359F"/>
    <w:rsid w:val="5F8C21A0"/>
    <w:rsid w:val="5F8F1CC4"/>
    <w:rsid w:val="5FA32F55"/>
    <w:rsid w:val="5FA46905"/>
    <w:rsid w:val="5FBE3344"/>
    <w:rsid w:val="5FCC560E"/>
    <w:rsid w:val="60202B79"/>
    <w:rsid w:val="60256AF3"/>
    <w:rsid w:val="602A5D4C"/>
    <w:rsid w:val="60483C8B"/>
    <w:rsid w:val="605379AE"/>
    <w:rsid w:val="60791C44"/>
    <w:rsid w:val="608C62A2"/>
    <w:rsid w:val="609F3F51"/>
    <w:rsid w:val="60E514BE"/>
    <w:rsid w:val="60F4333C"/>
    <w:rsid w:val="60F63F7B"/>
    <w:rsid w:val="60FB12D6"/>
    <w:rsid w:val="612D17BE"/>
    <w:rsid w:val="61425571"/>
    <w:rsid w:val="619B1E3A"/>
    <w:rsid w:val="61F30701"/>
    <w:rsid w:val="621E5A12"/>
    <w:rsid w:val="62A12E77"/>
    <w:rsid w:val="62A55DAB"/>
    <w:rsid w:val="62A911E5"/>
    <w:rsid w:val="62DC255D"/>
    <w:rsid w:val="62E458D7"/>
    <w:rsid w:val="630713BC"/>
    <w:rsid w:val="63201103"/>
    <w:rsid w:val="63255DA8"/>
    <w:rsid w:val="635118DB"/>
    <w:rsid w:val="63842425"/>
    <w:rsid w:val="63D02A49"/>
    <w:rsid w:val="63DA7C6F"/>
    <w:rsid w:val="63F920C0"/>
    <w:rsid w:val="640577EE"/>
    <w:rsid w:val="643028DD"/>
    <w:rsid w:val="645B2C5D"/>
    <w:rsid w:val="645C7FB4"/>
    <w:rsid w:val="649225A4"/>
    <w:rsid w:val="6493276B"/>
    <w:rsid w:val="64941A25"/>
    <w:rsid w:val="64B31F24"/>
    <w:rsid w:val="64BE458F"/>
    <w:rsid w:val="64DD3BD7"/>
    <w:rsid w:val="64EE1A20"/>
    <w:rsid w:val="65016B7F"/>
    <w:rsid w:val="651C30F1"/>
    <w:rsid w:val="65523170"/>
    <w:rsid w:val="657E4B86"/>
    <w:rsid w:val="659A6BA8"/>
    <w:rsid w:val="65C315DD"/>
    <w:rsid w:val="65C778A0"/>
    <w:rsid w:val="65D5738F"/>
    <w:rsid w:val="65EF17FA"/>
    <w:rsid w:val="65FC7799"/>
    <w:rsid w:val="66086618"/>
    <w:rsid w:val="660A20B4"/>
    <w:rsid w:val="660A43EF"/>
    <w:rsid w:val="66362933"/>
    <w:rsid w:val="66680A54"/>
    <w:rsid w:val="6695111E"/>
    <w:rsid w:val="66BF4DB0"/>
    <w:rsid w:val="66EA3294"/>
    <w:rsid w:val="66F057E5"/>
    <w:rsid w:val="67060CBC"/>
    <w:rsid w:val="673C3FAA"/>
    <w:rsid w:val="674A0B72"/>
    <w:rsid w:val="67586998"/>
    <w:rsid w:val="676E12F3"/>
    <w:rsid w:val="679B2F67"/>
    <w:rsid w:val="67C00F56"/>
    <w:rsid w:val="67F17E02"/>
    <w:rsid w:val="68195C76"/>
    <w:rsid w:val="685C7C97"/>
    <w:rsid w:val="686D72B9"/>
    <w:rsid w:val="6879367D"/>
    <w:rsid w:val="68794EC1"/>
    <w:rsid w:val="68CC7889"/>
    <w:rsid w:val="68F81D58"/>
    <w:rsid w:val="69073A8D"/>
    <w:rsid w:val="69154FC4"/>
    <w:rsid w:val="693D525A"/>
    <w:rsid w:val="694B23CE"/>
    <w:rsid w:val="69545C1F"/>
    <w:rsid w:val="6967264B"/>
    <w:rsid w:val="698A09A5"/>
    <w:rsid w:val="69B47BD4"/>
    <w:rsid w:val="69BB1F5B"/>
    <w:rsid w:val="69D33024"/>
    <w:rsid w:val="69E25F8C"/>
    <w:rsid w:val="69F87D41"/>
    <w:rsid w:val="6A0E4E80"/>
    <w:rsid w:val="6A140B24"/>
    <w:rsid w:val="6A1E2173"/>
    <w:rsid w:val="6A766A86"/>
    <w:rsid w:val="6A7872EA"/>
    <w:rsid w:val="6A9C6FE9"/>
    <w:rsid w:val="6AAB03F6"/>
    <w:rsid w:val="6AB73049"/>
    <w:rsid w:val="6ABF703F"/>
    <w:rsid w:val="6AD90201"/>
    <w:rsid w:val="6AE12B6B"/>
    <w:rsid w:val="6AF2613C"/>
    <w:rsid w:val="6B17420F"/>
    <w:rsid w:val="6B306A1C"/>
    <w:rsid w:val="6B48686A"/>
    <w:rsid w:val="6BCF6F7E"/>
    <w:rsid w:val="6BFF1AC2"/>
    <w:rsid w:val="6C154B37"/>
    <w:rsid w:val="6C20148A"/>
    <w:rsid w:val="6C250EBE"/>
    <w:rsid w:val="6C2E3D59"/>
    <w:rsid w:val="6C337C4D"/>
    <w:rsid w:val="6C417571"/>
    <w:rsid w:val="6C49456A"/>
    <w:rsid w:val="6C4F2F8E"/>
    <w:rsid w:val="6C87517B"/>
    <w:rsid w:val="6C9C1724"/>
    <w:rsid w:val="6CBC5B45"/>
    <w:rsid w:val="6CBF3BA0"/>
    <w:rsid w:val="6CBF4421"/>
    <w:rsid w:val="6CD938B8"/>
    <w:rsid w:val="6CEC305A"/>
    <w:rsid w:val="6CF14736"/>
    <w:rsid w:val="6D20348C"/>
    <w:rsid w:val="6D246EEC"/>
    <w:rsid w:val="6D2620AE"/>
    <w:rsid w:val="6D3A6B13"/>
    <w:rsid w:val="6D611392"/>
    <w:rsid w:val="6D846E13"/>
    <w:rsid w:val="6D9A1ED1"/>
    <w:rsid w:val="6DBF419D"/>
    <w:rsid w:val="6E05286F"/>
    <w:rsid w:val="6E18375C"/>
    <w:rsid w:val="6E53312C"/>
    <w:rsid w:val="6E57131F"/>
    <w:rsid w:val="6E676007"/>
    <w:rsid w:val="6E695932"/>
    <w:rsid w:val="6E7C0D21"/>
    <w:rsid w:val="6E994887"/>
    <w:rsid w:val="6E9E233E"/>
    <w:rsid w:val="6EA506C4"/>
    <w:rsid w:val="6ED578C8"/>
    <w:rsid w:val="6F3C27DD"/>
    <w:rsid w:val="6F753DC4"/>
    <w:rsid w:val="6F836956"/>
    <w:rsid w:val="6FCE14E4"/>
    <w:rsid w:val="6FD364B6"/>
    <w:rsid w:val="700E32C7"/>
    <w:rsid w:val="70405B5C"/>
    <w:rsid w:val="70407FC9"/>
    <w:rsid w:val="70532E88"/>
    <w:rsid w:val="712D4800"/>
    <w:rsid w:val="714670E7"/>
    <w:rsid w:val="715259A5"/>
    <w:rsid w:val="716F0649"/>
    <w:rsid w:val="71A10A4C"/>
    <w:rsid w:val="71A67EED"/>
    <w:rsid w:val="71AC0833"/>
    <w:rsid w:val="71B07F9A"/>
    <w:rsid w:val="71F94E9C"/>
    <w:rsid w:val="721B2713"/>
    <w:rsid w:val="72230E8C"/>
    <w:rsid w:val="72997E60"/>
    <w:rsid w:val="72B21613"/>
    <w:rsid w:val="72ED0140"/>
    <w:rsid w:val="730D6C0C"/>
    <w:rsid w:val="731D6723"/>
    <w:rsid w:val="733D3045"/>
    <w:rsid w:val="7372069C"/>
    <w:rsid w:val="73867C84"/>
    <w:rsid w:val="73C30F94"/>
    <w:rsid w:val="73E2194B"/>
    <w:rsid w:val="73E348F4"/>
    <w:rsid w:val="742171A7"/>
    <w:rsid w:val="74444DB1"/>
    <w:rsid w:val="747C43B9"/>
    <w:rsid w:val="74A85E8F"/>
    <w:rsid w:val="74CC78E6"/>
    <w:rsid w:val="74D973E1"/>
    <w:rsid w:val="752E3777"/>
    <w:rsid w:val="759C588F"/>
    <w:rsid w:val="75B643F3"/>
    <w:rsid w:val="75C331E2"/>
    <w:rsid w:val="75DB55A5"/>
    <w:rsid w:val="75E31DE4"/>
    <w:rsid w:val="75F748A2"/>
    <w:rsid w:val="761B45EA"/>
    <w:rsid w:val="7639110C"/>
    <w:rsid w:val="76484F6D"/>
    <w:rsid w:val="767A6C75"/>
    <w:rsid w:val="76CC0432"/>
    <w:rsid w:val="76FF646A"/>
    <w:rsid w:val="771C30BE"/>
    <w:rsid w:val="771D2658"/>
    <w:rsid w:val="772F1235"/>
    <w:rsid w:val="774C3F3A"/>
    <w:rsid w:val="77703586"/>
    <w:rsid w:val="779251BE"/>
    <w:rsid w:val="77C90C27"/>
    <w:rsid w:val="77C93705"/>
    <w:rsid w:val="77E06906"/>
    <w:rsid w:val="78166745"/>
    <w:rsid w:val="78943932"/>
    <w:rsid w:val="78994327"/>
    <w:rsid w:val="789D3206"/>
    <w:rsid w:val="78C45314"/>
    <w:rsid w:val="78D41F79"/>
    <w:rsid w:val="7922503D"/>
    <w:rsid w:val="79256CAC"/>
    <w:rsid w:val="79257675"/>
    <w:rsid w:val="792F0363"/>
    <w:rsid w:val="79515F63"/>
    <w:rsid w:val="79743091"/>
    <w:rsid w:val="7982235E"/>
    <w:rsid w:val="79AA0299"/>
    <w:rsid w:val="79AB780C"/>
    <w:rsid w:val="79E718F2"/>
    <w:rsid w:val="79E753EB"/>
    <w:rsid w:val="7A1856FB"/>
    <w:rsid w:val="7A6D7D87"/>
    <w:rsid w:val="7A721A4A"/>
    <w:rsid w:val="7A7C03CF"/>
    <w:rsid w:val="7A910027"/>
    <w:rsid w:val="7A9C35F5"/>
    <w:rsid w:val="7ACA5B43"/>
    <w:rsid w:val="7ADB2D85"/>
    <w:rsid w:val="7B0A533F"/>
    <w:rsid w:val="7B203E54"/>
    <w:rsid w:val="7B3B6FC0"/>
    <w:rsid w:val="7B9361A0"/>
    <w:rsid w:val="7BA67BFD"/>
    <w:rsid w:val="7BB5352B"/>
    <w:rsid w:val="7BB77852"/>
    <w:rsid w:val="7BC41AE3"/>
    <w:rsid w:val="7BCA7E8D"/>
    <w:rsid w:val="7BE23358"/>
    <w:rsid w:val="7C1E5DE5"/>
    <w:rsid w:val="7C4953F6"/>
    <w:rsid w:val="7C646D0F"/>
    <w:rsid w:val="7C941BC3"/>
    <w:rsid w:val="7CFC39CF"/>
    <w:rsid w:val="7D92777B"/>
    <w:rsid w:val="7DAC4A5D"/>
    <w:rsid w:val="7E092BAE"/>
    <w:rsid w:val="7E385DD8"/>
    <w:rsid w:val="7E523AE3"/>
    <w:rsid w:val="7E6A6551"/>
    <w:rsid w:val="7E9006F1"/>
    <w:rsid w:val="7E9A0244"/>
    <w:rsid w:val="7EAC0F2D"/>
    <w:rsid w:val="7EAF15B4"/>
    <w:rsid w:val="7ED71E7C"/>
    <w:rsid w:val="7EEF65DD"/>
    <w:rsid w:val="7F193382"/>
    <w:rsid w:val="7FAD6673"/>
    <w:rsid w:val="7FD7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qFormat="1" w:uiPriority="99"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6">
    <w:name w:val="heading 4"/>
    <w:basedOn w:val="1"/>
    <w:next w:val="2"/>
    <w:link w:val="61"/>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7">
    <w:name w:val="heading 5"/>
    <w:basedOn w:val="1"/>
    <w:next w:val="2"/>
    <w:link w:val="62"/>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8">
    <w:name w:val="heading 6"/>
    <w:basedOn w:val="1"/>
    <w:next w:val="2"/>
    <w:link w:val="63"/>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9">
    <w:name w:val="heading 7"/>
    <w:basedOn w:val="1"/>
    <w:next w:val="2"/>
    <w:link w:val="64"/>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0">
    <w:name w:val="heading 8"/>
    <w:basedOn w:val="1"/>
    <w:next w:val="2"/>
    <w:link w:val="65"/>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1">
    <w:name w:val="heading 9"/>
    <w:basedOn w:val="1"/>
    <w:next w:val="2"/>
    <w:link w:val="66"/>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9"/>
    <w:qFormat/>
    <w:uiPriority w:val="0"/>
    <w:pPr>
      <w:ind w:firstLine="420" w:firstLineChars="200"/>
    </w:pPr>
    <w:rPr>
      <w:rFonts w:ascii="仿宋_GB2312" w:hAnsi="宋体" w:eastAsia="仿宋_GB2312" w:cs="宋体"/>
      <w:b/>
      <w:bCs/>
      <w:color w:val="000000"/>
      <w:kern w:val="0"/>
      <w:szCs w:val="21"/>
    </w:rPr>
  </w:style>
  <w:style w:type="paragraph" w:styleId="12">
    <w:name w:val="caption"/>
    <w:basedOn w:val="1"/>
    <w:next w:val="1"/>
    <w:qFormat/>
    <w:uiPriority w:val="0"/>
    <w:rPr>
      <w:rFonts w:ascii="Arial" w:hAnsi="Arial" w:eastAsia="黑体" w:cs="Arial"/>
      <w:color w:val="000000"/>
      <w:kern w:val="1"/>
      <w:sz w:val="20"/>
      <w:szCs w:val="20"/>
    </w:rPr>
  </w:style>
  <w:style w:type="paragraph" w:styleId="13">
    <w:name w:val="List Bullet"/>
    <w:basedOn w:val="1"/>
    <w:qFormat/>
    <w:uiPriority w:val="0"/>
    <w:pPr>
      <w:spacing w:line="360" w:lineRule="auto"/>
    </w:pPr>
    <w:rPr>
      <w:rFonts w:ascii="宋体" w:hAnsi="宋体"/>
      <w:sz w:val="20"/>
      <w:szCs w:val="20"/>
    </w:rPr>
  </w:style>
  <w:style w:type="paragraph" w:styleId="14">
    <w:name w:val="Document Map"/>
    <w:basedOn w:val="1"/>
    <w:link w:val="96"/>
    <w:semiHidden/>
    <w:qFormat/>
    <w:uiPriority w:val="0"/>
    <w:pPr>
      <w:shd w:val="clear" w:color="auto" w:fill="000080"/>
    </w:pPr>
  </w:style>
  <w:style w:type="paragraph" w:styleId="15">
    <w:name w:val="annotation text"/>
    <w:basedOn w:val="1"/>
    <w:link w:val="67"/>
    <w:unhideWhenUsed/>
    <w:qFormat/>
    <w:uiPriority w:val="0"/>
    <w:pPr>
      <w:jc w:val="left"/>
    </w:pPr>
  </w:style>
  <w:style w:type="paragraph" w:styleId="16">
    <w:name w:val="Body Text 3"/>
    <w:basedOn w:val="1"/>
    <w:link w:val="176"/>
    <w:unhideWhenUsed/>
    <w:qFormat/>
    <w:uiPriority w:val="0"/>
    <w:pPr>
      <w:spacing w:after="120"/>
    </w:pPr>
    <w:rPr>
      <w:sz w:val="16"/>
      <w:szCs w:val="16"/>
    </w:rPr>
  </w:style>
  <w:style w:type="paragraph" w:styleId="17">
    <w:name w:val="Body Text"/>
    <w:basedOn w:val="1"/>
    <w:next w:val="18"/>
    <w:qFormat/>
    <w:uiPriority w:val="0"/>
  </w:style>
  <w:style w:type="paragraph" w:styleId="18">
    <w:name w:val="Body Text First Indent"/>
    <w:basedOn w:val="17"/>
    <w:qFormat/>
    <w:uiPriority w:val="0"/>
    <w:pPr>
      <w:ind w:firstLine="420" w:firstLineChars="100"/>
    </w:pPr>
  </w:style>
  <w:style w:type="paragraph" w:styleId="19">
    <w:name w:val="Body Text Indent"/>
    <w:basedOn w:val="1"/>
    <w:next w:val="1"/>
    <w:qFormat/>
    <w:uiPriority w:val="0"/>
    <w:pPr>
      <w:ind w:left="480" w:hanging="480" w:hangingChars="200"/>
    </w:pPr>
    <w:rPr>
      <w:sz w:val="24"/>
    </w:rPr>
  </w:style>
  <w:style w:type="paragraph" w:styleId="20">
    <w:name w:val="List Number 3"/>
    <w:basedOn w:val="1"/>
    <w:qFormat/>
    <w:uiPriority w:val="0"/>
    <w:pPr>
      <w:widowControl/>
      <w:tabs>
        <w:tab w:val="left" w:pos="2260"/>
      </w:tabs>
      <w:spacing w:afterLines="50"/>
      <w:ind w:left="2260" w:hanging="340"/>
      <w:jc w:val="left"/>
    </w:pPr>
    <w:rPr>
      <w:kern w:val="0"/>
      <w:sz w:val="24"/>
      <w:szCs w:val="20"/>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spacing w:after="120"/>
      <w:ind w:left="1440" w:leftChars="700" w:right="1440" w:rightChars="700"/>
    </w:pPr>
    <w:rPr>
      <w:szCs w:val="22"/>
    </w:rPr>
  </w:style>
  <w:style w:type="paragraph" w:styleId="23">
    <w:name w:val="toc 3"/>
    <w:basedOn w:val="1"/>
    <w:next w:val="1"/>
    <w:semiHidden/>
    <w:qFormat/>
    <w:uiPriority w:val="0"/>
    <w:pPr>
      <w:tabs>
        <w:tab w:val="right" w:leader="dot" w:pos="8777"/>
      </w:tabs>
      <w:spacing w:line="500" w:lineRule="atLeast"/>
      <w:ind w:left="540" w:leftChars="257"/>
    </w:pPr>
  </w:style>
  <w:style w:type="paragraph" w:styleId="24">
    <w:name w:val="Plain Text"/>
    <w:basedOn w:val="1"/>
    <w:link w:val="6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97"/>
    <w:qFormat/>
    <w:uiPriority w:val="0"/>
    <w:pPr>
      <w:ind w:left="100" w:leftChars="2500"/>
    </w:pPr>
    <w:rPr>
      <w:rFonts w:ascii="仿宋_GB2312" w:hAnsi="宋体" w:eastAsia="仿宋_GB2312" w:cs="宋体"/>
      <w:b/>
      <w:bCs/>
      <w:color w:val="000000"/>
      <w:kern w:val="0"/>
      <w:sz w:val="24"/>
      <w:szCs w:val="21"/>
    </w:rPr>
  </w:style>
  <w:style w:type="paragraph" w:styleId="26">
    <w:name w:val="Body Text Indent 2"/>
    <w:basedOn w:val="1"/>
    <w:link w:val="69"/>
    <w:qFormat/>
    <w:uiPriority w:val="0"/>
    <w:pPr>
      <w:widowControl/>
      <w:spacing w:line="480" w:lineRule="atLeast"/>
      <w:ind w:firstLine="480"/>
    </w:pPr>
    <w:rPr>
      <w:rFonts w:ascii="宋体" w:hAnsi="宋体" w:eastAsia="仿宋_GB2312"/>
      <w:b/>
      <w:bCs/>
      <w:color w:val="000000"/>
      <w:kern w:val="0"/>
      <w:sz w:val="24"/>
      <w:szCs w:val="20"/>
    </w:rPr>
  </w:style>
  <w:style w:type="paragraph" w:styleId="27">
    <w:name w:val="Balloon Text"/>
    <w:basedOn w:val="1"/>
    <w:semiHidden/>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sz w:val="18"/>
      <w:szCs w:val="18"/>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777"/>
      </w:tabs>
      <w:spacing w:line="500" w:lineRule="exact"/>
      <w:jc w:val="left"/>
    </w:pPr>
  </w:style>
  <w:style w:type="paragraph" w:styleId="31">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eastAsia="楷体_GB2312"/>
      <w:sz w:val="32"/>
      <w:szCs w:val="20"/>
    </w:rPr>
  </w:style>
  <w:style w:type="paragraph" w:styleId="33">
    <w:name w:val="footnote text"/>
    <w:basedOn w:val="1"/>
    <w:link w:val="98"/>
    <w:qFormat/>
    <w:uiPriority w:val="0"/>
    <w:pPr>
      <w:snapToGrid w:val="0"/>
      <w:jc w:val="left"/>
    </w:pPr>
    <w:rPr>
      <w:sz w:val="18"/>
    </w:rPr>
  </w:style>
  <w:style w:type="paragraph" w:styleId="34">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35">
    <w:name w:val="Body Text Indent 3"/>
    <w:basedOn w:val="1"/>
    <w:link w:val="99"/>
    <w:qFormat/>
    <w:uiPriority w:val="0"/>
    <w:pPr>
      <w:spacing w:after="120"/>
      <w:ind w:left="420" w:leftChars="200"/>
    </w:pPr>
    <w:rPr>
      <w:rFonts w:ascii="仿宋_GB2312" w:hAnsi="宋体" w:eastAsia="仿宋_GB2312" w:cs="宋体"/>
      <w:b/>
      <w:bCs/>
      <w:color w:val="000000"/>
      <w:kern w:val="0"/>
      <w:sz w:val="16"/>
      <w:szCs w:val="16"/>
    </w:rPr>
  </w:style>
  <w:style w:type="paragraph" w:styleId="36">
    <w:name w:val="toc 2"/>
    <w:basedOn w:val="1"/>
    <w:next w:val="1"/>
    <w:qFormat/>
    <w:uiPriority w:val="39"/>
    <w:pPr>
      <w:tabs>
        <w:tab w:val="right" w:leader="dot" w:pos="8777"/>
      </w:tabs>
      <w:spacing w:line="500" w:lineRule="atLeast"/>
      <w:ind w:left="420" w:leftChars="200" w:firstLine="120" w:firstLineChars="50"/>
    </w:pPr>
  </w:style>
  <w:style w:type="paragraph" w:styleId="37">
    <w:name w:val="Body Text 2"/>
    <w:basedOn w:val="1"/>
    <w:link w:val="100"/>
    <w:qFormat/>
    <w:uiPriority w:val="0"/>
    <w:pPr>
      <w:spacing w:after="120" w:line="480" w:lineRule="auto"/>
    </w:pPr>
  </w:style>
  <w:style w:type="paragraph" w:styleId="38">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link w:val="73"/>
    <w:unhideWhenUsed/>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74"/>
    <w:qFormat/>
    <w:uiPriority w:val="0"/>
    <w:pPr>
      <w:spacing w:before="240" w:after="60"/>
      <w:jc w:val="center"/>
      <w:outlineLvl w:val="0"/>
    </w:pPr>
    <w:rPr>
      <w:rFonts w:ascii="Cambria" w:hAnsi="Cambria"/>
      <w:b/>
      <w:bCs/>
      <w:sz w:val="32"/>
      <w:szCs w:val="32"/>
    </w:rPr>
  </w:style>
  <w:style w:type="paragraph" w:styleId="41">
    <w:name w:val="annotation subject"/>
    <w:basedOn w:val="15"/>
    <w:next w:val="15"/>
    <w:link w:val="75"/>
    <w:semiHidden/>
    <w:unhideWhenUsed/>
    <w:qFormat/>
    <w:uiPriority w:val="0"/>
    <w:rPr>
      <w:b/>
      <w:bCs/>
    </w:rPr>
  </w:style>
  <w:style w:type="paragraph" w:styleId="42">
    <w:name w:val="Body Text First Indent 2"/>
    <w:basedOn w:val="19"/>
    <w:next w:val="1"/>
    <w:qFormat/>
    <w:uiPriority w:val="0"/>
    <w:pPr>
      <w:spacing w:after="120"/>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semiHidden/>
    <w:unhideWhenUsed/>
    <w:qFormat/>
    <w:uiPriority w:val="0"/>
    <w:rPr>
      <w:sz w:val="21"/>
      <w:szCs w:val="21"/>
    </w:rPr>
  </w:style>
  <w:style w:type="character" w:styleId="52">
    <w:name w:val="HTML Keyboard"/>
    <w:qFormat/>
    <w:uiPriority w:val="0"/>
    <w:rPr>
      <w:rFonts w:ascii="monospace" w:hAnsi="monospace" w:eastAsia="monospace" w:cs="monospace"/>
      <w:sz w:val="21"/>
      <w:szCs w:val="21"/>
    </w:rPr>
  </w:style>
  <w:style w:type="character" w:styleId="53">
    <w:name w:val="HTML Sample"/>
    <w:basedOn w:val="45"/>
    <w:semiHidden/>
    <w:unhideWhenUsed/>
    <w:qFormat/>
    <w:uiPriority w:val="99"/>
    <w:rPr>
      <w:rFonts w:ascii="宋体" w:hAnsi="宋体" w:eastAsia="宋体" w:cs="宋体"/>
    </w:rPr>
  </w:style>
  <w:style w:type="paragraph" w:customStyle="1" w:styleId="54">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5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文档正文"/>
    <w:basedOn w:val="1"/>
    <w:qFormat/>
    <w:uiPriority w:val="0"/>
    <w:pPr>
      <w:adjustRightInd w:val="0"/>
      <w:spacing w:line="300" w:lineRule="auto"/>
      <w:ind w:firstLine="567"/>
      <w:textAlignment w:val="baseline"/>
    </w:pPr>
    <w:rPr>
      <w:kern w:val="0"/>
      <w:sz w:val="24"/>
      <w:szCs w:val="20"/>
    </w:rPr>
  </w:style>
  <w:style w:type="character" w:customStyle="1" w:styleId="57">
    <w:name w:val="标题 1 字符"/>
    <w:link w:val="3"/>
    <w:qFormat/>
    <w:uiPriority w:val="0"/>
    <w:rPr>
      <w:b/>
      <w:bCs/>
      <w:kern w:val="44"/>
      <w:sz w:val="44"/>
      <w:szCs w:val="44"/>
    </w:rPr>
  </w:style>
  <w:style w:type="character" w:customStyle="1" w:styleId="58">
    <w:name w:val="标题 2 字符"/>
    <w:basedOn w:val="45"/>
    <w:link w:val="4"/>
    <w:qFormat/>
    <w:uiPriority w:val="0"/>
    <w:rPr>
      <w:rFonts w:ascii="Arial" w:hAnsi="Arial" w:eastAsia="黑体"/>
      <w:b/>
      <w:bCs/>
      <w:kern w:val="2"/>
      <w:sz w:val="32"/>
      <w:szCs w:val="32"/>
    </w:rPr>
  </w:style>
  <w:style w:type="character" w:customStyle="1" w:styleId="59">
    <w:name w:val="正文缩进 字符"/>
    <w:link w:val="2"/>
    <w:qFormat/>
    <w:uiPriority w:val="0"/>
    <w:rPr>
      <w:rFonts w:ascii="仿宋_GB2312" w:hAnsi="宋体" w:eastAsia="仿宋_GB2312" w:cs="宋体"/>
      <w:b/>
      <w:bCs/>
      <w:color w:val="000000"/>
      <w:sz w:val="21"/>
      <w:szCs w:val="21"/>
      <w:lang w:val="en-US" w:eastAsia="zh-CN" w:bidi="ar-SA"/>
    </w:rPr>
  </w:style>
  <w:style w:type="character" w:customStyle="1" w:styleId="60">
    <w:name w:val="标题 3 字符"/>
    <w:basedOn w:val="45"/>
    <w:link w:val="5"/>
    <w:qFormat/>
    <w:uiPriority w:val="0"/>
    <w:rPr>
      <w:rFonts w:ascii="Arial" w:hAnsi="Arial" w:eastAsia="黑体" w:cs="宋体"/>
      <w:color w:val="000000"/>
      <w:spacing w:val="20"/>
      <w:sz w:val="30"/>
      <w:szCs w:val="32"/>
    </w:rPr>
  </w:style>
  <w:style w:type="character" w:customStyle="1" w:styleId="61">
    <w:name w:val="标题 4 字符"/>
    <w:basedOn w:val="45"/>
    <w:link w:val="6"/>
    <w:qFormat/>
    <w:uiPriority w:val="0"/>
    <w:rPr>
      <w:rFonts w:ascii="Arial" w:hAnsi="Arial" w:eastAsia="黑体" w:cs="宋体"/>
      <w:color w:val="000000"/>
      <w:spacing w:val="10"/>
      <w:sz w:val="28"/>
      <w:szCs w:val="28"/>
    </w:rPr>
  </w:style>
  <w:style w:type="character" w:customStyle="1" w:styleId="62">
    <w:name w:val="标题 5 字符"/>
    <w:basedOn w:val="45"/>
    <w:link w:val="7"/>
    <w:qFormat/>
    <w:uiPriority w:val="0"/>
    <w:rPr>
      <w:rFonts w:ascii="Arial" w:hAnsi="Arial" w:eastAsia="黑体" w:cs="宋体"/>
      <w:color w:val="000000"/>
      <w:spacing w:val="10"/>
      <w:sz w:val="28"/>
      <w:szCs w:val="28"/>
    </w:rPr>
  </w:style>
  <w:style w:type="character" w:customStyle="1" w:styleId="63">
    <w:name w:val="标题 6 字符"/>
    <w:basedOn w:val="45"/>
    <w:link w:val="8"/>
    <w:qFormat/>
    <w:uiPriority w:val="0"/>
    <w:rPr>
      <w:rFonts w:ascii="Arial" w:hAnsi="Arial" w:eastAsia="黑体" w:cs="宋体"/>
      <w:color w:val="000000"/>
      <w:spacing w:val="10"/>
      <w:sz w:val="24"/>
      <w:szCs w:val="21"/>
    </w:rPr>
  </w:style>
  <w:style w:type="character" w:customStyle="1" w:styleId="64">
    <w:name w:val="标题 7 字符"/>
    <w:basedOn w:val="45"/>
    <w:link w:val="9"/>
    <w:qFormat/>
    <w:uiPriority w:val="0"/>
    <w:rPr>
      <w:rFonts w:ascii="Arial" w:hAnsi="Arial" w:eastAsia="黑体" w:cs="宋体"/>
      <w:color w:val="000000"/>
      <w:sz w:val="24"/>
      <w:szCs w:val="21"/>
    </w:rPr>
  </w:style>
  <w:style w:type="character" w:customStyle="1" w:styleId="65">
    <w:name w:val="标题 8 字符"/>
    <w:basedOn w:val="45"/>
    <w:link w:val="10"/>
    <w:qFormat/>
    <w:uiPriority w:val="0"/>
    <w:rPr>
      <w:rFonts w:ascii="Arial" w:hAnsi="Arial" w:eastAsia="黑体" w:cs="宋体"/>
      <w:b/>
      <w:bCs/>
      <w:color w:val="000000"/>
      <w:sz w:val="24"/>
      <w:szCs w:val="21"/>
    </w:rPr>
  </w:style>
  <w:style w:type="character" w:customStyle="1" w:styleId="66">
    <w:name w:val="标题 9 字符"/>
    <w:basedOn w:val="45"/>
    <w:link w:val="11"/>
    <w:qFormat/>
    <w:uiPriority w:val="0"/>
    <w:rPr>
      <w:rFonts w:ascii="Arial" w:hAnsi="Arial" w:eastAsia="黑体" w:cs="宋体"/>
      <w:b/>
      <w:bCs/>
      <w:color w:val="000000"/>
      <w:sz w:val="21"/>
      <w:szCs w:val="21"/>
    </w:rPr>
  </w:style>
  <w:style w:type="character" w:customStyle="1" w:styleId="67">
    <w:name w:val="批注文字 字符"/>
    <w:basedOn w:val="45"/>
    <w:link w:val="15"/>
    <w:qFormat/>
    <w:uiPriority w:val="0"/>
    <w:rPr>
      <w:kern w:val="2"/>
      <w:sz w:val="21"/>
      <w:szCs w:val="24"/>
    </w:rPr>
  </w:style>
  <w:style w:type="character" w:customStyle="1" w:styleId="68">
    <w:name w:val="纯文本 字符"/>
    <w:link w:val="24"/>
    <w:qFormat/>
    <w:uiPriority w:val="0"/>
    <w:rPr>
      <w:rFonts w:ascii="宋体" w:hAnsi="Courier New" w:eastAsia="宋体"/>
      <w:sz w:val="21"/>
      <w:szCs w:val="21"/>
      <w:lang w:val="en-US" w:eastAsia="zh-CN" w:bidi="ar-SA"/>
    </w:rPr>
  </w:style>
  <w:style w:type="character" w:customStyle="1" w:styleId="69">
    <w:name w:val="正文文本缩进 2 字符"/>
    <w:link w:val="26"/>
    <w:qFormat/>
    <w:uiPriority w:val="0"/>
    <w:rPr>
      <w:rFonts w:ascii="宋体" w:hAnsi="宋体" w:eastAsia="仿宋_GB2312"/>
      <w:b/>
      <w:bCs/>
      <w:color w:val="000000"/>
      <w:sz w:val="24"/>
      <w:lang w:bidi="ar-SA"/>
    </w:rPr>
  </w:style>
  <w:style w:type="character" w:customStyle="1" w:styleId="70">
    <w:name w:val="页脚 字符"/>
    <w:link w:val="28"/>
    <w:qFormat/>
    <w:uiPriority w:val="0"/>
    <w:rPr>
      <w:kern w:val="2"/>
      <w:sz w:val="18"/>
      <w:szCs w:val="18"/>
    </w:rPr>
  </w:style>
  <w:style w:type="character" w:customStyle="1" w:styleId="71">
    <w:name w:val="页眉 字符"/>
    <w:link w:val="29"/>
    <w:qFormat/>
    <w:uiPriority w:val="0"/>
    <w:rPr>
      <w:kern w:val="2"/>
      <w:sz w:val="18"/>
      <w:szCs w:val="18"/>
    </w:rPr>
  </w:style>
  <w:style w:type="character" w:customStyle="1" w:styleId="72">
    <w:name w:val="副标题 字符"/>
    <w:basedOn w:val="45"/>
    <w:link w:val="31"/>
    <w:qFormat/>
    <w:uiPriority w:val="0"/>
    <w:rPr>
      <w:rFonts w:ascii="Cambria" w:hAnsi="Cambria" w:cs="Times New Roman"/>
      <w:b/>
      <w:bCs/>
      <w:kern w:val="28"/>
      <w:sz w:val="32"/>
      <w:szCs w:val="32"/>
    </w:rPr>
  </w:style>
  <w:style w:type="character" w:customStyle="1" w:styleId="73">
    <w:name w:val="普通(网站) 字符"/>
    <w:link w:val="39"/>
    <w:qFormat/>
    <w:uiPriority w:val="0"/>
    <w:rPr>
      <w:rFonts w:ascii="宋体" w:hAnsi="宋体" w:cs="宋体"/>
      <w:sz w:val="24"/>
      <w:szCs w:val="24"/>
    </w:rPr>
  </w:style>
  <w:style w:type="character" w:customStyle="1" w:styleId="74">
    <w:name w:val="标题 字符"/>
    <w:basedOn w:val="45"/>
    <w:link w:val="40"/>
    <w:qFormat/>
    <w:uiPriority w:val="0"/>
    <w:rPr>
      <w:rFonts w:ascii="Cambria" w:hAnsi="Cambria" w:cs="Times New Roman"/>
      <w:b/>
      <w:bCs/>
      <w:kern w:val="2"/>
      <w:sz w:val="32"/>
      <w:szCs w:val="32"/>
    </w:rPr>
  </w:style>
  <w:style w:type="character" w:customStyle="1" w:styleId="75">
    <w:name w:val="批注主题 字符"/>
    <w:basedOn w:val="67"/>
    <w:link w:val="41"/>
    <w:semiHidden/>
    <w:qFormat/>
    <w:uiPriority w:val="0"/>
    <w:rPr>
      <w:b/>
      <w:bCs/>
      <w:kern w:val="2"/>
      <w:sz w:val="21"/>
      <w:szCs w:val="24"/>
    </w:rPr>
  </w:style>
  <w:style w:type="character" w:customStyle="1" w:styleId="76">
    <w:name w:val="Char Char5"/>
    <w:qFormat/>
    <w:uiPriority w:val="0"/>
    <w:rPr>
      <w:rFonts w:ascii="Arial" w:hAnsi="Arial" w:eastAsia="宋体" w:cs="Arial"/>
      <w:b/>
      <w:bCs/>
      <w:color w:val="000000"/>
      <w:sz w:val="32"/>
      <w:szCs w:val="32"/>
      <w:lang w:val="en-US" w:eastAsia="zh-CN" w:bidi="ar-SA"/>
    </w:rPr>
  </w:style>
  <w:style w:type="paragraph" w:customStyle="1" w:styleId="77">
    <w:name w:val="p16"/>
    <w:basedOn w:val="1"/>
    <w:qFormat/>
    <w:uiPriority w:val="0"/>
    <w:pPr>
      <w:widowControl/>
    </w:pPr>
    <w:rPr>
      <w:rFonts w:ascii="Calibri" w:hAnsi="Calibri" w:cs="宋体"/>
      <w:kern w:val="0"/>
      <w:szCs w:val="21"/>
    </w:rPr>
  </w:style>
  <w:style w:type="paragraph" w:styleId="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rPr>
      <w:rFonts w:ascii="仿宋_GB2312" w:eastAsia="仿宋_GB2312"/>
      <w:b/>
      <w:sz w:val="32"/>
      <w:szCs w:val="32"/>
    </w:rPr>
  </w:style>
  <w:style w:type="paragraph" w:customStyle="1" w:styleId="80">
    <w:name w:val="p15"/>
    <w:basedOn w:val="1"/>
    <w:qFormat/>
    <w:uiPriority w:val="0"/>
    <w:pPr>
      <w:widowControl/>
      <w:ind w:firstLine="420"/>
    </w:pPr>
    <w:rPr>
      <w:rFonts w:ascii="Calibri" w:hAnsi="Calibri" w:cs="宋体"/>
      <w:kern w:val="0"/>
      <w:szCs w:val="21"/>
    </w:rPr>
  </w:style>
  <w:style w:type="paragraph" w:customStyle="1" w:styleId="81">
    <w:name w:val="Char Char"/>
    <w:basedOn w:val="1"/>
    <w:qFormat/>
    <w:uiPriority w:val="0"/>
    <w:pPr>
      <w:spacing w:line="360" w:lineRule="auto"/>
    </w:pPr>
    <w:rPr>
      <w:rFonts w:ascii="Tahoma" w:hAnsi="Tahoma"/>
      <w:sz w:val="24"/>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3">
    <w:name w:val="[Normal]"/>
    <w:qFormat/>
    <w:uiPriority w:val="0"/>
    <w:rPr>
      <w:rFonts w:ascii="宋体" w:hAnsi="宋体" w:eastAsia="宋体" w:cs="Times New Roman"/>
      <w:sz w:val="24"/>
      <w:szCs w:val="22"/>
      <w:lang w:val="zh-CN" w:eastAsia="zh-CN" w:bidi="ar-SA"/>
    </w:rPr>
  </w:style>
  <w:style w:type="paragraph" w:styleId="84">
    <w:name w:val="List Paragraph"/>
    <w:basedOn w:val="1"/>
    <w:qFormat/>
    <w:uiPriority w:val="34"/>
    <w:pPr>
      <w:ind w:firstLine="420" w:firstLineChars="200"/>
    </w:pPr>
  </w:style>
  <w:style w:type="paragraph" w:customStyle="1" w:styleId="8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88">
    <w:name w:val="纯文本 Char2"/>
    <w:qFormat/>
    <w:uiPriority w:val="0"/>
    <w:rPr>
      <w:rFonts w:ascii="宋体" w:hAnsi="Courier New" w:eastAsia="仿宋_GB2312" w:cs="宋体"/>
      <w:b/>
      <w:bCs/>
      <w:color w:val="000000"/>
      <w:sz w:val="21"/>
      <w:lang w:val="en-US" w:eastAsia="zh-CN" w:bidi="ar-SA"/>
    </w:rPr>
  </w:style>
  <w:style w:type="character" w:customStyle="1" w:styleId="89">
    <w:name w:val="NormalCharacter"/>
    <w:qFormat/>
    <w:uiPriority w:val="0"/>
  </w:style>
  <w:style w:type="paragraph" w:customStyle="1" w:styleId="90">
    <w:name w:val="列出段落3"/>
    <w:basedOn w:val="1"/>
    <w:qFormat/>
    <w:uiPriority w:val="0"/>
    <w:pPr>
      <w:spacing w:line="360" w:lineRule="auto"/>
      <w:ind w:firstLine="420" w:firstLineChars="200"/>
    </w:pPr>
    <w:rPr>
      <w:rFonts w:ascii="Calibri" w:hAnsi="Calibri"/>
      <w:sz w:val="24"/>
      <w:szCs w:val="22"/>
    </w:rPr>
  </w:style>
  <w:style w:type="character" w:customStyle="1" w:styleId="91">
    <w:name w:val="纯文本 Char1"/>
    <w:qFormat/>
    <w:uiPriority w:val="0"/>
    <w:rPr>
      <w:rFonts w:ascii="宋体" w:hAnsi="Courier New" w:eastAsia="仿宋_GB2312" w:cs="宋体"/>
      <w:b/>
      <w:bCs/>
      <w:color w:val="000000"/>
    </w:rPr>
  </w:style>
  <w:style w:type="character" w:customStyle="1" w:styleId="92">
    <w:name w:val="skancount"/>
    <w:basedOn w:val="45"/>
    <w:qFormat/>
    <w:uiPriority w:val="0"/>
  </w:style>
  <w:style w:type="character" w:customStyle="1" w:styleId="93">
    <w:name w:val="bookmark-item"/>
    <w:basedOn w:val="45"/>
    <w:qFormat/>
    <w:uiPriority w:val="0"/>
  </w:style>
  <w:style w:type="paragraph" w:customStyle="1" w:styleId="94">
    <w:name w:val="正文文本首行缩进1"/>
    <w:basedOn w:val="17"/>
    <w:qFormat/>
    <w:uiPriority w:val="0"/>
    <w:pPr>
      <w:spacing w:line="360" w:lineRule="auto"/>
      <w:ind w:firstLine="200" w:firstLineChars="200"/>
    </w:pPr>
    <w:rPr>
      <w:rFonts w:ascii="宋体" w:hAnsi="宋体"/>
      <w:bCs/>
      <w:sz w:val="24"/>
      <w:szCs w:val="21"/>
    </w:rPr>
  </w:style>
  <w:style w:type="paragraph" w:customStyle="1" w:styleId="95">
    <w:name w:val="列表段落1"/>
    <w:basedOn w:val="1"/>
    <w:qFormat/>
    <w:uiPriority w:val="0"/>
    <w:pPr>
      <w:ind w:firstLine="420" w:firstLineChars="200"/>
    </w:pPr>
    <w:rPr>
      <w:rFonts w:asciiTheme="minorHAnsi" w:hAnsiTheme="minorHAnsi" w:eastAsiaTheme="minorEastAsia" w:cstheme="minorBidi"/>
      <w:sz w:val="24"/>
    </w:rPr>
  </w:style>
  <w:style w:type="character" w:customStyle="1" w:styleId="96">
    <w:name w:val="文档结构图 字符"/>
    <w:basedOn w:val="45"/>
    <w:link w:val="14"/>
    <w:semiHidden/>
    <w:qFormat/>
    <w:uiPriority w:val="0"/>
    <w:rPr>
      <w:kern w:val="2"/>
      <w:sz w:val="21"/>
      <w:szCs w:val="24"/>
      <w:shd w:val="clear" w:color="auto" w:fill="000080"/>
    </w:rPr>
  </w:style>
  <w:style w:type="character" w:customStyle="1" w:styleId="97">
    <w:name w:val="日期 字符"/>
    <w:basedOn w:val="45"/>
    <w:link w:val="25"/>
    <w:qFormat/>
    <w:uiPriority w:val="0"/>
    <w:rPr>
      <w:rFonts w:ascii="仿宋_GB2312" w:hAnsi="宋体" w:eastAsia="仿宋_GB2312" w:cs="宋体"/>
      <w:b/>
      <w:bCs/>
      <w:color w:val="000000"/>
      <w:sz w:val="24"/>
      <w:szCs w:val="21"/>
    </w:rPr>
  </w:style>
  <w:style w:type="character" w:customStyle="1" w:styleId="98">
    <w:name w:val="脚注文本 字符"/>
    <w:basedOn w:val="45"/>
    <w:link w:val="33"/>
    <w:qFormat/>
    <w:uiPriority w:val="0"/>
    <w:rPr>
      <w:kern w:val="2"/>
      <w:sz w:val="18"/>
      <w:szCs w:val="24"/>
    </w:rPr>
  </w:style>
  <w:style w:type="character" w:customStyle="1" w:styleId="99">
    <w:name w:val="正文文本缩进 3 字符"/>
    <w:basedOn w:val="45"/>
    <w:link w:val="35"/>
    <w:qFormat/>
    <w:uiPriority w:val="0"/>
    <w:rPr>
      <w:rFonts w:ascii="仿宋_GB2312" w:hAnsi="宋体" w:eastAsia="仿宋_GB2312" w:cs="宋体"/>
      <w:b/>
      <w:bCs/>
      <w:color w:val="000000"/>
      <w:sz w:val="16"/>
      <w:szCs w:val="16"/>
    </w:rPr>
  </w:style>
  <w:style w:type="character" w:customStyle="1" w:styleId="100">
    <w:name w:val="正文文本 2 字符"/>
    <w:basedOn w:val="45"/>
    <w:link w:val="37"/>
    <w:qFormat/>
    <w:uiPriority w:val="0"/>
    <w:rPr>
      <w:kern w:val="2"/>
      <w:sz w:val="21"/>
      <w:szCs w:val="24"/>
    </w:rPr>
  </w:style>
  <w:style w:type="character" w:customStyle="1" w:styleId="101">
    <w:name w:val="HTML 预设格式 字符"/>
    <w:basedOn w:val="45"/>
    <w:link w:val="38"/>
    <w:qFormat/>
    <w:uiPriority w:val="0"/>
    <w:rPr>
      <w:rFonts w:ascii="黑体" w:hAnsi="Courier New" w:eastAsia="黑体"/>
    </w:rPr>
  </w:style>
  <w:style w:type="character" w:customStyle="1" w:styleId="102">
    <w:name w:val="style11"/>
    <w:qFormat/>
    <w:uiPriority w:val="0"/>
    <w:rPr>
      <w:sz w:val="18"/>
      <w:szCs w:val="18"/>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ca-6"/>
    <w:basedOn w:val="45"/>
    <w:qFormat/>
    <w:uiPriority w:val="0"/>
  </w:style>
  <w:style w:type="character" w:customStyle="1" w:styleId="105">
    <w:name w:val="unnamed11"/>
    <w:qFormat/>
    <w:uiPriority w:val="0"/>
    <w:rPr>
      <w:color w:val="000000"/>
      <w:sz w:val="20"/>
      <w:szCs w:val="20"/>
    </w:rPr>
  </w:style>
  <w:style w:type="character" w:customStyle="1" w:styleId="106">
    <w:name w:val="Texte Char Char"/>
    <w:qFormat/>
    <w:uiPriority w:val="0"/>
    <w:rPr>
      <w:rFonts w:ascii="宋体" w:hAnsi="Courier New" w:eastAsia="仿宋_GB2312" w:cs="宋体"/>
      <w:b/>
      <w:bCs/>
      <w:color w:val="000000"/>
      <w:sz w:val="21"/>
      <w:lang w:val="en-US" w:eastAsia="zh-CN" w:bidi="ar-SA"/>
    </w:rPr>
  </w:style>
  <w:style w:type="character" w:customStyle="1" w:styleId="107">
    <w:name w:val="f10"/>
    <w:basedOn w:val="45"/>
    <w:qFormat/>
    <w:uiPriority w:val="0"/>
  </w:style>
  <w:style w:type="character" w:customStyle="1" w:styleId="108">
    <w:name w:val="ca-2"/>
    <w:basedOn w:val="45"/>
    <w:qFormat/>
    <w:uiPriority w:val="0"/>
  </w:style>
  <w:style w:type="character" w:customStyle="1" w:styleId="109">
    <w:name w:val="缩进2字符 Char"/>
    <w:link w:val="110"/>
    <w:qFormat/>
    <w:locked/>
    <w:uiPriority w:val="0"/>
    <w:rPr>
      <w:rFonts w:ascii="仿宋_GB2312" w:hAnsi="仿宋_GB2312" w:eastAsia="仿宋_GB2312" w:cs="Arial"/>
      <w:snapToGrid w:val="0"/>
      <w:color w:val="000000"/>
      <w:sz w:val="28"/>
      <w:szCs w:val="28"/>
    </w:rPr>
  </w:style>
  <w:style w:type="paragraph" w:customStyle="1" w:styleId="110">
    <w:name w:val="缩进2字符"/>
    <w:basedOn w:val="1"/>
    <w:link w:val="109"/>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1">
    <w:name w:val="ca-11"/>
    <w:qFormat/>
    <w:uiPriority w:val="0"/>
    <w:rPr>
      <w:rFonts w:hint="eastAsia" w:ascii="宋体" w:hAnsi="宋体" w:eastAsia="宋体"/>
      <w:sz w:val="18"/>
      <w:szCs w:val="18"/>
    </w:rPr>
  </w:style>
  <w:style w:type="character" w:customStyle="1" w:styleId="112">
    <w:name w:val="标题 Char1"/>
    <w:qFormat/>
    <w:locked/>
    <w:uiPriority w:val="0"/>
    <w:rPr>
      <w:rFonts w:ascii="Arial" w:hAnsi="Arial" w:cs="Arial"/>
      <w:b/>
      <w:bCs/>
      <w:color w:val="000000"/>
      <w:sz w:val="32"/>
      <w:szCs w:val="32"/>
    </w:rPr>
  </w:style>
  <w:style w:type="character" w:customStyle="1" w:styleId="113">
    <w:name w:val="ca-3"/>
    <w:basedOn w:val="45"/>
    <w:qFormat/>
    <w:uiPriority w:val="0"/>
  </w:style>
  <w:style w:type="character" w:customStyle="1" w:styleId="114">
    <w:name w:val="para"/>
    <w:basedOn w:val="45"/>
    <w:qFormat/>
    <w:uiPriority w:val="0"/>
  </w:style>
  <w:style w:type="character" w:customStyle="1" w:styleId="115">
    <w:name w:val="表格文本 Char"/>
    <w:link w:val="116"/>
    <w:qFormat/>
    <w:locked/>
    <w:uiPriority w:val="0"/>
    <w:rPr>
      <w:rFonts w:ascii="宋体" w:hAnsi="宋体" w:cs="Arial"/>
      <w:snapToGrid w:val="0"/>
      <w:szCs w:val="21"/>
    </w:rPr>
  </w:style>
  <w:style w:type="paragraph" w:customStyle="1" w:styleId="116">
    <w:name w:val="表格文本"/>
    <w:basedOn w:val="1"/>
    <w:link w:val="115"/>
    <w:qFormat/>
    <w:uiPriority w:val="0"/>
    <w:pPr>
      <w:snapToGrid w:val="0"/>
      <w:jc w:val="left"/>
    </w:pPr>
    <w:rPr>
      <w:rFonts w:ascii="宋体" w:hAnsi="宋体" w:cs="Arial"/>
      <w:snapToGrid w:val="0"/>
      <w:kern w:val="0"/>
      <w:sz w:val="20"/>
      <w:szCs w:val="21"/>
    </w:rPr>
  </w:style>
  <w:style w:type="character" w:customStyle="1" w:styleId="117">
    <w:name w:val="ca-8"/>
    <w:basedOn w:val="45"/>
    <w:qFormat/>
    <w:uiPriority w:val="0"/>
  </w:style>
  <w:style w:type="character" w:customStyle="1" w:styleId="118">
    <w:name w:val="smalltxt1"/>
    <w:qFormat/>
    <w:uiPriority w:val="0"/>
    <w:rPr>
      <w:rFonts w:hint="default" w:ascii="ˎ̥" w:hAnsi="ˎ̥" w:eastAsia="仿宋_GB2312"/>
      <w:b/>
      <w:sz w:val="24"/>
      <w:szCs w:val="24"/>
    </w:rPr>
  </w:style>
  <w:style w:type="character" w:customStyle="1" w:styleId="119">
    <w:name w:val="Char Char1"/>
    <w:qFormat/>
    <w:uiPriority w:val="0"/>
    <w:rPr>
      <w:rFonts w:ascii="宋体" w:hAnsi="Courier New" w:eastAsia="仿宋_GB2312" w:cs="宋体"/>
      <w:b/>
      <w:bCs/>
      <w:color w:val="000000"/>
      <w:sz w:val="21"/>
      <w:lang w:val="en-US" w:eastAsia="zh-CN" w:bidi="ar-SA"/>
    </w:rPr>
  </w:style>
  <w:style w:type="character" w:customStyle="1" w:styleId="120">
    <w:name w:val="apple-converted-space"/>
    <w:basedOn w:val="45"/>
    <w:qFormat/>
    <w:uiPriority w:val="0"/>
  </w:style>
  <w:style w:type="character" w:customStyle="1" w:styleId="121">
    <w:name w:val="bigtitle1"/>
    <w:qFormat/>
    <w:uiPriority w:val="0"/>
    <w:rPr>
      <w:sz w:val="28"/>
      <w:szCs w:val="28"/>
    </w:rPr>
  </w:style>
  <w:style w:type="character" w:customStyle="1" w:styleId="122">
    <w:name w:val="Char Char4"/>
    <w:qFormat/>
    <w:uiPriority w:val="0"/>
    <w:rPr>
      <w:rFonts w:eastAsia="宋体"/>
      <w:sz w:val="18"/>
      <w:szCs w:val="18"/>
      <w:lang w:val="en-US" w:eastAsia="zh-CN" w:bidi="ar-SA"/>
    </w:rPr>
  </w:style>
  <w:style w:type="character" w:customStyle="1" w:styleId="123">
    <w:name w:val="样式3 Char"/>
    <w:link w:val="124"/>
    <w:qFormat/>
    <w:uiPriority w:val="0"/>
    <w:rPr>
      <w:rFonts w:eastAsia="黑体"/>
      <w:kern w:val="2"/>
      <w:sz w:val="28"/>
      <w:szCs w:val="21"/>
    </w:rPr>
  </w:style>
  <w:style w:type="paragraph" w:customStyle="1" w:styleId="124">
    <w:name w:val="样式3"/>
    <w:basedOn w:val="1"/>
    <w:link w:val="123"/>
    <w:qFormat/>
    <w:uiPriority w:val="0"/>
    <w:pPr>
      <w:snapToGrid w:val="0"/>
      <w:outlineLvl w:val="2"/>
    </w:pPr>
    <w:rPr>
      <w:rFonts w:eastAsia="黑体"/>
      <w:sz w:val="28"/>
      <w:szCs w:val="21"/>
    </w:rPr>
  </w:style>
  <w:style w:type="character" w:customStyle="1" w:styleId="125">
    <w:name w:val="unnamed51"/>
    <w:qFormat/>
    <w:uiPriority w:val="0"/>
    <w:rPr>
      <w:sz w:val="22"/>
      <w:szCs w:val="22"/>
    </w:rPr>
  </w:style>
  <w:style w:type="paragraph" w:customStyle="1" w:styleId="126">
    <w:name w:val="默认段落字体 Para Char"/>
    <w:basedOn w:val="1"/>
    <w:qFormat/>
    <w:uiPriority w:val="0"/>
    <w:pPr>
      <w:adjustRightInd w:val="0"/>
      <w:spacing w:line="360" w:lineRule="auto"/>
    </w:pPr>
    <w:rPr>
      <w:kern w:val="0"/>
      <w:sz w:val="24"/>
      <w:szCs w:val="20"/>
    </w:rPr>
  </w:style>
  <w:style w:type="paragraph" w:customStyle="1" w:styleId="127">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8">
    <w:name w:val="Char Char Char Char"/>
    <w:basedOn w:val="14"/>
    <w:qFormat/>
    <w:uiPriority w:val="0"/>
    <w:rPr>
      <w:rFonts w:ascii="Tahoma" w:hAnsi="Tahoma"/>
      <w:sz w:val="24"/>
    </w:rPr>
  </w:style>
  <w:style w:type="paragraph" w:customStyle="1" w:styleId="129">
    <w:name w:val="Char"/>
    <w:basedOn w:val="1"/>
    <w:qFormat/>
    <w:uiPriority w:val="0"/>
    <w:rPr>
      <w:rFonts w:ascii="仿宋_GB2312" w:eastAsia="仿宋_GB2312"/>
      <w:b/>
      <w:sz w:val="32"/>
      <w:szCs w:val="32"/>
    </w:rPr>
  </w:style>
  <w:style w:type="paragraph" w:customStyle="1" w:styleId="130">
    <w:name w:val="Char2"/>
    <w:basedOn w:val="1"/>
    <w:qFormat/>
    <w:uiPriority w:val="0"/>
    <w:rPr>
      <w:rFonts w:ascii="仿宋_GB2312" w:hAnsi="宋体" w:eastAsia="仿宋_GB2312" w:cs="宋体"/>
      <w:bCs/>
      <w:color w:val="000000"/>
      <w:kern w:val="0"/>
      <w:sz w:val="32"/>
      <w:szCs w:val="32"/>
    </w:rPr>
  </w:style>
  <w:style w:type="paragraph" w:customStyle="1" w:styleId="131">
    <w:name w:val="默认段落字体 Para Char Char Char Char"/>
    <w:basedOn w:val="1"/>
    <w:qFormat/>
    <w:uiPriority w:val="0"/>
  </w:style>
  <w:style w:type="paragraph" w:customStyle="1" w:styleId="132">
    <w:name w:val="样式1"/>
    <w:basedOn w:val="4"/>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33">
    <w:name w:val="pa-2"/>
    <w:basedOn w:val="1"/>
    <w:qFormat/>
    <w:uiPriority w:val="0"/>
    <w:pPr>
      <w:widowControl/>
      <w:spacing w:line="240" w:lineRule="atLeast"/>
      <w:ind w:firstLine="440"/>
    </w:pPr>
    <w:rPr>
      <w:rFonts w:ascii="宋体" w:hAnsi="宋体" w:cs="宋体"/>
      <w:kern w:val="0"/>
      <w:sz w:val="24"/>
    </w:rPr>
  </w:style>
  <w:style w:type="paragraph" w:customStyle="1" w:styleId="13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Char Char Char"/>
    <w:basedOn w:val="1"/>
    <w:qFormat/>
    <w:uiPriority w:val="0"/>
    <w:rPr>
      <w:rFonts w:ascii="仿宋_GB2312" w:eastAsia="仿宋_GB2312"/>
      <w:b/>
      <w:sz w:val="32"/>
      <w:szCs w:val="32"/>
    </w:rPr>
  </w:style>
  <w:style w:type="paragraph" w:customStyle="1" w:styleId="136">
    <w:name w:val="Body Text(ch)"/>
    <w:basedOn w:val="1"/>
    <w:next w:val="17"/>
    <w:qFormat/>
    <w:uiPriority w:val="0"/>
    <w:pPr>
      <w:spacing w:line="500" w:lineRule="exact"/>
      <w:jc w:val="center"/>
    </w:pPr>
  </w:style>
  <w:style w:type="paragraph" w:customStyle="1" w:styleId="13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8">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9">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40">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41">
    <w:name w:val="Char Char Char"/>
    <w:basedOn w:val="1"/>
    <w:qFormat/>
    <w:uiPriority w:val="0"/>
    <w:rPr>
      <w:rFonts w:ascii="Tahoma" w:hAnsi="Tahoma"/>
      <w:sz w:val="24"/>
      <w:szCs w:val="20"/>
    </w:rPr>
  </w:style>
  <w:style w:type="paragraph" w:customStyle="1" w:styleId="142">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43">
    <w:name w:val="默认段落字体 Para Char Char Char Char Char Char Char Char Char1 Char Char Char Char Char Char Char"/>
    <w:basedOn w:val="14"/>
    <w:qFormat/>
    <w:uiPriority w:val="0"/>
    <w:rPr>
      <w:rFonts w:ascii="Tahoma" w:hAnsi="Tahoma"/>
      <w:sz w:val="24"/>
    </w:rPr>
  </w:style>
  <w:style w:type="paragraph" w:customStyle="1" w:styleId="144">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5">
    <w:name w:val="Numbered list 2.3"/>
    <w:basedOn w:val="5"/>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6">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7">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3"/>
    <w:basedOn w:val="1"/>
    <w:qFormat/>
    <w:uiPriority w:val="0"/>
    <w:rPr>
      <w:szCs w:val="20"/>
    </w:rPr>
  </w:style>
  <w:style w:type="paragraph" w:customStyle="1" w:styleId="15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53">
    <w:name w:val="正文－恩普"/>
    <w:basedOn w:val="2"/>
    <w:qFormat/>
    <w:uiPriority w:val="0"/>
    <w:pPr>
      <w:widowControl/>
      <w:spacing w:before="100" w:beforeAutospacing="1" w:afterLines="50" w:afterAutospacing="1" w:line="360" w:lineRule="auto"/>
      <w:ind w:firstLine="480"/>
      <w:jc w:val="left"/>
    </w:pPr>
    <w:rPr>
      <w:sz w:val="24"/>
      <w:szCs w:val="20"/>
    </w:rPr>
  </w:style>
  <w:style w:type="paragraph" w:customStyle="1" w:styleId="154">
    <w:name w:val="Char1 Char Char Char Char Char"/>
    <w:basedOn w:val="1"/>
    <w:qFormat/>
    <w:uiPriority w:val="0"/>
  </w:style>
  <w:style w:type="paragraph" w:customStyle="1" w:styleId="155">
    <w:name w:val="Char Char Char1"/>
    <w:basedOn w:val="14"/>
    <w:qFormat/>
    <w:uiPriority w:val="0"/>
    <w:rPr>
      <w:rFonts w:ascii="Tahoma" w:hAnsi="Tahoma"/>
      <w:sz w:val="24"/>
    </w:rPr>
  </w:style>
  <w:style w:type="paragraph" w:customStyle="1" w:styleId="156">
    <w:name w:val="Char1 Char Char Char Char Char Char"/>
    <w:basedOn w:val="1"/>
    <w:qFormat/>
    <w:uiPriority w:val="0"/>
    <w:rPr>
      <w:rFonts w:ascii="Tahoma" w:hAnsi="Tahoma"/>
      <w:sz w:val="24"/>
      <w:szCs w:val="20"/>
    </w:rPr>
  </w:style>
  <w:style w:type="paragraph" w:customStyle="1" w:styleId="157">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58">
    <w:name w:val="表内文字"/>
    <w:basedOn w:val="1"/>
    <w:qFormat/>
    <w:uiPriority w:val="0"/>
    <w:pPr>
      <w:spacing w:line="500" w:lineRule="atLeast"/>
      <w:jc w:val="center"/>
    </w:pPr>
    <w:rPr>
      <w:rFonts w:ascii="Arial" w:hAnsi="Arial" w:eastAsia="楷体_GB2312" w:cs="Arial"/>
      <w:sz w:val="28"/>
    </w:rPr>
  </w:style>
  <w:style w:type="character" w:customStyle="1" w:styleId="159">
    <w:name w:val="标题 4 Char1"/>
    <w:qFormat/>
    <w:uiPriority w:val="0"/>
    <w:rPr>
      <w:rFonts w:ascii="Arial" w:hAnsi="Arial" w:eastAsia="黑体"/>
      <w:b/>
      <w:bCs/>
      <w:kern w:val="2"/>
      <w:sz w:val="28"/>
      <w:szCs w:val="28"/>
      <w:lang w:val="en-US" w:eastAsia="zh-CN" w:bidi="ar-SA"/>
    </w:rPr>
  </w:style>
  <w:style w:type="paragraph" w:customStyle="1" w:styleId="160">
    <w:name w:val="正文缩进1"/>
    <w:basedOn w:val="1"/>
    <w:qFormat/>
    <w:uiPriority w:val="0"/>
    <w:pPr>
      <w:spacing w:line="360" w:lineRule="auto"/>
      <w:ind w:firstLine="454"/>
      <w:jc w:val="left"/>
    </w:pPr>
    <w:rPr>
      <w:sz w:val="24"/>
    </w:rPr>
  </w:style>
  <w:style w:type="paragraph" w:customStyle="1" w:styleId="161">
    <w:name w:val="列出段落1"/>
    <w:basedOn w:val="1"/>
    <w:qFormat/>
    <w:uiPriority w:val="0"/>
    <w:pPr>
      <w:ind w:firstLine="420" w:firstLineChars="200"/>
    </w:pPr>
    <w:rPr>
      <w:sz w:val="36"/>
      <w:szCs w:val="20"/>
    </w:rPr>
  </w:style>
  <w:style w:type="character" w:customStyle="1" w:styleId="162">
    <w:name w:val="无"/>
    <w:qFormat/>
    <w:uiPriority w:val="0"/>
  </w:style>
  <w:style w:type="paragraph" w:customStyle="1" w:styleId="163">
    <w:name w:val="Other|1"/>
    <w:basedOn w:val="1"/>
    <w:qFormat/>
    <w:uiPriority w:val="0"/>
    <w:pPr>
      <w:spacing w:line="311" w:lineRule="exact"/>
    </w:pPr>
    <w:rPr>
      <w:rFonts w:ascii="宋体" w:hAnsi="宋体" w:cs="宋体"/>
      <w:sz w:val="20"/>
      <w:szCs w:val="20"/>
      <w:lang w:val="zh-TW" w:eastAsia="zh-TW" w:bidi="zh-TW"/>
    </w:rPr>
  </w:style>
  <w:style w:type="character" w:customStyle="1" w:styleId="164">
    <w:name w:val="font21"/>
    <w:basedOn w:val="45"/>
    <w:qFormat/>
    <w:uiPriority w:val="0"/>
    <w:rPr>
      <w:rFonts w:hint="eastAsia" w:ascii="宋体" w:hAnsi="宋体" w:eastAsia="宋体"/>
      <w:color w:val="000000"/>
      <w:sz w:val="21"/>
      <w:szCs w:val="21"/>
      <w:u w:val="none"/>
    </w:rPr>
  </w:style>
  <w:style w:type="paragraph" w:customStyle="1" w:styleId="165">
    <w:name w:val="章正文"/>
    <w:basedOn w:val="1"/>
    <w:qFormat/>
    <w:uiPriority w:val="99"/>
    <w:pPr>
      <w:spacing w:beforeLines="50" w:after="120" w:line="300" w:lineRule="auto"/>
      <w:ind w:firstLine="480"/>
    </w:pPr>
    <w:rPr>
      <w:rFonts w:ascii="Helvetica" w:hAnsi="Helvetica"/>
      <w:kern w:val="0"/>
      <w:sz w:val="24"/>
    </w:rPr>
  </w:style>
  <w:style w:type="paragraph" w:customStyle="1" w:styleId="166">
    <w:name w:val="表格文字"/>
    <w:basedOn w:val="1"/>
    <w:next w:val="17"/>
    <w:qFormat/>
    <w:uiPriority w:val="0"/>
    <w:pPr>
      <w:widowControl/>
      <w:adjustRightInd w:val="0"/>
      <w:spacing w:line="420" w:lineRule="atLeast"/>
      <w:jc w:val="left"/>
      <w:textAlignment w:val="baseline"/>
    </w:pPr>
  </w:style>
  <w:style w:type="paragraph" w:customStyle="1" w:styleId="167">
    <w:name w:val="引用1"/>
    <w:basedOn w:val="1"/>
    <w:next w:val="1"/>
    <w:qFormat/>
    <w:uiPriority w:val="29"/>
    <w:rPr>
      <w:i/>
      <w:iCs/>
      <w:color w:val="000000"/>
    </w:rPr>
  </w:style>
  <w:style w:type="paragraph" w:customStyle="1" w:styleId="168">
    <w:name w:val="正文首行缩进2字符"/>
    <w:basedOn w:val="1"/>
    <w:qFormat/>
    <w:uiPriority w:val="0"/>
    <w:pPr>
      <w:widowControl/>
    </w:p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_Style 167"/>
    <w:basedOn w:val="17"/>
    <w:next w:val="34"/>
    <w:qFormat/>
    <w:uiPriority w:val="0"/>
    <w:pPr>
      <w:adjustRightInd w:val="0"/>
      <w:snapToGrid w:val="0"/>
      <w:spacing w:after="120" w:line="288" w:lineRule="auto"/>
      <w:ind w:firstLine="420" w:firstLineChars="100"/>
    </w:pPr>
    <w:rPr>
      <w:rFonts w:hAnsi="Calibri"/>
      <w:szCs w:val="20"/>
    </w:rPr>
  </w:style>
  <w:style w:type="paragraph" w:customStyle="1" w:styleId="17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标题 Char2"/>
    <w:qFormat/>
    <w:uiPriority w:val="0"/>
    <w:rPr>
      <w:rFonts w:ascii="Arial" w:hAnsi="Arial" w:cs="Arial"/>
      <w:b/>
      <w:bCs/>
      <w:color w:val="000000"/>
      <w:sz w:val="32"/>
      <w:szCs w:val="32"/>
    </w:rPr>
  </w:style>
  <w:style w:type="character" w:customStyle="1" w:styleId="175">
    <w:name w:val="纯文本 Char3"/>
    <w:qFormat/>
    <w:uiPriority w:val="0"/>
    <w:rPr>
      <w:rFonts w:ascii="宋体" w:hAnsi="Courier New" w:eastAsia="仿宋_GB2312" w:cs="宋体"/>
      <w:b/>
      <w:bCs/>
      <w:color w:val="000000"/>
      <w:sz w:val="21"/>
      <w:lang w:val="en-US" w:eastAsia="zh-CN" w:bidi="ar-SA"/>
    </w:rPr>
  </w:style>
  <w:style w:type="character" w:customStyle="1" w:styleId="176">
    <w:name w:val="正文文本 3 字符"/>
    <w:basedOn w:val="45"/>
    <w:link w:val="16"/>
    <w:qFormat/>
    <w:uiPriority w:val="0"/>
    <w:rPr>
      <w:kern w:val="2"/>
      <w:sz w:val="16"/>
      <w:szCs w:val="16"/>
    </w:rPr>
  </w:style>
  <w:style w:type="character" w:customStyle="1" w:styleId="177">
    <w:name w:val="font51"/>
    <w:basedOn w:val="45"/>
    <w:qFormat/>
    <w:uiPriority w:val="0"/>
    <w:rPr>
      <w:rFonts w:hint="eastAsia" w:ascii="仿宋_GB2312" w:eastAsia="仿宋_GB2312" w:cs="仿宋_GB2312"/>
      <w:b/>
      <w:bCs/>
      <w:color w:val="000000"/>
      <w:sz w:val="24"/>
      <w:szCs w:val="24"/>
      <w:u w:val="none"/>
    </w:rPr>
  </w:style>
  <w:style w:type="character" w:customStyle="1" w:styleId="178">
    <w:name w:val="font31"/>
    <w:basedOn w:val="4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tuxin</Company>
  <Pages>53</Pages>
  <Words>27254</Words>
  <Characters>28657</Characters>
  <Lines>269</Lines>
  <Paragraphs>75</Paragraphs>
  <TotalTime>259</TotalTime>
  <ScaleCrop>false</ScaleCrop>
  <LinksUpToDate>false</LinksUpToDate>
  <CharactersWithSpaces>29920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2024-11-22T03:17:00Z</dcterms:created>
  <dc:creator>雨林木风</dc:creator>
  <cp:lastModifiedBy>可可</cp:lastModifiedBy>
  <cp:lastPrinted>2024-06-28T06:50:00Z</cp:lastPrinted>
  <dcterms:modified xsi:type="dcterms:W3CDTF">2024-12-26T06:16:43Z</dcterms:modified>
  <dc:title>投标须知前附表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7C1044A2D981455095F69A15E37F2890_13</vt:lpwstr>
  </property>
</Properties>
</file>