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3"/>
        <w:tblW w:w="90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42D2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016" w:type="dxa"/>
          </w:tcPr>
          <w:p w14:paraId="2044B29C">
            <w:pPr>
              <w:autoSpaceDE w:val="0"/>
              <w:autoSpaceDN w:val="0"/>
              <w:adjustRightInd w:val="0"/>
              <w:snapToGrid w:val="0"/>
              <w:spacing w:line="500" w:lineRule="atLeast"/>
              <w:ind w:left="956"/>
              <w:rPr>
                <w:rFonts w:ascii="宋体" w:eastAsia="宋体"/>
                <w:b w:val="0"/>
                <w:bCs w:val="0"/>
                <w:color w:val="auto"/>
                <w:sz w:val="32"/>
                <w:szCs w:val="32"/>
                <w:lang w:val="zh-CN"/>
              </w:rPr>
            </w:pPr>
          </w:p>
          <w:p w14:paraId="4FA2EDD2">
            <w:pPr>
              <w:autoSpaceDE w:val="0"/>
              <w:autoSpaceDN w:val="0"/>
              <w:adjustRightInd w:val="0"/>
              <w:snapToGrid w:val="0"/>
              <w:spacing w:line="500" w:lineRule="atLeast"/>
              <w:jc w:val="center"/>
              <w:rPr>
                <w:rFonts w:ascii="宋体" w:eastAsia="宋体"/>
                <w:color w:val="auto"/>
                <w:sz w:val="32"/>
                <w:szCs w:val="32"/>
                <w:lang w:val="zh-CN"/>
              </w:rPr>
            </w:pPr>
          </w:p>
          <w:p w14:paraId="7F8AD4A2">
            <w:pPr>
              <w:jc w:val="center"/>
              <w:rPr>
                <w:rFonts w:ascii="宋体" w:eastAsia="宋体"/>
                <w:color w:val="auto"/>
                <w:sz w:val="72"/>
                <w:szCs w:val="72"/>
              </w:rPr>
            </w:pPr>
            <w:r>
              <w:rPr>
                <w:rFonts w:hint="eastAsia" w:ascii="宋体" w:eastAsia="宋体"/>
                <w:color w:val="auto"/>
                <w:sz w:val="72"/>
                <w:szCs w:val="72"/>
              </w:rPr>
              <w:t>永嘉县政府采购</w:t>
            </w:r>
          </w:p>
          <w:p w14:paraId="18380188">
            <w:pPr>
              <w:jc w:val="center"/>
              <w:rPr>
                <w:rFonts w:ascii="宋体" w:eastAsia="宋体"/>
                <w:color w:val="auto"/>
                <w:sz w:val="72"/>
                <w:szCs w:val="72"/>
              </w:rPr>
            </w:pPr>
            <w:r>
              <w:rPr>
                <w:rFonts w:hint="eastAsia" w:ascii="宋体" w:eastAsia="宋体"/>
                <w:color w:val="auto"/>
                <w:sz w:val="72"/>
                <w:szCs w:val="72"/>
              </w:rPr>
              <w:t>竞争性磋商文件</w:t>
            </w:r>
          </w:p>
          <w:p w14:paraId="61D8105B">
            <w:pPr>
              <w:jc w:val="center"/>
              <w:rPr>
                <w:rFonts w:ascii="宋体" w:eastAsia="宋体"/>
                <w:color w:val="auto"/>
                <w:sz w:val="72"/>
                <w:szCs w:val="72"/>
              </w:rPr>
            </w:pPr>
            <w:r>
              <w:rPr>
                <w:rFonts w:hint="eastAsia" w:ascii="宋体" w:eastAsia="宋体"/>
                <w:color w:val="auto"/>
                <w:sz w:val="72"/>
                <w:szCs w:val="72"/>
              </w:rPr>
              <w:t>（分散委托）</w:t>
            </w:r>
          </w:p>
          <w:p w14:paraId="6B8302D0">
            <w:pPr>
              <w:spacing w:line="440" w:lineRule="exact"/>
              <w:ind w:left="1260" w:leftChars="600" w:firstLine="2160" w:firstLineChars="300"/>
              <w:rPr>
                <w:rFonts w:ascii="宋体" w:eastAsia="宋体"/>
                <w:color w:val="auto"/>
                <w:sz w:val="72"/>
              </w:rPr>
            </w:pPr>
          </w:p>
          <w:p w14:paraId="4DA82831">
            <w:pPr>
              <w:snapToGrid w:val="0"/>
              <w:spacing w:line="480" w:lineRule="auto"/>
              <w:ind w:left="2682" w:leftChars="569" w:hanging="1488" w:hangingChars="496"/>
              <w:rPr>
                <w:rFonts w:ascii="宋体" w:eastAsia="宋体"/>
                <w:color w:val="auto"/>
                <w:sz w:val="30"/>
                <w:szCs w:val="30"/>
              </w:rPr>
            </w:pPr>
          </w:p>
          <w:p w14:paraId="6FE02E9A">
            <w:pPr>
              <w:snapToGrid w:val="0"/>
              <w:spacing w:line="480" w:lineRule="auto"/>
              <w:ind w:left="2572" w:leftChars="572" w:right="1841" w:rightChars="877" w:hanging="1371" w:hangingChars="457"/>
              <w:rPr>
                <w:rFonts w:ascii="宋体" w:eastAsia="宋体"/>
                <w:color w:val="auto"/>
                <w:sz w:val="30"/>
                <w:szCs w:val="30"/>
              </w:rPr>
            </w:pPr>
            <w:r>
              <w:rPr>
                <w:rFonts w:hint="eastAsia" w:ascii="宋体" w:eastAsia="宋体"/>
                <w:color w:val="auto"/>
                <w:sz w:val="30"/>
                <w:szCs w:val="30"/>
              </w:rPr>
              <w:t>项目名称：永嘉县文保单位安全隐患巡查</w:t>
            </w:r>
          </w:p>
          <w:p w14:paraId="514B8B99">
            <w:pPr>
              <w:snapToGrid w:val="0"/>
              <w:spacing w:line="480" w:lineRule="auto"/>
              <w:ind w:firstLine="1200" w:firstLineChars="400"/>
              <w:rPr>
                <w:rFonts w:hint="eastAsia" w:ascii="宋体" w:eastAsia="宋体"/>
                <w:color w:val="auto"/>
                <w:sz w:val="30"/>
                <w:szCs w:val="30"/>
                <w:lang w:eastAsia="zh-CN"/>
              </w:rPr>
            </w:pPr>
            <w:r>
              <w:rPr>
                <w:rFonts w:hint="eastAsia" w:ascii="宋体" w:eastAsia="宋体"/>
                <w:color w:val="auto"/>
                <w:sz w:val="30"/>
                <w:szCs w:val="30"/>
              </w:rPr>
              <w:t>采购编号：</w:t>
            </w:r>
            <w:r>
              <w:rPr>
                <w:rFonts w:hint="eastAsia" w:ascii="宋体" w:eastAsia="宋体"/>
                <w:color w:val="auto"/>
                <w:sz w:val="30"/>
                <w:szCs w:val="30"/>
                <w:lang w:eastAsia="zh-CN"/>
              </w:rPr>
              <w:t>ZGCG-20241026</w:t>
            </w:r>
          </w:p>
          <w:p w14:paraId="162BAF43">
            <w:pPr>
              <w:spacing w:line="480" w:lineRule="auto"/>
              <w:ind w:left="1260" w:leftChars="600" w:firstLine="900" w:firstLineChars="300"/>
              <w:rPr>
                <w:rFonts w:ascii="宋体" w:eastAsia="宋体"/>
                <w:color w:val="auto"/>
                <w:sz w:val="30"/>
                <w:szCs w:val="30"/>
              </w:rPr>
            </w:pPr>
          </w:p>
          <w:p w14:paraId="12C1C377">
            <w:pPr>
              <w:spacing w:line="480" w:lineRule="auto"/>
              <w:ind w:left="1260" w:leftChars="600" w:firstLine="900" w:firstLineChars="300"/>
              <w:rPr>
                <w:rFonts w:ascii="宋体" w:eastAsia="宋体"/>
                <w:color w:val="auto"/>
                <w:sz w:val="30"/>
                <w:szCs w:val="30"/>
              </w:rPr>
            </w:pPr>
          </w:p>
          <w:p w14:paraId="22C21971">
            <w:pPr>
              <w:pStyle w:val="19"/>
              <w:rPr>
                <w:rFonts w:ascii="宋体" w:hAnsi="宋体" w:eastAsia="宋体" w:cs="宋体"/>
              </w:rPr>
            </w:pPr>
          </w:p>
          <w:p w14:paraId="0C7AD791">
            <w:pPr>
              <w:snapToGrid w:val="0"/>
              <w:spacing w:line="480" w:lineRule="auto"/>
              <w:ind w:firstLine="1200" w:firstLineChars="400"/>
              <w:rPr>
                <w:rFonts w:ascii="宋体" w:eastAsia="宋体"/>
                <w:color w:val="auto"/>
                <w:sz w:val="30"/>
                <w:szCs w:val="30"/>
              </w:rPr>
            </w:pPr>
            <w:r>
              <w:rPr>
                <w:rFonts w:hint="eastAsia" w:ascii="宋体" w:eastAsia="宋体"/>
                <w:color w:val="auto"/>
                <w:sz w:val="30"/>
                <w:szCs w:val="30"/>
              </w:rPr>
              <w:t>采 购 人：永嘉县文化和广电旅游体育局</w:t>
            </w:r>
          </w:p>
          <w:p w14:paraId="4570B173">
            <w:pPr>
              <w:snapToGrid w:val="0"/>
              <w:spacing w:line="480" w:lineRule="auto"/>
              <w:ind w:firstLine="1200" w:firstLineChars="400"/>
              <w:rPr>
                <w:rFonts w:ascii="宋体" w:eastAsia="宋体"/>
                <w:color w:val="auto"/>
                <w:sz w:val="30"/>
                <w:szCs w:val="30"/>
              </w:rPr>
            </w:pPr>
            <w:r>
              <w:rPr>
                <w:rFonts w:hint="eastAsia" w:ascii="宋体" w:eastAsia="宋体"/>
                <w:color w:val="auto"/>
                <w:sz w:val="30"/>
                <w:szCs w:val="30"/>
              </w:rPr>
              <w:t>代理机构：温州市中概工程管理咨询有限公司</w:t>
            </w:r>
          </w:p>
          <w:p w14:paraId="09009FA1">
            <w:pPr>
              <w:autoSpaceDE w:val="0"/>
              <w:autoSpaceDN w:val="0"/>
              <w:adjustRightInd w:val="0"/>
              <w:snapToGrid w:val="0"/>
              <w:spacing w:line="480" w:lineRule="auto"/>
              <w:jc w:val="center"/>
              <w:rPr>
                <w:rFonts w:ascii="宋体" w:eastAsia="宋体"/>
                <w:color w:val="auto"/>
                <w:sz w:val="32"/>
                <w:szCs w:val="32"/>
              </w:rPr>
            </w:pPr>
            <w:r>
              <w:rPr>
                <w:rFonts w:hint="eastAsia" w:ascii="宋体" w:eastAsia="宋体"/>
                <w:color w:val="auto"/>
                <w:sz w:val="30"/>
                <w:szCs w:val="30"/>
              </w:rPr>
              <w:t>二○二</w:t>
            </w:r>
            <w:r>
              <w:rPr>
                <w:rFonts w:hint="eastAsia" w:ascii="宋体" w:eastAsia="宋体"/>
                <w:color w:val="auto"/>
                <w:sz w:val="30"/>
                <w:szCs w:val="30"/>
                <w:lang w:val="en-US" w:eastAsia="zh-CN"/>
              </w:rPr>
              <w:t>四</w:t>
            </w:r>
            <w:r>
              <w:rPr>
                <w:rFonts w:hint="eastAsia" w:ascii="宋体" w:eastAsia="宋体"/>
                <w:color w:val="auto"/>
                <w:sz w:val="30"/>
                <w:szCs w:val="30"/>
              </w:rPr>
              <w:t>年</w:t>
            </w:r>
            <w:r>
              <w:rPr>
                <w:rFonts w:hint="eastAsia" w:ascii="宋体" w:eastAsia="宋体"/>
                <w:color w:val="auto"/>
                <w:sz w:val="30"/>
                <w:szCs w:val="30"/>
                <w:lang w:val="en-US" w:eastAsia="zh-CN"/>
              </w:rPr>
              <w:t>十一</w:t>
            </w:r>
            <w:r>
              <w:rPr>
                <w:rFonts w:hint="eastAsia" w:ascii="宋体" w:eastAsia="宋体"/>
                <w:color w:val="auto"/>
                <w:sz w:val="30"/>
                <w:szCs w:val="30"/>
              </w:rPr>
              <w:t>月</w:t>
            </w:r>
          </w:p>
        </w:tc>
      </w:tr>
    </w:tbl>
    <w:p w14:paraId="659937EA">
      <w:pPr>
        <w:spacing w:before="312" w:beforeLines="100" w:after="156" w:afterLines="50" w:line="340" w:lineRule="exact"/>
        <w:jc w:val="center"/>
        <w:rPr>
          <w:rFonts w:ascii="宋体" w:eastAsia="宋体"/>
          <w:b w:val="0"/>
          <w:bCs w:val="0"/>
          <w:color w:val="auto"/>
          <w:sz w:val="36"/>
          <w:szCs w:val="36"/>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14:paraId="098B9294">
      <w:pPr>
        <w:autoSpaceDE w:val="0"/>
        <w:autoSpaceDN w:val="0"/>
        <w:adjustRightInd w:val="0"/>
        <w:spacing w:line="460" w:lineRule="atLeast"/>
        <w:jc w:val="center"/>
        <w:rPr>
          <w:rFonts w:ascii="宋体" w:eastAsia="宋体"/>
          <w:color w:val="auto"/>
          <w:sz w:val="36"/>
          <w:szCs w:val="36"/>
          <w:lang w:val="zh-CN"/>
        </w:rPr>
      </w:pPr>
      <w:r>
        <w:rPr>
          <w:rFonts w:hint="eastAsia" w:ascii="宋体" w:eastAsia="宋体"/>
          <w:color w:val="auto"/>
          <w:sz w:val="36"/>
          <w:szCs w:val="36"/>
          <w:lang w:val="zh-CN"/>
        </w:rPr>
        <w:t>磋商文件目录</w:t>
      </w:r>
    </w:p>
    <w:p w14:paraId="5072238B">
      <w:pPr>
        <w:pStyle w:val="34"/>
        <w:rPr>
          <w:rFonts w:cs="宋体"/>
          <w:lang w:val="zh-CN"/>
        </w:rPr>
      </w:pPr>
    </w:p>
    <w:p w14:paraId="763E5F40">
      <w:pPr>
        <w:rPr>
          <w:rFonts w:ascii="宋体" w:eastAsia="宋体"/>
          <w:color w:val="auto"/>
          <w:lang w:val="zh-CN"/>
        </w:rPr>
      </w:pPr>
    </w:p>
    <w:p w14:paraId="65BF0FDE">
      <w:pPr>
        <w:pStyle w:val="34"/>
        <w:tabs>
          <w:tab w:val="right" w:leader="dot" w:pos="8997"/>
          <w:tab w:val="clear" w:pos="8987"/>
        </w:tabs>
        <w:spacing w:line="720" w:lineRule="auto"/>
        <w:rPr>
          <w:rFonts w:cs="宋体"/>
          <w:sz w:val="24"/>
          <w:szCs w:val="24"/>
        </w:rPr>
      </w:pPr>
      <w:r>
        <w:rPr>
          <w:rFonts w:hint="eastAsia" w:cs="宋体"/>
          <w:sz w:val="24"/>
          <w:szCs w:val="24"/>
          <w:lang w:val="zh-CN"/>
        </w:rPr>
        <w:fldChar w:fldCharType="begin"/>
      </w:r>
      <w:r>
        <w:rPr>
          <w:rFonts w:hint="eastAsia" w:cs="宋体"/>
          <w:sz w:val="24"/>
          <w:szCs w:val="24"/>
          <w:lang w:val="zh-CN"/>
        </w:rPr>
        <w:instrText xml:space="preserve"> TOC \o "1-1" \h \z \u </w:instrText>
      </w:r>
      <w:r>
        <w:rPr>
          <w:rFonts w:hint="eastAsia" w:cs="宋体"/>
          <w:sz w:val="24"/>
          <w:szCs w:val="24"/>
          <w:lang w:val="zh-CN"/>
        </w:rPr>
        <w:fldChar w:fldCharType="separate"/>
      </w:r>
      <w:r>
        <w:fldChar w:fldCharType="begin"/>
      </w:r>
      <w:r>
        <w:instrText xml:space="preserve"> HYPERLINK \l "_Toc24144" </w:instrText>
      </w:r>
      <w:r>
        <w:fldChar w:fldCharType="separate"/>
      </w:r>
      <w:r>
        <w:rPr>
          <w:rFonts w:hint="eastAsia" w:cs="宋体"/>
          <w:sz w:val="24"/>
          <w:szCs w:val="24"/>
        </w:rPr>
        <w:t>第一部分 磋商通知(邀请)书</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_Toc24144 \h </w:instrText>
      </w:r>
      <w:r>
        <w:rPr>
          <w:rFonts w:hint="eastAsia" w:cs="宋体"/>
          <w:sz w:val="24"/>
          <w:szCs w:val="24"/>
        </w:rPr>
        <w:fldChar w:fldCharType="separate"/>
      </w:r>
      <w:r>
        <w:rPr>
          <w:rFonts w:hint="eastAsia" w:cs="宋体"/>
          <w:sz w:val="24"/>
          <w:szCs w:val="24"/>
        </w:rPr>
        <w:t>2</w:t>
      </w:r>
      <w:r>
        <w:rPr>
          <w:rFonts w:hint="eastAsia" w:cs="宋体"/>
          <w:sz w:val="24"/>
          <w:szCs w:val="24"/>
        </w:rPr>
        <w:fldChar w:fldCharType="end"/>
      </w:r>
      <w:r>
        <w:rPr>
          <w:rFonts w:hint="eastAsia" w:cs="宋体"/>
          <w:sz w:val="24"/>
          <w:szCs w:val="24"/>
        </w:rPr>
        <w:fldChar w:fldCharType="end"/>
      </w:r>
    </w:p>
    <w:p w14:paraId="5F89FC00">
      <w:pPr>
        <w:pStyle w:val="34"/>
        <w:tabs>
          <w:tab w:val="right" w:leader="dot" w:pos="8997"/>
          <w:tab w:val="clear" w:pos="8987"/>
        </w:tabs>
        <w:spacing w:line="720" w:lineRule="auto"/>
        <w:rPr>
          <w:rFonts w:cs="宋体"/>
          <w:sz w:val="24"/>
          <w:szCs w:val="24"/>
        </w:rPr>
      </w:pPr>
      <w:r>
        <w:fldChar w:fldCharType="begin"/>
      </w:r>
      <w:r>
        <w:instrText xml:space="preserve"> HYPERLINK \l "_Toc23044" </w:instrText>
      </w:r>
      <w:r>
        <w:fldChar w:fldCharType="separate"/>
      </w:r>
      <w:r>
        <w:rPr>
          <w:rFonts w:hint="eastAsia" w:cs="宋体"/>
          <w:sz w:val="24"/>
          <w:szCs w:val="24"/>
        </w:rPr>
        <w:t>第二部分 采购内容及要求</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_Toc23044 \h </w:instrText>
      </w:r>
      <w:r>
        <w:rPr>
          <w:rFonts w:hint="eastAsia" w:cs="宋体"/>
          <w:sz w:val="24"/>
          <w:szCs w:val="24"/>
        </w:rPr>
        <w:fldChar w:fldCharType="separate"/>
      </w:r>
      <w:r>
        <w:rPr>
          <w:rFonts w:hint="eastAsia" w:cs="宋体"/>
          <w:sz w:val="24"/>
          <w:szCs w:val="24"/>
        </w:rPr>
        <w:t>6</w:t>
      </w:r>
      <w:r>
        <w:rPr>
          <w:rFonts w:hint="eastAsia" w:cs="宋体"/>
          <w:sz w:val="24"/>
          <w:szCs w:val="24"/>
        </w:rPr>
        <w:fldChar w:fldCharType="end"/>
      </w:r>
      <w:r>
        <w:rPr>
          <w:rFonts w:hint="eastAsia" w:cs="宋体"/>
          <w:sz w:val="24"/>
          <w:szCs w:val="24"/>
        </w:rPr>
        <w:fldChar w:fldCharType="end"/>
      </w:r>
    </w:p>
    <w:p w14:paraId="23FEA422">
      <w:pPr>
        <w:pStyle w:val="34"/>
        <w:tabs>
          <w:tab w:val="right" w:leader="dot" w:pos="8997"/>
          <w:tab w:val="clear" w:pos="8987"/>
        </w:tabs>
        <w:spacing w:line="720" w:lineRule="auto"/>
        <w:rPr>
          <w:rFonts w:cs="宋体"/>
          <w:sz w:val="24"/>
          <w:szCs w:val="24"/>
        </w:rPr>
      </w:pPr>
      <w:r>
        <w:fldChar w:fldCharType="begin"/>
      </w:r>
      <w:r>
        <w:instrText xml:space="preserve"> HYPERLINK \l "_Toc24611" </w:instrText>
      </w:r>
      <w:r>
        <w:fldChar w:fldCharType="separate"/>
      </w:r>
      <w:r>
        <w:rPr>
          <w:rFonts w:hint="eastAsia" w:cs="宋体"/>
          <w:sz w:val="24"/>
          <w:szCs w:val="24"/>
        </w:rPr>
        <w:t>第三部分 投标供应商须知</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_Toc24611 \h </w:instrText>
      </w:r>
      <w:r>
        <w:rPr>
          <w:rFonts w:hint="eastAsia" w:cs="宋体"/>
          <w:sz w:val="24"/>
          <w:szCs w:val="24"/>
        </w:rPr>
        <w:fldChar w:fldCharType="separate"/>
      </w:r>
      <w:r>
        <w:rPr>
          <w:rFonts w:hint="eastAsia" w:cs="宋体"/>
          <w:sz w:val="24"/>
          <w:szCs w:val="24"/>
        </w:rPr>
        <w:t>8</w:t>
      </w:r>
      <w:r>
        <w:rPr>
          <w:rFonts w:hint="eastAsia" w:cs="宋体"/>
          <w:sz w:val="24"/>
          <w:szCs w:val="24"/>
        </w:rPr>
        <w:fldChar w:fldCharType="end"/>
      </w:r>
      <w:r>
        <w:rPr>
          <w:rFonts w:hint="eastAsia" w:cs="宋体"/>
          <w:sz w:val="24"/>
          <w:szCs w:val="24"/>
        </w:rPr>
        <w:fldChar w:fldCharType="end"/>
      </w:r>
    </w:p>
    <w:p w14:paraId="49883DD9">
      <w:pPr>
        <w:pStyle w:val="34"/>
        <w:tabs>
          <w:tab w:val="right" w:leader="dot" w:pos="8997"/>
          <w:tab w:val="clear" w:pos="8987"/>
        </w:tabs>
        <w:spacing w:line="720" w:lineRule="auto"/>
        <w:rPr>
          <w:rFonts w:cs="宋体"/>
          <w:sz w:val="24"/>
          <w:szCs w:val="24"/>
        </w:rPr>
      </w:pPr>
      <w:r>
        <w:fldChar w:fldCharType="begin"/>
      </w:r>
      <w:r>
        <w:instrText xml:space="preserve"> HYPERLINK \l "_Toc1746" </w:instrText>
      </w:r>
      <w:r>
        <w:fldChar w:fldCharType="separate"/>
      </w:r>
      <w:r>
        <w:rPr>
          <w:rFonts w:hint="eastAsia" w:cs="宋体"/>
          <w:sz w:val="24"/>
          <w:szCs w:val="24"/>
        </w:rPr>
        <w:t>第四部分 政府采购政策功能相关说明</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_Toc1746 \h </w:instrText>
      </w:r>
      <w:r>
        <w:rPr>
          <w:rFonts w:hint="eastAsia" w:cs="宋体"/>
          <w:sz w:val="24"/>
          <w:szCs w:val="24"/>
        </w:rPr>
        <w:fldChar w:fldCharType="separate"/>
      </w:r>
      <w:r>
        <w:rPr>
          <w:rFonts w:hint="eastAsia" w:cs="宋体"/>
          <w:sz w:val="24"/>
          <w:szCs w:val="24"/>
        </w:rPr>
        <w:t>19</w:t>
      </w:r>
      <w:r>
        <w:rPr>
          <w:rFonts w:hint="eastAsia" w:cs="宋体"/>
          <w:sz w:val="24"/>
          <w:szCs w:val="24"/>
        </w:rPr>
        <w:fldChar w:fldCharType="end"/>
      </w:r>
      <w:r>
        <w:rPr>
          <w:rFonts w:hint="eastAsia" w:cs="宋体"/>
          <w:sz w:val="24"/>
          <w:szCs w:val="24"/>
        </w:rPr>
        <w:fldChar w:fldCharType="end"/>
      </w:r>
    </w:p>
    <w:p w14:paraId="369077C2">
      <w:pPr>
        <w:pStyle w:val="34"/>
        <w:tabs>
          <w:tab w:val="right" w:leader="dot" w:pos="8997"/>
          <w:tab w:val="clear" w:pos="8987"/>
        </w:tabs>
        <w:spacing w:line="720" w:lineRule="auto"/>
        <w:rPr>
          <w:rFonts w:cs="宋体"/>
          <w:sz w:val="24"/>
          <w:szCs w:val="24"/>
        </w:rPr>
      </w:pPr>
      <w:r>
        <w:fldChar w:fldCharType="begin"/>
      </w:r>
      <w:r>
        <w:instrText xml:space="preserve"> HYPERLINK \l "_Toc31621" </w:instrText>
      </w:r>
      <w:r>
        <w:fldChar w:fldCharType="separate"/>
      </w:r>
      <w:r>
        <w:rPr>
          <w:rFonts w:hint="eastAsia" w:cs="宋体"/>
          <w:sz w:val="24"/>
          <w:szCs w:val="24"/>
        </w:rPr>
        <w:t>第五部分 合同格式（仅供参考）</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_Toc31621 \h </w:instrText>
      </w:r>
      <w:r>
        <w:rPr>
          <w:rFonts w:hint="eastAsia" w:cs="宋体"/>
          <w:sz w:val="24"/>
          <w:szCs w:val="24"/>
        </w:rPr>
        <w:fldChar w:fldCharType="separate"/>
      </w:r>
      <w:r>
        <w:rPr>
          <w:rFonts w:hint="eastAsia" w:cs="宋体"/>
          <w:sz w:val="24"/>
          <w:szCs w:val="24"/>
        </w:rPr>
        <w:t>24</w:t>
      </w:r>
      <w:r>
        <w:rPr>
          <w:rFonts w:hint="eastAsia" w:cs="宋体"/>
          <w:sz w:val="24"/>
          <w:szCs w:val="24"/>
        </w:rPr>
        <w:fldChar w:fldCharType="end"/>
      </w:r>
      <w:r>
        <w:rPr>
          <w:rFonts w:hint="eastAsia" w:cs="宋体"/>
          <w:sz w:val="24"/>
          <w:szCs w:val="24"/>
        </w:rPr>
        <w:fldChar w:fldCharType="end"/>
      </w:r>
    </w:p>
    <w:p w14:paraId="53108577">
      <w:pPr>
        <w:pStyle w:val="34"/>
        <w:tabs>
          <w:tab w:val="right" w:leader="dot" w:pos="8997"/>
          <w:tab w:val="clear" w:pos="8987"/>
        </w:tabs>
        <w:spacing w:line="720" w:lineRule="auto"/>
        <w:rPr>
          <w:rFonts w:cs="宋体"/>
          <w:sz w:val="24"/>
          <w:szCs w:val="24"/>
        </w:rPr>
      </w:pPr>
      <w:r>
        <w:fldChar w:fldCharType="begin"/>
      </w:r>
      <w:r>
        <w:instrText xml:space="preserve"> HYPERLINK \l "_Toc25305" </w:instrText>
      </w:r>
      <w:r>
        <w:fldChar w:fldCharType="separate"/>
      </w:r>
      <w:r>
        <w:rPr>
          <w:rFonts w:hint="eastAsia" w:cs="宋体"/>
          <w:sz w:val="24"/>
          <w:szCs w:val="24"/>
        </w:rPr>
        <w:t>第六部分 磋商响应文件格式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_Toc25305 \h </w:instrText>
      </w:r>
      <w:r>
        <w:rPr>
          <w:rFonts w:hint="eastAsia" w:cs="宋体"/>
          <w:sz w:val="24"/>
          <w:szCs w:val="24"/>
        </w:rPr>
        <w:fldChar w:fldCharType="separate"/>
      </w:r>
      <w:r>
        <w:rPr>
          <w:rFonts w:hint="eastAsia" w:cs="宋体"/>
          <w:sz w:val="24"/>
          <w:szCs w:val="24"/>
        </w:rPr>
        <w:t>30</w:t>
      </w:r>
      <w:r>
        <w:rPr>
          <w:rFonts w:hint="eastAsia" w:cs="宋体"/>
          <w:sz w:val="24"/>
          <w:szCs w:val="24"/>
        </w:rPr>
        <w:fldChar w:fldCharType="end"/>
      </w:r>
      <w:r>
        <w:rPr>
          <w:rFonts w:hint="eastAsia" w:cs="宋体"/>
          <w:sz w:val="24"/>
          <w:szCs w:val="24"/>
        </w:rPr>
        <w:fldChar w:fldCharType="end"/>
      </w:r>
    </w:p>
    <w:p w14:paraId="36F61475">
      <w:pPr>
        <w:pStyle w:val="34"/>
        <w:tabs>
          <w:tab w:val="right" w:leader="dot" w:pos="8997"/>
          <w:tab w:val="clear" w:pos="8987"/>
        </w:tabs>
        <w:spacing w:line="720" w:lineRule="auto"/>
        <w:rPr>
          <w:rFonts w:cs="宋体"/>
          <w:sz w:val="24"/>
          <w:szCs w:val="24"/>
        </w:rPr>
      </w:pPr>
      <w:r>
        <w:fldChar w:fldCharType="begin"/>
      </w:r>
      <w:r>
        <w:instrText xml:space="preserve"> HYPERLINK \l "_Toc259" </w:instrText>
      </w:r>
      <w:r>
        <w:fldChar w:fldCharType="separate"/>
      </w:r>
      <w:r>
        <w:rPr>
          <w:rFonts w:hint="eastAsia" w:cs="宋体"/>
          <w:sz w:val="24"/>
          <w:szCs w:val="24"/>
        </w:rPr>
        <w:t>一、资格文件部分格式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_Toc259 \h </w:instrText>
      </w:r>
      <w:r>
        <w:rPr>
          <w:rFonts w:hint="eastAsia" w:cs="宋体"/>
          <w:sz w:val="24"/>
          <w:szCs w:val="24"/>
        </w:rPr>
        <w:fldChar w:fldCharType="separate"/>
      </w:r>
      <w:r>
        <w:rPr>
          <w:rFonts w:hint="eastAsia" w:cs="宋体"/>
          <w:sz w:val="24"/>
          <w:szCs w:val="24"/>
        </w:rPr>
        <w:t>30</w:t>
      </w:r>
      <w:r>
        <w:rPr>
          <w:rFonts w:hint="eastAsia" w:cs="宋体"/>
          <w:sz w:val="24"/>
          <w:szCs w:val="24"/>
        </w:rPr>
        <w:fldChar w:fldCharType="end"/>
      </w:r>
      <w:r>
        <w:rPr>
          <w:rFonts w:hint="eastAsia" w:cs="宋体"/>
          <w:sz w:val="24"/>
          <w:szCs w:val="24"/>
        </w:rPr>
        <w:fldChar w:fldCharType="end"/>
      </w:r>
    </w:p>
    <w:p w14:paraId="72F93B46">
      <w:pPr>
        <w:pStyle w:val="34"/>
        <w:tabs>
          <w:tab w:val="right" w:leader="dot" w:pos="8997"/>
          <w:tab w:val="clear" w:pos="8987"/>
        </w:tabs>
        <w:spacing w:line="720" w:lineRule="auto"/>
        <w:rPr>
          <w:rFonts w:cs="宋体"/>
          <w:sz w:val="24"/>
          <w:szCs w:val="24"/>
        </w:rPr>
      </w:pPr>
      <w:r>
        <w:fldChar w:fldCharType="begin"/>
      </w:r>
      <w:r>
        <w:instrText xml:space="preserve"> HYPERLINK \l "_Toc14649" </w:instrText>
      </w:r>
      <w:r>
        <w:fldChar w:fldCharType="separate"/>
      </w:r>
      <w:r>
        <w:rPr>
          <w:rFonts w:hint="eastAsia" w:cs="宋体"/>
          <w:sz w:val="24"/>
          <w:szCs w:val="24"/>
        </w:rPr>
        <w:t>二、报价文件部分格式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_Toc14649 \h </w:instrText>
      </w:r>
      <w:r>
        <w:rPr>
          <w:rFonts w:hint="eastAsia" w:cs="宋体"/>
          <w:sz w:val="24"/>
          <w:szCs w:val="24"/>
        </w:rPr>
        <w:fldChar w:fldCharType="separate"/>
      </w:r>
      <w:r>
        <w:rPr>
          <w:rFonts w:hint="eastAsia" w:cs="宋体"/>
          <w:sz w:val="24"/>
          <w:szCs w:val="24"/>
        </w:rPr>
        <w:t>32</w:t>
      </w:r>
      <w:r>
        <w:rPr>
          <w:rFonts w:hint="eastAsia" w:cs="宋体"/>
          <w:sz w:val="24"/>
          <w:szCs w:val="24"/>
        </w:rPr>
        <w:fldChar w:fldCharType="end"/>
      </w:r>
      <w:r>
        <w:rPr>
          <w:rFonts w:hint="eastAsia" w:cs="宋体"/>
          <w:sz w:val="24"/>
          <w:szCs w:val="24"/>
        </w:rPr>
        <w:fldChar w:fldCharType="end"/>
      </w:r>
    </w:p>
    <w:p w14:paraId="345A4F85">
      <w:pPr>
        <w:pStyle w:val="34"/>
        <w:tabs>
          <w:tab w:val="right" w:leader="dot" w:pos="8997"/>
          <w:tab w:val="clear" w:pos="8987"/>
        </w:tabs>
        <w:spacing w:line="720" w:lineRule="auto"/>
        <w:rPr>
          <w:rFonts w:cs="宋体"/>
          <w:sz w:val="24"/>
          <w:szCs w:val="24"/>
        </w:rPr>
      </w:pPr>
      <w:r>
        <w:fldChar w:fldCharType="begin"/>
      </w:r>
      <w:r>
        <w:instrText xml:space="preserve"> HYPERLINK \l "_Toc28542" </w:instrText>
      </w:r>
      <w:r>
        <w:fldChar w:fldCharType="separate"/>
      </w:r>
      <w:r>
        <w:rPr>
          <w:rFonts w:hint="eastAsia" w:cs="宋体"/>
          <w:sz w:val="24"/>
          <w:szCs w:val="24"/>
        </w:rPr>
        <w:t>三、商务技术文件部分格式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_Toc28542 \h </w:instrText>
      </w:r>
      <w:r>
        <w:rPr>
          <w:rFonts w:hint="eastAsia" w:cs="宋体"/>
          <w:sz w:val="24"/>
          <w:szCs w:val="24"/>
        </w:rPr>
        <w:fldChar w:fldCharType="separate"/>
      </w:r>
      <w:r>
        <w:rPr>
          <w:rFonts w:hint="eastAsia" w:cs="宋体"/>
          <w:sz w:val="24"/>
          <w:szCs w:val="24"/>
        </w:rPr>
        <w:t>35</w:t>
      </w:r>
      <w:r>
        <w:rPr>
          <w:rFonts w:hint="eastAsia" w:cs="宋体"/>
          <w:sz w:val="24"/>
          <w:szCs w:val="24"/>
        </w:rPr>
        <w:fldChar w:fldCharType="end"/>
      </w:r>
      <w:r>
        <w:rPr>
          <w:rFonts w:hint="eastAsia" w:cs="宋体"/>
          <w:sz w:val="24"/>
          <w:szCs w:val="24"/>
        </w:rPr>
        <w:fldChar w:fldCharType="end"/>
      </w:r>
    </w:p>
    <w:p w14:paraId="35D5AB0B">
      <w:pPr>
        <w:pStyle w:val="34"/>
        <w:tabs>
          <w:tab w:val="right" w:leader="dot" w:pos="8997"/>
          <w:tab w:val="clear" w:pos="8987"/>
        </w:tabs>
        <w:spacing w:line="720" w:lineRule="auto"/>
        <w:rPr>
          <w:rFonts w:cs="宋体"/>
          <w:sz w:val="24"/>
          <w:szCs w:val="24"/>
        </w:rPr>
      </w:pPr>
      <w:r>
        <w:fldChar w:fldCharType="begin"/>
      </w:r>
      <w:r>
        <w:instrText xml:space="preserve"> HYPERLINK \l "_Toc21361" </w:instrText>
      </w:r>
      <w:r>
        <w:fldChar w:fldCharType="separate"/>
      </w:r>
      <w:r>
        <w:rPr>
          <w:rFonts w:hint="eastAsia" w:cs="宋体"/>
          <w:sz w:val="24"/>
          <w:szCs w:val="24"/>
        </w:rPr>
        <w:t>第七部分 评标定标办法</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_Toc21361 \h </w:instrText>
      </w:r>
      <w:r>
        <w:rPr>
          <w:rFonts w:hint="eastAsia" w:cs="宋体"/>
          <w:sz w:val="24"/>
          <w:szCs w:val="24"/>
        </w:rPr>
        <w:fldChar w:fldCharType="separate"/>
      </w:r>
      <w:r>
        <w:rPr>
          <w:rFonts w:hint="eastAsia" w:cs="宋体"/>
          <w:sz w:val="24"/>
          <w:szCs w:val="24"/>
        </w:rPr>
        <w:t>42</w:t>
      </w:r>
      <w:r>
        <w:rPr>
          <w:rFonts w:hint="eastAsia" w:cs="宋体"/>
          <w:sz w:val="24"/>
          <w:szCs w:val="24"/>
        </w:rPr>
        <w:fldChar w:fldCharType="end"/>
      </w:r>
      <w:r>
        <w:rPr>
          <w:rFonts w:hint="eastAsia" w:cs="宋体"/>
          <w:sz w:val="24"/>
          <w:szCs w:val="24"/>
        </w:rPr>
        <w:fldChar w:fldCharType="end"/>
      </w:r>
    </w:p>
    <w:p w14:paraId="470C8A7A">
      <w:pPr>
        <w:pStyle w:val="6"/>
        <w:spacing w:line="720" w:lineRule="auto"/>
        <w:rPr>
          <w:rFonts w:ascii="宋体" w:hAnsi="宋体" w:cs="宋体"/>
          <w:b w:val="0"/>
          <w:color w:val="auto"/>
          <w:sz w:val="22"/>
          <w:szCs w:val="22"/>
          <w:lang w:val="zh-CN"/>
        </w:rPr>
      </w:pPr>
      <w:r>
        <w:rPr>
          <w:rFonts w:hint="eastAsia" w:ascii="宋体" w:hAnsi="宋体" w:cs="宋体"/>
          <w:color w:val="auto"/>
          <w:sz w:val="24"/>
          <w:szCs w:val="24"/>
          <w:lang w:val="zh-CN"/>
        </w:rPr>
        <w:fldChar w:fldCharType="end"/>
      </w:r>
      <w:r>
        <w:rPr>
          <w:rFonts w:hint="eastAsia" w:ascii="宋体" w:hAnsi="宋体" w:cs="宋体"/>
          <w:b w:val="0"/>
          <w:color w:val="auto"/>
          <w:sz w:val="22"/>
          <w:szCs w:val="22"/>
          <w:lang w:val="zh-CN"/>
        </w:rPr>
        <w:t xml:space="preserve"> </w:t>
      </w:r>
    </w:p>
    <w:p w14:paraId="6C01751A">
      <w:pPr>
        <w:pStyle w:val="2"/>
        <w:numPr>
          <w:ilvl w:val="0"/>
          <w:numId w:val="0"/>
        </w:numPr>
        <w:spacing w:before="0" w:afterLines="0" w:line="360" w:lineRule="auto"/>
        <w:rPr>
          <w:rFonts w:ascii="宋体" w:hAnsi="宋体" w:eastAsia="宋体"/>
          <w:color w:val="auto"/>
          <w:sz w:val="21"/>
          <w:szCs w:val="21"/>
        </w:rPr>
      </w:pPr>
      <w:r>
        <w:rPr>
          <w:rFonts w:hint="eastAsia" w:ascii="宋体" w:hAnsi="宋体" w:eastAsia="宋体"/>
          <w:color w:val="auto"/>
          <w:sz w:val="21"/>
          <w:szCs w:val="21"/>
        </w:rPr>
        <w:t xml:space="preserve"> </w:t>
      </w:r>
    </w:p>
    <w:p w14:paraId="0A029C26">
      <w:pPr>
        <w:pStyle w:val="41"/>
        <w:spacing w:afterLines="0" w:line="360" w:lineRule="auto"/>
        <w:rPr>
          <w:rFonts w:ascii="宋体" w:hAnsi="宋体" w:cs="宋体"/>
          <w:sz w:val="21"/>
          <w:szCs w:val="21"/>
        </w:rPr>
      </w:pPr>
    </w:p>
    <w:p w14:paraId="5E3C57E4">
      <w:pPr>
        <w:widowControl/>
        <w:jc w:val="left"/>
        <w:rPr>
          <w:rFonts w:ascii="宋体" w:eastAsia="宋体"/>
          <w:color w:val="auto"/>
          <w:sz w:val="32"/>
          <w:szCs w:val="32"/>
        </w:rPr>
      </w:pPr>
      <w:r>
        <w:rPr>
          <w:rFonts w:hint="eastAsia" w:ascii="宋体" w:eastAsia="宋体"/>
          <w:color w:val="auto"/>
        </w:rPr>
        <w:br w:type="page"/>
      </w:r>
    </w:p>
    <w:p w14:paraId="089B1D74">
      <w:pPr>
        <w:pStyle w:val="6"/>
        <w:spacing w:line="480" w:lineRule="auto"/>
        <w:rPr>
          <w:rFonts w:ascii="宋体" w:hAnsi="宋体" w:cs="宋体"/>
          <w:color w:val="auto"/>
        </w:rPr>
      </w:pPr>
      <w:r>
        <w:rPr>
          <w:rFonts w:hint="eastAsia" w:ascii="宋体" w:hAnsi="宋体" w:cs="宋体"/>
          <w:color w:val="auto"/>
        </w:rPr>
        <w:t xml:space="preserve"> </w:t>
      </w:r>
      <w:bookmarkStart w:id="0" w:name="_Toc24144"/>
      <w:r>
        <w:rPr>
          <w:rFonts w:hint="eastAsia" w:ascii="宋体" w:hAnsi="宋体" w:cs="宋体"/>
          <w:color w:val="auto"/>
        </w:rPr>
        <w:t>第一部分 磋商通知(邀请)书</w:t>
      </w:r>
      <w:bookmarkEnd w:id="0"/>
    </w:p>
    <w:tbl>
      <w:tblPr>
        <w:tblStyle w:val="43"/>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45"/>
        <w:gridCol w:w="1293"/>
        <w:gridCol w:w="6627"/>
      </w:tblGrid>
      <w:tr w14:paraId="0AA0F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0F066C70">
            <w:pPr>
              <w:spacing w:line="400" w:lineRule="atLeast"/>
              <w:jc w:val="center"/>
              <w:rPr>
                <w:rFonts w:ascii="宋体" w:eastAsia="宋体"/>
                <w:b w:val="0"/>
                <w:color w:val="auto"/>
                <w:sz w:val="22"/>
                <w:szCs w:val="22"/>
              </w:rPr>
            </w:pPr>
            <w:r>
              <w:rPr>
                <w:rFonts w:hint="eastAsia" w:ascii="宋体" w:eastAsia="宋体"/>
                <w:b w:val="0"/>
                <w:color w:val="auto"/>
                <w:sz w:val="22"/>
                <w:szCs w:val="22"/>
              </w:rPr>
              <w:t>序号</w:t>
            </w:r>
          </w:p>
        </w:tc>
        <w:tc>
          <w:tcPr>
            <w:tcW w:w="1293" w:type="dxa"/>
            <w:vAlign w:val="center"/>
          </w:tcPr>
          <w:p w14:paraId="3CD3C05A">
            <w:pPr>
              <w:spacing w:line="400" w:lineRule="atLeast"/>
              <w:jc w:val="center"/>
              <w:rPr>
                <w:rFonts w:ascii="宋体" w:eastAsia="宋体"/>
                <w:b w:val="0"/>
                <w:color w:val="auto"/>
                <w:sz w:val="22"/>
                <w:szCs w:val="22"/>
              </w:rPr>
            </w:pPr>
            <w:r>
              <w:rPr>
                <w:rFonts w:hint="eastAsia" w:ascii="宋体" w:eastAsia="宋体"/>
                <w:b w:val="0"/>
                <w:color w:val="auto"/>
                <w:sz w:val="22"/>
                <w:szCs w:val="22"/>
              </w:rPr>
              <w:t>内容</w:t>
            </w:r>
          </w:p>
        </w:tc>
        <w:tc>
          <w:tcPr>
            <w:tcW w:w="6627" w:type="dxa"/>
            <w:vAlign w:val="center"/>
          </w:tcPr>
          <w:p w14:paraId="5FF6FD60">
            <w:pPr>
              <w:spacing w:line="400" w:lineRule="atLeast"/>
              <w:jc w:val="center"/>
              <w:rPr>
                <w:rFonts w:ascii="宋体" w:eastAsia="宋体"/>
                <w:b w:val="0"/>
                <w:color w:val="auto"/>
                <w:sz w:val="22"/>
                <w:szCs w:val="22"/>
              </w:rPr>
            </w:pPr>
            <w:r>
              <w:rPr>
                <w:rFonts w:hint="eastAsia" w:ascii="宋体" w:eastAsia="宋体"/>
                <w:b w:val="0"/>
                <w:color w:val="auto"/>
                <w:sz w:val="22"/>
                <w:szCs w:val="22"/>
              </w:rPr>
              <w:t>说明与要求</w:t>
            </w:r>
          </w:p>
        </w:tc>
      </w:tr>
      <w:tr w14:paraId="5F7DC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134902CA">
            <w:pPr>
              <w:spacing w:line="400" w:lineRule="atLeast"/>
              <w:jc w:val="center"/>
              <w:rPr>
                <w:rFonts w:ascii="宋体" w:eastAsia="宋体"/>
                <w:b w:val="0"/>
                <w:color w:val="auto"/>
                <w:sz w:val="22"/>
                <w:szCs w:val="22"/>
              </w:rPr>
            </w:pPr>
            <w:r>
              <w:rPr>
                <w:rFonts w:hint="eastAsia" w:ascii="宋体" w:eastAsia="宋体"/>
                <w:b w:val="0"/>
                <w:color w:val="auto"/>
                <w:sz w:val="22"/>
                <w:szCs w:val="22"/>
              </w:rPr>
              <w:t>1</w:t>
            </w:r>
          </w:p>
        </w:tc>
        <w:tc>
          <w:tcPr>
            <w:tcW w:w="1293" w:type="dxa"/>
            <w:vAlign w:val="center"/>
          </w:tcPr>
          <w:p w14:paraId="0FE460A6">
            <w:pPr>
              <w:jc w:val="center"/>
              <w:rPr>
                <w:rFonts w:ascii="宋体" w:eastAsia="宋体"/>
                <w:b w:val="0"/>
                <w:color w:val="auto"/>
                <w:sz w:val="22"/>
                <w:szCs w:val="22"/>
              </w:rPr>
            </w:pPr>
            <w:r>
              <w:rPr>
                <w:rFonts w:hint="eastAsia" w:ascii="宋体" w:eastAsia="宋体"/>
                <w:b w:val="0"/>
                <w:color w:val="auto"/>
                <w:sz w:val="22"/>
                <w:szCs w:val="22"/>
              </w:rPr>
              <w:t>项目名称</w:t>
            </w:r>
          </w:p>
        </w:tc>
        <w:tc>
          <w:tcPr>
            <w:tcW w:w="6627" w:type="dxa"/>
            <w:vAlign w:val="center"/>
          </w:tcPr>
          <w:p w14:paraId="61DC5656">
            <w:pPr>
              <w:rPr>
                <w:rFonts w:ascii="宋体" w:eastAsia="宋体"/>
                <w:b w:val="0"/>
                <w:color w:val="auto"/>
                <w:sz w:val="22"/>
                <w:szCs w:val="22"/>
              </w:rPr>
            </w:pPr>
            <w:r>
              <w:rPr>
                <w:rFonts w:hint="eastAsia" w:ascii="宋体" w:eastAsia="宋体"/>
                <w:b w:val="0"/>
                <w:color w:val="auto"/>
                <w:sz w:val="22"/>
                <w:szCs w:val="22"/>
              </w:rPr>
              <w:t>永嘉县文保单位安全隐患巡查</w:t>
            </w:r>
          </w:p>
        </w:tc>
      </w:tr>
      <w:tr w14:paraId="4B723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41AB4667">
            <w:pPr>
              <w:spacing w:line="400" w:lineRule="atLeast"/>
              <w:jc w:val="center"/>
              <w:rPr>
                <w:rFonts w:ascii="宋体" w:eastAsia="宋体"/>
                <w:b w:val="0"/>
                <w:color w:val="auto"/>
                <w:sz w:val="22"/>
                <w:szCs w:val="22"/>
              </w:rPr>
            </w:pPr>
            <w:r>
              <w:rPr>
                <w:rFonts w:hint="eastAsia" w:ascii="宋体" w:eastAsia="宋体"/>
                <w:b w:val="0"/>
                <w:color w:val="auto"/>
                <w:sz w:val="22"/>
                <w:szCs w:val="22"/>
              </w:rPr>
              <w:t>2</w:t>
            </w:r>
          </w:p>
        </w:tc>
        <w:tc>
          <w:tcPr>
            <w:tcW w:w="1293" w:type="dxa"/>
            <w:vAlign w:val="center"/>
          </w:tcPr>
          <w:p w14:paraId="53C190E6">
            <w:pPr>
              <w:jc w:val="center"/>
              <w:rPr>
                <w:rFonts w:ascii="宋体" w:eastAsia="宋体"/>
                <w:b w:val="0"/>
                <w:color w:val="auto"/>
                <w:sz w:val="22"/>
                <w:szCs w:val="22"/>
              </w:rPr>
            </w:pPr>
            <w:r>
              <w:rPr>
                <w:rFonts w:hint="eastAsia" w:ascii="宋体" w:eastAsia="宋体"/>
                <w:b w:val="0"/>
                <w:color w:val="auto"/>
                <w:sz w:val="22"/>
                <w:szCs w:val="22"/>
              </w:rPr>
              <w:t>项目编号</w:t>
            </w:r>
          </w:p>
        </w:tc>
        <w:tc>
          <w:tcPr>
            <w:tcW w:w="6627" w:type="dxa"/>
            <w:vAlign w:val="center"/>
          </w:tcPr>
          <w:p w14:paraId="0403C0A8">
            <w:pPr>
              <w:rPr>
                <w:rFonts w:hint="eastAsia" w:ascii="宋体" w:eastAsia="宋体"/>
                <w:b w:val="0"/>
                <w:color w:val="auto"/>
                <w:sz w:val="22"/>
                <w:szCs w:val="22"/>
                <w:lang w:eastAsia="zh-CN"/>
              </w:rPr>
            </w:pPr>
            <w:r>
              <w:rPr>
                <w:rFonts w:hint="eastAsia" w:ascii="宋体" w:eastAsia="宋体"/>
                <w:b w:val="0"/>
                <w:color w:val="auto"/>
                <w:sz w:val="22"/>
                <w:szCs w:val="22"/>
                <w:lang w:eastAsia="zh-CN"/>
              </w:rPr>
              <w:t>ZGCG-20241026</w:t>
            </w:r>
          </w:p>
        </w:tc>
      </w:tr>
      <w:tr w14:paraId="2026E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6537A388">
            <w:pPr>
              <w:spacing w:line="400" w:lineRule="atLeast"/>
              <w:jc w:val="center"/>
              <w:rPr>
                <w:rFonts w:ascii="宋体" w:eastAsia="宋体"/>
                <w:b w:val="0"/>
                <w:color w:val="auto"/>
                <w:sz w:val="22"/>
                <w:szCs w:val="22"/>
              </w:rPr>
            </w:pPr>
            <w:r>
              <w:rPr>
                <w:rFonts w:hint="eastAsia" w:ascii="宋体" w:eastAsia="宋体"/>
                <w:b w:val="0"/>
                <w:color w:val="auto"/>
                <w:sz w:val="22"/>
                <w:szCs w:val="22"/>
              </w:rPr>
              <w:t>3</w:t>
            </w:r>
          </w:p>
        </w:tc>
        <w:tc>
          <w:tcPr>
            <w:tcW w:w="1293" w:type="dxa"/>
            <w:vAlign w:val="center"/>
          </w:tcPr>
          <w:p w14:paraId="6B7F6ECD">
            <w:pPr>
              <w:jc w:val="center"/>
              <w:rPr>
                <w:rFonts w:ascii="宋体" w:eastAsia="宋体"/>
                <w:b w:val="0"/>
                <w:color w:val="auto"/>
                <w:sz w:val="22"/>
                <w:szCs w:val="22"/>
              </w:rPr>
            </w:pPr>
            <w:r>
              <w:rPr>
                <w:rFonts w:hint="eastAsia" w:ascii="宋体" w:eastAsia="宋体"/>
                <w:b w:val="0"/>
                <w:color w:val="auto"/>
                <w:sz w:val="22"/>
                <w:szCs w:val="22"/>
              </w:rPr>
              <w:t>资金来源</w:t>
            </w:r>
          </w:p>
        </w:tc>
        <w:tc>
          <w:tcPr>
            <w:tcW w:w="6627" w:type="dxa"/>
            <w:vAlign w:val="center"/>
          </w:tcPr>
          <w:p w14:paraId="000FFA20">
            <w:pPr>
              <w:rPr>
                <w:rFonts w:ascii="宋体" w:eastAsia="宋体"/>
                <w:b w:val="0"/>
                <w:color w:val="auto"/>
                <w:sz w:val="22"/>
                <w:szCs w:val="22"/>
              </w:rPr>
            </w:pPr>
            <w:r>
              <w:rPr>
                <w:rFonts w:hint="eastAsia" w:ascii="宋体" w:eastAsia="宋体"/>
                <w:b w:val="0"/>
                <w:color w:val="auto"/>
                <w:sz w:val="22"/>
                <w:szCs w:val="22"/>
              </w:rPr>
              <w:t>财政性资金</w:t>
            </w:r>
          </w:p>
        </w:tc>
      </w:tr>
      <w:tr w14:paraId="4C9A1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0574EC82">
            <w:pPr>
              <w:spacing w:line="400" w:lineRule="atLeast"/>
              <w:jc w:val="center"/>
              <w:rPr>
                <w:rFonts w:ascii="宋体" w:eastAsia="宋体"/>
                <w:b w:val="0"/>
                <w:color w:val="auto"/>
                <w:sz w:val="22"/>
                <w:szCs w:val="22"/>
              </w:rPr>
            </w:pPr>
            <w:r>
              <w:rPr>
                <w:rFonts w:hint="eastAsia" w:ascii="宋体" w:eastAsia="宋体"/>
                <w:b w:val="0"/>
                <w:color w:val="auto"/>
                <w:sz w:val="22"/>
                <w:szCs w:val="22"/>
              </w:rPr>
              <w:t>4</w:t>
            </w:r>
          </w:p>
        </w:tc>
        <w:tc>
          <w:tcPr>
            <w:tcW w:w="1293" w:type="dxa"/>
            <w:vAlign w:val="center"/>
          </w:tcPr>
          <w:p w14:paraId="5C7A50CC">
            <w:pPr>
              <w:jc w:val="center"/>
              <w:rPr>
                <w:rFonts w:ascii="宋体" w:eastAsia="宋体"/>
                <w:b w:val="0"/>
                <w:color w:val="auto"/>
                <w:sz w:val="22"/>
                <w:szCs w:val="22"/>
              </w:rPr>
            </w:pPr>
            <w:r>
              <w:rPr>
                <w:rFonts w:hint="eastAsia" w:ascii="宋体" w:eastAsia="宋体"/>
                <w:b w:val="0"/>
                <w:color w:val="auto"/>
                <w:sz w:val="22"/>
                <w:szCs w:val="22"/>
              </w:rPr>
              <w:t>采购预算</w:t>
            </w:r>
          </w:p>
        </w:tc>
        <w:tc>
          <w:tcPr>
            <w:tcW w:w="6627" w:type="dxa"/>
            <w:vAlign w:val="center"/>
          </w:tcPr>
          <w:p w14:paraId="37926AF5">
            <w:pPr>
              <w:rPr>
                <w:rFonts w:ascii="宋体" w:eastAsiaTheme="minorEastAsia"/>
                <w:b w:val="0"/>
                <w:color w:val="auto"/>
                <w:sz w:val="22"/>
                <w:szCs w:val="22"/>
              </w:rPr>
            </w:pPr>
            <w:r>
              <w:rPr>
                <w:rFonts w:hint="eastAsia" w:asciiTheme="minorEastAsia" w:hAnsiTheme="minorEastAsia" w:eastAsiaTheme="minorEastAsia"/>
                <w:bCs w:val="0"/>
                <w:color w:val="auto"/>
                <w:sz w:val="24"/>
                <w:highlight w:val="none"/>
              </w:rPr>
              <w:t>500000元</w:t>
            </w:r>
          </w:p>
        </w:tc>
      </w:tr>
      <w:tr w14:paraId="63266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22224E97">
            <w:pPr>
              <w:spacing w:line="400" w:lineRule="atLeast"/>
              <w:jc w:val="center"/>
              <w:rPr>
                <w:rFonts w:ascii="宋体" w:eastAsia="宋体"/>
                <w:b w:val="0"/>
                <w:color w:val="auto"/>
                <w:sz w:val="22"/>
                <w:szCs w:val="22"/>
              </w:rPr>
            </w:pPr>
            <w:r>
              <w:rPr>
                <w:rFonts w:hint="eastAsia" w:ascii="宋体" w:eastAsia="宋体"/>
                <w:b w:val="0"/>
                <w:color w:val="auto"/>
                <w:sz w:val="22"/>
                <w:szCs w:val="22"/>
              </w:rPr>
              <w:t>5</w:t>
            </w:r>
          </w:p>
        </w:tc>
        <w:tc>
          <w:tcPr>
            <w:tcW w:w="1293" w:type="dxa"/>
            <w:vAlign w:val="center"/>
          </w:tcPr>
          <w:p w14:paraId="4F57CDE2">
            <w:pPr>
              <w:jc w:val="center"/>
              <w:rPr>
                <w:rFonts w:ascii="宋体" w:eastAsia="宋体"/>
                <w:b w:val="0"/>
                <w:color w:val="auto"/>
                <w:sz w:val="22"/>
                <w:szCs w:val="22"/>
              </w:rPr>
            </w:pPr>
            <w:r>
              <w:rPr>
                <w:rFonts w:hint="eastAsia" w:ascii="宋体" w:eastAsia="宋体"/>
                <w:b w:val="0"/>
                <w:color w:val="auto"/>
                <w:sz w:val="22"/>
                <w:szCs w:val="22"/>
              </w:rPr>
              <w:t>采购方式</w:t>
            </w:r>
          </w:p>
        </w:tc>
        <w:tc>
          <w:tcPr>
            <w:tcW w:w="6627" w:type="dxa"/>
            <w:vAlign w:val="center"/>
          </w:tcPr>
          <w:p w14:paraId="17CF985C">
            <w:pPr>
              <w:rPr>
                <w:rFonts w:ascii="宋体" w:eastAsia="宋体"/>
                <w:b w:val="0"/>
                <w:color w:val="auto"/>
                <w:sz w:val="22"/>
                <w:szCs w:val="22"/>
              </w:rPr>
            </w:pPr>
            <w:r>
              <w:rPr>
                <w:rFonts w:hint="eastAsia" w:ascii="宋体" w:eastAsia="宋体"/>
                <w:b w:val="0"/>
                <w:color w:val="auto"/>
                <w:sz w:val="22"/>
                <w:szCs w:val="22"/>
              </w:rPr>
              <w:t>竞争性磋商</w:t>
            </w:r>
          </w:p>
        </w:tc>
      </w:tr>
      <w:tr w14:paraId="38BE4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7D06B734">
            <w:pPr>
              <w:spacing w:line="400" w:lineRule="atLeast"/>
              <w:jc w:val="center"/>
              <w:rPr>
                <w:rFonts w:ascii="宋体" w:eastAsia="宋体"/>
                <w:b w:val="0"/>
                <w:color w:val="auto"/>
                <w:sz w:val="22"/>
                <w:szCs w:val="22"/>
              </w:rPr>
            </w:pPr>
            <w:r>
              <w:rPr>
                <w:rFonts w:hint="eastAsia" w:ascii="宋体" w:eastAsia="宋体"/>
                <w:b w:val="0"/>
                <w:color w:val="auto"/>
                <w:sz w:val="22"/>
                <w:szCs w:val="22"/>
              </w:rPr>
              <w:t>6</w:t>
            </w:r>
          </w:p>
        </w:tc>
        <w:tc>
          <w:tcPr>
            <w:tcW w:w="1293" w:type="dxa"/>
            <w:vAlign w:val="center"/>
          </w:tcPr>
          <w:p w14:paraId="4AC0F721">
            <w:pPr>
              <w:adjustRightInd w:val="0"/>
              <w:jc w:val="center"/>
              <w:rPr>
                <w:rFonts w:ascii="宋体" w:eastAsia="宋体"/>
                <w:b w:val="0"/>
                <w:color w:val="auto"/>
                <w:sz w:val="22"/>
                <w:szCs w:val="22"/>
              </w:rPr>
            </w:pPr>
            <w:r>
              <w:rPr>
                <w:rFonts w:hint="eastAsia" w:ascii="宋体" w:eastAsia="宋体"/>
                <w:b w:val="0"/>
                <w:color w:val="auto"/>
                <w:sz w:val="22"/>
                <w:szCs w:val="22"/>
              </w:rPr>
              <w:t>采购人</w:t>
            </w:r>
          </w:p>
        </w:tc>
        <w:tc>
          <w:tcPr>
            <w:tcW w:w="6627" w:type="dxa"/>
            <w:vAlign w:val="center"/>
          </w:tcPr>
          <w:p w14:paraId="04FE5DB0">
            <w:pPr>
              <w:adjustRightInd w:val="0"/>
              <w:rPr>
                <w:rFonts w:ascii="宋体" w:eastAsia="宋体"/>
                <w:b w:val="0"/>
                <w:color w:val="auto"/>
                <w:sz w:val="22"/>
                <w:szCs w:val="22"/>
              </w:rPr>
            </w:pPr>
            <w:r>
              <w:rPr>
                <w:rFonts w:hint="eastAsia" w:ascii="宋体" w:eastAsia="宋体"/>
                <w:b w:val="0"/>
                <w:color w:val="auto"/>
                <w:sz w:val="22"/>
                <w:szCs w:val="22"/>
              </w:rPr>
              <w:t>采 购 人：永嘉县文化和广电旅游体育局</w:t>
            </w:r>
          </w:p>
          <w:p w14:paraId="15FE6EBD">
            <w:pPr>
              <w:adjustRightInd w:val="0"/>
              <w:rPr>
                <w:rFonts w:ascii="宋体" w:eastAsia="宋体"/>
                <w:b w:val="0"/>
                <w:color w:val="auto"/>
                <w:sz w:val="22"/>
                <w:szCs w:val="22"/>
              </w:rPr>
            </w:pPr>
            <w:r>
              <w:rPr>
                <w:rFonts w:hint="eastAsia" w:ascii="宋体" w:eastAsia="宋体"/>
                <w:b w:val="0"/>
                <w:color w:val="auto"/>
                <w:sz w:val="22"/>
                <w:szCs w:val="22"/>
              </w:rPr>
              <w:t>联 系 人：李先生</w:t>
            </w:r>
          </w:p>
          <w:p w14:paraId="6D01B4F7">
            <w:pPr>
              <w:adjustRightInd w:val="0"/>
              <w:rPr>
                <w:rFonts w:ascii="宋体" w:eastAsia="宋体"/>
                <w:b w:val="0"/>
                <w:color w:val="auto"/>
                <w:sz w:val="22"/>
                <w:szCs w:val="22"/>
              </w:rPr>
            </w:pPr>
            <w:r>
              <w:rPr>
                <w:rFonts w:hint="eastAsia" w:ascii="宋体" w:eastAsia="宋体"/>
                <w:b w:val="0"/>
                <w:color w:val="auto"/>
                <w:sz w:val="22"/>
                <w:szCs w:val="22"/>
              </w:rPr>
              <w:t xml:space="preserve">联系方式：0577-67950982  </w:t>
            </w:r>
          </w:p>
        </w:tc>
      </w:tr>
      <w:tr w14:paraId="22F4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49AF1E9B">
            <w:pPr>
              <w:spacing w:line="400" w:lineRule="atLeast"/>
              <w:jc w:val="center"/>
              <w:rPr>
                <w:rFonts w:ascii="宋体" w:eastAsia="宋体"/>
                <w:b w:val="0"/>
                <w:color w:val="auto"/>
                <w:sz w:val="22"/>
                <w:szCs w:val="22"/>
              </w:rPr>
            </w:pPr>
            <w:r>
              <w:rPr>
                <w:rFonts w:hint="eastAsia" w:ascii="宋体" w:eastAsia="宋体"/>
                <w:b w:val="0"/>
                <w:color w:val="auto"/>
                <w:sz w:val="22"/>
                <w:szCs w:val="22"/>
              </w:rPr>
              <w:t>7</w:t>
            </w:r>
          </w:p>
        </w:tc>
        <w:tc>
          <w:tcPr>
            <w:tcW w:w="1293" w:type="dxa"/>
            <w:vAlign w:val="center"/>
          </w:tcPr>
          <w:p w14:paraId="2AA2AC84">
            <w:pPr>
              <w:jc w:val="center"/>
              <w:rPr>
                <w:rFonts w:ascii="宋体" w:eastAsia="宋体"/>
                <w:b w:val="0"/>
                <w:color w:val="auto"/>
                <w:sz w:val="22"/>
                <w:szCs w:val="22"/>
              </w:rPr>
            </w:pPr>
            <w:r>
              <w:rPr>
                <w:rFonts w:hint="eastAsia" w:ascii="宋体" w:eastAsia="宋体"/>
                <w:b w:val="0"/>
                <w:color w:val="auto"/>
                <w:sz w:val="22"/>
                <w:szCs w:val="22"/>
              </w:rPr>
              <w:t>采购代理机构</w:t>
            </w:r>
          </w:p>
        </w:tc>
        <w:tc>
          <w:tcPr>
            <w:tcW w:w="6627" w:type="dxa"/>
            <w:vAlign w:val="center"/>
          </w:tcPr>
          <w:p w14:paraId="18016FA6">
            <w:pPr>
              <w:adjustRightInd w:val="0"/>
              <w:rPr>
                <w:rFonts w:ascii="宋体" w:eastAsia="宋体"/>
                <w:b w:val="0"/>
                <w:bCs w:val="0"/>
                <w:color w:val="auto"/>
                <w:sz w:val="22"/>
                <w:szCs w:val="22"/>
              </w:rPr>
            </w:pPr>
            <w:r>
              <w:rPr>
                <w:rFonts w:hint="eastAsia" w:ascii="宋体" w:eastAsia="宋体"/>
                <w:b w:val="0"/>
                <w:bCs w:val="0"/>
                <w:color w:val="auto"/>
                <w:sz w:val="22"/>
                <w:szCs w:val="22"/>
              </w:rPr>
              <w:t>采购代理机构名称：温州市中概工程管理咨询有限公司</w:t>
            </w:r>
          </w:p>
          <w:p w14:paraId="21C0F579">
            <w:pPr>
              <w:adjustRightInd w:val="0"/>
              <w:rPr>
                <w:rFonts w:ascii="宋体" w:eastAsia="宋体"/>
                <w:b w:val="0"/>
                <w:bCs w:val="0"/>
                <w:color w:val="auto"/>
                <w:sz w:val="22"/>
                <w:szCs w:val="22"/>
              </w:rPr>
            </w:pPr>
            <w:r>
              <w:rPr>
                <w:rFonts w:hint="eastAsia" w:ascii="宋体" w:eastAsia="宋体"/>
                <w:b w:val="0"/>
                <w:bCs w:val="0"/>
                <w:color w:val="auto"/>
                <w:sz w:val="22"/>
                <w:szCs w:val="22"/>
              </w:rPr>
              <w:t>地    点：温州市永嘉县南城街道环城北路618号云碓大厦503室</w:t>
            </w:r>
          </w:p>
          <w:p w14:paraId="759D034A">
            <w:pPr>
              <w:adjustRightInd w:val="0"/>
              <w:rPr>
                <w:rFonts w:ascii="宋体" w:eastAsia="宋体"/>
                <w:b w:val="0"/>
                <w:color w:val="auto"/>
                <w:sz w:val="22"/>
              </w:rPr>
            </w:pPr>
            <w:r>
              <w:rPr>
                <w:rFonts w:hint="eastAsia" w:ascii="宋体" w:eastAsia="宋体"/>
                <w:b w:val="0"/>
                <w:color w:val="auto"/>
                <w:sz w:val="22"/>
              </w:rPr>
              <w:t xml:space="preserve">联 系 人：胡可可   </w:t>
            </w:r>
          </w:p>
          <w:p w14:paraId="0D794E9A">
            <w:pPr>
              <w:adjustRightInd w:val="0"/>
              <w:rPr>
                <w:rFonts w:ascii="宋体" w:eastAsia="宋体"/>
                <w:b w:val="0"/>
                <w:color w:val="auto"/>
                <w:sz w:val="22"/>
              </w:rPr>
            </w:pPr>
            <w:r>
              <w:rPr>
                <w:rFonts w:hint="eastAsia" w:ascii="宋体" w:eastAsia="宋体"/>
                <w:b w:val="0"/>
                <w:color w:val="auto"/>
                <w:sz w:val="22"/>
              </w:rPr>
              <w:t>联系电话：15258683545</w:t>
            </w:r>
          </w:p>
        </w:tc>
      </w:tr>
      <w:tr w14:paraId="0112F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30D9E58B">
            <w:pPr>
              <w:spacing w:line="400" w:lineRule="atLeast"/>
              <w:jc w:val="center"/>
              <w:rPr>
                <w:rFonts w:ascii="宋体" w:eastAsia="宋体"/>
                <w:b w:val="0"/>
                <w:color w:val="auto"/>
                <w:sz w:val="22"/>
                <w:szCs w:val="22"/>
              </w:rPr>
            </w:pPr>
            <w:r>
              <w:rPr>
                <w:rFonts w:hint="eastAsia" w:ascii="宋体" w:eastAsia="宋体"/>
                <w:b w:val="0"/>
                <w:color w:val="auto"/>
                <w:sz w:val="22"/>
                <w:szCs w:val="22"/>
              </w:rPr>
              <w:t>8</w:t>
            </w:r>
          </w:p>
        </w:tc>
        <w:tc>
          <w:tcPr>
            <w:tcW w:w="1293" w:type="dxa"/>
            <w:vAlign w:val="center"/>
          </w:tcPr>
          <w:p w14:paraId="5661A97C">
            <w:pPr>
              <w:jc w:val="center"/>
              <w:rPr>
                <w:rFonts w:ascii="宋体" w:eastAsia="宋体"/>
                <w:b w:val="0"/>
                <w:color w:val="auto"/>
                <w:sz w:val="22"/>
                <w:szCs w:val="22"/>
              </w:rPr>
            </w:pPr>
            <w:r>
              <w:rPr>
                <w:rFonts w:hint="eastAsia" w:ascii="宋体" w:eastAsia="宋体"/>
                <w:b w:val="0"/>
                <w:color w:val="auto"/>
                <w:sz w:val="22"/>
                <w:szCs w:val="22"/>
              </w:rPr>
              <w:t>评标办法</w:t>
            </w:r>
          </w:p>
        </w:tc>
        <w:tc>
          <w:tcPr>
            <w:tcW w:w="6627" w:type="dxa"/>
            <w:vAlign w:val="center"/>
          </w:tcPr>
          <w:p w14:paraId="37ED153C">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3156E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58DD95BA">
            <w:pPr>
              <w:spacing w:line="400" w:lineRule="atLeast"/>
              <w:jc w:val="center"/>
              <w:rPr>
                <w:rFonts w:ascii="宋体" w:eastAsia="宋体"/>
                <w:b w:val="0"/>
                <w:color w:val="auto"/>
                <w:sz w:val="22"/>
                <w:szCs w:val="22"/>
              </w:rPr>
            </w:pPr>
            <w:r>
              <w:rPr>
                <w:rFonts w:hint="eastAsia" w:ascii="宋体" w:eastAsia="宋体"/>
                <w:b w:val="0"/>
                <w:color w:val="auto"/>
                <w:sz w:val="22"/>
                <w:szCs w:val="22"/>
              </w:rPr>
              <w:t>9</w:t>
            </w:r>
          </w:p>
        </w:tc>
        <w:tc>
          <w:tcPr>
            <w:tcW w:w="1293" w:type="dxa"/>
            <w:vAlign w:val="center"/>
          </w:tcPr>
          <w:p w14:paraId="7DCCE8D9">
            <w:pPr>
              <w:jc w:val="center"/>
              <w:rPr>
                <w:rFonts w:ascii="宋体" w:eastAsia="宋体"/>
                <w:b w:val="0"/>
                <w:color w:val="auto"/>
                <w:sz w:val="22"/>
                <w:szCs w:val="22"/>
              </w:rPr>
            </w:pPr>
            <w:r>
              <w:rPr>
                <w:rFonts w:hint="eastAsia" w:ascii="宋体" w:eastAsia="宋体"/>
                <w:b w:val="0"/>
                <w:color w:val="auto"/>
                <w:sz w:val="22"/>
                <w:szCs w:val="22"/>
              </w:rPr>
              <w:t>采购内容</w:t>
            </w:r>
          </w:p>
        </w:tc>
        <w:tc>
          <w:tcPr>
            <w:tcW w:w="6627" w:type="dxa"/>
            <w:vAlign w:val="center"/>
          </w:tcPr>
          <w:p w14:paraId="3C45FF25">
            <w:pPr>
              <w:adjustRightInd w:val="0"/>
              <w:rPr>
                <w:rFonts w:ascii="宋体" w:eastAsia="宋体"/>
                <w:b w:val="0"/>
                <w:color w:val="auto"/>
                <w:sz w:val="22"/>
                <w:szCs w:val="22"/>
              </w:rPr>
            </w:pPr>
            <w:r>
              <w:rPr>
                <w:rFonts w:hint="eastAsia" w:ascii="宋体" w:eastAsia="宋体"/>
                <w:b w:val="0"/>
                <w:color w:val="auto"/>
                <w:sz w:val="22"/>
                <w:szCs w:val="22"/>
              </w:rPr>
              <w:t>具体内容见磋商文件。</w:t>
            </w:r>
          </w:p>
        </w:tc>
      </w:tr>
      <w:tr w14:paraId="36480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AC01AEF">
            <w:pPr>
              <w:jc w:val="center"/>
              <w:rPr>
                <w:rFonts w:ascii="宋体" w:eastAsia="宋体"/>
                <w:b w:val="0"/>
                <w:color w:val="auto"/>
                <w:sz w:val="22"/>
                <w:szCs w:val="22"/>
              </w:rPr>
            </w:pPr>
            <w:r>
              <w:rPr>
                <w:rFonts w:hint="eastAsia" w:ascii="宋体" w:eastAsia="宋体"/>
                <w:b w:val="0"/>
                <w:color w:val="auto"/>
                <w:sz w:val="22"/>
                <w:szCs w:val="22"/>
              </w:rPr>
              <w:t>10</w:t>
            </w:r>
          </w:p>
        </w:tc>
        <w:tc>
          <w:tcPr>
            <w:tcW w:w="1293" w:type="dxa"/>
            <w:vAlign w:val="center"/>
          </w:tcPr>
          <w:p w14:paraId="6FB810CB">
            <w:pPr>
              <w:jc w:val="center"/>
              <w:rPr>
                <w:rFonts w:ascii="宋体" w:eastAsia="宋体"/>
                <w:b w:val="0"/>
                <w:color w:val="auto"/>
                <w:sz w:val="22"/>
                <w:szCs w:val="22"/>
              </w:rPr>
            </w:pPr>
            <w:r>
              <w:rPr>
                <w:rFonts w:hint="eastAsia" w:ascii="宋体" w:eastAsia="宋体"/>
                <w:b w:val="0"/>
                <w:color w:val="auto"/>
                <w:sz w:val="22"/>
                <w:szCs w:val="22"/>
              </w:rPr>
              <w:t>供应商资格要求</w:t>
            </w:r>
          </w:p>
        </w:tc>
        <w:tc>
          <w:tcPr>
            <w:tcW w:w="6627" w:type="dxa"/>
            <w:vAlign w:val="center"/>
          </w:tcPr>
          <w:p w14:paraId="2ED53F4C">
            <w:pPr>
              <w:adjustRightInd w:val="0"/>
              <w:rPr>
                <w:rFonts w:ascii="宋体" w:eastAsia="宋体"/>
                <w:b w:val="0"/>
                <w:color w:val="auto"/>
                <w:sz w:val="22"/>
                <w:szCs w:val="22"/>
              </w:rPr>
            </w:pPr>
            <w:r>
              <w:rPr>
                <w:rFonts w:hint="eastAsia" w:ascii="宋体" w:eastAsia="宋体"/>
                <w:b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096064A">
            <w:pPr>
              <w:pStyle w:val="19"/>
              <w:ind w:firstLine="0"/>
              <w:rPr>
                <w:rFonts w:ascii="宋体" w:hAnsi="宋体" w:eastAsia="宋体" w:cs="宋体"/>
                <w:bCs/>
                <w:kern w:val="0"/>
                <w:sz w:val="22"/>
                <w:szCs w:val="22"/>
              </w:rPr>
            </w:pPr>
            <w:r>
              <w:rPr>
                <w:rFonts w:hint="eastAsia" w:ascii="宋体" w:hAnsi="宋体" w:eastAsia="宋体" w:cs="宋体"/>
                <w:bCs/>
                <w:kern w:val="0"/>
                <w:sz w:val="22"/>
                <w:szCs w:val="22"/>
              </w:rPr>
              <w:t>2.</w:t>
            </w:r>
            <w:r>
              <w:rPr>
                <w:rFonts w:hint="eastAsia" w:ascii="宋体" w:hAnsi="宋体" w:eastAsia="宋体" w:cs="宋体"/>
                <w:sz w:val="22"/>
                <w:szCs w:val="22"/>
              </w:rPr>
              <w:t>落实政府采购政策需满足的资格要求：无 </w:t>
            </w:r>
          </w:p>
          <w:p w14:paraId="1630DA4F">
            <w:pPr>
              <w:adjustRightInd w:val="0"/>
              <w:rPr>
                <w:rFonts w:ascii="宋体" w:eastAsia="宋体"/>
                <w:b w:val="0"/>
                <w:color w:val="auto"/>
                <w:sz w:val="22"/>
                <w:szCs w:val="22"/>
              </w:rPr>
            </w:pPr>
            <w:r>
              <w:rPr>
                <w:rFonts w:hint="eastAsia" w:ascii="宋体" w:eastAsia="宋体"/>
                <w:b w:val="0"/>
                <w:color w:val="auto"/>
                <w:sz w:val="22"/>
                <w:szCs w:val="22"/>
              </w:rPr>
              <w:t>3.本项目的特定资格要求：无。</w:t>
            </w:r>
          </w:p>
        </w:tc>
      </w:tr>
      <w:tr w14:paraId="31D45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1381502">
            <w:pPr>
              <w:jc w:val="center"/>
              <w:rPr>
                <w:rFonts w:ascii="宋体" w:eastAsia="宋体"/>
                <w:b w:val="0"/>
                <w:color w:val="auto"/>
                <w:sz w:val="22"/>
                <w:szCs w:val="22"/>
              </w:rPr>
            </w:pPr>
            <w:r>
              <w:rPr>
                <w:rFonts w:hint="eastAsia" w:ascii="宋体" w:eastAsia="宋体"/>
                <w:b w:val="0"/>
                <w:color w:val="auto"/>
                <w:sz w:val="22"/>
                <w:szCs w:val="22"/>
              </w:rPr>
              <w:t>11</w:t>
            </w:r>
          </w:p>
        </w:tc>
        <w:tc>
          <w:tcPr>
            <w:tcW w:w="1293" w:type="dxa"/>
            <w:vAlign w:val="center"/>
          </w:tcPr>
          <w:p w14:paraId="4509F28D">
            <w:pPr>
              <w:adjustRightInd w:val="0"/>
              <w:jc w:val="center"/>
              <w:rPr>
                <w:rFonts w:ascii="宋体" w:eastAsia="宋体"/>
                <w:b w:val="0"/>
                <w:color w:val="auto"/>
                <w:sz w:val="22"/>
                <w:szCs w:val="22"/>
              </w:rPr>
            </w:pPr>
            <w:r>
              <w:rPr>
                <w:rFonts w:hint="eastAsia" w:ascii="宋体" w:eastAsia="宋体"/>
                <w:b w:val="0"/>
                <w:color w:val="auto"/>
                <w:sz w:val="22"/>
                <w:szCs w:val="22"/>
              </w:rPr>
              <w:t>是否接受联合体投标</w:t>
            </w:r>
          </w:p>
        </w:tc>
        <w:tc>
          <w:tcPr>
            <w:tcW w:w="6627" w:type="dxa"/>
            <w:vAlign w:val="center"/>
          </w:tcPr>
          <w:p w14:paraId="2E4826E0">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不接受</w:t>
            </w:r>
          </w:p>
          <w:p w14:paraId="11A88FE3">
            <w:pPr>
              <w:adjustRightInd w:val="0"/>
              <w:rPr>
                <w:rFonts w:ascii="宋体" w:eastAsia="宋体"/>
                <w:b w:val="0"/>
                <w:color w:val="auto"/>
                <w:sz w:val="22"/>
                <w:szCs w:val="22"/>
              </w:rPr>
            </w:pPr>
            <w:r>
              <w:rPr>
                <w:rFonts w:hint="eastAsia" w:ascii="宋体" w:eastAsia="宋体"/>
                <w:b w:val="0"/>
                <w:color w:val="auto"/>
                <w:sz w:val="22"/>
                <w:szCs w:val="22"/>
              </w:rPr>
              <w:t>□接受，应满足下列要求：</w:t>
            </w:r>
          </w:p>
        </w:tc>
      </w:tr>
      <w:tr w14:paraId="46A3C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7727C88">
            <w:pPr>
              <w:jc w:val="center"/>
              <w:rPr>
                <w:rFonts w:ascii="宋体" w:eastAsia="宋体"/>
                <w:b w:val="0"/>
                <w:color w:val="auto"/>
                <w:sz w:val="22"/>
                <w:szCs w:val="22"/>
              </w:rPr>
            </w:pPr>
            <w:r>
              <w:rPr>
                <w:rFonts w:hint="eastAsia" w:ascii="宋体" w:eastAsia="宋体"/>
                <w:b w:val="0"/>
                <w:color w:val="auto"/>
                <w:sz w:val="22"/>
                <w:szCs w:val="22"/>
              </w:rPr>
              <w:t>12</w:t>
            </w:r>
          </w:p>
        </w:tc>
        <w:tc>
          <w:tcPr>
            <w:tcW w:w="1293" w:type="dxa"/>
            <w:vAlign w:val="center"/>
          </w:tcPr>
          <w:p w14:paraId="12D8A56B">
            <w:pPr>
              <w:adjustRightInd w:val="0"/>
              <w:jc w:val="center"/>
              <w:rPr>
                <w:rFonts w:ascii="宋体" w:eastAsia="宋体"/>
                <w:b w:val="0"/>
                <w:color w:val="auto"/>
                <w:sz w:val="22"/>
                <w:szCs w:val="22"/>
              </w:rPr>
            </w:pPr>
            <w:r>
              <w:rPr>
                <w:rFonts w:hint="eastAsia" w:ascii="宋体" w:eastAsia="宋体"/>
                <w:b w:val="0"/>
                <w:color w:val="auto"/>
                <w:sz w:val="22"/>
                <w:szCs w:val="22"/>
              </w:rPr>
              <w:t>踏勘现场</w:t>
            </w:r>
          </w:p>
        </w:tc>
        <w:tc>
          <w:tcPr>
            <w:tcW w:w="6627" w:type="dxa"/>
            <w:vAlign w:val="center"/>
          </w:tcPr>
          <w:p w14:paraId="3C4CB71D">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不组织</w:t>
            </w:r>
          </w:p>
          <w:p w14:paraId="3AC922D1">
            <w:pPr>
              <w:adjustRightInd w:val="0"/>
              <w:rPr>
                <w:rFonts w:ascii="宋体" w:eastAsia="宋体"/>
                <w:b w:val="0"/>
                <w:color w:val="auto"/>
                <w:sz w:val="22"/>
                <w:szCs w:val="22"/>
              </w:rPr>
            </w:pPr>
            <w:r>
              <w:rPr>
                <w:rFonts w:hint="eastAsia" w:ascii="宋体" w:eastAsia="宋体"/>
                <w:b w:val="0"/>
                <w:color w:val="auto"/>
                <w:sz w:val="22"/>
                <w:szCs w:val="22"/>
              </w:rPr>
              <w:t xml:space="preserve">□组织   </w:t>
            </w:r>
          </w:p>
        </w:tc>
      </w:tr>
      <w:tr w14:paraId="350CD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2A0F6A8E">
            <w:pPr>
              <w:jc w:val="center"/>
              <w:rPr>
                <w:rFonts w:ascii="宋体" w:eastAsia="宋体"/>
                <w:b w:val="0"/>
                <w:color w:val="auto"/>
                <w:sz w:val="22"/>
                <w:szCs w:val="22"/>
              </w:rPr>
            </w:pPr>
            <w:r>
              <w:rPr>
                <w:rFonts w:hint="eastAsia" w:ascii="宋体" w:eastAsia="宋体"/>
                <w:b w:val="0"/>
                <w:color w:val="auto"/>
                <w:sz w:val="22"/>
                <w:szCs w:val="22"/>
              </w:rPr>
              <w:t>13</w:t>
            </w:r>
          </w:p>
        </w:tc>
        <w:tc>
          <w:tcPr>
            <w:tcW w:w="1293" w:type="dxa"/>
            <w:vAlign w:val="center"/>
          </w:tcPr>
          <w:p w14:paraId="17B8F334">
            <w:pPr>
              <w:adjustRightInd w:val="0"/>
              <w:jc w:val="center"/>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6627" w:type="dxa"/>
            <w:vAlign w:val="center"/>
          </w:tcPr>
          <w:p w14:paraId="2131ACAE">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 xml:space="preserve"> 不允许</w:t>
            </w:r>
          </w:p>
          <w:p w14:paraId="3787B5CF">
            <w:pPr>
              <w:adjustRightInd w:val="0"/>
              <w:rPr>
                <w:rFonts w:ascii="宋体" w:eastAsia="宋体"/>
                <w:b w:val="0"/>
                <w:color w:val="auto"/>
                <w:sz w:val="22"/>
                <w:szCs w:val="22"/>
              </w:rPr>
            </w:pPr>
            <w:r>
              <w:rPr>
                <w:rFonts w:hint="eastAsia" w:ascii="宋体" w:eastAsia="宋体"/>
                <w:b w:val="0"/>
                <w:color w:val="auto"/>
                <w:sz w:val="22"/>
                <w:szCs w:val="22"/>
              </w:rPr>
              <w:t>□ 允许</w:t>
            </w:r>
          </w:p>
        </w:tc>
      </w:tr>
      <w:tr w14:paraId="1F804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5529CD5D">
            <w:pPr>
              <w:jc w:val="center"/>
              <w:rPr>
                <w:rFonts w:ascii="宋体" w:eastAsia="宋体"/>
                <w:b w:val="0"/>
                <w:color w:val="auto"/>
                <w:sz w:val="22"/>
                <w:szCs w:val="22"/>
              </w:rPr>
            </w:pPr>
            <w:r>
              <w:rPr>
                <w:rFonts w:hint="eastAsia" w:ascii="宋体" w:eastAsia="宋体"/>
                <w:b w:val="0"/>
                <w:color w:val="auto"/>
                <w:sz w:val="22"/>
                <w:szCs w:val="22"/>
              </w:rPr>
              <w:t>14</w:t>
            </w:r>
          </w:p>
        </w:tc>
        <w:tc>
          <w:tcPr>
            <w:tcW w:w="1293" w:type="dxa"/>
            <w:vAlign w:val="center"/>
          </w:tcPr>
          <w:p w14:paraId="4C2B2CB8">
            <w:pPr>
              <w:adjustRightInd w:val="0"/>
              <w:jc w:val="center"/>
              <w:rPr>
                <w:rFonts w:ascii="宋体" w:eastAsia="宋体"/>
                <w:b w:val="0"/>
                <w:color w:val="auto"/>
                <w:sz w:val="22"/>
                <w:szCs w:val="22"/>
              </w:rPr>
            </w:pPr>
            <w:r>
              <w:rPr>
                <w:rFonts w:hint="eastAsia" w:ascii="宋体" w:eastAsia="宋体"/>
                <w:b w:val="0"/>
                <w:color w:val="auto"/>
                <w:sz w:val="22"/>
                <w:szCs w:val="22"/>
              </w:rPr>
              <w:t>分包</w:t>
            </w:r>
          </w:p>
        </w:tc>
        <w:tc>
          <w:tcPr>
            <w:tcW w:w="6627" w:type="dxa"/>
            <w:vAlign w:val="center"/>
          </w:tcPr>
          <w:p w14:paraId="2C149437">
            <w:pPr>
              <w:adjustRightInd w:val="0"/>
              <w:rPr>
                <w:rFonts w:ascii="宋体" w:eastAsia="宋体"/>
                <w:b w:val="0"/>
                <w:color w:val="auto"/>
                <w:sz w:val="22"/>
                <w:szCs w:val="22"/>
              </w:rPr>
            </w:pPr>
            <w:r>
              <w:rPr>
                <w:rFonts w:hint="eastAsia" w:ascii="宋体" w:eastAsia="宋体"/>
                <w:b w:val="0"/>
                <w:color w:val="auto"/>
                <w:sz w:val="22"/>
                <w:szCs w:val="22"/>
              </w:rPr>
              <w:sym w:font="Wingdings 2" w:char="0052"/>
            </w:r>
            <w:r>
              <w:rPr>
                <w:rFonts w:hint="eastAsia" w:ascii="宋体" w:eastAsia="宋体"/>
                <w:b w:val="0"/>
                <w:color w:val="auto"/>
                <w:sz w:val="22"/>
                <w:szCs w:val="22"/>
              </w:rPr>
              <w:t>不允许</w:t>
            </w:r>
          </w:p>
          <w:p w14:paraId="2C416A22">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允许</w:t>
            </w:r>
          </w:p>
        </w:tc>
      </w:tr>
      <w:tr w14:paraId="6A33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1245" w:type="dxa"/>
            <w:vAlign w:val="center"/>
          </w:tcPr>
          <w:p w14:paraId="6F90F8C5">
            <w:pPr>
              <w:jc w:val="center"/>
              <w:rPr>
                <w:rFonts w:ascii="宋体" w:eastAsia="宋体"/>
                <w:b w:val="0"/>
                <w:color w:val="auto"/>
                <w:sz w:val="22"/>
                <w:szCs w:val="22"/>
              </w:rPr>
            </w:pPr>
            <w:r>
              <w:rPr>
                <w:rFonts w:hint="eastAsia" w:ascii="宋体" w:eastAsia="宋体"/>
                <w:b w:val="0"/>
                <w:color w:val="auto"/>
                <w:sz w:val="22"/>
                <w:szCs w:val="22"/>
              </w:rPr>
              <w:t>15</w:t>
            </w:r>
          </w:p>
        </w:tc>
        <w:tc>
          <w:tcPr>
            <w:tcW w:w="1293" w:type="dxa"/>
            <w:vAlign w:val="center"/>
          </w:tcPr>
          <w:p w14:paraId="19D6D570">
            <w:pPr>
              <w:adjustRightInd w:val="0"/>
              <w:jc w:val="center"/>
              <w:rPr>
                <w:rFonts w:ascii="宋体" w:eastAsia="宋体"/>
                <w:b w:val="0"/>
                <w:color w:val="auto"/>
                <w:sz w:val="22"/>
                <w:szCs w:val="22"/>
              </w:rPr>
            </w:pPr>
            <w:r>
              <w:rPr>
                <w:rFonts w:hint="eastAsia" w:ascii="宋体" w:eastAsia="宋体"/>
                <w:b w:val="0"/>
                <w:color w:val="auto"/>
                <w:sz w:val="22"/>
                <w:szCs w:val="22"/>
              </w:rPr>
              <w:t>报价货币</w:t>
            </w:r>
          </w:p>
        </w:tc>
        <w:tc>
          <w:tcPr>
            <w:tcW w:w="6627" w:type="dxa"/>
            <w:vAlign w:val="center"/>
          </w:tcPr>
          <w:p w14:paraId="763F627D">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5AC58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1245" w:type="dxa"/>
            <w:vAlign w:val="center"/>
          </w:tcPr>
          <w:p w14:paraId="2E77C4D5">
            <w:pPr>
              <w:jc w:val="center"/>
              <w:rPr>
                <w:rFonts w:ascii="宋体" w:eastAsia="宋体"/>
                <w:b w:val="0"/>
                <w:color w:val="auto"/>
                <w:sz w:val="22"/>
                <w:szCs w:val="22"/>
              </w:rPr>
            </w:pPr>
            <w:r>
              <w:rPr>
                <w:rFonts w:hint="eastAsia" w:ascii="宋体" w:eastAsia="宋体"/>
                <w:b w:val="0"/>
                <w:color w:val="auto"/>
                <w:sz w:val="22"/>
                <w:szCs w:val="22"/>
              </w:rPr>
              <w:t>16</w:t>
            </w:r>
          </w:p>
        </w:tc>
        <w:tc>
          <w:tcPr>
            <w:tcW w:w="1293" w:type="dxa"/>
            <w:vAlign w:val="center"/>
          </w:tcPr>
          <w:p w14:paraId="12F16ED2">
            <w:pPr>
              <w:adjustRightInd w:val="0"/>
              <w:jc w:val="center"/>
              <w:rPr>
                <w:rFonts w:ascii="宋体" w:eastAsia="宋体"/>
                <w:b w:val="0"/>
                <w:color w:val="auto"/>
                <w:sz w:val="22"/>
                <w:szCs w:val="22"/>
              </w:rPr>
            </w:pPr>
            <w:r>
              <w:rPr>
                <w:rFonts w:hint="eastAsia" w:ascii="宋体" w:eastAsia="宋体"/>
                <w:b w:val="0"/>
                <w:color w:val="auto"/>
                <w:sz w:val="22"/>
                <w:szCs w:val="22"/>
              </w:rPr>
              <w:t>报价语言</w:t>
            </w:r>
          </w:p>
        </w:tc>
        <w:tc>
          <w:tcPr>
            <w:tcW w:w="6627" w:type="dxa"/>
            <w:vAlign w:val="center"/>
          </w:tcPr>
          <w:p w14:paraId="17D920CD">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0D835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1245" w:type="dxa"/>
            <w:vAlign w:val="center"/>
          </w:tcPr>
          <w:p w14:paraId="2F197E82">
            <w:pPr>
              <w:jc w:val="center"/>
              <w:rPr>
                <w:rFonts w:ascii="宋体" w:eastAsia="宋体"/>
                <w:b w:val="0"/>
                <w:color w:val="auto"/>
                <w:sz w:val="22"/>
                <w:szCs w:val="22"/>
              </w:rPr>
            </w:pPr>
            <w:r>
              <w:rPr>
                <w:rFonts w:hint="eastAsia" w:ascii="宋体" w:eastAsia="宋体"/>
                <w:b w:val="0"/>
                <w:color w:val="auto"/>
                <w:sz w:val="22"/>
                <w:szCs w:val="22"/>
              </w:rPr>
              <w:t>17</w:t>
            </w:r>
          </w:p>
        </w:tc>
        <w:tc>
          <w:tcPr>
            <w:tcW w:w="1293" w:type="dxa"/>
            <w:vAlign w:val="center"/>
          </w:tcPr>
          <w:p w14:paraId="6DB711A3">
            <w:pPr>
              <w:adjustRightInd w:val="0"/>
              <w:rPr>
                <w:rFonts w:ascii="宋体" w:eastAsia="宋体"/>
                <w:b w:val="0"/>
                <w:color w:val="auto"/>
                <w:sz w:val="22"/>
                <w:szCs w:val="22"/>
              </w:rPr>
            </w:pPr>
            <w:r>
              <w:rPr>
                <w:rFonts w:hint="eastAsia" w:ascii="宋体" w:eastAsia="宋体"/>
                <w:b w:val="0"/>
                <w:color w:val="auto"/>
                <w:sz w:val="22"/>
                <w:szCs w:val="22"/>
              </w:rPr>
              <w:t>响应文件的编制</w:t>
            </w:r>
          </w:p>
        </w:tc>
        <w:tc>
          <w:tcPr>
            <w:tcW w:w="6627" w:type="dxa"/>
            <w:vAlign w:val="center"/>
          </w:tcPr>
          <w:p w14:paraId="5345CEC0">
            <w:pPr>
              <w:adjustRightInd w:val="0"/>
              <w:rPr>
                <w:rFonts w:ascii="宋体" w:eastAsia="宋体"/>
                <w:b w:val="0"/>
                <w:color w:val="auto"/>
                <w:sz w:val="22"/>
                <w:szCs w:val="22"/>
              </w:rPr>
            </w:pPr>
            <w:r>
              <w:rPr>
                <w:rFonts w:hint="eastAsia" w:ascii="宋体" w:eastAsia="宋体"/>
                <w:b w:val="0"/>
                <w:color w:val="auto"/>
                <w:sz w:val="22"/>
                <w:szCs w:val="22"/>
              </w:rPr>
              <w:t>供应商应先安装“政采云电子交易客户端”，并按照本采购文件和“政采云平台”的要求，通过“政采云电子交易客户端”编制并加密响应文件。</w:t>
            </w:r>
          </w:p>
        </w:tc>
      </w:tr>
      <w:tr w14:paraId="28498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60A5FFAF">
            <w:pPr>
              <w:jc w:val="center"/>
              <w:rPr>
                <w:rFonts w:ascii="宋体" w:eastAsia="宋体"/>
                <w:b w:val="0"/>
                <w:color w:val="auto"/>
                <w:sz w:val="22"/>
                <w:szCs w:val="22"/>
              </w:rPr>
            </w:pPr>
            <w:r>
              <w:rPr>
                <w:rFonts w:hint="eastAsia" w:ascii="宋体" w:eastAsia="宋体"/>
                <w:b w:val="0"/>
                <w:color w:val="auto"/>
                <w:sz w:val="22"/>
                <w:szCs w:val="22"/>
              </w:rPr>
              <w:t>18</w:t>
            </w:r>
          </w:p>
        </w:tc>
        <w:tc>
          <w:tcPr>
            <w:tcW w:w="1293" w:type="dxa"/>
            <w:vAlign w:val="center"/>
          </w:tcPr>
          <w:p w14:paraId="4A264EE4">
            <w:pPr>
              <w:jc w:val="center"/>
              <w:rPr>
                <w:rFonts w:ascii="宋体" w:eastAsia="宋体"/>
                <w:b w:val="0"/>
                <w:color w:val="auto"/>
                <w:sz w:val="22"/>
                <w:szCs w:val="22"/>
              </w:rPr>
            </w:pPr>
            <w:r>
              <w:rPr>
                <w:rFonts w:hint="eastAsia" w:ascii="宋体" w:eastAsia="宋体"/>
                <w:b w:val="0"/>
                <w:color w:val="auto"/>
                <w:sz w:val="22"/>
                <w:szCs w:val="22"/>
              </w:rPr>
              <w:t>报价有效期</w:t>
            </w:r>
          </w:p>
        </w:tc>
        <w:tc>
          <w:tcPr>
            <w:tcW w:w="6627" w:type="dxa"/>
            <w:vAlign w:val="center"/>
          </w:tcPr>
          <w:p w14:paraId="1112AF03">
            <w:pPr>
              <w:rPr>
                <w:rFonts w:ascii="宋体" w:eastAsia="宋体"/>
                <w:color w:val="auto"/>
              </w:rPr>
            </w:pPr>
            <w:r>
              <w:rPr>
                <w:rFonts w:hint="eastAsia" w:ascii="宋体" w:eastAsia="宋体"/>
                <w:b w:val="0"/>
                <w:color w:val="auto"/>
                <w:sz w:val="22"/>
                <w:szCs w:val="22"/>
              </w:rPr>
              <w:t>提交响应文件截止时间起90天内</w:t>
            </w:r>
          </w:p>
        </w:tc>
      </w:tr>
      <w:tr w14:paraId="399A9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21D5E15D">
            <w:pPr>
              <w:jc w:val="center"/>
              <w:rPr>
                <w:rFonts w:ascii="宋体" w:eastAsia="宋体"/>
                <w:b w:val="0"/>
                <w:color w:val="auto"/>
                <w:sz w:val="22"/>
                <w:szCs w:val="22"/>
              </w:rPr>
            </w:pPr>
            <w:r>
              <w:rPr>
                <w:rFonts w:hint="eastAsia" w:ascii="宋体" w:eastAsia="宋体"/>
                <w:b w:val="0"/>
                <w:color w:val="auto"/>
                <w:sz w:val="22"/>
                <w:szCs w:val="22"/>
              </w:rPr>
              <w:t>19</w:t>
            </w:r>
          </w:p>
        </w:tc>
        <w:tc>
          <w:tcPr>
            <w:tcW w:w="1293" w:type="dxa"/>
            <w:vAlign w:val="center"/>
          </w:tcPr>
          <w:p w14:paraId="45EDCECD">
            <w:pPr>
              <w:jc w:val="center"/>
              <w:rPr>
                <w:rFonts w:ascii="宋体" w:eastAsia="宋体"/>
                <w:b w:val="0"/>
                <w:color w:val="auto"/>
                <w:sz w:val="22"/>
                <w:szCs w:val="22"/>
              </w:rPr>
            </w:pPr>
            <w:r>
              <w:rPr>
                <w:rFonts w:hint="eastAsia" w:ascii="宋体" w:eastAsia="宋体"/>
                <w:b w:val="0"/>
                <w:color w:val="auto"/>
                <w:sz w:val="22"/>
                <w:szCs w:val="22"/>
              </w:rPr>
              <w:t>签字或盖章要求</w:t>
            </w:r>
          </w:p>
        </w:tc>
        <w:tc>
          <w:tcPr>
            <w:tcW w:w="6627" w:type="dxa"/>
            <w:vAlign w:val="center"/>
          </w:tcPr>
          <w:p w14:paraId="7CE62EEF">
            <w:pPr>
              <w:rPr>
                <w:rFonts w:ascii="宋体" w:eastAsia="宋体"/>
                <w:b w:val="0"/>
                <w:color w:val="auto"/>
                <w:sz w:val="22"/>
                <w:szCs w:val="22"/>
              </w:rPr>
            </w:pPr>
            <w:r>
              <w:rPr>
                <w:rFonts w:hint="eastAsia" w:ascii="宋体" w:eastAsia="宋体"/>
                <w:b w:val="0"/>
                <w:color w:val="auto"/>
                <w:sz w:val="22"/>
                <w:szCs w:val="22"/>
              </w:rPr>
              <w:t>响应文件的相应位置应加盖：电子签章。</w:t>
            </w:r>
          </w:p>
          <w:p w14:paraId="3C6924E9">
            <w:pPr>
              <w:rPr>
                <w:rFonts w:ascii="宋体" w:eastAsia="宋体"/>
                <w:color w:val="auto"/>
              </w:rPr>
            </w:pPr>
            <w:r>
              <w:rPr>
                <w:rFonts w:hint="eastAsia" w:ascii="宋体" w:eastAsia="宋体"/>
                <w:b w:val="0"/>
                <w:color w:val="auto"/>
                <w:sz w:val="22"/>
                <w:szCs w:val="22"/>
              </w:rPr>
              <w:t>注：本项目电子招投标活动中的签字与电子签章具有同等法律效应。</w:t>
            </w:r>
          </w:p>
        </w:tc>
      </w:tr>
      <w:tr w14:paraId="1D842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3BF29851">
            <w:pPr>
              <w:jc w:val="center"/>
              <w:rPr>
                <w:rFonts w:ascii="宋体" w:eastAsia="宋体"/>
                <w:b w:val="0"/>
                <w:color w:val="auto"/>
                <w:sz w:val="22"/>
                <w:szCs w:val="22"/>
              </w:rPr>
            </w:pPr>
            <w:r>
              <w:rPr>
                <w:rFonts w:hint="eastAsia" w:ascii="宋体" w:eastAsia="宋体"/>
                <w:b w:val="0"/>
                <w:color w:val="auto"/>
                <w:sz w:val="22"/>
                <w:szCs w:val="22"/>
              </w:rPr>
              <w:t>20</w:t>
            </w:r>
          </w:p>
        </w:tc>
        <w:tc>
          <w:tcPr>
            <w:tcW w:w="1293" w:type="dxa"/>
            <w:vAlign w:val="center"/>
          </w:tcPr>
          <w:p w14:paraId="64562BBC">
            <w:pPr>
              <w:rPr>
                <w:rFonts w:ascii="宋体" w:eastAsia="宋体"/>
                <w:b w:val="0"/>
                <w:color w:val="auto"/>
                <w:sz w:val="22"/>
                <w:szCs w:val="22"/>
              </w:rPr>
            </w:pPr>
            <w:r>
              <w:rPr>
                <w:rFonts w:hint="eastAsia" w:ascii="宋体" w:eastAsia="宋体"/>
                <w:b w:val="0"/>
                <w:color w:val="auto"/>
                <w:sz w:val="22"/>
                <w:szCs w:val="22"/>
              </w:rPr>
              <w:t>响应文件的形式、制作及组成</w:t>
            </w:r>
          </w:p>
        </w:tc>
        <w:tc>
          <w:tcPr>
            <w:tcW w:w="6627" w:type="dxa"/>
            <w:vAlign w:val="center"/>
          </w:tcPr>
          <w:p w14:paraId="61AE18CD">
            <w:pPr>
              <w:rPr>
                <w:rFonts w:ascii="宋体" w:eastAsia="宋体"/>
                <w:b w:val="0"/>
                <w:color w:val="auto"/>
                <w:sz w:val="22"/>
                <w:szCs w:val="22"/>
              </w:rPr>
            </w:pPr>
            <w:r>
              <w:rPr>
                <w:rFonts w:hint="eastAsia" w:ascii="宋体" w:eastAsia="宋体"/>
                <w:b w:val="0"/>
                <w:color w:val="auto"/>
                <w:sz w:val="22"/>
                <w:szCs w:val="22"/>
              </w:rPr>
              <w:t>本项目实行在线投标响应（电子投标）。</w:t>
            </w:r>
          </w:p>
          <w:p w14:paraId="3000C6D9">
            <w:pPr>
              <w:rPr>
                <w:rFonts w:ascii="宋体" w:eastAsia="宋体"/>
                <w:b w:val="0"/>
                <w:color w:val="auto"/>
                <w:sz w:val="22"/>
                <w:szCs w:val="22"/>
              </w:rPr>
            </w:pPr>
            <w:r>
              <w:rPr>
                <w:rFonts w:hint="eastAsia" w:ascii="宋体" w:eastAsia="宋体"/>
                <w:b w:val="0"/>
                <w:color w:val="auto"/>
                <w:sz w:val="22"/>
                <w:szCs w:val="22"/>
              </w:rPr>
              <w:t>投标供应商须准备电子响应文件（包括“电子加密响应文件”和“备份响应文件”两类，在响应文件编制完成后同时生成）。</w:t>
            </w:r>
          </w:p>
          <w:p w14:paraId="74CB00EF">
            <w:pPr>
              <w:rPr>
                <w:rFonts w:ascii="宋体" w:eastAsia="宋体"/>
                <w:b w:val="0"/>
                <w:color w:val="auto"/>
                <w:sz w:val="22"/>
                <w:szCs w:val="22"/>
              </w:rPr>
            </w:pPr>
            <w:r>
              <w:rPr>
                <w:rFonts w:hint="eastAsia" w:ascii="宋体" w:eastAsia="宋体"/>
                <w:b w:val="0"/>
                <w:color w:val="auto"/>
                <w:sz w:val="22"/>
                <w:szCs w:val="22"/>
              </w:rPr>
              <w:t>（1）“电子加密响应文件”是指通过“政采云电子交易客户端”完成响应文件编制后生成并加密的数据电文形式的响应文件。</w:t>
            </w:r>
          </w:p>
          <w:p w14:paraId="3E025CD0">
            <w:pPr>
              <w:rPr>
                <w:rFonts w:ascii="宋体" w:eastAsia="宋体"/>
                <w:b w:val="0"/>
                <w:color w:val="auto"/>
                <w:sz w:val="22"/>
                <w:szCs w:val="22"/>
              </w:rPr>
            </w:pPr>
            <w:r>
              <w:rPr>
                <w:rFonts w:hint="eastAsia" w:ascii="宋体" w:eastAsia="宋体"/>
                <w:b w:val="0"/>
                <w:color w:val="auto"/>
                <w:sz w:val="22"/>
                <w:szCs w:val="22"/>
              </w:rPr>
              <w:t>（2）“备份响应文件”是指与“电子加密响应文件”同时生成的数据电文形式的电子文件（备份标书），其他方式编制的备份响应文件视为无效备份响应文件。</w:t>
            </w:r>
          </w:p>
          <w:p w14:paraId="2B61751A">
            <w:pPr>
              <w:rPr>
                <w:rFonts w:ascii="宋体" w:eastAsia="宋体"/>
                <w:b w:val="0"/>
                <w:color w:val="auto"/>
                <w:sz w:val="22"/>
                <w:szCs w:val="22"/>
              </w:rPr>
            </w:pPr>
            <w:r>
              <w:rPr>
                <w:rFonts w:hint="eastAsia" w:ascii="宋体" w:eastAsia="宋体"/>
                <w:b w:val="0"/>
                <w:color w:val="auto"/>
                <w:sz w:val="22"/>
                <w:szCs w:val="22"/>
              </w:rPr>
              <w:t>以上两类响应文件均由资格文件、报价文件、商务技术文件三部分组成。</w:t>
            </w:r>
          </w:p>
        </w:tc>
      </w:tr>
      <w:tr w14:paraId="153A1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742DE8BC">
            <w:pPr>
              <w:jc w:val="center"/>
              <w:rPr>
                <w:rFonts w:ascii="宋体" w:eastAsia="宋体"/>
                <w:b w:val="0"/>
                <w:color w:val="auto"/>
                <w:sz w:val="22"/>
                <w:szCs w:val="22"/>
              </w:rPr>
            </w:pPr>
            <w:r>
              <w:rPr>
                <w:rFonts w:hint="eastAsia" w:ascii="宋体" w:eastAsia="宋体"/>
                <w:b w:val="0"/>
                <w:color w:val="auto"/>
                <w:sz w:val="22"/>
                <w:szCs w:val="22"/>
              </w:rPr>
              <w:t>21</w:t>
            </w:r>
          </w:p>
        </w:tc>
        <w:tc>
          <w:tcPr>
            <w:tcW w:w="1293" w:type="dxa"/>
            <w:vAlign w:val="center"/>
          </w:tcPr>
          <w:p w14:paraId="6D8BF991">
            <w:pPr>
              <w:jc w:val="center"/>
              <w:rPr>
                <w:rFonts w:ascii="宋体" w:eastAsia="宋体"/>
                <w:b w:val="0"/>
                <w:color w:val="auto"/>
                <w:sz w:val="22"/>
                <w:szCs w:val="22"/>
              </w:rPr>
            </w:pPr>
            <w:r>
              <w:rPr>
                <w:rFonts w:hint="eastAsia" w:ascii="宋体" w:eastAsia="宋体"/>
                <w:b w:val="0"/>
                <w:color w:val="auto"/>
                <w:sz w:val="22"/>
                <w:szCs w:val="22"/>
              </w:rPr>
              <w:t>投标样品</w:t>
            </w:r>
          </w:p>
        </w:tc>
        <w:tc>
          <w:tcPr>
            <w:tcW w:w="6627" w:type="dxa"/>
            <w:vAlign w:val="center"/>
          </w:tcPr>
          <w:p w14:paraId="639BEBCE">
            <w:pPr>
              <w:rPr>
                <w:rFonts w:ascii="宋体" w:eastAsia="宋体"/>
                <w:b w:val="0"/>
                <w:color w:val="auto"/>
                <w:sz w:val="22"/>
                <w:szCs w:val="22"/>
              </w:rPr>
            </w:pPr>
            <w:r>
              <w:rPr>
                <w:rFonts w:hint="eastAsia" w:ascii="宋体" w:eastAsia="宋体"/>
                <w:b w:val="0"/>
                <w:color w:val="auto"/>
                <w:sz w:val="22"/>
                <w:szCs w:val="22"/>
              </w:rPr>
              <w:sym w:font="Wingdings 2" w:char="0052"/>
            </w:r>
            <w:r>
              <w:rPr>
                <w:rFonts w:hint="eastAsia" w:ascii="宋体" w:eastAsia="宋体"/>
                <w:b w:val="0"/>
                <w:color w:val="auto"/>
                <w:sz w:val="22"/>
                <w:szCs w:val="22"/>
              </w:rPr>
              <w:t>不需要</w:t>
            </w:r>
          </w:p>
          <w:p w14:paraId="0FB2FC75">
            <w:pPr>
              <w:rPr>
                <w:rFonts w:ascii="宋体" w:eastAsia="宋体"/>
                <w:color w:val="auto"/>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需要</w:t>
            </w:r>
          </w:p>
        </w:tc>
      </w:tr>
      <w:tr w14:paraId="5097B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6D1C9CE4">
            <w:pPr>
              <w:jc w:val="center"/>
              <w:rPr>
                <w:rFonts w:ascii="宋体" w:eastAsia="宋体"/>
                <w:b w:val="0"/>
                <w:color w:val="auto"/>
                <w:sz w:val="22"/>
                <w:szCs w:val="22"/>
              </w:rPr>
            </w:pPr>
            <w:r>
              <w:rPr>
                <w:rFonts w:hint="eastAsia" w:ascii="宋体" w:eastAsia="宋体"/>
                <w:b w:val="0"/>
                <w:color w:val="auto"/>
                <w:sz w:val="22"/>
                <w:szCs w:val="22"/>
              </w:rPr>
              <w:t>22</w:t>
            </w:r>
          </w:p>
        </w:tc>
        <w:tc>
          <w:tcPr>
            <w:tcW w:w="1293" w:type="dxa"/>
            <w:vAlign w:val="center"/>
          </w:tcPr>
          <w:p w14:paraId="68FBFE88">
            <w:pPr>
              <w:jc w:val="center"/>
              <w:rPr>
                <w:rFonts w:ascii="宋体" w:eastAsia="宋体"/>
                <w:b w:val="0"/>
                <w:color w:val="auto"/>
                <w:sz w:val="22"/>
                <w:szCs w:val="22"/>
              </w:rPr>
            </w:pPr>
            <w:r>
              <w:rPr>
                <w:rFonts w:hint="eastAsia" w:ascii="宋体" w:eastAsia="宋体"/>
                <w:b w:val="0"/>
                <w:color w:val="auto"/>
                <w:sz w:val="22"/>
                <w:szCs w:val="22"/>
              </w:rPr>
              <w:t>投标保证金</w:t>
            </w:r>
          </w:p>
        </w:tc>
        <w:tc>
          <w:tcPr>
            <w:tcW w:w="6627" w:type="dxa"/>
            <w:vAlign w:val="center"/>
          </w:tcPr>
          <w:p w14:paraId="248D18A2">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p w14:paraId="5A749D33">
            <w:pPr>
              <w:rPr>
                <w:rFonts w:ascii="宋体" w:eastAsia="宋体"/>
                <w:b w:val="0"/>
                <w:color w:val="auto"/>
                <w:sz w:val="22"/>
                <w:szCs w:val="22"/>
              </w:rPr>
            </w:pPr>
            <w:r>
              <w:rPr>
                <w:rFonts w:hint="eastAsia" w:ascii="宋体" w:eastAsia="宋体"/>
                <w:b w:val="0"/>
                <w:color w:val="auto"/>
                <w:sz w:val="22"/>
                <w:szCs w:val="22"/>
              </w:rPr>
              <w:t>□需要</w:t>
            </w:r>
          </w:p>
        </w:tc>
      </w:tr>
      <w:tr w14:paraId="11297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1245" w:type="dxa"/>
            <w:vAlign w:val="center"/>
          </w:tcPr>
          <w:p w14:paraId="34F970CE">
            <w:pPr>
              <w:jc w:val="center"/>
              <w:rPr>
                <w:rFonts w:ascii="宋体" w:eastAsia="宋体"/>
                <w:b w:val="0"/>
                <w:color w:val="auto"/>
                <w:sz w:val="22"/>
                <w:szCs w:val="22"/>
              </w:rPr>
            </w:pPr>
            <w:r>
              <w:rPr>
                <w:rFonts w:hint="eastAsia" w:ascii="宋体" w:eastAsia="宋体"/>
                <w:b w:val="0"/>
                <w:color w:val="auto"/>
                <w:sz w:val="22"/>
                <w:szCs w:val="22"/>
              </w:rPr>
              <w:t>23</w:t>
            </w:r>
          </w:p>
        </w:tc>
        <w:tc>
          <w:tcPr>
            <w:tcW w:w="1293" w:type="dxa"/>
            <w:vAlign w:val="center"/>
          </w:tcPr>
          <w:p w14:paraId="48161710">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6627" w:type="dxa"/>
            <w:vAlign w:val="center"/>
          </w:tcPr>
          <w:p w14:paraId="511922D5">
            <w:pPr>
              <w:rPr>
                <w:rFonts w:ascii="宋体" w:eastAsia="宋体"/>
                <w:b w:val="0"/>
                <w:color w:val="auto"/>
                <w:sz w:val="22"/>
                <w:szCs w:val="22"/>
              </w:rPr>
            </w:pPr>
            <w:r>
              <w:rPr>
                <w:rFonts w:hint="eastAsia" w:ascii="宋体" w:eastAsia="宋体"/>
                <w:b w:val="0"/>
                <w:color w:val="auto"/>
                <w:sz w:val="22"/>
                <w:szCs w:val="22"/>
              </w:rPr>
              <w:sym w:font="Wingdings 2" w:char="0052"/>
            </w:r>
            <w:r>
              <w:rPr>
                <w:rFonts w:hint="eastAsia" w:ascii="宋体" w:eastAsia="宋体"/>
                <w:b w:val="0"/>
                <w:color w:val="auto"/>
                <w:sz w:val="22"/>
                <w:szCs w:val="22"/>
              </w:rPr>
              <w:t>不需要</w:t>
            </w:r>
          </w:p>
          <w:p w14:paraId="1F09C9B4">
            <w:pPr>
              <w:adjustRightInd w:val="0"/>
              <w:rPr>
                <w:rFonts w:ascii="宋体" w:eastAsia="宋体"/>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color w:val="auto"/>
                <w:sz w:val="22"/>
                <w:szCs w:val="22"/>
              </w:rPr>
              <w:t xml:space="preserve">需要 </w:t>
            </w:r>
            <w:r>
              <w:rPr>
                <w:rFonts w:hint="eastAsia" w:ascii="宋体" w:eastAsia="宋体"/>
                <w:bCs w:val="0"/>
                <w:color w:val="auto"/>
                <w:sz w:val="22"/>
                <w:szCs w:val="22"/>
              </w:rPr>
              <w:t xml:space="preserve"> 合同签订后成交供应商应提供合同金额的1%履约保证金至采购人指定账户，履约保证金可以以银行或保险公司出具的保函作为履约保函。</w:t>
            </w:r>
          </w:p>
        </w:tc>
      </w:tr>
      <w:tr w14:paraId="7F17B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1245" w:type="dxa"/>
            <w:vAlign w:val="center"/>
          </w:tcPr>
          <w:p w14:paraId="7C25843E">
            <w:pPr>
              <w:jc w:val="center"/>
              <w:rPr>
                <w:rFonts w:ascii="宋体" w:eastAsia="宋体"/>
                <w:b w:val="0"/>
                <w:color w:val="auto"/>
                <w:sz w:val="22"/>
                <w:szCs w:val="22"/>
              </w:rPr>
            </w:pPr>
            <w:r>
              <w:rPr>
                <w:rFonts w:hint="eastAsia" w:ascii="宋体" w:eastAsia="宋体"/>
                <w:b w:val="0"/>
                <w:color w:val="auto"/>
                <w:sz w:val="22"/>
                <w:szCs w:val="22"/>
              </w:rPr>
              <w:t>24</w:t>
            </w:r>
          </w:p>
        </w:tc>
        <w:tc>
          <w:tcPr>
            <w:tcW w:w="1293" w:type="dxa"/>
            <w:vAlign w:val="center"/>
          </w:tcPr>
          <w:p w14:paraId="5A683D8A">
            <w:pPr>
              <w:adjustRightInd w:val="0"/>
              <w:jc w:val="center"/>
              <w:rPr>
                <w:rFonts w:ascii="宋体" w:eastAsia="宋体"/>
                <w:b w:val="0"/>
                <w:color w:val="auto"/>
                <w:sz w:val="22"/>
                <w:szCs w:val="22"/>
              </w:rPr>
            </w:pPr>
            <w:r>
              <w:rPr>
                <w:rFonts w:hint="eastAsia" w:ascii="宋体" w:eastAsia="宋体"/>
                <w:b w:val="0"/>
                <w:color w:val="auto"/>
                <w:sz w:val="22"/>
                <w:szCs w:val="22"/>
              </w:rPr>
              <w:t>响应文件份数</w:t>
            </w:r>
          </w:p>
        </w:tc>
        <w:tc>
          <w:tcPr>
            <w:tcW w:w="6627" w:type="dxa"/>
            <w:vAlign w:val="center"/>
          </w:tcPr>
          <w:p w14:paraId="22697684">
            <w:pPr>
              <w:adjustRightInd w:val="0"/>
              <w:rPr>
                <w:rFonts w:ascii="宋体" w:eastAsia="宋体"/>
                <w:b w:val="0"/>
                <w:color w:val="auto"/>
                <w:sz w:val="22"/>
                <w:szCs w:val="22"/>
              </w:rPr>
            </w:pPr>
            <w:r>
              <w:rPr>
                <w:rFonts w:hint="eastAsia" w:ascii="宋体" w:eastAsia="宋体"/>
                <w:b w:val="0"/>
                <w:color w:val="auto"/>
                <w:sz w:val="22"/>
                <w:szCs w:val="22"/>
              </w:rPr>
              <w:t>（1）“电子加密响应文件”：在线上传递交、一份。</w:t>
            </w:r>
          </w:p>
          <w:p w14:paraId="217B9DC3">
            <w:pPr>
              <w:adjustRightInd w:val="0"/>
              <w:rPr>
                <w:rFonts w:ascii="宋体" w:eastAsia="宋体"/>
                <w:b w:val="0"/>
                <w:color w:val="auto"/>
                <w:sz w:val="22"/>
                <w:szCs w:val="22"/>
              </w:rPr>
            </w:pPr>
            <w:r>
              <w:rPr>
                <w:rFonts w:hint="eastAsia" w:ascii="宋体" w:eastAsia="宋体"/>
                <w:b w:val="0"/>
                <w:color w:val="auto"/>
                <w:sz w:val="22"/>
                <w:szCs w:val="22"/>
              </w:rPr>
              <w:t>（2）“备份响应文件”：可以U盘存储，密封包装后（顺丰快递形式）在响应文件递交截止时间及开标时间前递交，送达时间以签收人签收时间为准，一份，邮寄地址：温州市永嘉县南城街道环城北路618号云碓大厦503室，胡可可 （收）联系电话：15258683545。</w:t>
            </w:r>
          </w:p>
          <w:p w14:paraId="3CFDC631">
            <w:pPr>
              <w:adjustRightInd w:val="0"/>
              <w:rPr>
                <w:rFonts w:ascii="宋体" w:eastAsia="宋体"/>
                <w:color w:val="auto"/>
              </w:rPr>
            </w:pPr>
            <w:r>
              <w:rPr>
                <w:rFonts w:hint="eastAsia" w:ascii="宋体" w:eastAsia="宋体"/>
                <w:b w:val="0"/>
                <w:color w:val="auto"/>
                <w:sz w:val="22"/>
                <w:szCs w:val="22"/>
              </w:rPr>
              <w:t>注：“备份响应文件”由供应商自行是否提供。</w:t>
            </w:r>
          </w:p>
        </w:tc>
      </w:tr>
      <w:tr w14:paraId="0CEB2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1245" w:type="dxa"/>
            <w:vAlign w:val="center"/>
          </w:tcPr>
          <w:p w14:paraId="58F1B6F7">
            <w:pPr>
              <w:jc w:val="center"/>
              <w:rPr>
                <w:rFonts w:ascii="宋体" w:eastAsia="宋体"/>
                <w:b w:val="0"/>
                <w:color w:val="auto"/>
                <w:sz w:val="22"/>
                <w:szCs w:val="22"/>
              </w:rPr>
            </w:pPr>
            <w:r>
              <w:rPr>
                <w:rFonts w:hint="eastAsia" w:ascii="宋体" w:eastAsia="宋体"/>
                <w:b w:val="0"/>
                <w:color w:val="auto"/>
                <w:sz w:val="22"/>
                <w:szCs w:val="22"/>
              </w:rPr>
              <w:t>25</w:t>
            </w:r>
          </w:p>
        </w:tc>
        <w:tc>
          <w:tcPr>
            <w:tcW w:w="1293" w:type="dxa"/>
            <w:vAlign w:val="center"/>
          </w:tcPr>
          <w:p w14:paraId="4508D742">
            <w:pPr>
              <w:rPr>
                <w:rFonts w:ascii="宋体" w:eastAsia="宋体"/>
                <w:color w:val="auto"/>
                <w:sz w:val="22"/>
                <w:szCs w:val="22"/>
              </w:rPr>
            </w:pPr>
            <w:r>
              <w:rPr>
                <w:rFonts w:hint="eastAsia" w:ascii="宋体" w:eastAsia="宋体"/>
                <w:color w:val="auto"/>
                <w:sz w:val="22"/>
                <w:szCs w:val="22"/>
              </w:rPr>
              <w:t>响应文件递交截止时间及开标时间</w:t>
            </w:r>
          </w:p>
        </w:tc>
        <w:tc>
          <w:tcPr>
            <w:tcW w:w="6627" w:type="dxa"/>
            <w:vAlign w:val="center"/>
          </w:tcPr>
          <w:p w14:paraId="3EC0AAE3">
            <w:pPr>
              <w:rPr>
                <w:rFonts w:ascii="宋体" w:eastAsia="宋体"/>
                <w:i/>
                <w:color w:val="auto"/>
                <w:sz w:val="22"/>
                <w:szCs w:val="22"/>
              </w:rPr>
            </w:pPr>
            <w:r>
              <w:rPr>
                <w:rFonts w:hint="eastAsia" w:ascii="宋体" w:eastAsia="宋体"/>
                <w:i/>
                <w:color w:val="auto"/>
                <w:sz w:val="22"/>
                <w:szCs w:val="22"/>
              </w:rPr>
              <w:t>202</w:t>
            </w:r>
            <w:r>
              <w:rPr>
                <w:rFonts w:hint="eastAsia" w:ascii="宋体" w:eastAsia="宋体"/>
                <w:i/>
                <w:color w:val="auto"/>
                <w:sz w:val="22"/>
                <w:szCs w:val="22"/>
                <w:lang w:val="en-US" w:eastAsia="zh-CN"/>
              </w:rPr>
              <w:t>4</w:t>
            </w:r>
            <w:r>
              <w:rPr>
                <w:rFonts w:hint="eastAsia" w:ascii="宋体" w:eastAsia="宋体"/>
                <w:i/>
                <w:color w:val="auto"/>
                <w:sz w:val="22"/>
                <w:szCs w:val="22"/>
              </w:rPr>
              <w:t>年</w:t>
            </w:r>
            <w:r>
              <w:rPr>
                <w:rFonts w:hint="eastAsia" w:ascii="宋体" w:eastAsia="宋体"/>
                <w:i/>
                <w:color w:val="auto"/>
                <w:sz w:val="22"/>
                <w:szCs w:val="22"/>
                <w:lang w:val="en-US" w:eastAsia="zh-CN"/>
              </w:rPr>
              <w:t xml:space="preserve"> 11</w:t>
            </w:r>
            <w:r>
              <w:rPr>
                <w:rFonts w:hint="eastAsia" w:ascii="宋体" w:eastAsia="宋体"/>
                <w:i/>
                <w:color w:val="auto"/>
                <w:sz w:val="22"/>
                <w:szCs w:val="22"/>
              </w:rPr>
              <w:t>月</w:t>
            </w:r>
            <w:r>
              <w:rPr>
                <w:rFonts w:hint="eastAsia" w:ascii="宋体" w:eastAsia="宋体"/>
                <w:i/>
                <w:color w:val="auto"/>
                <w:sz w:val="22"/>
                <w:szCs w:val="22"/>
                <w:lang w:val="en-US" w:eastAsia="zh-CN"/>
              </w:rPr>
              <w:t>19</w:t>
            </w:r>
            <w:r>
              <w:rPr>
                <w:rFonts w:hint="eastAsia" w:ascii="宋体" w:eastAsia="宋体"/>
                <w:i/>
                <w:color w:val="auto"/>
                <w:sz w:val="22"/>
                <w:szCs w:val="22"/>
              </w:rPr>
              <w:t>日09:30 截止(北京时间)。</w:t>
            </w:r>
          </w:p>
        </w:tc>
      </w:tr>
      <w:tr w14:paraId="6B6E5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1245" w:type="dxa"/>
            <w:vAlign w:val="center"/>
          </w:tcPr>
          <w:p w14:paraId="6AF87889">
            <w:pPr>
              <w:jc w:val="center"/>
              <w:rPr>
                <w:rFonts w:ascii="宋体" w:eastAsia="宋体"/>
                <w:b w:val="0"/>
                <w:color w:val="auto"/>
                <w:sz w:val="22"/>
                <w:szCs w:val="22"/>
              </w:rPr>
            </w:pPr>
            <w:r>
              <w:rPr>
                <w:rFonts w:hint="eastAsia" w:ascii="宋体" w:eastAsia="宋体"/>
                <w:b w:val="0"/>
                <w:color w:val="auto"/>
                <w:sz w:val="22"/>
                <w:szCs w:val="22"/>
              </w:rPr>
              <w:t>26</w:t>
            </w:r>
          </w:p>
        </w:tc>
        <w:tc>
          <w:tcPr>
            <w:tcW w:w="1293" w:type="dxa"/>
            <w:vAlign w:val="center"/>
          </w:tcPr>
          <w:p w14:paraId="09F71827">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响应文件的上传和递交</w:t>
            </w:r>
          </w:p>
        </w:tc>
        <w:tc>
          <w:tcPr>
            <w:tcW w:w="6627" w:type="dxa"/>
            <w:vAlign w:val="center"/>
          </w:tcPr>
          <w:p w14:paraId="66A5E46D">
            <w:pPr>
              <w:pStyle w:val="116"/>
              <w:autoSpaceDE w:val="0"/>
              <w:autoSpaceDN w:val="0"/>
              <w:adjustRightInd w:val="0"/>
              <w:spacing w:line="300" w:lineRule="atLeast"/>
              <w:jc w:val="both"/>
              <w:rPr>
                <w:rFonts w:cs="宋体"/>
                <w:sz w:val="22"/>
              </w:rPr>
            </w:pPr>
            <w:r>
              <w:rPr>
                <w:rFonts w:hint="eastAsia" w:cs="宋体"/>
                <w:sz w:val="22"/>
              </w:rPr>
              <w:t>一、“电子加密响应文件”的上传、递交：</w:t>
            </w:r>
          </w:p>
          <w:p w14:paraId="38D25D79">
            <w:pPr>
              <w:pStyle w:val="116"/>
              <w:autoSpaceDE w:val="0"/>
              <w:autoSpaceDN w:val="0"/>
              <w:adjustRightInd w:val="0"/>
              <w:spacing w:line="300" w:lineRule="atLeast"/>
              <w:ind w:firstLine="440" w:firstLineChars="200"/>
              <w:jc w:val="both"/>
              <w:rPr>
                <w:rFonts w:cs="宋体"/>
                <w:sz w:val="22"/>
              </w:rPr>
            </w:pPr>
            <w:r>
              <w:rPr>
                <w:rFonts w:hint="eastAsia" w:cs="宋体"/>
                <w:sz w:val="22"/>
              </w:rPr>
              <w:t>a.投标供应商应在响应文件递交截止时间前将“电子加密响应文件”成功上传递交至“政采云平台”，否则投标无效。</w:t>
            </w:r>
          </w:p>
          <w:p w14:paraId="14498B5C">
            <w:pPr>
              <w:pStyle w:val="116"/>
              <w:autoSpaceDE w:val="0"/>
              <w:autoSpaceDN w:val="0"/>
              <w:adjustRightInd w:val="0"/>
              <w:spacing w:line="300" w:lineRule="atLeast"/>
              <w:ind w:firstLine="440" w:firstLineChars="200"/>
              <w:jc w:val="both"/>
              <w:rPr>
                <w:rFonts w:cs="宋体"/>
                <w:sz w:val="22"/>
              </w:rPr>
            </w:pPr>
            <w:r>
              <w:rPr>
                <w:rFonts w:hint="eastAsia" w:cs="宋体"/>
                <w:sz w:val="22"/>
              </w:rPr>
              <w:t>b.“电子加密响应文件”成功上传递交后，供应商可自行打印响应文件接收回执。</w:t>
            </w:r>
          </w:p>
          <w:p w14:paraId="0BBB7E72">
            <w:pPr>
              <w:pStyle w:val="116"/>
              <w:autoSpaceDE w:val="0"/>
              <w:autoSpaceDN w:val="0"/>
              <w:adjustRightInd w:val="0"/>
              <w:spacing w:line="300" w:lineRule="atLeast"/>
              <w:jc w:val="both"/>
              <w:rPr>
                <w:rFonts w:cs="宋体"/>
                <w:sz w:val="22"/>
              </w:rPr>
            </w:pPr>
            <w:r>
              <w:rPr>
                <w:rFonts w:hint="eastAsia" w:cs="宋体"/>
                <w:sz w:val="22"/>
              </w:rPr>
              <w:t>二、“备份响应文件”的密封包装、递交：</w:t>
            </w:r>
          </w:p>
          <w:p w14:paraId="1F6FC023">
            <w:pPr>
              <w:pStyle w:val="116"/>
              <w:autoSpaceDE w:val="0"/>
              <w:autoSpaceDN w:val="0"/>
              <w:adjustRightInd w:val="0"/>
              <w:spacing w:line="300" w:lineRule="atLeast"/>
              <w:ind w:firstLine="440" w:firstLineChars="200"/>
              <w:jc w:val="both"/>
              <w:rPr>
                <w:rFonts w:cs="宋体"/>
                <w:sz w:val="22"/>
              </w:rPr>
            </w:pPr>
            <w:r>
              <w:rPr>
                <w:rFonts w:hint="eastAsia" w:cs="宋体"/>
                <w:sz w:val="22"/>
              </w:rPr>
              <w:t>a.投标供应商在“政采云平台”完成“电子加密响应文件”的上传递交后，还可以（建议顺丰快递形式）递交以介质（U盘）存储的 “备份响应文件”（一份）；顺丰快递形式快递至采购代理机构地址（地址详见招标采购文件）；解密CA必须是上传并制作电子响应文件CA锁。</w:t>
            </w:r>
          </w:p>
          <w:p w14:paraId="63CD3B3B">
            <w:pPr>
              <w:autoSpaceDE w:val="0"/>
              <w:autoSpaceDN w:val="0"/>
              <w:adjustRightInd w:val="0"/>
              <w:spacing w:line="30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b.“备份响应文件”应当密封包装，并在包装上标注投标项目名称、投标单位名称并加盖公章。没有密封包装或者逾期邮寄送达至投标地点的“备份响应文件”将不予接收。</w:t>
            </w:r>
          </w:p>
          <w:p w14:paraId="62567B0D">
            <w:pPr>
              <w:autoSpaceDE w:val="0"/>
              <w:autoSpaceDN w:val="0"/>
              <w:adjustRightInd w:val="0"/>
              <w:spacing w:line="30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c.通过“政采云平台”成功上传递交的“电子加密响应文件”已按时解密的，“备份响应文件”自动失效。响应文件递交截止时间前，投标供应商仅递交了“备份响应文件”而未将“电子加密响应文件”成功上传至“政采云平台”的，投标无效。</w:t>
            </w:r>
          </w:p>
        </w:tc>
      </w:tr>
      <w:tr w14:paraId="049D4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1245" w:type="dxa"/>
            <w:vAlign w:val="center"/>
          </w:tcPr>
          <w:p w14:paraId="21904534">
            <w:pPr>
              <w:jc w:val="center"/>
              <w:rPr>
                <w:rFonts w:ascii="宋体" w:eastAsia="宋体"/>
                <w:b w:val="0"/>
                <w:color w:val="auto"/>
                <w:sz w:val="22"/>
                <w:szCs w:val="22"/>
              </w:rPr>
            </w:pPr>
            <w:r>
              <w:rPr>
                <w:rFonts w:hint="eastAsia" w:ascii="宋体" w:eastAsia="宋体"/>
                <w:b w:val="0"/>
                <w:color w:val="auto"/>
                <w:sz w:val="22"/>
                <w:szCs w:val="22"/>
              </w:rPr>
              <w:t>27</w:t>
            </w:r>
          </w:p>
        </w:tc>
        <w:tc>
          <w:tcPr>
            <w:tcW w:w="1293" w:type="dxa"/>
            <w:vAlign w:val="center"/>
          </w:tcPr>
          <w:p w14:paraId="0501E53A">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电子加密响应文件的解密和异常情况处理</w:t>
            </w:r>
          </w:p>
        </w:tc>
        <w:tc>
          <w:tcPr>
            <w:tcW w:w="6627" w:type="dxa"/>
            <w:vAlign w:val="center"/>
          </w:tcPr>
          <w:p w14:paraId="211C3A85">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（1）开标后，采购组织机构将向各投标供应商发出“电子加密响应文件”的解密通知，各投标供应商代表应当在接到解密通知后30分钟内自行完成“电子加密响应文件”的在线解密。</w:t>
            </w:r>
          </w:p>
          <w:p w14:paraId="0E277949">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2）通过“政采云平台”成功上传递交的“电子加密响应文件”无法按时解密，投标供应商如按规定递交了“备份响应文件”的，以“备份响应文件”为依据（由采购组织机构按“政采云平台”操作规范将“备份响应文件”上传至“政采云平台”，上传成功后，“电子加密响应文件”自动失效），否则视为响应文件撤回。</w:t>
            </w:r>
          </w:p>
          <w:p w14:paraId="177C32D6">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（3）响应文件递交截止时间前，投标供应商仅递交了“备份响应文件”而未将电子加密响应文件上传至“政采云平台”的，投标无效。</w:t>
            </w:r>
          </w:p>
        </w:tc>
      </w:tr>
      <w:tr w14:paraId="6085F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245" w:type="dxa"/>
            <w:vAlign w:val="center"/>
          </w:tcPr>
          <w:p w14:paraId="61045C9A">
            <w:pPr>
              <w:jc w:val="center"/>
              <w:rPr>
                <w:rFonts w:ascii="宋体" w:eastAsia="宋体"/>
                <w:b w:val="0"/>
                <w:color w:val="auto"/>
                <w:sz w:val="22"/>
                <w:szCs w:val="22"/>
              </w:rPr>
            </w:pPr>
            <w:r>
              <w:rPr>
                <w:rFonts w:hint="eastAsia" w:ascii="宋体" w:eastAsia="宋体"/>
                <w:b w:val="0"/>
                <w:color w:val="auto"/>
                <w:sz w:val="22"/>
                <w:szCs w:val="22"/>
              </w:rPr>
              <w:t>28</w:t>
            </w:r>
          </w:p>
        </w:tc>
        <w:tc>
          <w:tcPr>
            <w:tcW w:w="1293" w:type="dxa"/>
            <w:vAlign w:val="center"/>
          </w:tcPr>
          <w:p w14:paraId="5C808314">
            <w:pPr>
              <w:jc w:val="center"/>
              <w:rPr>
                <w:rFonts w:ascii="宋体" w:eastAsia="宋体"/>
                <w:b w:val="0"/>
                <w:color w:val="auto"/>
                <w:sz w:val="22"/>
                <w:szCs w:val="22"/>
              </w:rPr>
            </w:pPr>
            <w:r>
              <w:rPr>
                <w:rFonts w:hint="eastAsia" w:ascii="宋体" w:eastAsia="宋体"/>
                <w:b w:val="0"/>
                <w:color w:val="auto"/>
                <w:sz w:val="22"/>
                <w:szCs w:val="22"/>
              </w:rPr>
              <w:t>竞争性磋商采购小组的组建</w:t>
            </w:r>
          </w:p>
        </w:tc>
        <w:tc>
          <w:tcPr>
            <w:tcW w:w="6627" w:type="dxa"/>
            <w:vAlign w:val="center"/>
          </w:tcPr>
          <w:p w14:paraId="525B044D">
            <w:pPr>
              <w:rPr>
                <w:rFonts w:ascii="宋体" w:eastAsia="宋体"/>
                <w:b w:val="0"/>
                <w:color w:val="auto"/>
                <w:sz w:val="22"/>
                <w:szCs w:val="22"/>
              </w:rPr>
            </w:pPr>
            <w:r>
              <w:rPr>
                <w:rFonts w:hint="eastAsia" w:ascii="宋体" w:eastAsia="宋体"/>
                <w:b w:val="0"/>
                <w:color w:val="auto"/>
                <w:sz w:val="22"/>
                <w:szCs w:val="22"/>
              </w:rPr>
              <w:t>竞争性磋商采购小组构成： 由采购人代表以及有关技术、经济等方面的专家组成，成员为3人及以上单数，其中技术、经济类专家不得少于总人数的2/3；评标专家确定方式：按相关规定从专家库中抽取。</w:t>
            </w:r>
          </w:p>
        </w:tc>
      </w:tr>
      <w:tr w14:paraId="78D56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1245" w:type="dxa"/>
            <w:vAlign w:val="center"/>
          </w:tcPr>
          <w:p w14:paraId="4769C6FD">
            <w:pPr>
              <w:jc w:val="center"/>
              <w:rPr>
                <w:rFonts w:ascii="宋体" w:eastAsia="宋体"/>
                <w:b w:val="0"/>
                <w:color w:val="auto"/>
                <w:sz w:val="22"/>
                <w:szCs w:val="22"/>
              </w:rPr>
            </w:pPr>
            <w:r>
              <w:rPr>
                <w:rFonts w:hint="eastAsia" w:ascii="宋体" w:eastAsia="宋体"/>
                <w:b w:val="0"/>
                <w:color w:val="auto"/>
                <w:sz w:val="22"/>
                <w:szCs w:val="22"/>
              </w:rPr>
              <w:t>29</w:t>
            </w:r>
          </w:p>
        </w:tc>
        <w:tc>
          <w:tcPr>
            <w:tcW w:w="1293" w:type="dxa"/>
            <w:vAlign w:val="center"/>
          </w:tcPr>
          <w:p w14:paraId="4DF16A1B">
            <w:pPr>
              <w:adjustRightInd w:val="0"/>
              <w:jc w:val="center"/>
              <w:rPr>
                <w:rFonts w:ascii="宋体" w:eastAsia="宋体"/>
                <w:b w:val="0"/>
                <w:color w:val="auto"/>
                <w:sz w:val="22"/>
                <w:szCs w:val="22"/>
              </w:rPr>
            </w:pPr>
            <w:r>
              <w:rPr>
                <w:rFonts w:hint="eastAsia" w:ascii="宋体" w:eastAsia="宋体"/>
                <w:b w:val="0"/>
                <w:color w:val="auto"/>
                <w:sz w:val="22"/>
                <w:szCs w:val="22"/>
              </w:rPr>
              <w:t>政府采购</w:t>
            </w:r>
          </w:p>
          <w:p w14:paraId="6F565A0E">
            <w:pPr>
              <w:adjustRightInd w:val="0"/>
              <w:jc w:val="center"/>
              <w:rPr>
                <w:rFonts w:ascii="宋体" w:eastAsia="宋体"/>
                <w:b w:val="0"/>
                <w:color w:val="auto"/>
                <w:sz w:val="22"/>
                <w:szCs w:val="22"/>
              </w:rPr>
            </w:pPr>
            <w:r>
              <w:rPr>
                <w:rFonts w:hint="eastAsia" w:ascii="宋体" w:eastAsia="宋体"/>
                <w:b w:val="0"/>
                <w:color w:val="auto"/>
                <w:sz w:val="22"/>
                <w:szCs w:val="22"/>
              </w:rPr>
              <w:t>扶持政策</w:t>
            </w:r>
          </w:p>
        </w:tc>
        <w:tc>
          <w:tcPr>
            <w:tcW w:w="6627" w:type="dxa"/>
            <w:vAlign w:val="center"/>
          </w:tcPr>
          <w:p w14:paraId="2EED52ED">
            <w:pPr>
              <w:rPr>
                <w:rFonts w:ascii="宋体" w:eastAsia="宋体"/>
                <w:b w:val="0"/>
                <w:color w:val="auto"/>
                <w:sz w:val="22"/>
                <w:szCs w:val="22"/>
              </w:rPr>
            </w:pPr>
            <w:r>
              <w:rPr>
                <w:rFonts w:hint="eastAsia" w:ascii="宋体" w:eastAsia="宋体"/>
                <w:b w:val="0"/>
                <w:color w:val="auto"/>
                <w:sz w:val="22"/>
                <w:szCs w:val="22"/>
              </w:rPr>
              <w:t>1.对节能、环保产品优先采购。</w:t>
            </w:r>
          </w:p>
          <w:p w14:paraId="1698D166">
            <w:pPr>
              <w:rPr>
                <w:rFonts w:ascii="宋体" w:eastAsia="宋体"/>
                <w:color w:val="auto"/>
              </w:rPr>
            </w:pPr>
            <w:r>
              <w:rPr>
                <w:rFonts w:hint="eastAsia" w:ascii="宋体" w:eastAsia="宋体"/>
                <w:b w:val="0"/>
                <w:color w:val="auto"/>
                <w:sz w:val="22"/>
                <w:szCs w:val="22"/>
              </w:rPr>
              <w:t>2.对符合财政扶持政策的小微企业（或监狱企业、或残疾人福利性单位）给予评标价格折扣。供应商企业属于以上多种性质的，不重复享受扶持政策。</w:t>
            </w:r>
          </w:p>
        </w:tc>
      </w:tr>
      <w:tr w14:paraId="4BFEE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1245" w:type="dxa"/>
            <w:vAlign w:val="center"/>
          </w:tcPr>
          <w:p w14:paraId="13733327">
            <w:pPr>
              <w:jc w:val="center"/>
              <w:rPr>
                <w:rFonts w:ascii="宋体" w:eastAsia="宋体"/>
                <w:b w:val="0"/>
                <w:color w:val="auto"/>
                <w:sz w:val="22"/>
                <w:szCs w:val="22"/>
              </w:rPr>
            </w:pPr>
            <w:r>
              <w:rPr>
                <w:rFonts w:hint="eastAsia" w:ascii="宋体" w:eastAsia="宋体"/>
                <w:b w:val="0"/>
                <w:color w:val="auto"/>
                <w:sz w:val="22"/>
                <w:szCs w:val="22"/>
              </w:rPr>
              <w:t>30</w:t>
            </w:r>
          </w:p>
        </w:tc>
        <w:tc>
          <w:tcPr>
            <w:tcW w:w="1293" w:type="dxa"/>
            <w:vAlign w:val="center"/>
          </w:tcPr>
          <w:p w14:paraId="50761BF6">
            <w:pPr>
              <w:jc w:val="center"/>
              <w:rPr>
                <w:rFonts w:ascii="宋体" w:eastAsia="宋体"/>
                <w:b w:val="0"/>
                <w:color w:val="auto"/>
                <w:sz w:val="22"/>
                <w:szCs w:val="22"/>
              </w:rPr>
            </w:pPr>
            <w:r>
              <w:rPr>
                <w:rFonts w:hint="eastAsia" w:ascii="宋体" w:eastAsia="宋体"/>
                <w:b w:val="0"/>
                <w:color w:val="auto"/>
                <w:sz w:val="22"/>
                <w:szCs w:val="22"/>
              </w:rPr>
              <w:t>供应商信用查询</w:t>
            </w:r>
          </w:p>
        </w:tc>
        <w:tc>
          <w:tcPr>
            <w:tcW w:w="6627" w:type="dxa"/>
            <w:vAlign w:val="center"/>
          </w:tcPr>
          <w:p w14:paraId="5F93A83A">
            <w:pPr>
              <w:rPr>
                <w:rFonts w:ascii="宋体" w:eastAsia="宋体"/>
                <w:b w:val="0"/>
                <w:color w:val="auto"/>
                <w:sz w:val="22"/>
                <w:szCs w:val="22"/>
              </w:rPr>
            </w:pPr>
            <w:r>
              <w:rPr>
                <w:rFonts w:hint="eastAsia" w:ascii="宋体" w:eastAsia="宋体"/>
                <w:b w:val="0"/>
                <w:color w:val="auto"/>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eastAsia="宋体"/>
                <w:b w:val="0"/>
                <w:color w:val="auto"/>
                <w:sz w:val="22"/>
                <w:szCs w:val="22"/>
              </w:rPr>
              <w:t>www.creditchina.gov.cn</w:t>
            </w:r>
            <w:r>
              <w:rPr>
                <w:rFonts w:hint="eastAsia" w:ascii="宋体" w:eastAsia="宋体"/>
                <w:b w:val="0"/>
                <w:color w:val="auto"/>
                <w:sz w:val="22"/>
                <w:szCs w:val="22"/>
              </w:rPr>
              <w:fldChar w:fldCharType="end"/>
            </w:r>
            <w:r>
              <w:rPr>
                <w:rFonts w:hint="eastAsia" w:ascii="宋体" w:eastAsia="宋体"/>
                <w:b w:val="0"/>
                <w:color w:val="auto"/>
                <w:sz w:val="22"/>
                <w:szCs w:val="22"/>
              </w:rPr>
              <w:t>)；“中国政府采购网”（http://www.ccgp.gov.cn/）；</w:t>
            </w:r>
          </w:p>
          <w:p w14:paraId="6737392E">
            <w:pPr>
              <w:rPr>
                <w:rFonts w:ascii="宋体" w:eastAsia="宋体"/>
                <w:b w:val="0"/>
                <w:color w:val="auto"/>
                <w:sz w:val="22"/>
                <w:szCs w:val="22"/>
              </w:rPr>
            </w:pPr>
            <w:r>
              <w:rPr>
                <w:rFonts w:hint="eastAsia" w:ascii="宋体" w:eastAsia="宋体"/>
                <w:b w:val="0"/>
                <w:color w:val="auto"/>
                <w:sz w:val="22"/>
                <w:szCs w:val="22"/>
              </w:rPr>
              <w:t>2、投标供应商信用信息查询截止时点：招标公告发布之日至投标截止时间前；</w:t>
            </w:r>
          </w:p>
          <w:p w14:paraId="1BF4B370">
            <w:pPr>
              <w:rPr>
                <w:rFonts w:ascii="宋体" w:eastAsia="宋体"/>
                <w:b w:val="0"/>
                <w:color w:val="auto"/>
                <w:sz w:val="22"/>
                <w:szCs w:val="22"/>
              </w:rPr>
            </w:pPr>
            <w:r>
              <w:rPr>
                <w:rFonts w:hint="eastAsia" w:ascii="宋体" w:eastAsia="宋体"/>
                <w:b w:val="0"/>
                <w:color w:val="auto"/>
                <w:sz w:val="22"/>
                <w:szCs w:val="22"/>
              </w:rPr>
              <w:t>3、投标供应商信用信息查询记录和证据留存的具体方式：网页截图打印；</w:t>
            </w:r>
          </w:p>
          <w:p w14:paraId="2591AD99">
            <w:pPr>
              <w:rPr>
                <w:rFonts w:ascii="宋体" w:eastAsia="宋体"/>
                <w:b w:val="0"/>
                <w:color w:val="auto"/>
                <w:sz w:val="22"/>
                <w:szCs w:val="22"/>
              </w:rPr>
            </w:pPr>
            <w:r>
              <w:rPr>
                <w:rFonts w:hint="eastAsia" w:ascii="宋体" w:eastAsia="宋体"/>
                <w:b w:val="0"/>
                <w:color w:val="auto"/>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14:paraId="306D4BBD">
            <w:pPr>
              <w:rPr>
                <w:rFonts w:ascii="宋体" w:eastAsia="宋体"/>
                <w:color w:val="auto"/>
                <w:sz w:val="22"/>
                <w:szCs w:val="22"/>
                <w:u w:val="single"/>
              </w:rPr>
            </w:pPr>
            <w:r>
              <w:rPr>
                <w:rFonts w:hint="eastAsia" w:ascii="宋体" w:eastAsia="宋体"/>
                <w:b w:val="0"/>
                <w:color w:val="auto"/>
                <w:sz w:val="22"/>
                <w:szCs w:val="22"/>
              </w:rPr>
              <w:t>5、▲</w:t>
            </w:r>
            <w:r>
              <w:rPr>
                <w:rFonts w:hint="eastAsia" w:ascii="宋体" w:eastAsia="宋体"/>
                <w:color w:val="auto"/>
                <w:sz w:val="22"/>
                <w:szCs w:val="22"/>
                <w:u w:val="single"/>
              </w:rPr>
              <w:t>关于“信用中国”(www.creditchina.gov.cn) 信用记录网页截图相关说明：</w:t>
            </w:r>
          </w:p>
          <w:p w14:paraId="3A4E747C">
            <w:pPr>
              <w:rPr>
                <w:rFonts w:ascii="宋体" w:eastAsia="宋体"/>
                <w:b w:val="0"/>
                <w:color w:val="auto"/>
                <w:sz w:val="22"/>
                <w:szCs w:val="22"/>
              </w:rPr>
            </w:pPr>
            <w:r>
              <w:rPr>
                <w:rFonts w:hint="eastAsia" w:ascii="宋体" w:eastAsia="宋体"/>
                <w:b w:val="0"/>
                <w:color w:val="auto"/>
                <w:sz w:val="22"/>
                <w:szCs w:val="22"/>
              </w:rPr>
              <w:t>①若供应商查询页面“行政处罚”栏显示有行政处罚事项，须将所有行政处罚事项在“信用中国”网页上列出的明细一并打印，并附说明，是否属于“经营活动中的重大违法记录”。</w:t>
            </w:r>
          </w:p>
          <w:p w14:paraId="429219D0">
            <w:pPr>
              <w:rPr>
                <w:rFonts w:ascii="宋体" w:eastAsia="宋体"/>
                <w:b w:val="0"/>
                <w:color w:val="auto"/>
                <w:sz w:val="22"/>
                <w:szCs w:val="22"/>
              </w:rPr>
            </w:pPr>
            <w:r>
              <w:rPr>
                <w:rFonts w:hint="eastAsia" w:ascii="宋体" w:eastAsia="宋体"/>
                <w:b w:val="0"/>
                <w:color w:val="auto"/>
                <w:sz w:val="22"/>
                <w:szCs w:val="22"/>
              </w:rPr>
              <w:t>②若供应商在“信用中国”无数据，亦须将搜索结果页面打印，并附说明。</w:t>
            </w:r>
          </w:p>
        </w:tc>
      </w:tr>
      <w:tr w14:paraId="431F7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1245" w:type="dxa"/>
            <w:vAlign w:val="center"/>
          </w:tcPr>
          <w:p w14:paraId="606E3A39">
            <w:pPr>
              <w:jc w:val="center"/>
              <w:rPr>
                <w:rFonts w:ascii="宋体" w:eastAsia="宋体"/>
                <w:b w:val="0"/>
                <w:color w:val="auto"/>
                <w:sz w:val="22"/>
                <w:szCs w:val="22"/>
              </w:rPr>
            </w:pPr>
            <w:r>
              <w:rPr>
                <w:rFonts w:hint="eastAsia" w:ascii="宋体" w:eastAsia="宋体"/>
                <w:b w:val="0"/>
                <w:color w:val="auto"/>
                <w:sz w:val="22"/>
                <w:szCs w:val="22"/>
              </w:rPr>
              <w:t>31</w:t>
            </w:r>
          </w:p>
        </w:tc>
        <w:tc>
          <w:tcPr>
            <w:tcW w:w="1293" w:type="dxa"/>
            <w:vAlign w:val="center"/>
          </w:tcPr>
          <w:p w14:paraId="0A288167">
            <w:pPr>
              <w:jc w:val="center"/>
              <w:rPr>
                <w:rFonts w:ascii="宋体" w:eastAsia="宋体"/>
                <w:b w:val="0"/>
                <w:color w:val="auto"/>
                <w:sz w:val="22"/>
                <w:szCs w:val="22"/>
              </w:rPr>
            </w:pPr>
            <w:r>
              <w:rPr>
                <w:rFonts w:hint="eastAsia" w:ascii="宋体" w:eastAsia="宋体"/>
                <w:b w:val="0"/>
                <w:color w:val="auto"/>
                <w:sz w:val="22"/>
                <w:szCs w:val="22"/>
              </w:rPr>
              <w:t>合同备案</w:t>
            </w:r>
          </w:p>
        </w:tc>
        <w:tc>
          <w:tcPr>
            <w:tcW w:w="6627" w:type="dxa"/>
            <w:vAlign w:val="center"/>
          </w:tcPr>
          <w:p w14:paraId="187CDA01">
            <w:pPr>
              <w:rPr>
                <w:color w:val="auto"/>
              </w:rPr>
            </w:pPr>
            <w:r>
              <w:rPr>
                <w:rFonts w:hint="eastAsia" w:ascii="宋体" w:eastAsia="宋体"/>
                <w:b w:val="0"/>
                <w:color w:val="auto"/>
                <w:sz w:val="22"/>
                <w:szCs w:val="22"/>
                <w:lang w:val="en-US" w:eastAsia="zh-CN"/>
              </w:rPr>
              <w:t>1、</w:t>
            </w:r>
            <w:r>
              <w:rPr>
                <w:rFonts w:hint="eastAsia" w:ascii="宋体" w:eastAsia="宋体"/>
                <w:b w:val="0"/>
                <w:color w:val="auto"/>
                <w:sz w:val="22"/>
                <w:szCs w:val="22"/>
              </w:rPr>
              <w:t>中标供应商须在发出成交通知书之日起30日历天内与采购人签订合同。</w:t>
            </w:r>
          </w:p>
          <w:p w14:paraId="48691E1D">
            <w:pPr>
              <w:rPr>
                <w:rFonts w:ascii="宋体" w:eastAsia="宋体"/>
                <w:b w:val="0"/>
                <w:color w:val="auto"/>
                <w:sz w:val="22"/>
                <w:szCs w:val="22"/>
              </w:rPr>
            </w:pPr>
            <w:r>
              <w:rPr>
                <w:rFonts w:hint="eastAsia" w:ascii="宋体" w:eastAsia="宋体"/>
                <w:b w:val="0"/>
                <w:color w:val="auto"/>
                <w:sz w:val="22"/>
                <w:szCs w:val="22"/>
              </w:rPr>
              <w:t>2、</w:t>
            </w:r>
            <w:bookmarkStart w:id="160" w:name="_GoBack"/>
            <w:bookmarkEnd w:id="160"/>
            <w:r>
              <w:rPr>
                <w:rFonts w:hint="eastAsia" w:ascii="宋体" w:eastAsia="宋体"/>
                <w:b w:val="0"/>
                <w:color w:val="auto"/>
                <w:sz w:val="22"/>
                <w:szCs w:val="22"/>
              </w:rPr>
              <w:t>本项目政府采购合同按规定在浙江政府采购网（http://www.zjzfcg.gov.cn）予以公告。</w:t>
            </w:r>
          </w:p>
        </w:tc>
      </w:tr>
      <w:tr w14:paraId="62FCB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245" w:type="dxa"/>
            <w:vAlign w:val="center"/>
          </w:tcPr>
          <w:p w14:paraId="694220C1">
            <w:pPr>
              <w:jc w:val="center"/>
              <w:rPr>
                <w:rFonts w:ascii="宋体" w:eastAsia="宋体"/>
                <w:b w:val="0"/>
                <w:color w:val="auto"/>
                <w:sz w:val="22"/>
                <w:szCs w:val="22"/>
              </w:rPr>
            </w:pPr>
            <w:r>
              <w:rPr>
                <w:rFonts w:hint="eastAsia" w:ascii="宋体" w:eastAsia="宋体"/>
                <w:b w:val="0"/>
                <w:color w:val="auto"/>
                <w:sz w:val="22"/>
                <w:szCs w:val="22"/>
              </w:rPr>
              <w:t>32</w:t>
            </w:r>
          </w:p>
        </w:tc>
        <w:tc>
          <w:tcPr>
            <w:tcW w:w="1293" w:type="dxa"/>
            <w:vAlign w:val="center"/>
          </w:tcPr>
          <w:p w14:paraId="1BCEC153">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6627" w:type="dxa"/>
            <w:vAlign w:val="center"/>
          </w:tcPr>
          <w:p w14:paraId="23D20AC4">
            <w:pPr>
              <w:rPr>
                <w:rFonts w:ascii="宋体" w:eastAsia="宋体"/>
                <w:b w:val="0"/>
                <w:color w:val="auto"/>
                <w:sz w:val="22"/>
                <w:szCs w:val="22"/>
              </w:rPr>
            </w:pPr>
            <w:r>
              <w:rPr>
                <w:rFonts w:hint="eastAsia" w:ascii="宋体" w:eastAsia="宋体"/>
                <w:b w:val="0"/>
                <w:color w:val="auto"/>
                <w:sz w:val="22"/>
                <w:szCs w:val="22"/>
              </w:rPr>
              <w:t>合同签订后，采购人依法加强对合同履约进行管理，并在成交供应商服务、项目验收等重要关节，如实填写《合同验收报告》，并及时向同级财政部门报告验收过程中遇到的问题。</w:t>
            </w:r>
          </w:p>
        </w:tc>
      </w:tr>
      <w:tr w14:paraId="33092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0" w:hRule="atLeast"/>
          <w:jc w:val="center"/>
        </w:trPr>
        <w:tc>
          <w:tcPr>
            <w:tcW w:w="1245" w:type="dxa"/>
            <w:vAlign w:val="center"/>
          </w:tcPr>
          <w:p w14:paraId="58A549DF">
            <w:pPr>
              <w:jc w:val="center"/>
              <w:rPr>
                <w:rFonts w:ascii="宋体" w:eastAsia="宋体"/>
                <w:b w:val="0"/>
                <w:color w:val="auto"/>
                <w:sz w:val="22"/>
                <w:szCs w:val="22"/>
              </w:rPr>
            </w:pPr>
            <w:r>
              <w:rPr>
                <w:rFonts w:hint="eastAsia" w:ascii="宋体" w:eastAsia="宋体"/>
                <w:b w:val="0"/>
                <w:color w:val="auto"/>
                <w:sz w:val="22"/>
                <w:szCs w:val="22"/>
              </w:rPr>
              <w:t>33</w:t>
            </w:r>
          </w:p>
        </w:tc>
        <w:tc>
          <w:tcPr>
            <w:tcW w:w="1293" w:type="dxa"/>
            <w:vAlign w:val="center"/>
          </w:tcPr>
          <w:p w14:paraId="2975E4DE">
            <w:pPr>
              <w:jc w:val="center"/>
              <w:rPr>
                <w:rFonts w:ascii="宋体" w:eastAsia="宋体"/>
                <w:b w:val="0"/>
                <w:color w:val="auto"/>
                <w:sz w:val="22"/>
                <w:szCs w:val="22"/>
              </w:rPr>
            </w:pPr>
            <w:r>
              <w:rPr>
                <w:rFonts w:hint="eastAsia" w:ascii="宋体" w:eastAsia="宋体"/>
                <w:b w:val="0"/>
                <w:color w:val="auto"/>
                <w:sz w:val="22"/>
                <w:szCs w:val="22"/>
              </w:rPr>
              <w:t>免则声明</w:t>
            </w:r>
          </w:p>
        </w:tc>
        <w:tc>
          <w:tcPr>
            <w:tcW w:w="6627" w:type="dxa"/>
            <w:vAlign w:val="center"/>
          </w:tcPr>
          <w:p w14:paraId="6CFF83B0">
            <w:pPr>
              <w:rPr>
                <w:rFonts w:ascii="宋体" w:eastAsia="宋体"/>
                <w:b w:val="0"/>
                <w:color w:val="auto"/>
                <w:sz w:val="22"/>
                <w:szCs w:val="22"/>
              </w:rPr>
            </w:pPr>
            <w:r>
              <w:rPr>
                <w:rFonts w:hint="eastAsia" w:ascii="宋体" w:eastAsia="宋体"/>
                <w:b w:val="0"/>
                <w:color w:val="auto"/>
                <w:sz w:val="22"/>
                <w:szCs w:val="22"/>
              </w:rPr>
              <w:t>1、供应商自行承担投标过程中产生的费用。无论何种因素导致采购项目延期开标、废标（流标）、供应商未成交、项目终止采购的，采购人与代理机构均不承担供应商投标费用。</w:t>
            </w:r>
          </w:p>
          <w:p w14:paraId="5AE2A536">
            <w:pPr>
              <w:rPr>
                <w:rFonts w:ascii="宋体" w:eastAsia="宋体"/>
                <w:b w:val="0"/>
                <w:color w:val="auto"/>
                <w:sz w:val="22"/>
                <w:szCs w:val="22"/>
              </w:rPr>
            </w:pPr>
            <w:r>
              <w:rPr>
                <w:rFonts w:hint="eastAsia" w:ascii="宋体" w:eastAsia="宋体"/>
                <w:b w:val="0"/>
                <w:color w:val="auto"/>
                <w:sz w:val="22"/>
                <w:szCs w:val="22"/>
              </w:rPr>
              <w:t>2、供应商在投标、合同履行过程中必须做好安全保障工作，不因项目实施而危及自身及第三方人员、财产安全。若发生任何安全事故，由成交供应商自行承担一切责任并赔偿损失。</w:t>
            </w:r>
          </w:p>
        </w:tc>
      </w:tr>
      <w:tr w14:paraId="1CF63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1245" w:type="dxa"/>
            <w:vAlign w:val="center"/>
          </w:tcPr>
          <w:p w14:paraId="0DD29D8F">
            <w:pPr>
              <w:jc w:val="center"/>
              <w:rPr>
                <w:rFonts w:ascii="宋体" w:eastAsia="宋体"/>
                <w:b w:val="0"/>
                <w:color w:val="auto"/>
                <w:sz w:val="22"/>
                <w:szCs w:val="22"/>
              </w:rPr>
            </w:pPr>
            <w:r>
              <w:rPr>
                <w:rFonts w:hint="eastAsia" w:ascii="宋体" w:eastAsia="宋体"/>
                <w:b w:val="0"/>
                <w:color w:val="auto"/>
                <w:sz w:val="22"/>
                <w:szCs w:val="22"/>
              </w:rPr>
              <w:t>34</w:t>
            </w:r>
          </w:p>
        </w:tc>
        <w:tc>
          <w:tcPr>
            <w:tcW w:w="1293" w:type="dxa"/>
            <w:vAlign w:val="center"/>
          </w:tcPr>
          <w:p w14:paraId="4393EED4">
            <w:pPr>
              <w:jc w:val="center"/>
              <w:rPr>
                <w:rFonts w:ascii="宋体" w:eastAsia="宋体"/>
                <w:b w:val="0"/>
                <w:color w:val="auto"/>
                <w:sz w:val="22"/>
                <w:szCs w:val="22"/>
              </w:rPr>
            </w:pPr>
            <w:r>
              <w:rPr>
                <w:rFonts w:hint="eastAsia" w:ascii="宋体" w:eastAsia="宋体"/>
                <w:b w:val="0"/>
                <w:color w:val="auto"/>
                <w:sz w:val="22"/>
                <w:szCs w:val="22"/>
              </w:rPr>
              <w:t>解释权</w:t>
            </w:r>
          </w:p>
        </w:tc>
        <w:tc>
          <w:tcPr>
            <w:tcW w:w="6627" w:type="dxa"/>
            <w:vAlign w:val="center"/>
          </w:tcPr>
          <w:p w14:paraId="49797816">
            <w:pPr>
              <w:rPr>
                <w:rFonts w:ascii="宋体" w:eastAsia="宋体"/>
                <w:b w:val="0"/>
                <w:color w:val="auto"/>
                <w:sz w:val="22"/>
                <w:szCs w:val="22"/>
              </w:rPr>
            </w:pPr>
            <w:r>
              <w:rPr>
                <w:rFonts w:hint="eastAsia" w:ascii="宋体" w:eastAsia="宋体"/>
                <w:b w:val="0"/>
                <w:color w:val="auto"/>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3EECB87D">
      <w:pPr>
        <w:pStyle w:val="6"/>
        <w:rPr>
          <w:rFonts w:ascii="宋体" w:hAnsi="宋体" w:cs="宋体"/>
          <w:color w:val="auto"/>
        </w:rPr>
        <w:sectPr>
          <w:footerReference r:id="rId8"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rPr>
        <w:br w:type="page"/>
      </w:r>
      <w:bookmarkStart w:id="1" w:name="_Toc23044"/>
    </w:p>
    <w:p w14:paraId="7B8E49AC">
      <w:pPr>
        <w:pStyle w:val="6"/>
        <w:rPr>
          <w:rFonts w:ascii="宋体" w:hAnsi="宋体" w:cs="宋体"/>
          <w:color w:val="auto"/>
        </w:rPr>
      </w:pPr>
      <w:r>
        <w:rPr>
          <w:rFonts w:hint="eastAsia" w:ascii="宋体" w:hAnsi="宋体" w:cs="宋体"/>
          <w:color w:val="auto"/>
        </w:rPr>
        <w:t>第二部分 采购内容及要求</w:t>
      </w:r>
      <w:bookmarkEnd w:id="1"/>
    </w:p>
    <w:p w14:paraId="70EDBD2A">
      <w:pPr>
        <w:spacing w:line="360" w:lineRule="auto"/>
        <w:ind w:firstLine="442" w:firstLineChars="200"/>
        <w:rPr>
          <w:rFonts w:ascii="宋体" w:eastAsia="宋体"/>
          <w:bCs w:val="0"/>
          <w:color w:val="auto"/>
          <w:sz w:val="22"/>
          <w:szCs w:val="22"/>
        </w:rPr>
      </w:pPr>
      <w:bookmarkStart w:id="2" w:name="_Toc9334922"/>
      <w:bookmarkStart w:id="3" w:name="_Toc9748"/>
      <w:bookmarkStart w:id="4" w:name="_Toc1598439912"/>
      <w:r>
        <w:rPr>
          <w:rFonts w:hint="eastAsia" w:ascii="宋体" w:eastAsia="宋体"/>
          <w:bCs w:val="0"/>
          <w:color w:val="auto"/>
          <w:sz w:val="22"/>
          <w:szCs w:val="22"/>
        </w:rPr>
        <w:t>一、</w:t>
      </w:r>
      <w:bookmarkEnd w:id="2"/>
      <w:r>
        <w:rPr>
          <w:rFonts w:hint="eastAsia" w:ascii="宋体" w:eastAsia="宋体"/>
          <w:bCs w:val="0"/>
          <w:color w:val="auto"/>
          <w:sz w:val="22"/>
          <w:szCs w:val="22"/>
        </w:rPr>
        <w:t>项目概况</w:t>
      </w:r>
    </w:p>
    <w:p w14:paraId="4D0F8CA3">
      <w:pPr>
        <w:spacing w:line="380" w:lineRule="exac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1.▲本次采购设一个标段，投标供应商必须对全部采购内容进行投标报价，不允许只对其中部分内容进行投标，否则投标将被否决，谢绝联合体投标。</w:t>
      </w:r>
    </w:p>
    <w:p w14:paraId="4754B5D1">
      <w:pPr>
        <w:spacing w:line="380" w:lineRule="exac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2.</w:t>
      </w:r>
      <w:r>
        <w:rPr>
          <w:rFonts w:hint="eastAsia" w:ascii="宋体" w:eastAsia="宋体"/>
          <w:b w:val="0"/>
          <w:color w:val="auto"/>
          <w:kern w:val="2"/>
          <w:sz w:val="22"/>
          <w:szCs w:val="22"/>
          <w:lang w:val="zh-CN"/>
        </w:rPr>
        <w:t>投标供应商必须保证响应文件所提供的全部资料真实可靠，并接受采购人对其中任何资料进一步审查的要求。</w:t>
      </w:r>
    </w:p>
    <w:p w14:paraId="4FA21F19">
      <w:pPr>
        <w:spacing w:line="380" w:lineRule="exact"/>
        <w:ind w:firstLine="440" w:firstLineChars="200"/>
        <w:rPr>
          <w:rFonts w:ascii="宋体" w:hAnsi="Times New Roman" w:eastAsia="宋体"/>
          <w:b w:val="0"/>
          <w:color w:val="auto"/>
          <w:kern w:val="2"/>
          <w:sz w:val="22"/>
          <w:szCs w:val="22"/>
        </w:rPr>
      </w:pPr>
      <w:r>
        <w:rPr>
          <w:rFonts w:hint="eastAsia" w:ascii="宋体" w:eastAsia="宋体"/>
          <w:b w:val="0"/>
          <w:color w:val="auto"/>
          <w:kern w:val="2"/>
          <w:sz w:val="22"/>
          <w:szCs w:val="22"/>
        </w:rPr>
        <w:t>3.本次采购的服务所涉及的标准、规范、验收标准，应符合国家有关条例及规范。如有新的标准或规范性文件应采纳新标准和规范性文件。</w:t>
      </w:r>
    </w:p>
    <w:p w14:paraId="4ACAFFD6">
      <w:pPr>
        <w:tabs>
          <w:tab w:val="left" w:pos="210"/>
        </w:tabs>
        <w:spacing w:line="380" w:lineRule="exact"/>
        <w:ind w:firstLine="440" w:firstLineChars="200"/>
        <w:rPr>
          <w:rFonts w:ascii="宋体" w:hAnsi="Times New Roman" w:eastAsia="宋体"/>
          <w:b w:val="0"/>
          <w:color w:val="auto"/>
          <w:kern w:val="2"/>
          <w:sz w:val="22"/>
          <w:szCs w:val="22"/>
        </w:rPr>
      </w:pPr>
      <w:r>
        <w:rPr>
          <w:rFonts w:hint="eastAsia" w:ascii="宋体" w:eastAsia="宋体"/>
          <w:b w:val="0"/>
          <w:color w:val="auto"/>
          <w:kern w:val="2"/>
          <w:sz w:val="22"/>
          <w:szCs w:val="22"/>
        </w:rPr>
        <w:t>4.投标供应商需按磋商文件的要求完成所有工作。按工作顺序提交所需的无论其是否被明细列在合同文件中的所有资料，提供的服务必须满足磋商文件中提出的相关技术要求。</w:t>
      </w:r>
    </w:p>
    <w:p w14:paraId="0B076D1D">
      <w:pPr>
        <w:spacing w:line="380" w:lineRule="exact"/>
        <w:rPr>
          <w:rFonts w:ascii="宋体" w:hAnsi="Times New Roman" w:eastAsia="宋体"/>
          <w:b w:val="0"/>
          <w:color w:val="auto"/>
          <w:kern w:val="2"/>
          <w:sz w:val="22"/>
          <w:szCs w:val="22"/>
        </w:rPr>
      </w:pPr>
      <w:r>
        <w:rPr>
          <w:rFonts w:hint="eastAsia" w:ascii="宋体" w:eastAsia="宋体"/>
          <w:b w:val="0"/>
          <w:color w:val="auto"/>
          <w:kern w:val="2"/>
          <w:sz w:val="22"/>
          <w:szCs w:val="22"/>
        </w:rPr>
        <w:t>投标供应商提供的成果应是无任何质量缺陷、技术成熟，符合国家现行规范、标准要求。</w:t>
      </w:r>
    </w:p>
    <w:p w14:paraId="284FC3E4">
      <w:pPr>
        <w:tabs>
          <w:tab w:val="left" w:pos="210"/>
        </w:tabs>
        <w:spacing w:line="380" w:lineRule="exac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5.在报价之前，投标供应商须仔细阅读磋商文件，如发现有任何疑问、冲突或技术问题，投标供应商须在答疑截止时间前以书面形式向采购代理机构提出。逾期招标人不再作答复，有关风险及责任由投标供应商自行承担。</w:t>
      </w:r>
    </w:p>
    <w:p w14:paraId="223EB0E8">
      <w:pPr>
        <w:spacing w:after="72" w:afterLines="30" w:line="380" w:lineRule="exact"/>
        <w:ind w:left="420" w:leftChars="200"/>
        <w:rPr>
          <w:rFonts w:ascii="宋体" w:eastAsia="宋体"/>
          <w:b w:val="0"/>
          <w:color w:val="auto"/>
          <w:kern w:val="2"/>
          <w:sz w:val="22"/>
          <w:szCs w:val="22"/>
        </w:rPr>
      </w:pPr>
      <w:r>
        <w:rPr>
          <w:rFonts w:hint="eastAsia" w:ascii="宋体" w:eastAsia="宋体"/>
          <w:b w:val="0"/>
          <w:color w:val="auto"/>
          <w:kern w:val="2"/>
          <w:sz w:val="22"/>
          <w:szCs w:val="22"/>
        </w:rPr>
        <w:t>6.响应文件须对磋商文件中的内容做出实质性和完整的响应。</w:t>
      </w:r>
    </w:p>
    <w:p w14:paraId="55AE3819">
      <w:pPr>
        <w:pStyle w:val="8"/>
        <w:ind w:firstLine="422"/>
        <w:rPr>
          <w:color w:val="auto"/>
        </w:rPr>
      </w:pPr>
    </w:p>
    <w:bookmarkEnd w:id="3"/>
    <w:p w14:paraId="1BE62473">
      <w:pPr>
        <w:spacing w:line="360" w:lineRule="auto"/>
        <w:ind w:firstLine="442" w:firstLineChars="200"/>
        <w:rPr>
          <w:rFonts w:ascii="宋体" w:eastAsia="宋体"/>
          <w:color w:val="auto"/>
          <w:sz w:val="22"/>
          <w:szCs w:val="22"/>
        </w:rPr>
      </w:pPr>
      <w:r>
        <w:rPr>
          <w:rFonts w:hint="eastAsia" w:ascii="宋体" w:eastAsia="宋体"/>
          <w:bCs w:val="0"/>
          <w:color w:val="auto"/>
          <w:sz w:val="22"/>
          <w:szCs w:val="22"/>
        </w:rPr>
        <w:t>二、</w:t>
      </w:r>
      <w:r>
        <w:rPr>
          <w:rFonts w:hint="eastAsia" w:ascii="宋体" w:eastAsia="宋体"/>
          <w:color w:val="auto"/>
          <w:sz w:val="22"/>
          <w:szCs w:val="22"/>
        </w:rPr>
        <w:t>采购内容及需求</w:t>
      </w:r>
    </w:p>
    <w:tbl>
      <w:tblPr>
        <w:tblStyle w:val="43"/>
        <w:tblW w:w="52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9128"/>
      </w:tblGrid>
      <w:tr w14:paraId="459F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8" w:type="pct"/>
            <w:vAlign w:val="center"/>
          </w:tcPr>
          <w:p w14:paraId="6DD7FF49">
            <w:pPr>
              <w:jc w:val="cente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序号</w:t>
            </w:r>
          </w:p>
        </w:tc>
        <w:tc>
          <w:tcPr>
            <w:tcW w:w="4771" w:type="pct"/>
            <w:vAlign w:val="center"/>
          </w:tcPr>
          <w:p w14:paraId="176436DD">
            <w:pPr>
              <w:jc w:val="center"/>
              <w:rPr>
                <w:rFonts w:asciiTheme="minorEastAsia" w:hAnsiTheme="minorEastAsia" w:eastAsiaTheme="minorEastAsia"/>
                <w:color w:val="auto"/>
                <w:sz w:val="22"/>
                <w:szCs w:val="22"/>
              </w:rPr>
            </w:pPr>
            <w:r>
              <w:rPr>
                <w:rFonts w:asciiTheme="minorEastAsia" w:hAnsiTheme="minorEastAsia" w:eastAsiaTheme="minorEastAsia"/>
                <w:color w:val="auto"/>
                <w:sz w:val="22"/>
                <w:szCs w:val="22"/>
              </w:rPr>
              <w:t>内容</w:t>
            </w:r>
          </w:p>
        </w:tc>
      </w:tr>
      <w:tr w14:paraId="1BEF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8" w:type="pct"/>
            <w:vAlign w:val="center"/>
          </w:tcPr>
          <w:p w14:paraId="2E8F9948">
            <w:pPr>
              <w:jc w:val="center"/>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1</w:t>
            </w:r>
          </w:p>
        </w:tc>
        <w:tc>
          <w:tcPr>
            <w:tcW w:w="4771" w:type="pct"/>
            <w:shd w:val="clear" w:color="auto" w:fill="auto"/>
            <w:vAlign w:val="center"/>
          </w:tcPr>
          <w:p w14:paraId="3191D5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rPr>
              <w:t>对全县县级及以上文保单位进行安全隐患大排查，包括文保场所安全责任落实情况、安全管理情况、消防设施运行维护情况、文物本体及周边安全状况以及违法情况，掌握各单位基础安全数据，形成一场所一档案（排查报告），将全县所有文保单位排查报告进行汇总分析，形成全县文保单位总体安全形势分析报告</w:t>
            </w:r>
            <w:r>
              <w:rPr>
                <w:rFonts w:hint="eastAsia" w:ascii="宋体" w:hAnsi="宋体" w:eastAsia="宋体" w:cs="宋体"/>
                <w:b w:val="0"/>
                <w:bCs w:val="0"/>
                <w:sz w:val="22"/>
                <w:szCs w:val="22"/>
                <w:lang w:eastAsia="zh-CN"/>
              </w:rPr>
              <w:t>。</w:t>
            </w:r>
          </w:p>
        </w:tc>
      </w:tr>
      <w:tr w14:paraId="0E06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8" w:type="pct"/>
            <w:vAlign w:val="center"/>
          </w:tcPr>
          <w:p w14:paraId="4D35409B">
            <w:pPr>
              <w:jc w:val="center"/>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w:t>
            </w:r>
          </w:p>
        </w:tc>
        <w:tc>
          <w:tcPr>
            <w:tcW w:w="4771" w:type="pct"/>
            <w:shd w:val="clear" w:color="auto" w:fill="auto"/>
            <w:vAlign w:val="center"/>
          </w:tcPr>
          <w:p w14:paraId="3D606E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lang w:eastAsia="zh-CN"/>
              </w:rPr>
              <w:t>根据每个单位隐患排查报告，由甲乙双方共同对每个单位进行安全风险等级评定（低风险、中风险和高风险三个等级）</w:t>
            </w:r>
            <w:r>
              <w:rPr>
                <w:rFonts w:hint="eastAsia" w:ascii="宋体" w:hAnsi="宋体" w:eastAsia="宋体" w:cs="宋体"/>
                <w:b w:val="0"/>
                <w:bCs w:val="0"/>
                <w:sz w:val="22"/>
                <w:szCs w:val="22"/>
              </w:rPr>
              <w:t>。</w:t>
            </w:r>
          </w:p>
        </w:tc>
      </w:tr>
      <w:tr w14:paraId="35B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8" w:type="pct"/>
            <w:vAlign w:val="center"/>
          </w:tcPr>
          <w:p w14:paraId="1AAE1599">
            <w:pPr>
              <w:jc w:val="center"/>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3</w:t>
            </w:r>
          </w:p>
        </w:tc>
        <w:tc>
          <w:tcPr>
            <w:tcW w:w="4771" w:type="pct"/>
            <w:shd w:val="clear" w:color="auto" w:fill="auto"/>
            <w:vAlign w:val="center"/>
          </w:tcPr>
          <w:p w14:paraId="169F6A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rPr>
              <w:t>根据风险等级评定结果，乙方组织人员对高风险等级建筑及周边建筑每个月进行一次安全巡查。</w:t>
            </w:r>
          </w:p>
        </w:tc>
      </w:tr>
      <w:tr w14:paraId="6661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8" w:type="pct"/>
            <w:vAlign w:val="center"/>
          </w:tcPr>
          <w:p w14:paraId="2D60E11E">
            <w:pPr>
              <w:jc w:val="center"/>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4</w:t>
            </w:r>
          </w:p>
        </w:tc>
        <w:tc>
          <w:tcPr>
            <w:tcW w:w="4771" w:type="pct"/>
            <w:shd w:val="clear" w:color="auto" w:fill="auto"/>
            <w:vAlign w:val="center"/>
          </w:tcPr>
          <w:p w14:paraId="3A016F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rPr>
              <w:t>根据风险等级评定结果，乙方组织人员对中风险等级建筑及周边建筑每两个月进行一次安全巡查。</w:t>
            </w:r>
          </w:p>
        </w:tc>
      </w:tr>
      <w:tr w14:paraId="04C4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8" w:type="pct"/>
            <w:vAlign w:val="center"/>
          </w:tcPr>
          <w:p w14:paraId="62B95977">
            <w:pPr>
              <w:jc w:val="center"/>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5</w:t>
            </w:r>
          </w:p>
        </w:tc>
        <w:tc>
          <w:tcPr>
            <w:tcW w:w="4771" w:type="pct"/>
            <w:shd w:val="clear" w:color="auto" w:fill="auto"/>
            <w:vAlign w:val="center"/>
          </w:tcPr>
          <w:p w14:paraId="595207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rPr>
              <w:t>根据风险等级评定结果，乙方组织人员对低风险等级建筑及周边建筑每个季度进行一次安全巡查。</w:t>
            </w:r>
          </w:p>
        </w:tc>
      </w:tr>
      <w:tr w14:paraId="6F79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28" w:type="pct"/>
            <w:vAlign w:val="center"/>
          </w:tcPr>
          <w:p w14:paraId="32D5343E">
            <w:pPr>
              <w:jc w:val="center"/>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6</w:t>
            </w:r>
          </w:p>
        </w:tc>
        <w:tc>
          <w:tcPr>
            <w:tcW w:w="4771" w:type="pct"/>
            <w:shd w:val="clear" w:color="auto" w:fill="auto"/>
            <w:vAlign w:val="center"/>
          </w:tcPr>
          <w:p w14:paraId="79A952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rPr>
              <w:t>乙方需在每个月15日前巡查完毕（除第一个月外），并将每次安全巡查结果报甲方审核，待甲方审核通过后，一个工作日内上传甲方指定数据平台。</w:t>
            </w:r>
          </w:p>
        </w:tc>
      </w:tr>
      <w:tr w14:paraId="452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28" w:type="pct"/>
            <w:vAlign w:val="center"/>
          </w:tcPr>
          <w:p w14:paraId="6D865586">
            <w:pPr>
              <w:jc w:val="center"/>
              <w:rPr>
                <w:rFonts w:hint="eastAsia" w:asciiTheme="minorEastAsia" w:hAnsiTheme="minorEastAsia" w:eastAsiaTheme="minorEastAsia"/>
                <w:b w:val="0"/>
                <w:color w:val="auto"/>
                <w:sz w:val="22"/>
                <w:szCs w:val="22"/>
                <w:lang w:val="en-US" w:eastAsia="zh-CN"/>
              </w:rPr>
            </w:pPr>
            <w:r>
              <w:rPr>
                <w:rFonts w:hint="eastAsia" w:asciiTheme="minorEastAsia" w:hAnsiTheme="minorEastAsia" w:eastAsiaTheme="minorEastAsia"/>
                <w:b w:val="0"/>
                <w:color w:val="auto"/>
                <w:sz w:val="22"/>
                <w:szCs w:val="22"/>
                <w:lang w:val="en-US" w:eastAsia="zh-CN"/>
              </w:rPr>
              <w:t>7</w:t>
            </w:r>
          </w:p>
        </w:tc>
        <w:tc>
          <w:tcPr>
            <w:tcW w:w="4771" w:type="pct"/>
            <w:shd w:val="clear" w:color="auto" w:fill="auto"/>
            <w:vAlign w:val="center"/>
          </w:tcPr>
          <w:p w14:paraId="57D3096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lang w:val="en-US" w:eastAsia="zh-CN"/>
              </w:rPr>
              <w:t>乙方</w:t>
            </w:r>
            <w:r>
              <w:rPr>
                <w:rFonts w:hint="eastAsia" w:ascii="宋体" w:hAnsi="宋体" w:eastAsia="宋体" w:cs="宋体"/>
                <w:b w:val="0"/>
                <w:bCs w:val="0"/>
                <w:sz w:val="22"/>
                <w:szCs w:val="22"/>
              </w:rPr>
              <w:t>需派遣一名专业人员驻场服务（专科及以上学历并具有相关专业背景），接受</w:t>
            </w:r>
            <w:r>
              <w:rPr>
                <w:rFonts w:hint="eastAsia" w:ascii="宋体" w:hAnsi="宋体" w:eastAsia="宋体" w:cs="宋体"/>
                <w:b w:val="0"/>
                <w:bCs w:val="0"/>
                <w:sz w:val="22"/>
                <w:szCs w:val="22"/>
                <w:lang w:val="en-US" w:eastAsia="zh-CN"/>
              </w:rPr>
              <w:t>甲方</w:t>
            </w:r>
            <w:r>
              <w:rPr>
                <w:rFonts w:hint="eastAsia" w:ascii="宋体" w:hAnsi="宋体" w:eastAsia="宋体" w:cs="宋体"/>
                <w:b w:val="0"/>
                <w:bCs w:val="0"/>
                <w:sz w:val="22"/>
                <w:szCs w:val="22"/>
              </w:rPr>
              <w:t>日常管理，</w:t>
            </w:r>
            <w:r>
              <w:rPr>
                <w:rFonts w:hint="eastAsia" w:ascii="宋体" w:hAnsi="宋体" w:eastAsia="宋体" w:cs="宋体"/>
                <w:b w:val="0"/>
                <w:bCs w:val="0"/>
                <w:sz w:val="22"/>
                <w:szCs w:val="22"/>
                <w:lang w:val="en-US" w:eastAsia="zh-CN"/>
              </w:rPr>
              <w:t>能胜任甲方安排的工作，</w:t>
            </w:r>
            <w:r>
              <w:rPr>
                <w:rFonts w:hint="eastAsia" w:ascii="宋体" w:hAnsi="宋体" w:eastAsia="宋体" w:cs="宋体"/>
                <w:b w:val="0"/>
                <w:bCs w:val="0"/>
                <w:sz w:val="22"/>
                <w:szCs w:val="22"/>
              </w:rPr>
              <w:t>具体负责协助“永嘉文物”等数字化平台管理、永嘉县文物安全隐患检查、跟踪乡镇文物安全隐患闭环整改</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资料整理</w:t>
            </w:r>
            <w:r>
              <w:rPr>
                <w:rFonts w:hint="eastAsia" w:ascii="宋体" w:hAnsi="宋体" w:eastAsia="宋体" w:cs="宋体"/>
                <w:b w:val="0"/>
                <w:bCs w:val="0"/>
                <w:sz w:val="22"/>
                <w:szCs w:val="22"/>
              </w:rPr>
              <w:t>及</w:t>
            </w:r>
            <w:r>
              <w:rPr>
                <w:rFonts w:hint="eastAsia" w:ascii="宋体" w:hAnsi="宋体" w:eastAsia="宋体" w:cs="宋体"/>
                <w:b w:val="0"/>
                <w:bCs w:val="0"/>
                <w:sz w:val="22"/>
                <w:szCs w:val="22"/>
                <w:lang w:val="en-US" w:eastAsia="zh-CN"/>
              </w:rPr>
              <w:t>甲方</w:t>
            </w:r>
            <w:r>
              <w:rPr>
                <w:rFonts w:hint="eastAsia" w:ascii="宋体" w:hAnsi="宋体" w:eastAsia="宋体" w:cs="宋体"/>
                <w:b w:val="0"/>
                <w:bCs w:val="0"/>
                <w:sz w:val="22"/>
                <w:szCs w:val="22"/>
              </w:rPr>
              <w:t>交办的与文物安全相关工作。</w:t>
            </w:r>
          </w:p>
        </w:tc>
      </w:tr>
      <w:tr w14:paraId="37FA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28" w:type="pct"/>
            <w:vAlign w:val="center"/>
          </w:tcPr>
          <w:p w14:paraId="4AE84956">
            <w:pPr>
              <w:jc w:val="center"/>
              <w:rPr>
                <w:rFonts w:hint="eastAsia" w:asciiTheme="minorEastAsia" w:hAnsiTheme="minorEastAsia" w:eastAsiaTheme="minorEastAsia"/>
                <w:b w:val="0"/>
                <w:color w:val="auto"/>
                <w:sz w:val="22"/>
                <w:szCs w:val="22"/>
                <w:lang w:eastAsia="zh-CN"/>
              </w:rPr>
            </w:pPr>
            <w:r>
              <w:rPr>
                <w:rFonts w:hint="eastAsia" w:asciiTheme="minorEastAsia" w:hAnsiTheme="minorEastAsia" w:eastAsiaTheme="minorEastAsia"/>
                <w:b w:val="0"/>
                <w:color w:val="auto"/>
                <w:sz w:val="22"/>
                <w:szCs w:val="22"/>
                <w:lang w:val="en-US" w:eastAsia="zh-CN"/>
              </w:rPr>
              <w:t>8</w:t>
            </w:r>
          </w:p>
        </w:tc>
        <w:tc>
          <w:tcPr>
            <w:tcW w:w="4771" w:type="pct"/>
            <w:shd w:val="clear" w:color="auto" w:fill="auto"/>
            <w:vAlign w:val="center"/>
          </w:tcPr>
          <w:p w14:paraId="5D01A5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sz w:val="22"/>
                <w:szCs w:val="22"/>
                <w:lang w:eastAsia="zh-CN"/>
              </w:rPr>
              <w:t>利用无人机技术，乙方组织人员</w:t>
            </w:r>
            <w:r>
              <w:rPr>
                <w:rFonts w:hint="eastAsia" w:ascii="宋体" w:hAnsi="宋体" w:eastAsia="宋体" w:cs="宋体"/>
                <w:b w:val="0"/>
                <w:bCs w:val="0"/>
                <w:sz w:val="22"/>
                <w:szCs w:val="22"/>
                <w:lang w:val="en-US" w:eastAsia="zh-CN"/>
              </w:rPr>
              <w:t>每季度</w:t>
            </w:r>
            <w:r>
              <w:rPr>
                <w:rFonts w:hint="eastAsia" w:ascii="宋体" w:hAnsi="宋体" w:eastAsia="宋体" w:cs="宋体"/>
                <w:b w:val="0"/>
                <w:bCs w:val="0"/>
                <w:sz w:val="22"/>
                <w:szCs w:val="22"/>
                <w:lang w:eastAsia="zh-CN"/>
              </w:rPr>
              <w:t>对两划范围内的违章建筑进行空中巡查，巡查过程中所拍摄的照片，乙方会根据具体点位进行系统整理，并用于后续的定期比对分析，以确保监管的连续性和有效性。</w:t>
            </w:r>
          </w:p>
        </w:tc>
      </w:tr>
    </w:tbl>
    <w:p w14:paraId="63656A76">
      <w:pPr>
        <w:spacing w:line="380" w:lineRule="exact"/>
        <w:ind w:left="420" w:leftChars="200"/>
        <w:rPr>
          <w:rFonts w:ascii="宋体" w:eastAsia="宋体"/>
          <w:color w:val="auto"/>
          <w:sz w:val="22"/>
          <w:szCs w:val="22"/>
        </w:rPr>
      </w:pPr>
      <w:r>
        <w:rPr>
          <w:rFonts w:hint="eastAsia" w:ascii="宋体" w:eastAsia="宋体"/>
          <w:color w:val="auto"/>
          <w:sz w:val="22"/>
          <w:szCs w:val="22"/>
        </w:rPr>
        <w:t>三、商务需求</w:t>
      </w:r>
    </w:p>
    <w:p w14:paraId="3A86D453">
      <w:pPr>
        <w:spacing w:line="360" w:lineRule="auto"/>
        <w:ind w:firstLine="690" w:firstLineChars="314"/>
        <w:rPr>
          <w:rFonts w:ascii="宋体" w:eastAsia="宋体"/>
          <w:b w:val="0"/>
          <w:color w:val="auto"/>
          <w:sz w:val="22"/>
          <w:szCs w:val="22"/>
        </w:rPr>
      </w:pPr>
      <w:r>
        <w:rPr>
          <w:rFonts w:hint="eastAsia" w:ascii="宋体" w:eastAsia="宋体"/>
          <w:b w:val="0"/>
          <w:color w:val="auto"/>
          <w:sz w:val="22"/>
          <w:szCs w:val="22"/>
        </w:rPr>
        <w:t>1、技术服务要求：供应商需严格遵照《中华人民共和国消防法》、《浙江省消防条例》、《中华人民共和国文物保护法（2017年修正本）》、《古建筑消防管理规则》、《文物消防安全检查规程（试行）》（国家文物局文物督发〔2011〕17号）、《文物保护单位执法巡查办法》（文物督发〔2011〕21号）、《用电安全导则》（GB/T 13869-2017）等政策法规要求对</w:t>
      </w:r>
      <w:r>
        <w:rPr>
          <w:rFonts w:hint="eastAsia" w:ascii="宋体" w:eastAsia="宋体"/>
          <w:b w:val="0"/>
          <w:color w:val="auto"/>
          <w:sz w:val="22"/>
          <w:szCs w:val="22"/>
          <w:lang w:val="en-US" w:eastAsia="zh-CN"/>
        </w:rPr>
        <w:t>采购人</w:t>
      </w:r>
      <w:r>
        <w:rPr>
          <w:rFonts w:hint="eastAsia" w:ascii="宋体" w:eastAsia="宋体"/>
          <w:b w:val="0"/>
          <w:color w:val="auto"/>
          <w:sz w:val="22"/>
          <w:szCs w:val="22"/>
        </w:rPr>
        <w:t>区域内227处文保单位（具体数量以甲方提供清单为准）进行安全技术服务，不得弄虚作假，并对</w:t>
      </w:r>
      <w:r>
        <w:rPr>
          <w:rFonts w:hint="eastAsia" w:ascii="宋体" w:eastAsia="宋体"/>
          <w:b w:val="0"/>
          <w:color w:val="auto"/>
          <w:sz w:val="22"/>
          <w:szCs w:val="22"/>
          <w:lang w:val="en-US" w:eastAsia="zh-CN"/>
        </w:rPr>
        <w:t>采购人</w:t>
      </w:r>
      <w:r>
        <w:rPr>
          <w:rFonts w:hint="eastAsia" w:ascii="宋体" w:eastAsia="宋体"/>
          <w:b w:val="0"/>
          <w:color w:val="auto"/>
          <w:sz w:val="22"/>
          <w:szCs w:val="22"/>
        </w:rPr>
        <w:t>所提供文件及资料进行保密。</w:t>
      </w:r>
    </w:p>
    <w:p w14:paraId="13AD1E7D">
      <w:pPr>
        <w:spacing w:line="360" w:lineRule="auto"/>
        <w:ind w:firstLine="690" w:firstLineChars="314"/>
        <w:rPr>
          <w:rFonts w:ascii="宋体" w:eastAsia="宋体"/>
          <w:b w:val="0"/>
          <w:color w:val="auto"/>
          <w:sz w:val="22"/>
          <w:szCs w:val="22"/>
        </w:rPr>
      </w:pPr>
      <w:r>
        <w:rPr>
          <w:rFonts w:hint="eastAsia" w:ascii="宋体" w:eastAsia="宋体"/>
          <w:b w:val="0"/>
          <w:color w:val="auto"/>
          <w:sz w:val="22"/>
          <w:szCs w:val="22"/>
        </w:rPr>
        <w:t>3、供应商提供的服务质量，必须符合磋商文件及其磋商文件规定的要求，如有不符，造成的损失由供应商承担。</w:t>
      </w:r>
    </w:p>
    <w:p w14:paraId="6612E29B">
      <w:pPr>
        <w:spacing w:line="360" w:lineRule="auto"/>
        <w:ind w:firstLine="690" w:firstLineChars="314"/>
        <w:rPr>
          <w:color w:val="auto"/>
        </w:rPr>
      </w:pPr>
      <w:r>
        <w:rPr>
          <w:rFonts w:hint="eastAsia" w:ascii="宋体" w:eastAsia="宋体"/>
          <w:b w:val="0"/>
          <w:color w:val="auto"/>
          <w:sz w:val="22"/>
          <w:szCs w:val="22"/>
        </w:rPr>
        <w:t>4、采购单位有权对人员提出调整要求，中标单位需积极配合。</w:t>
      </w:r>
    </w:p>
    <w:p w14:paraId="4C3E1F78">
      <w:pPr>
        <w:spacing w:line="360" w:lineRule="auto"/>
        <w:ind w:firstLine="690" w:firstLineChars="314"/>
        <w:rPr>
          <w:rFonts w:ascii="宋体" w:eastAsia="宋体"/>
          <w:b w:val="0"/>
          <w:color w:val="auto"/>
          <w:sz w:val="22"/>
          <w:szCs w:val="22"/>
        </w:rPr>
      </w:pPr>
      <w:r>
        <w:rPr>
          <w:rFonts w:hint="eastAsia" w:ascii="宋体" w:eastAsia="宋体"/>
          <w:b w:val="0"/>
          <w:color w:val="auto"/>
          <w:sz w:val="22"/>
          <w:szCs w:val="22"/>
        </w:rPr>
        <w:t>5、供应商须有能力提供完善的服务（包括技术人员、响应时间等）。</w:t>
      </w:r>
    </w:p>
    <w:p w14:paraId="22A54C05">
      <w:pPr>
        <w:spacing w:line="360" w:lineRule="auto"/>
        <w:ind w:firstLine="693" w:firstLineChars="314"/>
        <w:rPr>
          <w:rFonts w:ascii="宋体" w:eastAsia="宋体"/>
          <w:bCs w:val="0"/>
          <w:color w:val="auto"/>
          <w:sz w:val="22"/>
          <w:szCs w:val="22"/>
        </w:rPr>
      </w:pPr>
      <w:r>
        <w:rPr>
          <w:rFonts w:hint="eastAsia" w:ascii="宋体" w:eastAsia="宋体"/>
          <w:bCs w:val="0"/>
          <w:color w:val="auto"/>
          <w:sz w:val="22"/>
          <w:szCs w:val="22"/>
        </w:rPr>
        <w:t>6、服务期：1年</w:t>
      </w:r>
      <w:r>
        <w:rPr>
          <w:rFonts w:ascii="宋体" w:eastAsia="宋体"/>
          <w:bCs w:val="0"/>
          <w:color w:val="auto"/>
          <w:sz w:val="22"/>
          <w:szCs w:val="22"/>
        </w:rPr>
        <w:t>，202</w:t>
      </w:r>
      <w:r>
        <w:rPr>
          <w:rFonts w:hint="eastAsia" w:ascii="宋体" w:eastAsia="宋体"/>
          <w:bCs w:val="0"/>
          <w:color w:val="auto"/>
          <w:sz w:val="22"/>
          <w:szCs w:val="22"/>
          <w:lang w:val="en-US" w:eastAsia="zh-CN"/>
        </w:rPr>
        <w:t>4</w:t>
      </w:r>
      <w:r>
        <w:rPr>
          <w:rFonts w:ascii="宋体" w:eastAsia="宋体"/>
          <w:bCs w:val="0"/>
          <w:color w:val="auto"/>
          <w:sz w:val="22"/>
          <w:szCs w:val="22"/>
        </w:rPr>
        <w:t>-202</w:t>
      </w:r>
      <w:r>
        <w:rPr>
          <w:rFonts w:hint="eastAsia" w:ascii="宋体" w:eastAsia="宋体"/>
          <w:bCs w:val="0"/>
          <w:color w:val="auto"/>
          <w:sz w:val="22"/>
          <w:szCs w:val="22"/>
          <w:lang w:val="en-US" w:eastAsia="zh-CN"/>
        </w:rPr>
        <w:t>5</w:t>
      </w:r>
      <w:r>
        <w:rPr>
          <w:rFonts w:ascii="宋体" w:eastAsia="宋体"/>
          <w:bCs w:val="0"/>
          <w:color w:val="auto"/>
          <w:sz w:val="22"/>
          <w:szCs w:val="22"/>
        </w:rPr>
        <w:t>年</w:t>
      </w:r>
      <w:r>
        <w:rPr>
          <w:rFonts w:hint="eastAsia" w:ascii="宋体" w:eastAsia="宋体"/>
          <w:bCs w:val="0"/>
          <w:color w:val="auto"/>
          <w:sz w:val="22"/>
          <w:szCs w:val="22"/>
        </w:rPr>
        <w:t>。</w:t>
      </w:r>
    </w:p>
    <w:p w14:paraId="1B3B2BB7">
      <w:pPr>
        <w:spacing w:line="360" w:lineRule="auto"/>
        <w:ind w:firstLine="690" w:firstLineChars="314"/>
        <w:rPr>
          <w:rFonts w:ascii="宋体" w:eastAsia="宋体"/>
          <w:b w:val="0"/>
          <w:color w:val="auto"/>
          <w:sz w:val="22"/>
          <w:szCs w:val="22"/>
        </w:rPr>
      </w:pPr>
      <w:r>
        <w:rPr>
          <w:rFonts w:hint="eastAsia" w:ascii="宋体" w:eastAsia="宋体"/>
          <w:b w:val="0"/>
          <w:color w:val="auto"/>
          <w:sz w:val="22"/>
          <w:szCs w:val="22"/>
        </w:rPr>
        <w:t xml:space="preserve">7、付款方式： </w:t>
      </w:r>
      <w:r>
        <w:rPr>
          <w:rFonts w:ascii="宋体" w:eastAsia="宋体"/>
          <w:b w:val="0"/>
          <w:color w:val="auto"/>
          <w:sz w:val="22"/>
          <w:szCs w:val="22"/>
        </w:rPr>
        <w:t>合同签订后一个月内，甲方向乙方支付合同总额25%；合同签订六个月后，甲方向乙方支付合同总额25%；合同到期后，甲方以最终考核得分结果向乙方支付剩余服务费用。（考核细则见附表）。</w:t>
      </w:r>
      <w:r>
        <w:rPr>
          <w:rFonts w:hint="eastAsia" w:ascii="宋体" w:eastAsia="宋体"/>
          <w:b w:val="0"/>
          <w:color w:val="auto"/>
          <w:sz w:val="22"/>
          <w:szCs w:val="22"/>
        </w:rPr>
        <w:t xml:space="preserve"> </w:t>
      </w:r>
    </w:p>
    <w:p w14:paraId="1B363F29">
      <w:pPr>
        <w:pStyle w:val="26"/>
        <w:spacing w:before="10" w:after="10" w:line="360" w:lineRule="auto"/>
        <w:ind w:firstLine="660" w:firstLineChars="300"/>
        <w:rPr>
          <w:rFonts w:hAnsi="宋体" w:eastAsia="宋体"/>
          <w:b w:val="0"/>
          <w:bCs w:val="0"/>
          <w:color w:val="auto"/>
          <w:kern w:val="2"/>
          <w:sz w:val="22"/>
          <w:szCs w:val="22"/>
        </w:rPr>
      </w:pPr>
      <w:r>
        <w:rPr>
          <w:rFonts w:hint="eastAsia" w:hAnsi="宋体" w:eastAsia="宋体"/>
          <w:b w:val="0"/>
          <w:bCs w:val="0"/>
          <w:color w:val="auto"/>
          <w:kern w:val="2"/>
          <w:sz w:val="22"/>
          <w:szCs w:val="22"/>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p>
    <w:p w14:paraId="788B38D4">
      <w:pPr>
        <w:spacing w:line="360" w:lineRule="auto"/>
        <w:ind w:firstLine="442" w:firstLineChars="200"/>
        <w:rPr>
          <w:rFonts w:ascii="宋体" w:eastAsia="宋体"/>
          <w:color w:val="auto"/>
          <w:sz w:val="22"/>
          <w:szCs w:val="22"/>
        </w:rPr>
      </w:pPr>
      <w:r>
        <w:rPr>
          <w:rFonts w:hint="eastAsia" w:ascii="宋体" w:eastAsia="宋体"/>
          <w:color w:val="auto"/>
          <w:sz w:val="22"/>
          <w:szCs w:val="22"/>
        </w:rPr>
        <w:t>四、其他需求</w:t>
      </w:r>
    </w:p>
    <w:p w14:paraId="751410AB">
      <w:pPr>
        <w:spacing w:line="360" w:lineRule="auto"/>
        <w:ind w:firstLine="431" w:firstLineChars="196"/>
        <w:rPr>
          <w:rFonts w:ascii="宋体" w:eastAsia="宋体"/>
          <w:b w:val="0"/>
          <w:color w:val="auto"/>
          <w:sz w:val="22"/>
          <w:szCs w:val="22"/>
          <w:u w:val="single"/>
        </w:rPr>
      </w:pPr>
      <w:r>
        <w:rPr>
          <w:rFonts w:hint="eastAsia" w:ascii="宋体" w:eastAsia="宋体"/>
          <w:b w:val="0"/>
          <w:color w:val="auto"/>
          <w:sz w:val="22"/>
          <w:szCs w:val="22"/>
          <w:u w:val="single"/>
        </w:rPr>
        <w:t>★注：1. 本磋商文件中带“▲”的条款内容，为本次采购的实质性内容，供应商必须全部响应，否则将作无效标处理。</w:t>
      </w:r>
    </w:p>
    <w:bookmarkEnd w:id="4"/>
    <w:p w14:paraId="717B052F">
      <w:pPr>
        <w:rPr>
          <w:rFonts w:ascii="宋体" w:eastAsia="宋体"/>
          <w:color w:val="auto"/>
        </w:rPr>
      </w:pPr>
      <w:bookmarkStart w:id="5" w:name="_Toc24611"/>
      <w:r>
        <w:rPr>
          <w:rFonts w:hint="eastAsia" w:ascii="宋体" w:eastAsia="宋体"/>
          <w:color w:val="auto"/>
        </w:rPr>
        <w:br w:type="page"/>
      </w:r>
    </w:p>
    <w:p w14:paraId="043CDEE6">
      <w:pPr>
        <w:pStyle w:val="6"/>
        <w:rPr>
          <w:rFonts w:ascii="宋体" w:hAnsi="宋体" w:cs="宋体"/>
          <w:color w:val="auto"/>
        </w:rPr>
      </w:pPr>
      <w:r>
        <w:rPr>
          <w:rFonts w:hint="eastAsia" w:ascii="宋体" w:hAnsi="宋体" w:cs="宋体"/>
          <w:color w:val="auto"/>
        </w:rPr>
        <w:t>第三部分 投标供应商须知</w:t>
      </w:r>
      <w:bookmarkEnd w:id="5"/>
    </w:p>
    <w:p w14:paraId="1B64F740">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一、说明</w:t>
      </w:r>
    </w:p>
    <w:p w14:paraId="1D2BD5C7">
      <w:pPr>
        <w:widowControl/>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1、本次采购工作是按照《中华人民共和国政府采购法》、《政府采购竞争性磋商采购方式管理暂行办法》及相关法律规章组织和实施。</w:t>
      </w:r>
    </w:p>
    <w:p w14:paraId="121CFB20">
      <w:pPr>
        <w:widowControl/>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2、无论采购过程中的作法和结果如何，投标供应商自行承担采购活动中所发生的全部费用。</w:t>
      </w:r>
    </w:p>
    <w:p w14:paraId="39081190">
      <w:pPr>
        <w:adjustRightInd w:val="0"/>
        <w:spacing w:line="360" w:lineRule="auto"/>
        <w:ind w:firstLine="431" w:firstLineChars="196"/>
        <w:rPr>
          <w:rFonts w:ascii="宋体" w:eastAsia="宋体"/>
          <w:color w:val="auto"/>
          <w:sz w:val="22"/>
          <w:szCs w:val="22"/>
          <w:u w:val="single"/>
        </w:rPr>
      </w:pPr>
      <w:r>
        <w:rPr>
          <w:rFonts w:hint="eastAsia" w:ascii="宋体" w:eastAsia="宋体"/>
          <w:b w:val="0"/>
          <w:color w:val="auto"/>
          <w:sz w:val="22"/>
          <w:szCs w:val="22"/>
        </w:rPr>
        <w:t>3、</w:t>
      </w:r>
      <w:r>
        <w:rPr>
          <w:rFonts w:hint="eastAsia" w:ascii="宋体" w:eastAsia="宋体"/>
          <w:color w:val="auto"/>
          <w:sz w:val="22"/>
          <w:szCs w:val="22"/>
          <w:u w:val="single"/>
        </w:rPr>
        <w:t>投标供应商必须对全部服务内容进行投标。</w:t>
      </w:r>
    </w:p>
    <w:p w14:paraId="234EDD40">
      <w:pPr>
        <w:spacing w:line="360" w:lineRule="auto"/>
        <w:ind w:firstLine="442" w:firstLineChars="200"/>
        <w:rPr>
          <w:rFonts w:ascii="宋体" w:eastAsia="宋体"/>
          <w:color w:val="auto"/>
          <w:sz w:val="22"/>
          <w:szCs w:val="22"/>
        </w:rPr>
      </w:pPr>
      <w:r>
        <w:rPr>
          <w:rFonts w:hint="eastAsia" w:ascii="宋体" w:eastAsia="宋体"/>
          <w:color w:val="auto"/>
          <w:sz w:val="22"/>
          <w:szCs w:val="22"/>
        </w:rPr>
        <w:t>4、▲</w:t>
      </w:r>
      <w:r>
        <w:rPr>
          <w:rFonts w:hint="eastAsia" w:ascii="宋体" w:eastAsia="宋体"/>
          <w:color w:val="auto"/>
          <w:sz w:val="22"/>
          <w:szCs w:val="22"/>
          <w:u w:val="single"/>
        </w:rPr>
        <w:t>本项目采用竞争性磋商采购方式进行采购，在磋商过程中，磋商小组可以根据磋商文件和磋商情况实质性变动服务要求以及合同草案条款，但不得变动磋商文件中的其他内容。已提交磋商响应文件的投标供应商，在提交最后报价之前，可以根据磋商情况退出磋商。</w:t>
      </w:r>
    </w:p>
    <w:p w14:paraId="13C0531E">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5、投标供应商领取磋商文件后如不前来投标，需在开标前三日书面通知采购代理机构，以便于本项目后续工作开展。</w:t>
      </w:r>
    </w:p>
    <w:p w14:paraId="1F77D69F">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6、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3B85CC93">
      <w:pPr>
        <w:spacing w:line="360" w:lineRule="auto"/>
        <w:ind w:firstLine="440" w:firstLineChars="200"/>
        <w:rPr>
          <w:rFonts w:ascii="宋体" w:eastAsia="宋体"/>
          <w:color w:val="auto"/>
          <w:sz w:val="22"/>
          <w:szCs w:val="22"/>
        </w:rPr>
      </w:pPr>
      <w:r>
        <w:rPr>
          <w:rFonts w:hint="eastAsia" w:ascii="宋体" w:eastAsia="宋体"/>
          <w:b w:val="0"/>
          <w:bCs w:val="0"/>
          <w:color w:val="auto"/>
          <w:sz w:val="22"/>
          <w:szCs w:val="22"/>
        </w:rPr>
        <w:t>7、</w:t>
      </w:r>
      <w:r>
        <w:rPr>
          <w:rFonts w:hint="eastAsia" w:ascii="宋体" w:eastAsia="宋体"/>
          <w:color w:val="auto"/>
          <w:sz w:val="22"/>
          <w:szCs w:val="22"/>
        </w:rPr>
        <w:t>本项目采用在线投标响应方式，执行《浙江省财政厅关于印发浙江省政府采购项目电子交易管理暂行办法的通知》（浙财采监〔2019〕10 号）等相关规定。</w:t>
      </w:r>
    </w:p>
    <w:p w14:paraId="4140821C">
      <w:pPr>
        <w:widowControl/>
        <w:autoSpaceDE w:val="0"/>
        <w:autoSpaceDN w:val="0"/>
        <w:adjustRightInd w:val="0"/>
        <w:spacing w:line="360" w:lineRule="auto"/>
        <w:ind w:firstLine="442" w:firstLineChars="200"/>
        <w:textAlignment w:val="bottom"/>
        <w:rPr>
          <w:rFonts w:ascii="宋体" w:eastAsia="宋体"/>
          <w:color w:val="auto"/>
          <w:sz w:val="22"/>
          <w:szCs w:val="22"/>
        </w:rPr>
      </w:pPr>
      <w:r>
        <w:rPr>
          <w:rFonts w:hint="eastAsia" w:ascii="宋体" w:eastAsia="宋体"/>
          <w:color w:val="auto"/>
          <w:sz w:val="22"/>
          <w:szCs w:val="22"/>
        </w:rPr>
        <w:t>8、执行节能产品政府强制采购和优先采购政策，执行环境标志产品政府优先采购政策；</w:t>
      </w:r>
    </w:p>
    <w:p w14:paraId="03E9B1E6">
      <w:pPr>
        <w:spacing w:line="360" w:lineRule="auto"/>
        <w:ind w:firstLine="442" w:firstLineChars="200"/>
        <w:rPr>
          <w:rFonts w:ascii="宋体" w:eastAsia="宋体"/>
          <w:color w:val="auto"/>
          <w:sz w:val="22"/>
          <w:szCs w:val="22"/>
        </w:rPr>
      </w:pPr>
      <w:r>
        <w:rPr>
          <w:rFonts w:hint="eastAsia" w:ascii="宋体" w:eastAsia="宋体"/>
          <w:color w:val="auto"/>
          <w:sz w:val="22"/>
          <w:szCs w:val="22"/>
        </w:rPr>
        <w:t>9、根据浙江省财政厅《关于坚决打赢疫情防控狙击战进一步做好政府采购资金支持企业发展工作的通知》（浙财采监〔2020〕3号）和永嘉县文化和广电旅游体育局《关于做好政府采购相关工作应对新冠肺炎疫情支持中小企业共渡难关的通知》（永财采监〔2020〕47号）文件精神，永嘉县文化和广电旅游体育局积极协同永嘉县相关金融机构，加快推广政采贷、履约保函等政府采购金融服务。各中标供应商可直接在政采云上申请政采贷也可以通过线下申请政采贷活动，永嘉县域内金融机构政采贷服务业务介绍详见采购公告“政采贷融资”，如有需要可直接联系。</w:t>
      </w:r>
    </w:p>
    <w:p w14:paraId="67293774">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10、采用最低评标价法的采购项目，提供相同品牌产品的不同投标供应商参加同一合同项下投标的，以其中通过资格审查、符合性审查且报价最低的参加评标；报价相同的，采取随机抽取方式确定，其他投标无效。</w:t>
      </w:r>
    </w:p>
    <w:p w14:paraId="760AB736">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7DE2B6A4">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非单一产品采购项目， 单项产品投标价格比重占总投标价 50% 及以上的认定为核心产品 （有效投标供应商中一家供应商该产品投标价格占总投标价 50% 级以上即认定）， 多家投标供应商提供的核心产品品牌相同的，按前两款规定处理。</w:t>
      </w:r>
    </w:p>
    <w:p w14:paraId="6010C76C">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二、投标供应商资格条件</w:t>
      </w:r>
    </w:p>
    <w:p w14:paraId="45E0FAE7">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按采购公告要求</w:t>
      </w:r>
    </w:p>
    <w:p w14:paraId="4D3A8D17">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三、竞争性磋商文件</w:t>
      </w:r>
    </w:p>
    <w:p w14:paraId="5ADAA8E3">
      <w:pPr>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1、竞争性磋商文件</w:t>
      </w:r>
    </w:p>
    <w:p w14:paraId="50FD865F">
      <w:pPr>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1.1竞争性磋商文件发放</w:t>
      </w:r>
    </w:p>
    <w:p w14:paraId="64890D73">
      <w:pPr>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采购文件实行“政采云平台”在线获取，不提供采购文件纸质版。</w:t>
      </w:r>
    </w:p>
    <w:p w14:paraId="1A636F7E">
      <w:pPr>
        <w:spacing w:line="360" w:lineRule="auto"/>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1.2竞争性磋商文件约束力</w:t>
      </w:r>
    </w:p>
    <w:p w14:paraId="01369B20">
      <w:pPr>
        <w:autoSpaceDE w:val="0"/>
        <w:autoSpaceDN w:val="0"/>
        <w:adjustRightInd w:val="0"/>
        <w:spacing w:line="360" w:lineRule="auto"/>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投标供应商一旦下载了本竞争性磋商文件并参加投标，即被认为接受了本竞争性磋商文件中所有条款和规定。</w:t>
      </w:r>
    </w:p>
    <w:p w14:paraId="6599255D">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2、质疑</w:t>
      </w:r>
    </w:p>
    <w:p w14:paraId="1CC04244">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2.1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14:paraId="7F7A4B27">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2.2投标供应商提出质疑应当提交质疑函和必要的证明材料，质疑函范本请到“浙江政府采购网下载专区”下载，质疑函内容及签署等相关要求请参看《政府采购质疑和投诉办法》相关规定。</w:t>
      </w:r>
    </w:p>
    <w:p w14:paraId="431C99AA">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2.3提出质疑的投标供应商应当是参与本项目招标活动的投标供应商。投标供应商在法定质疑期内一次性提出针对同一采购程序环节的质疑。</w:t>
      </w:r>
    </w:p>
    <w:p w14:paraId="5E1D76D8">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2.4根据《政府采购质疑和投诉办法》第三十七条的规定，投诉人在全国范围12个月内三次以上投诉查无实据的，由财政部门列入不良行为记录名单。</w:t>
      </w:r>
    </w:p>
    <w:p w14:paraId="020B4F32">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3.投诉</w:t>
      </w:r>
    </w:p>
    <w:p w14:paraId="3165831C">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3.1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3AA733B">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4.采购文件的澄清或修改</w:t>
      </w:r>
    </w:p>
    <w:p w14:paraId="436B0359">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14:paraId="4D7CDD27">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4.2澄清或者修改的内容可能影响响应文件编制的，采购人或者采购代理机构应当在投标截止时间至少5日前，以书面形式（在浙江政府采购网上发布公告）通知所有获取采购文件的潜在投标供应商；不足5日的，采购人或者采购代理机构应当顺延提交响应文件的截止时间。</w:t>
      </w:r>
    </w:p>
    <w:p w14:paraId="26D7EFD0">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4.3采购文件如有补充更正均见“政采云”（http://www.zjzfcg.gov.cn）。投标供应商须在开标前一日自行查看是否有补充更正文件，并按补充更正文件要求投标，否则责任自负。</w:t>
      </w:r>
    </w:p>
    <w:p w14:paraId="04C62994">
      <w:pPr>
        <w:autoSpaceDE w:val="0"/>
        <w:autoSpaceDN w:val="0"/>
        <w:adjustRightInd w:val="0"/>
        <w:spacing w:line="360" w:lineRule="auto"/>
        <w:ind w:firstLine="442" w:firstLineChars="200"/>
        <w:rPr>
          <w:rFonts w:ascii="宋体" w:eastAsia="宋体"/>
          <w:bCs w:val="0"/>
          <w:color w:val="auto"/>
          <w:sz w:val="22"/>
          <w:szCs w:val="22"/>
        </w:rPr>
      </w:pPr>
      <w:r>
        <w:rPr>
          <w:rFonts w:hint="eastAsia" w:ascii="宋体" w:eastAsia="宋体"/>
          <w:bCs w:val="0"/>
          <w:color w:val="auto"/>
          <w:sz w:val="22"/>
          <w:szCs w:val="22"/>
        </w:rPr>
        <w:t>四、磋商响应文件</w:t>
      </w:r>
    </w:p>
    <w:p w14:paraId="6232335D">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1、磋商响应文件</w:t>
      </w:r>
    </w:p>
    <w:p w14:paraId="554F203A">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1.1投标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投标供应商在基本满足采购要求的前提下出现的微小差异。</w:t>
      </w:r>
    </w:p>
    <w:p w14:paraId="6A00D01D">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1.2投标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7ABD42AE">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1.3投标供应商应仔细阅读竞争性磋商文件中的所有内容，按照竞争性磋商文件要求，详细编制磋商响应文件，所有文件资料必须是针对本次投标。不按竞争性磋商文件的要求提供的磋商响应文件可能导致被拒绝。</w:t>
      </w:r>
    </w:p>
    <w:p w14:paraId="008C52D5">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2、磋商响应文件的组成</w:t>
      </w:r>
    </w:p>
    <w:p w14:paraId="2AA48077">
      <w:pPr>
        <w:autoSpaceDE w:val="0"/>
        <w:autoSpaceDN w:val="0"/>
        <w:adjustRightInd w:val="0"/>
        <w:spacing w:line="360" w:lineRule="auto"/>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磋商响应文件由资格文件、报价文件、商务技术文件三部分组成。</w:t>
      </w:r>
    </w:p>
    <w:p w14:paraId="2A6F06F3">
      <w:pPr>
        <w:autoSpaceDE w:val="0"/>
        <w:autoSpaceDN w:val="0"/>
        <w:adjustRightInd w:val="0"/>
        <w:spacing w:line="450" w:lineRule="atLeast"/>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2.1、资格文件部分组成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316"/>
        <w:gridCol w:w="1011"/>
      </w:tblGrid>
      <w:tr w14:paraId="7E3F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26CCE7A9">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序号</w:t>
            </w:r>
          </w:p>
        </w:tc>
        <w:tc>
          <w:tcPr>
            <w:tcW w:w="4036" w:type="pct"/>
            <w:tcBorders>
              <w:top w:val="single" w:color="auto" w:sz="4" w:space="0"/>
              <w:left w:val="single" w:color="auto" w:sz="4" w:space="0"/>
              <w:bottom w:val="single" w:color="auto" w:sz="4" w:space="0"/>
              <w:right w:val="single" w:color="auto" w:sz="4" w:space="0"/>
            </w:tcBorders>
          </w:tcPr>
          <w:p w14:paraId="1E2771D1">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内容</w:t>
            </w:r>
          </w:p>
        </w:tc>
        <w:tc>
          <w:tcPr>
            <w:tcW w:w="558" w:type="pct"/>
            <w:tcBorders>
              <w:top w:val="single" w:color="auto" w:sz="4" w:space="0"/>
              <w:left w:val="single" w:color="auto" w:sz="4" w:space="0"/>
              <w:bottom w:val="single" w:color="auto" w:sz="4" w:space="0"/>
              <w:right w:val="single" w:color="auto" w:sz="4" w:space="0"/>
            </w:tcBorders>
          </w:tcPr>
          <w:p w14:paraId="5AD3769D">
            <w:pPr>
              <w:autoSpaceDE w:val="0"/>
              <w:autoSpaceDN w:val="0"/>
              <w:adjustRightInd w:val="0"/>
              <w:snapToGrid w:val="0"/>
              <w:spacing w:line="430" w:lineRule="atLeast"/>
              <w:jc w:val="center"/>
              <w:rPr>
                <w:rFonts w:ascii="宋体" w:eastAsia="宋体"/>
                <w:color w:val="auto"/>
                <w:sz w:val="22"/>
                <w:szCs w:val="22"/>
                <w:lang w:val="zh-CN"/>
              </w:rPr>
            </w:pPr>
            <w:r>
              <w:rPr>
                <w:rFonts w:hint="eastAsia" w:ascii="宋体" w:eastAsia="宋体"/>
                <w:color w:val="auto"/>
                <w:sz w:val="22"/>
                <w:szCs w:val="22"/>
                <w:lang w:val="zh-CN"/>
              </w:rPr>
              <w:t>备注</w:t>
            </w:r>
          </w:p>
        </w:tc>
      </w:tr>
      <w:tr w14:paraId="3436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61FD1002">
            <w:pPr>
              <w:tabs>
                <w:tab w:val="left" w:pos="4140"/>
              </w:tabs>
              <w:adjustRightInd w:val="0"/>
              <w:snapToGrid w:val="0"/>
              <w:spacing w:line="320" w:lineRule="atLeast"/>
              <w:jc w:val="center"/>
              <w:rPr>
                <w:rFonts w:ascii="宋体" w:eastAsia="宋体"/>
                <w:b w:val="0"/>
                <w:bCs w:val="0"/>
                <w:color w:val="auto"/>
                <w:sz w:val="22"/>
                <w:lang w:val="zh-CN"/>
              </w:rPr>
            </w:pPr>
            <w:r>
              <w:rPr>
                <w:rFonts w:hint="eastAsia" w:ascii="宋体" w:eastAsia="宋体"/>
                <w:b w:val="0"/>
                <w:bCs w:val="0"/>
                <w:color w:val="auto"/>
                <w:sz w:val="22"/>
                <w:szCs w:val="22"/>
                <w:lang w:val="zh-CN"/>
              </w:rPr>
              <w:t>1</w:t>
            </w:r>
          </w:p>
        </w:tc>
        <w:tc>
          <w:tcPr>
            <w:tcW w:w="4036" w:type="pct"/>
            <w:tcBorders>
              <w:top w:val="single" w:color="auto" w:sz="4" w:space="0"/>
              <w:left w:val="single" w:color="auto" w:sz="4" w:space="0"/>
              <w:bottom w:val="single" w:color="auto" w:sz="4" w:space="0"/>
              <w:right w:val="single" w:color="auto" w:sz="4" w:space="0"/>
            </w:tcBorders>
          </w:tcPr>
          <w:p w14:paraId="121DA08D">
            <w:pPr>
              <w:tabs>
                <w:tab w:val="left" w:pos="4140"/>
              </w:tabs>
              <w:adjustRightInd w:val="0"/>
              <w:snapToGrid w:val="0"/>
              <w:spacing w:line="320" w:lineRule="atLeast"/>
              <w:rPr>
                <w:rFonts w:ascii="宋体" w:eastAsia="宋体"/>
                <w:b w:val="0"/>
                <w:bCs w:val="0"/>
                <w:color w:val="auto"/>
                <w:sz w:val="22"/>
                <w:lang w:val="zh-CN"/>
              </w:rPr>
            </w:pPr>
            <w:r>
              <w:rPr>
                <w:rFonts w:hint="eastAsia" w:ascii="宋体" w:eastAsia="宋体"/>
                <w:b w:val="0"/>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c>
          <w:tcPr>
            <w:tcW w:w="558" w:type="pct"/>
            <w:tcBorders>
              <w:top w:val="single" w:color="auto" w:sz="4" w:space="0"/>
              <w:left w:val="single" w:color="auto" w:sz="4" w:space="0"/>
              <w:bottom w:val="single" w:color="auto" w:sz="4" w:space="0"/>
              <w:right w:val="single" w:color="auto" w:sz="4" w:space="0"/>
            </w:tcBorders>
          </w:tcPr>
          <w:p w14:paraId="15D1E130">
            <w:pPr>
              <w:tabs>
                <w:tab w:val="left" w:pos="4140"/>
              </w:tabs>
              <w:adjustRightInd w:val="0"/>
              <w:snapToGrid w:val="0"/>
              <w:spacing w:line="320" w:lineRule="atLeast"/>
              <w:rPr>
                <w:rFonts w:ascii="宋体" w:eastAsia="宋体"/>
                <w:b w:val="0"/>
                <w:bCs w:val="0"/>
                <w:color w:val="auto"/>
                <w:sz w:val="22"/>
                <w:szCs w:val="22"/>
              </w:rPr>
            </w:pPr>
          </w:p>
        </w:tc>
      </w:tr>
      <w:tr w14:paraId="3E8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45172E3C">
            <w:pPr>
              <w:tabs>
                <w:tab w:val="left" w:pos="4140"/>
              </w:tabs>
              <w:adjustRightInd w:val="0"/>
              <w:snapToGrid w:val="0"/>
              <w:spacing w:line="320" w:lineRule="atLeast"/>
              <w:rPr>
                <w:rFonts w:ascii="宋体" w:eastAsia="宋体"/>
                <w:b w:val="0"/>
                <w:bCs w:val="0"/>
                <w:color w:val="auto"/>
                <w:sz w:val="22"/>
                <w:szCs w:val="22"/>
                <w:lang w:val="zh-CN"/>
              </w:rPr>
            </w:pPr>
            <w:r>
              <w:rPr>
                <w:rFonts w:hint="eastAsia" w:ascii="宋体" w:eastAsia="宋体"/>
                <w:b w:val="0"/>
                <w:bCs w:val="0"/>
                <w:color w:val="auto"/>
                <w:sz w:val="22"/>
                <w:szCs w:val="22"/>
                <w:lang w:val="zh-CN"/>
              </w:rPr>
              <w:t>2</w:t>
            </w:r>
          </w:p>
        </w:tc>
        <w:tc>
          <w:tcPr>
            <w:tcW w:w="4036" w:type="pct"/>
            <w:tcBorders>
              <w:top w:val="single" w:color="auto" w:sz="4" w:space="0"/>
              <w:left w:val="single" w:color="auto" w:sz="4" w:space="0"/>
              <w:bottom w:val="single" w:color="auto" w:sz="4" w:space="0"/>
              <w:right w:val="single" w:color="auto" w:sz="4" w:space="0"/>
            </w:tcBorders>
          </w:tcPr>
          <w:p w14:paraId="4DF80FC6">
            <w:pPr>
              <w:tabs>
                <w:tab w:val="left" w:pos="4140"/>
              </w:tabs>
              <w:adjustRightInd w:val="0"/>
              <w:snapToGrid w:val="0"/>
              <w:spacing w:line="320" w:lineRule="atLeast"/>
              <w:rPr>
                <w:rFonts w:ascii="宋体" w:eastAsia="宋体"/>
                <w:b w:val="0"/>
                <w:bCs w:val="0"/>
                <w:color w:val="auto"/>
                <w:sz w:val="22"/>
                <w:szCs w:val="22"/>
              </w:rPr>
            </w:pPr>
            <w:bookmarkStart w:id="6" w:name="_Toc27009"/>
            <w:bookmarkStart w:id="7" w:name="_Toc18070"/>
            <w:bookmarkStart w:id="8" w:name="_Toc15000"/>
            <w:bookmarkStart w:id="9" w:name="_Toc28986"/>
            <w:r>
              <w:rPr>
                <w:rFonts w:hint="eastAsia" w:ascii="宋体" w:eastAsia="宋体"/>
                <w:b w:val="0"/>
                <w:bCs w:val="0"/>
                <w:color w:val="auto"/>
                <w:sz w:val="22"/>
                <w:szCs w:val="22"/>
                <w:lang w:val="zh-CN"/>
              </w:rPr>
              <w:t>具有财务会计制度、设备和专业技术能力、</w:t>
            </w:r>
            <w:r>
              <w:rPr>
                <w:rFonts w:hint="eastAsia" w:ascii="宋体" w:eastAsia="宋体"/>
                <w:b w:val="0"/>
                <w:bCs w:val="0"/>
                <w:color w:val="auto"/>
                <w:sz w:val="22"/>
                <w:szCs w:val="22"/>
              </w:rPr>
              <w:t>依法</w:t>
            </w:r>
            <w:r>
              <w:rPr>
                <w:rFonts w:hint="eastAsia" w:ascii="宋体" w:eastAsia="宋体"/>
                <w:b w:val="0"/>
                <w:bCs w:val="0"/>
                <w:color w:val="auto"/>
                <w:sz w:val="22"/>
                <w:szCs w:val="22"/>
                <w:lang w:val="zh-CN"/>
              </w:rPr>
              <w:t>缴纳税收和社会保障资金</w:t>
            </w:r>
            <w:r>
              <w:rPr>
                <w:rFonts w:hint="eastAsia" w:ascii="宋体" w:eastAsia="宋体"/>
                <w:b w:val="0"/>
                <w:bCs w:val="0"/>
                <w:color w:val="auto"/>
                <w:sz w:val="22"/>
                <w:szCs w:val="22"/>
              </w:rPr>
              <w:t>记录</w:t>
            </w:r>
            <w:r>
              <w:rPr>
                <w:rFonts w:hint="eastAsia" w:ascii="宋体" w:eastAsia="宋体"/>
                <w:b w:val="0"/>
                <w:bCs w:val="0"/>
                <w:color w:val="auto"/>
                <w:sz w:val="22"/>
                <w:szCs w:val="22"/>
                <w:lang w:val="zh-CN"/>
              </w:rPr>
              <w:t>、</w:t>
            </w:r>
            <w:r>
              <w:rPr>
                <w:rFonts w:hint="eastAsia" w:ascii="宋体" w:eastAsia="宋体"/>
                <w:b w:val="0"/>
                <w:bCs w:val="0"/>
                <w:color w:val="auto"/>
                <w:sz w:val="22"/>
                <w:szCs w:val="22"/>
              </w:rPr>
              <w:t>无</w:t>
            </w:r>
            <w:r>
              <w:rPr>
                <w:rFonts w:hint="eastAsia" w:ascii="宋体" w:eastAsia="宋体"/>
                <w:b w:val="0"/>
                <w:bCs w:val="0"/>
                <w:color w:val="auto"/>
                <w:sz w:val="22"/>
                <w:szCs w:val="22"/>
                <w:lang w:val="zh-CN"/>
              </w:rPr>
              <w:t>重大违法记录的承诺函</w:t>
            </w:r>
            <w:bookmarkEnd w:id="6"/>
            <w:bookmarkEnd w:id="7"/>
            <w:bookmarkEnd w:id="8"/>
            <w:bookmarkEnd w:id="9"/>
          </w:p>
        </w:tc>
        <w:tc>
          <w:tcPr>
            <w:tcW w:w="558" w:type="pct"/>
            <w:tcBorders>
              <w:top w:val="single" w:color="auto" w:sz="4" w:space="0"/>
              <w:left w:val="single" w:color="auto" w:sz="4" w:space="0"/>
              <w:bottom w:val="single" w:color="auto" w:sz="4" w:space="0"/>
              <w:right w:val="single" w:color="auto" w:sz="4" w:space="0"/>
            </w:tcBorders>
          </w:tcPr>
          <w:p w14:paraId="6BBD3603">
            <w:pPr>
              <w:tabs>
                <w:tab w:val="left" w:pos="4140"/>
              </w:tabs>
              <w:adjustRightInd w:val="0"/>
              <w:snapToGrid w:val="0"/>
              <w:spacing w:line="320" w:lineRule="atLeast"/>
              <w:rPr>
                <w:rFonts w:ascii="宋体" w:eastAsia="宋体"/>
                <w:b w:val="0"/>
                <w:bCs w:val="0"/>
                <w:color w:val="auto"/>
                <w:sz w:val="22"/>
                <w:szCs w:val="22"/>
              </w:rPr>
            </w:pPr>
            <w:r>
              <w:rPr>
                <w:rFonts w:hint="eastAsia" w:ascii="宋体" w:eastAsia="宋体"/>
                <w:b w:val="0"/>
                <w:bCs w:val="0"/>
                <w:color w:val="auto"/>
                <w:sz w:val="22"/>
                <w:szCs w:val="22"/>
              </w:rPr>
              <w:t>附件一</w:t>
            </w:r>
          </w:p>
        </w:tc>
      </w:tr>
      <w:tr w14:paraId="2B83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7205C761">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szCs w:val="22"/>
              </w:rPr>
              <w:t>3</w:t>
            </w:r>
          </w:p>
        </w:tc>
        <w:tc>
          <w:tcPr>
            <w:tcW w:w="4036" w:type="pct"/>
            <w:tcBorders>
              <w:top w:val="single" w:color="auto" w:sz="4" w:space="0"/>
              <w:left w:val="single" w:color="auto" w:sz="4" w:space="0"/>
              <w:bottom w:val="single" w:color="auto" w:sz="4" w:space="0"/>
              <w:right w:val="single" w:color="auto" w:sz="4" w:space="0"/>
            </w:tcBorders>
          </w:tcPr>
          <w:p w14:paraId="3E327FFF">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投标供应商“信用中国”(www.creditchina.gov.cn)；“中国政府采购网”（www.ccgp.gov.cn）信用记录查询网页截图（采购公告发布之日至响应文件递交截止时间前）</w:t>
            </w:r>
          </w:p>
        </w:tc>
        <w:tc>
          <w:tcPr>
            <w:tcW w:w="558" w:type="pct"/>
            <w:tcBorders>
              <w:top w:val="single" w:color="auto" w:sz="4" w:space="0"/>
              <w:left w:val="single" w:color="auto" w:sz="4" w:space="0"/>
              <w:bottom w:val="single" w:color="auto" w:sz="4" w:space="0"/>
              <w:right w:val="single" w:color="auto" w:sz="4" w:space="0"/>
            </w:tcBorders>
          </w:tcPr>
          <w:p w14:paraId="46EC14B9">
            <w:pPr>
              <w:tabs>
                <w:tab w:val="left" w:pos="4140"/>
              </w:tabs>
              <w:adjustRightInd w:val="0"/>
              <w:snapToGrid w:val="0"/>
              <w:spacing w:line="320" w:lineRule="atLeast"/>
              <w:jc w:val="center"/>
              <w:rPr>
                <w:rFonts w:ascii="宋体" w:eastAsia="宋体"/>
                <w:b w:val="0"/>
                <w:bCs w:val="0"/>
                <w:color w:val="auto"/>
                <w:sz w:val="22"/>
                <w:szCs w:val="22"/>
              </w:rPr>
            </w:pPr>
          </w:p>
        </w:tc>
      </w:tr>
      <w:tr w14:paraId="3F99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5" w:type="pct"/>
            <w:tcBorders>
              <w:top w:val="single" w:color="auto" w:sz="4" w:space="0"/>
              <w:left w:val="single" w:color="auto" w:sz="4" w:space="0"/>
              <w:bottom w:val="single" w:color="auto" w:sz="4" w:space="0"/>
              <w:right w:val="single" w:color="auto" w:sz="4" w:space="0"/>
            </w:tcBorders>
            <w:vAlign w:val="center"/>
          </w:tcPr>
          <w:p w14:paraId="40EC19AA">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szCs w:val="22"/>
              </w:rPr>
              <w:t>4</w:t>
            </w:r>
          </w:p>
        </w:tc>
        <w:tc>
          <w:tcPr>
            <w:tcW w:w="4036" w:type="pct"/>
            <w:tcBorders>
              <w:top w:val="single" w:color="auto" w:sz="4" w:space="0"/>
              <w:left w:val="single" w:color="auto" w:sz="4" w:space="0"/>
              <w:bottom w:val="single" w:color="auto" w:sz="4" w:space="0"/>
              <w:right w:val="single" w:color="auto" w:sz="4" w:space="0"/>
            </w:tcBorders>
          </w:tcPr>
          <w:p w14:paraId="334C7E77">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14:paraId="39476462">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附件二</w:t>
            </w:r>
          </w:p>
        </w:tc>
      </w:tr>
      <w:tr w14:paraId="1A7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430C54EC">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rPr>
              <w:t>5</w:t>
            </w:r>
          </w:p>
        </w:tc>
        <w:tc>
          <w:tcPr>
            <w:tcW w:w="4036" w:type="pct"/>
            <w:tcBorders>
              <w:top w:val="single" w:color="auto" w:sz="4" w:space="0"/>
              <w:left w:val="single" w:color="auto" w:sz="4" w:space="0"/>
              <w:bottom w:val="single" w:color="auto" w:sz="4" w:space="0"/>
              <w:right w:val="single" w:color="auto" w:sz="4" w:space="0"/>
            </w:tcBorders>
          </w:tcPr>
          <w:p w14:paraId="7309ECD2">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供应商法定代表人授权书</w:t>
            </w:r>
          </w:p>
        </w:tc>
        <w:tc>
          <w:tcPr>
            <w:tcW w:w="558" w:type="pct"/>
            <w:tcBorders>
              <w:top w:val="single" w:color="auto" w:sz="4" w:space="0"/>
              <w:left w:val="single" w:color="auto" w:sz="4" w:space="0"/>
              <w:bottom w:val="single" w:color="auto" w:sz="4" w:space="0"/>
              <w:right w:val="single" w:color="auto" w:sz="4" w:space="0"/>
            </w:tcBorders>
          </w:tcPr>
          <w:p w14:paraId="4EC4D0B3">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附件三</w:t>
            </w:r>
          </w:p>
        </w:tc>
      </w:tr>
    </w:tbl>
    <w:p w14:paraId="1CC1EB41">
      <w:pPr>
        <w:pStyle w:val="20"/>
        <w:ind w:left="2108"/>
        <w:rPr>
          <w:rFonts w:ascii="宋体" w:eastAsia="宋体"/>
          <w:color w:val="auto"/>
          <w:lang w:val="zh-CN"/>
        </w:rPr>
      </w:pPr>
    </w:p>
    <w:p w14:paraId="5781DF66">
      <w:pPr>
        <w:autoSpaceDE w:val="0"/>
        <w:autoSpaceDN w:val="0"/>
        <w:adjustRightInd w:val="0"/>
        <w:spacing w:line="450" w:lineRule="atLeast"/>
        <w:ind w:firstLine="442" w:firstLineChars="200"/>
        <w:rPr>
          <w:rFonts w:ascii="宋体" w:eastAsia="宋体"/>
          <w:b w:val="0"/>
          <w:color w:val="auto"/>
          <w:sz w:val="22"/>
          <w:szCs w:val="22"/>
          <w:u w:val="single"/>
          <w:lang w:val="zh-CN"/>
        </w:rPr>
      </w:pPr>
      <w:r>
        <w:rPr>
          <w:rFonts w:hint="eastAsia" w:ascii="宋体" w:eastAsia="宋体"/>
          <w:color w:val="auto"/>
          <w:sz w:val="22"/>
          <w:szCs w:val="22"/>
          <w:u w:val="single"/>
          <w:lang w:val="zh-CN"/>
        </w:rPr>
        <w:t>2.2、报价文件部分组成</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618"/>
        <w:gridCol w:w="999"/>
      </w:tblGrid>
      <w:tr w14:paraId="01D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 w:type="pct"/>
          </w:tcPr>
          <w:p w14:paraId="31F77465">
            <w:pPr>
              <w:autoSpaceDE w:val="0"/>
              <w:autoSpaceDN w:val="0"/>
              <w:adjustRightInd w:val="0"/>
              <w:snapToGrid w:val="0"/>
              <w:spacing w:line="430" w:lineRule="atLeast"/>
              <w:rPr>
                <w:rFonts w:ascii="宋体" w:eastAsia="宋体"/>
                <w:b w:val="0"/>
                <w:bCs w:val="0"/>
                <w:color w:val="auto"/>
                <w:sz w:val="22"/>
                <w:lang w:val="zh-CN"/>
              </w:rPr>
            </w:pPr>
            <w:r>
              <w:rPr>
                <w:rFonts w:hint="eastAsia" w:ascii="宋体" w:eastAsia="宋体"/>
                <w:color w:val="auto"/>
                <w:sz w:val="22"/>
                <w:szCs w:val="22"/>
                <w:lang w:val="zh-CN"/>
              </w:rPr>
              <w:t>序号</w:t>
            </w:r>
          </w:p>
        </w:tc>
        <w:tc>
          <w:tcPr>
            <w:tcW w:w="4212" w:type="pct"/>
            <w:vAlign w:val="center"/>
          </w:tcPr>
          <w:p w14:paraId="54CAB627">
            <w:pPr>
              <w:autoSpaceDE w:val="0"/>
              <w:autoSpaceDN w:val="0"/>
              <w:adjustRightInd w:val="0"/>
              <w:snapToGrid w:val="0"/>
              <w:spacing w:line="430" w:lineRule="atLeast"/>
              <w:rPr>
                <w:rFonts w:ascii="宋体" w:eastAsia="宋体"/>
                <w:b w:val="0"/>
                <w:bCs w:val="0"/>
                <w:color w:val="auto"/>
                <w:sz w:val="22"/>
                <w:lang w:val="zh-CN"/>
              </w:rPr>
            </w:pPr>
            <w:r>
              <w:rPr>
                <w:rFonts w:hint="eastAsia" w:ascii="宋体" w:eastAsia="宋体"/>
                <w:color w:val="auto"/>
                <w:sz w:val="22"/>
                <w:szCs w:val="22"/>
                <w:lang w:val="zh-CN"/>
              </w:rPr>
              <w:t>内容（▲</w:t>
            </w:r>
            <w:r>
              <w:rPr>
                <w:rFonts w:hint="eastAsia" w:ascii="宋体" w:eastAsia="宋体"/>
                <w:color w:val="auto"/>
                <w:sz w:val="22"/>
                <w:szCs w:val="22"/>
                <w:u w:val="single"/>
                <w:lang w:val="zh-CN"/>
              </w:rPr>
              <w:t>序号1-2项供应商必须提供，否则不能通过符合性审查的，责任自负</w:t>
            </w:r>
            <w:r>
              <w:rPr>
                <w:rFonts w:hint="eastAsia" w:ascii="宋体" w:eastAsia="宋体"/>
                <w:color w:val="auto"/>
                <w:sz w:val="22"/>
                <w:szCs w:val="22"/>
                <w:lang w:val="zh-CN"/>
              </w:rPr>
              <w:t>）</w:t>
            </w:r>
          </w:p>
        </w:tc>
        <w:tc>
          <w:tcPr>
            <w:tcW w:w="558" w:type="pct"/>
            <w:vAlign w:val="center"/>
          </w:tcPr>
          <w:p w14:paraId="79686FE8">
            <w:pPr>
              <w:autoSpaceDE w:val="0"/>
              <w:autoSpaceDN w:val="0"/>
              <w:adjustRightInd w:val="0"/>
              <w:snapToGrid w:val="0"/>
              <w:spacing w:line="430" w:lineRule="atLeast"/>
              <w:jc w:val="center"/>
              <w:rPr>
                <w:rFonts w:ascii="宋体" w:eastAsia="宋体"/>
                <w:color w:val="auto"/>
                <w:sz w:val="22"/>
                <w:szCs w:val="22"/>
              </w:rPr>
            </w:pPr>
            <w:r>
              <w:rPr>
                <w:rFonts w:hint="eastAsia" w:ascii="宋体" w:eastAsia="宋体"/>
                <w:color w:val="auto"/>
                <w:sz w:val="22"/>
                <w:szCs w:val="22"/>
              </w:rPr>
              <w:t>备注</w:t>
            </w:r>
          </w:p>
        </w:tc>
      </w:tr>
      <w:tr w14:paraId="722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76BFBDE0">
            <w:pPr>
              <w:autoSpaceDE w:val="0"/>
              <w:autoSpaceDN w:val="0"/>
              <w:adjustRightInd w:val="0"/>
              <w:snapToGrid w:val="0"/>
              <w:spacing w:line="430" w:lineRule="atLeast"/>
              <w:jc w:val="center"/>
              <w:rPr>
                <w:rFonts w:ascii="宋体" w:eastAsia="宋体"/>
                <w:b w:val="0"/>
                <w:bCs w:val="0"/>
                <w:color w:val="auto"/>
                <w:sz w:val="22"/>
                <w:lang w:val="zh-CN"/>
              </w:rPr>
            </w:pPr>
            <w:r>
              <w:rPr>
                <w:rFonts w:hint="eastAsia" w:ascii="宋体" w:eastAsia="宋体"/>
                <w:b w:val="0"/>
                <w:color w:val="auto"/>
                <w:sz w:val="22"/>
                <w:szCs w:val="22"/>
                <w:lang w:val="zh-CN"/>
              </w:rPr>
              <w:t>1</w:t>
            </w:r>
          </w:p>
        </w:tc>
        <w:tc>
          <w:tcPr>
            <w:tcW w:w="4212" w:type="pct"/>
          </w:tcPr>
          <w:p w14:paraId="6D637483">
            <w:pPr>
              <w:autoSpaceDE w:val="0"/>
              <w:autoSpaceDN w:val="0"/>
              <w:adjustRightInd w:val="0"/>
              <w:spacing w:line="430" w:lineRule="atLeast"/>
              <w:textAlignment w:val="bottom"/>
              <w:rPr>
                <w:rFonts w:ascii="宋体" w:eastAsia="宋体"/>
                <w:b w:val="0"/>
                <w:bCs w:val="0"/>
                <w:color w:val="auto"/>
                <w:sz w:val="22"/>
              </w:rPr>
            </w:pPr>
            <w:r>
              <w:rPr>
                <w:rFonts w:hint="eastAsia" w:ascii="宋体" w:eastAsia="宋体"/>
                <w:b w:val="0"/>
                <w:color w:val="auto"/>
                <w:sz w:val="22"/>
                <w:szCs w:val="22"/>
              </w:rPr>
              <w:t>报价一览表</w:t>
            </w:r>
          </w:p>
        </w:tc>
        <w:tc>
          <w:tcPr>
            <w:tcW w:w="558" w:type="pct"/>
          </w:tcPr>
          <w:p w14:paraId="00AF849C">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附件四</w:t>
            </w:r>
          </w:p>
        </w:tc>
      </w:tr>
      <w:tr w14:paraId="091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526F1F9C">
            <w:pPr>
              <w:autoSpaceDE w:val="0"/>
              <w:autoSpaceDN w:val="0"/>
              <w:adjustRightInd w:val="0"/>
              <w:snapToGrid w:val="0"/>
              <w:spacing w:line="430" w:lineRule="atLeast"/>
              <w:jc w:val="center"/>
              <w:rPr>
                <w:rFonts w:ascii="宋体" w:eastAsia="宋体"/>
                <w:b w:val="0"/>
                <w:bCs w:val="0"/>
                <w:color w:val="auto"/>
                <w:sz w:val="22"/>
                <w:lang w:val="zh-CN"/>
              </w:rPr>
            </w:pPr>
            <w:r>
              <w:rPr>
                <w:rFonts w:hint="eastAsia" w:ascii="宋体" w:eastAsia="宋体"/>
                <w:b w:val="0"/>
                <w:color w:val="auto"/>
                <w:sz w:val="22"/>
                <w:szCs w:val="22"/>
                <w:lang w:val="zh-CN"/>
              </w:rPr>
              <w:t>2</w:t>
            </w:r>
          </w:p>
        </w:tc>
        <w:tc>
          <w:tcPr>
            <w:tcW w:w="4212" w:type="pct"/>
          </w:tcPr>
          <w:p w14:paraId="33C919B6">
            <w:pPr>
              <w:autoSpaceDE w:val="0"/>
              <w:autoSpaceDN w:val="0"/>
              <w:adjustRightInd w:val="0"/>
              <w:spacing w:line="500" w:lineRule="atLeast"/>
              <w:rPr>
                <w:rFonts w:ascii="宋体" w:eastAsia="宋体"/>
                <w:b w:val="0"/>
                <w:bCs w:val="0"/>
                <w:color w:val="auto"/>
                <w:sz w:val="22"/>
                <w:lang w:val="zh-CN"/>
              </w:rPr>
            </w:pPr>
            <w:r>
              <w:rPr>
                <w:rFonts w:hint="eastAsia" w:ascii="宋体" w:eastAsia="宋体"/>
                <w:b w:val="0"/>
                <w:color w:val="auto"/>
                <w:sz w:val="22"/>
                <w:szCs w:val="22"/>
              </w:rPr>
              <w:t>分项报价明细表</w:t>
            </w:r>
          </w:p>
        </w:tc>
        <w:tc>
          <w:tcPr>
            <w:tcW w:w="558" w:type="pct"/>
          </w:tcPr>
          <w:p w14:paraId="2B050FD8">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附件五</w:t>
            </w:r>
          </w:p>
        </w:tc>
      </w:tr>
      <w:tr w14:paraId="3499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134A9D84">
            <w:pPr>
              <w:autoSpaceDE w:val="0"/>
              <w:autoSpaceDN w:val="0"/>
              <w:adjustRightInd w:val="0"/>
              <w:snapToGrid w:val="0"/>
              <w:spacing w:line="430" w:lineRule="atLeast"/>
              <w:jc w:val="center"/>
              <w:rPr>
                <w:rFonts w:ascii="宋体" w:eastAsia="宋体"/>
                <w:b w:val="0"/>
                <w:color w:val="auto"/>
                <w:sz w:val="22"/>
                <w:lang w:val="zh-CN"/>
              </w:rPr>
            </w:pPr>
            <w:bookmarkStart w:id="10" w:name="_Toc132122410"/>
            <w:bookmarkStart w:id="11" w:name="_Toc132122113"/>
            <w:r>
              <w:rPr>
                <w:rFonts w:hint="eastAsia" w:ascii="宋体" w:eastAsia="宋体"/>
                <w:b w:val="0"/>
                <w:color w:val="auto"/>
                <w:sz w:val="22"/>
                <w:lang w:val="zh-CN"/>
              </w:rPr>
              <w:t>3</w:t>
            </w:r>
          </w:p>
        </w:tc>
        <w:tc>
          <w:tcPr>
            <w:tcW w:w="4212" w:type="pct"/>
          </w:tcPr>
          <w:p w14:paraId="3D19BDA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享受小微企业（含监狱企业、残疾人福利性单位）价格折扣须按供应商单位性质提供以下相关的证明材料：</w:t>
            </w:r>
          </w:p>
          <w:p w14:paraId="323649E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（1）《中小企业声明函》（原件，加盖供应商公章，格式见竞争性磋商文件第四部分）</w:t>
            </w:r>
          </w:p>
          <w:p w14:paraId="4783B6F6">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2）监狱企业参加政府采购活动时，应当提供由省级以上监狱管理局、戒毒管理局(含新疆生产建设兵团)出具的属于监狱企业的证明文件（原件扫描件加盖公章）。在政府采购活动中，监狱企业视同小型、微型企业，享受评审中价格扣除政策。</w:t>
            </w:r>
          </w:p>
          <w:p w14:paraId="086B9029">
            <w:pPr>
              <w:autoSpaceDE w:val="0"/>
              <w:autoSpaceDN w:val="0"/>
              <w:adjustRightInd w:val="0"/>
              <w:spacing w:line="500" w:lineRule="atLeast"/>
              <w:rPr>
                <w:rFonts w:ascii="宋体" w:eastAsia="宋体"/>
                <w:b w:val="0"/>
                <w:color w:val="auto"/>
                <w:sz w:val="22"/>
              </w:rPr>
            </w:pPr>
            <w:r>
              <w:rPr>
                <w:rFonts w:hint="eastAsia" w:ascii="宋体" w:eastAsia="宋体"/>
                <w:b w:val="0"/>
                <w:color w:val="auto"/>
                <w:sz w:val="22"/>
                <w:szCs w:val="22"/>
              </w:rPr>
              <w:t>（3）残疾人福利性单位声明函（原件，加盖供应商公章，格式见竞争性磋商文件第四部分）在政府采购活动中，残疾人福利性单位视同小型、微型企业，享受评审中价格扣除政策。</w:t>
            </w:r>
          </w:p>
        </w:tc>
        <w:tc>
          <w:tcPr>
            <w:tcW w:w="558" w:type="pct"/>
          </w:tcPr>
          <w:p w14:paraId="2C41C417">
            <w:pPr>
              <w:autoSpaceDE w:val="0"/>
              <w:autoSpaceDN w:val="0"/>
              <w:adjustRightInd w:val="0"/>
              <w:spacing w:line="500" w:lineRule="atLeast"/>
              <w:rPr>
                <w:rFonts w:ascii="宋体" w:eastAsia="宋体"/>
                <w:b w:val="0"/>
                <w:color w:val="auto"/>
                <w:sz w:val="22"/>
                <w:szCs w:val="22"/>
              </w:rPr>
            </w:pPr>
          </w:p>
        </w:tc>
      </w:tr>
    </w:tbl>
    <w:p w14:paraId="621635A3">
      <w:pPr>
        <w:autoSpaceDE w:val="0"/>
        <w:autoSpaceDN w:val="0"/>
        <w:adjustRightInd w:val="0"/>
        <w:spacing w:line="450" w:lineRule="atLeast"/>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2.3、商务技术文件部分组成</w:t>
      </w:r>
    </w:p>
    <w:tbl>
      <w:tblPr>
        <w:tblStyle w:val="4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580"/>
        <w:gridCol w:w="934"/>
      </w:tblGrid>
      <w:tr w14:paraId="6C4E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16257E18">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color w:val="auto"/>
                <w:sz w:val="22"/>
                <w:szCs w:val="22"/>
                <w:lang w:val="zh-CN"/>
              </w:rPr>
              <w:t>序号</w:t>
            </w:r>
          </w:p>
        </w:tc>
        <w:tc>
          <w:tcPr>
            <w:tcW w:w="4220" w:type="pct"/>
          </w:tcPr>
          <w:p w14:paraId="080BC723">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color w:val="auto"/>
                <w:sz w:val="22"/>
                <w:szCs w:val="22"/>
                <w:lang w:val="zh-CN"/>
              </w:rPr>
              <w:t>内容</w:t>
            </w:r>
          </w:p>
        </w:tc>
        <w:tc>
          <w:tcPr>
            <w:tcW w:w="550" w:type="pct"/>
          </w:tcPr>
          <w:p w14:paraId="078C2C72">
            <w:pPr>
              <w:autoSpaceDE w:val="0"/>
              <w:autoSpaceDN w:val="0"/>
              <w:adjustRightInd w:val="0"/>
              <w:snapToGrid w:val="0"/>
              <w:spacing w:line="430" w:lineRule="atLeast"/>
              <w:jc w:val="center"/>
              <w:rPr>
                <w:rFonts w:ascii="宋体" w:eastAsia="宋体"/>
                <w:color w:val="auto"/>
                <w:sz w:val="22"/>
                <w:szCs w:val="22"/>
              </w:rPr>
            </w:pPr>
            <w:r>
              <w:rPr>
                <w:rFonts w:hint="eastAsia" w:ascii="宋体" w:eastAsia="宋体"/>
                <w:color w:val="auto"/>
                <w:sz w:val="22"/>
                <w:szCs w:val="22"/>
              </w:rPr>
              <w:t>备注</w:t>
            </w:r>
          </w:p>
        </w:tc>
      </w:tr>
      <w:tr w14:paraId="47B0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9" w:type="pct"/>
            <w:gridSpan w:val="2"/>
          </w:tcPr>
          <w:p w14:paraId="0F83E828">
            <w:pPr>
              <w:autoSpaceDE w:val="0"/>
              <w:autoSpaceDN w:val="0"/>
              <w:adjustRightInd w:val="0"/>
              <w:snapToGrid w:val="0"/>
              <w:spacing w:line="430" w:lineRule="atLeast"/>
              <w:rPr>
                <w:rFonts w:ascii="宋体" w:eastAsia="宋体"/>
                <w:b w:val="0"/>
                <w:color w:val="auto"/>
                <w:sz w:val="22"/>
                <w:lang w:val="zh-CN"/>
              </w:rPr>
            </w:pPr>
            <w:r>
              <w:rPr>
                <w:rFonts w:hint="eastAsia" w:ascii="宋体" w:eastAsia="宋体"/>
                <w:color w:val="auto"/>
                <w:sz w:val="22"/>
                <w:szCs w:val="22"/>
                <w:lang w:val="zh-CN"/>
              </w:rPr>
              <w:t>资信部分（▲</w:t>
            </w:r>
            <w:r>
              <w:rPr>
                <w:rFonts w:hint="eastAsia" w:ascii="宋体" w:eastAsia="宋体"/>
                <w:color w:val="auto"/>
                <w:sz w:val="22"/>
                <w:szCs w:val="22"/>
                <w:u w:val="single"/>
                <w:lang w:val="zh-CN"/>
              </w:rPr>
              <w:t>序号1、</w:t>
            </w:r>
            <w:r>
              <w:rPr>
                <w:rFonts w:hint="eastAsia" w:ascii="宋体" w:eastAsia="宋体"/>
                <w:color w:val="auto"/>
                <w:sz w:val="22"/>
                <w:szCs w:val="22"/>
                <w:u w:val="single"/>
              </w:rPr>
              <w:t>2、4</w:t>
            </w:r>
            <w:r>
              <w:rPr>
                <w:rFonts w:hint="eastAsia" w:ascii="宋体" w:eastAsia="宋体"/>
                <w:color w:val="auto"/>
                <w:sz w:val="22"/>
                <w:szCs w:val="22"/>
                <w:u w:val="single"/>
                <w:lang w:val="zh-CN"/>
              </w:rPr>
              <w:t>项供应商必须提供，否则不能通过符合性审查的，责任自负。</w:t>
            </w:r>
            <w:r>
              <w:rPr>
                <w:rFonts w:hint="eastAsia" w:ascii="宋体" w:eastAsia="宋体"/>
                <w:color w:val="auto"/>
                <w:sz w:val="22"/>
                <w:szCs w:val="22"/>
                <w:lang w:val="zh-CN"/>
              </w:rPr>
              <w:t>）</w:t>
            </w:r>
          </w:p>
        </w:tc>
        <w:tc>
          <w:tcPr>
            <w:tcW w:w="550" w:type="pct"/>
          </w:tcPr>
          <w:p w14:paraId="77185393">
            <w:pPr>
              <w:autoSpaceDE w:val="0"/>
              <w:autoSpaceDN w:val="0"/>
              <w:adjustRightInd w:val="0"/>
              <w:snapToGrid w:val="0"/>
              <w:spacing w:line="430" w:lineRule="atLeast"/>
              <w:rPr>
                <w:rFonts w:ascii="宋体" w:eastAsia="宋体"/>
                <w:color w:val="auto"/>
                <w:sz w:val="22"/>
                <w:szCs w:val="22"/>
                <w:lang w:val="zh-CN"/>
              </w:rPr>
            </w:pPr>
          </w:p>
        </w:tc>
      </w:tr>
      <w:tr w14:paraId="6A5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 w:type="pct"/>
          </w:tcPr>
          <w:p w14:paraId="6DACBAAA">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1</w:t>
            </w:r>
          </w:p>
        </w:tc>
        <w:tc>
          <w:tcPr>
            <w:tcW w:w="4220" w:type="pct"/>
          </w:tcPr>
          <w:p w14:paraId="5CDFEBD5">
            <w:pPr>
              <w:autoSpaceDE w:val="0"/>
              <w:autoSpaceDN w:val="0"/>
              <w:adjustRightInd w:val="0"/>
              <w:snapToGrid w:val="0"/>
              <w:spacing w:line="430" w:lineRule="atLeast"/>
              <w:rPr>
                <w:rFonts w:ascii="宋体" w:eastAsia="宋体"/>
                <w:b w:val="0"/>
                <w:color w:val="auto"/>
                <w:sz w:val="22"/>
                <w:lang w:val="zh-CN"/>
              </w:rPr>
            </w:pPr>
            <w:r>
              <w:rPr>
                <w:rFonts w:hint="eastAsia" w:ascii="宋体" w:eastAsia="宋体"/>
                <w:b w:val="0"/>
                <w:color w:val="auto"/>
                <w:sz w:val="22"/>
                <w:szCs w:val="22"/>
              </w:rPr>
              <w:t>投标函</w:t>
            </w:r>
          </w:p>
        </w:tc>
        <w:tc>
          <w:tcPr>
            <w:tcW w:w="550" w:type="pct"/>
          </w:tcPr>
          <w:p w14:paraId="03BF68E9">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附件六</w:t>
            </w:r>
          </w:p>
        </w:tc>
      </w:tr>
      <w:tr w14:paraId="5D5F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0385EA40">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2</w:t>
            </w:r>
          </w:p>
        </w:tc>
        <w:tc>
          <w:tcPr>
            <w:tcW w:w="4220" w:type="pct"/>
          </w:tcPr>
          <w:p w14:paraId="42C3DE4C">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szCs w:val="22"/>
              </w:rPr>
              <w:t>法定代表人诚信投标承诺书</w:t>
            </w:r>
          </w:p>
        </w:tc>
        <w:tc>
          <w:tcPr>
            <w:tcW w:w="550" w:type="pct"/>
          </w:tcPr>
          <w:p w14:paraId="3525453C">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附件七</w:t>
            </w:r>
          </w:p>
        </w:tc>
      </w:tr>
      <w:tr w14:paraId="09C1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4C5622E1">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3</w:t>
            </w:r>
          </w:p>
        </w:tc>
        <w:tc>
          <w:tcPr>
            <w:tcW w:w="4220" w:type="pct"/>
            <w:vAlign w:val="center"/>
          </w:tcPr>
          <w:p w14:paraId="06D888CA">
            <w:pPr>
              <w:tabs>
                <w:tab w:val="left" w:pos="4140"/>
              </w:tabs>
              <w:adjustRightInd w:val="0"/>
              <w:snapToGrid w:val="0"/>
              <w:spacing w:line="320" w:lineRule="atLeast"/>
              <w:rPr>
                <w:rFonts w:ascii="宋体" w:eastAsia="宋体"/>
                <w:b w:val="0"/>
                <w:color w:val="auto"/>
                <w:sz w:val="22"/>
              </w:rPr>
            </w:pPr>
            <w:r>
              <w:rPr>
                <w:rFonts w:hint="eastAsia" w:ascii="宋体" w:eastAsia="宋体"/>
                <w:b w:val="0"/>
                <w:color w:val="auto"/>
                <w:sz w:val="22"/>
                <w:szCs w:val="22"/>
              </w:rPr>
              <w:t>其它须说明的资料（如有则提供）</w:t>
            </w:r>
          </w:p>
        </w:tc>
        <w:tc>
          <w:tcPr>
            <w:tcW w:w="550" w:type="pct"/>
            <w:vAlign w:val="center"/>
          </w:tcPr>
          <w:p w14:paraId="500919A4">
            <w:pPr>
              <w:tabs>
                <w:tab w:val="left" w:pos="4140"/>
              </w:tabs>
              <w:adjustRightInd w:val="0"/>
              <w:snapToGrid w:val="0"/>
              <w:spacing w:line="320" w:lineRule="atLeast"/>
              <w:jc w:val="center"/>
              <w:rPr>
                <w:rFonts w:ascii="宋体" w:eastAsia="宋体"/>
                <w:b w:val="0"/>
                <w:bCs w:val="0"/>
                <w:color w:val="auto"/>
                <w:sz w:val="22"/>
                <w:szCs w:val="22"/>
              </w:rPr>
            </w:pPr>
          </w:p>
        </w:tc>
      </w:tr>
      <w:tr w14:paraId="3BB8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9" w:type="pct"/>
            <w:gridSpan w:val="2"/>
          </w:tcPr>
          <w:p w14:paraId="5B4B039C">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szCs w:val="22"/>
                <w:lang w:val="zh-CN"/>
              </w:rPr>
              <w:t>技术部分（如资料提供不齐全，将可能导致不利的评定）</w:t>
            </w:r>
          </w:p>
        </w:tc>
        <w:tc>
          <w:tcPr>
            <w:tcW w:w="550" w:type="pct"/>
          </w:tcPr>
          <w:p w14:paraId="792F6521">
            <w:pPr>
              <w:tabs>
                <w:tab w:val="left" w:pos="4140"/>
              </w:tabs>
              <w:adjustRightInd w:val="0"/>
              <w:snapToGrid w:val="0"/>
              <w:spacing w:line="320" w:lineRule="atLeast"/>
              <w:jc w:val="center"/>
              <w:rPr>
                <w:rFonts w:ascii="宋体" w:eastAsia="宋体"/>
                <w:b w:val="0"/>
                <w:bCs w:val="0"/>
                <w:color w:val="auto"/>
                <w:sz w:val="22"/>
                <w:szCs w:val="22"/>
                <w:lang w:val="zh-CN"/>
              </w:rPr>
            </w:pPr>
          </w:p>
        </w:tc>
      </w:tr>
      <w:tr w14:paraId="52E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1FEDFCD6">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4</w:t>
            </w:r>
          </w:p>
        </w:tc>
        <w:tc>
          <w:tcPr>
            <w:tcW w:w="4220" w:type="pct"/>
          </w:tcPr>
          <w:p w14:paraId="269F987C">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szCs w:val="22"/>
              </w:rPr>
              <w:t>商务、技术偏离表</w:t>
            </w:r>
          </w:p>
        </w:tc>
        <w:tc>
          <w:tcPr>
            <w:tcW w:w="550" w:type="pct"/>
          </w:tcPr>
          <w:p w14:paraId="1E8536A6">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附件八</w:t>
            </w:r>
          </w:p>
        </w:tc>
      </w:tr>
      <w:tr w14:paraId="7594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66AC9145">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bCs w:val="0"/>
                <w:color w:val="auto"/>
                <w:sz w:val="32"/>
                <w:szCs w:val="32"/>
              </w:rPr>
              <w:t>…</w:t>
            </w:r>
          </w:p>
        </w:tc>
        <w:tc>
          <w:tcPr>
            <w:tcW w:w="4220" w:type="pct"/>
            <w:vAlign w:val="center"/>
          </w:tcPr>
          <w:p w14:paraId="0022A660">
            <w:pPr>
              <w:pStyle w:val="26"/>
              <w:jc w:val="left"/>
              <w:rPr>
                <w:rFonts w:hAnsi="宋体" w:eastAsia="宋体"/>
                <w:b w:val="0"/>
                <w:bCs w:val="0"/>
                <w:color w:val="auto"/>
                <w:sz w:val="32"/>
                <w:szCs w:val="32"/>
              </w:rPr>
            </w:pPr>
            <w:r>
              <w:rPr>
                <w:rFonts w:hint="eastAsia" w:hAnsi="宋体" w:eastAsia="宋体"/>
                <w:b w:val="0"/>
                <w:bCs w:val="0"/>
                <w:color w:val="auto"/>
                <w:sz w:val="32"/>
                <w:szCs w:val="32"/>
              </w:rPr>
              <w:t>……</w:t>
            </w:r>
          </w:p>
        </w:tc>
        <w:tc>
          <w:tcPr>
            <w:tcW w:w="550" w:type="pct"/>
            <w:vAlign w:val="center"/>
          </w:tcPr>
          <w:p w14:paraId="3089F09C">
            <w:pPr>
              <w:tabs>
                <w:tab w:val="left" w:pos="4140"/>
              </w:tabs>
              <w:adjustRightInd w:val="0"/>
              <w:snapToGrid w:val="0"/>
              <w:spacing w:line="320" w:lineRule="atLeast"/>
              <w:jc w:val="center"/>
              <w:rPr>
                <w:rFonts w:ascii="宋体" w:eastAsia="宋体"/>
                <w:b w:val="0"/>
                <w:bCs w:val="0"/>
                <w:color w:val="auto"/>
                <w:sz w:val="22"/>
                <w:szCs w:val="22"/>
              </w:rPr>
            </w:pPr>
          </w:p>
        </w:tc>
      </w:tr>
      <w:tr w14:paraId="58A3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7FD5F7D6">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bCs w:val="0"/>
                <w:color w:val="auto"/>
                <w:sz w:val="32"/>
                <w:szCs w:val="32"/>
              </w:rPr>
              <w:t>…</w:t>
            </w:r>
          </w:p>
        </w:tc>
        <w:tc>
          <w:tcPr>
            <w:tcW w:w="4220" w:type="pct"/>
          </w:tcPr>
          <w:p w14:paraId="00518C2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bCs w:val="0"/>
                <w:color w:val="auto"/>
                <w:sz w:val="32"/>
                <w:szCs w:val="32"/>
              </w:rPr>
              <w:t>……</w:t>
            </w:r>
          </w:p>
        </w:tc>
        <w:tc>
          <w:tcPr>
            <w:tcW w:w="550" w:type="pct"/>
          </w:tcPr>
          <w:p w14:paraId="5AB7D048">
            <w:pPr>
              <w:tabs>
                <w:tab w:val="left" w:pos="4140"/>
              </w:tabs>
              <w:adjustRightInd w:val="0"/>
              <w:snapToGrid w:val="0"/>
              <w:spacing w:line="320" w:lineRule="atLeast"/>
              <w:jc w:val="center"/>
              <w:rPr>
                <w:rFonts w:ascii="宋体" w:eastAsia="宋体"/>
                <w:b w:val="0"/>
                <w:bCs w:val="0"/>
                <w:color w:val="auto"/>
                <w:sz w:val="22"/>
                <w:szCs w:val="22"/>
              </w:rPr>
            </w:pPr>
          </w:p>
        </w:tc>
      </w:tr>
      <w:tr w14:paraId="5F40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tcPr>
          <w:p w14:paraId="46E48E19">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bCs w:val="0"/>
                <w:color w:val="auto"/>
                <w:sz w:val="32"/>
                <w:szCs w:val="32"/>
              </w:rPr>
              <w:t>…</w:t>
            </w:r>
          </w:p>
        </w:tc>
        <w:tc>
          <w:tcPr>
            <w:tcW w:w="4220" w:type="pct"/>
          </w:tcPr>
          <w:p w14:paraId="50F50772">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根据竞争性磋商文件中的采购内容与技术要求、评标细则，需要提供的其它文件和资料。</w:t>
            </w:r>
          </w:p>
        </w:tc>
        <w:tc>
          <w:tcPr>
            <w:tcW w:w="550" w:type="pct"/>
          </w:tcPr>
          <w:p w14:paraId="37AAA859">
            <w:pPr>
              <w:tabs>
                <w:tab w:val="left" w:pos="4140"/>
              </w:tabs>
              <w:adjustRightInd w:val="0"/>
              <w:snapToGrid w:val="0"/>
              <w:spacing w:line="320" w:lineRule="atLeast"/>
              <w:jc w:val="center"/>
              <w:rPr>
                <w:rFonts w:ascii="宋体" w:eastAsia="宋体"/>
                <w:b w:val="0"/>
                <w:bCs w:val="0"/>
                <w:color w:val="auto"/>
                <w:sz w:val="22"/>
                <w:szCs w:val="22"/>
              </w:rPr>
            </w:pPr>
          </w:p>
        </w:tc>
      </w:tr>
      <w:bookmarkEnd w:id="10"/>
      <w:bookmarkEnd w:id="11"/>
    </w:tbl>
    <w:p w14:paraId="378B4D22">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7EDB1787">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3、响应文件编制</w:t>
      </w:r>
    </w:p>
    <w:p w14:paraId="7944535E">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3.1本项目通过“政采云平台（www.zcygov.cn）”实行在线投标响应（电子投标）。供应商应通过“政采云电子交易客户端”，并按照本采购文件和“政采云平台”的要求编制并加密响应文件。</w:t>
      </w:r>
    </w:p>
    <w:p w14:paraId="52B41E4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3.2投标供应商应当按照本章节 “响应文件组成”规定的内容及顺序在“政采云电子交易客户端”编制响应文件。</w:t>
      </w:r>
    </w:p>
    <w:p w14:paraId="64F41214">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3.3本采购文件“响应文件格式”中有提供格式的，投标供应商须参照格式进行编制（格式中要求提供相关证明材料的还需后附相关证明材料），并按格式要求在指定位置根据要求进行签章，否则视为未提供；本文件“响应文件格式”未提供格式的，请各投标单位自行拟定格式，并加盖单位公章并由法定代表人或其授权代表签署（签字或盖章），否则视为未提供。</w:t>
      </w:r>
    </w:p>
    <w:p w14:paraId="255638F1">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3.4响应文件内容不完整、编排混乱导致响应文件被误读、漏读或者查找不到相关内容的，是投标供应商的责任。</w:t>
      </w:r>
    </w:p>
    <w:p w14:paraId="0C0E0279">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3.5响应文件因字迹潦草或表达不清所引起的后果由投标供应商负责。</w:t>
      </w:r>
    </w:p>
    <w:p w14:paraId="675830D5">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bCs w:val="0"/>
          <w:color w:val="auto"/>
          <w:sz w:val="22"/>
          <w:szCs w:val="22"/>
        </w:rPr>
        <w:t>3.6 投标供应商没有按照本章节 “响应文件组成”要求提供全部资料，或者没有仔细阅读采购文件，或者没有对采购文件在各方面的要求作出实质性响应是投标供应商的风险，由此造成的一切后果由投标供应商自行承担。</w:t>
      </w:r>
    </w:p>
    <w:p w14:paraId="506C6A5F">
      <w:pPr>
        <w:autoSpaceDE w:val="0"/>
        <w:autoSpaceDN w:val="0"/>
        <w:adjustRightInd w:val="0"/>
        <w:snapToGrid w:val="0"/>
        <w:spacing w:line="360" w:lineRule="auto"/>
        <w:ind w:firstLine="422"/>
        <w:textAlignment w:val="bottom"/>
        <w:rPr>
          <w:rFonts w:ascii="宋体" w:eastAsia="宋体"/>
          <w:b w:val="0"/>
          <w:color w:val="auto"/>
          <w:sz w:val="22"/>
          <w:szCs w:val="22"/>
        </w:rPr>
      </w:pPr>
      <w:bookmarkStart w:id="12" w:name="_Toc132122413"/>
      <w:bookmarkStart w:id="13" w:name="_Toc132122116"/>
      <w:r>
        <w:rPr>
          <w:rFonts w:hint="eastAsia" w:ascii="宋体" w:eastAsia="宋体"/>
          <w:b w:val="0"/>
          <w:color w:val="auto"/>
          <w:sz w:val="22"/>
          <w:szCs w:val="22"/>
        </w:rPr>
        <w:t>4、投标报价</w:t>
      </w:r>
    </w:p>
    <w:p w14:paraId="505DFC4B">
      <w:pPr>
        <w:autoSpaceDE w:val="0"/>
        <w:autoSpaceDN w:val="0"/>
        <w:adjustRightInd w:val="0"/>
        <w:snapToGrid w:val="0"/>
        <w:spacing w:line="360" w:lineRule="auto"/>
        <w:ind w:firstLine="422"/>
        <w:textAlignment w:val="bottom"/>
        <w:rPr>
          <w:rFonts w:ascii="宋体" w:eastAsia="宋体"/>
          <w:b w:val="0"/>
          <w:color w:val="auto"/>
          <w:sz w:val="22"/>
          <w:szCs w:val="22"/>
        </w:rPr>
      </w:pPr>
      <w:r>
        <w:rPr>
          <w:rFonts w:hint="eastAsia" w:ascii="宋体" w:eastAsia="宋体"/>
          <w:b w:val="0"/>
          <w:color w:val="auto"/>
          <w:sz w:val="22"/>
          <w:szCs w:val="22"/>
        </w:rPr>
        <w:t>4.1、投标供应商应按磋商文件中《开标一览表》及《分项报价明细表》（如有）填写投标价。</w:t>
      </w:r>
    </w:p>
    <w:p w14:paraId="4C37FED5">
      <w:pPr>
        <w:autoSpaceDE w:val="0"/>
        <w:autoSpaceDN w:val="0"/>
        <w:adjustRightInd w:val="0"/>
        <w:snapToGrid w:val="0"/>
        <w:spacing w:line="360" w:lineRule="auto"/>
        <w:ind w:firstLine="422"/>
        <w:textAlignment w:val="bottom"/>
        <w:rPr>
          <w:rFonts w:ascii="宋体" w:eastAsia="宋体"/>
          <w:b w:val="0"/>
          <w:color w:val="auto"/>
          <w:sz w:val="22"/>
          <w:szCs w:val="22"/>
        </w:rPr>
      </w:pPr>
      <w:r>
        <w:rPr>
          <w:rFonts w:hint="eastAsia" w:ascii="宋体" w:eastAsia="宋体"/>
          <w:b w:val="0"/>
          <w:color w:val="auto"/>
          <w:sz w:val="22"/>
          <w:szCs w:val="22"/>
        </w:rPr>
        <w:t>4.2、本次招标最终报价只允许有一个报价，有选择的报价将不予接受。</w:t>
      </w:r>
    </w:p>
    <w:p w14:paraId="62459A05">
      <w:pPr>
        <w:autoSpaceDE w:val="0"/>
        <w:autoSpaceDN w:val="0"/>
        <w:adjustRightInd w:val="0"/>
        <w:snapToGrid w:val="0"/>
        <w:spacing w:line="360" w:lineRule="auto"/>
        <w:ind w:firstLine="422"/>
        <w:textAlignment w:val="bottom"/>
        <w:rPr>
          <w:rFonts w:ascii="宋体" w:eastAsia="宋体"/>
          <w:bCs w:val="0"/>
          <w:color w:val="auto"/>
          <w:sz w:val="22"/>
          <w:szCs w:val="22"/>
        </w:rPr>
      </w:pPr>
      <w:r>
        <w:rPr>
          <w:rFonts w:hint="eastAsia" w:ascii="宋体" w:eastAsia="宋体"/>
          <w:bCs w:val="0"/>
          <w:color w:val="auto"/>
          <w:sz w:val="22"/>
          <w:szCs w:val="22"/>
        </w:rPr>
        <w:t>4.3、供应商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采购人的单价进行认价。</w:t>
      </w:r>
    </w:p>
    <w:p w14:paraId="70F0334E">
      <w:pPr>
        <w:autoSpaceDE w:val="0"/>
        <w:autoSpaceDN w:val="0"/>
        <w:adjustRightInd w:val="0"/>
        <w:snapToGrid w:val="0"/>
        <w:spacing w:line="360" w:lineRule="auto"/>
        <w:ind w:firstLine="422"/>
        <w:textAlignment w:val="bottom"/>
        <w:rPr>
          <w:rFonts w:ascii="宋体" w:eastAsia="宋体"/>
          <w:b w:val="0"/>
          <w:color w:val="auto"/>
          <w:sz w:val="22"/>
          <w:szCs w:val="22"/>
        </w:rPr>
      </w:pPr>
      <w:r>
        <w:rPr>
          <w:rFonts w:hint="eastAsia" w:ascii="宋体" w:eastAsia="宋体"/>
          <w:b w:val="0"/>
          <w:color w:val="auto"/>
          <w:sz w:val="22"/>
          <w:szCs w:val="22"/>
        </w:rPr>
        <w:t>4.4、投标供应商应考虑自身实力、经验及项目实施过程中的各种因素，根据采购说明，详细说明所能提供的各项具体服务内容，自主确定报价。</w:t>
      </w:r>
    </w:p>
    <w:p w14:paraId="5C9159F5">
      <w:pPr>
        <w:autoSpaceDE w:val="0"/>
        <w:autoSpaceDN w:val="0"/>
        <w:adjustRightInd w:val="0"/>
        <w:spacing w:line="360" w:lineRule="auto"/>
        <w:ind w:firstLine="442" w:firstLineChars="200"/>
        <w:textAlignment w:val="bottom"/>
        <w:rPr>
          <w:rFonts w:ascii="宋体" w:eastAsia="宋体"/>
          <w:b w:val="0"/>
          <w:bCs w:val="0"/>
          <w:color w:val="auto"/>
          <w:sz w:val="22"/>
          <w:szCs w:val="22"/>
        </w:rPr>
      </w:pPr>
      <w:r>
        <w:rPr>
          <w:rFonts w:hint="eastAsia" w:ascii="宋体" w:eastAsia="宋体"/>
          <w:color w:val="auto"/>
          <w:sz w:val="22"/>
          <w:szCs w:val="22"/>
        </w:rPr>
        <w:t>4.5、</w:t>
      </w:r>
      <w:r>
        <w:rPr>
          <w:rFonts w:hint="eastAsia" w:ascii="宋体" w:eastAsia="宋体"/>
          <w:b w:val="0"/>
          <w:bCs w:val="0"/>
          <w:color w:val="auto"/>
          <w:sz w:val="22"/>
          <w:szCs w:val="22"/>
        </w:rPr>
        <w:t>投标报价应按包含以下费用。</w:t>
      </w:r>
    </w:p>
    <w:p w14:paraId="14EFCC48">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服务价格</w:t>
      </w:r>
    </w:p>
    <w:p w14:paraId="74D43DF1">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关税、增值税等其它税，须将税费及税率单列</w:t>
      </w:r>
    </w:p>
    <w:p w14:paraId="4B939202">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代理服务费</w:t>
      </w:r>
    </w:p>
    <w:p w14:paraId="2519EAB5">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其他费用</w:t>
      </w:r>
    </w:p>
    <w:p w14:paraId="2DE9F6B2">
      <w:pPr>
        <w:autoSpaceDE w:val="0"/>
        <w:autoSpaceDN w:val="0"/>
        <w:adjustRightInd w:val="0"/>
        <w:snapToGrid w:val="0"/>
        <w:spacing w:line="360" w:lineRule="auto"/>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14:paraId="5CFBDBD6">
      <w:pPr>
        <w:autoSpaceDE w:val="0"/>
        <w:autoSpaceDN w:val="0"/>
        <w:adjustRightInd w:val="0"/>
        <w:spacing w:line="360" w:lineRule="auto"/>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供应商对在合同执行中，除上述费用及竞争性磋商文件规定的由中标供应商负责的工作范围以外需要买方协调或提供便利的工作应当在响应文件中说明。</w:t>
      </w:r>
    </w:p>
    <w:p w14:paraId="3E085CA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5、在任何情况下不限制采购人以其认为最合适的条款签订合同的权利。</w:t>
      </w:r>
    </w:p>
    <w:bookmarkEnd w:id="12"/>
    <w:bookmarkEnd w:id="13"/>
    <w:p w14:paraId="3558870A">
      <w:pPr>
        <w:autoSpaceDE w:val="0"/>
        <w:autoSpaceDN w:val="0"/>
        <w:adjustRightInd w:val="0"/>
        <w:spacing w:line="360" w:lineRule="auto"/>
        <w:ind w:firstLine="440" w:firstLineChars="200"/>
        <w:textAlignment w:val="bottom"/>
        <w:rPr>
          <w:rFonts w:ascii="宋体" w:eastAsia="宋体"/>
          <w:b w:val="0"/>
          <w:bCs w:val="0"/>
          <w:color w:val="auto"/>
          <w:sz w:val="22"/>
          <w:szCs w:val="22"/>
        </w:rPr>
      </w:pPr>
      <w:bookmarkStart w:id="14" w:name="_Toc132122414"/>
      <w:bookmarkStart w:id="15" w:name="_Toc132122117"/>
      <w:r>
        <w:rPr>
          <w:rFonts w:hint="eastAsia" w:ascii="宋体" w:eastAsia="宋体"/>
          <w:b w:val="0"/>
          <w:bCs w:val="0"/>
          <w:color w:val="auto"/>
          <w:sz w:val="22"/>
          <w:szCs w:val="22"/>
        </w:rPr>
        <w:t>6、磋商响应文件的有效期</w:t>
      </w:r>
      <w:bookmarkEnd w:id="14"/>
      <w:bookmarkEnd w:id="15"/>
    </w:p>
    <w:p w14:paraId="63AB667C">
      <w:pPr>
        <w:autoSpaceDE w:val="0"/>
        <w:autoSpaceDN w:val="0"/>
        <w:adjustRightInd w:val="0"/>
        <w:spacing w:line="360" w:lineRule="auto"/>
        <w:ind w:firstLine="440" w:firstLineChars="200"/>
        <w:textAlignment w:val="bottom"/>
        <w:rPr>
          <w:rFonts w:ascii="宋体" w:eastAsia="宋体"/>
          <w:b w:val="0"/>
          <w:bCs w:val="0"/>
          <w:color w:val="auto"/>
          <w:sz w:val="22"/>
          <w:szCs w:val="22"/>
        </w:rPr>
      </w:pPr>
      <w:bookmarkStart w:id="16" w:name="_Toc132125151"/>
      <w:bookmarkStart w:id="17" w:name="_Toc132125095"/>
      <w:bookmarkStart w:id="18" w:name="_Toc132655776"/>
      <w:bookmarkStart w:id="19" w:name="_Toc132122119"/>
      <w:bookmarkStart w:id="20" w:name="_Toc132123634"/>
      <w:bookmarkStart w:id="21" w:name="_Toc132123838"/>
      <w:bookmarkStart w:id="22" w:name="_Toc132122416"/>
      <w:bookmarkStart w:id="23" w:name="_Toc132123439"/>
      <w:bookmarkStart w:id="24" w:name="_Toc132126154"/>
      <w:bookmarkStart w:id="25" w:name="_Toc132125574"/>
      <w:bookmarkStart w:id="26" w:name="_Toc132124594"/>
      <w:bookmarkStart w:id="27" w:name="_Toc132125983"/>
      <w:bookmarkStart w:id="28" w:name="_Toc132123547"/>
      <w:bookmarkStart w:id="29" w:name="_Toc132123881"/>
      <w:bookmarkStart w:id="30" w:name="_Toc132125037"/>
      <w:r>
        <w:rPr>
          <w:rFonts w:hint="eastAsia" w:ascii="宋体" w:eastAsia="宋体"/>
          <w:b w:val="0"/>
          <w:bCs w:val="0"/>
          <w:color w:val="auto"/>
          <w:sz w:val="22"/>
          <w:szCs w:val="22"/>
        </w:rPr>
        <w:t>6.1、自开标日起90日历天内，磋商响应文件应保持有效。有效期短于这个规定期限的投标将被拒绝。</w:t>
      </w:r>
    </w:p>
    <w:p w14:paraId="6BDAA111">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6.2、在特殊情况下，采购人可与投标供应商协商延长磋商响应文件的有效期，这种要求和答复均应以书面形式进行。</w:t>
      </w:r>
    </w:p>
    <w:p w14:paraId="5868075F">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7、响应文件的签章</w:t>
      </w:r>
    </w:p>
    <w:p w14:paraId="19C7D027">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7.1响应文件的签章要求：投标供应商须知前附表；</w:t>
      </w:r>
    </w:p>
    <w:p w14:paraId="7EE80762">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7.2响应文件应由投标供应商法定代表人或其授权代表签署，并时加盖投标供应商公章（电子签章）。</w:t>
      </w:r>
    </w:p>
    <w:p w14:paraId="55E1FAF2">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8、响应文件的形式</w:t>
      </w:r>
    </w:p>
    <w:p w14:paraId="5112A35F">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8.1响应文件的形式：见投标供应商须知前附表；</w:t>
      </w:r>
    </w:p>
    <w:p w14:paraId="2C4EC2A0">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8.2“电子加密响应文件”：“电子加密响应文件”是指通过“政采云电子交易客户端”完成响应文件编制后生成并加密的数据电文形式的响应文件。</w:t>
      </w:r>
    </w:p>
    <w:p w14:paraId="73781862">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8.3“备份响应文件”：“备份响应文件”是指与“电子加密响应文件”同时生成的数据电文形式的电子文件（备份标书），其他方式编制的“备份响应文件”视为无效的“备份响应文件”。</w:t>
      </w:r>
    </w:p>
    <w:p w14:paraId="285A8C5C">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9、响应文件的份数</w:t>
      </w:r>
    </w:p>
    <w:p w14:paraId="62ACCD0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9.1响应文件的份数：见投标供应商须知前附表。</w:t>
      </w:r>
    </w:p>
    <w:p w14:paraId="22C876D2">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10、 投标供应商如发生下列情况之一，将上报同级政府采购监督管理部门，追究其责任：</w:t>
      </w:r>
    </w:p>
    <w:p w14:paraId="3FC87AA7">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rPr>
        <w:tab/>
      </w:r>
      <w:r>
        <w:rPr>
          <w:rFonts w:hint="eastAsia" w:ascii="宋体" w:eastAsia="宋体"/>
          <w:b w:val="0"/>
          <w:bCs w:val="0"/>
          <w:color w:val="auto"/>
          <w:sz w:val="22"/>
          <w:szCs w:val="22"/>
        </w:rPr>
        <w:t>投标供应商在采购文件规定的投标有效期内撤回投标；</w:t>
      </w:r>
    </w:p>
    <w:p w14:paraId="5B5722DA">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rPr>
        <w:tab/>
      </w:r>
      <w:r>
        <w:rPr>
          <w:rFonts w:hint="eastAsia" w:ascii="宋体" w:eastAsia="宋体"/>
          <w:b w:val="0"/>
          <w:bCs w:val="0"/>
          <w:color w:val="auto"/>
          <w:sz w:val="22"/>
          <w:szCs w:val="22"/>
        </w:rPr>
        <w:t>中标人未按成交通知书中规定的时间与采购人签订合同；</w:t>
      </w:r>
    </w:p>
    <w:p w14:paraId="4DD5C7EE">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rPr>
        <w:tab/>
      </w:r>
      <w:r>
        <w:rPr>
          <w:rFonts w:hint="eastAsia" w:ascii="宋体" w:eastAsia="宋体"/>
          <w:b w:val="0"/>
          <w:bCs w:val="0"/>
          <w:color w:val="auto"/>
          <w:sz w:val="22"/>
          <w:szCs w:val="22"/>
        </w:rPr>
        <w:t>投标供应商在采购文件中提供虚假技术指标及参数，经评标委员会确认属实的。</w:t>
      </w:r>
    </w:p>
    <w:p w14:paraId="3D4ED959">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w:t>
      </w:r>
      <w:r>
        <w:rPr>
          <w:rFonts w:hint="eastAsia" w:ascii="宋体" w:eastAsia="宋体"/>
          <w:b w:val="0"/>
          <w:bCs w:val="0"/>
          <w:color w:val="auto"/>
          <w:sz w:val="22"/>
          <w:szCs w:val="22"/>
        </w:rPr>
        <w:tab/>
      </w:r>
      <w:r>
        <w:rPr>
          <w:rFonts w:hint="eastAsia" w:ascii="宋体" w:eastAsia="宋体"/>
          <w:b w:val="0"/>
          <w:bCs w:val="0"/>
          <w:color w:val="auto"/>
          <w:sz w:val="22"/>
          <w:szCs w:val="22"/>
        </w:rPr>
        <w:t>经同级政府采购监督管理部门审查认定投标供应商有违反《中华人民共和国政府采购法》等有关法律法规的行为。</w:t>
      </w:r>
    </w:p>
    <w:p w14:paraId="55349F58">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五、磋商响应文件的递交</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82057EC">
      <w:pPr>
        <w:pStyle w:val="26"/>
        <w:adjustRightInd w:val="0"/>
        <w:spacing w:line="360" w:lineRule="auto"/>
        <w:ind w:firstLine="440" w:firstLineChars="200"/>
        <w:rPr>
          <w:rFonts w:hAnsi="宋体" w:eastAsia="宋体"/>
          <w:b w:val="0"/>
          <w:color w:val="auto"/>
          <w:sz w:val="22"/>
          <w:szCs w:val="22"/>
        </w:rPr>
      </w:pPr>
      <w:bookmarkStart w:id="31" w:name="_Toc132125038"/>
      <w:bookmarkStart w:id="32" w:name="_Toc132122417"/>
      <w:bookmarkStart w:id="33" w:name="_Toc132126155"/>
      <w:bookmarkStart w:id="34" w:name="_Toc132123635"/>
      <w:bookmarkStart w:id="35" w:name="_Toc132125575"/>
      <w:bookmarkStart w:id="36" w:name="_Toc132124595"/>
      <w:bookmarkStart w:id="37" w:name="_Toc132655777"/>
      <w:bookmarkStart w:id="38" w:name="_Toc132123440"/>
      <w:bookmarkStart w:id="39" w:name="_Toc132123882"/>
      <w:bookmarkStart w:id="40" w:name="_Toc132125984"/>
      <w:bookmarkStart w:id="41" w:name="_Toc132123839"/>
      <w:bookmarkStart w:id="42" w:name="_Toc132123548"/>
      <w:bookmarkStart w:id="43" w:name="_Toc132125096"/>
      <w:bookmarkStart w:id="44" w:name="_Toc132122120"/>
      <w:bookmarkStart w:id="45" w:name="_Toc132125152"/>
      <w:r>
        <w:rPr>
          <w:rFonts w:hint="eastAsia" w:hAnsi="宋体" w:eastAsia="宋体"/>
          <w:b w:val="0"/>
          <w:color w:val="auto"/>
          <w:sz w:val="22"/>
          <w:szCs w:val="22"/>
        </w:rPr>
        <w:t>1、 响应文件的递交</w:t>
      </w:r>
    </w:p>
    <w:p w14:paraId="4D8929EA">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1.1响应文件的上传、递交：见投标供应商须知前附表。</w:t>
      </w:r>
    </w:p>
    <w:p w14:paraId="3C89B239">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2、 “电子加密响应文件”解密和异常情况处理。</w:t>
      </w:r>
    </w:p>
    <w:p w14:paraId="64D83DDB">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2.1“电子加密响应文件”解密：见投标供应商须知前附表。</w:t>
      </w:r>
    </w:p>
    <w:p w14:paraId="55115ADB">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3、 响应文件的补充、修改或撤回</w:t>
      </w:r>
    </w:p>
    <w:p w14:paraId="1D52D641">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采云平台”将予以拒收。</w:t>
      </w:r>
    </w:p>
    <w:p w14:paraId="4A87A17E">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3.2响应文件递交截止时间后，投标供应商不得撤回、修改响应文件。</w:t>
      </w:r>
    </w:p>
    <w:p w14:paraId="0BAD1059">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4、 响应文件的备选方案</w:t>
      </w:r>
    </w:p>
    <w:p w14:paraId="13ACE3D4">
      <w:pPr>
        <w:pStyle w:val="26"/>
        <w:adjustRightInd w:val="0"/>
        <w:spacing w:line="360" w:lineRule="auto"/>
        <w:ind w:firstLine="440" w:firstLineChars="200"/>
        <w:rPr>
          <w:rFonts w:hAnsi="宋体" w:eastAsia="宋体"/>
          <w:color w:val="auto"/>
          <w:sz w:val="22"/>
          <w:szCs w:val="22"/>
        </w:rPr>
      </w:pPr>
      <w:r>
        <w:rPr>
          <w:rFonts w:hint="eastAsia" w:hAnsi="宋体" w:eastAsia="宋体"/>
          <w:b w:val="0"/>
          <w:color w:val="auto"/>
          <w:sz w:val="22"/>
          <w:szCs w:val="22"/>
        </w:rPr>
        <w:t>4.1投标供应商不得递交任何的投标备选（替代）方案，否则其响应文件将作无效标处理。与“电子加密响应文件”同时生成的“备份响应文件”不是投标备选（替代）方案。</w:t>
      </w:r>
    </w:p>
    <w:p w14:paraId="333B4429">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六、</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eastAsia="宋体"/>
          <w:bCs w:val="0"/>
          <w:color w:val="auto"/>
          <w:sz w:val="22"/>
          <w:szCs w:val="22"/>
        </w:rPr>
        <w:t>磋商开始和评审</w:t>
      </w:r>
    </w:p>
    <w:p w14:paraId="63514010">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1、磋商开始</w:t>
      </w:r>
    </w:p>
    <w:p w14:paraId="6C9B4C4D">
      <w:pPr>
        <w:pStyle w:val="26"/>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1.1、采购组织机构将按照采购文件规定的时间通过“政采云平台”组织开标、开启响应文件，所有供应商均应当准时在线参加。投标供应商如不参加开标大会的，视同认可开标结果，事后不得对采购相关人员、开标过程和开标结果提出异议，同时投标供应商因未在线参加开标而导致响应文件无法按时解密等一切后果由供应商自己承担。</w:t>
      </w:r>
    </w:p>
    <w:p w14:paraId="04156DAE">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2、开标</w:t>
      </w:r>
    </w:p>
    <w:p w14:paraId="559F1508">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color w:val="auto"/>
          <w:sz w:val="22"/>
          <w:szCs w:val="22"/>
        </w:rPr>
        <w:t>2</w:t>
      </w:r>
      <w:r>
        <w:rPr>
          <w:rFonts w:hint="eastAsia" w:hAnsi="宋体" w:eastAsia="宋体"/>
          <w:b w:val="0"/>
          <w:bCs w:val="0"/>
          <w:color w:val="auto"/>
          <w:sz w:val="22"/>
          <w:szCs w:val="22"/>
        </w:rPr>
        <w:t>.1开标第一阶段</w:t>
      </w:r>
    </w:p>
    <w:p w14:paraId="74384367">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（1）向各</w:t>
      </w:r>
      <w:r>
        <w:rPr>
          <w:rFonts w:hint="eastAsia" w:hAnsi="宋体" w:eastAsia="宋体"/>
          <w:b w:val="0"/>
          <w:color w:val="auto"/>
          <w:sz w:val="22"/>
          <w:szCs w:val="22"/>
        </w:rPr>
        <w:t>投标供应商</w:t>
      </w:r>
      <w:r>
        <w:rPr>
          <w:rFonts w:hint="eastAsia" w:hAnsi="宋体" w:eastAsia="宋体"/>
          <w:b w:val="0"/>
          <w:bCs w:val="0"/>
          <w:color w:val="auto"/>
          <w:sz w:val="22"/>
          <w:szCs w:val="22"/>
        </w:rPr>
        <w:t>发出电子加密响应文件【开始解密】通知，由供应商按采购文件规定的时间内自行进行响应文件解密。投标供应商在规定的时间内（开标时间起半个小时内）无法完成已递交的“电子加密响应文件”解密的，如已按规定递交了备份响应文件的，将由采购组织机构按“政采云平台”操作规范将备份响应文件上传至“政采云平台”，上传成功后，“电子加密响应文件”自动失效；</w:t>
      </w:r>
    </w:p>
    <w:p w14:paraId="42E5C45E">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（2）开启响应文件，进入资格审查，资格审查通过的供应商进入开标大会第二阶段程序；</w:t>
      </w:r>
    </w:p>
    <w:p w14:paraId="256CEBE5">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2.2开标第二阶段</w:t>
      </w:r>
    </w:p>
    <w:p w14:paraId="50883C87">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（1）</w:t>
      </w:r>
      <w:r>
        <w:rPr>
          <w:rFonts w:hint="eastAsia" w:hAnsi="宋体" w:eastAsia="宋体"/>
          <w:b w:val="0"/>
          <w:color w:val="auto"/>
          <w:sz w:val="22"/>
          <w:szCs w:val="22"/>
        </w:rPr>
        <w:t>由</w:t>
      </w:r>
      <w:r>
        <w:rPr>
          <w:rFonts w:hint="eastAsia" w:hAnsi="宋体" w:eastAsia="宋体"/>
          <w:b w:val="0"/>
          <w:bCs w:val="0"/>
          <w:color w:val="auto"/>
          <w:sz w:val="22"/>
          <w:szCs w:val="22"/>
        </w:rPr>
        <w:t>竞争性</w:t>
      </w:r>
      <w:r>
        <w:rPr>
          <w:rFonts w:hint="eastAsia" w:hAnsi="宋体" w:eastAsia="宋体"/>
          <w:b w:val="0"/>
          <w:color w:val="auto"/>
          <w:sz w:val="22"/>
          <w:szCs w:val="22"/>
        </w:rPr>
        <w:t>磋商采购小组对供应商</w:t>
      </w:r>
      <w:r>
        <w:rPr>
          <w:rFonts w:hint="eastAsia" w:hAnsi="宋体" w:eastAsia="宋体"/>
          <w:b w:val="0"/>
          <w:bCs w:val="0"/>
          <w:color w:val="auto"/>
          <w:sz w:val="22"/>
          <w:szCs w:val="22"/>
        </w:rPr>
        <w:t>符合性审查、技术文件的评审，评审通过的供应商</w:t>
      </w:r>
      <w:r>
        <w:rPr>
          <w:rFonts w:hint="eastAsia" w:hAnsi="宋体" w:eastAsia="宋体"/>
          <w:b w:val="0"/>
          <w:color w:val="auto"/>
          <w:sz w:val="22"/>
          <w:szCs w:val="22"/>
        </w:rPr>
        <w:t>进入最终报价程序。</w:t>
      </w:r>
    </w:p>
    <w:p w14:paraId="7983212F">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2.3举行开标第三阶</w:t>
      </w:r>
    </w:p>
    <w:p w14:paraId="3CE396D7">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开标第二阶段会议结束后。首先在“政采云平台”系统平台上公布资格性审查、符合性审查、技术评审无效供应商名称及理由；在“政采云平台”系统平台上公布开标一览表有关内容，同时当场制作开标记录。开标结束后，由评标委员会对报价的合理性、准确性等进行审查核实。</w:t>
      </w:r>
    </w:p>
    <w:p w14:paraId="1AE46E7F">
      <w:pPr>
        <w:pStyle w:val="26"/>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评审结束后，在“政采云平台”系统平台上公布中标（成交）候选供应商名单，及采购人最终确定中标或成交供应商名单的时间和公告方式等。</w:t>
      </w:r>
    </w:p>
    <w:p w14:paraId="7CF37D83">
      <w:pPr>
        <w:autoSpaceDE w:val="0"/>
        <w:autoSpaceDN w:val="0"/>
        <w:adjustRightInd w:val="0"/>
        <w:spacing w:line="360" w:lineRule="auto"/>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特别说明：</w:t>
      </w:r>
    </w:p>
    <w:p w14:paraId="12E1D1E5">
      <w:pPr>
        <w:autoSpaceDE w:val="0"/>
        <w:autoSpaceDN w:val="0"/>
        <w:adjustRightInd w:val="0"/>
        <w:spacing w:line="360" w:lineRule="auto"/>
        <w:ind w:firstLine="442" w:firstLineChars="200"/>
        <w:textAlignment w:val="bottom"/>
        <w:rPr>
          <w:rFonts w:ascii="宋体" w:eastAsia="宋体"/>
          <w:color w:val="auto"/>
          <w:sz w:val="22"/>
          <w:szCs w:val="22"/>
        </w:rPr>
      </w:pPr>
      <w:r>
        <w:rPr>
          <w:rFonts w:hint="eastAsia" w:ascii="宋体" w:eastAsia="宋体"/>
          <w:bCs w:val="0"/>
          <w:color w:val="auto"/>
          <w:sz w:val="22"/>
          <w:szCs w:val="22"/>
        </w:rPr>
        <w:t xml:space="preserve"> (1)如遇“政采云平台”电子化开标或评审程序调整的，按调整后程序执行</w:t>
      </w:r>
      <w:r>
        <w:rPr>
          <w:rFonts w:hint="eastAsia" w:ascii="宋体" w:eastAsia="宋体"/>
          <w:color w:val="auto"/>
          <w:sz w:val="22"/>
          <w:szCs w:val="22"/>
        </w:rPr>
        <w:t>。</w:t>
      </w:r>
    </w:p>
    <w:p w14:paraId="55FF185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2、资格审查</w:t>
      </w:r>
    </w:p>
    <w:p w14:paraId="19406EE7">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开标后，磋商小组应当依法对投标供应商的资格进行审查，审查内容如下：</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316"/>
        <w:gridCol w:w="1011"/>
      </w:tblGrid>
      <w:tr w14:paraId="0B44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7EE3045D">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序号</w:t>
            </w:r>
          </w:p>
        </w:tc>
        <w:tc>
          <w:tcPr>
            <w:tcW w:w="4036" w:type="pct"/>
            <w:tcBorders>
              <w:top w:val="single" w:color="auto" w:sz="4" w:space="0"/>
              <w:left w:val="single" w:color="auto" w:sz="4" w:space="0"/>
              <w:bottom w:val="single" w:color="auto" w:sz="4" w:space="0"/>
              <w:right w:val="single" w:color="auto" w:sz="4" w:space="0"/>
            </w:tcBorders>
          </w:tcPr>
          <w:p w14:paraId="2D7E7840">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内容</w:t>
            </w:r>
          </w:p>
        </w:tc>
        <w:tc>
          <w:tcPr>
            <w:tcW w:w="558" w:type="pct"/>
            <w:tcBorders>
              <w:top w:val="single" w:color="auto" w:sz="4" w:space="0"/>
              <w:left w:val="single" w:color="auto" w:sz="4" w:space="0"/>
              <w:bottom w:val="single" w:color="auto" w:sz="4" w:space="0"/>
              <w:right w:val="single" w:color="auto" w:sz="4" w:space="0"/>
            </w:tcBorders>
          </w:tcPr>
          <w:p w14:paraId="041B7357">
            <w:pPr>
              <w:autoSpaceDE w:val="0"/>
              <w:autoSpaceDN w:val="0"/>
              <w:adjustRightInd w:val="0"/>
              <w:snapToGrid w:val="0"/>
              <w:spacing w:line="430" w:lineRule="atLeast"/>
              <w:jc w:val="center"/>
              <w:rPr>
                <w:rFonts w:ascii="宋体" w:eastAsia="宋体"/>
                <w:color w:val="auto"/>
                <w:sz w:val="22"/>
                <w:szCs w:val="22"/>
                <w:lang w:val="zh-CN"/>
              </w:rPr>
            </w:pPr>
            <w:r>
              <w:rPr>
                <w:rFonts w:hint="eastAsia" w:ascii="宋体" w:eastAsia="宋体"/>
                <w:color w:val="auto"/>
                <w:sz w:val="22"/>
                <w:szCs w:val="22"/>
                <w:lang w:val="zh-CN"/>
              </w:rPr>
              <w:t>备注</w:t>
            </w:r>
          </w:p>
        </w:tc>
      </w:tr>
      <w:tr w14:paraId="119E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1C5D7F01">
            <w:pPr>
              <w:tabs>
                <w:tab w:val="left" w:pos="4140"/>
              </w:tabs>
              <w:adjustRightInd w:val="0"/>
              <w:snapToGrid w:val="0"/>
              <w:spacing w:line="320" w:lineRule="atLeast"/>
              <w:jc w:val="center"/>
              <w:rPr>
                <w:rFonts w:ascii="宋体" w:eastAsia="宋体"/>
                <w:b w:val="0"/>
                <w:bCs w:val="0"/>
                <w:color w:val="auto"/>
                <w:sz w:val="22"/>
                <w:lang w:val="zh-CN"/>
              </w:rPr>
            </w:pPr>
            <w:r>
              <w:rPr>
                <w:rFonts w:hint="eastAsia" w:ascii="宋体" w:eastAsia="宋体"/>
                <w:b w:val="0"/>
                <w:bCs w:val="0"/>
                <w:color w:val="auto"/>
                <w:sz w:val="22"/>
                <w:szCs w:val="22"/>
                <w:lang w:val="zh-CN"/>
              </w:rPr>
              <w:t>1</w:t>
            </w:r>
          </w:p>
        </w:tc>
        <w:tc>
          <w:tcPr>
            <w:tcW w:w="4036" w:type="pct"/>
            <w:tcBorders>
              <w:top w:val="single" w:color="auto" w:sz="4" w:space="0"/>
              <w:left w:val="single" w:color="auto" w:sz="4" w:space="0"/>
              <w:bottom w:val="single" w:color="auto" w:sz="4" w:space="0"/>
              <w:right w:val="single" w:color="auto" w:sz="4" w:space="0"/>
            </w:tcBorders>
          </w:tcPr>
          <w:p w14:paraId="57FBEA57">
            <w:pPr>
              <w:tabs>
                <w:tab w:val="left" w:pos="4140"/>
              </w:tabs>
              <w:adjustRightInd w:val="0"/>
              <w:snapToGrid w:val="0"/>
              <w:spacing w:line="320" w:lineRule="atLeast"/>
              <w:rPr>
                <w:rFonts w:ascii="宋体" w:eastAsia="宋体"/>
                <w:b w:val="0"/>
                <w:bCs w:val="0"/>
                <w:color w:val="auto"/>
                <w:sz w:val="22"/>
                <w:lang w:val="zh-CN"/>
              </w:rPr>
            </w:pPr>
            <w:r>
              <w:rPr>
                <w:rFonts w:hint="eastAsia" w:ascii="宋体" w:eastAsia="宋体"/>
                <w:b w:val="0"/>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c>
          <w:tcPr>
            <w:tcW w:w="558" w:type="pct"/>
            <w:tcBorders>
              <w:top w:val="single" w:color="auto" w:sz="4" w:space="0"/>
              <w:left w:val="single" w:color="auto" w:sz="4" w:space="0"/>
              <w:bottom w:val="single" w:color="auto" w:sz="4" w:space="0"/>
              <w:right w:val="single" w:color="auto" w:sz="4" w:space="0"/>
            </w:tcBorders>
          </w:tcPr>
          <w:p w14:paraId="6750157B">
            <w:pPr>
              <w:tabs>
                <w:tab w:val="left" w:pos="4140"/>
              </w:tabs>
              <w:adjustRightInd w:val="0"/>
              <w:snapToGrid w:val="0"/>
              <w:spacing w:line="320" w:lineRule="atLeast"/>
              <w:rPr>
                <w:rFonts w:ascii="宋体" w:eastAsia="宋体"/>
                <w:b w:val="0"/>
                <w:bCs w:val="0"/>
                <w:color w:val="auto"/>
                <w:sz w:val="22"/>
                <w:szCs w:val="22"/>
              </w:rPr>
            </w:pPr>
          </w:p>
        </w:tc>
      </w:tr>
      <w:tr w14:paraId="4505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708174EF">
            <w:pPr>
              <w:tabs>
                <w:tab w:val="left" w:pos="4140"/>
              </w:tabs>
              <w:adjustRightInd w:val="0"/>
              <w:snapToGrid w:val="0"/>
              <w:spacing w:line="320" w:lineRule="atLeast"/>
              <w:jc w:val="center"/>
              <w:rPr>
                <w:rFonts w:ascii="宋体" w:eastAsia="宋体"/>
                <w:b w:val="0"/>
                <w:bCs w:val="0"/>
                <w:color w:val="auto"/>
                <w:sz w:val="22"/>
                <w:lang w:val="zh-CN"/>
              </w:rPr>
            </w:pPr>
            <w:r>
              <w:rPr>
                <w:rFonts w:hint="eastAsia" w:ascii="宋体" w:eastAsia="宋体"/>
                <w:b w:val="0"/>
                <w:bCs w:val="0"/>
                <w:color w:val="auto"/>
                <w:sz w:val="22"/>
                <w:szCs w:val="22"/>
                <w:lang w:val="zh-CN"/>
              </w:rPr>
              <w:t>2</w:t>
            </w:r>
          </w:p>
        </w:tc>
        <w:tc>
          <w:tcPr>
            <w:tcW w:w="4036" w:type="pct"/>
            <w:tcBorders>
              <w:top w:val="single" w:color="auto" w:sz="4" w:space="0"/>
              <w:left w:val="single" w:color="auto" w:sz="4" w:space="0"/>
              <w:bottom w:val="single" w:color="auto" w:sz="4" w:space="0"/>
              <w:right w:val="single" w:color="auto" w:sz="4" w:space="0"/>
            </w:tcBorders>
          </w:tcPr>
          <w:p w14:paraId="5A57A299">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lang w:val="zh-CN"/>
              </w:rPr>
              <w:t>具有财务会计制度、设备和专业技术能力、</w:t>
            </w:r>
            <w:r>
              <w:rPr>
                <w:rFonts w:hint="eastAsia" w:ascii="宋体" w:eastAsia="宋体"/>
                <w:b w:val="0"/>
                <w:bCs w:val="0"/>
                <w:color w:val="auto"/>
                <w:sz w:val="22"/>
                <w:szCs w:val="22"/>
              </w:rPr>
              <w:t>依法</w:t>
            </w:r>
            <w:r>
              <w:rPr>
                <w:rFonts w:hint="eastAsia" w:ascii="宋体" w:eastAsia="宋体"/>
                <w:b w:val="0"/>
                <w:bCs w:val="0"/>
                <w:color w:val="auto"/>
                <w:sz w:val="22"/>
                <w:szCs w:val="22"/>
                <w:lang w:val="zh-CN"/>
              </w:rPr>
              <w:t>缴纳税收和社会保障资金</w:t>
            </w:r>
            <w:r>
              <w:rPr>
                <w:rFonts w:hint="eastAsia" w:ascii="宋体" w:eastAsia="宋体"/>
                <w:b w:val="0"/>
                <w:bCs w:val="0"/>
                <w:color w:val="auto"/>
                <w:sz w:val="22"/>
                <w:szCs w:val="22"/>
              </w:rPr>
              <w:t>记录</w:t>
            </w:r>
            <w:r>
              <w:rPr>
                <w:rFonts w:hint="eastAsia" w:ascii="宋体" w:eastAsia="宋体"/>
                <w:b w:val="0"/>
                <w:bCs w:val="0"/>
                <w:color w:val="auto"/>
                <w:sz w:val="22"/>
                <w:szCs w:val="22"/>
                <w:lang w:val="zh-CN"/>
              </w:rPr>
              <w:t>、</w:t>
            </w:r>
            <w:r>
              <w:rPr>
                <w:rFonts w:hint="eastAsia" w:ascii="宋体" w:eastAsia="宋体"/>
                <w:b w:val="0"/>
                <w:bCs w:val="0"/>
                <w:color w:val="auto"/>
                <w:sz w:val="22"/>
                <w:szCs w:val="22"/>
              </w:rPr>
              <w:t>无</w:t>
            </w:r>
            <w:r>
              <w:rPr>
                <w:rFonts w:hint="eastAsia" w:ascii="宋体" w:eastAsia="宋体"/>
                <w:b w:val="0"/>
                <w:bCs w:val="0"/>
                <w:color w:val="auto"/>
                <w:sz w:val="22"/>
                <w:szCs w:val="22"/>
                <w:lang w:val="zh-CN"/>
              </w:rPr>
              <w:t>重大违法记录的承诺函</w:t>
            </w:r>
          </w:p>
        </w:tc>
        <w:tc>
          <w:tcPr>
            <w:tcW w:w="558" w:type="pct"/>
            <w:tcBorders>
              <w:top w:val="single" w:color="auto" w:sz="4" w:space="0"/>
              <w:left w:val="single" w:color="auto" w:sz="4" w:space="0"/>
              <w:bottom w:val="single" w:color="auto" w:sz="4" w:space="0"/>
              <w:right w:val="single" w:color="auto" w:sz="4" w:space="0"/>
            </w:tcBorders>
          </w:tcPr>
          <w:p w14:paraId="20FEC6C4">
            <w:pPr>
              <w:tabs>
                <w:tab w:val="left" w:pos="4140"/>
              </w:tabs>
              <w:adjustRightInd w:val="0"/>
              <w:snapToGrid w:val="0"/>
              <w:spacing w:line="320" w:lineRule="atLeast"/>
              <w:rPr>
                <w:rFonts w:ascii="宋体" w:eastAsia="宋体"/>
                <w:b w:val="0"/>
                <w:bCs w:val="0"/>
                <w:color w:val="auto"/>
                <w:sz w:val="22"/>
                <w:szCs w:val="22"/>
              </w:rPr>
            </w:pPr>
            <w:r>
              <w:rPr>
                <w:rFonts w:hint="eastAsia" w:ascii="宋体" w:eastAsia="宋体"/>
                <w:b w:val="0"/>
                <w:bCs w:val="0"/>
                <w:color w:val="auto"/>
                <w:sz w:val="22"/>
                <w:szCs w:val="22"/>
              </w:rPr>
              <w:t>附件一</w:t>
            </w:r>
          </w:p>
        </w:tc>
      </w:tr>
      <w:tr w14:paraId="6F5A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66743780">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szCs w:val="22"/>
              </w:rPr>
              <w:t>3</w:t>
            </w:r>
          </w:p>
        </w:tc>
        <w:tc>
          <w:tcPr>
            <w:tcW w:w="4036" w:type="pct"/>
            <w:tcBorders>
              <w:top w:val="single" w:color="auto" w:sz="4" w:space="0"/>
              <w:left w:val="single" w:color="auto" w:sz="4" w:space="0"/>
              <w:bottom w:val="single" w:color="auto" w:sz="4" w:space="0"/>
              <w:right w:val="single" w:color="auto" w:sz="4" w:space="0"/>
            </w:tcBorders>
          </w:tcPr>
          <w:p w14:paraId="27FB5DCC">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投标供应商“信用中国”(www.creditchina.gov.cn)；“中国政府采购网”（www.ccgp.gov.cn）信用记录查询网页截图（采购公告发布之日至响应文件递交截止时间前）</w:t>
            </w:r>
          </w:p>
        </w:tc>
        <w:tc>
          <w:tcPr>
            <w:tcW w:w="558" w:type="pct"/>
            <w:tcBorders>
              <w:top w:val="single" w:color="auto" w:sz="4" w:space="0"/>
              <w:left w:val="single" w:color="auto" w:sz="4" w:space="0"/>
              <w:bottom w:val="single" w:color="auto" w:sz="4" w:space="0"/>
              <w:right w:val="single" w:color="auto" w:sz="4" w:space="0"/>
            </w:tcBorders>
          </w:tcPr>
          <w:p w14:paraId="5630BCC7">
            <w:pPr>
              <w:tabs>
                <w:tab w:val="left" w:pos="4140"/>
              </w:tabs>
              <w:adjustRightInd w:val="0"/>
              <w:snapToGrid w:val="0"/>
              <w:spacing w:line="320" w:lineRule="atLeast"/>
              <w:jc w:val="center"/>
              <w:rPr>
                <w:rFonts w:ascii="宋体" w:eastAsia="宋体"/>
                <w:b w:val="0"/>
                <w:bCs w:val="0"/>
                <w:color w:val="auto"/>
                <w:sz w:val="22"/>
                <w:szCs w:val="22"/>
              </w:rPr>
            </w:pPr>
          </w:p>
        </w:tc>
      </w:tr>
      <w:tr w14:paraId="7057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5" w:type="pct"/>
            <w:tcBorders>
              <w:top w:val="single" w:color="auto" w:sz="4" w:space="0"/>
              <w:left w:val="single" w:color="auto" w:sz="4" w:space="0"/>
              <w:bottom w:val="single" w:color="auto" w:sz="4" w:space="0"/>
              <w:right w:val="single" w:color="auto" w:sz="4" w:space="0"/>
            </w:tcBorders>
            <w:vAlign w:val="center"/>
          </w:tcPr>
          <w:p w14:paraId="5094E5E9">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szCs w:val="22"/>
              </w:rPr>
              <w:t>4</w:t>
            </w:r>
          </w:p>
        </w:tc>
        <w:tc>
          <w:tcPr>
            <w:tcW w:w="4036" w:type="pct"/>
            <w:tcBorders>
              <w:top w:val="single" w:color="auto" w:sz="4" w:space="0"/>
              <w:left w:val="single" w:color="auto" w:sz="4" w:space="0"/>
              <w:bottom w:val="single" w:color="auto" w:sz="4" w:space="0"/>
              <w:right w:val="single" w:color="auto" w:sz="4" w:space="0"/>
            </w:tcBorders>
          </w:tcPr>
          <w:p w14:paraId="4C2C8D71">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14:paraId="235C408C">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附件二</w:t>
            </w:r>
          </w:p>
        </w:tc>
      </w:tr>
      <w:tr w14:paraId="1425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075DD524">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rPr>
              <w:t>5</w:t>
            </w:r>
          </w:p>
        </w:tc>
        <w:tc>
          <w:tcPr>
            <w:tcW w:w="4036" w:type="pct"/>
            <w:tcBorders>
              <w:top w:val="single" w:color="auto" w:sz="4" w:space="0"/>
              <w:left w:val="single" w:color="auto" w:sz="4" w:space="0"/>
              <w:bottom w:val="single" w:color="auto" w:sz="4" w:space="0"/>
              <w:right w:val="single" w:color="auto" w:sz="4" w:space="0"/>
            </w:tcBorders>
          </w:tcPr>
          <w:p w14:paraId="40E9C675">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供应商法定代表人授权书</w:t>
            </w:r>
          </w:p>
        </w:tc>
        <w:tc>
          <w:tcPr>
            <w:tcW w:w="558" w:type="pct"/>
            <w:tcBorders>
              <w:top w:val="single" w:color="auto" w:sz="4" w:space="0"/>
              <w:left w:val="single" w:color="auto" w:sz="4" w:space="0"/>
              <w:bottom w:val="single" w:color="auto" w:sz="4" w:space="0"/>
              <w:right w:val="single" w:color="auto" w:sz="4" w:space="0"/>
            </w:tcBorders>
          </w:tcPr>
          <w:p w14:paraId="29D5BA11">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附件三</w:t>
            </w:r>
          </w:p>
        </w:tc>
      </w:tr>
    </w:tbl>
    <w:p w14:paraId="43B97930">
      <w:pPr>
        <w:pStyle w:val="26"/>
        <w:adjustRightInd w:val="0"/>
        <w:spacing w:line="360" w:lineRule="auto"/>
        <w:ind w:firstLine="440" w:firstLineChars="200"/>
        <w:rPr>
          <w:rFonts w:hAnsi="宋体" w:eastAsia="宋体"/>
          <w:b w:val="0"/>
          <w:color w:val="auto"/>
          <w:sz w:val="22"/>
        </w:rPr>
      </w:pPr>
      <w:r>
        <w:rPr>
          <w:rFonts w:hint="eastAsia" w:hAnsi="宋体" w:eastAsia="宋体"/>
          <w:b w:val="0"/>
          <w:color w:val="auto"/>
          <w:sz w:val="22"/>
        </w:rPr>
        <w:t>3、评标</w:t>
      </w:r>
    </w:p>
    <w:p w14:paraId="259C81E7">
      <w:pPr>
        <w:pStyle w:val="26"/>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3.1评标由采购人依法组建的竞争性磋商采购小组负责，并独立履行下列职责：</w:t>
      </w:r>
    </w:p>
    <w:p w14:paraId="7E069762">
      <w:pPr>
        <w:pStyle w:val="26"/>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1）审查响应文件是否符合磋商文件要求，并作出评价；</w:t>
      </w:r>
    </w:p>
    <w:p w14:paraId="49AD76E7">
      <w:pPr>
        <w:pStyle w:val="26"/>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2）要求供应商对响应文件有关事项作出解释或者澄清；</w:t>
      </w:r>
    </w:p>
    <w:p w14:paraId="317D905B">
      <w:pPr>
        <w:pStyle w:val="26"/>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 xml:space="preserve">3）按照磋商文件确定的评标办法直接确定成交供应商； </w:t>
      </w:r>
    </w:p>
    <w:p w14:paraId="30F6F1BF">
      <w:pPr>
        <w:pStyle w:val="26"/>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4）向采购人或者有关部门报告非法干预评标工作的行为。</w:t>
      </w:r>
    </w:p>
    <w:p w14:paraId="46EAE225">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 评标应当遵循下列工作程序：</w:t>
      </w:r>
    </w:p>
    <w:p w14:paraId="7517ABB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1）响应文件符合性检查。依据磋商文件的规定，从响应文件的有效性、完整性和对磋商文件的响应程度进行审查，以确定是否对磋商文件的实质性要求作出响应。</w:t>
      </w:r>
    </w:p>
    <w:p w14:paraId="585B8556">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2）竞争性磋商采购小组可以根据供应商响应文件情况，经采购人确认，调整磋商文件及采购方案，在统一采购要求的基础上，要求所有有效供应商重新修正响应文件及进行多轮次报价。</w:t>
      </w:r>
    </w:p>
    <w:p w14:paraId="5C7B7177">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3）比较与评价。按磋商文件中规定的评标方法和标准，对资格检查和符合性检查合格的响应文件进行商务和技术评估，综合比较与评价。</w:t>
      </w:r>
    </w:p>
    <w:p w14:paraId="1AD356FE">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4）推荐成交供应商候选人名单，并根据采购人的授权确定成交供应商。</w:t>
      </w:r>
    </w:p>
    <w:p w14:paraId="4B62D76B">
      <w:pPr>
        <w:autoSpaceDE w:val="0"/>
        <w:autoSpaceDN w:val="0"/>
        <w:adjustRightInd w:val="0"/>
        <w:spacing w:line="360" w:lineRule="auto"/>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3.3 ▲</w:t>
      </w:r>
      <w:r>
        <w:rPr>
          <w:rFonts w:hint="eastAsia" w:ascii="宋体" w:eastAsia="宋体"/>
          <w:color w:val="auto"/>
          <w:sz w:val="22"/>
          <w:szCs w:val="22"/>
          <w:u w:val="single"/>
        </w:rPr>
        <w:t>供应商存在下列情况之一的，报价无效:</w:t>
      </w:r>
    </w:p>
    <w:p w14:paraId="62A2657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1）响应文件未按磋商文件要求签署、盖章的；</w:t>
      </w:r>
    </w:p>
    <w:p w14:paraId="733A8DDA">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2）不具备磋商文件中规定的资格要求的；</w:t>
      </w:r>
    </w:p>
    <w:p w14:paraId="1C52394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3）最终报价超过磋商文件中规定的预算金额或者最高限价的；</w:t>
      </w:r>
    </w:p>
    <w:p w14:paraId="291B67AE">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4）响应文件含有采购人不能接受的附加条件的（包括磋商文件中明确要求不得偏离的招标要求，存在负偏离的）;</w:t>
      </w:r>
    </w:p>
    <w:p w14:paraId="22E492C7">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5）对关键条文的偏离、保留或反对，例如关于报价保证金、付款方式、完工期（服务期）、免费质保期、适用法律法规、标准、税费等其他内容；</w:t>
      </w:r>
    </w:p>
    <w:p w14:paraId="4E89B17A">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6）存在串标、抬标或弄虚作假情况的；</w:t>
      </w:r>
    </w:p>
    <w:p w14:paraId="3A99905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7）法律、法规和磋商文件规定的其他无效情形（或出现重大偏差）。</w:t>
      </w:r>
    </w:p>
    <w:p w14:paraId="2D862638">
      <w:pPr>
        <w:autoSpaceDE w:val="0"/>
        <w:autoSpaceDN w:val="0"/>
        <w:adjustRightInd w:val="0"/>
        <w:spacing w:line="360" w:lineRule="auto"/>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3.4 ▲</w:t>
      </w:r>
      <w:r>
        <w:rPr>
          <w:rFonts w:hint="eastAsia" w:ascii="宋体" w:eastAsia="宋体"/>
          <w:color w:val="auto"/>
          <w:sz w:val="22"/>
          <w:szCs w:val="22"/>
          <w:u w:val="single"/>
        </w:rPr>
        <w:t>竞争性磋商采购小组发现响应文件有下列情形之一的属于重大偏差(竞争性磋商采购小组按少数服从多数原则认定),按照无效投标处理：</w:t>
      </w:r>
    </w:p>
    <w:p w14:paraId="1478EDFD">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1）未按磋商文件要求编制或字迹模糊、辨认不清的响应文件；</w:t>
      </w:r>
    </w:p>
    <w:p w14:paraId="1CB9AC0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2）除3.3条款以外，出现其它明显不符合采购要求的响应文件；</w:t>
      </w:r>
    </w:p>
    <w:p w14:paraId="59986418">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3）除3.3条款以外，出现其它不符合磋商文件中规定的实质性要求的响应文件，是否为偏离实质性要求由竞争性磋商采购小组认定。</w:t>
      </w:r>
    </w:p>
    <w:p w14:paraId="0EC655C5">
      <w:pPr>
        <w:autoSpaceDE w:val="0"/>
        <w:autoSpaceDN w:val="0"/>
        <w:adjustRightInd w:val="0"/>
        <w:spacing w:line="360" w:lineRule="auto"/>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3.5 ▲</w:t>
      </w:r>
      <w:r>
        <w:rPr>
          <w:rFonts w:hint="eastAsia" w:ascii="宋体" w:eastAsia="宋体"/>
          <w:color w:val="auto"/>
          <w:sz w:val="22"/>
          <w:szCs w:val="22"/>
          <w:u w:val="single"/>
        </w:rPr>
        <w:t>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14:paraId="1EC0F7D1">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3.6 竞争性磋商采购小组在评标中，不得改变磋商文件中规定的评标标准、方法和中标条件。</w:t>
      </w:r>
    </w:p>
    <w:p w14:paraId="1076A92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3.7 评标时如遇到磋商文件未规定的特殊情况，由竞争性磋商采购小组按少数服从多数原则集体决定处理。</w:t>
      </w:r>
    </w:p>
    <w:p w14:paraId="08E820AE">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3.8竞争性磋商采购小组对未中标的供应商不作解释。同时根据政府采购法实施条例第四十条规定，本项目不对供应商公布详细的评审情况，不公布具体评标细则中小项得分。</w:t>
      </w:r>
    </w:p>
    <w:p w14:paraId="65F32170">
      <w:pPr>
        <w:pStyle w:val="26"/>
        <w:adjustRightInd w:val="0"/>
        <w:snapToGrid w:val="0"/>
        <w:spacing w:line="360" w:lineRule="auto"/>
        <w:ind w:firstLine="433" w:firstLineChars="197"/>
        <w:rPr>
          <w:rFonts w:hAnsi="宋体" w:eastAsia="宋体"/>
          <w:b w:val="0"/>
          <w:color w:val="auto"/>
          <w:sz w:val="22"/>
        </w:rPr>
      </w:pPr>
      <w:r>
        <w:rPr>
          <w:rFonts w:hint="eastAsia" w:hAnsi="宋体" w:eastAsia="宋体"/>
          <w:b w:val="0"/>
          <w:color w:val="auto"/>
          <w:sz w:val="22"/>
        </w:rPr>
        <w:t>4、响应文件的澄清</w:t>
      </w:r>
    </w:p>
    <w:p w14:paraId="2521E26A">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为有助于响应文件的审查、评价和比较，评标小组可以在“政采云平台”在线询标形式要求投标供应商对同一份响应文件含义不明确或同类问题表述不一致的内容（采购文件其它地方有规定处理方法的除外）作必要的澄清或说明，投标供应商应采用在线回复在询标规定时间内进行澄清或说明（需盖电子签章或实体公章），但不得超出响应文件的范围或改变响应文件的实质性内容。凡属于评标小组在评标中发现的计算错误并进行核实的修改不在此列。</w:t>
      </w:r>
    </w:p>
    <w:p w14:paraId="0E523A3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5、有下列情形之一的，视为供应商相互串通投标：</w:t>
      </w:r>
    </w:p>
    <w:p w14:paraId="66C40B0A">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5.1不同供应商的响应文件由同一单位或者个人编制；</w:t>
      </w:r>
    </w:p>
    <w:p w14:paraId="0C5BA77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5.2不同供应商委托同一单位或者个人办理投标事宜；</w:t>
      </w:r>
    </w:p>
    <w:p w14:paraId="7C2B713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5.3不同供应商的响应文件载明的项目管理成员为同一人；</w:t>
      </w:r>
    </w:p>
    <w:p w14:paraId="20C2D0FD">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5.4不同供应商的响应文件异常一致或者投标报价呈规律性差异；</w:t>
      </w:r>
    </w:p>
    <w:p w14:paraId="09ECED91">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5.5不同供应商的响应文件相互混装；</w:t>
      </w:r>
    </w:p>
    <w:p w14:paraId="6AB4147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5.6经竞争性磋商采购小组认定供应商进行串通投标的，竞争性磋商采购小组可以对相关供应商做出无效报价处理，并上报政府采购管理部门进行进一步处理。</w:t>
      </w:r>
    </w:p>
    <w:p w14:paraId="1732168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B09EA5">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7、评标原则</w:t>
      </w:r>
    </w:p>
    <w:p w14:paraId="2946AAC3">
      <w:pPr>
        <w:autoSpaceDE w:val="0"/>
        <w:autoSpaceDN w:val="0"/>
        <w:adjustRightInd w:val="0"/>
        <w:spacing w:line="360" w:lineRule="auto"/>
        <w:ind w:firstLine="440" w:firstLineChars="200"/>
        <w:textAlignment w:val="bottom"/>
        <w:rPr>
          <w:rFonts w:ascii="宋体" w:eastAsia="宋体"/>
          <w:b w:val="0"/>
          <w:color w:val="auto"/>
          <w:sz w:val="22"/>
        </w:rPr>
      </w:pPr>
      <w:r>
        <w:rPr>
          <w:rFonts w:hint="eastAsia" w:ascii="宋体" w:eastAsia="宋体"/>
          <w:b w:val="0"/>
          <w:color w:val="auto"/>
          <w:sz w:val="22"/>
          <w:szCs w:val="22"/>
        </w:rPr>
        <w:t xml:space="preserve">评标办法具体见本磋商文件第七部分。  </w:t>
      </w:r>
      <w:r>
        <w:rPr>
          <w:rFonts w:hint="eastAsia" w:ascii="宋体" w:eastAsia="宋体"/>
          <w:b w:val="0"/>
          <w:color w:val="auto"/>
          <w:sz w:val="22"/>
        </w:rPr>
        <w:t xml:space="preserve"> </w:t>
      </w:r>
    </w:p>
    <w:p w14:paraId="409A385B">
      <w:pPr>
        <w:widowControl/>
        <w:spacing w:line="360" w:lineRule="auto"/>
        <w:jc w:val="left"/>
        <w:rPr>
          <w:rFonts w:ascii="宋体" w:eastAsia="宋体"/>
          <w:bCs w:val="0"/>
          <w:color w:val="auto"/>
          <w:sz w:val="22"/>
          <w:szCs w:val="22"/>
        </w:rPr>
      </w:pPr>
      <w:bookmarkStart w:id="46" w:name="_Toc132123549"/>
      <w:bookmarkStart w:id="47" w:name="_Toc132125985"/>
      <w:bookmarkStart w:id="48" w:name="_Toc132123636"/>
      <w:bookmarkStart w:id="49" w:name="_Toc132123840"/>
      <w:bookmarkStart w:id="50" w:name="_Toc132125097"/>
      <w:bookmarkStart w:id="51" w:name="_Toc132122121"/>
      <w:bookmarkStart w:id="52" w:name="_Toc132125153"/>
      <w:bookmarkStart w:id="53" w:name="_Toc493530208"/>
      <w:bookmarkStart w:id="54" w:name="_Toc132655778"/>
      <w:bookmarkStart w:id="55" w:name="_Toc132126156"/>
      <w:bookmarkStart w:id="56" w:name="_Toc132123441"/>
      <w:bookmarkStart w:id="57" w:name="_Toc132125039"/>
      <w:bookmarkStart w:id="58" w:name="_Toc132125576"/>
      <w:bookmarkStart w:id="59" w:name="_Toc132124596"/>
      <w:bookmarkStart w:id="60" w:name="_Toc132122418"/>
      <w:bookmarkStart w:id="61" w:name="_Toc132123883"/>
      <w:r>
        <w:rPr>
          <w:rFonts w:hint="eastAsia" w:ascii="宋体" w:eastAsia="宋体"/>
          <w:bCs w:val="0"/>
          <w:color w:val="auto"/>
          <w:sz w:val="22"/>
          <w:szCs w:val="22"/>
        </w:rPr>
        <w:t>七、授予合同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90BD091">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1、决标</w:t>
      </w:r>
    </w:p>
    <w:p w14:paraId="4065C73D">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评标结束后，竞争性磋商采购小组按照磋商文件确定的评标办法推荐成交供应商。</w:t>
      </w:r>
    </w:p>
    <w:p w14:paraId="48C0F669">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2、成交通知书</w:t>
      </w:r>
    </w:p>
    <w:p w14:paraId="1EE6E714">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2.1 采购人依法确认成交供应商后，代理机构在浙江省政府采购网上公告成交结果，同时向成交供应商发出成交通知书，成交公告期限为1个工作日。</w:t>
      </w:r>
    </w:p>
    <w:p w14:paraId="76085115">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2.2 成交通知书对采购人和成交供应商具有法律约束力。成交通知书发出后，采购人改变中标结果或者成交供应商放弃中标的，应当承担法律责任。</w:t>
      </w:r>
    </w:p>
    <w:p w14:paraId="6394C0E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 成交无效</w:t>
      </w:r>
    </w:p>
    <w:p w14:paraId="6A26F9E1">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1）发现成交供应商资格无效或成交供应商放弃成交或拒绝与采购人签订合同的,采购人可以按照评审报告推荐的成交候选人名单排序，确定下一候选人为成交供应商，也可以重新开展政府采购活动。</w:t>
      </w:r>
      <w:r>
        <w:rPr>
          <w:rFonts w:hint="eastAsia" w:ascii="宋体" w:eastAsia="宋体"/>
          <w:b w:val="0"/>
          <w:color w:val="auto"/>
          <w:sz w:val="22"/>
          <w:szCs w:val="22"/>
        </w:rPr>
        <w:br w:type="textWrapping"/>
      </w:r>
      <w:r>
        <w:rPr>
          <w:rFonts w:hint="eastAsia"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131CBAD6">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3、签订合同</w:t>
      </w:r>
    </w:p>
    <w:p w14:paraId="534A3CE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 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743D460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 磋商文件、成交供应商的响应文件及投标修改文件、评标过程中有关澄清文件及经双方签字的询标纪要（承诺）和成交通知书均作为合同附件。</w:t>
      </w:r>
    </w:p>
    <w:p w14:paraId="7CDCE35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 拒签合同的责任</w:t>
      </w:r>
    </w:p>
    <w:p w14:paraId="739919D4">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成交供应商在规定时间内（30日历天）借故否认已经承诺的条件、拒签合同者，以违约处理，并赔偿采购人由此造成的直接经济损失；采购人重新组织采购的，所需费用由原成交供应商承担。</w:t>
      </w:r>
    </w:p>
    <w:p w14:paraId="1A8F9231">
      <w:pPr>
        <w:pStyle w:val="26"/>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4、招标代理费用</w:t>
      </w:r>
    </w:p>
    <w:p w14:paraId="456CCE2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4.1、本次项目招标代理服务费按固定金额9000元整收取。采购人不负责任何招标代理费</w:t>
      </w:r>
      <w:r>
        <w:rPr>
          <w:rFonts w:hint="eastAsia" w:eastAsia="宋体"/>
          <w:b w:val="0"/>
          <w:color w:val="auto"/>
          <w:sz w:val="22"/>
          <w:szCs w:val="22"/>
        </w:rPr>
        <w:t>用</w:t>
      </w:r>
      <w:r>
        <w:rPr>
          <w:rFonts w:hint="eastAsia" w:ascii="宋体" w:eastAsia="宋体"/>
          <w:b w:val="0"/>
          <w:color w:val="auto"/>
          <w:sz w:val="22"/>
          <w:szCs w:val="22"/>
        </w:rPr>
        <w:t>。招标代理费</w:t>
      </w:r>
      <w:r>
        <w:rPr>
          <w:rFonts w:hint="eastAsia" w:eastAsia="宋体"/>
          <w:b w:val="0"/>
          <w:color w:val="auto"/>
          <w:sz w:val="22"/>
          <w:szCs w:val="22"/>
        </w:rPr>
        <w:t>用</w:t>
      </w:r>
      <w:r>
        <w:rPr>
          <w:rFonts w:hint="eastAsia" w:ascii="宋体" w:eastAsia="宋体"/>
          <w:b w:val="0"/>
          <w:color w:val="auto"/>
          <w:sz w:val="22"/>
          <w:szCs w:val="22"/>
        </w:rPr>
        <w:t>由中标人支付，请报价人在报价时予以考虑。招标代理服务费汇入以下帐户：</w:t>
      </w:r>
    </w:p>
    <w:p w14:paraId="53A5CFBB">
      <w:pPr>
        <w:autoSpaceDE w:val="0"/>
        <w:autoSpaceDN w:val="0"/>
        <w:adjustRightInd w:val="0"/>
        <w:spacing w:line="360" w:lineRule="auto"/>
        <w:ind w:firstLine="440" w:firstLineChars="200"/>
        <w:textAlignment w:val="bottom"/>
        <w:rPr>
          <w:rFonts w:ascii="宋体" w:eastAsia="宋体"/>
          <w:b w:val="0"/>
          <w:color w:val="auto"/>
          <w:sz w:val="22"/>
          <w:szCs w:val="22"/>
        </w:rPr>
      </w:pPr>
      <w:bookmarkStart w:id="62" w:name="_Toc496528623"/>
      <w:r>
        <w:rPr>
          <w:rFonts w:hint="eastAsia" w:ascii="宋体" w:eastAsia="宋体"/>
          <w:b w:val="0"/>
          <w:color w:val="auto"/>
          <w:sz w:val="22"/>
          <w:szCs w:val="22"/>
        </w:rPr>
        <w:t>开户银行：中国建设银行永嘉广场支行</w:t>
      </w:r>
    </w:p>
    <w:p w14:paraId="0EDFECA8">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开户名称：温州市中概工程管理咨询有限公司</w:t>
      </w:r>
    </w:p>
    <w:p w14:paraId="261A3408">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开户帐号：33050162766300000011</w:t>
      </w:r>
    </w:p>
    <w:bookmarkEnd w:id="62"/>
    <w:p w14:paraId="011CBA00">
      <w:pPr>
        <w:pStyle w:val="6"/>
        <w:rPr>
          <w:rFonts w:ascii="宋体" w:hAnsi="宋体" w:cs="宋体"/>
          <w:color w:val="auto"/>
        </w:rPr>
      </w:pPr>
      <w:r>
        <w:rPr>
          <w:rFonts w:hint="eastAsia" w:ascii="宋体" w:hAnsi="宋体" w:cs="宋体"/>
          <w:color w:val="auto"/>
        </w:rPr>
        <w:br w:type="page"/>
      </w:r>
      <w:bookmarkStart w:id="63" w:name="_Toc61276418"/>
      <w:bookmarkStart w:id="64" w:name="_Toc1746"/>
      <w:r>
        <w:rPr>
          <w:rFonts w:hint="eastAsia" w:ascii="宋体" w:hAnsi="宋体" w:cs="宋体"/>
          <w:color w:val="auto"/>
        </w:rPr>
        <w:t>第四部分 政府采购政策功能相关说明</w:t>
      </w:r>
      <w:bookmarkEnd w:id="63"/>
      <w:bookmarkEnd w:id="64"/>
    </w:p>
    <w:p w14:paraId="7117F89F">
      <w:pPr>
        <w:spacing w:line="360" w:lineRule="auto"/>
        <w:jc w:val="left"/>
        <w:rPr>
          <w:rFonts w:ascii="宋体" w:eastAsia="宋体"/>
          <w:b w:val="0"/>
          <w:color w:val="auto"/>
          <w:sz w:val="22"/>
          <w:szCs w:val="22"/>
        </w:rPr>
      </w:pPr>
      <w:r>
        <w:rPr>
          <w:rFonts w:hint="eastAsia" w:ascii="宋体" w:eastAsia="宋体"/>
          <w:b w:val="0"/>
          <w:color w:val="auto"/>
          <w:sz w:val="22"/>
          <w:szCs w:val="22"/>
        </w:rPr>
        <w:t>一、小、微企业（含监狱企业、残疾人福利性单位）扶持政策说明</w:t>
      </w:r>
    </w:p>
    <w:p w14:paraId="6E1FE0BB">
      <w:pPr>
        <w:spacing w:line="360" w:lineRule="auto"/>
        <w:jc w:val="left"/>
        <w:rPr>
          <w:rFonts w:ascii="宋体" w:eastAsia="宋体"/>
          <w:b w:val="0"/>
          <w:color w:val="auto"/>
          <w:sz w:val="22"/>
          <w:szCs w:val="22"/>
        </w:rPr>
      </w:pPr>
      <w:r>
        <w:rPr>
          <w:rFonts w:hint="eastAsia" w:ascii="宋体" w:eastAsia="宋体"/>
          <w:b w:val="0"/>
          <w:color w:val="auto"/>
          <w:sz w:val="22"/>
          <w:szCs w:val="22"/>
        </w:rPr>
        <w:t>1、文件依据</w:t>
      </w:r>
    </w:p>
    <w:p w14:paraId="231DC8D8">
      <w:pPr>
        <w:spacing w:line="360" w:lineRule="auto"/>
        <w:jc w:val="left"/>
        <w:rPr>
          <w:rFonts w:ascii="宋体" w:eastAsia="宋体"/>
          <w:b w:val="0"/>
          <w:color w:val="auto"/>
          <w:sz w:val="22"/>
          <w:szCs w:val="22"/>
        </w:rPr>
      </w:pPr>
      <w:r>
        <w:rPr>
          <w:rFonts w:hint="eastAsia" w:ascii="宋体" w:eastAsia="宋体"/>
          <w:b w:val="0"/>
          <w:color w:val="auto"/>
          <w:sz w:val="22"/>
          <w:szCs w:val="22"/>
        </w:rPr>
        <w:t>（1）关于印发《政府采购促进中小企业发展管理办法》的通知（财库〔2020〕46号）</w:t>
      </w:r>
    </w:p>
    <w:p w14:paraId="21307169">
      <w:pPr>
        <w:spacing w:line="360" w:lineRule="auto"/>
        <w:jc w:val="left"/>
        <w:rPr>
          <w:rFonts w:ascii="宋体" w:eastAsia="宋体"/>
          <w:b w:val="0"/>
          <w:color w:val="auto"/>
          <w:sz w:val="22"/>
          <w:szCs w:val="22"/>
        </w:rPr>
      </w:pPr>
      <w:r>
        <w:rPr>
          <w:rFonts w:hint="eastAsia" w:ascii="宋体" w:eastAsia="宋体"/>
          <w:b w:val="0"/>
          <w:color w:val="auto"/>
          <w:sz w:val="22"/>
          <w:szCs w:val="22"/>
        </w:rPr>
        <w:t>（2）浙江省财政厅转发财政部 工业和信息化部关于印发《政府采购促进中小企业发展暂行办法》的通知（浙财采监[2012]11号）</w:t>
      </w:r>
    </w:p>
    <w:p w14:paraId="7285AA0C">
      <w:pPr>
        <w:spacing w:line="360" w:lineRule="auto"/>
        <w:jc w:val="left"/>
        <w:rPr>
          <w:rFonts w:ascii="宋体" w:eastAsia="宋体"/>
          <w:b w:val="0"/>
          <w:color w:val="auto"/>
          <w:sz w:val="22"/>
          <w:szCs w:val="22"/>
        </w:rPr>
      </w:pPr>
      <w:r>
        <w:rPr>
          <w:rFonts w:hint="eastAsia" w:ascii="宋体" w:eastAsia="宋体"/>
          <w:b w:val="0"/>
          <w:color w:val="auto"/>
          <w:sz w:val="22"/>
          <w:szCs w:val="22"/>
        </w:rPr>
        <w:t>（3）浙江省省财政厅《关于开展政府采购投标供应商网上注册登记和诚信管理工作的通知》（浙财采监〔2010〕8号)</w:t>
      </w:r>
    </w:p>
    <w:p w14:paraId="3321409A">
      <w:pPr>
        <w:spacing w:line="360" w:lineRule="auto"/>
        <w:jc w:val="left"/>
        <w:rPr>
          <w:rFonts w:ascii="宋体" w:eastAsia="宋体"/>
          <w:b w:val="0"/>
          <w:color w:val="auto"/>
          <w:sz w:val="22"/>
          <w:szCs w:val="22"/>
        </w:rPr>
      </w:pPr>
      <w:r>
        <w:rPr>
          <w:rFonts w:hint="eastAsia" w:ascii="宋体" w:eastAsia="宋体"/>
          <w:b w:val="0"/>
          <w:color w:val="auto"/>
          <w:sz w:val="22"/>
          <w:szCs w:val="22"/>
        </w:rPr>
        <w:t>（4）《工业和信息化部、国家统计局、国家发展和改革委员会、财政部关于印发中小企业划型标准规定的通知》（工信部联企业[2011]300号）</w:t>
      </w:r>
    </w:p>
    <w:p w14:paraId="17EE9D15">
      <w:pPr>
        <w:spacing w:line="360" w:lineRule="auto"/>
        <w:jc w:val="left"/>
        <w:rPr>
          <w:rFonts w:ascii="宋体" w:eastAsia="宋体"/>
          <w:b w:val="0"/>
          <w:color w:val="auto"/>
          <w:sz w:val="22"/>
          <w:szCs w:val="22"/>
        </w:rPr>
      </w:pPr>
      <w:r>
        <w:rPr>
          <w:rFonts w:hint="eastAsia" w:ascii="宋体" w:eastAsia="宋体"/>
          <w:b w:val="0"/>
          <w:color w:val="auto"/>
          <w:sz w:val="22"/>
          <w:szCs w:val="22"/>
        </w:rPr>
        <w:t>（5）财政部、司法部《关于政府采购支持监狱企业发展有关问题的通知》（财库〔2014〕68号）</w:t>
      </w:r>
    </w:p>
    <w:p w14:paraId="376976CA">
      <w:pPr>
        <w:spacing w:line="360" w:lineRule="auto"/>
        <w:jc w:val="left"/>
        <w:rPr>
          <w:rFonts w:ascii="宋体" w:eastAsia="宋体"/>
          <w:b w:val="0"/>
          <w:color w:val="auto"/>
          <w:sz w:val="22"/>
          <w:szCs w:val="22"/>
        </w:rPr>
      </w:pPr>
      <w:r>
        <w:rPr>
          <w:rFonts w:hint="eastAsia" w:ascii="宋体" w:eastAsia="宋体"/>
          <w:b w:val="0"/>
          <w:color w:val="auto"/>
          <w:sz w:val="22"/>
          <w:szCs w:val="22"/>
        </w:rPr>
        <w:t>（6）《财政部 民政部 中国残疾人联合会关于促进残疾人就业政府采购政策的通知》（财库〔2017〕 141号）</w:t>
      </w:r>
    </w:p>
    <w:p w14:paraId="63DA85B3">
      <w:pPr>
        <w:spacing w:line="360" w:lineRule="auto"/>
        <w:jc w:val="left"/>
        <w:rPr>
          <w:rFonts w:ascii="宋体" w:eastAsia="宋体"/>
          <w:b w:val="0"/>
          <w:color w:val="auto"/>
          <w:sz w:val="22"/>
          <w:szCs w:val="22"/>
        </w:rPr>
      </w:pPr>
      <w:r>
        <w:rPr>
          <w:rFonts w:hint="eastAsia" w:ascii="宋体" w:eastAsia="宋体"/>
          <w:b w:val="0"/>
          <w:color w:val="auto"/>
          <w:sz w:val="22"/>
          <w:szCs w:val="22"/>
        </w:rPr>
        <w:t>（7）《浙江省财政厅  浙江省经济和信息化委员会关于简化中小企业类别确认流程有关事项的通知》（浙财采监〔2018〕2号)</w:t>
      </w:r>
    </w:p>
    <w:p w14:paraId="167258E3">
      <w:pPr>
        <w:spacing w:line="360" w:lineRule="auto"/>
        <w:jc w:val="left"/>
        <w:rPr>
          <w:rFonts w:ascii="宋体" w:eastAsia="宋体"/>
          <w:b w:val="0"/>
          <w:color w:val="auto"/>
          <w:sz w:val="22"/>
          <w:szCs w:val="22"/>
        </w:rPr>
      </w:pPr>
      <w:r>
        <w:rPr>
          <w:rFonts w:hint="eastAsia" w:ascii="宋体" w:eastAsia="宋体"/>
          <w:b w:val="0"/>
          <w:color w:val="auto"/>
          <w:sz w:val="22"/>
          <w:szCs w:val="22"/>
        </w:rPr>
        <w:t>2、享受小微企业价格折扣应具备的条件与价格折扣比例</w:t>
      </w:r>
    </w:p>
    <w:p w14:paraId="79DC5000">
      <w:pPr>
        <w:spacing w:line="360" w:lineRule="auto"/>
        <w:jc w:val="left"/>
        <w:rPr>
          <w:rFonts w:ascii="宋体" w:eastAsia="宋体"/>
          <w:b w:val="0"/>
          <w:color w:val="auto"/>
          <w:sz w:val="22"/>
          <w:szCs w:val="22"/>
        </w:rPr>
      </w:pPr>
      <w:r>
        <w:rPr>
          <w:rFonts w:hint="eastAsia" w:ascii="宋体" w:eastAsia="宋体"/>
          <w:b w:val="0"/>
          <w:color w:val="auto"/>
          <w:sz w:val="22"/>
          <w:szCs w:val="22"/>
        </w:rPr>
        <w:t>（1）在货物采购项目中，货物由中小企业制造，即货物由中小企业生产且使用该中小企业商号或者注册商标；</w:t>
      </w:r>
      <w:r>
        <w:rPr>
          <w:rFonts w:hint="eastAsia" w:ascii="宋体" w:eastAsia="宋体"/>
          <w:b w:val="0"/>
          <w:color w:val="auto"/>
          <w:sz w:val="22"/>
          <w:szCs w:val="22"/>
        </w:rPr>
        <w:br w:type="textWrapping"/>
      </w:r>
      <w:r>
        <w:rPr>
          <w:rFonts w:hint="eastAsia" w:ascii="宋体" w:eastAsia="宋体"/>
          <w:b w:val="0"/>
          <w:color w:val="auto"/>
          <w:sz w:val="22"/>
          <w:szCs w:val="22"/>
        </w:rPr>
        <w:t>（2）在工程采购项目中，工程由中小企业承建，即工程施工单位为中小企业；</w:t>
      </w:r>
    </w:p>
    <w:p w14:paraId="775991AD">
      <w:pPr>
        <w:spacing w:line="360" w:lineRule="auto"/>
        <w:jc w:val="left"/>
        <w:rPr>
          <w:rFonts w:ascii="宋体" w:eastAsia="宋体"/>
          <w:b w:val="0"/>
          <w:color w:val="auto"/>
          <w:sz w:val="22"/>
          <w:szCs w:val="22"/>
        </w:rPr>
      </w:pPr>
      <w:r>
        <w:rPr>
          <w:rFonts w:hint="eastAsia" w:ascii="宋体" w:eastAsia="宋体"/>
          <w:b w:val="0"/>
          <w:color w:val="auto"/>
          <w:sz w:val="22"/>
          <w:szCs w:val="22"/>
        </w:rPr>
        <w:t>（3）在服务采购项目中，服务由中小企业承接，即提供服务的人员为中小企业依照《中华人民共和国劳动合同法》订立劳动合同的从业人员。</w:t>
      </w:r>
      <w:r>
        <w:rPr>
          <w:rFonts w:hint="eastAsia" w:ascii="宋体" w:eastAsia="宋体"/>
          <w:b w:val="0"/>
          <w:color w:val="auto"/>
          <w:sz w:val="22"/>
          <w:szCs w:val="22"/>
        </w:rPr>
        <w:br w:type="textWrapping"/>
      </w:r>
      <w:r>
        <w:rPr>
          <w:rFonts w:hint="eastAsia" w:ascii="宋体" w:eastAsia="宋体"/>
          <w:b w:val="0"/>
          <w:color w:val="auto"/>
          <w:sz w:val="22"/>
          <w:szCs w:val="22"/>
        </w:rPr>
        <w:t>在货物采购项目中，供应商提供的货物既有中小企业制造货物，也有大型企业制造货物的，不享受本办法规定的中小企业扶持政策。</w:t>
      </w:r>
    </w:p>
    <w:p w14:paraId="69456908">
      <w:pPr>
        <w:spacing w:line="360" w:lineRule="auto"/>
        <w:jc w:val="left"/>
        <w:rPr>
          <w:rFonts w:ascii="宋体" w:eastAsia="宋体"/>
          <w:b w:val="0"/>
          <w:color w:val="auto"/>
          <w:sz w:val="22"/>
          <w:szCs w:val="22"/>
        </w:rPr>
      </w:pPr>
      <w:r>
        <w:rPr>
          <w:rFonts w:hint="eastAsia" w:ascii="宋体" w:eastAsia="宋体"/>
          <w:b w:val="0"/>
          <w:color w:val="auto"/>
          <w:sz w:val="22"/>
          <w:szCs w:val="22"/>
        </w:rPr>
        <w:t>以联合体形式参加政府采购活动，联合体各方均为中小企业的，联合体视同中小企业。其中，联合体各方均为小微企业的，联合体视同小微企业。</w:t>
      </w:r>
    </w:p>
    <w:p w14:paraId="40CBBC96">
      <w:pPr>
        <w:spacing w:line="360" w:lineRule="auto"/>
        <w:jc w:val="left"/>
        <w:rPr>
          <w:rFonts w:ascii="宋体" w:eastAsia="宋体"/>
          <w:b w:val="0"/>
          <w:color w:val="auto"/>
          <w:sz w:val="22"/>
          <w:szCs w:val="22"/>
          <w:u w:val="single"/>
        </w:rPr>
      </w:pPr>
      <w:r>
        <w:rPr>
          <w:rFonts w:hint="eastAsia" w:ascii="宋体" w:eastAsia="宋体"/>
          <w:b w:val="0"/>
          <w:color w:val="auto"/>
          <w:sz w:val="22"/>
          <w:szCs w:val="22"/>
          <w:u w:val="single"/>
        </w:rPr>
        <w:t>（3）本项目对小型和微型企业的价格给予10%的扣除，用扣除后的价格参与评审。</w:t>
      </w:r>
    </w:p>
    <w:p w14:paraId="7F0092D8">
      <w:pPr>
        <w:spacing w:line="360" w:lineRule="auto"/>
        <w:jc w:val="left"/>
        <w:rPr>
          <w:rFonts w:ascii="宋体" w:eastAsia="宋体"/>
          <w:b w:val="0"/>
          <w:color w:val="auto"/>
          <w:sz w:val="22"/>
          <w:szCs w:val="22"/>
        </w:rPr>
      </w:pPr>
      <w:r>
        <w:rPr>
          <w:rFonts w:hint="eastAsia" w:ascii="宋体" w:eastAsia="宋体"/>
          <w:b w:val="0"/>
          <w:color w:val="auto"/>
          <w:sz w:val="22"/>
          <w:szCs w:val="22"/>
          <w:u w:val="single"/>
        </w:rPr>
        <w:t>3、享受小微企业价格折扣应提供以下证明材料（响应文件中，缺一不可）</w:t>
      </w:r>
      <w:r>
        <w:rPr>
          <w:rFonts w:hint="eastAsia" w:ascii="宋体" w:eastAsia="宋体"/>
          <w:b w:val="0"/>
          <w:color w:val="auto"/>
          <w:sz w:val="22"/>
          <w:szCs w:val="22"/>
        </w:rPr>
        <w:t>：</w:t>
      </w:r>
    </w:p>
    <w:p w14:paraId="600AAA42">
      <w:pPr>
        <w:spacing w:line="360" w:lineRule="auto"/>
        <w:jc w:val="left"/>
        <w:rPr>
          <w:rFonts w:ascii="宋体" w:eastAsia="宋体"/>
          <w:b w:val="0"/>
          <w:color w:val="auto"/>
          <w:sz w:val="22"/>
          <w:szCs w:val="22"/>
        </w:rPr>
      </w:pPr>
      <w:r>
        <w:rPr>
          <w:rFonts w:hint="eastAsia" w:ascii="宋体" w:eastAsia="宋体"/>
          <w:b w:val="0"/>
          <w:color w:val="auto"/>
          <w:sz w:val="22"/>
          <w:szCs w:val="22"/>
        </w:rPr>
        <w:t>（1）《中小企业声明函》（原件，加盖投标供应商公章，格式见附件1）</w:t>
      </w:r>
    </w:p>
    <w:p w14:paraId="13FD4529">
      <w:pPr>
        <w:spacing w:line="360" w:lineRule="auto"/>
        <w:jc w:val="left"/>
        <w:rPr>
          <w:rFonts w:ascii="宋体" w:eastAsia="宋体"/>
          <w:b w:val="0"/>
          <w:color w:val="auto"/>
          <w:sz w:val="22"/>
          <w:szCs w:val="22"/>
        </w:rPr>
      </w:pPr>
      <w:r>
        <w:rPr>
          <w:rFonts w:hint="eastAsia" w:ascii="宋体" w:eastAsia="宋体"/>
          <w:b w:val="0"/>
          <w:color w:val="auto"/>
          <w:sz w:val="22"/>
          <w:szCs w:val="22"/>
        </w:rPr>
        <w:t>4、</w:t>
      </w:r>
      <w:r>
        <w:rPr>
          <w:rFonts w:hint="eastAsia" w:ascii="宋体" w:eastAsia="宋体"/>
          <w:b w:val="0"/>
          <w:color w:val="auto"/>
          <w:sz w:val="22"/>
          <w:szCs w:val="22"/>
          <w:u w:val="single"/>
        </w:rPr>
        <w:t>享受监狱企业价格折扣应提供以下证明材料（响应文件中，不提供的不享受价格折扣）</w:t>
      </w:r>
      <w:r>
        <w:rPr>
          <w:rFonts w:hint="eastAsia" w:ascii="宋体" w:eastAsia="宋体"/>
          <w:b w:val="0"/>
          <w:color w:val="auto"/>
          <w:sz w:val="22"/>
          <w:szCs w:val="22"/>
        </w:rPr>
        <w:t>：</w:t>
      </w:r>
    </w:p>
    <w:p w14:paraId="4227F134">
      <w:pPr>
        <w:spacing w:line="360" w:lineRule="auto"/>
        <w:jc w:val="left"/>
        <w:rPr>
          <w:rFonts w:ascii="宋体" w:eastAsia="宋体"/>
          <w:b w:val="0"/>
          <w:color w:val="auto"/>
          <w:sz w:val="22"/>
          <w:szCs w:val="22"/>
        </w:rPr>
      </w:pPr>
      <w:r>
        <w:rPr>
          <w:rFonts w:hint="eastAsia" w:ascii="宋体" w:eastAsia="宋体"/>
          <w:b w:val="0"/>
          <w:color w:val="auto"/>
          <w:sz w:val="22"/>
          <w:szCs w:val="22"/>
        </w:rPr>
        <w:t>（1）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14:paraId="55DB1F9C">
      <w:pPr>
        <w:spacing w:line="360" w:lineRule="auto"/>
        <w:jc w:val="left"/>
        <w:rPr>
          <w:rFonts w:ascii="宋体" w:eastAsia="宋体"/>
          <w:b w:val="0"/>
          <w:color w:val="auto"/>
          <w:sz w:val="22"/>
          <w:szCs w:val="22"/>
        </w:rPr>
      </w:pPr>
      <w:r>
        <w:rPr>
          <w:rFonts w:hint="eastAsia" w:ascii="宋体" w:eastAsia="宋体"/>
          <w:b w:val="0"/>
          <w:color w:val="auto"/>
          <w:sz w:val="22"/>
          <w:szCs w:val="22"/>
        </w:rPr>
        <w:t>5、</w:t>
      </w:r>
      <w:r>
        <w:rPr>
          <w:rFonts w:hint="eastAsia" w:ascii="宋体" w:eastAsia="宋体"/>
          <w:b w:val="0"/>
          <w:color w:val="auto"/>
          <w:sz w:val="22"/>
          <w:szCs w:val="22"/>
          <w:u w:val="single"/>
        </w:rPr>
        <w:t>享受残疾人福利性单位格折扣应提供以下证明材料（响应文件中，不提供的不享受价格折扣）</w:t>
      </w:r>
      <w:r>
        <w:rPr>
          <w:rFonts w:hint="eastAsia" w:ascii="宋体" w:eastAsia="宋体"/>
          <w:b w:val="0"/>
          <w:color w:val="auto"/>
          <w:sz w:val="22"/>
          <w:szCs w:val="22"/>
        </w:rPr>
        <w:t>：</w:t>
      </w:r>
    </w:p>
    <w:p w14:paraId="2DB5BDD3">
      <w:pPr>
        <w:spacing w:line="360" w:lineRule="auto"/>
        <w:jc w:val="left"/>
        <w:rPr>
          <w:rFonts w:ascii="宋体" w:eastAsia="宋体"/>
          <w:b w:val="0"/>
          <w:color w:val="auto"/>
          <w:sz w:val="22"/>
          <w:szCs w:val="22"/>
        </w:rPr>
      </w:pPr>
      <w:r>
        <w:rPr>
          <w:rFonts w:hint="eastAsia" w:ascii="宋体" w:eastAsia="宋体"/>
          <w:b w:val="0"/>
          <w:color w:val="auto"/>
          <w:sz w:val="22"/>
          <w:szCs w:val="22"/>
        </w:rPr>
        <w:t>（1）残疾人福利性单位声明函（附件2）；</w:t>
      </w:r>
    </w:p>
    <w:p w14:paraId="0F07422C">
      <w:pPr>
        <w:spacing w:line="360" w:lineRule="auto"/>
        <w:jc w:val="left"/>
        <w:rPr>
          <w:rFonts w:ascii="宋体" w:eastAsia="宋体"/>
          <w:b w:val="0"/>
          <w:color w:val="auto"/>
          <w:sz w:val="22"/>
          <w:szCs w:val="22"/>
        </w:rPr>
      </w:pPr>
      <w:r>
        <w:rPr>
          <w:rFonts w:hint="eastAsia" w:ascii="宋体" w:eastAsia="宋体"/>
          <w:b w:val="0"/>
          <w:color w:val="auto"/>
          <w:sz w:val="22"/>
          <w:szCs w:val="22"/>
        </w:rPr>
        <w:t>6、非单一产品采购，无法核实（按响应文件资料）全部货物均为小微企业（含监狱企业、残疾人福利性单位）制造；或小微企业（含监狱企业、残疾人福利性单位）提供其他制造商制造的货物且无法核实（按响应文件资料）制造商是否为小微企业（含监狱企业、残疾人福利性单位）的，不享受价格折扣。</w:t>
      </w:r>
    </w:p>
    <w:p w14:paraId="03EF0120">
      <w:pPr>
        <w:rPr>
          <w:rFonts w:ascii="宋体" w:eastAsia="宋体"/>
          <w:b w:val="0"/>
          <w:color w:val="auto"/>
          <w:sz w:val="22"/>
          <w:szCs w:val="22"/>
        </w:rPr>
      </w:pPr>
      <w:r>
        <w:rPr>
          <w:rFonts w:hint="eastAsia" w:ascii="宋体" w:eastAsia="宋体"/>
          <w:b w:val="0"/>
          <w:color w:val="auto"/>
          <w:sz w:val="22"/>
          <w:szCs w:val="22"/>
        </w:rPr>
        <w:br w:type="page"/>
      </w:r>
    </w:p>
    <w:p w14:paraId="0A254C19">
      <w:pPr>
        <w:widowControl/>
        <w:spacing w:before="100" w:beforeAutospacing="1" w:after="100" w:afterAutospacing="1" w:line="360" w:lineRule="auto"/>
        <w:jc w:val="left"/>
        <w:rPr>
          <w:rFonts w:ascii="宋体" w:eastAsia="宋体"/>
          <w:b w:val="0"/>
          <w:bCs w:val="0"/>
          <w:color w:val="auto"/>
          <w:sz w:val="24"/>
          <w:szCs w:val="24"/>
        </w:rPr>
      </w:pPr>
      <w:r>
        <w:rPr>
          <w:rFonts w:hint="eastAsia" w:ascii="宋体" w:eastAsia="宋体"/>
          <w:b w:val="0"/>
          <w:color w:val="auto"/>
          <w:sz w:val="24"/>
          <w:szCs w:val="24"/>
        </w:rPr>
        <w:t>附件1：</w:t>
      </w:r>
    </w:p>
    <w:p w14:paraId="76F53451">
      <w:pPr>
        <w:pStyle w:val="6"/>
        <w:rPr>
          <w:rFonts w:ascii="宋体" w:hAnsi="宋体" w:cs="宋体"/>
          <w:color w:val="auto"/>
        </w:rPr>
      </w:pPr>
      <w:bookmarkStart w:id="65" w:name="_Toc61276419"/>
      <w:bookmarkStart w:id="66" w:name="_Toc13167"/>
      <w:r>
        <w:rPr>
          <w:rFonts w:hint="eastAsia" w:ascii="宋体" w:hAnsi="宋体" w:cs="宋体"/>
          <w:color w:val="auto"/>
        </w:rPr>
        <w:t>中小企业声明函（货物）</w:t>
      </w:r>
      <w:bookmarkEnd w:id="65"/>
      <w:bookmarkEnd w:id="66"/>
    </w:p>
    <w:p w14:paraId="04DB00D2">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本公司（联合体）郑重声明，根据《政府采购促进中小企业发展管理办法》（财库﹝2020﹞46 号）的规定，本公司（联合体）参加</w:t>
      </w:r>
      <w:r>
        <w:rPr>
          <w:rFonts w:hint="eastAsia" w:ascii="宋体" w:eastAsia="宋体"/>
          <w:b w:val="0"/>
          <w:color w:val="auto"/>
          <w:sz w:val="22"/>
          <w:szCs w:val="22"/>
          <w:u w:val="single"/>
        </w:rPr>
        <w:t xml:space="preserve"> （单位名称）</w:t>
      </w:r>
      <w:r>
        <w:rPr>
          <w:rFonts w:hint="eastAsia" w:ascii="宋体" w:eastAsia="宋体"/>
          <w:b w:val="0"/>
          <w:color w:val="auto"/>
          <w:sz w:val="22"/>
          <w:szCs w:val="22"/>
        </w:rPr>
        <w:t xml:space="preserve"> 的 </w:t>
      </w:r>
      <w:r>
        <w:rPr>
          <w:rFonts w:hint="eastAsia" w:ascii="宋体" w:eastAsia="宋体"/>
          <w:b w:val="0"/>
          <w:color w:val="auto"/>
          <w:sz w:val="22"/>
          <w:szCs w:val="22"/>
          <w:u w:val="single"/>
        </w:rPr>
        <w:t>（项目名称）</w:t>
      </w:r>
      <w:r>
        <w:rPr>
          <w:rFonts w:hint="eastAsia" w:ascii="宋体" w:eastAsia="宋体"/>
          <w:b w:val="0"/>
          <w:color w:val="auto"/>
          <w:sz w:val="22"/>
          <w:szCs w:val="22"/>
        </w:rPr>
        <w:t xml:space="preserve"> 采购活动，提供的货物全部由符合政策要求的中小企业制造。相关企业（含联合体中的中小企业、签订分包意向协议的中小企业）的具体情况如下：</w:t>
      </w:r>
    </w:p>
    <w:p w14:paraId="70B937AC">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1. </w:t>
      </w:r>
      <w:r>
        <w:rPr>
          <w:rFonts w:hint="eastAsia" w:ascii="宋体" w:eastAsia="宋体"/>
          <w:b w:val="0"/>
          <w:color w:val="auto"/>
          <w:sz w:val="22"/>
          <w:szCs w:val="22"/>
          <w:u w:val="single"/>
        </w:rPr>
        <w:t xml:space="preserve">（标的名称） </w:t>
      </w:r>
      <w:r>
        <w:rPr>
          <w:rFonts w:hint="eastAsia" w:ascii="宋体" w:eastAsia="宋体"/>
          <w:b w:val="0"/>
          <w:color w:val="auto"/>
          <w:sz w:val="22"/>
          <w:szCs w:val="22"/>
        </w:rPr>
        <w:t>，属于</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行业 ；制造商为 </w:t>
      </w:r>
      <w:r>
        <w:rPr>
          <w:rFonts w:hint="eastAsia" w:ascii="宋体" w:eastAsia="宋体"/>
          <w:b w:val="0"/>
          <w:color w:val="auto"/>
          <w:sz w:val="22"/>
          <w:szCs w:val="22"/>
          <w:u w:val="single"/>
        </w:rPr>
        <w:t>（企业名称）</w:t>
      </w:r>
      <w:r>
        <w:rPr>
          <w:rFonts w:hint="eastAsia" w:ascii="宋体" w:eastAsia="宋体"/>
          <w:b w:val="0"/>
          <w:color w:val="auto"/>
          <w:sz w:val="22"/>
          <w:szCs w:val="22"/>
        </w:rPr>
        <w:t xml:space="preserve"> ，从业人员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万元 ，属于 </w:t>
      </w:r>
      <w:r>
        <w:rPr>
          <w:rFonts w:hint="eastAsia" w:ascii="宋体" w:eastAsia="宋体"/>
          <w:b w:val="0"/>
          <w:color w:val="auto"/>
          <w:sz w:val="22"/>
          <w:szCs w:val="22"/>
          <w:u w:val="single"/>
        </w:rPr>
        <w:t xml:space="preserve">（中型企业、小型企业、微型企业） </w:t>
      </w:r>
      <w:r>
        <w:rPr>
          <w:rFonts w:hint="eastAsia" w:ascii="宋体" w:eastAsia="宋体"/>
          <w:b w:val="0"/>
          <w:color w:val="auto"/>
          <w:sz w:val="22"/>
          <w:szCs w:val="22"/>
        </w:rPr>
        <w:t>；</w:t>
      </w:r>
    </w:p>
    <w:p w14:paraId="0D7A49B2">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2. </w:t>
      </w:r>
      <w:r>
        <w:rPr>
          <w:rFonts w:hint="eastAsia" w:ascii="宋体" w:eastAsia="宋体"/>
          <w:b w:val="0"/>
          <w:color w:val="auto"/>
          <w:sz w:val="22"/>
          <w:szCs w:val="22"/>
          <w:u w:val="single"/>
        </w:rPr>
        <w:t>（标的名称）</w:t>
      </w:r>
      <w:r>
        <w:rPr>
          <w:rFonts w:hint="eastAsia" w:ascii="宋体" w:eastAsia="宋体"/>
          <w:b w:val="0"/>
          <w:color w:val="auto"/>
          <w:sz w:val="22"/>
          <w:szCs w:val="22"/>
        </w:rPr>
        <w:t xml:space="preserve"> ，属于 </w:t>
      </w:r>
      <w:r>
        <w:rPr>
          <w:rFonts w:hint="eastAsia" w:ascii="宋体" w:eastAsia="宋体"/>
          <w:b w:val="0"/>
          <w:color w:val="auto"/>
          <w:sz w:val="22"/>
          <w:szCs w:val="22"/>
          <w:u w:val="single"/>
        </w:rPr>
        <w:t xml:space="preserve">    </w:t>
      </w:r>
      <w:r>
        <w:rPr>
          <w:rFonts w:hint="eastAsia" w:ascii="宋体" w:eastAsia="宋体"/>
          <w:b w:val="0"/>
          <w:color w:val="auto"/>
          <w:sz w:val="22"/>
          <w:szCs w:val="22"/>
        </w:rPr>
        <w:t>行业 ；制造商为</w:t>
      </w:r>
      <w:r>
        <w:rPr>
          <w:rFonts w:hint="eastAsia" w:ascii="宋体" w:eastAsia="宋体"/>
          <w:b w:val="0"/>
          <w:color w:val="auto"/>
          <w:sz w:val="22"/>
          <w:szCs w:val="22"/>
          <w:u w:val="single"/>
        </w:rPr>
        <w:t xml:space="preserve"> （企业名称）</w:t>
      </w:r>
      <w:r>
        <w:rPr>
          <w:rFonts w:hint="eastAsia" w:ascii="宋体" w:eastAsia="宋体"/>
          <w:b w:val="0"/>
          <w:color w:val="auto"/>
          <w:sz w:val="22"/>
          <w:szCs w:val="22"/>
        </w:rPr>
        <w:t xml:space="preserve"> ，从业人员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万元，属于 </w:t>
      </w:r>
      <w:r>
        <w:rPr>
          <w:rFonts w:hint="eastAsia" w:ascii="宋体" w:eastAsia="宋体"/>
          <w:b w:val="0"/>
          <w:color w:val="auto"/>
          <w:sz w:val="22"/>
          <w:szCs w:val="22"/>
          <w:u w:val="single"/>
        </w:rPr>
        <w:t xml:space="preserve">（中型企业、小型企业、微型企业） </w:t>
      </w:r>
      <w:r>
        <w:rPr>
          <w:rFonts w:hint="eastAsia" w:ascii="宋体" w:eastAsia="宋体"/>
          <w:b w:val="0"/>
          <w:color w:val="auto"/>
          <w:sz w:val="22"/>
          <w:szCs w:val="22"/>
        </w:rPr>
        <w:t>；</w:t>
      </w:r>
    </w:p>
    <w:p w14:paraId="72E175EB">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w:t>
      </w:r>
    </w:p>
    <w:p w14:paraId="3D2B34C5">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以上企业，不属于大企业的分支机构，不存在控股股东为大企业的情形，也不存在与大企业的负责人为同一人的情形。</w:t>
      </w:r>
    </w:p>
    <w:p w14:paraId="1F94F128">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本企业对上述声明内容的真实性负责。如有虚假，将依法承担相应责任。</w:t>
      </w:r>
    </w:p>
    <w:p w14:paraId="6AFA00D1">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企业名称（盖章）：</w:t>
      </w:r>
    </w:p>
    <w:p w14:paraId="286C1209">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日 期：</w:t>
      </w:r>
    </w:p>
    <w:p w14:paraId="300BE84F">
      <w:pPr>
        <w:widowControl/>
        <w:jc w:val="left"/>
        <w:rPr>
          <w:rFonts w:ascii="宋体" w:eastAsia="宋体"/>
          <w:b w:val="0"/>
          <w:color w:val="auto"/>
          <w:sz w:val="22"/>
          <w:szCs w:val="22"/>
        </w:rPr>
      </w:pPr>
      <w:r>
        <w:rPr>
          <w:rFonts w:hint="eastAsia" w:ascii="宋体" w:eastAsia="宋体"/>
          <w:b w:val="0"/>
          <w:color w:val="auto"/>
          <w:sz w:val="22"/>
          <w:szCs w:val="22"/>
        </w:rPr>
        <w:br w:type="page"/>
      </w:r>
    </w:p>
    <w:p w14:paraId="5D082A0B">
      <w:pPr>
        <w:pStyle w:val="6"/>
        <w:rPr>
          <w:rFonts w:ascii="宋体" w:hAnsi="宋体" w:cs="宋体"/>
          <w:color w:val="auto"/>
        </w:rPr>
      </w:pPr>
      <w:bookmarkStart w:id="67" w:name="_Toc31622"/>
      <w:bookmarkStart w:id="68" w:name="_Toc61276420"/>
      <w:r>
        <w:rPr>
          <w:rFonts w:hint="eastAsia" w:ascii="宋体" w:hAnsi="宋体" w:cs="宋体"/>
          <w:color w:val="auto"/>
        </w:rPr>
        <w:t>中小企业声明函（工程、服务）</w:t>
      </w:r>
      <w:bookmarkEnd w:id="67"/>
      <w:bookmarkEnd w:id="68"/>
    </w:p>
    <w:p w14:paraId="2437F3B2">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本公司（联合体）郑重声明，根据《政府采购促进中小企业发展管理办法》（财库﹝2020﹞46 号）的规定，本公司（联合体）参加</w:t>
      </w:r>
      <w:r>
        <w:rPr>
          <w:rFonts w:hint="eastAsia" w:ascii="宋体" w:eastAsia="宋体"/>
          <w:b w:val="0"/>
          <w:color w:val="auto"/>
          <w:sz w:val="22"/>
          <w:szCs w:val="22"/>
          <w:u w:val="single"/>
        </w:rPr>
        <w:t xml:space="preserve"> （单位名称）</w:t>
      </w:r>
      <w:r>
        <w:rPr>
          <w:rFonts w:hint="eastAsia" w:ascii="宋体" w:eastAsia="宋体"/>
          <w:b w:val="0"/>
          <w:color w:val="auto"/>
          <w:sz w:val="22"/>
          <w:szCs w:val="22"/>
        </w:rPr>
        <w:t xml:space="preserve"> 的 </w:t>
      </w:r>
      <w:r>
        <w:rPr>
          <w:rFonts w:hint="eastAsia" w:ascii="宋体" w:eastAsia="宋体"/>
          <w:b w:val="0"/>
          <w:color w:val="auto"/>
          <w:sz w:val="22"/>
          <w:szCs w:val="22"/>
          <w:u w:val="single"/>
        </w:rPr>
        <w:t>（项目名称）</w:t>
      </w:r>
      <w:r>
        <w:rPr>
          <w:rFonts w:hint="eastAsia" w:ascii="宋体" w:eastAsia="宋体"/>
          <w:b w:val="0"/>
          <w:color w:val="auto"/>
          <w:sz w:val="22"/>
          <w:szCs w:val="22"/>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21E4415">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1. </w:t>
      </w:r>
      <w:r>
        <w:rPr>
          <w:rFonts w:hint="eastAsia" w:ascii="宋体" w:eastAsia="宋体"/>
          <w:b w:val="0"/>
          <w:color w:val="auto"/>
          <w:sz w:val="22"/>
          <w:szCs w:val="22"/>
          <w:u w:val="single"/>
        </w:rPr>
        <w:t xml:space="preserve">（标的名称） </w:t>
      </w:r>
      <w:r>
        <w:rPr>
          <w:rFonts w:hint="eastAsia" w:ascii="宋体" w:eastAsia="宋体"/>
          <w:b w:val="0"/>
          <w:color w:val="auto"/>
          <w:sz w:val="22"/>
          <w:szCs w:val="22"/>
        </w:rPr>
        <w:t>，属于</w:t>
      </w:r>
      <w:r>
        <w:rPr>
          <w:rFonts w:hint="eastAsia" w:ascii="宋体" w:eastAsia="宋体"/>
          <w:b w:val="0"/>
          <w:color w:val="auto"/>
          <w:sz w:val="22"/>
          <w:szCs w:val="22"/>
          <w:u w:val="single"/>
        </w:rPr>
        <w:t>其他未列明行业</w:t>
      </w:r>
      <w:r>
        <w:rPr>
          <w:rFonts w:hint="eastAsia" w:ascii="宋体" w:eastAsia="宋体"/>
          <w:b w:val="0"/>
          <w:color w:val="auto"/>
          <w:sz w:val="22"/>
          <w:szCs w:val="22"/>
        </w:rPr>
        <w:t xml:space="preserve"> ；承建（承接）企业为 </w:t>
      </w:r>
      <w:r>
        <w:rPr>
          <w:rFonts w:hint="eastAsia" w:ascii="宋体" w:eastAsia="宋体"/>
          <w:b w:val="0"/>
          <w:color w:val="auto"/>
          <w:sz w:val="22"/>
          <w:szCs w:val="22"/>
          <w:u w:val="single"/>
        </w:rPr>
        <w:t xml:space="preserve">（企业名称） </w:t>
      </w:r>
      <w:r>
        <w:rPr>
          <w:rFonts w:hint="eastAsia" w:ascii="宋体" w:eastAsia="宋体"/>
          <w:b w:val="0"/>
          <w:color w:val="auto"/>
          <w:sz w:val="22"/>
          <w:szCs w:val="22"/>
        </w:rPr>
        <w:t>，从业人员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 ，属于</w:t>
      </w:r>
      <w:r>
        <w:rPr>
          <w:rFonts w:hint="eastAsia" w:ascii="宋体" w:eastAsia="宋体"/>
          <w:b w:val="0"/>
          <w:color w:val="auto"/>
          <w:sz w:val="22"/>
          <w:szCs w:val="22"/>
          <w:u w:val="single"/>
        </w:rPr>
        <w:t xml:space="preserve"> （中型企业、小型企业、微型企业） </w:t>
      </w:r>
      <w:r>
        <w:rPr>
          <w:rFonts w:hint="eastAsia" w:ascii="宋体" w:eastAsia="宋体"/>
          <w:b w:val="0"/>
          <w:color w:val="auto"/>
          <w:sz w:val="22"/>
          <w:szCs w:val="22"/>
        </w:rPr>
        <w:t>；</w:t>
      </w:r>
    </w:p>
    <w:p w14:paraId="6CB04615">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2. </w:t>
      </w:r>
      <w:r>
        <w:rPr>
          <w:rFonts w:hint="eastAsia" w:ascii="宋体" w:eastAsia="宋体"/>
          <w:b w:val="0"/>
          <w:color w:val="auto"/>
          <w:sz w:val="22"/>
          <w:szCs w:val="22"/>
          <w:u w:val="single"/>
        </w:rPr>
        <w:t>（标的名称）</w:t>
      </w:r>
      <w:r>
        <w:rPr>
          <w:rFonts w:hint="eastAsia" w:ascii="宋体" w:eastAsia="宋体"/>
          <w:b w:val="0"/>
          <w:color w:val="auto"/>
          <w:sz w:val="22"/>
          <w:szCs w:val="22"/>
        </w:rPr>
        <w:t xml:space="preserve"> ，属于 </w:t>
      </w:r>
      <w:r>
        <w:rPr>
          <w:rFonts w:hint="eastAsia" w:ascii="宋体" w:eastAsia="宋体"/>
          <w:b w:val="0"/>
          <w:color w:val="auto"/>
          <w:sz w:val="22"/>
          <w:szCs w:val="22"/>
          <w:u w:val="single"/>
        </w:rPr>
        <w:t xml:space="preserve">其他未列明行业 </w:t>
      </w:r>
      <w:r>
        <w:rPr>
          <w:rFonts w:hint="eastAsia" w:ascii="宋体" w:eastAsia="宋体"/>
          <w:b w:val="0"/>
          <w:color w:val="auto"/>
          <w:sz w:val="22"/>
          <w:szCs w:val="22"/>
        </w:rPr>
        <w:t>；承建（承接）企业为</w:t>
      </w:r>
      <w:r>
        <w:rPr>
          <w:rFonts w:hint="eastAsia" w:ascii="宋体" w:eastAsia="宋体"/>
          <w:b w:val="0"/>
          <w:color w:val="auto"/>
          <w:sz w:val="22"/>
          <w:szCs w:val="22"/>
          <w:u w:val="single"/>
        </w:rPr>
        <w:t xml:space="preserve"> （企业名称）</w:t>
      </w:r>
      <w:r>
        <w:rPr>
          <w:rFonts w:hint="eastAsia" w:ascii="宋体" w:eastAsia="宋体"/>
          <w:b w:val="0"/>
          <w:color w:val="auto"/>
          <w:sz w:val="22"/>
          <w:szCs w:val="22"/>
        </w:rPr>
        <w:t xml:space="preserve"> ，从业人员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万元，属于 </w:t>
      </w:r>
      <w:r>
        <w:rPr>
          <w:rFonts w:hint="eastAsia" w:ascii="宋体" w:eastAsia="宋体"/>
          <w:b w:val="0"/>
          <w:color w:val="auto"/>
          <w:sz w:val="22"/>
          <w:szCs w:val="22"/>
          <w:u w:val="single"/>
        </w:rPr>
        <w:t>（中型企业、小型企业、微型企业）</w:t>
      </w:r>
      <w:r>
        <w:rPr>
          <w:rFonts w:hint="eastAsia" w:ascii="宋体" w:eastAsia="宋体"/>
          <w:b w:val="0"/>
          <w:color w:val="auto"/>
          <w:sz w:val="22"/>
          <w:szCs w:val="22"/>
        </w:rPr>
        <w:t xml:space="preserve"> ；</w:t>
      </w:r>
    </w:p>
    <w:p w14:paraId="0D45AD55">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w:t>
      </w:r>
    </w:p>
    <w:p w14:paraId="3C06405F">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以上企业，不属于大企业的分支机构，不存在控股股东为大企业的情形，也不存在与大企业的负责人为同一人的情形。</w:t>
      </w:r>
    </w:p>
    <w:p w14:paraId="20D67CF5">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本企业对上述声明内容的真实性负责。如有虚假，将依法承担相应责任。</w:t>
      </w:r>
    </w:p>
    <w:p w14:paraId="091F54B7">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企业名称（盖章）：</w:t>
      </w:r>
    </w:p>
    <w:p w14:paraId="6E17877B">
      <w:pPr>
        <w:widowControl/>
        <w:spacing w:before="100" w:beforeAutospacing="1" w:after="100" w:afterAutospacing="1" w:line="440" w:lineRule="atLeast"/>
        <w:ind w:firstLine="440" w:firstLineChars="200"/>
        <w:jc w:val="left"/>
        <w:rPr>
          <w:rFonts w:ascii="宋体" w:eastAsia="宋体"/>
          <w:b w:val="0"/>
          <w:bCs w:val="0"/>
          <w:color w:val="auto"/>
          <w:sz w:val="22"/>
          <w:szCs w:val="22"/>
        </w:rPr>
      </w:pPr>
      <w:r>
        <w:rPr>
          <w:rFonts w:hint="eastAsia" w:ascii="宋体" w:eastAsia="宋体"/>
          <w:b w:val="0"/>
          <w:color w:val="auto"/>
          <w:sz w:val="22"/>
          <w:szCs w:val="22"/>
        </w:rPr>
        <w:t>日 期：            　　　　　</w:t>
      </w:r>
    </w:p>
    <w:p w14:paraId="2A2425C6">
      <w:pPr>
        <w:spacing w:line="440" w:lineRule="atLeast"/>
        <w:rPr>
          <w:rFonts w:ascii="宋体" w:eastAsia="宋体"/>
          <w:b w:val="0"/>
          <w:bCs w:val="0"/>
          <w:color w:val="auto"/>
          <w:sz w:val="22"/>
          <w:szCs w:val="22"/>
        </w:rPr>
      </w:pPr>
    </w:p>
    <w:p w14:paraId="0DECED31">
      <w:pPr>
        <w:widowControl/>
        <w:spacing w:before="100" w:beforeAutospacing="1" w:after="100" w:afterAutospacing="1" w:line="440" w:lineRule="atLeast"/>
        <w:jc w:val="left"/>
        <w:rPr>
          <w:rFonts w:ascii="宋体" w:eastAsia="宋体"/>
          <w:b w:val="0"/>
          <w:bCs w:val="0"/>
          <w:color w:val="auto"/>
          <w:sz w:val="22"/>
          <w:szCs w:val="22"/>
        </w:rPr>
      </w:pPr>
      <w:r>
        <w:rPr>
          <w:rFonts w:hint="eastAsia" w:ascii="宋体" w:eastAsia="宋体"/>
          <w:b w:val="0"/>
          <w:color w:val="auto"/>
          <w:sz w:val="22"/>
          <w:szCs w:val="22"/>
        </w:rPr>
        <w:t>注：1 从业人员、营业收入、资产总额填报上一年度数据，无上一年度数据的新成立企业可不填报。</w:t>
      </w:r>
    </w:p>
    <w:p w14:paraId="342A1C08">
      <w:pPr>
        <w:widowControl/>
        <w:jc w:val="left"/>
        <w:rPr>
          <w:rFonts w:ascii="宋体" w:eastAsia="宋体"/>
          <w:b w:val="0"/>
          <w:color w:val="auto"/>
          <w:sz w:val="24"/>
          <w:szCs w:val="24"/>
        </w:rPr>
      </w:pPr>
      <w:r>
        <w:rPr>
          <w:rFonts w:hint="eastAsia" w:ascii="宋体" w:eastAsia="宋体"/>
          <w:b w:val="0"/>
          <w:color w:val="auto"/>
          <w:sz w:val="24"/>
          <w:szCs w:val="24"/>
        </w:rPr>
        <w:br w:type="page"/>
      </w:r>
    </w:p>
    <w:p w14:paraId="59F2FF5D">
      <w:pPr>
        <w:spacing w:line="440" w:lineRule="atLeast"/>
        <w:rPr>
          <w:rFonts w:ascii="宋体" w:eastAsia="宋体"/>
          <w:b w:val="0"/>
          <w:color w:val="auto"/>
          <w:sz w:val="24"/>
          <w:szCs w:val="24"/>
        </w:rPr>
      </w:pPr>
      <w:r>
        <w:rPr>
          <w:rFonts w:hint="eastAsia" w:ascii="宋体" w:eastAsia="宋体"/>
          <w:b w:val="0"/>
          <w:color w:val="auto"/>
          <w:sz w:val="24"/>
          <w:szCs w:val="24"/>
        </w:rPr>
        <w:t>附件2</w:t>
      </w:r>
    </w:p>
    <w:p w14:paraId="362D6167">
      <w:pPr>
        <w:pStyle w:val="6"/>
        <w:rPr>
          <w:rFonts w:ascii="宋体" w:hAnsi="宋体" w:cs="宋体"/>
          <w:color w:val="auto"/>
        </w:rPr>
      </w:pPr>
      <w:bookmarkStart w:id="69" w:name="_Toc27047"/>
      <w:bookmarkStart w:id="70" w:name="_Toc518153320"/>
      <w:bookmarkStart w:id="71" w:name="_Toc61276421"/>
      <w:r>
        <w:rPr>
          <w:rFonts w:hint="eastAsia" w:ascii="宋体" w:hAnsi="宋体" w:cs="宋体"/>
          <w:color w:val="auto"/>
        </w:rPr>
        <w:t>残疾人福利性单位声明函</w:t>
      </w:r>
      <w:bookmarkEnd w:id="69"/>
      <w:bookmarkEnd w:id="70"/>
      <w:bookmarkEnd w:id="71"/>
    </w:p>
    <w:p w14:paraId="3C331821">
      <w:pPr>
        <w:spacing w:line="500" w:lineRule="exact"/>
        <w:ind w:firstLine="440" w:firstLineChars="200"/>
        <w:rPr>
          <w:rFonts w:ascii="宋体" w:eastAsia="宋体"/>
          <w:color w:val="auto"/>
          <w:spacing w:val="6"/>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14:paraId="5F788F08">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14:paraId="3A0FCDBC">
      <w:pPr>
        <w:spacing w:line="500" w:lineRule="exact"/>
        <w:ind w:firstLine="466" w:firstLineChars="200"/>
        <w:rPr>
          <w:rFonts w:ascii="宋体" w:eastAsia="宋体"/>
          <w:color w:val="auto"/>
          <w:spacing w:val="6"/>
          <w:sz w:val="22"/>
          <w:szCs w:val="22"/>
        </w:rPr>
      </w:pPr>
    </w:p>
    <w:p w14:paraId="146B5FA7">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单位名称（盖章）：</w:t>
      </w:r>
    </w:p>
    <w:p w14:paraId="5129B480">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日  期：</w:t>
      </w:r>
    </w:p>
    <w:p w14:paraId="563BD5F2">
      <w:pPr>
        <w:spacing w:line="500" w:lineRule="exact"/>
        <w:rPr>
          <w:rFonts w:ascii="宋体" w:eastAsia="宋体"/>
          <w:b w:val="0"/>
          <w:color w:val="auto"/>
          <w:sz w:val="22"/>
          <w:szCs w:val="22"/>
        </w:rPr>
      </w:pPr>
      <w:r>
        <w:rPr>
          <w:rFonts w:hint="eastAsia" w:ascii="宋体" w:eastAsia="宋体"/>
          <w:b w:val="0"/>
          <w:color w:val="auto"/>
          <w:sz w:val="22"/>
          <w:szCs w:val="22"/>
        </w:rPr>
        <w:t>备注说明：</w:t>
      </w:r>
    </w:p>
    <w:p w14:paraId="3D47DFF1">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2A8174D9">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2、供应商提供的《残疾人福利性单位声明函》与事实不符的，依照《政府采购法》第七十七条第一款的规定追究法律责任。</w:t>
      </w:r>
    </w:p>
    <w:p w14:paraId="18C1EB62">
      <w:pPr>
        <w:pStyle w:val="19"/>
        <w:rPr>
          <w:rFonts w:ascii="宋体" w:hAnsi="宋体" w:eastAsia="宋体" w:cs="宋体"/>
        </w:rPr>
      </w:pPr>
    </w:p>
    <w:p w14:paraId="6D33409F">
      <w:pPr>
        <w:pStyle w:val="6"/>
        <w:rPr>
          <w:rFonts w:ascii="宋体" w:hAnsi="宋体" w:cs="宋体"/>
          <w:color w:val="auto"/>
        </w:rPr>
      </w:pPr>
    </w:p>
    <w:p w14:paraId="06210B8B">
      <w:pPr>
        <w:rPr>
          <w:rFonts w:ascii="宋体" w:eastAsia="宋体"/>
          <w:color w:val="auto"/>
        </w:rPr>
      </w:pPr>
      <w:r>
        <w:rPr>
          <w:rFonts w:hint="eastAsia" w:ascii="宋体" w:eastAsia="宋体"/>
          <w:color w:val="auto"/>
        </w:rPr>
        <w:br w:type="page"/>
      </w:r>
    </w:p>
    <w:p w14:paraId="066045DC">
      <w:pPr>
        <w:pStyle w:val="6"/>
        <w:numPr>
          <w:ilvl w:val="0"/>
          <w:numId w:val="3"/>
        </w:numPr>
        <w:rPr>
          <w:rFonts w:ascii="宋体" w:hAnsi="宋体" w:cs="宋体"/>
          <w:color w:val="auto"/>
        </w:rPr>
      </w:pPr>
      <w:bookmarkStart w:id="72" w:name="_Toc31621"/>
      <w:r>
        <w:rPr>
          <w:rFonts w:hint="eastAsia" w:ascii="宋体" w:hAnsi="宋体" w:cs="宋体"/>
          <w:color w:val="auto"/>
        </w:rPr>
        <w:t>合同格式（仅供参考）</w:t>
      </w:r>
      <w:bookmarkEnd w:id="72"/>
    </w:p>
    <w:p w14:paraId="2352D046">
      <w:pPr>
        <w:pStyle w:val="126"/>
        <w:snapToGrid w:val="0"/>
        <w:spacing w:line="360" w:lineRule="auto"/>
        <w:ind w:firstLine="440"/>
        <w:jc w:val="center"/>
        <w:rPr>
          <w:rFonts w:cs="仿宋" w:asciiTheme="majorEastAsia" w:hAnsiTheme="majorEastAsia" w:eastAsiaTheme="majorEastAsia"/>
          <w:sz w:val="22"/>
        </w:rPr>
      </w:pPr>
    </w:p>
    <w:p w14:paraId="4B08EDB2">
      <w:pPr>
        <w:pStyle w:val="126"/>
        <w:snapToGrid w:val="0"/>
        <w:spacing w:line="360" w:lineRule="auto"/>
        <w:ind w:firstLine="440"/>
        <w:jc w:val="center"/>
        <w:rPr>
          <w:rFonts w:cs="仿宋" w:asciiTheme="majorEastAsia" w:hAnsiTheme="majorEastAsia" w:eastAsiaTheme="majorEastAsia"/>
          <w:sz w:val="22"/>
        </w:rPr>
      </w:pPr>
    </w:p>
    <w:p w14:paraId="61C2C8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永嘉县文保单位安全隐患巡查</w:t>
      </w:r>
    </w:p>
    <w:p w14:paraId="3FE46E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技术服务合同</w:t>
      </w:r>
    </w:p>
    <w:p w14:paraId="51C659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640164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5D3DD0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 目 名 称：</w:t>
      </w:r>
      <w:r>
        <w:rPr>
          <w:rFonts w:hint="eastAsia" w:ascii="宋体" w:hAnsi="宋体" w:eastAsia="宋体" w:cs="宋体"/>
          <w:b w:val="0"/>
          <w:bCs w:val="0"/>
          <w:sz w:val="32"/>
          <w:szCs w:val="32"/>
          <w:u w:val="single"/>
        </w:rPr>
        <w:t xml:space="preserve">      永嘉县文保单位安全隐患巡查                               </w:t>
      </w:r>
    </w:p>
    <w:p w14:paraId="2815FE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34098A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4DE5DB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委托方（甲方）：</w:t>
      </w:r>
      <w:r>
        <w:rPr>
          <w:rFonts w:hint="eastAsia" w:ascii="宋体" w:hAnsi="宋体" w:eastAsia="宋体" w:cs="宋体"/>
          <w:b w:val="0"/>
          <w:bCs w:val="0"/>
          <w:sz w:val="32"/>
          <w:szCs w:val="32"/>
          <w:u w:val="single"/>
        </w:rPr>
        <w:t xml:space="preserve">    永嘉县文化和广电旅游体育局                              </w:t>
      </w:r>
    </w:p>
    <w:p w14:paraId="3FE55C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p>
    <w:p w14:paraId="6C449E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262674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受托方（乙方）：</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2EEE51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715852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1352CF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签 订 时 间：</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2024</w:t>
      </w:r>
      <w:r>
        <w:rPr>
          <w:rFonts w:hint="eastAsia" w:ascii="宋体" w:hAnsi="宋体" w:eastAsia="宋体" w:cs="宋体"/>
          <w:b w:val="0"/>
          <w:bCs w:val="0"/>
          <w:sz w:val="32"/>
          <w:szCs w:val="32"/>
          <w:u w:val="single"/>
        </w:rPr>
        <w:t>年</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月</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日                                     </w:t>
      </w:r>
    </w:p>
    <w:p w14:paraId="68921E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6932AB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签 订 </w:t>
      </w:r>
      <w:r>
        <w:rPr>
          <w:rFonts w:hint="eastAsia" w:ascii="宋体" w:hAnsi="宋体" w:eastAsia="宋体" w:cs="宋体"/>
          <w:b w:val="0"/>
          <w:bCs w:val="0"/>
          <w:sz w:val="32"/>
          <w:szCs w:val="32"/>
          <w:lang w:val="en-US" w:eastAsia="zh-CN"/>
        </w:rPr>
        <w:t>地 点</w:t>
      </w:r>
      <w:r>
        <w:rPr>
          <w:rFonts w:hint="eastAsia" w:ascii="宋体" w:hAnsi="宋体" w:eastAsia="宋体" w:cs="宋体"/>
          <w:b w:val="0"/>
          <w:bCs w:val="0"/>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浙江省温州市永嘉县</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5DBD0A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lang w:val="en-US" w:eastAsia="zh-CN"/>
        </w:rPr>
      </w:pPr>
    </w:p>
    <w:p w14:paraId="5902D3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有 效 期 限</w:t>
      </w:r>
      <w:r>
        <w:rPr>
          <w:rFonts w:hint="eastAsia" w:ascii="宋体" w:hAnsi="宋体" w:eastAsia="宋体" w:cs="宋体"/>
          <w:b w:val="0"/>
          <w:bCs w:val="0"/>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2024</w:t>
      </w:r>
      <w:r>
        <w:rPr>
          <w:rFonts w:hint="eastAsia" w:ascii="宋体" w:hAnsi="宋体" w:eastAsia="宋体" w:cs="宋体"/>
          <w:b w:val="0"/>
          <w:bCs w:val="0"/>
          <w:sz w:val="32"/>
          <w:szCs w:val="32"/>
          <w:u w:val="single"/>
        </w:rPr>
        <w:t>年</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月</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日</w:t>
      </w:r>
      <w:r>
        <w:rPr>
          <w:rFonts w:hint="eastAsia" w:ascii="宋体" w:hAnsi="宋体" w:eastAsia="宋体" w:cs="宋体"/>
          <w:b w:val="0"/>
          <w:bCs w:val="0"/>
          <w:sz w:val="32"/>
          <w:szCs w:val="32"/>
          <w:u w:val="single"/>
          <w:lang w:val="en-US" w:eastAsia="zh-CN"/>
        </w:rPr>
        <w:t>至2025</w:t>
      </w:r>
      <w:r>
        <w:rPr>
          <w:rFonts w:hint="eastAsia" w:ascii="宋体" w:hAnsi="宋体" w:eastAsia="宋体" w:cs="宋体"/>
          <w:b w:val="0"/>
          <w:bCs w:val="0"/>
          <w:sz w:val="32"/>
          <w:szCs w:val="32"/>
          <w:u w:val="single"/>
        </w:rPr>
        <w:t>年</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月</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日                  </w:t>
      </w:r>
    </w:p>
    <w:p w14:paraId="7F279C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1BE2AC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中华人民共和国科学技术部印制</w:t>
      </w:r>
    </w:p>
    <w:p w14:paraId="42BDBD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填 写 说 明</w:t>
      </w:r>
    </w:p>
    <w:p w14:paraId="7A02B3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5F1FA1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一、本合同为中华人民共和国科学技术部印制的技术服务合同示范文本，各技术合同登记机构可推介技术合同当事人参照使用。</w:t>
      </w:r>
    </w:p>
    <w:p w14:paraId="28C871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二、本合同书适用于一方当事人（委托方）以技术知识为另一方</w:t>
      </w:r>
    </w:p>
    <w:p w14:paraId="56B3652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（委托方）解决特定技术问题所订立的合同。</w:t>
      </w:r>
    </w:p>
    <w:p w14:paraId="711CC0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三、签约一方为多个当事人的，可按各自在合同关系中的作用等，在“委托方”、“受托方”项下（增页）分别排列为共同委托人或共同受托人。</w:t>
      </w:r>
    </w:p>
    <w:p w14:paraId="06224497">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本合同书未尽事项，可由当事人附页另行约定，并作为本合</w:t>
      </w:r>
    </w:p>
    <w:p w14:paraId="6CC9EC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同的组成部分。</w:t>
      </w:r>
    </w:p>
    <w:p w14:paraId="6D02542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当事人使用本合同书时约定无需填写的条款，应在该条款处</w:t>
      </w:r>
    </w:p>
    <w:p w14:paraId="0B499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注明“无”等字样。</w:t>
      </w:r>
    </w:p>
    <w:p w14:paraId="1D92D5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79C87C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p>
    <w:p w14:paraId="6CC3E9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676FBD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24958A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5244F1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716F02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2EEE5A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5807C8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p w14:paraId="19A01D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永嘉县文保单位安全隐患巡查技术服务合同</w:t>
      </w:r>
    </w:p>
    <w:p w14:paraId="13CB84F6">
      <w:pPr>
        <w:keepNext w:val="0"/>
        <w:keepLines w:val="0"/>
        <w:pageBreakBefore w:val="0"/>
        <w:widowControl w:val="0"/>
        <w:kinsoku/>
        <w:wordWrap/>
        <w:overflowPunct/>
        <w:topLinePunct w:val="0"/>
        <w:autoSpaceDE/>
        <w:autoSpaceDN/>
        <w:bidi w:val="0"/>
        <w:adjustRightInd/>
        <w:snapToGrid/>
        <w:spacing w:line="560" w:lineRule="exact"/>
        <w:ind w:firstLine="435"/>
        <w:jc w:val="center"/>
        <w:textAlignment w:val="auto"/>
        <w:rPr>
          <w:rFonts w:hint="eastAsia" w:ascii="宋体" w:hAnsi="宋体" w:eastAsia="宋体" w:cs="宋体"/>
          <w:b w:val="0"/>
          <w:bCs w:val="0"/>
          <w:sz w:val="32"/>
          <w:szCs w:val="32"/>
        </w:rPr>
      </w:pPr>
    </w:p>
    <w:p w14:paraId="580BE552">
      <w:pPr>
        <w:keepNext w:val="0"/>
        <w:keepLines w:val="0"/>
        <w:pageBreakBefore w:val="0"/>
        <w:widowControl w:val="0"/>
        <w:kinsoku/>
        <w:wordWrap/>
        <w:overflowPunct/>
        <w:topLinePunct w:val="0"/>
        <w:autoSpaceDE/>
        <w:autoSpaceDN/>
        <w:bidi w:val="0"/>
        <w:adjustRightInd/>
        <w:snapToGrid/>
        <w:spacing w:line="560" w:lineRule="exact"/>
        <w:ind w:firstLine="435"/>
        <w:jc w:val="center"/>
        <w:textAlignment w:val="auto"/>
        <w:rPr>
          <w:rFonts w:hint="eastAsia" w:ascii="宋体" w:hAnsi="宋体" w:eastAsia="宋体" w:cs="宋体"/>
          <w:b w:val="0"/>
          <w:bCs w:val="0"/>
          <w:sz w:val="32"/>
          <w:szCs w:val="32"/>
        </w:rPr>
      </w:pPr>
    </w:p>
    <w:p w14:paraId="198D43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委托方（甲方）：</w:t>
      </w:r>
      <w:r>
        <w:rPr>
          <w:rFonts w:hint="eastAsia" w:ascii="宋体" w:hAnsi="宋体" w:eastAsia="宋体" w:cs="宋体"/>
          <w:b w:val="0"/>
          <w:bCs w:val="0"/>
          <w:sz w:val="32"/>
          <w:szCs w:val="32"/>
          <w:u w:val="single"/>
        </w:rPr>
        <w:t xml:space="preserve">   永嘉县文化和广电旅游体育局                       </w:t>
      </w:r>
    </w:p>
    <w:p w14:paraId="3B8EA9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项目负责（联系）人：</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6C1DD7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通讯地址：</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永嘉县北城街道县前路94号</w:t>
      </w:r>
      <w:r>
        <w:rPr>
          <w:rFonts w:hint="eastAsia" w:ascii="宋体" w:hAnsi="宋体" w:eastAsia="宋体" w:cs="宋体"/>
          <w:b w:val="0"/>
          <w:bCs w:val="0"/>
          <w:sz w:val="32"/>
          <w:szCs w:val="32"/>
          <w:u w:val="single"/>
        </w:rPr>
        <w:t xml:space="preserve">                                                       </w:t>
      </w:r>
    </w:p>
    <w:p w14:paraId="3EEA5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电    话：</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47D73C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受托方（乙方）：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4D86CE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项目负责（联系）人：</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406F3D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通讯地址：</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3A369E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电    话：</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p>
    <w:p w14:paraId="04303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u w:val="single"/>
          <w:lang w:val="en-US" w:eastAsia="zh-CN"/>
        </w:rPr>
      </w:pPr>
      <w:r>
        <w:rPr>
          <w:rFonts w:hint="eastAsia" w:ascii="宋体" w:hAnsi="宋体" w:eastAsia="宋体" w:cs="宋体"/>
          <w:b w:val="0"/>
          <w:bCs w:val="0"/>
          <w:sz w:val="32"/>
          <w:szCs w:val="32"/>
        </w:rPr>
        <w:t>本合同甲方委托乙方就</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永嘉县文保单位安全隐患巡查 </w:t>
      </w:r>
      <w:r>
        <w:rPr>
          <w:rFonts w:hint="eastAsia" w:ascii="宋体" w:hAnsi="宋体" w:eastAsia="宋体" w:cs="宋体"/>
          <w:b w:val="0"/>
          <w:bCs w:val="0"/>
          <w:sz w:val="32"/>
          <w:szCs w:val="32"/>
          <w:u w:val="single"/>
          <w:lang w:val="en-US" w:eastAsia="zh-CN"/>
        </w:rPr>
        <w:t xml:space="preserve"> </w:t>
      </w:r>
    </w:p>
    <w:p w14:paraId="600851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项目进行专项技术服务，并支付相应的技术服务报酬。双方经过平等协商，在真实、充分地表达各自意愿的基础上，根据《中华人民共和国合同法》的规定，达成如下协议，并由双方共同恪守。</w:t>
      </w:r>
    </w:p>
    <w:p w14:paraId="676800E8">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服务期限：</w:t>
      </w:r>
      <w:r>
        <w:rPr>
          <w:rFonts w:hint="eastAsia" w:ascii="宋体" w:hAnsi="宋体" w:eastAsia="宋体" w:cs="宋体"/>
          <w:b w:val="0"/>
          <w:bCs w:val="0"/>
          <w:sz w:val="32"/>
          <w:szCs w:val="32"/>
          <w:u w:val="single"/>
        </w:rPr>
        <w:t xml:space="preserve"> 一年 （202</w:t>
      </w:r>
      <w:r>
        <w:rPr>
          <w:rFonts w:hint="eastAsia" w:ascii="宋体" w:hAnsi="宋体" w:eastAsia="宋体" w:cs="宋体"/>
          <w:b w:val="0"/>
          <w:bCs w:val="0"/>
          <w:sz w:val="32"/>
          <w:szCs w:val="32"/>
          <w:u w:val="single"/>
          <w:lang w:val="en-US" w:eastAsia="zh-CN"/>
        </w:rPr>
        <w:t>4</w:t>
      </w:r>
      <w:r>
        <w:rPr>
          <w:rFonts w:hint="eastAsia" w:ascii="宋体" w:hAnsi="宋体" w:eastAsia="宋体" w:cs="宋体"/>
          <w:b w:val="0"/>
          <w:bCs w:val="0"/>
          <w:sz w:val="32"/>
          <w:szCs w:val="32"/>
          <w:u w:val="single"/>
        </w:rPr>
        <w:t>年</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月</w:t>
      </w:r>
      <w:r>
        <w:rPr>
          <w:rFonts w:hint="eastAsia" w:ascii="宋体" w:hAnsi="宋体" w:eastAsia="宋体" w:cs="宋体"/>
          <w:b w:val="0"/>
          <w:bCs w:val="0"/>
          <w:sz w:val="32"/>
          <w:szCs w:val="32"/>
          <w:u w:val="single"/>
          <w:lang w:val="en-US" w:eastAsia="zh-CN"/>
        </w:rPr>
        <w:t xml:space="preserve">  日</w:t>
      </w:r>
      <w:r>
        <w:rPr>
          <w:rFonts w:hint="eastAsia" w:ascii="宋体" w:hAnsi="宋体" w:eastAsia="宋体" w:cs="宋体"/>
          <w:b w:val="0"/>
          <w:bCs w:val="0"/>
          <w:sz w:val="32"/>
          <w:szCs w:val="32"/>
          <w:u w:val="single"/>
        </w:rPr>
        <w:t>至202</w:t>
      </w:r>
      <w:r>
        <w:rPr>
          <w:rFonts w:hint="eastAsia" w:ascii="宋体" w:hAnsi="宋体" w:eastAsia="宋体" w:cs="宋体"/>
          <w:b w:val="0"/>
          <w:bCs w:val="0"/>
          <w:sz w:val="32"/>
          <w:szCs w:val="32"/>
          <w:u w:val="single"/>
          <w:lang w:val="en-US" w:eastAsia="zh-CN"/>
        </w:rPr>
        <w:t>5</w:t>
      </w:r>
      <w:r>
        <w:rPr>
          <w:rFonts w:hint="eastAsia" w:ascii="宋体" w:hAnsi="宋体" w:eastAsia="宋体" w:cs="宋体"/>
          <w:b w:val="0"/>
          <w:bCs w:val="0"/>
          <w:sz w:val="32"/>
          <w:szCs w:val="32"/>
          <w:u w:val="single"/>
        </w:rPr>
        <w:t>年</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月</w:t>
      </w:r>
      <w:r>
        <w:rPr>
          <w:rFonts w:hint="eastAsia" w:ascii="宋体" w:hAnsi="宋体" w:eastAsia="宋体" w:cs="宋体"/>
          <w:b w:val="0"/>
          <w:bCs w:val="0"/>
          <w:sz w:val="32"/>
          <w:szCs w:val="32"/>
          <w:u w:val="single"/>
          <w:lang w:val="en-US" w:eastAsia="zh-CN"/>
        </w:rPr>
        <w:t xml:space="preserve">  日</w:t>
      </w:r>
      <w:r>
        <w:rPr>
          <w:rFonts w:hint="eastAsia" w:ascii="宋体" w:hAnsi="宋体" w:eastAsia="宋体" w:cs="宋体"/>
          <w:b w:val="0"/>
          <w:bCs w:val="0"/>
          <w:sz w:val="32"/>
          <w:szCs w:val="32"/>
          <w:u w:val="single"/>
        </w:rPr>
        <w:t xml:space="preserve">）       </w:t>
      </w:r>
    </w:p>
    <w:p w14:paraId="11F5436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第一条  </w:t>
      </w:r>
      <w:r>
        <w:rPr>
          <w:rFonts w:hint="eastAsia" w:ascii="宋体" w:hAnsi="宋体" w:eastAsia="宋体" w:cs="宋体"/>
          <w:b w:val="0"/>
          <w:bCs w:val="0"/>
          <w:sz w:val="32"/>
          <w:szCs w:val="32"/>
        </w:rPr>
        <w:t>甲方委托乙方进行技术服务的内容如下：</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
        <w:gridCol w:w="8683"/>
      </w:tblGrid>
      <w:tr w14:paraId="5D74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 w:type="pct"/>
            <w:noWrap w:val="0"/>
            <w:vAlign w:val="top"/>
          </w:tcPr>
          <w:p w14:paraId="148DE2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p>
        </w:tc>
        <w:tc>
          <w:tcPr>
            <w:tcW w:w="4821" w:type="pct"/>
            <w:noWrap w:val="0"/>
            <w:vAlign w:val="top"/>
          </w:tcPr>
          <w:p w14:paraId="3EF4AB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对全县县级及以上文保单位进行安全隐患大排查，包括文保场所安全责任落实情况、安全管理情况、消防设施运行维护情况、文物本体及周边安全状况以及违法情况，掌握各单位基础安全数据，形成一场所一档案（排查报告），将全县所有文保单位排查报告进行汇总分析，形成全县文保单位总体安全形势分析报告</w:t>
            </w:r>
            <w:r>
              <w:rPr>
                <w:rFonts w:hint="eastAsia" w:ascii="宋体" w:hAnsi="宋体" w:eastAsia="宋体" w:cs="宋体"/>
                <w:b w:val="0"/>
                <w:bCs w:val="0"/>
                <w:sz w:val="32"/>
                <w:szCs w:val="32"/>
                <w:lang w:eastAsia="zh-CN"/>
              </w:rPr>
              <w:t>。</w:t>
            </w:r>
          </w:p>
        </w:tc>
      </w:tr>
      <w:tr w14:paraId="447F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 w:type="pct"/>
            <w:noWrap w:val="0"/>
            <w:vAlign w:val="top"/>
          </w:tcPr>
          <w:p w14:paraId="424FA8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w:t>
            </w:r>
          </w:p>
        </w:tc>
        <w:tc>
          <w:tcPr>
            <w:tcW w:w="4821" w:type="pct"/>
            <w:noWrap w:val="0"/>
            <w:vAlign w:val="top"/>
          </w:tcPr>
          <w:p w14:paraId="637497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根据每个单位隐患排查报告，由甲乙双方共同对每个单位进行安全风险等级评定（低风险、中风险和高风险三个等级）</w:t>
            </w:r>
            <w:r>
              <w:rPr>
                <w:rFonts w:hint="eastAsia" w:ascii="宋体" w:hAnsi="宋体" w:eastAsia="宋体" w:cs="宋体"/>
                <w:b w:val="0"/>
                <w:bCs w:val="0"/>
                <w:sz w:val="32"/>
                <w:szCs w:val="32"/>
              </w:rPr>
              <w:t>。</w:t>
            </w:r>
          </w:p>
        </w:tc>
      </w:tr>
      <w:tr w14:paraId="739F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 w:type="pct"/>
            <w:noWrap w:val="0"/>
            <w:vAlign w:val="top"/>
          </w:tcPr>
          <w:p w14:paraId="252911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w:t>
            </w:r>
          </w:p>
        </w:tc>
        <w:tc>
          <w:tcPr>
            <w:tcW w:w="4821" w:type="pct"/>
            <w:noWrap w:val="0"/>
            <w:vAlign w:val="top"/>
          </w:tcPr>
          <w:p w14:paraId="5BF86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根据风险等级评定结果，乙方组织人员对高风险等级建筑及周边建筑每个月进行一次安全巡查。</w:t>
            </w:r>
          </w:p>
        </w:tc>
      </w:tr>
      <w:tr w14:paraId="4409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 w:type="pct"/>
            <w:noWrap w:val="0"/>
            <w:vAlign w:val="top"/>
          </w:tcPr>
          <w:p w14:paraId="26C4C0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4</w:t>
            </w:r>
          </w:p>
        </w:tc>
        <w:tc>
          <w:tcPr>
            <w:tcW w:w="4821" w:type="pct"/>
            <w:noWrap w:val="0"/>
            <w:vAlign w:val="top"/>
          </w:tcPr>
          <w:p w14:paraId="6DB3C3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根据风险等级评定结果，乙方组织人员对中风险等级建筑及周边建筑每两个月进行一次安全巡查。</w:t>
            </w:r>
          </w:p>
        </w:tc>
      </w:tr>
      <w:tr w14:paraId="4A23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 w:type="pct"/>
            <w:noWrap w:val="0"/>
            <w:vAlign w:val="top"/>
          </w:tcPr>
          <w:p w14:paraId="477AD5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5</w:t>
            </w:r>
          </w:p>
        </w:tc>
        <w:tc>
          <w:tcPr>
            <w:tcW w:w="4821" w:type="pct"/>
            <w:noWrap w:val="0"/>
            <w:vAlign w:val="top"/>
          </w:tcPr>
          <w:p w14:paraId="4D75BC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根据风险等级评定结果，乙方组织人员对低风险等级建筑及周边建筑每个季度进行一次安全巡查。</w:t>
            </w:r>
          </w:p>
        </w:tc>
      </w:tr>
      <w:tr w14:paraId="6BDE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8" w:type="pct"/>
            <w:noWrap w:val="0"/>
            <w:vAlign w:val="top"/>
          </w:tcPr>
          <w:p w14:paraId="5B743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6</w:t>
            </w:r>
          </w:p>
        </w:tc>
        <w:tc>
          <w:tcPr>
            <w:tcW w:w="4821" w:type="pct"/>
            <w:noWrap w:val="0"/>
            <w:vAlign w:val="top"/>
          </w:tcPr>
          <w:p w14:paraId="6AC4FA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乙方需在每个月15日前巡查完毕（除第一个月外），并将每次安全巡查结果报甲方审核，待甲方审核通过后，一个工作日内上传甲方指定数据平台。</w:t>
            </w:r>
          </w:p>
        </w:tc>
      </w:tr>
      <w:tr w14:paraId="1075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8" w:type="pct"/>
            <w:noWrap w:val="0"/>
            <w:vAlign w:val="top"/>
          </w:tcPr>
          <w:p w14:paraId="00D99A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w:t>
            </w:r>
          </w:p>
        </w:tc>
        <w:tc>
          <w:tcPr>
            <w:tcW w:w="4821" w:type="pct"/>
            <w:noWrap w:val="0"/>
            <w:vAlign w:val="top"/>
          </w:tcPr>
          <w:p w14:paraId="02D93B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乙方</w:t>
            </w:r>
            <w:r>
              <w:rPr>
                <w:rFonts w:hint="eastAsia" w:ascii="宋体" w:hAnsi="宋体" w:eastAsia="宋体" w:cs="宋体"/>
                <w:b w:val="0"/>
                <w:bCs w:val="0"/>
                <w:sz w:val="32"/>
                <w:szCs w:val="32"/>
              </w:rPr>
              <w:t>需派遣一名专业人员驻场服务（专科及以上学历并具有相关专业背景），接受</w:t>
            </w:r>
            <w:r>
              <w:rPr>
                <w:rFonts w:hint="eastAsia" w:ascii="宋体" w:hAnsi="宋体" w:eastAsia="宋体" w:cs="宋体"/>
                <w:b w:val="0"/>
                <w:bCs w:val="0"/>
                <w:sz w:val="32"/>
                <w:szCs w:val="32"/>
                <w:lang w:val="en-US" w:eastAsia="zh-CN"/>
              </w:rPr>
              <w:t>甲方</w:t>
            </w:r>
            <w:r>
              <w:rPr>
                <w:rFonts w:hint="eastAsia" w:ascii="宋体" w:hAnsi="宋体" w:eastAsia="宋体" w:cs="宋体"/>
                <w:b w:val="0"/>
                <w:bCs w:val="0"/>
                <w:sz w:val="32"/>
                <w:szCs w:val="32"/>
              </w:rPr>
              <w:t>日常管理，</w:t>
            </w:r>
            <w:r>
              <w:rPr>
                <w:rFonts w:hint="eastAsia" w:ascii="宋体" w:hAnsi="宋体" w:eastAsia="宋体" w:cs="宋体"/>
                <w:b w:val="0"/>
                <w:bCs w:val="0"/>
                <w:sz w:val="32"/>
                <w:szCs w:val="32"/>
                <w:lang w:val="en-US" w:eastAsia="zh-CN"/>
              </w:rPr>
              <w:t>能胜任甲方安排的工作，</w:t>
            </w:r>
            <w:r>
              <w:rPr>
                <w:rFonts w:hint="eastAsia" w:ascii="宋体" w:hAnsi="宋体" w:eastAsia="宋体" w:cs="宋体"/>
                <w:b w:val="0"/>
                <w:bCs w:val="0"/>
                <w:sz w:val="32"/>
                <w:szCs w:val="32"/>
              </w:rPr>
              <w:t>具体负责协助“永嘉文物”等数字化平台管理、永嘉县文物安全隐患检查、跟踪乡镇文物安全隐患闭环整改</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资料整理</w:t>
            </w:r>
            <w:r>
              <w:rPr>
                <w:rFonts w:hint="eastAsia" w:ascii="宋体" w:hAnsi="宋体" w:eastAsia="宋体" w:cs="宋体"/>
                <w:b w:val="0"/>
                <w:bCs w:val="0"/>
                <w:sz w:val="32"/>
                <w:szCs w:val="32"/>
              </w:rPr>
              <w:t>及</w:t>
            </w:r>
            <w:r>
              <w:rPr>
                <w:rFonts w:hint="eastAsia" w:ascii="宋体" w:hAnsi="宋体" w:eastAsia="宋体" w:cs="宋体"/>
                <w:b w:val="0"/>
                <w:bCs w:val="0"/>
                <w:sz w:val="32"/>
                <w:szCs w:val="32"/>
                <w:lang w:val="en-US" w:eastAsia="zh-CN"/>
              </w:rPr>
              <w:t>甲方</w:t>
            </w:r>
            <w:r>
              <w:rPr>
                <w:rFonts w:hint="eastAsia" w:ascii="宋体" w:hAnsi="宋体" w:eastAsia="宋体" w:cs="宋体"/>
                <w:b w:val="0"/>
                <w:bCs w:val="0"/>
                <w:sz w:val="32"/>
                <w:szCs w:val="32"/>
              </w:rPr>
              <w:t>交办的与文物安全相关工作。</w:t>
            </w:r>
          </w:p>
        </w:tc>
      </w:tr>
      <w:tr w14:paraId="234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8" w:type="pct"/>
            <w:noWrap w:val="0"/>
            <w:vAlign w:val="top"/>
          </w:tcPr>
          <w:p w14:paraId="699ED0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8</w:t>
            </w:r>
          </w:p>
        </w:tc>
        <w:tc>
          <w:tcPr>
            <w:tcW w:w="4821" w:type="pct"/>
            <w:noWrap w:val="0"/>
            <w:vAlign w:val="top"/>
          </w:tcPr>
          <w:p w14:paraId="18E4CA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利用无人机技术，乙方组织人员</w:t>
            </w:r>
            <w:r>
              <w:rPr>
                <w:rFonts w:hint="eastAsia" w:ascii="宋体" w:hAnsi="宋体" w:eastAsia="宋体" w:cs="宋体"/>
                <w:b w:val="0"/>
                <w:bCs w:val="0"/>
                <w:sz w:val="32"/>
                <w:szCs w:val="32"/>
                <w:lang w:val="en-US" w:eastAsia="zh-CN"/>
              </w:rPr>
              <w:t>每季度</w:t>
            </w:r>
            <w:r>
              <w:rPr>
                <w:rFonts w:hint="eastAsia" w:ascii="宋体" w:hAnsi="宋体" w:eastAsia="宋体" w:cs="宋体"/>
                <w:b w:val="0"/>
                <w:bCs w:val="0"/>
                <w:sz w:val="32"/>
                <w:szCs w:val="32"/>
                <w:lang w:eastAsia="zh-CN"/>
              </w:rPr>
              <w:t>对两划范围内的违章建筑进行空中巡查，巡查过程中所拍摄的照片，乙方会根据具体点位进行系统整理，并用于后续的定期比对分析，以确保监管的连续性和有效性。</w:t>
            </w:r>
          </w:p>
        </w:tc>
      </w:tr>
    </w:tbl>
    <w:p w14:paraId="0DC08E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第二条  乙方应按下列要求完成技术服务工作</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详见附件1</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w:t>
      </w:r>
    </w:p>
    <w:p w14:paraId="4BE49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1.技术服务要求：</w:t>
      </w:r>
      <w:r>
        <w:rPr>
          <w:rFonts w:hint="eastAsia" w:ascii="宋体" w:hAnsi="宋体" w:eastAsia="宋体" w:cs="宋体"/>
          <w:b w:val="0"/>
          <w:bCs w:val="0"/>
          <w:sz w:val="32"/>
          <w:szCs w:val="32"/>
          <w:u w:val="single"/>
        </w:rPr>
        <w:t>乙方需严格遵照《中华人民共和国消防法》、《浙江省消防条例》、《中华人民共和国文物保护法（2017年修正本）》、《古建筑消防管理规则》、《文物消防安全检查规程（试行）》（国家文物局文物督发〔2011〕17号）、《文物保护单位执法巡查办法》（文物督发〔2011〕21号）、《用电安全导则》（GB/T 13869-2017）等政策法规要求对甲方区域内</w:t>
      </w:r>
      <w:r>
        <w:rPr>
          <w:rFonts w:hint="eastAsia" w:ascii="宋体" w:hAnsi="宋体" w:eastAsia="宋体" w:cs="宋体"/>
          <w:b w:val="0"/>
          <w:bCs w:val="0"/>
          <w:sz w:val="32"/>
          <w:szCs w:val="32"/>
          <w:u w:val="single"/>
          <w:lang w:val="en-US" w:eastAsia="zh-CN"/>
        </w:rPr>
        <w:t>227</w:t>
      </w:r>
      <w:r>
        <w:rPr>
          <w:rFonts w:hint="eastAsia" w:ascii="宋体" w:hAnsi="宋体" w:eastAsia="宋体" w:cs="宋体"/>
          <w:b w:val="0"/>
          <w:bCs w:val="0"/>
          <w:sz w:val="32"/>
          <w:szCs w:val="32"/>
          <w:u w:val="single"/>
        </w:rPr>
        <w:t>处文保单位</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lang w:val="en-US" w:eastAsia="zh-CN"/>
        </w:rPr>
        <w:t>具体数量以甲方提供清单为准</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rPr>
        <w:t>进行安全技术服务，不得弄虚作假，并对甲方所提供文件及资料进行保密</w:t>
      </w:r>
      <w:r>
        <w:rPr>
          <w:rFonts w:hint="eastAsia" w:ascii="宋体" w:hAnsi="宋体" w:eastAsia="宋体" w:cs="宋体"/>
          <w:b w:val="0"/>
          <w:bCs w:val="0"/>
          <w:sz w:val="32"/>
          <w:szCs w:val="32"/>
          <w:u w:val="single"/>
          <w:lang w:eastAsia="zh-CN"/>
        </w:rPr>
        <w:t>；</w:t>
      </w:r>
    </w:p>
    <w:p w14:paraId="428465D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2.技术服务进度：</w:t>
      </w:r>
      <w:r>
        <w:rPr>
          <w:rFonts w:hint="eastAsia" w:ascii="宋体" w:hAnsi="宋体" w:eastAsia="宋体" w:cs="宋体"/>
          <w:b w:val="0"/>
          <w:bCs w:val="0"/>
          <w:sz w:val="32"/>
          <w:szCs w:val="32"/>
          <w:u w:val="single"/>
        </w:rPr>
        <w:t>具体进度与甲方进行协商</w:t>
      </w:r>
      <w:r>
        <w:rPr>
          <w:rFonts w:hint="eastAsia" w:ascii="宋体" w:hAnsi="宋体" w:eastAsia="宋体" w:cs="宋体"/>
          <w:b w:val="0"/>
          <w:bCs w:val="0"/>
          <w:sz w:val="32"/>
          <w:szCs w:val="32"/>
          <w:u w:val="single"/>
          <w:lang w:eastAsia="zh-CN"/>
        </w:rPr>
        <w:t>；</w:t>
      </w:r>
    </w:p>
    <w:p w14:paraId="16957A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第三条  为保证乙方有效进行技术服务工作，甲方应当向乙方提供下列工作条件和协作事项：</w:t>
      </w:r>
    </w:p>
    <w:p w14:paraId="1CE1020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u w:val="single"/>
        </w:rPr>
        <w:t>提供各文保单位基础资料（图纸设施设备资料等）；</w:t>
      </w:r>
    </w:p>
    <w:p w14:paraId="0FB6FCA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u w:val="single"/>
        </w:rPr>
        <w:t>协助对接各文保单位。</w:t>
      </w:r>
    </w:p>
    <w:p w14:paraId="4EF34D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第四条  甲方向乙方支付技术服务报酬、支付方式为：</w:t>
      </w:r>
    </w:p>
    <w:p w14:paraId="00AB0198">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1.技术服务费总额为</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元（</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元整）</w:t>
      </w:r>
      <w:r>
        <w:rPr>
          <w:rFonts w:hint="eastAsia" w:ascii="宋体" w:hAnsi="宋体" w:eastAsia="宋体" w:cs="宋体"/>
          <w:b w:val="0"/>
          <w:bCs w:val="0"/>
          <w:sz w:val="32"/>
          <w:szCs w:val="32"/>
        </w:rPr>
        <w:t>，技术服务费经费预算为：</w:t>
      </w:r>
    </w:p>
    <w:tbl>
      <w:tblPr>
        <w:tblStyle w:val="4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2484"/>
        <w:gridCol w:w="1993"/>
        <w:gridCol w:w="3617"/>
      </w:tblGrid>
      <w:tr w14:paraId="18FA9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7F84F2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序号</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6F1790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支出类别</w:t>
            </w:r>
          </w:p>
        </w:tc>
        <w:tc>
          <w:tcPr>
            <w:tcW w:w="1100" w:type="pct"/>
            <w:tcBorders>
              <w:top w:val="single" w:color="auto" w:sz="4" w:space="0"/>
              <w:left w:val="single" w:color="auto" w:sz="4" w:space="0"/>
              <w:bottom w:val="single" w:color="auto" w:sz="4" w:space="0"/>
              <w:right w:val="single" w:color="auto" w:sz="4" w:space="0"/>
            </w:tcBorders>
            <w:noWrap w:val="0"/>
            <w:vAlign w:val="center"/>
          </w:tcPr>
          <w:p w14:paraId="7B9F18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金额（万元）</w:t>
            </w:r>
          </w:p>
        </w:tc>
        <w:tc>
          <w:tcPr>
            <w:tcW w:w="1996" w:type="pct"/>
            <w:tcBorders>
              <w:top w:val="single" w:color="auto" w:sz="4" w:space="0"/>
              <w:left w:val="single" w:color="auto" w:sz="4" w:space="0"/>
              <w:bottom w:val="single" w:color="auto" w:sz="4" w:space="0"/>
              <w:right w:val="single" w:color="auto" w:sz="4" w:space="0"/>
            </w:tcBorders>
            <w:noWrap w:val="0"/>
            <w:vAlign w:val="center"/>
          </w:tcPr>
          <w:p w14:paraId="54C412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备注</w:t>
            </w:r>
          </w:p>
        </w:tc>
      </w:tr>
      <w:tr w14:paraId="204C8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295972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7F39B5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6258A7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7DCE43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lang w:val="en-US" w:eastAsia="zh-CN"/>
              </w:rPr>
            </w:pPr>
          </w:p>
        </w:tc>
      </w:tr>
      <w:tr w14:paraId="0761A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2A0B5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432E0D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169C36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5A1BFF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lang w:val="en-US" w:eastAsia="zh-CN"/>
              </w:rPr>
            </w:pPr>
          </w:p>
        </w:tc>
      </w:tr>
      <w:tr w14:paraId="3B33D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0947F1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3</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17A1F7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175003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0B6941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rPr>
            </w:pPr>
          </w:p>
        </w:tc>
      </w:tr>
      <w:tr w14:paraId="014A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370609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4</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741472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302008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653DF6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rPr>
            </w:pPr>
          </w:p>
        </w:tc>
      </w:tr>
      <w:tr w14:paraId="634A1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2743CB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5641DB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5CAC91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05EAB5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lang w:val="en-US" w:eastAsia="zh-CN"/>
              </w:rPr>
            </w:pPr>
          </w:p>
        </w:tc>
      </w:tr>
      <w:tr w14:paraId="3C52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719062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6</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719F5F1D">
            <w:pPr>
              <w:keepNext w:val="0"/>
              <w:keepLines w:val="0"/>
              <w:pageBreakBefore w:val="0"/>
              <w:widowControl w:val="0"/>
              <w:tabs>
                <w:tab w:val="left" w:pos="75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3EAE5D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21BF5D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rPr>
            </w:pPr>
          </w:p>
        </w:tc>
      </w:tr>
      <w:tr w14:paraId="48557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66060A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0A4542A9">
            <w:pPr>
              <w:keepNext w:val="0"/>
              <w:keepLines w:val="0"/>
              <w:pageBreakBefore w:val="0"/>
              <w:widowControl w:val="0"/>
              <w:tabs>
                <w:tab w:val="left" w:pos="75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100" w:type="pct"/>
            <w:tcBorders>
              <w:top w:val="single" w:color="auto" w:sz="4" w:space="0"/>
              <w:left w:val="single" w:color="auto" w:sz="4" w:space="0"/>
              <w:bottom w:val="single" w:color="auto" w:sz="4" w:space="0"/>
              <w:right w:val="single" w:color="auto" w:sz="4" w:space="0"/>
            </w:tcBorders>
            <w:noWrap w:val="0"/>
            <w:vAlign w:val="center"/>
          </w:tcPr>
          <w:p w14:paraId="4E314C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7A5663E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lang w:val="en-US" w:eastAsia="zh-CN"/>
              </w:rPr>
            </w:pPr>
          </w:p>
        </w:tc>
      </w:tr>
      <w:tr w14:paraId="4A940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2D2731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8</w:t>
            </w:r>
          </w:p>
        </w:tc>
        <w:tc>
          <w:tcPr>
            <w:tcW w:w="1371" w:type="pct"/>
            <w:tcBorders>
              <w:top w:val="single" w:color="auto" w:sz="4" w:space="0"/>
              <w:left w:val="single" w:color="auto" w:sz="4" w:space="0"/>
              <w:bottom w:val="single" w:color="auto" w:sz="4" w:space="0"/>
              <w:right w:val="single" w:color="auto" w:sz="4" w:space="0"/>
            </w:tcBorders>
            <w:noWrap w:val="0"/>
            <w:vAlign w:val="center"/>
          </w:tcPr>
          <w:p w14:paraId="0FCB5E90">
            <w:pPr>
              <w:keepNext w:val="0"/>
              <w:keepLines w:val="0"/>
              <w:pageBreakBefore w:val="0"/>
              <w:widowControl w:val="0"/>
              <w:tabs>
                <w:tab w:val="left" w:pos="75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总计</w:t>
            </w:r>
          </w:p>
        </w:tc>
        <w:tc>
          <w:tcPr>
            <w:tcW w:w="1100" w:type="pct"/>
            <w:tcBorders>
              <w:top w:val="single" w:color="auto" w:sz="4" w:space="0"/>
              <w:left w:val="single" w:color="auto" w:sz="4" w:space="0"/>
              <w:bottom w:val="single" w:color="auto" w:sz="4" w:space="0"/>
              <w:right w:val="single" w:color="auto" w:sz="4" w:space="0"/>
            </w:tcBorders>
            <w:noWrap w:val="0"/>
            <w:vAlign w:val="center"/>
          </w:tcPr>
          <w:p w14:paraId="0F4DD9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5C0950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元</w:t>
            </w:r>
            <w:r>
              <w:rPr>
                <w:rFonts w:hint="eastAsia" w:ascii="宋体" w:hAnsi="宋体" w:eastAsia="宋体" w:cs="宋体"/>
                <w:b w:val="0"/>
                <w:bCs w:val="0"/>
                <w:sz w:val="32"/>
                <w:szCs w:val="32"/>
              </w:rPr>
              <w:t>整</w:t>
            </w:r>
          </w:p>
        </w:tc>
      </w:tr>
    </w:tbl>
    <w:p w14:paraId="360A6B68">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2.支付方式：</w:t>
      </w:r>
      <w:r>
        <w:rPr>
          <w:rFonts w:hint="eastAsia" w:ascii="宋体" w:hAnsi="宋体" w:eastAsia="宋体" w:cs="宋体"/>
          <w:b w:val="0"/>
          <w:bCs w:val="0"/>
          <w:sz w:val="32"/>
          <w:szCs w:val="32"/>
          <w:u w:val="single"/>
        </w:rPr>
        <w:t>合同签订的一个月内，</w:t>
      </w:r>
      <w:r>
        <w:rPr>
          <w:rFonts w:hint="eastAsia" w:ascii="宋体" w:hAnsi="宋体" w:eastAsia="宋体" w:cs="宋体"/>
          <w:b w:val="0"/>
          <w:bCs w:val="0"/>
          <w:sz w:val="32"/>
          <w:szCs w:val="32"/>
          <w:u w:val="single"/>
          <w:lang w:val="en-US" w:eastAsia="zh-CN"/>
        </w:rPr>
        <w:t>甲方向乙方</w:t>
      </w:r>
      <w:r>
        <w:rPr>
          <w:rFonts w:hint="eastAsia" w:ascii="宋体" w:hAnsi="宋体" w:eastAsia="宋体" w:cs="宋体"/>
          <w:b w:val="0"/>
          <w:bCs w:val="0"/>
          <w:sz w:val="32"/>
          <w:szCs w:val="32"/>
          <w:u w:val="single"/>
        </w:rPr>
        <w:t>支付</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万元</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lang w:val="en-US" w:eastAsia="zh-CN"/>
        </w:rPr>
        <w:t xml:space="preserve">  元整</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rPr>
        <w:t>合同总额25%</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rPr>
        <w:t>；合同签订六个月后</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lang w:val="en-US" w:eastAsia="zh-CN"/>
        </w:rPr>
        <w:t>甲方向乙方</w:t>
      </w:r>
      <w:r>
        <w:rPr>
          <w:rFonts w:hint="eastAsia" w:ascii="宋体" w:hAnsi="宋体" w:eastAsia="宋体" w:cs="宋体"/>
          <w:b w:val="0"/>
          <w:bCs w:val="0"/>
          <w:sz w:val="32"/>
          <w:szCs w:val="32"/>
          <w:u w:val="single"/>
        </w:rPr>
        <w:t>支付</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万元</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lang w:val="en-US" w:eastAsia="zh-CN"/>
        </w:rPr>
        <w:t xml:space="preserve">  元整</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rPr>
        <w:t>合同总额25%</w:t>
      </w:r>
      <w:r>
        <w:rPr>
          <w:rFonts w:hint="eastAsia" w:ascii="宋体" w:hAnsi="宋体" w:eastAsia="宋体" w:cs="宋体"/>
          <w:b w:val="0"/>
          <w:bCs w:val="0"/>
          <w:sz w:val="32"/>
          <w:szCs w:val="32"/>
          <w:u w:val="single"/>
          <w:lang w:eastAsia="zh-CN"/>
        </w:rPr>
        <w:t>）</w:t>
      </w:r>
      <w:r>
        <w:rPr>
          <w:rFonts w:hint="eastAsia" w:ascii="宋体" w:hAnsi="宋体" w:eastAsia="宋体" w:cs="宋体"/>
          <w:b w:val="0"/>
          <w:bCs w:val="0"/>
          <w:sz w:val="32"/>
          <w:szCs w:val="32"/>
          <w:u w:val="single"/>
        </w:rPr>
        <w:t>；合同到期后，</w:t>
      </w:r>
      <w:r>
        <w:rPr>
          <w:rFonts w:hint="eastAsia" w:ascii="宋体" w:hAnsi="宋体" w:eastAsia="宋体" w:cs="宋体"/>
          <w:b w:val="0"/>
          <w:bCs w:val="0"/>
          <w:sz w:val="32"/>
          <w:szCs w:val="32"/>
          <w:u w:val="single"/>
          <w:lang w:val="en-US" w:eastAsia="zh-CN"/>
        </w:rPr>
        <w:t>甲方</w:t>
      </w:r>
      <w:r>
        <w:rPr>
          <w:rFonts w:hint="eastAsia" w:ascii="宋体" w:hAnsi="宋体" w:eastAsia="宋体" w:cs="宋体"/>
          <w:b w:val="0"/>
          <w:bCs w:val="0"/>
          <w:sz w:val="32"/>
          <w:szCs w:val="32"/>
          <w:u w:val="single"/>
        </w:rPr>
        <w:t>以最终考核得分结果</w:t>
      </w:r>
      <w:r>
        <w:rPr>
          <w:rFonts w:hint="eastAsia" w:ascii="宋体" w:hAnsi="宋体" w:eastAsia="宋体" w:cs="宋体"/>
          <w:b w:val="0"/>
          <w:bCs w:val="0"/>
          <w:sz w:val="32"/>
          <w:szCs w:val="32"/>
          <w:u w:val="single"/>
          <w:lang w:val="en-US" w:eastAsia="zh-CN"/>
        </w:rPr>
        <w:t>向乙方支付剩余服务费用</w:t>
      </w:r>
      <w:r>
        <w:rPr>
          <w:rFonts w:hint="eastAsia" w:ascii="宋体" w:hAnsi="宋体" w:eastAsia="宋体" w:cs="宋体"/>
          <w:b w:val="0"/>
          <w:bCs w:val="0"/>
          <w:sz w:val="32"/>
          <w:szCs w:val="32"/>
          <w:u w:val="single"/>
        </w:rPr>
        <w:t>。（考核细则见</w:t>
      </w:r>
      <w:r>
        <w:rPr>
          <w:rFonts w:hint="eastAsia" w:ascii="宋体" w:hAnsi="宋体" w:eastAsia="宋体" w:cs="宋体"/>
          <w:b w:val="0"/>
          <w:bCs w:val="0"/>
          <w:sz w:val="32"/>
          <w:szCs w:val="32"/>
          <w:u w:val="single"/>
          <w:lang w:val="en-US" w:eastAsia="zh-CN"/>
        </w:rPr>
        <w:t>附件2</w:t>
      </w:r>
      <w:r>
        <w:rPr>
          <w:rFonts w:hint="eastAsia" w:ascii="宋体" w:hAnsi="宋体" w:eastAsia="宋体" w:cs="宋体"/>
          <w:b w:val="0"/>
          <w:bCs w:val="0"/>
          <w:sz w:val="32"/>
          <w:szCs w:val="32"/>
          <w:u w:val="single"/>
        </w:rPr>
        <w:t>）</w:t>
      </w:r>
    </w:p>
    <w:p w14:paraId="3C4CFEEA">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乙方开户银行名称、地址和帐号为：</w:t>
      </w:r>
    </w:p>
    <w:p w14:paraId="4B1EFE4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单位名称：</w:t>
      </w:r>
    </w:p>
    <w:p w14:paraId="11AFE71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税号：</w:t>
      </w:r>
    </w:p>
    <w:p w14:paraId="1F37BD6A">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开户行：</w:t>
      </w:r>
    </w:p>
    <w:p w14:paraId="3A27297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账号：</w:t>
      </w:r>
    </w:p>
    <w:p w14:paraId="532A43B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地址、电话：</w:t>
      </w:r>
    </w:p>
    <w:p w14:paraId="7EA861C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3.限制条款：</w:t>
      </w:r>
    </w:p>
    <w:p w14:paraId="7CFC4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u w:val="single"/>
        </w:rPr>
        <w:t>乙方在服务的过程中，甲方有权全过程进行监督，如乙方因自身原因未达到甲方要求，甲方有权立即中止合同。</w:t>
      </w:r>
    </w:p>
    <w:p w14:paraId="616F90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第五条  双方确定因履行本合同应遵守的保密义务</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未经甲方允许</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乙方</w:t>
      </w:r>
      <w:r>
        <w:rPr>
          <w:rFonts w:hint="eastAsia" w:ascii="宋体" w:hAnsi="宋体" w:eastAsia="宋体" w:cs="宋体"/>
          <w:b w:val="0"/>
          <w:bCs w:val="0"/>
          <w:sz w:val="32"/>
          <w:szCs w:val="32"/>
        </w:rPr>
        <w:t>不得泄露与项目相关内容</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 xml:space="preserve">                                   </w:t>
      </w:r>
    </w:p>
    <w:p w14:paraId="64C6A4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第六条  双方确定以下标准和方式,甲方对乙方的技术服务工作成果进行验收：</w:t>
      </w:r>
    </w:p>
    <w:p w14:paraId="60C7445A">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u w:val="single"/>
        </w:rPr>
        <w:t>（1）全县所有文保单位首次安全隐患排查报告；</w:t>
      </w:r>
    </w:p>
    <w:p w14:paraId="17E7274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u w:val="single"/>
        </w:rPr>
        <w:t>（2）每次安全巡查结果。</w:t>
      </w:r>
    </w:p>
    <w:p w14:paraId="48C21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第七条  双方确定：</w:t>
      </w:r>
    </w:p>
    <w:p w14:paraId="756DB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在本合同有效期内，甲方利用乙方提交的技术服务工作成果所完成的新的技术成果，归</w:t>
      </w:r>
      <w:r>
        <w:rPr>
          <w:rFonts w:hint="eastAsia" w:ascii="宋体" w:hAnsi="宋体" w:eastAsia="宋体" w:cs="宋体"/>
          <w:b w:val="0"/>
          <w:bCs w:val="0"/>
          <w:sz w:val="32"/>
          <w:szCs w:val="32"/>
          <w:u w:val="single"/>
        </w:rPr>
        <w:t xml:space="preserve">  双  </w:t>
      </w:r>
      <w:r>
        <w:rPr>
          <w:rFonts w:hint="eastAsia" w:ascii="宋体" w:hAnsi="宋体" w:eastAsia="宋体" w:cs="宋体"/>
          <w:b w:val="0"/>
          <w:bCs w:val="0"/>
          <w:sz w:val="32"/>
          <w:szCs w:val="32"/>
        </w:rPr>
        <w:t>方所有。</w:t>
      </w:r>
    </w:p>
    <w:p w14:paraId="2C367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在本合同有效期内，乙方利用甲方提供的技术资料和工作条件所完成的新的技术成果，归</w:t>
      </w:r>
      <w:r>
        <w:rPr>
          <w:rFonts w:hint="eastAsia" w:ascii="宋体" w:hAnsi="宋体" w:eastAsia="宋体" w:cs="宋体"/>
          <w:b w:val="0"/>
          <w:bCs w:val="0"/>
          <w:sz w:val="32"/>
          <w:szCs w:val="32"/>
          <w:u w:val="single"/>
        </w:rPr>
        <w:t xml:space="preserve">  双  </w:t>
      </w:r>
      <w:r>
        <w:rPr>
          <w:rFonts w:hint="eastAsia" w:ascii="宋体" w:hAnsi="宋体" w:eastAsia="宋体" w:cs="宋体"/>
          <w:b w:val="0"/>
          <w:bCs w:val="0"/>
          <w:sz w:val="32"/>
          <w:szCs w:val="32"/>
        </w:rPr>
        <w:t>方所有。</w:t>
      </w:r>
    </w:p>
    <w:p w14:paraId="6F4538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第八条</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乙方在履职中发生所有安全事故，全部由乙方自己负责，甲方一律不承担。</w:t>
      </w:r>
    </w:p>
    <w:p w14:paraId="6C1459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第九条</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双方因履行本合同而发生的争议，应协商、调解解决。协商、调解不成的，依法向人民法院起诉。</w:t>
      </w:r>
    </w:p>
    <w:p w14:paraId="6BECDE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val="en-US" w:eastAsia="zh-CN"/>
        </w:rPr>
        <w:t>十</w:t>
      </w:r>
      <w:r>
        <w:rPr>
          <w:rFonts w:hint="eastAsia" w:ascii="宋体" w:hAnsi="宋体" w:eastAsia="宋体" w:cs="宋体"/>
          <w:b w:val="0"/>
          <w:bCs w:val="0"/>
          <w:sz w:val="32"/>
          <w:szCs w:val="32"/>
        </w:rPr>
        <w:t>条</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本合同一式</w:t>
      </w:r>
      <w:r>
        <w:rPr>
          <w:rFonts w:hint="eastAsia" w:ascii="宋体" w:hAnsi="宋体" w:eastAsia="宋体" w:cs="宋体"/>
          <w:b w:val="0"/>
          <w:bCs w:val="0"/>
          <w:sz w:val="32"/>
          <w:szCs w:val="32"/>
          <w:u w:val="single"/>
        </w:rPr>
        <w:t xml:space="preserve">  肆  </w:t>
      </w:r>
      <w:r>
        <w:rPr>
          <w:rFonts w:hint="eastAsia" w:ascii="宋体" w:hAnsi="宋体" w:eastAsia="宋体" w:cs="宋体"/>
          <w:b w:val="0"/>
          <w:bCs w:val="0"/>
          <w:sz w:val="32"/>
          <w:szCs w:val="32"/>
        </w:rPr>
        <w:t>份，双方各</w:t>
      </w:r>
      <w:r>
        <w:rPr>
          <w:rFonts w:hint="eastAsia" w:ascii="宋体" w:hAnsi="宋体" w:eastAsia="宋体" w:cs="宋体"/>
          <w:b w:val="0"/>
          <w:bCs w:val="0"/>
          <w:sz w:val="32"/>
          <w:szCs w:val="32"/>
          <w:u w:val="single"/>
        </w:rPr>
        <w:t xml:space="preserve">  贰  </w:t>
      </w:r>
      <w:r>
        <w:rPr>
          <w:rFonts w:hint="eastAsia" w:ascii="宋体" w:hAnsi="宋体" w:eastAsia="宋体" w:cs="宋体"/>
          <w:b w:val="0"/>
          <w:bCs w:val="0"/>
          <w:sz w:val="32"/>
          <w:szCs w:val="32"/>
        </w:rPr>
        <w:t>份，具有同等法律效力。</w:t>
      </w:r>
    </w:p>
    <w:p w14:paraId="28532D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val="en-US" w:eastAsia="zh-CN"/>
        </w:rPr>
        <w:t>一</w:t>
      </w:r>
      <w:r>
        <w:rPr>
          <w:rFonts w:hint="eastAsia" w:ascii="宋体" w:hAnsi="宋体" w:eastAsia="宋体" w:cs="宋体"/>
          <w:b w:val="0"/>
          <w:bCs w:val="0"/>
          <w:sz w:val="32"/>
          <w:szCs w:val="32"/>
        </w:rPr>
        <w:t>条  本合同经双方签字盖章后生效。</w:t>
      </w:r>
    </w:p>
    <w:p w14:paraId="5CB5D207">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b w:val="0"/>
          <w:bCs w:val="0"/>
          <w:sz w:val="32"/>
          <w:szCs w:val="32"/>
        </w:rPr>
      </w:pPr>
    </w:p>
    <w:p w14:paraId="404F850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甲方：永嘉县文化和广电旅游体育局（盖章）</w:t>
      </w:r>
    </w:p>
    <w:p w14:paraId="5CD8134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p>
    <w:p w14:paraId="652161D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p>
    <w:p w14:paraId="66D5C225">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法定代表人/委托代理人：（签名）</w:t>
      </w:r>
    </w:p>
    <w:p w14:paraId="7A85749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p>
    <w:p w14:paraId="25596E3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乙方：（盖章）</w:t>
      </w:r>
    </w:p>
    <w:p w14:paraId="5F621B2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p>
    <w:p w14:paraId="3381117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val="0"/>
          <w:bCs w:val="0"/>
          <w:sz w:val="28"/>
          <w:szCs w:val="28"/>
        </w:rPr>
      </w:pPr>
    </w:p>
    <w:p w14:paraId="5BB69DB6">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委托代理人（项目负责人）：（签名）                                            </w:t>
      </w:r>
    </w:p>
    <w:p w14:paraId="3A5A0648">
      <w:pPr>
        <w:rPr>
          <w:rFonts w:hint="eastAsia" w:ascii="宋体" w:hAnsi="宋体" w:eastAsia="宋体" w:cs="宋体"/>
          <w:color w:val="000000"/>
          <w:spacing w:val="8"/>
          <w:sz w:val="32"/>
          <w:szCs w:val="32"/>
          <w:shd w:val="clear" w:color="auto" w:fill="FFFFFF"/>
        </w:rPr>
      </w:pPr>
      <w:r>
        <w:rPr>
          <w:rFonts w:hint="eastAsia" w:ascii="宋体" w:hAnsi="宋体" w:eastAsia="宋体" w:cs="宋体"/>
          <w:color w:val="000000"/>
          <w:spacing w:val="8"/>
          <w:sz w:val="32"/>
          <w:szCs w:val="32"/>
          <w:shd w:val="clear" w:color="auto" w:fill="FFFFFF"/>
        </w:rPr>
        <w:br w:type="page"/>
      </w:r>
    </w:p>
    <w:p w14:paraId="3151CB6D">
      <w:pPr>
        <w:adjustRightInd w:val="0"/>
        <w:snapToGrid w:val="0"/>
        <w:spacing w:line="560" w:lineRule="exact"/>
        <w:rPr>
          <w:rFonts w:hint="eastAsia" w:ascii="宋体" w:hAnsi="宋体" w:eastAsia="宋体" w:cs="宋体"/>
          <w:color w:val="000000"/>
          <w:spacing w:val="8"/>
          <w:sz w:val="32"/>
          <w:szCs w:val="32"/>
          <w:shd w:val="clear" w:color="auto" w:fill="FFFFFF"/>
          <w:lang w:eastAsia="zh-CN"/>
        </w:rPr>
      </w:pPr>
      <w:r>
        <w:rPr>
          <w:rFonts w:hint="eastAsia" w:ascii="宋体" w:hAnsi="宋体" w:eastAsia="宋体" w:cs="宋体"/>
          <w:color w:val="000000"/>
          <w:spacing w:val="8"/>
          <w:sz w:val="32"/>
          <w:szCs w:val="32"/>
          <w:shd w:val="clear" w:color="auto" w:fill="FFFFFF"/>
        </w:rPr>
        <w:t>附件</w:t>
      </w:r>
      <w:r>
        <w:rPr>
          <w:rFonts w:hint="eastAsia" w:ascii="宋体" w:hAnsi="宋体" w:eastAsia="宋体" w:cs="宋体"/>
          <w:color w:val="000000"/>
          <w:spacing w:val="8"/>
          <w:sz w:val="32"/>
          <w:szCs w:val="32"/>
          <w:shd w:val="clear" w:color="auto" w:fill="FFFFFF"/>
          <w:lang w:val="en-US" w:eastAsia="zh-CN"/>
        </w:rPr>
        <w:t>1</w:t>
      </w:r>
    </w:p>
    <w:p w14:paraId="19E71E3F">
      <w:pPr>
        <w:adjustRightInd w:val="0"/>
        <w:snapToGrid w:val="0"/>
        <w:spacing w:line="560" w:lineRule="exact"/>
        <w:ind w:left="0" w:leftChars="0" w:firstLine="0" w:firstLineChars="0"/>
        <w:jc w:val="center"/>
        <w:rPr>
          <w:rFonts w:hint="eastAsia" w:ascii="宋体" w:hAnsi="宋体" w:eastAsia="宋体" w:cs="宋体"/>
          <w:sz w:val="32"/>
          <w:szCs w:val="32"/>
        </w:rPr>
      </w:pPr>
      <w:r>
        <w:rPr>
          <w:rFonts w:hint="eastAsia" w:ascii="宋体" w:hAnsi="宋体" w:eastAsia="宋体" w:cs="宋体"/>
          <w:sz w:val="44"/>
          <w:szCs w:val="44"/>
        </w:rPr>
        <w:t>永嘉县文保场所安全隐患排查方案</w:t>
      </w:r>
    </w:p>
    <w:p w14:paraId="744E223D">
      <w:pPr>
        <w:pageBreakBefore w:val="0"/>
        <w:widowControl w:val="0"/>
        <w:kinsoku/>
        <w:wordWrap/>
        <w:overflowPunct/>
        <w:topLinePunct w:val="0"/>
        <w:autoSpaceDE/>
        <w:autoSpaceDN/>
        <w:bidi w:val="0"/>
        <w:adjustRightInd w:val="0"/>
        <w:snapToGrid w:val="0"/>
        <w:spacing w:line="560" w:lineRule="exact"/>
        <w:ind w:firstLine="675" w:firstLineChars="200"/>
        <w:textAlignment w:val="auto"/>
        <w:rPr>
          <w:rFonts w:hint="eastAsia" w:ascii="宋体" w:hAnsi="宋体" w:eastAsia="宋体" w:cs="宋体"/>
          <w:color w:val="000000"/>
          <w:spacing w:val="8"/>
          <w:sz w:val="32"/>
          <w:szCs w:val="32"/>
          <w:shd w:val="clear" w:color="auto" w:fill="FFFFFF"/>
          <w:lang w:val="en-US" w:eastAsia="zh-CN"/>
        </w:rPr>
      </w:pPr>
    </w:p>
    <w:p w14:paraId="6332CCF9">
      <w:pPr>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宋体" w:hAnsi="宋体" w:eastAsia="宋体" w:cs="宋体"/>
          <w:b w:val="0"/>
          <w:bCs w:val="0"/>
          <w:color w:val="000000"/>
          <w:spacing w:val="8"/>
          <w:sz w:val="32"/>
          <w:szCs w:val="32"/>
          <w:shd w:val="clear" w:color="auto" w:fill="FFFFFF"/>
        </w:rPr>
      </w:pPr>
      <w:r>
        <w:rPr>
          <w:rFonts w:hint="eastAsia" w:ascii="宋体" w:hAnsi="宋体" w:eastAsia="宋体" w:cs="宋体"/>
          <w:b w:val="0"/>
          <w:bCs w:val="0"/>
          <w:color w:val="000000"/>
          <w:spacing w:val="8"/>
          <w:sz w:val="32"/>
          <w:szCs w:val="32"/>
          <w:shd w:val="clear" w:color="auto" w:fill="FFFFFF"/>
          <w:lang w:val="en-US" w:eastAsia="zh-CN"/>
        </w:rPr>
        <w:t>为深入贯彻</w:t>
      </w:r>
      <w:r>
        <w:rPr>
          <w:rFonts w:hint="eastAsia" w:ascii="宋体" w:hAnsi="宋体" w:eastAsia="宋体" w:cs="宋体"/>
          <w:b w:val="0"/>
          <w:bCs w:val="0"/>
          <w:color w:val="000000"/>
          <w:spacing w:val="8"/>
          <w:sz w:val="32"/>
          <w:szCs w:val="32"/>
          <w:shd w:val="clear" w:color="auto" w:fill="FFFFFF"/>
        </w:rPr>
        <w:t>“保护第一、加强管理、挖掘价值、有效利用、让文物活起来”</w:t>
      </w:r>
      <w:r>
        <w:rPr>
          <w:rFonts w:hint="eastAsia" w:ascii="宋体" w:hAnsi="宋体" w:eastAsia="宋体" w:cs="宋体"/>
          <w:b w:val="0"/>
          <w:bCs w:val="0"/>
          <w:color w:val="000000"/>
          <w:spacing w:val="8"/>
          <w:sz w:val="32"/>
          <w:szCs w:val="32"/>
          <w:shd w:val="clear" w:color="auto" w:fill="FFFFFF"/>
          <w:lang w:val="en-US" w:eastAsia="zh-CN"/>
        </w:rPr>
        <w:t>新时代文物工作方针</w:t>
      </w:r>
      <w:r>
        <w:rPr>
          <w:rFonts w:hint="eastAsia" w:ascii="宋体" w:hAnsi="宋体" w:eastAsia="宋体" w:cs="宋体"/>
          <w:b w:val="0"/>
          <w:bCs w:val="0"/>
          <w:color w:val="000000"/>
          <w:spacing w:val="8"/>
          <w:sz w:val="32"/>
          <w:szCs w:val="32"/>
          <w:shd w:val="clear" w:color="auto" w:fill="FFFFFF"/>
        </w:rPr>
        <w:t>，依法加强永嘉县文物管理工作，确保及时消除安全隐患，保障文物安全</w:t>
      </w:r>
      <w:r>
        <w:rPr>
          <w:rFonts w:hint="eastAsia" w:ascii="宋体" w:hAnsi="宋体" w:eastAsia="宋体" w:cs="宋体"/>
          <w:b w:val="0"/>
          <w:bCs w:val="0"/>
          <w:color w:val="000000"/>
          <w:spacing w:val="8"/>
          <w:sz w:val="32"/>
          <w:szCs w:val="32"/>
          <w:shd w:val="clear" w:color="auto" w:fill="FFFFFF"/>
          <w:lang w:eastAsia="zh-CN"/>
        </w:rPr>
        <w:t>，</w:t>
      </w:r>
      <w:r>
        <w:rPr>
          <w:rFonts w:hint="eastAsia" w:ascii="宋体" w:hAnsi="宋体" w:eastAsia="宋体" w:cs="宋体"/>
          <w:b w:val="0"/>
          <w:bCs w:val="0"/>
          <w:color w:val="000000"/>
          <w:spacing w:val="8"/>
          <w:sz w:val="32"/>
          <w:szCs w:val="32"/>
          <w:shd w:val="clear" w:color="auto" w:fill="FFFFFF"/>
        </w:rPr>
        <w:t>对永嘉全县</w:t>
      </w:r>
      <w:r>
        <w:rPr>
          <w:rFonts w:hint="eastAsia" w:ascii="宋体" w:hAnsi="宋体" w:eastAsia="宋体" w:cs="宋体"/>
          <w:b w:val="0"/>
          <w:bCs w:val="0"/>
          <w:color w:val="000000"/>
          <w:spacing w:val="8"/>
          <w:sz w:val="32"/>
          <w:szCs w:val="32"/>
          <w:shd w:val="clear" w:color="auto" w:fill="FFFFFF"/>
          <w:lang w:val="en-US" w:eastAsia="zh-CN"/>
        </w:rPr>
        <w:t>文保单位</w:t>
      </w:r>
      <w:r>
        <w:rPr>
          <w:rFonts w:hint="eastAsia" w:ascii="宋体" w:hAnsi="宋体" w:eastAsia="宋体" w:cs="宋体"/>
          <w:b w:val="0"/>
          <w:bCs w:val="0"/>
          <w:color w:val="000000"/>
          <w:spacing w:val="8"/>
          <w:sz w:val="32"/>
          <w:szCs w:val="32"/>
          <w:shd w:val="clear" w:color="auto" w:fill="FFFFFF"/>
        </w:rPr>
        <w:t>进行安全隐患排查</w:t>
      </w:r>
      <w:r>
        <w:rPr>
          <w:rFonts w:hint="eastAsia" w:ascii="宋体" w:hAnsi="宋体" w:eastAsia="宋体" w:cs="宋体"/>
          <w:b w:val="0"/>
          <w:bCs w:val="0"/>
          <w:color w:val="000000"/>
          <w:spacing w:val="8"/>
          <w:sz w:val="32"/>
          <w:szCs w:val="32"/>
          <w:shd w:val="clear" w:color="auto" w:fill="FFFFFF"/>
          <w:lang w:eastAsia="zh-CN"/>
        </w:rPr>
        <w:t>。</w:t>
      </w:r>
      <w:r>
        <w:rPr>
          <w:rFonts w:hint="eastAsia" w:ascii="宋体" w:hAnsi="宋体" w:eastAsia="宋体" w:cs="宋体"/>
          <w:b w:val="0"/>
          <w:bCs w:val="0"/>
          <w:color w:val="000000"/>
          <w:spacing w:val="8"/>
          <w:sz w:val="32"/>
          <w:szCs w:val="32"/>
          <w:shd w:val="clear" w:color="auto" w:fill="FFFFFF"/>
        </w:rPr>
        <w:t>具体方案如下：</w:t>
      </w:r>
    </w:p>
    <w:p w14:paraId="433E1260">
      <w:pPr>
        <w:pStyle w:val="2"/>
        <w:pageBreakBefore w:val="0"/>
        <w:widowControl w:val="0"/>
        <w:numPr>
          <w:ilvl w:val="0"/>
          <w:numId w:val="0"/>
        </w:numPr>
        <w:kinsoku/>
        <w:wordWrap/>
        <w:overflowPunct/>
        <w:topLinePunct w:val="0"/>
        <w:autoSpaceDE/>
        <w:autoSpaceDN/>
        <w:bidi w:val="0"/>
        <w:spacing w:beforeLines="0" w:afterLines="0" w:line="560" w:lineRule="exact"/>
        <w:ind w:left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1.安全技术服务依据</w:t>
      </w:r>
    </w:p>
    <w:p w14:paraId="13C990FD">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此次安全技术服务主要依据现有的国家在文保场所安全方面的法律、法规、规范性文件、标准、规范相关资料等，服务的内容主要为安全隐患排查。</w:t>
      </w:r>
    </w:p>
    <w:p w14:paraId="449156F9">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rPr>
      </w:pPr>
      <w:r>
        <w:rPr>
          <w:rFonts w:hint="eastAsia" w:ascii="宋体" w:hAnsi="宋体" w:eastAsia="宋体" w:cs="宋体"/>
          <w:b/>
          <w:bCs/>
          <w:sz w:val="32"/>
          <w:szCs w:val="32"/>
        </w:rPr>
        <w:t>1.1 相关法律法规</w:t>
      </w:r>
    </w:p>
    <w:p w14:paraId="5215ABB9">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)《中华人民共和国文物保护法（2017年修正本）》</w:t>
      </w:r>
    </w:p>
    <w:p w14:paraId="192A4035">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)《中华人民共和国消防法》</w:t>
      </w:r>
    </w:p>
    <w:p w14:paraId="21FD4694">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3)《浙江省消防条例》（浙江省人民代表大会常务委员会公告第40号）</w:t>
      </w:r>
    </w:p>
    <w:p w14:paraId="3B194461">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4)《古建消防管理规则》</w:t>
      </w:r>
    </w:p>
    <w:p w14:paraId="3B1E5846">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5)《文物消防安全检查规程（试行）》（国家文物局文物督发〔2011〕17号）</w:t>
      </w:r>
    </w:p>
    <w:p w14:paraId="7964AE2D">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6)《文物保护单位执法巡查办法》（文物督发〔2011〕21号）</w:t>
      </w:r>
    </w:p>
    <w:p w14:paraId="31C8DB2E">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rPr>
      </w:pPr>
      <w:r>
        <w:rPr>
          <w:rFonts w:hint="eastAsia" w:ascii="宋体" w:hAnsi="宋体" w:eastAsia="宋体" w:cs="宋体"/>
          <w:b/>
          <w:bCs/>
          <w:sz w:val="32"/>
          <w:szCs w:val="32"/>
        </w:rPr>
        <w:t>1.2技术标准和规范</w:t>
      </w:r>
    </w:p>
    <w:p w14:paraId="7295C628">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《中国文物古迹保护准则》</w:t>
      </w:r>
    </w:p>
    <w:p w14:paraId="0382C4D1">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《文物保护工程管理办法》</w:t>
      </w:r>
    </w:p>
    <w:p w14:paraId="43BA4129">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《文物保护工程检查督察办法》</w:t>
      </w:r>
    </w:p>
    <w:p w14:paraId="50F9F40A">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建筑设计防火规范</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（GB50016-2014）</w:t>
      </w:r>
    </w:p>
    <w:p w14:paraId="6B597A2E">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《古建筑防雷工程技术规范》(GB 51017-2014)</w:t>
      </w:r>
    </w:p>
    <w:p w14:paraId="1A9AFE43">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建筑灭火器配置设计规范（GB50140-2005）</w:t>
      </w:r>
    </w:p>
    <w:p w14:paraId="4BEB0A66">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《传统建筑工程技术标准》（GB/T51330-2019）</w:t>
      </w:r>
    </w:p>
    <w:p w14:paraId="3660E244">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《古建筑木结构维护与加固技术标准》(GB\T50165-2020)</w:t>
      </w:r>
    </w:p>
    <w:p w14:paraId="5243B498">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古建筑木构件安全性鉴定技术规范》(LY\T3141-2019)</w:t>
      </w:r>
    </w:p>
    <w:p w14:paraId="58CFCE96">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《近现代历史建筑结构安全性评估导则》(WW/T0048-2014)</w:t>
      </w:r>
    </w:p>
    <w:p w14:paraId="12E926CA">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《文物建筑维修基本材料木材》(WW/T0051-2014)</w:t>
      </w:r>
    </w:p>
    <w:p w14:paraId="3BE24626">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《近现代文物建筑保护工程设计文件编制规范》(WW/T0078-2017)</w:t>
      </w:r>
    </w:p>
    <w:p w14:paraId="7E707B14">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《古建筑防工业振动技术规范》(GB/T 50452-2008</w:t>
      </w:r>
      <w:r>
        <w:rPr>
          <w:rFonts w:hint="eastAsia" w:ascii="宋体" w:hAnsi="宋体" w:eastAsia="宋体" w:cs="宋体"/>
          <w:b w:val="0"/>
          <w:bCs w:val="0"/>
          <w:sz w:val="32"/>
          <w:szCs w:val="32"/>
          <w:lang w:eastAsia="zh-CN"/>
        </w:rPr>
        <w:t>）</w:t>
      </w:r>
    </w:p>
    <w:p w14:paraId="472B7F0F">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消防安全标志设置要求</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（GB13495.1-2015）</w:t>
      </w:r>
    </w:p>
    <w:p w14:paraId="5FDE8AD2">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建筑照明设计标准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（GB50034-2013）</w:t>
      </w:r>
    </w:p>
    <w:p w14:paraId="4CA3F42B">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用电安全导则</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（GB/T 13869-2017）</w:t>
      </w:r>
    </w:p>
    <w:p w14:paraId="06D48A49">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安全评价通则</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（AQ8001-2007）</w:t>
      </w:r>
    </w:p>
    <w:p w14:paraId="54F97266">
      <w:pPr>
        <w:pageBreakBefore w:val="0"/>
        <w:widowControl w:val="0"/>
        <w:numPr>
          <w:ilvl w:val="0"/>
          <w:numId w:val="5"/>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安全标志及其使用导则</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（GB2894-2008）</w:t>
      </w:r>
    </w:p>
    <w:p w14:paraId="63565045">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其他相关标准规范根据项目性质增加相关专业标准规范。</w:t>
      </w:r>
    </w:p>
    <w:p w14:paraId="5E860173">
      <w:pPr>
        <w:pStyle w:val="2"/>
        <w:pageBreakBefore w:val="0"/>
        <w:widowControl w:val="0"/>
        <w:numPr>
          <w:ilvl w:val="0"/>
          <w:numId w:val="0"/>
        </w:numPr>
        <w:kinsoku/>
        <w:wordWrap/>
        <w:overflowPunct/>
        <w:topLinePunct w:val="0"/>
        <w:autoSpaceDE/>
        <w:autoSpaceDN/>
        <w:bidi w:val="0"/>
        <w:spacing w:beforeLines="0" w:afterLines="0" w:line="560" w:lineRule="exact"/>
        <w:ind w:leftChars="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2.隐患排查内容</w:t>
      </w:r>
    </w:p>
    <w:p w14:paraId="5D5B5B2C">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依据国家相关法律、法规和标准规范要求，结合永嘉</w:t>
      </w:r>
      <w:r>
        <w:rPr>
          <w:rFonts w:hint="eastAsia" w:ascii="宋体" w:hAnsi="宋体" w:eastAsia="宋体" w:cs="宋体"/>
          <w:b w:val="0"/>
          <w:bCs w:val="0"/>
          <w:sz w:val="32"/>
          <w:szCs w:val="32"/>
          <w:lang w:val="en-US" w:eastAsia="zh-CN"/>
        </w:rPr>
        <w:t>县</w:t>
      </w:r>
      <w:r>
        <w:rPr>
          <w:rFonts w:hint="eastAsia" w:ascii="宋体" w:hAnsi="宋体" w:eastAsia="宋体" w:cs="宋体"/>
          <w:b w:val="0"/>
          <w:bCs w:val="0"/>
          <w:sz w:val="32"/>
          <w:szCs w:val="32"/>
        </w:rPr>
        <w:t>文保场所安全实际情况，本次安全隐患排查内容主要包括以下方面</w:t>
      </w:r>
      <w:r>
        <w:rPr>
          <w:rFonts w:hint="eastAsia" w:ascii="宋体" w:hAnsi="宋体" w:eastAsia="宋体" w:cs="宋体"/>
          <w:b w:val="0"/>
          <w:bCs w:val="0"/>
          <w:sz w:val="32"/>
          <w:szCs w:val="32"/>
          <w:lang w:eastAsia="zh-CN"/>
        </w:rPr>
        <w:t>。</w:t>
      </w:r>
    </w:p>
    <w:p w14:paraId="1F652EB1">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2.1安全责任落实情况</w:t>
      </w:r>
    </w:p>
    <w:p w14:paraId="64146574">
      <w:pPr>
        <w:pageBreakBefore w:val="0"/>
        <w:widowControl w:val="0"/>
        <w:numPr>
          <w:ilvl w:val="0"/>
          <w:numId w:val="6"/>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检查是否签订文物安全责任书，实施文物安全责任人公告公示制度；</w:t>
      </w:r>
    </w:p>
    <w:p w14:paraId="3CDC2CB6">
      <w:pPr>
        <w:pageBreakBefore w:val="0"/>
        <w:widowControl w:val="0"/>
        <w:numPr>
          <w:ilvl w:val="0"/>
          <w:numId w:val="6"/>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检查是否建立文物安全管理制度和应急预案；</w:t>
      </w:r>
    </w:p>
    <w:p w14:paraId="398CF817">
      <w:pPr>
        <w:pageBreakBefore w:val="0"/>
        <w:widowControl w:val="0"/>
        <w:numPr>
          <w:ilvl w:val="0"/>
          <w:numId w:val="6"/>
        </w:numPr>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检查是否落实消防安全责任制，定期组织开展文物消防安全隐患排查整治和应急演练等活动。</w:t>
      </w:r>
    </w:p>
    <w:p w14:paraId="0E53328F">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2.2安全管理情况</w:t>
      </w:r>
    </w:p>
    <w:p w14:paraId="069698A9">
      <w:pPr>
        <w:pageBreakBefore w:val="0"/>
        <w:widowControl w:val="0"/>
        <w:numPr>
          <w:ilvl w:val="0"/>
          <w:numId w:val="7"/>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建筑组织开展定期防火检查、日常防火巡查情况，消除火灾隐患情况；</w:t>
      </w:r>
    </w:p>
    <w:p w14:paraId="65B9F29D">
      <w:pPr>
        <w:pageBreakBefore w:val="0"/>
        <w:widowControl w:val="0"/>
        <w:numPr>
          <w:ilvl w:val="0"/>
          <w:numId w:val="7"/>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设备、设施的安装、使用及其线路、管路的敷设、维护保养、检测情况；</w:t>
      </w:r>
    </w:p>
    <w:p w14:paraId="77944F22">
      <w:pPr>
        <w:pageBreakBefore w:val="0"/>
        <w:widowControl w:val="0"/>
        <w:numPr>
          <w:ilvl w:val="0"/>
          <w:numId w:val="7"/>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明火作业审批、现场看护情况及记录完整情况。</w:t>
      </w:r>
    </w:p>
    <w:p w14:paraId="2E34D82B">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2.3消防设施运行维护情况</w:t>
      </w:r>
    </w:p>
    <w:p w14:paraId="549B074F">
      <w:pPr>
        <w:pageBreakBefore w:val="0"/>
        <w:widowControl w:val="0"/>
        <w:numPr>
          <w:ilvl w:val="0"/>
          <w:numId w:val="8"/>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检查按照国家、地方、行业标准设置消防设施器材情况；</w:t>
      </w:r>
    </w:p>
    <w:p w14:paraId="6E447ECB">
      <w:pPr>
        <w:pageBreakBefore w:val="0"/>
        <w:widowControl w:val="0"/>
        <w:numPr>
          <w:ilvl w:val="0"/>
          <w:numId w:val="8"/>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检查消防安全标识设置情况；</w:t>
      </w:r>
    </w:p>
    <w:p w14:paraId="2C30D3A1">
      <w:pPr>
        <w:pageBreakBefore w:val="0"/>
        <w:widowControl w:val="0"/>
        <w:numPr>
          <w:ilvl w:val="0"/>
          <w:numId w:val="8"/>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检查自动消防设施定期检测、维护保养情况；</w:t>
      </w:r>
    </w:p>
    <w:p w14:paraId="53FA7C52">
      <w:pPr>
        <w:pageBreakBefore w:val="0"/>
        <w:widowControl w:val="0"/>
        <w:numPr>
          <w:ilvl w:val="0"/>
          <w:numId w:val="8"/>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检查是否消防设施完好有效情况。</w:t>
      </w:r>
    </w:p>
    <w:p w14:paraId="6A0918B5">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2.4文物本体及周边安全状况</w:t>
      </w:r>
    </w:p>
    <w:p w14:paraId="6032E538">
      <w:pPr>
        <w:pageBreakBefore w:val="0"/>
        <w:widowControl w:val="0"/>
        <w:numPr>
          <w:ilvl w:val="0"/>
          <w:numId w:val="9"/>
        </w:numPr>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检查文物本体是否存在倾斜、沉降、虫害、漏雨等风险和火灾隐患；</w:t>
      </w:r>
    </w:p>
    <w:p w14:paraId="1E682673">
      <w:pPr>
        <w:pageBreakBefore w:val="0"/>
        <w:widowControl w:val="0"/>
        <w:numPr>
          <w:ilvl w:val="0"/>
          <w:numId w:val="9"/>
        </w:numPr>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检查是否存在因水毁、雷击、风化等自然原因造成文物损毁的情况。</w:t>
      </w:r>
    </w:p>
    <w:p w14:paraId="32AA5E92">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2.5违法情况</w:t>
      </w:r>
    </w:p>
    <w:p w14:paraId="4D924FAF">
      <w:pPr>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重点检查是否存在擅自在文物保护单位保护范围、建设控制地带内进行建设工程或者其他作业，擅自迁移、拆除、修缮文物保护单位，擅自在已全部毁坏文物原址上进行重建，擅自改变国有文物保护单位用途等违法行为等；</w:t>
      </w:r>
    </w:p>
    <w:p w14:paraId="2338D1BF">
      <w:pPr>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2)检查是否存在盗（抢）窃、盗掘、破坏文物等犯罪行为。</w:t>
      </w:r>
    </w:p>
    <w:p w14:paraId="77189517">
      <w:pPr>
        <w:pStyle w:val="2"/>
        <w:pageBreakBefore w:val="0"/>
        <w:widowControl w:val="0"/>
        <w:numPr>
          <w:ilvl w:val="0"/>
          <w:numId w:val="0"/>
        </w:numPr>
        <w:kinsoku/>
        <w:wordWrap/>
        <w:overflowPunct/>
        <w:topLinePunct w:val="0"/>
        <w:autoSpaceDE/>
        <w:autoSpaceDN/>
        <w:bidi w:val="0"/>
        <w:spacing w:beforeLines="0" w:afterLines="0" w:line="560" w:lineRule="exact"/>
        <w:ind w:left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3.隐患排查频次</w:t>
      </w:r>
    </w:p>
    <w:p w14:paraId="1D8EB102">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根据文保场所的实际情况进行安全风险等级评定，分为高、中、低三个风险等级建筑，根据风险等级，对高风险等级建筑每月进行一次安全隐患排查，对中风险等级建筑每两月进行一次安全隐患排查，对低风险等级建筑每季度进行一次安全隐患排查。</w:t>
      </w:r>
      <w:r>
        <w:rPr>
          <w:rFonts w:hint="eastAsia" w:ascii="宋体" w:hAnsi="宋体" w:eastAsia="宋体" w:cs="宋体"/>
          <w:b w:val="0"/>
          <w:bCs w:val="0"/>
          <w:sz w:val="32"/>
          <w:szCs w:val="32"/>
          <w:lang w:val="en-US" w:eastAsia="zh-CN"/>
        </w:rPr>
        <w:t>每季度利用无人机技术对全县县级及以上文保单位进行一次空中巡查。</w:t>
      </w:r>
    </w:p>
    <w:p w14:paraId="3C09DC03">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rPr>
      </w:pPr>
      <w:r>
        <w:rPr>
          <w:rFonts w:hint="eastAsia" w:ascii="宋体" w:hAnsi="宋体" w:eastAsia="宋体" w:cs="宋体"/>
          <w:b/>
          <w:bCs/>
          <w:sz w:val="32"/>
          <w:szCs w:val="32"/>
        </w:rPr>
        <w:t>4.安全隐患排查结果分析</w:t>
      </w:r>
    </w:p>
    <w:p w14:paraId="7776B1F0">
      <w:pPr>
        <w:pStyle w:val="3"/>
        <w:pageBreakBefore w:val="0"/>
        <w:widowControl w:val="0"/>
        <w:numPr>
          <w:ilvl w:val="1"/>
          <w:numId w:val="0"/>
        </w:numPr>
        <w:kinsoku/>
        <w:wordWrap/>
        <w:overflowPunct/>
        <w:topLinePunct w:val="0"/>
        <w:autoSpaceDE/>
        <w:autoSpaceDN/>
        <w:bidi w:val="0"/>
        <w:spacing w:before="0" w:after="0" w:line="560" w:lineRule="exact"/>
        <w:ind w:left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4.1安全隐患排查报告</w:t>
      </w:r>
    </w:p>
    <w:p w14:paraId="00953829">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b w:val="0"/>
          <w:bCs w:val="0"/>
          <w:sz w:val="32"/>
          <w:szCs w:val="32"/>
        </w:rPr>
        <w:t>根据安全隐患排查结果撰写排查报告，形成一场所一档案，安全隐患排查表如下表所示：</w:t>
      </w:r>
    </w:p>
    <w:p w14:paraId="7EA54187">
      <w:pPr>
        <w:spacing w:beforeLines="50" w:afterLines="5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安全隐患排查报告表</w:t>
      </w:r>
    </w:p>
    <w:tbl>
      <w:tblPr>
        <w:tblStyle w:val="44"/>
        <w:tblW w:w="10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717"/>
        <w:gridCol w:w="902"/>
        <w:gridCol w:w="1599"/>
        <w:gridCol w:w="3816"/>
        <w:gridCol w:w="1579"/>
        <w:gridCol w:w="1527"/>
      </w:tblGrid>
      <w:tr w14:paraId="2546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3" w:type="dxa"/>
            <w:noWrap w:val="0"/>
            <w:vAlign w:val="center"/>
          </w:tcPr>
          <w:p w14:paraId="2241F6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717" w:type="dxa"/>
            <w:noWrap w:val="0"/>
            <w:vAlign w:val="center"/>
          </w:tcPr>
          <w:p w14:paraId="0D8A91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隐患</w:t>
            </w:r>
          </w:p>
          <w:p w14:paraId="3F30F2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类别</w:t>
            </w:r>
          </w:p>
        </w:tc>
        <w:tc>
          <w:tcPr>
            <w:tcW w:w="902" w:type="dxa"/>
            <w:noWrap w:val="0"/>
            <w:vAlign w:val="center"/>
          </w:tcPr>
          <w:p w14:paraId="6B222C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隐患</w:t>
            </w:r>
          </w:p>
          <w:p w14:paraId="424DF1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分类别</w:t>
            </w:r>
          </w:p>
        </w:tc>
        <w:tc>
          <w:tcPr>
            <w:tcW w:w="1599" w:type="dxa"/>
            <w:noWrap w:val="0"/>
            <w:vAlign w:val="center"/>
          </w:tcPr>
          <w:p w14:paraId="6DEDEC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问题描述</w:t>
            </w:r>
          </w:p>
        </w:tc>
        <w:tc>
          <w:tcPr>
            <w:tcW w:w="3816" w:type="dxa"/>
            <w:noWrap w:val="0"/>
            <w:vAlign w:val="center"/>
          </w:tcPr>
          <w:p w14:paraId="0E060E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检查照片</w:t>
            </w:r>
          </w:p>
        </w:tc>
        <w:tc>
          <w:tcPr>
            <w:tcW w:w="1579" w:type="dxa"/>
            <w:noWrap w:val="0"/>
            <w:vAlign w:val="center"/>
          </w:tcPr>
          <w:p w14:paraId="6751A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隐患位置</w:t>
            </w:r>
          </w:p>
        </w:tc>
        <w:tc>
          <w:tcPr>
            <w:tcW w:w="1527" w:type="dxa"/>
            <w:noWrap w:val="0"/>
            <w:vAlign w:val="center"/>
          </w:tcPr>
          <w:p w14:paraId="0C52EE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处理建议</w:t>
            </w:r>
          </w:p>
        </w:tc>
      </w:tr>
      <w:tr w14:paraId="0FF3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3" w:type="dxa"/>
            <w:noWrap w:val="0"/>
            <w:vAlign w:val="center"/>
          </w:tcPr>
          <w:p w14:paraId="2A756F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c>
          <w:tcPr>
            <w:tcW w:w="717" w:type="dxa"/>
            <w:noWrap w:val="0"/>
            <w:vAlign w:val="center"/>
          </w:tcPr>
          <w:p w14:paraId="187066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c>
          <w:tcPr>
            <w:tcW w:w="902" w:type="dxa"/>
            <w:noWrap w:val="0"/>
            <w:vAlign w:val="center"/>
          </w:tcPr>
          <w:p w14:paraId="27006A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c>
          <w:tcPr>
            <w:tcW w:w="1599" w:type="dxa"/>
            <w:noWrap w:val="0"/>
            <w:vAlign w:val="center"/>
          </w:tcPr>
          <w:p w14:paraId="64D23B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c>
          <w:tcPr>
            <w:tcW w:w="3816" w:type="dxa"/>
            <w:noWrap w:val="0"/>
            <w:vAlign w:val="center"/>
          </w:tcPr>
          <w:p w14:paraId="4149D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c>
          <w:tcPr>
            <w:tcW w:w="1579" w:type="dxa"/>
            <w:noWrap w:val="0"/>
            <w:vAlign w:val="center"/>
          </w:tcPr>
          <w:p w14:paraId="15FADE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c>
          <w:tcPr>
            <w:tcW w:w="1527" w:type="dxa"/>
            <w:noWrap w:val="0"/>
            <w:vAlign w:val="center"/>
          </w:tcPr>
          <w:p w14:paraId="3193C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rPr>
            </w:pPr>
          </w:p>
        </w:tc>
      </w:tr>
    </w:tbl>
    <w:p w14:paraId="3CCDF587">
      <w:pPr>
        <w:pStyle w:val="3"/>
        <w:pageBreakBefore w:val="0"/>
        <w:widowControl w:val="0"/>
        <w:numPr>
          <w:ilvl w:val="1"/>
          <w:numId w:val="0"/>
        </w:numPr>
        <w:kinsoku/>
        <w:wordWrap/>
        <w:overflowPunct/>
        <w:topLinePunct w:val="0"/>
        <w:autoSpaceDE/>
        <w:autoSpaceDN/>
        <w:bidi w:val="0"/>
        <w:adjustRightInd/>
        <w:snapToGrid/>
        <w:spacing w:before="0" w:after="0" w:line="560" w:lineRule="exact"/>
        <w:ind w:left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4.2 文物持续监控</w:t>
      </w:r>
    </w:p>
    <w:p w14:paraId="3544DD6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利用无人机巡查技术，对古建筑进行高空拍摄，巡查是否存在保护范围内违规建设的情况。同时，对古建筑内部具有文物保护价值的部位进行重点记录，整理成“一场所一档案”，用于持续监控。</w:t>
      </w:r>
    </w:p>
    <w:p w14:paraId="0A27C087">
      <w:pPr>
        <w:pStyle w:val="2"/>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textAlignment w:val="auto"/>
        <w:rPr>
          <w:rFonts w:hint="eastAsia" w:ascii="宋体" w:hAnsi="宋体" w:eastAsia="宋体" w:cs="宋体"/>
          <w:b/>
          <w:bCs w:val="0"/>
        </w:rPr>
      </w:pPr>
      <w:r>
        <w:rPr>
          <w:rFonts w:hint="eastAsia" w:ascii="宋体" w:hAnsi="宋体" w:eastAsia="宋体" w:cs="宋体"/>
          <w:b/>
          <w:bCs w:val="0"/>
          <w:sz w:val="32"/>
          <w:szCs w:val="32"/>
        </w:rPr>
        <w:t>5.</w:t>
      </w:r>
      <w:r>
        <w:rPr>
          <w:rFonts w:hint="eastAsia" w:ascii="宋体" w:hAnsi="宋体" w:eastAsia="宋体" w:cs="宋体"/>
          <w:b/>
          <w:bCs w:val="0"/>
          <w:sz w:val="32"/>
          <w:szCs w:val="32"/>
          <w:lang w:val="en-US" w:eastAsia="zh-CN"/>
        </w:rPr>
        <w:t>安全</w:t>
      </w:r>
      <w:r>
        <w:rPr>
          <w:rFonts w:hint="eastAsia" w:ascii="宋体" w:hAnsi="宋体" w:eastAsia="宋体" w:cs="宋体"/>
          <w:b/>
          <w:bCs w:val="0"/>
          <w:sz w:val="32"/>
          <w:szCs w:val="32"/>
        </w:rPr>
        <w:t>排查细则</w:t>
      </w:r>
    </w:p>
    <w:tbl>
      <w:tblPr>
        <w:tblStyle w:val="43"/>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0"/>
        <w:gridCol w:w="1592"/>
        <w:gridCol w:w="3089"/>
        <w:gridCol w:w="5101"/>
      </w:tblGrid>
      <w:tr w14:paraId="3F17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noWrap w:val="0"/>
            <w:vAlign w:val="center"/>
          </w:tcPr>
          <w:p w14:paraId="1B0E28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隐患总类别</w:t>
            </w:r>
          </w:p>
        </w:tc>
        <w:tc>
          <w:tcPr>
            <w:tcW w:w="1592" w:type="dxa"/>
            <w:noWrap w:val="0"/>
            <w:vAlign w:val="center"/>
          </w:tcPr>
          <w:p w14:paraId="4FD8FA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隐患分类别</w:t>
            </w:r>
          </w:p>
        </w:tc>
        <w:tc>
          <w:tcPr>
            <w:tcW w:w="0" w:type="auto"/>
            <w:noWrap w:val="0"/>
            <w:vAlign w:val="center"/>
          </w:tcPr>
          <w:p w14:paraId="58EB05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问题描述</w:t>
            </w:r>
          </w:p>
        </w:tc>
        <w:tc>
          <w:tcPr>
            <w:tcW w:w="5101" w:type="dxa"/>
            <w:noWrap w:val="0"/>
            <w:vAlign w:val="center"/>
          </w:tcPr>
          <w:p w14:paraId="397CB9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处理建议</w:t>
            </w:r>
          </w:p>
        </w:tc>
      </w:tr>
      <w:tr w14:paraId="65D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restart"/>
            <w:noWrap w:val="0"/>
            <w:vAlign w:val="center"/>
          </w:tcPr>
          <w:p w14:paraId="6B341F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标识</w:t>
            </w:r>
          </w:p>
          <w:p w14:paraId="1BBA24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安全</w:t>
            </w:r>
          </w:p>
        </w:tc>
        <w:tc>
          <w:tcPr>
            <w:tcW w:w="1592" w:type="dxa"/>
            <w:vMerge w:val="restart"/>
            <w:noWrap w:val="0"/>
            <w:vAlign w:val="center"/>
          </w:tcPr>
          <w:p w14:paraId="5AD4E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标识缺、漏</w:t>
            </w:r>
          </w:p>
        </w:tc>
        <w:tc>
          <w:tcPr>
            <w:tcW w:w="0" w:type="auto"/>
            <w:noWrap w:val="0"/>
            <w:vAlign w:val="center"/>
          </w:tcPr>
          <w:p w14:paraId="19EAE3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无标志碑、无简介</w:t>
            </w:r>
          </w:p>
        </w:tc>
        <w:tc>
          <w:tcPr>
            <w:tcW w:w="5101" w:type="dxa"/>
            <w:noWrap w:val="0"/>
            <w:vAlign w:val="center"/>
          </w:tcPr>
          <w:p w14:paraId="75B6ABE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建议增设标志碑、碑文简介说明</w:t>
            </w:r>
          </w:p>
        </w:tc>
      </w:tr>
      <w:tr w14:paraId="354B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7C3F22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6FAC4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7AC6D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无安全责任人信息铭牌</w:t>
            </w:r>
          </w:p>
        </w:tc>
        <w:tc>
          <w:tcPr>
            <w:tcW w:w="5101" w:type="dxa"/>
            <w:noWrap w:val="0"/>
            <w:vAlign w:val="center"/>
          </w:tcPr>
          <w:p w14:paraId="018F56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建议增设安全责任人信息铭牌</w:t>
            </w:r>
          </w:p>
        </w:tc>
      </w:tr>
      <w:tr w14:paraId="5AB2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restart"/>
            <w:noWrap w:val="0"/>
            <w:vAlign w:val="center"/>
          </w:tcPr>
          <w:p w14:paraId="56146D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电气</w:t>
            </w:r>
          </w:p>
          <w:p w14:paraId="44EFA8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安全</w:t>
            </w:r>
          </w:p>
        </w:tc>
        <w:tc>
          <w:tcPr>
            <w:tcW w:w="1592" w:type="dxa"/>
            <w:vMerge w:val="restart"/>
            <w:noWrap w:val="0"/>
            <w:vAlign w:val="center"/>
          </w:tcPr>
          <w:p w14:paraId="7FFF62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电表箱</w:t>
            </w:r>
          </w:p>
        </w:tc>
        <w:tc>
          <w:tcPr>
            <w:tcW w:w="0" w:type="auto"/>
            <w:noWrap w:val="0"/>
            <w:vAlign w:val="center"/>
          </w:tcPr>
          <w:p w14:paraId="13A65D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电表箱电线裸露、未穿管</w:t>
            </w:r>
          </w:p>
        </w:tc>
        <w:tc>
          <w:tcPr>
            <w:tcW w:w="5101" w:type="dxa"/>
            <w:noWrap w:val="0"/>
            <w:vAlign w:val="center"/>
          </w:tcPr>
          <w:p w14:paraId="4A38CD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及时整理、检查线路，做好日常用电安全管理</w:t>
            </w:r>
          </w:p>
        </w:tc>
      </w:tr>
      <w:tr w14:paraId="16B1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169406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06182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6EDFD3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电表箱缺少盖板保护</w:t>
            </w:r>
          </w:p>
        </w:tc>
        <w:tc>
          <w:tcPr>
            <w:tcW w:w="5101" w:type="dxa"/>
            <w:noWrap w:val="0"/>
            <w:vAlign w:val="center"/>
          </w:tcPr>
          <w:p w14:paraId="0820D0B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应及时加装电表箱盖板，以防漏电危险，做好日常用电安全管理</w:t>
            </w:r>
          </w:p>
        </w:tc>
      </w:tr>
      <w:tr w14:paraId="777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244483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2B3244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0AB73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有废弃旧电表箱</w:t>
            </w:r>
          </w:p>
        </w:tc>
        <w:tc>
          <w:tcPr>
            <w:tcW w:w="5101" w:type="dxa"/>
            <w:noWrap w:val="0"/>
            <w:vAlign w:val="center"/>
          </w:tcPr>
          <w:p w14:paraId="138DA7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及时拆除废弃旧电表箱，注意用电安全</w:t>
            </w:r>
          </w:p>
        </w:tc>
      </w:tr>
      <w:tr w14:paraId="3867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592DFE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86088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5FDA85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智慧用电系统报故障</w:t>
            </w:r>
          </w:p>
        </w:tc>
        <w:tc>
          <w:tcPr>
            <w:tcW w:w="5101" w:type="dxa"/>
            <w:noWrap w:val="0"/>
            <w:vAlign w:val="center"/>
          </w:tcPr>
          <w:p w14:paraId="49A73C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建议及时维修</w:t>
            </w:r>
          </w:p>
        </w:tc>
      </w:tr>
      <w:tr w14:paraId="3BE2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28B399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683E8E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电线</w:t>
            </w:r>
          </w:p>
        </w:tc>
        <w:tc>
          <w:tcPr>
            <w:tcW w:w="0" w:type="auto"/>
            <w:noWrap w:val="0"/>
            <w:vAlign w:val="center"/>
          </w:tcPr>
          <w:p w14:paraId="79DC8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电线裸露、未进行套管</w:t>
            </w:r>
          </w:p>
        </w:tc>
        <w:tc>
          <w:tcPr>
            <w:tcW w:w="5101" w:type="dxa"/>
            <w:noWrap w:val="0"/>
            <w:vAlign w:val="center"/>
          </w:tcPr>
          <w:p w14:paraId="270207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电线合理布线，电线应按规定及时进行套管，避免多余电线外露</w:t>
            </w:r>
          </w:p>
        </w:tc>
      </w:tr>
      <w:tr w14:paraId="72E3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2A27B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371F5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48071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电灯接线处套管不彻底</w:t>
            </w:r>
          </w:p>
        </w:tc>
        <w:tc>
          <w:tcPr>
            <w:tcW w:w="5101" w:type="dxa"/>
            <w:noWrap w:val="0"/>
            <w:vAlign w:val="center"/>
          </w:tcPr>
          <w:p w14:paraId="6AF395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电线应按规定进行套管，保护线路安全</w:t>
            </w:r>
          </w:p>
        </w:tc>
      </w:tr>
      <w:tr w14:paraId="41BC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850" w:type="dxa"/>
            <w:vMerge w:val="continue"/>
            <w:noWrap w:val="0"/>
            <w:vAlign w:val="center"/>
          </w:tcPr>
          <w:p w14:paraId="7C8794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60E3F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68E0B5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有废弃电线</w:t>
            </w:r>
          </w:p>
        </w:tc>
        <w:tc>
          <w:tcPr>
            <w:tcW w:w="5101" w:type="dxa"/>
            <w:noWrap w:val="0"/>
            <w:vAlign w:val="center"/>
          </w:tcPr>
          <w:p w14:paraId="4C7406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清理电线，做好电气防火措施</w:t>
            </w:r>
          </w:p>
        </w:tc>
      </w:tr>
      <w:tr w14:paraId="0B0E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342ED6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FFD23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693F8B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私拉电线</w:t>
            </w:r>
          </w:p>
        </w:tc>
        <w:tc>
          <w:tcPr>
            <w:tcW w:w="5101" w:type="dxa"/>
            <w:noWrap w:val="0"/>
            <w:vAlign w:val="center"/>
          </w:tcPr>
          <w:p w14:paraId="57A3703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禁止私拉电线，注意用电安全</w:t>
            </w:r>
          </w:p>
        </w:tc>
      </w:tr>
      <w:tr w14:paraId="5543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09959D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677B05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1EFAA5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电线管路直接用绝缘胶带固定</w:t>
            </w:r>
          </w:p>
        </w:tc>
        <w:tc>
          <w:tcPr>
            <w:tcW w:w="5101" w:type="dxa"/>
            <w:noWrap w:val="0"/>
            <w:vAlign w:val="center"/>
          </w:tcPr>
          <w:p w14:paraId="447F17B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对电线管路安装对接管，对其进行加固处理，保证用电安全</w:t>
            </w:r>
          </w:p>
        </w:tc>
      </w:tr>
      <w:tr w14:paraId="6AE9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0BDE61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422901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064A69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电线上有大量植被覆盖</w:t>
            </w:r>
          </w:p>
        </w:tc>
        <w:tc>
          <w:tcPr>
            <w:tcW w:w="5101" w:type="dxa"/>
            <w:noWrap w:val="0"/>
            <w:vAlign w:val="center"/>
          </w:tcPr>
          <w:p w14:paraId="683C642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建议及时清除植被，减少电线承重，消除安全隐患</w:t>
            </w:r>
          </w:p>
        </w:tc>
      </w:tr>
      <w:tr w14:paraId="372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6BBFF1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30FBAB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配电箱</w:t>
            </w:r>
          </w:p>
        </w:tc>
        <w:tc>
          <w:tcPr>
            <w:tcW w:w="0" w:type="auto"/>
            <w:noWrap w:val="0"/>
            <w:vAlign w:val="center"/>
          </w:tcPr>
          <w:p w14:paraId="43186F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配电箱有打火痕迹，无接地</w:t>
            </w:r>
          </w:p>
        </w:tc>
        <w:tc>
          <w:tcPr>
            <w:tcW w:w="5101" w:type="dxa"/>
            <w:noWrap w:val="0"/>
            <w:vAlign w:val="center"/>
          </w:tcPr>
          <w:p w14:paraId="073794C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更换或检查确认安全后方可使用并做好接地保护</w:t>
            </w:r>
          </w:p>
        </w:tc>
      </w:tr>
      <w:tr w14:paraId="1D10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65B144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414C2E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3A843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电气元件在配电箱外</w:t>
            </w:r>
          </w:p>
        </w:tc>
        <w:tc>
          <w:tcPr>
            <w:tcW w:w="5101" w:type="dxa"/>
            <w:noWrap w:val="0"/>
            <w:vAlign w:val="center"/>
          </w:tcPr>
          <w:p w14:paraId="6D494DA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电气元件等应安装在配电箱内</w:t>
            </w:r>
          </w:p>
        </w:tc>
      </w:tr>
      <w:tr w14:paraId="4DFE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107DFD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7DB48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CB63B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配电箱缺少盖板保护</w:t>
            </w:r>
          </w:p>
        </w:tc>
        <w:tc>
          <w:tcPr>
            <w:tcW w:w="5101" w:type="dxa"/>
            <w:noWrap w:val="0"/>
            <w:vAlign w:val="center"/>
          </w:tcPr>
          <w:p w14:paraId="215AD09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应及时加装盖板，以防漏电危险，做好日常用电安全管理</w:t>
            </w:r>
          </w:p>
        </w:tc>
      </w:tr>
      <w:tr w14:paraId="5CBE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66D0E6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771DF9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电灯</w:t>
            </w:r>
          </w:p>
        </w:tc>
        <w:tc>
          <w:tcPr>
            <w:tcW w:w="0" w:type="auto"/>
            <w:noWrap w:val="0"/>
            <w:vAlign w:val="center"/>
          </w:tcPr>
          <w:p w14:paraId="560E1B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电灯等未固定</w:t>
            </w:r>
          </w:p>
        </w:tc>
        <w:tc>
          <w:tcPr>
            <w:tcW w:w="5101" w:type="dxa"/>
            <w:noWrap w:val="0"/>
            <w:vAlign w:val="center"/>
          </w:tcPr>
          <w:p w14:paraId="7FC2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增设固定支架</w:t>
            </w:r>
          </w:p>
        </w:tc>
      </w:tr>
      <w:tr w14:paraId="262B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6B9A5B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6E0844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53EB0E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使用白炽灯</w:t>
            </w:r>
          </w:p>
        </w:tc>
        <w:tc>
          <w:tcPr>
            <w:tcW w:w="5101" w:type="dxa"/>
            <w:noWrap w:val="0"/>
            <w:vAlign w:val="center"/>
          </w:tcPr>
          <w:p w14:paraId="68B8D9C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更换为节能灯、LED灯等安全照明工具</w:t>
            </w:r>
          </w:p>
        </w:tc>
      </w:tr>
      <w:tr w14:paraId="6FAA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30DD23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noWrap w:val="0"/>
            <w:vAlign w:val="center"/>
          </w:tcPr>
          <w:p w14:paraId="25F1A0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插座</w:t>
            </w:r>
          </w:p>
        </w:tc>
        <w:tc>
          <w:tcPr>
            <w:tcW w:w="0" w:type="auto"/>
            <w:noWrap w:val="0"/>
            <w:vAlign w:val="center"/>
          </w:tcPr>
          <w:p w14:paraId="6DD50A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插座未固定</w:t>
            </w:r>
          </w:p>
        </w:tc>
        <w:tc>
          <w:tcPr>
            <w:tcW w:w="5101" w:type="dxa"/>
            <w:noWrap w:val="0"/>
            <w:vAlign w:val="center"/>
          </w:tcPr>
          <w:p w14:paraId="5E6233C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增设固定支架</w:t>
            </w:r>
          </w:p>
        </w:tc>
      </w:tr>
      <w:tr w14:paraId="6A28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145CA8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08291A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其他电器</w:t>
            </w:r>
          </w:p>
        </w:tc>
        <w:tc>
          <w:tcPr>
            <w:tcW w:w="0" w:type="auto"/>
            <w:noWrap w:val="0"/>
            <w:vAlign w:val="center"/>
          </w:tcPr>
          <w:p w14:paraId="6841F8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吊顶电扇固定不牢，开启后摇晃严重</w:t>
            </w:r>
          </w:p>
        </w:tc>
        <w:tc>
          <w:tcPr>
            <w:tcW w:w="5101" w:type="dxa"/>
            <w:noWrap w:val="0"/>
            <w:vAlign w:val="center"/>
          </w:tcPr>
          <w:p w14:paraId="0C7A85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固定吊扇顶部连接杆，保证安全使用</w:t>
            </w:r>
          </w:p>
        </w:tc>
      </w:tr>
      <w:tr w14:paraId="634C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619F87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5ED272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29893D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存在废弃开关</w:t>
            </w:r>
          </w:p>
        </w:tc>
        <w:tc>
          <w:tcPr>
            <w:tcW w:w="5101" w:type="dxa"/>
            <w:noWrap w:val="0"/>
            <w:vAlign w:val="center"/>
          </w:tcPr>
          <w:p w14:paraId="32FFAFF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建议拆除</w:t>
            </w:r>
          </w:p>
        </w:tc>
      </w:tr>
      <w:tr w14:paraId="139E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restart"/>
            <w:noWrap w:val="0"/>
            <w:vAlign w:val="center"/>
          </w:tcPr>
          <w:p w14:paraId="38FA68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消防</w:t>
            </w:r>
          </w:p>
          <w:p w14:paraId="1CA814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安全</w:t>
            </w:r>
          </w:p>
        </w:tc>
        <w:tc>
          <w:tcPr>
            <w:tcW w:w="1592" w:type="dxa"/>
            <w:vMerge w:val="restart"/>
            <w:noWrap w:val="0"/>
            <w:vAlign w:val="center"/>
          </w:tcPr>
          <w:p w14:paraId="5F515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应急疏散</w:t>
            </w:r>
          </w:p>
        </w:tc>
        <w:tc>
          <w:tcPr>
            <w:tcW w:w="0" w:type="auto"/>
            <w:noWrap w:val="0"/>
            <w:vAlign w:val="center"/>
          </w:tcPr>
          <w:p w14:paraId="2734A1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缺少建筑物疏散导图或疏散指示</w:t>
            </w:r>
          </w:p>
        </w:tc>
        <w:tc>
          <w:tcPr>
            <w:tcW w:w="5101" w:type="dxa"/>
            <w:noWrap w:val="0"/>
            <w:vAlign w:val="center"/>
          </w:tcPr>
          <w:p w14:paraId="7A8E4D9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增加建筑物疏散导图及疏散指示等安全标识</w:t>
            </w:r>
          </w:p>
        </w:tc>
      </w:tr>
      <w:tr w14:paraId="6967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3DEEF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385EAD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0AB17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安全出口指示灯故障、脱落</w:t>
            </w:r>
          </w:p>
        </w:tc>
        <w:tc>
          <w:tcPr>
            <w:tcW w:w="5101" w:type="dxa"/>
            <w:noWrap w:val="0"/>
            <w:vAlign w:val="center"/>
          </w:tcPr>
          <w:p w14:paraId="78D6241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p>
        </w:tc>
      </w:tr>
      <w:tr w14:paraId="786D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16699B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21277C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2F1A0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消防通道阻塞</w:t>
            </w:r>
          </w:p>
        </w:tc>
        <w:tc>
          <w:tcPr>
            <w:tcW w:w="5101" w:type="dxa"/>
            <w:noWrap w:val="0"/>
            <w:vAlign w:val="center"/>
          </w:tcPr>
          <w:p w14:paraId="45E08A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建议划定消防通道区域，禁止占用</w:t>
            </w:r>
          </w:p>
        </w:tc>
      </w:tr>
      <w:tr w14:paraId="664A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324B10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559A20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灭火器</w:t>
            </w:r>
          </w:p>
        </w:tc>
        <w:tc>
          <w:tcPr>
            <w:tcW w:w="0" w:type="auto"/>
            <w:noWrap w:val="0"/>
            <w:vAlign w:val="center"/>
          </w:tcPr>
          <w:p w14:paraId="08FE7E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存在废旧灭火器</w:t>
            </w:r>
          </w:p>
        </w:tc>
        <w:tc>
          <w:tcPr>
            <w:tcW w:w="5101" w:type="dxa"/>
            <w:noWrap w:val="0"/>
            <w:vAlign w:val="center"/>
          </w:tcPr>
          <w:p w14:paraId="710D885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对废旧灭火器进行及时拆除、清理</w:t>
            </w:r>
          </w:p>
        </w:tc>
      </w:tr>
      <w:tr w14:paraId="0E1B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5341EF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7B4203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F0A85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灭火器无检查记录</w:t>
            </w:r>
          </w:p>
        </w:tc>
        <w:tc>
          <w:tcPr>
            <w:tcW w:w="5101" w:type="dxa"/>
            <w:noWrap w:val="0"/>
            <w:vAlign w:val="center"/>
          </w:tcPr>
          <w:p w14:paraId="100ABD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需对灭火器进行定期检查</w:t>
            </w:r>
          </w:p>
        </w:tc>
      </w:tr>
      <w:tr w14:paraId="2F73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15BB6A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41986A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27D160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无灭火器等消防设施</w:t>
            </w:r>
          </w:p>
        </w:tc>
        <w:tc>
          <w:tcPr>
            <w:tcW w:w="5101" w:type="dxa"/>
            <w:noWrap w:val="0"/>
            <w:vAlign w:val="center"/>
          </w:tcPr>
          <w:p w14:paraId="17B7F6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需加装灭火器等消防设施，加强安全管理</w:t>
            </w:r>
          </w:p>
        </w:tc>
      </w:tr>
      <w:tr w14:paraId="1C10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2EBEA6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7A98DA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6AAF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灭火器安装位置过高</w:t>
            </w:r>
          </w:p>
        </w:tc>
        <w:tc>
          <w:tcPr>
            <w:tcW w:w="5101" w:type="dxa"/>
            <w:noWrap w:val="0"/>
            <w:vAlign w:val="center"/>
          </w:tcPr>
          <w:p w14:paraId="61499B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需按照规范悬挂，灭火器底部离地面的距离小于或等于1.5m</w:t>
            </w:r>
          </w:p>
        </w:tc>
      </w:tr>
      <w:tr w14:paraId="6CF4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3A61B6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596B2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8F48F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灭火器规格不统一</w:t>
            </w:r>
          </w:p>
        </w:tc>
        <w:tc>
          <w:tcPr>
            <w:tcW w:w="5101" w:type="dxa"/>
            <w:noWrap w:val="0"/>
            <w:vAlign w:val="center"/>
          </w:tcPr>
          <w:p w14:paraId="0069630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同一灭火器箱内应选用同一规格灭火器</w:t>
            </w:r>
          </w:p>
        </w:tc>
      </w:tr>
      <w:tr w14:paraId="53DF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0288CC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6538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5B66F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灭火器被遮挡</w:t>
            </w:r>
          </w:p>
        </w:tc>
        <w:tc>
          <w:tcPr>
            <w:tcW w:w="5101" w:type="dxa"/>
            <w:noWrap w:val="0"/>
            <w:vAlign w:val="center"/>
          </w:tcPr>
          <w:p w14:paraId="6C8A960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将某障碍物移除</w:t>
            </w:r>
          </w:p>
        </w:tc>
      </w:tr>
      <w:tr w14:paraId="4E33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598636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1BFB97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水系统</w:t>
            </w:r>
          </w:p>
        </w:tc>
        <w:tc>
          <w:tcPr>
            <w:tcW w:w="0" w:type="auto"/>
            <w:noWrap w:val="0"/>
            <w:vAlign w:val="center"/>
          </w:tcPr>
          <w:p w14:paraId="59F34E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消火栓被杂草遮蔽</w:t>
            </w:r>
          </w:p>
        </w:tc>
        <w:tc>
          <w:tcPr>
            <w:tcW w:w="5101" w:type="dxa"/>
            <w:noWrap w:val="0"/>
            <w:vAlign w:val="center"/>
          </w:tcPr>
          <w:p w14:paraId="2F37BA4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建议清除杂草</w:t>
            </w:r>
          </w:p>
        </w:tc>
      </w:tr>
      <w:tr w14:paraId="763D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466734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5BD14D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6E32A1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微型消防站柜门无法打开</w:t>
            </w:r>
          </w:p>
        </w:tc>
        <w:tc>
          <w:tcPr>
            <w:tcW w:w="5101" w:type="dxa"/>
            <w:noWrap w:val="0"/>
            <w:vAlign w:val="center"/>
          </w:tcPr>
          <w:p w14:paraId="759F66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微型消防站应便于开启，不得上锁，建议配置破窗锤或使其处于打开状态</w:t>
            </w:r>
          </w:p>
        </w:tc>
      </w:tr>
      <w:tr w14:paraId="681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15ECE2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388A16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3FE21D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消火栓水带直径不匹配</w:t>
            </w:r>
          </w:p>
        </w:tc>
        <w:tc>
          <w:tcPr>
            <w:tcW w:w="5101" w:type="dxa"/>
            <w:noWrap w:val="0"/>
            <w:vAlign w:val="center"/>
          </w:tcPr>
          <w:p w14:paraId="4CE682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配备直径统一的消防水带</w:t>
            </w:r>
          </w:p>
        </w:tc>
      </w:tr>
      <w:tr w14:paraId="11BD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4A7770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11940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3013E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消火栓外箱破损</w:t>
            </w:r>
          </w:p>
        </w:tc>
        <w:tc>
          <w:tcPr>
            <w:tcW w:w="5101" w:type="dxa"/>
            <w:noWrap w:val="0"/>
            <w:vAlign w:val="center"/>
          </w:tcPr>
          <w:p w14:paraId="102DAEA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及时更换或修补消火栓外箱</w:t>
            </w:r>
          </w:p>
        </w:tc>
      </w:tr>
      <w:tr w14:paraId="1061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68D6E1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49C685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363C2C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消火栓出水阀门开关损坏</w:t>
            </w:r>
          </w:p>
        </w:tc>
        <w:tc>
          <w:tcPr>
            <w:tcW w:w="5101" w:type="dxa"/>
            <w:noWrap w:val="0"/>
            <w:vAlign w:val="center"/>
          </w:tcPr>
          <w:p w14:paraId="4A257BF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请专人对消防栓出水阀门开关进行维修</w:t>
            </w:r>
          </w:p>
        </w:tc>
      </w:tr>
      <w:tr w14:paraId="7FF0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4D621E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95F21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622151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消火栓无法开启</w:t>
            </w:r>
          </w:p>
        </w:tc>
        <w:tc>
          <w:tcPr>
            <w:tcW w:w="5101" w:type="dxa"/>
            <w:noWrap w:val="0"/>
            <w:vAlign w:val="center"/>
          </w:tcPr>
          <w:p w14:paraId="55CAB3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建议请专人进行维修</w:t>
            </w:r>
          </w:p>
        </w:tc>
      </w:tr>
      <w:tr w14:paraId="76EA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075B92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2142EE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DF8EA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消火栓被某障碍物挡住无法打开箱门</w:t>
            </w:r>
          </w:p>
        </w:tc>
        <w:tc>
          <w:tcPr>
            <w:tcW w:w="5101" w:type="dxa"/>
            <w:noWrap w:val="0"/>
            <w:vAlign w:val="center"/>
          </w:tcPr>
          <w:p w14:paraId="65C1D33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将某障碍物移除，保障消火栓箱门正常启闭</w:t>
            </w:r>
          </w:p>
        </w:tc>
      </w:tr>
      <w:tr w14:paraId="4D1D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083AA6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DC9B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36E9AB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消火栓未配备消防水带</w:t>
            </w:r>
          </w:p>
        </w:tc>
        <w:tc>
          <w:tcPr>
            <w:tcW w:w="5101" w:type="dxa"/>
            <w:noWrap w:val="0"/>
            <w:vAlign w:val="center"/>
          </w:tcPr>
          <w:p w14:paraId="59322C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建议加装消防水带</w:t>
            </w:r>
          </w:p>
        </w:tc>
      </w:tr>
      <w:tr w14:paraId="7978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37EEEC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3EF029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47230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无室外消火栓</w:t>
            </w:r>
          </w:p>
        </w:tc>
        <w:tc>
          <w:tcPr>
            <w:tcW w:w="5101" w:type="dxa"/>
            <w:noWrap w:val="0"/>
            <w:vAlign w:val="center"/>
          </w:tcPr>
          <w:p w14:paraId="2F1705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建议加装室外消火栓</w:t>
            </w:r>
          </w:p>
        </w:tc>
      </w:tr>
      <w:tr w14:paraId="0002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70823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007929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火灾自动报警系统</w:t>
            </w:r>
          </w:p>
        </w:tc>
        <w:tc>
          <w:tcPr>
            <w:tcW w:w="0" w:type="auto"/>
            <w:noWrap w:val="0"/>
            <w:vAlign w:val="center"/>
          </w:tcPr>
          <w:p w14:paraId="0A903F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无烟感探测器等消防设施</w:t>
            </w:r>
          </w:p>
        </w:tc>
        <w:tc>
          <w:tcPr>
            <w:tcW w:w="5101" w:type="dxa"/>
            <w:noWrap w:val="0"/>
            <w:vAlign w:val="center"/>
          </w:tcPr>
          <w:p w14:paraId="35B43D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需加装烟感探测器等消防设施，加强安全管理</w:t>
            </w:r>
          </w:p>
        </w:tc>
      </w:tr>
      <w:tr w14:paraId="1BEB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4D2A39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F5C11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14B27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烟感、火报等故障</w:t>
            </w:r>
          </w:p>
        </w:tc>
        <w:tc>
          <w:tcPr>
            <w:tcW w:w="5101" w:type="dxa"/>
            <w:noWrap w:val="0"/>
            <w:vAlign w:val="center"/>
          </w:tcPr>
          <w:p w14:paraId="517A41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对烟感火报等定期检查</w:t>
            </w:r>
          </w:p>
        </w:tc>
      </w:tr>
      <w:tr w14:paraId="27F4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2BAE81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F3F80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48ECA2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烟感侧置安装</w:t>
            </w:r>
          </w:p>
        </w:tc>
        <w:tc>
          <w:tcPr>
            <w:tcW w:w="5101" w:type="dxa"/>
            <w:noWrap w:val="0"/>
            <w:vAlign w:val="center"/>
          </w:tcPr>
          <w:p w14:paraId="368582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应请专人水平安装烟感</w:t>
            </w:r>
          </w:p>
        </w:tc>
      </w:tr>
      <w:tr w14:paraId="2BCB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850" w:type="dxa"/>
            <w:vMerge w:val="continue"/>
            <w:noWrap w:val="0"/>
            <w:vAlign w:val="center"/>
          </w:tcPr>
          <w:p w14:paraId="446049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5C5CAE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bottom"/>
          </w:tcPr>
          <w:p w14:paraId="64C42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烟感被遮蔽</w:t>
            </w:r>
          </w:p>
        </w:tc>
        <w:tc>
          <w:tcPr>
            <w:tcW w:w="5101" w:type="dxa"/>
            <w:noWrap w:val="0"/>
            <w:vAlign w:val="center"/>
          </w:tcPr>
          <w:p w14:paraId="44CF84A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建议及时去除保护膜，保证烟感及时报警</w:t>
            </w:r>
          </w:p>
        </w:tc>
      </w:tr>
      <w:tr w14:paraId="47AC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restart"/>
            <w:noWrap w:val="0"/>
            <w:vAlign w:val="center"/>
          </w:tcPr>
          <w:p w14:paraId="50BBA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其他</w:t>
            </w:r>
          </w:p>
          <w:p w14:paraId="21C29F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安全</w:t>
            </w:r>
          </w:p>
        </w:tc>
        <w:tc>
          <w:tcPr>
            <w:tcW w:w="1592" w:type="dxa"/>
            <w:noWrap w:val="0"/>
            <w:vAlign w:val="center"/>
          </w:tcPr>
          <w:p w14:paraId="1797E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可燃物堆积</w:t>
            </w:r>
          </w:p>
        </w:tc>
        <w:tc>
          <w:tcPr>
            <w:tcW w:w="0" w:type="auto"/>
            <w:noWrap w:val="0"/>
            <w:vAlign w:val="bottom"/>
          </w:tcPr>
          <w:p w14:paraId="092FCC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有多处堆放柴火等可燃物、易燃物，存在安全隐患</w:t>
            </w:r>
          </w:p>
        </w:tc>
        <w:tc>
          <w:tcPr>
            <w:tcW w:w="5101" w:type="dxa"/>
            <w:noWrap w:val="0"/>
            <w:vAlign w:val="center"/>
          </w:tcPr>
          <w:p w14:paraId="5493723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建议清除可燃物、易燃物或将其移至其他处，消除火灾隐患</w:t>
            </w:r>
          </w:p>
        </w:tc>
      </w:tr>
      <w:tr w14:paraId="1302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850" w:type="dxa"/>
            <w:vMerge w:val="continue"/>
            <w:noWrap w:val="0"/>
            <w:vAlign w:val="center"/>
          </w:tcPr>
          <w:p w14:paraId="1D50A6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03E412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建筑损坏</w:t>
            </w:r>
          </w:p>
        </w:tc>
        <w:tc>
          <w:tcPr>
            <w:tcW w:w="0" w:type="auto"/>
            <w:noWrap w:val="0"/>
            <w:vAlign w:val="center"/>
          </w:tcPr>
          <w:p w14:paraId="424E4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门窗（楼板、房梁、屋顶、围墙、走廊等）建筑部位损坏严重，存在坍塌(受损、弯曲、倾斜、开裂等)现象</w:t>
            </w:r>
          </w:p>
        </w:tc>
        <w:tc>
          <w:tcPr>
            <w:tcW w:w="5101" w:type="dxa"/>
            <w:noWrap w:val="0"/>
            <w:vAlign w:val="center"/>
          </w:tcPr>
          <w:p w14:paraId="50840A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需及时加固、翻修或修缮门窗(楼板、房梁、屋顶、围墙、走廊等)建筑部位</w:t>
            </w:r>
          </w:p>
        </w:tc>
      </w:tr>
      <w:tr w14:paraId="305A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30631E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36A87F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E58D4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屋顶漏水，影响建筑安全</w:t>
            </w:r>
          </w:p>
        </w:tc>
        <w:tc>
          <w:tcPr>
            <w:tcW w:w="5101" w:type="dxa"/>
            <w:noWrap w:val="0"/>
            <w:vAlign w:val="center"/>
          </w:tcPr>
          <w:p w14:paraId="39ADA3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建议请专人进行维修</w:t>
            </w:r>
          </w:p>
        </w:tc>
      </w:tr>
      <w:tr w14:paraId="24B5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850" w:type="dxa"/>
            <w:vMerge w:val="continue"/>
            <w:noWrap w:val="0"/>
            <w:vAlign w:val="center"/>
          </w:tcPr>
          <w:p w14:paraId="6821C1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58D7C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动火管理</w:t>
            </w:r>
          </w:p>
        </w:tc>
        <w:tc>
          <w:tcPr>
            <w:tcW w:w="0" w:type="auto"/>
            <w:noWrap w:val="0"/>
            <w:vAlign w:val="center"/>
          </w:tcPr>
          <w:p w14:paraId="1793B5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建筑内的厨房，布局不合理，有煤气罐等火灾隐患点</w:t>
            </w:r>
          </w:p>
        </w:tc>
        <w:tc>
          <w:tcPr>
            <w:tcW w:w="5101" w:type="dxa"/>
            <w:noWrap w:val="0"/>
            <w:vAlign w:val="bottom"/>
          </w:tcPr>
          <w:p w14:paraId="4C4089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建议增加防火隔断，加装烟感探测器等消防设施，对居住人员加强安全教育与管理，注意用火安全，煤气灶用完后及时关闭，避免火灾发生</w:t>
            </w:r>
          </w:p>
        </w:tc>
      </w:tr>
      <w:tr w14:paraId="78F4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7688FB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274EB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7F9C23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部分居住人员有抽烟习惯、烟头随意丢置房屋内</w:t>
            </w:r>
          </w:p>
        </w:tc>
        <w:tc>
          <w:tcPr>
            <w:tcW w:w="5101" w:type="dxa"/>
            <w:noWrap w:val="0"/>
            <w:vAlign w:val="center"/>
          </w:tcPr>
          <w:p w14:paraId="6D5A176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建议对居住人员进行消防安全教育，不要随意丢置烟头，及时清理垃圾，保持文保点内环境整洁</w:t>
            </w:r>
          </w:p>
        </w:tc>
      </w:tr>
      <w:tr w14:paraId="2C4E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640399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9710D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2D4A94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周围环境有坟，或引发火灾隐患</w:t>
            </w:r>
          </w:p>
        </w:tc>
        <w:tc>
          <w:tcPr>
            <w:tcW w:w="5101" w:type="dxa"/>
            <w:noWrap w:val="0"/>
            <w:vAlign w:val="center"/>
          </w:tcPr>
          <w:p w14:paraId="4C0305A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每逢上坟期间需加强安全管理，避免因燃放烟火爆竹引发火灾</w:t>
            </w:r>
          </w:p>
        </w:tc>
      </w:tr>
      <w:tr w14:paraId="31F3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5D8FA0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6796A5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2E04CF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内有蜡烛、香炉、香火等火源</w:t>
            </w:r>
          </w:p>
        </w:tc>
        <w:tc>
          <w:tcPr>
            <w:tcW w:w="5101" w:type="dxa"/>
            <w:noWrap w:val="0"/>
            <w:vAlign w:val="center"/>
          </w:tcPr>
          <w:p w14:paraId="28E073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严格控制火源，加强动火管理，做到人离火灭</w:t>
            </w:r>
          </w:p>
        </w:tc>
      </w:tr>
      <w:tr w14:paraId="54C9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7DD12E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noWrap w:val="0"/>
            <w:vAlign w:val="center"/>
          </w:tcPr>
          <w:p w14:paraId="04DA58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杂草</w:t>
            </w:r>
          </w:p>
        </w:tc>
        <w:tc>
          <w:tcPr>
            <w:tcW w:w="0" w:type="auto"/>
            <w:noWrap w:val="0"/>
            <w:vAlign w:val="center"/>
          </w:tcPr>
          <w:p w14:paraId="11B91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杂草丛生或靠近山林,有林火隐患</w:t>
            </w:r>
          </w:p>
        </w:tc>
        <w:tc>
          <w:tcPr>
            <w:tcW w:w="5101" w:type="dxa"/>
            <w:noWrap w:val="0"/>
            <w:vAlign w:val="center"/>
          </w:tcPr>
          <w:p w14:paraId="2D1A146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建议及时清理杂草，并加强日常的防火巡查</w:t>
            </w:r>
          </w:p>
        </w:tc>
      </w:tr>
      <w:tr w14:paraId="3955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850" w:type="dxa"/>
            <w:vMerge w:val="continue"/>
            <w:noWrap w:val="0"/>
            <w:vAlign w:val="center"/>
          </w:tcPr>
          <w:p w14:paraId="4FD1B1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noWrap w:val="0"/>
            <w:vAlign w:val="center"/>
          </w:tcPr>
          <w:p w14:paraId="40F16C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虫蚁</w:t>
            </w:r>
          </w:p>
        </w:tc>
        <w:tc>
          <w:tcPr>
            <w:tcW w:w="0" w:type="auto"/>
            <w:noWrap w:val="0"/>
            <w:vAlign w:val="center"/>
          </w:tcPr>
          <w:p w14:paraId="569F49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有马蜂钻孔、虫蛀痕迹</w:t>
            </w:r>
          </w:p>
        </w:tc>
        <w:tc>
          <w:tcPr>
            <w:tcW w:w="5101" w:type="dxa"/>
            <w:noWrap w:val="0"/>
            <w:vAlign w:val="center"/>
          </w:tcPr>
          <w:p w14:paraId="798273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应及时请专业的除虫人士进行治理与修缮，定期对文物进行灭虫活动</w:t>
            </w:r>
          </w:p>
        </w:tc>
      </w:tr>
      <w:tr w14:paraId="0FF2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50" w:type="dxa"/>
            <w:vMerge w:val="continue"/>
            <w:noWrap w:val="0"/>
            <w:vAlign w:val="center"/>
          </w:tcPr>
          <w:p w14:paraId="67D05D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restart"/>
            <w:noWrap w:val="0"/>
            <w:vAlign w:val="center"/>
          </w:tcPr>
          <w:p w14:paraId="6044A5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其他</w:t>
            </w:r>
          </w:p>
        </w:tc>
        <w:tc>
          <w:tcPr>
            <w:tcW w:w="0" w:type="auto"/>
            <w:noWrap w:val="0"/>
            <w:vAlign w:val="center"/>
          </w:tcPr>
          <w:p w14:paraId="5FB146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楼梯未安装扶手，易发生安全事故</w:t>
            </w:r>
          </w:p>
        </w:tc>
        <w:tc>
          <w:tcPr>
            <w:tcW w:w="5101" w:type="dxa"/>
            <w:noWrap w:val="0"/>
            <w:vAlign w:val="center"/>
          </w:tcPr>
          <w:p w14:paraId="3A87D58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建议对楼梯加装扶手，保证上下楼安全</w:t>
            </w:r>
          </w:p>
        </w:tc>
      </w:tr>
      <w:tr w14:paraId="14AB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47A9A9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11CE8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1B5B7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饲养家禽</w:t>
            </w:r>
          </w:p>
        </w:tc>
        <w:tc>
          <w:tcPr>
            <w:tcW w:w="5101" w:type="dxa"/>
            <w:noWrap w:val="0"/>
            <w:vAlign w:val="center"/>
          </w:tcPr>
          <w:p w14:paraId="5A63E5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建议不要在文物建筑内饲养家禽，保持文物场所干净整洁</w:t>
            </w:r>
          </w:p>
        </w:tc>
      </w:tr>
      <w:tr w14:paraId="3716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5E492D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3FEC6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18A8DC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建筑未安装避雷针</w:t>
            </w:r>
          </w:p>
        </w:tc>
        <w:tc>
          <w:tcPr>
            <w:tcW w:w="5101" w:type="dxa"/>
            <w:noWrap w:val="0"/>
            <w:vAlign w:val="center"/>
          </w:tcPr>
          <w:p w14:paraId="4D51562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建议在建筑上方安装避雷针装置，保证建筑安全</w:t>
            </w:r>
          </w:p>
        </w:tc>
      </w:tr>
      <w:tr w14:paraId="7E22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16FF8E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00D328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0C950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现场正在施工</w:t>
            </w:r>
          </w:p>
        </w:tc>
        <w:tc>
          <w:tcPr>
            <w:tcW w:w="5101" w:type="dxa"/>
            <w:noWrap w:val="0"/>
            <w:vAlign w:val="center"/>
          </w:tcPr>
          <w:p w14:paraId="0B979C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应提醒施工人员注意施工及用电安全，保证人身及建筑安全</w:t>
            </w:r>
          </w:p>
        </w:tc>
      </w:tr>
      <w:tr w14:paraId="6BC7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0" w:type="dxa"/>
            <w:vMerge w:val="continue"/>
            <w:noWrap w:val="0"/>
            <w:vAlign w:val="center"/>
          </w:tcPr>
          <w:p w14:paraId="3CEC87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1592" w:type="dxa"/>
            <w:vMerge w:val="continue"/>
            <w:noWrap w:val="0"/>
            <w:vAlign w:val="center"/>
          </w:tcPr>
          <w:p w14:paraId="6BE5DB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tc>
        <w:tc>
          <w:tcPr>
            <w:tcW w:w="0" w:type="auto"/>
            <w:noWrap w:val="0"/>
            <w:vAlign w:val="center"/>
          </w:tcPr>
          <w:p w14:paraId="31E0D1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无微型消防站</w:t>
            </w:r>
          </w:p>
        </w:tc>
        <w:tc>
          <w:tcPr>
            <w:tcW w:w="5101" w:type="dxa"/>
            <w:noWrap w:val="0"/>
            <w:vAlign w:val="center"/>
          </w:tcPr>
          <w:p w14:paraId="2C6ED7F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建议增加微型消防站</w:t>
            </w:r>
          </w:p>
        </w:tc>
      </w:tr>
    </w:tbl>
    <w:p w14:paraId="64DA72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2"/>
          <w:szCs w:val="22"/>
        </w:rPr>
      </w:pPr>
    </w:p>
    <w:p w14:paraId="7B7C91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sectPr>
          <w:headerReference r:id="rId9" w:type="default"/>
          <w:pgSz w:w="11906" w:h="16838"/>
          <w:pgMar w:top="2098" w:right="1474" w:bottom="1984" w:left="1587" w:header="851" w:footer="992" w:gutter="0"/>
          <w:cols w:space="720" w:num="1"/>
          <w:docGrid w:type="lines" w:linePitch="312" w:charSpace="0"/>
        </w:sectPr>
      </w:pPr>
    </w:p>
    <w:p w14:paraId="745FE6DD">
      <w:pPr>
        <w:pStyle w:val="3"/>
        <w:keepNext/>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14:paraId="3F6384B9">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永嘉县文保单位安全隐患巡查第三方技术服务考核表</w:t>
      </w:r>
    </w:p>
    <w:p w14:paraId="436A4490">
      <w:pPr>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得分：</w:t>
      </w:r>
    </w:p>
    <w:tbl>
      <w:tblPr>
        <w:tblStyle w:val="44"/>
        <w:tblW w:w="14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26"/>
        <w:gridCol w:w="744"/>
        <w:gridCol w:w="6564"/>
        <w:gridCol w:w="4272"/>
        <w:gridCol w:w="610"/>
      </w:tblGrid>
      <w:tr w14:paraId="4DAA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7D28BA0">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序号</w:t>
            </w:r>
          </w:p>
        </w:tc>
        <w:tc>
          <w:tcPr>
            <w:tcW w:w="1326" w:type="dxa"/>
            <w:noWrap w:val="0"/>
            <w:vAlign w:val="center"/>
          </w:tcPr>
          <w:p w14:paraId="5CE3A1EC">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考核</w:t>
            </w:r>
          </w:p>
          <w:p w14:paraId="0F3AB435">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w:t>
            </w:r>
          </w:p>
        </w:tc>
        <w:tc>
          <w:tcPr>
            <w:tcW w:w="744" w:type="dxa"/>
            <w:noWrap w:val="0"/>
            <w:vAlign w:val="center"/>
          </w:tcPr>
          <w:p w14:paraId="7EC29241">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分值</w:t>
            </w:r>
          </w:p>
        </w:tc>
        <w:tc>
          <w:tcPr>
            <w:tcW w:w="6564" w:type="dxa"/>
            <w:noWrap w:val="0"/>
            <w:vAlign w:val="center"/>
          </w:tcPr>
          <w:p w14:paraId="74ED69EB">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考核内容</w:t>
            </w:r>
          </w:p>
        </w:tc>
        <w:tc>
          <w:tcPr>
            <w:tcW w:w="4272" w:type="dxa"/>
            <w:noWrap w:val="0"/>
            <w:vAlign w:val="center"/>
          </w:tcPr>
          <w:p w14:paraId="533F1468">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考核标准</w:t>
            </w:r>
          </w:p>
        </w:tc>
        <w:tc>
          <w:tcPr>
            <w:tcW w:w="610" w:type="dxa"/>
            <w:noWrap w:val="0"/>
            <w:vAlign w:val="center"/>
          </w:tcPr>
          <w:p w14:paraId="6EAEACB0">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得分</w:t>
            </w:r>
          </w:p>
        </w:tc>
      </w:tr>
      <w:tr w14:paraId="2478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17" w:type="dxa"/>
            <w:noWrap w:val="0"/>
            <w:vAlign w:val="center"/>
          </w:tcPr>
          <w:p w14:paraId="35495D19">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326" w:type="dxa"/>
            <w:noWrap w:val="0"/>
            <w:vAlign w:val="center"/>
          </w:tcPr>
          <w:p w14:paraId="3E4C1FF0">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安全隐患</w:t>
            </w:r>
            <w:r>
              <w:rPr>
                <w:rFonts w:hint="eastAsia" w:ascii="宋体" w:hAnsi="宋体" w:eastAsia="宋体" w:cs="宋体"/>
                <w:b w:val="0"/>
                <w:bCs w:val="0"/>
                <w:sz w:val="24"/>
                <w:szCs w:val="24"/>
                <w:u w:val="none"/>
              </w:rPr>
              <w:t>排查</w:t>
            </w:r>
            <w:r>
              <w:rPr>
                <w:rFonts w:hint="eastAsia" w:ascii="宋体" w:hAnsi="宋体" w:eastAsia="宋体" w:cs="宋体"/>
                <w:b w:val="0"/>
                <w:bCs w:val="0"/>
                <w:sz w:val="24"/>
                <w:szCs w:val="24"/>
              </w:rPr>
              <w:t>方案</w:t>
            </w:r>
          </w:p>
          <w:p w14:paraId="0297A4FC">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制定</w:t>
            </w:r>
          </w:p>
        </w:tc>
        <w:tc>
          <w:tcPr>
            <w:tcW w:w="744" w:type="dxa"/>
            <w:noWrap w:val="0"/>
            <w:vAlign w:val="center"/>
          </w:tcPr>
          <w:p w14:paraId="499D5433">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6564" w:type="dxa"/>
            <w:noWrap w:val="0"/>
            <w:vAlign w:val="center"/>
          </w:tcPr>
          <w:p w14:paraId="18BDF4E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乙方是否根据全县文保单位特点，制定详细的安全隐患排查方案，并根据对照方案进行排查</w:t>
            </w:r>
          </w:p>
        </w:tc>
        <w:tc>
          <w:tcPr>
            <w:tcW w:w="4272" w:type="dxa"/>
            <w:noWrap w:val="0"/>
            <w:vAlign w:val="center"/>
          </w:tcPr>
          <w:p w14:paraId="19EE207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甲方将对文保单位进行随机抽查，对照排查方案进行一一核实，未严格落实的，每漏检一项扣1分，并扣除每一项服务费1000元。</w:t>
            </w:r>
          </w:p>
        </w:tc>
        <w:tc>
          <w:tcPr>
            <w:tcW w:w="610" w:type="dxa"/>
            <w:noWrap w:val="0"/>
            <w:vAlign w:val="center"/>
          </w:tcPr>
          <w:p w14:paraId="35F44EA6">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r w14:paraId="7353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17" w:type="dxa"/>
            <w:noWrap w:val="0"/>
            <w:vAlign w:val="center"/>
          </w:tcPr>
          <w:p w14:paraId="1C1B2C13">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2</w:t>
            </w:r>
          </w:p>
        </w:tc>
        <w:tc>
          <w:tcPr>
            <w:tcW w:w="1326" w:type="dxa"/>
            <w:noWrap w:val="0"/>
            <w:vAlign w:val="center"/>
          </w:tcPr>
          <w:p w14:paraId="17597230">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驻场服务人员工作评定</w:t>
            </w:r>
          </w:p>
        </w:tc>
        <w:tc>
          <w:tcPr>
            <w:tcW w:w="744" w:type="dxa"/>
            <w:noWrap w:val="0"/>
            <w:vAlign w:val="center"/>
          </w:tcPr>
          <w:p w14:paraId="7A3F845C">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6564" w:type="dxa"/>
            <w:noWrap w:val="0"/>
            <w:vAlign w:val="center"/>
          </w:tcPr>
          <w:p w14:paraId="4A5ACB3B">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乙方是否派遣专业人员驻场服务（专科及以上学历并具有相关专业背景）；</w:t>
            </w:r>
          </w:p>
          <w:p w14:paraId="6CAD5706">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派遣人员是否胜任甲方日常工作管理。（负责协助隐患整治数字化平台管理、永嘉县文物安全隐患检查、跟踪乡镇文物安全隐患闭环整改及甲方交办的与文物安全相关工作。</w:t>
            </w:r>
          </w:p>
        </w:tc>
        <w:tc>
          <w:tcPr>
            <w:tcW w:w="4272" w:type="dxa"/>
            <w:noWrap w:val="0"/>
            <w:vAlign w:val="center"/>
          </w:tcPr>
          <w:p w14:paraId="562D96E3">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未派遣专业人员驻场每缺一个月扣除服务费5000元；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派遣人员不能胜任工作，每出现一次重大失误的扣除服务费5000元。</w:t>
            </w:r>
          </w:p>
        </w:tc>
        <w:tc>
          <w:tcPr>
            <w:tcW w:w="610" w:type="dxa"/>
            <w:noWrap w:val="0"/>
            <w:vAlign w:val="center"/>
          </w:tcPr>
          <w:p w14:paraId="33D76A80">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r w14:paraId="4238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17" w:type="dxa"/>
            <w:noWrap w:val="0"/>
            <w:vAlign w:val="center"/>
          </w:tcPr>
          <w:p w14:paraId="26DB3AD7">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3</w:t>
            </w:r>
          </w:p>
        </w:tc>
        <w:tc>
          <w:tcPr>
            <w:tcW w:w="1326" w:type="dxa"/>
            <w:noWrap w:val="0"/>
            <w:vAlign w:val="center"/>
          </w:tcPr>
          <w:p w14:paraId="4A5226BB">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安全风险等级评定</w:t>
            </w:r>
          </w:p>
        </w:tc>
        <w:tc>
          <w:tcPr>
            <w:tcW w:w="744" w:type="dxa"/>
            <w:noWrap w:val="0"/>
            <w:vAlign w:val="center"/>
          </w:tcPr>
          <w:p w14:paraId="204076F8">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6564" w:type="dxa"/>
            <w:noWrap w:val="0"/>
            <w:vAlign w:val="center"/>
          </w:tcPr>
          <w:p w14:paraId="030023D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p>
          <w:p w14:paraId="5A97C1CE">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乙方是否根据文保单位的实际情况对安全风险等级评定</w:t>
            </w:r>
          </w:p>
          <w:p w14:paraId="41BAA57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p>
        </w:tc>
        <w:tc>
          <w:tcPr>
            <w:tcW w:w="4272" w:type="dxa"/>
            <w:noWrap w:val="0"/>
            <w:vAlign w:val="center"/>
          </w:tcPr>
          <w:p w14:paraId="5370668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文保单位风险等级划分不合理，每一个扣1分，并扣除每一个服务费1000元。</w:t>
            </w:r>
          </w:p>
        </w:tc>
        <w:tc>
          <w:tcPr>
            <w:tcW w:w="610" w:type="dxa"/>
            <w:noWrap w:val="0"/>
            <w:vAlign w:val="center"/>
          </w:tcPr>
          <w:p w14:paraId="6C79D681">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r w14:paraId="6A18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17" w:type="dxa"/>
            <w:noWrap w:val="0"/>
            <w:vAlign w:val="center"/>
          </w:tcPr>
          <w:p w14:paraId="3CFADF35">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4</w:t>
            </w:r>
          </w:p>
        </w:tc>
        <w:tc>
          <w:tcPr>
            <w:tcW w:w="1326" w:type="dxa"/>
            <w:noWrap w:val="0"/>
            <w:vAlign w:val="center"/>
          </w:tcPr>
          <w:p w14:paraId="0F674BE1">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安全隐患排查情况</w:t>
            </w:r>
          </w:p>
        </w:tc>
        <w:tc>
          <w:tcPr>
            <w:tcW w:w="744" w:type="dxa"/>
            <w:noWrap w:val="0"/>
            <w:vAlign w:val="center"/>
          </w:tcPr>
          <w:p w14:paraId="51656BEC">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w:t>
            </w:r>
          </w:p>
        </w:tc>
        <w:tc>
          <w:tcPr>
            <w:tcW w:w="6564" w:type="dxa"/>
            <w:noWrap w:val="0"/>
            <w:vAlign w:val="center"/>
          </w:tcPr>
          <w:p w14:paraId="5FF9F02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乙方是否根据风险等级评定结果，组织人员对高风险等级建筑每月进行一次安全隐患排查，对中风险等级建筑每两月进行一次安全隐患排查，对低风险等级建筑每季度进行一次安全隐患排查，每月15日前排查完毕</w:t>
            </w:r>
          </w:p>
        </w:tc>
        <w:tc>
          <w:tcPr>
            <w:tcW w:w="4272" w:type="dxa"/>
            <w:noWrap w:val="0"/>
            <w:vAlign w:val="center"/>
          </w:tcPr>
          <w:p w14:paraId="4018772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未按时完成排查工作，每拖延1天扣1分，文保单位每漏检一个扣1分，并扣除每一个服务5000元。</w:t>
            </w:r>
          </w:p>
        </w:tc>
        <w:tc>
          <w:tcPr>
            <w:tcW w:w="610" w:type="dxa"/>
            <w:noWrap w:val="0"/>
            <w:vAlign w:val="center"/>
          </w:tcPr>
          <w:p w14:paraId="1D70A22C">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r w14:paraId="28C8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F1C189">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5</w:t>
            </w:r>
          </w:p>
        </w:tc>
        <w:tc>
          <w:tcPr>
            <w:tcW w:w="1326" w:type="dxa"/>
            <w:noWrap w:val="0"/>
            <w:vAlign w:val="center"/>
          </w:tcPr>
          <w:p w14:paraId="0B131B19">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安全隐患上传平台</w:t>
            </w:r>
          </w:p>
        </w:tc>
        <w:tc>
          <w:tcPr>
            <w:tcW w:w="744" w:type="dxa"/>
            <w:noWrap w:val="0"/>
            <w:vAlign w:val="center"/>
          </w:tcPr>
          <w:p w14:paraId="42E6F42C">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6564" w:type="dxa"/>
            <w:noWrap w:val="0"/>
            <w:vAlign w:val="center"/>
          </w:tcPr>
          <w:p w14:paraId="0E3BA9F3">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乙方是否在排查结束三日内将安全隐患全部上传至甲方指定平台待甲方进行审核</w:t>
            </w:r>
          </w:p>
        </w:tc>
        <w:tc>
          <w:tcPr>
            <w:tcW w:w="4272" w:type="dxa"/>
            <w:noWrap w:val="0"/>
            <w:vAlign w:val="center"/>
          </w:tcPr>
          <w:p w14:paraId="68329F13">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未及时完成平台上传工作，每拖延1天扣1分，并扣除每一天服务费5000元。</w:t>
            </w:r>
          </w:p>
        </w:tc>
        <w:tc>
          <w:tcPr>
            <w:tcW w:w="610" w:type="dxa"/>
            <w:noWrap w:val="0"/>
            <w:vAlign w:val="center"/>
          </w:tcPr>
          <w:p w14:paraId="00F4F279">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r w14:paraId="23BE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213CB35">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6</w:t>
            </w:r>
          </w:p>
        </w:tc>
        <w:tc>
          <w:tcPr>
            <w:tcW w:w="1326" w:type="dxa"/>
            <w:noWrap w:val="0"/>
            <w:vAlign w:val="center"/>
          </w:tcPr>
          <w:p w14:paraId="1CED03EE">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安全隐患排查报告</w:t>
            </w:r>
          </w:p>
        </w:tc>
        <w:tc>
          <w:tcPr>
            <w:tcW w:w="744" w:type="dxa"/>
            <w:noWrap w:val="0"/>
            <w:vAlign w:val="center"/>
          </w:tcPr>
          <w:p w14:paraId="2E85CD2D">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30</w:t>
            </w:r>
          </w:p>
        </w:tc>
        <w:tc>
          <w:tcPr>
            <w:tcW w:w="6564" w:type="dxa"/>
            <w:noWrap w:val="0"/>
            <w:vAlign w:val="center"/>
          </w:tcPr>
          <w:p w14:paraId="60EA152C">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乙方是否根据安全隐患排查结果撰写排查报告，形成一单位一档案，每月25号前交付甲方</w:t>
            </w:r>
          </w:p>
        </w:tc>
        <w:tc>
          <w:tcPr>
            <w:tcW w:w="4272" w:type="dxa"/>
            <w:noWrap w:val="0"/>
            <w:vAlign w:val="center"/>
          </w:tcPr>
          <w:p w14:paraId="5C9D8E1B">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未及时交付排查报告，每拖延1天扣2分，报告内容不全面、分析不细致扣5分，并扣除每一次服务费5000元。</w:t>
            </w:r>
          </w:p>
        </w:tc>
        <w:tc>
          <w:tcPr>
            <w:tcW w:w="610" w:type="dxa"/>
            <w:noWrap w:val="0"/>
            <w:vAlign w:val="center"/>
          </w:tcPr>
          <w:p w14:paraId="4DDC68ED">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r w14:paraId="1C7B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A57C94B">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p>
        </w:tc>
        <w:tc>
          <w:tcPr>
            <w:tcW w:w="1326" w:type="dxa"/>
            <w:noWrap w:val="0"/>
            <w:vAlign w:val="center"/>
          </w:tcPr>
          <w:p w14:paraId="1ADFDBA3">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安全隐患巡查汇报</w:t>
            </w:r>
          </w:p>
        </w:tc>
        <w:tc>
          <w:tcPr>
            <w:tcW w:w="744" w:type="dxa"/>
            <w:noWrap w:val="0"/>
            <w:vAlign w:val="center"/>
          </w:tcPr>
          <w:p w14:paraId="0D561246">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6564" w:type="dxa"/>
            <w:noWrap w:val="0"/>
            <w:vAlign w:val="center"/>
          </w:tcPr>
          <w:p w14:paraId="1A42F963">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乙方对全县所有文保单位安全隐患排查报告进行分析汇总，形成全县文保单位安全形式分析总报告一份，项目结题前交付，同时每季度向甲方汇报整体安全隐患排查情况一次</w:t>
            </w:r>
          </w:p>
        </w:tc>
        <w:tc>
          <w:tcPr>
            <w:tcW w:w="4272" w:type="dxa"/>
            <w:noWrap w:val="0"/>
            <w:vAlign w:val="center"/>
          </w:tcPr>
          <w:p w14:paraId="331F315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汇报内容不详实，每次扣2分，未及时交付总报告，每拖延1天扣1分，并扣除每一天服务费1000元。</w:t>
            </w:r>
          </w:p>
        </w:tc>
        <w:tc>
          <w:tcPr>
            <w:tcW w:w="610" w:type="dxa"/>
            <w:noWrap w:val="0"/>
            <w:vAlign w:val="center"/>
          </w:tcPr>
          <w:p w14:paraId="6E6AACD5">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rPr>
            </w:pPr>
          </w:p>
        </w:tc>
      </w:tr>
    </w:tbl>
    <w:p w14:paraId="71A9E3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4"/>
          <w:szCs w:val="24"/>
        </w:rPr>
        <w:t>备注：</w:t>
      </w:r>
      <w:r>
        <w:rPr>
          <w:rFonts w:hint="eastAsia" w:ascii="宋体" w:hAnsi="宋体" w:eastAsia="宋体" w:cs="宋体"/>
          <w:b w:val="0"/>
          <w:bCs w:val="0"/>
          <w:sz w:val="24"/>
          <w:szCs w:val="24"/>
          <w:u w:val="none"/>
          <w:lang w:val="en-US" w:eastAsia="zh-CN"/>
        </w:rPr>
        <w:t>甲方将不定期</w:t>
      </w:r>
      <w:r>
        <w:rPr>
          <w:rFonts w:hint="eastAsia" w:ascii="宋体" w:hAnsi="宋体" w:eastAsia="宋体" w:cs="宋体"/>
          <w:b w:val="0"/>
          <w:bCs w:val="0"/>
          <w:sz w:val="24"/>
          <w:szCs w:val="24"/>
          <w:u w:val="none"/>
        </w:rPr>
        <w:t>参照上述标准进行考核，</w:t>
      </w:r>
      <w:r>
        <w:rPr>
          <w:rFonts w:hint="eastAsia" w:ascii="宋体" w:hAnsi="宋体" w:eastAsia="宋体" w:cs="宋体"/>
          <w:b w:val="0"/>
          <w:bCs w:val="0"/>
          <w:sz w:val="24"/>
          <w:szCs w:val="24"/>
        </w:rPr>
        <w:t>考核标准：90—100分为优秀；80—90为合格；80以下为不合格。被评为不合格的扣除当年合同约定的50%服务费</w:t>
      </w:r>
      <w:r>
        <w:rPr>
          <w:rFonts w:hint="eastAsia" w:ascii="宋体" w:hAnsi="宋体" w:eastAsia="宋体" w:cs="宋体"/>
          <w:b w:val="0"/>
          <w:bCs w:val="0"/>
          <w:sz w:val="24"/>
          <w:szCs w:val="24"/>
          <w:lang w:eastAsia="zh-CN"/>
        </w:rPr>
        <w:t>。</w:t>
      </w:r>
    </w:p>
    <w:p w14:paraId="3DF11AE4">
      <w:pPr>
        <w:spacing w:line="360" w:lineRule="auto"/>
        <w:rPr>
          <w:rFonts w:hint="eastAsia" w:ascii="宋体" w:hAnsi="宋体" w:eastAsia="宋体" w:cs="宋体"/>
          <w:color w:val="auto"/>
          <w:sz w:val="22"/>
          <w:szCs w:val="22"/>
        </w:rPr>
      </w:pPr>
    </w:p>
    <w:p w14:paraId="2EF1A416">
      <w:pPr>
        <w:spacing w:line="360" w:lineRule="auto"/>
        <w:rPr>
          <w:rFonts w:hint="eastAsia" w:ascii="宋体" w:hAnsi="宋体" w:eastAsia="宋体" w:cs="宋体"/>
          <w:color w:val="auto"/>
          <w:sz w:val="22"/>
          <w:szCs w:val="22"/>
        </w:rPr>
        <w:sectPr>
          <w:footerReference r:id="rId13" w:type="first"/>
          <w:headerReference r:id="rId10" w:type="default"/>
          <w:footerReference r:id="rId11" w:type="default"/>
          <w:footerReference r:id="rId12" w:type="even"/>
          <w:pgSz w:w="16840" w:h="11907" w:orient="landscape"/>
          <w:pgMar w:top="1440" w:right="1440" w:bottom="1117" w:left="1440" w:header="720" w:footer="720" w:gutter="0"/>
          <w:cols w:space="720" w:num="1"/>
          <w:titlePg/>
          <w:docGrid w:linePitch="286" w:charSpace="0"/>
        </w:sectPr>
      </w:pPr>
      <w:r>
        <w:rPr>
          <w:rFonts w:hint="eastAsia" w:ascii="宋体" w:hAnsi="宋体" w:eastAsia="宋体" w:cs="宋体"/>
          <w:color w:val="auto"/>
          <w:sz w:val="22"/>
          <w:szCs w:val="22"/>
        </w:rPr>
        <w:t>注：本合同作为示范文本，具体以中标（成交）供应商与采购人所签订正式合同为准</w:t>
      </w:r>
    </w:p>
    <w:p w14:paraId="5E7EE9A1">
      <w:pPr>
        <w:pStyle w:val="6"/>
        <w:rPr>
          <w:rFonts w:ascii="宋体" w:hAnsi="宋体" w:cs="宋体"/>
          <w:color w:val="auto"/>
        </w:rPr>
      </w:pPr>
      <w:bookmarkStart w:id="73" w:name="_Toc25305"/>
      <w:r>
        <w:rPr>
          <w:rFonts w:hint="eastAsia" w:ascii="宋体" w:hAnsi="宋体" w:cs="宋体"/>
          <w:color w:val="auto"/>
        </w:rPr>
        <w:t>第六部分 磋商响应文件格式</w:t>
      </w:r>
      <w:bookmarkEnd w:id="73"/>
    </w:p>
    <w:p w14:paraId="1D57A76F">
      <w:pPr>
        <w:pStyle w:val="6"/>
        <w:rPr>
          <w:rFonts w:ascii="宋体" w:hAnsi="宋体" w:cs="宋体"/>
          <w:color w:val="auto"/>
        </w:rPr>
      </w:pPr>
      <w:bookmarkStart w:id="74" w:name="_Toc65590090"/>
      <w:bookmarkStart w:id="75" w:name="_Toc42678689"/>
      <w:bookmarkStart w:id="76" w:name="_Toc259"/>
      <w:bookmarkStart w:id="77" w:name="_Toc161563051"/>
      <w:r>
        <w:rPr>
          <w:rFonts w:hint="eastAsia" w:ascii="宋体" w:hAnsi="宋体" w:cs="宋体"/>
          <w:color w:val="auto"/>
        </w:rPr>
        <w:t>一、资格文件部分格式</w:t>
      </w:r>
      <w:bookmarkEnd w:id="74"/>
      <w:bookmarkEnd w:id="75"/>
      <w:bookmarkEnd w:id="76"/>
    </w:p>
    <w:p w14:paraId="7231FDC1">
      <w:pPr>
        <w:widowControl/>
        <w:spacing w:line="460" w:lineRule="atLeast"/>
        <w:jc w:val="left"/>
        <w:rPr>
          <w:rFonts w:ascii="宋体" w:eastAsia="宋体"/>
          <w:color w:val="auto"/>
          <w:sz w:val="22"/>
          <w:szCs w:val="22"/>
        </w:rPr>
      </w:pPr>
      <w:r>
        <w:rPr>
          <w:rFonts w:hint="eastAsia" w:ascii="宋体" w:eastAsia="宋体"/>
          <w:color w:val="auto"/>
          <w:sz w:val="22"/>
          <w:szCs w:val="22"/>
        </w:rPr>
        <w:t>附件一</w:t>
      </w:r>
    </w:p>
    <w:p w14:paraId="5E708323">
      <w:pPr>
        <w:pStyle w:val="6"/>
        <w:rPr>
          <w:rFonts w:ascii="宋体" w:hAnsi="宋体" w:cs="宋体"/>
          <w:color w:val="auto"/>
          <w:lang w:val="zh-CN"/>
        </w:rPr>
      </w:pPr>
      <w:bookmarkStart w:id="78" w:name="_Toc42678024"/>
      <w:bookmarkStart w:id="79" w:name="_Toc65590091"/>
      <w:bookmarkStart w:id="80" w:name="_Toc42678179"/>
      <w:bookmarkStart w:id="81" w:name="_Toc42243282"/>
      <w:bookmarkStart w:id="82" w:name="_Toc65830019"/>
      <w:bookmarkStart w:id="83" w:name="_Toc61444210"/>
      <w:bookmarkStart w:id="84" w:name="_Toc42678690"/>
      <w:r>
        <w:rPr>
          <w:rFonts w:hint="eastAsia" w:ascii="宋体" w:hAnsi="宋体" w:cs="宋体"/>
          <w:color w:val="auto"/>
          <w:lang w:val="zh-CN"/>
        </w:rPr>
        <w:t>具有财务会计制度、设备和专业技术能力、</w:t>
      </w:r>
      <w:r>
        <w:rPr>
          <w:rFonts w:hint="eastAsia" w:ascii="宋体" w:hAnsi="宋体" w:cs="宋体"/>
          <w:color w:val="auto"/>
        </w:rPr>
        <w:t>依法</w:t>
      </w:r>
      <w:r>
        <w:rPr>
          <w:rFonts w:hint="eastAsia" w:ascii="宋体" w:hAnsi="宋体" w:cs="宋体"/>
          <w:color w:val="auto"/>
          <w:lang w:val="zh-CN"/>
        </w:rPr>
        <w:t>缴纳税收和社会保障资金</w:t>
      </w:r>
      <w:r>
        <w:rPr>
          <w:rFonts w:hint="eastAsia" w:ascii="宋体" w:hAnsi="宋体" w:cs="宋体"/>
          <w:color w:val="auto"/>
        </w:rPr>
        <w:t>记录</w:t>
      </w:r>
      <w:r>
        <w:rPr>
          <w:rFonts w:hint="eastAsia" w:ascii="宋体" w:hAnsi="宋体" w:cs="宋体"/>
          <w:color w:val="auto"/>
          <w:lang w:val="zh-CN"/>
        </w:rPr>
        <w:t>、</w:t>
      </w:r>
      <w:r>
        <w:rPr>
          <w:rFonts w:hint="eastAsia" w:ascii="宋体" w:hAnsi="宋体" w:cs="宋体"/>
          <w:color w:val="auto"/>
        </w:rPr>
        <w:t>无</w:t>
      </w:r>
      <w:r>
        <w:rPr>
          <w:rFonts w:hint="eastAsia" w:ascii="宋体" w:hAnsi="宋体" w:cs="宋体"/>
          <w:color w:val="auto"/>
          <w:lang w:val="zh-CN"/>
        </w:rPr>
        <w:t>重大违法记录的承诺函</w:t>
      </w:r>
      <w:bookmarkEnd w:id="78"/>
      <w:bookmarkEnd w:id="79"/>
      <w:bookmarkEnd w:id="80"/>
      <w:bookmarkEnd w:id="81"/>
      <w:bookmarkEnd w:id="82"/>
      <w:bookmarkEnd w:id="83"/>
      <w:bookmarkEnd w:id="84"/>
    </w:p>
    <w:p w14:paraId="718BE0A9">
      <w:pPr>
        <w:spacing w:line="460" w:lineRule="exact"/>
        <w:rPr>
          <w:rFonts w:ascii="宋体" w:eastAsia="宋体"/>
          <w:color w:val="auto"/>
          <w:sz w:val="22"/>
          <w:szCs w:val="22"/>
          <w:u w:val="single"/>
        </w:rPr>
      </w:pPr>
    </w:p>
    <w:p w14:paraId="44C1F428">
      <w:pPr>
        <w:spacing w:line="460" w:lineRule="exact"/>
        <w:rPr>
          <w:rFonts w:ascii="宋体" w:eastAsia="宋体"/>
          <w:bCs w:val="0"/>
          <w:color w:val="auto"/>
          <w:sz w:val="22"/>
          <w:szCs w:val="22"/>
          <w:u w:val="single"/>
        </w:rPr>
      </w:pPr>
      <w:r>
        <w:rPr>
          <w:rFonts w:hint="eastAsia" w:ascii="宋体" w:eastAsia="宋体"/>
          <w:bCs w:val="0"/>
          <w:color w:val="auto"/>
          <w:sz w:val="22"/>
          <w:szCs w:val="22"/>
          <w:u w:val="single"/>
        </w:rPr>
        <w:t>永嘉县文化和广电旅游体育局：</w:t>
      </w:r>
    </w:p>
    <w:p w14:paraId="479A8D94">
      <w:pPr>
        <w:spacing w:line="460" w:lineRule="exact"/>
        <w:rPr>
          <w:rFonts w:ascii="宋体" w:eastAsia="宋体"/>
          <w:color w:val="auto"/>
          <w:sz w:val="22"/>
          <w:szCs w:val="22"/>
          <w:u w:val="single"/>
        </w:rPr>
      </w:pPr>
      <w:r>
        <w:rPr>
          <w:rFonts w:hint="eastAsia" w:ascii="宋体" w:eastAsia="宋体"/>
          <w:bCs w:val="0"/>
          <w:color w:val="auto"/>
          <w:sz w:val="22"/>
          <w:szCs w:val="22"/>
          <w:u w:val="single"/>
        </w:rPr>
        <w:t>温州市中概工程管</w:t>
      </w:r>
      <w:r>
        <w:rPr>
          <w:rFonts w:hint="eastAsia" w:ascii="宋体" w:eastAsia="宋体"/>
          <w:color w:val="auto"/>
          <w:sz w:val="22"/>
          <w:szCs w:val="22"/>
          <w:u w:val="single"/>
        </w:rPr>
        <w:t>理咨询有限公司：</w:t>
      </w:r>
    </w:p>
    <w:p w14:paraId="6A66D5AB">
      <w:pPr>
        <w:widowControl/>
        <w:snapToGrid w:val="0"/>
        <w:spacing w:line="460" w:lineRule="exact"/>
        <w:ind w:firstLine="442" w:firstLineChars="200"/>
        <w:jc w:val="left"/>
        <w:rPr>
          <w:rFonts w:ascii="宋体" w:eastAsia="宋体"/>
          <w:color w:val="auto"/>
          <w:sz w:val="22"/>
          <w:szCs w:val="22"/>
        </w:rPr>
      </w:pPr>
    </w:p>
    <w:p w14:paraId="3EFFBA80">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我公司郑重声明:</w:t>
      </w:r>
    </w:p>
    <w:p w14:paraId="13F1AC18">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1、具有良好的商业信誉和健全的财务会计制度；</w:t>
      </w:r>
    </w:p>
    <w:p w14:paraId="609F513C">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2、承诺具有履行合同所必需的设备和专业技术能力。如有虚假，采购人可取消我方任何资格（投标/中标/签订合同），我方对此无任何异议。</w:t>
      </w:r>
    </w:p>
    <w:p w14:paraId="6AED4E06">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3、严格依法缴纳税收和社会保障资金，本文件中所提供的相关材料均真实有效，不存在虚假、造假行为。如有违反，愿承担一切责任。</w:t>
      </w:r>
    </w:p>
    <w:p w14:paraId="280173B8">
      <w:pPr>
        <w:widowControl/>
        <w:snapToGrid w:val="0"/>
        <w:spacing w:line="460" w:lineRule="exact"/>
        <w:ind w:firstLine="440" w:firstLineChars="200"/>
        <w:jc w:val="left"/>
        <w:rPr>
          <w:rFonts w:ascii="宋体" w:eastAsia="宋体"/>
          <w:b w:val="0"/>
          <w:bCs w:val="0"/>
          <w:color w:val="auto"/>
        </w:rPr>
      </w:pPr>
      <w:r>
        <w:rPr>
          <w:rFonts w:hint="eastAsia" w:ascii="宋体" w:eastAsia="宋体"/>
          <w:b w:val="0"/>
          <w:bCs w:val="0"/>
          <w:color w:val="auto"/>
          <w:sz w:val="22"/>
          <w:szCs w:val="22"/>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521EA06">
      <w:pPr>
        <w:widowControl/>
        <w:snapToGrid w:val="0"/>
        <w:spacing w:line="460" w:lineRule="exact"/>
        <w:ind w:firstLine="440" w:firstLineChars="200"/>
        <w:jc w:val="left"/>
        <w:rPr>
          <w:rFonts w:ascii="宋体" w:eastAsia="宋体"/>
          <w:b w:val="0"/>
          <w:bCs w:val="0"/>
          <w:color w:val="auto"/>
          <w:sz w:val="22"/>
          <w:szCs w:val="22"/>
        </w:rPr>
      </w:pPr>
    </w:p>
    <w:p w14:paraId="5C8CD238">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特此承诺！</w:t>
      </w:r>
    </w:p>
    <w:p w14:paraId="612C9DFC">
      <w:pPr>
        <w:widowControl/>
        <w:snapToGrid w:val="0"/>
        <w:spacing w:line="460" w:lineRule="exact"/>
        <w:ind w:firstLine="440" w:firstLineChars="200"/>
        <w:jc w:val="left"/>
        <w:rPr>
          <w:rFonts w:ascii="宋体" w:eastAsia="宋体"/>
          <w:b w:val="0"/>
          <w:bCs w:val="0"/>
          <w:color w:val="auto"/>
          <w:sz w:val="22"/>
          <w:szCs w:val="22"/>
        </w:rPr>
      </w:pPr>
    </w:p>
    <w:p w14:paraId="148B15DD">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投标供应商（盖章） ：</w:t>
      </w:r>
    </w:p>
    <w:p w14:paraId="7FCFABF3">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日期：</w:t>
      </w:r>
    </w:p>
    <w:p w14:paraId="363EA9CD">
      <w:pPr>
        <w:widowControl/>
        <w:jc w:val="left"/>
        <w:rPr>
          <w:rFonts w:ascii="宋体" w:eastAsia="宋体"/>
          <w:color w:val="auto"/>
          <w:sz w:val="22"/>
          <w:szCs w:val="22"/>
        </w:rPr>
      </w:pPr>
      <w:r>
        <w:rPr>
          <w:rFonts w:hint="eastAsia" w:ascii="宋体" w:eastAsia="宋体"/>
          <w:color w:val="auto"/>
          <w:sz w:val="36"/>
          <w:szCs w:val="32"/>
        </w:rPr>
        <w:br w:type="page"/>
      </w:r>
      <w:r>
        <w:rPr>
          <w:rFonts w:hint="eastAsia" w:ascii="宋体" w:eastAsia="宋体"/>
          <w:color w:val="auto"/>
          <w:sz w:val="22"/>
          <w:szCs w:val="22"/>
        </w:rPr>
        <w:t>附件二</w:t>
      </w:r>
    </w:p>
    <w:p w14:paraId="02B9EC7A">
      <w:pPr>
        <w:pStyle w:val="13"/>
        <w:spacing w:before="240" w:after="60"/>
        <w:jc w:val="center"/>
        <w:outlineLvl w:val="0"/>
        <w:rPr>
          <w:rFonts w:ascii="宋体" w:hAnsi="宋体" w:eastAsia="宋体" w:cs="宋体"/>
          <w:b/>
          <w:color w:val="auto"/>
          <w:kern w:val="0"/>
          <w:sz w:val="32"/>
          <w:szCs w:val="32"/>
          <w:lang w:val="zh-CN"/>
        </w:rPr>
      </w:pPr>
      <w:bookmarkStart w:id="85" w:name="_Toc22353"/>
      <w:bookmarkStart w:id="86" w:name="_Toc56004404"/>
      <w:bookmarkStart w:id="87" w:name="_Toc61444213"/>
      <w:bookmarkStart w:id="88" w:name="_Toc65830022"/>
      <w:bookmarkStart w:id="89" w:name="_Toc65590094"/>
      <w:bookmarkStart w:id="90" w:name="_Toc68188419"/>
      <w:r>
        <w:rPr>
          <w:rFonts w:hint="eastAsia" w:ascii="宋体" w:hAnsi="宋体" w:eastAsia="宋体" w:cs="宋体"/>
          <w:b/>
          <w:color w:val="auto"/>
          <w:kern w:val="0"/>
          <w:sz w:val="32"/>
          <w:szCs w:val="32"/>
          <w:lang w:val="zh-CN"/>
        </w:rPr>
        <w:t>与参加本次项目同一合同项下政府采购活动的其他供应商不存在单位负责人为同一人或者直接控股、管理关系的承诺函</w:t>
      </w:r>
      <w:bookmarkEnd w:id="85"/>
      <w:bookmarkEnd w:id="86"/>
      <w:bookmarkEnd w:id="87"/>
      <w:bookmarkEnd w:id="88"/>
      <w:bookmarkEnd w:id="89"/>
      <w:bookmarkEnd w:id="90"/>
    </w:p>
    <w:p w14:paraId="5C2906E8">
      <w:pPr>
        <w:spacing w:line="460" w:lineRule="exact"/>
        <w:rPr>
          <w:rFonts w:ascii="宋体" w:eastAsia="宋体"/>
          <w:b w:val="0"/>
          <w:color w:val="auto"/>
          <w:sz w:val="22"/>
          <w:szCs w:val="22"/>
          <w:u w:val="single"/>
        </w:rPr>
      </w:pPr>
    </w:p>
    <w:p w14:paraId="4B59CEEA">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rPr>
        <w:t>永嘉县文化和广电旅游体育局：</w:t>
      </w:r>
    </w:p>
    <w:p w14:paraId="2702D896">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rPr>
        <w:t>温州市中概工程管理咨询有限公司：</w:t>
      </w:r>
    </w:p>
    <w:p w14:paraId="01E5CEEF">
      <w:pPr>
        <w:widowControl/>
        <w:spacing w:line="460" w:lineRule="exact"/>
        <w:ind w:firstLine="440"/>
        <w:jc w:val="left"/>
        <w:rPr>
          <w:rFonts w:ascii="宋体" w:eastAsia="宋体"/>
          <w:b w:val="0"/>
          <w:color w:val="auto"/>
          <w:sz w:val="22"/>
          <w:szCs w:val="22"/>
        </w:rPr>
      </w:pPr>
      <w:r>
        <w:rPr>
          <w:rFonts w:hint="eastAsia" w:ascii="宋体" w:eastAsia="宋体"/>
          <w:b w:val="0"/>
          <w:color w:val="auto"/>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14:paraId="4D3ED2EE">
      <w:pPr>
        <w:pStyle w:val="19"/>
        <w:ind w:firstLine="210"/>
        <w:rPr>
          <w:rFonts w:ascii="宋体" w:hAnsi="宋体" w:eastAsia="宋体" w:cs="宋体"/>
        </w:rPr>
      </w:pPr>
    </w:p>
    <w:p w14:paraId="7DF99836">
      <w:pPr>
        <w:widowControl/>
        <w:spacing w:line="460" w:lineRule="exact"/>
        <w:ind w:firstLine="440"/>
        <w:jc w:val="left"/>
        <w:rPr>
          <w:rFonts w:ascii="宋体" w:eastAsia="宋体"/>
          <w:b w:val="0"/>
          <w:color w:val="auto"/>
          <w:sz w:val="22"/>
          <w:szCs w:val="22"/>
        </w:rPr>
      </w:pPr>
      <w:r>
        <w:rPr>
          <w:rFonts w:hint="eastAsia" w:ascii="宋体" w:eastAsia="宋体"/>
          <w:b w:val="0"/>
          <w:color w:val="auto"/>
          <w:sz w:val="22"/>
          <w:szCs w:val="22"/>
        </w:rPr>
        <w:t>特此承诺！</w:t>
      </w:r>
    </w:p>
    <w:p w14:paraId="41D3B8AD">
      <w:pPr>
        <w:widowControl/>
        <w:spacing w:line="460" w:lineRule="exact"/>
        <w:ind w:firstLine="440"/>
        <w:jc w:val="left"/>
        <w:rPr>
          <w:rFonts w:ascii="宋体" w:eastAsia="宋体"/>
          <w:b w:val="0"/>
          <w:color w:val="auto"/>
          <w:sz w:val="22"/>
          <w:szCs w:val="22"/>
        </w:rPr>
      </w:pPr>
    </w:p>
    <w:p w14:paraId="3638A457">
      <w:pPr>
        <w:widowControl/>
        <w:spacing w:line="460" w:lineRule="exact"/>
        <w:ind w:firstLine="440"/>
        <w:jc w:val="left"/>
        <w:rPr>
          <w:rFonts w:ascii="宋体" w:eastAsia="宋体"/>
          <w:b w:val="0"/>
          <w:color w:val="auto"/>
          <w:sz w:val="22"/>
          <w:szCs w:val="22"/>
        </w:rPr>
      </w:pPr>
      <w:r>
        <w:rPr>
          <w:rFonts w:hint="eastAsia" w:ascii="宋体" w:eastAsia="宋体"/>
          <w:b w:val="0"/>
          <w:color w:val="auto"/>
          <w:sz w:val="22"/>
          <w:szCs w:val="22"/>
        </w:rPr>
        <w:t>投标供应商（盖章） ：</w:t>
      </w:r>
    </w:p>
    <w:p w14:paraId="06E790C6">
      <w:pPr>
        <w:spacing w:line="460" w:lineRule="atLeast"/>
        <w:ind w:firstLine="440"/>
        <w:rPr>
          <w:rFonts w:ascii="宋体" w:eastAsia="宋体"/>
          <w:b w:val="0"/>
          <w:color w:val="auto"/>
          <w:sz w:val="36"/>
        </w:rPr>
      </w:pPr>
      <w:r>
        <w:rPr>
          <w:rFonts w:hint="eastAsia" w:ascii="宋体" w:eastAsia="宋体"/>
          <w:b w:val="0"/>
          <w:color w:val="auto"/>
          <w:sz w:val="22"/>
          <w:szCs w:val="22"/>
        </w:rPr>
        <w:t>日期：</w:t>
      </w:r>
    </w:p>
    <w:p w14:paraId="45CB6B04">
      <w:pPr>
        <w:widowControl/>
        <w:snapToGrid w:val="0"/>
        <w:spacing w:line="460" w:lineRule="exact"/>
        <w:ind w:firstLine="442" w:firstLineChars="200"/>
        <w:jc w:val="left"/>
        <w:rPr>
          <w:rFonts w:ascii="宋体" w:eastAsia="宋体"/>
          <w:color w:val="auto"/>
          <w:sz w:val="22"/>
          <w:szCs w:val="22"/>
        </w:rPr>
      </w:pPr>
    </w:p>
    <w:p w14:paraId="5D6B480D">
      <w:pPr>
        <w:widowControl/>
        <w:spacing w:line="460" w:lineRule="atLeast"/>
        <w:jc w:val="left"/>
        <w:rPr>
          <w:rFonts w:ascii="宋体" w:eastAsia="宋体"/>
          <w:b w:val="0"/>
          <w:bCs w:val="0"/>
          <w:color w:val="auto"/>
          <w:sz w:val="22"/>
          <w:szCs w:val="22"/>
        </w:rPr>
      </w:pPr>
      <w:bookmarkStart w:id="91" w:name="_Toc509485354"/>
      <w:r>
        <w:rPr>
          <w:rFonts w:hint="eastAsia" w:ascii="宋体" w:eastAsia="宋体"/>
          <w:color w:val="auto"/>
          <w:sz w:val="22"/>
          <w:szCs w:val="22"/>
        </w:rPr>
        <w:br w:type="page"/>
      </w:r>
      <w:r>
        <w:rPr>
          <w:rFonts w:hint="eastAsia" w:ascii="宋体" w:eastAsia="宋体"/>
          <w:color w:val="auto"/>
          <w:sz w:val="22"/>
          <w:szCs w:val="22"/>
        </w:rPr>
        <w:t>附件</w:t>
      </w:r>
      <w:bookmarkEnd w:id="91"/>
      <w:r>
        <w:rPr>
          <w:rFonts w:hint="eastAsia" w:ascii="宋体" w:eastAsia="宋体"/>
          <w:color w:val="auto"/>
          <w:sz w:val="22"/>
          <w:szCs w:val="22"/>
        </w:rPr>
        <w:t>三</w:t>
      </w:r>
    </w:p>
    <w:p w14:paraId="75094512">
      <w:pPr>
        <w:pStyle w:val="6"/>
        <w:rPr>
          <w:rFonts w:ascii="宋体" w:hAnsi="宋体" w:cs="宋体"/>
          <w:color w:val="auto"/>
        </w:rPr>
      </w:pPr>
      <w:bookmarkStart w:id="92" w:name="_Toc68188794"/>
      <w:bookmarkStart w:id="93" w:name="_Toc26971"/>
      <w:bookmarkStart w:id="94" w:name="_Toc15893"/>
      <w:bookmarkStart w:id="95" w:name="_Toc97033070"/>
      <w:bookmarkStart w:id="96" w:name="_Toc87518415"/>
      <w:bookmarkStart w:id="97" w:name="_Toc87518592"/>
      <w:bookmarkStart w:id="98" w:name="_Toc68189108"/>
      <w:bookmarkStart w:id="99" w:name="_Toc68187558"/>
      <w:bookmarkStart w:id="100" w:name="_Toc96970928"/>
      <w:bookmarkStart w:id="101" w:name="_Toc42678693"/>
      <w:bookmarkStart w:id="102" w:name="_Toc14649"/>
      <w:bookmarkStart w:id="103" w:name="_Toc65590095"/>
      <w:bookmarkStart w:id="104" w:name="_Toc42243285"/>
      <w:r>
        <w:rPr>
          <w:rFonts w:hint="eastAsia" w:ascii="宋体" w:hAnsi="宋体" w:cs="宋体"/>
          <w:color w:val="auto"/>
        </w:rPr>
        <w:t>法定代表人授权书</w:t>
      </w:r>
      <w:bookmarkEnd w:id="92"/>
      <w:bookmarkEnd w:id="93"/>
      <w:bookmarkEnd w:id="94"/>
      <w:bookmarkEnd w:id="95"/>
      <w:bookmarkEnd w:id="96"/>
      <w:bookmarkEnd w:id="97"/>
      <w:bookmarkEnd w:id="98"/>
      <w:bookmarkEnd w:id="99"/>
      <w:bookmarkEnd w:id="100"/>
    </w:p>
    <w:p w14:paraId="071CBA72">
      <w:pPr>
        <w:spacing w:line="480" w:lineRule="auto"/>
        <w:rPr>
          <w:rFonts w:ascii="宋体" w:eastAsia="宋体"/>
          <w:b w:val="0"/>
          <w:bCs w:val="0"/>
          <w:color w:val="auto"/>
          <w:sz w:val="22"/>
          <w:szCs w:val="22"/>
        </w:rPr>
      </w:pPr>
      <w:r>
        <w:rPr>
          <w:rFonts w:hint="eastAsia" w:ascii="宋体" w:eastAsia="宋体"/>
          <w:b w:val="0"/>
          <w:bCs w:val="0"/>
          <w:color w:val="auto"/>
          <w:sz w:val="22"/>
          <w:szCs w:val="22"/>
          <w:u w:val="single"/>
        </w:rPr>
        <w:t>（采购人名称）</w:t>
      </w:r>
      <w:r>
        <w:rPr>
          <w:rFonts w:hint="eastAsia" w:ascii="宋体" w:eastAsia="宋体"/>
          <w:b w:val="0"/>
          <w:bCs w:val="0"/>
          <w:color w:val="auto"/>
          <w:sz w:val="22"/>
          <w:szCs w:val="22"/>
          <w:lang w:val="zh-CN"/>
        </w:rPr>
        <w:t>：</w:t>
      </w:r>
    </w:p>
    <w:p w14:paraId="1FA05EC5">
      <w:pPr>
        <w:spacing w:line="48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本授权委托书声明：我</w:t>
      </w:r>
      <w:r>
        <w:rPr>
          <w:rFonts w:hint="eastAsia" w:ascii="宋体" w:eastAsia="宋体"/>
          <w:b w:val="0"/>
          <w:bCs w:val="0"/>
          <w:color w:val="auto"/>
          <w:sz w:val="22"/>
          <w:szCs w:val="22"/>
          <w:u w:val="single"/>
        </w:rPr>
        <w:t xml:space="preserve">   （法定代表人姓名）   </w:t>
      </w:r>
      <w:r>
        <w:rPr>
          <w:rFonts w:hint="eastAsia" w:ascii="宋体" w:eastAsia="宋体"/>
          <w:b w:val="0"/>
          <w:bCs w:val="0"/>
          <w:color w:val="auto"/>
          <w:sz w:val="22"/>
          <w:szCs w:val="22"/>
        </w:rPr>
        <w:t>系</w:t>
      </w:r>
      <w:r>
        <w:rPr>
          <w:rFonts w:hint="eastAsia" w:ascii="宋体" w:eastAsia="宋体"/>
          <w:b w:val="0"/>
          <w:bCs w:val="0"/>
          <w:color w:val="auto"/>
          <w:sz w:val="22"/>
          <w:szCs w:val="22"/>
          <w:u w:val="single"/>
        </w:rPr>
        <w:t xml:space="preserve">   （供 应 商 名 称）  </w:t>
      </w:r>
      <w:r>
        <w:rPr>
          <w:rFonts w:hint="eastAsia" w:ascii="宋体" w:eastAsia="宋体"/>
          <w:b w:val="0"/>
          <w:bCs w:val="0"/>
          <w:color w:val="auto"/>
          <w:sz w:val="22"/>
          <w:szCs w:val="22"/>
        </w:rPr>
        <w:t>的法定代表人，现授权委托</w:t>
      </w:r>
      <w:r>
        <w:rPr>
          <w:rFonts w:hint="eastAsia" w:ascii="宋体" w:eastAsia="宋体"/>
          <w:b w:val="0"/>
          <w:bCs w:val="0"/>
          <w:color w:val="auto"/>
          <w:sz w:val="22"/>
          <w:szCs w:val="22"/>
          <w:u w:val="single"/>
        </w:rPr>
        <w:t xml:space="preserve">  （单 位 名 称）   </w:t>
      </w:r>
      <w:r>
        <w:rPr>
          <w:rFonts w:hint="eastAsia" w:ascii="宋体" w:eastAsia="宋体"/>
          <w:b w:val="0"/>
          <w:bCs w:val="0"/>
          <w:color w:val="auto"/>
          <w:sz w:val="22"/>
          <w:szCs w:val="22"/>
        </w:rPr>
        <w:t>的</w:t>
      </w:r>
      <w:r>
        <w:rPr>
          <w:rFonts w:hint="eastAsia" w:ascii="宋体" w:eastAsia="宋体"/>
          <w:b w:val="0"/>
          <w:bCs w:val="0"/>
          <w:color w:val="auto"/>
          <w:sz w:val="22"/>
          <w:szCs w:val="22"/>
          <w:u w:val="single"/>
        </w:rPr>
        <w:t xml:space="preserve">  （授权代表姓名）  </w:t>
      </w:r>
      <w:r>
        <w:rPr>
          <w:rFonts w:hint="eastAsia" w:ascii="宋体" w:eastAsia="宋体"/>
          <w:b w:val="0"/>
          <w:bCs w:val="0"/>
          <w:color w:val="auto"/>
          <w:sz w:val="22"/>
          <w:szCs w:val="22"/>
        </w:rPr>
        <w:t>为我公司法定代表人授权代表，参加贵处组织的</w:t>
      </w:r>
      <w:r>
        <w:rPr>
          <w:rFonts w:hint="eastAsia" w:ascii="宋体" w:eastAsia="宋体"/>
          <w:b w:val="0"/>
          <w:bCs w:val="0"/>
          <w:color w:val="auto"/>
          <w:sz w:val="22"/>
          <w:szCs w:val="22"/>
          <w:u w:val="single"/>
        </w:rPr>
        <w:t xml:space="preserve">  （招标项目名称，括号中填写项目编号）  </w:t>
      </w:r>
      <w:r>
        <w:rPr>
          <w:rFonts w:hint="eastAsia" w:ascii="宋体" w:eastAsia="宋体"/>
          <w:b w:val="0"/>
          <w:bCs w:val="0"/>
          <w:color w:val="auto"/>
          <w:sz w:val="22"/>
          <w:szCs w:val="22"/>
        </w:rPr>
        <w:t>项目投标，全权处理本次招投标活动中的一切事宜，我承认授权代表全权代表我所签署的本项目的响应文件的内容。</w:t>
      </w:r>
    </w:p>
    <w:p w14:paraId="6C726539">
      <w:pPr>
        <w:spacing w:line="48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授权代表无转授权，特此授权</w:t>
      </w:r>
    </w:p>
    <w:p w14:paraId="2CE96C28">
      <w:pPr>
        <w:spacing w:line="360" w:lineRule="auto"/>
        <w:ind w:left="1260"/>
        <w:rPr>
          <w:rFonts w:ascii="宋体" w:eastAsia="宋体"/>
          <w:b w:val="0"/>
          <w:bCs w:val="0"/>
          <w:color w:val="auto"/>
          <w:sz w:val="22"/>
          <w:szCs w:val="22"/>
        </w:rPr>
      </w:pPr>
    </w:p>
    <w:p w14:paraId="73864767">
      <w:pPr>
        <w:spacing w:line="480" w:lineRule="auto"/>
        <w:ind w:left="2100" w:leftChars="1000" w:firstLine="440" w:firstLineChars="200"/>
        <w:rPr>
          <w:rFonts w:ascii="宋体" w:eastAsia="宋体"/>
          <w:b w:val="0"/>
          <w:bCs w:val="0"/>
          <w:color w:val="auto"/>
          <w:sz w:val="22"/>
          <w:szCs w:val="22"/>
          <w:u w:val="single"/>
        </w:rPr>
      </w:pPr>
      <w:r>
        <w:rPr>
          <w:rFonts w:hint="eastAsia" w:ascii="宋体" w:eastAsia="宋体"/>
          <w:b w:val="0"/>
          <w:bCs w:val="0"/>
          <w:color w:val="auto"/>
          <w:sz w:val="22"/>
          <w:szCs w:val="22"/>
        </w:rPr>
        <w:t>授权代表： 性别 ：</w:t>
      </w:r>
    </w:p>
    <w:p w14:paraId="68B1A214">
      <w:pPr>
        <w:spacing w:line="480" w:lineRule="auto"/>
        <w:ind w:left="2100" w:leftChars="1000" w:firstLine="440" w:firstLineChars="200"/>
        <w:rPr>
          <w:rFonts w:ascii="宋体" w:eastAsia="宋体"/>
          <w:b w:val="0"/>
          <w:bCs w:val="0"/>
          <w:color w:val="auto"/>
          <w:sz w:val="22"/>
          <w:szCs w:val="22"/>
          <w:u w:val="single"/>
        </w:rPr>
      </w:pPr>
      <w:r>
        <w:rPr>
          <w:rFonts w:hint="eastAsia" w:ascii="宋体" w:eastAsia="宋体"/>
          <w:b w:val="0"/>
          <w:bCs w:val="0"/>
          <w:color w:val="auto"/>
          <w:sz w:val="22"/>
          <w:szCs w:val="22"/>
        </w:rPr>
        <w:t>职务：年龄：</w:t>
      </w:r>
    </w:p>
    <w:p w14:paraId="679ECA93">
      <w:pPr>
        <w:spacing w:line="480" w:lineRule="auto"/>
        <w:ind w:left="2100" w:leftChars="1000" w:firstLine="440" w:firstLineChars="200"/>
        <w:rPr>
          <w:rFonts w:ascii="宋体" w:eastAsia="宋体"/>
          <w:b w:val="0"/>
          <w:bCs w:val="0"/>
          <w:color w:val="auto"/>
          <w:sz w:val="22"/>
          <w:szCs w:val="22"/>
          <w:u w:val="single"/>
        </w:rPr>
      </w:pPr>
      <w:r>
        <w:rPr>
          <w:rFonts w:hint="eastAsia" w:ascii="宋体" w:eastAsia="宋体"/>
          <w:b w:val="0"/>
          <w:bCs w:val="0"/>
          <w:color w:val="auto"/>
          <w:sz w:val="22"/>
          <w:szCs w:val="22"/>
        </w:rPr>
        <w:t>详细通讯地址： 邮政编码：</w:t>
      </w:r>
    </w:p>
    <w:p w14:paraId="61ADE940">
      <w:pPr>
        <w:spacing w:line="480" w:lineRule="auto"/>
        <w:ind w:left="1" w:firstLine="2510" w:firstLineChars="1141"/>
        <w:rPr>
          <w:rFonts w:ascii="宋体" w:eastAsia="宋体"/>
          <w:b w:val="0"/>
          <w:bCs w:val="0"/>
          <w:color w:val="auto"/>
          <w:sz w:val="22"/>
          <w:szCs w:val="22"/>
          <w:u w:val="single"/>
        </w:rPr>
      </w:pPr>
      <w:r>
        <w:rPr>
          <w:rFonts w:hint="eastAsia" w:ascii="宋体" w:eastAsia="宋体"/>
          <w:b w:val="0"/>
          <w:bCs w:val="0"/>
          <w:color w:val="auto"/>
          <w:sz w:val="22"/>
          <w:szCs w:val="22"/>
        </w:rPr>
        <w:t>电话： 传真：</w:t>
      </w:r>
    </w:p>
    <w:p w14:paraId="2FD7BEB2">
      <w:pPr>
        <w:spacing w:line="480" w:lineRule="auto"/>
        <w:ind w:left="1" w:firstLine="422" w:firstLineChars="192"/>
        <w:rPr>
          <w:rFonts w:ascii="宋体" w:eastAsia="宋体"/>
          <w:b w:val="0"/>
          <w:bCs w:val="0"/>
          <w:color w:val="auto"/>
          <w:sz w:val="22"/>
          <w:szCs w:val="22"/>
        </w:rPr>
      </w:pPr>
      <w:r>
        <w:rPr>
          <w:rFonts w:hint="eastAsia" w:ascii="宋体" w:eastAsia="宋体"/>
          <w:b w:val="0"/>
          <w:bCs w:val="0"/>
          <w:color w:val="auto"/>
          <w:sz w:val="22"/>
          <w:szCs w:val="22"/>
        </w:rPr>
        <w:t xml:space="preserve">                   投标供应商：</w:t>
      </w:r>
      <w:r>
        <w:rPr>
          <w:rFonts w:hint="eastAsia" w:ascii="宋体" w:eastAsia="宋体"/>
          <w:b w:val="0"/>
          <w:bCs w:val="0"/>
          <w:color w:val="auto"/>
          <w:sz w:val="22"/>
          <w:szCs w:val="22"/>
          <w:u w:val="single"/>
        </w:rPr>
        <w:t xml:space="preserve">                                     （盖章）</w:t>
      </w:r>
    </w:p>
    <w:p w14:paraId="357C6119">
      <w:pPr>
        <w:spacing w:line="480" w:lineRule="auto"/>
        <w:ind w:left="2100" w:right="440"/>
        <w:jc w:val="center"/>
        <w:rPr>
          <w:rFonts w:ascii="宋体" w:eastAsia="宋体"/>
          <w:b w:val="0"/>
          <w:bCs w:val="0"/>
          <w:color w:val="auto"/>
          <w:sz w:val="22"/>
          <w:szCs w:val="22"/>
        </w:rPr>
      </w:pPr>
      <w:r>
        <w:rPr>
          <w:rFonts w:hint="eastAsia" w:ascii="宋体" w:eastAsia="宋体"/>
          <w:b w:val="0"/>
          <w:bCs w:val="0"/>
          <w:color w:val="auto"/>
          <w:sz w:val="22"/>
          <w:szCs w:val="22"/>
        </w:rPr>
        <w:t xml:space="preserve">   法定代表人：</w:t>
      </w:r>
      <w:r>
        <w:rPr>
          <w:rFonts w:hint="eastAsia" w:ascii="宋体" w:eastAsia="宋体"/>
          <w:b w:val="0"/>
          <w:bCs w:val="0"/>
          <w:color w:val="auto"/>
          <w:sz w:val="22"/>
          <w:szCs w:val="22"/>
          <w:u w:val="single"/>
        </w:rPr>
        <w:t xml:space="preserve">                        （签字或盖章）</w:t>
      </w:r>
    </w:p>
    <w:p w14:paraId="515B84E1">
      <w:pPr>
        <w:spacing w:line="480" w:lineRule="auto"/>
        <w:ind w:right="440" w:firstLine="3300" w:firstLineChars="1500"/>
        <w:jc w:val="right"/>
        <w:rPr>
          <w:rFonts w:ascii="宋体" w:eastAsia="宋体"/>
          <w:b w:val="0"/>
          <w:bCs w:val="0"/>
          <w:color w:val="auto"/>
          <w:sz w:val="22"/>
          <w:szCs w:val="22"/>
        </w:rPr>
      </w:pPr>
      <w:r>
        <w:rPr>
          <w:rFonts w:hint="eastAsia" w:ascii="宋体" w:eastAsia="宋体"/>
          <w:b w:val="0"/>
          <w:bCs w:val="0"/>
          <w:color w:val="auto"/>
          <w:sz w:val="22"/>
          <w:szCs w:val="22"/>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095A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7776A895">
            <w:pPr>
              <w:pStyle w:val="26"/>
              <w:spacing w:line="440" w:lineRule="atLeast"/>
              <w:rPr>
                <w:rFonts w:hAnsi="宋体" w:eastAsia="宋体"/>
                <w:color w:val="auto"/>
                <w:sz w:val="36"/>
              </w:rPr>
            </w:pPr>
          </w:p>
          <w:p w14:paraId="6059585F">
            <w:pPr>
              <w:pStyle w:val="26"/>
              <w:spacing w:line="440" w:lineRule="atLeast"/>
              <w:jc w:val="center"/>
              <w:rPr>
                <w:rFonts w:hAnsi="宋体" w:eastAsia="宋体"/>
                <w:color w:val="auto"/>
                <w:sz w:val="36"/>
              </w:rPr>
            </w:pPr>
          </w:p>
          <w:p w14:paraId="785296ED">
            <w:pPr>
              <w:pStyle w:val="26"/>
              <w:spacing w:line="440" w:lineRule="atLeast"/>
              <w:jc w:val="center"/>
              <w:rPr>
                <w:rFonts w:hAnsi="宋体" w:eastAsia="宋体"/>
                <w:color w:val="auto"/>
                <w:sz w:val="36"/>
              </w:rPr>
            </w:pPr>
          </w:p>
          <w:p w14:paraId="1F7B3B71">
            <w:pPr>
              <w:pStyle w:val="26"/>
              <w:spacing w:line="440" w:lineRule="atLeast"/>
              <w:jc w:val="center"/>
              <w:rPr>
                <w:rFonts w:hAnsi="宋体" w:eastAsia="宋体"/>
                <w:color w:val="auto"/>
                <w:sz w:val="36"/>
              </w:rPr>
            </w:pPr>
          </w:p>
          <w:p w14:paraId="1A266833">
            <w:pPr>
              <w:pStyle w:val="26"/>
              <w:spacing w:line="440" w:lineRule="atLeast"/>
              <w:jc w:val="center"/>
              <w:rPr>
                <w:rFonts w:hAnsi="宋体" w:eastAsia="宋体"/>
                <w:color w:val="auto"/>
                <w:sz w:val="36"/>
              </w:rPr>
            </w:pPr>
            <w:r>
              <w:rPr>
                <w:rFonts w:hint="eastAsia" w:hAnsi="宋体" w:eastAsia="宋体"/>
                <w:color w:val="auto"/>
                <w:sz w:val="36"/>
              </w:rPr>
              <w:t>（授权代表身份证扫描件或影印件）</w:t>
            </w:r>
          </w:p>
          <w:p w14:paraId="62A1CD23">
            <w:pPr>
              <w:pStyle w:val="26"/>
              <w:spacing w:line="440" w:lineRule="atLeast"/>
              <w:ind w:left="5271" w:firstLine="1084" w:firstLineChars="300"/>
              <w:rPr>
                <w:rFonts w:hAnsi="宋体" w:eastAsia="宋体"/>
                <w:color w:val="auto"/>
                <w:sz w:val="36"/>
              </w:rPr>
            </w:pPr>
          </w:p>
        </w:tc>
      </w:tr>
    </w:tbl>
    <w:p w14:paraId="364E2AEB">
      <w:pPr>
        <w:rPr>
          <w:rFonts w:ascii="宋体" w:eastAsia="宋体"/>
          <w:color w:val="auto"/>
        </w:rPr>
      </w:pPr>
    </w:p>
    <w:p w14:paraId="5255736A">
      <w:pPr>
        <w:pStyle w:val="6"/>
        <w:rPr>
          <w:rFonts w:ascii="宋体" w:hAnsi="宋体" w:cs="宋体"/>
          <w:color w:val="auto"/>
        </w:rPr>
      </w:pPr>
      <w:r>
        <w:rPr>
          <w:rFonts w:hint="eastAsia" w:ascii="宋体" w:hAnsi="宋体" w:cs="宋体"/>
          <w:color w:val="auto"/>
        </w:rPr>
        <w:t>二、报价文件部分格式</w:t>
      </w:r>
      <w:bookmarkEnd w:id="101"/>
      <w:bookmarkEnd w:id="102"/>
      <w:bookmarkEnd w:id="103"/>
      <w:bookmarkEnd w:id="104"/>
    </w:p>
    <w:p w14:paraId="2B0C97E7">
      <w:pPr>
        <w:widowControl/>
        <w:spacing w:line="460" w:lineRule="atLeast"/>
        <w:jc w:val="left"/>
        <w:rPr>
          <w:rFonts w:ascii="宋体" w:eastAsia="宋体"/>
          <w:b w:val="0"/>
          <w:bCs w:val="0"/>
          <w:color w:val="auto"/>
          <w:sz w:val="22"/>
          <w:szCs w:val="22"/>
        </w:rPr>
      </w:pPr>
      <w:bookmarkStart w:id="105" w:name="_Toc413747701"/>
      <w:r>
        <w:rPr>
          <w:rFonts w:hint="eastAsia" w:ascii="宋体" w:eastAsia="宋体"/>
          <w:color w:val="auto"/>
          <w:sz w:val="22"/>
          <w:szCs w:val="22"/>
        </w:rPr>
        <w:t>附件</w:t>
      </w:r>
      <w:bookmarkEnd w:id="105"/>
      <w:r>
        <w:rPr>
          <w:rFonts w:hint="eastAsia" w:ascii="宋体" w:eastAsia="宋体"/>
          <w:color w:val="auto"/>
          <w:sz w:val="22"/>
          <w:szCs w:val="22"/>
        </w:rPr>
        <w:t>四</w:t>
      </w:r>
    </w:p>
    <w:p w14:paraId="4FC889E4">
      <w:pPr>
        <w:pStyle w:val="6"/>
        <w:rPr>
          <w:rFonts w:ascii="宋体" w:hAnsi="宋体" w:cs="宋体"/>
          <w:color w:val="auto"/>
        </w:rPr>
      </w:pPr>
      <w:bookmarkStart w:id="106" w:name="_Toc522469114"/>
      <w:bookmarkStart w:id="107" w:name="_Toc42678615"/>
      <w:bookmarkStart w:id="108" w:name="_Toc496618930"/>
      <w:bookmarkStart w:id="109" w:name="_Toc511045476"/>
      <w:bookmarkStart w:id="110" w:name="_Toc42678183"/>
      <w:bookmarkStart w:id="111" w:name="_Toc65590096"/>
      <w:bookmarkStart w:id="112" w:name="_Toc68188421"/>
      <w:bookmarkStart w:id="113" w:name="_Toc9334945"/>
      <w:bookmarkStart w:id="114" w:name="_Toc42678694"/>
      <w:bookmarkStart w:id="115" w:name="_Toc5242"/>
      <w:bookmarkStart w:id="116" w:name="_Toc518512529"/>
      <w:bookmarkStart w:id="117" w:name="_Toc42243286"/>
      <w:bookmarkStart w:id="118" w:name="_Toc19204519"/>
      <w:bookmarkStart w:id="119" w:name="_Toc42678028"/>
      <w:bookmarkStart w:id="120" w:name="_Toc65830024"/>
      <w:bookmarkStart w:id="121" w:name="_Toc61444215"/>
      <w:r>
        <w:rPr>
          <w:rFonts w:hint="eastAsia" w:ascii="宋体" w:hAnsi="宋体" w:cs="宋体"/>
          <w:color w:val="auto"/>
        </w:rPr>
        <w:t>报价一览表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8FEBDD5">
      <w:pPr>
        <w:autoSpaceDE w:val="0"/>
        <w:autoSpaceDN w:val="0"/>
        <w:adjustRightInd w:val="0"/>
        <w:rPr>
          <w:rFonts w:ascii="宋体" w:eastAsia="宋体"/>
          <w:color w:val="auto"/>
          <w:sz w:val="22"/>
          <w:szCs w:val="22"/>
          <w:lang w:val="zh-CN"/>
        </w:rPr>
      </w:pPr>
      <w:r>
        <w:rPr>
          <w:rFonts w:hint="eastAsia" w:ascii="宋体" w:eastAsia="宋体"/>
          <w:color w:val="auto"/>
          <w:sz w:val="22"/>
          <w:szCs w:val="22"/>
          <w:lang w:val="zh-CN"/>
        </w:rPr>
        <w:t>投标供应商名称：</w:t>
      </w:r>
      <w:r>
        <w:rPr>
          <w:rFonts w:hint="eastAsia" w:ascii="宋体" w:eastAsia="宋体"/>
          <w:color w:val="auto"/>
          <w:sz w:val="22"/>
          <w:szCs w:val="22"/>
          <w:u w:val="single"/>
          <w:lang w:val="zh-CN"/>
        </w:rPr>
        <w:t xml:space="preserve">             </w:t>
      </w:r>
      <w:r>
        <w:rPr>
          <w:rFonts w:hint="eastAsia" w:ascii="宋体" w:eastAsia="宋体"/>
          <w:color w:val="auto"/>
          <w:sz w:val="22"/>
          <w:szCs w:val="22"/>
          <w:lang w:val="zh-CN"/>
        </w:rPr>
        <w:t xml:space="preserve">     采购编号：</w:t>
      </w:r>
      <w:r>
        <w:rPr>
          <w:rFonts w:hint="eastAsia" w:ascii="宋体" w:eastAsia="宋体"/>
          <w:color w:val="auto"/>
          <w:sz w:val="22"/>
          <w:szCs w:val="22"/>
          <w:u w:val="single"/>
          <w:lang w:val="zh-CN"/>
        </w:rPr>
        <w:t xml:space="preserve">         </w:t>
      </w:r>
      <w:r>
        <w:rPr>
          <w:rFonts w:hint="eastAsia" w:ascii="宋体" w:eastAsia="宋体"/>
          <w:color w:val="auto"/>
          <w:sz w:val="22"/>
          <w:szCs w:val="22"/>
          <w:lang w:val="zh-CN"/>
        </w:rPr>
        <w:t xml:space="preserve">    报价单位：</w:t>
      </w:r>
      <w:r>
        <w:rPr>
          <w:rFonts w:hint="eastAsia" w:ascii="宋体" w:eastAsia="宋体"/>
          <w:color w:val="auto"/>
          <w:sz w:val="22"/>
          <w:szCs w:val="22"/>
          <w:u w:val="single"/>
          <w:lang w:val="zh-CN"/>
        </w:rPr>
        <w:t>人民币元</w:t>
      </w:r>
    </w:p>
    <w:tbl>
      <w:tblPr>
        <w:tblStyle w:val="43"/>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10"/>
        <w:gridCol w:w="4536"/>
        <w:gridCol w:w="1434"/>
      </w:tblGrid>
      <w:tr w14:paraId="3E601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0" w:hRule="atLeast"/>
        </w:trPr>
        <w:tc>
          <w:tcPr>
            <w:tcW w:w="3510" w:type="dxa"/>
            <w:tcBorders>
              <w:right w:val="single" w:color="auto" w:sz="4" w:space="0"/>
            </w:tcBorders>
            <w:vAlign w:val="center"/>
          </w:tcPr>
          <w:p w14:paraId="63E82027">
            <w:pPr>
              <w:pStyle w:val="26"/>
              <w:jc w:val="center"/>
              <w:rPr>
                <w:rFonts w:hAnsi="宋体" w:eastAsia="宋体"/>
                <w:color w:val="auto"/>
                <w:sz w:val="22"/>
              </w:rPr>
            </w:pPr>
            <w:r>
              <w:rPr>
                <w:rFonts w:hint="eastAsia" w:hAnsi="宋体" w:eastAsia="宋体"/>
                <w:color w:val="auto"/>
                <w:sz w:val="22"/>
                <w:szCs w:val="22"/>
              </w:rPr>
              <w:t>项目名称</w:t>
            </w:r>
          </w:p>
        </w:tc>
        <w:tc>
          <w:tcPr>
            <w:tcW w:w="4536" w:type="dxa"/>
            <w:tcBorders>
              <w:left w:val="single" w:color="auto" w:sz="4" w:space="0"/>
              <w:right w:val="single" w:color="auto" w:sz="4" w:space="0"/>
            </w:tcBorders>
            <w:vAlign w:val="center"/>
          </w:tcPr>
          <w:p w14:paraId="5F0780F9">
            <w:pPr>
              <w:pStyle w:val="26"/>
              <w:jc w:val="center"/>
              <w:rPr>
                <w:rFonts w:hAnsi="宋体" w:eastAsia="宋体"/>
                <w:color w:val="auto"/>
                <w:sz w:val="22"/>
              </w:rPr>
            </w:pPr>
            <w:r>
              <w:rPr>
                <w:rFonts w:hint="eastAsia" w:hAnsi="宋体" w:eastAsia="宋体"/>
                <w:color w:val="auto"/>
                <w:sz w:val="22"/>
                <w:szCs w:val="22"/>
              </w:rPr>
              <w:t>投标报价</w:t>
            </w:r>
          </w:p>
        </w:tc>
        <w:tc>
          <w:tcPr>
            <w:tcW w:w="1434" w:type="dxa"/>
            <w:tcBorders>
              <w:left w:val="single" w:color="auto" w:sz="4" w:space="0"/>
            </w:tcBorders>
            <w:vAlign w:val="center"/>
          </w:tcPr>
          <w:p w14:paraId="6FBEB4D9">
            <w:pPr>
              <w:pStyle w:val="26"/>
              <w:jc w:val="center"/>
              <w:rPr>
                <w:rFonts w:hAnsi="宋体" w:eastAsia="宋体"/>
                <w:color w:val="auto"/>
                <w:sz w:val="22"/>
              </w:rPr>
            </w:pPr>
            <w:r>
              <w:rPr>
                <w:rFonts w:hint="eastAsia" w:hAnsi="宋体" w:eastAsia="宋体"/>
                <w:color w:val="auto"/>
                <w:sz w:val="22"/>
                <w:szCs w:val="22"/>
              </w:rPr>
              <w:t>备注</w:t>
            </w:r>
          </w:p>
        </w:tc>
      </w:tr>
      <w:tr w14:paraId="0CA155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91" w:hRule="atLeast"/>
        </w:trPr>
        <w:tc>
          <w:tcPr>
            <w:tcW w:w="3510" w:type="dxa"/>
            <w:tcBorders>
              <w:right w:val="single" w:color="auto" w:sz="4" w:space="0"/>
            </w:tcBorders>
            <w:vAlign w:val="center"/>
          </w:tcPr>
          <w:p w14:paraId="0278A559">
            <w:pPr>
              <w:pStyle w:val="26"/>
              <w:jc w:val="center"/>
              <w:rPr>
                <w:rFonts w:hAnsi="宋体" w:eastAsia="宋体"/>
                <w:color w:val="auto"/>
                <w:sz w:val="22"/>
              </w:rPr>
            </w:pPr>
            <w:r>
              <w:rPr>
                <w:rFonts w:hint="eastAsia" w:hAnsi="宋体" w:eastAsia="宋体"/>
                <w:color w:val="auto"/>
                <w:sz w:val="22"/>
              </w:rPr>
              <w:t>永嘉县文保单位安全隐患巡查项目</w:t>
            </w:r>
          </w:p>
        </w:tc>
        <w:tc>
          <w:tcPr>
            <w:tcW w:w="4536" w:type="dxa"/>
            <w:tcBorders>
              <w:left w:val="single" w:color="auto" w:sz="4" w:space="0"/>
              <w:right w:val="single" w:color="auto" w:sz="4" w:space="0"/>
            </w:tcBorders>
            <w:vAlign w:val="center"/>
          </w:tcPr>
          <w:p w14:paraId="6DEEC748">
            <w:pPr>
              <w:pStyle w:val="26"/>
              <w:spacing w:line="460" w:lineRule="atLeast"/>
              <w:rPr>
                <w:rFonts w:hAnsi="宋体" w:eastAsia="宋体"/>
                <w:b w:val="0"/>
                <w:color w:val="auto"/>
                <w:sz w:val="22"/>
              </w:rPr>
            </w:pPr>
          </w:p>
        </w:tc>
        <w:tc>
          <w:tcPr>
            <w:tcW w:w="1434" w:type="dxa"/>
            <w:tcBorders>
              <w:left w:val="single" w:color="auto" w:sz="4" w:space="0"/>
            </w:tcBorders>
            <w:vAlign w:val="center"/>
          </w:tcPr>
          <w:p w14:paraId="1C0C0E8F">
            <w:pPr>
              <w:widowControl/>
              <w:jc w:val="center"/>
              <w:rPr>
                <w:rFonts w:ascii="宋体" w:eastAsia="宋体"/>
                <w:b w:val="0"/>
                <w:color w:val="auto"/>
                <w:sz w:val="22"/>
              </w:rPr>
            </w:pPr>
          </w:p>
        </w:tc>
      </w:tr>
    </w:tbl>
    <w:p w14:paraId="7B2A8270">
      <w:pPr>
        <w:pStyle w:val="26"/>
        <w:spacing w:line="460" w:lineRule="atLeast"/>
        <w:rPr>
          <w:rFonts w:hAnsi="宋体" w:eastAsia="宋体"/>
          <w:color w:val="auto"/>
          <w:sz w:val="22"/>
          <w:szCs w:val="22"/>
        </w:rPr>
      </w:pPr>
      <w:r>
        <w:rPr>
          <w:rFonts w:hint="eastAsia" w:hAnsi="宋体" w:eastAsia="宋体"/>
          <w:color w:val="auto"/>
          <w:sz w:val="22"/>
          <w:szCs w:val="22"/>
        </w:rPr>
        <w:t>1、开标一览表中投标报价为符合竞争性磋商文件要求的总报价。</w:t>
      </w:r>
    </w:p>
    <w:p w14:paraId="18D671E8">
      <w:pPr>
        <w:pStyle w:val="26"/>
        <w:spacing w:line="460" w:lineRule="atLeast"/>
        <w:rPr>
          <w:rFonts w:hAnsi="宋体" w:eastAsia="宋体"/>
          <w:b w:val="0"/>
          <w:color w:val="auto"/>
          <w:sz w:val="22"/>
          <w:szCs w:val="22"/>
          <w:u w:val="single"/>
        </w:rPr>
      </w:pPr>
      <w:r>
        <w:rPr>
          <w:rFonts w:hint="eastAsia" w:hAnsi="宋体" w:eastAsia="宋体"/>
          <w:color w:val="auto"/>
          <w:sz w:val="22"/>
          <w:szCs w:val="22"/>
        </w:rPr>
        <w:t>2、▲</w:t>
      </w:r>
      <w:r>
        <w:rPr>
          <w:rFonts w:hint="eastAsia" w:hAnsi="宋体" w:eastAsia="宋体"/>
          <w:color w:val="auto"/>
          <w:sz w:val="22"/>
          <w:szCs w:val="22"/>
          <w:u w:val="single"/>
        </w:rPr>
        <w:t>不提供此表格的将视为没有实质性响应竞争性磋商文件。</w:t>
      </w:r>
    </w:p>
    <w:p w14:paraId="0FAFE033">
      <w:pPr>
        <w:autoSpaceDE w:val="0"/>
        <w:autoSpaceDN w:val="0"/>
        <w:adjustRightInd w:val="0"/>
        <w:spacing w:line="500" w:lineRule="atLeast"/>
        <w:rPr>
          <w:rFonts w:ascii="宋体" w:eastAsia="宋体"/>
          <w:color w:val="auto"/>
          <w:sz w:val="30"/>
          <w:szCs w:val="30"/>
        </w:rPr>
      </w:pPr>
    </w:p>
    <w:p w14:paraId="693D1259">
      <w:pPr>
        <w:spacing w:line="360" w:lineRule="auto"/>
        <w:ind w:left="359" w:leftChars="171"/>
        <w:rPr>
          <w:rFonts w:ascii="宋体" w:eastAsia="宋体"/>
          <w:b w:val="0"/>
          <w:color w:val="auto"/>
          <w:sz w:val="22"/>
          <w:szCs w:val="22"/>
        </w:rPr>
      </w:pPr>
      <w:r>
        <w:rPr>
          <w:rFonts w:hint="eastAsia" w:ascii="宋体" w:eastAsia="宋体"/>
          <w:b w:val="0"/>
          <w:color w:val="auto"/>
          <w:sz w:val="22"/>
          <w:szCs w:val="22"/>
        </w:rPr>
        <w:t>投标供应商全称（盖章）：</w:t>
      </w:r>
    </w:p>
    <w:p w14:paraId="5D5360D5">
      <w:pPr>
        <w:spacing w:line="360" w:lineRule="auto"/>
        <w:ind w:firstLine="330" w:firstLineChars="150"/>
        <w:rPr>
          <w:rFonts w:ascii="宋体" w:eastAsia="宋体"/>
          <w:b w:val="0"/>
          <w:color w:val="auto"/>
          <w:sz w:val="22"/>
          <w:szCs w:val="22"/>
          <w:u w:val="single"/>
        </w:rPr>
      </w:pPr>
      <w:r>
        <w:rPr>
          <w:rFonts w:hint="eastAsia" w:ascii="宋体" w:eastAsia="宋体"/>
          <w:b w:val="0"/>
          <w:color w:val="auto"/>
          <w:sz w:val="22"/>
          <w:szCs w:val="22"/>
        </w:rPr>
        <w:t>日 期：       年      月     日</w:t>
      </w:r>
    </w:p>
    <w:p w14:paraId="3709E4C6">
      <w:pPr>
        <w:autoSpaceDE w:val="0"/>
        <w:autoSpaceDN w:val="0"/>
        <w:adjustRightInd w:val="0"/>
        <w:spacing w:line="500" w:lineRule="atLeast"/>
        <w:rPr>
          <w:rFonts w:ascii="宋体" w:eastAsia="宋体"/>
          <w:color w:val="auto"/>
          <w:sz w:val="30"/>
          <w:szCs w:val="30"/>
          <w:lang w:val="zh-CN"/>
        </w:rPr>
      </w:pPr>
    </w:p>
    <w:p w14:paraId="092E4281">
      <w:pPr>
        <w:autoSpaceDE w:val="0"/>
        <w:autoSpaceDN w:val="0"/>
        <w:adjustRightInd w:val="0"/>
        <w:spacing w:line="500" w:lineRule="atLeast"/>
        <w:rPr>
          <w:rFonts w:ascii="宋体" w:eastAsia="宋体"/>
          <w:b w:val="0"/>
          <w:color w:val="auto"/>
          <w:sz w:val="30"/>
          <w:szCs w:val="30"/>
          <w:lang w:val="zh-CN"/>
        </w:rPr>
      </w:pPr>
    </w:p>
    <w:p w14:paraId="64A16CD2">
      <w:pPr>
        <w:snapToGrid w:val="0"/>
        <w:spacing w:line="500" w:lineRule="atLeast"/>
        <w:ind w:firstLine="4350" w:firstLineChars="1450"/>
        <w:rPr>
          <w:rFonts w:ascii="宋体" w:eastAsia="宋体"/>
          <w:b w:val="0"/>
          <w:color w:val="auto"/>
          <w:sz w:val="30"/>
        </w:rPr>
        <w:sectPr>
          <w:headerReference r:id="rId15" w:type="first"/>
          <w:headerReference r:id="rId14" w:type="default"/>
          <w:footerReference r:id="rId16" w:type="default"/>
          <w:pgSz w:w="11906" w:h="16838"/>
          <w:pgMar w:top="1440" w:right="1701" w:bottom="1440" w:left="1701" w:header="851" w:footer="992" w:gutter="0"/>
          <w:cols w:space="720" w:num="1"/>
          <w:docGrid w:linePitch="312" w:charSpace="0"/>
        </w:sectPr>
      </w:pPr>
    </w:p>
    <w:p w14:paraId="2DFDAEC3">
      <w:pPr>
        <w:widowControl/>
        <w:spacing w:line="460" w:lineRule="atLeast"/>
        <w:jc w:val="left"/>
        <w:rPr>
          <w:rFonts w:ascii="宋体" w:eastAsia="宋体"/>
          <w:b w:val="0"/>
          <w:bCs w:val="0"/>
          <w:color w:val="auto"/>
          <w:sz w:val="22"/>
          <w:szCs w:val="22"/>
        </w:rPr>
      </w:pPr>
      <w:bookmarkStart w:id="122" w:name="_Toc301961267"/>
      <w:r>
        <w:rPr>
          <w:rFonts w:hint="eastAsia" w:ascii="宋体" w:eastAsia="宋体"/>
          <w:color w:val="auto"/>
          <w:sz w:val="22"/>
          <w:szCs w:val="22"/>
        </w:rPr>
        <w:t>附件</w:t>
      </w:r>
      <w:bookmarkEnd w:id="122"/>
      <w:r>
        <w:rPr>
          <w:rFonts w:hint="eastAsia" w:ascii="宋体" w:eastAsia="宋体"/>
          <w:color w:val="auto"/>
          <w:sz w:val="22"/>
          <w:szCs w:val="22"/>
        </w:rPr>
        <w:t>五</w:t>
      </w:r>
    </w:p>
    <w:p w14:paraId="7827B86C">
      <w:pPr>
        <w:autoSpaceDE w:val="0"/>
        <w:autoSpaceDN w:val="0"/>
        <w:adjustRightInd w:val="0"/>
        <w:spacing w:line="500" w:lineRule="atLeast"/>
        <w:jc w:val="center"/>
        <w:rPr>
          <w:rFonts w:ascii="宋体" w:eastAsia="宋体"/>
          <w:color w:val="auto"/>
          <w:sz w:val="32"/>
          <w:szCs w:val="32"/>
          <w:lang w:val="zh-CN"/>
        </w:rPr>
      </w:pPr>
      <w:bookmarkStart w:id="123" w:name="_Toc301961268"/>
      <w:r>
        <w:rPr>
          <w:rFonts w:hint="eastAsia" w:ascii="宋体" w:eastAsia="宋体"/>
          <w:color w:val="auto"/>
          <w:sz w:val="32"/>
          <w:szCs w:val="32"/>
          <w:lang w:val="zh-CN"/>
        </w:rPr>
        <w:t>分项报价明细表</w:t>
      </w:r>
    </w:p>
    <w:tbl>
      <w:tblPr>
        <w:tblStyle w:val="43"/>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83"/>
        <w:gridCol w:w="1896"/>
        <w:gridCol w:w="1896"/>
        <w:gridCol w:w="1896"/>
      </w:tblGrid>
      <w:tr w14:paraId="488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3C32F82D">
            <w:pPr>
              <w:spacing w:line="400" w:lineRule="exact"/>
              <w:jc w:val="center"/>
              <w:rPr>
                <w:rFonts w:ascii="宋体" w:eastAsia="宋体"/>
                <w:b w:val="0"/>
                <w:color w:val="auto"/>
                <w:sz w:val="22"/>
                <w:szCs w:val="22"/>
              </w:rPr>
            </w:pPr>
            <w:r>
              <w:rPr>
                <w:rFonts w:hint="eastAsia" w:ascii="宋体" w:eastAsia="宋体"/>
                <w:b w:val="0"/>
                <w:color w:val="auto"/>
                <w:sz w:val="22"/>
                <w:szCs w:val="22"/>
              </w:rPr>
              <w:t>序号</w:t>
            </w:r>
          </w:p>
        </w:tc>
        <w:tc>
          <w:tcPr>
            <w:tcW w:w="2883" w:type="dxa"/>
            <w:tcBorders>
              <w:top w:val="single" w:color="auto" w:sz="4" w:space="0"/>
              <w:left w:val="single" w:color="auto" w:sz="4" w:space="0"/>
              <w:bottom w:val="single" w:color="auto" w:sz="4" w:space="0"/>
              <w:right w:val="single" w:color="auto" w:sz="4" w:space="0"/>
            </w:tcBorders>
            <w:noWrap/>
            <w:vAlign w:val="center"/>
          </w:tcPr>
          <w:p w14:paraId="7AB52997">
            <w:pPr>
              <w:spacing w:line="400" w:lineRule="exact"/>
              <w:jc w:val="center"/>
              <w:rPr>
                <w:rFonts w:ascii="宋体" w:eastAsia="宋体"/>
                <w:b w:val="0"/>
                <w:color w:val="auto"/>
                <w:sz w:val="22"/>
                <w:szCs w:val="22"/>
              </w:rPr>
            </w:pPr>
            <w:r>
              <w:rPr>
                <w:rFonts w:hint="eastAsia" w:ascii="宋体" w:eastAsia="宋体"/>
                <w:b w:val="0"/>
                <w:color w:val="auto"/>
                <w:sz w:val="22"/>
                <w:szCs w:val="22"/>
              </w:rPr>
              <w:t>项目名称</w:t>
            </w:r>
          </w:p>
        </w:tc>
        <w:tc>
          <w:tcPr>
            <w:tcW w:w="1896" w:type="dxa"/>
            <w:tcBorders>
              <w:top w:val="single" w:color="auto" w:sz="4" w:space="0"/>
              <w:left w:val="single" w:color="auto" w:sz="4" w:space="0"/>
              <w:bottom w:val="single" w:color="auto" w:sz="4" w:space="0"/>
              <w:right w:val="single" w:color="auto" w:sz="4" w:space="0"/>
            </w:tcBorders>
            <w:noWrap/>
            <w:vAlign w:val="center"/>
          </w:tcPr>
          <w:p w14:paraId="6CCB868B">
            <w:pPr>
              <w:spacing w:line="400" w:lineRule="exact"/>
              <w:jc w:val="center"/>
              <w:rPr>
                <w:rFonts w:ascii="宋体" w:eastAsia="宋体"/>
                <w:b w:val="0"/>
                <w:color w:val="auto"/>
                <w:sz w:val="22"/>
                <w:szCs w:val="22"/>
              </w:rPr>
            </w:pPr>
            <w:r>
              <w:rPr>
                <w:rFonts w:hint="eastAsia" w:ascii="宋体" w:eastAsia="宋体"/>
                <w:b w:val="0"/>
                <w:color w:val="auto"/>
                <w:sz w:val="22"/>
                <w:szCs w:val="22"/>
              </w:rPr>
              <w:t>数量</w:t>
            </w:r>
          </w:p>
        </w:tc>
        <w:tc>
          <w:tcPr>
            <w:tcW w:w="1896" w:type="dxa"/>
            <w:tcBorders>
              <w:top w:val="single" w:color="auto" w:sz="4" w:space="0"/>
              <w:left w:val="single" w:color="auto" w:sz="4" w:space="0"/>
              <w:bottom w:val="single" w:color="auto" w:sz="4" w:space="0"/>
              <w:right w:val="single" w:color="auto" w:sz="4" w:space="0"/>
            </w:tcBorders>
            <w:noWrap/>
            <w:vAlign w:val="center"/>
          </w:tcPr>
          <w:p w14:paraId="4EA151D8">
            <w:pPr>
              <w:spacing w:line="400" w:lineRule="exact"/>
              <w:jc w:val="center"/>
              <w:rPr>
                <w:rFonts w:ascii="宋体" w:eastAsia="宋体"/>
                <w:b w:val="0"/>
                <w:color w:val="auto"/>
                <w:sz w:val="22"/>
                <w:szCs w:val="22"/>
              </w:rPr>
            </w:pPr>
            <w:r>
              <w:rPr>
                <w:rFonts w:hint="eastAsia" w:ascii="宋体" w:eastAsia="宋体"/>
                <w:b w:val="0"/>
                <w:color w:val="auto"/>
                <w:sz w:val="22"/>
                <w:szCs w:val="22"/>
              </w:rPr>
              <w:t>单价</w:t>
            </w:r>
          </w:p>
        </w:tc>
        <w:tc>
          <w:tcPr>
            <w:tcW w:w="1896" w:type="dxa"/>
            <w:tcBorders>
              <w:top w:val="single" w:color="auto" w:sz="4" w:space="0"/>
              <w:left w:val="single" w:color="auto" w:sz="4" w:space="0"/>
              <w:bottom w:val="single" w:color="auto" w:sz="4" w:space="0"/>
              <w:right w:val="single" w:color="auto" w:sz="4" w:space="0"/>
            </w:tcBorders>
            <w:noWrap/>
            <w:vAlign w:val="center"/>
          </w:tcPr>
          <w:p w14:paraId="54707B6F">
            <w:pPr>
              <w:spacing w:line="400" w:lineRule="exact"/>
              <w:jc w:val="center"/>
              <w:rPr>
                <w:rFonts w:ascii="宋体" w:eastAsia="宋体"/>
                <w:b w:val="0"/>
                <w:color w:val="auto"/>
                <w:sz w:val="22"/>
                <w:szCs w:val="22"/>
              </w:rPr>
            </w:pPr>
            <w:r>
              <w:rPr>
                <w:rFonts w:hint="eastAsia" w:ascii="宋体" w:eastAsia="宋体"/>
                <w:b w:val="0"/>
                <w:color w:val="auto"/>
                <w:sz w:val="22"/>
                <w:szCs w:val="22"/>
              </w:rPr>
              <w:t>小计</w:t>
            </w:r>
          </w:p>
        </w:tc>
      </w:tr>
      <w:tr w14:paraId="4B0E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62DA74CE">
            <w:pPr>
              <w:spacing w:line="400" w:lineRule="exact"/>
              <w:jc w:val="center"/>
              <w:rPr>
                <w:rFonts w:ascii="宋体" w:eastAsia="宋体"/>
                <w:b w:val="0"/>
                <w:color w:val="auto"/>
                <w:sz w:val="22"/>
                <w:szCs w:val="22"/>
              </w:rPr>
            </w:pPr>
            <w:r>
              <w:rPr>
                <w:rFonts w:hint="eastAsia" w:ascii="宋体" w:eastAsia="宋体"/>
                <w:b w:val="0"/>
                <w:color w:val="auto"/>
                <w:sz w:val="22"/>
                <w:szCs w:val="22"/>
              </w:rPr>
              <w:t>1</w:t>
            </w:r>
          </w:p>
        </w:tc>
        <w:tc>
          <w:tcPr>
            <w:tcW w:w="2883" w:type="dxa"/>
            <w:tcBorders>
              <w:top w:val="single" w:color="auto" w:sz="4" w:space="0"/>
              <w:left w:val="single" w:color="auto" w:sz="4" w:space="0"/>
              <w:bottom w:val="single" w:color="auto" w:sz="4" w:space="0"/>
              <w:right w:val="single" w:color="auto" w:sz="4" w:space="0"/>
            </w:tcBorders>
            <w:noWrap/>
            <w:vAlign w:val="center"/>
          </w:tcPr>
          <w:p w14:paraId="71ABC5D4">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68782AA">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C6C18C3">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6AA27B86">
            <w:pPr>
              <w:spacing w:line="400" w:lineRule="exact"/>
              <w:jc w:val="center"/>
              <w:rPr>
                <w:rFonts w:ascii="宋体" w:eastAsia="宋体"/>
                <w:b w:val="0"/>
                <w:color w:val="auto"/>
                <w:sz w:val="22"/>
                <w:szCs w:val="22"/>
              </w:rPr>
            </w:pPr>
          </w:p>
        </w:tc>
      </w:tr>
      <w:tr w14:paraId="1ADB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27CA66B7">
            <w:pPr>
              <w:spacing w:line="400" w:lineRule="exact"/>
              <w:jc w:val="center"/>
              <w:rPr>
                <w:rFonts w:ascii="宋体" w:eastAsia="宋体"/>
                <w:b w:val="0"/>
                <w:color w:val="auto"/>
                <w:sz w:val="22"/>
                <w:szCs w:val="22"/>
              </w:rPr>
            </w:pPr>
            <w:r>
              <w:rPr>
                <w:rFonts w:hint="eastAsia" w:ascii="宋体" w:eastAsia="宋体"/>
                <w:b w:val="0"/>
                <w:color w:val="auto"/>
                <w:sz w:val="22"/>
                <w:szCs w:val="22"/>
              </w:rPr>
              <w:t>2</w:t>
            </w:r>
          </w:p>
        </w:tc>
        <w:tc>
          <w:tcPr>
            <w:tcW w:w="2883" w:type="dxa"/>
            <w:tcBorders>
              <w:top w:val="single" w:color="auto" w:sz="4" w:space="0"/>
              <w:left w:val="single" w:color="auto" w:sz="4" w:space="0"/>
              <w:bottom w:val="single" w:color="auto" w:sz="4" w:space="0"/>
              <w:right w:val="single" w:color="auto" w:sz="4" w:space="0"/>
            </w:tcBorders>
            <w:noWrap/>
            <w:vAlign w:val="center"/>
          </w:tcPr>
          <w:p w14:paraId="17289638">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01584DC8">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350A80D9">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0CD79726">
            <w:pPr>
              <w:spacing w:line="400" w:lineRule="exact"/>
              <w:jc w:val="center"/>
              <w:rPr>
                <w:rFonts w:ascii="宋体" w:eastAsia="宋体"/>
                <w:b w:val="0"/>
                <w:color w:val="auto"/>
                <w:sz w:val="22"/>
                <w:szCs w:val="22"/>
              </w:rPr>
            </w:pPr>
          </w:p>
        </w:tc>
      </w:tr>
      <w:tr w14:paraId="1CCF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1524D724">
            <w:pPr>
              <w:spacing w:line="400" w:lineRule="exact"/>
              <w:jc w:val="center"/>
              <w:rPr>
                <w:rFonts w:ascii="宋体" w:eastAsia="宋体"/>
                <w:b w:val="0"/>
                <w:color w:val="auto"/>
                <w:sz w:val="22"/>
                <w:szCs w:val="22"/>
              </w:rPr>
            </w:pPr>
            <w:r>
              <w:rPr>
                <w:rFonts w:hint="eastAsia" w:ascii="宋体" w:eastAsia="宋体"/>
                <w:b w:val="0"/>
                <w:color w:val="auto"/>
                <w:sz w:val="22"/>
                <w:szCs w:val="22"/>
              </w:rPr>
              <w:t>3</w:t>
            </w:r>
          </w:p>
        </w:tc>
        <w:tc>
          <w:tcPr>
            <w:tcW w:w="2883" w:type="dxa"/>
            <w:tcBorders>
              <w:top w:val="single" w:color="auto" w:sz="4" w:space="0"/>
              <w:left w:val="single" w:color="auto" w:sz="4" w:space="0"/>
              <w:bottom w:val="single" w:color="auto" w:sz="4" w:space="0"/>
              <w:right w:val="single" w:color="auto" w:sz="4" w:space="0"/>
            </w:tcBorders>
            <w:noWrap/>
            <w:vAlign w:val="center"/>
          </w:tcPr>
          <w:p w14:paraId="28EF921D">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048D06EE">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25E7087">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80F4981">
            <w:pPr>
              <w:spacing w:line="400" w:lineRule="exact"/>
              <w:jc w:val="center"/>
              <w:rPr>
                <w:rFonts w:ascii="宋体" w:eastAsia="宋体"/>
                <w:b w:val="0"/>
                <w:color w:val="auto"/>
                <w:sz w:val="22"/>
                <w:szCs w:val="22"/>
              </w:rPr>
            </w:pPr>
          </w:p>
        </w:tc>
      </w:tr>
      <w:tr w14:paraId="5EE4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60619CE8">
            <w:pPr>
              <w:spacing w:line="400" w:lineRule="exact"/>
              <w:jc w:val="center"/>
              <w:rPr>
                <w:rFonts w:ascii="宋体" w:eastAsia="宋体"/>
                <w:b w:val="0"/>
                <w:color w:val="auto"/>
                <w:sz w:val="22"/>
                <w:szCs w:val="22"/>
              </w:rPr>
            </w:pPr>
            <w:r>
              <w:rPr>
                <w:rFonts w:hint="eastAsia" w:ascii="宋体" w:eastAsia="宋体"/>
                <w:b w:val="0"/>
                <w:color w:val="auto"/>
                <w:sz w:val="22"/>
                <w:szCs w:val="22"/>
              </w:rPr>
              <w:t>4</w:t>
            </w:r>
          </w:p>
        </w:tc>
        <w:tc>
          <w:tcPr>
            <w:tcW w:w="2883" w:type="dxa"/>
            <w:tcBorders>
              <w:top w:val="single" w:color="auto" w:sz="4" w:space="0"/>
              <w:left w:val="single" w:color="auto" w:sz="4" w:space="0"/>
              <w:bottom w:val="single" w:color="auto" w:sz="4" w:space="0"/>
              <w:right w:val="single" w:color="auto" w:sz="4" w:space="0"/>
            </w:tcBorders>
            <w:noWrap/>
            <w:vAlign w:val="center"/>
          </w:tcPr>
          <w:p w14:paraId="6DD93FE3">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6F336FE">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2E6E2463">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16466010">
            <w:pPr>
              <w:spacing w:line="400" w:lineRule="exact"/>
              <w:jc w:val="center"/>
              <w:rPr>
                <w:rFonts w:ascii="宋体" w:eastAsia="宋体"/>
                <w:b w:val="0"/>
                <w:color w:val="auto"/>
                <w:sz w:val="22"/>
                <w:szCs w:val="22"/>
              </w:rPr>
            </w:pPr>
          </w:p>
        </w:tc>
      </w:tr>
      <w:tr w14:paraId="717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799168BD">
            <w:pPr>
              <w:spacing w:line="400" w:lineRule="exact"/>
              <w:jc w:val="center"/>
              <w:rPr>
                <w:rFonts w:ascii="宋体" w:eastAsia="宋体"/>
                <w:b w:val="0"/>
                <w:color w:val="auto"/>
                <w:sz w:val="22"/>
                <w:szCs w:val="22"/>
              </w:rPr>
            </w:pPr>
            <w:r>
              <w:rPr>
                <w:rFonts w:hint="eastAsia" w:ascii="宋体" w:eastAsia="宋体"/>
                <w:b w:val="0"/>
                <w:color w:val="auto"/>
                <w:sz w:val="22"/>
                <w:szCs w:val="22"/>
              </w:rPr>
              <w:t>5</w:t>
            </w:r>
          </w:p>
        </w:tc>
        <w:tc>
          <w:tcPr>
            <w:tcW w:w="2883" w:type="dxa"/>
            <w:tcBorders>
              <w:top w:val="single" w:color="auto" w:sz="4" w:space="0"/>
              <w:left w:val="single" w:color="auto" w:sz="4" w:space="0"/>
              <w:bottom w:val="single" w:color="auto" w:sz="4" w:space="0"/>
              <w:right w:val="single" w:color="auto" w:sz="4" w:space="0"/>
            </w:tcBorders>
            <w:noWrap/>
            <w:vAlign w:val="center"/>
          </w:tcPr>
          <w:p w14:paraId="6A0DAA3F">
            <w:pPr>
              <w:spacing w:line="400" w:lineRule="exact"/>
              <w:ind w:firstLine="660" w:firstLineChars="300"/>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C63276E">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D2FCE6B">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5C7C8F4">
            <w:pPr>
              <w:spacing w:line="400" w:lineRule="exact"/>
              <w:jc w:val="center"/>
              <w:rPr>
                <w:rFonts w:ascii="宋体" w:eastAsia="宋体"/>
                <w:b w:val="0"/>
                <w:color w:val="auto"/>
                <w:sz w:val="22"/>
                <w:szCs w:val="22"/>
              </w:rPr>
            </w:pPr>
          </w:p>
        </w:tc>
      </w:tr>
      <w:tr w14:paraId="233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5033EDFE">
            <w:pPr>
              <w:spacing w:line="400" w:lineRule="exact"/>
              <w:jc w:val="center"/>
              <w:rPr>
                <w:rFonts w:ascii="宋体" w:eastAsia="宋体"/>
                <w:b w:val="0"/>
                <w:color w:val="auto"/>
                <w:sz w:val="22"/>
                <w:szCs w:val="22"/>
              </w:rPr>
            </w:pPr>
            <w:r>
              <w:rPr>
                <w:rFonts w:hint="eastAsia" w:ascii="宋体" w:eastAsia="宋体"/>
                <w:b w:val="0"/>
                <w:color w:val="auto"/>
                <w:sz w:val="22"/>
                <w:szCs w:val="22"/>
              </w:rPr>
              <w:t>6</w:t>
            </w:r>
          </w:p>
        </w:tc>
        <w:tc>
          <w:tcPr>
            <w:tcW w:w="2883" w:type="dxa"/>
            <w:tcBorders>
              <w:top w:val="single" w:color="auto" w:sz="4" w:space="0"/>
              <w:left w:val="single" w:color="auto" w:sz="4" w:space="0"/>
              <w:bottom w:val="single" w:color="auto" w:sz="4" w:space="0"/>
              <w:right w:val="single" w:color="auto" w:sz="4" w:space="0"/>
            </w:tcBorders>
            <w:noWrap/>
            <w:vAlign w:val="center"/>
          </w:tcPr>
          <w:p w14:paraId="29F2346D">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28B75ED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2BFFE873">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A7920A5">
            <w:pPr>
              <w:spacing w:line="400" w:lineRule="exact"/>
              <w:jc w:val="center"/>
              <w:rPr>
                <w:rFonts w:ascii="宋体" w:eastAsia="宋体"/>
                <w:b w:val="0"/>
                <w:color w:val="auto"/>
                <w:sz w:val="22"/>
                <w:szCs w:val="22"/>
              </w:rPr>
            </w:pPr>
          </w:p>
        </w:tc>
      </w:tr>
      <w:tr w14:paraId="6EAF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5518DAE9">
            <w:pPr>
              <w:spacing w:line="400" w:lineRule="exact"/>
              <w:jc w:val="center"/>
              <w:rPr>
                <w:rFonts w:ascii="宋体" w:eastAsia="宋体"/>
                <w:b w:val="0"/>
                <w:color w:val="auto"/>
                <w:sz w:val="22"/>
                <w:szCs w:val="22"/>
              </w:rPr>
            </w:pPr>
          </w:p>
        </w:tc>
        <w:tc>
          <w:tcPr>
            <w:tcW w:w="2883" w:type="dxa"/>
            <w:tcBorders>
              <w:top w:val="single" w:color="auto" w:sz="4" w:space="0"/>
              <w:left w:val="single" w:color="auto" w:sz="4" w:space="0"/>
              <w:bottom w:val="single" w:color="auto" w:sz="4" w:space="0"/>
              <w:right w:val="single" w:color="auto" w:sz="4" w:space="0"/>
            </w:tcBorders>
            <w:noWrap/>
            <w:vAlign w:val="center"/>
          </w:tcPr>
          <w:p w14:paraId="4FAB3094">
            <w:pPr>
              <w:spacing w:line="400" w:lineRule="exact"/>
              <w:jc w:val="center"/>
              <w:rPr>
                <w:rFonts w:ascii="宋体" w:eastAsia="宋体"/>
                <w:b w:val="0"/>
                <w:color w:val="auto"/>
                <w:sz w:val="22"/>
                <w:szCs w:val="22"/>
              </w:rPr>
            </w:pPr>
            <w:r>
              <w:rPr>
                <w:rFonts w:ascii="宋体" w:eastAsia="宋体"/>
                <w:b w:val="0"/>
                <w:color w:val="auto"/>
                <w:sz w:val="22"/>
                <w:szCs w:val="22"/>
              </w:rPr>
              <w:t>…</w:t>
            </w:r>
          </w:p>
        </w:tc>
        <w:tc>
          <w:tcPr>
            <w:tcW w:w="1896" w:type="dxa"/>
            <w:tcBorders>
              <w:top w:val="single" w:color="auto" w:sz="4" w:space="0"/>
              <w:left w:val="single" w:color="auto" w:sz="4" w:space="0"/>
              <w:bottom w:val="single" w:color="auto" w:sz="4" w:space="0"/>
              <w:right w:val="single" w:color="auto" w:sz="4" w:space="0"/>
            </w:tcBorders>
            <w:noWrap/>
            <w:vAlign w:val="center"/>
          </w:tcPr>
          <w:p w14:paraId="500C19F2">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18383623">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171D66A5">
            <w:pPr>
              <w:spacing w:line="400" w:lineRule="exact"/>
              <w:jc w:val="center"/>
              <w:rPr>
                <w:rFonts w:ascii="宋体" w:eastAsia="宋体"/>
                <w:b w:val="0"/>
                <w:color w:val="auto"/>
                <w:sz w:val="22"/>
                <w:szCs w:val="22"/>
              </w:rPr>
            </w:pPr>
          </w:p>
        </w:tc>
      </w:tr>
      <w:tr w14:paraId="47A0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0F3E42D4">
            <w:pPr>
              <w:spacing w:line="400" w:lineRule="exact"/>
              <w:jc w:val="center"/>
              <w:rPr>
                <w:rFonts w:ascii="宋体" w:eastAsia="宋体"/>
                <w:b w:val="0"/>
                <w:color w:val="auto"/>
                <w:sz w:val="22"/>
                <w:szCs w:val="22"/>
              </w:rPr>
            </w:pPr>
          </w:p>
        </w:tc>
        <w:tc>
          <w:tcPr>
            <w:tcW w:w="2883" w:type="dxa"/>
            <w:tcBorders>
              <w:top w:val="single" w:color="auto" w:sz="4" w:space="0"/>
              <w:left w:val="single" w:color="auto" w:sz="4" w:space="0"/>
              <w:bottom w:val="single" w:color="auto" w:sz="4" w:space="0"/>
              <w:right w:val="single" w:color="auto" w:sz="4" w:space="0"/>
            </w:tcBorders>
            <w:noWrap/>
            <w:vAlign w:val="center"/>
          </w:tcPr>
          <w:p w14:paraId="54D00C6B">
            <w:pPr>
              <w:spacing w:line="400" w:lineRule="exact"/>
              <w:jc w:val="center"/>
              <w:rPr>
                <w:rFonts w:ascii="宋体" w:eastAsia="宋体"/>
                <w:b w:val="0"/>
                <w:color w:val="auto"/>
                <w:sz w:val="22"/>
                <w:szCs w:val="22"/>
              </w:rPr>
            </w:pPr>
            <w:r>
              <w:rPr>
                <w:rFonts w:hint="eastAsia" w:ascii="宋体" w:eastAsia="宋体"/>
                <w:b w:val="0"/>
                <w:color w:val="auto"/>
                <w:sz w:val="22"/>
                <w:szCs w:val="22"/>
              </w:rPr>
              <w:t>合计</w:t>
            </w:r>
          </w:p>
        </w:tc>
        <w:tc>
          <w:tcPr>
            <w:tcW w:w="1896" w:type="dxa"/>
            <w:tcBorders>
              <w:top w:val="single" w:color="auto" w:sz="4" w:space="0"/>
              <w:left w:val="single" w:color="auto" w:sz="4" w:space="0"/>
              <w:bottom w:val="single" w:color="auto" w:sz="4" w:space="0"/>
              <w:right w:val="single" w:color="auto" w:sz="4" w:space="0"/>
            </w:tcBorders>
            <w:noWrap/>
            <w:vAlign w:val="center"/>
          </w:tcPr>
          <w:p w14:paraId="740A4C7F">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A2C4EF2">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35CED48A">
            <w:pPr>
              <w:spacing w:line="400" w:lineRule="exact"/>
              <w:jc w:val="center"/>
              <w:rPr>
                <w:rFonts w:ascii="宋体" w:eastAsia="宋体"/>
                <w:b w:val="0"/>
                <w:color w:val="auto"/>
                <w:sz w:val="22"/>
                <w:szCs w:val="22"/>
              </w:rPr>
            </w:pPr>
          </w:p>
        </w:tc>
      </w:tr>
    </w:tbl>
    <w:p w14:paraId="3C95D4B8">
      <w:pPr>
        <w:pStyle w:val="26"/>
        <w:spacing w:line="360" w:lineRule="auto"/>
        <w:rPr>
          <w:rFonts w:hAnsi="宋体" w:eastAsia="宋体"/>
          <w:b w:val="0"/>
          <w:color w:val="auto"/>
          <w:sz w:val="22"/>
          <w:szCs w:val="22"/>
        </w:rPr>
      </w:pPr>
      <w:r>
        <w:rPr>
          <w:rFonts w:hint="eastAsia" w:hAnsi="宋体" w:eastAsia="宋体"/>
          <w:b w:val="0"/>
          <w:color w:val="auto"/>
          <w:sz w:val="22"/>
          <w:szCs w:val="22"/>
        </w:rPr>
        <w:t xml:space="preserve">注：1. 合价应与“开标一览表”中投标报价相一致。                  </w:t>
      </w:r>
    </w:p>
    <w:p w14:paraId="2625697B">
      <w:pPr>
        <w:pStyle w:val="26"/>
        <w:spacing w:line="360" w:lineRule="auto"/>
        <w:ind w:firstLine="442" w:firstLineChars="200"/>
        <w:rPr>
          <w:rFonts w:hAnsi="宋体" w:eastAsia="宋体"/>
          <w:color w:val="auto"/>
          <w:sz w:val="22"/>
          <w:szCs w:val="22"/>
          <w:u w:val="single"/>
        </w:rPr>
      </w:pPr>
      <w:r>
        <w:rPr>
          <w:rFonts w:hint="eastAsia" w:hAnsi="宋体" w:eastAsia="宋体"/>
          <w:color w:val="auto"/>
          <w:sz w:val="22"/>
          <w:szCs w:val="22"/>
          <w:u w:val="single"/>
        </w:rPr>
        <w:t>▲2. 不提供详细分项的投标价将视为没有实质性响应竞争性磋商文件。</w:t>
      </w:r>
    </w:p>
    <w:p w14:paraId="37DEB309">
      <w:pPr>
        <w:pStyle w:val="26"/>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 xml:space="preserve">3．本表可在不改变格式的情况下根据具体需要自行增减。                         </w:t>
      </w:r>
    </w:p>
    <w:p w14:paraId="41FCA874">
      <w:pPr>
        <w:pStyle w:val="26"/>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4、 带有“……”的为本表未列的其他费用，供应商需视情况自行列出。</w:t>
      </w:r>
    </w:p>
    <w:p w14:paraId="13D55805">
      <w:pPr>
        <w:spacing w:line="450" w:lineRule="atLeast"/>
        <w:rPr>
          <w:rFonts w:ascii="宋体" w:eastAsia="宋体"/>
          <w:b w:val="0"/>
          <w:color w:val="auto"/>
          <w:sz w:val="22"/>
          <w:szCs w:val="22"/>
        </w:rPr>
      </w:pPr>
    </w:p>
    <w:p w14:paraId="53582CB3">
      <w:pPr>
        <w:spacing w:line="360" w:lineRule="auto"/>
        <w:ind w:left="359" w:leftChars="171"/>
        <w:rPr>
          <w:rFonts w:ascii="宋体" w:eastAsia="宋体"/>
          <w:b w:val="0"/>
          <w:color w:val="auto"/>
          <w:sz w:val="22"/>
          <w:szCs w:val="22"/>
        </w:rPr>
      </w:pPr>
      <w:r>
        <w:rPr>
          <w:rFonts w:hint="eastAsia" w:ascii="宋体" w:eastAsia="宋体"/>
          <w:b w:val="0"/>
          <w:color w:val="auto"/>
          <w:sz w:val="22"/>
          <w:szCs w:val="22"/>
        </w:rPr>
        <w:t>投标供应商全称（盖章）：</w:t>
      </w:r>
    </w:p>
    <w:p w14:paraId="35D1E092">
      <w:pPr>
        <w:spacing w:line="360" w:lineRule="auto"/>
        <w:ind w:firstLine="330" w:firstLineChars="150"/>
        <w:rPr>
          <w:rFonts w:ascii="宋体" w:eastAsia="宋体"/>
          <w:b w:val="0"/>
          <w:color w:val="auto"/>
          <w:sz w:val="22"/>
          <w:szCs w:val="22"/>
          <w:u w:val="single"/>
        </w:rPr>
      </w:pPr>
      <w:r>
        <w:rPr>
          <w:rFonts w:hint="eastAsia" w:ascii="宋体" w:eastAsia="宋体"/>
          <w:b w:val="0"/>
          <w:color w:val="auto"/>
          <w:sz w:val="22"/>
          <w:szCs w:val="22"/>
        </w:rPr>
        <w:t>日 期：       年      月      日</w:t>
      </w:r>
    </w:p>
    <w:p w14:paraId="58B34BB1">
      <w:pPr>
        <w:spacing w:line="450" w:lineRule="atLeast"/>
        <w:rPr>
          <w:rFonts w:ascii="宋体" w:eastAsia="宋体"/>
          <w:color w:val="auto"/>
          <w:sz w:val="22"/>
          <w:szCs w:val="22"/>
        </w:rPr>
      </w:pPr>
    </w:p>
    <w:bookmarkEnd w:id="123"/>
    <w:p w14:paraId="0AC0FA10">
      <w:pPr>
        <w:pStyle w:val="6"/>
        <w:spacing w:line="400" w:lineRule="exact"/>
        <w:rPr>
          <w:rFonts w:ascii="宋体" w:hAnsi="宋体" w:cs="宋体"/>
          <w:b w:val="0"/>
          <w:color w:val="auto"/>
          <w:sz w:val="22"/>
          <w:szCs w:val="22"/>
        </w:rPr>
      </w:pPr>
    </w:p>
    <w:p w14:paraId="75F58D4E">
      <w:pPr>
        <w:pStyle w:val="6"/>
        <w:rPr>
          <w:rFonts w:ascii="宋体" w:hAnsi="宋体" w:cs="宋体"/>
          <w:color w:val="auto"/>
        </w:rPr>
      </w:pPr>
      <w:r>
        <w:rPr>
          <w:rFonts w:hint="eastAsia" w:ascii="宋体" w:hAnsi="宋体" w:cs="宋体"/>
          <w:color w:val="auto"/>
        </w:rPr>
        <w:br w:type="page"/>
      </w:r>
      <w:bookmarkStart w:id="124" w:name="_Toc42243287"/>
      <w:bookmarkStart w:id="125" w:name="_Toc65590097"/>
      <w:bookmarkStart w:id="126" w:name="_Toc28542"/>
      <w:bookmarkStart w:id="127" w:name="_Toc42678695"/>
      <w:r>
        <w:rPr>
          <w:rFonts w:hint="eastAsia" w:ascii="宋体" w:hAnsi="宋体" w:cs="宋体"/>
          <w:color w:val="auto"/>
        </w:rPr>
        <w:t>三、商务技术文件部分格式</w:t>
      </w:r>
      <w:bookmarkEnd w:id="124"/>
      <w:bookmarkEnd w:id="125"/>
      <w:bookmarkEnd w:id="126"/>
      <w:bookmarkEnd w:id="127"/>
    </w:p>
    <w:p w14:paraId="4E7206E2">
      <w:pPr>
        <w:widowControl/>
        <w:spacing w:line="460" w:lineRule="atLeast"/>
        <w:jc w:val="left"/>
        <w:rPr>
          <w:rFonts w:ascii="宋体" w:eastAsia="宋体"/>
          <w:b w:val="0"/>
          <w:bCs w:val="0"/>
          <w:color w:val="auto"/>
          <w:sz w:val="22"/>
          <w:szCs w:val="22"/>
        </w:rPr>
      </w:pPr>
      <w:bookmarkStart w:id="128" w:name="_Toc493530215"/>
      <w:r>
        <w:rPr>
          <w:rFonts w:hint="eastAsia" w:ascii="宋体" w:eastAsia="宋体"/>
          <w:color w:val="auto"/>
          <w:sz w:val="22"/>
          <w:szCs w:val="22"/>
        </w:rPr>
        <w:t xml:space="preserve">附件六 </w:t>
      </w:r>
      <w:bookmarkEnd w:id="128"/>
    </w:p>
    <w:p w14:paraId="3DE5CCD5">
      <w:pPr>
        <w:pStyle w:val="6"/>
        <w:rPr>
          <w:rFonts w:ascii="宋体" w:hAnsi="宋体" w:cs="宋体"/>
          <w:color w:val="auto"/>
        </w:rPr>
      </w:pPr>
      <w:bookmarkStart w:id="129" w:name="_Toc42678185"/>
      <w:bookmarkStart w:id="130" w:name="_Toc61444217"/>
      <w:bookmarkStart w:id="131" w:name="_Toc42678696"/>
      <w:bookmarkStart w:id="132" w:name="_Toc2316"/>
      <w:bookmarkStart w:id="133" w:name="_Toc65830026"/>
      <w:bookmarkStart w:id="134" w:name="_Toc19204521"/>
      <w:bookmarkStart w:id="135" w:name="_Toc42678617"/>
      <w:bookmarkStart w:id="136" w:name="_Toc9334949"/>
      <w:bookmarkStart w:id="137" w:name="_Toc42678030"/>
      <w:bookmarkStart w:id="138" w:name="_Toc511045481"/>
      <w:bookmarkStart w:id="139" w:name="_Toc518512534"/>
      <w:bookmarkStart w:id="140" w:name="_Toc522469119"/>
      <w:bookmarkStart w:id="141" w:name="_Toc65590098"/>
      <w:bookmarkStart w:id="142" w:name="_Toc68188423"/>
      <w:bookmarkStart w:id="143" w:name="_Toc42243288"/>
      <w:r>
        <w:rPr>
          <w:rFonts w:hint="eastAsia" w:ascii="宋体" w:hAnsi="宋体" w:cs="宋体"/>
          <w:color w:val="auto"/>
        </w:rPr>
        <w:t>投 标 函</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F1003A3">
      <w:pPr>
        <w:autoSpaceDE w:val="0"/>
        <w:autoSpaceDN w:val="0"/>
        <w:adjustRightInd w:val="0"/>
        <w:snapToGrid w:val="0"/>
        <w:spacing w:line="480" w:lineRule="atLeast"/>
        <w:rPr>
          <w:rFonts w:ascii="宋体" w:eastAsia="宋体"/>
          <w:color w:val="auto"/>
          <w:sz w:val="22"/>
          <w:u w:val="single"/>
        </w:rPr>
      </w:pPr>
      <w:r>
        <w:rPr>
          <w:rFonts w:hint="eastAsia" w:ascii="宋体" w:eastAsia="宋体"/>
          <w:color w:val="auto"/>
          <w:sz w:val="22"/>
          <w:u w:val="single"/>
          <w:lang w:val="zh-CN"/>
        </w:rPr>
        <w:t xml:space="preserve">  （采购人）   ：</w:t>
      </w:r>
    </w:p>
    <w:p w14:paraId="6B42A12D">
      <w:pPr>
        <w:autoSpaceDE w:val="0"/>
        <w:autoSpaceDN w:val="0"/>
        <w:adjustRightInd w:val="0"/>
        <w:snapToGrid w:val="0"/>
        <w:spacing w:line="480" w:lineRule="atLeast"/>
        <w:rPr>
          <w:rFonts w:ascii="宋体" w:eastAsia="宋体"/>
          <w:b w:val="0"/>
          <w:color w:val="auto"/>
          <w:sz w:val="22"/>
          <w:lang w:val="zh-CN"/>
        </w:rPr>
      </w:pPr>
      <w:r>
        <w:rPr>
          <w:rFonts w:hint="eastAsia" w:ascii="宋体" w:eastAsia="宋体"/>
          <w:color w:val="auto"/>
          <w:sz w:val="22"/>
          <w:lang w:val="zh-CN"/>
        </w:rPr>
        <w:t xml:space="preserve">   </w:t>
      </w:r>
      <w:r>
        <w:rPr>
          <w:rFonts w:hint="eastAsia" w:ascii="宋体" w:eastAsia="宋体"/>
          <w:b w:val="0"/>
          <w:color w:val="auto"/>
          <w:sz w:val="22"/>
          <w:lang w:val="zh-CN"/>
        </w:rPr>
        <w:t xml:space="preserve"> </w:t>
      </w:r>
      <w:r>
        <w:rPr>
          <w:rFonts w:hint="eastAsia" w:ascii="宋体" w:eastAsia="宋体"/>
          <w:b w:val="0"/>
          <w:color w:val="auto"/>
          <w:sz w:val="22"/>
          <w:u w:val="single"/>
          <w:lang w:val="zh-CN"/>
        </w:rPr>
        <w:t xml:space="preserve">                    </w:t>
      </w:r>
      <w:r>
        <w:rPr>
          <w:rFonts w:hint="eastAsia" w:ascii="宋体" w:eastAsia="宋体"/>
          <w:b w:val="0"/>
          <w:color w:val="auto"/>
          <w:sz w:val="22"/>
          <w:lang w:val="zh-CN"/>
        </w:rPr>
        <w:t>（供应商全称）授权</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 （授权代表名称）</w:t>
      </w:r>
      <w:r>
        <w:rPr>
          <w:rFonts w:hint="eastAsia" w:ascii="宋体" w:eastAsia="宋体"/>
          <w:b w:val="0"/>
          <w:color w:val="auto"/>
          <w:sz w:val="22"/>
          <w:u w:val="single"/>
          <w:lang w:val="zh-CN"/>
        </w:rPr>
        <w:t xml:space="preserve">         </w:t>
      </w:r>
      <w:r>
        <w:rPr>
          <w:rFonts w:hint="eastAsia" w:ascii="宋体" w:eastAsia="宋体"/>
          <w:b w:val="0"/>
          <w:color w:val="auto"/>
          <w:sz w:val="22"/>
          <w:lang w:val="zh-CN"/>
        </w:rPr>
        <w:t>（职务、职称）为授权代表，参加贵方组织的</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（招标项目名称）（括号内填投标编号） </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招标的有关活动，并对该项目进行投标。为此：    </w:t>
      </w:r>
    </w:p>
    <w:p w14:paraId="6DAE218C">
      <w:pPr>
        <w:tabs>
          <w:tab w:val="left" w:pos="803"/>
        </w:tabs>
        <w:autoSpaceDE w:val="0"/>
        <w:autoSpaceDN w:val="0"/>
        <w:adjustRightInd w:val="0"/>
        <w:snapToGrid w:val="0"/>
        <w:spacing w:line="480" w:lineRule="atLeast"/>
        <w:ind w:left="443"/>
        <w:rPr>
          <w:rFonts w:ascii="宋体" w:eastAsia="宋体"/>
          <w:b w:val="0"/>
          <w:color w:val="auto"/>
          <w:sz w:val="22"/>
        </w:rPr>
      </w:pPr>
      <w:r>
        <w:rPr>
          <w:rFonts w:hint="eastAsia" w:ascii="宋体" w:eastAsia="宋体"/>
          <w:b w:val="0"/>
          <w:color w:val="auto"/>
          <w:sz w:val="22"/>
          <w:lang w:val="zh-CN"/>
        </w:rPr>
        <w:t>1、提供投标须知规定的全部响应文件。</w:t>
      </w:r>
    </w:p>
    <w:p w14:paraId="67FAA277">
      <w:pPr>
        <w:autoSpaceDE w:val="0"/>
        <w:autoSpaceDN w:val="0"/>
        <w:adjustRightInd w:val="0"/>
        <w:snapToGrid w:val="0"/>
        <w:spacing w:line="480" w:lineRule="atLeast"/>
        <w:ind w:firstLine="450"/>
        <w:rPr>
          <w:rFonts w:ascii="宋体" w:eastAsia="宋体"/>
          <w:b w:val="0"/>
          <w:color w:val="auto"/>
          <w:sz w:val="22"/>
          <w:u w:val="single"/>
          <w:lang w:val="zh-CN"/>
        </w:rPr>
      </w:pPr>
      <w:bookmarkStart w:id="144" w:name="_Toc356545138"/>
      <w:r>
        <w:rPr>
          <w:rFonts w:hint="eastAsia" w:ascii="宋体" w:eastAsia="宋体"/>
          <w:b w:val="0"/>
          <w:color w:val="auto"/>
          <w:sz w:val="22"/>
          <w:lang w:val="zh-CN"/>
        </w:rPr>
        <w:t>2、我方对服务期承诺如下：</w:t>
      </w:r>
      <w:bookmarkEnd w:id="144"/>
      <w:r>
        <w:rPr>
          <w:rFonts w:hint="eastAsia" w:ascii="宋体" w:eastAsia="宋体"/>
          <w:b w:val="0"/>
          <w:color w:val="auto"/>
          <w:sz w:val="22"/>
          <w:u w:val="single"/>
        </w:rPr>
        <w:t>按竞争性磋商文件要求完成本项目</w:t>
      </w:r>
      <w:r>
        <w:rPr>
          <w:rFonts w:hint="eastAsia" w:ascii="宋体" w:eastAsia="宋体"/>
          <w:b w:val="0"/>
          <w:color w:val="auto"/>
          <w:sz w:val="22"/>
          <w:u w:val="single"/>
          <w:lang w:val="zh-CN"/>
        </w:rPr>
        <w:t>。</w:t>
      </w:r>
    </w:p>
    <w:p w14:paraId="302B6F82">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3、保证遵守采购文件中的有关规定和收费标准。</w:t>
      </w:r>
    </w:p>
    <w:p w14:paraId="38ABF8EA">
      <w:pPr>
        <w:autoSpaceDE w:val="0"/>
        <w:autoSpaceDN w:val="0"/>
        <w:adjustRightInd w:val="0"/>
        <w:snapToGrid w:val="0"/>
        <w:spacing w:line="480" w:lineRule="atLeast"/>
        <w:ind w:firstLine="465"/>
        <w:rPr>
          <w:rFonts w:ascii="宋体" w:eastAsia="宋体"/>
          <w:b w:val="0"/>
          <w:color w:val="auto"/>
          <w:sz w:val="22"/>
          <w:lang w:val="zh-CN"/>
        </w:rPr>
      </w:pPr>
      <w:r>
        <w:rPr>
          <w:rFonts w:hint="eastAsia" w:ascii="宋体" w:eastAsia="宋体"/>
          <w:b w:val="0"/>
          <w:color w:val="auto"/>
          <w:sz w:val="22"/>
          <w:lang w:val="zh-CN"/>
        </w:rPr>
        <w:t>4、保证忠实地执行采购人、成交供应商双方所签的合同，并承担合同规定的责任义务。</w:t>
      </w:r>
    </w:p>
    <w:p w14:paraId="6534E67F">
      <w:pPr>
        <w:autoSpaceDE w:val="0"/>
        <w:autoSpaceDN w:val="0"/>
        <w:adjustRightInd w:val="0"/>
        <w:snapToGrid w:val="0"/>
        <w:spacing w:line="480" w:lineRule="atLeast"/>
        <w:ind w:firstLine="465"/>
        <w:rPr>
          <w:rFonts w:ascii="宋体" w:eastAsia="宋体"/>
          <w:b w:val="0"/>
          <w:color w:val="auto"/>
          <w:sz w:val="22"/>
          <w:lang w:val="zh-CN"/>
        </w:rPr>
      </w:pPr>
      <w:r>
        <w:rPr>
          <w:rFonts w:hint="eastAsia" w:ascii="宋体" w:eastAsia="宋体"/>
          <w:b w:val="0"/>
          <w:color w:val="auto"/>
          <w:sz w:val="22"/>
          <w:lang w:val="zh-CN"/>
        </w:rPr>
        <w:t>5、供应商已详细审查全部采购文件，包括采购文件补充文件（如有）。我方完全理解并同意放弃对这方面有不明及误解的权力。如果采购文件有相互矛盾之处，我方同意按采购人的理解处理。</w:t>
      </w:r>
    </w:p>
    <w:p w14:paraId="77744C19">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6、愿意向贵方提供任何与该项投标有关的数据、情况和技术资料，完全理解贵方不一定接受最低价的投标或收到的任何投标。</w:t>
      </w:r>
    </w:p>
    <w:p w14:paraId="3FB924DF">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7、利益冲突：近三年内直至目前，我公司与本项目的采购人、采购代理机构没有任何的隶属关系。</w:t>
      </w:r>
    </w:p>
    <w:p w14:paraId="42D29EFD">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8、</w:t>
      </w:r>
      <w:r>
        <w:rPr>
          <w:rFonts w:hint="eastAsia" w:ascii="宋体" w:eastAsia="宋体"/>
          <w:b w:val="0"/>
          <w:color w:val="auto"/>
          <w:sz w:val="22"/>
        </w:rPr>
        <w:t>我单位没有被各地、各级财政部门限制参加政府采购活动或曾被各地、各级财政部门限制参加政府采购活动但已不在限制期内。</w:t>
      </w:r>
    </w:p>
    <w:p w14:paraId="7C505DFD">
      <w:pPr>
        <w:autoSpaceDE w:val="0"/>
        <w:autoSpaceDN w:val="0"/>
        <w:adjustRightInd w:val="0"/>
        <w:spacing w:line="440" w:lineRule="atLeast"/>
        <w:ind w:firstLine="450"/>
        <w:rPr>
          <w:rFonts w:ascii="宋体" w:eastAsia="宋体"/>
          <w:b w:val="0"/>
          <w:color w:val="auto"/>
          <w:sz w:val="22"/>
          <w:lang w:val="zh-CN"/>
        </w:rPr>
      </w:pPr>
      <w:r>
        <w:rPr>
          <w:rFonts w:hint="eastAsia" w:ascii="宋体" w:eastAsia="宋体"/>
          <w:b w:val="0"/>
          <w:color w:val="auto"/>
          <w:sz w:val="22"/>
          <w:szCs w:val="22"/>
          <w:lang w:val="zh-CN"/>
        </w:rPr>
        <w:t>9、</w:t>
      </w:r>
      <w:r>
        <w:rPr>
          <w:rFonts w:hint="eastAsia" w:ascii="宋体" w:eastAsia="宋体"/>
          <w:b w:val="0"/>
          <w:color w:val="auto"/>
          <w:sz w:val="22"/>
          <w:lang w:val="zh-CN"/>
        </w:rPr>
        <w:t>投标有效期内不撤销响应文件；强行撤销的，承诺按采购预算金额的2%赔偿对采购组织机构造成的损失。</w:t>
      </w:r>
    </w:p>
    <w:p w14:paraId="438231A2">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10、中标或者成交后，按采购文件规定与采购人签订合同。拒绝签订合同的，承诺按采购预算金额的 2%对采购人进行赔偿；赔偿金额不足以弥补采购人损失的，承诺继续承担超过部分的损失。</w:t>
      </w:r>
    </w:p>
    <w:p w14:paraId="16D04BF8">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11、中标或者成交后，按采购文件规定的采购代理服务费标准，承诺在签订合同前向采购代理机构支付采购代理服务费。</w:t>
      </w:r>
    </w:p>
    <w:p w14:paraId="1CF584DD">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12、本投标自开标之日起90天内有效。</w:t>
      </w:r>
    </w:p>
    <w:p w14:paraId="514C0C52">
      <w:pPr>
        <w:spacing w:line="420" w:lineRule="exact"/>
        <w:ind w:firstLine="418" w:firstLineChars="190"/>
        <w:rPr>
          <w:rFonts w:ascii="宋体" w:eastAsia="宋体"/>
          <w:b w:val="0"/>
          <w:color w:val="auto"/>
          <w:sz w:val="22"/>
        </w:rPr>
      </w:pPr>
      <w:r>
        <w:rPr>
          <w:rFonts w:hint="eastAsia" w:ascii="宋体" w:eastAsia="宋体"/>
          <w:b w:val="0"/>
          <w:color w:val="auto"/>
          <w:sz w:val="22"/>
        </w:rPr>
        <w:t>13、如有列情形之一的，我方愿意被取消成交资格（如成交），同时继续承担其他一切法律后果，并不再寻求任何旨在减轻或免除法律责任的解释：</w:t>
      </w:r>
    </w:p>
    <w:p w14:paraId="2BCFDBB7">
      <w:pPr>
        <w:spacing w:line="420" w:lineRule="exact"/>
        <w:ind w:firstLine="418" w:firstLineChars="190"/>
        <w:rPr>
          <w:rFonts w:ascii="宋体" w:eastAsia="宋体"/>
          <w:b w:val="0"/>
          <w:color w:val="auto"/>
          <w:sz w:val="22"/>
        </w:rPr>
      </w:pPr>
      <w:r>
        <w:rPr>
          <w:rFonts w:hint="eastAsia" w:ascii="宋体" w:eastAsia="宋体"/>
          <w:b w:val="0"/>
          <w:color w:val="auto"/>
          <w:sz w:val="22"/>
        </w:rPr>
        <w:t>(1)提供虚假材料（承诺）谋取成交、成交的；</w:t>
      </w:r>
    </w:p>
    <w:p w14:paraId="7E67E722">
      <w:pPr>
        <w:spacing w:line="420" w:lineRule="exact"/>
        <w:ind w:firstLine="418" w:firstLineChars="190"/>
        <w:rPr>
          <w:rFonts w:ascii="宋体" w:eastAsia="宋体"/>
          <w:b w:val="0"/>
          <w:color w:val="auto"/>
          <w:sz w:val="22"/>
        </w:rPr>
      </w:pPr>
      <w:r>
        <w:rPr>
          <w:rFonts w:hint="eastAsia" w:ascii="宋体" w:eastAsia="宋体"/>
          <w:b w:val="0"/>
          <w:color w:val="auto"/>
          <w:sz w:val="22"/>
        </w:rPr>
        <w:t>(2)采取不正当手段诋毁、排挤其他供应商的；</w:t>
      </w:r>
    </w:p>
    <w:p w14:paraId="3B8B7E5F">
      <w:pPr>
        <w:spacing w:line="420" w:lineRule="exact"/>
        <w:ind w:firstLine="418" w:firstLineChars="190"/>
        <w:rPr>
          <w:rFonts w:ascii="宋体" w:eastAsia="宋体"/>
          <w:b w:val="0"/>
          <w:color w:val="auto"/>
          <w:sz w:val="22"/>
        </w:rPr>
      </w:pPr>
      <w:r>
        <w:rPr>
          <w:rFonts w:hint="eastAsia" w:ascii="宋体" w:eastAsia="宋体"/>
          <w:b w:val="0"/>
          <w:color w:val="auto"/>
          <w:sz w:val="22"/>
        </w:rPr>
        <w:t>(3)与采购人、其它供应商或者采购代理机构恶意串通的；</w:t>
      </w:r>
    </w:p>
    <w:p w14:paraId="171A08D7">
      <w:pPr>
        <w:spacing w:line="420" w:lineRule="exact"/>
        <w:ind w:firstLine="418" w:firstLineChars="190"/>
        <w:rPr>
          <w:rFonts w:ascii="宋体" w:eastAsia="宋体"/>
          <w:b w:val="0"/>
          <w:color w:val="auto"/>
          <w:sz w:val="22"/>
        </w:rPr>
      </w:pPr>
      <w:r>
        <w:rPr>
          <w:rFonts w:hint="eastAsia" w:ascii="宋体" w:eastAsia="宋体"/>
          <w:b w:val="0"/>
          <w:color w:val="auto"/>
          <w:sz w:val="22"/>
        </w:rPr>
        <w:t>(4)向采购人、采购代理机构行贿或者提供其他不正当利益的；</w:t>
      </w:r>
    </w:p>
    <w:p w14:paraId="49D4B7AA">
      <w:pPr>
        <w:spacing w:line="420" w:lineRule="exact"/>
        <w:ind w:firstLine="418" w:firstLineChars="190"/>
        <w:rPr>
          <w:rFonts w:ascii="宋体" w:eastAsia="宋体"/>
          <w:b w:val="0"/>
          <w:color w:val="auto"/>
          <w:sz w:val="22"/>
        </w:rPr>
      </w:pPr>
      <w:r>
        <w:rPr>
          <w:rFonts w:hint="eastAsia" w:ascii="宋体" w:eastAsia="宋体"/>
          <w:b w:val="0"/>
          <w:color w:val="auto"/>
          <w:sz w:val="22"/>
        </w:rPr>
        <w:t>(5)在招标采购过程中与采购人进行协商谈判的；</w:t>
      </w:r>
    </w:p>
    <w:p w14:paraId="66A4B6D3">
      <w:pPr>
        <w:spacing w:line="420" w:lineRule="exact"/>
        <w:ind w:firstLine="418" w:firstLineChars="190"/>
        <w:rPr>
          <w:rFonts w:ascii="宋体" w:eastAsia="宋体"/>
          <w:b w:val="0"/>
          <w:color w:val="auto"/>
          <w:sz w:val="22"/>
        </w:rPr>
      </w:pPr>
      <w:r>
        <w:rPr>
          <w:rFonts w:hint="eastAsia" w:ascii="宋体" w:eastAsia="宋体"/>
          <w:b w:val="0"/>
          <w:color w:val="auto"/>
          <w:sz w:val="22"/>
        </w:rPr>
        <w:t>(6)拒绝有关部门监督检查或提供虚假情况的。</w:t>
      </w:r>
    </w:p>
    <w:p w14:paraId="43533A2A">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14、与本投标有关的一切往来通讯请寄：</w:t>
      </w:r>
    </w:p>
    <w:p w14:paraId="19C78D7F">
      <w:pPr>
        <w:autoSpaceDE w:val="0"/>
        <w:autoSpaceDN w:val="0"/>
        <w:adjustRightInd w:val="0"/>
        <w:spacing w:line="440" w:lineRule="atLeast"/>
        <w:rPr>
          <w:rFonts w:ascii="宋体" w:eastAsia="宋体"/>
          <w:b w:val="0"/>
          <w:color w:val="auto"/>
          <w:sz w:val="22"/>
          <w:szCs w:val="22"/>
          <w:lang w:val="zh-CN"/>
        </w:rPr>
      </w:pPr>
      <w:r>
        <w:rPr>
          <w:rFonts w:hint="eastAsia" w:ascii="宋体" w:eastAsia="宋体"/>
          <w:b w:val="0"/>
          <w:color w:val="auto"/>
          <w:sz w:val="22"/>
          <w:szCs w:val="22"/>
          <w:lang w:val="zh-CN"/>
        </w:rPr>
        <w:t>地址：</w:t>
      </w:r>
      <w:r>
        <w:rPr>
          <w:rFonts w:hint="eastAsia" w:ascii="宋体" w:eastAsia="宋体"/>
          <w:b w:val="0"/>
          <w:color w:val="auto"/>
          <w:sz w:val="22"/>
          <w:szCs w:val="22"/>
          <w:u w:val="single"/>
          <w:lang w:val="zh-CN"/>
        </w:rPr>
        <w:t xml:space="preserve">                                 </w:t>
      </w:r>
    </w:p>
    <w:p w14:paraId="17D8EE8E">
      <w:pPr>
        <w:autoSpaceDE w:val="0"/>
        <w:autoSpaceDN w:val="0"/>
        <w:adjustRightInd w:val="0"/>
        <w:spacing w:line="440" w:lineRule="atLeast"/>
        <w:rPr>
          <w:rFonts w:ascii="宋体" w:eastAsia="宋体"/>
          <w:b w:val="0"/>
          <w:color w:val="auto"/>
          <w:sz w:val="22"/>
          <w:szCs w:val="22"/>
          <w:lang w:val="zh-CN"/>
        </w:rPr>
      </w:pPr>
      <w:r>
        <w:rPr>
          <w:rFonts w:hint="eastAsia" w:ascii="宋体" w:eastAsia="宋体"/>
          <w:b w:val="0"/>
          <w:color w:val="auto"/>
          <w:sz w:val="22"/>
          <w:szCs w:val="22"/>
          <w:lang w:val="zh-CN"/>
        </w:rPr>
        <w:t>邮编：</w:t>
      </w:r>
      <w:r>
        <w:rPr>
          <w:rFonts w:hint="eastAsia" w:ascii="宋体" w:eastAsia="宋体"/>
          <w:b w:val="0"/>
          <w:color w:val="auto"/>
          <w:sz w:val="22"/>
          <w:szCs w:val="22"/>
          <w:u w:val="single"/>
          <w:lang w:val="zh-CN"/>
        </w:rPr>
        <w:t xml:space="preserve">               </w:t>
      </w:r>
      <w:r>
        <w:rPr>
          <w:rFonts w:hint="eastAsia" w:ascii="宋体" w:eastAsia="宋体"/>
          <w:b w:val="0"/>
          <w:color w:val="auto"/>
          <w:sz w:val="22"/>
          <w:szCs w:val="22"/>
          <w:lang w:val="zh-CN"/>
        </w:rPr>
        <w:t>电话：</w:t>
      </w:r>
      <w:r>
        <w:rPr>
          <w:rFonts w:hint="eastAsia" w:ascii="宋体" w:eastAsia="宋体"/>
          <w:b w:val="0"/>
          <w:color w:val="auto"/>
          <w:sz w:val="22"/>
          <w:szCs w:val="22"/>
          <w:u w:val="single"/>
          <w:lang w:val="zh-CN"/>
        </w:rPr>
        <w:t xml:space="preserve">                 </w:t>
      </w:r>
      <w:r>
        <w:rPr>
          <w:rFonts w:hint="eastAsia" w:ascii="宋体" w:eastAsia="宋体"/>
          <w:b w:val="0"/>
          <w:color w:val="auto"/>
          <w:sz w:val="22"/>
          <w:szCs w:val="22"/>
          <w:lang w:val="zh-CN"/>
        </w:rPr>
        <w:t>传真：</w:t>
      </w:r>
      <w:r>
        <w:rPr>
          <w:rFonts w:hint="eastAsia" w:ascii="宋体" w:eastAsia="宋体"/>
          <w:b w:val="0"/>
          <w:color w:val="auto"/>
          <w:sz w:val="22"/>
          <w:szCs w:val="22"/>
          <w:u w:val="single"/>
          <w:lang w:val="zh-CN"/>
        </w:rPr>
        <w:t xml:space="preserve">                 </w:t>
      </w:r>
    </w:p>
    <w:p w14:paraId="0F1FD10B">
      <w:pPr>
        <w:autoSpaceDE w:val="0"/>
        <w:autoSpaceDN w:val="0"/>
        <w:adjustRightInd w:val="0"/>
        <w:spacing w:line="440" w:lineRule="atLeast"/>
        <w:ind w:firstLine="1980" w:firstLineChars="900"/>
        <w:rPr>
          <w:rFonts w:ascii="宋体" w:eastAsia="宋体"/>
          <w:b w:val="0"/>
          <w:color w:val="auto"/>
          <w:sz w:val="22"/>
          <w:szCs w:val="22"/>
          <w:lang w:val="zh-CN"/>
        </w:rPr>
      </w:pPr>
    </w:p>
    <w:p w14:paraId="52DE512B">
      <w:pPr>
        <w:autoSpaceDE w:val="0"/>
        <w:autoSpaceDN w:val="0"/>
        <w:adjustRightInd w:val="0"/>
        <w:spacing w:line="440" w:lineRule="atLeast"/>
        <w:jc w:val="left"/>
        <w:rPr>
          <w:rFonts w:ascii="宋体" w:eastAsia="宋体"/>
          <w:b w:val="0"/>
          <w:color w:val="auto"/>
          <w:sz w:val="22"/>
          <w:szCs w:val="22"/>
          <w:lang w:val="zh-CN"/>
        </w:rPr>
      </w:pPr>
      <w:r>
        <w:rPr>
          <w:rFonts w:hint="eastAsia" w:ascii="宋体" w:eastAsia="宋体"/>
          <w:b w:val="0"/>
          <w:color w:val="auto"/>
          <w:sz w:val="22"/>
          <w:szCs w:val="22"/>
          <w:lang w:val="zh-CN"/>
        </w:rPr>
        <w:t>供应商全称（盖章）：</w:t>
      </w:r>
    </w:p>
    <w:p w14:paraId="4ABEB74F">
      <w:pPr>
        <w:autoSpaceDE w:val="0"/>
        <w:autoSpaceDN w:val="0"/>
        <w:adjustRightInd w:val="0"/>
        <w:spacing w:line="440" w:lineRule="atLeast"/>
        <w:jc w:val="left"/>
        <w:rPr>
          <w:rFonts w:ascii="宋体" w:eastAsia="宋体"/>
          <w:b w:val="0"/>
          <w:color w:val="auto"/>
          <w:sz w:val="22"/>
          <w:szCs w:val="22"/>
          <w:lang w:val="zh-CN"/>
        </w:rPr>
      </w:pPr>
      <w:r>
        <w:rPr>
          <w:rFonts w:hint="eastAsia" w:ascii="宋体" w:eastAsia="宋体"/>
          <w:b w:val="0"/>
          <w:color w:val="auto"/>
          <w:sz w:val="22"/>
          <w:szCs w:val="22"/>
          <w:lang w:val="zh-CN"/>
        </w:rPr>
        <w:t>日期：</w:t>
      </w:r>
    </w:p>
    <w:p w14:paraId="4138672C">
      <w:pPr>
        <w:autoSpaceDE w:val="0"/>
        <w:autoSpaceDN w:val="0"/>
        <w:adjustRightInd w:val="0"/>
        <w:snapToGrid w:val="0"/>
        <w:spacing w:line="480" w:lineRule="atLeast"/>
        <w:ind w:firstLine="442" w:firstLineChars="200"/>
        <w:jc w:val="left"/>
        <w:rPr>
          <w:rFonts w:ascii="宋体" w:eastAsia="宋体"/>
          <w:color w:val="auto"/>
          <w:sz w:val="22"/>
          <w:lang w:val="zh-CN"/>
        </w:rPr>
      </w:pPr>
    </w:p>
    <w:p w14:paraId="399624D9">
      <w:pPr>
        <w:pStyle w:val="19"/>
        <w:rPr>
          <w:rFonts w:ascii="宋体" w:hAnsi="宋体" w:eastAsia="宋体" w:cs="宋体"/>
          <w:b/>
          <w:bCs/>
          <w:sz w:val="22"/>
          <w:szCs w:val="22"/>
        </w:rPr>
      </w:pPr>
      <w:r>
        <w:rPr>
          <w:rFonts w:hint="eastAsia" w:ascii="宋体" w:hAnsi="宋体" w:eastAsia="宋体" w:cs="宋体"/>
          <w:sz w:val="22"/>
          <w:szCs w:val="22"/>
        </w:rPr>
        <w:br w:type="page"/>
      </w:r>
      <w:bookmarkStart w:id="145" w:name="_Toc493530219"/>
      <w:r>
        <w:rPr>
          <w:rFonts w:hint="eastAsia" w:ascii="宋体" w:hAnsi="宋体" w:eastAsia="宋体" w:cs="宋体"/>
          <w:b/>
          <w:bCs/>
          <w:sz w:val="22"/>
          <w:szCs w:val="22"/>
        </w:rPr>
        <w:t>附件</w:t>
      </w:r>
      <w:bookmarkEnd w:id="145"/>
      <w:r>
        <w:rPr>
          <w:rFonts w:hint="eastAsia" w:ascii="宋体" w:hAnsi="宋体" w:eastAsia="宋体" w:cs="宋体"/>
          <w:b/>
          <w:bCs/>
          <w:sz w:val="22"/>
          <w:szCs w:val="22"/>
        </w:rPr>
        <w:t>七</w:t>
      </w:r>
    </w:p>
    <w:p w14:paraId="1422509D">
      <w:pPr>
        <w:tabs>
          <w:tab w:val="left" w:pos="1080"/>
        </w:tabs>
        <w:autoSpaceDE w:val="0"/>
        <w:autoSpaceDN w:val="0"/>
        <w:adjustRightInd w:val="0"/>
        <w:spacing w:line="440" w:lineRule="atLeast"/>
        <w:jc w:val="center"/>
        <w:rPr>
          <w:rFonts w:ascii="宋体" w:eastAsia="宋体"/>
          <w:b w:val="0"/>
          <w:color w:val="auto"/>
          <w:sz w:val="32"/>
          <w:szCs w:val="32"/>
          <w:lang w:val="zh-CN"/>
        </w:rPr>
      </w:pPr>
      <w:r>
        <w:rPr>
          <w:rFonts w:hint="eastAsia" w:ascii="宋体" w:eastAsia="宋体"/>
          <w:color w:val="auto"/>
          <w:sz w:val="32"/>
          <w:szCs w:val="32"/>
          <w:lang w:val="zh-CN"/>
        </w:rPr>
        <w:t>法定代表人诚信投标承诺书</w:t>
      </w:r>
    </w:p>
    <w:p w14:paraId="76D41AFE">
      <w:pPr>
        <w:spacing w:line="360" w:lineRule="auto"/>
        <w:jc w:val="left"/>
        <w:rPr>
          <w:rFonts w:ascii="宋体" w:eastAsia="宋体"/>
          <w:color w:val="auto"/>
          <w:sz w:val="24"/>
        </w:rPr>
      </w:pPr>
    </w:p>
    <w:p w14:paraId="03FBFF29">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280F2C8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b w:val="0"/>
          <w:color w:val="auto"/>
          <w:sz w:val="22"/>
          <w:szCs w:val="22"/>
          <w:u w:val="single"/>
        </w:rPr>
        <w:t xml:space="preserve">              项目（项目编号：   ）</w:t>
      </w:r>
      <w:r>
        <w:rPr>
          <w:rFonts w:hint="eastAsia" w:ascii="宋体" w:eastAsia="宋体"/>
          <w:b w:val="0"/>
          <w:color w:val="auto"/>
          <w:sz w:val="22"/>
          <w:szCs w:val="22"/>
        </w:rPr>
        <w:t>的投标；</w:t>
      </w:r>
    </w:p>
    <w:p w14:paraId="3E58E2BE">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一、杜绝以收取管理费等形式的一切挂靠、违法转包、分包行为；并选派有丰富经验、无不良行为记录的在项目管理人员、技术人员，严格按竞争性磋商文件、响应文件及合同等要求保证拟派人员的到岗率。</w:t>
      </w:r>
    </w:p>
    <w:p w14:paraId="6F561ABB">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二、响应文件所提供的一切材料都是真实、有效、合法的。</w:t>
      </w:r>
    </w:p>
    <w:p w14:paraId="5383C114">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三、不与其他投标供应商相互串通投标报价，不排挤其他投标供应商的公平竞争，不损害招标人或其他投标供应商的合法权益。</w:t>
      </w:r>
    </w:p>
    <w:p w14:paraId="414D50A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14:paraId="690DC58D">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1F4F971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5AF4D37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4F73087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14:paraId="297B97B3">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九、没有被各地、各级财政部门禁止参加政府采购活动，且在限制期限内：    </w:t>
      </w:r>
    </w:p>
    <w:p w14:paraId="24958314">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1698BA2D">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20FE485C">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法定代表人（签字或盖章）：</w:t>
      </w:r>
    </w:p>
    <w:p w14:paraId="6CEC7DB9">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投标供应商（盖章）</w:t>
      </w:r>
    </w:p>
    <w:p w14:paraId="302D7FB3">
      <w:pPr>
        <w:spacing w:line="460" w:lineRule="atLeast"/>
        <w:ind w:right="1120" w:firstLine="2970" w:firstLineChars="1350"/>
        <w:rPr>
          <w:rFonts w:ascii="宋体" w:eastAsia="宋体"/>
          <w:b w:val="0"/>
          <w:color w:val="auto"/>
        </w:rPr>
      </w:pPr>
      <w:r>
        <w:rPr>
          <w:rFonts w:hint="eastAsia" w:ascii="宋体" w:eastAsia="宋体"/>
          <w:b w:val="0"/>
          <w:color w:val="auto"/>
          <w:sz w:val="22"/>
          <w:szCs w:val="22"/>
        </w:rPr>
        <w:t>承诺书签署日期：         年  月  日</w:t>
      </w:r>
    </w:p>
    <w:p w14:paraId="129AE9CA">
      <w:pPr>
        <w:spacing w:line="360" w:lineRule="exact"/>
        <w:jc w:val="left"/>
        <w:rPr>
          <w:rFonts w:ascii="宋体" w:eastAsia="宋体"/>
          <w:bCs w:val="0"/>
          <w:color w:val="auto"/>
          <w:sz w:val="22"/>
          <w:szCs w:val="22"/>
          <w:u w:val="single"/>
        </w:rPr>
      </w:pPr>
    </w:p>
    <w:p w14:paraId="686AE840">
      <w:pPr>
        <w:spacing w:line="360" w:lineRule="exact"/>
        <w:jc w:val="left"/>
        <w:rPr>
          <w:rFonts w:ascii="宋体" w:eastAsia="宋体"/>
          <w:b w:val="0"/>
          <w:color w:val="auto"/>
          <w:sz w:val="30"/>
        </w:rPr>
      </w:pPr>
      <w:r>
        <w:rPr>
          <w:rFonts w:hint="eastAsia" w:ascii="宋体" w:eastAsia="宋体"/>
          <w:color w:val="auto"/>
          <w:sz w:val="22"/>
          <w:szCs w:val="22"/>
          <w:u w:val="single"/>
        </w:rPr>
        <w:t>备注：▲投标供应商必须提供本承诺书，不提供按无效投标处理。</w:t>
      </w:r>
    </w:p>
    <w:p w14:paraId="35EB5AF4">
      <w:pPr>
        <w:tabs>
          <w:tab w:val="left" w:pos="2520"/>
        </w:tabs>
        <w:spacing w:line="440" w:lineRule="exact"/>
        <w:outlineLvl w:val="0"/>
        <w:rPr>
          <w:rFonts w:ascii="宋体" w:eastAsia="宋体"/>
          <w:color w:val="auto"/>
        </w:rPr>
      </w:pPr>
    </w:p>
    <w:p w14:paraId="0E4F4862">
      <w:pPr>
        <w:tabs>
          <w:tab w:val="left" w:pos="2520"/>
        </w:tabs>
        <w:spacing w:line="440" w:lineRule="exact"/>
        <w:outlineLvl w:val="0"/>
        <w:rPr>
          <w:rFonts w:ascii="宋体" w:eastAsia="宋体"/>
          <w:color w:val="auto"/>
        </w:rPr>
      </w:pPr>
    </w:p>
    <w:p w14:paraId="404DAA8B">
      <w:pPr>
        <w:spacing w:line="360" w:lineRule="exact"/>
        <w:jc w:val="left"/>
        <w:rPr>
          <w:rFonts w:ascii="宋体" w:eastAsia="宋体"/>
          <w:b w:val="0"/>
          <w:bCs w:val="0"/>
          <w:color w:val="auto"/>
          <w:sz w:val="22"/>
          <w:szCs w:val="22"/>
        </w:rPr>
      </w:pPr>
      <w:r>
        <w:rPr>
          <w:rFonts w:hint="eastAsia" w:ascii="宋体" w:eastAsia="宋体"/>
          <w:color w:val="auto"/>
          <w:sz w:val="22"/>
          <w:szCs w:val="22"/>
        </w:rPr>
        <w:br w:type="page"/>
      </w:r>
      <w:r>
        <w:rPr>
          <w:rFonts w:hint="eastAsia" w:ascii="宋体" w:eastAsia="宋体"/>
          <w:color w:val="auto"/>
          <w:sz w:val="22"/>
          <w:szCs w:val="22"/>
        </w:rPr>
        <w:t>附件八</w:t>
      </w:r>
    </w:p>
    <w:p w14:paraId="718F2263">
      <w:pPr>
        <w:tabs>
          <w:tab w:val="left" w:pos="1080"/>
        </w:tabs>
        <w:autoSpaceDE w:val="0"/>
        <w:autoSpaceDN w:val="0"/>
        <w:adjustRightInd w:val="0"/>
        <w:spacing w:line="440" w:lineRule="atLeast"/>
        <w:jc w:val="center"/>
        <w:rPr>
          <w:rFonts w:ascii="宋体" w:eastAsia="宋体"/>
          <w:color w:val="auto"/>
          <w:sz w:val="32"/>
          <w:szCs w:val="32"/>
          <w:lang w:val="zh-CN"/>
        </w:rPr>
      </w:pPr>
      <w:r>
        <w:rPr>
          <w:rFonts w:hint="eastAsia" w:ascii="宋体" w:eastAsia="宋体"/>
          <w:color w:val="auto"/>
          <w:sz w:val="32"/>
          <w:szCs w:val="32"/>
          <w:lang w:val="zh-CN"/>
        </w:rPr>
        <w:t xml:space="preserve"> </w:t>
      </w:r>
      <w:bookmarkStart w:id="146" w:name="_Toc68188425"/>
      <w:bookmarkStart w:id="147" w:name="_Toc30686"/>
      <w:bookmarkStart w:id="148" w:name="_Toc496618932"/>
      <w:bookmarkStart w:id="149" w:name="_Toc518512543"/>
      <w:bookmarkStart w:id="150" w:name="_Toc19204524"/>
      <w:bookmarkStart w:id="151" w:name="_Toc522469128"/>
      <w:bookmarkStart w:id="152" w:name="_Toc9334958"/>
      <w:bookmarkStart w:id="153" w:name="_Toc46386542"/>
      <w:bookmarkStart w:id="154" w:name="_Toc42243291"/>
      <w:bookmarkStart w:id="155" w:name="_Toc511045490"/>
      <w:r>
        <w:rPr>
          <w:rFonts w:hint="eastAsia" w:ascii="宋体" w:eastAsia="宋体"/>
          <w:color w:val="auto"/>
          <w:sz w:val="32"/>
          <w:szCs w:val="32"/>
          <w:lang w:val="zh-CN"/>
        </w:rPr>
        <w:t>偏离表</w:t>
      </w:r>
      <w:bookmarkEnd w:id="146"/>
      <w:bookmarkEnd w:id="147"/>
      <w:bookmarkEnd w:id="148"/>
      <w:bookmarkEnd w:id="149"/>
      <w:bookmarkEnd w:id="150"/>
      <w:bookmarkEnd w:id="151"/>
      <w:bookmarkEnd w:id="152"/>
      <w:bookmarkEnd w:id="153"/>
      <w:bookmarkEnd w:id="154"/>
      <w:bookmarkEnd w:id="155"/>
    </w:p>
    <w:p w14:paraId="165EA647">
      <w:pPr>
        <w:spacing w:line="560" w:lineRule="exact"/>
        <w:ind w:firstLine="433" w:firstLineChars="196"/>
        <w:rPr>
          <w:rFonts w:ascii="宋体" w:eastAsia="宋体"/>
          <w:bCs w:val="0"/>
          <w:color w:val="auto"/>
          <w:sz w:val="22"/>
          <w:szCs w:val="22"/>
        </w:rPr>
      </w:pPr>
      <w:r>
        <w:rPr>
          <w:rFonts w:hint="eastAsia" w:ascii="宋体" w:eastAsia="宋体"/>
          <w:color w:val="auto"/>
          <w:sz w:val="22"/>
          <w:szCs w:val="22"/>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542B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5BF3CB01">
            <w:pPr>
              <w:jc w:val="center"/>
              <w:rPr>
                <w:rFonts w:ascii="宋体" w:eastAsia="宋体"/>
                <w:color w:val="auto"/>
                <w:sz w:val="22"/>
                <w:szCs w:val="22"/>
              </w:rPr>
            </w:pPr>
            <w:r>
              <w:rPr>
                <w:rFonts w:hint="eastAsia" w:ascii="宋体" w:eastAsia="宋体"/>
                <w:color w:val="auto"/>
                <w:sz w:val="22"/>
                <w:szCs w:val="22"/>
              </w:rPr>
              <w:t>内   容</w:t>
            </w:r>
          </w:p>
        </w:tc>
        <w:tc>
          <w:tcPr>
            <w:tcW w:w="1434" w:type="dxa"/>
            <w:vAlign w:val="center"/>
          </w:tcPr>
          <w:p w14:paraId="2F389898">
            <w:pPr>
              <w:jc w:val="center"/>
              <w:rPr>
                <w:rFonts w:ascii="宋体" w:eastAsia="宋体"/>
                <w:color w:val="auto"/>
                <w:sz w:val="22"/>
                <w:szCs w:val="22"/>
              </w:rPr>
            </w:pPr>
            <w:r>
              <w:rPr>
                <w:rFonts w:hint="eastAsia" w:ascii="宋体" w:eastAsia="宋体"/>
                <w:color w:val="auto"/>
                <w:sz w:val="22"/>
                <w:szCs w:val="22"/>
              </w:rPr>
              <w:t>竞争性磋商文件条目</w:t>
            </w:r>
          </w:p>
        </w:tc>
        <w:tc>
          <w:tcPr>
            <w:tcW w:w="2743" w:type="dxa"/>
            <w:vAlign w:val="center"/>
          </w:tcPr>
          <w:p w14:paraId="48E6A8F7">
            <w:pPr>
              <w:jc w:val="center"/>
              <w:rPr>
                <w:rFonts w:ascii="宋体" w:eastAsia="宋体"/>
                <w:color w:val="auto"/>
                <w:sz w:val="22"/>
                <w:szCs w:val="22"/>
              </w:rPr>
            </w:pPr>
            <w:r>
              <w:rPr>
                <w:rFonts w:hint="eastAsia" w:ascii="宋体" w:eastAsia="宋体"/>
                <w:color w:val="auto"/>
                <w:sz w:val="22"/>
                <w:szCs w:val="22"/>
              </w:rPr>
              <w:t>竞争性磋商文件</w:t>
            </w:r>
          </w:p>
          <w:p w14:paraId="4AD4CCB1">
            <w:pPr>
              <w:jc w:val="center"/>
              <w:rPr>
                <w:rFonts w:ascii="宋体" w:eastAsia="宋体"/>
                <w:color w:val="auto"/>
                <w:sz w:val="22"/>
                <w:szCs w:val="22"/>
              </w:rPr>
            </w:pPr>
            <w:r>
              <w:rPr>
                <w:rFonts w:hint="eastAsia" w:ascii="宋体" w:eastAsia="宋体"/>
                <w:color w:val="auto"/>
                <w:sz w:val="22"/>
                <w:szCs w:val="22"/>
              </w:rPr>
              <w:t>规格要求</w:t>
            </w:r>
          </w:p>
        </w:tc>
        <w:tc>
          <w:tcPr>
            <w:tcW w:w="3023" w:type="dxa"/>
            <w:vAlign w:val="center"/>
          </w:tcPr>
          <w:p w14:paraId="7046A4D3">
            <w:pPr>
              <w:jc w:val="center"/>
              <w:rPr>
                <w:rFonts w:ascii="宋体" w:eastAsia="宋体"/>
                <w:color w:val="auto"/>
                <w:sz w:val="22"/>
                <w:szCs w:val="22"/>
              </w:rPr>
            </w:pPr>
            <w:r>
              <w:rPr>
                <w:rFonts w:hint="eastAsia" w:ascii="宋体" w:eastAsia="宋体"/>
                <w:color w:val="auto"/>
                <w:sz w:val="22"/>
                <w:szCs w:val="22"/>
              </w:rPr>
              <w:t>响应文件</w:t>
            </w:r>
          </w:p>
          <w:p w14:paraId="27A0AA0C">
            <w:pPr>
              <w:jc w:val="center"/>
              <w:rPr>
                <w:rFonts w:ascii="宋体" w:eastAsia="宋体"/>
                <w:color w:val="auto"/>
                <w:sz w:val="22"/>
                <w:szCs w:val="22"/>
              </w:rPr>
            </w:pPr>
            <w:r>
              <w:rPr>
                <w:rFonts w:hint="eastAsia" w:ascii="宋体" w:eastAsia="宋体"/>
                <w:color w:val="auto"/>
                <w:sz w:val="22"/>
                <w:szCs w:val="22"/>
              </w:rPr>
              <w:t>对应规格</w:t>
            </w:r>
          </w:p>
        </w:tc>
        <w:tc>
          <w:tcPr>
            <w:tcW w:w="1260" w:type="dxa"/>
            <w:vAlign w:val="center"/>
          </w:tcPr>
          <w:p w14:paraId="52D80D3A">
            <w:pPr>
              <w:jc w:val="center"/>
              <w:rPr>
                <w:rFonts w:ascii="宋体" w:eastAsia="宋体"/>
                <w:color w:val="auto"/>
                <w:sz w:val="22"/>
                <w:szCs w:val="22"/>
              </w:rPr>
            </w:pPr>
            <w:r>
              <w:rPr>
                <w:rFonts w:hint="eastAsia" w:ascii="宋体" w:eastAsia="宋体"/>
                <w:color w:val="auto"/>
                <w:sz w:val="22"/>
                <w:szCs w:val="22"/>
              </w:rPr>
              <w:t>说   明</w:t>
            </w:r>
          </w:p>
        </w:tc>
      </w:tr>
      <w:tr w14:paraId="2652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7BB1B3BE">
            <w:pPr>
              <w:rPr>
                <w:rFonts w:ascii="宋体" w:eastAsia="宋体"/>
                <w:color w:val="auto"/>
                <w:sz w:val="22"/>
                <w:szCs w:val="22"/>
              </w:rPr>
            </w:pPr>
            <w:r>
              <w:rPr>
                <w:rFonts w:hint="eastAsia" w:ascii="宋体" w:eastAsia="宋体"/>
                <w:color w:val="auto"/>
                <w:sz w:val="22"/>
                <w:szCs w:val="22"/>
              </w:rPr>
              <w:t>技术偏离</w:t>
            </w:r>
          </w:p>
        </w:tc>
        <w:tc>
          <w:tcPr>
            <w:tcW w:w="1434" w:type="dxa"/>
            <w:vAlign w:val="center"/>
          </w:tcPr>
          <w:p w14:paraId="3E8AD82E">
            <w:pPr>
              <w:jc w:val="center"/>
              <w:rPr>
                <w:rFonts w:ascii="宋体" w:eastAsia="宋体"/>
                <w:color w:val="auto"/>
                <w:sz w:val="22"/>
                <w:szCs w:val="22"/>
              </w:rPr>
            </w:pPr>
          </w:p>
        </w:tc>
        <w:tc>
          <w:tcPr>
            <w:tcW w:w="2743" w:type="dxa"/>
            <w:vAlign w:val="center"/>
          </w:tcPr>
          <w:p w14:paraId="4A955436">
            <w:pPr>
              <w:jc w:val="center"/>
              <w:rPr>
                <w:rFonts w:ascii="宋体" w:eastAsia="宋体"/>
                <w:color w:val="auto"/>
                <w:sz w:val="22"/>
                <w:szCs w:val="22"/>
              </w:rPr>
            </w:pPr>
          </w:p>
        </w:tc>
        <w:tc>
          <w:tcPr>
            <w:tcW w:w="3023" w:type="dxa"/>
            <w:vAlign w:val="center"/>
          </w:tcPr>
          <w:p w14:paraId="149E8DF2">
            <w:pPr>
              <w:jc w:val="center"/>
              <w:rPr>
                <w:rFonts w:ascii="宋体" w:eastAsia="宋体"/>
                <w:color w:val="auto"/>
                <w:sz w:val="22"/>
                <w:szCs w:val="22"/>
              </w:rPr>
            </w:pPr>
          </w:p>
        </w:tc>
        <w:tc>
          <w:tcPr>
            <w:tcW w:w="1260" w:type="dxa"/>
            <w:vAlign w:val="center"/>
          </w:tcPr>
          <w:p w14:paraId="2671BB43">
            <w:pPr>
              <w:jc w:val="center"/>
              <w:rPr>
                <w:rFonts w:ascii="宋体" w:eastAsia="宋体"/>
                <w:color w:val="auto"/>
                <w:sz w:val="22"/>
                <w:szCs w:val="22"/>
              </w:rPr>
            </w:pPr>
          </w:p>
        </w:tc>
      </w:tr>
      <w:tr w14:paraId="43B7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A873B0D">
            <w:pPr>
              <w:jc w:val="center"/>
              <w:rPr>
                <w:rFonts w:ascii="宋体" w:eastAsia="宋体"/>
                <w:color w:val="auto"/>
                <w:sz w:val="22"/>
                <w:szCs w:val="22"/>
              </w:rPr>
            </w:pPr>
          </w:p>
        </w:tc>
        <w:tc>
          <w:tcPr>
            <w:tcW w:w="1434" w:type="dxa"/>
            <w:vAlign w:val="center"/>
          </w:tcPr>
          <w:p w14:paraId="6AB72184">
            <w:pPr>
              <w:jc w:val="center"/>
              <w:rPr>
                <w:rFonts w:ascii="宋体" w:eastAsia="宋体"/>
                <w:color w:val="auto"/>
                <w:sz w:val="22"/>
                <w:szCs w:val="22"/>
              </w:rPr>
            </w:pPr>
          </w:p>
        </w:tc>
        <w:tc>
          <w:tcPr>
            <w:tcW w:w="2743" w:type="dxa"/>
            <w:vAlign w:val="center"/>
          </w:tcPr>
          <w:p w14:paraId="4D081C6E">
            <w:pPr>
              <w:jc w:val="center"/>
              <w:rPr>
                <w:rFonts w:ascii="宋体" w:eastAsia="宋体"/>
                <w:color w:val="auto"/>
                <w:sz w:val="22"/>
                <w:szCs w:val="22"/>
              </w:rPr>
            </w:pPr>
          </w:p>
        </w:tc>
        <w:tc>
          <w:tcPr>
            <w:tcW w:w="3023" w:type="dxa"/>
            <w:vAlign w:val="center"/>
          </w:tcPr>
          <w:p w14:paraId="1A85A489">
            <w:pPr>
              <w:jc w:val="center"/>
              <w:rPr>
                <w:rFonts w:ascii="宋体" w:eastAsia="宋体"/>
                <w:color w:val="auto"/>
                <w:sz w:val="22"/>
                <w:szCs w:val="22"/>
              </w:rPr>
            </w:pPr>
          </w:p>
        </w:tc>
        <w:tc>
          <w:tcPr>
            <w:tcW w:w="1260" w:type="dxa"/>
            <w:vAlign w:val="center"/>
          </w:tcPr>
          <w:p w14:paraId="2CFD1E8C">
            <w:pPr>
              <w:jc w:val="center"/>
              <w:rPr>
                <w:rFonts w:ascii="宋体" w:eastAsia="宋体"/>
                <w:color w:val="auto"/>
                <w:sz w:val="22"/>
                <w:szCs w:val="22"/>
              </w:rPr>
            </w:pPr>
          </w:p>
        </w:tc>
      </w:tr>
      <w:tr w14:paraId="39B2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BBB93F2">
            <w:pPr>
              <w:jc w:val="center"/>
              <w:rPr>
                <w:rFonts w:ascii="宋体" w:eastAsia="宋体"/>
                <w:color w:val="auto"/>
                <w:sz w:val="22"/>
                <w:szCs w:val="22"/>
              </w:rPr>
            </w:pPr>
          </w:p>
        </w:tc>
        <w:tc>
          <w:tcPr>
            <w:tcW w:w="1434" w:type="dxa"/>
            <w:vAlign w:val="center"/>
          </w:tcPr>
          <w:p w14:paraId="6AB789A1">
            <w:pPr>
              <w:jc w:val="center"/>
              <w:rPr>
                <w:rFonts w:ascii="宋体" w:eastAsia="宋体"/>
                <w:color w:val="auto"/>
                <w:sz w:val="22"/>
                <w:szCs w:val="22"/>
              </w:rPr>
            </w:pPr>
          </w:p>
        </w:tc>
        <w:tc>
          <w:tcPr>
            <w:tcW w:w="2743" w:type="dxa"/>
            <w:vAlign w:val="center"/>
          </w:tcPr>
          <w:p w14:paraId="419B8E14">
            <w:pPr>
              <w:jc w:val="center"/>
              <w:rPr>
                <w:rFonts w:ascii="宋体" w:eastAsia="宋体"/>
                <w:color w:val="auto"/>
                <w:sz w:val="22"/>
                <w:szCs w:val="22"/>
              </w:rPr>
            </w:pPr>
          </w:p>
        </w:tc>
        <w:tc>
          <w:tcPr>
            <w:tcW w:w="3023" w:type="dxa"/>
            <w:vAlign w:val="center"/>
          </w:tcPr>
          <w:p w14:paraId="4C6C5847">
            <w:pPr>
              <w:jc w:val="center"/>
              <w:rPr>
                <w:rFonts w:ascii="宋体" w:eastAsia="宋体"/>
                <w:color w:val="auto"/>
                <w:sz w:val="22"/>
                <w:szCs w:val="22"/>
              </w:rPr>
            </w:pPr>
          </w:p>
        </w:tc>
        <w:tc>
          <w:tcPr>
            <w:tcW w:w="1260" w:type="dxa"/>
            <w:vAlign w:val="center"/>
          </w:tcPr>
          <w:p w14:paraId="4ED5B7F1">
            <w:pPr>
              <w:jc w:val="center"/>
              <w:rPr>
                <w:rFonts w:ascii="宋体" w:eastAsia="宋体"/>
                <w:color w:val="auto"/>
                <w:sz w:val="22"/>
                <w:szCs w:val="22"/>
              </w:rPr>
            </w:pPr>
          </w:p>
        </w:tc>
      </w:tr>
      <w:tr w14:paraId="17B1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748950D">
            <w:pPr>
              <w:jc w:val="center"/>
              <w:rPr>
                <w:rFonts w:ascii="宋体" w:eastAsia="宋体"/>
                <w:color w:val="auto"/>
                <w:sz w:val="22"/>
                <w:szCs w:val="22"/>
              </w:rPr>
            </w:pPr>
          </w:p>
        </w:tc>
        <w:tc>
          <w:tcPr>
            <w:tcW w:w="1434" w:type="dxa"/>
            <w:vAlign w:val="center"/>
          </w:tcPr>
          <w:p w14:paraId="2D59CF42">
            <w:pPr>
              <w:jc w:val="center"/>
              <w:rPr>
                <w:rFonts w:ascii="宋体" w:eastAsia="宋体"/>
                <w:color w:val="auto"/>
                <w:sz w:val="22"/>
                <w:szCs w:val="22"/>
              </w:rPr>
            </w:pPr>
          </w:p>
        </w:tc>
        <w:tc>
          <w:tcPr>
            <w:tcW w:w="2743" w:type="dxa"/>
            <w:vAlign w:val="center"/>
          </w:tcPr>
          <w:p w14:paraId="5C705B22">
            <w:pPr>
              <w:jc w:val="center"/>
              <w:rPr>
                <w:rFonts w:ascii="宋体" w:eastAsia="宋体"/>
                <w:color w:val="auto"/>
                <w:sz w:val="22"/>
                <w:szCs w:val="22"/>
              </w:rPr>
            </w:pPr>
          </w:p>
        </w:tc>
        <w:tc>
          <w:tcPr>
            <w:tcW w:w="3023" w:type="dxa"/>
            <w:vAlign w:val="center"/>
          </w:tcPr>
          <w:p w14:paraId="1D87530F">
            <w:pPr>
              <w:jc w:val="center"/>
              <w:rPr>
                <w:rFonts w:ascii="宋体" w:eastAsia="宋体"/>
                <w:color w:val="auto"/>
                <w:sz w:val="22"/>
                <w:szCs w:val="22"/>
              </w:rPr>
            </w:pPr>
          </w:p>
        </w:tc>
        <w:tc>
          <w:tcPr>
            <w:tcW w:w="1260" w:type="dxa"/>
            <w:vAlign w:val="center"/>
          </w:tcPr>
          <w:p w14:paraId="642D03D8">
            <w:pPr>
              <w:jc w:val="center"/>
              <w:rPr>
                <w:rFonts w:ascii="宋体" w:eastAsia="宋体"/>
                <w:color w:val="auto"/>
                <w:sz w:val="22"/>
                <w:szCs w:val="22"/>
              </w:rPr>
            </w:pPr>
          </w:p>
        </w:tc>
      </w:tr>
      <w:tr w14:paraId="0A60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4AB59FBD">
            <w:pPr>
              <w:jc w:val="center"/>
              <w:rPr>
                <w:rFonts w:ascii="宋体" w:eastAsia="宋体"/>
                <w:color w:val="auto"/>
                <w:sz w:val="22"/>
                <w:szCs w:val="22"/>
              </w:rPr>
            </w:pPr>
          </w:p>
        </w:tc>
        <w:tc>
          <w:tcPr>
            <w:tcW w:w="1434" w:type="dxa"/>
            <w:vAlign w:val="center"/>
          </w:tcPr>
          <w:p w14:paraId="5B23F8D5">
            <w:pPr>
              <w:jc w:val="center"/>
              <w:rPr>
                <w:rFonts w:ascii="宋体" w:eastAsia="宋体"/>
                <w:color w:val="auto"/>
                <w:sz w:val="22"/>
                <w:szCs w:val="22"/>
              </w:rPr>
            </w:pPr>
          </w:p>
        </w:tc>
        <w:tc>
          <w:tcPr>
            <w:tcW w:w="2743" w:type="dxa"/>
            <w:vAlign w:val="center"/>
          </w:tcPr>
          <w:p w14:paraId="7C74CE8B">
            <w:pPr>
              <w:jc w:val="center"/>
              <w:rPr>
                <w:rFonts w:ascii="宋体" w:eastAsia="宋体"/>
                <w:color w:val="auto"/>
                <w:sz w:val="22"/>
                <w:szCs w:val="22"/>
              </w:rPr>
            </w:pPr>
          </w:p>
        </w:tc>
        <w:tc>
          <w:tcPr>
            <w:tcW w:w="3023" w:type="dxa"/>
            <w:vAlign w:val="center"/>
          </w:tcPr>
          <w:p w14:paraId="35290474">
            <w:pPr>
              <w:jc w:val="center"/>
              <w:rPr>
                <w:rFonts w:ascii="宋体" w:eastAsia="宋体"/>
                <w:color w:val="auto"/>
                <w:sz w:val="22"/>
                <w:szCs w:val="22"/>
              </w:rPr>
            </w:pPr>
          </w:p>
        </w:tc>
        <w:tc>
          <w:tcPr>
            <w:tcW w:w="1260" w:type="dxa"/>
            <w:vAlign w:val="center"/>
          </w:tcPr>
          <w:p w14:paraId="2AD9DCC4">
            <w:pPr>
              <w:jc w:val="center"/>
              <w:rPr>
                <w:rFonts w:ascii="宋体" w:eastAsia="宋体"/>
                <w:color w:val="auto"/>
                <w:sz w:val="22"/>
                <w:szCs w:val="22"/>
              </w:rPr>
            </w:pPr>
          </w:p>
        </w:tc>
      </w:tr>
      <w:tr w14:paraId="2A33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02E10673">
            <w:pPr>
              <w:rPr>
                <w:rFonts w:ascii="宋体" w:eastAsia="宋体"/>
                <w:color w:val="auto"/>
                <w:sz w:val="22"/>
                <w:szCs w:val="22"/>
              </w:rPr>
            </w:pPr>
            <w:r>
              <w:rPr>
                <w:rFonts w:hint="eastAsia" w:ascii="宋体" w:eastAsia="宋体"/>
                <w:color w:val="auto"/>
                <w:sz w:val="22"/>
                <w:szCs w:val="22"/>
              </w:rPr>
              <w:t>商务偏离</w:t>
            </w:r>
          </w:p>
        </w:tc>
        <w:tc>
          <w:tcPr>
            <w:tcW w:w="1434" w:type="dxa"/>
            <w:vAlign w:val="center"/>
          </w:tcPr>
          <w:p w14:paraId="5D116319">
            <w:pPr>
              <w:jc w:val="center"/>
              <w:rPr>
                <w:rFonts w:ascii="宋体" w:eastAsia="宋体"/>
                <w:color w:val="auto"/>
                <w:sz w:val="22"/>
                <w:szCs w:val="22"/>
              </w:rPr>
            </w:pPr>
          </w:p>
        </w:tc>
        <w:tc>
          <w:tcPr>
            <w:tcW w:w="2743" w:type="dxa"/>
            <w:vAlign w:val="center"/>
          </w:tcPr>
          <w:p w14:paraId="32099379">
            <w:pPr>
              <w:jc w:val="center"/>
              <w:rPr>
                <w:rFonts w:ascii="宋体" w:eastAsia="宋体"/>
                <w:color w:val="auto"/>
                <w:sz w:val="22"/>
                <w:szCs w:val="22"/>
              </w:rPr>
            </w:pPr>
          </w:p>
        </w:tc>
        <w:tc>
          <w:tcPr>
            <w:tcW w:w="3023" w:type="dxa"/>
            <w:vAlign w:val="center"/>
          </w:tcPr>
          <w:p w14:paraId="7F4279DF">
            <w:pPr>
              <w:jc w:val="center"/>
              <w:rPr>
                <w:rFonts w:ascii="宋体" w:eastAsia="宋体"/>
                <w:color w:val="auto"/>
                <w:sz w:val="22"/>
                <w:szCs w:val="22"/>
              </w:rPr>
            </w:pPr>
          </w:p>
        </w:tc>
        <w:tc>
          <w:tcPr>
            <w:tcW w:w="1260" w:type="dxa"/>
            <w:vAlign w:val="center"/>
          </w:tcPr>
          <w:p w14:paraId="74139EBD">
            <w:pPr>
              <w:jc w:val="center"/>
              <w:rPr>
                <w:rFonts w:ascii="宋体" w:eastAsia="宋体"/>
                <w:color w:val="auto"/>
                <w:sz w:val="22"/>
                <w:szCs w:val="22"/>
              </w:rPr>
            </w:pPr>
          </w:p>
        </w:tc>
      </w:tr>
      <w:tr w14:paraId="05D0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533183D">
            <w:pPr>
              <w:jc w:val="center"/>
              <w:rPr>
                <w:rFonts w:ascii="宋体" w:eastAsia="宋体"/>
                <w:color w:val="auto"/>
                <w:sz w:val="22"/>
                <w:szCs w:val="22"/>
              </w:rPr>
            </w:pPr>
          </w:p>
        </w:tc>
        <w:tc>
          <w:tcPr>
            <w:tcW w:w="1434" w:type="dxa"/>
            <w:vAlign w:val="center"/>
          </w:tcPr>
          <w:p w14:paraId="4E1E67DF">
            <w:pPr>
              <w:jc w:val="center"/>
              <w:rPr>
                <w:rFonts w:ascii="宋体" w:eastAsia="宋体"/>
                <w:color w:val="auto"/>
                <w:sz w:val="22"/>
                <w:szCs w:val="22"/>
              </w:rPr>
            </w:pPr>
          </w:p>
        </w:tc>
        <w:tc>
          <w:tcPr>
            <w:tcW w:w="2743" w:type="dxa"/>
            <w:vAlign w:val="center"/>
          </w:tcPr>
          <w:p w14:paraId="138ECC83">
            <w:pPr>
              <w:jc w:val="center"/>
              <w:rPr>
                <w:rFonts w:ascii="宋体" w:eastAsia="宋体"/>
                <w:color w:val="auto"/>
                <w:sz w:val="22"/>
                <w:szCs w:val="22"/>
              </w:rPr>
            </w:pPr>
          </w:p>
        </w:tc>
        <w:tc>
          <w:tcPr>
            <w:tcW w:w="3023" w:type="dxa"/>
            <w:vAlign w:val="center"/>
          </w:tcPr>
          <w:p w14:paraId="072BB5EB">
            <w:pPr>
              <w:jc w:val="center"/>
              <w:rPr>
                <w:rFonts w:ascii="宋体" w:eastAsia="宋体"/>
                <w:color w:val="auto"/>
                <w:sz w:val="22"/>
                <w:szCs w:val="22"/>
              </w:rPr>
            </w:pPr>
          </w:p>
        </w:tc>
        <w:tc>
          <w:tcPr>
            <w:tcW w:w="1260" w:type="dxa"/>
            <w:vAlign w:val="center"/>
          </w:tcPr>
          <w:p w14:paraId="34C63FDF">
            <w:pPr>
              <w:jc w:val="center"/>
              <w:rPr>
                <w:rFonts w:ascii="宋体" w:eastAsia="宋体"/>
                <w:color w:val="auto"/>
                <w:sz w:val="22"/>
                <w:szCs w:val="22"/>
              </w:rPr>
            </w:pPr>
          </w:p>
        </w:tc>
      </w:tr>
      <w:tr w14:paraId="4781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852A50C">
            <w:pPr>
              <w:jc w:val="center"/>
              <w:rPr>
                <w:rFonts w:ascii="宋体" w:eastAsia="宋体"/>
                <w:color w:val="auto"/>
                <w:sz w:val="22"/>
                <w:szCs w:val="22"/>
              </w:rPr>
            </w:pPr>
          </w:p>
        </w:tc>
        <w:tc>
          <w:tcPr>
            <w:tcW w:w="1434" w:type="dxa"/>
            <w:vAlign w:val="center"/>
          </w:tcPr>
          <w:p w14:paraId="6D5F97A3">
            <w:pPr>
              <w:jc w:val="center"/>
              <w:rPr>
                <w:rFonts w:ascii="宋体" w:eastAsia="宋体"/>
                <w:color w:val="auto"/>
                <w:sz w:val="22"/>
                <w:szCs w:val="22"/>
              </w:rPr>
            </w:pPr>
          </w:p>
        </w:tc>
        <w:tc>
          <w:tcPr>
            <w:tcW w:w="2743" w:type="dxa"/>
            <w:vAlign w:val="center"/>
          </w:tcPr>
          <w:p w14:paraId="4CE6A216">
            <w:pPr>
              <w:jc w:val="center"/>
              <w:rPr>
                <w:rFonts w:ascii="宋体" w:eastAsia="宋体"/>
                <w:color w:val="auto"/>
                <w:sz w:val="22"/>
                <w:szCs w:val="22"/>
              </w:rPr>
            </w:pPr>
          </w:p>
        </w:tc>
        <w:tc>
          <w:tcPr>
            <w:tcW w:w="3023" w:type="dxa"/>
            <w:vAlign w:val="center"/>
          </w:tcPr>
          <w:p w14:paraId="51FF77A8">
            <w:pPr>
              <w:jc w:val="center"/>
              <w:rPr>
                <w:rFonts w:ascii="宋体" w:eastAsia="宋体"/>
                <w:color w:val="auto"/>
                <w:sz w:val="22"/>
                <w:szCs w:val="22"/>
              </w:rPr>
            </w:pPr>
          </w:p>
        </w:tc>
        <w:tc>
          <w:tcPr>
            <w:tcW w:w="1260" w:type="dxa"/>
            <w:vAlign w:val="center"/>
          </w:tcPr>
          <w:p w14:paraId="7E4FE8F1">
            <w:pPr>
              <w:jc w:val="center"/>
              <w:rPr>
                <w:rFonts w:ascii="宋体" w:eastAsia="宋体"/>
                <w:color w:val="auto"/>
                <w:sz w:val="22"/>
                <w:szCs w:val="22"/>
              </w:rPr>
            </w:pPr>
          </w:p>
        </w:tc>
      </w:tr>
      <w:tr w14:paraId="4365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32345FE">
            <w:pPr>
              <w:jc w:val="center"/>
              <w:rPr>
                <w:rFonts w:ascii="宋体" w:eastAsia="宋体"/>
                <w:color w:val="auto"/>
                <w:sz w:val="22"/>
                <w:szCs w:val="22"/>
              </w:rPr>
            </w:pPr>
          </w:p>
        </w:tc>
        <w:tc>
          <w:tcPr>
            <w:tcW w:w="1434" w:type="dxa"/>
            <w:vAlign w:val="center"/>
          </w:tcPr>
          <w:p w14:paraId="0DAB78A6">
            <w:pPr>
              <w:jc w:val="center"/>
              <w:rPr>
                <w:rFonts w:ascii="宋体" w:eastAsia="宋体"/>
                <w:color w:val="auto"/>
                <w:sz w:val="22"/>
                <w:szCs w:val="22"/>
              </w:rPr>
            </w:pPr>
          </w:p>
        </w:tc>
        <w:tc>
          <w:tcPr>
            <w:tcW w:w="2743" w:type="dxa"/>
            <w:vAlign w:val="center"/>
          </w:tcPr>
          <w:p w14:paraId="14C0B3EC">
            <w:pPr>
              <w:jc w:val="center"/>
              <w:rPr>
                <w:rFonts w:ascii="宋体" w:eastAsia="宋体"/>
                <w:color w:val="auto"/>
                <w:sz w:val="22"/>
                <w:szCs w:val="22"/>
              </w:rPr>
            </w:pPr>
          </w:p>
        </w:tc>
        <w:tc>
          <w:tcPr>
            <w:tcW w:w="3023" w:type="dxa"/>
            <w:vAlign w:val="center"/>
          </w:tcPr>
          <w:p w14:paraId="3E2F9536">
            <w:pPr>
              <w:jc w:val="center"/>
              <w:rPr>
                <w:rFonts w:ascii="宋体" w:eastAsia="宋体"/>
                <w:color w:val="auto"/>
                <w:sz w:val="22"/>
                <w:szCs w:val="22"/>
              </w:rPr>
            </w:pPr>
          </w:p>
        </w:tc>
        <w:tc>
          <w:tcPr>
            <w:tcW w:w="1260" w:type="dxa"/>
            <w:vAlign w:val="center"/>
          </w:tcPr>
          <w:p w14:paraId="6EDC85A8">
            <w:pPr>
              <w:jc w:val="center"/>
              <w:rPr>
                <w:rFonts w:ascii="宋体" w:eastAsia="宋体"/>
                <w:color w:val="auto"/>
                <w:sz w:val="22"/>
                <w:szCs w:val="22"/>
              </w:rPr>
            </w:pPr>
          </w:p>
        </w:tc>
      </w:tr>
      <w:tr w14:paraId="2162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B14D780">
            <w:pPr>
              <w:jc w:val="center"/>
              <w:rPr>
                <w:rFonts w:ascii="宋体" w:eastAsia="宋体"/>
                <w:color w:val="auto"/>
                <w:sz w:val="22"/>
                <w:szCs w:val="22"/>
              </w:rPr>
            </w:pPr>
          </w:p>
        </w:tc>
        <w:tc>
          <w:tcPr>
            <w:tcW w:w="1434" w:type="dxa"/>
            <w:vAlign w:val="center"/>
          </w:tcPr>
          <w:p w14:paraId="12CF7292">
            <w:pPr>
              <w:jc w:val="center"/>
              <w:rPr>
                <w:rFonts w:ascii="宋体" w:eastAsia="宋体"/>
                <w:color w:val="auto"/>
                <w:sz w:val="22"/>
                <w:szCs w:val="22"/>
              </w:rPr>
            </w:pPr>
          </w:p>
        </w:tc>
        <w:tc>
          <w:tcPr>
            <w:tcW w:w="2743" w:type="dxa"/>
            <w:vAlign w:val="center"/>
          </w:tcPr>
          <w:p w14:paraId="34DCA2CE">
            <w:pPr>
              <w:jc w:val="center"/>
              <w:rPr>
                <w:rFonts w:ascii="宋体" w:eastAsia="宋体"/>
                <w:color w:val="auto"/>
                <w:sz w:val="22"/>
                <w:szCs w:val="22"/>
              </w:rPr>
            </w:pPr>
          </w:p>
        </w:tc>
        <w:tc>
          <w:tcPr>
            <w:tcW w:w="3023" w:type="dxa"/>
            <w:vAlign w:val="center"/>
          </w:tcPr>
          <w:p w14:paraId="679A54A1">
            <w:pPr>
              <w:jc w:val="center"/>
              <w:rPr>
                <w:rFonts w:ascii="宋体" w:eastAsia="宋体"/>
                <w:color w:val="auto"/>
                <w:sz w:val="22"/>
                <w:szCs w:val="22"/>
              </w:rPr>
            </w:pPr>
          </w:p>
        </w:tc>
        <w:tc>
          <w:tcPr>
            <w:tcW w:w="1260" w:type="dxa"/>
            <w:vAlign w:val="center"/>
          </w:tcPr>
          <w:p w14:paraId="730FCC9F">
            <w:pPr>
              <w:jc w:val="center"/>
              <w:rPr>
                <w:rFonts w:ascii="宋体" w:eastAsia="宋体"/>
                <w:color w:val="auto"/>
                <w:sz w:val="22"/>
                <w:szCs w:val="22"/>
              </w:rPr>
            </w:pPr>
          </w:p>
        </w:tc>
      </w:tr>
    </w:tbl>
    <w:p w14:paraId="1EAE422A">
      <w:pPr>
        <w:pStyle w:val="26"/>
        <w:spacing w:line="340" w:lineRule="exact"/>
        <w:rPr>
          <w:rFonts w:hAnsi="宋体" w:eastAsia="宋体"/>
          <w:color w:val="auto"/>
          <w:sz w:val="22"/>
          <w:szCs w:val="22"/>
        </w:rPr>
      </w:pPr>
      <w:r>
        <w:rPr>
          <w:rFonts w:hint="eastAsia" w:hAnsi="宋体" w:eastAsia="宋体"/>
          <w:color w:val="auto"/>
          <w:sz w:val="22"/>
          <w:szCs w:val="22"/>
        </w:rPr>
        <w:t>注：1、偏离表中进行如实填写详细对比说明并注明无偏离、正偏离和负偏离。</w:t>
      </w:r>
    </w:p>
    <w:p w14:paraId="42587C12">
      <w:pPr>
        <w:pStyle w:val="26"/>
        <w:spacing w:line="340" w:lineRule="exact"/>
        <w:ind w:firstLine="442" w:firstLineChars="200"/>
        <w:rPr>
          <w:rFonts w:hAnsi="宋体" w:eastAsia="宋体"/>
          <w:color w:val="auto"/>
          <w:sz w:val="22"/>
          <w:szCs w:val="22"/>
        </w:rPr>
      </w:pPr>
      <w:r>
        <w:rPr>
          <w:rFonts w:hint="eastAsia" w:hAnsi="宋体" w:eastAsia="宋体"/>
          <w:color w:val="auto"/>
          <w:sz w:val="22"/>
          <w:szCs w:val="22"/>
        </w:rPr>
        <w:t>2、不填写此表视作完全响应采购文件要求。</w:t>
      </w:r>
    </w:p>
    <w:p w14:paraId="43CD91E1">
      <w:pPr>
        <w:pStyle w:val="26"/>
        <w:spacing w:line="340" w:lineRule="exact"/>
        <w:ind w:firstLine="442" w:firstLineChars="200"/>
        <w:rPr>
          <w:rFonts w:hAnsi="宋体" w:eastAsia="宋体"/>
          <w:color w:val="auto"/>
          <w:sz w:val="22"/>
          <w:szCs w:val="22"/>
          <w:u w:val="single"/>
        </w:rPr>
      </w:pPr>
      <w:r>
        <w:rPr>
          <w:rFonts w:hint="eastAsia" w:hAnsi="宋体" w:eastAsia="宋体"/>
          <w:color w:val="auto"/>
          <w:sz w:val="22"/>
          <w:szCs w:val="22"/>
        </w:rPr>
        <w:t>3、▲</w:t>
      </w:r>
      <w:r>
        <w:rPr>
          <w:rFonts w:hint="eastAsia" w:hAnsi="宋体" w:eastAsia="宋体"/>
          <w:color w:val="auto"/>
          <w:sz w:val="22"/>
          <w:szCs w:val="22"/>
          <w:u w:val="single"/>
          <w:lang w:val="zh-CN"/>
        </w:rPr>
        <w:t>不提供此表的视为没有实质性响应采购文件,其投标将被拒绝。</w:t>
      </w:r>
    </w:p>
    <w:p w14:paraId="24D5FA9E">
      <w:pPr>
        <w:rPr>
          <w:rFonts w:ascii="宋体" w:eastAsia="宋体"/>
          <w:color w:val="auto"/>
        </w:rPr>
      </w:pPr>
    </w:p>
    <w:p w14:paraId="3951D317">
      <w:pPr>
        <w:pStyle w:val="26"/>
        <w:spacing w:line="340" w:lineRule="exact"/>
        <w:ind w:left="657" w:leftChars="313" w:firstLine="4196" w:firstLineChars="1900"/>
        <w:rPr>
          <w:rFonts w:hAnsi="宋体" w:eastAsia="宋体"/>
          <w:color w:val="auto"/>
          <w:sz w:val="22"/>
        </w:rPr>
      </w:pPr>
    </w:p>
    <w:p w14:paraId="2C4CEB77">
      <w:pPr>
        <w:pStyle w:val="26"/>
        <w:spacing w:line="340" w:lineRule="exact"/>
        <w:ind w:left="657" w:leftChars="313" w:firstLine="4196" w:firstLineChars="1900"/>
        <w:rPr>
          <w:rFonts w:hAnsi="宋体" w:eastAsia="宋体"/>
          <w:color w:val="auto"/>
          <w:sz w:val="22"/>
        </w:rPr>
      </w:pPr>
    </w:p>
    <w:p w14:paraId="1A4EFFC3">
      <w:pPr>
        <w:pStyle w:val="26"/>
        <w:spacing w:line="360" w:lineRule="auto"/>
        <w:rPr>
          <w:rFonts w:hAnsi="宋体" w:eastAsia="宋体"/>
          <w:b w:val="0"/>
          <w:color w:val="auto"/>
          <w:sz w:val="22"/>
          <w:szCs w:val="22"/>
        </w:rPr>
      </w:pPr>
      <w:r>
        <w:rPr>
          <w:rFonts w:hint="eastAsia" w:hAnsi="宋体" w:eastAsia="宋体"/>
          <w:b w:val="0"/>
          <w:color w:val="auto"/>
          <w:sz w:val="22"/>
          <w:szCs w:val="22"/>
        </w:rPr>
        <w:t>投标供应商全称（盖章）：</w:t>
      </w:r>
    </w:p>
    <w:p w14:paraId="17816C2F">
      <w:pPr>
        <w:pStyle w:val="26"/>
        <w:spacing w:line="360" w:lineRule="auto"/>
        <w:rPr>
          <w:rFonts w:hAnsi="宋体" w:eastAsia="宋体"/>
          <w:b w:val="0"/>
          <w:color w:val="auto"/>
          <w:sz w:val="22"/>
          <w:szCs w:val="22"/>
        </w:rPr>
      </w:pPr>
      <w:r>
        <w:rPr>
          <w:rFonts w:hint="eastAsia" w:hAnsi="宋体" w:eastAsia="宋体"/>
          <w:b w:val="0"/>
          <w:color w:val="auto"/>
          <w:sz w:val="22"/>
          <w:szCs w:val="22"/>
        </w:rPr>
        <w:t>日 期：       年      月      日</w:t>
      </w:r>
    </w:p>
    <w:p w14:paraId="1104A86B">
      <w:pPr>
        <w:pStyle w:val="6"/>
        <w:jc w:val="left"/>
        <w:rPr>
          <w:rFonts w:ascii="宋体" w:hAnsi="宋体" w:cs="宋体"/>
          <w:b w:val="0"/>
          <w:color w:val="auto"/>
          <w:sz w:val="22"/>
          <w:szCs w:val="22"/>
        </w:rPr>
      </w:pPr>
    </w:p>
    <w:p w14:paraId="625ECE77">
      <w:pPr>
        <w:widowControl/>
        <w:spacing w:line="460" w:lineRule="atLeast"/>
        <w:jc w:val="left"/>
        <w:rPr>
          <w:rFonts w:ascii="宋体" w:eastAsia="宋体"/>
          <w:b w:val="0"/>
          <w:bCs w:val="0"/>
          <w:color w:val="auto"/>
          <w:sz w:val="22"/>
          <w:szCs w:val="22"/>
        </w:rPr>
        <w:sectPr>
          <w:pgSz w:w="11906" w:h="16838"/>
          <w:pgMar w:top="1134" w:right="1134" w:bottom="1134" w:left="1134" w:header="851" w:footer="850" w:gutter="0"/>
          <w:cols w:space="720" w:num="1"/>
          <w:titlePg/>
          <w:docGrid w:type="lines" w:linePitch="312" w:charSpace="0"/>
        </w:sectPr>
      </w:pPr>
      <w:bookmarkStart w:id="156" w:name="_Toc512411787"/>
      <w:bookmarkStart w:id="157" w:name="_Toc486964725"/>
    </w:p>
    <w:bookmarkEnd w:id="156"/>
    <w:bookmarkEnd w:id="157"/>
    <w:p w14:paraId="69A52152">
      <w:pPr>
        <w:widowControl/>
        <w:jc w:val="left"/>
        <w:rPr>
          <w:rFonts w:ascii="宋体" w:eastAsia="宋体"/>
          <w:bCs w:val="0"/>
          <w:color w:val="auto"/>
          <w:sz w:val="22"/>
          <w:szCs w:val="22"/>
        </w:rPr>
      </w:pPr>
      <w:r>
        <w:rPr>
          <w:rFonts w:hint="eastAsia" w:ascii="宋体" w:eastAsia="宋体"/>
          <w:bCs w:val="0"/>
          <w:color w:val="auto"/>
          <w:sz w:val="22"/>
          <w:szCs w:val="22"/>
        </w:rPr>
        <w:t>附件九</w:t>
      </w:r>
    </w:p>
    <w:p w14:paraId="49654EA4">
      <w:pPr>
        <w:tabs>
          <w:tab w:val="left" w:pos="1080"/>
        </w:tabs>
        <w:autoSpaceDE w:val="0"/>
        <w:autoSpaceDN w:val="0"/>
        <w:adjustRightInd w:val="0"/>
        <w:spacing w:line="440" w:lineRule="atLeast"/>
        <w:jc w:val="center"/>
        <w:rPr>
          <w:rFonts w:ascii="宋体" w:eastAsia="宋体"/>
          <w:b w:val="0"/>
          <w:color w:val="auto"/>
          <w:sz w:val="32"/>
          <w:szCs w:val="32"/>
          <w:lang w:val="zh-CN"/>
        </w:rPr>
      </w:pPr>
      <w:r>
        <w:rPr>
          <w:rFonts w:hint="eastAsia" w:ascii="宋体" w:eastAsia="宋体"/>
          <w:color w:val="auto"/>
          <w:sz w:val="32"/>
          <w:szCs w:val="32"/>
        </w:rPr>
        <w:t>同类</w:t>
      </w:r>
      <w:r>
        <w:rPr>
          <w:rFonts w:hint="eastAsia" w:ascii="宋体" w:eastAsia="宋体"/>
          <w:color w:val="auto"/>
          <w:sz w:val="32"/>
          <w:szCs w:val="32"/>
          <w:lang w:val="zh-CN"/>
        </w:rPr>
        <w:t>业绩</w:t>
      </w:r>
    </w:p>
    <w:p w14:paraId="171991EF">
      <w:pPr>
        <w:spacing w:line="460" w:lineRule="exact"/>
        <w:rPr>
          <w:rFonts w:ascii="宋体" w:eastAsia="宋体"/>
          <w:color w:val="auto"/>
          <w:sz w:val="22"/>
          <w:szCs w:val="22"/>
        </w:rPr>
      </w:pPr>
      <w:r>
        <w:rPr>
          <w:rFonts w:hint="eastAsia" w:ascii="宋体" w:eastAsia="宋体"/>
          <w:color w:val="auto"/>
          <w:sz w:val="22"/>
          <w:szCs w:val="22"/>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22EF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9E4729D">
            <w:pPr>
              <w:tabs>
                <w:tab w:val="left" w:pos="4140"/>
              </w:tabs>
              <w:adjustRightInd w:val="0"/>
              <w:snapToGrid w:val="0"/>
              <w:spacing w:line="320" w:lineRule="atLeast"/>
              <w:jc w:val="center"/>
              <w:rPr>
                <w:rFonts w:ascii="宋体" w:eastAsia="宋体"/>
                <w:caps/>
                <w:color w:val="auto"/>
                <w:spacing w:val="20"/>
                <w:sz w:val="22"/>
              </w:rPr>
            </w:pPr>
            <w:r>
              <w:rPr>
                <w:rFonts w:hint="eastAsia" w:ascii="宋体" w:eastAsia="宋体"/>
                <w:caps/>
                <w:color w:val="auto"/>
                <w:spacing w:val="20"/>
                <w:sz w:val="22"/>
                <w:szCs w:val="22"/>
              </w:rPr>
              <w:t>序号</w:t>
            </w:r>
          </w:p>
        </w:tc>
        <w:tc>
          <w:tcPr>
            <w:tcW w:w="1285" w:type="dxa"/>
            <w:vAlign w:val="center"/>
          </w:tcPr>
          <w:p w14:paraId="07AE8500">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采购单位</w:t>
            </w:r>
          </w:p>
        </w:tc>
        <w:tc>
          <w:tcPr>
            <w:tcW w:w="1299" w:type="dxa"/>
            <w:vAlign w:val="center"/>
          </w:tcPr>
          <w:p w14:paraId="03963655">
            <w:pPr>
              <w:tabs>
                <w:tab w:val="left" w:pos="4140"/>
              </w:tabs>
              <w:adjustRightInd w:val="0"/>
              <w:snapToGrid w:val="0"/>
              <w:spacing w:line="320" w:lineRule="atLeast"/>
              <w:jc w:val="center"/>
              <w:rPr>
                <w:rFonts w:ascii="宋体" w:eastAsia="宋体"/>
                <w:caps/>
                <w:color w:val="auto"/>
                <w:spacing w:val="20"/>
                <w:sz w:val="22"/>
              </w:rPr>
            </w:pPr>
            <w:r>
              <w:rPr>
                <w:rFonts w:hint="eastAsia" w:ascii="宋体" w:eastAsia="宋体"/>
                <w:caps/>
                <w:color w:val="auto"/>
                <w:spacing w:val="20"/>
                <w:sz w:val="22"/>
                <w:szCs w:val="22"/>
              </w:rPr>
              <w:t>项目名称</w:t>
            </w:r>
          </w:p>
        </w:tc>
        <w:tc>
          <w:tcPr>
            <w:tcW w:w="1355" w:type="dxa"/>
            <w:vAlign w:val="center"/>
          </w:tcPr>
          <w:p w14:paraId="27F5D9F0">
            <w:pPr>
              <w:tabs>
                <w:tab w:val="left" w:pos="4140"/>
              </w:tabs>
              <w:adjustRightInd w:val="0"/>
              <w:snapToGrid w:val="0"/>
              <w:spacing w:line="320" w:lineRule="atLeast"/>
              <w:jc w:val="center"/>
              <w:rPr>
                <w:rFonts w:ascii="宋体" w:eastAsia="宋体"/>
                <w:caps/>
                <w:color w:val="auto"/>
                <w:spacing w:val="20"/>
                <w:sz w:val="22"/>
              </w:rPr>
            </w:pPr>
            <w:r>
              <w:rPr>
                <w:rFonts w:hint="eastAsia" w:ascii="宋体" w:eastAsia="宋体"/>
                <w:caps/>
                <w:color w:val="auto"/>
                <w:spacing w:val="20"/>
                <w:sz w:val="22"/>
                <w:szCs w:val="22"/>
              </w:rPr>
              <w:t>合同金额</w:t>
            </w:r>
          </w:p>
        </w:tc>
        <w:tc>
          <w:tcPr>
            <w:tcW w:w="1296" w:type="dxa"/>
            <w:vAlign w:val="center"/>
          </w:tcPr>
          <w:p w14:paraId="33F0B5EC">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签约日期</w:t>
            </w:r>
          </w:p>
        </w:tc>
        <w:tc>
          <w:tcPr>
            <w:tcW w:w="1064" w:type="dxa"/>
            <w:vAlign w:val="center"/>
          </w:tcPr>
          <w:p w14:paraId="2914B2DA">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联系人</w:t>
            </w:r>
          </w:p>
        </w:tc>
        <w:tc>
          <w:tcPr>
            <w:tcW w:w="1271" w:type="dxa"/>
            <w:vAlign w:val="center"/>
          </w:tcPr>
          <w:p w14:paraId="2F931D11">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联系电话</w:t>
            </w:r>
          </w:p>
        </w:tc>
        <w:tc>
          <w:tcPr>
            <w:tcW w:w="1064" w:type="dxa"/>
            <w:vAlign w:val="center"/>
          </w:tcPr>
          <w:p w14:paraId="427C4A06">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备注</w:t>
            </w:r>
          </w:p>
        </w:tc>
      </w:tr>
      <w:tr w14:paraId="4068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3C53285">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51A2C890">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05045C5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784004D4">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0F30C51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11D52C3A">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3EE5CD8C">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493F5C7">
            <w:pPr>
              <w:tabs>
                <w:tab w:val="left" w:pos="4140"/>
              </w:tabs>
              <w:adjustRightInd w:val="0"/>
              <w:snapToGrid w:val="0"/>
              <w:spacing w:line="320" w:lineRule="atLeast"/>
              <w:jc w:val="center"/>
              <w:rPr>
                <w:rFonts w:ascii="宋体" w:eastAsia="宋体"/>
                <w:color w:val="auto"/>
                <w:spacing w:val="20"/>
                <w:sz w:val="22"/>
              </w:rPr>
            </w:pPr>
          </w:p>
        </w:tc>
      </w:tr>
      <w:tr w14:paraId="3E12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1207747">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469BCFA6">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07247508">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75D1FD34">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1CA26753">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BDC4BC2">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2647A3F">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06DDD2E">
            <w:pPr>
              <w:tabs>
                <w:tab w:val="left" w:pos="4140"/>
              </w:tabs>
              <w:adjustRightInd w:val="0"/>
              <w:snapToGrid w:val="0"/>
              <w:spacing w:line="320" w:lineRule="atLeast"/>
              <w:jc w:val="center"/>
              <w:rPr>
                <w:rFonts w:ascii="宋体" w:eastAsia="宋体"/>
                <w:color w:val="auto"/>
                <w:spacing w:val="20"/>
                <w:sz w:val="22"/>
              </w:rPr>
            </w:pPr>
          </w:p>
        </w:tc>
      </w:tr>
      <w:tr w14:paraId="02EB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E45AF31">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6A78A00E">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5AA846DC">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5FA1DFB5">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1F7D7FD7">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7552336">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CA4B999">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E46B22A">
            <w:pPr>
              <w:tabs>
                <w:tab w:val="left" w:pos="4140"/>
              </w:tabs>
              <w:adjustRightInd w:val="0"/>
              <w:snapToGrid w:val="0"/>
              <w:spacing w:line="320" w:lineRule="atLeast"/>
              <w:jc w:val="center"/>
              <w:rPr>
                <w:rFonts w:ascii="宋体" w:eastAsia="宋体"/>
                <w:color w:val="auto"/>
                <w:spacing w:val="20"/>
                <w:sz w:val="22"/>
              </w:rPr>
            </w:pPr>
          </w:p>
        </w:tc>
      </w:tr>
      <w:tr w14:paraId="0021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D81A25F">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4D954AB6">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33CA0833">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05FD571E">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293FE95D">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1514DE7">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7372AF14">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25DB887">
            <w:pPr>
              <w:tabs>
                <w:tab w:val="left" w:pos="4140"/>
              </w:tabs>
              <w:adjustRightInd w:val="0"/>
              <w:snapToGrid w:val="0"/>
              <w:spacing w:line="320" w:lineRule="atLeast"/>
              <w:jc w:val="center"/>
              <w:rPr>
                <w:rFonts w:ascii="宋体" w:eastAsia="宋体"/>
                <w:color w:val="auto"/>
                <w:spacing w:val="20"/>
                <w:sz w:val="22"/>
              </w:rPr>
            </w:pPr>
          </w:p>
        </w:tc>
      </w:tr>
      <w:tr w14:paraId="44D3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42286AD">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2B04A14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095CC3B8">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3B207518">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08BB6575">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58E2AA8A">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068E7E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7E45DBE">
            <w:pPr>
              <w:tabs>
                <w:tab w:val="left" w:pos="4140"/>
              </w:tabs>
              <w:adjustRightInd w:val="0"/>
              <w:snapToGrid w:val="0"/>
              <w:spacing w:line="320" w:lineRule="atLeast"/>
              <w:jc w:val="center"/>
              <w:rPr>
                <w:rFonts w:ascii="宋体" w:eastAsia="宋体"/>
                <w:color w:val="auto"/>
                <w:spacing w:val="20"/>
                <w:sz w:val="22"/>
              </w:rPr>
            </w:pPr>
          </w:p>
        </w:tc>
      </w:tr>
      <w:tr w14:paraId="6BEF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93D952D">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50007450">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4E048081">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161CED7F">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2243EE8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4E598FA">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02B6A0A4">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7CDB349">
            <w:pPr>
              <w:tabs>
                <w:tab w:val="left" w:pos="4140"/>
              </w:tabs>
              <w:adjustRightInd w:val="0"/>
              <w:snapToGrid w:val="0"/>
              <w:spacing w:line="320" w:lineRule="atLeast"/>
              <w:jc w:val="center"/>
              <w:rPr>
                <w:rFonts w:ascii="宋体" w:eastAsia="宋体"/>
                <w:color w:val="auto"/>
                <w:spacing w:val="20"/>
                <w:sz w:val="22"/>
              </w:rPr>
            </w:pPr>
          </w:p>
        </w:tc>
      </w:tr>
      <w:tr w14:paraId="3344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653419A">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4DC8CE81">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6B56397A">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1B2D66E9">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3E7B615E">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999A356">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34AE060E">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94F29DA">
            <w:pPr>
              <w:tabs>
                <w:tab w:val="left" w:pos="4140"/>
              </w:tabs>
              <w:adjustRightInd w:val="0"/>
              <w:snapToGrid w:val="0"/>
              <w:spacing w:line="320" w:lineRule="atLeast"/>
              <w:jc w:val="center"/>
              <w:rPr>
                <w:rFonts w:ascii="宋体" w:eastAsia="宋体"/>
                <w:color w:val="auto"/>
                <w:spacing w:val="20"/>
                <w:sz w:val="22"/>
              </w:rPr>
            </w:pPr>
          </w:p>
        </w:tc>
      </w:tr>
      <w:tr w14:paraId="6DC4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C3DA13E">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2B8AD641">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6BCBBCC5">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2A805244">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6BB8DED7">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25823503">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756F3208">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115C5406">
            <w:pPr>
              <w:tabs>
                <w:tab w:val="left" w:pos="4140"/>
              </w:tabs>
              <w:adjustRightInd w:val="0"/>
              <w:snapToGrid w:val="0"/>
              <w:spacing w:line="320" w:lineRule="atLeast"/>
              <w:jc w:val="center"/>
              <w:rPr>
                <w:rFonts w:ascii="宋体" w:eastAsia="宋体"/>
                <w:color w:val="auto"/>
                <w:spacing w:val="20"/>
                <w:sz w:val="22"/>
              </w:rPr>
            </w:pPr>
          </w:p>
        </w:tc>
      </w:tr>
      <w:tr w14:paraId="3EC4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9683E06">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20418A73">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14EAAD4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5971A2F3">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2AEFBF30">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ED6E7FD">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5F1638F9">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2F10F60">
            <w:pPr>
              <w:tabs>
                <w:tab w:val="left" w:pos="4140"/>
              </w:tabs>
              <w:adjustRightInd w:val="0"/>
              <w:snapToGrid w:val="0"/>
              <w:spacing w:line="320" w:lineRule="atLeast"/>
              <w:jc w:val="center"/>
              <w:rPr>
                <w:rFonts w:ascii="宋体" w:eastAsia="宋体"/>
                <w:color w:val="auto"/>
                <w:spacing w:val="20"/>
                <w:sz w:val="22"/>
              </w:rPr>
            </w:pPr>
          </w:p>
        </w:tc>
      </w:tr>
      <w:tr w14:paraId="42F0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C595ED2">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31CE38ED">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7B024A7A">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41BD9482">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5F6A12B3">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9C9C673">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7D853339">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D18E46E">
            <w:pPr>
              <w:tabs>
                <w:tab w:val="left" w:pos="4140"/>
              </w:tabs>
              <w:adjustRightInd w:val="0"/>
              <w:snapToGrid w:val="0"/>
              <w:spacing w:line="320" w:lineRule="atLeast"/>
              <w:jc w:val="center"/>
              <w:rPr>
                <w:rFonts w:ascii="宋体" w:eastAsia="宋体"/>
                <w:color w:val="auto"/>
                <w:spacing w:val="20"/>
                <w:sz w:val="22"/>
              </w:rPr>
            </w:pPr>
          </w:p>
        </w:tc>
      </w:tr>
      <w:tr w14:paraId="59D7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D69DA0F">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6F165AA1">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104931D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13D942C9">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7E440A4C">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0CF7404">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73206B43">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5427DB14">
            <w:pPr>
              <w:tabs>
                <w:tab w:val="left" w:pos="4140"/>
              </w:tabs>
              <w:adjustRightInd w:val="0"/>
              <w:snapToGrid w:val="0"/>
              <w:spacing w:line="320" w:lineRule="atLeast"/>
              <w:jc w:val="center"/>
              <w:rPr>
                <w:rFonts w:ascii="宋体" w:eastAsia="宋体"/>
                <w:color w:val="auto"/>
                <w:spacing w:val="20"/>
                <w:sz w:val="22"/>
              </w:rPr>
            </w:pPr>
          </w:p>
        </w:tc>
      </w:tr>
      <w:tr w14:paraId="4D5D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90F2D92">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047760E3">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1EB9E21F">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245914DC">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50D0CA40">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168157E">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7C3F13A8">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2D3CB26">
            <w:pPr>
              <w:tabs>
                <w:tab w:val="left" w:pos="4140"/>
              </w:tabs>
              <w:adjustRightInd w:val="0"/>
              <w:snapToGrid w:val="0"/>
              <w:spacing w:line="320" w:lineRule="atLeast"/>
              <w:jc w:val="center"/>
              <w:rPr>
                <w:rFonts w:ascii="宋体" w:eastAsia="宋体"/>
                <w:color w:val="auto"/>
                <w:spacing w:val="20"/>
                <w:sz w:val="22"/>
              </w:rPr>
            </w:pPr>
          </w:p>
        </w:tc>
      </w:tr>
      <w:tr w14:paraId="433A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1C9E5DF7">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6A112F7D">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46DCB752">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2D998534">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455E822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F137C40">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371132F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72F3567">
            <w:pPr>
              <w:tabs>
                <w:tab w:val="left" w:pos="4140"/>
              </w:tabs>
              <w:adjustRightInd w:val="0"/>
              <w:snapToGrid w:val="0"/>
              <w:spacing w:line="320" w:lineRule="atLeast"/>
              <w:jc w:val="center"/>
              <w:rPr>
                <w:rFonts w:ascii="宋体" w:eastAsia="宋体"/>
                <w:color w:val="auto"/>
                <w:spacing w:val="20"/>
                <w:sz w:val="22"/>
              </w:rPr>
            </w:pPr>
          </w:p>
        </w:tc>
      </w:tr>
    </w:tbl>
    <w:p w14:paraId="2B088F84">
      <w:pPr>
        <w:spacing w:line="460" w:lineRule="exact"/>
        <w:ind w:left="755" w:hanging="754" w:hangingChars="343"/>
        <w:rPr>
          <w:rFonts w:ascii="宋体" w:eastAsia="宋体"/>
          <w:b w:val="0"/>
          <w:bCs w:val="0"/>
          <w:color w:val="auto"/>
          <w:sz w:val="22"/>
          <w:szCs w:val="22"/>
        </w:rPr>
      </w:pPr>
      <w:r>
        <w:rPr>
          <w:rFonts w:hint="eastAsia" w:ascii="宋体" w:eastAsia="宋体"/>
          <w:b w:val="0"/>
          <w:color w:val="auto"/>
          <w:sz w:val="22"/>
          <w:szCs w:val="22"/>
        </w:rPr>
        <w:t>注：投标供应商可按此表格式复制，需后附合同扫描件加盖公章。</w:t>
      </w:r>
    </w:p>
    <w:p w14:paraId="46D65B24">
      <w:pPr>
        <w:spacing w:line="460" w:lineRule="exact"/>
        <w:ind w:left="755" w:hanging="754" w:hangingChars="343"/>
        <w:rPr>
          <w:rFonts w:ascii="宋体" w:eastAsia="宋体"/>
          <w:b w:val="0"/>
          <w:bCs w:val="0"/>
          <w:color w:val="auto"/>
          <w:sz w:val="22"/>
          <w:szCs w:val="22"/>
        </w:rPr>
      </w:pPr>
    </w:p>
    <w:p w14:paraId="324CA03A">
      <w:pPr>
        <w:spacing w:line="440" w:lineRule="atLeast"/>
        <w:rPr>
          <w:rFonts w:ascii="宋体" w:eastAsia="宋体"/>
          <w:b w:val="0"/>
          <w:color w:val="auto"/>
          <w:sz w:val="22"/>
          <w:szCs w:val="22"/>
        </w:rPr>
      </w:pPr>
      <w:r>
        <w:rPr>
          <w:rFonts w:hint="eastAsia" w:ascii="宋体" w:eastAsia="宋体"/>
          <w:b w:val="0"/>
          <w:color w:val="auto"/>
          <w:sz w:val="22"/>
          <w:szCs w:val="22"/>
        </w:rPr>
        <w:t>供应商全称（盖章）：</w:t>
      </w:r>
    </w:p>
    <w:p w14:paraId="1179157A">
      <w:pPr>
        <w:autoSpaceDE w:val="0"/>
        <w:autoSpaceDN w:val="0"/>
        <w:adjustRightInd w:val="0"/>
        <w:spacing w:line="460" w:lineRule="atLeast"/>
        <w:rPr>
          <w:rFonts w:ascii="宋体" w:eastAsia="宋体"/>
          <w:b w:val="0"/>
          <w:color w:val="auto"/>
          <w:sz w:val="22"/>
          <w:szCs w:val="22"/>
        </w:rPr>
      </w:pPr>
      <w:r>
        <w:rPr>
          <w:rFonts w:hint="eastAsia" w:ascii="宋体" w:eastAsia="宋体"/>
          <w:b w:val="0"/>
          <w:color w:val="auto"/>
          <w:sz w:val="22"/>
          <w:szCs w:val="22"/>
        </w:rPr>
        <w:t>日期：</w:t>
      </w:r>
    </w:p>
    <w:p w14:paraId="44BFEEB0">
      <w:pPr>
        <w:rPr>
          <w:rFonts w:ascii="宋体" w:eastAsia="宋体"/>
          <w:color w:val="auto"/>
          <w:sz w:val="28"/>
          <w:szCs w:val="28"/>
        </w:rPr>
      </w:pPr>
      <w:r>
        <w:rPr>
          <w:rFonts w:hint="eastAsia" w:ascii="宋体" w:eastAsia="宋体"/>
          <w:color w:val="auto"/>
          <w:sz w:val="28"/>
          <w:szCs w:val="28"/>
        </w:rPr>
        <w:br w:type="page"/>
      </w:r>
    </w:p>
    <w:p w14:paraId="6C12EEB7">
      <w:pPr>
        <w:pStyle w:val="19"/>
        <w:rPr>
          <w:rFonts w:ascii="宋体" w:hAnsi="宋体" w:eastAsia="宋体" w:cs="宋体"/>
          <w:b/>
          <w:bCs/>
        </w:rPr>
      </w:pPr>
      <w:r>
        <w:rPr>
          <w:rFonts w:hint="eastAsia" w:ascii="宋体" w:hAnsi="宋体" w:eastAsia="宋体" w:cs="宋体"/>
          <w:b/>
          <w:bCs/>
          <w:sz w:val="22"/>
          <w:szCs w:val="22"/>
        </w:rPr>
        <w:t>附件十</w:t>
      </w:r>
    </w:p>
    <w:p w14:paraId="5C324147">
      <w:pPr>
        <w:spacing w:after="240" w:line="360" w:lineRule="exact"/>
        <w:jc w:val="center"/>
        <w:rPr>
          <w:rFonts w:ascii="宋体" w:eastAsia="宋体"/>
          <w:color w:val="auto"/>
          <w:sz w:val="28"/>
          <w:szCs w:val="28"/>
        </w:rPr>
      </w:pPr>
      <w:r>
        <w:rPr>
          <w:rFonts w:hint="eastAsia" w:ascii="宋体" w:eastAsia="宋体"/>
          <w:color w:val="auto"/>
          <w:sz w:val="28"/>
          <w:szCs w:val="28"/>
        </w:rPr>
        <w:t>（1）项目负责人情况表</w:t>
      </w:r>
    </w:p>
    <w:p w14:paraId="54C93E67">
      <w:pPr>
        <w:spacing w:line="360" w:lineRule="exact"/>
        <w:rPr>
          <w:rFonts w:ascii="宋体" w:eastAsia="宋体"/>
          <w:color w:val="auto"/>
          <w:sz w:val="22"/>
        </w:rPr>
      </w:pPr>
      <w:r>
        <w:rPr>
          <w:rFonts w:hint="eastAsia" w:ascii="宋体" w:eastAsia="宋体"/>
          <w:color w:val="auto"/>
          <w:sz w:val="22"/>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3F74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084299D0">
            <w:pPr>
              <w:spacing w:line="360" w:lineRule="exact"/>
              <w:jc w:val="center"/>
              <w:rPr>
                <w:rFonts w:ascii="宋体" w:eastAsia="宋体"/>
                <w:color w:val="auto"/>
              </w:rPr>
            </w:pPr>
            <w:r>
              <w:rPr>
                <w:rFonts w:hint="eastAsia" w:ascii="宋体" w:eastAsia="宋体"/>
                <w:color w:val="auto"/>
              </w:rPr>
              <w:t>1、一般情况</w:t>
            </w:r>
          </w:p>
        </w:tc>
      </w:tr>
      <w:tr w14:paraId="5119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6E79655">
            <w:pPr>
              <w:spacing w:line="360" w:lineRule="exact"/>
              <w:jc w:val="center"/>
              <w:rPr>
                <w:rFonts w:ascii="宋体" w:eastAsia="宋体"/>
                <w:color w:val="auto"/>
              </w:rPr>
            </w:pPr>
            <w:r>
              <w:rPr>
                <w:rFonts w:hint="eastAsia" w:ascii="宋体" w:eastAsia="宋体"/>
                <w:color w:val="auto"/>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1AF3DDF9">
            <w:pPr>
              <w:spacing w:line="360" w:lineRule="exact"/>
              <w:jc w:val="center"/>
              <w:rPr>
                <w:rFonts w:ascii="宋体" w:eastAsia="宋体"/>
                <w:color w:val="auto"/>
              </w:rPr>
            </w:pPr>
          </w:p>
        </w:tc>
        <w:tc>
          <w:tcPr>
            <w:tcW w:w="1587" w:type="dxa"/>
            <w:tcBorders>
              <w:top w:val="single" w:color="auto" w:sz="4" w:space="0"/>
              <w:left w:val="single" w:color="auto" w:sz="4" w:space="0"/>
              <w:bottom w:val="single" w:color="auto" w:sz="4" w:space="0"/>
              <w:right w:val="single" w:color="auto" w:sz="4" w:space="0"/>
            </w:tcBorders>
            <w:vAlign w:val="center"/>
          </w:tcPr>
          <w:p w14:paraId="3D95F11F">
            <w:pPr>
              <w:spacing w:line="360" w:lineRule="exact"/>
              <w:jc w:val="center"/>
              <w:rPr>
                <w:rFonts w:ascii="宋体" w:eastAsia="宋体"/>
                <w:color w:val="auto"/>
              </w:rPr>
            </w:pPr>
            <w:r>
              <w:rPr>
                <w:rFonts w:hint="eastAsia" w:ascii="宋体" w:eastAsia="宋体"/>
                <w:color w:val="auto"/>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1FDFDDEC">
            <w:pPr>
              <w:spacing w:line="360" w:lineRule="exact"/>
              <w:jc w:val="center"/>
              <w:rPr>
                <w:rFonts w:ascii="宋体" w:eastAsia="宋体"/>
                <w:color w:val="auto"/>
              </w:rPr>
            </w:pPr>
          </w:p>
        </w:tc>
        <w:tc>
          <w:tcPr>
            <w:tcW w:w="1449" w:type="dxa"/>
            <w:tcBorders>
              <w:top w:val="single" w:color="auto" w:sz="4" w:space="0"/>
              <w:left w:val="single" w:color="auto" w:sz="4" w:space="0"/>
              <w:bottom w:val="single" w:color="auto" w:sz="4" w:space="0"/>
              <w:right w:val="single" w:color="auto" w:sz="4" w:space="0"/>
            </w:tcBorders>
            <w:vAlign w:val="center"/>
          </w:tcPr>
          <w:p w14:paraId="551E5C03">
            <w:pPr>
              <w:spacing w:line="360" w:lineRule="exact"/>
              <w:jc w:val="center"/>
              <w:rPr>
                <w:rFonts w:ascii="宋体" w:eastAsia="宋体"/>
                <w:color w:val="auto"/>
              </w:rPr>
            </w:pPr>
            <w:r>
              <w:rPr>
                <w:rFonts w:hint="eastAsia" w:ascii="宋体" w:eastAsia="宋体"/>
                <w:color w:val="auto"/>
              </w:rPr>
              <w:t>学  历</w:t>
            </w:r>
          </w:p>
        </w:tc>
        <w:tc>
          <w:tcPr>
            <w:tcW w:w="1588" w:type="dxa"/>
            <w:tcBorders>
              <w:top w:val="single" w:color="auto" w:sz="4" w:space="0"/>
              <w:left w:val="single" w:color="auto" w:sz="4" w:space="0"/>
              <w:bottom w:val="single" w:color="auto" w:sz="4" w:space="0"/>
              <w:right w:val="single" w:color="auto" w:sz="12" w:space="0"/>
            </w:tcBorders>
            <w:vAlign w:val="center"/>
          </w:tcPr>
          <w:p w14:paraId="66136FEA">
            <w:pPr>
              <w:spacing w:line="360" w:lineRule="exact"/>
              <w:jc w:val="center"/>
              <w:rPr>
                <w:rFonts w:ascii="宋体" w:eastAsia="宋体"/>
                <w:color w:val="auto"/>
              </w:rPr>
            </w:pPr>
          </w:p>
        </w:tc>
      </w:tr>
      <w:tr w14:paraId="684D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45B47FE">
            <w:pPr>
              <w:spacing w:line="360" w:lineRule="exact"/>
              <w:jc w:val="center"/>
              <w:rPr>
                <w:rFonts w:ascii="宋体" w:eastAsia="宋体"/>
                <w:color w:val="auto"/>
              </w:rPr>
            </w:pPr>
            <w:r>
              <w:rPr>
                <w:rFonts w:hint="eastAsia" w:ascii="宋体" w:eastAsia="宋体"/>
                <w:color w:val="auto"/>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59D8026E">
            <w:pPr>
              <w:spacing w:line="360" w:lineRule="exact"/>
              <w:rPr>
                <w:rFonts w:ascii="宋体" w:eastAsia="宋体"/>
                <w:color w:val="auto"/>
              </w:rPr>
            </w:pPr>
          </w:p>
        </w:tc>
        <w:tc>
          <w:tcPr>
            <w:tcW w:w="1587" w:type="dxa"/>
            <w:tcBorders>
              <w:top w:val="single" w:color="auto" w:sz="4" w:space="0"/>
              <w:left w:val="single" w:color="auto" w:sz="4" w:space="0"/>
              <w:bottom w:val="single" w:color="auto" w:sz="4" w:space="0"/>
              <w:right w:val="single" w:color="auto" w:sz="4" w:space="0"/>
            </w:tcBorders>
            <w:vAlign w:val="center"/>
          </w:tcPr>
          <w:p w14:paraId="39DCED8D">
            <w:pPr>
              <w:spacing w:line="360" w:lineRule="exact"/>
              <w:jc w:val="center"/>
              <w:rPr>
                <w:rFonts w:ascii="宋体" w:eastAsia="宋体"/>
                <w:color w:val="auto"/>
              </w:rPr>
            </w:pPr>
            <w:r>
              <w:rPr>
                <w:rFonts w:hint="eastAsia" w:ascii="宋体" w:eastAsia="宋体"/>
                <w:color w:val="auto"/>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347F691E">
            <w:pPr>
              <w:spacing w:line="360" w:lineRule="exact"/>
              <w:jc w:val="center"/>
              <w:rPr>
                <w:rFonts w:ascii="宋体" w:eastAsia="宋体"/>
                <w:color w:val="auto"/>
              </w:rPr>
            </w:pPr>
          </w:p>
        </w:tc>
        <w:tc>
          <w:tcPr>
            <w:tcW w:w="1449" w:type="dxa"/>
            <w:tcBorders>
              <w:top w:val="single" w:color="auto" w:sz="4" w:space="0"/>
              <w:left w:val="single" w:color="auto" w:sz="4" w:space="0"/>
              <w:bottom w:val="single" w:color="auto" w:sz="4" w:space="0"/>
              <w:right w:val="single" w:color="auto" w:sz="4" w:space="0"/>
            </w:tcBorders>
            <w:vAlign w:val="center"/>
          </w:tcPr>
          <w:p w14:paraId="3CF24EB3">
            <w:pPr>
              <w:spacing w:line="360" w:lineRule="exact"/>
              <w:jc w:val="center"/>
              <w:rPr>
                <w:rFonts w:ascii="宋体" w:eastAsia="宋体"/>
                <w:color w:val="auto"/>
              </w:rPr>
            </w:pPr>
            <w:r>
              <w:rPr>
                <w:rFonts w:hint="eastAsia" w:ascii="宋体" w:eastAsia="宋体"/>
                <w:color w:val="auto"/>
              </w:rPr>
              <w:t>职  务</w:t>
            </w:r>
          </w:p>
        </w:tc>
        <w:tc>
          <w:tcPr>
            <w:tcW w:w="1588" w:type="dxa"/>
            <w:tcBorders>
              <w:top w:val="single" w:color="auto" w:sz="4" w:space="0"/>
              <w:left w:val="single" w:color="auto" w:sz="4" w:space="0"/>
              <w:bottom w:val="single" w:color="auto" w:sz="4" w:space="0"/>
              <w:right w:val="single" w:color="auto" w:sz="12" w:space="0"/>
            </w:tcBorders>
            <w:vAlign w:val="center"/>
          </w:tcPr>
          <w:p w14:paraId="11628D75">
            <w:pPr>
              <w:spacing w:line="360" w:lineRule="exact"/>
              <w:jc w:val="center"/>
              <w:rPr>
                <w:rFonts w:ascii="宋体" w:eastAsia="宋体"/>
                <w:color w:val="auto"/>
              </w:rPr>
            </w:pPr>
          </w:p>
        </w:tc>
      </w:tr>
      <w:tr w14:paraId="6EA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7D14BB2">
            <w:pPr>
              <w:spacing w:line="260" w:lineRule="exact"/>
              <w:jc w:val="center"/>
              <w:rPr>
                <w:rFonts w:ascii="宋体" w:eastAsia="宋体"/>
                <w:color w:val="auto"/>
              </w:rPr>
            </w:pPr>
            <w:r>
              <w:rPr>
                <w:rFonts w:hint="eastAsia" w:ascii="宋体" w:eastAsia="宋体"/>
                <w:color w:val="auto"/>
              </w:rPr>
              <w:t>职  称</w:t>
            </w:r>
          </w:p>
          <w:p w14:paraId="216D9456">
            <w:pPr>
              <w:spacing w:line="260" w:lineRule="exact"/>
              <w:jc w:val="center"/>
              <w:rPr>
                <w:rFonts w:ascii="宋体" w:eastAsia="宋体"/>
                <w:color w:val="auto"/>
              </w:rPr>
            </w:pPr>
            <w:r>
              <w:rPr>
                <w:rFonts w:hint="eastAsia" w:ascii="宋体" w:eastAsia="宋体"/>
                <w:color w:val="auto"/>
              </w:rPr>
              <w:t>（或资格）</w:t>
            </w:r>
          </w:p>
        </w:tc>
        <w:tc>
          <w:tcPr>
            <w:tcW w:w="1822" w:type="dxa"/>
            <w:tcBorders>
              <w:top w:val="single" w:color="auto" w:sz="4" w:space="0"/>
              <w:left w:val="single" w:color="auto" w:sz="4" w:space="0"/>
              <w:bottom w:val="single" w:color="auto" w:sz="4" w:space="0"/>
              <w:right w:val="single" w:color="auto" w:sz="4" w:space="0"/>
            </w:tcBorders>
            <w:vAlign w:val="center"/>
          </w:tcPr>
          <w:p w14:paraId="1373C4A6">
            <w:pPr>
              <w:spacing w:line="360" w:lineRule="exact"/>
              <w:rPr>
                <w:rFonts w:ascii="宋体" w:eastAsia="宋体"/>
                <w:color w:val="auto"/>
              </w:rPr>
            </w:pPr>
          </w:p>
        </w:tc>
        <w:tc>
          <w:tcPr>
            <w:tcW w:w="1587" w:type="dxa"/>
            <w:tcBorders>
              <w:top w:val="single" w:color="auto" w:sz="4" w:space="0"/>
              <w:left w:val="single" w:color="auto" w:sz="4" w:space="0"/>
              <w:bottom w:val="single" w:color="auto" w:sz="4" w:space="0"/>
              <w:right w:val="single" w:color="auto" w:sz="4" w:space="0"/>
            </w:tcBorders>
            <w:vAlign w:val="center"/>
          </w:tcPr>
          <w:p w14:paraId="4DCFA523">
            <w:pPr>
              <w:spacing w:line="360" w:lineRule="exact"/>
              <w:jc w:val="center"/>
              <w:rPr>
                <w:rFonts w:ascii="宋体" w:eastAsia="宋体"/>
                <w:color w:val="auto"/>
              </w:rPr>
            </w:pPr>
            <w:r>
              <w:rPr>
                <w:rFonts w:hint="eastAsia" w:ascii="宋体" w:eastAsia="宋体"/>
                <w:color w:val="auto"/>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2C7F23E1">
            <w:pPr>
              <w:spacing w:line="360" w:lineRule="exact"/>
              <w:jc w:val="center"/>
              <w:rPr>
                <w:rFonts w:ascii="宋体" w:eastAsia="宋体"/>
                <w:color w:val="auto"/>
              </w:rPr>
            </w:pPr>
          </w:p>
        </w:tc>
        <w:tc>
          <w:tcPr>
            <w:tcW w:w="1449" w:type="dxa"/>
            <w:tcBorders>
              <w:top w:val="single" w:color="auto" w:sz="4" w:space="0"/>
              <w:left w:val="single" w:color="auto" w:sz="4" w:space="0"/>
              <w:bottom w:val="single" w:color="auto" w:sz="4" w:space="0"/>
              <w:right w:val="single" w:color="auto" w:sz="4" w:space="0"/>
            </w:tcBorders>
            <w:vAlign w:val="center"/>
          </w:tcPr>
          <w:p w14:paraId="406854BB">
            <w:pPr>
              <w:spacing w:line="280" w:lineRule="exact"/>
              <w:jc w:val="center"/>
              <w:rPr>
                <w:rFonts w:ascii="宋体" w:eastAsia="宋体"/>
                <w:color w:val="auto"/>
              </w:rPr>
            </w:pPr>
            <w:r>
              <w:rPr>
                <w:rFonts w:hint="eastAsia" w:ascii="宋体" w:eastAsia="宋体"/>
                <w:color w:val="auto"/>
              </w:rPr>
              <w:t>参加工作</w:t>
            </w:r>
          </w:p>
          <w:p w14:paraId="3E155AF0">
            <w:pPr>
              <w:spacing w:line="280" w:lineRule="exact"/>
              <w:jc w:val="center"/>
              <w:rPr>
                <w:rFonts w:ascii="宋体" w:eastAsia="宋体"/>
                <w:color w:val="auto"/>
              </w:rPr>
            </w:pPr>
            <w:r>
              <w:rPr>
                <w:rFonts w:hint="eastAsia" w:ascii="宋体" w:eastAsia="宋体"/>
                <w:color w:val="auto"/>
              </w:rPr>
              <w:t>时间</w:t>
            </w:r>
          </w:p>
        </w:tc>
        <w:tc>
          <w:tcPr>
            <w:tcW w:w="1588" w:type="dxa"/>
            <w:tcBorders>
              <w:top w:val="single" w:color="auto" w:sz="4" w:space="0"/>
              <w:left w:val="single" w:color="auto" w:sz="4" w:space="0"/>
              <w:bottom w:val="single" w:color="auto" w:sz="4" w:space="0"/>
              <w:right w:val="single" w:color="auto" w:sz="12" w:space="0"/>
            </w:tcBorders>
            <w:vAlign w:val="center"/>
          </w:tcPr>
          <w:p w14:paraId="6F534DBE">
            <w:pPr>
              <w:spacing w:line="360" w:lineRule="exact"/>
              <w:jc w:val="center"/>
              <w:rPr>
                <w:rFonts w:ascii="宋体" w:eastAsia="宋体"/>
                <w:color w:val="auto"/>
              </w:rPr>
            </w:pPr>
          </w:p>
        </w:tc>
      </w:tr>
      <w:tr w14:paraId="3806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6D67937E">
            <w:pPr>
              <w:spacing w:line="360" w:lineRule="exact"/>
              <w:jc w:val="center"/>
              <w:rPr>
                <w:rFonts w:ascii="宋体" w:eastAsia="宋体"/>
                <w:color w:val="auto"/>
              </w:rPr>
            </w:pPr>
            <w:r>
              <w:rPr>
                <w:rFonts w:hint="eastAsia" w:ascii="宋体" w:eastAsia="宋体"/>
                <w:color w:val="auto"/>
              </w:rPr>
              <w:t>2、个人简历</w:t>
            </w:r>
          </w:p>
        </w:tc>
      </w:tr>
      <w:tr w14:paraId="6DB6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8589E5C">
            <w:pPr>
              <w:spacing w:line="360" w:lineRule="exact"/>
              <w:jc w:val="center"/>
              <w:rPr>
                <w:rFonts w:ascii="宋体" w:eastAsia="宋体"/>
                <w:color w:val="auto"/>
              </w:rPr>
            </w:pPr>
            <w:r>
              <w:rPr>
                <w:rFonts w:hint="eastAsia" w:ascii="宋体" w:eastAsia="宋体"/>
                <w:color w:val="auto"/>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016D7550">
            <w:pPr>
              <w:spacing w:line="360" w:lineRule="exact"/>
              <w:jc w:val="center"/>
              <w:rPr>
                <w:rFonts w:ascii="宋体" w:eastAsia="宋体"/>
                <w:color w:val="auto"/>
              </w:rPr>
            </w:pPr>
            <w:r>
              <w:rPr>
                <w:rFonts w:hint="eastAsia" w:ascii="宋体" w:eastAsia="宋体"/>
                <w:color w:val="auto"/>
              </w:rPr>
              <w:t>专业工作经历</w:t>
            </w:r>
          </w:p>
        </w:tc>
      </w:tr>
      <w:tr w14:paraId="222C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5CA86A7">
            <w:pPr>
              <w:spacing w:line="360" w:lineRule="exact"/>
              <w:rPr>
                <w:rFonts w:ascii="宋体" w:eastAsia="宋体"/>
                <w:color w:val="auto"/>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19A7E21B">
            <w:pPr>
              <w:spacing w:line="360" w:lineRule="exact"/>
              <w:rPr>
                <w:rFonts w:ascii="宋体" w:eastAsia="宋体"/>
                <w:color w:val="auto"/>
              </w:rPr>
            </w:pPr>
          </w:p>
        </w:tc>
      </w:tr>
      <w:tr w14:paraId="70AC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E22FF77">
            <w:pPr>
              <w:spacing w:line="360" w:lineRule="exact"/>
              <w:rPr>
                <w:rFonts w:ascii="宋体" w:eastAsia="宋体"/>
                <w:color w:val="auto"/>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7228A498">
            <w:pPr>
              <w:spacing w:line="360" w:lineRule="exact"/>
              <w:rPr>
                <w:rFonts w:ascii="宋体" w:eastAsia="宋体"/>
                <w:color w:val="auto"/>
              </w:rPr>
            </w:pPr>
          </w:p>
        </w:tc>
      </w:tr>
      <w:tr w14:paraId="257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6FC73751">
            <w:pPr>
              <w:spacing w:line="360" w:lineRule="exact"/>
              <w:jc w:val="center"/>
              <w:rPr>
                <w:rFonts w:ascii="宋体" w:eastAsia="宋体"/>
                <w:color w:val="auto"/>
              </w:rPr>
            </w:pPr>
            <w:r>
              <w:rPr>
                <w:rFonts w:hint="eastAsia" w:ascii="宋体" w:eastAsia="宋体"/>
                <w:color w:val="auto"/>
              </w:rPr>
              <w:t>3、负责类似项目业绩</w:t>
            </w:r>
          </w:p>
        </w:tc>
      </w:tr>
      <w:tr w14:paraId="6D3C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7E6EF23">
            <w:pPr>
              <w:spacing w:line="360" w:lineRule="exact"/>
              <w:jc w:val="center"/>
              <w:rPr>
                <w:rFonts w:ascii="宋体" w:eastAsia="宋体"/>
                <w:color w:val="auto"/>
              </w:rPr>
            </w:pPr>
            <w:r>
              <w:rPr>
                <w:rFonts w:hint="eastAsia" w:ascii="宋体" w:eastAsia="宋体"/>
                <w:color w:val="auto"/>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E19A990">
            <w:pPr>
              <w:spacing w:line="360" w:lineRule="exact"/>
              <w:jc w:val="center"/>
              <w:rPr>
                <w:rFonts w:ascii="宋体" w:eastAsia="宋体"/>
                <w:color w:val="auto"/>
              </w:rPr>
            </w:pPr>
            <w:r>
              <w:rPr>
                <w:rFonts w:hint="eastAsia" w:ascii="宋体" w:eastAsia="宋体"/>
                <w:color w:val="auto"/>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A28889A">
            <w:pPr>
              <w:spacing w:line="360" w:lineRule="exact"/>
              <w:jc w:val="center"/>
              <w:rPr>
                <w:rFonts w:ascii="宋体" w:eastAsia="宋体"/>
                <w:color w:val="auto"/>
              </w:rPr>
            </w:pPr>
            <w:r>
              <w:rPr>
                <w:rFonts w:hint="eastAsia" w:ascii="宋体" w:eastAsia="宋体"/>
                <w:color w:val="auto"/>
              </w:rPr>
              <w:t>该项目中任何职</w:t>
            </w:r>
          </w:p>
        </w:tc>
      </w:tr>
      <w:tr w14:paraId="0847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E07B6CD">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A36020A">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5B39B67">
            <w:pPr>
              <w:spacing w:line="360" w:lineRule="exact"/>
              <w:rPr>
                <w:rFonts w:ascii="宋体" w:eastAsia="宋体"/>
                <w:color w:val="auto"/>
              </w:rPr>
            </w:pPr>
          </w:p>
        </w:tc>
      </w:tr>
      <w:tr w14:paraId="719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71750066">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9A06579">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6EEB165">
            <w:pPr>
              <w:spacing w:line="360" w:lineRule="exact"/>
              <w:rPr>
                <w:rFonts w:ascii="宋体" w:eastAsia="宋体"/>
                <w:color w:val="auto"/>
              </w:rPr>
            </w:pPr>
          </w:p>
        </w:tc>
      </w:tr>
      <w:tr w14:paraId="4921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2AFD923">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FBFBC3D">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7D23692D">
            <w:pPr>
              <w:spacing w:line="360" w:lineRule="exact"/>
              <w:rPr>
                <w:rFonts w:ascii="宋体" w:eastAsia="宋体"/>
                <w:color w:val="auto"/>
              </w:rPr>
            </w:pPr>
          </w:p>
        </w:tc>
      </w:tr>
      <w:tr w14:paraId="7735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D47A8E5">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10E0DCA1">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A63324F">
            <w:pPr>
              <w:spacing w:line="360" w:lineRule="exact"/>
              <w:rPr>
                <w:rFonts w:ascii="宋体" w:eastAsia="宋体"/>
                <w:color w:val="auto"/>
              </w:rPr>
            </w:pPr>
          </w:p>
        </w:tc>
      </w:tr>
      <w:tr w14:paraId="2744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A4DE97E">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A49507A">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B487E06">
            <w:pPr>
              <w:spacing w:line="360" w:lineRule="exact"/>
              <w:rPr>
                <w:rFonts w:ascii="宋体" w:eastAsia="宋体"/>
                <w:color w:val="auto"/>
              </w:rPr>
            </w:pPr>
          </w:p>
        </w:tc>
      </w:tr>
      <w:tr w14:paraId="6BEA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A9F3474">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59B58CCE">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CB440ED">
            <w:pPr>
              <w:spacing w:line="360" w:lineRule="exact"/>
              <w:rPr>
                <w:rFonts w:ascii="宋体" w:eastAsia="宋体"/>
                <w:color w:val="auto"/>
              </w:rPr>
            </w:pPr>
          </w:p>
        </w:tc>
      </w:tr>
      <w:tr w14:paraId="48A5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14:paraId="2BD979B6">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14:paraId="0F391C9E">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14:paraId="2F0A2B79">
            <w:pPr>
              <w:spacing w:line="360" w:lineRule="exact"/>
              <w:rPr>
                <w:rFonts w:ascii="宋体" w:eastAsia="宋体"/>
                <w:color w:val="auto"/>
              </w:rPr>
            </w:pPr>
          </w:p>
        </w:tc>
      </w:tr>
    </w:tbl>
    <w:p w14:paraId="1D59C368">
      <w:pPr>
        <w:pStyle w:val="26"/>
        <w:spacing w:line="400" w:lineRule="atLeast"/>
        <w:ind w:left="4618" w:leftChars="156" w:hanging="4290" w:hangingChars="1950"/>
        <w:rPr>
          <w:rFonts w:hAnsi="宋体" w:eastAsia="宋体"/>
          <w:b w:val="0"/>
          <w:color w:val="auto"/>
          <w:sz w:val="22"/>
        </w:rPr>
      </w:pPr>
      <w:r>
        <w:rPr>
          <w:rFonts w:hint="eastAsia" w:hAnsi="宋体" w:eastAsia="宋体"/>
          <w:b w:val="0"/>
          <w:color w:val="auto"/>
          <w:sz w:val="22"/>
        </w:rPr>
        <w:t xml:space="preserve">注：本表可在不改变格式的情况下根据具体需要自行增减。 </w:t>
      </w:r>
    </w:p>
    <w:p w14:paraId="77F6999F">
      <w:pPr>
        <w:pStyle w:val="26"/>
        <w:spacing w:line="400" w:lineRule="atLeast"/>
        <w:ind w:left="4635" w:leftChars="156" w:hanging="4307" w:hangingChars="1950"/>
        <w:rPr>
          <w:rFonts w:hAnsi="宋体" w:eastAsia="宋体"/>
          <w:color w:val="auto"/>
          <w:sz w:val="22"/>
        </w:rPr>
      </w:pPr>
    </w:p>
    <w:p w14:paraId="5E793162">
      <w:pPr>
        <w:pStyle w:val="26"/>
        <w:spacing w:line="360" w:lineRule="auto"/>
        <w:rPr>
          <w:rFonts w:hAnsi="宋体" w:eastAsia="宋体"/>
          <w:b w:val="0"/>
          <w:color w:val="auto"/>
          <w:sz w:val="22"/>
          <w:szCs w:val="22"/>
        </w:rPr>
      </w:pPr>
      <w:bookmarkStart w:id="158" w:name="_Toc301515381"/>
      <w:r>
        <w:rPr>
          <w:rFonts w:hint="eastAsia" w:hAnsi="宋体" w:eastAsia="宋体"/>
          <w:b w:val="0"/>
          <w:color w:val="auto"/>
          <w:sz w:val="22"/>
          <w:szCs w:val="22"/>
        </w:rPr>
        <w:t>投标供应商全称（盖章）：</w:t>
      </w:r>
    </w:p>
    <w:p w14:paraId="6538C088">
      <w:pPr>
        <w:pStyle w:val="26"/>
        <w:spacing w:line="360" w:lineRule="auto"/>
        <w:rPr>
          <w:rFonts w:hAnsi="宋体" w:eastAsia="宋体"/>
          <w:b w:val="0"/>
          <w:color w:val="auto"/>
          <w:sz w:val="22"/>
          <w:szCs w:val="22"/>
        </w:rPr>
      </w:pPr>
      <w:r>
        <w:rPr>
          <w:rFonts w:hint="eastAsia" w:hAnsi="宋体" w:eastAsia="宋体"/>
          <w:b w:val="0"/>
          <w:color w:val="auto"/>
          <w:sz w:val="22"/>
          <w:szCs w:val="22"/>
        </w:rPr>
        <w:t>日 期：       年      月      日</w:t>
      </w:r>
    </w:p>
    <w:p w14:paraId="0412F53D">
      <w:pPr>
        <w:pStyle w:val="6"/>
        <w:jc w:val="left"/>
        <w:rPr>
          <w:rFonts w:ascii="宋体" w:hAnsi="宋体" w:cs="宋体"/>
          <w:b w:val="0"/>
          <w:color w:val="auto"/>
          <w:sz w:val="22"/>
          <w:szCs w:val="22"/>
        </w:rPr>
      </w:pPr>
    </w:p>
    <w:p w14:paraId="7FC7828A">
      <w:pPr>
        <w:widowControl/>
        <w:jc w:val="center"/>
        <w:rPr>
          <w:rFonts w:ascii="宋体" w:eastAsia="宋体"/>
          <w:color w:val="auto"/>
          <w:sz w:val="28"/>
          <w:szCs w:val="28"/>
        </w:rPr>
      </w:pPr>
      <w:r>
        <w:rPr>
          <w:rFonts w:hint="eastAsia" w:ascii="宋体" w:eastAsia="宋体"/>
          <w:b w:val="0"/>
          <w:color w:val="auto"/>
          <w:sz w:val="28"/>
          <w:szCs w:val="28"/>
        </w:rPr>
        <w:br w:type="page"/>
      </w:r>
      <w:r>
        <w:rPr>
          <w:rFonts w:hint="eastAsia" w:ascii="宋体" w:eastAsia="宋体"/>
          <w:color w:val="auto"/>
          <w:sz w:val="28"/>
          <w:szCs w:val="28"/>
        </w:rPr>
        <w:t>（2）项目组人员一览表</w:t>
      </w:r>
      <w:bookmarkEnd w:id="158"/>
    </w:p>
    <w:p w14:paraId="1FF4D785">
      <w:pPr>
        <w:rPr>
          <w:rFonts w:ascii="宋体" w:eastAsia="宋体"/>
          <w:color w:val="auto"/>
        </w:rPr>
      </w:pPr>
    </w:p>
    <w:p w14:paraId="38E78EA0">
      <w:pPr>
        <w:spacing w:line="360" w:lineRule="exact"/>
        <w:rPr>
          <w:rFonts w:ascii="宋体" w:eastAsia="宋体"/>
          <w:color w:val="auto"/>
        </w:rPr>
      </w:pPr>
      <w:r>
        <w:rPr>
          <w:rFonts w:hint="eastAsia" w:ascii="宋体" w:eastAsia="宋体"/>
          <w:color w:val="auto"/>
          <w:sz w:val="22"/>
        </w:rPr>
        <w:t>项目名称：                                        项目编号：</w:t>
      </w:r>
    </w:p>
    <w:tbl>
      <w:tblPr>
        <w:tblStyle w:val="43"/>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14"/>
        <w:gridCol w:w="1013"/>
        <w:gridCol w:w="1340"/>
        <w:gridCol w:w="1316"/>
        <w:gridCol w:w="1391"/>
        <w:gridCol w:w="1435"/>
        <w:gridCol w:w="1435"/>
      </w:tblGrid>
      <w:tr w14:paraId="229DF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0" w:type="dxa"/>
            <w:tcBorders>
              <w:top w:val="single" w:color="auto" w:sz="12" w:space="0"/>
              <w:left w:val="single" w:color="auto" w:sz="12" w:space="0"/>
              <w:bottom w:val="single" w:color="auto" w:sz="4" w:space="0"/>
              <w:right w:val="single" w:color="auto" w:sz="4" w:space="0"/>
            </w:tcBorders>
            <w:vAlign w:val="center"/>
          </w:tcPr>
          <w:p w14:paraId="188796E1">
            <w:pPr>
              <w:spacing w:line="300" w:lineRule="exact"/>
              <w:jc w:val="center"/>
              <w:rPr>
                <w:rFonts w:ascii="宋体" w:eastAsia="宋体"/>
                <w:color w:val="auto"/>
                <w:sz w:val="22"/>
                <w:szCs w:val="22"/>
              </w:rPr>
            </w:pPr>
            <w:r>
              <w:rPr>
                <w:rFonts w:hint="eastAsia" w:ascii="宋体" w:eastAsia="宋体"/>
                <w:color w:val="auto"/>
                <w:sz w:val="22"/>
                <w:szCs w:val="22"/>
              </w:rPr>
              <w:t>姓名</w:t>
            </w:r>
          </w:p>
        </w:tc>
        <w:tc>
          <w:tcPr>
            <w:tcW w:w="1014" w:type="dxa"/>
            <w:tcBorders>
              <w:top w:val="single" w:color="auto" w:sz="12" w:space="0"/>
              <w:left w:val="single" w:color="auto" w:sz="4" w:space="0"/>
              <w:bottom w:val="single" w:color="auto" w:sz="4" w:space="0"/>
              <w:right w:val="single" w:color="auto" w:sz="4" w:space="0"/>
            </w:tcBorders>
            <w:vAlign w:val="center"/>
          </w:tcPr>
          <w:p w14:paraId="1BD25F16">
            <w:pPr>
              <w:spacing w:line="300" w:lineRule="exact"/>
              <w:jc w:val="center"/>
              <w:rPr>
                <w:rFonts w:ascii="宋体" w:eastAsia="宋体"/>
                <w:color w:val="auto"/>
                <w:sz w:val="22"/>
                <w:szCs w:val="22"/>
              </w:rPr>
            </w:pPr>
            <w:r>
              <w:rPr>
                <w:rFonts w:hint="eastAsia" w:ascii="宋体" w:eastAsia="宋体"/>
                <w:color w:val="auto"/>
                <w:sz w:val="22"/>
                <w:szCs w:val="22"/>
              </w:rPr>
              <w:t>性别</w:t>
            </w:r>
          </w:p>
        </w:tc>
        <w:tc>
          <w:tcPr>
            <w:tcW w:w="1013" w:type="dxa"/>
            <w:tcBorders>
              <w:top w:val="single" w:color="auto" w:sz="12" w:space="0"/>
              <w:left w:val="single" w:color="auto" w:sz="4" w:space="0"/>
              <w:bottom w:val="single" w:color="auto" w:sz="4" w:space="0"/>
              <w:right w:val="single" w:color="auto" w:sz="4" w:space="0"/>
            </w:tcBorders>
            <w:vAlign w:val="center"/>
          </w:tcPr>
          <w:p w14:paraId="3515EB55">
            <w:pPr>
              <w:spacing w:line="300" w:lineRule="exact"/>
              <w:jc w:val="center"/>
              <w:rPr>
                <w:rFonts w:ascii="宋体" w:eastAsia="宋体"/>
                <w:color w:val="auto"/>
                <w:sz w:val="22"/>
                <w:szCs w:val="22"/>
              </w:rPr>
            </w:pPr>
            <w:r>
              <w:rPr>
                <w:rFonts w:hint="eastAsia" w:ascii="宋体" w:eastAsia="宋体"/>
                <w:color w:val="auto"/>
                <w:sz w:val="22"/>
                <w:szCs w:val="22"/>
              </w:rPr>
              <w:t>年龄</w:t>
            </w:r>
          </w:p>
        </w:tc>
        <w:tc>
          <w:tcPr>
            <w:tcW w:w="1340" w:type="dxa"/>
            <w:tcBorders>
              <w:top w:val="single" w:color="auto" w:sz="12" w:space="0"/>
              <w:left w:val="single" w:color="auto" w:sz="4" w:space="0"/>
              <w:bottom w:val="single" w:color="auto" w:sz="4" w:space="0"/>
              <w:right w:val="single" w:color="auto" w:sz="4" w:space="0"/>
            </w:tcBorders>
            <w:vAlign w:val="center"/>
          </w:tcPr>
          <w:p w14:paraId="402EA579">
            <w:pPr>
              <w:spacing w:line="300" w:lineRule="exact"/>
              <w:jc w:val="center"/>
              <w:rPr>
                <w:rFonts w:ascii="宋体" w:eastAsia="宋体"/>
                <w:color w:val="auto"/>
                <w:sz w:val="22"/>
                <w:szCs w:val="22"/>
              </w:rPr>
            </w:pPr>
            <w:r>
              <w:rPr>
                <w:rFonts w:hint="eastAsia" w:ascii="宋体" w:eastAsia="宋体"/>
                <w:color w:val="auto"/>
                <w:sz w:val="22"/>
                <w:szCs w:val="22"/>
              </w:rPr>
              <w:t>学历/职称</w:t>
            </w:r>
          </w:p>
        </w:tc>
        <w:tc>
          <w:tcPr>
            <w:tcW w:w="1316" w:type="dxa"/>
            <w:tcBorders>
              <w:top w:val="single" w:color="auto" w:sz="12" w:space="0"/>
              <w:left w:val="single" w:color="auto" w:sz="4" w:space="0"/>
              <w:bottom w:val="single" w:color="auto" w:sz="4" w:space="0"/>
              <w:right w:val="single" w:color="auto" w:sz="4" w:space="0"/>
            </w:tcBorders>
            <w:vAlign w:val="center"/>
          </w:tcPr>
          <w:p w14:paraId="6D590DE4">
            <w:pPr>
              <w:spacing w:line="300" w:lineRule="exact"/>
              <w:jc w:val="center"/>
              <w:rPr>
                <w:rFonts w:ascii="宋体" w:eastAsia="宋体"/>
                <w:color w:val="auto"/>
                <w:sz w:val="22"/>
                <w:szCs w:val="22"/>
              </w:rPr>
            </w:pPr>
            <w:r>
              <w:rPr>
                <w:rFonts w:hint="eastAsia" w:ascii="宋体" w:eastAsia="宋体"/>
                <w:color w:val="auto"/>
                <w:sz w:val="22"/>
                <w:szCs w:val="22"/>
              </w:rPr>
              <w:t>专业</w:t>
            </w:r>
          </w:p>
        </w:tc>
        <w:tc>
          <w:tcPr>
            <w:tcW w:w="1391" w:type="dxa"/>
            <w:tcBorders>
              <w:top w:val="single" w:color="auto" w:sz="12" w:space="0"/>
              <w:left w:val="single" w:color="auto" w:sz="4" w:space="0"/>
              <w:bottom w:val="single" w:color="auto" w:sz="4" w:space="0"/>
              <w:right w:val="single" w:color="auto" w:sz="4" w:space="0"/>
            </w:tcBorders>
            <w:vAlign w:val="center"/>
          </w:tcPr>
          <w:p w14:paraId="597BE899">
            <w:pPr>
              <w:spacing w:line="300" w:lineRule="exact"/>
              <w:rPr>
                <w:rFonts w:ascii="宋体" w:eastAsia="宋体"/>
                <w:color w:val="auto"/>
                <w:sz w:val="22"/>
                <w:szCs w:val="22"/>
              </w:rPr>
            </w:pPr>
            <w:r>
              <w:rPr>
                <w:rFonts w:hint="eastAsia" w:ascii="宋体" w:eastAsia="宋体"/>
                <w:color w:val="auto"/>
                <w:sz w:val="22"/>
                <w:szCs w:val="22"/>
              </w:rPr>
              <w:t>专业工作年限</w:t>
            </w:r>
          </w:p>
        </w:tc>
        <w:tc>
          <w:tcPr>
            <w:tcW w:w="1435" w:type="dxa"/>
            <w:tcBorders>
              <w:top w:val="single" w:color="auto" w:sz="12" w:space="0"/>
              <w:left w:val="single" w:color="auto" w:sz="4" w:space="0"/>
              <w:bottom w:val="single" w:color="auto" w:sz="4" w:space="0"/>
              <w:right w:val="single" w:color="auto" w:sz="4" w:space="0"/>
            </w:tcBorders>
            <w:vAlign w:val="center"/>
          </w:tcPr>
          <w:p w14:paraId="592D6A24">
            <w:pPr>
              <w:spacing w:line="300" w:lineRule="exact"/>
              <w:jc w:val="center"/>
              <w:rPr>
                <w:rFonts w:ascii="宋体" w:eastAsia="宋体"/>
                <w:color w:val="auto"/>
                <w:sz w:val="22"/>
                <w:szCs w:val="22"/>
              </w:rPr>
            </w:pPr>
            <w:r>
              <w:rPr>
                <w:rFonts w:hint="eastAsia" w:ascii="宋体" w:eastAsia="宋体"/>
                <w:color w:val="auto"/>
                <w:sz w:val="22"/>
                <w:szCs w:val="22"/>
              </w:rPr>
              <w:t>拟任何职</w:t>
            </w:r>
          </w:p>
        </w:tc>
        <w:tc>
          <w:tcPr>
            <w:tcW w:w="1435" w:type="dxa"/>
            <w:tcBorders>
              <w:top w:val="single" w:color="auto" w:sz="12" w:space="0"/>
              <w:left w:val="single" w:color="auto" w:sz="4" w:space="0"/>
              <w:bottom w:val="single" w:color="auto" w:sz="4" w:space="0"/>
              <w:right w:val="single" w:color="auto" w:sz="12" w:space="0"/>
            </w:tcBorders>
            <w:vAlign w:val="center"/>
          </w:tcPr>
          <w:p w14:paraId="2C5BF8F6">
            <w:pPr>
              <w:spacing w:line="300" w:lineRule="exact"/>
              <w:jc w:val="center"/>
              <w:rPr>
                <w:rFonts w:ascii="宋体" w:eastAsia="宋体"/>
                <w:color w:val="auto"/>
                <w:sz w:val="22"/>
                <w:szCs w:val="22"/>
              </w:rPr>
            </w:pPr>
            <w:r>
              <w:rPr>
                <w:rFonts w:hint="eastAsia" w:ascii="宋体" w:eastAsia="宋体"/>
                <w:color w:val="auto"/>
                <w:sz w:val="22"/>
                <w:szCs w:val="22"/>
              </w:rPr>
              <w:t>是否常驻（填：是或否）</w:t>
            </w:r>
          </w:p>
        </w:tc>
      </w:tr>
      <w:tr w14:paraId="2B288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0C08335">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E286F1C">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196B891C">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20DFFDB">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61B90BED">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2D673A39">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380A32F">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2C078700">
            <w:pPr>
              <w:spacing w:line="360" w:lineRule="exact"/>
              <w:jc w:val="center"/>
              <w:rPr>
                <w:rFonts w:ascii="宋体" w:eastAsia="宋体"/>
                <w:color w:val="auto"/>
                <w:sz w:val="22"/>
                <w:szCs w:val="22"/>
              </w:rPr>
            </w:pPr>
          </w:p>
        </w:tc>
      </w:tr>
      <w:tr w14:paraId="0221C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13325D33">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7CEF655A">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41475CB1">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6EB074F5">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1735F0E0">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297FEEB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00612756">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3E353C07">
            <w:pPr>
              <w:spacing w:line="360" w:lineRule="exact"/>
              <w:jc w:val="center"/>
              <w:rPr>
                <w:rFonts w:ascii="宋体" w:eastAsia="宋体"/>
                <w:color w:val="auto"/>
                <w:sz w:val="22"/>
                <w:szCs w:val="22"/>
              </w:rPr>
            </w:pPr>
          </w:p>
        </w:tc>
      </w:tr>
      <w:tr w14:paraId="7D615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55679E3">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0E48A76">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2E442529">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0C52AB4B">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0E945ED2">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3B7F789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5E9E373B">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2EDFE09E">
            <w:pPr>
              <w:spacing w:line="360" w:lineRule="exact"/>
              <w:jc w:val="center"/>
              <w:rPr>
                <w:rFonts w:ascii="宋体" w:eastAsia="宋体"/>
                <w:color w:val="auto"/>
                <w:sz w:val="22"/>
                <w:szCs w:val="22"/>
              </w:rPr>
            </w:pPr>
          </w:p>
        </w:tc>
      </w:tr>
      <w:tr w14:paraId="6DA20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F8F4F59">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4E174B42">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2A728482">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5BA96430">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5525AE17">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1760C6A7">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53B27440">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6EA74BDF">
            <w:pPr>
              <w:spacing w:line="360" w:lineRule="exact"/>
              <w:jc w:val="center"/>
              <w:rPr>
                <w:rFonts w:ascii="宋体" w:eastAsia="宋体"/>
                <w:color w:val="auto"/>
                <w:sz w:val="22"/>
                <w:szCs w:val="22"/>
              </w:rPr>
            </w:pPr>
          </w:p>
        </w:tc>
      </w:tr>
      <w:tr w14:paraId="7B9E8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1792EBDB">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15C242BB">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34C62C7F">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F5B2B80">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2FF34ED0">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6A5F133E">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E75329E">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680439AC">
            <w:pPr>
              <w:spacing w:line="360" w:lineRule="exact"/>
              <w:jc w:val="center"/>
              <w:rPr>
                <w:rFonts w:ascii="宋体" w:eastAsia="宋体"/>
                <w:color w:val="auto"/>
                <w:sz w:val="22"/>
                <w:szCs w:val="22"/>
              </w:rPr>
            </w:pPr>
          </w:p>
        </w:tc>
      </w:tr>
      <w:tr w14:paraId="4CE20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72CFD647">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2A0285B3">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24B068BC">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1B522FA6">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441174E3">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31E82B2">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74027DA6">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1CAE4745">
            <w:pPr>
              <w:spacing w:line="360" w:lineRule="exact"/>
              <w:jc w:val="center"/>
              <w:rPr>
                <w:rFonts w:ascii="宋体" w:eastAsia="宋体"/>
                <w:color w:val="auto"/>
                <w:sz w:val="22"/>
                <w:szCs w:val="22"/>
              </w:rPr>
            </w:pPr>
          </w:p>
        </w:tc>
      </w:tr>
      <w:tr w14:paraId="77B3F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65BDF4A1">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44710D5F">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27B5F73A">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077176EA">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291B2E5F">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6B7C1D8F">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EE1BE6B">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7FFE5341">
            <w:pPr>
              <w:spacing w:line="360" w:lineRule="exact"/>
              <w:jc w:val="center"/>
              <w:rPr>
                <w:rFonts w:ascii="宋体" w:eastAsia="宋体"/>
                <w:color w:val="auto"/>
                <w:sz w:val="22"/>
                <w:szCs w:val="22"/>
              </w:rPr>
            </w:pPr>
          </w:p>
        </w:tc>
      </w:tr>
      <w:tr w14:paraId="08E57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019E7D29">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797A1D4E">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1C8CF64B">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05B09E8A">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48A9122E">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6092DBB0">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BB85F53">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5C5CB6DF">
            <w:pPr>
              <w:spacing w:line="360" w:lineRule="exact"/>
              <w:jc w:val="center"/>
              <w:rPr>
                <w:rFonts w:ascii="宋体" w:eastAsia="宋体"/>
                <w:color w:val="auto"/>
                <w:sz w:val="22"/>
                <w:szCs w:val="22"/>
              </w:rPr>
            </w:pPr>
          </w:p>
        </w:tc>
      </w:tr>
      <w:tr w14:paraId="0907D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5CF43EAD">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2E88596E">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3DFC5695">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59379F8">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3CE8C42E">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3806A74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3DBDD2F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4F4715AB">
            <w:pPr>
              <w:spacing w:line="360" w:lineRule="exact"/>
              <w:jc w:val="center"/>
              <w:rPr>
                <w:rFonts w:ascii="宋体" w:eastAsia="宋体"/>
                <w:color w:val="auto"/>
                <w:sz w:val="22"/>
                <w:szCs w:val="22"/>
              </w:rPr>
            </w:pPr>
          </w:p>
        </w:tc>
      </w:tr>
      <w:tr w14:paraId="44EB8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67F7B0A0">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5D322045">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38DB3257">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6FD571B5">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343D020A">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5AE8F573">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2EE50592">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2501F8D8">
            <w:pPr>
              <w:spacing w:line="360" w:lineRule="exact"/>
              <w:jc w:val="center"/>
              <w:rPr>
                <w:rFonts w:ascii="宋体" w:eastAsia="宋体"/>
                <w:color w:val="auto"/>
                <w:sz w:val="22"/>
                <w:szCs w:val="22"/>
              </w:rPr>
            </w:pPr>
          </w:p>
        </w:tc>
      </w:tr>
      <w:tr w14:paraId="293C4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65FE5D0A">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133EF4BC">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4C92908D">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088197A6">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2A057414">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5503F397">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274F9333">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1F6B1E7C">
            <w:pPr>
              <w:spacing w:line="360" w:lineRule="exact"/>
              <w:jc w:val="center"/>
              <w:rPr>
                <w:rFonts w:ascii="宋体" w:eastAsia="宋体"/>
                <w:color w:val="auto"/>
                <w:sz w:val="22"/>
                <w:szCs w:val="22"/>
              </w:rPr>
            </w:pPr>
          </w:p>
        </w:tc>
      </w:tr>
      <w:tr w14:paraId="752C2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12" w:space="0"/>
              <w:right w:val="single" w:color="auto" w:sz="4" w:space="0"/>
            </w:tcBorders>
            <w:vAlign w:val="center"/>
          </w:tcPr>
          <w:p w14:paraId="24A42348">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12" w:space="0"/>
              <w:right w:val="single" w:color="auto" w:sz="4" w:space="0"/>
            </w:tcBorders>
            <w:vAlign w:val="center"/>
          </w:tcPr>
          <w:p w14:paraId="32554AC8">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12" w:space="0"/>
              <w:right w:val="single" w:color="auto" w:sz="4" w:space="0"/>
            </w:tcBorders>
            <w:vAlign w:val="center"/>
          </w:tcPr>
          <w:p w14:paraId="747791AE">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12" w:space="0"/>
              <w:right w:val="single" w:color="auto" w:sz="4" w:space="0"/>
            </w:tcBorders>
            <w:vAlign w:val="center"/>
          </w:tcPr>
          <w:p w14:paraId="3ADFDB44">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12" w:space="0"/>
              <w:right w:val="single" w:color="auto" w:sz="4" w:space="0"/>
            </w:tcBorders>
            <w:vAlign w:val="center"/>
          </w:tcPr>
          <w:p w14:paraId="4C4E80E6">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12" w:space="0"/>
              <w:right w:val="single" w:color="auto" w:sz="4" w:space="0"/>
            </w:tcBorders>
            <w:vAlign w:val="center"/>
          </w:tcPr>
          <w:p w14:paraId="2155FFDB">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12" w:space="0"/>
              <w:right w:val="single" w:color="auto" w:sz="4" w:space="0"/>
            </w:tcBorders>
            <w:vAlign w:val="center"/>
          </w:tcPr>
          <w:p w14:paraId="3440ED3F">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12" w:space="0"/>
              <w:right w:val="single" w:color="auto" w:sz="12" w:space="0"/>
            </w:tcBorders>
            <w:vAlign w:val="center"/>
          </w:tcPr>
          <w:p w14:paraId="680CAF60">
            <w:pPr>
              <w:spacing w:line="360" w:lineRule="exact"/>
              <w:jc w:val="center"/>
              <w:rPr>
                <w:rFonts w:ascii="宋体" w:eastAsia="宋体"/>
                <w:color w:val="auto"/>
                <w:sz w:val="22"/>
                <w:szCs w:val="22"/>
              </w:rPr>
            </w:pPr>
          </w:p>
        </w:tc>
      </w:tr>
    </w:tbl>
    <w:p w14:paraId="7BBA900D">
      <w:pPr>
        <w:pStyle w:val="26"/>
        <w:tabs>
          <w:tab w:val="left" w:pos="0"/>
          <w:tab w:val="left" w:pos="540"/>
        </w:tabs>
        <w:spacing w:line="300" w:lineRule="auto"/>
        <w:ind w:left="438" w:leftChars="156" w:hanging="110" w:hangingChars="50"/>
        <w:rPr>
          <w:rFonts w:hAnsi="宋体" w:eastAsia="宋体"/>
          <w:b w:val="0"/>
          <w:color w:val="auto"/>
          <w:sz w:val="22"/>
          <w:szCs w:val="22"/>
        </w:rPr>
      </w:pPr>
      <w:r>
        <w:rPr>
          <w:rFonts w:hint="eastAsia" w:hAnsi="宋体" w:eastAsia="宋体"/>
          <w:b w:val="0"/>
          <w:color w:val="auto"/>
          <w:sz w:val="22"/>
        </w:rPr>
        <w:t>注：</w:t>
      </w:r>
      <w:r>
        <w:rPr>
          <w:rFonts w:hint="eastAsia" w:hAnsi="宋体" w:eastAsia="宋体"/>
          <w:b w:val="0"/>
          <w:color w:val="auto"/>
          <w:sz w:val="22"/>
          <w:szCs w:val="22"/>
        </w:rPr>
        <w:t>此表仅提供了表格形式，可按此表格复制。</w:t>
      </w:r>
    </w:p>
    <w:p w14:paraId="0A554B44">
      <w:pPr>
        <w:pStyle w:val="26"/>
        <w:tabs>
          <w:tab w:val="left" w:pos="0"/>
          <w:tab w:val="left" w:pos="540"/>
        </w:tabs>
        <w:spacing w:line="300" w:lineRule="auto"/>
        <w:ind w:left="438" w:leftChars="156" w:hanging="110" w:hangingChars="50"/>
        <w:rPr>
          <w:rFonts w:hAnsi="宋体" w:eastAsia="宋体"/>
          <w:color w:val="auto"/>
          <w:sz w:val="22"/>
          <w:szCs w:val="22"/>
        </w:rPr>
      </w:pPr>
    </w:p>
    <w:p w14:paraId="3FFD6B9B">
      <w:pPr>
        <w:pStyle w:val="26"/>
        <w:spacing w:line="360" w:lineRule="auto"/>
        <w:rPr>
          <w:rFonts w:hAnsi="宋体" w:eastAsia="宋体"/>
          <w:b w:val="0"/>
          <w:color w:val="auto"/>
          <w:sz w:val="22"/>
          <w:szCs w:val="22"/>
        </w:rPr>
      </w:pPr>
      <w:r>
        <w:rPr>
          <w:rFonts w:hint="eastAsia" w:hAnsi="宋体" w:eastAsia="宋体"/>
          <w:b w:val="0"/>
          <w:color w:val="auto"/>
          <w:sz w:val="22"/>
          <w:szCs w:val="22"/>
        </w:rPr>
        <w:t>投标供应商全称（盖章）：</w:t>
      </w:r>
    </w:p>
    <w:p w14:paraId="3667F228">
      <w:pPr>
        <w:pStyle w:val="26"/>
        <w:spacing w:line="360" w:lineRule="auto"/>
        <w:rPr>
          <w:rFonts w:hAnsi="宋体" w:eastAsia="宋体"/>
          <w:b w:val="0"/>
          <w:color w:val="auto"/>
          <w:sz w:val="22"/>
          <w:szCs w:val="22"/>
        </w:rPr>
      </w:pPr>
      <w:r>
        <w:rPr>
          <w:rFonts w:hint="eastAsia" w:hAnsi="宋体" w:eastAsia="宋体"/>
          <w:b w:val="0"/>
          <w:color w:val="auto"/>
          <w:sz w:val="22"/>
          <w:szCs w:val="22"/>
        </w:rPr>
        <w:t>日 期：       年      月      日</w:t>
      </w:r>
    </w:p>
    <w:p w14:paraId="4BE8FD52">
      <w:pPr>
        <w:pStyle w:val="6"/>
        <w:jc w:val="both"/>
        <w:rPr>
          <w:rFonts w:ascii="宋体" w:hAnsi="宋体" w:cs="宋体"/>
          <w:b w:val="0"/>
          <w:color w:val="auto"/>
        </w:rPr>
        <w:sectPr>
          <w:pgSz w:w="11906" w:h="16838"/>
          <w:pgMar w:top="1355" w:right="1355" w:bottom="1440" w:left="1287" w:header="720" w:footer="720" w:gutter="0"/>
          <w:cols w:space="720" w:num="1"/>
          <w:docGrid w:linePitch="272" w:charSpace="-3831"/>
        </w:sectPr>
      </w:pPr>
    </w:p>
    <w:p w14:paraId="6AC74BFC">
      <w:pPr>
        <w:pStyle w:val="6"/>
        <w:rPr>
          <w:rFonts w:ascii="宋体" w:hAnsi="宋体" w:cs="宋体"/>
          <w:color w:val="auto"/>
        </w:rPr>
      </w:pPr>
      <w:bookmarkStart w:id="159" w:name="_Toc21361"/>
      <w:r>
        <w:rPr>
          <w:rFonts w:hint="eastAsia" w:ascii="宋体" w:hAnsi="宋体" w:cs="宋体"/>
          <w:color w:val="auto"/>
        </w:rPr>
        <w:t>第七部分 评标定标办法</w:t>
      </w:r>
      <w:bookmarkEnd w:id="77"/>
      <w:bookmarkEnd w:id="159"/>
    </w:p>
    <w:p w14:paraId="5DA08C5B">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根据《中华人民共和国政府采购法》等有关政府采购法规，结合本次所要采购服务的实际，按照公平、公正、科学、择优的原则选择中标人，特制定本评审办法。</w:t>
      </w:r>
    </w:p>
    <w:p w14:paraId="34A27ED4">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一、总则</w:t>
      </w:r>
    </w:p>
    <w:p w14:paraId="3255632E">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中标人，磋商小组不作任何解释。投标供应商不得以任何方式干扰采购工作的进行，一经发现其磋商响应文件将被拒绝。</w:t>
      </w:r>
    </w:p>
    <w:p w14:paraId="43FBE1E0">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二、评审组织</w:t>
      </w:r>
    </w:p>
    <w:p w14:paraId="5D9C6EDA">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评审工作由采购人依法组建的磋商小组负责，磋商小组由采购人代表以及评审专家库中随机抽取的有关技术、经济专家共同组成。评审全过程由采购管理部门全程监督。</w:t>
      </w:r>
    </w:p>
    <w:p w14:paraId="01A27A09">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三、磋商程序、磋商原则和方式</w:t>
      </w:r>
    </w:p>
    <w:p w14:paraId="47673C41">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1、本次采购是根据竞争性磋商采购方式进行。</w:t>
      </w:r>
    </w:p>
    <w:p w14:paraId="2FC0905A">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1.1、如磋商小组认为竞争性磋商文件能够详细列明采购标的技术、服务要求的，评审结束后，磋商小组可以直接对投标供应商进行打分评价。</w:t>
      </w:r>
    </w:p>
    <w:p w14:paraId="10F3F1E1">
      <w:pPr>
        <w:spacing w:line="360" w:lineRule="auto"/>
        <w:ind w:firstLine="442" w:firstLineChars="200"/>
        <w:rPr>
          <w:rFonts w:ascii="宋体" w:eastAsia="宋体"/>
          <w:color w:val="auto"/>
          <w:sz w:val="22"/>
          <w:szCs w:val="22"/>
        </w:rPr>
      </w:pPr>
      <w:r>
        <w:rPr>
          <w:rFonts w:hint="eastAsia" w:ascii="宋体" w:eastAsia="宋体"/>
          <w:color w:val="auto"/>
          <w:sz w:val="22"/>
          <w:szCs w:val="22"/>
        </w:rPr>
        <w:t>1.2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A673F58">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对竞争性磋商文件作出的实质性变动是磋商文件的有效组成部分，磋商小组应当及时以书面形式同时通知所有参加磋商的投标供应商。</w:t>
      </w:r>
    </w:p>
    <w:p w14:paraId="710168E1">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投标供应商应当按照竞争性磋商文件的变动情况和磋商小组的要求重新提交磋商响应文件，并由其法定代表人或授权代表签字或者加盖公章。由授权代表签字的，应当附法定代表人授权书。投标供应商为自然人的，应当由本人签字并附身份证明。</w:t>
      </w:r>
    </w:p>
    <w:p w14:paraId="5D2293DE">
      <w:pPr>
        <w:spacing w:line="360" w:lineRule="auto"/>
        <w:ind w:firstLine="442" w:firstLineChars="200"/>
        <w:rPr>
          <w:rFonts w:ascii="宋体" w:eastAsia="宋体"/>
          <w:color w:val="auto"/>
          <w:sz w:val="22"/>
          <w:szCs w:val="22"/>
          <w:u w:val="single"/>
        </w:rPr>
      </w:pPr>
      <w:r>
        <w:rPr>
          <w:rFonts w:hint="eastAsia" w:ascii="宋体" w:eastAsia="宋体"/>
          <w:color w:val="auto"/>
          <w:sz w:val="22"/>
          <w:szCs w:val="22"/>
          <w:u w:val="single"/>
        </w:rPr>
        <w:t>已提交磋商响应文件的投标供应商，在提交最后磋商报价之前，可以根据磋商情况退出磋商。</w:t>
      </w:r>
    </w:p>
    <w:p w14:paraId="2A4546CC">
      <w:pPr>
        <w:spacing w:line="360" w:lineRule="auto"/>
        <w:ind w:firstLine="440" w:firstLineChars="200"/>
        <w:rPr>
          <w:rFonts w:ascii="宋体" w:eastAsia="宋体"/>
          <w:color w:val="auto"/>
          <w:sz w:val="22"/>
          <w:szCs w:val="22"/>
          <w:u w:val="single"/>
        </w:rPr>
      </w:pPr>
      <w:r>
        <w:rPr>
          <w:rFonts w:hint="eastAsia" w:ascii="宋体" w:eastAsia="宋体"/>
          <w:b w:val="0"/>
          <w:color w:val="auto"/>
          <w:sz w:val="22"/>
          <w:szCs w:val="22"/>
        </w:rPr>
        <w:t>1.3、磋商的顺序，按投标供应商签到的顺序进行。开展磋商，磋商小组所有成员集中与单一投标供应商分别进行磋商</w:t>
      </w:r>
      <w:r>
        <w:rPr>
          <w:rFonts w:hint="eastAsia" w:ascii="宋体" w:eastAsia="宋体"/>
          <w:color w:val="auto"/>
          <w:sz w:val="22"/>
          <w:szCs w:val="22"/>
        </w:rPr>
        <w:t>（如有需要可进行2至3次磋商，磋商次数由磋商小组讨论决定）</w:t>
      </w:r>
      <w:r>
        <w:rPr>
          <w:rFonts w:hint="eastAsia" w:ascii="宋体" w:eastAsia="宋体"/>
          <w:b w:val="0"/>
          <w:color w:val="auto"/>
          <w:sz w:val="22"/>
          <w:szCs w:val="22"/>
        </w:rPr>
        <w:t>，</w:t>
      </w:r>
      <w:r>
        <w:rPr>
          <w:rFonts w:hint="eastAsia" w:ascii="宋体" w:eastAsia="宋体"/>
          <w:color w:val="auto"/>
          <w:sz w:val="22"/>
          <w:szCs w:val="22"/>
        </w:rPr>
        <w:t>并要求投标供应商提交最终磋商报价（最终磋商报价可以是一次报价，如有需要可进行2至3次磋商报价，磋商报价次数由磋商小组讨论决定）。</w:t>
      </w:r>
      <w:r>
        <w:rPr>
          <w:rFonts w:hint="eastAsia" w:ascii="宋体" w:eastAsia="宋体"/>
          <w:color w:val="auto"/>
          <w:sz w:val="22"/>
          <w:szCs w:val="22"/>
          <w:u w:val="single"/>
        </w:rPr>
        <w:t>在竞争性磋商文件未做任何调整的情况下，参与磋商的投标供应商如有出现最终磋商报价超过磋商响应文件中报价的，则该投标供应商的报价按无效处理。超过规定时间提交的最终磋商报价作无效处理。</w:t>
      </w:r>
    </w:p>
    <w:p w14:paraId="0061E20A">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2、评审原则和方法</w:t>
      </w:r>
    </w:p>
    <w:p w14:paraId="629F7721">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2.1、磋商小组负责审查磋商响应文件是否符合竞争性磋商文件的要求，并作出评价。磋商小组认为必要时，可向投标供应商进行质疑。磋商小组有权决定全部或部分投标供应商磋商响应文件无效。</w:t>
      </w:r>
    </w:p>
    <w:p w14:paraId="208F8F2D">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 xml:space="preserve">2.2、磋商小组将综合分析合格投标供应商的各项指标，而不是以单项指标的优劣评选出成交的投标供应商。   </w:t>
      </w:r>
    </w:p>
    <w:p w14:paraId="0FB8DC2B">
      <w:pPr>
        <w:spacing w:line="360" w:lineRule="auto"/>
        <w:ind w:firstLine="440" w:firstLineChars="200"/>
        <w:rPr>
          <w:rFonts w:ascii="宋体" w:eastAsia="宋体"/>
          <w:color w:val="auto"/>
          <w:sz w:val="22"/>
          <w:szCs w:val="22"/>
        </w:rPr>
      </w:pPr>
      <w:r>
        <w:rPr>
          <w:rFonts w:hint="eastAsia" w:ascii="宋体" w:eastAsia="宋体"/>
          <w:b w:val="0"/>
          <w:color w:val="auto"/>
          <w:sz w:val="22"/>
          <w:szCs w:val="22"/>
        </w:rPr>
        <w:t>2.3、经磋商确定最终采购需求和提交最后报价的投标供应商后，由磋商小组采用综合评分法对提交最后报价的投标供应商的磋商响应文件和最后磋商报价进行综合评分。如竞争性磋商文件所列采购内容明确不需要修改的或投标供应商磋商响应文件清楚明确不需要澄清的，</w:t>
      </w:r>
      <w:r>
        <w:rPr>
          <w:rFonts w:hint="eastAsia" w:ascii="宋体" w:eastAsia="宋体"/>
          <w:color w:val="auto"/>
          <w:sz w:val="22"/>
          <w:szCs w:val="22"/>
        </w:rPr>
        <w:t>可以不进行磋商环节，直接要求投标供应商进行最终磋商报价，进行综合评分。</w:t>
      </w:r>
    </w:p>
    <w:p w14:paraId="46E33D4A">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本次评审采用综合评分法，磋商小组根据竞争性磋商文件制定的评审办法对投标供应商进行评审排序，推荐综合得分前3名（若2家继续开标的，推荐综合得分前2名）为中标候选人，将综合得分第一名的供应商向采购人推荐其为成交供应商。</w:t>
      </w:r>
    </w:p>
    <w:p w14:paraId="5AD2E1E9">
      <w:pPr>
        <w:adjustRightInd w:val="0"/>
        <w:spacing w:before="100" w:after="50" w:line="360" w:lineRule="auto"/>
        <w:jc w:val="center"/>
        <w:rPr>
          <w:rFonts w:ascii="宋体" w:eastAsia="宋体"/>
          <w:b w:val="0"/>
          <w:bCs w:val="0"/>
          <w:color w:val="auto"/>
          <w:sz w:val="22"/>
          <w:szCs w:val="22"/>
        </w:rPr>
      </w:pPr>
      <w:r>
        <w:rPr>
          <w:rFonts w:hint="eastAsia" w:ascii="宋体" w:eastAsia="宋体"/>
          <w:b w:val="0"/>
          <w:bCs w:val="0"/>
          <w:color w:val="auto"/>
          <w:sz w:val="22"/>
          <w:szCs w:val="22"/>
        </w:rPr>
        <w:t>四、评分细则</w:t>
      </w:r>
    </w:p>
    <w:p w14:paraId="1D3D296B">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一、报价评分10分</w:t>
      </w:r>
    </w:p>
    <w:p w14:paraId="65CF3070">
      <w:pPr>
        <w:spacing w:line="360" w:lineRule="auto"/>
        <w:ind w:firstLine="442" w:firstLineChars="200"/>
        <w:rPr>
          <w:rFonts w:ascii="宋体" w:eastAsia="宋体"/>
          <w:color w:val="auto"/>
          <w:sz w:val="22"/>
          <w:szCs w:val="22"/>
          <w:u w:val="single"/>
        </w:rPr>
      </w:pPr>
      <w:r>
        <w:rPr>
          <w:rFonts w:hint="eastAsia" w:ascii="宋体" w:eastAsia="宋体"/>
          <w:color w:val="auto"/>
          <w:sz w:val="22"/>
          <w:szCs w:val="22"/>
          <w:u w:val="single"/>
        </w:rPr>
        <w:t>1、以供应商磋商后的最终报价中的最低价为评标基准价，得满分10分。报价评分结算公式为:投标报价得分=(评标基准价／磋商后的最终报价)×10%×100。</w:t>
      </w:r>
    </w:p>
    <w:p w14:paraId="2A40DDBA">
      <w:pPr>
        <w:spacing w:line="360" w:lineRule="auto"/>
        <w:ind w:firstLine="440" w:firstLineChars="200"/>
        <w:rPr>
          <w:rFonts w:ascii="宋体" w:eastAsia="宋体"/>
          <w:b w:val="0"/>
          <w:color w:val="auto"/>
          <w:sz w:val="22"/>
        </w:rPr>
      </w:pPr>
      <w:r>
        <w:rPr>
          <w:rFonts w:hint="eastAsia" w:ascii="宋体" w:eastAsia="宋体"/>
          <w:b w:val="0"/>
          <w:color w:val="auto"/>
          <w:sz w:val="22"/>
        </w:rPr>
        <w:t>符合竞争性磋商文件规定条件的小、微企业（或监狱企业、残疾人企业），给予评标价格折扣（10%）。</w:t>
      </w:r>
    </w:p>
    <w:p w14:paraId="0C59A29B">
      <w:pPr>
        <w:numPr>
          <w:ilvl w:val="0"/>
          <w:numId w:val="10"/>
        </w:numPr>
        <w:spacing w:before="120" w:beforeLines="50" w:after="120" w:afterLines="50" w:line="360" w:lineRule="auto"/>
        <w:ind w:firstLine="220" w:firstLineChars="100"/>
        <w:rPr>
          <w:rFonts w:ascii="宋体" w:eastAsia="宋体"/>
          <w:b w:val="0"/>
          <w:color w:val="auto"/>
          <w:sz w:val="22"/>
          <w:szCs w:val="22"/>
        </w:rPr>
      </w:pPr>
      <w:r>
        <w:rPr>
          <w:rFonts w:hint="eastAsia" w:ascii="宋体" w:eastAsia="宋体"/>
          <w:b w:val="0"/>
          <w:color w:val="auto"/>
          <w:sz w:val="22"/>
          <w:szCs w:val="22"/>
        </w:rPr>
        <w:t>技术、服务等综合评分90分</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794"/>
        <w:gridCol w:w="7533"/>
        <w:gridCol w:w="657"/>
      </w:tblGrid>
      <w:tr w14:paraId="751F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840AB1B">
            <w:pPr>
              <w:spacing w:line="360" w:lineRule="exact"/>
              <w:jc w:val="center"/>
              <w:rPr>
                <w:rFonts w:cs="Times New Roman" w:asciiTheme="majorEastAsia" w:hAnsiTheme="majorEastAsia" w:eastAsiaTheme="majorEastAsia"/>
                <w:color w:val="auto"/>
                <w:kern w:val="2"/>
                <w:sz w:val="22"/>
                <w:szCs w:val="22"/>
              </w:rPr>
            </w:pPr>
            <w:r>
              <w:rPr>
                <w:rFonts w:hint="eastAsia" w:asciiTheme="majorEastAsia" w:hAnsiTheme="majorEastAsia" w:eastAsiaTheme="majorEastAsia"/>
                <w:bCs w:val="0"/>
                <w:color w:val="auto"/>
                <w:sz w:val="22"/>
                <w:szCs w:val="22"/>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14:paraId="6553C2C6">
            <w:pPr>
              <w:spacing w:line="360" w:lineRule="exact"/>
              <w:jc w:val="center"/>
              <w:rPr>
                <w:rFonts w:cs="Times New Roman" w:asciiTheme="majorEastAsia" w:hAnsiTheme="majorEastAsia" w:eastAsiaTheme="majorEastAsia"/>
                <w:color w:val="auto"/>
                <w:kern w:val="2"/>
                <w:sz w:val="22"/>
                <w:szCs w:val="22"/>
              </w:rPr>
            </w:pPr>
            <w:r>
              <w:rPr>
                <w:rFonts w:hint="eastAsia" w:asciiTheme="majorEastAsia" w:hAnsiTheme="majorEastAsia" w:eastAsiaTheme="majorEastAsia"/>
                <w:bCs w:val="0"/>
                <w:color w:val="auto"/>
                <w:sz w:val="22"/>
                <w:szCs w:val="22"/>
              </w:rPr>
              <w:t>评分项目</w:t>
            </w:r>
          </w:p>
        </w:tc>
        <w:tc>
          <w:tcPr>
            <w:tcW w:w="0" w:type="auto"/>
            <w:tcBorders>
              <w:top w:val="single" w:color="000000" w:sz="4" w:space="0"/>
              <w:left w:val="single" w:color="000000" w:sz="4" w:space="0"/>
              <w:bottom w:val="single" w:color="000000" w:sz="4" w:space="0"/>
              <w:right w:val="single" w:color="000000" w:sz="4" w:space="0"/>
            </w:tcBorders>
            <w:vAlign w:val="center"/>
          </w:tcPr>
          <w:p w14:paraId="57F99CB8">
            <w:pPr>
              <w:spacing w:line="360" w:lineRule="exact"/>
              <w:jc w:val="center"/>
              <w:rPr>
                <w:rFonts w:cs="Times New Roman" w:asciiTheme="majorEastAsia" w:hAnsiTheme="majorEastAsia" w:eastAsiaTheme="majorEastAsia"/>
                <w:color w:val="auto"/>
                <w:kern w:val="2"/>
                <w:sz w:val="22"/>
                <w:szCs w:val="22"/>
              </w:rPr>
            </w:pPr>
            <w:r>
              <w:rPr>
                <w:rFonts w:hint="eastAsia" w:asciiTheme="majorEastAsia" w:hAnsiTheme="majorEastAsia" w:eastAsiaTheme="majorEastAsia"/>
                <w:bCs w:val="0"/>
                <w:color w:val="auto"/>
                <w:sz w:val="22"/>
                <w:szCs w:val="22"/>
              </w:rPr>
              <w:t>评分依据</w:t>
            </w:r>
          </w:p>
        </w:tc>
        <w:tc>
          <w:tcPr>
            <w:tcW w:w="0" w:type="auto"/>
            <w:tcBorders>
              <w:top w:val="single" w:color="000000" w:sz="4" w:space="0"/>
              <w:left w:val="single" w:color="000000" w:sz="4" w:space="0"/>
              <w:bottom w:val="single" w:color="000000" w:sz="4" w:space="0"/>
              <w:right w:val="single" w:color="000000" w:sz="4" w:space="0"/>
            </w:tcBorders>
            <w:vAlign w:val="center"/>
          </w:tcPr>
          <w:p w14:paraId="15B5C012">
            <w:pPr>
              <w:spacing w:line="360" w:lineRule="exact"/>
              <w:jc w:val="center"/>
              <w:rPr>
                <w:rFonts w:cs="Times New Roman" w:asciiTheme="majorEastAsia" w:hAnsiTheme="majorEastAsia" w:eastAsiaTheme="majorEastAsia"/>
                <w:color w:val="auto"/>
                <w:kern w:val="2"/>
                <w:sz w:val="22"/>
                <w:szCs w:val="22"/>
              </w:rPr>
            </w:pPr>
            <w:r>
              <w:rPr>
                <w:rFonts w:hint="eastAsia" w:asciiTheme="majorEastAsia" w:hAnsiTheme="majorEastAsia" w:eastAsiaTheme="majorEastAsia"/>
                <w:bCs w:val="0"/>
                <w:color w:val="auto"/>
                <w:sz w:val="22"/>
                <w:szCs w:val="22"/>
              </w:rPr>
              <w:t>权重</w:t>
            </w:r>
          </w:p>
        </w:tc>
      </w:tr>
      <w:tr w14:paraId="4FC7F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7DBFE9A">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4C6F8244">
            <w:pPr>
              <w:spacing w:line="360" w:lineRule="exact"/>
              <w:jc w:val="center"/>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供应商实力</w:t>
            </w:r>
          </w:p>
        </w:tc>
        <w:tc>
          <w:tcPr>
            <w:tcW w:w="0" w:type="auto"/>
            <w:tcBorders>
              <w:top w:val="single" w:color="000000" w:sz="4" w:space="0"/>
              <w:left w:val="single" w:color="000000" w:sz="4" w:space="0"/>
              <w:bottom w:val="single" w:color="000000" w:sz="4" w:space="0"/>
              <w:right w:val="single" w:color="000000" w:sz="4" w:space="0"/>
            </w:tcBorders>
            <w:vAlign w:val="center"/>
          </w:tcPr>
          <w:p w14:paraId="4604D7D6">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投标单位自2020年1月1日以来（以合同签订时间为准）具有相同类型项目业绩，每个得0.5分，本项最多得1分。</w:t>
            </w:r>
          </w:p>
          <w:p w14:paraId="05A370E1">
            <w:pPr>
              <w:spacing w:line="360" w:lineRule="exact"/>
              <w:jc w:val="left"/>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注：需提供项目合同扫描件，否则不得分。</w:t>
            </w:r>
          </w:p>
        </w:tc>
        <w:tc>
          <w:tcPr>
            <w:tcW w:w="0" w:type="auto"/>
            <w:tcBorders>
              <w:top w:val="single" w:color="000000" w:sz="4" w:space="0"/>
              <w:left w:val="single" w:color="000000" w:sz="4" w:space="0"/>
              <w:bottom w:val="single" w:color="000000" w:sz="4" w:space="0"/>
              <w:right w:val="single" w:color="000000" w:sz="4" w:space="0"/>
            </w:tcBorders>
            <w:vAlign w:val="center"/>
          </w:tcPr>
          <w:p w14:paraId="61835D89">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0-1</w:t>
            </w:r>
          </w:p>
        </w:tc>
      </w:tr>
      <w:tr w14:paraId="7421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restart"/>
            <w:tcBorders>
              <w:top w:val="single" w:color="000000" w:sz="4" w:space="0"/>
              <w:left w:val="single" w:color="000000" w:sz="4" w:space="0"/>
              <w:right w:val="single" w:color="000000" w:sz="4" w:space="0"/>
            </w:tcBorders>
            <w:vAlign w:val="center"/>
          </w:tcPr>
          <w:p w14:paraId="68FE4131">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152D029">
            <w:pPr>
              <w:spacing w:line="360" w:lineRule="exact"/>
              <w:jc w:val="center"/>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拟派项目组成员</w:t>
            </w:r>
          </w:p>
        </w:tc>
        <w:tc>
          <w:tcPr>
            <w:tcW w:w="0" w:type="auto"/>
            <w:tcBorders>
              <w:top w:val="single" w:color="000000" w:sz="4" w:space="0"/>
              <w:left w:val="single" w:color="000000" w:sz="4" w:space="0"/>
              <w:bottom w:val="single" w:color="000000" w:sz="4" w:space="0"/>
              <w:right w:val="single" w:color="000000" w:sz="4" w:space="0"/>
            </w:tcBorders>
            <w:vAlign w:val="center"/>
          </w:tcPr>
          <w:p w14:paraId="4BDB33B6">
            <w:pPr>
              <w:snapToGrid w:val="0"/>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拟派项目负责人具有中级及以上职称且同时具备国家注册安全工程师、安全评价师资格证书，每提供一个证书得3分，本项最多得6分。</w:t>
            </w:r>
          </w:p>
          <w:p w14:paraId="72B70E46">
            <w:pPr>
              <w:spacing w:line="360" w:lineRule="exact"/>
              <w:jc w:val="left"/>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注：提供证书扫描件及社保缴纳证明（项目负责人社保需缴纳在投标单位），否则不得分。</w:t>
            </w:r>
          </w:p>
        </w:tc>
        <w:tc>
          <w:tcPr>
            <w:tcW w:w="0" w:type="auto"/>
            <w:tcBorders>
              <w:top w:val="single" w:color="000000" w:sz="4" w:space="0"/>
              <w:left w:val="single" w:color="000000" w:sz="4" w:space="0"/>
              <w:bottom w:val="single" w:color="000000" w:sz="4" w:space="0"/>
              <w:right w:val="single" w:color="000000" w:sz="4" w:space="0"/>
            </w:tcBorders>
            <w:vAlign w:val="center"/>
          </w:tcPr>
          <w:p w14:paraId="7C290374">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0-6</w:t>
            </w:r>
          </w:p>
        </w:tc>
      </w:tr>
      <w:tr w14:paraId="24CD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continue"/>
            <w:tcBorders>
              <w:left w:val="single" w:color="000000" w:sz="4" w:space="0"/>
              <w:right w:val="single" w:color="000000" w:sz="4" w:space="0"/>
            </w:tcBorders>
            <w:vAlign w:val="center"/>
          </w:tcPr>
          <w:p w14:paraId="34007282">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229AE6">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3B6770E">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拟派项目组成员（不含项目负责人）每一人具有一级注册消防工程师或国家注册安全工程师或安全评价师等资格证书得2分，最高得10分。</w:t>
            </w:r>
          </w:p>
          <w:p w14:paraId="6A1488B2">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注：提供证书扫描件及社保缴纳证明（拟派项目组成员社保需缴纳在投标单位），否则不得分。</w:t>
            </w:r>
          </w:p>
        </w:tc>
        <w:tc>
          <w:tcPr>
            <w:tcW w:w="0" w:type="auto"/>
            <w:tcBorders>
              <w:top w:val="single" w:color="000000" w:sz="4" w:space="0"/>
              <w:left w:val="single" w:color="000000" w:sz="4" w:space="0"/>
              <w:bottom w:val="single" w:color="000000" w:sz="4" w:space="0"/>
              <w:right w:val="single" w:color="000000" w:sz="4" w:space="0"/>
            </w:tcBorders>
            <w:vAlign w:val="center"/>
          </w:tcPr>
          <w:p w14:paraId="18EBA917">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0-10</w:t>
            </w:r>
          </w:p>
        </w:tc>
      </w:tr>
      <w:tr w14:paraId="3388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continue"/>
            <w:tcBorders>
              <w:left w:val="single" w:color="000000" w:sz="4" w:space="0"/>
              <w:bottom w:val="single" w:color="000000" w:sz="4" w:space="0"/>
              <w:right w:val="single" w:color="000000" w:sz="4" w:space="0"/>
            </w:tcBorders>
            <w:vAlign w:val="center"/>
          </w:tcPr>
          <w:p w14:paraId="318216EE">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DD06D6">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7AFF9D3">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拟派项目组成员（含项目负责人）近三年（2019年1月1日起）主持市厅级及以上科研项目（消防、安全领域）的，每项的1分，总5分。</w:t>
            </w:r>
          </w:p>
          <w:p w14:paraId="58DE817C">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注：提供项目立项文件或结题证明及该项目负责人社保缴纳证明（拟派项目组成员社保需缴纳在投标单位），否则不得分。</w:t>
            </w:r>
          </w:p>
        </w:tc>
        <w:tc>
          <w:tcPr>
            <w:tcW w:w="0" w:type="auto"/>
            <w:tcBorders>
              <w:top w:val="single" w:color="000000" w:sz="4" w:space="0"/>
              <w:left w:val="single" w:color="000000" w:sz="4" w:space="0"/>
              <w:bottom w:val="single" w:color="000000" w:sz="4" w:space="0"/>
              <w:right w:val="single" w:color="000000" w:sz="4" w:space="0"/>
            </w:tcBorders>
            <w:vAlign w:val="center"/>
          </w:tcPr>
          <w:p w14:paraId="7425D92E">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0-5</w:t>
            </w:r>
          </w:p>
        </w:tc>
      </w:tr>
      <w:tr w14:paraId="1090B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restart"/>
            <w:tcBorders>
              <w:top w:val="single" w:color="000000" w:sz="4" w:space="0"/>
              <w:left w:val="single" w:color="000000" w:sz="4" w:space="0"/>
              <w:right w:val="single" w:color="000000" w:sz="4" w:space="0"/>
            </w:tcBorders>
            <w:vAlign w:val="center"/>
          </w:tcPr>
          <w:p w14:paraId="359C0B5E">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3</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456CE2B">
            <w:pPr>
              <w:spacing w:line="360" w:lineRule="exact"/>
              <w:jc w:val="center"/>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服务方案</w:t>
            </w:r>
          </w:p>
        </w:tc>
        <w:tc>
          <w:tcPr>
            <w:tcW w:w="0" w:type="auto"/>
            <w:tcBorders>
              <w:top w:val="single" w:color="000000" w:sz="4" w:space="0"/>
              <w:left w:val="single" w:color="000000" w:sz="4" w:space="0"/>
              <w:bottom w:val="single" w:color="000000" w:sz="4" w:space="0"/>
              <w:right w:val="single" w:color="000000" w:sz="4" w:space="0"/>
            </w:tcBorders>
            <w:vAlign w:val="center"/>
          </w:tcPr>
          <w:p w14:paraId="2AC4CA17">
            <w:pPr>
              <w:snapToGrid w:val="0"/>
              <w:rPr>
                <w:rFonts w:hint="default" w:cs="仿宋" w:asciiTheme="majorEastAsia" w:hAnsiTheme="majorEastAsia" w:eastAsiaTheme="majorEastAsia"/>
                <w:b w:val="0"/>
                <w:color w:val="auto"/>
                <w:kern w:val="2"/>
                <w:sz w:val="22"/>
                <w:szCs w:val="22"/>
                <w:lang w:val="en-US" w:eastAsia="zh-CN"/>
              </w:rPr>
            </w:pPr>
            <w:r>
              <w:rPr>
                <w:rFonts w:hint="eastAsia" w:cs="仿宋" w:asciiTheme="majorEastAsia" w:hAnsiTheme="majorEastAsia" w:eastAsiaTheme="majorEastAsia"/>
                <w:b w:val="0"/>
                <w:color w:val="auto"/>
                <w:sz w:val="22"/>
                <w:szCs w:val="22"/>
              </w:rPr>
              <w:t>根据服务方案中，结合本项目概况和要求，对全县县级及以上文保单位安全巡查（安全隐患排查内容）工作内容的理解、对所承担工作任务的理解及方案可操作性等情况进行综合评定</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满分7分（评分范围：7,5,3,1,0）。</w:t>
            </w:r>
          </w:p>
        </w:tc>
        <w:tc>
          <w:tcPr>
            <w:tcW w:w="0" w:type="auto"/>
            <w:tcBorders>
              <w:top w:val="single" w:color="000000" w:sz="4" w:space="0"/>
              <w:left w:val="single" w:color="000000" w:sz="4" w:space="0"/>
              <w:bottom w:val="single" w:color="000000" w:sz="4" w:space="0"/>
              <w:right w:val="single" w:color="000000" w:sz="4" w:space="0"/>
            </w:tcBorders>
            <w:vAlign w:val="center"/>
          </w:tcPr>
          <w:p w14:paraId="7E24884D">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0-7</w:t>
            </w:r>
          </w:p>
        </w:tc>
      </w:tr>
      <w:tr w14:paraId="1181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continue"/>
            <w:tcBorders>
              <w:left w:val="single" w:color="000000" w:sz="4" w:space="0"/>
              <w:right w:val="single" w:color="000000" w:sz="4" w:space="0"/>
            </w:tcBorders>
            <w:vAlign w:val="center"/>
          </w:tcPr>
          <w:p w14:paraId="6EF72569">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4ACF4C">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C508B5">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根据服务方案中，结合本项目概况和要求，对全县县级及以上文保单位安全巡查（安全隐患排查细则）工作内容的理解、对所承担工作任务的理解及方案可操作性等情况进行综合评定</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满分7分（评分范围：7,5,3,1,0）。</w:t>
            </w:r>
          </w:p>
        </w:tc>
        <w:tc>
          <w:tcPr>
            <w:tcW w:w="0" w:type="auto"/>
            <w:tcBorders>
              <w:top w:val="single" w:color="000000" w:sz="4" w:space="0"/>
              <w:left w:val="single" w:color="000000" w:sz="4" w:space="0"/>
              <w:bottom w:val="single" w:color="000000" w:sz="4" w:space="0"/>
              <w:right w:val="single" w:color="000000" w:sz="4" w:space="0"/>
            </w:tcBorders>
            <w:vAlign w:val="center"/>
          </w:tcPr>
          <w:p w14:paraId="2E66279E">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0-7</w:t>
            </w:r>
          </w:p>
        </w:tc>
      </w:tr>
      <w:tr w14:paraId="2798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continue"/>
            <w:tcBorders>
              <w:left w:val="single" w:color="000000" w:sz="4" w:space="0"/>
              <w:right w:val="single" w:color="000000" w:sz="4" w:space="0"/>
            </w:tcBorders>
            <w:vAlign w:val="center"/>
          </w:tcPr>
          <w:p w14:paraId="4BE4C531">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5165C8">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A6F6194">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根据服务方案中，结合本项目概况和要求，对全县县级及以上文保单位安全巡查（安全隐患排查方案制定）工作内容的理解、对所承担工作任务的理解及方案可操作性等情况进行综合评定</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满分7分（评分范围：7,5,3,1,0）。</w:t>
            </w:r>
          </w:p>
        </w:tc>
        <w:tc>
          <w:tcPr>
            <w:tcW w:w="0" w:type="auto"/>
            <w:tcBorders>
              <w:top w:val="single" w:color="000000" w:sz="4" w:space="0"/>
              <w:left w:val="single" w:color="000000" w:sz="4" w:space="0"/>
              <w:bottom w:val="single" w:color="000000" w:sz="4" w:space="0"/>
              <w:right w:val="single" w:color="000000" w:sz="4" w:space="0"/>
            </w:tcBorders>
            <w:vAlign w:val="center"/>
          </w:tcPr>
          <w:p w14:paraId="3545C8C5">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0-7</w:t>
            </w:r>
          </w:p>
        </w:tc>
      </w:tr>
      <w:tr w14:paraId="1DB5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0" w:type="auto"/>
            <w:vMerge w:val="continue"/>
            <w:tcBorders>
              <w:left w:val="single" w:color="000000" w:sz="4" w:space="0"/>
              <w:right w:val="single" w:color="000000" w:sz="4" w:space="0"/>
            </w:tcBorders>
            <w:vAlign w:val="center"/>
          </w:tcPr>
          <w:p w14:paraId="744C2A65">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301EAC">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D7890D">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根据服务方案中，结合本项目概况和要求，对全县县级及以上文保单位安全巡查（文保场所安全风险等级评定）工作内容的理解、对所承担工作任务的理解及方案可操作性等情况进行综合评定</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满分7分（评分范围：7,5,3,1,0）。</w:t>
            </w:r>
          </w:p>
        </w:tc>
        <w:tc>
          <w:tcPr>
            <w:tcW w:w="0" w:type="auto"/>
            <w:tcBorders>
              <w:top w:val="single" w:color="000000" w:sz="4" w:space="0"/>
              <w:left w:val="single" w:color="000000" w:sz="4" w:space="0"/>
              <w:bottom w:val="single" w:color="000000" w:sz="4" w:space="0"/>
              <w:right w:val="single" w:color="000000" w:sz="4" w:space="0"/>
            </w:tcBorders>
            <w:vAlign w:val="center"/>
          </w:tcPr>
          <w:p w14:paraId="7FBEAAE4">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0-7</w:t>
            </w:r>
          </w:p>
        </w:tc>
      </w:tr>
      <w:tr w14:paraId="7DC83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0" w:type="auto"/>
            <w:vMerge w:val="continue"/>
            <w:tcBorders>
              <w:left w:val="single" w:color="000000" w:sz="4" w:space="0"/>
              <w:right w:val="single" w:color="000000" w:sz="4" w:space="0"/>
            </w:tcBorders>
            <w:vAlign w:val="center"/>
          </w:tcPr>
          <w:p w14:paraId="18E53D2F">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43FF41">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94BD8DE">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根据服务方案中，结合本项目概况和要求，对全县县级及以上文保单位安全巡查（安全隐患排查报告编制）工作内容的理解、对所承担工作任务的理解及方案可操作性等情况进行综合评定</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满分7分（评分范围：7,5,3,1,0）。</w:t>
            </w:r>
          </w:p>
        </w:tc>
        <w:tc>
          <w:tcPr>
            <w:tcW w:w="0" w:type="auto"/>
            <w:tcBorders>
              <w:top w:val="single" w:color="000000" w:sz="4" w:space="0"/>
              <w:left w:val="single" w:color="000000" w:sz="4" w:space="0"/>
              <w:bottom w:val="single" w:color="000000" w:sz="4" w:space="0"/>
              <w:right w:val="single" w:color="000000" w:sz="4" w:space="0"/>
            </w:tcBorders>
            <w:vAlign w:val="center"/>
          </w:tcPr>
          <w:p w14:paraId="5E3C6B42">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0-7</w:t>
            </w:r>
          </w:p>
        </w:tc>
      </w:tr>
      <w:tr w14:paraId="682B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0" w:type="auto"/>
            <w:vMerge w:val="continue"/>
            <w:tcBorders>
              <w:left w:val="single" w:color="000000" w:sz="4" w:space="0"/>
              <w:bottom w:val="single" w:color="000000" w:sz="4" w:space="0"/>
              <w:right w:val="single" w:color="000000" w:sz="4" w:space="0"/>
            </w:tcBorders>
            <w:vAlign w:val="center"/>
          </w:tcPr>
          <w:p w14:paraId="6874BAEA">
            <w:pPr>
              <w:spacing w:line="360" w:lineRule="exact"/>
              <w:jc w:val="center"/>
              <w:rPr>
                <w:rFonts w:cs="Times New Roman" w:asciiTheme="majorEastAsia" w:hAnsiTheme="majorEastAsia" w:eastAsiaTheme="majorEastAsia"/>
                <w:b w:val="0"/>
                <w:color w:val="auto"/>
                <w:kern w:val="2"/>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427BC4">
            <w:pPr>
              <w:widowControl/>
              <w:jc w:val="left"/>
              <w:rPr>
                <w:rFonts w:cs="Times New Roman" w:asciiTheme="majorEastAsia" w:hAnsiTheme="majorEastAsia" w:eastAsiaTheme="majorEastAsia"/>
                <w:b w:val="0"/>
                <w:color w:val="auto"/>
                <w:kern w:val="2"/>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8ECD00">
            <w:pPr>
              <w:spacing w:line="360" w:lineRule="exact"/>
              <w:jc w:val="left"/>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根据服务方案中，结合本项目概况和要求，对全县县级及以上文保单位安全巡查（安全隐患排查结果录入文物监管平台）工作内容的理解、对所承担工作任务的理解及方案可操作性等情况进行综合评定</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满分7分（评分范围：7,5,3,1,0）。</w:t>
            </w:r>
          </w:p>
        </w:tc>
        <w:tc>
          <w:tcPr>
            <w:tcW w:w="0" w:type="auto"/>
            <w:tcBorders>
              <w:top w:val="single" w:color="000000" w:sz="4" w:space="0"/>
              <w:left w:val="single" w:color="000000" w:sz="4" w:space="0"/>
              <w:bottom w:val="single" w:color="000000" w:sz="4" w:space="0"/>
              <w:right w:val="single" w:color="000000" w:sz="4" w:space="0"/>
            </w:tcBorders>
            <w:vAlign w:val="center"/>
          </w:tcPr>
          <w:p w14:paraId="44EFE7DA">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0-7</w:t>
            </w:r>
          </w:p>
        </w:tc>
      </w:tr>
      <w:tr w14:paraId="3702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6328C0C5">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4</w:t>
            </w:r>
          </w:p>
        </w:tc>
        <w:tc>
          <w:tcPr>
            <w:tcW w:w="0" w:type="auto"/>
            <w:tcBorders>
              <w:top w:val="single" w:color="000000" w:sz="4" w:space="0"/>
              <w:left w:val="single" w:color="000000" w:sz="4" w:space="0"/>
              <w:bottom w:val="single" w:color="000000" w:sz="4" w:space="0"/>
              <w:right w:val="single" w:color="000000" w:sz="4" w:space="0"/>
            </w:tcBorders>
            <w:vAlign w:val="center"/>
          </w:tcPr>
          <w:p w14:paraId="07214BE8">
            <w:pPr>
              <w:spacing w:line="360" w:lineRule="exact"/>
              <w:jc w:val="center"/>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质量保证</w:t>
            </w:r>
          </w:p>
        </w:tc>
        <w:tc>
          <w:tcPr>
            <w:tcW w:w="0" w:type="auto"/>
            <w:tcBorders>
              <w:top w:val="single" w:color="000000" w:sz="4" w:space="0"/>
              <w:left w:val="single" w:color="000000" w:sz="4" w:space="0"/>
              <w:bottom w:val="single" w:color="000000" w:sz="4" w:space="0"/>
              <w:right w:val="single" w:color="000000" w:sz="4" w:space="0"/>
            </w:tcBorders>
            <w:vAlign w:val="center"/>
          </w:tcPr>
          <w:p w14:paraId="64325A48">
            <w:pPr>
              <w:spacing w:line="360" w:lineRule="exact"/>
              <w:jc w:val="left"/>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项目制定完善的质量保证措施，措施合理、科学、完整</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满分4分（评分范围：4,3,2,1,0）。</w:t>
            </w:r>
          </w:p>
        </w:tc>
        <w:tc>
          <w:tcPr>
            <w:tcW w:w="0" w:type="auto"/>
            <w:tcBorders>
              <w:top w:val="single" w:color="000000" w:sz="4" w:space="0"/>
              <w:left w:val="single" w:color="000000" w:sz="4" w:space="0"/>
              <w:bottom w:val="single" w:color="000000" w:sz="4" w:space="0"/>
              <w:right w:val="single" w:color="000000" w:sz="4" w:space="0"/>
            </w:tcBorders>
            <w:vAlign w:val="center"/>
          </w:tcPr>
          <w:p w14:paraId="61809A2F">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0-4</w:t>
            </w:r>
          </w:p>
        </w:tc>
      </w:tr>
      <w:tr w14:paraId="39AAB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6AAF52C0">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5</w:t>
            </w:r>
          </w:p>
        </w:tc>
        <w:tc>
          <w:tcPr>
            <w:tcW w:w="0" w:type="auto"/>
            <w:tcBorders>
              <w:top w:val="single" w:color="000000" w:sz="4" w:space="0"/>
              <w:left w:val="single" w:color="000000" w:sz="4" w:space="0"/>
              <w:bottom w:val="single" w:color="000000" w:sz="4" w:space="0"/>
              <w:right w:val="single" w:color="000000" w:sz="4" w:space="0"/>
            </w:tcBorders>
            <w:vAlign w:val="center"/>
          </w:tcPr>
          <w:p w14:paraId="389BFBD0">
            <w:pPr>
              <w:spacing w:line="360" w:lineRule="exact"/>
              <w:jc w:val="center"/>
              <w:rPr>
                <w:rFonts w:cs="仿宋"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服务承诺</w:t>
            </w:r>
          </w:p>
        </w:tc>
        <w:tc>
          <w:tcPr>
            <w:tcW w:w="0" w:type="auto"/>
            <w:tcBorders>
              <w:top w:val="single" w:color="000000" w:sz="4" w:space="0"/>
              <w:left w:val="single" w:color="000000" w:sz="4" w:space="0"/>
              <w:bottom w:val="single" w:color="000000" w:sz="4" w:space="0"/>
              <w:right w:val="single" w:color="000000" w:sz="4" w:space="0"/>
            </w:tcBorders>
            <w:vAlign w:val="center"/>
          </w:tcPr>
          <w:p w14:paraId="2FA579AA">
            <w:pPr>
              <w:spacing w:line="360" w:lineRule="exact"/>
              <w:jc w:val="left"/>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根据各投标单位提供的服务承诺</w:t>
            </w:r>
            <w:r>
              <w:rPr>
                <w:rFonts w:hint="eastAsia" w:cs="仿宋" w:asciiTheme="majorEastAsia" w:hAnsiTheme="majorEastAsia" w:eastAsiaTheme="majorEastAsia"/>
                <w:b w:val="0"/>
                <w:color w:val="auto"/>
                <w:sz w:val="22"/>
                <w:szCs w:val="22"/>
                <w:lang w:val="en-US" w:eastAsia="zh-CN"/>
              </w:rPr>
              <w:t>合理性、可行性等</w:t>
            </w:r>
            <w:r>
              <w:rPr>
                <w:rFonts w:hint="eastAsia" w:cs="仿宋" w:asciiTheme="majorEastAsia" w:hAnsiTheme="majorEastAsia" w:eastAsiaTheme="majorEastAsia"/>
                <w:b w:val="0"/>
                <w:color w:val="auto"/>
                <w:sz w:val="22"/>
                <w:szCs w:val="22"/>
              </w:rPr>
              <w:t>综合评分</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满分4分（评分范围：4,3,2,1,0）</w:t>
            </w:r>
            <w:r>
              <w:rPr>
                <w:rFonts w:hint="eastAsia" w:cs="仿宋" w:asciiTheme="majorEastAsia" w:hAnsiTheme="majorEastAsia" w:eastAsiaTheme="majorEastAsia"/>
                <w:b w:val="0"/>
                <w:color w:val="auto"/>
                <w:sz w:val="22"/>
                <w:szCs w:val="22"/>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461B8D2">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0-4</w:t>
            </w:r>
          </w:p>
        </w:tc>
      </w:tr>
      <w:tr w14:paraId="0135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AB73D51">
            <w:pPr>
              <w:spacing w:line="360" w:lineRule="exact"/>
              <w:jc w:val="center"/>
              <w:rPr>
                <w:rFonts w:cs="Times New Roman" w:asciiTheme="majorEastAsia" w:hAnsiTheme="majorEastAsia" w:eastAsiaTheme="majorEastAsia"/>
                <w:b w:val="0"/>
                <w:color w:val="auto"/>
                <w:kern w:val="2"/>
                <w:sz w:val="22"/>
                <w:szCs w:val="22"/>
              </w:rPr>
            </w:pPr>
            <w:r>
              <w:rPr>
                <w:rFonts w:hint="eastAsia" w:asciiTheme="majorEastAsia" w:hAnsiTheme="majorEastAsia" w:eastAsiaTheme="majorEastAsia"/>
                <w:b w:val="0"/>
                <w:color w:val="auto"/>
                <w:sz w:val="22"/>
                <w:szCs w:val="22"/>
              </w:rPr>
              <w:t>6</w:t>
            </w:r>
          </w:p>
        </w:tc>
        <w:tc>
          <w:tcPr>
            <w:tcW w:w="0" w:type="auto"/>
            <w:tcBorders>
              <w:top w:val="single" w:color="000000" w:sz="4" w:space="0"/>
              <w:left w:val="single" w:color="000000" w:sz="4" w:space="0"/>
              <w:bottom w:val="single" w:color="000000" w:sz="4" w:space="0"/>
              <w:right w:val="single" w:color="000000" w:sz="4" w:space="0"/>
            </w:tcBorders>
            <w:vAlign w:val="center"/>
          </w:tcPr>
          <w:p w14:paraId="62DDE005">
            <w:pPr>
              <w:pStyle w:val="26"/>
              <w:jc w:val="center"/>
              <w:rPr>
                <w:rFonts w:cs="仿宋" w:asciiTheme="majorEastAsia" w:hAnsiTheme="majorEastAsia" w:eastAsiaTheme="majorEastAsia"/>
                <w:b w:val="0"/>
                <w:color w:val="auto"/>
                <w:sz w:val="22"/>
                <w:szCs w:val="22"/>
              </w:rPr>
            </w:pPr>
            <w:r>
              <w:rPr>
                <w:rFonts w:hint="eastAsia" w:cs="仿宋" w:asciiTheme="majorEastAsia" w:hAnsiTheme="majorEastAsia" w:eastAsiaTheme="majorEastAsia"/>
                <w:b w:val="0"/>
                <w:color w:val="auto"/>
                <w:sz w:val="22"/>
                <w:szCs w:val="22"/>
              </w:rPr>
              <w:t>合理化建议</w:t>
            </w:r>
          </w:p>
        </w:tc>
        <w:tc>
          <w:tcPr>
            <w:tcW w:w="0" w:type="auto"/>
            <w:tcBorders>
              <w:top w:val="single" w:color="000000" w:sz="4" w:space="0"/>
              <w:left w:val="single" w:color="000000" w:sz="4" w:space="0"/>
              <w:bottom w:val="single" w:color="000000" w:sz="4" w:space="0"/>
              <w:right w:val="single" w:color="000000" w:sz="4" w:space="0"/>
            </w:tcBorders>
            <w:vAlign w:val="center"/>
          </w:tcPr>
          <w:p w14:paraId="6A398B5F">
            <w:pPr>
              <w:snapToGrid w:val="0"/>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根据投标单位提供的针对本项目的理解，结合自身专业优势，提出的合理化建议，根据其提出的建议的可行性、有效性等方面</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满分6分（评分范围：6,4,2,0）</w:t>
            </w:r>
            <w:r>
              <w:rPr>
                <w:rFonts w:hint="eastAsia" w:cs="仿宋" w:asciiTheme="majorEastAsia" w:hAnsiTheme="majorEastAsia" w:eastAsiaTheme="majorEastAsia"/>
                <w:b w:val="0"/>
                <w:color w:val="auto"/>
                <w:sz w:val="22"/>
                <w:szCs w:val="22"/>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3220C2D">
            <w:pPr>
              <w:snapToGrid w:val="0"/>
              <w:jc w:val="center"/>
              <w:rPr>
                <w:rFonts w:cs="Times New Roman" w:asciiTheme="majorEastAsia" w:hAnsiTheme="majorEastAsia" w:eastAsiaTheme="majorEastAsia"/>
                <w:b w:val="0"/>
                <w:color w:val="auto"/>
                <w:kern w:val="2"/>
                <w:sz w:val="22"/>
                <w:szCs w:val="22"/>
              </w:rPr>
            </w:pPr>
            <w:r>
              <w:rPr>
                <w:rFonts w:hint="eastAsia" w:cs="仿宋" w:asciiTheme="majorEastAsia" w:hAnsiTheme="majorEastAsia" w:eastAsiaTheme="majorEastAsia"/>
                <w:b w:val="0"/>
                <w:color w:val="auto"/>
                <w:sz w:val="22"/>
                <w:szCs w:val="22"/>
              </w:rPr>
              <w:t>0-6</w:t>
            </w:r>
          </w:p>
        </w:tc>
      </w:tr>
      <w:tr w14:paraId="0FD37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29C51B5">
            <w:pPr>
              <w:spacing w:line="360" w:lineRule="exact"/>
              <w:jc w:val="center"/>
              <w:rPr>
                <w:rFonts w:asciiTheme="majorEastAsia" w:hAnsiTheme="majorEastAsia" w:eastAsiaTheme="majorEastAsia"/>
                <w:b w:val="0"/>
                <w:color w:val="auto"/>
                <w:sz w:val="22"/>
                <w:szCs w:val="22"/>
              </w:rPr>
            </w:pPr>
            <w:r>
              <w:rPr>
                <w:rFonts w:hint="eastAsia" w:asciiTheme="majorEastAsia" w:hAnsiTheme="majorEastAsia" w:eastAsiaTheme="majorEastAsia"/>
                <w:b w:val="0"/>
                <w:color w:val="auto"/>
                <w:sz w:val="22"/>
                <w:szCs w:val="22"/>
              </w:rPr>
              <w:t>7</w:t>
            </w:r>
          </w:p>
        </w:tc>
        <w:tc>
          <w:tcPr>
            <w:tcW w:w="0" w:type="auto"/>
            <w:tcBorders>
              <w:top w:val="single" w:color="000000" w:sz="4" w:space="0"/>
              <w:left w:val="single" w:color="000000" w:sz="4" w:space="0"/>
              <w:bottom w:val="single" w:color="000000" w:sz="4" w:space="0"/>
              <w:right w:val="single" w:color="000000" w:sz="4" w:space="0"/>
            </w:tcBorders>
            <w:vAlign w:val="center"/>
          </w:tcPr>
          <w:p w14:paraId="1ECD64C3">
            <w:pPr>
              <w:pStyle w:val="26"/>
              <w:jc w:val="center"/>
              <w:rPr>
                <w:rFonts w:cs="仿宋" w:asciiTheme="majorEastAsia" w:hAnsiTheme="majorEastAsia" w:eastAsiaTheme="majorEastAsia"/>
                <w:b w:val="0"/>
                <w:color w:val="auto"/>
                <w:sz w:val="22"/>
                <w:szCs w:val="22"/>
              </w:rPr>
            </w:pPr>
            <w:r>
              <w:rPr>
                <w:rFonts w:hint="eastAsia" w:cs="仿宋" w:asciiTheme="majorEastAsia" w:hAnsiTheme="majorEastAsia" w:eastAsiaTheme="majorEastAsia"/>
                <w:b w:val="0"/>
                <w:color w:val="auto"/>
                <w:sz w:val="22"/>
                <w:szCs w:val="22"/>
              </w:rPr>
              <w:t>现场汇报</w:t>
            </w:r>
          </w:p>
        </w:tc>
        <w:tc>
          <w:tcPr>
            <w:tcW w:w="0" w:type="auto"/>
            <w:tcBorders>
              <w:top w:val="single" w:color="000000" w:sz="4" w:space="0"/>
              <w:left w:val="single" w:color="000000" w:sz="4" w:space="0"/>
              <w:bottom w:val="single" w:color="000000" w:sz="4" w:space="0"/>
              <w:right w:val="single" w:color="000000" w:sz="4" w:space="0"/>
            </w:tcBorders>
            <w:vAlign w:val="center"/>
          </w:tcPr>
          <w:p w14:paraId="76B0CFD3">
            <w:pPr>
              <w:snapToGrid w:val="0"/>
              <w:rPr>
                <w:rFonts w:cs="仿宋" w:asciiTheme="majorEastAsia" w:hAnsiTheme="majorEastAsia" w:eastAsiaTheme="majorEastAsia"/>
                <w:b w:val="0"/>
                <w:color w:val="auto"/>
                <w:sz w:val="22"/>
                <w:szCs w:val="22"/>
              </w:rPr>
            </w:pPr>
            <w:r>
              <w:rPr>
                <w:rFonts w:hint="eastAsia" w:cs="仿宋" w:asciiTheme="majorEastAsia" w:hAnsiTheme="majorEastAsia" w:eastAsiaTheme="majorEastAsia"/>
                <w:b w:val="0"/>
                <w:color w:val="auto"/>
                <w:sz w:val="22"/>
                <w:szCs w:val="22"/>
              </w:rPr>
              <w:t>投标单位对本项目服务方案进行现场汇报，评委根据投标单位现场汇报内容的全面性、表达清晰度和逻辑性、回答问题准确性和深度等进行评分。</w:t>
            </w:r>
          </w:p>
          <w:p w14:paraId="44C390C9">
            <w:pPr>
              <w:numPr>
                <w:ilvl w:val="0"/>
                <w:numId w:val="11"/>
              </w:numPr>
              <w:snapToGrid w:val="0"/>
              <w:rPr>
                <w:color w:val="auto"/>
              </w:rPr>
            </w:pPr>
            <w:r>
              <w:rPr>
                <w:rFonts w:hint="eastAsia" w:cs="仿宋" w:asciiTheme="majorEastAsia" w:hAnsiTheme="majorEastAsia" w:eastAsiaTheme="majorEastAsia"/>
                <w:b w:val="0"/>
                <w:color w:val="auto"/>
                <w:sz w:val="22"/>
                <w:szCs w:val="22"/>
              </w:rPr>
              <w:t>现场汇报全面性、表达清晰度和逻辑性</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满分6分（评分范围：6,4,2,0）</w:t>
            </w:r>
            <w:r>
              <w:rPr>
                <w:rFonts w:hint="eastAsia" w:cs="仿宋" w:asciiTheme="majorEastAsia" w:hAnsiTheme="majorEastAsia" w:eastAsiaTheme="majorEastAsia"/>
                <w:b w:val="0"/>
                <w:color w:val="auto"/>
                <w:sz w:val="22"/>
                <w:szCs w:val="22"/>
              </w:rPr>
              <w:t>。</w:t>
            </w:r>
          </w:p>
          <w:p w14:paraId="68C412B9">
            <w:pPr>
              <w:numPr>
                <w:ilvl w:val="0"/>
                <w:numId w:val="11"/>
              </w:numPr>
              <w:snapToGrid w:val="0"/>
              <w:rPr>
                <w:rFonts w:cs="仿宋" w:asciiTheme="majorEastAsia" w:hAnsiTheme="majorEastAsia" w:eastAsiaTheme="majorEastAsia"/>
                <w:b w:val="0"/>
                <w:color w:val="auto"/>
                <w:sz w:val="22"/>
                <w:szCs w:val="22"/>
              </w:rPr>
            </w:pPr>
            <w:r>
              <w:rPr>
                <w:rFonts w:hint="eastAsia" w:cs="仿宋" w:asciiTheme="majorEastAsia" w:hAnsiTheme="majorEastAsia" w:eastAsiaTheme="majorEastAsia"/>
                <w:b w:val="0"/>
                <w:color w:val="auto"/>
                <w:sz w:val="22"/>
                <w:szCs w:val="22"/>
              </w:rPr>
              <w:t>现场回答问题准确性和深度</w:t>
            </w:r>
            <w:r>
              <w:rPr>
                <w:rFonts w:hint="eastAsia" w:cs="仿宋" w:asciiTheme="majorEastAsia" w:hAnsiTheme="majorEastAsia" w:eastAsiaTheme="majorEastAsia"/>
                <w:b w:val="0"/>
                <w:color w:val="auto"/>
                <w:sz w:val="22"/>
                <w:szCs w:val="22"/>
                <w:lang w:eastAsia="zh-CN"/>
              </w:rPr>
              <w:t>，</w:t>
            </w:r>
            <w:r>
              <w:rPr>
                <w:rFonts w:hint="eastAsia" w:cs="仿宋" w:asciiTheme="majorEastAsia" w:hAnsiTheme="majorEastAsia" w:eastAsiaTheme="majorEastAsia"/>
                <w:b w:val="0"/>
                <w:color w:val="auto"/>
                <w:sz w:val="22"/>
                <w:szCs w:val="22"/>
                <w:lang w:val="en-US" w:eastAsia="zh-CN"/>
              </w:rPr>
              <w:t>满分6分（评分范围：6,4,2,0）</w:t>
            </w:r>
            <w:r>
              <w:rPr>
                <w:rFonts w:hint="eastAsia" w:cs="仿宋" w:asciiTheme="majorEastAsia" w:hAnsiTheme="majorEastAsia" w:eastAsiaTheme="majorEastAsia"/>
                <w:b w:val="0"/>
                <w:color w:val="auto"/>
                <w:sz w:val="22"/>
                <w:szCs w:val="22"/>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8E66E16">
            <w:pPr>
              <w:snapToGrid w:val="0"/>
              <w:jc w:val="center"/>
              <w:rPr>
                <w:rFonts w:cs="仿宋" w:asciiTheme="majorEastAsia" w:hAnsiTheme="majorEastAsia" w:eastAsiaTheme="majorEastAsia"/>
                <w:b w:val="0"/>
                <w:color w:val="auto"/>
                <w:sz w:val="22"/>
                <w:szCs w:val="22"/>
              </w:rPr>
            </w:pPr>
            <w:r>
              <w:rPr>
                <w:rFonts w:hint="eastAsia" w:cs="仿宋" w:asciiTheme="majorEastAsia" w:hAnsiTheme="majorEastAsia" w:eastAsiaTheme="majorEastAsia"/>
                <w:b w:val="0"/>
                <w:color w:val="auto"/>
                <w:sz w:val="22"/>
                <w:szCs w:val="22"/>
              </w:rPr>
              <w:t>0-12</w:t>
            </w:r>
          </w:p>
        </w:tc>
      </w:tr>
    </w:tbl>
    <w:p w14:paraId="6A14B27A">
      <w:pPr>
        <w:pStyle w:val="20"/>
        <w:ind w:left="2108"/>
        <w:rPr>
          <w:color w:val="auto"/>
        </w:rPr>
      </w:pPr>
    </w:p>
    <w:p w14:paraId="4D68CA53">
      <w:pPr>
        <w:spacing w:line="360" w:lineRule="auto"/>
        <w:rPr>
          <w:rFonts w:ascii="宋体" w:eastAsia="宋体"/>
          <w:b w:val="0"/>
          <w:color w:val="auto"/>
          <w:sz w:val="22"/>
          <w:szCs w:val="22"/>
        </w:rPr>
      </w:pPr>
      <w:r>
        <w:rPr>
          <w:rFonts w:hint="eastAsia" w:ascii="宋体" w:eastAsia="宋体"/>
          <w:b w:val="0"/>
          <w:color w:val="auto"/>
          <w:sz w:val="22"/>
          <w:szCs w:val="22"/>
        </w:rPr>
        <w:t>三、说明</w:t>
      </w:r>
    </w:p>
    <w:p w14:paraId="5A956E5F">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1、每个投标供应商最终得分=技术资信部分分值（所有磋商小组成员打分的算术平均值）+报价部分分值。</w:t>
      </w:r>
    </w:p>
    <w:p w14:paraId="7BBFE08B">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2、所有分值计算保留小数点后二位，小数点后三位四舍五入。</w:t>
      </w:r>
    </w:p>
    <w:p w14:paraId="2D66F6B1">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3、参见本竞争性磋商采购第三部分：“投标供应商须知” 中的相关内容，未尽事宜按有关法律规定处理。</w:t>
      </w:r>
    </w:p>
    <w:sectPr>
      <w:headerReference r:id="rId18" w:type="first"/>
      <w:headerReference r:id="rId17" w:type="default"/>
      <w:footerReference r:id="rId19" w:type="default"/>
      <w:pgSz w:w="11906" w:h="16838"/>
      <w:pgMar w:top="1355" w:right="1355"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61CA">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D8C27">
                          <w:pPr>
                            <w:pStyle w:val="32"/>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26</w:t>
                          </w:r>
                          <w:r>
                            <w:rPr>
                              <w:rFonts w:ascii="宋体" w:eastAsia="宋体"/>
                            </w:rPr>
                            <w:fldChar w:fldCharType="end"/>
                          </w:r>
                        </w:p>
                        <w:p w14:paraId="61A413A4">
                          <w:pPr>
                            <w:pStyle w:val="32"/>
                            <w:wordWrap w:val="0"/>
                            <w:ind w:right="360"/>
                            <w:jc w:val="right"/>
                            <w:rPr>
                              <w:rFonts w:ascii="宋体" w:eastAsia="宋体"/>
                            </w:rPr>
                          </w:pPr>
                          <w:r>
                            <w:rPr>
                              <w:rFonts w:hint="eastAsia"/>
                            </w:rPr>
                            <w:t xml:space="preserve">                                                         </w:t>
                          </w:r>
                          <w:r>
                            <w:rPr>
                              <w:rFonts w:ascii="宋体" w:eastAsia="宋体"/>
                            </w:rPr>
                            <w:t>温州市中概工程管理咨询有限公司</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fill on="f" focussize="0,0"/>
              <v:stroke on="f"/>
              <v:imagedata o:title=""/>
              <o:lock v:ext="edit" aspectratio="f"/>
              <v:textbox inset="0mm,0mm,0mm,0mm" style="mso-fit-shape-to-text:t;">
                <w:txbxContent>
                  <w:p w14:paraId="063D8C27">
                    <w:pPr>
                      <w:pStyle w:val="32"/>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26</w:t>
                    </w:r>
                    <w:r>
                      <w:rPr>
                        <w:rFonts w:ascii="宋体" w:eastAsia="宋体"/>
                      </w:rPr>
                      <w:fldChar w:fldCharType="end"/>
                    </w:r>
                  </w:p>
                  <w:p w14:paraId="61A413A4">
                    <w:pPr>
                      <w:pStyle w:val="32"/>
                      <w:wordWrap w:val="0"/>
                      <w:ind w:right="360"/>
                      <w:jc w:val="right"/>
                      <w:rPr>
                        <w:rFonts w:ascii="宋体" w:eastAsia="宋体"/>
                      </w:rPr>
                    </w:pPr>
                    <w:r>
                      <w:rPr>
                        <w:rFonts w:hint="eastAsia"/>
                      </w:rPr>
                      <w:t xml:space="preserve">                                                         </w:t>
                    </w:r>
                    <w:r>
                      <w:rPr>
                        <w:rFonts w:ascii="宋体" w:eastAsia="宋体"/>
                      </w:rPr>
                      <w:t>温州市中概工程管理咨询有限公司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A046">
    <w:pPr>
      <w:pStyle w:val="32"/>
      <w:wordWrap w:val="0"/>
      <w:ind w:right="360"/>
      <w:jc w:val="right"/>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BCDD3">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lg8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QJYPLAQAAnAMAAA4AAAAAAAAAAQAgAAAAHgEAAGRycy9lMm9E&#10;b2MueG1sUEsFBgAAAAAGAAYAWQEAAFsFAAAAAA==&#10;">
              <v:fill on="f" focussize="0,0"/>
              <v:stroke on="f"/>
              <v:imagedata o:title=""/>
              <o:lock v:ext="edit" aspectratio="f"/>
              <v:textbox inset="0mm,0mm,0mm,0mm" style="mso-fit-shape-to-text:t;">
                <w:txbxContent>
                  <w:p w14:paraId="457BCDD3">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9B5D">
    <w:pPr>
      <w:pStyle w:val="3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2102E">
                          <w:pPr>
                            <w:pStyle w:val="32"/>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Jpb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KI7dcYsDv/z4fvn5+/LrG1lW&#10;r29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DyaWzLAQAAnAMAAA4AAAAAAAAAAQAgAAAAHgEAAGRycy9lMm9E&#10;b2MueG1sUEsFBgAAAAAGAAYAWQEAAFsFAAAAAA==&#10;">
              <v:fill on="f" focussize="0,0"/>
              <v:stroke on="f"/>
              <v:imagedata o:title=""/>
              <o:lock v:ext="edit" aspectratio="f"/>
              <v:textbox inset="0mm,0mm,0mm,0mm" style="mso-fit-shape-to-text:t;">
                <w:txbxContent>
                  <w:p w14:paraId="0742102E">
                    <w:pPr>
                      <w:pStyle w:val="3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5CD9">
    <w:pPr>
      <w:widowControl/>
      <w:tabs>
        <w:tab w:val="center" w:pos="4153"/>
        <w:tab w:val="right" w:pos="8306"/>
      </w:tabs>
      <w:snapToGrid w:val="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ED32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4F3ED32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02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5hzU9UA&#10;AAAIAQAADwAAAAAAAAABACAAAAAiAAAAZHJzL2Rvd25yZXYueG1sUEsBAhQAFAAAAAgAh07iQBuR&#10;EyfpAQAA3AMAAA4AAAAAAAAAAQAgAAAAJAEAAGRycy9lMm9Eb2MueG1sUEsFBgAAAAAGAAYAWQEA&#10;AH8FA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2C1C">
    <w:pPr>
      <w:pStyle w:val="32"/>
      <w:wordWrap w:val="0"/>
      <w:ind w:right="360"/>
      <w:jc w:val="right"/>
      <w:rPr>
        <w:rFonts w:ascii="宋体" w:eastAsia="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1C21B">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42</w:t>
                          </w:r>
                          <w:r>
                            <w:rPr>
                              <w:rFonts w:ascii="宋体" w:eastAsia="宋体"/>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D5g8sBAACcAwAADgAAAGRycy9lMm9Eb2MueG1srVPNjtMwEL4j8Q6W&#10;79RpV4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oo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kA+YPLAQAAnAMAAA4AAAAAAAAAAQAgAAAAHgEAAGRycy9lMm9E&#10;b2MueG1sUEsFBgAAAAAGAAYAWQEAAFsFAAAAAA==&#10;">
              <v:fill on="f" focussize="0,0"/>
              <v:stroke on="f"/>
              <v:imagedata o:title=""/>
              <o:lock v:ext="edit" aspectratio="f"/>
              <v:textbox inset="0mm,0mm,0mm,0mm" style="mso-fit-shape-to-text:t;">
                <w:txbxContent>
                  <w:p w14:paraId="7AB1C21B">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42</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3914">
    <w:pPr>
      <w:pStyle w:val="3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02A4D">
                          <w:pPr>
                            <w:pStyle w:val="32"/>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2s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X1HiuMWBX75/u/z4dfn5lSyr&#10;5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8trLAQAAnAMAAA4AAAAAAAAAAQAgAAAAHgEAAGRycy9lMm9E&#10;b2MueG1sUEsFBgAAAAAGAAYAWQEAAFsFAAAAAA==&#10;">
              <v:fill on="f" focussize="0,0"/>
              <v:stroke on="f"/>
              <v:imagedata o:title=""/>
              <o:lock v:ext="edit" aspectratio="f"/>
              <v:textbox inset="0mm,0mm,0mm,0mm" style="mso-fit-shape-to-text:t;">
                <w:txbxContent>
                  <w:p w14:paraId="37F02A4D">
                    <w:pPr>
                      <w:pStyle w:val="3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0C65">
    <w:pPr>
      <w:pStyle w:val="32"/>
      <w:jc w:val="right"/>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30D2F">
                          <w:pPr>
                            <w:pStyle w:val="32"/>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41</w:t>
                          </w:r>
                          <w:r>
                            <w:rPr>
                              <w:rFonts w:ascii="宋体"/>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2+Nc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PXlFhucODn79/OP36df34l&#10;ZXFTpg71HipMfPCYGod3bsC9mf2AziR8aINJX5REMI79PV36K4dIRHq0Wq5WBYYExuYL4rOn5z5A&#10;vJfOkGTUNOAAc1/58QPEMXVOSdWsu1Na5yFq+5cDMZOHJe4jx2TFYTdMgnauOaGeHmdfU4urTol+&#10;b7G1aU1mI8zGbjYOPqh9h9TK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MHb41zAEAAJwDAAAOAAAAAAAAAAEAIAAAAB4BAABkcnMvZTJv&#10;RG9jLnhtbFBLBQYAAAAABgAGAFkBAABcBQAAAAA=&#10;">
              <v:fill on="f" focussize="0,0"/>
              <v:stroke on="f"/>
              <v:imagedata o:title=""/>
              <o:lock v:ext="edit" aspectratio="f"/>
              <v:textbox inset="0mm,0mm,0mm,0mm" style="mso-fit-shape-to-text:t;">
                <w:txbxContent>
                  <w:p w14:paraId="0EB30D2F">
                    <w:pPr>
                      <w:pStyle w:val="32"/>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41</w:t>
                    </w:r>
                    <w:r>
                      <w:rPr>
                        <w:rFonts w:ascii="宋体"/>
                      </w:rPr>
                      <w:fldChar w:fldCharType="end"/>
                    </w:r>
                  </w:p>
                </w:txbxContent>
              </v:textbox>
            </v:shape>
          </w:pict>
        </mc:Fallback>
      </mc:AlternateContent>
    </w:r>
    <w:r>
      <w:rPr>
        <w:rFonts w:ascii="宋体"/>
      </w:rPr>
      <w:t>温州市中概工程管理咨询有限公司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EB52">
    <w:pPr>
      <w:pStyle w:val="32"/>
      <w:jc w:val="right"/>
      <w:rPr>
        <w:rFonts w:ascii="宋体" w:eastAsia="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1D7A2">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45</w:t>
                          </w:r>
                          <w:r>
                            <w:rPr>
                              <w:rFonts w:ascii="宋体" w:eastAsia="宋体"/>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1iNc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er3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MNYjXLAQAAnAMAAA4AAAAAAAAAAQAgAAAAHgEAAGRycy9lMm9E&#10;b2MueG1sUEsFBgAAAAAGAAYAWQEAAFsFAAAAAA==&#10;">
              <v:fill on="f" focussize="0,0"/>
              <v:stroke on="f"/>
              <v:imagedata o:title=""/>
              <o:lock v:ext="edit" aspectratio="f"/>
              <v:textbox inset="0mm,0mm,0mm,0mm" style="mso-fit-shape-to-text:t;">
                <w:txbxContent>
                  <w:p w14:paraId="3781D7A2">
                    <w:pPr>
                      <w:pStyle w:val="32"/>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45</w:t>
                    </w:r>
                    <w:r>
                      <w:rPr>
                        <w:rFonts w:ascii="宋体" w:eastAsia="宋体"/>
                      </w:rPr>
                      <w:fldChar w:fldCharType="end"/>
                    </w:r>
                  </w:p>
                </w:txbxContent>
              </v:textbox>
            </v:shape>
          </w:pict>
        </mc:Fallback>
      </mc:AlternateContent>
    </w:r>
    <w:r>
      <w:rPr>
        <w:rFonts w:ascii="宋体" w:eastAsia="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11E84">
    <w:pPr>
      <w:pStyle w:val="33"/>
      <w:jc w:val="both"/>
      <w:rPr>
        <w:rFonts w:ascii="宋体" w:eastAsia="宋体"/>
        <w:b w:val="0"/>
      </w:rPr>
    </w:pPr>
    <w:r>
      <w:rPr>
        <w:rFonts w:hint="eastAsia" w:ascii="宋体" w:eastAsia="宋体"/>
        <w:b w:val="0"/>
      </w:rPr>
      <w:t>永嘉县政府采购竞争性磋商文件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192A">
    <w:pPr>
      <w:pStyle w:val="33"/>
      <w:jc w:val="both"/>
      <w:rPr>
        <w:rFonts w:ascii="宋体" w:eastAsia="宋体"/>
        <w:b w:val="0"/>
      </w:rPr>
    </w:pPr>
    <w:r>
      <w:rPr>
        <w:rFonts w:hint="eastAsia" w:ascii="宋体" w:eastAsia="宋体"/>
        <w:b w:val="0"/>
      </w:rPr>
      <w:t>永嘉县政府采购竞争性磋商文件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AD17">
    <w:pPr>
      <w:pStyle w:val="33"/>
      <w:jc w:val="both"/>
    </w:pPr>
    <w:r>
      <w:rPr>
        <w:rFonts w:hint="eastAsia" w:ascii="宋体" w:eastAsia="宋体"/>
        <w:b w:val="0"/>
      </w:rPr>
      <w:t>永嘉县政府采购竞争性磋商文件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E78F">
    <w:pPr>
      <w:pStyle w:val="3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16D1">
    <w:pPr>
      <w:pStyle w:val="33"/>
      <w:jc w:val="both"/>
    </w:pPr>
    <w:r>
      <w:rPr>
        <w:rFonts w:hint="eastAsia" w:ascii="宋体" w:eastAsia="宋体"/>
        <w:b w:val="0"/>
      </w:rPr>
      <w:t>永嘉县政府采购竞争性磋商文件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F7C1">
    <w:pPr>
      <w:pStyle w:val="33"/>
      <w:jc w:val="both"/>
      <w:rPr>
        <w:rFonts w:ascii="宋体"/>
        <w:b w:val="0"/>
      </w:rPr>
    </w:pPr>
    <w:r>
      <w:rPr>
        <w:rFonts w:hint="eastAsia" w:ascii="宋体"/>
      </w:rPr>
      <w:t>永嘉县政府采购竞争性磋商文件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8AD1">
    <w:pPr>
      <w:pStyle w:val="33"/>
      <w:jc w:val="both"/>
      <w:rPr>
        <w:rFonts w:ascii="宋体"/>
        <w:b w:val="0"/>
      </w:rPr>
    </w:pPr>
    <w:r>
      <w:rPr>
        <w:rFonts w:hint="eastAsia" w:ascii="宋体"/>
      </w:rPr>
      <w:t>永嘉县政府采购竞争性磋商文件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5491">
    <w:pPr>
      <w:pStyle w:val="33"/>
      <w:jc w:val="both"/>
      <w:rPr>
        <w:rFonts w:ascii="宋体" w:eastAsia="宋体"/>
        <w:b w:val="0"/>
      </w:rPr>
    </w:pPr>
    <w:r>
      <w:rPr>
        <w:rFonts w:hint="eastAsia" w:ascii="宋体" w:eastAsia="宋体"/>
        <w:b w:val="0"/>
      </w:rPr>
      <w:t>永嘉县政府采购竞争性磋商文件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1085">
    <w:pPr>
      <w:pStyle w:val="33"/>
      <w:jc w:val="both"/>
      <w:rPr>
        <w:rFonts w:ascii="宋体" w:eastAsia="宋体"/>
        <w:b w:val="0"/>
      </w:rPr>
    </w:pPr>
    <w:r>
      <w:rPr>
        <w:rFonts w:hint="eastAsia" w:ascii="宋体" w:eastAsia="宋体"/>
        <w:b w:val="0"/>
      </w:rPr>
      <w:t>永嘉县政府采购竞争性磋商文件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150D6"/>
    <w:multiLevelType w:val="singleLevel"/>
    <w:tmpl w:val="A0A150D6"/>
    <w:lvl w:ilvl="0" w:tentative="0">
      <w:start w:val="1"/>
      <w:numFmt w:val="decimal"/>
      <w:suff w:val="nothing"/>
      <w:lvlText w:val="%1)"/>
      <w:lvlJc w:val="left"/>
    </w:lvl>
  </w:abstractNum>
  <w:abstractNum w:abstractNumId="1">
    <w:nsid w:val="B5981F5F"/>
    <w:multiLevelType w:val="singleLevel"/>
    <w:tmpl w:val="B5981F5F"/>
    <w:lvl w:ilvl="0" w:tentative="0">
      <w:start w:val="1"/>
      <w:numFmt w:val="decimal"/>
      <w:suff w:val="nothing"/>
      <w:lvlText w:val="%1)"/>
      <w:lvlJc w:val="left"/>
    </w:lvl>
  </w:abstractNum>
  <w:abstractNum w:abstractNumId="2">
    <w:nsid w:val="BE328727"/>
    <w:multiLevelType w:val="singleLevel"/>
    <w:tmpl w:val="BE328727"/>
    <w:lvl w:ilvl="0" w:tentative="0">
      <w:start w:val="1"/>
      <w:numFmt w:val="decimal"/>
      <w:suff w:val="nothing"/>
      <w:lvlText w:val="%1)"/>
      <w:lvlJc w:val="left"/>
    </w:lvl>
  </w:abstractNum>
  <w:abstractNum w:abstractNumId="3">
    <w:nsid w:val="C824CAFD"/>
    <w:multiLevelType w:val="singleLevel"/>
    <w:tmpl w:val="C824CAFD"/>
    <w:lvl w:ilvl="0" w:tentative="0">
      <w:start w:val="1"/>
      <w:numFmt w:val="decimal"/>
      <w:suff w:val="nothing"/>
      <w:lvlText w:val="%1)"/>
      <w:lvlJc w:val="left"/>
    </w:lvl>
  </w:abstractNum>
  <w:abstractNum w:abstractNumId="4">
    <w:nsid w:val="D06C4EA3"/>
    <w:multiLevelType w:val="singleLevel"/>
    <w:tmpl w:val="D06C4EA3"/>
    <w:lvl w:ilvl="0" w:tentative="0">
      <w:start w:val="5"/>
      <w:numFmt w:val="chineseCounting"/>
      <w:suff w:val="space"/>
      <w:lvlText w:val="第%1部分"/>
      <w:lvlJc w:val="left"/>
      <w:rPr>
        <w:rFonts w:hint="eastAsia"/>
      </w:rPr>
    </w:lvl>
  </w:abstractNum>
  <w:abstractNum w:abstractNumId="5">
    <w:nsid w:val="F5023679"/>
    <w:multiLevelType w:val="singleLevel"/>
    <w:tmpl w:val="F5023679"/>
    <w:lvl w:ilvl="0" w:tentative="0">
      <w:start w:val="1"/>
      <w:numFmt w:val="decimal"/>
      <w:suff w:val="nothing"/>
      <w:lvlText w:val="%1)"/>
      <w:lvlJc w:val="left"/>
    </w:lvl>
  </w:abstractNum>
  <w:abstractNum w:abstractNumId="6">
    <w:nsid w:val="146DE902"/>
    <w:multiLevelType w:val="singleLevel"/>
    <w:tmpl w:val="146DE902"/>
    <w:lvl w:ilvl="0" w:tentative="0">
      <w:start w:val="2"/>
      <w:numFmt w:val="chineseCounting"/>
      <w:suff w:val="nothing"/>
      <w:lvlText w:val="%1、"/>
      <w:lvlJc w:val="left"/>
      <w:rPr>
        <w:rFonts w:hint="eastAsia"/>
      </w:rPr>
    </w:lvl>
  </w:abstractNum>
  <w:abstractNum w:abstractNumId="7">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8">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9">
    <w:nsid w:val="53BC68CB"/>
    <w:multiLevelType w:val="singleLevel"/>
    <w:tmpl w:val="53BC68CB"/>
    <w:lvl w:ilvl="0" w:tentative="0">
      <w:start w:val="4"/>
      <w:numFmt w:val="chineseCounting"/>
      <w:suff w:val="nothing"/>
      <w:lvlText w:val="%1、"/>
      <w:lvlJc w:val="left"/>
      <w:rPr>
        <w:rFonts w:hint="eastAsia"/>
      </w:rPr>
    </w:lvl>
  </w:abstractNum>
  <w:abstractNum w:abstractNumId="10">
    <w:nsid w:val="668C9E0C"/>
    <w:multiLevelType w:val="singleLevel"/>
    <w:tmpl w:val="668C9E0C"/>
    <w:lvl w:ilvl="0" w:tentative="0">
      <w:start w:val="1"/>
      <w:numFmt w:val="decimal"/>
      <w:suff w:val="nothing"/>
      <w:lvlText w:val="%1、"/>
      <w:lvlJc w:val="left"/>
    </w:lvl>
  </w:abstractNum>
  <w:num w:numId="1">
    <w:abstractNumId w:val="7"/>
  </w:num>
  <w:num w:numId="2">
    <w:abstractNumId w:val="8"/>
  </w:num>
  <w:num w:numId="3">
    <w:abstractNumId w:val="4"/>
  </w:num>
  <w:num w:numId="4">
    <w:abstractNumId w:val="9"/>
  </w:num>
  <w:num w:numId="5">
    <w:abstractNumId w:val="0"/>
  </w:num>
  <w:num w:numId="6">
    <w:abstractNumId w:val="1"/>
  </w:num>
  <w:num w:numId="7">
    <w:abstractNumId w:val="3"/>
  </w:num>
  <w:num w:numId="8">
    <w:abstractNumId w:val="5"/>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evenAndOddHeaders w:val="1"/>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jNkMTZlOWM2MTdjMjI3ZDQyMDcwMzJhMTRmODkifQ=="/>
  </w:docVars>
  <w:rsids>
    <w:rsidRoot w:val="00FE7518"/>
    <w:rsid w:val="00000BCE"/>
    <w:rsid w:val="00001535"/>
    <w:rsid w:val="00001A16"/>
    <w:rsid w:val="0000209F"/>
    <w:rsid w:val="00003778"/>
    <w:rsid w:val="00003978"/>
    <w:rsid w:val="00004015"/>
    <w:rsid w:val="000049D8"/>
    <w:rsid w:val="0000568B"/>
    <w:rsid w:val="00005B61"/>
    <w:rsid w:val="00012A31"/>
    <w:rsid w:val="00012FA4"/>
    <w:rsid w:val="00013662"/>
    <w:rsid w:val="00014581"/>
    <w:rsid w:val="00015CE6"/>
    <w:rsid w:val="000205DC"/>
    <w:rsid w:val="00024F68"/>
    <w:rsid w:val="0002712D"/>
    <w:rsid w:val="000341BE"/>
    <w:rsid w:val="00034BC1"/>
    <w:rsid w:val="00037660"/>
    <w:rsid w:val="0003787E"/>
    <w:rsid w:val="00037CA9"/>
    <w:rsid w:val="00040739"/>
    <w:rsid w:val="00041953"/>
    <w:rsid w:val="00042F04"/>
    <w:rsid w:val="0004308D"/>
    <w:rsid w:val="00043911"/>
    <w:rsid w:val="000442AB"/>
    <w:rsid w:val="000447FA"/>
    <w:rsid w:val="00044D10"/>
    <w:rsid w:val="00045483"/>
    <w:rsid w:val="00045FF4"/>
    <w:rsid w:val="000509D7"/>
    <w:rsid w:val="000523CA"/>
    <w:rsid w:val="0005318F"/>
    <w:rsid w:val="00054CFD"/>
    <w:rsid w:val="0005616E"/>
    <w:rsid w:val="00056503"/>
    <w:rsid w:val="000574CB"/>
    <w:rsid w:val="00060797"/>
    <w:rsid w:val="00060C76"/>
    <w:rsid w:val="0006187C"/>
    <w:rsid w:val="00061CA7"/>
    <w:rsid w:val="00062BBF"/>
    <w:rsid w:val="00062E8C"/>
    <w:rsid w:val="00065550"/>
    <w:rsid w:val="000660DB"/>
    <w:rsid w:val="000665DB"/>
    <w:rsid w:val="0006708D"/>
    <w:rsid w:val="00067277"/>
    <w:rsid w:val="00070FC1"/>
    <w:rsid w:val="00072106"/>
    <w:rsid w:val="00072A5C"/>
    <w:rsid w:val="00072B89"/>
    <w:rsid w:val="00073266"/>
    <w:rsid w:val="000733E7"/>
    <w:rsid w:val="00074597"/>
    <w:rsid w:val="00076D91"/>
    <w:rsid w:val="000779CA"/>
    <w:rsid w:val="000800E7"/>
    <w:rsid w:val="00081907"/>
    <w:rsid w:val="0008309A"/>
    <w:rsid w:val="00084975"/>
    <w:rsid w:val="0008539C"/>
    <w:rsid w:val="00086937"/>
    <w:rsid w:val="00087A70"/>
    <w:rsid w:val="0009096E"/>
    <w:rsid w:val="00090B45"/>
    <w:rsid w:val="0009165F"/>
    <w:rsid w:val="00091C24"/>
    <w:rsid w:val="000938FD"/>
    <w:rsid w:val="00095895"/>
    <w:rsid w:val="00095AEA"/>
    <w:rsid w:val="00096907"/>
    <w:rsid w:val="000973A2"/>
    <w:rsid w:val="000975BF"/>
    <w:rsid w:val="000A0CFB"/>
    <w:rsid w:val="000A1751"/>
    <w:rsid w:val="000A3160"/>
    <w:rsid w:val="000A3A39"/>
    <w:rsid w:val="000A3FE5"/>
    <w:rsid w:val="000A40A8"/>
    <w:rsid w:val="000A4281"/>
    <w:rsid w:val="000A4D72"/>
    <w:rsid w:val="000A66A3"/>
    <w:rsid w:val="000B1B62"/>
    <w:rsid w:val="000B22B1"/>
    <w:rsid w:val="000B281D"/>
    <w:rsid w:val="000B6727"/>
    <w:rsid w:val="000B7046"/>
    <w:rsid w:val="000C1EAB"/>
    <w:rsid w:val="000C1F34"/>
    <w:rsid w:val="000C2552"/>
    <w:rsid w:val="000C3CC7"/>
    <w:rsid w:val="000C3DEB"/>
    <w:rsid w:val="000C4465"/>
    <w:rsid w:val="000C5F54"/>
    <w:rsid w:val="000C643F"/>
    <w:rsid w:val="000C64F4"/>
    <w:rsid w:val="000D0681"/>
    <w:rsid w:val="000D2A91"/>
    <w:rsid w:val="000D41E7"/>
    <w:rsid w:val="000D6163"/>
    <w:rsid w:val="000D67E1"/>
    <w:rsid w:val="000E09F8"/>
    <w:rsid w:val="000E0DDD"/>
    <w:rsid w:val="000E0E8B"/>
    <w:rsid w:val="000E2084"/>
    <w:rsid w:val="000E2510"/>
    <w:rsid w:val="000E2B46"/>
    <w:rsid w:val="000E351D"/>
    <w:rsid w:val="000E4B1F"/>
    <w:rsid w:val="000E4D5C"/>
    <w:rsid w:val="000E50C5"/>
    <w:rsid w:val="000E71D1"/>
    <w:rsid w:val="000E7AF6"/>
    <w:rsid w:val="000F39B6"/>
    <w:rsid w:val="000F3DBE"/>
    <w:rsid w:val="000F3FEF"/>
    <w:rsid w:val="000F64E5"/>
    <w:rsid w:val="000F70E4"/>
    <w:rsid w:val="000F7379"/>
    <w:rsid w:val="000F7B24"/>
    <w:rsid w:val="00100AD4"/>
    <w:rsid w:val="00102B0D"/>
    <w:rsid w:val="0010338D"/>
    <w:rsid w:val="00104387"/>
    <w:rsid w:val="00104DF3"/>
    <w:rsid w:val="00104F29"/>
    <w:rsid w:val="00106538"/>
    <w:rsid w:val="0010682E"/>
    <w:rsid w:val="001070D4"/>
    <w:rsid w:val="00110097"/>
    <w:rsid w:val="001102EF"/>
    <w:rsid w:val="0011156A"/>
    <w:rsid w:val="00111649"/>
    <w:rsid w:val="0011198F"/>
    <w:rsid w:val="0011209E"/>
    <w:rsid w:val="0011243F"/>
    <w:rsid w:val="00112BFF"/>
    <w:rsid w:val="0011309B"/>
    <w:rsid w:val="00113F34"/>
    <w:rsid w:val="001141EC"/>
    <w:rsid w:val="001143F2"/>
    <w:rsid w:val="00120AAB"/>
    <w:rsid w:val="001223E4"/>
    <w:rsid w:val="00122644"/>
    <w:rsid w:val="00124D66"/>
    <w:rsid w:val="00126147"/>
    <w:rsid w:val="00126DC1"/>
    <w:rsid w:val="00127776"/>
    <w:rsid w:val="00131CD7"/>
    <w:rsid w:val="001339BE"/>
    <w:rsid w:val="001340D4"/>
    <w:rsid w:val="0013434C"/>
    <w:rsid w:val="00134ED2"/>
    <w:rsid w:val="00136E35"/>
    <w:rsid w:val="00136E81"/>
    <w:rsid w:val="00137AAD"/>
    <w:rsid w:val="00140393"/>
    <w:rsid w:val="001404E7"/>
    <w:rsid w:val="00140EAB"/>
    <w:rsid w:val="00141245"/>
    <w:rsid w:val="00143D08"/>
    <w:rsid w:val="001442A0"/>
    <w:rsid w:val="0014454E"/>
    <w:rsid w:val="0014548C"/>
    <w:rsid w:val="001456F6"/>
    <w:rsid w:val="001464A4"/>
    <w:rsid w:val="00146A90"/>
    <w:rsid w:val="00146E5E"/>
    <w:rsid w:val="00147070"/>
    <w:rsid w:val="00152000"/>
    <w:rsid w:val="0015304F"/>
    <w:rsid w:val="0015343A"/>
    <w:rsid w:val="0015493E"/>
    <w:rsid w:val="001555A1"/>
    <w:rsid w:val="00155A2F"/>
    <w:rsid w:val="00155ED1"/>
    <w:rsid w:val="001566CF"/>
    <w:rsid w:val="00157C61"/>
    <w:rsid w:val="00157CB4"/>
    <w:rsid w:val="00160981"/>
    <w:rsid w:val="001612FB"/>
    <w:rsid w:val="00162489"/>
    <w:rsid w:val="0016301D"/>
    <w:rsid w:val="00165080"/>
    <w:rsid w:val="00166FCF"/>
    <w:rsid w:val="00167FA0"/>
    <w:rsid w:val="00170EEF"/>
    <w:rsid w:val="0017111C"/>
    <w:rsid w:val="00171C34"/>
    <w:rsid w:val="00172883"/>
    <w:rsid w:val="001736B7"/>
    <w:rsid w:val="00173ADF"/>
    <w:rsid w:val="001744BB"/>
    <w:rsid w:val="00177522"/>
    <w:rsid w:val="001777E1"/>
    <w:rsid w:val="001804D0"/>
    <w:rsid w:val="0018213F"/>
    <w:rsid w:val="00182575"/>
    <w:rsid w:val="001833ED"/>
    <w:rsid w:val="001837B7"/>
    <w:rsid w:val="0018414B"/>
    <w:rsid w:val="0018426D"/>
    <w:rsid w:val="00184978"/>
    <w:rsid w:val="00185D4F"/>
    <w:rsid w:val="00194154"/>
    <w:rsid w:val="001943C4"/>
    <w:rsid w:val="00195185"/>
    <w:rsid w:val="001965B1"/>
    <w:rsid w:val="001A1F7B"/>
    <w:rsid w:val="001A20B6"/>
    <w:rsid w:val="001A39B2"/>
    <w:rsid w:val="001A3DFA"/>
    <w:rsid w:val="001A5CC7"/>
    <w:rsid w:val="001A7CE4"/>
    <w:rsid w:val="001B0053"/>
    <w:rsid w:val="001B03FE"/>
    <w:rsid w:val="001B0AC3"/>
    <w:rsid w:val="001B14EC"/>
    <w:rsid w:val="001B2DE1"/>
    <w:rsid w:val="001B422C"/>
    <w:rsid w:val="001B495D"/>
    <w:rsid w:val="001B5B8D"/>
    <w:rsid w:val="001B610C"/>
    <w:rsid w:val="001B7362"/>
    <w:rsid w:val="001B736E"/>
    <w:rsid w:val="001B7A64"/>
    <w:rsid w:val="001C0E06"/>
    <w:rsid w:val="001C1A9C"/>
    <w:rsid w:val="001C26B3"/>
    <w:rsid w:val="001C3149"/>
    <w:rsid w:val="001C4D4D"/>
    <w:rsid w:val="001C5815"/>
    <w:rsid w:val="001C6306"/>
    <w:rsid w:val="001D132A"/>
    <w:rsid w:val="001D28BF"/>
    <w:rsid w:val="001D3362"/>
    <w:rsid w:val="001D37C4"/>
    <w:rsid w:val="001D4315"/>
    <w:rsid w:val="001D6EBA"/>
    <w:rsid w:val="001D7DC4"/>
    <w:rsid w:val="001E07BA"/>
    <w:rsid w:val="001E18C6"/>
    <w:rsid w:val="001E1B9A"/>
    <w:rsid w:val="001E1DFB"/>
    <w:rsid w:val="001E2AEC"/>
    <w:rsid w:val="001E3CC8"/>
    <w:rsid w:val="001E40F4"/>
    <w:rsid w:val="001E45B4"/>
    <w:rsid w:val="001E57DA"/>
    <w:rsid w:val="001E5BD9"/>
    <w:rsid w:val="001E5EEC"/>
    <w:rsid w:val="001E72A1"/>
    <w:rsid w:val="001E7AC3"/>
    <w:rsid w:val="001E7EE7"/>
    <w:rsid w:val="001F0267"/>
    <w:rsid w:val="001F0F29"/>
    <w:rsid w:val="001F1ACC"/>
    <w:rsid w:val="001F1AE1"/>
    <w:rsid w:val="001F1B08"/>
    <w:rsid w:val="001F1DF5"/>
    <w:rsid w:val="001F274C"/>
    <w:rsid w:val="001F3E0A"/>
    <w:rsid w:val="001F49B9"/>
    <w:rsid w:val="001F5975"/>
    <w:rsid w:val="001F74B4"/>
    <w:rsid w:val="001F783E"/>
    <w:rsid w:val="00200C8D"/>
    <w:rsid w:val="002021CC"/>
    <w:rsid w:val="00205B25"/>
    <w:rsid w:val="002063E8"/>
    <w:rsid w:val="00207FAA"/>
    <w:rsid w:val="00210D0A"/>
    <w:rsid w:val="00210D78"/>
    <w:rsid w:val="00212D19"/>
    <w:rsid w:val="0021382F"/>
    <w:rsid w:val="00213FD3"/>
    <w:rsid w:val="00213FED"/>
    <w:rsid w:val="00215208"/>
    <w:rsid w:val="0021529B"/>
    <w:rsid w:val="002158C1"/>
    <w:rsid w:val="00216D28"/>
    <w:rsid w:val="00217010"/>
    <w:rsid w:val="0021795A"/>
    <w:rsid w:val="0021797D"/>
    <w:rsid w:val="002204F0"/>
    <w:rsid w:val="00222D3D"/>
    <w:rsid w:val="002255D6"/>
    <w:rsid w:val="0023238C"/>
    <w:rsid w:val="00234DFD"/>
    <w:rsid w:val="002354CC"/>
    <w:rsid w:val="00235573"/>
    <w:rsid w:val="002356C8"/>
    <w:rsid w:val="00235EF8"/>
    <w:rsid w:val="002373B4"/>
    <w:rsid w:val="00237445"/>
    <w:rsid w:val="00240C56"/>
    <w:rsid w:val="00240D14"/>
    <w:rsid w:val="002410B8"/>
    <w:rsid w:val="00242A67"/>
    <w:rsid w:val="00242C39"/>
    <w:rsid w:val="00243B80"/>
    <w:rsid w:val="00244D8B"/>
    <w:rsid w:val="002450C9"/>
    <w:rsid w:val="002471F3"/>
    <w:rsid w:val="00247FBD"/>
    <w:rsid w:val="0025002F"/>
    <w:rsid w:val="00250440"/>
    <w:rsid w:val="00251121"/>
    <w:rsid w:val="00251200"/>
    <w:rsid w:val="002521CD"/>
    <w:rsid w:val="00252652"/>
    <w:rsid w:val="002533A1"/>
    <w:rsid w:val="00253D1A"/>
    <w:rsid w:val="002567B2"/>
    <w:rsid w:val="0025700A"/>
    <w:rsid w:val="002606D4"/>
    <w:rsid w:val="00262173"/>
    <w:rsid w:val="0026228F"/>
    <w:rsid w:val="00262DA7"/>
    <w:rsid w:val="00265D80"/>
    <w:rsid w:val="00267DBD"/>
    <w:rsid w:val="00270475"/>
    <w:rsid w:val="002722D7"/>
    <w:rsid w:val="0027383A"/>
    <w:rsid w:val="00273DC9"/>
    <w:rsid w:val="002750AA"/>
    <w:rsid w:val="00282C68"/>
    <w:rsid w:val="00284276"/>
    <w:rsid w:val="002843D5"/>
    <w:rsid w:val="002848B8"/>
    <w:rsid w:val="00284B0D"/>
    <w:rsid w:val="00286849"/>
    <w:rsid w:val="0028788F"/>
    <w:rsid w:val="0029125C"/>
    <w:rsid w:val="0029206C"/>
    <w:rsid w:val="00293027"/>
    <w:rsid w:val="00293274"/>
    <w:rsid w:val="00293EBE"/>
    <w:rsid w:val="002940D9"/>
    <w:rsid w:val="0029506B"/>
    <w:rsid w:val="0029547E"/>
    <w:rsid w:val="00295F93"/>
    <w:rsid w:val="002A0357"/>
    <w:rsid w:val="002A23FE"/>
    <w:rsid w:val="002A2F17"/>
    <w:rsid w:val="002A4D0C"/>
    <w:rsid w:val="002A616D"/>
    <w:rsid w:val="002A6F6E"/>
    <w:rsid w:val="002A7AA0"/>
    <w:rsid w:val="002A7DEE"/>
    <w:rsid w:val="002B13F1"/>
    <w:rsid w:val="002B1ACC"/>
    <w:rsid w:val="002B1D47"/>
    <w:rsid w:val="002B1D4F"/>
    <w:rsid w:val="002B227D"/>
    <w:rsid w:val="002B22E5"/>
    <w:rsid w:val="002B3C1D"/>
    <w:rsid w:val="002B433A"/>
    <w:rsid w:val="002B5824"/>
    <w:rsid w:val="002B67DC"/>
    <w:rsid w:val="002C0234"/>
    <w:rsid w:val="002C0F8B"/>
    <w:rsid w:val="002C3005"/>
    <w:rsid w:val="002C343B"/>
    <w:rsid w:val="002C3869"/>
    <w:rsid w:val="002C51D6"/>
    <w:rsid w:val="002C5BB3"/>
    <w:rsid w:val="002C5E94"/>
    <w:rsid w:val="002C731C"/>
    <w:rsid w:val="002C7B95"/>
    <w:rsid w:val="002D07FE"/>
    <w:rsid w:val="002D1823"/>
    <w:rsid w:val="002D3B35"/>
    <w:rsid w:val="002D55E4"/>
    <w:rsid w:val="002D6894"/>
    <w:rsid w:val="002E0E77"/>
    <w:rsid w:val="002E1D1D"/>
    <w:rsid w:val="002E2534"/>
    <w:rsid w:val="002E3856"/>
    <w:rsid w:val="002E3FE3"/>
    <w:rsid w:val="002E5B29"/>
    <w:rsid w:val="002E6505"/>
    <w:rsid w:val="002F08BC"/>
    <w:rsid w:val="002F127C"/>
    <w:rsid w:val="002F1D52"/>
    <w:rsid w:val="002F581F"/>
    <w:rsid w:val="002F5FDD"/>
    <w:rsid w:val="003017DD"/>
    <w:rsid w:val="003019C3"/>
    <w:rsid w:val="003022D9"/>
    <w:rsid w:val="0030291B"/>
    <w:rsid w:val="0030429E"/>
    <w:rsid w:val="00306667"/>
    <w:rsid w:val="00306BB2"/>
    <w:rsid w:val="003075BD"/>
    <w:rsid w:val="00310163"/>
    <w:rsid w:val="00310B53"/>
    <w:rsid w:val="00311034"/>
    <w:rsid w:val="00312F6F"/>
    <w:rsid w:val="003132F0"/>
    <w:rsid w:val="003138F8"/>
    <w:rsid w:val="00313906"/>
    <w:rsid w:val="00316026"/>
    <w:rsid w:val="00316256"/>
    <w:rsid w:val="00316F37"/>
    <w:rsid w:val="00320A0D"/>
    <w:rsid w:val="00321CBE"/>
    <w:rsid w:val="0032258C"/>
    <w:rsid w:val="00323A5A"/>
    <w:rsid w:val="0032412A"/>
    <w:rsid w:val="0032480A"/>
    <w:rsid w:val="003301BE"/>
    <w:rsid w:val="00336BF9"/>
    <w:rsid w:val="003377FC"/>
    <w:rsid w:val="00337E3E"/>
    <w:rsid w:val="0034033F"/>
    <w:rsid w:val="003417FD"/>
    <w:rsid w:val="00341CB5"/>
    <w:rsid w:val="003423A0"/>
    <w:rsid w:val="00342955"/>
    <w:rsid w:val="003442C0"/>
    <w:rsid w:val="003461B2"/>
    <w:rsid w:val="00346AF4"/>
    <w:rsid w:val="00353807"/>
    <w:rsid w:val="00354489"/>
    <w:rsid w:val="0035706A"/>
    <w:rsid w:val="00357A93"/>
    <w:rsid w:val="00360CEA"/>
    <w:rsid w:val="0036286A"/>
    <w:rsid w:val="00362C7B"/>
    <w:rsid w:val="00364CEB"/>
    <w:rsid w:val="00366F52"/>
    <w:rsid w:val="00367865"/>
    <w:rsid w:val="003702A8"/>
    <w:rsid w:val="003717AA"/>
    <w:rsid w:val="00371C38"/>
    <w:rsid w:val="0037468B"/>
    <w:rsid w:val="00376AF8"/>
    <w:rsid w:val="0037776C"/>
    <w:rsid w:val="00380CD6"/>
    <w:rsid w:val="0038456D"/>
    <w:rsid w:val="00384BD9"/>
    <w:rsid w:val="003859ED"/>
    <w:rsid w:val="0038615C"/>
    <w:rsid w:val="00386828"/>
    <w:rsid w:val="0038758F"/>
    <w:rsid w:val="00393038"/>
    <w:rsid w:val="003930D7"/>
    <w:rsid w:val="00393204"/>
    <w:rsid w:val="00394B55"/>
    <w:rsid w:val="00394DAB"/>
    <w:rsid w:val="0039582C"/>
    <w:rsid w:val="003A1187"/>
    <w:rsid w:val="003A1FA3"/>
    <w:rsid w:val="003A30A9"/>
    <w:rsid w:val="003A3720"/>
    <w:rsid w:val="003A43B9"/>
    <w:rsid w:val="003A4626"/>
    <w:rsid w:val="003A6D23"/>
    <w:rsid w:val="003A6FE3"/>
    <w:rsid w:val="003A7CCC"/>
    <w:rsid w:val="003B3A8E"/>
    <w:rsid w:val="003B47DA"/>
    <w:rsid w:val="003C05E2"/>
    <w:rsid w:val="003C0B1B"/>
    <w:rsid w:val="003C2649"/>
    <w:rsid w:val="003C29BA"/>
    <w:rsid w:val="003C6213"/>
    <w:rsid w:val="003C6352"/>
    <w:rsid w:val="003C7955"/>
    <w:rsid w:val="003D070B"/>
    <w:rsid w:val="003D1904"/>
    <w:rsid w:val="003D221B"/>
    <w:rsid w:val="003D31C7"/>
    <w:rsid w:val="003D4C81"/>
    <w:rsid w:val="003D5B02"/>
    <w:rsid w:val="003D5E95"/>
    <w:rsid w:val="003D6A34"/>
    <w:rsid w:val="003D6CCC"/>
    <w:rsid w:val="003D7577"/>
    <w:rsid w:val="003E12DB"/>
    <w:rsid w:val="003E410A"/>
    <w:rsid w:val="003E5CE2"/>
    <w:rsid w:val="003E6758"/>
    <w:rsid w:val="003E6D3B"/>
    <w:rsid w:val="003E73C2"/>
    <w:rsid w:val="003F1591"/>
    <w:rsid w:val="003F1A1C"/>
    <w:rsid w:val="003F260E"/>
    <w:rsid w:val="003F28B7"/>
    <w:rsid w:val="003F55CD"/>
    <w:rsid w:val="003F64C4"/>
    <w:rsid w:val="00400AA5"/>
    <w:rsid w:val="004015C3"/>
    <w:rsid w:val="004028A4"/>
    <w:rsid w:val="00403119"/>
    <w:rsid w:val="00403329"/>
    <w:rsid w:val="004050F6"/>
    <w:rsid w:val="00406D56"/>
    <w:rsid w:val="00411403"/>
    <w:rsid w:val="004115A8"/>
    <w:rsid w:val="004133DB"/>
    <w:rsid w:val="004135DF"/>
    <w:rsid w:val="00413C57"/>
    <w:rsid w:val="0041403E"/>
    <w:rsid w:val="00414412"/>
    <w:rsid w:val="00416EF0"/>
    <w:rsid w:val="00417F0D"/>
    <w:rsid w:val="00420497"/>
    <w:rsid w:val="0042120A"/>
    <w:rsid w:val="004216A8"/>
    <w:rsid w:val="004217D2"/>
    <w:rsid w:val="0042345C"/>
    <w:rsid w:val="00423470"/>
    <w:rsid w:val="0042361D"/>
    <w:rsid w:val="00424BA0"/>
    <w:rsid w:val="004278C6"/>
    <w:rsid w:val="0043057C"/>
    <w:rsid w:val="00434763"/>
    <w:rsid w:val="00434FA0"/>
    <w:rsid w:val="00435802"/>
    <w:rsid w:val="00436216"/>
    <w:rsid w:val="00437191"/>
    <w:rsid w:val="004371E1"/>
    <w:rsid w:val="00440FD8"/>
    <w:rsid w:val="00441267"/>
    <w:rsid w:val="00441820"/>
    <w:rsid w:val="00441DDC"/>
    <w:rsid w:val="00442842"/>
    <w:rsid w:val="00443DB5"/>
    <w:rsid w:val="004477BA"/>
    <w:rsid w:val="00451582"/>
    <w:rsid w:val="004523D9"/>
    <w:rsid w:val="004523FC"/>
    <w:rsid w:val="00454BC3"/>
    <w:rsid w:val="00455A63"/>
    <w:rsid w:val="004619EF"/>
    <w:rsid w:val="004633DC"/>
    <w:rsid w:val="00463DE2"/>
    <w:rsid w:val="00463FA6"/>
    <w:rsid w:val="00464353"/>
    <w:rsid w:val="004668A5"/>
    <w:rsid w:val="004676DB"/>
    <w:rsid w:val="00470D76"/>
    <w:rsid w:val="00471192"/>
    <w:rsid w:val="00472769"/>
    <w:rsid w:val="00481EB8"/>
    <w:rsid w:val="0048202D"/>
    <w:rsid w:val="00484BE8"/>
    <w:rsid w:val="004861D1"/>
    <w:rsid w:val="00487BD9"/>
    <w:rsid w:val="00492AED"/>
    <w:rsid w:val="00494873"/>
    <w:rsid w:val="00495780"/>
    <w:rsid w:val="00495CC0"/>
    <w:rsid w:val="00495EF7"/>
    <w:rsid w:val="004962A2"/>
    <w:rsid w:val="00496CA3"/>
    <w:rsid w:val="00496CD7"/>
    <w:rsid w:val="0049714D"/>
    <w:rsid w:val="00497C86"/>
    <w:rsid w:val="004A3132"/>
    <w:rsid w:val="004A358F"/>
    <w:rsid w:val="004A38A8"/>
    <w:rsid w:val="004A5A66"/>
    <w:rsid w:val="004A5D2E"/>
    <w:rsid w:val="004A5DD6"/>
    <w:rsid w:val="004A6ED4"/>
    <w:rsid w:val="004B0C5C"/>
    <w:rsid w:val="004B1232"/>
    <w:rsid w:val="004B19BB"/>
    <w:rsid w:val="004B1A2C"/>
    <w:rsid w:val="004B4081"/>
    <w:rsid w:val="004B4B7D"/>
    <w:rsid w:val="004B4F5C"/>
    <w:rsid w:val="004B68F7"/>
    <w:rsid w:val="004B7911"/>
    <w:rsid w:val="004C1888"/>
    <w:rsid w:val="004C24B9"/>
    <w:rsid w:val="004C3990"/>
    <w:rsid w:val="004C6D91"/>
    <w:rsid w:val="004C7EBB"/>
    <w:rsid w:val="004D04B9"/>
    <w:rsid w:val="004D2913"/>
    <w:rsid w:val="004D2F25"/>
    <w:rsid w:val="004D56C8"/>
    <w:rsid w:val="004D5990"/>
    <w:rsid w:val="004D6E62"/>
    <w:rsid w:val="004D6F3E"/>
    <w:rsid w:val="004D701B"/>
    <w:rsid w:val="004E1BAF"/>
    <w:rsid w:val="004E1C16"/>
    <w:rsid w:val="004E1EF8"/>
    <w:rsid w:val="004E208A"/>
    <w:rsid w:val="004E3092"/>
    <w:rsid w:val="004E36FA"/>
    <w:rsid w:val="004E37AD"/>
    <w:rsid w:val="004E4BAD"/>
    <w:rsid w:val="004E4D2B"/>
    <w:rsid w:val="004E4EA0"/>
    <w:rsid w:val="004E50F3"/>
    <w:rsid w:val="004E5EC0"/>
    <w:rsid w:val="004E75EA"/>
    <w:rsid w:val="004E7EE5"/>
    <w:rsid w:val="004F05F4"/>
    <w:rsid w:val="004F062D"/>
    <w:rsid w:val="004F0804"/>
    <w:rsid w:val="004F1480"/>
    <w:rsid w:val="004F1AD6"/>
    <w:rsid w:val="004F20A6"/>
    <w:rsid w:val="004F24F7"/>
    <w:rsid w:val="004F2876"/>
    <w:rsid w:val="004F2D78"/>
    <w:rsid w:val="004F364D"/>
    <w:rsid w:val="004F38E2"/>
    <w:rsid w:val="004F6415"/>
    <w:rsid w:val="004F642D"/>
    <w:rsid w:val="004F769B"/>
    <w:rsid w:val="0050308C"/>
    <w:rsid w:val="005032F1"/>
    <w:rsid w:val="0050468D"/>
    <w:rsid w:val="00504B78"/>
    <w:rsid w:val="00504EA1"/>
    <w:rsid w:val="00505BBA"/>
    <w:rsid w:val="00510D9C"/>
    <w:rsid w:val="005122D6"/>
    <w:rsid w:val="0051264D"/>
    <w:rsid w:val="005128C0"/>
    <w:rsid w:val="00512AB7"/>
    <w:rsid w:val="00515059"/>
    <w:rsid w:val="00515811"/>
    <w:rsid w:val="005223A1"/>
    <w:rsid w:val="00526ADF"/>
    <w:rsid w:val="005304F7"/>
    <w:rsid w:val="005308D2"/>
    <w:rsid w:val="00531201"/>
    <w:rsid w:val="00531E7B"/>
    <w:rsid w:val="00532655"/>
    <w:rsid w:val="00533DF3"/>
    <w:rsid w:val="0054079F"/>
    <w:rsid w:val="00540A74"/>
    <w:rsid w:val="00541D6F"/>
    <w:rsid w:val="00544D84"/>
    <w:rsid w:val="00545023"/>
    <w:rsid w:val="005458DB"/>
    <w:rsid w:val="005478CC"/>
    <w:rsid w:val="0055006E"/>
    <w:rsid w:val="00550BC7"/>
    <w:rsid w:val="00551E44"/>
    <w:rsid w:val="0055378E"/>
    <w:rsid w:val="00553C0E"/>
    <w:rsid w:val="0055483E"/>
    <w:rsid w:val="005576FF"/>
    <w:rsid w:val="0056132E"/>
    <w:rsid w:val="005614CD"/>
    <w:rsid w:val="005619E0"/>
    <w:rsid w:val="005625C8"/>
    <w:rsid w:val="00562CE2"/>
    <w:rsid w:val="00563334"/>
    <w:rsid w:val="00563ED5"/>
    <w:rsid w:val="00566C47"/>
    <w:rsid w:val="00567059"/>
    <w:rsid w:val="0056725C"/>
    <w:rsid w:val="0057046A"/>
    <w:rsid w:val="00570566"/>
    <w:rsid w:val="00572910"/>
    <w:rsid w:val="00573487"/>
    <w:rsid w:val="005739E7"/>
    <w:rsid w:val="0057411D"/>
    <w:rsid w:val="00574CDD"/>
    <w:rsid w:val="00575DF1"/>
    <w:rsid w:val="00577960"/>
    <w:rsid w:val="0058273C"/>
    <w:rsid w:val="00582B99"/>
    <w:rsid w:val="005840E3"/>
    <w:rsid w:val="00584B51"/>
    <w:rsid w:val="00584F59"/>
    <w:rsid w:val="005857A8"/>
    <w:rsid w:val="00585B14"/>
    <w:rsid w:val="00585C57"/>
    <w:rsid w:val="00585FA6"/>
    <w:rsid w:val="00586AA9"/>
    <w:rsid w:val="00590A34"/>
    <w:rsid w:val="00591B45"/>
    <w:rsid w:val="0059259A"/>
    <w:rsid w:val="005956AA"/>
    <w:rsid w:val="0059794B"/>
    <w:rsid w:val="005A1AB5"/>
    <w:rsid w:val="005A1FAF"/>
    <w:rsid w:val="005A236F"/>
    <w:rsid w:val="005A3036"/>
    <w:rsid w:val="005A3547"/>
    <w:rsid w:val="005A3F43"/>
    <w:rsid w:val="005A6D75"/>
    <w:rsid w:val="005B3741"/>
    <w:rsid w:val="005B5CC9"/>
    <w:rsid w:val="005C1902"/>
    <w:rsid w:val="005C195F"/>
    <w:rsid w:val="005C1F25"/>
    <w:rsid w:val="005C1F45"/>
    <w:rsid w:val="005C2639"/>
    <w:rsid w:val="005C444B"/>
    <w:rsid w:val="005C4C2A"/>
    <w:rsid w:val="005C5AE1"/>
    <w:rsid w:val="005C5E7C"/>
    <w:rsid w:val="005C7046"/>
    <w:rsid w:val="005D0354"/>
    <w:rsid w:val="005D1395"/>
    <w:rsid w:val="005D17B6"/>
    <w:rsid w:val="005D3157"/>
    <w:rsid w:val="005D4805"/>
    <w:rsid w:val="005D5ABE"/>
    <w:rsid w:val="005D5F25"/>
    <w:rsid w:val="005E2808"/>
    <w:rsid w:val="005E2D4F"/>
    <w:rsid w:val="005E3AF5"/>
    <w:rsid w:val="005E3E67"/>
    <w:rsid w:val="005E6542"/>
    <w:rsid w:val="005E6AE4"/>
    <w:rsid w:val="005E7729"/>
    <w:rsid w:val="005E7AE8"/>
    <w:rsid w:val="005F0360"/>
    <w:rsid w:val="005F0583"/>
    <w:rsid w:val="005F0A3E"/>
    <w:rsid w:val="005F1A1E"/>
    <w:rsid w:val="005F3E96"/>
    <w:rsid w:val="005F4552"/>
    <w:rsid w:val="005F51FF"/>
    <w:rsid w:val="005F7749"/>
    <w:rsid w:val="005F7CFE"/>
    <w:rsid w:val="00600EB7"/>
    <w:rsid w:val="006037AE"/>
    <w:rsid w:val="00605593"/>
    <w:rsid w:val="00605BCC"/>
    <w:rsid w:val="00606684"/>
    <w:rsid w:val="00607E7C"/>
    <w:rsid w:val="00610344"/>
    <w:rsid w:val="00615A5E"/>
    <w:rsid w:val="0061637B"/>
    <w:rsid w:val="006175C3"/>
    <w:rsid w:val="00622125"/>
    <w:rsid w:val="00622517"/>
    <w:rsid w:val="00632C6D"/>
    <w:rsid w:val="00633C4E"/>
    <w:rsid w:val="00635C6D"/>
    <w:rsid w:val="00635F94"/>
    <w:rsid w:val="00636299"/>
    <w:rsid w:val="00636F53"/>
    <w:rsid w:val="006372A0"/>
    <w:rsid w:val="00637ADF"/>
    <w:rsid w:val="00637D9C"/>
    <w:rsid w:val="00640309"/>
    <w:rsid w:val="00640DF7"/>
    <w:rsid w:val="00641781"/>
    <w:rsid w:val="00642EE7"/>
    <w:rsid w:val="006438FE"/>
    <w:rsid w:val="006455AE"/>
    <w:rsid w:val="00645953"/>
    <w:rsid w:val="00646167"/>
    <w:rsid w:val="0065072A"/>
    <w:rsid w:val="006539C8"/>
    <w:rsid w:val="00653DDD"/>
    <w:rsid w:val="0065491A"/>
    <w:rsid w:val="00656E51"/>
    <w:rsid w:val="00657D6C"/>
    <w:rsid w:val="006626EF"/>
    <w:rsid w:val="0066492D"/>
    <w:rsid w:val="00664A55"/>
    <w:rsid w:val="00670F0D"/>
    <w:rsid w:val="00671409"/>
    <w:rsid w:val="00671F39"/>
    <w:rsid w:val="006733DC"/>
    <w:rsid w:val="00674A7E"/>
    <w:rsid w:val="00674C91"/>
    <w:rsid w:val="00674D1D"/>
    <w:rsid w:val="00674DA5"/>
    <w:rsid w:val="00674F6A"/>
    <w:rsid w:val="00677213"/>
    <w:rsid w:val="006802F6"/>
    <w:rsid w:val="00680598"/>
    <w:rsid w:val="00680C3D"/>
    <w:rsid w:val="00682388"/>
    <w:rsid w:val="00682A25"/>
    <w:rsid w:val="00683040"/>
    <w:rsid w:val="0068371D"/>
    <w:rsid w:val="00684BDF"/>
    <w:rsid w:val="006854EE"/>
    <w:rsid w:val="00686DED"/>
    <w:rsid w:val="00687EA8"/>
    <w:rsid w:val="00691E44"/>
    <w:rsid w:val="00691EFB"/>
    <w:rsid w:val="006935CA"/>
    <w:rsid w:val="0069360F"/>
    <w:rsid w:val="0069401B"/>
    <w:rsid w:val="00694BDB"/>
    <w:rsid w:val="00697C83"/>
    <w:rsid w:val="006A0269"/>
    <w:rsid w:val="006A08A0"/>
    <w:rsid w:val="006A1912"/>
    <w:rsid w:val="006A1944"/>
    <w:rsid w:val="006A2AC8"/>
    <w:rsid w:val="006A3D82"/>
    <w:rsid w:val="006A41DE"/>
    <w:rsid w:val="006A51EA"/>
    <w:rsid w:val="006A5A14"/>
    <w:rsid w:val="006A5C4F"/>
    <w:rsid w:val="006A6A94"/>
    <w:rsid w:val="006B053C"/>
    <w:rsid w:val="006B08CB"/>
    <w:rsid w:val="006B1BC7"/>
    <w:rsid w:val="006B1E08"/>
    <w:rsid w:val="006B2DBA"/>
    <w:rsid w:val="006B43B1"/>
    <w:rsid w:val="006B448A"/>
    <w:rsid w:val="006B5260"/>
    <w:rsid w:val="006B5B79"/>
    <w:rsid w:val="006B5F99"/>
    <w:rsid w:val="006B64B2"/>
    <w:rsid w:val="006B7973"/>
    <w:rsid w:val="006B7DB3"/>
    <w:rsid w:val="006C1F25"/>
    <w:rsid w:val="006C2683"/>
    <w:rsid w:val="006C2803"/>
    <w:rsid w:val="006C2D84"/>
    <w:rsid w:val="006C30AF"/>
    <w:rsid w:val="006C5C72"/>
    <w:rsid w:val="006C61BB"/>
    <w:rsid w:val="006D12AD"/>
    <w:rsid w:val="006D1682"/>
    <w:rsid w:val="006D172B"/>
    <w:rsid w:val="006D1B8B"/>
    <w:rsid w:val="006D2B3F"/>
    <w:rsid w:val="006D3E6E"/>
    <w:rsid w:val="006D4108"/>
    <w:rsid w:val="006D47E8"/>
    <w:rsid w:val="006D7E50"/>
    <w:rsid w:val="006E00BA"/>
    <w:rsid w:val="006E0DFA"/>
    <w:rsid w:val="006E19E7"/>
    <w:rsid w:val="006E264F"/>
    <w:rsid w:val="006E28F4"/>
    <w:rsid w:val="006E3068"/>
    <w:rsid w:val="006E3B7C"/>
    <w:rsid w:val="006E753E"/>
    <w:rsid w:val="006F0C40"/>
    <w:rsid w:val="006F100E"/>
    <w:rsid w:val="006F3594"/>
    <w:rsid w:val="006F4486"/>
    <w:rsid w:val="006F65B4"/>
    <w:rsid w:val="006F6FDC"/>
    <w:rsid w:val="006F7BF9"/>
    <w:rsid w:val="007002B2"/>
    <w:rsid w:val="00700D01"/>
    <w:rsid w:val="00700FF4"/>
    <w:rsid w:val="00701C1E"/>
    <w:rsid w:val="00701C35"/>
    <w:rsid w:val="007020B0"/>
    <w:rsid w:val="00704784"/>
    <w:rsid w:val="0070552B"/>
    <w:rsid w:val="00705BAA"/>
    <w:rsid w:val="00706D35"/>
    <w:rsid w:val="00707910"/>
    <w:rsid w:val="00710A5E"/>
    <w:rsid w:val="00712209"/>
    <w:rsid w:val="007122EB"/>
    <w:rsid w:val="00712F9D"/>
    <w:rsid w:val="0071368A"/>
    <w:rsid w:val="00713932"/>
    <w:rsid w:val="007148C2"/>
    <w:rsid w:val="007168FF"/>
    <w:rsid w:val="00716A48"/>
    <w:rsid w:val="00720C10"/>
    <w:rsid w:val="00721CA7"/>
    <w:rsid w:val="007244B3"/>
    <w:rsid w:val="007313DE"/>
    <w:rsid w:val="00732897"/>
    <w:rsid w:val="0073504A"/>
    <w:rsid w:val="00735117"/>
    <w:rsid w:val="00736598"/>
    <w:rsid w:val="00737BFE"/>
    <w:rsid w:val="0074117B"/>
    <w:rsid w:val="00742056"/>
    <w:rsid w:val="007429EB"/>
    <w:rsid w:val="00743078"/>
    <w:rsid w:val="00745CC7"/>
    <w:rsid w:val="007461A2"/>
    <w:rsid w:val="0074692D"/>
    <w:rsid w:val="007519DC"/>
    <w:rsid w:val="00752732"/>
    <w:rsid w:val="00752D82"/>
    <w:rsid w:val="00753082"/>
    <w:rsid w:val="00754384"/>
    <w:rsid w:val="007555AA"/>
    <w:rsid w:val="00756DE1"/>
    <w:rsid w:val="00756E01"/>
    <w:rsid w:val="00757AE6"/>
    <w:rsid w:val="00762EE1"/>
    <w:rsid w:val="00763422"/>
    <w:rsid w:val="00765AE4"/>
    <w:rsid w:val="007722B4"/>
    <w:rsid w:val="00776FA1"/>
    <w:rsid w:val="00777917"/>
    <w:rsid w:val="007836AF"/>
    <w:rsid w:val="00783A80"/>
    <w:rsid w:val="007853A1"/>
    <w:rsid w:val="007869B2"/>
    <w:rsid w:val="007872EB"/>
    <w:rsid w:val="00787385"/>
    <w:rsid w:val="00791293"/>
    <w:rsid w:val="00791B5E"/>
    <w:rsid w:val="00791C55"/>
    <w:rsid w:val="00792716"/>
    <w:rsid w:val="00792A05"/>
    <w:rsid w:val="00792E8F"/>
    <w:rsid w:val="00794CBA"/>
    <w:rsid w:val="00795319"/>
    <w:rsid w:val="00796283"/>
    <w:rsid w:val="00796AD3"/>
    <w:rsid w:val="00797E72"/>
    <w:rsid w:val="007A0A17"/>
    <w:rsid w:val="007A0AAB"/>
    <w:rsid w:val="007A2184"/>
    <w:rsid w:val="007A3023"/>
    <w:rsid w:val="007A4EA1"/>
    <w:rsid w:val="007A5FFF"/>
    <w:rsid w:val="007A64FB"/>
    <w:rsid w:val="007B0249"/>
    <w:rsid w:val="007B0573"/>
    <w:rsid w:val="007B2389"/>
    <w:rsid w:val="007B6C2D"/>
    <w:rsid w:val="007B7E01"/>
    <w:rsid w:val="007C2306"/>
    <w:rsid w:val="007C3A84"/>
    <w:rsid w:val="007C3F39"/>
    <w:rsid w:val="007C4024"/>
    <w:rsid w:val="007C55BA"/>
    <w:rsid w:val="007C5AC6"/>
    <w:rsid w:val="007C5D11"/>
    <w:rsid w:val="007C7088"/>
    <w:rsid w:val="007D06AA"/>
    <w:rsid w:val="007D266C"/>
    <w:rsid w:val="007D29A4"/>
    <w:rsid w:val="007D3F90"/>
    <w:rsid w:val="007E0AD7"/>
    <w:rsid w:val="007E159C"/>
    <w:rsid w:val="007E187D"/>
    <w:rsid w:val="007E2124"/>
    <w:rsid w:val="007E2A37"/>
    <w:rsid w:val="007E2B41"/>
    <w:rsid w:val="007E4627"/>
    <w:rsid w:val="007E7D4A"/>
    <w:rsid w:val="007F310B"/>
    <w:rsid w:val="007F36E1"/>
    <w:rsid w:val="007F4013"/>
    <w:rsid w:val="007F69EC"/>
    <w:rsid w:val="007F74DE"/>
    <w:rsid w:val="007F78C5"/>
    <w:rsid w:val="007F7E7E"/>
    <w:rsid w:val="00803799"/>
    <w:rsid w:val="0080380B"/>
    <w:rsid w:val="00803C09"/>
    <w:rsid w:val="00807971"/>
    <w:rsid w:val="0081225D"/>
    <w:rsid w:val="008157D3"/>
    <w:rsid w:val="00816AC0"/>
    <w:rsid w:val="00816C75"/>
    <w:rsid w:val="00816C91"/>
    <w:rsid w:val="00820174"/>
    <w:rsid w:val="008203BE"/>
    <w:rsid w:val="008207C3"/>
    <w:rsid w:val="0082280A"/>
    <w:rsid w:val="0082482C"/>
    <w:rsid w:val="008257AA"/>
    <w:rsid w:val="00830116"/>
    <w:rsid w:val="00831899"/>
    <w:rsid w:val="00834133"/>
    <w:rsid w:val="00834D7B"/>
    <w:rsid w:val="008368A2"/>
    <w:rsid w:val="00836FA9"/>
    <w:rsid w:val="008415DF"/>
    <w:rsid w:val="00841AD3"/>
    <w:rsid w:val="00841C47"/>
    <w:rsid w:val="00842BF4"/>
    <w:rsid w:val="00843C98"/>
    <w:rsid w:val="0084422C"/>
    <w:rsid w:val="008446D8"/>
    <w:rsid w:val="008455BD"/>
    <w:rsid w:val="00845A02"/>
    <w:rsid w:val="00847A38"/>
    <w:rsid w:val="00851765"/>
    <w:rsid w:val="00852B1C"/>
    <w:rsid w:val="00853A11"/>
    <w:rsid w:val="00853DBA"/>
    <w:rsid w:val="00854E2D"/>
    <w:rsid w:val="0085539B"/>
    <w:rsid w:val="0086105D"/>
    <w:rsid w:val="00863082"/>
    <w:rsid w:val="008632F7"/>
    <w:rsid w:val="00864AA1"/>
    <w:rsid w:val="008667A6"/>
    <w:rsid w:val="00867011"/>
    <w:rsid w:val="00867F93"/>
    <w:rsid w:val="00870481"/>
    <w:rsid w:val="00874EC9"/>
    <w:rsid w:val="00875211"/>
    <w:rsid w:val="00875F46"/>
    <w:rsid w:val="00876F1D"/>
    <w:rsid w:val="008815F0"/>
    <w:rsid w:val="0088316D"/>
    <w:rsid w:val="00883649"/>
    <w:rsid w:val="008837EA"/>
    <w:rsid w:val="00885A52"/>
    <w:rsid w:val="00887887"/>
    <w:rsid w:val="00890152"/>
    <w:rsid w:val="00890E83"/>
    <w:rsid w:val="008910F4"/>
    <w:rsid w:val="008916F9"/>
    <w:rsid w:val="00891E36"/>
    <w:rsid w:val="0089248D"/>
    <w:rsid w:val="00893739"/>
    <w:rsid w:val="00894050"/>
    <w:rsid w:val="008950E2"/>
    <w:rsid w:val="008A0203"/>
    <w:rsid w:val="008A1220"/>
    <w:rsid w:val="008A33EC"/>
    <w:rsid w:val="008A37E8"/>
    <w:rsid w:val="008A3DF8"/>
    <w:rsid w:val="008A3FA4"/>
    <w:rsid w:val="008A7FCD"/>
    <w:rsid w:val="008B259E"/>
    <w:rsid w:val="008B2D90"/>
    <w:rsid w:val="008B4BA0"/>
    <w:rsid w:val="008B6C72"/>
    <w:rsid w:val="008B7270"/>
    <w:rsid w:val="008C04FE"/>
    <w:rsid w:val="008C34F0"/>
    <w:rsid w:val="008C3565"/>
    <w:rsid w:val="008C4984"/>
    <w:rsid w:val="008C63C7"/>
    <w:rsid w:val="008C6416"/>
    <w:rsid w:val="008C7553"/>
    <w:rsid w:val="008C765A"/>
    <w:rsid w:val="008C7C16"/>
    <w:rsid w:val="008D1ECF"/>
    <w:rsid w:val="008D2A90"/>
    <w:rsid w:val="008D336A"/>
    <w:rsid w:val="008D51BC"/>
    <w:rsid w:val="008D5327"/>
    <w:rsid w:val="008D6448"/>
    <w:rsid w:val="008D652F"/>
    <w:rsid w:val="008D6ABE"/>
    <w:rsid w:val="008D7E67"/>
    <w:rsid w:val="008E15B8"/>
    <w:rsid w:val="008E1B61"/>
    <w:rsid w:val="008E3B90"/>
    <w:rsid w:val="008E48D8"/>
    <w:rsid w:val="008E490E"/>
    <w:rsid w:val="008E5D49"/>
    <w:rsid w:val="008E7C06"/>
    <w:rsid w:val="008F17E2"/>
    <w:rsid w:val="008F1F24"/>
    <w:rsid w:val="008F2D56"/>
    <w:rsid w:val="008F5029"/>
    <w:rsid w:val="008F74DE"/>
    <w:rsid w:val="009017A9"/>
    <w:rsid w:val="00901FBA"/>
    <w:rsid w:val="00902066"/>
    <w:rsid w:val="00903432"/>
    <w:rsid w:val="0090478B"/>
    <w:rsid w:val="00904827"/>
    <w:rsid w:val="00904E27"/>
    <w:rsid w:val="00904FDE"/>
    <w:rsid w:val="009079B5"/>
    <w:rsid w:val="00907CE9"/>
    <w:rsid w:val="0091357C"/>
    <w:rsid w:val="00913CA0"/>
    <w:rsid w:val="0091465E"/>
    <w:rsid w:val="00914947"/>
    <w:rsid w:val="009169C0"/>
    <w:rsid w:val="009176BC"/>
    <w:rsid w:val="009211CF"/>
    <w:rsid w:val="00921FED"/>
    <w:rsid w:val="009222FB"/>
    <w:rsid w:val="00922A5A"/>
    <w:rsid w:val="00924530"/>
    <w:rsid w:val="00925881"/>
    <w:rsid w:val="00930E61"/>
    <w:rsid w:val="009316DA"/>
    <w:rsid w:val="00931BE5"/>
    <w:rsid w:val="00931C3C"/>
    <w:rsid w:val="00931E05"/>
    <w:rsid w:val="009332DA"/>
    <w:rsid w:val="0093348D"/>
    <w:rsid w:val="0093406B"/>
    <w:rsid w:val="009340F3"/>
    <w:rsid w:val="00936D82"/>
    <w:rsid w:val="0093742D"/>
    <w:rsid w:val="00940F82"/>
    <w:rsid w:val="0094138F"/>
    <w:rsid w:val="0094175A"/>
    <w:rsid w:val="009420A4"/>
    <w:rsid w:val="00944B3C"/>
    <w:rsid w:val="009462A4"/>
    <w:rsid w:val="00946C0D"/>
    <w:rsid w:val="00946DA7"/>
    <w:rsid w:val="009475AC"/>
    <w:rsid w:val="00950243"/>
    <w:rsid w:val="00950B25"/>
    <w:rsid w:val="00951C4D"/>
    <w:rsid w:val="00954021"/>
    <w:rsid w:val="009542ED"/>
    <w:rsid w:val="0095435C"/>
    <w:rsid w:val="00955C73"/>
    <w:rsid w:val="00956C31"/>
    <w:rsid w:val="009576F1"/>
    <w:rsid w:val="00957AD4"/>
    <w:rsid w:val="00960C8E"/>
    <w:rsid w:val="00961A5A"/>
    <w:rsid w:val="00963083"/>
    <w:rsid w:val="009640DF"/>
    <w:rsid w:val="00964739"/>
    <w:rsid w:val="00966595"/>
    <w:rsid w:val="009668A7"/>
    <w:rsid w:val="00966C92"/>
    <w:rsid w:val="0096785B"/>
    <w:rsid w:val="00970558"/>
    <w:rsid w:val="009717BD"/>
    <w:rsid w:val="00972A04"/>
    <w:rsid w:val="009730CA"/>
    <w:rsid w:val="00973A3A"/>
    <w:rsid w:val="00976350"/>
    <w:rsid w:val="00977058"/>
    <w:rsid w:val="00977553"/>
    <w:rsid w:val="00981E94"/>
    <w:rsid w:val="009836C0"/>
    <w:rsid w:val="00983FFE"/>
    <w:rsid w:val="00984DC9"/>
    <w:rsid w:val="00984E11"/>
    <w:rsid w:val="00985432"/>
    <w:rsid w:val="0099321C"/>
    <w:rsid w:val="009945D7"/>
    <w:rsid w:val="00995465"/>
    <w:rsid w:val="009A03B0"/>
    <w:rsid w:val="009A07C4"/>
    <w:rsid w:val="009A15BC"/>
    <w:rsid w:val="009A3AB9"/>
    <w:rsid w:val="009A4C47"/>
    <w:rsid w:val="009A4CAE"/>
    <w:rsid w:val="009A575B"/>
    <w:rsid w:val="009A6048"/>
    <w:rsid w:val="009A63A7"/>
    <w:rsid w:val="009A6520"/>
    <w:rsid w:val="009B12F3"/>
    <w:rsid w:val="009B486D"/>
    <w:rsid w:val="009B5329"/>
    <w:rsid w:val="009B5BEE"/>
    <w:rsid w:val="009B6A91"/>
    <w:rsid w:val="009B7CD2"/>
    <w:rsid w:val="009C1F85"/>
    <w:rsid w:val="009C2427"/>
    <w:rsid w:val="009C2F69"/>
    <w:rsid w:val="009C4547"/>
    <w:rsid w:val="009C4BA5"/>
    <w:rsid w:val="009C60F1"/>
    <w:rsid w:val="009C61A8"/>
    <w:rsid w:val="009D03AC"/>
    <w:rsid w:val="009D062B"/>
    <w:rsid w:val="009D300C"/>
    <w:rsid w:val="009D477E"/>
    <w:rsid w:val="009D4787"/>
    <w:rsid w:val="009D5618"/>
    <w:rsid w:val="009D5988"/>
    <w:rsid w:val="009D5C9D"/>
    <w:rsid w:val="009D66B1"/>
    <w:rsid w:val="009D74CC"/>
    <w:rsid w:val="009E03CA"/>
    <w:rsid w:val="009E0FC2"/>
    <w:rsid w:val="009E13C0"/>
    <w:rsid w:val="009E3534"/>
    <w:rsid w:val="009E507A"/>
    <w:rsid w:val="009F0817"/>
    <w:rsid w:val="009F0A94"/>
    <w:rsid w:val="009F0F26"/>
    <w:rsid w:val="009F239A"/>
    <w:rsid w:val="009F2890"/>
    <w:rsid w:val="009F3111"/>
    <w:rsid w:val="009F39FC"/>
    <w:rsid w:val="009F3B39"/>
    <w:rsid w:val="009F41F1"/>
    <w:rsid w:val="009F4ADF"/>
    <w:rsid w:val="009F4D21"/>
    <w:rsid w:val="009F5880"/>
    <w:rsid w:val="009F5959"/>
    <w:rsid w:val="00A03827"/>
    <w:rsid w:val="00A04250"/>
    <w:rsid w:val="00A058FF"/>
    <w:rsid w:val="00A109C8"/>
    <w:rsid w:val="00A10F1D"/>
    <w:rsid w:val="00A11FE7"/>
    <w:rsid w:val="00A15EBA"/>
    <w:rsid w:val="00A160B1"/>
    <w:rsid w:val="00A160FD"/>
    <w:rsid w:val="00A1647D"/>
    <w:rsid w:val="00A22CDC"/>
    <w:rsid w:val="00A2320F"/>
    <w:rsid w:val="00A25179"/>
    <w:rsid w:val="00A25545"/>
    <w:rsid w:val="00A26235"/>
    <w:rsid w:val="00A27E42"/>
    <w:rsid w:val="00A31CB3"/>
    <w:rsid w:val="00A31E3F"/>
    <w:rsid w:val="00A331F2"/>
    <w:rsid w:val="00A33257"/>
    <w:rsid w:val="00A35B97"/>
    <w:rsid w:val="00A35CCE"/>
    <w:rsid w:val="00A36782"/>
    <w:rsid w:val="00A40110"/>
    <w:rsid w:val="00A4023A"/>
    <w:rsid w:val="00A413FD"/>
    <w:rsid w:val="00A4561A"/>
    <w:rsid w:val="00A4675D"/>
    <w:rsid w:val="00A4774B"/>
    <w:rsid w:val="00A47F2C"/>
    <w:rsid w:val="00A51A88"/>
    <w:rsid w:val="00A51C0A"/>
    <w:rsid w:val="00A5253A"/>
    <w:rsid w:val="00A53B2E"/>
    <w:rsid w:val="00A55292"/>
    <w:rsid w:val="00A55D32"/>
    <w:rsid w:val="00A56321"/>
    <w:rsid w:val="00A56494"/>
    <w:rsid w:val="00A565D4"/>
    <w:rsid w:val="00A569EE"/>
    <w:rsid w:val="00A57D15"/>
    <w:rsid w:val="00A57D65"/>
    <w:rsid w:val="00A609A8"/>
    <w:rsid w:val="00A61046"/>
    <w:rsid w:val="00A61293"/>
    <w:rsid w:val="00A62B00"/>
    <w:rsid w:val="00A64B90"/>
    <w:rsid w:val="00A6549B"/>
    <w:rsid w:val="00A6730B"/>
    <w:rsid w:val="00A67748"/>
    <w:rsid w:val="00A67B8F"/>
    <w:rsid w:val="00A67E00"/>
    <w:rsid w:val="00A7320C"/>
    <w:rsid w:val="00A7593B"/>
    <w:rsid w:val="00A7664C"/>
    <w:rsid w:val="00A77393"/>
    <w:rsid w:val="00A80462"/>
    <w:rsid w:val="00A80B49"/>
    <w:rsid w:val="00A821EB"/>
    <w:rsid w:val="00A82345"/>
    <w:rsid w:val="00A82368"/>
    <w:rsid w:val="00A84EBE"/>
    <w:rsid w:val="00A90B0D"/>
    <w:rsid w:val="00A91640"/>
    <w:rsid w:val="00A9203E"/>
    <w:rsid w:val="00A93975"/>
    <w:rsid w:val="00A93EB8"/>
    <w:rsid w:val="00A974E7"/>
    <w:rsid w:val="00AA209E"/>
    <w:rsid w:val="00AA255C"/>
    <w:rsid w:val="00AA4066"/>
    <w:rsid w:val="00AA41A8"/>
    <w:rsid w:val="00AA509B"/>
    <w:rsid w:val="00AA5C19"/>
    <w:rsid w:val="00AA626F"/>
    <w:rsid w:val="00AA6685"/>
    <w:rsid w:val="00AA6727"/>
    <w:rsid w:val="00AA71D0"/>
    <w:rsid w:val="00AB0236"/>
    <w:rsid w:val="00AB034A"/>
    <w:rsid w:val="00AB03F5"/>
    <w:rsid w:val="00AB124F"/>
    <w:rsid w:val="00AB345A"/>
    <w:rsid w:val="00AB3942"/>
    <w:rsid w:val="00AB46FB"/>
    <w:rsid w:val="00AB684F"/>
    <w:rsid w:val="00AB73EB"/>
    <w:rsid w:val="00AB7D1D"/>
    <w:rsid w:val="00AC0770"/>
    <w:rsid w:val="00AC3C61"/>
    <w:rsid w:val="00AC4510"/>
    <w:rsid w:val="00AC4A42"/>
    <w:rsid w:val="00AC58E3"/>
    <w:rsid w:val="00AC59EA"/>
    <w:rsid w:val="00AC5AFF"/>
    <w:rsid w:val="00AC6762"/>
    <w:rsid w:val="00AC6EEC"/>
    <w:rsid w:val="00AC7375"/>
    <w:rsid w:val="00AC77BC"/>
    <w:rsid w:val="00AC7AF2"/>
    <w:rsid w:val="00AD2E0F"/>
    <w:rsid w:val="00AD39FD"/>
    <w:rsid w:val="00AD3ABE"/>
    <w:rsid w:val="00AD3B4F"/>
    <w:rsid w:val="00AD3BA1"/>
    <w:rsid w:val="00AD4D3F"/>
    <w:rsid w:val="00AD52CB"/>
    <w:rsid w:val="00AE0202"/>
    <w:rsid w:val="00AE0877"/>
    <w:rsid w:val="00AE1826"/>
    <w:rsid w:val="00AE2619"/>
    <w:rsid w:val="00AE5408"/>
    <w:rsid w:val="00AE6531"/>
    <w:rsid w:val="00AE67C8"/>
    <w:rsid w:val="00AE714A"/>
    <w:rsid w:val="00AE76BA"/>
    <w:rsid w:val="00AF1828"/>
    <w:rsid w:val="00AF238D"/>
    <w:rsid w:val="00AF275D"/>
    <w:rsid w:val="00AF2D9C"/>
    <w:rsid w:val="00AF35AD"/>
    <w:rsid w:val="00AF4103"/>
    <w:rsid w:val="00AF44CF"/>
    <w:rsid w:val="00AF4A04"/>
    <w:rsid w:val="00AF5D29"/>
    <w:rsid w:val="00AF65D2"/>
    <w:rsid w:val="00AF67B3"/>
    <w:rsid w:val="00AF6B12"/>
    <w:rsid w:val="00AF6B7B"/>
    <w:rsid w:val="00AF7772"/>
    <w:rsid w:val="00B004A1"/>
    <w:rsid w:val="00B008ED"/>
    <w:rsid w:val="00B013A7"/>
    <w:rsid w:val="00B022DC"/>
    <w:rsid w:val="00B02323"/>
    <w:rsid w:val="00B034AB"/>
    <w:rsid w:val="00B06514"/>
    <w:rsid w:val="00B0790F"/>
    <w:rsid w:val="00B102BA"/>
    <w:rsid w:val="00B10C70"/>
    <w:rsid w:val="00B11ABB"/>
    <w:rsid w:val="00B13BB5"/>
    <w:rsid w:val="00B15972"/>
    <w:rsid w:val="00B176C6"/>
    <w:rsid w:val="00B177A2"/>
    <w:rsid w:val="00B25541"/>
    <w:rsid w:val="00B263D2"/>
    <w:rsid w:val="00B26BBF"/>
    <w:rsid w:val="00B27692"/>
    <w:rsid w:val="00B27932"/>
    <w:rsid w:val="00B27A81"/>
    <w:rsid w:val="00B32288"/>
    <w:rsid w:val="00B324C6"/>
    <w:rsid w:val="00B34A6C"/>
    <w:rsid w:val="00B35B9B"/>
    <w:rsid w:val="00B35FB5"/>
    <w:rsid w:val="00B3603F"/>
    <w:rsid w:val="00B36963"/>
    <w:rsid w:val="00B37FCB"/>
    <w:rsid w:val="00B41E8D"/>
    <w:rsid w:val="00B421C2"/>
    <w:rsid w:val="00B42392"/>
    <w:rsid w:val="00B436FB"/>
    <w:rsid w:val="00B439D9"/>
    <w:rsid w:val="00B448B1"/>
    <w:rsid w:val="00B44999"/>
    <w:rsid w:val="00B459B4"/>
    <w:rsid w:val="00B463AB"/>
    <w:rsid w:val="00B46FA9"/>
    <w:rsid w:val="00B479D6"/>
    <w:rsid w:val="00B52236"/>
    <w:rsid w:val="00B52598"/>
    <w:rsid w:val="00B5306D"/>
    <w:rsid w:val="00B53868"/>
    <w:rsid w:val="00B5611E"/>
    <w:rsid w:val="00B56284"/>
    <w:rsid w:val="00B562F8"/>
    <w:rsid w:val="00B56568"/>
    <w:rsid w:val="00B5699D"/>
    <w:rsid w:val="00B56C9D"/>
    <w:rsid w:val="00B603C3"/>
    <w:rsid w:val="00B6085A"/>
    <w:rsid w:val="00B61888"/>
    <w:rsid w:val="00B62CD5"/>
    <w:rsid w:val="00B665B8"/>
    <w:rsid w:val="00B67553"/>
    <w:rsid w:val="00B677C9"/>
    <w:rsid w:val="00B70538"/>
    <w:rsid w:val="00B72AE2"/>
    <w:rsid w:val="00B72BD8"/>
    <w:rsid w:val="00B74779"/>
    <w:rsid w:val="00B75A5F"/>
    <w:rsid w:val="00B75FC0"/>
    <w:rsid w:val="00B77115"/>
    <w:rsid w:val="00B77212"/>
    <w:rsid w:val="00B806F3"/>
    <w:rsid w:val="00B8083C"/>
    <w:rsid w:val="00B80DE4"/>
    <w:rsid w:val="00B82BDF"/>
    <w:rsid w:val="00B83642"/>
    <w:rsid w:val="00B84876"/>
    <w:rsid w:val="00B8649C"/>
    <w:rsid w:val="00B86B03"/>
    <w:rsid w:val="00B92658"/>
    <w:rsid w:val="00B92BD0"/>
    <w:rsid w:val="00B931F7"/>
    <w:rsid w:val="00B94687"/>
    <w:rsid w:val="00B9500C"/>
    <w:rsid w:val="00B95841"/>
    <w:rsid w:val="00B96E09"/>
    <w:rsid w:val="00BA0222"/>
    <w:rsid w:val="00BA02AD"/>
    <w:rsid w:val="00BA0620"/>
    <w:rsid w:val="00BA0A04"/>
    <w:rsid w:val="00BA2344"/>
    <w:rsid w:val="00BA2C43"/>
    <w:rsid w:val="00BA2ED4"/>
    <w:rsid w:val="00BA3741"/>
    <w:rsid w:val="00BA3760"/>
    <w:rsid w:val="00BA392D"/>
    <w:rsid w:val="00BA471C"/>
    <w:rsid w:val="00BA4EF2"/>
    <w:rsid w:val="00BA5126"/>
    <w:rsid w:val="00BA66FA"/>
    <w:rsid w:val="00BA75AD"/>
    <w:rsid w:val="00BB4C99"/>
    <w:rsid w:val="00BB4FB6"/>
    <w:rsid w:val="00BB5DFB"/>
    <w:rsid w:val="00BB682D"/>
    <w:rsid w:val="00BB72AD"/>
    <w:rsid w:val="00BB7899"/>
    <w:rsid w:val="00BB7CCD"/>
    <w:rsid w:val="00BC0940"/>
    <w:rsid w:val="00BC2285"/>
    <w:rsid w:val="00BC6207"/>
    <w:rsid w:val="00BC6D8E"/>
    <w:rsid w:val="00BC7C4B"/>
    <w:rsid w:val="00BD149C"/>
    <w:rsid w:val="00BD180A"/>
    <w:rsid w:val="00BD4535"/>
    <w:rsid w:val="00BD4BA8"/>
    <w:rsid w:val="00BD6B2E"/>
    <w:rsid w:val="00BE0560"/>
    <w:rsid w:val="00BE2448"/>
    <w:rsid w:val="00BE2C60"/>
    <w:rsid w:val="00BE42DA"/>
    <w:rsid w:val="00BE4FB1"/>
    <w:rsid w:val="00BE5B91"/>
    <w:rsid w:val="00BE705C"/>
    <w:rsid w:val="00BE722E"/>
    <w:rsid w:val="00BE73BC"/>
    <w:rsid w:val="00BF2C4C"/>
    <w:rsid w:val="00BF30DC"/>
    <w:rsid w:val="00BF6F4E"/>
    <w:rsid w:val="00C00140"/>
    <w:rsid w:val="00C0073E"/>
    <w:rsid w:val="00C04C84"/>
    <w:rsid w:val="00C1039C"/>
    <w:rsid w:val="00C105E8"/>
    <w:rsid w:val="00C109CC"/>
    <w:rsid w:val="00C128CA"/>
    <w:rsid w:val="00C14D90"/>
    <w:rsid w:val="00C15B5C"/>
    <w:rsid w:val="00C1722A"/>
    <w:rsid w:val="00C176E8"/>
    <w:rsid w:val="00C1771D"/>
    <w:rsid w:val="00C17870"/>
    <w:rsid w:val="00C2202D"/>
    <w:rsid w:val="00C22573"/>
    <w:rsid w:val="00C22E0F"/>
    <w:rsid w:val="00C23551"/>
    <w:rsid w:val="00C23EB1"/>
    <w:rsid w:val="00C247B4"/>
    <w:rsid w:val="00C2690E"/>
    <w:rsid w:val="00C27536"/>
    <w:rsid w:val="00C2773E"/>
    <w:rsid w:val="00C30426"/>
    <w:rsid w:val="00C31574"/>
    <w:rsid w:val="00C3264B"/>
    <w:rsid w:val="00C339EC"/>
    <w:rsid w:val="00C340A0"/>
    <w:rsid w:val="00C3460C"/>
    <w:rsid w:val="00C37259"/>
    <w:rsid w:val="00C416A8"/>
    <w:rsid w:val="00C42986"/>
    <w:rsid w:val="00C4299C"/>
    <w:rsid w:val="00C436F1"/>
    <w:rsid w:val="00C4654E"/>
    <w:rsid w:val="00C46C60"/>
    <w:rsid w:val="00C475A5"/>
    <w:rsid w:val="00C50398"/>
    <w:rsid w:val="00C51D46"/>
    <w:rsid w:val="00C52C27"/>
    <w:rsid w:val="00C53A1A"/>
    <w:rsid w:val="00C540BC"/>
    <w:rsid w:val="00C55738"/>
    <w:rsid w:val="00C55CE3"/>
    <w:rsid w:val="00C55F2A"/>
    <w:rsid w:val="00C575F3"/>
    <w:rsid w:val="00C57F9C"/>
    <w:rsid w:val="00C603C2"/>
    <w:rsid w:val="00C610DD"/>
    <w:rsid w:val="00C6273F"/>
    <w:rsid w:val="00C62BB6"/>
    <w:rsid w:val="00C62D6B"/>
    <w:rsid w:val="00C645D2"/>
    <w:rsid w:val="00C652C2"/>
    <w:rsid w:val="00C65396"/>
    <w:rsid w:val="00C66CBA"/>
    <w:rsid w:val="00C70051"/>
    <w:rsid w:val="00C703B7"/>
    <w:rsid w:val="00C70D83"/>
    <w:rsid w:val="00C71248"/>
    <w:rsid w:val="00C726BA"/>
    <w:rsid w:val="00C72849"/>
    <w:rsid w:val="00C72B8E"/>
    <w:rsid w:val="00C73919"/>
    <w:rsid w:val="00C739A7"/>
    <w:rsid w:val="00C754AC"/>
    <w:rsid w:val="00C766E3"/>
    <w:rsid w:val="00C7749C"/>
    <w:rsid w:val="00C8009A"/>
    <w:rsid w:val="00C8135B"/>
    <w:rsid w:val="00C81D3C"/>
    <w:rsid w:val="00C83123"/>
    <w:rsid w:val="00C83BED"/>
    <w:rsid w:val="00C8566E"/>
    <w:rsid w:val="00C863B1"/>
    <w:rsid w:val="00C87BBA"/>
    <w:rsid w:val="00C87FF8"/>
    <w:rsid w:val="00C91A5C"/>
    <w:rsid w:val="00C92590"/>
    <w:rsid w:val="00C94DBD"/>
    <w:rsid w:val="00C95F45"/>
    <w:rsid w:val="00CA1805"/>
    <w:rsid w:val="00CA1BF6"/>
    <w:rsid w:val="00CA2237"/>
    <w:rsid w:val="00CA599C"/>
    <w:rsid w:val="00CB00CD"/>
    <w:rsid w:val="00CB03F5"/>
    <w:rsid w:val="00CB045A"/>
    <w:rsid w:val="00CB07B9"/>
    <w:rsid w:val="00CB128C"/>
    <w:rsid w:val="00CB12D2"/>
    <w:rsid w:val="00CB1EDF"/>
    <w:rsid w:val="00CB46D6"/>
    <w:rsid w:val="00CB59AB"/>
    <w:rsid w:val="00CB6DC0"/>
    <w:rsid w:val="00CB77B3"/>
    <w:rsid w:val="00CB7A78"/>
    <w:rsid w:val="00CC087F"/>
    <w:rsid w:val="00CC10DE"/>
    <w:rsid w:val="00CC2E38"/>
    <w:rsid w:val="00CC514C"/>
    <w:rsid w:val="00CC54F3"/>
    <w:rsid w:val="00CC5FC4"/>
    <w:rsid w:val="00CC6C27"/>
    <w:rsid w:val="00CD0A92"/>
    <w:rsid w:val="00CD23FD"/>
    <w:rsid w:val="00CD2420"/>
    <w:rsid w:val="00CD5D5E"/>
    <w:rsid w:val="00CD670C"/>
    <w:rsid w:val="00CD7E50"/>
    <w:rsid w:val="00CE2CC2"/>
    <w:rsid w:val="00CE35D2"/>
    <w:rsid w:val="00CE57F4"/>
    <w:rsid w:val="00CF0A1A"/>
    <w:rsid w:val="00CF3D54"/>
    <w:rsid w:val="00CF52B3"/>
    <w:rsid w:val="00CF57FF"/>
    <w:rsid w:val="00CF7AC6"/>
    <w:rsid w:val="00CF7F7D"/>
    <w:rsid w:val="00D00AF8"/>
    <w:rsid w:val="00D01479"/>
    <w:rsid w:val="00D01872"/>
    <w:rsid w:val="00D028D9"/>
    <w:rsid w:val="00D033C3"/>
    <w:rsid w:val="00D039D2"/>
    <w:rsid w:val="00D0503C"/>
    <w:rsid w:val="00D05169"/>
    <w:rsid w:val="00D06544"/>
    <w:rsid w:val="00D104D3"/>
    <w:rsid w:val="00D10B4B"/>
    <w:rsid w:val="00D10DDB"/>
    <w:rsid w:val="00D10DE1"/>
    <w:rsid w:val="00D1149F"/>
    <w:rsid w:val="00D123EC"/>
    <w:rsid w:val="00D15018"/>
    <w:rsid w:val="00D16F60"/>
    <w:rsid w:val="00D1784D"/>
    <w:rsid w:val="00D17AA8"/>
    <w:rsid w:val="00D2050C"/>
    <w:rsid w:val="00D21A2E"/>
    <w:rsid w:val="00D21C8D"/>
    <w:rsid w:val="00D21E4A"/>
    <w:rsid w:val="00D231C9"/>
    <w:rsid w:val="00D247CF"/>
    <w:rsid w:val="00D25107"/>
    <w:rsid w:val="00D26834"/>
    <w:rsid w:val="00D27283"/>
    <w:rsid w:val="00D27856"/>
    <w:rsid w:val="00D305A3"/>
    <w:rsid w:val="00D325A6"/>
    <w:rsid w:val="00D3374C"/>
    <w:rsid w:val="00D33D78"/>
    <w:rsid w:val="00D34097"/>
    <w:rsid w:val="00D361B3"/>
    <w:rsid w:val="00D40A65"/>
    <w:rsid w:val="00D4151A"/>
    <w:rsid w:val="00D41C6D"/>
    <w:rsid w:val="00D42F00"/>
    <w:rsid w:val="00D43244"/>
    <w:rsid w:val="00D4434E"/>
    <w:rsid w:val="00D44632"/>
    <w:rsid w:val="00D44842"/>
    <w:rsid w:val="00D45FF7"/>
    <w:rsid w:val="00D47704"/>
    <w:rsid w:val="00D47729"/>
    <w:rsid w:val="00D506A3"/>
    <w:rsid w:val="00D517B1"/>
    <w:rsid w:val="00D52D23"/>
    <w:rsid w:val="00D53430"/>
    <w:rsid w:val="00D53755"/>
    <w:rsid w:val="00D54883"/>
    <w:rsid w:val="00D54AF1"/>
    <w:rsid w:val="00D54EA7"/>
    <w:rsid w:val="00D558F8"/>
    <w:rsid w:val="00D574DB"/>
    <w:rsid w:val="00D5750B"/>
    <w:rsid w:val="00D601DF"/>
    <w:rsid w:val="00D60E6D"/>
    <w:rsid w:val="00D62DAA"/>
    <w:rsid w:val="00D640A1"/>
    <w:rsid w:val="00D642AA"/>
    <w:rsid w:val="00D66652"/>
    <w:rsid w:val="00D6699D"/>
    <w:rsid w:val="00D673BA"/>
    <w:rsid w:val="00D721D5"/>
    <w:rsid w:val="00D727FE"/>
    <w:rsid w:val="00D72C9E"/>
    <w:rsid w:val="00D7367A"/>
    <w:rsid w:val="00D73CBE"/>
    <w:rsid w:val="00D74468"/>
    <w:rsid w:val="00D74CD8"/>
    <w:rsid w:val="00D75155"/>
    <w:rsid w:val="00D75E05"/>
    <w:rsid w:val="00D76005"/>
    <w:rsid w:val="00D763A5"/>
    <w:rsid w:val="00D76B01"/>
    <w:rsid w:val="00D76B7E"/>
    <w:rsid w:val="00D77398"/>
    <w:rsid w:val="00D802CC"/>
    <w:rsid w:val="00D82491"/>
    <w:rsid w:val="00D826F1"/>
    <w:rsid w:val="00D82D3E"/>
    <w:rsid w:val="00D859B6"/>
    <w:rsid w:val="00D863EE"/>
    <w:rsid w:val="00D94E22"/>
    <w:rsid w:val="00D957DB"/>
    <w:rsid w:val="00D95A79"/>
    <w:rsid w:val="00D962A6"/>
    <w:rsid w:val="00D97CD6"/>
    <w:rsid w:val="00DA2921"/>
    <w:rsid w:val="00DA2D66"/>
    <w:rsid w:val="00DA4EE5"/>
    <w:rsid w:val="00DA59C4"/>
    <w:rsid w:val="00DA660C"/>
    <w:rsid w:val="00DA67F8"/>
    <w:rsid w:val="00DB1B1D"/>
    <w:rsid w:val="00DB232D"/>
    <w:rsid w:val="00DB2BBE"/>
    <w:rsid w:val="00DB4CB2"/>
    <w:rsid w:val="00DB6143"/>
    <w:rsid w:val="00DB7678"/>
    <w:rsid w:val="00DC0470"/>
    <w:rsid w:val="00DC04DD"/>
    <w:rsid w:val="00DC0DBD"/>
    <w:rsid w:val="00DC1603"/>
    <w:rsid w:val="00DC324A"/>
    <w:rsid w:val="00DC363F"/>
    <w:rsid w:val="00DC3E64"/>
    <w:rsid w:val="00DC41B4"/>
    <w:rsid w:val="00DC4A6C"/>
    <w:rsid w:val="00DC5889"/>
    <w:rsid w:val="00DC5B49"/>
    <w:rsid w:val="00DC632A"/>
    <w:rsid w:val="00DC63C2"/>
    <w:rsid w:val="00DC6F6D"/>
    <w:rsid w:val="00DD003C"/>
    <w:rsid w:val="00DD0215"/>
    <w:rsid w:val="00DD15C2"/>
    <w:rsid w:val="00DD4075"/>
    <w:rsid w:val="00DD48AA"/>
    <w:rsid w:val="00DD5D74"/>
    <w:rsid w:val="00DD740C"/>
    <w:rsid w:val="00DD759F"/>
    <w:rsid w:val="00DD76B3"/>
    <w:rsid w:val="00DE00B1"/>
    <w:rsid w:val="00DE3EC4"/>
    <w:rsid w:val="00DE440A"/>
    <w:rsid w:val="00DF01D8"/>
    <w:rsid w:val="00DF023B"/>
    <w:rsid w:val="00DF216D"/>
    <w:rsid w:val="00DF2783"/>
    <w:rsid w:val="00DF2F64"/>
    <w:rsid w:val="00DF304D"/>
    <w:rsid w:val="00DF32C7"/>
    <w:rsid w:val="00DF41B6"/>
    <w:rsid w:val="00DF4435"/>
    <w:rsid w:val="00DF4958"/>
    <w:rsid w:val="00DF4C5B"/>
    <w:rsid w:val="00DF5A57"/>
    <w:rsid w:val="00DF605F"/>
    <w:rsid w:val="00DF63DC"/>
    <w:rsid w:val="00DF64DC"/>
    <w:rsid w:val="00DF68B5"/>
    <w:rsid w:val="00DF6B46"/>
    <w:rsid w:val="00DF6CE3"/>
    <w:rsid w:val="00E0114E"/>
    <w:rsid w:val="00E02D7B"/>
    <w:rsid w:val="00E03B99"/>
    <w:rsid w:val="00E04A38"/>
    <w:rsid w:val="00E04C2C"/>
    <w:rsid w:val="00E04E6B"/>
    <w:rsid w:val="00E0504F"/>
    <w:rsid w:val="00E05BE1"/>
    <w:rsid w:val="00E07293"/>
    <w:rsid w:val="00E0742F"/>
    <w:rsid w:val="00E13713"/>
    <w:rsid w:val="00E13926"/>
    <w:rsid w:val="00E14476"/>
    <w:rsid w:val="00E1463E"/>
    <w:rsid w:val="00E14AD3"/>
    <w:rsid w:val="00E14D14"/>
    <w:rsid w:val="00E1578C"/>
    <w:rsid w:val="00E1597A"/>
    <w:rsid w:val="00E15B46"/>
    <w:rsid w:val="00E16133"/>
    <w:rsid w:val="00E16F02"/>
    <w:rsid w:val="00E16FF9"/>
    <w:rsid w:val="00E17ADF"/>
    <w:rsid w:val="00E20A80"/>
    <w:rsid w:val="00E218E7"/>
    <w:rsid w:val="00E25248"/>
    <w:rsid w:val="00E25D3C"/>
    <w:rsid w:val="00E306F2"/>
    <w:rsid w:val="00E32000"/>
    <w:rsid w:val="00E32FCA"/>
    <w:rsid w:val="00E33234"/>
    <w:rsid w:val="00E33739"/>
    <w:rsid w:val="00E34283"/>
    <w:rsid w:val="00E37BB7"/>
    <w:rsid w:val="00E37EFF"/>
    <w:rsid w:val="00E40482"/>
    <w:rsid w:val="00E40A18"/>
    <w:rsid w:val="00E40AE1"/>
    <w:rsid w:val="00E42D1D"/>
    <w:rsid w:val="00E449BB"/>
    <w:rsid w:val="00E501D0"/>
    <w:rsid w:val="00E51154"/>
    <w:rsid w:val="00E51F42"/>
    <w:rsid w:val="00E52688"/>
    <w:rsid w:val="00E549FC"/>
    <w:rsid w:val="00E5603A"/>
    <w:rsid w:val="00E5788E"/>
    <w:rsid w:val="00E57F03"/>
    <w:rsid w:val="00E57F79"/>
    <w:rsid w:val="00E62348"/>
    <w:rsid w:val="00E631DA"/>
    <w:rsid w:val="00E6460B"/>
    <w:rsid w:val="00E64934"/>
    <w:rsid w:val="00E66577"/>
    <w:rsid w:val="00E672D7"/>
    <w:rsid w:val="00E676FB"/>
    <w:rsid w:val="00E700F4"/>
    <w:rsid w:val="00E7030C"/>
    <w:rsid w:val="00E7072E"/>
    <w:rsid w:val="00E709F0"/>
    <w:rsid w:val="00E716A6"/>
    <w:rsid w:val="00E71815"/>
    <w:rsid w:val="00E71AB1"/>
    <w:rsid w:val="00E7498C"/>
    <w:rsid w:val="00E7580C"/>
    <w:rsid w:val="00E76FC6"/>
    <w:rsid w:val="00E775E4"/>
    <w:rsid w:val="00E776D1"/>
    <w:rsid w:val="00E77D0A"/>
    <w:rsid w:val="00E80001"/>
    <w:rsid w:val="00E8142A"/>
    <w:rsid w:val="00E82508"/>
    <w:rsid w:val="00E82726"/>
    <w:rsid w:val="00E832AA"/>
    <w:rsid w:val="00E83AA7"/>
    <w:rsid w:val="00E83B05"/>
    <w:rsid w:val="00E83DC7"/>
    <w:rsid w:val="00E85D10"/>
    <w:rsid w:val="00E9492A"/>
    <w:rsid w:val="00E9608E"/>
    <w:rsid w:val="00E97062"/>
    <w:rsid w:val="00E97918"/>
    <w:rsid w:val="00EA0935"/>
    <w:rsid w:val="00EA0AFD"/>
    <w:rsid w:val="00EA16F9"/>
    <w:rsid w:val="00EA2042"/>
    <w:rsid w:val="00EA2D6A"/>
    <w:rsid w:val="00EA3CE0"/>
    <w:rsid w:val="00EA3D9B"/>
    <w:rsid w:val="00EA6931"/>
    <w:rsid w:val="00EB1A74"/>
    <w:rsid w:val="00EB34A0"/>
    <w:rsid w:val="00EB4579"/>
    <w:rsid w:val="00EB45EB"/>
    <w:rsid w:val="00EB4B93"/>
    <w:rsid w:val="00EB5410"/>
    <w:rsid w:val="00EB5C80"/>
    <w:rsid w:val="00EC077F"/>
    <w:rsid w:val="00EC0AF2"/>
    <w:rsid w:val="00EC0C39"/>
    <w:rsid w:val="00EC0C44"/>
    <w:rsid w:val="00EC2099"/>
    <w:rsid w:val="00EC281A"/>
    <w:rsid w:val="00EC2AAC"/>
    <w:rsid w:val="00EC4847"/>
    <w:rsid w:val="00EC4C25"/>
    <w:rsid w:val="00EC503E"/>
    <w:rsid w:val="00EC5D2C"/>
    <w:rsid w:val="00EC6A6C"/>
    <w:rsid w:val="00EC7642"/>
    <w:rsid w:val="00EC7656"/>
    <w:rsid w:val="00EC7C4A"/>
    <w:rsid w:val="00ED0E2A"/>
    <w:rsid w:val="00ED0EB8"/>
    <w:rsid w:val="00ED1202"/>
    <w:rsid w:val="00ED1EF3"/>
    <w:rsid w:val="00ED282E"/>
    <w:rsid w:val="00ED3224"/>
    <w:rsid w:val="00ED416F"/>
    <w:rsid w:val="00ED49A9"/>
    <w:rsid w:val="00ED50C6"/>
    <w:rsid w:val="00ED5462"/>
    <w:rsid w:val="00ED5B16"/>
    <w:rsid w:val="00ED5C4F"/>
    <w:rsid w:val="00ED7179"/>
    <w:rsid w:val="00EE02A7"/>
    <w:rsid w:val="00EE2395"/>
    <w:rsid w:val="00EE2918"/>
    <w:rsid w:val="00EE2931"/>
    <w:rsid w:val="00EE2EA5"/>
    <w:rsid w:val="00EE4D3F"/>
    <w:rsid w:val="00EE5855"/>
    <w:rsid w:val="00EE5E36"/>
    <w:rsid w:val="00EE6883"/>
    <w:rsid w:val="00EE6F5F"/>
    <w:rsid w:val="00EE72E9"/>
    <w:rsid w:val="00EE7621"/>
    <w:rsid w:val="00EF00C5"/>
    <w:rsid w:val="00EF148F"/>
    <w:rsid w:val="00EF17C5"/>
    <w:rsid w:val="00EF2009"/>
    <w:rsid w:val="00EF463F"/>
    <w:rsid w:val="00EF4C1C"/>
    <w:rsid w:val="00EF6A9C"/>
    <w:rsid w:val="00EF7CCA"/>
    <w:rsid w:val="00EF7D03"/>
    <w:rsid w:val="00F03109"/>
    <w:rsid w:val="00F032AC"/>
    <w:rsid w:val="00F046C1"/>
    <w:rsid w:val="00F0482F"/>
    <w:rsid w:val="00F05603"/>
    <w:rsid w:val="00F060CE"/>
    <w:rsid w:val="00F068F1"/>
    <w:rsid w:val="00F07C8C"/>
    <w:rsid w:val="00F1128C"/>
    <w:rsid w:val="00F12C3F"/>
    <w:rsid w:val="00F13D97"/>
    <w:rsid w:val="00F14254"/>
    <w:rsid w:val="00F14263"/>
    <w:rsid w:val="00F1715D"/>
    <w:rsid w:val="00F218D5"/>
    <w:rsid w:val="00F21914"/>
    <w:rsid w:val="00F21EA1"/>
    <w:rsid w:val="00F2536D"/>
    <w:rsid w:val="00F25A9A"/>
    <w:rsid w:val="00F25BBF"/>
    <w:rsid w:val="00F26C62"/>
    <w:rsid w:val="00F27F61"/>
    <w:rsid w:val="00F30141"/>
    <w:rsid w:val="00F318B0"/>
    <w:rsid w:val="00F31F6F"/>
    <w:rsid w:val="00F323A7"/>
    <w:rsid w:val="00F33CB8"/>
    <w:rsid w:val="00F33E5C"/>
    <w:rsid w:val="00F33F07"/>
    <w:rsid w:val="00F349CB"/>
    <w:rsid w:val="00F37F7A"/>
    <w:rsid w:val="00F4034D"/>
    <w:rsid w:val="00F40730"/>
    <w:rsid w:val="00F42919"/>
    <w:rsid w:val="00F43D97"/>
    <w:rsid w:val="00F43E90"/>
    <w:rsid w:val="00F446AF"/>
    <w:rsid w:val="00F451E1"/>
    <w:rsid w:val="00F4729F"/>
    <w:rsid w:val="00F47643"/>
    <w:rsid w:val="00F47FA7"/>
    <w:rsid w:val="00F51702"/>
    <w:rsid w:val="00F54036"/>
    <w:rsid w:val="00F54878"/>
    <w:rsid w:val="00F55149"/>
    <w:rsid w:val="00F56A93"/>
    <w:rsid w:val="00F5728F"/>
    <w:rsid w:val="00F60AD5"/>
    <w:rsid w:val="00F61D0C"/>
    <w:rsid w:val="00F61F3E"/>
    <w:rsid w:val="00F62851"/>
    <w:rsid w:val="00F63036"/>
    <w:rsid w:val="00F634FC"/>
    <w:rsid w:val="00F655BF"/>
    <w:rsid w:val="00F658E5"/>
    <w:rsid w:val="00F65949"/>
    <w:rsid w:val="00F662A7"/>
    <w:rsid w:val="00F66AB6"/>
    <w:rsid w:val="00F66FD6"/>
    <w:rsid w:val="00F70E08"/>
    <w:rsid w:val="00F72278"/>
    <w:rsid w:val="00F7259A"/>
    <w:rsid w:val="00F73036"/>
    <w:rsid w:val="00F7545D"/>
    <w:rsid w:val="00F81122"/>
    <w:rsid w:val="00F81329"/>
    <w:rsid w:val="00F81559"/>
    <w:rsid w:val="00F82303"/>
    <w:rsid w:val="00F82CD9"/>
    <w:rsid w:val="00F84A8A"/>
    <w:rsid w:val="00F85FAB"/>
    <w:rsid w:val="00F870B8"/>
    <w:rsid w:val="00F90E5B"/>
    <w:rsid w:val="00F93996"/>
    <w:rsid w:val="00F9498F"/>
    <w:rsid w:val="00F94F20"/>
    <w:rsid w:val="00F95B7E"/>
    <w:rsid w:val="00FA0666"/>
    <w:rsid w:val="00FA2145"/>
    <w:rsid w:val="00FA274E"/>
    <w:rsid w:val="00FA2BD3"/>
    <w:rsid w:val="00FA3E8E"/>
    <w:rsid w:val="00FA42E9"/>
    <w:rsid w:val="00FA4BC8"/>
    <w:rsid w:val="00FA4EC3"/>
    <w:rsid w:val="00FA5E1D"/>
    <w:rsid w:val="00FB0635"/>
    <w:rsid w:val="00FB11AA"/>
    <w:rsid w:val="00FB1E75"/>
    <w:rsid w:val="00FB33F5"/>
    <w:rsid w:val="00FC2E25"/>
    <w:rsid w:val="00FC3BF2"/>
    <w:rsid w:val="00FC7610"/>
    <w:rsid w:val="00FC7F1E"/>
    <w:rsid w:val="00FD03C9"/>
    <w:rsid w:val="00FD06EC"/>
    <w:rsid w:val="00FD0F99"/>
    <w:rsid w:val="00FD3A0B"/>
    <w:rsid w:val="00FD5A4A"/>
    <w:rsid w:val="00FE2014"/>
    <w:rsid w:val="00FE4963"/>
    <w:rsid w:val="00FE5E31"/>
    <w:rsid w:val="00FE6845"/>
    <w:rsid w:val="00FE7518"/>
    <w:rsid w:val="00FE7B3E"/>
    <w:rsid w:val="00FF128D"/>
    <w:rsid w:val="00FF12E3"/>
    <w:rsid w:val="00FF258C"/>
    <w:rsid w:val="00FF31A9"/>
    <w:rsid w:val="00FF39EC"/>
    <w:rsid w:val="00FF55B7"/>
    <w:rsid w:val="00FF745E"/>
    <w:rsid w:val="00FF797C"/>
    <w:rsid w:val="00FF7F9B"/>
    <w:rsid w:val="010A41C4"/>
    <w:rsid w:val="012D3A25"/>
    <w:rsid w:val="01653082"/>
    <w:rsid w:val="0177122F"/>
    <w:rsid w:val="01A51E8A"/>
    <w:rsid w:val="01C24E01"/>
    <w:rsid w:val="02341D2A"/>
    <w:rsid w:val="027361A2"/>
    <w:rsid w:val="028E3C74"/>
    <w:rsid w:val="02F1192F"/>
    <w:rsid w:val="032C4D22"/>
    <w:rsid w:val="035E02DE"/>
    <w:rsid w:val="038414D8"/>
    <w:rsid w:val="03C929A9"/>
    <w:rsid w:val="041C7CB0"/>
    <w:rsid w:val="04542CD1"/>
    <w:rsid w:val="045A4C30"/>
    <w:rsid w:val="049668CF"/>
    <w:rsid w:val="04BB1D87"/>
    <w:rsid w:val="05E22441"/>
    <w:rsid w:val="05F26F9A"/>
    <w:rsid w:val="06C522AA"/>
    <w:rsid w:val="06FD2E75"/>
    <w:rsid w:val="07171C81"/>
    <w:rsid w:val="0720306C"/>
    <w:rsid w:val="074B5E4C"/>
    <w:rsid w:val="075A14EB"/>
    <w:rsid w:val="07813558"/>
    <w:rsid w:val="0806701C"/>
    <w:rsid w:val="08122FE0"/>
    <w:rsid w:val="081E6C33"/>
    <w:rsid w:val="08234049"/>
    <w:rsid w:val="08256240"/>
    <w:rsid w:val="08503A6B"/>
    <w:rsid w:val="085E144C"/>
    <w:rsid w:val="085F500C"/>
    <w:rsid w:val="08B139F4"/>
    <w:rsid w:val="08DB40D3"/>
    <w:rsid w:val="090652EF"/>
    <w:rsid w:val="091937E1"/>
    <w:rsid w:val="0926526C"/>
    <w:rsid w:val="09292C09"/>
    <w:rsid w:val="09443782"/>
    <w:rsid w:val="09466F9E"/>
    <w:rsid w:val="099B4D46"/>
    <w:rsid w:val="0A661BEC"/>
    <w:rsid w:val="0A974141"/>
    <w:rsid w:val="0A9B024A"/>
    <w:rsid w:val="0ABC0BBA"/>
    <w:rsid w:val="0ACA5040"/>
    <w:rsid w:val="0ACC58A6"/>
    <w:rsid w:val="0C455E4D"/>
    <w:rsid w:val="0C593C96"/>
    <w:rsid w:val="0CA978E5"/>
    <w:rsid w:val="0CE71744"/>
    <w:rsid w:val="0D032FEF"/>
    <w:rsid w:val="0D344F62"/>
    <w:rsid w:val="0D8B6485"/>
    <w:rsid w:val="0D954DD1"/>
    <w:rsid w:val="0D9B2DFA"/>
    <w:rsid w:val="0E0F5ED0"/>
    <w:rsid w:val="0E2C153B"/>
    <w:rsid w:val="0E3C3FBC"/>
    <w:rsid w:val="0E740908"/>
    <w:rsid w:val="0E7B2D23"/>
    <w:rsid w:val="0F53679A"/>
    <w:rsid w:val="0F9F2801"/>
    <w:rsid w:val="1025588C"/>
    <w:rsid w:val="102638EF"/>
    <w:rsid w:val="105D43A7"/>
    <w:rsid w:val="10FB206F"/>
    <w:rsid w:val="11B17200"/>
    <w:rsid w:val="12016EF0"/>
    <w:rsid w:val="12772F79"/>
    <w:rsid w:val="12BE7C49"/>
    <w:rsid w:val="133C69CE"/>
    <w:rsid w:val="13B56934"/>
    <w:rsid w:val="13C24AD0"/>
    <w:rsid w:val="13E91FBF"/>
    <w:rsid w:val="142344D0"/>
    <w:rsid w:val="14304765"/>
    <w:rsid w:val="143B6EA3"/>
    <w:rsid w:val="14EF5683"/>
    <w:rsid w:val="14F864ED"/>
    <w:rsid w:val="161126E5"/>
    <w:rsid w:val="165976AF"/>
    <w:rsid w:val="16615545"/>
    <w:rsid w:val="166A1F56"/>
    <w:rsid w:val="16971CF1"/>
    <w:rsid w:val="16A15A11"/>
    <w:rsid w:val="16E01D14"/>
    <w:rsid w:val="16F04865"/>
    <w:rsid w:val="170F0A85"/>
    <w:rsid w:val="177617BE"/>
    <w:rsid w:val="17834C1C"/>
    <w:rsid w:val="17FF0778"/>
    <w:rsid w:val="187A3419"/>
    <w:rsid w:val="189C0871"/>
    <w:rsid w:val="19186721"/>
    <w:rsid w:val="19B946FD"/>
    <w:rsid w:val="19BB7719"/>
    <w:rsid w:val="19D97744"/>
    <w:rsid w:val="19FC3FD6"/>
    <w:rsid w:val="1A1DA7C1"/>
    <w:rsid w:val="1A2B59C4"/>
    <w:rsid w:val="1A804EC7"/>
    <w:rsid w:val="1A9E2095"/>
    <w:rsid w:val="1AF06321"/>
    <w:rsid w:val="1B0077FC"/>
    <w:rsid w:val="1B5832CE"/>
    <w:rsid w:val="1BA76B79"/>
    <w:rsid w:val="1BAF2A04"/>
    <w:rsid w:val="1BC1209C"/>
    <w:rsid w:val="1BE51D1C"/>
    <w:rsid w:val="1BF82ED8"/>
    <w:rsid w:val="1C11473E"/>
    <w:rsid w:val="1C182F3B"/>
    <w:rsid w:val="1C246950"/>
    <w:rsid w:val="1C4B56BA"/>
    <w:rsid w:val="1C5D372B"/>
    <w:rsid w:val="1C6E7210"/>
    <w:rsid w:val="1CCF10A1"/>
    <w:rsid w:val="1D364BB6"/>
    <w:rsid w:val="1D6C09D7"/>
    <w:rsid w:val="1D8B71D5"/>
    <w:rsid w:val="1DAB5AB9"/>
    <w:rsid w:val="1DB71BBB"/>
    <w:rsid w:val="1E4D771D"/>
    <w:rsid w:val="1E6DA088"/>
    <w:rsid w:val="1E6E10AB"/>
    <w:rsid w:val="1ED420C5"/>
    <w:rsid w:val="1EE54FDD"/>
    <w:rsid w:val="1F724766"/>
    <w:rsid w:val="1FE734F3"/>
    <w:rsid w:val="1FE77FCA"/>
    <w:rsid w:val="2027526B"/>
    <w:rsid w:val="20C368CF"/>
    <w:rsid w:val="210A1A63"/>
    <w:rsid w:val="21A71388"/>
    <w:rsid w:val="21E27297"/>
    <w:rsid w:val="21F34AE6"/>
    <w:rsid w:val="220E5B1B"/>
    <w:rsid w:val="221C28CA"/>
    <w:rsid w:val="222B17FB"/>
    <w:rsid w:val="22392389"/>
    <w:rsid w:val="224710BF"/>
    <w:rsid w:val="22C063E1"/>
    <w:rsid w:val="22C23B07"/>
    <w:rsid w:val="22C736B1"/>
    <w:rsid w:val="231E0BF3"/>
    <w:rsid w:val="237409B3"/>
    <w:rsid w:val="237E4AE2"/>
    <w:rsid w:val="23FF59BB"/>
    <w:rsid w:val="246433D2"/>
    <w:rsid w:val="24780FDD"/>
    <w:rsid w:val="24822062"/>
    <w:rsid w:val="24FC7917"/>
    <w:rsid w:val="251E50D3"/>
    <w:rsid w:val="258B6DE3"/>
    <w:rsid w:val="25CF6559"/>
    <w:rsid w:val="25FB0620"/>
    <w:rsid w:val="26012CDD"/>
    <w:rsid w:val="262940F3"/>
    <w:rsid w:val="265377E3"/>
    <w:rsid w:val="266E675C"/>
    <w:rsid w:val="267020A2"/>
    <w:rsid w:val="26910428"/>
    <w:rsid w:val="26F5350F"/>
    <w:rsid w:val="271600D4"/>
    <w:rsid w:val="27653419"/>
    <w:rsid w:val="27906EE8"/>
    <w:rsid w:val="27B65FBB"/>
    <w:rsid w:val="28031C3E"/>
    <w:rsid w:val="28090196"/>
    <w:rsid w:val="28927481"/>
    <w:rsid w:val="29116B87"/>
    <w:rsid w:val="29970631"/>
    <w:rsid w:val="299A6941"/>
    <w:rsid w:val="299B7CEB"/>
    <w:rsid w:val="29C4745C"/>
    <w:rsid w:val="2A6C223D"/>
    <w:rsid w:val="2A7C43E5"/>
    <w:rsid w:val="2A7F4333"/>
    <w:rsid w:val="2AB2666F"/>
    <w:rsid w:val="2ABD2793"/>
    <w:rsid w:val="2B0B2DA8"/>
    <w:rsid w:val="2B5B3A06"/>
    <w:rsid w:val="2CBE5396"/>
    <w:rsid w:val="2CBE9A02"/>
    <w:rsid w:val="2CF34544"/>
    <w:rsid w:val="2D804CB1"/>
    <w:rsid w:val="2DC8596B"/>
    <w:rsid w:val="2DFFF615"/>
    <w:rsid w:val="2E270F01"/>
    <w:rsid w:val="2E33424C"/>
    <w:rsid w:val="2E73541B"/>
    <w:rsid w:val="2EDD163D"/>
    <w:rsid w:val="2F37641D"/>
    <w:rsid w:val="2F44590F"/>
    <w:rsid w:val="2F7B7C19"/>
    <w:rsid w:val="2F8921ED"/>
    <w:rsid w:val="303B755E"/>
    <w:rsid w:val="30403272"/>
    <w:rsid w:val="30630637"/>
    <w:rsid w:val="30B21CEB"/>
    <w:rsid w:val="30D818E8"/>
    <w:rsid w:val="30E31201"/>
    <w:rsid w:val="30F540A9"/>
    <w:rsid w:val="31752FEE"/>
    <w:rsid w:val="318F45C6"/>
    <w:rsid w:val="31BA1094"/>
    <w:rsid w:val="31D34BF0"/>
    <w:rsid w:val="31D7564F"/>
    <w:rsid w:val="320C04F7"/>
    <w:rsid w:val="320D5A13"/>
    <w:rsid w:val="326602A5"/>
    <w:rsid w:val="32B42EB4"/>
    <w:rsid w:val="32C9763C"/>
    <w:rsid w:val="32CC60FB"/>
    <w:rsid w:val="32E82A97"/>
    <w:rsid w:val="334F4866"/>
    <w:rsid w:val="335425AD"/>
    <w:rsid w:val="3360282E"/>
    <w:rsid w:val="33613DD7"/>
    <w:rsid w:val="33E85F03"/>
    <w:rsid w:val="349B4E39"/>
    <w:rsid w:val="34CC4049"/>
    <w:rsid w:val="34D7081F"/>
    <w:rsid w:val="35105848"/>
    <w:rsid w:val="351A33A9"/>
    <w:rsid w:val="357C0CDE"/>
    <w:rsid w:val="357C65CB"/>
    <w:rsid w:val="35E4397E"/>
    <w:rsid w:val="3719300D"/>
    <w:rsid w:val="37321C86"/>
    <w:rsid w:val="3736348A"/>
    <w:rsid w:val="375E61D9"/>
    <w:rsid w:val="378D4D8B"/>
    <w:rsid w:val="37A525EE"/>
    <w:rsid w:val="37A537E5"/>
    <w:rsid w:val="37A784FC"/>
    <w:rsid w:val="37AA558E"/>
    <w:rsid w:val="37AD2D9F"/>
    <w:rsid w:val="3872527C"/>
    <w:rsid w:val="389C406E"/>
    <w:rsid w:val="38D83D46"/>
    <w:rsid w:val="38DC24E7"/>
    <w:rsid w:val="38DD400D"/>
    <w:rsid w:val="39517098"/>
    <w:rsid w:val="398C294A"/>
    <w:rsid w:val="398F421A"/>
    <w:rsid w:val="39955922"/>
    <w:rsid w:val="39AD05D8"/>
    <w:rsid w:val="39EA1CAF"/>
    <w:rsid w:val="3A474D18"/>
    <w:rsid w:val="3A723576"/>
    <w:rsid w:val="3A9D7E92"/>
    <w:rsid w:val="3A9E6A8B"/>
    <w:rsid w:val="3ABF34DC"/>
    <w:rsid w:val="3AE00E3C"/>
    <w:rsid w:val="3AFF1566"/>
    <w:rsid w:val="3B254B31"/>
    <w:rsid w:val="3B3E21C7"/>
    <w:rsid w:val="3B570A9E"/>
    <w:rsid w:val="3B792763"/>
    <w:rsid w:val="3BBE7837"/>
    <w:rsid w:val="3BEDD179"/>
    <w:rsid w:val="3C0201DA"/>
    <w:rsid w:val="3C2C120B"/>
    <w:rsid w:val="3D2B1C42"/>
    <w:rsid w:val="3D2C00D6"/>
    <w:rsid w:val="3D804233"/>
    <w:rsid w:val="3DF7E8AA"/>
    <w:rsid w:val="3E0E1B05"/>
    <w:rsid w:val="3E2F4622"/>
    <w:rsid w:val="3E735452"/>
    <w:rsid w:val="3E830483"/>
    <w:rsid w:val="3EFD48F6"/>
    <w:rsid w:val="3F151053"/>
    <w:rsid w:val="3F2D2350"/>
    <w:rsid w:val="3F32094C"/>
    <w:rsid w:val="3F371C7A"/>
    <w:rsid w:val="3F374F28"/>
    <w:rsid w:val="3F9D0B16"/>
    <w:rsid w:val="3F9E6F8D"/>
    <w:rsid w:val="3FC55D7F"/>
    <w:rsid w:val="3FFEB543"/>
    <w:rsid w:val="3FFFFBBE"/>
    <w:rsid w:val="40517E0D"/>
    <w:rsid w:val="4132723C"/>
    <w:rsid w:val="416C5CCB"/>
    <w:rsid w:val="4170052D"/>
    <w:rsid w:val="417F42CC"/>
    <w:rsid w:val="41892E00"/>
    <w:rsid w:val="41F1307E"/>
    <w:rsid w:val="420311B6"/>
    <w:rsid w:val="42B41E77"/>
    <w:rsid w:val="42C703F3"/>
    <w:rsid w:val="42D633BD"/>
    <w:rsid w:val="42E94CB8"/>
    <w:rsid w:val="432439DA"/>
    <w:rsid w:val="432D75F3"/>
    <w:rsid w:val="43565B34"/>
    <w:rsid w:val="436A6192"/>
    <w:rsid w:val="43AE6EA7"/>
    <w:rsid w:val="43EE59F5"/>
    <w:rsid w:val="43EF05D2"/>
    <w:rsid w:val="441000AA"/>
    <w:rsid w:val="441526C9"/>
    <w:rsid w:val="44542E71"/>
    <w:rsid w:val="44C67067"/>
    <w:rsid w:val="44F86C12"/>
    <w:rsid w:val="45A46D27"/>
    <w:rsid w:val="45AD2BE1"/>
    <w:rsid w:val="46DC1E55"/>
    <w:rsid w:val="46FC4477"/>
    <w:rsid w:val="47213E85"/>
    <w:rsid w:val="47925299"/>
    <w:rsid w:val="47945FDF"/>
    <w:rsid w:val="47A9313F"/>
    <w:rsid w:val="47AF20B0"/>
    <w:rsid w:val="4820016B"/>
    <w:rsid w:val="4897228A"/>
    <w:rsid w:val="48B3414B"/>
    <w:rsid w:val="49211F77"/>
    <w:rsid w:val="49571754"/>
    <w:rsid w:val="4A1033F0"/>
    <w:rsid w:val="4A3076B5"/>
    <w:rsid w:val="4A71306B"/>
    <w:rsid w:val="4A7571B3"/>
    <w:rsid w:val="4ADD4EF3"/>
    <w:rsid w:val="4AE56B61"/>
    <w:rsid w:val="4B4B5A6A"/>
    <w:rsid w:val="4B6E7574"/>
    <w:rsid w:val="4C5466A0"/>
    <w:rsid w:val="4C981247"/>
    <w:rsid w:val="4CE722B4"/>
    <w:rsid w:val="4CF07BB0"/>
    <w:rsid w:val="4D1350FB"/>
    <w:rsid w:val="4D225B57"/>
    <w:rsid w:val="4D6E2844"/>
    <w:rsid w:val="4E3A3DAE"/>
    <w:rsid w:val="4EE96249"/>
    <w:rsid w:val="4F577CD7"/>
    <w:rsid w:val="4F7147CF"/>
    <w:rsid w:val="4F7B3091"/>
    <w:rsid w:val="4FFD8404"/>
    <w:rsid w:val="50611028"/>
    <w:rsid w:val="506F7248"/>
    <w:rsid w:val="507C6D8E"/>
    <w:rsid w:val="50847526"/>
    <w:rsid w:val="50A266B5"/>
    <w:rsid w:val="50E16A56"/>
    <w:rsid w:val="513B380C"/>
    <w:rsid w:val="51B9183E"/>
    <w:rsid w:val="51C27F32"/>
    <w:rsid w:val="521A765A"/>
    <w:rsid w:val="523C02CF"/>
    <w:rsid w:val="5297682B"/>
    <w:rsid w:val="52A97EC3"/>
    <w:rsid w:val="52C40D55"/>
    <w:rsid w:val="52CA631E"/>
    <w:rsid w:val="52F62635"/>
    <w:rsid w:val="53817C7B"/>
    <w:rsid w:val="53887BD9"/>
    <w:rsid w:val="539B30C5"/>
    <w:rsid w:val="53AA0CEC"/>
    <w:rsid w:val="53C625A3"/>
    <w:rsid w:val="53E20746"/>
    <w:rsid w:val="542A7705"/>
    <w:rsid w:val="545D7B40"/>
    <w:rsid w:val="545F36D3"/>
    <w:rsid w:val="54890A66"/>
    <w:rsid w:val="549D5FFA"/>
    <w:rsid w:val="54C91A7A"/>
    <w:rsid w:val="54D50974"/>
    <w:rsid w:val="551D671C"/>
    <w:rsid w:val="55231967"/>
    <w:rsid w:val="5544479C"/>
    <w:rsid w:val="556D336B"/>
    <w:rsid w:val="5572174A"/>
    <w:rsid w:val="55880576"/>
    <w:rsid w:val="55DE36CB"/>
    <w:rsid w:val="55EC2A7E"/>
    <w:rsid w:val="567000F9"/>
    <w:rsid w:val="569061FA"/>
    <w:rsid w:val="56980407"/>
    <w:rsid w:val="56D7133F"/>
    <w:rsid w:val="5759285A"/>
    <w:rsid w:val="57A80998"/>
    <w:rsid w:val="57CB665C"/>
    <w:rsid w:val="57FA6344"/>
    <w:rsid w:val="580B14CE"/>
    <w:rsid w:val="583C4CB4"/>
    <w:rsid w:val="58452660"/>
    <w:rsid w:val="585A68CB"/>
    <w:rsid w:val="586B6575"/>
    <w:rsid w:val="58A8086E"/>
    <w:rsid w:val="58BE6AF4"/>
    <w:rsid w:val="58C07673"/>
    <w:rsid w:val="58E31508"/>
    <w:rsid w:val="59157E46"/>
    <w:rsid w:val="5916226A"/>
    <w:rsid w:val="59351713"/>
    <w:rsid w:val="593E5DBA"/>
    <w:rsid w:val="59D64D04"/>
    <w:rsid w:val="59D76B4B"/>
    <w:rsid w:val="59ED58A4"/>
    <w:rsid w:val="59FA2929"/>
    <w:rsid w:val="5A335999"/>
    <w:rsid w:val="5A657A84"/>
    <w:rsid w:val="5ADE0EE2"/>
    <w:rsid w:val="5AE1359D"/>
    <w:rsid w:val="5AE67930"/>
    <w:rsid w:val="5B313D3A"/>
    <w:rsid w:val="5B63783D"/>
    <w:rsid w:val="5B8A5EB3"/>
    <w:rsid w:val="5BE47D10"/>
    <w:rsid w:val="5C332DC9"/>
    <w:rsid w:val="5C944F29"/>
    <w:rsid w:val="5CC1224C"/>
    <w:rsid w:val="5CE600DB"/>
    <w:rsid w:val="5D1758EC"/>
    <w:rsid w:val="5D22729F"/>
    <w:rsid w:val="5D2A508A"/>
    <w:rsid w:val="5D2A5454"/>
    <w:rsid w:val="5D5A09D6"/>
    <w:rsid w:val="5D68483A"/>
    <w:rsid w:val="5D9A3E21"/>
    <w:rsid w:val="5DC31172"/>
    <w:rsid w:val="5DDF5EEB"/>
    <w:rsid w:val="5DDF669F"/>
    <w:rsid w:val="5DFE0DE0"/>
    <w:rsid w:val="5E3741CA"/>
    <w:rsid w:val="5E572476"/>
    <w:rsid w:val="5E8248A7"/>
    <w:rsid w:val="5F017A94"/>
    <w:rsid w:val="5F1B2384"/>
    <w:rsid w:val="5F53FEC9"/>
    <w:rsid w:val="5FA3430A"/>
    <w:rsid w:val="5FBFDD8E"/>
    <w:rsid w:val="5FDD0936"/>
    <w:rsid w:val="5FE27DA3"/>
    <w:rsid w:val="603352C3"/>
    <w:rsid w:val="604775DE"/>
    <w:rsid w:val="60715845"/>
    <w:rsid w:val="60887168"/>
    <w:rsid w:val="609C1D66"/>
    <w:rsid w:val="60A75087"/>
    <w:rsid w:val="60C327DD"/>
    <w:rsid w:val="60E35D6D"/>
    <w:rsid w:val="614F5635"/>
    <w:rsid w:val="616A31D9"/>
    <w:rsid w:val="61B27B2C"/>
    <w:rsid w:val="61DF7B38"/>
    <w:rsid w:val="61F12FB6"/>
    <w:rsid w:val="623201CC"/>
    <w:rsid w:val="62393FF7"/>
    <w:rsid w:val="62762A9A"/>
    <w:rsid w:val="62771E48"/>
    <w:rsid w:val="62844CDB"/>
    <w:rsid w:val="631D0E0D"/>
    <w:rsid w:val="6345240D"/>
    <w:rsid w:val="635C7D60"/>
    <w:rsid w:val="637B125E"/>
    <w:rsid w:val="63C57165"/>
    <w:rsid w:val="63D751DB"/>
    <w:rsid w:val="63DB226E"/>
    <w:rsid w:val="63E17B85"/>
    <w:rsid w:val="64322363"/>
    <w:rsid w:val="643557C2"/>
    <w:rsid w:val="64652967"/>
    <w:rsid w:val="64DF6794"/>
    <w:rsid w:val="64FC0336"/>
    <w:rsid w:val="653E4BCB"/>
    <w:rsid w:val="65A405CF"/>
    <w:rsid w:val="664805EF"/>
    <w:rsid w:val="66544705"/>
    <w:rsid w:val="669241EF"/>
    <w:rsid w:val="66974C5D"/>
    <w:rsid w:val="66DF3544"/>
    <w:rsid w:val="67154F93"/>
    <w:rsid w:val="677DBDC6"/>
    <w:rsid w:val="679FCF60"/>
    <w:rsid w:val="67A260BC"/>
    <w:rsid w:val="68012C96"/>
    <w:rsid w:val="68076296"/>
    <w:rsid w:val="6818658C"/>
    <w:rsid w:val="684635BE"/>
    <w:rsid w:val="685513E3"/>
    <w:rsid w:val="687B0926"/>
    <w:rsid w:val="687B3BFB"/>
    <w:rsid w:val="690249FC"/>
    <w:rsid w:val="69806DA9"/>
    <w:rsid w:val="699A175A"/>
    <w:rsid w:val="6A032CFC"/>
    <w:rsid w:val="6A2D133A"/>
    <w:rsid w:val="6A4C3880"/>
    <w:rsid w:val="6B435169"/>
    <w:rsid w:val="6B6444BD"/>
    <w:rsid w:val="6B6F1ECC"/>
    <w:rsid w:val="6B874193"/>
    <w:rsid w:val="6BCC765E"/>
    <w:rsid w:val="6C987BFB"/>
    <w:rsid w:val="6CEE142A"/>
    <w:rsid w:val="6D157EF7"/>
    <w:rsid w:val="6D4B43FC"/>
    <w:rsid w:val="6D6E5962"/>
    <w:rsid w:val="6D837B95"/>
    <w:rsid w:val="6DAB546F"/>
    <w:rsid w:val="6DC47430"/>
    <w:rsid w:val="6DE930EB"/>
    <w:rsid w:val="6E48121F"/>
    <w:rsid w:val="6E5F2D14"/>
    <w:rsid w:val="6E955DDC"/>
    <w:rsid w:val="6ECC7C2E"/>
    <w:rsid w:val="6F4B35B8"/>
    <w:rsid w:val="6F8C39FA"/>
    <w:rsid w:val="6FC1198B"/>
    <w:rsid w:val="6FC14767"/>
    <w:rsid w:val="6FDE1D56"/>
    <w:rsid w:val="6FDF658B"/>
    <w:rsid w:val="6FDF9F29"/>
    <w:rsid w:val="6FFF038F"/>
    <w:rsid w:val="6FFF544E"/>
    <w:rsid w:val="6FFF8E6B"/>
    <w:rsid w:val="701E0B1F"/>
    <w:rsid w:val="704A1E94"/>
    <w:rsid w:val="704E70B6"/>
    <w:rsid w:val="70DD93B3"/>
    <w:rsid w:val="71513538"/>
    <w:rsid w:val="71954A5F"/>
    <w:rsid w:val="719B2687"/>
    <w:rsid w:val="71F31AC9"/>
    <w:rsid w:val="71FB6B58"/>
    <w:rsid w:val="72005918"/>
    <w:rsid w:val="72380AD8"/>
    <w:rsid w:val="72735F5B"/>
    <w:rsid w:val="72994CA5"/>
    <w:rsid w:val="72C4680E"/>
    <w:rsid w:val="72D0244C"/>
    <w:rsid w:val="738675C4"/>
    <w:rsid w:val="739201E5"/>
    <w:rsid w:val="73B55061"/>
    <w:rsid w:val="73E04AEC"/>
    <w:rsid w:val="741B6060"/>
    <w:rsid w:val="749B47AB"/>
    <w:rsid w:val="74B755DF"/>
    <w:rsid w:val="74C117E3"/>
    <w:rsid w:val="750B2EC6"/>
    <w:rsid w:val="75194C94"/>
    <w:rsid w:val="75707D1A"/>
    <w:rsid w:val="75883018"/>
    <w:rsid w:val="75FD6C18"/>
    <w:rsid w:val="7663186B"/>
    <w:rsid w:val="76826276"/>
    <w:rsid w:val="76EE2C7B"/>
    <w:rsid w:val="77CF4B98"/>
    <w:rsid w:val="77FDE848"/>
    <w:rsid w:val="794744E3"/>
    <w:rsid w:val="79AD7577"/>
    <w:rsid w:val="79CE7069"/>
    <w:rsid w:val="79D36C08"/>
    <w:rsid w:val="7A4F3FC3"/>
    <w:rsid w:val="7A5E2007"/>
    <w:rsid w:val="7AAA85CF"/>
    <w:rsid w:val="7ADD148F"/>
    <w:rsid w:val="7AFF7436"/>
    <w:rsid w:val="7B3E6B4B"/>
    <w:rsid w:val="7B991A96"/>
    <w:rsid w:val="7B9E3217"/>
    <w:rsid w:val="7BA341B1"/>
    <w:rsid w:val="7BD33B0A"/>
    <w:rsid w:val="7BDFEE8C"/>
    <w:rsid w:val="7C5334A2"/>
    <w:rsid w:val="7C601008"/>
    <w:rsid w:val="7CA558DA"/>
    <w:rsid w:val="7CE72E05"/>
    <w:rsid w:val="7CEA5EE0"/>
    <w:rsid w:val="7CF774BA"/>
    <w:rsid w:val="7D2BFAEE"/>
    <w:rsid w:val="7D44180B"/>
    <w:rsid w:val="7D4C35AF"/>
    <w:rsid w:val="7DF72017"/>
    <w:rsid w:val="7E724D21"/>
    <w:rsid w:val="7E732A04"/>
    <w:rsid w:val="7E8936ED"/>
    <w:rsid w:val="7E9D52BC"/>
    <w:rsid w:val="7EC6726C"/>
    <w:rsid w:val="7ED43DB1"/>
    <w:rsid w:val="7EEEA799"/>
    <w:rsid w:val="7F1E53CE"/>
    <w:rsid w:val="7F1F23B8"/>
    <w:rsid w:val="7F333089"/>
    <w:rsid w:val="7F5FE971"/>
    <w:rsid w:val="7F667A62"/>
    <w:rsid w:val="7F707145"/>
    <w:rsid w:val="7FDD2550"/>
    <w:rsid w:val="7FF23947"/>
    <w:rsid w:val="7FF9DD2D"/>
    <w:rsid w:val="9FBC9A88"/>
    <w:rsid w:val="A7CE9978"/>
    <w:rsid w:val="AAFF3C8A"/>
    <w:rsid w:val="AEF34452"/>
    <w:rsid w:val="AEFFE4DD"/>
    <w:rsid w:val="AFDC81BF"/>
    <w:rsid w:val="B5D58FB0"/>
    <w:rsid w:val="B6FF7182"/>
    <w:rsid w:val="B7BB31BC"/>
    <w:rsid w:val="B7DF6EBC"/>
    <w:rsid w:val="B7F77431"/>
    <w:rsid w:val="BAFF4C3A"/>
    <w:rsid w:val="BB975EB5"/>
    <w:rsid w:val="BD7DBEC1"/>
    <w:rsid w:val="BE3F2C45"/>
    <w:rsid w:val="BE5BE2F1"/>
    <w:rsid w:val="BE6B8133"/>
    <w:rsid w:val="C7FBE2D2"/>
    <w:rsid w:val="CB7A6548"/>
    <w:rsid w:val="CEFC5BCB"/>
    <w:rsid w:val="D2BB93FD"/>
    <w:rsid w:val="D3BFD1B8"/>
    <w:rsid w:val="D3DDD5FF"/>
    <w:rsid w:val="D4ED5102"/>
    <w:rsid w:val="D5FE9D86"/>
    <w:rsid w:val="DCBF7E35"/>
    <w:rsid w:val="DEFD6C41"/>
    <w:rsid w:val="DF7F3DDD"/>
    <w:rsid w:val="E5FFE824"/>
    <w:rsid w:val="EE6FE735"/>
    <w:rsid w:val="EF4D9CB1"/>
    <w:rsid w:val="EFBF0B4F"/>
    <w:rsid w:val="EFD7B61F"/>
    <w:rsid w:val="EFFB4208"/>
    <w:rsid w:val="F50BED50"/>
    <w:rsid w:val="F77FB611"/>
    <w:rsid w:val="F7B77C28"/>
    <w:rsid w:val="F7DF25E8"/>
    <w:rsid w:val="F7EEA598"/>
    <w:rsid w:val="F7FFC011"/>
    <w:rsid w:val="FB7FC232"/>
    <w:rsid w:val="FBBE337F"/>
    <w:rsid w:val="FC357BDE"/>
    <w:rsid w:val="FDBF2B0F"/>
    <w:rsid w:val="FEDEA92A"/>
    <w:rsid w:val="FF182370"/>
    <w:rsid w:val="FFBFF661"/>
    <w:rsid w:val="FFCF9B11"/>
    <w:rsid w:val="FFDD616D"/>
    <w:rsid w:val="FFEF1F72"/>
    <w:rsid w:val="FFFF777A"/>
    <w:rsid w:val="FFFFD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link w:val="54"/>
    <w:qFormat/>
    <w:uiPriority w:val="0"/>
    <w:pPr>
      <w:keepNext/>
      <w:keepLines/>
      <w:numPr>
        <w:ilvl w:val="0"/>
        <w:numId w:val="1"/>
      </w:numPr>
      <w:spacing w:before="340" w:afterLines="50" w:line="578" w:lineRule="auto"/>
      <w:outlineLvl w:val="0"/>
    </w:pPr>
    <w:rPr>
      <w:rFonts w:ascii="Arial" w:hAnsi="Arial" w:eastAsia="黑体"/>
      <w:b w:val="0"/>
      <w:bCs w:val="0"/>
      <w:spacing w:val="20"/>
      <w:kern w:val="44"/>
      <w:sz w:val="36"/>
      <w:szCs w:val="44"/>
    </w:rPr>
  </w:style>
  <w:style w:type="paragraph" w:styleId="3">
    <w:name w:val="heading 2"/>
    <w:basedOn w:val="1"/>
    <w:next w:val="1"/>
    <w:link w:val="56"/>
    <w:qFormat/>
    <w:uiPriority w:val="0"/>
    <w:pPr>
      <w:keepNext/>
      <w:keepLines/>
      <w:numPr>
        <w:ilvl w:val="1"/>
        <w:numId w:val="1"/>
      </w:numPr>
      <w:spacing w:before="260" w:afterLines="50" w:line="416" w:lineRule="auto"/>
      <w:outlineLvl w:val="1"/>
    </w:pPr>
    <w:rPr>
      <w:rFonts w:ascii="Arial" w:hAnsi="Arial" w:eastAsia="黑体"/>
      <w:b w:val="0"/>
      <w:bCs w:val="0"/>
      <w:spacing w:val="20"/>
      <w:sz w:val="32"/>
      <w:szCs w:val="32"/>
    </w:rPr>
  </w:style>
  <w:style w:type="paragraph" w:styleId="4">
    <w:name w:val="heading 3"/>
    <w:basedOn w:val="1"/>
    <w:next w:val="1"/>
    <w:link w:val="57"/>
    <w:qFormat/>
    <w:uiPriority w:val="0"/>
    <w:pPr>
      <w:keepNext/>
      <w:keepLines/>
      <w:numPr>
        <w:ilvl w:val="2"/>
        <w:numId w:val="1"/>
      </w:numPr>
      <w:spacing w:before="260" w:afterLines="50" w:line="416" w:lineRule="auto"/>
      <w:outlineLvl w:val="2"/>
    </w:pPr>
    <w:rPr>
      <w:rFonts w:ascii="Arial" w:hAnsi="Arial" w:eastAsia="黑体"/>
      <w:b w:val="0"/>
      <w:bCs w:val="0"/>
      <w:spacing w:val="20"/>
      <w:sz w:val="30"/>
      <w:szCs w:val="32"/>
    </w:rPr>
  </w:style>
  <w:style w:type="paragraph" w:styleId="5">
    <w:name w:val="heading 4"/>
    <w:basedOn w:val="6"/>
    <w:next w:val="1"/>
    <w:qFormat/>
    <w:uiPriority w:val="0"/>
    <w:pPr>
      <w:keepNext/>
      <w:keepLines/>
      <w:numPr>
        <w:ilvl w:val="3"/>
        <w:numId w:val="1"/>
      </w:numPr>
      <w:tabs>
        <w:tab w:val="left" w:pos="1079"/>
        <w:tab w:val="clear" w:pos="1440"/>
      </w:tabs>
      <w:spacing w:before="280" w:afterLines="50" w:line="377" w:lineRule="auto"/>
      <w:ind w:left="1077" w:hanging="1077"/>
      <w:outlineLvl w:val="3"/>
    </w:pPr>
    <w:rPr>
      <w:rFonts w:eastAsia="黑体"/>
      <w:b w:val="0"/>
      <w:bCs w:val="0"/>
      <w:spacing w:val="10"/>
      <w:sz w:val="28"/>
      <w:szCs w:val="28"/>
    </w:rPr>
  </w:style>
  <w:style w:type="paragraph" w:styleId="7">
    <w:name w:val="heading 5"/>
    <w:basedOn w:val="1"/>
    <w:next w:val="8"/>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b w:val="0"/>
      <w:bCs w:val="0"/>
      <w:spacing w:val="10"/>
      <w:sz w:val="28"/>
      <w:szCs w:val="28"/>
    </w:rPr>
  </w:style>
  <w:style w:type="paragraph" w:styleId="9">
    <w:name w:val="heading 6"/>
    <w:basedOn w:val="1"/>
    <w:next w:val="8"/>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b w:val="0"/>
      <w:bCs w:val="0"/>
      <w:spacing w:val="10"/>
      <w:sz w:val="24"/>
    </w:rPr>
  </w:style>
  <w:style w:type="paragraph" w:styleId="10">
    <w:name w:val="heading 7"/>
    <w:basedOn w:val="1"/>
    <w:next w:val="8"/>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b w:val="0"/>
      <w:bCs w:val="0"/>
      <w:sz w:val="24"/>
    </w:rPr>
  </w:style>
  <w:style w:type="paragraph" w:styleId="11">
    <w:name w:val="heading 8"/>
    <w:basedOn w:val="1"/>
    <w:next w:val="8"/>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sz w:val="24"/>
    </w:rPr>
  </w:style>
  <w:style w:type="paragraph" w:styleId="12">
    <w:name w:val="heading 9"/>
    <w:basedOn w:val="1"/>
    <w:next w:val="8"/>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Title"/>
    <w:basedOn w:val="1"/>
    <w:next w:val="1"/>
    <w:link w:val="64"/>
    <w:qFormat/>
    <w:uiPriority w:val="0"/>
    <w:pPr>
      <w:spacing w:before="240" w:after="60"/>
      <w:jc w:val="center"/>
      <w:outlineLvl w:val="0"/>
    </w:pPr>
    <w:rPr>
      <w:rFonts w:ascii="Arial" w:hAnsi="Arial" w:eastAsia="宋体" w:cs="Times New Roman"/>
      <w:sz w:val="32"/>
      <w:szCs w:val="32"/>
    </w:rPr>
  </w:style>
  <w:style w:type="paragraph" w:styleId="8">
    <w:name w:val="Normal Indent"/>
    <w:basedOn w:val="1"/>
    <w:next w:val="1"/>
    <w:link w:val="55"/>
    <w:qFormat/>
    <w:uiPriority w:val="0"/>
    <w:pPr>
      <w:ind w:firstLine="420" w:firstLineChars="200"/>
    </w:pPr>
  </w:style>
  <w:style w:type="paragraph" w:styleId="13">
    <w:name w:val="caption"/>
    <w:basedOn w:val="1"/>
    <w:next w:val="1"/>
    <w:qFormat/>
    <w:uiPriority w:val="0"/>
    <w:rPr>
      <w:rFonts w:ascii="Arial" w:hAnsi="Arial" w:eastAsia="黑体" w:cs="Arial"/>
      <w:b w:val="0"/>
      <w:bCs w:val="0"/>
      <w:kern w:val="1"/>
      <w:sz w:val="20"/>
      <w:szCs w:val="20"/>
    </w:rPr>
  </w:style>
  <w:style w:type="paragraph" w:styleId="14">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5">
    <w:name w:val="Document Map"/>
    <w:basedOn w:val="1"/>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link w:val="58"/>
    <w:semiHidden/>
    <w:qFormat/>
    <w:uiPriority w:val="0"/>
    <w:pPr>
      <w:jc w:val="left"/>
    </w:pPr>
    <w:rPr>
      <w:rFonts w:cs="Times New Roman"/>
    </w:rPr>
  </w:style>
  <w:style w:type="paragraph" w:styleId="18">
    <w:name w:val="Body Text"/>
    <w:basedOn w:val="1"/>
    <w:next w:val="19"/>
    <w:qFormat/>
    <w:uiPriority w:val="0"/>
    <w:pPr>
      <w:spacing w:after="120"/>
    </w:pPr>
    <w:rPr>
      <w:rFonts w:ascii="Times New Roman" w:hAnsi="Times New Roman" w:eastAsia="宋体" w:cs="Times New Roman"/>
      <w:b w:val="0"/>
      <w:bCs w:val="0"/>
      <w:color w:val="auto"/>
      <w:kern w:val="2"/>
      <w:szCs w:val="24"/>
    </w:rPr>
  </w:style>
  <w:style w:type="paragraph" w:styleId="19">
    <w:name w:val="Body Text First Indent"/>
    <w:basedOn w:val="18"/>
    <w:next w:val="20"/>
    <w:qFormat/>
    <w:uiPriority w:val="0"/>
    <w:pPr>
      <w:ind w:firstLine="420"/>
    </w:pPr>
    <w:rPr>
      <w:rFonts w:eastAsia="楷体_GB2312"/>
      <w:sz w:val="32"/>
      <w:szCs w:val="20"/>
    </w:rPr>
  </w:style>
  <w:style w:type="paragraph" w:styleId="20">
    <w:name w:val="toc 6"/>
    <w:basedOn w:val="1"/>
    <w:next w:val="1"/>
    <w:qFormat/>
    <w:uiPriority w:val="0"/>
    <w:pPr>
      <w:ind w:left="2100" w:leftChars="1000"/>
    </w:pPr>
  </w:style>
  <w:style w:type="paragraph" w:styleId="21">
    <w:name w:val="Body Text Indent"/>
    <w:basedOn w:val="1"/>
    <w:next w:val="1"/>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22">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3">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4">
    <w:name w:val="Block Text"/>
    <w:basedOn w:val="1"/>
    <w:qFormat/>
    <w:uiPriority w:val="0"/>
    <w:pPr>
      <w:spacing w:after="120"/>
      <w:ind w:left="1440" w:leftChars="700" w:right="1440" w:rightChars="700"/>
    </w:pPr>
    <w:rPr>
      <w:rFonts w:ascii="Times New Roman" w:hAnsi="Times New Roman" w:eastAsia="宋体" w:cs="Times New Roman"/>
      <w:b w:val="0"/>
      <w:bCs w:val="0"/>
      <w:color w:val="auto"/>
      <w:kern w:val="2"/>
      <w:szCs w:val="22"/>
    </w:rPr>
  </w:style>
  <w:style w:type="paragraph" w:styleId="25">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26">
    <w:name w:val="Plain Text"/>
    <w:basedOn w:val="1"/>
    <w:next w:val="27"/>
    <w:link w:val="59"/>
    <w:qFormat/>
    <w:uiPriority w:val="0"/>
    <w:rPr>
      <w:rFonts w:ascii="宋体" w:hAnsi="Courier New"/>
      <w:szCs w:val="20"/>
    </w:rPr>
  </w:style>
  <w:style w:type="paragraph" w:styleId="27">
    <w:name w:val="toc 2"/>
    <w:basedOn w:val="1"/>
    <w:next w:val="1"/>
    <w:qFormat/>
    <w:uiPriority w:val="39"/>
    <w:pPr>
      <w:ind w:left="420" w:leftChars="200"/>
    </w:pPr>
    <w:rPr>
      <w:szCs w:val="20"/>
    </w:rPr>
  </w:style>
  <w:style w:type="paragraph" w:styleId="28">
    <w:name w:val="Date"/>
    <w:basedOn w:val="1"/>
    <w:next w:val="1"/>
    <w:qFormat/>
    <w:uiPriority w:val="0"/>
    <w:pPr>
      <w:ind w:left="100" w:leftChars="2500"/>
    </w:pPr>
    <w:rPr>
      <w:sz w:val="24"/>
    </w:rPr>
  </w:style>
  <w:style w:type="paragraph" w:styleId="29">
    <w:name w:val="Body Text Indent 2"/>
    <w:basedOn w:val="1"/>
    <w:qFormat/>
    <w:uiPriority w:val="0"/>
    <w:pPr>
      <w:widowControl/>
      <w:spacing w:line="480" w:lineRule="atLeast"/>
      <w:ind w:firstLine="480"/>
    </w:pPr>
    <w:rPr>
      <w:rFonts w:ascii="宋体"/>
      <w:sz w:val="24"/>
      <w:szCs w:val="20"/>
    </w:rPr>
  </w:style>
  <w:style w:type="paragraph" w:styleId="30">
    <w:name w:val="endnote text"/>
    <w:basedOn w:val="1"/>
    <w:qFormat/>
    <w:uiPriority w:val="99"/>
    <w:rPr>
      <w:rFonts w:ascii="Calibri" w:hAnsi="Calibri" w:cs="Calibri"/>
    </w:rPr>
  </w:style>
  <w:style w:type="paragraph" w:styleId="31">
    <w:name w:val="Balloon Text"/>
    <w:basedOn w:val="1"/>
    <w:semiHidden/>
    <w:qFormat/>
    <w:uiPriority w:val="0"/>
    <w:rPr>
      <w:sz w:val="18"/>
      <w:szCs w:val="18"/>
    </w:rPr>
  </w:style>
  <w:style w:type="paragraph" w:styleId="32">
    <w:name w:val="footer"/>
    <w:basedOn w:val="1"/>
    <w:link w:val="60"/>
    <w:qFormat/>
    <w:uiPriority w:val="0"/>
    <w:pPr>
      <w:tabs>
        <w:tab w:val="center" w:pos="4153"/>
        <w:tab w:val="right" w:pos="8306"/>
      </w:tabs>
      <w:snapToGrid w:val="0"/>
      <w:jc w:val="left"/>
    </w:pPr>
    <w:rPr>
      <w:sz w:val="18"/>
      <w:szCs w:val="18"/>
    </w:rPr>
  </w:style>
  <w:style w:type="paragraph" w:styleId="33">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987"/>
      </w:tabs>
      <w:spacing w:line="360" w:lineRule="atLeast"/>
      <w:jc w:val="center"/>
    </w:pPr>
    <w:rPr>
      <w:rFonts w:ascii="宋体" w:eastAsia="宋体" w:cs="Times New Roman"/>
      <w:bCs w:val="0"/>
      <w:color w:val="auto"/>
      <w:kern w:val="2"/>
      <w:sz w:val="22"/>
      <w:szCs w:val="22"/>
    </w:rPr>
  </w:style>
  <w:style w:type="paragraph" w:styleId="35">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36">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37">
    <w:name w:val="footnote text"/>
    <w:basedOn w:val="1"/>
    <w:link w:val="139"/>
    <w:qFormat/>
    <w:uiPriority w:val="0"/>
    <w:pPr>
      <w:snapToGrid w:val="0"/>
      <w:jc w:val="left"/>
    </w:pPr>
    <w:rPr>
      <w:rFonts w:ascii="Times New Roman" w:hAnsi="Times New Roman" w:eastAsia="宋体" w:cs="Times New Roman"/>
      <w:b w:val="0"/>
      <w:bCs w:val="0"/>
      <w:color w:val="auto"/>
      <w:kern w:val="2"/>
      <w:sz w:val="18"/>
      <w:szCs w:val="24"/>
    </w:rPr>
  </w:style>
  <w:style w:type="paragraph" w:styleId="38">
    <w:name w:val="Body Text Indent 3"/>
    <w:basedOn w:val="1"/>
    <w:link w:val="140"/>
    <w:qFormat/>
    <w:uiPriority w:val="0"/>
    <w:pPr>
      <w:spacing w:after="120"/>
      <w:ind w:left="420" w:leftChars="200"/>
    </w:pPr>
    <w:rPr>
      <w:sz w:val="16"/>
      <w:szCs w:val="16"/>
    </w:rPr>
  </w:style>
  <w:style w:type="paragraph" w:styleId="39">
    <w:name w:val="Body Text 2"/>
    <w:basedOn w:val="1"/>
    <w:qFormat/>
    <w:uiPriority w:val="0"/>
    <w:pPr>
      <w:spacing w:after="120" w:line="480" w:lineRule="auto"/>
    </w:pPr>
    <w:rPr>
      <w:rFonts w:ascii="Times New Roman" w:hAnsi="Times New Roman" w:eastAsia="宋体" w:cs="Times New Roman"/>
      <w:b w:val="0"/>
      <w:bCs w:val="0"/>
      <w:color w:val="auto"/>
      <w:kern w:val="2"/>
      <w:szCs w:val="24"/>
    </w:rPr>
  </w:style>
  <w:style w:type="paragraph" w:styleId="40">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b w:val="0"/>
      <w:bCs w:val="0"/>
      <w:color w:val="auto"/>
      <w:sz w:val="20"/>
      <w:szCs w:val="20"/>
    </w:rPr>
  </w:style>
  <w:style w:type="paragraph" w:styleId="41">
    <w:name w:val="Normal (Web)"/>
    <w:basedOn w:val="1"/>
    <w:link w:val="63"/>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42">
    <w:name w:val="annotation subject"/>
    <w:basedOn w:val="17"/>
    <w:next w:val="17"/>
    <w:semiHidden/>
    <w:qFormat/>
    <w:uiPriority w:val="0"/>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0"/>
    <w:rPr>
      <w:rFonts w:ascii="Courier New" w:hAnsi="Courier New"/>
    </w:rPr>
  </w:style>
  <w:style w:type="character" w:customStyle="1" w:styleId="54">
    <w:name w:val="标题 1 Char"/>
    <w:link w:val="2"/>
    <w:qFormat/>
    <w:uiPriority w:val="0"/>
    <w:rPr>
      <w:rFonts w:ascii="Arial" w:hAnsi="Arial" w:eastAsia="黑体" w:cs="宋体"/>
      <w:color w:val="000000"/>
      <w:spacing w:val="20"/>
      <w:kern w:val="44"/>
      <w:sz w:val="36"/>
      <w:szCs w:val="44"/>
      <w:lang w:val="en-US" w:eastAsia="zh-CN" w:bidi="ar-SA"/>
    </w:rPr>
  </w:style>
  <w:style w:type="character" w:customStyle="1" w:styleId="55">
    <w:name w:val="正文缩进 Char"/>
    <w:link w:val="8"/>
    <w:qFormat/>
    <w:uiPriority w:val="0"/>
    <w:rPr>
      <w:rFonts w:ascii="仿宋_GB2312" w:hAnsi="宋体" w:eastAsia="仿宋_GB2312" w:cs="宋体"/>
      <w:b/>
      <w:bCs/>
      <w:color w:val="000000"/>
      <w:sz w:val="21"/>
      <w:szCs w:val="21"/>
      <w:lang w:val="en-US" w:eastAsia="zh-CN" w:bidi="ar-SA"/>
    </w:rPr>
  </w:style>
  <w:style w:type="character" w:customStyle="1" w:styleId="56">
    <w:name w:val="标题 2 Char"/>
    <w:link w:val="3"/>
    <w:qFormat/>
    <w:uiPriority w:val="0"/>
    <w:rPr>
      <w:rFonts w:ascii="Arial" w:hAnsi="Arial" w:eastAsia="黑体" w:cs="宋体"/>
      <w:color w:val="000000"/>
      <w:spacing w:val="20"/>
      <w:sz w:val="32"/>
      <w:szCs w:val="32"/>
      <w:lang w:val="en-US" w:eastAsia="zh-CN" w:bidi="ar-SA"/>
    </w:rPr>
  </w:style>
  <w:style w:type="character" w:customStyle="1" w:styleId="57">
    <w:name w:val="标题 3 Char"/>
    <w:link w:val="4"/>
    <w:qFormat/>
    <w:uiPriority w:val="0"/>
    <w:rPr>
      <w:rFonts w:ascii="Arial" w:hAnsi="Arial" w:eastAsia="黑体" w:cs="宋体"/>
      <w:color w:val="000000"/>
      <w:spacing w:val="20"/>
      <w:sz w:val="30"/>
      <w:szCs w:val="32"/>
      <w:lang w:val="en-US" w:eastAsia="zh-CN" w:bidi="ar-SA"/>
    </w:rPr>
  </w:style>
  <w:style w:type="character" w:customStyle="1" w:styleId="58">
    <w:name w:val="批注文字 Char"/>
    <w:link w:val="17"/>
    <w:semiHidden/>
    <w:qFormat/>
    <w:uiPriority w:val="0"/>
    <w:rPr>
      <w:rFonts w:ascii="仿宋_GB2312" w:hAnsi="宋体" w:eastAsia="仿宋_GB2312" w:cs="宋体"/>
      <w:b/>
      <w:bCs/>
      <w:color w:val="000000"/>
      <w:sz w:val="21"/>
      <w:szCs w:val="21"/>
    </w:rPr>
  </w:style>
  <w:style w:type="character" w:customStyle="1" w:styleId="59">
    <w:name w:val="纯文本 Char2"/>
    <w:link w:val="26"/>
    <w:qFormat/>
    <w:uiPriority w:val="0"/>
    <w:rPr>
      <w:rFonts w:ascii="宋体" w:hAnsi="Courier New" w:eastAsia="仿宋_GB2312" w:cs="宋体"/>
      <w:b/>
      <w:bCs/>
      <w:color w:val="000000"/>
      <w:sz w:val="21"/>
      <w:lang w:val="en-US" w:eastAsia="zh-CN" w:bidi="ar-SA"/>
    </w:rPr>
  </w:style>
  <w:style w:type="character" w:customStyle="1" w:styleId="60">
    <w:name w:val="页脚 Char"/>
    <w:link w:val="32"/>
    <w:qFormat/>
    <w:uiPriority w:val="0"/>
    <w:rPr>
      <w:rFonts w:ascii="仿宋_GB2312" w:hAnsi="宋体" w:eastAsia="仿宋_GB2312" w:cs="宋体"/>
      <w:b/>
      <w:bCs/>
      <w:color w:val="000000"/>
      <w:sz w:val="18"/>
      <w:szCs w:val="18"/>
      <w:lang w:val="en-US" w:eastAsia="zh-CN" w:bidi="ar-SA"/>
    </w:rPr>
  </w:style>
  <w:style w:type="character" w:customStyle="1" w:styleId="61">
    <w:name w:val="页眉 Char"/>
    <w:link w:val="33"/>
    <w:qFormat/>
    <w:uiPriority w:val="0"/>
    <w:rPr>
      <w:rFonts w:ascii="仿宋_GB2312" w:hAnsi="宋体" w:eastAsia="仿宋_GB2312" w:cs="宋体"/>
      <w:b/>
      <w:bCs/>
      <w:color w:val="000000"/>
      <w:sz w:val="18"/>
      <w:szCs w:val="18"/>
      <w:lang w:val="en-US" w:eastAsia="zh-CN" w:bidi="ar-SA"/>
    </w:rPr>
  </w:style>
  <w:style w:type="character" w:customStyle="1" w:styleId="62">
    <w:name w:val="HTML 预设格式 Char"/>
    <w:link w:val="40"/>
    <w:qFormat/>
    <w:uiPriority w:val="0"/>
    <w:rPr>
      <w:rFonts w:ascii="黑体" w:hAnsi="Courier New" w:eastAsia="黑体" w:cs="Courier New"/>
    </w:rPr>
  </w:style>
  <w:style w:type="character" w:customStyle="1" w:styleId="63">
    <w:name w:val="普通(网站) Char"/>
    <w:link w:val="41"/>
    <w:qFormat/>
    <w:uiPriority w:val="0"/>
    <w:rPr>
      <w:rFonts w:eastAsia="宋体"/>
      <w:sz w:val="24"/>
      <w:szCs w:val="24"/>
      <w:lang w:val="en-US" w:eastAsia="zh-CN" w:bidi="ar-SA"/>
    </w:rPr>
  </w:style>
  <w:style w:type="character" w:customStyle="1" w:styleId="64">
    <w:name w:val="标题 Char"/>
    <w:link w:val="6"/>
    <w:qFormat/>
    <w:uiPriority w:val="0"/>
    <w:rPr>
      <w:rFonts w:ascii="Arial" w:hAnsi="Arial" w:cs="Arial"/>
      <w:b/>
      <w:bCs/>
      <w:color w:val="000000"/>
      <w:sz w:val="32"/>
      <w:szCs w:val="32"/>
    </w:rPr>
  </w:style>
  <w:style w:type="character" w:customStyle="1" w:styleId="65">
    <w:name w:val="普通文字 Char Char1"/>
    <w:qFormat/>
    <w:uiPriority w:val="0"/>
    <w:rPr>
      <w:rFonts w:ascii="宋体" w:hAnsi="Courier New" w:eastAsia="仿宋_GB2312" w:cs="宋体"/>
      <w:b/>
      <w:bCs/>
      <w:color w:val="000000"/>
      <w:sz w:val="21"/>
      <w:lang w:val="en-US" w:eastAsia="zh-CN" w:bidi="ar-SA"/>
    </w:rPr>
  </w:style>
  <w:style w:type="character" w:customStyle="1" w:styleId="66">
    <w:name w:val="style11"/>
    <w:qFormat/>
    <w:uiPriority w:val="0"/>
    <w:rPr>
      <w:sz w:val="18"/>
      <w:szCs w:val="18"/>
    </w:rPr>
  </w:style>
  <w:style w:type="character" w:customStyle="1" w:styleId="67">
    <w:name w:val="Char Char2"/>
    <w:qFormat/>
    <w:uiPriority w:val="0"/>
    <w:rPr>
      <w:rFonts w:eastAsia="宋体"/>
      <w:kern w:val="2"/>
      <w:sz w:val="18"/>
      <w:szCs w:val="18"/>
      <w:lang w:val="en-US" w:eastAsia="zh-CN" w:bidi="ar-SA"/>
    </w:rPr>
  </w:style>
  <w:style w:type="character" w:customStyle="1" w:styleId="68">
    <w:name w:val="ca-6"/>
    <w:basedOn w:val="45"/>
    <w:qFormat/>
    <w:uiPriority w:val="0"/>
  </w:style>
  <w:style w:type="character" w:customStyle="1" w:styleId="69">
    <w:name w:val="unnamed11"/>
    <w:qFormat/>
    <w:uiPriority w:val="0"/>
    <w:rPr>
      <w:color w:val="000000"/>
      <w:sz w:val="20"/>
      <w:szCs w:val="20"/>
    </w:rPr>
  </w:style>
  <w:style w:type="character" w:customStyle="1" w:styleId="70">
    <w:name w:val="Texte Char Char"/>
    <w:qFormat/>
    <w:uiPriority w:val="0"/>
    <w:rPr>
      <w:rFonts w:ascii="宋体" w:hAnsi="Courier New" w:eastAsia="仿宋_GB2312" w:cs="宋体"/>
      <w:b/>
      <w:bCs/>
      <w:color w:val="000000"/>
      <w:sz w:val="21"/>
      <w:lang w:val="en-US" w:eastAsia="zh-CN" w:bidi="ar-SA"/>
    </w:rPr>
  </w:style>
  <w:style w:type="character" w:customStyle="1" w:styleId="71">
    <w:name w:val="纯文本 Char"/>
    <w:qFormat/>
    <w:uiPriority w:val="0"/>
    <w:rPr>
      <w:rFonts w:ascii="宋体" w:hAnsi="Courier New" w:eastAsia="宋体"/>
      <w:kern w:val="2"/>
      <w:sz w:val="21"/>
      <w:szCs w:val="21"/>
      <w:lang w:bidi="ar-SA"/>
    </w:rPr>
  </w:style>
  <w:style w:type="character" w:customStyle="1" w:styleId="72">
    <w:name w:val="f10"/>
    <w:basedOn w:val="45"/>
    <w:qFormat/>
    <w:uiPriority w:val="0"/>
  </w:style>
  <w:style w:type="character" w:customStyle="1" w:styleId="73">
    <w:name w:val="ca-2"/>
    <w:basedOn w:val="45"/>
    <w:qFormat/>
    <w:uiPriority w:val="0"/>
  </w:style>
  <w:style w:type="character" w:customStyle="1" w:styleId="74">
    <w:name w:val="缩进2字符 Char"/>
    <w:link w:val="75"/>
    <w:qFormat/>
    <w:locked/>
    <w:uiPriority w:val="0"/>
    <w:rPr>
      <w:rFonts w:ascii="仿宋_GB2312" w:hAnsi="仿宋_GB2312" w:eastAsia="仿宋_GB2312" w:cs="Arial"/>
      <w:snapToGrid w:val="0"/>
      <w:color w:val="000000"/>
      <w:sz w:val="28"/>
      <w:szCs w:val="28"/>
      <w:lang w:bidi="ar-SA"/>
    </w:rPr>
  </w:style>
  <w:style w:type="paragraph" w:customStyle="1" w:styleId="75">
    <w:name w:val="缩进2字符"/>
    <w:basedOn w:val="1"/>
    <w:link w:val="74"/>
    <w:qFormat/>
    <w:uiPriority w:val="0"/>
    <w:pPr>
      <w:widowControl/>
      <w:ind w:firstLine="200" w:firstLineChars="200"/>
      <w:jc w:val="left"/>
    </w:pPr>
    <w:rPr>
      <w:rFonts w:hAnsi="仿宋_GB2312" w:cs="Arial"/>
      <w:b w:val="0"/>
      <w:bCs w:val="0"/>
      <w:snapToGrid w:val="0"/>
      <w:sz w:val="28"/>
      <w:szCs w:val="28"/>
    </w:rPr>
  </w:style>
  <w:style w:type="character" w:customStyle="1" w:styleId="76">
    <w:name w:val="ca-11"/>
    <w:qFormat/>
    <w:uiPriority w:val="0"/>
    <w:rPr>
      <w:rFonts w:hint="eastAsia" w:ascii="宋体" w:hAnsi="宋体" w:eastAsia="宋体"/>
      <w:sz w:val="18"/>
      <w:szCs w:val="18"/>
    </w:rPr>
  </w:style>
  <w:style w:type="character" w:customStyle="1" w:styleId="77">
    <w:name w:val="标题 Char1"/>
    <w:qFormat/>
    <w:locked/>
    <w:uiPriority w:val="0"/>
    <w:rPr>
      <w:rFonts w:ascii="Arial" w:hAnsi="Arial" w:cs="Arial"/>
      <w:b/>
      <w:bCs/>
      <w:color w:val="000000"/>
      <w:sz w:val="32"/>
      <w:szCs w:val="32"/>
    </w:rPr>
  </w:style>
  <w:style w:type="character" w:customStyle="1" w:styleId="78">
    <w:name w:val="ca-3"/>
    <w:basedOn w:val="45"/>
    <w:qFormat/>
    <w:uiPriority w:val="0"/>
  </w:style>
  <w:style w:type="character" w:customStyle="1" w:styleId="79">
    <w:name w:val="NormalCharacter"/>
    <w:qFormat/>
    <w:uiPriority w:val="0"/>
  </w:style>
  <w:style w:type="character" w:customStyle="1" w:styleId="80">
    <w:name w:val="纯文本 Char1"/>
    <w:qFormat/>
    <w:uiPriority w:val="0"/>
    <w:rPr>
      <w:rFonts w:ascii="宋体" w:hAnsi="Courier New" w:eastAsia="仿宋_GB2312" w:cs="宋体"/>
      <w:b/>
      <w:bCs/>
      <w:color w:val="000000"/>
      <w:sz w:val="21"/>
      <w:lang w:val="en-US" w:eastAsia="zh-CN" w:bidi="ar-SA"/>
    </w:rPr>
  </w:style>
  <w:style w:type="character" w:customStyle="1" w:styleId="81">
    <w:name w:val="para"/>
    <w:basedOn w:val="45"/>
    <w:qFormat/>
    <w:uiPriority w:val="0"/>
  </w:style>
  <w:style w:type="character" w:customStyle="1" w:styleId="82">
    <w:name w:val="表格文本 Char"/>
    <w:link w:val="83"/>
    <w:qFormat/>
    <w:locked/>
    <w:uiPriority w:val="0"/>
    <w:rPr>
      <w:rFonts w:ascii="宋体" w:hAnsi="宋体" w:eastAsia="宋体" w:cs="Arial"/>
      <w:snapToGrid w:val="0"/>
      <w:szCs w:val="21"/>
      <w:lang w:bidi="ar-SA"/>
    </w:rPr>
  </w:style>
  <w:style w:type="paragraph" w:customStyle="1" w:styleId="83">
    <w:name w:val="表格文本"/>
    <w:basedOn w:val="1"/>
    <w:link w:val="82"/>
    <w:qFormat/>
    <w:uiPriority w:val="0"/>
    <w:pPr>
      <w:snapToGrid w:val="0"/>
      <w:jc w:val="left"/>
    </w:pPr>
    <w:rPr>
      <w:rFonts w:ascii="宋体" w:eastAsia="宋体" w:cs="Arial"/>
      <w:b w:val="0"/>
      <w:bCs w:val="0"/>
      <w:snapToGrid w:val="0"/>
      <w:color w:val="auto"/>
      <w:sz w:val="20"/>
    </w:rPr>
  </w:style>
  <w:style w:type="character" w:customStyle="1" w:styleId="84">
    <w:name w:val="ca-8"/>
    <w:basedOn w:val="45"/>
    <w:qFormat/>
    <w:uiPriority w:val="0"/>
  </w:style>
  <w:style w:type="character" w:customStyle="1" w:styleId="85">
    <w:name w:val="smalltxt1"/>
    <w:qFormat/>
    <w:uiPriority w:val="0"/>
    <w:rPr>
      <w:rFonts w:hint="default" w:ascii="ˎ̥" w:hAnsi="ˎ̥" w:eastAsia="仿宋_GB2312"/>
      <w:b/>
      <w:sz w:val="24"/>
      <w:szCs w:val="24"/>
    </w:rPr>
  </w:style>
  <w:style w:type="character" w:customStyle="1" w:styleId="86">
    <w:name w:val="Char Char1"/>
    <w:qFormat/>
    <w:uiPriority w:val="0"/>
    <w:rPr>
      <w:rFonts w:ascii="宋体" w:hAnsi="Courier New" w:eastAsia="仿宋_GB2312" w:cs="宋体"/>
      <w:b/>
      <w:bCs/>
      <w:color w:val="000000"/>
      <w:sz w:val="21"/>
      <w:lang w:val="en-US" w:eastAsia="zh-CN" w:bidi="ar-SA"/>
    </w:rPr>
  </w:style>
  <w:style w:type="character" w:customStyle="1" w:styleId="87">
    <w:name w:val="Char Char"/>
    <w:qFormat/>
    <w:uiPriority w:val="0"/>
    <w:rPr>
      <w:rFonts w:ascii="宋体" w:hAnsi="Courier New" w:eastAsia="仿宋_GB2312"/>
      <w:b/>
      <w:color w:val="000000"/>
      <w:sz w:val="21"/>
      <w:lang w:val="en-US" w:eastAsia="zh-CN"/>
    </w:rPr>
  </w:style>
  <w:style w:type="character" w:customStyle="1" w:styleId="88">
    <w:name w:val="apple-converted-space"/>
    <w:basedOn w:val="45"/>
    <w:qFormat/>
    <w:uiPriority w:val="0"/>
  </w:style>
  <w:style w:type="character" w:customStyle="1" w:styleId="89">
    <w:name w:val="bigtitle1"/>
    <w:qFormat/>
    <w:uiPriority w:val="0"/>
    <w:rPr>
      <w:sz w:val="28"/>
      <w:szCs w:val="28"/>
    </w:rPr>
  </w:style>
  <w:style w:type="character" w:customStyle="1" w:styleId="90">
    <w:name w:val="Char Char4"/>
    <w:qFormat/>
    <w:uiPriority w:val="0"/>
    <w:rPr>
      <w:rFonts w:eastAsia="宋体"/>
      <w:sz w:val="18"/>
      <w:szCs w:val="18"/>
      <w:lang w:val="en-US" w:eastAsia="zh-CN" w:bidi="ar-SA"/>
    </w:rPr>
  </w:style>
  <w:style w:type="character" w:customStyle="1" w:styleId="91">
    <w:name w:val="样式3 Char"/>
    <w:link w:val="92"/>
    <w:qFormat/>
    <w:uiPriority w:val="0"/>
    <w:rPr>
      <w:rFonts w:eastAsia="黑体"/>
      <w:kern w:val="2"/>
      <w:sz w:val="28"/>
      <w:szCs w:val="21"/>
      <w:lang w:val="en-US" w:eastAsia="zh-CN" w:bidi="ar-SA"/>
    </w:rPr>
  </w:style>
  <w:style w:type="paragraph" w:customStyle="1" w:styleId="92">
    <w:name w:val="样式3"/>
    <w:basedOn w:val="1"/>
    <w:link w:val="91"/>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93">
    <w:name w:val="unnamed51"/>
    <w:qFormat/>
    <w:uiPriority w:val="0"/>
    <w:rPr>
      <w:sz w:val="22"/>
      <w:szCs w:val="22"/>
    </w:rPr>
  </w:style>
  <w:style w:type="paragraph" w:customStyle="1" w:styleId="94">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95">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96">
    <w:name w:val="Char Char Char Char"/>
    <w:basedOn w:val="15"/>
    <w:qFormat/>
    <w:uiPriority w:val="0"/>
    <w:rPr>
      <w:rFonts w:ascii="Tahoma" w:hAnsi="Tahoma"/>
      <w:sz w:val="24"/>
    </w:rPr>
  </w:style>
  <w:style w:type="paragraph" w:customStyle="1" w:styleId="97">
    <w:name w:val="Char"/>
    <w:basedOn w:val="1"/>
    <w:qFormat/>
    <w:uiPriority w:val="0"/>
    <w:rPr>
      <w:rFonts w:hAnsi="Times New Roman" w:cs="Times New Roman"/>
      <w:bCs w:val="0"/>
      <w:color w:val="auto"/>
      <w:kern w:val="2"/>
      <w:sz w:val="32"/>
      <w:szCs w:val="32"/>
    </w:rPr>
  </w:style>
  <w:style w:type="paragraph" w:customStyle="1" w:styleId="98">
    <w:name w:val="Char2"/>
    <w:basedOn w:val="1"/>
    <w:qFormat/>
    <w:uiPriority w:val="0"/>
    <w:rPr>
      <w:b w:val="0"/>
      <w:sz w:val="32"/>
      <w:szCs w:val="32"/>
    </w:rPr>
  </w:style>
  <w:style w:type="paragraph" w:customStyle="1" w:styleId="99">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00">
    <w:name w:val="样式1"/>
    <w:basedOn w:val="3"/>
    <w:qFormat/>
    <w:uiPriority w:val="0"/>
    <w:pPr>
      <w:numPr>
        <w:ilvl w:val="0"/>
        <w:numId w:val="0"/>
      </w:numPr>
      <w:tabs>
        <w:tab w:val="left" w:pos="2340"/>
        <w:tab w:val="left" w:pos="2700"/>
        <w:tab w:val="left" w:pos="2880"/>
        <w:tab w:val="left" w:pos="3060"/>
        <w:tab w:val="left" w:pos="3240"/>
        <w:tab w:val="left" w:pos="3420"/>
        <w:tab w:val="left" w:pos="3780"/>
      </w:tabs>
      <w:spacing w:before="120" w:afterLines="0" w:line="360" w:lineRule="auto"/>
    </w:pPr>
    <w:rPr>
      <w:rFonts w:eastAsia="Arial" w:cs="Times New Roman"/>
      <w:b/>
      <w:bCs/>
      <w:spacing w:val="0"/>
      <w:kern w:val="2"/>
    </w:rPr>
  </w:style>
  <w:style w:type="paragraph" w:customStyle="1" w:styleId="101">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102">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03">
    <w:name w:val="Char1 Char Char Char"/>
    <w:basedOn w:val="1"/>
    <w:qFormat/>
    <w:uiPriority w:val="0"/>
    <w:rPr>
      <w:rFonts w:hAnsi="Times New Roman" w:cs="Times New Roman"/>
      <w:bCs w:val="0"/>
      <w:color w:val="auto"/>
      <w:kern w:val="2"/>
      <w:sz w:val="32"/>
      <w:szCs w:val="32"/>
    </w:rPr>
  </w:style>
  <w:style w:type="paragraph" w:customStyle="1" w:styleId="104">
    <w:name w:val="Body Text(ch)"/>
    <w:basedOn w:val="1"/>
    <w:next w:val="18"/>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05">
    <w:name w:val="Char Char Char Char1"/>
    <w:basedOn w:val="1"/>
    <w:semiHidden/>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06">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b w:val="0"/>
      <w:bCs w:val="0"/>
      <w:color w:val="auto"/>
      <w:sz w:val="22"/>
      <w:szCs w:val="20"/>
      <w:lang w:val="de-DE" w:eastAsia="zh-TW"/>
    </w:rPr>
  </w:style>
  <w:style w:type="paragraph" w:customStyle="1" w:styleId="10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08">
    <w:name w:val="Char Char1 Char Char Char Char Char Char Char Char Char Char"/>
    <w:basedOn w:val="1"/>
    <w:qFormat/>
    <w:uiPriority w:val="0"/>
    <w:rPr>
      <w:rFonts w:ascii="Tahoma" w:hAnsi="Tahoma"/>
      <w:sz w:val="24"/>
      <w:szCs w:val="20"/>
    </w:rPr>
  </w:style>
  <w:style w:type="paragraph" w:customStyle="1" w:styleId="109">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10">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11">
    <w:name w:val="Char Char Char"/>
    <w:basedOn w:val="1"/>
    <w:qFormat/>
    <w:uiPriority w:val="0"/>
    <w:rPr>
      <w:rFonts w:ascii="Tahoma" w:hAnsi="Tahoma" w:eastAsia="宋体" w:cs="Times New Roman"/>
      <w:b w:val="0"/>
      <w:bCs w:val="0"/>
      <w:color w:val="auto"/>
      <w:kern w:val="2"/>
      <w:sz w:val="24"/>
      <w:szCs w:val="20"/>
    </w:rPr>
  </w:style>
  <w:style w:type="paragraph" w:customStyle="1" w:styleId="112">
    <w:name w:val="List Paragraph1"/>
    <w:basedOn w:val="1"/>
    <w:qFormat/>
    <w:uiPriority w:val="0"/>
    <w:pPr>
      <w:ind w:firstLine="420" w:firstLineChars="200"/>
    </w:pPr>
    <w:rPr>
      <w:rFonts w:cs="仿宋_GB2312"/>
    </w:rPr>
  </w:style>
  <w:style w:type="paragraph" w:customStyle="1" w:styleId="113">
    <w:name w:val="列出段落3"/>
    <w:basedOn w:val="1"/>
    <w:qFormat/>
    <w:uiPriority w:val="0"/>
    <w:pPr>
      <w:spacing w:line="360" w:lineRule="auto"/>
      <w:ind w:firstLine="420" w:firstLineChars="200"/>
    </w:pPr>
    <w:rPr>
      <w:rFonts w:ascii="Calibri" w:hAnsi="Calibri" w:eastAsia="宋体" w:cs="Times New Roman"/>
      <w:b w:val="0"/>
      <w:bCs w:val="0"/>
      <w:color w:val="auto"/>
      <w:kern w:val="2"/>
      <w:sz w:val="24"/>
      <w:szCs w:val="22"/>
    </w:rPr>
  </w:style>
  <w:style w:type="paragraph" w:customStyle="1" w:styleId="114">
    <w:name w:val="默认段落字体 Para Char Char Char Char Char Char Char Char Char1 Char Char Char Char Char Char Char"/>
    <w:basedOn w:val="15"/>
    <w:qFormat/>
    <w:uiPriority w:val="0"/>
    <w:rPr>
      <w:rFonts w:ascii="Tahoma" w:hAnsi="Tahoma"/>
      <w:sz w:val="24"/>
    </w:rPr>
  </w:style>
  <w:style w:type="paragraph" w:customStyle="1" w:styleId="115">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16">
    <w:name w:val="[Normal]"/>
    <w:qFormat/>
    <w:uiPriority w:val="99"/>
    <w:rPr>
      <w:rFonts w:ascii="宋体" w:hAnsi="宋体" w:eastAsia="宋体" w:cs="Times New Roman"/>
      <w:sz w:val="24"/>
      <w:szCs w:val="22"/>
      <w:lang w:val="zh-CN" w:eastAsia="zh-CN" w:bidi="ar-SA"/>
    </w:rPr>
  </w:style>
  <w:style w:type="paragraph" w:customStyle="1" w:styleId="117">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18">
    <w:name w:val="Numbered list 2.3"/>
    <w:basedOn w:val="4"/>
    <w:next w:val="1"/>
    <w:qFormat/>
    <w:uiPriority w:val="0"/>
    <w:pPr>
      <w:keepLines w:val="0"/>
      <w:widowControl/>
      <w:numPr>
        <w:ilvl w:val="0"/>
        <w:numId w:val="0"/>
      </w:numPr>
      <w:tabs>
        <w:tab w:val="left" w:pos="360"/>
        <w:tab w:val="left" w:pos="705"/>
        <w:tab w:val="left" w:pos="1080"/>
        <w:tab w:val="clear" w:pos="720"/>
      </w:tabs>
      <w:spacing w:before="240" w:afterLines="0" w:line="240" w:lineRule="auto"/>
      <w:ind w:left="720" w:hanging="720"/>
      <w:jc w:val="left"/>
    </w:pPr>
    <w:rPr>
      <w:rFonts w:eastAsia="宋体" w:cs="Times New Roman"/>
      <w:bCs/>
      <w:iCs/>
      <w:color w:val="auto"/>
      <w:spacing w:val="0"/>
      <w:sz w:val="28"/>
      <w:szCs w:val="24"/>
    </w:rPr>
  </w:style>
  <w:style w:type="paragraph" w:customStyle="1" w:styleId="119">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20">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21">
    <w:name w:val="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2">
    <w:name w:val="Char3"/>
    <w:basedOn w:val="1"/>
    <w:qFormat/>
    <w:uiPriority w:val="0"/>
    <w:rPr>
      <w:rFonts w:ascii="Times New Roman" w:hAnsi="Times New Roman" w:eastAsia="宋体" w:cs="Times New Roman"/>
      <w:b w:val="0"/>
      <w:bCs w:val="0"/>
      <w:color w:val="auto"/>
      <w:kern w:val="2"/>
      <w:szCs w:val="20"/>
    </w:rPr>
  </w:style>
  <w:style w:type="paragraph" w:customStyle="1" w:styleId="123">
    <w:name w:val="style3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24">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styleId="126">
    <w:name w:val="List Paragraph"/>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127">
    <w:name w:val="正文－恩普"/>
    <w:basedOn w:val="8"/>
    <w:qFormat/>
    <w:uiPriority w:val="0"/>
    <w:pPr>
      <w:widowControl/>
      <w:spacing w:before="100" w:beforeAutospacing="1" w:afterLines="50" w:afterAutospacing="1" w:line="360" w:lineRule="auto"/>
      <w:ind w:firstLine="480"/>
      <w:jc w:val="left"/>
    </w:pPr>
    <w:rPr>
      <w:sz w:val="24"/>
      <w:szCs w:val="20"/>
    </w:rPr>
  </w:style>
  <w:style w:type="paragraph" w:customStyle="1" w:styleId="128">
    <w:name w:val="Char1 Char Char Char Char Char"/>
    <w:basedOn w:val="1"/>
    <w:qFormat/>
    <w:uiPriority w:val="0"/>
    <w:rPr>
      <w:rFonts w:ascii="Times New Roman" w:hAnsi="Times New Roman" w:eastAsia="宋体" w:cs="Times New Roman"/>
      <w:b w:val="0"/>
      <w:bCs w:val="0"/>
      <w:color w:val="auto"/>
      <w:kern w:val="2"/>
      <w:szCs w:val="24"/>
    </w:rPr>
  </w:style>
  <w:style w:type="paragraph" w:customStyle="1" w:styleId="129">
    <w:name w:val="Char Char Char1"/>
    <w:basedOn w:val="15"/>
    <w:qFormat/>
    <w:uiPriority w:val="0"/>
    <w:rPr>
      <w:rFonts w:ascii="Tahoma" w:hAnsi="Tahoma"/>
      <w:sz w:val="24"/>
    </w:rPr>
  </w:style>
  <w:style w:type="paragraph" w:customStyle="1" w:styleId="130">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31">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2">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33">
    <w:name w:val="Table Paragraph"/>
    <w:basedOn w:val="1"/>
    <w:qFormat/>
    <w:uiPriority w:val="1"/>
    <w:pPr>
      <w:widowControl/>
      <w:autoSpaceDE w:val="0"/>
      <w:autoSpaceDN w:val="0"/>
      <w:spacing w:line="360" w:lineRule="auto"/>
      <w:jc w:val="left"/>
    </w:pPr>
    <w:rPr>
      <w:rFonts w:ascii="宋体" w:eastAsia="宋体"/>
      <w:b w:val="0"/>
      <w:bCs w:val="0"/>
      <w:color w:val="auto"/>
      <w:sz w:val="22"/>
      <w:szCs w:val="22"/>
      <w:lang w:val="zh-CN" w:bidi="zh-CN"/>
    </w:rPr>
  </w:style>
  <w:style w:type="character" w:customStyle="1" w:styleId="134">
    <w:name w:val="标题 4 Char1"/>
    <w:qFormat/>
    <w:uiPriority w:val="0"/>
    <w:rPr>
      <w:rFonts w:ascii="Arial" w:hAnsi="Arial" w:eastAsia="黑体"/>
      <w:b/>
      <w:bCs/>
      <w:kern w:val="2"/>
      <w:sz w:val="28"/>
      <w:szCs w:val="28"/>
      <w:lang w:val="en-US" w:eastAsia="zh-CN" w:bidi="ar-SA"/>
    </w:rPr>
  </w:style>
  <w:style w:type="paragraph" w:customStyle="1" w:styleId="135">
    <w:name w:val="正文缩进1"/>
    <w:basedOn w:val="1"/>
    <w:qFormat/>
    <w:uiPriority w:val="0"/>
    <w:pPr>
      <w:spacing w:line="360" w:lineRule="auto"/>
      <w:ind w:firstLine="454"/>
      <w:jc w:val="left"/>
    </w:pPr>
    <w:rPr>
      <w:rFonts w:ascii="Times New Roman" w:hAnsi="Times New Roman" w:eastAsia="宋体" w:cs="Times New Roman"/>
      <w:b w:val="0"/>
      <w:bCs w:val="0"/>
      <w:color w:val="auto"/>
      <w:kern w:val="2"/>
      <w:sz w:val="24"/>
      <w:szCs w:val="24"/>
    </w:rPr>
  </w:style>
  <w:style w:type="character" w:customStyle="1" w:styleId="136">
    <w:name w:val="skancount"/>
    <w:basedOn w:val="45"/>
    <w:qFormat/>
    <w:uiPriority w:val="0"/>
  </w:style>
  <w:style w:type="character" w:customStyle="1" w:styleId="137">
    <w:name w:val="bookmark-item"/>
    <w:basedOn w:val="45"/>
    <w:qFormat/>
    <w:uiPriority w:val="0"/>
  </w:style>
  <w:style w:type="paragraph" w:customStyle="1" w:styleId="138">
    <w:name w:val="列出段落1"/>
    <w:basedOn w:val="1"/>
    <w:qFormat/>
    <w:uiPriority w:val="0"/>
    <w:pPr>
      <w:ind w:firstLine="420" w:firstLineChars="200"/>
    </w:pPr>
    <w:rPr>
      <w:rFonts w:ascii="Times New Roman" w:hAnsi="Times New Roman" w:eastAsia="宋体" w:cs="Times New Roman"/>
      <w:b w:val="0"/>
      <w:bCs w:val="0"/>
      <w:color w:val="auto"/>
      <w:kern w:val="2"/>
      <w:sz w:val="36"/>
      <w:szCs w:val="20"/>
    </w:rPr>
  </w:style>
  <w:style w:type="character" w:customStyle="1" w:styleId="139">
    <w:name w:val="脚注文本 Char"/>
    <w:basedOn w:val="45"/>
    <w:link w:val="37"/>
    <w:qFormat/>
    <w:uiPriority w:val="0"/>
    <w:rPr>
      <w:kern w:val="2"/>
      <w:sz w:val="18"/>
      <w:szCs w:val="24"/>
    </w:rPr>
  </w:style>
  <w:style w:type="character" w:customStyle="1" w:styleId="140">
    <w:name w:val="正文文本缩进 3 Char"/>
    <w:basedOn w:val="45"/>
    <w:link w:val="38"/>
    <w:qFormat/>
    <w:uiPriority w:val="0"/>
    <w:rPr>
      <w:rFonts w:ascii="仿宋_GB2312" w:hAnsi="宋体" w:eastAsia="仿宋_GB2312" w:cs="宋体"/>
      <w:b/>
      <w:bCs/>
      <w:color w:val="000000"/>
      <w:sz w:val="16"/>
      <w:szCs w:val="16"/>
    </w:rPr>
  </w:style>
  <w:style w:type="character" w:customStyle="1" w:styleId="141">
    <w:name w:val="无"/>
    <w:qFormat/>
    <w:uiPriority w:val="0"/>
  </w:style>
  <w:style w:type="paragraph" w:customStyle="1" w:styleId="142">
    <w:name w:val="正文文本首行缩进1"/>
    <w:basedOn w:val="18"/>
    <w:qFormat/>
    <w:uiPriority w:val="0"/>
    <w:pPr>
      <w:spacing w:after="0" w:line="360" w:lineRule="auto"/>
      <w:ind w:firstLine="200" w:firstLineChars="200"/>
    </w:pPr>
    <w:rPr>
      <w:rFonts w:ascii="宋体" w:hAnsi="宋体"/>
      <w:bCs/>
      <w:sz w:val="24"/>
      <w:szCs w:val="21"/>
    </w:rPr>
  </w:style>
  <w:style w:type="paragraph" w:customStyle="1" w:styleId="143">
    <w:name w:val="列表段落1"/>
    <w:basedOn w:val="1"/>
    <w:qFormat/>
    <w:uiPriority w:val="0"/>
    <w:pPr>
      <w:ind w:firstLine="420" w:firstLineChars="200"/>
    </w:pPr>
    <w:rPr>
      <w:rFonts w:asciiTheme="minorHAnsi" w:hAnsiTheme="minorHAnsi" w:eastAsiaTheme="minorEastAsia" w:cstheme="minorBidi"/>
      <w:b w:val="0"/>
      <w:bCs w:val="0"/>
      <w:color w:val="auto"/>
      <w:kern w:val="2"/>
      <w:sz w:val="24"/>
      <w:szCs w:val="24"/>
    </w:rPr>
  </w:style>
  <w:style w:type="paragraph" w:customStyle="1" w:styleId="144">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color w:val="auto"/>
      <w:kern w:val="2"/>
    </w:rPr>
  </w:style>
  <w:style w:type="character" w:customStyle="1" w:styleId="145">
    <w:name w:val="bold1"/>
    <w:basedOn w:val="45"/>
    <w:qFormat/>
    <w:uiPriority w:val="0"/>
    <w:rPr>
      <w:b/>
      <w:bCs/>
    </w:rPr>
  </w:style>
  <w:style w:type="paragraph" w:customStyle="1" w:styleId="146">
    <w:name w:val="缩进正文"/>
    <w:basedOn w:val="1"/>
    <w:qFormat/>
    <w:uiPriority w:val="0"/>
    <w:pPr>
      <w:ind w:firstLine="200" w:firstLineChars="200"/>
    </w:pPr>
  </w:style>
  <w:style w:type="character" w:customStyle="1" w:styleId="147">
    <w:name w:val="font31"/>
    <w:basedOn w:val="45"/>
    <w:qFormat/>
    <w:uiPriority w:val="0"/>
    <w:rPr>
      <w:rFonts w:hint="eastAsia" w:ascii="宋体" w:hAnsi="宋体" w:eastAsia="宋体" w:cs="宋体"/>
      <w:color w:val="000000"/>
      <w:sz w:val="21"/>
      <w:szCs w:val="21"/>
      <w:u w:val="none"/>
    </w:rPr>
  </w:style>
  <w:style w:type="character" w:customStyle="1" w:styleId="148">
    <w:name w:val="font01"/>
    <w:basedOn w:val="45"/>
    <w:qFormat/>
    <w:uiPriority w:val="0"/>
    <w:rPr>
      <w:rFonts w:hint="eastAsia" w:ascii="宋体" w:hAnsi="宋体" w:eastAsia="宋体" w:cs="宋体"/>
      <w:b/>
      <w:bCs/>
      <w:color w:val="000000"/>
      <w:sz w:val="22"/>
      <w:szCs w:val="22"/>
      <w:u w:val="none"/>
    </w:rPr>
  </w:style>
  <w:style w:type="paragraph" w:customStyle="1" w:styleId="149">
    <w:name w:val="表格文字"/>
    <w:basedOn w:val="26"/>
    <w:next w:val="18"/>
    <w:qFormat/>
    <w:uiPriority w:val="0"/>
    <w:pPr>
      <w:adjustRightInd w:val="0"/>
      <w:spacing w:line="420" w:lineRule="atLeast"/>
      <w:jc w:val="left"/>
      <w:textAlignment w:val="baseline"/>
    </w:pPr>
    <w:rPr>
      <w:rFonts w:ascii="Times New Roman" w:hAnsi="Times New Roman" w:eastAsia="宋体" w:cs="Times New Roman"/>
      <w:szCs w:val="24"/>
    </w:rPr>
  </w:style>
  <w:style w:type="paragraph" w:customStyle="1" w:styleId="150">
    <w:name w:val="Default"/>
    <w:next w:val="151"/>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2">
    <w:name w:val="font21"/>
    <w:basedOn w:val="45"/>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F9E8E-9419-4889-9C41-960ACF9BF0BD}">
  <ds:schemaRefs/>
</ds:datastoreItem>
</file>

<file path=docProps/app.xml><?xml version="1.0" encoding="utf-8"?>
<Properties xmlns="http://schemas.openxmlformats.org/officeDocument/2006/extended-properties" xmlns:vt="http://schemas.openxmlformats.org/officeDocument/2006/docPropsVTypes">
  <Template>Normal</Template>
  <Company>tuxin</Company>
  <Pages>60</Pages>
  <Words>7557</Words>
  <Characters>7933</Characters>
  <Lines>45</Lines>
  <Paragraphs>61</Paragraphs>
  <TotalTime>4</TotalTime>
  <ScaleCrop>false</ScaleCrop>
  <LinksUpToDate>false</LinksUpToDate>
  <CharactersWithSpaces>7999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2021-03-05T01:48:00Z</dcterms:created>
  <dc:creator>微软用户</dc:creator>
  <cp:lastModifiedBy>cici</cp:lastModifiedBy>
  <cp:lastPrinted>2023-07-24T01:11:00Z</cp:lastPrinted>
  <dcterms:modified xsi:type="dcterms:W3CDTF">2024-11-07T06:51:18Z</dcterms:modified>
  <dc:title>玉 环 县 政 府 采 购 中 心</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164D1E250E7C41EFA00ED1834DC4AED0_13</vt:lpwstr>
  </property>
</Properties>
</file>